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10624" w14:textId="77777777" w:rsidR="00A77B3E" w:rsidRDefault="00F311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8561C0" w14:textId="77777777" w:rsidR="00A77B3E" w:rsidRDefault="00F311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58963</w:t>
      </w:r>
    </w:p>
    <w:p w14:paraId="5603F850" w14:textId="77777777" w:rsidR="00A77B3E" w:rsidRDefault="00F311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159EEAD" w14:textId="77777777" w:rsidR="00A77B3E" w:rsidRDefault="00A77B3E">
      <w:pPr>
        <w:spacing w:line="360" w:lineRule="auto"/>
        <w:jc w:val="both"/>
      </w:pPr>
    </w:p>
    <w:p w14:paraId="222645FB" w14:textId="77777777" w:rsidR="00A77B3E" w:rsidRDefault="00F3115B">
      <w:pPr>
        <w:spacing w:line="360" w:lineRule="auto"/>
        <w:jc w:val="both"/>
      </w:pPr>
      <w:r>
        <w:rPr>
          <w:rFonts w:ascii="Book Antiqua" w:eastAsia="Book Antiqua" w:hAnsi="Book Antiqua" w:cs="Book Antiqua"/>
          <w:b/>
          <w:i/>
          <w:color w:val="000000"/>
        </w:rPr>
        <w:t>Retrospective Study</w:t>
      </w:r>
    </w:p>
    <w:p w14:paraId="31576DA6" w14:textId="77777777" w:rsidR="00A77B3E" w:rsidRDefault="00F3115B">
      <w:pPr>
        <w:spacing w:line="360" w:lineRule="auto"/>
        <w:jc w:val="both"/>
      </w:pPr>
      <w:bookmarkStart w:id="0" w:name="OLE_LINK2284"/>
      <w:bookmarkStart w:id="1" w:name="OLE_LINK2285"/>
      <w:r>
        <w:rPr>
          <w:rFonts w:ascii="Book Antiqua" w:eastAsia="Book Antiqua" w:hAnsi="Book Antiqua" w:cs="Book Antiqua"/>
          <w:b/>
          <w:color w:val="000000"/>
        </w:rPr>
        <w:t>Endoscopic pancreaticobiliary drainage with overlength stents to prevent delayed perforation after endoscopic papillectomy: A pilot study</w:t>
      </w:r>
    </w:p>
    <w:bookmarkEnd w:id="0"/>
    <w:bookmarkEnd w:id="1"/>
    <w:p w14:paraId="02164D61" w14:textId="77777777" w:rsidR="00A77B3E" w:rsidRDefault="00A77B3E">
      <w:pPr>
        <w:spacing w:line="360" w:lineRule="auto"/>
        <w:jc w:val="both"/>
      </w:pPr>
    </w:p>
    <w:p w14:paraId="2CA32E13" w14:textId="77777777" w:rsidR="00A77B3E" w:rsidRDefault="00F3115B">
      <w:pPr>
        <w:spacing w:line="360" w:lineRule="auto"/>
        <w:jc w:val="both"/>
      </w:pPr>
      <w:r>
        <w:rPr>
          <w:rFonts w:ascii="Book Antiqua" w:eastAsia="Book Antiqua" w:hAnsi="Book Antiqua" w:cs="Book Antiqua"/>
          <w:color w:val="000000"/>
        </w:rPr>
        <w:t xml:space="preserve">Wu L </w:t>
      </w:r>
      <w:r>
        <w:rPr>
          <w:rFonts w:ascii="Book Antiqua" w:eastAsia="Book Antiqua" w:hAnsi="Book Antiqua" w:cs="Book Antiqua"/>
          <w:i/>
          <w:iCs/>
          <w:color w:val="000000"/>
        </w:rPr>
        <w:t>et al</w:t>
      </w:r>
      <w:r>
        <w:rPr>
          <w:rFonts w:ascii="Book Antiqua" w:eastAsia="Book Antiqua" w:hAnsi="Book Antiqua" w:cs="Book Antiqua"/>
          <w:color w:val="000000"/>
        </w:rPr>
        <w:t>. Overlength stents placement after endoscopic papillectomy</w:t>
      </w:r>
    </w:p>
    <w:p w14:paraId="0B2B4C59" w14:textId="77777777" w:rsidR="00A77B3E" w:rsidRDefault="00A77B3E">
      <w:pPr>
        <w:spacing w:line="360" w:lineRule="auto"/>
        <w:jc w:val="both"/>
      </w:pPr>
    </w:p>
    <w:p w14:paraId="171CBAB7" w14:textId="77777777" w:rsidR="00A77B3E" w:rsidRDefault="00F3115B">
      <w:pPr>
        <w:spacing w:line="360" w:lineRule="auto"/>
        <w:jc w:val="both"/>
      </w:pPr>
      <w:r>
        <w:rPr>
          <w:rFonts w:ascii="Book Antiqua" w:eastAsia="Book Antiqua" w:hAnsi="Book Antiqua" w:cs="Book Antiqua"/>
          <w:color w:val="000000"/>
        </w:rPr>
        <w:t>Liang Wu, Fang Liu, Nan Zhang, Xiao-Peng Wang, Wen Li</w:t>
      </w:r>
    </w:p>
    <w:p w14:paraId="4433C3CA" w14:textId="77777777" w:rsidR="00A77B3E" w:rsidRDefault="00A77B3E">
      <w:pPr>
        <w:spacing w:line="360" w:lineRule="auto"/>
        <w:jc w:val="both"/>
        <w:rPr>
          <w:lang w:eastAsia="zh-CN"/>
        </w:rPr>
      </w:pPr>
    </w:p>
    <w:p w14:paraId="10EAF6E6" w14:textId="29F21861" w:rsidR="00A77B3E" w:rsidRDefault="00F3115B">
      <w:pPr>
        <w:spacing w:line="360" w:lineRule="auto"/>
        <w:jc w:val="both"/>
      </w:pPr>
      <w:r>
        <w:rPr>
          <w:rFonts w:ascii="Book Antiqua" w:eastAsia="Book Antiqua" w:hAnsi="Book Antiqua" w:cs="Book Antiqua"/>
          <w:b/>
          <w:bCs/>
          <w:color w:val="000000"/>
        </w:rPr>
        <w:t xml:space="preserve">Liang Wu, </w:t>
      </w:r>
      <w:r>
        <w:rPr>
          <w:rFonts w:ascii="Book Antiqua" w:eastAsia="Book Antiqua" w:hAnsi="Book Antiqua" w:cs="Book Antiqua"/>
          <w:color w:val="000000"/>
        </w:rPr>
        <w:t>International Center for Diagnosis and Treatment of Liver Diseases, The Fifth Medical Center of Chinese PLA General Hospital, Beijing 100039, China</w:t>
      </w:r>
    </w:p>
    <w:p w14:paraId="210E9938" w14:textId="77777777" w:rsidR="00A77B3E" w:rsidRDefault="00A77B3E">
      <w:pPr>
        <w:spacing w:line="360" w:lineRule="auto"/>
        <w:jc w:val="both"/>
      </w:pPr>
    </w:p>
    <w:p w14:paraId="4818ADA5" w14:textId="12C78D64" w:rsidR="00A77B3E" w:rsidRDefault="00F3115B">
      <w:pPr>
        <w:spacing w:line="360" w:lineRule="auto"/>
        <w:jc w:val="both"/>
      </w:pPr>
      <w:r>
        <w:rPr>
          <w:rFonts w:ascii="Book Antiqua" w:eastAsia="Book Antiqua" w:hAnsi="Book Antiqua" w:cs="Book Antiqua"/>
          <w:b/>
          <w:bCs/>
          <w:color w:val="000000"/>
        </w:rPr>
        <w:t xml:space="preserve">Fang Liu, Nan Zhang, Wen Li, </w:t>
      </w:r>
      <w:r>
        <w:rPr>
          <w:rFonts w:ascii="Book Antiqua" w:eastAsia="Book Antiqua" w:hAnsi="Book Antiqua" w:cs="Book Antiqua"/>
          <w:color w:val="000000"/>
        </w:rPr>
        <w:t>Department of Gastroenterology and Hepatology, The First Medical Center of Chinese PLA General Hospital, Beijing 100853, China</w:t>
      </w:r>
    </w:p>
    <w:p w14:paraId="75CA6489" w14:textId="77777777" w:rsidR="00A77B3E" w:rsidRDefault="00A77B3E">
      <w:pPr>
        <w:spacing w:line="360" w:lineRule="auto"/>
        <w:jc w:val="both"/>
      </w:pPr>
    </w:p>
    <w:p w14:paraId="707FD48D" w14:textId="0C87E7E8" w:rsidR="00A77B3E" w:rsidRDefault="00F3115B">
      <w:pPr>
        <w:spacing w:line="360" w:lineRule="auto"/>
        <w:jc w:val="both"/>
      </w:pPr>
      <w:r>
        <w:rPr>
          <w:rFonts w:ascii="Book Antiqua" w:eastAsia="Book Antiqua" w:hAnsi="Book Antiqua" w:cs="Book Antiqua"/>
          <w:b/>
          <w:bCs/>
          <w:color w:val="000000"/>
        </w:rPr>
        <w:t xml:space="preserve">Xiao-Peng Wang, </w:t>
      </w:r>
      <w:r>
        <w:rPr>
          <w:rFonts w:ascii="Book Antiqua" w:eastAsia="Book Antiqua" w:hAnsi="Book Antiqua" w:cs="Book Antiqua"/>
          <w:color w:val="000000"/>
        </w:rPr>
        <w:t>Department of Gastroenterology and Hepatology, Chinese PLA 305 Hospital, Beijing 100017, China</w:t>
      </w:r>
    </w:p>
    <w:p w14:paraId="730A1DEE" w14:textId="77777777" w:rsidR="00A77B3E" w:rsidRDefault="00A77B3E">
      <w:pPr>
        <w:spacing w:line="360" w:lineRule="auto"/>
        <w:jc w:val="both"/>
      </w:pPr>
    </w:p>
    <w:p w14:paraId="662B2546" w14:textId="2F858EEC" w:rsidR="00A77B3E" w:rsidRDefault="00F3115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W designed the study, mainly performed endoscopic papillectomy, placed overlength stents, and revised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Wu L and Liu F assisted in the endoscopic operation, analyzed the data and drafted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Wu L and Liu F contributed equally to this work</w:t>
      </w:r>
      <w:r w:rsidR="005D284C">
        <w:rPr>
          <w:rFonts w:ascii="Book Antiqua" w:eastAsia="Book Antiqua" w:hAnsi="Book Antiqua" w:cs="Book Antiqua"/>
          <w:color w:val="000000"/>
        </w:rPr>
        <w:t>;</w:t>
      </w:r>
      <w:r>
        <w:rPr>
          <w:rFonts w:ascii="Book Antiqua" w:eastAsia="Book Antiqua" w:hAnsi="Book Antiqua" w:cs="Book Antiqua"/>
          <w:color w:val="000000"/>
        </w:rPr>
        <w:t xml:space="preserve"> Zhang N </w:t>
      </w:r>
      <w:r w:rsidR="0076257B">
        <w:rPr>
          <w:rFonts w:ascii="Book Antiqua" w:eastAsia="Book Antiqua" w:hAnsi="Book Antiqua" w:cs="Book Antiqua"/>
          <w:color w:val="000000"/>
        </w:rPr>
        <w:t xml:space="preserve">was </w:t>
      </w:r>
      <w:r>
        <w:rPr>
          <w:rFonts w:ascii="Book Antiqua" w:eastAsia="Book Antiqua" w:hAnsi="Book Antiqua" w:cs="Book Antiqua"/>
          <w:color w:val="000000"/>
        </w:rPr>
        <w:t>involved in the preparation of resected specimens, immunohistochemical analysis and interpretation of pathological results</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Wang XP assessed study details and revised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t>
      </w:r>
      <w:r w:rsidR="005D284C">
        <w:rPr>
          <w:rFonts w:ascii="Book Antiqua" w:eastAsia="Book Antiqua" w:hAnsi="Book Antiqua" w:cs="Book Antiqua"/>
          <w:color w:val="000000"/>
        </w:rPr>
        <w:t>and a</w:t>
      </w:r>
      <w:r>
        <w:rPr>
          <w:rFonts w:ascii="Book Antiqua" w:eastAsia="Book Antiqua" w:hAnsi="Book Antiqua" w:cs="Book Antiqua"/>
          <w:color w:val="000000"/>
        </w:rPr>
        <w:t>ll authors read and approved the final version of the</w:t>
      </w:r>
      <w:r w:rsidR="005D284C">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178A50E2" w14:textId="77777777" w:rsidR="00A77B3E" w:rsidRDefault="00A77B3E">
      <w:pPr>
        <w:spacing w:line="360" w:lineRule="auto"/>
        <w:jc w:val="both"/>
      </w:pPr>
    </w:p>
    <w:p w14:paraId="304DABD8" w14:textId="3277674F" w:rsidR="00A77B3E" w:rsidRDefault="00F3115B">
      <w:pPr>
        <w:spacing w:line="360" w:lineRule="auto"/>
        <w:jc w:val="both"/>
        <w:rPr>
          <w:lang w:eastAsia="zh-CN"/>
        </w:rPr>
      </w:pPr>
      <w:r>
        <w:rPr>
          <w:rFonts w:ascii="Book Antiqua" w:eastAsia="Book Antiqua" w:hAnsi="Book Antiqua" w:cs="Book Antiqua"/>
          <w:b/>
          <w:bCs/>
          <w:color w:val="000000"/>
        </w:rPr>
        <w:lastRenderedPageBreak/>
        <w:t xml:space="preserve">Corresponding author: Wen Li, DPhil, DSc, Chief Doctor, Executive Vice President, Professor, </w:t>
      </w:r>
      <w:r>
        <w:rPr>
          <w:rFonts w:ascii="Book Antiqua" w:eastAsia="Book Antiqua" w:hAnsi="Book Antiqua" w:cs="Book Antiqua"/>
          <w:color w:val="000000"/>
        </w:rPr>
        <w:t xml:space="preserve">Department of Gastroenterology and Hepatology, The First Medical Center of Chinese PLA General Hospital, </w:t>
      </w:r>
      <w:r w:rsidR="00397C13">
        <w:rPr>
          <w:rFonts w:ascii="Book Antiqua" w:eastAsia="Book Antiqua" w:hAnsi="Book Antiqua" w:cs="Book Antiqua"/>
          <w:color w:val="000000"/>
        </w:rPr>
        <w:t>N</w:t>
      </w:r>
      <w:r w:rsidR="00397C13">
        <w:rPr>
          <w:rFonts w:ascii="Book Antiqua" w:eastAsia="Book Antiqua" w:hAnsi="Book Antiqua" w:cs="Book Antiqua" w:hint="eastAsia"/>
          <w:color w:val="000000"/>
          <w:lang w:eastAsia="zh-CN"/>
        </w:rPr>
        <w:t>o</w:t>
      </w:r>
      <w:r w:rsidR="00397C13">
        <w:rPr>
          <w:rFonts w:ascii="Book Antiqua" w:eastAsia="Book Antiqua" w:hAnsi="Book Antiqua" w:cs="Book Antiqua"/>
          <w:color w:val="000000"/>
          <w:lang w:eastAsia="zh-CN"/>
        </w:rPr>
        <w:t xml:space="preserve">. 28 </w:t>
      </w:r>
      <w:r>
        <w:rPr>
          <w:rFonts w:ascii="Book Antiqua" w:eastAsia="Book Antiqua" w:hAnsi="Book Antiqua" w:cs="Book Antiqua"/>
          <w:color w:val="000000"/>
        </w:rPr>
        <w:t>Fuxing Road, Haidian Distict, Beijing 100853, Beijing, China. liwen2000@yahoo.com</w:t>
      </w:r>
    </w:p>
    <w:p w14:paraId="2EC64AB9" w14:textId="77777777" w:rsidR="00A77B3E" w:rsidRDefault="00A77B3E">
      <w:pPr>
        <w:spacing w:line="360" w:lineRule="auto"/>
        <w:jc w:val="both"/>
      </w:pPr>
    </w:p>
    <w:p w14:paraId="082D591A" w14:textId="77777777" w:rsidR="00A77B3E" w:rsidRDefault="00F311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20, 2020</w:t>
      </w:r>
    </w:p>
    <w:p w14:paraId="4EBFEF45" w14:textId="77777777" w:rsidR="00A77B3E" w:rsidRDefault="00F311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344B0614" w14:textId="56F7CF66" w:rsidR="00A77B3E" w:rsidRDefault="00F3115B">
      <w:pPr>
        <w:spacing w:line="360" w:lineRule="auto"/>
        <w:jc w:val="both"/>
      </w:pPr>
      <w:r>
        <w:rPr>
          <w:rFonts w:ascii="Book Antiqua" w:eastAsia="Book Antiqua" w:hAnsi="Book Antiqua" w:cs="Book Antiqua"/>
          <w:b/>
          <w:bCs/>
          <w:color w:val="000000"/>
        </w:rPr>
        <w:t>Accepted:</w:t>
      </w:r>
      <w:r w:rsidR="00DC2D2D" w:rsidRPr="00DC2D2D">
        <w:t xml:space="preserve"> </w:t>
      </w:r>
      <w:r w:rsidR="00DC2D2D" w:rsidRPr="00DC2D2D">
        <w:rPr>
          <w:rFonts w:ascii="Book Antiqua" w:eastAsia="Book Antiqua" w:hAnsi="Book Antiqua" w:cs="Book Antiqua"/>
          <w:color w:val="000000"/>
        </w:rPr>
        <w:t>October 13, 2020</w:t>
      </w:r>
      <w:r w:rsidRPr="00DC2D2D">
        <w:rPr>
          <w:rFonts w:ascii="Book Antiqua" w:eastAsia="Book Antiqua" w:hAnsi="Book Antiqua" w:cs="Book Antiqua"/>
          <w:color w:val="000000"/>
        </w:rPr>
        <w:t xml:space="preserve"> </w:t>
      </w:r>
    </w:p>
    <w:p w14:paraId="3D350934" w14:textId="0016F493" w:rsidR="00A77B3E" w:rsidRDefault="00F3115B">
      <w:pPr>
        <w:spacing w:line="360" w:lineRule="auto"/>
        <w:jc w:val="both"/>
      </w:pPr>
      <w:r>
        <w:rPr>
          <w:rFonts w:ascii="Book Antiqua" w:eastAsia="Book Antiqua" w:hAnsi="Book Antiqua" w:cs="Book Antiqua"/>
          <w:b/>
          <w:bCs/>
          <w:color w:val="000000"/>
        </w:rPr>
        <w:t xml:space="preserve">Published online: </w:t>
      </w:r>
      <w:r w:rsidR="007511FC" w:rsidRPr="00267559">
        <w:rPr>
          <w:rFonts w:ascii="Book Antiqua" w:eastAsia="Book Antiqua" w:hAnsi="Book Antiqua" w:cs="Book Antiqua"/>
          <w:bCs/>
        </w:rPr>
        <w:t>November</w:t>
      </w:r>
      <w:r w:rsidR="007511FC" w:rsidRPr="00267559">
        <w:rPr>
          <w:rFonts w:ascii="Book Antiqua" w:hAnsi="Book Antiqua" w:cs="Book Antiqua" w:hint="eastAsia"/>
          <w:bCs/>
          <w:lang w:eastAsia="zh-CN"/>
        </w:rPr>
        <w:t xml:space="preserve"> </w:t>
      </w:r>
      <w:r w:rsidR="007511FC">
        <w:rPr>
          <w:rFonts w:ascii="Book Antiqua" w:hAnsi="Book Antiqua" w:cs="Book Antiqua" w:hint="eastAsia"/>
          <w:bCs/>
          <w:lang w:eastAsia="zh-CN"/>
        </w:rPr>
        <w:t>28</w:t>
      </w:r>
      <w:r w:rsidR="007511FC" w:rsidRPr="00267559">
        <w:rPr>
          <w:rFonts w:ascii="Book Antiqua" w:hAnsi="Book Antiqua" w:cs="Book Antiqua" w:hint="eastAsia"/>
          <w:bCs/>
          <w:lang w:eastAsia="zh-CN"/>
        </w:rPr>
        <w:t>, 2020</w:t>
      </w:r>
    </w:p>
    <w:p w14:paraId="36AEE4D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8EA502" w14:textId="77777777" w:rsidR="00A77B3E" w:rsidRDefault="00F3115B">
      <w:pPr>
        <w:spacing w:line="360" w:lineRule="auto"/>
        <w:jc w:val="both"/>
      </w:pPr>
      <w:r>
        <w:rPr>
          <w:rFonts w:ascii="Book Antiqua" w:eastAsia="Book Antiqua" w:hAnsi="Book Antiqua" w:cs="Book Antiqua"/>
          <w:b/>
          <w:color w:val="000000"/>
        </w:rPr>
        <w:t>Abstract</w:t>
      </w:r>
    </w:p>
    <w:p w14:paraId="715D3CCD" w14:textId="77777777" w:rsidR="00A77B3E" w:rsidRDefault="00F3115B">
      <w:pPr>
        <w:spacing w:line="360" w:lineRule="auto"/>
        <w:jc w:val="both"/>
      </w:pPr>
      <w:r>
        <w:rPr>
          <w:rFonts w:ascii="Book Antiqua" w:eastAsia="Book Antiqua" w:hAnsi="Book Antiqua" w:cs="Book Antiqua"/>
          <w:color w:val="000000"/>
        </w:rPr>
        <w:t>BACKGROUND</w:t>
      </w:r>
    </w:p>
    <w:p w14:paraId="20F28713" w14:textId="3FB2852D" w:rsidR="00A77B3E" w:rsidRDefault="00F3115B">
      <w:pPr>
        <w:spacing w:line="360" w:lineRule="auto"/>
        <w:jc w:val="both"/>
      </w:pPr>
      <w:r>
        <w:rPr>
          <w:rFonts w:ascii="Book Antiqua" w:eastAsia="Book Antiqua" w:hAnsi="Book Antiqua" w:cs="Book Antiqua"/>
          <w:color w:val="000000"/>
        </w:rPr>
        <w:t>Endoscopic papillectomy</w:t>
      </w:r>
      <w:r w:rsidR="00820E98">
        <w:rPr>
          <w:rFonts w:ascii="Book Antiqua" w:eastAsia="Book Antiqua" w:hAnsi="Book Antiqua" w:cs="Book Antiqua"/>
          <w:color w:val="000000"/>
        </w:rPr>
        <w:t xml:space="preserve"> (EP)</w:t>
      </w:r>
      <w:r>
        <w:rPr>
          <w:rFonts w:ascii="Book Antiqua" w:eastAsia="Book Antiqua" w:hAnsi="Book Antiqua" w:cs="Book Antiqua"/>
          <w:color w:val="000000"/>
        </w:rPr>
        <w:t xml:space="preserve"> is rapidly replacing traditional surgical resection and is a less invasive procedure for the treatment of duodenal papillary tumors in select</w:t>
      </w:r>
      <w:r w:rsidR="00D53A41">
        <w:rPr>
          <w:rFonts w:ascii="Book Antiqua" w:eastAsia="Book Antiqua" w:hAnsi="Book Antiqua" w:cs="Book Antiqua"/>
          <w:color w:val="000000"/>
        </w:rPr>
        <w:t>ed</w:t>
      </w:r>
      <w:r>
        <w:rPr>
          <w:rFonts w:ascii="Book Antiqua" w:eastAsia="Book Antiqua" w:hAnsi="Book Antiqua" w:cs="Book Antiqua"/>
          <w:color w:val="000000"/>
        </w:rPr>
        <w:t xml:space="preserve"> patients. With the expansion of indications, concerns </w:t>
      </w:r>
      <w:r w:rsidR="0076257B">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include not only technical difficulties, but also the risk of complications, especially delayed duodenal perforation.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is a rare but fatal complication. Exposure of </w:t>
      </w:r>
      <w:r w:rsidR="00D53A41">
        <w:rPr>
          <w:rFonts w:ascii="Book Antiqua" w:eastAsia="Book Antiqua" w:hAnsi="Book Antiqua" w:cs="Book Antiqua"/>
          <w:color w:val="000000"/>
        </w:rPr>
        <w:t xml:space="preserve">the artificial ulcer to </w:t>
      </w:r>
      <w:r>
        <w:rPr>
          <w:rFonts w:ascii="Book Antiqua" w:eastAsia="Book Antiqua" w:hAnsi="Book Antiqua" w:cs="Book Antiqua"/>
          <w:color w:val="000000"/>
        </w:rPr>
        <w:t xml:space="preserve">bile and pancreatic juice is considered to be one of the causes of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t>
      </w:r>
      <w:r w:rsidR="0076257B">
        <w:rPr>
          <w:rFonts w:ascii="Book Antiqua" w:eastAsia="Book Antiqua" w:hAnsi="Book Antiqua" w:cs="Book Antiqua"/>
          <w:color w:val="000000"/>
        </w:rPr>
        <w:t>D</w:t>
      </w:r>
      <w:r>
        <w:rPr>
          <w:rFonts w:ascii="Book Antiqua" w:eastAsia="Book Antiqua" w:hAnsi="Book Antiqua" w:cs="Book Antiqua"/>
          <w:color w:val="000000"/>
        </w:rPr>
        <w:t>rain</w:t>
      </w:r>
      <w:r w:rsidR="0076257B">
        <w:rPr>
          <w:rFonts w:ascii="Book Antiqua" w:eastAsia="Book Antiqua" w:hAnsi="Book Antiqua" w:cs="Book Antiqua"/>
          <w:color w:val="000000"/>
        </w:rPr>
        <w:t>ing</w:t>
      </w:r>
      <w:r>
        <w:rPr>
          <w:rFonts w:ascii="Book Antiqua" w:eastAsia="Book Antiqua" w:hAnsi="Book Antiqua" w:cs="Book Antiqua"/>
          <w:color w:val="000000"/>
        </w:rPr>
        <w:t xml:space="preserve"> bile and pancreatic juice away from the wound may help to prevent delayed perforation.</w:t>
      </w:r>
    </w:p>
    <w:p w14:paraId="1334AE76" w14:textId="77777777" w:rsidR="00A77B3E" w:rsidRDefault="00A77B3E">
      <w:pPr>
        <w:spacing w:line="360" w:lineRule="auto"/>
        <w:jc w:val="both"/>
      </w:pPr>
    </w:p>
    <w:p w14:paraId="67158E13" w14:textId="77777777" w:rsidR="00A77B3E" w:rsidRDefault="00F3115B">
      <w:pPr>
        <w:spacing w:line="360" w:lineRule="auto"/>
        <w:jc w:val="both"/>
      </w:pPr>
      <w:r>
        <w:rPr>
          <w:rFonts w:ascii="Book Antiqua" w:eastAsia="Book Antiqua" w:hAnsi="Book Antiqua" w:cs="Book Antiqua"/>
          <w:color w:val="000000"/>
        </w:rPr>
        <w:t>AIM</w:t>
      </w:r>
    </w:p>
    <w:p w14:paraId="40F86B5C" w14:textId="2B853E2D" w:rsidR="00A77B3E" w:rsidRDefault="00F3115B">
      <w:pPr>
        <w:spacing w:line="360" w:lineRule="auto"/>
        <w:jc w:val="both"/>
      </w:pPr>
      <w:r>
        <w:rPr>
          <w:rFonts w:ascii="Book Antiqua" w:eastAsia="Book Antiqua" w:hAnsi="Book Antiqua" w:cs="Book Antiqua"/>
          <w:color w:val="000000"/>
        </w:rPr>
        <w:t xml:space="preserve">To evaluate the feasibility and safety of placing overlength biliary and pancreatic stents after </w:t>
      </w:r>
      <w:r w:rsidR="00820E98">
        <w:rPr>
          <w:rFonts w:ascii="Book Antiqua" w:eastAsia="Book Antiqua" w:hAnsi="Book Antiqua" w:cs="Book Antiqua"/>
          <w:color w:val="000000"/>
        </w:rPr>
        <w:t>EP</w:t>
      </w:r>
      <w:r>
        <w:rPr>
          <w:rFonts w:ascii="Book Antiqua" w:eastAsia="Book Antiqua" w:hAnsi="Book Antiqua" w:cs="Book Antiqua"/>
          <w:color w:val="000000"/>
        </w:rPr>
        <w:t>.</w:t>
      </w:r>
    </w:p>
    <w:p w14:paraId="153B76F3" w14:textId="77777777" w:rsidR="00A77B3E" w:rsidRDefault="00A77B3E">
      <w:pPr>
        <w:spacing w:line="360" w:lineRule="auto"/>
        <w:jc w:val="both"/>
      </w:pPr>
    </w:p>
    <w:p w14:paraId="254F098B" w14:textId="77777777" w:rsidR="00A77B3E" w:rsidRDefault="00F3115B">
      <w:pPr>
        <w:spacing w:line="360" w:lineRule="auto"/>
        <w:jc w:val="both"/>
      </w:pPr>
      <w:r>
        <w:rPr>
          <w:rFonts w:ascii="Book Antiqua" w:eastAsia="Book Antiqua" w:hAnsi="Book Antiqua" w:cs="Book Antiqua"/>
          <w:color w:val="000000"/>
        </w:rPr>
        <w:t>METHODS</w:t>
      </w:r>
    </w:p>
    <w:p w14:paraId="642DD4FD" w14:textId="2BEA6771" w:rsidR="00A77B3E" w:rsidRDefault="00F3115B">
      <w:pPr>
        <w:spacing w:line="360" w:lineRule="auto"/>
        <w:jc w:val="both"/>
      </w:pPr>
      <w:r>
        <w:rPr>
          <w:rFonts w:ascii="Book Antiqua" w:eastAsia="Book Antiqua" w:hAnsi="Book Antiqua" w:cs="Book Antiqua"/>
          <w:color w:val="000000"/>
        </w:rPr>
        <w:t xml:space="preserve">This is a single-center, retrospective study. Five patients with exposure or injury of </w:t>
      </w:r>
      <w:r w:rsidR="0076257B">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were inc</w:t>
      </w:r>
      <w:r w:rsidR="003F5FD4">
        <w:rPr>
          <w:rFonts w:ascii="Book Antiqua" w:eastAsia="Book Antiqua" w:hAnsi="Book Antiqua" w:cs="Book Antiqua"/>
          <w:color w:val="000000"/>
        </w:rPr>
        <w:t>l</w:t>
      </w:r>
      <w:r>
        <w:rPr>
          <w:rFonts w:ascii="Book Antiqua" w:eastAsia="Book Antiqua" w:hAnsi="Book Antiqua" w:cs="Book Antiqua"/>
          <w:color w:val="000000"/>
        </w:rPr>
        <w:t xml:space="preserve">uded. A 7-Fr overlength biliary stent and a 7-Fr overlength pancreatic stent, modified by </w:t>
      </w:r>
      <w:r w:rsidR="0076257B">
        <w:rPr>
          <w:rFonts w:ascii="Book Antiqua" w:eastAsia="Book Antiqua" w:hAnsi="Book Antiqua" w:cs="Book Antiqua"/>
          <w:color w:val="000000"/>
        </w:rPr>
        <w:t xml:space="preserve">an </w:t>
      </w:r>
      <w:r>
        <w:rPr>
          <w:rFonts w:ascii="Book Antiqua" w:eastAsia="Book Antiqua" w:hAnsi="Book Antiqua" w:cs="Book Antiqua"/>
          <w:color w:val="000000"/>
        </w:rPr>
        <w:t>endoscopic</w:t>
      </w:r>
      <w:r w:rsidR="003F5FD4">
        <w:rPr>
          <w:rFonts w:ascii="Book Antiqua" w:eastAsia="Book Antiqua" w:hAnsi="Book Antiqua" w:cs="Book Antiqua"/>
          <w:color w:val="000000"/>
        </w:rPr>
        <w:t xml:space="preserve"> </w:t>
      </w:r>
      <w:r>
        <w:rPr>
          <w:rFonts w:ascii="Book Antiqua" w:eastAsia="Book Antiqua" w:hAnsi="Book Antiqua" w:cs="Book Antiqua"/>
          <w:color w:val="000000"/>
        </w:rPr>
        <w:t>nasobiliary drainage tube, were placed in the common bile duct and pancreatic duct</w:t>
      </w:r>
      <w:r w:rsidR="0076257B">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w:t>
      </w:r>
    </w:p>
    <w:p w14:paraId="4D50D04A" w14:textId="77777777" w:rsidR="00A77B3E" w:rsidRDefault="00A77B3E">
      <w:pPr>
        <w:spacing w:line="360" w:lineRule="auto"/>
        <w:jc w:val="both"/>
      </w:pPr>
    </w:p>
    <w:p w14:paraId="305393AE" w14:textId="77777777" w:rsidR="00A77B3E" w:rsidRDefault="00F3115B">
      <w:pPr>
        <w:spacing w:line="360" w:lineRule="auto"/>
        <w:jc w:val="both"/>
      </w:pPr>
      <w:r>
        <w:rPr>
          <w:rFonts w:ascii="Book Antiqua" w:eastAsia="Book Antiqua" w:hAnsi="Book Antiqua" w:cs="Book Antiqua"/>
          <w:color w:val="000000"/>
        </w:rPr>
        <w:t>RESULTS</w:t>
      </w:r>
    </w:p>
    <w:p w14:paraId="11554A2A" w14:textId="6ED1FEA6" w:rsidR="00A77B3E" w:rsidRDefault="00820E98">
      <w:pPr>
        <w:spacing w:line="360" w:lineRule="auto"/>
        <w:jc w:val="both"/>
      </w:pPr>
      <w:r>
        <w:rPr>
          <w:rFonts w:ascii="Book Antiqua" w:eastAsia="Book Antiqua" w:hAnsi="Book Antiqua" w:cs="Book Antiqua"/>
          <w:color w:val="000000"/>
        </w:rPr>
        <w:t>EP</w:t>
      </w:r>
      <w:r w:rsidR="00F3115B">
        <w:rPr>
          <w:rFonts w:ascii="Book Antiqua" w:eastAsia="Book Antiqua" w:hAnsi="Book Antiqua" w:cs="Book Antiqua"/>
          <w:color w:val="000000"/>
        </w:rPr>
        <w:t xml:space="preserve"> and overlength stents placement were technically feasible in all five patients (63</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12 years), with an average operative time of 63.0</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5.6 min. Of the five lesions (median size 20 mm, rang</w:t>
      </w:r>
      <w:r w:rsidR="0076257B">
        <w:rPr>
          <w:rFonts w:ascii="Book Antiqua" w:eastAsia="Book Antiqua" w:hAnsi="Book Antiqua" w:cs="Book Antiqua"/>
          <w:color w:val="000000"/>
        </w:rPr>
        <w:t>e</w:t>
      </w:r>
      <w:r w:rsidR="00F3115B">
        <w:rPr>
          <w:rFonts w:ascii="Book Antiqua" w:eastAsia="Book Antiqua" w:hAnsi="Book Antiqua" w:cs="Book Antiqua"/>
          <w:color w:val="000000"/>
        </w:rPr>
        <w:t xml:space="preserve"> 15-35 mm), four achieved en bloc excision and curative resection. The final histopathological diagnoses of the endoscopic specimen were one tubular adenoma with high-grade dysplasia</w:t>
      </w:r>
      <w:r w:rsidR="00126A5E">
        <w:rPr>
          <w:rFonts w:ascii="Book Antiqua" w:eastAsia="Book Antiqua" w:hAnsi="Book Antiqua" w:cs="Book Antiqua"/>
          <w:color w:val="000000"/>
        </w:rPr>
        <w:t xml:space="preserve"> (HGD)</w:t>
      </w:r>
      <w:r w:rsidR="00F3115B">
        <w:rPr>
          <w:rFonts w:ascii="Book Antiqua" w:eastAsia="Book Antiqua" w:hAnsi="Book Antiqua" w:cs="Book Antiqua"/>
          <w:color w:val="000000"/>
        </w:rPr>
        <w:t xml:space="preserve">, one tubulovillous adenoma with low-grade dysplasia, one hamartomatous polyp with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one poorly differentiated adenocarcinoma and one atypical juvenile polyposis with tubulovillous adenoma,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and field cancerization invad</w:t>
      </w:r>
      <w:r w:rsidR="00043F5E">
        <w:rPr>
          <w:rFonts w:ascii="Book Antiqua" w:eastAsia="Book Antiqua" w:hAnsi="Book Antiqua" w:cs="Book Antiqua"/>
          <w:color w:val="000000"/>
        </w:rPr>
        <w:t>ing the</w:t>
      </w:r>
      <w:r w:rsidR="00F3115B">
        <w:rPr>
          <w:rFonts w:ascii="Book Antiqua" w:eastAsia="Book Antiqua" w:hAnsi="Book Antiqua" w:cs="Book Antiqua"/>
          <w:color w:val="000000"/>
        </w:rPr>
        <w:t xml:space="preserve"> muscularis mucosae and submucosa. There were no stent-related complications, but one papillectomy-related complication (mild acute pancreatitis) occurred without any episodes of bleeding, perforation, cholangitis or late-onset duct stenosis.</w:t>
      </w:r>
    </w:p>
    <w:p w14:paraId="100AD978" w14:textId="77777777" w:rsidR="00A77B3E" w:rsidRDefault="00A77B3E">
      <w:pPr>
        <w:spacing w:line="360" w:lineRule="auto"/>
        <w:jc w:val="both"/>
      </w:pPr>
    </w:p>
    <w:p w14:paraId="0B458A84" w14:textId="77777777" w:rsidR="00A77B3E" w:rsidRDefault="00F3115B">
      <w:pPr>
        <w:spacing w:line="360" w:lineRule="auto"/>
        <w:jc w:val="both"/>
      </w:pPr>
      <w:r>
        <w:rPr>
          <w:rFonts w:ascii="Book Antiqua" w:eastAsia="Book Antiqua" w:hAnsi="Book Antiqua" w:cs="Book Antiqua"/>
          <w:color w:val="000000"/>
        </w:rPr>
        <w:t>CONCLUSION</w:t>
      </w:r>
    </w:p>
    <w:p w14:paraId="05DFAD18" w14:textId="3D973788" w:rsidR="00A77B3E" w:rsidRDefault="00F3115B">
      <w:pPr>
        <w:spacing w:line="360" w:lineRule="auto"/>
        <w:jc w:val="both"/>
      </w:pPr>
      <w:r>
        <w:rPr>
          <w:rFonts w:ascii="Book Antiqua" w:eastAsia="Book Antiqua" w:hAnsi="Book Antiqua" w:cs="Book Antiqua"/>
          <w:color w:val="000000"/>
        </w:rPr>
        <w:t xml:space="preserve">For patients with exposure or injury of </w:t>
      </w:r>
      <w:r w:rsidR="0076257B">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the placement of overlength biliary and pancreatic stents is a feasible and useful technique to prevent delayed perforation.</w:t>
      </w:r>
    </w:p>
    <w:p w14:paraId="71001B9A" w14:textId="77777777" w:rsidR="00A77B3E" w:rsidRDefault="00A77B3E">
      <w:pPr>
        <w:spacing w:line="360" w:lineRule="auto"/>
        <w:jc w:val="both"/>
      </w:pPr>
    </w:p>
    <w:p w14:paraId="2C2FD164" w14:textId="5A766C1F" w:rsidR="00A77B3E" w:rsidRDefault="00F3115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papillectomy; Major duodenal papilla; Delayed perforation; Overlength stent; </w:t>
      </w:r>
      <w:r w:rsidR="00820E98" w:rsidRPr="00820E98">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Duodenal papillary tumors</w:t>
      </w:r>
    </w:p>
    <w:p w14:paraId="4180B947" w14:textId="77777777" w:rsidR="00A77B3E" w:rsidRDefault="00A77B3E">
      <w:pPr>
        <w:spacing w:line="360" w:lineRule="auto"/>
        <w:jc w:val="both"/>
      </w:pPr>
    </w:p>
    <w:p w14:paraId="700DF315" w14:textId="6FCAFE11" w:rsidR="002200DB" w:rsidRDefault="002200DB">
      <w:pPr>
        <w:spacing w:line="360" w:lineRule="auto"/>
        <w:jc w:val="both"/>
        <w:rPr>
          <w:rFonts w:ascii="Book Antiqua" w:hAnsi="Book Antiqua" w:cs="Book Antiqua" w:hint="eastAsia"/>
          <w:color w:val="000000"/>
          <w:lang w:eastAsia="zh-CN"/>
        </w:rPr>
      </w:pPr>
      <w:r w:rsidRPr="002200DB">
        <w:rPr>
          <w:rFonts w:ascii="Book Antiqua" w:hAnsi="Book Antiqua" w:cs="Book Antiqua" w:hint="eastAsia"/>
          <w:b/>
          <w:color w:val="000000"/>
          <w:lang w:eastAsia="zh-CN"/>
        </w:rPr>
        <w:t xml:space="preserve">Citation: </w:t>
      </w:r>
      <w:r w:rsidR="00F3115B">
        <w:rPr>
          <w:rFonts w:ascii="Book Antiqua" w:eastAsia="Book Antiqua" w:hAnsi="Book Antiqua" w:cs="Book Antiqua"/>
          <w:color w:val="000000"/>
        </w:rPr>
        <w:t xml:space="preserve">Wu L, Liu F, Zhang N, Wang XP, Li W. Endoscopic pancreaticobiliary drainage with overlength stents to prevent delayed perforation after endoscopic papillectomy: A pilot study. </w:t>
      </w:r>
      <w:r w:rsidR="00F3115B">
        <w:rPr>
          <w:rFonts w:ascii="Book Antiqua" w:eastAsia="Book Antiqua" w:hAnsi="Book Antiqua" w:cs="Book Antiqua"/>
          <w:i/>
          <w:iCs/>
          <w:color w:val="000000"/>
        </w:rPr>
        <w:t>World J Gastroenterol</w:t>
      </w:r>
      <w:r w:rsidR="00F3115B">
        <w:rPr>
          <w:rFonts w:ascii="Book Antiqua" w:eastAsia="Book Antiqua" w:hAnsi="Book Antiqua" w:cs="Book Antiqua"/>
          <w:color w:val="000000"/>
        </w:rPr>
        <w:t xml:space="preserve"> </w:t>
      </w:r>
      <w:r w:rsidR="003D14ED" w:rsidRPr="00E42B4F">
        <w:rPr>
          <w:rFonts w:ascii="Book Antiqua" w:eastAsia="Book Antiqua" w:hAnsi="Book Antiqua" w:cs="Book Antiqua"/>
          <w:color w:val="000000"/>
        </w:rPr>
        <w:t>2020; 26(</w:t>
      </w:r>
      <w:r w:rsidR="003D14ED">
        <w:rPr>
          <w:rFonts w:ascii="Book Antiqua" w:hAnsi="Book Antiqua" w:cs="Book Antiqua" w:hint="eastAsia"/>
          <w:color w:val="000000"/>
          <w:lang w:eastAsia="zh-CN"/>
        </w:rPr>
        <w:t>44</w:t>
      </w:r>
      <w:r w:rsidR="003D14ED" w:rsidRPr="00E42B4F">
        <w:rPr>
          <w:rFonts w:ascii="Book Antiqua" w:eastAsia="Book Antiqua" w:hAnsi="Book Antiqua" w:cs="Book Antiqua"/>
          <w:color w:val="000000"/>
        </w:rPr>
        <w:t xml:space="preserve">): </w:t>
      </w:r>
      <w:r w:rsidRPr="002200DB">
        <w:rPr>
          <w:rFonts w:ascii="Book Antiqua" w:hAnsi="Book Antiqua" w:cs="Book Antiqua"/>
          <w:color w:val="000000"/>
          <w:lang w:eastAsia="zh-CN"/>
        </w:rPr>
        <w:t>7036-7045</w:t>
      </w:r>
      <w:r w:rsidR="003D14ED">
        <w:rPr>
          <w:rFonts w:ascii="Book Antiqua" w:hAnsi="Book Antiqua" w:cs="Book Antiqua" w:hint="eastAsia"/>
          <w:color w:val="000000"/>
          <w:lang w:eastAsia="zh-CN"/>
        </w:rPr>
        <w:t xml:space="preserve">  </w:t>
      </w:r>
    </w:p>
    <w:p w14:paraId="63567A20" w14:textId="623370BA" w:rsidR="002200DB" w:rsidRDefault="003D14ED">
      <w:pPr>
        <w:spacing w:line="360" w:lineRule="auto"/>
        <w:jc w:val="both"/>
        <w:rPr>
          <w:rFonts w:ascii="Book Antiqua" w:hAnsi="Book Antiqua" w:cs="Book Antiqua" w:hint="eastAsia"/>
          <w:color w:val="000000"/>
          <w:lang w:eastAsia="zh-CN"/>
        </w:rPr>
      </w:pPr>
      <w:r w:rsidRPr="002200DB">
        <w:rPr>
          <w:rFonts w:ascii="Book Antiqua" w:eastAsia="Book Antiqua" w:hAnsi="Book Antiqua" w:cs="Book Antiqua"/>
          <w:b/>
          <w:color w:val="000000"/>
        </w:rPr>
        <w:t xml:space="preserve">URL: </w:t>
      </w:r>
      <w:r w:rsidRPr="00E42B4F">
        <w:rPr>
          <w:rFonts w:ascii="Book Antiqua" w:eastAsia="Book Antiqua" w:hAnsi="Book Antiqua" w:cs="Book Antiqua"/>
          <w:color w:val="000000"/>
        </w:rPr>
        <w:t>https://www.wjgnet.com/1007-9327/full/v26/i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2200DB">
        <w:rPr>
          <w:rFonts w:ascii="Book Antiqua" w:hAnsi="Book Antiqua" w:cs="Book Antiqua" w:hint="eastAsia"/>
          <w:color w:val="000000"/>
          <w:lang w:eastAsia="zh-CN"/>
        </w:rPr>
        <w:t>7036</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0250AB5E" w14:textId="07981298" w:rsidR="00A77B3E" w:rsidRDefault="003D14ED">
      <w:pPr>
        <w:spacing w:line="360" w:lineRule="auto"/>
        <w:jc w:val="both"/>
      </w:pPr>
      <w:bookmarkStart w:id="2" w:name="_GoBack"/>
      <w:r w:rsidRPr="002200DB">
        <w:rPr>
          <w:rFonts w:ascii="Book Antiqua" w:eastAsia="Book Antiqua" w:hAnsi="Book Antiqua" w:cs="Book Antiqua"/>
          <w:b/>
          <w:color w:val="000000"/>
        </w:rPr>
        <w:t>DOI:</w:t>
      </w:r>
      <w:bookmarkEnd w:id="2"/>
      <w:r w:rsidRPr="00E42B4F">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2200DB">
        <w:rPr>
          <w:rFonts w:ascii="Book Antiqua" w:hAnsi="Book Antiqua" w:cs="Book Antiqua" w:hint="eastAsia"/>
          <w:color w:val="000000"/>
          <w:lang w:eastAsia="zh-CN"/>
        </w:rPr>
        <w:t>7036</w:t>
      </w:r>
    </w:p>
    <w:p w14:paraId="6BCAEF11" w14:textId="77777777" w:rsidR="00A77B3E" w:rsidRDefault="00A77B3E">
      <w:pPr>
        <w:spacing w:line="360" w:lineRule="auto"/>
        <w:jc w:val="both"/>
      </w:pPr>
    </w:p>
    <w:p w14:paraId="634248AD" w14:textId="4947C518" w:rsidR="00820E98"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is a retrospective study to evaluate the</w:t>
      </w:r>
      <w:r w:rsidR="00820E98">
        <w:rPr>
          <w:rFonts w:ascii="Book Antiqua" w:eastAsia="Book Antiqua" w:hAnsi="Book Antiqua" w:cs="Book Antiqua"/>
          <w:color w:val="000000"/>
        </w:rPr>
        <w:t xml:space="preserve"> </w:t>
      </w:r>
      <w:r>
        <w:rPr>
          <w:rFonts w:ascii="Book Antiqua" w:eastAsia="Book Antiqua" w:hAnsi="Book Antiqua" w:cs="Book Antiqua"/>
          <w:color w:val="000000"/>
        </w:rPr>
        <w:t xml:space="preserve">feasibility and safety of overlength biliary and pancreatic stents </w:t>
      </w:r>
      <w:r w:rsidR="0086061D">
        <w:rPr>
          <w:rFonts w:ascii="Book Antiqua" w:eastAsia="Book Antiqua" w:hAnsi="Book Antiqua" w:cs="Book Antiqua"/>
          <w:color w:val="000000"/>
        </w:rPr>
        <w:t xml:space="preserve">placement </w:t>
      </w:r>
      <w:r>
        <w:rPr>
          <w:rFonts w:ascii="Book Antiqua" w:eastAsia="Book Antiqua" w:hAnsi="Book Antiqua" w:cs="Book Antiqua"/>
          <w:color w:val="000000"/>
        </w:rPr>
        <w:t xml:space="preserve">after endoscopic papillectomy (EP). Five patients with exposure or injury of </w:t>
      </w:r>
      <w:r w:rsidR="0086061D">
        <w:rPr>
          <w:rFonts w:ascii="Book Antiqua" w:eastAsia="Book Antiqua" w:hAnsi="Book Antiqua" w:cs="Book Antiqua"/>
          <w:color w:val="000000"/>
        </w:rPr>
        <w:t xml:space="preserve">the </w:t>
      </w:r>
      <w:r>
        <w:rPr>
          <w:rFonts w:ascii="Book Antiqua" w:eastAsia="Book Antiqua" w:hAnsi="Book Antiqua" w:cs="Book Antiqua"/>
          <w:color w:val="000000"/>
        </w:rPr>
        <w:t>muscularis propria after EP were inc</w:t>
      </w:r>
      <w:r w:rsidR="00820E98">
        <w:rPr>
          <w:rFonts w:ascii="Book Antiqua" w:eastAsia="Book Antiqua" w:hAnsi="Book Antiqua" w:cs="Book Antiqua"/>
          <w:color w:val="000000"/>
        </w:rPr>
        <w:t>l</w:t>
      </w:r>
      <w:r>
        <w:rPr>
          <w:rFonts w:ascii="Book Antiqua" w:eastAsia="Book Antiqua" w:hAnsi="Book Antiqua" w:cs="Book Antiqua"/>
          <w:color w:val="000000"/>
        </w:rPr>
        <w:t xml:space="preserve">uded. Overlength biliary and pancreatic stents, modified by </w:t>
      </w:r>
      <w:r w:rsidR="0086061D">
        <w:rPr>
          <w:rFonts w:ascii="Book Antiqua" w:eastAsia="Book Antiqua" w:hAnsi="Book Antiqua" w:cs="Book Antiqua"/>
          <w:color w:val="000000"/>
        </w:rPr>
        <w:t xml:space="preserve">an </w:t>
      </w:r>
      <w:r>
        <w:rPr>
          <w:rFonts w:ascii="Book Antiqua" w:eastAsia="Book Antiqua" w:hAnsi="Book Antiqua" w:cs="Book Antiqua"/>
          <w:color w:val="000000"/>
        </w:rPr>
        <w:t>endoscopic nasobiliary drainage tube, were placed</w:t>
      </w:r>
      <w:r w:rsidR="0086061D">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 EP and stents placement were technically feasible in all patients. </w:t>
      </w:r>
      <w:r w:rsidR="0086061D">
        <w:rPr>
          <w:rFonts w:ascii="Book Antiqua" w:eastAsia="Book Antiqua" w:hAnsi="Book Antiqua" w:cs="Book Antiqua"/>
          <w:color w:val="000000"/>
        </w:rPr>
        <w:t>O</w:t>
      </w:r>
      <w:r>
        <w:rPr>
          <w:rFonts w:ascii="Book Antiqua" w:eastAsia="Book Antiqua" w:hAnsi="Book Antiqua" w:cs="Book Antiqua"/>
          <w:color w:val="000000"/>
        </w:rPr>
        <w:t xml:space="preserve">ne papillectomy-related complication (mild acute pancreatitis) occurred without any episodes of bleeding, perforation or cholangitis. Overlength biliary and pancreatic stents placement after EP is a feasible and useful technique to prevent delayed perforation. </w:t>
      </w:r>
    </w:p>
    <w:p w14:paraId="51D91054" w14:textId="26406373" w:rsidR="00A77B3E" w:rsidRDefault="00820E98">
      <w:pPr>
        <w:spacing w:line="360" w:lineRule="auto"/>
        <w:jc w:val="both"/>
      </w:pPr>
      <w:r>
        <w:rPr>
          <w:rFonts w:ascii="Book Antiqua" w:eastAsia="Book Antiqua" w:hAnsi="Book Antiqua" w:cs="Book Antiqua"/>
          <w:color w:val="000000"/>
        </w:rPr>
        <w:br w:type="page"/>
      </w:r>
      <w:r w:rsidR="00F3115B">
        <w:rPr>
          <w:rFonts w:ascii="Book Antiqua" w:eastAsia="Book Antiqua" w:hAnsi="Book Antiqua" w:cs="Book Antiqua"/>
          <w:b/>
          <w:caps/>
          <w:color w:val="000000"/>
          <w:u w:val="single"/>
        </w:rPr>
        <w:t>INTRODUCTION</w:t>
      </w:r>
    </w:p>
    <w:p w14:paraId="0F545963" w14:textId="61610C66" w:rsidR="00A77B3E" w:rsidRPr="00820E98" w:rsidRDefault="00F3115B" w:rsidP="00D93D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Tumors arising in the major duodenal papilla can potentially undergo the adenoma-carcinoma sequence, making complete removal mandatory for curative therapy</w:t>
      </w:r>
      <w:r>
        <w:rPr>
          <w:rFonts w:ascii="Book Antiqua" w:eastAsia="Book Antiqua" w:hAnsi="Book Antiqua" w:cs="Book Antiqua"/>
          <w:color w:val="000000"/>
          <w:vertAlign w:val="superscript"/>
        </w:rPr>
        <w:t>[1]</w:t>
      </w:r>
      <w:r>
        <w:rPr>
          <w:rFonts w:ascii="Book Antiqua" w:eastAsia="Book Antiqua" w:hAnsi="Book Antiqua" w:cs="Book Antiqua"/>
          <w:color w:val="000000"/>
        </w:rPr>
        <w:t>. Endoscopic papillectomy</w:t>
      </w:r>
      <w:r w:rsidR="00820E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(EP) is rapidly replacing classic surgical resection and is a less invasive procedure. However, the indications for endoscopic resection have not been fully established, and endoscopic procedures have not been standardized. The main criteria for EP include </w:t>
      </w:r>
      <w:r w:rsidR="0086061D">
        <w:rPr>
          <w:rFonts w:ascii="Book Antiqua" w:eastAsia="Book Antiqua" w:hAnsi="Book Antiqua" w:cs="Book Antiqua"/>
          <w:color w:val="000000"/>
        </w:rPr>
        <w:t>a</w:t>
      </w:r>
      <w:r>
        <w:rPr>
          <w:rFonts w:ascii="Book Antiqua" w:eastAsia="Book Antiqua" w:hAnsi="Book Antiqua" w:cs="Book Antiqua"/>
          <w:color w:val="000000"/>
        </w:rPr>
        <w:t xml:space="preserve"> lesion size less than 5 cm, absence of extension into the biliary or pancreatic duct, no invasion of the duodenal muscular layer and no evidence of malignancy in endoscopic findings, such as ulceration, spontaneous bleeding and friability</w:t>
      </w:r>
      <w:r>
        <w:rPr>
          <w:rFonts w:ascii="Book Antiqua" w:eastAsia="Book Antiqua" w:hAnsi="Book Antiqua" w:cs="Book Antiqua"/>
          <w:color w:val="000000"/>
          <w:vertAlign w:val="superscript"/>
        </w:rPr>
        <w:t>[2,3]</w:t>
      </w:r>
      <w:r>
        <w:rPr>
          <w:rFonts w:ascii="Book Antiqua" w:eastAsia="Book Antiqua" w:hAnsi="Book Antiqua" w:cs="Book Antiqua"/>
          <w:color w:val="000000"/>
        </w:rPr>
        <w:t>. However, with the application of techniques such as endoscopic piecemeal resection and balloon traction, as well as the popularization of the concept of “total biopsy”, more and more larger size, intraductal growth, suspected malignant and even early cancerous papillary lesions can be treated by EP</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31F5D500" w14:textId="31C6BA40" w:rsidR="00A77B3E" w:rsidRDefault="00F3115B" w:rsidP="00D93DE9">
      <w:pPr>
        <w:spacing w:line="360" w:lineRule="auto"/>
        <w:ind w:firstLineChars="100" w:firstLine="240"/>
        <w:jc w:val="both"/>
      </w:pPr>
      <w:r>
        <w:rPr>
          <w:rFonts w:ascii="Book Antiqua" w:eastAsia="Book Antiqua" w:hAnsi="Book Antiqua" w:cs="Book Antiqua"/>
          <w:color w:val="000000"/>
        </w:rPr>
        <w:t xml:space="preserve">With the expansion of indications, concerns </w:t>
      </w:r>
      <w:r w:rsidR="0086061D">
        <w:rPr>
          <w:rFonts w:ascii="Book Antiqua" w:eastAsia="Book Antiqua" w:hAnsi="Book Antiqua" w:cs="Book Antiqua"/>
          <w:color w:val="000000"/>
        </w:rPr>
        <w:t>regarding</w:t>
      </w:r>
      <w:r>
        <w:rPr>
          <w:rFonts w:ascii="Book Antiqua" w:eastAsia="Book Antiqua" w:hAnsi="Book Antiqua" w:cs="Book Antiqua"/>
          <w:color w:val="000000"/>
        </w:rPr>
        <w:t xml:space="preserve"> EP include not only technical difficulties, but also the risk of complications, especially delayed duodenal perforation. The duodenal wall is very thin, and the artificial ulcer after resection is exposed to bile and pancreatic juice, which are two important causes of delayed perforation</w:t>
      </w:r>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Although the application of an endoscopic nasobiliary drainage (ENBD) tube can achieve external drainage of bile, it is generally unable to drain pancreatic juice at the same time and may cause stress due to naso-pharyngeal discomfort; while the conventional plastic biliary and pancreatic stents cannot drain bile and pancreatic juice to a distance because of its limited length. These drainage methods cannot avoid the erosion of the artificial ulcer </w:t>
      </w:r>
      <w:r w:rsidR="00BB4797">
        <w:rPr>
          <w:rFonts w:ascii="Book Antiqua" w:eastAsia="Book Antiqua" w:hAnsi="Book Antiqua" w:cs="Book Antiqua"/>
          <w:color w:val="000000"/>
        </w:rPr>
        <w:t xml:space="preserve">by bile and/or pancreatic juice </w:t>
      </w:r>
      <w:r>
        <w:rPr>
          <w:rFonts w:ascii="Book Antiqua" w:eastAsia="Book Antiqua" w:hAnsi="Book Antiqua" w:cs="Book Antiqua"/>
          <w:color w:val="000000"/>
        </w:rPr>
        <w:t xml:space="preserve">after EP. Therefore, we modified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ENBD tubes into overlength biliary and pancreatic stents to drain bile and pancreatic juice to the proximal jejunum. The aim of the present study was to determine the feasibility and the safety of this method.</w:t>
      </w:r>
    </w:p>
    <w:p w14:paraId="3EF93705" w14:textId="77777777" w:rsidR="00A77B3E" w:rsidRDefault="00A77B3E" w:rsidP="00DE4853">
      <w:pPr>
        <w:spacing w:line="360" w:lineRule="auto"/>
        <w:jc w:val="both"/>
      </w:pPr>
    </w:p>
    <w:p w14:paraId="79C0825F" w14:textId="77777777" w:rsidR="00A77B3E" w:rsidRDefault="00F3115B">
      <w:pPr>
        <w:spacing w:line="360" w:lineRule="auto"/>
        <w:jc w:val="both"/>
      </w:pPr>
      <w:r>
        <w:rPr>
          <w:rFonts w:ascii="Book Antiqua" w:eastAsia="Book Antiqua" w:hAnsi="Book Antiqua" w:cs="Book Antiqua"/>
          <w:b/>
          <w:caps/>
          <w:color w:val="000000"/>
          <w:u w:val="single"/>
        </w:rPr>
        <w:t>MATERIALS AND METHODS</w:t>
      </w:r>
    </w:p>
    <w:p w14:paraId="69566242" w14:textId="03067D07" w:rsidR="00A77B3E" w:rsidRPr="00DE4853" w:rsidRDefault="00F3115B">
      <w:pPr>
        <w:spacing w:line="360" w:lineRule="auto"/>
        <w:jc w:val="both"/>
        <w:rPr>
          <w:b/>
          <w:bCs/>
          <w:i/>
          <w:iCs/>
        </w:rPr>
      </w:pPr>
      <w:r w:rsidRPr="00DE4853">
        <w:rPr>
          <w:rFonts w:ascii="Book Antiqua" w:eastAsia="Book Antiqua" w:hAnsi="Book Antiqua" w:cs="Book Antiqua"/>
          <w:b/>
          <w:bCs/>
          <w:i/>
          <w:iCs/>
          <w:color w:val="000000"/>
        </w:rPr>
        <w:t>Patients</w:t>
      </w:r>
    </w:p>
    <w:p w14:paraId="32045F9C" w14:textId="0EB84E11" w:rsidR="00A77B3E" w:rsidRDefault="00F3115B" w:rsidP="00DE4853">
      <w:pPr>
        <w:spacing w:line="360" w:lineRule="auto"/>
        <w:jc w:val="both"/>
      </w:pPr>
      <w:r>
        <w:rPr>
          <w:rFonts w:ascii="Book Antiqua" w:eastAsia="Book Antiqua" w:hAnsi="Book Antiqua" w:cs="Book Antiqua"/>
          <w:color w:val="000000"/>
        </w:rPr>
        <w:t xml:space="preserve">Between February 2019 and December 2019, a total of twenty patients with major duodenal papilla lesions were admitted to The Third Department of Gastroenterology and Hepatology, </w:t>
      </w:r>
      <w:r w:rsidR="009529FB">
        <w:rPr>
          <w:rFonts w:ascii="Book Antiqua" w:eastAsia="Book Antiqua" w:hAnsi="Book Antiqua" w:cs="Book Antiqua"/>
          <w:color w:val="000000"/>
        </w:rPr>
        <w:t>T</w:t>
      </w:r>
      <w:r>
        <w:rPr>
          <w:rFonts w:ascii="Book Antiqua" w:eastAsia="Book Antiqua" w:hAnsi="Book Antiqua" w:cs="Book Antiqua"/>
          <w:color w:val="000000"/>
        </w:rPr>
        <w:t xml:space="preserve">he First Medical Center of Chinese PLA General Hospital. Prior to EP, the platelet count, prothrombin time, and partial thromboplastin time were measured to confirm the absence of a tendency toward bleeding. </w:t>
      </w:r>
      <w:r w:rsidR="00BB4797">
        <w:rPr>
          <w:rFonts w:ascii="Book Antiqua" w:eastAsia="Book Antiqua" w:hAnsi="Book Antiqua" w:cs="Book Antiqua"/>
          <w:color w:val="000000"/>
        </w:rPr>
        <w:t>A c</w:t>
      </w:r>
      <w:r>
        <w:rPr>
          <w:rFonts w:ascii="Book Antiqua" w:eastAsia="Book Antiqua" w:hAnsi="Book Antiqua" w:cs="Book Antiqua"/>
          <w:color w:val="000000"/>
        </w:rPr>
        <w:t xml:space="preserve">omputed tomography (CT) scan or magnetic resonance imaging (MRI) of the abdomen was </w:t>
      </w:r>
      <w:r w:rsidR="00BB4797">
        <w:rPr>
          <w:rFonts w:ascii="Book Antiqua" w:eastAsia="Book Antiqua" w:hAnsi="Book Antiqua" w:cs="Book Antiqua"/>
          <w:color w:val="000000"/>
        </w:rPr>
        <w:t>performed</w:t>
      </w:r>
      <w:r>
        <w:rPr>
          <w:rFonts w:ascii="Book Antiqua" w:eastAsia="Book Antiqua" w:hAnsi="Book Antiqua" w:cs="Book Antiqua"/>
          <w:color w:val="000000"/>
        </w:rPr>
        <w:t xml:space="preserve"> to determine whether there was local spread or distant metastasis, and magnetic resonance cholangiopancreatogra</w:t>
      </w:r>
      <w:r w:rsidR="00BB4797">
        <w:rPr>
          <w:rFonts w:ascii="Book Antiqua" w:eastAsia="Book Antiqua" w:hAnsi="Book Antiqua" w:cs="Book Antiqua"/>
          <w:color w:val="000000"/>
        </w:rPr>
        <w:t>phy</w:t>
      </w:r>
      <w:r>
        <w:rPr>
          <w:rFonts w:ascii="Book Antiqua" w:eastAsia="Book Antiqua" w:hAnsi="Book Antiqua" w:cs="Book Antiqua"/>
          <w:color w:val="000000"/>
        </w:rPr>
        <w:t xml:space="preserve"> (MRCP), endoscopic ultrasonography (EUS) and/or intraductal ultrasonography (IDUS) were performed </w:t>
      </w:r>
      <w:r w:rsidR="00BB4797">
        <w:rPr>
          <w:rFonts w:ascii="Book Antiqua" w:eastAsia="Book Antiqua" w:hAnsi="Book Antiqua" w:cs="Book Antiqua"/>
          <w:color w:val="000000"/>
        </w:rPr>
        <w:t>to</w:t>
      </w:r>
      <w:r>
        <w:rPr>
          <w:rFonts w:ascii="Book Antiqua" w:eastAsia="Book Antiqua" w:hAnsi="Book Antiqua" w:cs="Book Antiqua"/>
          <w:color w:val="000000"/>
        </w:rPr>
        <w:t xml:space="preserve"> evaluat</w:t>
      </w:r>
      <w:r w:rsidR="00BB4797">
        <w:rPr>
          <w:rFonts w:ascii="Book Antiqua" w:eastAsia="Book Antiqua" w:hAnsi="Book Antiqua" w:cs="Book Antiqua"/>
          <w:color w:val="000000"/>
        </w:rPr>
        <w:t>e</w:t>
      </w:r>
      <w:r>
        <w:rPr>
          <w:rFonts w:ascii="Book Antiqua" w:eastAsia="Book Antiqua" w:hAnsi="Book Antiqua" w:cs="Book Antiqua"/>
          <w:color w:val="000000"/>
        </w:rPr>
        <w:t xml:space="preserve"> the anatomy of the pancreatic duct and intraductal extension of the tumor. Endoscopic biopsy was used to evaluate the histopathology of papillary lesions.</w:t>
      </w:r>
    </w:p>
    <w:p w14:paraId="6CD4B125" w14:textId="4F979580" w:rsidR="00A77B3E" w:rsidRDefault="00F3115B" w:rsidP="00DE4853">
      <w:pPr>
        <w:spacing w:line="360" w:lineRule="auto"/>
        <w:ind w:firstLineChars="100" w:firstLine="240"/>
        <w:jc w:val="both"/>
      </w:pPr>
      <w:r>
        <w:rPr>
          <w:rFonts w:ascii="Book Antiqua" w:eastAsia="Book Antiqua" w:hAnsi="Book Antiqua" w:cs="Book Antiqua"/>
          <w:color w:val="000000"/>
        </w:rPr>
        <w:t xml:space="preserve">Indications for EP were as follows: </w:t>
      </w:r>
      <w:r w:rsidR="003F2668">
        <w:rPr>
          <w:rFonts w:ascii="Book Antiqua" w:eastAsia="Book Antiqua" w:hAnsi="Book Antiqua" w:cs="Book Antiqua"/>
          <w:color w:val="000000"/>
        </w:rPr>
        <w:t>L</w:t>
      </w:r>
      <w:r>
        <w:rPr>
          <w:rFonts w:ascii="Book Antiqua" w:eastAsia="Book Antiqua" w:hAnsi="Book Antiqua" w:cs="Book Antiqua"/>
          <w:color w:val="000000"/>
        </w:rPr>
        <w:t xml:space="preserve">esions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duodenal major papilla (regardless of size and laterally spreading component) without muscularis propria invasion, with less than 1 cm intraductal growth and no evidence of invasive malignancy on endoscopic assessment (</w:t>
      </w:r>
      <w:r w:rsidRPr="00DE4853">
        <w:rPr>
          <w:rFonts w:ascii="Book Antiqua" w:eastAsia="Book Antiqua" w:hAnsi="Book Antiqua" w:cs="Book Antiqua"/>
          <w:i/>
          <w:iCs/>
          <w:color w:val="000000"/>
        </w:rPr>
        <w:t>i.e.</w:t>
      </w:r>
      <w:r>
        <w:rPr>
          <w:rFonts w:ascii="Book Antiqua" w:eastAsia="Book Antiqua" w:hAnsi="Book Antiqua" w:cs="Book Antiqua"/>
          <w:color w:val="000000"/>
        </w:rPr>
        <w:t>, ulceration, spontaneous bleeding, hard consistency and friability)</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After EP, patients with exposure or injury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were included for overlength biliary and pancreatic stents placement. </w:t>
      </w:r>
      <w:r w:rsidR="00BB4797">
        <w:rPr>
          <w:rFonts w:ascii="Book Antiqua" w:eastAsia="Book Antiqua" w:hAnsi="Book Antiqua" w:cs="Book Antiqua"/>
          <w:color w:val="000000"/>
        </w:rPr>
        <w:t>E</w:t>
      </w:r>
      <w:r>
        <w:rPr>
          <w:rFonts w:ascii="Book Antiqua" w:eastAsia="Book Antiqua" w:hAnsi="Book Antiqua" w:cs="Book Antiqua"/>
          <w:color w:val="000000"/>
        </w:rPr>
        <w:t xml:space="preserve">xposure or injury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muscularis propria after EP was defined as obvious exposure or even damage of muscle fibrous tissue found in the wound on endoscopic assessment.</w:t>
      </w:r>
    </w:p>
    <w:p w14:paraId="369CD19A" w14:textId="6C4D9EDF" w:rsidR="00A77B3E" w:rsidRDefault="00BB4797" w:rsidP="00DE485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Of</w:t>
      </w:r>
      <w:r w:rsidR="00F3115B">
        <w:rPr>
          <w:rFonts w:ascii="Book Antiqua" w:eastAsia="Book Antiqua" w:hAnsi="Book Antiqua" w:cs="Book Antiqua"/>
          <w:color w:val="000000"/>
        </w:rPr>
        <w:t xml:space="preserve"> the twenty patients, five </w:t>
      </w:r>
      <w:r>
        <w:rPr>
          <w:rFonts w:ascii="Book Antiqua" w:eastAsia="Book Antiqua" w:hAnsi="Book Antiqua" w:cs="Book Antiqua"/>
          <w:color w:val="000000"/>
        </w:rPr>
        <w:t>had</w:t>
      </w:r>
      <w:r w:rsidR="00F3115B">
        <w:rPr>
          <w:rFonts w:ascii="Book Antiqua" w:eastAsia="Book Antiqua" w:hAnsi="Book Antiqua" w:cs="Book Antiqua"/>
          <w:color w:val="000000"/>
        </w:rPr>
        <w:t xml:space="preserve"> advanced duodenal papillary carcinoma </w:t>
      </w:r>
      <w:r>
        <w:rPr>
          <w:rFonts w:ascii="Book Antiqua" w:eastAsia="Book Antiqua" w:hAnsi="Book Antiqua" w:cs="Book Antiqua"/>
          <w:color w:val="000000"/>
        </w:rPr>
        <w:t>and</w:t>
      </w:r>
      <w:r w:rsidR="00F3115B">
        <w:rPr>
          <w:rFonts w:ascii="Book Antiqua" w:eastAsia="Book Antiqua" w:hAnsi="Book Antiqua" w:cs="Book Antiqua"/>
          <w:color w:val="000000"/>
        </w:rPr>
        <w:t xml:space="preserve"> were unsuitable for endoscopic resection, and ten cases (Supplementary Figure 1) had no obvious exposure or injury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 xml:space="preserve">muscularis propria after EP (then designated </w:t>
      </w:r>
      <w:r>
        <w:rPr>
          <w:rFonts w:ascii="Book Antiqua" w:eastAsia="Book Antiqua" w:hAnsi="Book Antiqua" w:cs="Book Antiqua"/>
          <w:color w:val="000000"/>
        </w:rPr>
        <w:t>for</w:t>
      </w:r>
      <w:r w:rsidR="00F3115B">
        <w:rPr>
          <w:rFonts w:ascii="Book Antiqua" w:eastAsia="Book Antiqua" w:hAnsi="Book Antiqua" w:cs="Book Antiqua"/>
          <w:color w:val="000000"/>
        </w:rPr>
        <w:t xml:space="preserve"> conventional plastic biliary and/or pancreatic stents</w:t>
      </w:r>
      <w:r>
        <w:rPr>
          <w:rFonts w:ascii="Book Antiqua" w:eastAsia="Book Antiqua" w:hAnsi="Book Antiqua" w:cs="Book Antiqua"/>
          <w:color w:val="000000"/>
        </w:rPr>
        <w:t xml:space="preserve"> placement</w:t>
      </w:r>
      <w:r w:rsidR="00F3115B">
        <w:rPr>
          <w:rFonts w:ascii="Book Antiqua" w:eastAsia="Book Antiqua" w:hAnsi="Book Antiqua" w:cs="Book Antiqua"/>
          <w:color w:val="000000"/>
        </w:rPr>
        <w:t xml:space="preserve">), were excluded. Finally, only five patients (Supplementary Figure 2) with exposure or injury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 xml:space="preserve">muscularis propria after EP were selected for overlength biliary and pancreatic stents placement. All patients gave informed consent </w:t>
      </w:r>
      <w:r>
        <w:rPr>
          <w:rFonts w:ascii="Book Antiqua" w:eastAsia="Book Antiqua" w:hAnsi="Book Antiqua" w:cs="Book Antiqua"/>
          <w:color w:val="000000"/>
        </w:rPr>
        <w:t>r</w:t>
      </w:r>
      <w:r w:rsidR="00F3115B">
        <w:rPr>
          <w:rFonts w:ascii="Book Antiqua" w:eastAsia="Book Antiqua" w:hAnsi="Book Antiqua" w:cs="Book Antiqua"/>
          <w:color w:val="000000"/>
        </w:rPr>
        <w:t xml:space="preserve">to the procedure and were aware of the option of surgical treatment. The study was approved by the institutional review board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Chinese PLA General Hospital.</w:t>
      </w:r>
    </w:p>
    <w:p w14:paraId="6AD07C81" w14:textId="77777777" w:rsidR="00DE4853" w:rsidRDefault="00DE4853" w:rsidP="00DE4853">
      <w:pPr>
        <w:spacing w:line="360" w:lineRule="auto"/>
        <w:jc w:val="both"/>
      </w:pPr>
    </w:p>
    <w:p w14:paraId="3921CFD8" w14:textId="77777777" w:rsidR="00A77B3E" w:rsidRPr="00DE4853" w:rsidRDefault="00F3115B">
      <w:pPr>
        <w:spacing w:line="360" w:lineRule="auto"/>
        <w:jc w:val="both"/>
        <w:rPr>
          <w:b/>
          <w:bCs/>
          <w:i/>
          <w:iCs/>
        </w:rPr>
      </w:pPr>
      <w:r w:rsidRPr="00DE4853">
        <w:rPr>
          <w:rFonts w:ascii="Book Antiqua" w:eastAsia="Book Antiqua" w:hAnsi="Book Antiqua" w:cs="Book Antiqua"/>
          <w:b/>
          <w:bCs/>
          <w:i/>
          <w:iCs/>
          <w:color w:val="000000"/>
        </w:rPr>
        <w:t>Methods</w:t>
      </w:r>
    </w:p>
    <w:p w14:paraId="612F7592" w14:textId="7FF357D8" w:rsidR="00A77B3E" w:rsidRDefault="00F3115B" w:rsidP="00DE4853">
      <w:pPr>
        <w:spacing w:line="360" w:lineRule="auto"/>
        <w:jc w:val="both"/>
      </w:pPr>
      <w:r>
        <w:rPr>
          <w:rFonts w:ascii="Book Antiqua" w:eastAsia="Book Antiqua" w:hAnsi="Book Antiqua" w:cs="Book Antiqua"/>
          <w:color w:val="000000"/>
        </w:rPr>
        <w:t>E</w:t>
      </w:r>
      <w:r w:rsidR="00820E98">
        <w:rPr>
          <w:rFonts w:ascii="Book Antiqua" w:eastAsia="Book Antiqua" w:hAnsi="Book Antiqua" w:cs="Book Antiqua"/>
          <w:color w:val="000000"/>
        </w:rPr>
        <w:t>P</w:t>
      </w:r>
      <w:r>
        <w:rPr>
          <w:rFonts w:ascii="Book Antiqua" w:eastAsia="Book Antiqua" w:hAnsi="Book Antiqua" w:cs="Book Antiqua"/>
          <w:color w:val="000000"/>
        </w:rPr>
        <w:t xml:space="preserve"> was performed by Dr. Li</w:t>
      </w:r>
      <w:r w:rsidR="003F2668">
        <w:rPr>
          <w:rFonts w:ascii="Book Antiqua" w:eastAsia="Book Antiqua" w:hAnsi="Book Antiqua" w:cs="Book Antiqua"/>
          <w:color w:val="000000"/>
        </w:rPr>
        <w:t xml:space="preserve"> W</w:t>
      </w:r>
      <w:r>
        <w:rPr>
          <w:rFonts w:ascii="Book Antiqua" w:eastAsia="Book Antiqua" w:hAnsi="Book Antiqua" w:cs="Book Antiqua"/>
          <w:color w:val="000000"/>
        </w:rPr>
        <w:t>, who ha</w:t>
      </w:r>
      <w:r w:rsidR="00BB4797">
        <w:rPr>
          <w:rFonts w:ascii="Book Antiqua" w:eastAsia="Book Antiqua" w:hAnsi="Book Antiqua" w:cs="Book Antiqua"/>
          <w:color w:val="000000"/>
        </w:rPr>
        <w:t>s</w:t>
      </w:r>
      <w:r>
        <w:rPr>
          <w:rFonts w:ascii="Book Antiqua" w:eastAsia="Book Antiqua" w:hAnsi="Book Antiqua" w:cs="Book Antiqua"/>
          <w:color w:val="000000"/>
        </w:rPr>
        <w:t xml:space="preserve"> more than twenty years of experience in interventional endoscopy. The procedure was detailed in our previous report</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BB4797">
        <w:rPr>
          <w:rFonts w:ascii="Book Antiqua" w:eastAsia="Book Antiqua" w:hAnsi="Book Antiqua" w:cs="Book Antiqua"/>
          <w:color w:val="000000"/>
        </w:rPr>
        <w:t>B</w:t>
      </w:r>
      <w:r>
        <w:rPr>
          <w:rFonts w:ascii="Book Antiqua" w:eastAsia="Book Antiqua" w:hAnsi="Book Antiqua" w:cs="Book Antiqua"/>
          <w:color w:val="000000"/>
        </w:rPr>
        <w:t xml:space="preserve">riefly,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patients were placed in the prone position, intravenously sedated with midazolam and/or propofol, and monitored by puls</w:t>
      </w:r>
      <w:r w:rsidR="00BB4797">
        <w:rPr>
          <w:rFonts w:ascii="Book Antiqua" w:eastAsia="Book Antiqua" w:hAnsi="Book Antiqua" w:cs="Book Antiqua"/>
          <w:color w:val="000000"/>
        </w:rPr>
        <w:t xml:space="preserve">e </w:t>
      </w:r>
      <w:r>
        <w:rPr>
          <w:rFonts w:ascii="Book Antiqua" w:eastAsia="Book Antiqua" w:hAnsi="Book Antiqua" w:cs="Book Antiqua"/>
          <w:color w:val="000000"/>
        </w:rPr>
        <w:t>ox</w:t>
      </w:r>
      <w:r w:rsidR="00BB4797">
        <w:rPr>
          <w:rFonts w:ascii="Book Antiqua" w:eastAsia="Book Antiqua" w:hAnsi="Book Antiqua" w:cs="Book Antiqua"/>
          <w:color w:val="000000"/>
        </w:rPr>
        <w:t>i</w:t>
      </w:r>
      <w:r>
        <w:rPr>
          <w:rFonts w:ascii="Book Antiqua" w:eastAsia="Book Antiqua" w:hAnsi="Book Antiqua" w:cs="Book Antiqua"/>
          <w:color w:val="000000"/>
        </w:rPr>
        <w:t>metry. Prophylactic antibiotics were given to all patients, and all papillectomies were performed with patients under intravenous anesthesia. The duodenoscope (TJF-240/TJF-260V; Olympus, Tokyo, Japan) was advanced to the descending portion of the duodenum, and the morphology of the duodenal papilla was carefully</w:t>
      </w:r>
      <w:r w:rsidR="00BB4797" w:rsidRPr="00BB4797">
        <w:rPr>
          <w:rFonts w:ascii="Book Antiqua" w:eastAsia="Book Antiqua" w:hAnsi="Book Antiqua" w:cs="Book Antiqua"/>
          <w:color w:val="000000"/>
        </w:rPr>
        <w:t xml:space="preserve"> </w:t>
      </w:r>
      <w:r w:rsidR="00BB4797">
        <w:rPr>
          <w:rFonts w:ascii="Book Antiqua" w:eastAsia="Book Antiqua" w:hAnsi="Book Antiqua" w:cs="Book Antiqua"/>
          <w:color w:val="000000"/>
        </w:rPr>
        <w:t>inspected</w:t>
      </w:r>
      <w:r>
        <w:rPr>
          <w:rFonts w:ascii="Book Antiqua" w:eastAsia="Book Antiqua" w:hAnsi="Book Antiqua" w:cs="Book Antiqua"/>
          <w:color w:val="000000"/>
        </w:rPr>
        <w:t xml:space="preserve">. Before resection, submucosal injection was not generally performed, except in lesions involving the duodenal wall. A snare device (SD-7P-1/SD-221L-25; Olympus, Tokyo, Japan) was inserted </w:t>
      </w:r>
      <w:r w:rsidRPr="00126A5E">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biopsy port, and then, the endoscopist adjusted the snare to grasp the lesion, which was then excised using standard electrocautery (Figure 1A and C). In order to achieve radical resection, we expanded the depth and breadth of resection in EP. Lesions that could not be resected </w:t>
      </w:r>
      <w:r w:rsidRPr="00397C13">
        <w:rPr>
          <w:rFonts w:ascii="Book Antiqua" w:eastAsia="Book Antiqua" w:hAnsi="Book Antiqua" w:cs="Book Antiqua"/>
          <w:i/>
          <w:iCs/>
          <w:color w:val="000000"/>
        </w:rPr>
        <w:t>en bloc</w:t>
      </w:r>
      <w:r>
        <w:rPr>
          <w:rFonts w:ascii="Book Antiqua" w:eastAsia="Book Antiqua" w:hAnsi="Book Antiqua" w:cs="Book Antiqua"/>
          <w:color w:val="000000"/>
        </w:rPr>
        <w:t xml:space="preserve"> were resected in a piecemeal fashion, and any suspicious residual tissue after resection was removed by argon plasma coagulation or a polypectomy multipolar probe. When a large mucosal defect (length ≥ 2 cm) was </w:t>
      </w:r>
      <w:r w:rsidR="008108E8">
        <w:rPr>
          <w:rFonts w:ascii="Book Antiqua" w:eastAsia="Book Antiqua" w:hAnsi="Book Antiqua" w:cs="Book Antiqua"/>
          <w:color w:val="000000"/>
        </w:rPr>
        <w:t>noted</w:t>
      </w:r>
      <w:r>
        <w:rPr>
          <w:rFonts w:ascii="Book Antiqua" w:eastAsia="Book Antiqua" w:hAnsi="Book Antiqua" w:cs="Book Antiqua"/>
          <w:color w:val="000000"/>
        </w:rPr>
        <w:t xml:space="preserve"> after EP, endoscopic closure was performed at the anal side of cutting using endoscopic hemoclips. A basket or grasper was used to extract the resected specimens. All resected specimens were immediately retrieved and submitted for histological analysis by serial sectioning.</w:t>
      </w:r>
    </w:p>
    <w:p w14:paraId="74BE55A7" w14:textId="0859FDA6"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After EP, </w:t>
      </w:r>
      <w:r w:rsidR="008108E8">
        <w:rPr>
          <w:rFonts w:ascii="Book Antiqua" w:eastAsia="Book Antiqua" w:hAnsi="Book Antiqua" w:cs="Book Antiqua"/>
          <w:color w:val="000000"/>
        </w:rPr>
        <w:t>in all</w:t>
      </w:r>
      <w:r>
        <w:rPr>
          <w:rFonts w:ascii="Book Antiqua" w:eastAsia="Book Antiqua" w:hAnsi="Book Antiqua" w:cs="Book Antiqua"/>
          <w:color w:val="000000"/>
        </w:rPr>
        <w:t xml:space="preserve"> five patients with exposure or injury of </w:t>
      </w:r>
      <w:r w:rsidR="008108E8">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 7-Fr overlength biliary stent and a 7-Fr overlength pancreatic stent, modified by ENBD tubes (ENBD-7-NAG-C; COOK, Ireland), were placed in the common bile duct and in the pancreatic duct. The overlength bile duct or pancreatic duct stent was </w:t>
      </w:r>
      <w:r w:rsidR="008108E8">
        <w:rPr>
          <w:rFonts w:ascii="Book Antiqua" w:eastAsia="Book Antiqua" w:hAnsi="Book Antiqua" w:cs="Book Antiqua"/>
          <w:color w:val="000000"/>
        </w:rPr>
        <w:t>divided into</w:t>
      </w:r>
      <w:r>
        <w:rPr>
          <w:rFonts w:ascii="Book Antiqua" w:eastAsia="Book Antiqua" w:hAnsi="Book Antiqua" w:cs="Book Antiqua"/>
          <w:color w:val="000000"/>
        </w:rPr>
        <w:t xml:space="preserve"> two parts: </w:t>
      </w:r>
      <w:r w:rsidR="003F2668">
        <w:rPr>
          <w:rFonts w:ascii="Book Antiqua" w:eastAsia="Book Antiqua" w:hAnsi="Book Antiqua" w:cs="Book Antiqua"/>
          <w:color w:val="000000"/>
        </w:rPr>
        <w:t>T</w:t>
      </w:r>
      <w:r>
        <w:rPr>
          <w:rFonts w:ascii="Book Antiqua" w:eastAsia="Book Antiqua" w:hAnsi="Book Antiqua" w:cs="Book Antiqua"/>
          <w:color w:val="000000"/>
        </w:rPr>
        <w:t>he duct segment and the intestinal segment, in which the length of the duct segment was the measured length of the common bile duct or the main pancreatic duct, while the intestinal segment length was extended by about 20 cm on the basis of the length of the duct segment to ensure that the distal end of the stent reach</w:t>
      </w:r>
      <w:r w:rsidR="008108E8">
        <w:rPr>
          <w:rFonts w:ascii="Book Antiqua" w:eastAsia="Book Antiqua" w:hAnsi="Book Antiqua" w:cs="Book Antiqua"/>
          <w:color w:val="000000"/>
        </w:rPr>
        <w:t>ed</w:t>
      </w:r>
      <w:r>
        <w:rPr>
          <w:rFonts w:ascii="Book Antiqua" w:eastAsia="Book Antiqua" w:hAnsi="Book Antiqua" w:cs="Book Antiqua"/>
          <w:color w:val="000000"/>
        </w:rPr>
        <w:t xml:space="preserve"> the jejunum (Figure 1D and E). The biliary </w:t>
      </w:r>
      <w:r w:rsidR="00AD52BE">
        <w:rPr>
          <w:rFonts w:ascii="Book Antiqua" w:eastAsia="Book Antiqua" w:hAnsi="Book Antiqua" w:cs="Book Antiqua"/>
          <w:color w:val="000000"/>
        </w:rPr>
        <w:t xml:space="preserve">and pancreatic </w:t>
      </w:r>
      <w:r>
        <w:rPr>
          <w:rFonts w:ascii="Book Antiqua" w:eastAsia="Book Antiqua" w:hAnsi="Book Antiqua" w:cs="Book Antiqua"/>
          <w:color w:val="000000"/>
        </w:rPr>
        <w:t>stent</w:t>
      </w:r>
      <w:r w:rsidR="00AD52BE">
        <w:rPr>
          <w:rFonts w:ascii="Book Antiqua" w:eastAsia="Book Antiqua" w:hAnsi="Book Antiqua" w:cs="Book Antiqua"/>
          <w:color w:val="000000"/>
        </w:rPr>
        <w:t>s</w:t>
      </w:r>
      <w:r>
        <w:rPr>
          <w:rFonts w:ascii="Book Antiqua" w:eastAsia="Book Antiqua" w:hAnsi="Book Antiqua" w:cs="Book Antiqua"/>
          <w:color w:val="000000"/>
        </w:rPr>
        <w:t xml:space="preserve"> </w:t>
      </w:r>
      <w:r w:rsidR="008108E8">
        <w:rPr>
          <w:rFonts w:ascii="Book Antiqua" w:eastAsia="Book Antiqua" w:hAnsi="Book Antiqua" w:cs="Book Antiqua"/>
          <w:color w:val="000000"/>
        </w:rPr>
        <w:t>w</w:t>
      </w:r>
      <w:r w:rsidR="00AD52BE">
        <w:rPr>
          <w:rFonts w:ascii="Book Antiqua" w:eastAsia="Book Antiqua" w:hAnsi="Book Antiqua" w:cs="Book Antiqua"/>
          <w:color w:val="000000"/>
        </w:rPr>
        <w:t>ere</w:t>
      </w:r>
      <w:r>
        <w:rPr>
          <w:rFonts w:ascii="Book Antiqua" w:eastAsia="Book Antiqua" w:hAnsi="Book Antiqua" w:cs="Book Antiqua"/>
          <w:color w:val="000000"/>
        </w:rPr>
        <w:t xml:space="preserve"> typically removed during the first follow-up visit at three months.</w:t>
      </w:r>
    </w:p>
    <w:p w14:paraId="44E8CBEC" w14:textId="5D7AFACF"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Complications were divided into early (acute pancreatitis, bleeding, and perforation) and late (post-EP stenosis) </w:t>
      </w:r>
      <w:r w:rsidR="008108E8">
        <w:rPr>
          <w:rFonts w:ascii="Book Antiqua" w:eastAsia="Book Antiqua" w:hAnsi="Book Antiqua" w:cs="Book Antiqua"/>
          <w:color w:val="000000"/>
        </w:rPr>
        <w:t>complications</w:t>
      </w:r>
      <w:r>
        <w:rPr>
          <w:rFonts w:ascii="Book Antiqua" w:eastAsia="Book Antiqua" w:hAnsi="Book Antiqua" w:cs="Book Antiqua"/>
          <w:color w:val="000000"/>
        </w:rPr>
        <w:t xml:space="preserve">. Any bleeding during the procedure was immediately </w:t>
      </w:r>
      <w:r w:rsidR="008108E8">
        <w:rPr>
          <w:rFonts w:ascii="Book Antiqua" w:eastAsia="Book Antiqua" w:hAnsi="Book Antiqua" w:cs="Book Antiqua"/>
          <w:color w:val="000000"/>
        </w:rPr>
        <w:t xml:space="preserve">controlled </w:t>
      </w:r>
      <w:r>
        <w:rPr>
          <w:rFonts w:ascii="Book Antiqua" w:eastAsia="Book Antiqua" w:hAnsi="Book Antiqua" w:cs="Book Antiqua"/>
          <w:color w:val="000000"/>
        </w:rPr>
        <w:t xml:space="preserve">with </w:t>
      </w:r>
      <w:r w:rsidR="008108E8">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injection of 1:10000 epinephrine, hot-biopsy forceps (Coagrasper; Olympus) and/or hemoclips (Olympus), and was not considered a bleeding complication. Only clinically evident bleeding such as hematemesis or hematochezia with a progressive decrease in hemoglobin that occurred after completion of </w:t>
      </w:r>
      <w:r w:rsidR="008108E8">
        <w:rPr>
          <w:rFonts w:ascii="Book Antiqua" w:eastAsia="Book Antiqua" w:hAnsi="Book Antiqua" w:cs="Book Antiqua"/>
          <w:color w:val="000000"/>
        </w:rPr>
        <w:t xml:space="preserve">the </w:t>
      </w:r>
      <w:r>
        <w:rPr>
          <w:rFonts w:ascii="Book Antiqua" w:eastAsia="Book Antiqua" w:hAnsi="Book Antiqua" w:cs="Book Antiqua"/>
          <w:color w:val="000000"/>
        </w:rPr>
        <w:t>procedure was regarded as a complication. Post-EP pancreatitis was defined as a threefold increase in pancreatic enzymes with abdominal pain</w:t>
      </w:r>
      <w:r>
        <w:rPr>
          <w:rFonts w:ascii="Book Antiqua" w:eastAsia="Book Antiqua" w:hAnsi="Book Antiqua" w:cs="Book Antiqua"/>
          <w:color w:val="000000"/>
          <w:vertAlign w:val="superscript"/>
        </w:rPr>
        <w:t>[11]</w:t>
      </w:r>
      <w:r>
        <w:rPr>
          <w:rFonts w:ascii="Book Antiqua" w:eastAsia="Book Antiqua" w:hAnsi="Book Antiqua" w:cs="Book Antiqua"/>
          <w:color w:val="000000"/>
        </w:rPr>
        <w:t>. Upper abdominal CT scan was routinely performed in all cases after EP. Delayed perforation was defined as the presence of a transmural defect by emergency gastroscopy or radiographic evidence of free retroperitoneal or intraperitoneal air by CT scan.</w:t>
      </w:r>
    </w:p>
    <w:p w14:paraId="31E3F813" w14:textId="37B38AB4"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The definitions of complete resection, endoscopic success, and recurrence were described </w:t>
      </w:r>
      <w:r w:rsidR="008108E8">
        <w:rPr>
          <w:rFonts w:ascii="Book Antiqua" w:eastAsia="Book Antiqua" w:hAnsi="Book Antiqua" w:cs="Book Antiqua"/>
          <w:color w:val="000000"/>
        </w:rPr>
        <w:t xml:space="preserve">in </w:t>
      </w:r>
      <w:r>
        <w:rPr>
          <w:rFonts w:ascii="Book Antiqua" w:eastAsia="Book Antiqua" w:hAnsi="Book Antiqua" w:cs="Book Antiqua"/>
          <w:color w:val="000000"/>
        </w:rPr>
        <w:t>our previous study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126A5E">
        <w:rPr>
          <w:rFonts w:ascii="Book Antiqua" w:eastAsia="Book Antiqua" w:hAnsi="Book Antiqua" w:cs="Book Antiqua"/>
          <w:color w:val="000000"/>
        </w:rPr>
        <w:t>C</w:t>
      </w:r>
      <w:r>
        <w:rPr>
          <w:rFonts w:ascii="Book Antiqua" w:eastAsia="Book Antiqua" w:hAnsi="Book Antiqua" w:cs="Book Antiqua"/>
          <w:color w:val="000000"/>
        </w:rPr>
        <w:t>omplete resection of ampullary adenomas was confirmed when no residual tissue was found at the 3-mo follow</w:t>
      </w:r>
      <w:r w:rsidR="00126A5E">
        <w:rPr>
          <w:rFonts w:ascii="Book Antiqua" w:eastAsia="Book Antiqua" w:hAnsi="Book Antiqua" w:cs="Book Antiqua"/>
          <w:color w:val="000000"/>
        </w:rPr>
        <w:t>-</w:t>
      </w:r>
      <w:r>
        <w:rPr>
          <w:rFonts w:ascii="Book Antiqua" w:eastAsia="Book Antiqua" w:hAnsi="Book Antiqua" w:cs="Book Antiqua"/>
          <w:color w:val="000000"/>
        </w:rPr>
        <w:t xml:space="preserve">up endoscopy and endoscopic forceps biopsy; endoscopic success was defined as complete resection of the lesion without residual tumor tissue and when no recurrence was evident at the 6-mo follow-up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recurrence was defined as discovery of a lesion after the most recent negative surveillance endoscopy or endoscopic biopsy. The need for surgical resection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was regarded as endoscopic failure.</w:t>
      </w:r>
    </w:p>
    <w:p w14:paraId="11B0B47E" w14:textId="55A7B965" w:rsidR="00A77B3E" w:rsidRDefault="00F3115B" w:rsidP="00126A5E">
      <w:pPr>
        <w:spacing w:line="360" w:lineRule="auto"/>
        <w:ind w:firstLineChars="100" w:firstLine="240"/>
        <w:jc w:val="both"/>
      </w:pPr>
      <w:r>
        <w:rPr>
          <w:rFonts w:ascii="Book Antiqua" w:eastAsia="Book Antiqua" w:hAnsi="Book Antiqua" w:cs="Book Antiqua"/>
          <w:color w:val="000000"/>
        </w:rPr>
        <w:t>Follow-up endoscopy with biopsy was then performed after 3 and 6 mo. If the biopsy results showed no tumor remnants or the absence of possible recurrence, annual endoscopic follow-up examinations were recommended. Successful resection of the tumor, successful stent placement, operative time, early complications, late complications and tumor recurrence, were evaluated. Normally distributed continuous variables, non-normally distributed variables and dichotomous variables were presented as mean (± SD), median (range) or simple proportions</w:t>
      </w:r>
      <w:r w:rsidR="008108E8">
        <w:rPr>
          <w:rFonts w:ascii="Book Antiqua" w:eastAsia="Book Antiqua" w:hAnsi="Book Antiqua" w:cs="Book Antiqua"/>
          <w:color w:val="000000"/>
        </w:rPr>
        <w:t>,</w:t>
      </w:r>
      <w:r>
        <w:rPr>
          <w:rFonts w:ascii="Book Antiqua" w:eastAsia="Book Antiqua" w:hAnsi="Book Antiqua" w:cs="Book Antiqua"/>
          <w:color w:val="000000"/>
        </w:rPr>
        <w:t xml:space="preserve"> respectively.</w:t>
      </w:r>
    </w:p>
    <w:p w14:paraId="4308F31B" w14:textId="77777777" w:rsidR="00A77B3E" w:rsidRDefault="00A77B3E" w:rsidP="00126A5E">
      <w:pPr>
        <w:spacing w:line="360" w:lineRule="auto"/>
        <w:jc w:val="both"/>
      </w:pPr>
    </w:p>
    <w:p w14:paraId="49632887" w14:textId="77777777" w:rsidR="00A77B3E" w:rsidRDefault="00F3115B">
      <w:pPr>
        <w:spacing w:line="360" w:lineRule="auto"/>
        <w:jc w:val="both"/>
      </w:pPr>
      <w:r>
        <w:rPr>
          <w:rFonts w:ascii="Book Antiqua" w:eastAsia="Book Antiqua" w:hAnsi="Book Antiqua" w:cs="Book Antiqua"/>
          <w:b/>
          <w:caps/>
          <w:color w:val="000000"/>
          <w:u w:val="single"/>
        </w:rPr>
        <w:t>RESULTS</w:t>
      </w:r>
    </w:p>
    <w:p w14:paraId="7C169516" w14:textId="0AB70DE6"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Baseline characteristics</w:t>
      </w:r>
    </w:p>
    <w:p w14:paraId="0962693A" w14:textId="25185ACE"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five patients included were men, with a mean age of 63</w:t>
      </w:r>
      <w:r w:rsidR="00126A5E">
        <w:rPr>
          <w:rFonts w:ascii="Book Antiqua" w:eastAsia="Book Antiqua" w:hAnsi="Book Antiqua" w:cs="Book Antiqua"/>
          <w:color w:val="000000"/>
        </w:rPr>
        <w:t xml:space="preserve"> </w:t>
      </w:r>
      <w:r>
        <w:rPr>
          <w:rFonts w:ascii="Book Antiqua" w:eastAsia="Book Antiqua" w:hAnsi="Book Antiqua" w:cs="Book Antiqua"/>
          <w:color w:val="000000"/>
        </w:rPr>
        <w:t>±</w:t>
      </w:r>
      <w:r w:rsidR="00126A5E">
        <w:rPr>
          <w:rFonts w:ascii="Book Antiqua" w:eastAsia="Book Antiqua" w:hAnsi="Book Antiqua" w:cs="Book Antiqua"/>
          <w:color w:val="000000"/>
        </w:rPr>
        <w:t xml:space="preserve"> </w:t>
      </w:r>
      <w:r>
        <w:rPr>
          <w:rFonts w:ascii="Book Antiqua" w:eastAsia="Book Antiqua" w:hAnsi="Book Antiqua" w:cs="Book Antiqua"/>
          <w:color w:val="000000"/>
        </w:rPr>
        <w:t xml:space="preserve">12 years. </w:t>
      </w:r>
      <w:r w:rsidR="008108E8">
        <w:rPr>
          <w:rFonts w:ascii="Book Antiqua" w:eastAsia="Book Antiqua" w:hAnsi="Book Antiqua" w:cs="Book Antiqua"/>
          <w:color w:val="000000"/>
        </w:rPr>
        <w:t>T</w:t>
      </w:r>
      <w:r>
        <w:rPr>
          <w:rFonts w:ascii="Book Antiqua" w:eastAsia="Book Antiqua" w:hAnsi="Book Antiqua" w:cs="Book Antiqua"/>
          <w:color w:val="000000"/>
        </w:rPr>
        <w:t xml:space="preserve">hree </w:t>
      </w:r>
      <w:r w:rsidR="008108E8">
        <w:rPr>
          <w:rFonts w:ascii="Book Antiqua" w:eastAsia="Book Antiqua" w:hAnsi="Book Antiqua" w:cs="Book Antiqua"/>
          <w:color w:val="000000"/>
        </w:rPr>
        <w:t xml:space="preserve">of these patients </w:t>
      </w:r>
      <w:r>
        <w:rPr>
          <w:rFonts w:ascii="Book Antiqua" w:eastAsia="Book Antiqua" w:hAnsi="Book Antiqua" w:cs="Book Antiqua"/>
          <w:color w:val="000000"/>
        </w:rPr>
        <w:t xml:space="preserve">were asymptomatic at diagnosis and two presented with abdominal pain. The median size of the tumors was 20 mm (range 15-35 mm). Pre-operative EUS and/or IDUS showed extension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biliary duct in one case (Figure 1B), absence of any extension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duct in all cases, a tumor confined </w:t>
      </w:r>
      <w:r w:rsidR="00CA639D">
        <w:rPr>
          <w:rFonts w:ascii="Book Antiqua" w:eastAsia="Book Antiqua" w:hAnsi="Book Antiqua" w:cs="Book Antiqua"/>
          <w:color w:val="000000"/>
        </w:rPr>
        <w:t>to</w:t>
      </w:r>
      <w:r>
        <w:rPr>
          <w:rFonts w:ascii="Book Antiqua" w:eastAsia="Book Antiqua" w:hAnsi="Book Antiqua" w:cs="Book Antiqua"/>
          <w:color w:val="000000"/>
        </w:rPr>
        <w:t xml:space="preserve"> the mucosal layer in three cases and a tumor invading the submucosa in two cases; none of these patients were found to be positive for intra-abdominal neoplastic nodes. Preoperative histology was available in all five cases,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show</w:t>
      </w:r>
      <w:r w:rsidR="00CA639D">
        <w:rPr>
          <w:rFonts w:ascii="Book Antiqua" w:eastAsia="Book Antiqua" w:hAnsi="Book Antiqua" w:cs="Book Antiqua"/>
          <w:color w:val="000000"/>
        </w:rPr>
        <w:t>ed</w:t>
      </w:r>
      <w:r>
        <w:rPr>
          <w:rFonts w:ascii="Book Antiqua" w:eastAsia="Book Antiqua" w:hAnsi="Book Antiqua" w:cs="Book Antiqua"/>
          <w:color w:val="000000"/>
        </w:rPr>
        <w:t xml:space="preserve"> adenomatoid hyperplasia in two cases, tubular adenoma with adenomatoid hyperplasia in one case, tubular adenoma in one case, and inflammation with high-grade dysplasia (HGD) and suspected field cancerization in one case (Table 1).</w:t>
      </w:r>
    </w:p>
    <w:p w14:paraId="575C2E8F" w14:textId="77777777" w:rsidR="00126A5E" w:rsidRDefault="00126A5E" w:rsidP="00126A5E">
      <w:pPr>
        <w:spacing w:line="360" w:lineRule="auto"/>
        <w:jc w:val="both"/>
      </w:pPr>
    </w:p>
    <w:p w14:paraId="1F6B8FD8"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Technical results</w:t>
      </w:r>
    </w:p>
    <w:p w14:paraId="7C7A06AA" w14:textId="0D79603C"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was technically feasible in all five patients. Submucosal injection was performed in one of the five cases. </w:t>
      </w:r>
      <w:r w:rsidRPr="00397C13">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was achieved in four cases, piecemeal resection in one case, and exposure or injury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was observed in all five cases. After EP, overlength biliary and pancreatic stents were placed. The length of overlength biliary stents varied from 35 cm to 38 cm,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the length of the duct segment was 13 cm to 14 cm</w:t>
      </w:r>
      <w:r w:rsidR="00CA639D">
        <w:rPr>
          <w:rFonts w:ascii="Book Antiqua" w:eastAsia="Book Antiqua" w:hAnsi="Book Antiqua" w:cs="Book Antiqua"/>
          <w:color w:val="000000"/>
        </w:rPr>
        <w:t>. T</w:t>
      </w:r>
      <w:r>
        <w:rPr>
          <w:rFonts w:ascii="Book Antiqua" w:eastAsia="Book Antiqua" w:hAnsi="Book Antiqua" w:cs="Book Antiqua"/>
          <w:color w:val="000000"/>
        </w:rPr>
        <w:t xml:space="preserve">he total length of the pancreatic stents varied from 30 cm to 35 cm, </w:t>
      </w:r>
      <w:r w:rsidR="00CA639D">
        <w:rPr>
          <w:rFonts w:ascii="Book Antiqua" w:eastAsia="Book Antiqua" w:hAnsi="Book Antiqua" w:cs="Book Antiqua"/>
          <w:color w:val="000000"/>
        </w:rPr>
        <w:t>and</w:t>
      </w:r>
      <w:r>
        <w:rPr>
          <w:rFonts w:ascii="Book Antiqua" w:eastAsia="Book Antiqua" w:hAnsi="Book Antiqua" w:cs="Book Antiqua"/>
          <w:color w:val="000000"/>
        </w:rPr>
        <w:t xml:space="preserve"> the duct segment was 11 cm to 12 cm. The average operative time was 63.0</w:t>
      </w:r>
      <w:r w:rsidR="003F5FD4">
        <w:rPr>
          <w:rFonts w:ascii="Book Antiqua" w:eastAsia="Book Antiqua" w:hAnsi="Book Antiqua" w:cs="Book Antiqua"/>
          <w:color w:val="000000"/>
        </w:rPr>
        <w:t xml:space="preserve"> </w:t>
      </w:r>
      <w:r>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Pr>
          <w:rFonts w:ascii="Book Antiqua" w:eastAsia="Book Antiqua" w:hAnsi="Book Antiqua" w:cs="Book Antiqua"/>
          <w:color w:val="000000"/>
        </w:rPr>
        <w:t>5.6 min (Table 2).</w:t>
      </w:r>
    </w:p>
    <w:p w14:paraId="41A238E6" w14:textId="77777777" w:rsidR="00126A5E" w:rsidRDefault="00126A5E" w:rsidP="00126A5E">
      <w:pPr>
        <w:spacing w:line="360" w:lineRule="auto"/>
        <w:jc w:val="both"/>
      </w:pPr>
    </w:p>
    <w:p w14:paraId="705EA69C"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Complications</w:t>
      </w:r>
    </w:p>
    <w:p w14:paraId="7A2A9C70" w14:textId="046DA7FB"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patient developed mild pancreatitis </w:t>
      </w:r>
      <w:r w:rsidR="00CA639D">
        <w:rPr>
          <w:rFonts w:ascii="Book Antiqua" w:eastAsia="Book Antiqua" w:hAnsi="Book Antiqua" w:cs="Book Antiqua"/>
          <w:color w:val="000000"/>
        </w:rPr>
        <w:t>which</w:t>
      </w:r>
      <w:r>
        <w:rPr>
          <w:rFonts w:ascii="Book Antiqua" w:eastAsia="Book Antiqua" w:hAnsi="Book Antiqua" w:cs="Book Antiqua"/>
          <w:color w:val="000000"/>
        </w:rPr>
        <w:t xml:space="preserve"> resolved with conservative management. No bleeding, perforation, cholangitis or late-onset duct stenosis occurred. There was no procedure-related mortality.</w:t>
      </w:r>
    </w:p>
    <w:p w14:paraId="4716AA70" w14:textId="77777777" w:rsidR="00126A5E" w:rsidRDefault="00126A5E" w:rsidP="00126A5E">
      <w:pPr>
        <w:spacing w:line="360" w:lineRule="auto"/>
        <w:jc w:val="both"/>
      </w:pPr>
    </w:p>
    <w:p w14:paraId="4FC078EF"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Histopathological assessment and additional therapy</w:t>
      </w:r>
    </w:p>
    <w:p w14:paraId="25EC5998" w14:textId="28E217F2" w:rsidR="00A77B3E" w:rsidRDefault="00F3115B" w:rsidP="00126A5E">
      <w:pPr>
        <w:spacing w:line="360" w:lineRule="auto"/>
        <w:jc w:val="both"/>
      </w:pPr>
      <w:r>
        <w:rPr>
          <w:rFonts w:ascii="Book Antiqua" w:eastAsia="Book Antiqua" w:hAnsi="Book Antiqua" w:cs="Book Antiqua"/>
          <w:color w:val="000000"/>
        </w:rPr>
        <w:t xml:space="preserve">Of the five lesions, four </w:t>
      </w:r>
      <w:r w:rsidR="00CA639D">
        <w:rPr>
          <w:rFonts w:ascii="Book Antiqua" w:eastAsia="Book Antiqua" w:hAnsi="Book Antiqua" w:cs="Book Antiqua"/>
          <w:color w:val="000000"/>
        </w:rPr>
        <w:t>were</w:t>
      </w:r>
      <w:r>
        <w:rPr>
          <w:rFonts w:ascii="Book Antiqua" w:eastAsia="Book Antiqua" w:hAnsi="Book Antiqua" w:cs="Book Antiqua"/>
          <w:color w:val="000000"/>
        </w:rPr>
        <w:t xml:space="preserve"> complete</w:t>
      </w:r>
      <w:r w:rsidR="00CA639D">
        <w:rPr>
          <w:rFonts w:ascii="Book Antiqua" w:eastAsia="Book Antiqua" w:hAnsi="Book Antiqua" w:cs="Book Antiqua"/>
          <w:color w:val="000000"/>
        </w:rPr>
        <w:t>ly</w:t>
      </w:r>
      <w:r>
        <w:rPr>
          <w:rFonts w:ascii="Book Antiqua" w:eastAsia="Book Antiqua" w:hAnsi="Book Antiqua" w:cs="Book Antiqua"/>
          <w:color w:val="000000"/>
        </w:rPr>
        <w:t xml:space="preserve"> resect</w:t>
      </w:r>
      <w:r w:rsidR="00CA639D">
        <w:rPr>
          <w:rFonts w:ascii="Book Antiqua" w:eastAsia="Book Antiqua" w:hAnsi="Book Antiqua" w:cs="Book Antiqua"/>
          <w:color w:val="000000"/>
        </w:rPr>
        <w:t>ed</w:t>
      </w:r>
      <w:r w:rsidR="00126A5E">
        <w:rPr>
          <w:rFonts w:ascii="Book Antiqua" w:eastAsia="Book Antiqua" w:hAnsi="Book Antiqua" w:cs="Book Antiqua"/>
          <w:color w:val="000000"/>
        </w:rPr>
        <w:t xml:space="preserve"> </w:t>
      </w:r>
      <w:r>
        <w:rPr>
          <w:rFonts w:ascii="Book Antiqua" w:eastAsia="Book Antiqua" w:hAnsi="Book Antiqua" w:cs="Book Antiqua"/>
          <w:color w:val="000000"/>
        </w:rPr>
        <w:t>with tumor-free lateral and basal margins. The final histopathological diagnoses of the endoscopic specimen</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were: </w:t>
      </w:r>
      <w:r w:rsidR="00126A5E">
        <w:rPr>
          <w:rFonts w:ascii="Book Antiqua" w:eastAsia="Book Antiqua" w:hAnsi="Book Antiqua" w:cs="Book Antiqua"/>
          <w:color w:val="000000"/>
        </w:rPr>
        <w:t>O</w:t>
      </w:r>
      <w:r>
        <w:rPr>
          <w:rFonts w:ascii="Book Antiqua" w:eastAsia="Book Antiqua" w:hAnsi="Book Antiqua" w:cs="Book Antiqua"/>
          <w:color w:val="000000"/>
        </w:rPr>
        <w:t xml:space="preserve">ne tubular adenoma, one tubulovillous adenoma, one hamartomatous polyp, one adenocarcinoma and one atypical juvenile polyposis with tubulovillous adenoma (Table 3). Compared with biopsy pathology, the final pathological diagnosis was underestimated in four of the five cases. Among the three cases of adenomas, two cases were associated with </w:t>
      </w:r>
      <w:r w:rsidR="00126A5E">
        <w:rPr>
          <w:rFonts w:ascii="Book Antiqua" w:eastAsia="Book Antiqua" w:hAnsi="Book Antiqua" w:cs="Book Antiqua"/>
          <w:color w:val="000000"/>
        </w:rPr>
        <w:t>HGD</w:t>
      </w:r>
      <w:r>
        <w:rPr>
          <w:rFonts w:ascii="Book Antiqua" w:eastAsia="Book Antiqua" w:hAnsi="Book Antiqua" w:cs="Book Antiqua"/>
          <w:color w:val="000000"/>
        </w:rPr>
        <w:t xml:space="preserve">, and one case with low-grade dysplasia (LGD) and the depth of invasion was confined to the mucosa. In the case of atypical juvenile polyposis with tubulovillous adenoma, HGD and field cancerization were found. The depth of cancerization invaded muscularis mucosae and submucosa, but the surgical margin was negative. The case of adenocarcinoma was pathologically proved to be poorly differentiated, and the depth of invasion reached the proper muscle layer of the intestinal wall, close to the incisal margin, which was significantly degenerated by electrocoagulation. After a multidisciplinary collaborative case discussion, the </w:t>
      </w:r>
      <w:r w:rsidR="00CA639D">
        <w:rPr>
          <w:rFonts w:ascii="Book Antiqua" w:eastAsia="Book Antiqua" w:hAnsi="Book Antiqua" w:cs="Book Antiqua"/>
          <w:color w:val="000000"/>
        </w:rPr>
        <w:t>patient</w:t>
      </w:r>
      <w:r>
        <w:rPr>
          <w:rFonts w:ascii="Book Antiqua" w:eastAsia="Book Antiqua" w:hAnsi="Book Antiqua" w:cs="Book Antiqua"/>
          <w:color w:val="000000"/>
        </w:rPr>
        <w:t xml:space="preserve"> was referred for surgery and underwent pylorus-preserving pancreaticoduodenectomy. </w:t>
      </w:r>
      <w:r w:rsidR="00CA639D">
        <w:rPr>
          <w:rFonts w:ascii="Book Antiqua" w:eastAsia="Book Antiqua" w:hAnsi="Book Antiqua" w:cs="Book Antiqua"/>
          <w:color w:val="000000"/>
        </w:rPr>
        <w:t>The</w:t>
      </w:r>
      <w:r>
        <w:rPr>
          <w:rFonts w:ascii="Book Antiqua" w:eastAsia="Book Antiqua" w:hAnsi="Book Antiqua" w:cs="Book Antiqua"/>
          <w:color w:val="000000"/>
        </w:rPr>
        <w:t xml:space="preserve"> patients </w:t>
      </w:r>
      <w:r w:rsidR="00CA639D">
        <w:rPr>
          <w:rFonts w:ascii="Book Antiqua" w:eastAsia="Book Antiqua" w:hAnsi="Book Antiqua" w:cs="Book Antiqua"/>
          <w:color w:val="000000"/>
        </w:rPr>
        <w:t>have been</w:t>
      </w:r>
      <w:r>
        <w:rPr>
          <w:rFonts w:ascii="Book Antiqua" w:eastAsia="Book Antiqua" w:hAnsi="Book Antiqua" w:cs="Book Antiqua"/>
          <w:color w:val="000000"/>
        </w:rPr>
        <w:t xml:space="preserve"> followed</w:t>
      </w:r>
      <w:r w:rsidR="00CA639D">
        <w:rPr>
          <w:rFonts w:ascii="Book Antiqua" w:eastAsia="Book Antiqua" w:hAnsi="Book Antiqua" w:cs="Book Antiqua"/>
          <w:color w:val="000000"/>
        </w:rPr>
        <w:t>-</w:t>
      </w:r>
      <w:r>
        <w:rPr>
          <w:rFonts w:ascii="Book Antiqua" w:eastAsia="Book Antiqua" w:hAnsi="Book Antiqua" w:cs="Book Antiqua"/>
          <w:color w:val="000000"/>
        </w:rPr>
        <w:t>up for a mean of 12 mo (rang</w:t>
      </w:r>
      <w:r w:rsidR="00CA639D">
        <w:rPr>
          <w:rFonts w:ascii="Book Antiqua" w:eastAsia="Book Antiqua" w:hAnsi="Book Antiqua" w:cs="Book Antiqua"/>
          <w:color w:val="000000"/>
        </w:rPr>
        <w:t>e</w:t>
      </w:r>
      <w:r>
        <w:rPr>
          <w:rFonts w:ascii="Book Antiqua" w:eastAsia="Book Antiqua" w:hAnsi="Book Antiqua" w:cs="Book Antiqua"/>
          <w:color w:val="000000"/>
        </w:rPr>
        <w:t xml:space="preserve"> 8-17 mo), and no recurrence</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t>
      </w:r>
      <w:r w:rsidR="00CA639D">
        <w:rPr>
          <w:rFonts w:ascii="Book Antiqua" w:eastAsia="Book Antiqua" w:hAnsi="Book Antiqua" w:cs="Book Antiqua"/>
          <w:color w:val="000000"/>
        </w:rPr>
        <w:t>have been</w:t>
      </w:r>
      <w:r>
        <w:rPr>
          <w:rFonts w:ascii="Book Antiqua" w:eastAsia="Book Antiqua" w:hAnsi="Book Antiqua" w:cs="Book Antiqua"/>
          <w:color w:val="000000"/>
        </w:rPr>
        <w:t xml:space="preserve"> observed.</w:t>
      </w:r>
    </w:p>
    <w:p w14:paraId="7735DDDA" w14:textId="77777777" w:rsidR="00A77B3E" w:rsidRDefault="00A77B3E" w:rsidP="00D43526">
      <w:pPr>
        <w:spacing w:line="360" w:lineRule="auto"/>
        <w:jc w:val="both"/>
      </w:pPr>
    </w:p>
    <w:p w14:paraId="688CF8E4" w14:textId="77777777" w:rsidR="00A77B3E" w:rsidRDefault="00F3115B">
      <w:pPr>
        <w:spacing w:line="360" w:lineRule="auto"/>
        <w:jc w:val="both"/>
      </w:pPr>
      <w:r>
        <w:rPr>
          <w:rFonts w:ascii="Book Antiqua" w:eastAsia="Book Antiqua" w:hAnsi="Book Antiqua" w:cs="Book Antiqua"/>
          <w:b/>
          <w:caps/>
          <w:color w:val="000000"/>
          <w:u w:val="single"/>
        </w:rPr>
        <w:t>DISCUSSION</w:t>
      </w:r>
    </w:p>
    <w:p w14:paraId="0335370C" w14:textId="6E92D20C" w:rsidR="00A77B3E" w:rsidRDefault="00F3115B" w:rsidP="00D43526">
      <w:pPr>
        <w:spacing w:line="360" w:lineRule="auto"/>
        <w:jc w:val="both"/>
      </w:pPr>
      <w:r>
        <w:rPr>
          <w:rFonts w:ascii="Book Antiqua" w:eastAsia="Book Antiqua" w:hAnsi="Book Antiqua" w:cs="Book Antiqua"/>
          <w:color w:val="000000"/>
        </w:rPr>
        <w:t xml:space="preserve">Endoscopic polypectomy </w:t>
      </w:r>
      <w:r w:rsidR="00CA639D">
        <w:rPr>
          <w:rFonts w:ascii="Book Antiqua" w:eastAsia="Book Antiqua" w:hAnsi="Book Antiqua" w:cs="Book Antiqua"/>
          <w:color w:val="000000"/>
        </w:rPr>
        <w:t>is</w:t>
      </w:r>
      <w:r>
        <w:rPr>
          <w:rFonts w:ascii="Book Antiqua" w:eastAsia="Book Antiqua" w:hAnsi="Book Antiqua" w:cs="Book Antiqua"/>
          <w:color w:val="000000"/>
        </w:rPr>
        <w:t xml:space="preserve"> considered a first</w:t>
      </w:r>
      <w:r w:rsidR="00D43526">
        <w:rPr>
          <w:rFonts w:ascii="Book Antiqua" w:eastAsia="Book Antiqua" w:hAnsi="Book Antiqua" w:cs="Book Antiqua"/>
          <w:color w:val="000000"/>
        </w:rPr>
        <w:t>-</w:t>
      </w:r>
      <w:r>
        <w:rPr>
          <w:rFonts w:ascii="Book Antiqua" w:eastAsia="Book Antiqua" w:hAnsi="Book Antiqua" w:cs="Book Antiqua"/>
          <w:color w:val="000000"/>
        </w:rPr>
        <w:t>line approach for selected patients with papillary tumors. Compared with traditional surgery, this technique has obvious advantages in procedure-related risks, but it is technically challenging and is not without complications</w:t>
      </w:r>
      <w:r>
        <w:rPr>
          <w:rFonts w:ascii="Book Antiqua" w:eastAsia="Book Antiqua" w:hAnsi="Book Antiqua" w:cs="Book Antiqua"/>
          <w:color w:val="000000"/>
          <w:vertAlign w:val="superscript"/>
        </w:rPr>
        <w:t>[12,13]</w:t>
      </w:r>
      <w:r>
        <w:rPr>
          <w:rFonts w:ascii="Book Antiqua" w:eastAsia="Book Antiqua" w:hAnsi="Book Antiqua" w:cs="Book Antiqua"/>
          <w:color w:val="000000"/>
        </w:rPr>
        <w:t>.</w:t>
      </w:r>
    </w:p>
    <w:p w14:paraId="2B8D7046" w14:textId="1DC11B2C" w:rsidR="00A77B3E" w:rsidRDefault="00F3115B" w:rsidP="00D43526">
      <w:pPr>
        <w:spacing w:line="360" w:lineRule="auto"/>
        <w:ind w:firstLineChars="100" w:firstLine="240"/>
        <w:jc w:val="both"/>
      </w:pPr>
      <w:r>
        <w:rPr>
          <w:rFonts w:ascii="Book Antiqua" w:eastAsia="Book Antiqua" w:hAnsi="Book Antiqua" w:cs="Book Antiqua"/>
          <w:color w:val="000000"/>
        </w:rPr>
        <w:t>With the application of endoscopic piecemeal resection, balloon traction, and the popularization of the concept of “total biopsy”, more and more lesions previously considered unsuitable for endoscopic resection, such as larger size, intraductal growth, suspected malignant and even early cancerous papillary lesions, can now be treated with EP</w:t>
      </w:r>
      <w:r>
        <w:rPr>
          <w:rFonts w:ascii="Book Antiqua" w:eastAsia="Book Antiqua" w:hAnsi="Book Antiqua" w:cs="Book Antiqua"/>
          <w:color w:val="000000"/>
          <w:vertAlign w:val="superscript"/>
        </w:rPr>
        <w:t>[4-8,14]</w:t>
      </w:r>
      <w:r>
        <w:rPr>
          <w:rFonts w:ascii="Book Antiqua" w:eastAsia="Book Antiqua" w:hAnsi="Book Antiqua" w:cs="Book Antiqua"/>
          <w:color w:val="000000"/>
        </w:rPr>
        <w:t xml:space="preserve">. In </w:t>
      </w:r>
      <w:r w:rsidR="00CA639D">
        <w:rPr>
          <w:rFonts w:ascii="Book Antiqua" w:eastAsia="Book Antiqua" w:hAnsi="Book Antiqua" w:cs="Book Antiqua"/>
          <w:color w:val="000000"/>
        </w:rPr>
        <w:t>the present</w:t>
      </w:r>
      <w:r>
        <w:rPr>
          <w:rFonts w:ascii="Book Antiqua" w:eastAsia="Book Antiqua" w:hAnsi="Book Antiqua" w:cs="Book Antiqua"/>
          <w:color w:val="000000"/>
        </w:rPr>
        <w:t xml:space="preserve"> study, the median size of the tumors was 20 mm and final histopathological diagnoses of the endoscopic specimen</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were one tubular adenoma with HGD, one tubulovillous adenoma with LGD, one hamartomatous polyp with HGD, one poorly differentiated adenocarcinoma and one atypical juvenile polyposis with tubulovillous adenoma, HGD and field cancerization invad</w:t>
      </w:r>
      <w:r w:rsidR="00CA639D">
        <w:rPr>
          <w:rFonts w:ascii="Book Antiqua" w:eastAsia="Book Antiqua" w:hAnsi="Book Antiqua" w:cs="Book Antiqua"/>
          <w:color w:val="000000"/>
        </w:rPr>
        <w:t>ing the</w:t>
      </w:r>
      <w:r>
        <w:rPr>
          <w:rFonts w:ascii="Book Antiqua" w:eastAsia="Book Antiqua" w:hAnsi="Book Antiqua" w:cs="Book Antiqua"/>
          <w:color w:val="000000"/>
        </w:rPr>
        <w:t xml:space="preserve"> muscularis mucosae and submucosa. E</w:t>
      </w:r>
      <w:r w:rsidR="00820E98">
        <w:rPr>
          <w:rFonts w:ascii="Book Antiqua" w:eastAsia="Book Antiqua" w:hAnsi="Book Antiqua" w:cs="Book Antiqua"/>
          <w:color w:val="000000"/>
        </w:rPr>
        <w:t>P</w:t>
      </w:r>
      <w:r>
        <w:rPr>
          <w:rFonts w:ascii="Book Antiqua" w:eastAsia="Book Antiqua" w:hAnsi="Book Antiqua" w:cs="Book Antiqua"/>
          <w:color w:val="000000"/>
        </w:rPr>
        <w:t xml:space="preserve"> was technically feasible in all five patients,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 xml:space="preserve">four </w:t>
      </w:r>
      <w:r w:rsidR="00CA639D">
        <w:rPr>
          <w:rFonts w:ascii="Book Antiqua" w:eastAsia="Book Antiqua" w:hAnsi="Book Antiqua" w:cs="Book Antiqua"/>
          <w:color w:val="000000"/>
        </w:rPr>
        <w:t xml:space="preserve">of these patients </w:t>
      </w:r>
      <w:r>
        <w:rPr>
          <w:rFonts w:ascii="Book Antiqua" w:eastAsia="Book Antiqua" w:hAnsi="Book Antiqua" w:cs="Book Antiqua"/>
          <w:color w:val="000000"/>
        </w:rPr>
        <w:t xml:space="preserve">achieved </w:t>
      </w:r>
      <w:r w:rsidRPr="00397C13">
        <w:rPr>
          <w:rFonts w:ascii="Book Antiqua" w:eastAsia="Book Antiqua" w:hAnsi="Book Antiqua" w:cs="Book Antiqua"/>
          <w:i/>
          <w:iCs/>
          <w:color w:val="000000"/>
        </w:rPr>
        <w:t>en bloc</w:t>
      </w:r>
      <w:r>
        <w:rPr>
          <w:rFonts w:ascii="Book Antiqua" w:eastAsia="Book Antiqua" w:hAnsi="Book Antiqua" w:cs="Book Antiqua"/>
          <w:color w:val="000000"/>
        </w:rPr>
        <w:t xml:space="preserve"> excision and curative resection. However, compared with final pathology, the biopsy pathological diagnosis was underestimated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three of five cases and only two cases showed consistency in our study. It was reported that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diagnostic accuracy of ampullary biopsy is 40% to 88%, while 16% to 60% cancer patients are false negative, indicating that an accurate differentiation of malignant from benign lesions cannot be based solely on a pathologic report of biopsy specimens</w:t>
      </w:r>
      <w:r>
        <w:rPr>
          <w:rFonts w:ascii="Book Antiqua" w:eastAsia="Book Antiqua" w:hAnsi="Book Antiqua" w:cs="Book Antiqua"/>
          <w:color w:val="000000"/>
          <w:vertAlign w:val="superscript"/>
        </w:rPr>
        <w:t>[3,15-19]</w:t>
      </w:r>
      <w:r w:rsidRPr="00D43526">
        <w:rPr>
          <w:rFonts w:ascii="Book Antiqua" w:eastAsia="Book Antiqua" w:hAnsi="Book Antiqua" w:cs="Book Antiqua"/>
          <w:color w:val="000000"/>
        </w:rPr>
        <w:t>.</w:t>
      </w:r>
    </w:p>
    <w:p w14:paraId="6C18E7A6" w14:textId="6356B570"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The complexity of the EP technique and the expansion of the depth and breadth of resection may lead to an increase in the incidence of complications. EP-related complications were divided into early (acute pancreatitis, bleeding, and perforation) and late (post-ESP stenosis) </w:t>
      </w:r>
      <w:r w:rsidR="004F0626">
        <w:rPr>
          <w:rFonts w:ascii="Book Antiqua" w:eastAsia="Book Antiqua" w:hAnsi="Book Antiqua" w:cs="Book Antiqua"/>
          <w:color w:val="000000"/>
        </w:rPr>
        <w:t>complications</w:t>
      </w:r>
      <w:r>
        <w:rPr>
          <w:rFonts w:ascii="Book Antiqua" w:eastAsia="Book Antiqua" w:hAnsi="Book Antiqua" w:cs="Book Antiqua"/>
          <w:color w:val="000000"/>
        </w:rPr>
        <w:t>. The overall reported incidence of complications was between 8% and 36%, and the most common complications are acute pancreatitis (5%</w:t>
      </w:r>
      <w:r w:rsidR="00D43526">
        <w:rPr>
          <w:rFonts w:ascii="Book Antiqua" w:eastAsia="Book Antiqua" w:hAnsi="Book Antiqua" w:cs="Book Antiqua"/>
          <w:color w:val="000000"/>
        </w:rPr>
        <w:t>-</w:t>
      </w:r>
      <w:r>
        <w:rPr>
          <w:rFonts w:ascii="Book Antiqua" w:eastAsia="Book Antiqua" w:hAnsi="Book Antiqua" w:cs="Book Antiqua"/>
          <w:color w:val="000000"/>
        </w:rPr>
        <w:t>15%) and bleeding (2%</w:t>
      </w:r>
      <w:r w:rsidR="00D43526">
        <w:rPr>
          <w:rFonts w:ascii="Book Antiqua" w:eastAsia="Book Antiqua" w:hAnsi="Book Antiqua" w:cs="Book Antiqua"/>
          <w:color w:val="000000"/>
        </w:rPr>
        <w:t>-</w:t>
      </w:r>
      <w:r>
        <w:rPr>
          <w:rFonts w:ascii="Book Antiqua" w:eastAsia="Book Antiqua" w:hAnsi="Book Antiqua" w:cs="Book Antiqua"/>
          <w:color w:val="000000"/>
        </w:rPr>
        <w:t>20%)</w:t>
      </w:r>
      <w:r>
        <w:rPr>
          <w:rFonts w:ascii="Book Antiqua" w:eastAsia="Book Antiqua" w:hAnsi="Book Antiqua" w:cs="Book Antiqua"/>
          <w:color w:val="000000"/>
          <w:vertAlign w:val="superscript"/>
        </w:rPr>
        <w:t>[3,4,20,21]</w:t>
      </w:r>
      <w:r>
        <w:rPr>
          <w:rFonts w:ascii="Book Antiqua" w:eastAsia="Book Antiqua" w:hAnsi="Book Antiqua" w:cs="Book Antiqua"/>
          <w:color w:val="000000"/>
        </w:rPr>
        <w:t>. Most episodes of acute pancreatitis are mild and can be relieved by conservative treatment, while most episodes of bleeding can be controlled by conservative treatment and endoscopic hemostasis. The rate of pancreatic and/or biliary ductal stenosis varies between 0%</w:t>
      </w:r>
      <w:r w:rsidR="00D43526">
        <w:rPr>
          <w:rFonts w:ascii="Book Antiqua" w:eastAsia="Book Antiqua" w:hAnsi="Book Antiqua" w:cs="Book Antiqua"/>
          <w:color w:val="000000"/>
        </w:rPr>
        <w:t>-</w:t>
      </w:r>
      <w:r>
        <w:rPr>
          <w:rFonts w:ascii="Book Antiqua" w:eastAsia="Book Antiqua" w:hAnsi="Book Antiqua" w:cs="Book Antiqua"/>
          <w:color w:val="000000"/>
        </w:rPr>
        <w:t>8%</w:t>
      </w:r>
      <w:r>
        <w:rPr>
          <w:rFonts w:ascii="Book Antiqua" w:eastAsia="Book Antiqua" w:hAnsi="Book Antiqua" w:cs="Book Antiqua"/>
          <w:color w:val="000000"/>
          <w:vertAlign w:val="superscript"/>
        </w:rPr>
        <w:t>[22]</w:t>
      </w:r>
      <w:r>
        <w:rPr>
          <w:rFonts w:ascii="Book Antiqua" w:eastAsia="Book Antiqua" w:hAnsi="Book Antiqua" w:cs="Book Antiqua"/>
          <w:color w:val="000000"/>
        </w:rPr>
        <w:t>, and can be treated by sphincterotomy, stent placement, and balloon dilation. Delayed perforation after EP is a rare (0%-4%)</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but fatal complication. Due to the anatomical location, duodenal surgery as a treatment for delayed perforation is highly invasive, while non-surgical treatment may require long-term conservative treatment </w:t>
      </w:r>
      <w:r w:rsidR="004F0626">
        <w:rPr>
          <w:rFonts w:ascii="Book Antiqua" w:eastAsia="Book Antiqua" w:hAnsi="Book Antiqua" w:cs="Book Antiqua"/>
          <w:color w:val="000000"/>
        </w:rPr>
        <w:t>for</w:t>
      </w:r>
      <w:r>
        <w:rPr>
          <w:rFonts w:ascii="Book Antiqua" w:eastAsia="Book Antiqua" w:hAnsi="Book Antiqua" w:cs="Book Antiqua"/>
          <w:color w:val="000000"/>
        </w:rPr>
        <w:t xml:space="preserve"> recover</w:t>
      </w:r>
      <w:r w:rsidR="004F0626">
        <w:rPr>
          <w:rFonts w:ascii="Book Antiqua" w:eastAsia="Book Antiqua" w:hAnsi="Book Antiqua" w:cs="Book Antiqua"/>
          <w:color w:val="000000"/>
        </w:rPr>
        <w:t>y</w:t>
      </w:r>
      <w:r>
        <w:rPr>
          <w:rFonts w:ascii="Book Antiqua" w:eastAsia="Book Antiqua" w:hAnsi="Book Antiqua" w:cs="Book Antiqua"/>
          <w:color w:val="000000"/>
          <w:vertAlign w:val="superscript"/>
        </w:rPr>
        <w:t>[23]</w:t>
      </w:r>
      <w:r>
        <w:rPr>
          <w:rFonts w:ascii="Book Antiqua" w:eastAsia="Book Antiqua" w:hAnsi="Book Antiqua" w:cs="Book Antiqua"/>
          <w:color w:val="000000"/>
        </w:rPr>
        <w:t>. Therefore, it is important to prevent the occurrence of delayed perforation after EP.</w:t>
      </w:r>
    </w:p>
    <w:p w14:paraId="127BC152" w14:textId="28DFCB82" w:rsidR="00A77B3E" w:rsidRDefault="00F3115B" w:rsidP="00D43526">
      <w:pPr>
        <w:spacing w:line="360" w:lineRule="auto"/>
        <w:ind w:firstLineChars="100" w:firstLine="240"/>
        <w:jc w:val="both"/>
      </w:pPr>
      <w:r>
        <w:rPr>
          <w:rFonts w:ascii="Book Antiqua" w:eastAsia="Book Antiqua" w:hAnsi="Book Antiqua" w:cs="Book Antiqua"/>
          <w:color w:val="000000"/>
        </w:rPr>
        <w:t>Tumor location distal to the main papilla is significantly associated with the occurrence of delayed perforation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After endoscopic resection, </w:t>
      </w:r>
      <w:r w:rsidR="004F0626">
        <w:rPr>
          <w:rFonts w:ascii="Book Antiqua" w:eastAsia="Book Antiqua" w:hAnsi="Book Antiqua" w:cs="Book Antiqua"/>
          <w:color w:val="000000"/>
        </w:rPr>
        <w:t xml:space="preserve">the duodenal ulcer is directly exposed to </w:t>
      </w:r>
      <w:r>
        <w:rPr>
          <w:rFonts w:ascii="Book Antiqua" w:eastAsia="Book Antiqua" w:hAnsi="Book Antiqua" w:cs="Book Antiqua"/>
          <w:color w:val="000000"/>
        </w:rPr>
        <w:t>bile and pancreatic juice, resulting in delayed perforation</w:t>
      </w:r>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Therefore, shunting bile and pancreatic juice to avoid erosion </w:t>
      </w:r>
      <w:r w:rsidR="004F0626">
        <w:rPr>
          <w:rFonts w:ascii="Book Antiqua" w:eastAsia="Book Antiqua" w:hAnsi="Book Antiqua" w:cs="Book Antiqua"/>
          <w:color w:val="000000"/>
        </w:rPr>
        <w:t>of</w:t>
      </w:r>
      <w:r w:rsidR="00D53A41">
        <w:rPr>
          <w:rFonts w:ascii="Book Antiqua" w:eastAsia="Book Antiqua" w:hAnsi="Book Antiqua" w:cs="Book Antiqua"/>
          <w:color w:val="000000"/>
        </w:rPr>
        <w:t xml:space="preserve"> </w:t>
      </w:r>
      <w:r>
        <w:rPr>
          <w:rFonts w:ascii="Book Antiqua" w:eastAsia="Book Antiqua" w:hAnsi="Book Antiqua" w:cs="Book Antiqua"/>
          <w:color w:val="000000"/>
        </w:rPr>
        <w:t xml:space="preserve">the duodenal ulcer </w:t>
      </w:r>
      <w:r w:rsidR="004F0626">
        <w:rPr>
          <w:rFonts w:ascii="Book Antiqua" w:eastAsia="Book Antiqua" w:hAnsi="Book Antiqua" w:cs="Book Antiqua"/>
          <w:color w:val="000000"/>
        </w:rPr>
        <w:t>may</w:t>
      </w:r>
      <w:r>
        <w:rPr>
          <w:rFonts w:ascii="Book Antiqua" w:eastAsia="Book Antiqua" w:hAnsi="Book Antiqua" w:cs="Book Antiqua"/>
          <w:color w:val="000000"/>
        </w:rPr>
        <w:t xml:space="preserve"> be an option to prevent delayed perforation after EP. In this study, we placed overlength biliary and pancreatic stents in five patients with propria muscle exposure or injury after EP to drain bile and pancreatic juice to the proximal jejunum. In order to achieve radical resection, we expanded the depth and breadth of resection in EP, which may be an important cause of exposure or injury of muscularis propria. Endoscopic overlength stents placement was technically feasible in all five patients. There were no stent-related complications, but one papillectomy-related complication (mild acute pancreatitis) occurred without any episodes of bleeding, perforation, cholangitis or late-onset duct stenosis during a mean follow-up period of 12 mo.</w:t>
      </w:r>
    </w:p>
    <w:p w14:paraId="30B41D90" w14:textId="4EFCED67"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Overlength stents placement can also play a role in the adjuvant treatment of delayed perforation after EP. In June 2018 and October 2018, we treated two cases of major duodenal papilla lesions by EP: </w:t>
      </w:r>
      <w:r w:rsidR="00D43526">
        <w:rPr>
          <w:rFonts w:ascii="Book Antiqua" w:eastAsia="Book Antiqua" w:hAnsi="Book Antiqua" w:cs="Book Antiqua"/>
          <w:color w:val="000000"/>
        </w:rPr>
        <w:t>O</w:t>
      </w:r>
      <w:r>
        <w:rPr>
          <w:rFonts w:ascii="Book Antiqua" w:eastAsia="Book Antiqua" w:hAnsi="Book Antiqua" w:cs="Book Antiqua"/>
          <w:color w:val="000000"/>
        </w:rPr>
        <w:t xml:space="preserve">ne case </w:t>
      </w:r>
      <w:r w:rsidR="004F0626">
        <w:rPr>
          <w:rFonts w:ascii="Book Antiqua" w:eastAsia="Book Antiqua" w:hAnsi="Book Antiqua" w:cs="Book Antiqua"/>
          <w:color w:val="000000"/>
        </w:rPr>
        <w:t>with a</w:t>
      </w:r>
      <w:r>
        <w:rPr>
          <w:rFonts w:ascii="Book Antiqua" w:eastAsia="Book Antiqua" w:hAnsi="Book Antiqua" w:cs="Book Antiqua"/>
          <w:color w:val="000000"/>
        </w:rPr>
        <w:t xml:space="preserve"> 7</w:t>
      </w:r>
      <w:r w:rsidR="00D43526">
        <w:rPr>
          <w:rFonts w:ascii="Book Antiqua" w:eastAsia="Book Antiqua" w:hAnsi="Book Antiqua" w:cs="Book Antiqua"/>
          <w:color w:val="000000"/>
        </w:rPr>
        <w:t xml:space="preserve"> </w:t>
      </w:r>
      <w:r>
        <w:rPr>
          <w:rFonts w:ascii="Book Antiqua" w:eastAsia="Book Antiqua" w:hAnsi="Book Antiqua" w:cs="Book Antiqua"/>
          <w:color w:val="000000"/>
        </w:rPr>
        <w:t>cm villous tubular adenoma with HGD (Fig</w:t>
      </w:r>
      <w:r w:rsidR="00D43526">
        <w:rPr>
          <w:rFonts w:ascii="Book Antiqua" w:eastAsia="Book Antiqua" w:hAnsi="Book Antiqua" w:cs="Book Antiqua"/>
          <w:color w:val="000000"/>
        </w:rPr>
        <w:t>ure</w:t>
      </w:r>
      <w:r>
        <w:rPr>
          <w:rFonts w:ascii="Book Antiqua" w:eastAsia="Book Antiqua" w:hAnsi="Book Antiqua" w:cs="Book Antiqua"/>
          <w:color w:val="000000"/>
        </w:rPr>
        <w:t xml:space="preserve"> 2A</w:t>
      </w:r>
      <w:r w:rsidR="00D43526">
        <w:rPr>
          <w:rFonts w:ascii="Book Antiqua" w:eastAsia="Book Antiqua" w:hAnsi="Book Antiqua" w:cs="Book Antiqua"/>
          <w:color w:val="000000"/>
        </w:rPr>
        <w:t xml:space="preserve">, </w:t>
      </w:r>
      <w:r>
        <w:rPr>
          <w:rFonts w:ascii="Book Antiqua" w:eastAsia="Book Antiqua" w:hAnsi="Book Antiqua" w:cs="Book Antiqua"/>
          <w:color w:val="000000"/>
        </w:rPr>
        <w:t xml:space="preserve">B and D), and one case </w:t>
      </w:r>
      <w:r w:rsidR="004F0626">
        <w:rPr>
          <w:rFonts w:ascii="Book Antiqua" w:eastAsia="Book Antiqua" w:hAnsi="Book Antiqua" w:cs="Book Antiqua"/>
          <w:color w:val="000000"/>
        </w:rPr>
        <w:t>with a</w:t>
      </w:r>
      <w:r>
        <w:rPr>
          <w:rFonts w:ascii="Book Antiqua" w:eastAsia="Book Antiqua" w:hAnsi="Book Antiqua" w:cs="Book Antiqua"/>
          <w:color w:val="000000"/>
        </w:rPr>
        <w:t xml:space="preserve"> 3</w:t>
      </w:r>
      <w:r w:rsidR="00D43526">
        <w:rPr>
          <w:rFonts w:ascii="Book Antiqua" w:eastAsia="Book Antiqua" w:hAnsi="Book Antiqua" w:cs="Book Antiqua"/>
          <w:color w:val="000000"/>
        </w:rPr>
        <w:t xml:space="preserve"> </w:t>
      </w:r>
      <w:r>
        <w:rPr>
          <w:rFonts w:ascii="Book Antiqua" w:eastAsia="Book Antiqua" w:hAnsi="Book Antiqua" w:cs="Book Antiqua"/>
          <w:color w:val="000000"/>
        </w:rPr>
        <w:t>cm tubular adenoma. The former lesion was resected in a piecemeal fashion, and the latter</w:t>
      </w:r>
      <w:r>
        <w:rPr>
          <w:rFonts w:ascii="Book Antiqua" w:eastAsia="Book Antiqua" w:hAnsi="Book Antiqua" w:cs="Book Antiqua"/>
          <w:b/>
          <w:bCs/>
          <w:color w:val="000000"/>
        </w:rPr>
        <w:t xml:space="preserve"> </w:t>
      </w:r>
      <w:r>
        <w:rPr>
          <w:rFonts w:ascii="Book Antiqua" w:eastAsia="Book Antiqua" w:hAnsi="Book Antiqua" w:cs="Book Antiqua"/>
          <w:color w:val="000000"/>
        </w:rPr>
        <w:t>was resected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an </w:t>
      </w:r>
      <w:r w:rsidRPr="00397C13">
        <w:rPr>
          <w:rFonts w:ascii="Book Antiqua" w:eastAsia="Book Antiqua" w:hAnsi="Book Antiqua" w:cs="Book Antiqua"/>
          <w:i/>
          <w:iCs/>
          <w:color w:val="000000"/>
        </w:rPr>
        <w:t>en bloc</w:t>
      </w:r>
      <w:r>
        <w:rPr>
          <w:rFonts w:ascii="Book Antiqua" w:eastAsia="Book Antiqua" w:hAnsi="Book Antiqua" w:cs="Book Antiqua"/>
          <w:color w:val="000000"/>
        </w:rPr>
        <w:t xml:space="preserve"> </w:t>
      </w:r>
      <w:r w:rsidR="004F0626">
        <w:rPr>
          <w:rFonts w:ascii="Book Antiqua" w:eastAsia="Book Antiqua" w:hAnsi="Book Antiqua" w:cs="Book Antiqua"/>
          <w:color w:val="000000"/>
        </w:rPr>
        <w:t>manner</w:t>
      </w:r>
      <w:r>
        <w:rPr>
          <w:rFonts w:ascii="Book Antiqua" w:eastAsia="Book Antiqua" w:hAnsi="Book Antiqua" w:cs="Book Antiqua"/>
          <w:color w:val="000000"/>
        </w:rPr>
        <w:t xml:space="preserve">. Although complete resection was achieved in both cases, there was obvious exposure of the muscularis propria (Figure 2C). We placed conventional biliary and pancreatic plastic stents immediately and covered the exposed wound with fibrin glue after EP (Figure 2E), but delayed perforation </w:t>
      </w:r>
      <w:r w:rsidR="004F0626">
        <w:rPr>
          <w:rFonts w:ascii="Book Antiqua" w:eastAsia="Book Antiqua" w:hAnsi="Book Antiqua" w:cs="Book Antiqua"/>
          <w:color w:val="000000"/>
        </w:rPr>
        <w:t>still occurred</w:t>
      </w:r>
      <w:r>
        <w:rPr>
          <w:rFonts w:ascii="Book Antiqua" w:eastAsia="Book Antiqua" w:hAnsi="Book Antiqua" w:cs="Book Antiqua"/>
          <w:color w:val="000000"/>
        </w:rPr>
        <w:t xml:space="preserve"> (Figure 2F). </w:t>
      </w:r>
      <w:r w:rsidR="004F0626">
        <w:rPr>
          <w:rFonts w:ascii="Book Antiqua" w:eastAsia="Book Antiqua" w:hAnsi="Book Antiqua" w:cs="Book Antiqua"/>
          <w:color w:val="000000"/>
        </w:rPr>
        <w:t>Following</w:t>
      </w:r>
      <w:r>
        <w:rPr>
          <w:rFonts w:ascii="Book Antiqua" w:eastAsia="Book Antiqua" w:hAnsi="Book Antiqua" w:cs="Book Antiqua"/>
          <w:color w:val="000000"/>
        </w:rPr>
        <w:t xml:space="preserve"> the occurrence of delayed perforation, we </w:t>
      </w:r>
      <w:r w:rsidR="004F0626">
        <w:rPr>
          <w:rFonts w:ascii="Book Antiqua" w:eastAsia="Book Antiqua" w:hAnsi="Book Antiqua" w:cs="Book Antiqua"/>
          <w:color w:val="000000"/>
        </w:rPr>
        <w:t>used</w:t>
      </w:r>
      <w:r>
        <w:rPr>
          <w:rFonts w:ascii="Book Antiqua" w:eastAsia="Book Antiqua" w:hAnsi="Book Antiqua" w:cs="Book Antiqua"/>
          <w:color w:val="000000"/>
        </w:rPr>
        <w:t xml:space="preserve"> a multidisciplinary approach involving a combination of multiple clipping, fibrin glue filling, percutaneous drainage, and endoscopic nasobiliary duct drainage tube insertion (which was removed a few days later, due to nasopharyngeal discomfort). However, the perforation failed to heal for a long time. Later, we used </w:t>
      </w:r>
      <w:r w:rsidR="004F0626">
        <w:rPr>
          <w:rFonts w:ascii="Book Antiqua" w:eastAsia="Book Antiqua" w:hAnsi="Book Antiqua" w:cs="Book Antiqua"/>
          <w:color w:val="000000"/>
        </w:rPr>
        <w:t xml:space="preserve">an </w:t>
      </w:r>
      <w:r>
        <w:rPr>
          <w:rFonts w:ascii="Book Antiqua" w:eastAsia="Book Antiqua" w:hAnsi="Book Antiqua" w:cs="Book Antiqua"/>
          <w:color w:val="000000"/>
        </w:rPr>
        <w:t xml:space="preserve">overlength biliary stent to drain bile to the proximal jejunum (Figure 2G), which finally promoted rapid healing of </w:t>
      </w:r>
      <w:r w:rsidR="004F0626">
        <w:rPr>
          <w:rFonts w:ascii="Book Antiqua" w:eastAsia="Book Antiqua" w:hAnsi="Book Antiqua" w:cs="Book Antiqua"/>
          <w:color w:val="000000"/>
        </w:rPr>
        <w:t xml:space="preserve">the </w:t>
      </w:r>
      <w:r>
        <w:rPr>
          <w:rFonts w:ascii="Book Antiqua" w:eastAsia="Book Antiqua" w:hAnsi="Book Antiqua" w:cs="Book Antiqua"/>
          <w:color w:val="000000"/>
        </w:rPr>
        <w:t>perforation (Figure 2H).</w:t>
      </w:r>
    </w:p>
    <w:p w14:paraId="08DEEEB0" w14:textId="3D3D678F" w:rsidR="00A77B3E" w:rsidRDefault="00F3115B" w:rsidP="00D43526">
      <w:pPr>
        <w:spacing w:line="360" w:lineRule="auto"/>
        <w:ind w:firstLineChars="100" w:firstLine="240"/>
        <w:jc w:val="both"/>
      </w:pPr>
      <w:r>
        <w:rPr>
          <w:rFonts w:ascii="Book Antiqua" w:eastAsia="Book Antiqua" w:hAnsi="Book Antiqua" w:cs="Book Antiqua"/>
          <w:color w:val="000000"/>
        </w:rPr>
        <w:t>The main limit</w:t>
      </w:r>
      <w:r w:rsidR="004F0626">
        <w:rPr>
          <w:rFonts w:ascii="Book Antiqua" w:eastAsia="Book Antiqua" w:hAnsi="Book Antiqua" w:cs="Book Antiqua"/>
          <w:color w:val="000000"/>
        </w:rPr>
        <w:t>ation</w:t>
      </w:r>
      <w:r>
        <w:rPr>
          <w:rFonts w:ascii="Book Antiqua" w:eastAsia="Book Antiqua" w:hAnsi="Book Antiqua" w:cs="Book Antiqua"/>
          <w:color w:val="000000"/>
        </w:rPr>
        <w:t>s of this study were the small number of cases and the relatively short follow-up</w:t>
      </w:r>
      <w:r w:rsidR="004F0626" w:rsidRPr="004F0626">
        <w:rPr>
          <w:rFonts w:ascii="Book Antiqua" w:eastAsia="Book Antiqua" w:hAnsi="Book Antiqua" w:cs="Book Antiqua"/>
          <w:color w:val="000000"/>
        </w:rPr>
        <w:t xml:space="preserve"> </w:t>
      </w:r>
      <w:r w:rsidR="004F0626">
        <w:rPr>
          <w:rFonts w:ascii="Book Antiqua" w:eastAsia="Book Antiqua" w:hAnsi="Book Antiqua" w:cs="Book Antiqua"/>
          <w:color w:val="000000"/>
        </w:rPr>
        <w:t>time</w:t>
      </w:r>
      <w:r>
        <w:rPr>
          <w:rFonts w:ascii="Book Antiqua" w:eastAsia="Book Antiqua" w:hAnsi="Book Antiqua" w:cs="Book Antiqua"/>
          <w:color w:val="000000"/>
        </w:rPr>
        <w:t xml:space="preserve">, which limits the statistical power of the results. Given these limitations, the current results on the association between the incidence of complications and EP </w:t>
      </w:r>
      <w:r w:rsidR="004F0626">
        <w:rPr>
          <w:rFonts w:ascii="Book Antiqua" w:eastAsia="Book Antiqua" w:hAnsi="Book Antiqua" w:cs="Book Antiqua"/>
          <w:color w:val="000000"/>
        </w:rPr>
        <w:t>should</w:t>
      </w:r>
      <w:r>
        <w:rPr>
          <w:rFonts w:ascii="Book Antiqua" w:eastAsia="Book Antiqua" w:hAnsi="Book Antiqua" w:cs="Book Antiqua"/>
          <w:color w:val="000000"/>
        </w:rPr>
        <w:t xml:space="preserve"> be interpreted with caution. In addition, this is a retrospective, uncontrolled, single-center study, involving only cases of muscularis propria exposure or injury, so there is an obvious selection bias. Nonetheless, this is the first study to focus on endoscopic pancreaticobiliary drainage with overlength stents to prevent delayed perforation after EP.</w:t>
      </w:r>
    </w:p>
    <w:p w14:paraId="6B779374" w14:textId="77777777" w:rsidR="00A77B3E" w:rsidRDefault="00A77B3E" w:rsidP="00D43526">
      <w:pPr>
        <w:spacing w:line="360" w:lineRule="auto"/>
        <w:jc w:val="both"/>
      </w:pPr>
    </w:p>
    <w:p w14:paraId="6560A7D9" w14:textId="77777777" w:rsidR="00A77B3E" w:rsidRDefault="00F3115B">
      <w:pPr>
        <w:spacing w:line="360" w:lineRule="auto"/>
        <w:jc w:val="both"/>
      </w:pPr>
      <w:r>
        <w:rPr>
          <w:rFonts w:ascii="Book Antiqua" w:eastAsia="Book Antiqua" w:hAnsi="Book Antiqua" w:cs="Book Antiqua"/>
          <w:b/>
          <w:caps/>
          <w:color w:val="000000"/>
          <w:u w:val="single"/>
        </w:rPr>
        <w:t>CONCLUSION</w:t>
      </w:r>
    </w:p>
    <w:p w14:paraId="48142073" w14:textId="181DE11F" w:rsidR="00A77B3E" w:rsidRDefault="00F3115B" w:rsidP="00D43526">
      <w:pPr>
        <w:spacing w:line="360" w:lineRule="auto"/>
        <w:jc w:val="both"/>
      </w:pPr>
      <w:r>
        <w:rPr>
          <w:rFonts w:ascii="Book Antiqua" w:eastAsia="Book Antiqua" w:hAnsi="Book Antiqua" w:cs="Book Antiqua"/>
          <w:color w:val="000000"/>
        </w:rPr>
        <w:t xml:space="preserve">In conclusion, overlength biliary and pancreatic stents placement after EP is a feasible, useful and safe technique to prevent papillectomy-related complications, especially delayed perforation. However, due to the unique physiology and intricate anatomy of </w:t>
      </w:r>
      <w:r w:rsidR="004F0626">
        <w:rPr>
          <w:rFonts w:ascii="Book Antiqua" w:eastAsia="Book Antiqua" w:hAnsi="Book Antiqua" w:cs="Book Antiqua"/>
          <w:color w:val="000000"/>
        </w:rPr>
        <w:t xml:space="preserve">the </w:t>
      </w:r>
      <w:r>
        <w:rPr>
          <w:rFonts w:ascii="Book Antiqua" w:eastAsia="Book Antiqua" w:hAnsi="Book Antiqua" w:cs="Book Antiqua"/>
          <w:color w:val="000000"/>
        </w:rPr>
        <w:t>duoden</w:t>
      </w:r>
      <w:r w:rsidR="004F0626">
        <w:rPr>
          <w:rFonts w:ascii="Book Antiqua" w:eastAsia="Book Antiqua" w:hAnsi="Book Antiqua" w:cs="Book Antiqua"/>
          <w:color w:val="000000"/>
        </w:rPr>
        <w:t>um</w:t>
      </w:r>
      <w:r>
        <w:rPr>
          <w:rFonts w:ascii="Book Antiqua" w:eastAsia="Book Antiqua" w:hAnsi="Book Antiqua" w:cs="Book Antiqua"/>
          <w:color w:val="000000"/>
        </w:rPr>
        <w:t>, it is often difficult and time-consuming to place the distal ends of overlength stents into the jejunum. In view of the limited number of patients and the short-term follow</w:t>
      </w:r>
      <w:r w:rsidR="004F0626">
        <w:rPr>
          <w:rFonts w:ascii="Book Antiqua" w:eastAsia="Book Antiqua" w:hAnsi="Book Antiqua" w:cs="Book Antiqua"/>
          <w:color w:val="000000"/>
        </w:rPr>
        <w:t>-</w:t>
      </w:r>
      <w:r>
        <w:rPr>
          <w:rFonts w:ascii="Book Antiqua" w:eastAsia="Book Antiqua" w:hAnsi="Book Antiqua" w:cs="Book Antiqua"/>
          <w:color w:val="000000"/>
        </w:rPr>
        <w:t xml:space="preserve">up, </w:t>
      </w:r>
      <w:r w:rsidR="004F0626">
        <w:rPr>
          <w:rFonts w:ascii="Book Antiqua" w:eastAsia="Book Antiqua" w:hAnsi="Book Antiqua" w:cs="Book Antiqua"/>
          <w:color w:val="000000"/>
        </w:rPr>
        <w:t xml:space="preserve">a </w:t>
      </w:r>
      <w:r>
        <w:rPr>
          <w:rFonts w:ascii="Book Antiqua" w:eastAsia="Book Antiqua" w:hAnsi="Book Antiqua" w:cs="Book Antiqua"/>
          <w:color w:val="000000"/>
        </w:rPr>
        <w:t>further larger study with long-term follow</w:t>
      </w:r>
      <w:r w:rsidR="004F0626">
        <w:rPr>
          <w:rFonts w:ascii="Book Antiqua" w:eastAsia="Book Antiqua" w:hAnsi="Book Antiqua" w:cs="Book Antiqua"/>
          <w:color w:val="000000"/>
        </w:rPr>
        <w:t>-</w:t>
      </w:r>
      <w:r>
        <w:rPr>
          <w:rFonts w:ascii="Book Antiqua" w:eastAsia="Book Antiqua" w:hAnsi="Book Antiqua" w:cs="Book Antiqua"/>
          <w:color w:val="000000"/>
        </w:rPr>
        <w:t>up is needed to confirm our results.</w:t>
      </w:r>
    </w:p>
    <w:p w14:paraId="472DB5D7" w14:textId="77777777" w:rsidR="00A77B3E" w:rsidRDefault="00A77B3E" w:rsidP="00D43526">
      <w:pPr>
        <w:spacing w:line="360" w:lineRule="auto"/>
        <w:jc w:val="both"/>
      </w:pPr>
    </w:p>
    <w:p w14:paraId="3FA5DFAF" w14:textId="77777777" w:rsidR="00A77B3E" w:rsidRDefault="00F3115B">
      <w:pPr>
        <w:spacing w:line="360" w:lineRule="auto"/>
        <w:jc w:val="both"/>
      </w:pPr>
      <w:r>
        <w:rPr>
          <w:rFonts w:ascii="Book Antiqua" w:eastAsia="Book Antiqua" w:hAnsi="Book Antiqua" w:cs="Book Antiqua"/>
          <w:b/>
          <w:caps/>
          <w:color w:val="000000"/>
          <w:u w:val="single"/>
        </w:rPr>
        <w:t>ARTICLE HIGHLIGHTS</w:t>
      </w:r>
    </w:p>
    <w:p w14:paraId="59830999" w14:textId="77777777" w:rsidR="00A77B3E" w:rsidRDefault="00F3115B">
      <w:pPr>
        <w:spacing w:line="360" w:lineRule="auto"/>
        <w:jc w:val="both"/>
      </w:pPr>
      <w:r>
        <w:rPr>
          <w:rFonts w:ascii="Book Antiqua" w:eastAsia="Book Antiqua" w:hAnsi="Book Antiqua" w:cs="Book Antiqua"/>
          <w:b/>
          <w:i/>
          <w:color w:val="000000"/>
        </w:rPr>
        <w:t>Research background</w:t>
      </w:r>
    </w:p>
    <w:p w14:paraId="1314284C" w14:textId="63F5C45A" w:rsidR="00A77B3E" w:rsidRDefault="00F3115B" w:rsidP="001E6FB1">
      <w:pPr>
        <w:spacing w:line="360" w:lineRule="auto"/>
        <w:jc w:val="both"/>
      </w:pPr>
      <w:r>
        <w:rPr>
          <w:rFonts w:ascii="Book Antiqua" w:eastAsia="Book Antiqua" w:hAnsi="Book Antiqua" w:cs="Book Antiqua"/>
          <w:color w:val="000000"/>
        </w:rPr>
        <w:t>Endoscopic papillectomy</w:t>
      </w:r>
      <w:r w:rsidR="00820E98">
        <w:rPr>
          <w:rFonts w:ascii="Book Antiqua" w:eastAsia="Book Antiqua" w:hAnsi="Book Antiqua" w:cs="Book Antiqua"/>
          <w:color w:val="000000"/>
        </w:rPr>
        <w:t xml:space="preserve"> (EP)</w:t>
      </w:r>
      <w:r>
        <w:rPr>
          <w:rFonts w:ascii="Book Antiqua" w:eastAsia="Book Antiqua" w:hAnsi="Book Antiqua" w:cs="Book Antiqua"/>
          <w:color w:val="000000"/>
        </w:rPr>
        <w:t xml:space="preserve"> is rapidly replacing traditional surgical resection and is a less invasive procedure for the treatment of duodenal papillary tumors in select</w:t>
      </w:r>
      <w:r w:rsidR="00D53A41">
        <w:rPr>
          <w:rFonts w:ascii="Book Antiqua" w:eastAsia="Book Antiqua" w:hAnsi="Book Antiqua" w:cs="Book Antiqua"/>
          <w:color w:val="000000"/>
        </w:rPr>
        <w:t>ed</w:t>
      </w:r>
      <w:r>
        <w:rPr>
          <w:rFonts w:ascii="Book Antiqua" w:eastAsia="Book Antiqua" w:hAnsi="Book Antiqua" w:cs="Book Antiqua"/>
          <w:color w:val="000000"/>
        </w:rPr>
        <w:t xml:space="preserve"> patients. With the expansion of indications, concerns </w:t>
      </w:r>
      <w:r w:rsidR="004F0626">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include not only technical difficulties, but also the risk of complications, especially delayed duodenal perforation.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is a rare but fatal complication. Exposure of </w:t>
      </w:r>
      <w:r w:rsidR="009506E5">
        <w:rPr>
          <w:rFonts w:ascii="Book Antiqua" w:eastAsia="Book Antiqua" w:hAnsi="Book Antiqua" w:cs="Book Antiqua"/>
          <w:color w:val="000000"/>
        </w:rPr>
        <w:t xml:space="preserve">the artificial ulcer to </w:t>
      </w:r>
      <w:r>
        <w:rPr>
          <w:rFonts w:ascii="Book Antiqua" w:eastAsia="Book Antiqua" w:hAnsi="Book Antiqua" w:cs="Book Antiqua"/>
          <w:color w:val="000000"/>
        </w:rPr>
        <w:t xml:space="preserve">bile and pancreatic juice is considered to be one of the causes of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To drain bile and pancreatic juice away from the wound may help to prevent delayed perforation.</w:t>
      </w:r>
    </w:p>
    <w:p w14:paraId="075AACCD" w14:textId="77777777" w:rsidR="00A77B3E" w:rsidRDefault="00A77B3E" w:rsidP="00134EAB">
      <w:pPr>
        <w:spacing w:line="360" w:lineRule="auto"/>
        <w:jc w:val="both"/>
      </w:pPr>
    </w:p>
    <w:p w14:paraId="3CA3E8FF" w14:textId="77777777" w:rsidR="00A77B3E" w:rsidRDefault="00F3115B">
      <w:pPr>
        <w:spacing w:line="360" w:lineRule="auto"/>
        <w:jc w:val="both"/>
      </w:pPr>
      <w:r>
        <w:rPr>
          <w:rFonts w:ascii="Book Antiqua" w:eastAsia="Book Antiqua" w:hAnsi="Book Antiqua" w:cs="Book Antiqua"/>
          <w:b/>
          <w:i/>
          <w:color w:val="000000"/>
        </w:rPr>
        <w:t>Research motivation</w:t>
      </w:r>
    </w:p>
    <w:p w14:paraId="772E6523" w14:textId="6E7E884C" w:rsidR="00A77B3E" w:rsidRDefault="00F3115B" w:rsidP="00134EAB">
      <w:pPr>
        <w:spacing w:line="360" w:lineRule="auto"/>
        <w:jc w:val="both"/>
      </w:pPr>
      <w:r>
        <w:rPr>
          <w:rFonts w:ascii="Book Antiqua" w:eastAsia="Book Antiqua" w:hAnsi="Book Antiqua" w:cs="Book Antiqua"/>
          <w:color w:val="000000"/>
        </w:rPr>
        <w:t xml:space="preserve">Although the application of an endoscopic nasobiliary drainage (ENBD) tube can achieve external drainage of bile, it is generally unable to drain pancreatic juice at the same time and may cause stress due to nasopharyngeal discomfort; while the conventional plastic biliary and pancreatic stents cannot drain bile and pancreatic juice a distance </w:t>
      </w:r>
      <w:r w:rsidR="009506E5">
        <w:rPr>
          <w:rFonts w:ascii="Book Antiqua" w:eastAsia="Book Antiqua" w:hAnsi="Book Antiqua" w:cs="Book Antiqua"/>
          <w:color w:val="000000"/>
        </w:rPr>
        <w:t>due to their</w:t>
      </w:r>
      <w:r>
        <w:rPr>
          <w:rFonts w:ascii="Book Antiqua" w:eastAsia="Book Antiqua" w:hAnsi="Book Antiqua" w:cs="Book Antiqua"/>
          <w:color w:val="000000"/>
        </w:rPr>
        <w:t xml:space="preserve"> limited length. These drainage methods cannot avoid erosion of </w:t>
      </w:r>
      <w:r w:rsidR="009506E5">
        <w:rPr>
          <w:rFonts w:ascii="Book Antiqua" w:eastAsia="Book Antiqua" w:hAnsi="Book Antiqua" w:cs="Book Antiqua"/>
          <w:color w:val="000000"/>
        </w:rPr>
        <w:t xml:space="preserve">the artificial ulcer by </w:t>
      </w:r>
      <w:r>
        <w:rPr>
          <w:rFonts w:ascii="Book Antiqua" w:eastAsia="Book Antiqua" w:hAnsi="Book Antiqua" w:cs="Book Antiqua"/>
          <w:color w:val="000000"/>
        </w:rPr>
        <w:t xml:space="preserve">bile and/or pancreatic juice after EP. Therefore, we modified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ENBD tubes into overlength biliary and pancreatic stents to drain bile and pancreatic juice to the proximal jejunum.</w:t>
      </w:r>
    </w:p>
    <w:p w14:paraId="49EADC23" w14:textId="77777777" w:rsidR="00A77B3E" w:rsidRDefault="00A77B3E" w:rsidP="00134EAB">
      <w:pPr>
        <w:spacing w:line="360" w:lineRule="auto"/>
        <w:jc w:val="both"/>
      </w:pPr>
    </w:p>
    <w:p w14:paraId="520BFE42" w14:textId="77777777" w:rsidR="00A77B3E" w:rsidRDefault="00F3115B">
      <w:pPr>
        <w:spacing w:line="360" w:lineRule="auto"/>
        <w:jc w:val="both"/>
      </w:pPr>
      <w:r>
        <w:rPr>
          <w:rFonts w:ascii="Book Antiqua" w:eastAsia="Book Antiqua" w:hAnsi="Book Antiqua" w:cs="Book Antiqua"/>
          <w:b/>
          <w:i/>
          <w:color w:val="000000"/>
        </w:rPr>
        <w:t>Research objectives</w:t>
      </w:r>
    </w:p>
    <w:p w14:paraId="3126181F" w14:textId="5C808BC1" w:rsidR="00A77B3E" w:rsidRDefault="00F3115B" w:rsidP="00134EAB">
      <w:pPr>
        <w:spacing w:line="360" w:lineRule="auto"/>
        <w:jc w:val="both"/>
      </w:pPr>
      <w:r>
        <w:rPr>
          <w:rFonts w:ascii="Book Antiqua" w:eastAsia="Book Antiqua" w:hAnsi="Book Antiqua" w:cs="Book Antiqua"/>
          <w:color w:val="000000"/>
        </w:rPr>
        <w:t xml:space="preserve">The present study aimed to evaluate the feasibility and safety of placing overlength biliary and pancreatic stents after </w:t>
      </w:r>
      <w:r w:rsidR="00820E98">
        <w:rPr>
          <w:rFonts w:ascii="Book Antiqua" w:eastAsia="Book Antiqua" w:hAnsi="Book Antiqua" w:cs="Book Antiqua"/>
          <w:color w:val="000000"/>
        </w:rPr>
        <w:t>EP</w:t>
      </w:r>
      <w:r>
        <w:rPr>
          <w:rFonts w:ascii="Book Antiqua" w:eastAsia="Book Antiqua" w:hAnsi="Book Antiqua" w:cs="Book Antiqua"/>
          <w:color w:val="000000"/>
        </w:rPr>
        <w:t>.</w:t>
      </w:r>
    </w:p>
    <w:p w14:paraId="1D78378E" w14:textId="77777777" w:rsidR="00A77B3E" w:rsidRDefault="00A77B3E" w:rsidP="00134EAB">
      <w:pPr>
        <w:spacing w:line="360" w:lineRule="auto"/>
        <w:jc w:val="both"/>
      </w:pPr>
    </w:p>
    <w:p w14:paraId="27F7F158" w14:textId="77777777" w:rsidR="00A77B3E" w:rsidRDefault="00F3115B">
      <w:pPr>
        <w:spacing w:line="360" w:lineRule="auto"/>
        <w:jc w:val="both"/>
      </w:pPr>
      <w:r>
        <w:rPr>
          <w:rFonts w:ascii="Book Antiqua" w:eastAsia="Book Antiqua" w:hAnsi="Book Antiqua" w:cs="Book Antiqua"/>
          <w:b/>
          <w:i/>
          <w:color w:val="000000"/>
        </w:rPr>
        <w:t>Research methods</w:t>
      </w:r>
    </w:p>
    <w:p w14:paraId="6DF27DA1" w14:textId="12E75F02" w:rsidR="00A77B3E" w:rsidRDefault="00F3115B" w:rsidP="00134EAB">
      <w:pPr>
        <w:spacing w:line="360" w:lineRule="auto"/>
        <w:jc w:val="both"/>
      </w:pPr>
      <w:r>
        <w:rPr>
          <w:rFonts w:ascii="Book Antiqua" w:eastAsia="Book Antiqua" w:hAnsi="Book Antiqua" w:cs="Book Antiqua"/>
          <w:color w:val="000000"/>
        </w:rPr>
        <w:t xml:space="preserve">This is a single-center, retrospective study. Five patients with exposure or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were inc</w:t>
      </w:r>
      <w:r w:rsidR="00134EAB">
        <w:rPr>
          <w:rFonts w:ascii="Book Antiqua" w:eastAsia="Book Antiqua" w:hAnsi="Book Antiqua" w:cs="Book Antiqua"/>
          <w:color w:val="000000"/>
        </w:rPr>
        <w:t>l</w:t>
      </w:r>
      <w:r>
        <w:rPr>
          <w:rFonts w:ascii="Book Antiqua" w:eastAsia="Book Antiqua" w:hAnsi="Book Antiqua" w:cs="Book Antiqua"/>
          <w:color w:val="000000"/>
        </w:rPr>
        <w:t xml:space="preserve">uded. A 7-Fr overlength biliary stent and a 7-Fr overlength pancreatic stent, modified by </w:t>
      </w:r>
      <w:r w:rsidR="009506E5">
        <w:rPr>
          <w:rFonts w:ascii="Book Antiqua" w:eastAsia="Book Antiqua" w:hAnsi="Book Antiqua" w:cs="Book Antiqua"/>
          <w:color w:val="000000"/>
        </w:rPr>
        <w:t xml:space="preserve">an </w:t>
      </w:r>
      <w:r w:rsidR="00D93DE9">
        <w:rPr>
          <w:rFonts w:ascii="Book Antiqua" w:eastAsia="Book Antiqua" w:hAnsi="Book Antiqua" w:cs="Book Antiqua"/>
          <w:color w:val="000000"/>
        </w:rPr>
        <w:t>ENBD</w:t>
      </w:r>
      <w:r>
        <w:rPr>
          <w:rFonts w:ascii="Book Antiqua" w:eastAsia="Book Antiqua" w:hAnsi="Book Antiqua" w:cs="Book Antiqua"/>
          <w:color w:val="000000"/>
        </w:rPr>
        <w:t xml:space="preserve"> tube, were placed in the common bile duct and pancreatic duct</w:t>
      </w:r>
      <w:r w:rsidR="009506E5">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w:t>
      </w:r>
    </w:p>
    <w:p w14:paraId="0ACA8054" w14:textId="77777777" w:rsidR="00A77B3E" w:rsidRDefault="00A77B3E" w:rsidP="00134EAB">
      <w:pPr>
        <w:spacing w:line="360" w:lineRule="auto"/>
        <w:jc w:val="both"/>
      </w:pPr>
    </w:p>
    <w:p w14:paraId="15A9CD4B" w14:textId="77777777" w:rsidR="00A77B3E" w:rsidRDefault="00F3115B">
      <w:pPr>
        <w:spacing w:line="360" w:lineRule="auto"/>
        <w:jc w:val="both"/>
      </w:pPr>
      <w:r>
        <w:rPr>
          <w:rFonts w:ascii="Book Antiqua" w:eastAsia="Book Antiqua" w:hAnsi="Book Antiqua" w:cs="Book Antiqua"/>
          <w:b/>
          <w:i/>
          <w:color w:val="000000"/>
        </w:rPr>
        <w:t>Research results</w:t>
      </w:r>
    </w:p>
    <w:p w14:paraId="2E356142" w14:textId="31754973" w:rsidR="00A77B3E" w:rsidRDefault="00820E98" w:rsidP="00134EAB">
      <w:pPr>
        <w:spacing w:line="360" w:lineRule="auto"/>
        <w:jc w:val="both"/>
      </w:pPr>
      <w:r>
        <w:rPr>
          <w:rFonts w:ascii="Book Antiqua" w:eastAsia="Book Antiqua" w:hAnsi="Book Antiqua" w:cs="Book Antiqua"/>
          <w:color w:val="000000"/>
        </w:rPr>
        <w:t>EP</w:t>
      </w:r>
      <w:r w:rsidR="00F3115B">
        <w:rPr>
          <w:rFonts w:ascii="Book Antiqua" w:eastAsia="Book Antiqua" w:hAnsi="Book Antiqua" w:cs="Book Antiqua"/>
          <w:color w:val="000000"/>
        </w:rPr>
        <w:t xml:space="preserve"> and overlength stents placement were technically feasible in all five patients, with an average operative time of 63.0</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5.6 min. Of the five lesions (median size 20 mm, rang</w:t>
      </w:r>
      <w:r w:rsidR="00D53A41">
        <w:rPr>
          <w:rFonts w:ascii="Book Antiqua" w:eastAsia="Book Antiqua" w:hAnsi="Book Antiqua" w:cs="Book Antiqua"/>
          <w:color w:val="000000"/>
        </w:rPr>
        <w:t>e</w:t>
      </w:r>
      <w:r w:rsidR="00F3115B">
        <w:rPr>
          <w:rFonts w:ascii="Book Antiqua" w:eastAsia="Book Antiqua" w:hAnsi="Book Antiqua" w:cs="Book Antiqua"/>
          <w:color w:val="000000"/>
        </w:rPr>
        <w:t xml:space="preserve"> 15-35 mm), </w:t>
      </w:r>
      <w:r w:rsidR="00F3115B" w:rsidRPr="00397C13">
        <w:rPr>
          <w:rFonts w:ascii="Book Antiqua" w:eastAsia="Book Antiqua" w:hAnsi="Book Antiqua" w:cs="Book Antiqua"/>
          <w:i/>
          <w:iCs/>
          <w:color w:val="000000"/>
        </w:rPr>
        <w:t>en bloc</w:t>
      </w:r>
      <w:r w:rsidR="00F3115B">
        <w:rPr>
          <w:rFonts w:ascii="Book Antiqua" w:eastAsia="Book Antiqua" w:hAnsi="Book Antiqua" w:cs="Book Antiqua"/>
          <w:color w:val="000000"/>
        </w:rPr>
        <w:t xml:space="preserve"> excision and curative resection</w:t>
      </w:r>
      <w:r w:rsidR="009506E5" w:rsidRPr="009506E5">
        <w:rPr>
          <w:rFonts w:ascii="Book Antiqua" w:eastAsia="Book Antiqua" w:hAnsi="Book Antiqua" w:cs="Book Antiqua"/>
          <w:color w:val="000000"/>
        </w:rPr>
        <w:t xml:space="preserve"> </w:t>
      </w:r>
      <w:r w:rsidR="009506E5">
        <w:rPr>
          <w:rFonts w:ascii="Book Antiqua" w:eastAsia="Book Antiqua" w:hAnsi="Book Antiqua" w:cs="Book Antiqua"/>
          <w:color w:val="000000"/>
        </w:rPr>
        <w:t>was achieved in four</w:t>
      </w:r>
      <w:r w:rsidR="00F3115B">
        <w:rPr>
          <w:rFonts w:ascii="Book Antiqua" w:eastAsia="Book Antiqua" w:hAnsi="Book Antiqua" w:cs="Book Antiqua"/>
          <w:color w:val="000000"/>
        </w:rPr>
        <w:t>. The final histopathological diagnoses of the endoscopic specimen</w:t>
      </w:r>
      <w:r w:rsidR="009506E5">
        <w:rPr>
          <w:rFonts w:ascii="Book Antiqua" w:eastAsia="Book Antiqua" w:hAnsi="Book Antiqua" w:cs="Book Antiqua"/>
          <w:color w:val="000000"/>
        </w:rPr>
        <w:t>s</w:t>
      </w:r>
      <w:r w:rsidR="00F3115B">
        <w:rPr>
          <w:rFonts w:ascii="Book Antiqua" w:eastAsia="Book Antiqua" w:hAnsi="Book Antiqua" w:cs="Book Antiqua"/>
          <w:color w:val="000000"/>
        </w:rPr>
        <w:t xml:space="preserve"> were one tubular adenoma with high-grade dysplasia</w:t>
      </w:r>
      <w:r w:rsidR="00126A5E">
        <w:rPr>
          <w:rFonts w:ascii="Book Antiqua" w:eastAsia="Book Antiqua" w:hAnsi="Book Antiqua" w:cs="Book Antiqua"/>
          <w:color w:val="000000"/>
        </w:rPr>
        <w:t xml:space="preserve"> (HGD)</w:t>
      </w:r>
      <w:r w:rsidR="00F3115B">
        <w:rPr>
          <w:rFonts w:ascii="Book Antiqua" w:eastAsia="Book Antiqua" w:hAnsi="Book Antiqua" w:cs="Book Antiqua"/>
          <w:color w:val="000000"/>
        </w:rPr>
        <w:t xml:space="preserve">, one tubulovillous adenoma with low-grade dysplasia, one hamartomatous polyp with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one poorly differentiated adenocarcinoma and one atypical juvenile polyposis with tubulovillous adenoma,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and field cancerization invad</w:t>
      </w:r>
      <w:r w:rsidR="009506E5">
        <w:rPr>
          <w:rFonts w:ascii="Book Antiqua" w:eastAsia="Book Antiqua" w:hAnsi="Book Antiqua" w:cs="Book Antiqua"/>
          <w:color w:val="000000"/>
        </w:rPr>
        <w:t>ing the</w:t>
      </w:r>
      <w:r w:rsidR="00F3115B">
        <w:rPr>
          <w:rFonts w:ascii="Book Antiqua" w:eastAsia="Book Antiqua" w:hAnsi="Book Antiqua" w:cs="Book Antiqua"/>
          <w:color w:val="000000"/>
        </w:rPr>
        <w:t xml:space="preserve"> muscularis mucosae and submucosa. There were no stent-related complications, but one papillectomy-related complication (mild acute pancreatitis) occurred without any episodes of bleeding, perforation, cholangitis or late-onset duct stenosis.</w:t>
      </w:r>
    </w:p>
    <w:p w14:paraId="50E0DE7E" w14:textId="77777777" w:rsidR="00A77B3E" w:rsidRDefault="00A77B3E" w:rsidP="00134EAB">
      <w:pPr>
        <w:spacing w:line="360" w:lineRule="auto"/>
        <w:jc w:val="both"/>
      </w:pPr>
    </w:p>
    <w:p w14:paraId="5DC4667B" w14:textId="77777777" w:rsidR="00A77B3E" w:rsidRDefault="00F3115B">
      <w:pPr>
        <w:spacing w:line="360" w:lineRule="auto"/>
        <w:jc w:val="both"/>
      </w:pPr>
      <w:r>
        <w:rPr>
          <w:rFonts w:ascii="Book Antiqua" w:eastAsia="Book Antiqua" w:hAnsi="Book Antiqua" w:cs="Book Antiqua"/>
          <w:b/>
          <w:i/>
          <w:color w:val="000000"/>
        </w:rPr>
        <w:t>Research conclusions</w:t>
      </w:r>
    </w:p>
    <w:p w14:paraId="529C6D4D" w14:textId="360BD0FE" w:rsidR="00A77B3E" w:rsidRDefault="00F3115B" w:rsidP="00134EAB">
      <w:pPr>
        <w:spacing w:line="360" w:lineRule="auto"/>
        <w:jc w:val="both"/>
      </w:pPr>
      <w:r>
        <w:rPr>
          <w:rFonts w:ascii="Book Antiqua" w:eastAsia="Book Antiqua" w:hAnsi="Book Antiqua" w:cs="Book Antiqua"/>
          <w:color w:val="000000"/>
        </w:rPr>
        <w:t xml:space="preserve">For patients with exposure or injury of 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the placement of overlength biliary and pancreatic stents is a feasible and useful technique to prevent delayed perforation.</w:t>
      </w:r>
    </w:p>
    <w:p w14:paraId="5619FD09" w14:textId="77777777" w:rsidR="00A77B3E" w:rsidRDefault="00A77B3E" w:rsidP="00134EAB">
      <w:pPr>
        <w:spacing w:line="360" w:lineRule="auto"/>
        <w:jc w:val="both"/>
      </w:pPr>
    </w:p>
    <w:p w14:paraId="3E0D28D9" w14:textId="77777777" w:rsidR="00A77B3E" w:rsidRDefault="00F3115B">
      <w:pPr>
        <w:spacing w:line="360" w:lineRule="auto"/>
        <w:jc w:val="both"/>
      </w:pPr>
      <w:r>
        <w:rPr>
          <w:rFonts w:ascii="Book Antiqua" w:eastAsia="Book Antiqua" w:hAnsi="Book Antiqua" w:cs="Book Antiqua"/>
          <w:b/>
          <w:i/>
          <w:color w:val="000000"/>
        </w:rPr>
        <w:t>Research perspectives</w:t>
      </w:r>
    </w:p>
    <w:p w14:paraId="19E4D9DC" w14:textId="234AA126" w:rsidR="00A77B3E" w:rsidRDefault="00F3115B" w:rsidP="00134EAB">
      <w:pPr>
        <w:spacing w:line="360" w:lineRule="auto"/>
        <w:jc w:val="both"/>
      </w:pPr>
      <w:r>
        <w:rPr>
          <w:rFonts w:ascii="Book Antiqua" w:eastAsia="Book Antiqua" w:hAnsi="Book Antiqua" w:cs="Book Antiqua"/>
          <w:color w:val="000000"/>
        </w:rPr>
        <w:t xml:space="preserve">Overlength biliary and pancreatic stents placement after EP is a feasible, useful and safe technique to prevent papillectomy-related complications, especially delayed perforation, in selected patients by experienced endoscopists. However, due to the unique physiology and intricate anatomy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duoden</w:t>
      </w:r>
      <w:r w:rsidR="009506E5">
        <w:rPr>
          <w:rFonts w:ascii="Book Antiqua" w:eastAsia="Book Antiqua" w:hAnsi="Book Antiqua" w:cs="Book Antiqua"/>
          <w:color w:val="000000"/>
        </w:rPr>
        <w:t>um</w:t>
      </w:r>
      <w:r>
        <w:rPr>
          <w:rFonts w:ascii="Book Antiqua" w:eastAsia="Book Antiqua" w:hAnsi="Book Antiqua" w:cs="Book Antiqua"/>
          <w:color w:val="000000"/>
        </w:rPr>
        <w:t>, it is often difficult and time-consuming to place the distal ends of overlength stents into the jejunum. In view of the limited number of patients and the short-term follow</w:t>
      </w:r>
      <w:r w:rsidR="009506E5">
        <w:rPr>
          <w:rFonts w:ascii="Book Antiqua" w:eastAsia="Book Antiqua" w:hAnsi="Book Antiqua" w:cs="Book Antiqua"/>
          <w:color w:val="000000"/>
        </w:rPr>
        <w:t>-</w:t>
      </w:r>
      <w:r>
        <w:rPr>
          <w:rFonts w:ascii="Book Antiqua" w:eastAsia="Book Antiqua" w:hAnsi="Book Antiqua" w:cs="Book Antiqua"/>
          <w:color w:val="000000"/>
        </w:rPr>
        <w:t xml:space="preserve">up, </w:t>
      </w:r>
      <w:r w:rsidR="009506E5">
        <w:rPr>
          <w:rFonts w:ascii="Book Antiqua" w:eastAsia="Book Antiqua" w:hAnsi="Book Antiqua" w:cs="Book Antiqua"/>
          <w:color w:val="000000"/>
        </w:rPr>
        <w:t xml:space="preserve">a </w:t>
      </w:r>
      <w:r>
        <w:rPr>
          <w:rFonts w:ascii="Book Antiqua" w:eastAsia="Book Antiqua" w:hAnsi="Book Antiqua" w:cs="Book Antiqua"/>
          <w:color w:val="000000"/>
        </w:rPr>
        <w:t>further larger prospective study with long-term follow</w:t>
      </w:r>
      <w:r w:rsidR="009506E5">
        <w:rPr>
          <w:rFonts w:ascii="Book Antiqua" w:eastAsia="Book Antiqua" w:hAnsi="Book Antiqua" w:cs="Book Antiqua"/>
          <w:color w:val="000000"/>
        </w:rPr>
        <w:t>-</w:t>
      </w:r>
      <w:r>
        <w:rPr>
          <w:rFonts w:ascii="Book Antiqua" w:eastAsia="Book Antiqua" w:hAnsi="Book Antiqua" w:cs="Book Antiqua"/>
          <w:color w:val="000000"/>
        </w:rPr>
        <w:t>up is needed to confirm our results.</w:t>
      </w:r>
    </w:p>
    <w:p w14:paraId="7B869C45" w14:textId="77777777" w:rsidR="00A77B3E" w:rsidRDefault="00A77B3E" w:rsidP="00134EAB">
      <w:pPr>
        <w:spacing w:line="360" w:lineRule="auto"/>
        <w:jc w:val="both"/>
      </w:pPr>
    </w:p>
    <w:p w14:paraId="7625EA9D" w14:textId="77777777" w:rsidR="00A77B3E" w:rsidRDefault="00F3115B">
      <w:pPr>
        <w:spacing w:line="360" w:lineRule="auto"/>
        <w:jc w:val="both"/>
      </w:pPr>
      <w:r>
        <w:rPr>
          <w:rFonts w:ascii="Book Antiqua" w:eastAsia="Book Antiqua" w:hAnsi="Book Antiqua" w:cs="Book Antiqua"/>
          <w:b/>
          <w:caps/>
          <w:color w:val="000000"/>
          <w:u w:val="single"/>
        </w:rPr>
        <w:t>ACKNOWLEDGEMENTS</w:t>
      </w:r>
    </w:p>
    <w:p w14:paraId="27A68A70" w14:textId="02B6D9D3" w:rsidR="00A77B3E" w:rsidRDefault="00F3115B" w:rsidP="00134EAB">
      <w:pPr>
        <w:spacing w:line="360" w:lineRule="auto"/>
        <w:jc w:val="both"/>
      </w:pPr>
      <w:r>
        <w:rPr>
          <w:rFonts w:ascii="Book Antiqua" w:eastAsia="Book Antiqua" w:hAnsi="Book Antiqua" w:cs="Book Antiqua"/>
          <w:color w:val="000000"/>
        </w:rPr>
        <w:t>We are indebted to Dr. Zhang</w:t>
      </w:r>
      <w:r w:rsidR="00134EAB" w:rsidRPr="00134EAB">
        <w:rPr>
          <w:rFonts w:ascii="Book Antiqua" w:eastAsia="Book Antiqua" w:hAnsi="Book Antiqua" w:cs="Book Antiqua"/>
          <w:color w:val="000000"/>
        </w:rPr>
        <w:t xml:space="preserve"> </w:t>
      </w:r>
      <w:r w:rsidR="00134EAB">
        <w:rPr>
          <w:rFonts w:ascii="Book Antiqua" w:eastAsia="Book Antiqua" w:hAnsi="Book Antiqua" w:cs="Book Antiqua"/>
          <w:color w:val="000000"/>
        </w:rPr>
        <w:t>DW</w:t>
      </w:r>
      <w:r>
        <w:rPr>
          <w:rFonts w:ascii="Book Antiqua" w:eastAsia="Book Antiqua" w:hAnsi="Book Antiqua" w:cs="Book Antiqua"/>
          <w:color w:val="000000"/>
        </w:rPr>
        <w:t xml:space="preserve"> for the helpful suggestions and language polishing of this paper.</w:t>
      </w:r>
    </w:p>
    <w:p w14:paraId="3B19B8D7" w14:textId="77777777" w:rsidR="00A77B3E" w:rsidRDefault="00A77B3E" w:rsidP="00134EAB">
      <w:pPr>
        <w:spacing w:line="360" w:lineRule="auto"/>
        <w:jc w:val="both"/>
      </w:pPr>
    </w:p>
    <w:p w14:paraId="64D4D4E3" w14:textId="77777777" w:rsidR="00A77B3E" w:rsidRDefault="00F3115B" w:rsidP="00134EAB">
      <w:pPr>
        <w:spacing w:line="360" w:lineRule="auto"/>
        <w:jc w:val="both"/>
      </w:pPr>
      <w:r>
        <w:rPr>
          <w:rFonts w:ascii="Book Antiqua" w:eastAsia="Book Antiqua" w:hAnsi="Book Antiqua" w:cs="Book Antiqua"/>
          <w:b/>
          <w:color w:val="000000"/>
        </w:rPr>
        <w:t>REFERENCES</w:t>
      </w:r>
    </w:p>
    <w:p w14:paraId="53F7FEED" w14:textId="77777777" w:rsidR="00A77B3E" w:rsidRDefault="00F3115B">
      <w:pPr>
        <w:spacing w:line="360" w:lineRule="auto"/>
        <w:jc w:val="both"/>
      </w:pPr>
      <w:bookmarkStart w:id="3" w:name="OLE_LINK2286"/>
      <w:bookmarkStart w:id="4" w:name="OLE_LINK2287"/>
      <w:r>
        <w:rPr>
          <w:rFonts w:ascii="Book Antiqua" w:eastAsia="Book Antiqua" w:hAnsi="Book Antiqua" w:cs="Book Antiqua"/>
          <w:color w:val="000000"/>
        </w:rPr>
        <w:t xml:space="preserve">1 </w:t>
      </w:r>
      <w:r>
        <w:rPr>
          <w:rFonts w:ascii="Book Antiqua" w:eastAsia="Book Antiqua" w:hAnsi="Book Antiqua" w:cs="Book Antiqua"/>
          <w:b/>
          <w:bCs/>
          <w:color w:val="000000"/>
        </w:rPr>
        <w:t>Bohnacker S</w:t>
      </w:r>
      <w:r>
        <w:rPr>
          <w:rFonts w:ascii="Book Antiqua" w:eastAsia="Book Antiqua" w:hAnsi="Book Antiqua" w:cs="Book Antiqua"/>
          <w:color w:val="000000"/>
        </w:rPr>
        <w:t xml:space="preserve">, Soehendra N, Maguchi H, Chung JB, Howell DA. Endoscopic resection of benign tumors of the papilla of vater.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521-525 [PMID: 16767591 DOI: 10.1055/s-2006-925263]</w:t>
      </w:r>
    </w:p>
    <w:p w14:paraId="6BFBAA9A" w14:textId="77777777" w:rsidR="00A77B3E" w:rsidRDefault="00F3115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 Hajj II</w:t>
      </w:r>
      <w:r>
        <w:rPr>
          <w:rFonts w:ascii="Book Antiqua" w:eastAsia="Book Antiqua" w:hAnsi="Book Antiqua" w:cs="Book Antiqua"/>
          <w:color w:val="000000"/>
        </w:rPr>
        <w:t xml:space="preserve">, Coté GA. Endoscopic diagnosis and management of ampullary lesions.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95-109 [PMID: 23168121 DOI: 10.1016/j.giec.2012.10.004]</w:t>
      </w:r>
    </w:p>
    <w:p w14:paraId="30CCD45A" w14:textId="77777777" w:rsidR="00A77B3E" w:rsidRDefault="00F3115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Z, Cai F, Linghu E, Sun G, Wang X, Meng J, Du H, Yang Y, Li W. New experience of endoscopic papillectomy for ampullary neoplasms.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612-619 [PMID: 30421083 DOI: 10.1007/s00464-018-6577-2]</w:t>
      </w:r>
    </w:p>
    <w:p w14:paraId="3CFB44A8" w14:textId="77777777" w:rsidR="00A77B3E" w:rsidRDefault="00F3115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Ito K</w:t>
      </w:r>
      <w:r>
        <w:rPr>
          <w:rFonts w:ascii="Book Antiqua" w:eastAsia="Book Antiqua" w:hAnsi="Book Antiqua" w:cs="Book Antiqua"/>
          <w:color w:val="000000"/>
        </w:rPr>
        <w:t xml:space="preserve">, Fujita N, Noda Y, Kobayashi G, Obana T, Horaguchi J, Koshita S, Kanno Y, Ogawa T, Kato Y, Yamashita Y. Impact of technical modification of endoscopic papillectomy for ampullary neoplasm on the occurrence of complications.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30-35 [PMID: 22211409 DOI: 10.1111/j.1443-1661.2011.01161.x]</w:t>
      </w:r>
    </w:p>
    <w:p w14:paraId="0E85B135" w14:textId="77777777" w:rsidR="00A77B3E" w:rsidRDefault="00F3115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Aiura K</w:t>
      </w:r>
      <w:r>
        <w:rPr>
          <w:rFonts w:ascii="Book Antiqua" w:eastAsia="Book Antiqua" w:hAnsi="Book Antiqua" w:cs="Book Antiqua"/>
          <w:color w:val="000000"/>
        </w:rPr>
        <w:t xml:space="preserve">, Imaeda H, Kitajima M, Kumai K. Balloon-catheter-assisted endoscopic snare papillectomy for benign tumors of the major duodenal papilla.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743-747 [PMID: 12709713 DOI: 10.1067/mge.2003.213]</w:t>
      </w:r>
    </w:p>
    <w:p w14:paraId="39EBFF5E" w14:textId="77777777" w:rsidR="00A77B3E" w:rsidRDefault="00F3115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HK</w:t>
      </w:r>
      <w:r>
        <w:rPr>
          <w:rFonts w:ascii="Book Antiqua" w:eastAsia="Book Antiqua" w:hAnsi="Book Antiqua" w:cs="Book Antiqua"/>
          <w:color w:val="000000"/>
        </w:rPr>
        <w:t xml:space="preserve">, Lo SK. Endoscopic approach to the patient with benign or malignant ampullary lesions.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347-383 [PMID: 23540965 DOI: 10.1016/j.giec.2013.01.003]</w:t>
      </w:r>
    </w:p>
    <w:p w14:paraId="2DB08D12" w14:textId="77777777" w:rsidR="00A77B3E" w:rsidRDefault="00F3115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Petrone G</w:t>
      </w:r>
      <w:r>
        <w:rPr>
          <w:rFonts w:ascii="Book Antiqua" w:eastAsia="Book Antiqua" w:hAnsi="Book Antiqua" w:cs="Book Antiqua"/>
          <w:color w:val="000000"/>
        </w:rPr>
        <w:t xml:space="preserve">, Ricci R, Familiari P, Inzani F, Matsuoka M, Mutignani M, Delle Fave G, Costamagna G, Rindi G. Endoscopic snare papillectomy: a possible radical treatment for a subgroup of T1 ampullary adenocarcinomas.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401-404 [PMID: 23616129 DOI: 10.1055/s-0032-1326213]</w:t>
      </w:r>
    </w:p>
    <w:p w14:paraId="6920AFCC" w14:textId="77777777" w:rsidR="00A77B3E" w:rsidRDefault="00F3115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Ogawa T</w:t>
      </w:r>
      <w:r>
        <w:rPr>
          <w:rFonts w:ascii="Book Antiqua" w:eastAsia="Book Antiqua" w:hAnsi="Book Antiqua" w:cs="Book Antiqua"/>
          <w:color w:val="000000"/>
        </w:rPr>
        <w:t xml:space="preserve">, Ito K, Fujita N, Noda Y, Kobayashi G, Horaguchi J, Koshita S, Kanno Y, Masu K, Ishii S. Endoscopic papillectomy as a method of total biopsy for possible early ampullary cancer.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291 [PMID: 22725127 DOI: 10.1111/j.1443-1661.2011.01214.x]</w:t>
      </w:r>
    </w:p>
    <w:p w14:paraId="26051128" w14:textId="77777777" w:rsidR="00A77B3E" w:rsidRDefault="00F3115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Honda T</w:t>
      </w:r>
      <w:r>
        <w:rPr>
          <w:rFonts w:ascii="Book Antiqua" w:eastAsia="Book Antiqua" w:hAnsi="Book Antiqua" w:cs="Book Antiqua"/>
          <w:color w:val="000000"/>
        </w:rPr>
        <w:t xml:space="preserve">, Yamamoto H, Osawa H, Yoshizawa M, Nakano H, Sunada K, Hanatsuka K, Sugano K. Endoscopic submucosal dissection for superficial duodenal neoplasms.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270-274 [PMID: 19961529 DOI: 10.1111/j.1443-1661.2009.00908.x]</w:t>
      </w:r>
    </w:p>
    <w:p w14:paraId="2B700286" w14:textId="77777777" w:rsidR="00A77B3E" w:rsidRDefault="00F3115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Shinoda M</w:t>
      </w:r>
      <w:r>
        <w:rPr>
          <w:rFonts w:ascii="Book Antiqua" w:eastAsia="Book Antiqua" w:hAnsi="Book Antiqua" w:cs="Book Antiqua"/>
          <w:color w:val="000000"/>
        </w:rPr>
        <w:t xml:space="preserve">, Makino A, Wada M, Kabeshima Y, Takahashi T, Kawakubo H, Shito M, Sugiura H, Omori T. Successful endoscopic submucosal dissection for mucosal cancer of the duodenum.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49-52 [PMID: 20078665 DOI: 10.1111/j.1443-1661.2009.00917.x]</w:t>
      </w:r>
    </w:p>
    <w:p w14:paraId="031DA41A" w14:textId="77777777" w:rsidR="00A77B3E" w:rsidRDefault="00F3115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Bohnacker S</w:t>
      </w:r>
      <w:r>
        <w:rPr>
          <w:rFonts w:ascii="Book Antiqua" w:eastAsia="Book Antiqua" w:hAnsi="Book Antiqua" w:cs="Book Antiqua"/>
          <w:color w:val="000000"/>
        </w:rPr>
        <w:t xml:space="preserve">, Seitz U, Nguyen D, Thonke F, Seewald S, deWeerth A, Ponnudurai R, Omar S, Soehendra N. Endoscopic resection of benign tumors of the duodenal papilla without and with intraductal growth.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551-560 [PMID: 16185970 DOI: 10.1016/j.gie.2005.04.053]</w:t>
      </w:r>
    </w:p>
    <w:p w14:paraId="232D2F9F" w14:textId="77777777" w:rsidR="00A77B3E" w:rsidRDefault="00F3115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Dubois M</w:t>
      </w:r>
      <w:r>
        <w:rPr>
          <w:rFonts w:ascii="Book Antiqua" w:eastAsia="Book Antiqua" w:hAnsi="Book Antiqua" w:cs="Book Antiqua"/>
          <w:color w:val="000000"/>
        </w:rPr>
        <w:t xml:space="preserve">, Labgaa I, Dorta G, Halkic N. Endoscopic and surgical ampullectomy for non-invasive ampullary tumors: Short-term outcomes. </w:t>
      </w:r>
      <w:r>
        <w:rPr>
          <w:rFonts w:ascii="Book Antiqua" w:eastAsia="Book Antiqua" w:hAnsi="Book Antiqua" w:cs="Book Antiqua"/>
          <w:i/>
          <w:iCs/>
          <w:color w:val="000000"/>
        </w:rPr>
        <w:t>Biosci Trends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507-511 [PMID: 27990004 DOI: 10.5582/bst.2016.01193]</w:t>
      </w:r>
    </w:p>
    <w:p w14:paraId="1788A6C1" w14:textId="77777777" w:rsidR="00A77B3E" w:rsidRDefault="00F3115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Ochiai Y</w:t>
      </w:r>
      <w:r>
        <w:rPr>
          <w:rFonts w:ascii="Book Antiqua" w:eastAsia="Book Antiqua" w:hAnsi="Book Antiqua" w:cs="Book Antiqua"/>
          <w:color w:val="000000"/>
        </w:rPr>
        <w:t xml:space="preserve">, Kato M, Kiguchi Y, Akimoto T, Nakayama A, Sasaki M, Fujimoto A, Maehata T, Goto O, Yahagi N. Current Status and Challenges of Endoscopic Treatments for Duodenal Tumors.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21-26 [PMID: 30554227 DOI: 10.1159/000494408]</w:t>
      </w:r>
    </w:p>
    <w:p w14:paraId="7072093C" w14:textId="77777777" w:rsidR="00A77B3E" w:rsidRDefault="00F3115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Hopper AD</w:t>
      </w:r>
      <w:r>
        <w:rPr>
          <w:rFonts w:ascii="Book Antiqua" w:eastAsia="Book Antiqua" w:hAnsi="Book Antiqua" w:cs="Book Antiqua"/>
          <w:color w:val="000000"/>
        </w:rPr>
        <w:t xml:space="preserve">, Bourke MJ, Williams SJ, Swan MP. Giant laterally spreading tumors of the papilla: endoscopic features, resection technique, and outcome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967-975 [PMID: 20226451 DOI: 10.1016/j.gie.2009.11.021]</w:t>
      </w:r>
    </w:p>
    <w:p w14:paraId="61D93BCE" w14:textId="77777777" w:rsidR="00A77B3E" w:rsidRDefault="00F3115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Stolte M</w:t>
      </w:r>
      <w:r>
        <w:rPr>
          <w:rFonts w:ascii="Book Antiqua" w:eastAsia="Book Antiqua" w:hAnsi="Book Antiqua" w:cs="Book Antiqua"/>
          <w:color w:val="000000"/>
        </w:rPr>
        <w:t xml:space="preserve">, Pscherer C. Adenoma-carcinoma sequence in the papilla of Vater.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31</w:t>
      </w:r>
      <w:r>
        <w:rPr>
          <w:rFonts w:ascii="Book Antiqua" w:eastAsia="Book Antiqua" w:hAnsi="Book Antiqua" w:cs="Book Antiqua"/>
          <w:color w:val="000000"/>
        </w:rPr>
        <w:t>: 376-382 [PMID: 8726307 DOI: 10.3109/00365529609006414]</w:t>
      </w:r>
    </w:p>
    <w:p w14:paraId="65D83529" w14:textId="77777777" w:rsidR="00A77B3E" w:rsidRDefault="00F3115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Irani S</w:t>
      </w:r>
      <w:r>
        <w:rPr>
          <w:rFonts w:ascii="Book Antiqua" w:eastAsia="Book Antiqua" w:hAnsi="Book Antiqua" w:cs="Book Antiqua"/>
          <w:color w:val="000000"/>
        </w:rPr>
        <w:t xml:space="preserve">, Arai A, Ayub K, Biehl T, Brandabur JJ, Dorer R, Gluck M, Jiranek G, Patterson D, Schembre D, Traverso LW, Kozarek RA. Papillectomy for ampullary neoplasm: results of a single referral center over a 10-year period.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923-932 [PMID: 19608181 DOI: 10.1016/j.gie.2009.04.015]</w:t>
      </w:r>
    </w:p>
    <w:p w14:paraId="327C523E" w14:textId="77777777" w:rsidR="00A77B3E" w:rsidRDefault="00F3115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Yamaguchi K</w:t>
      </w:r>
      <w:r>
        <w:rPr>
          <w:rFonts w:ascii="Book Antiqua" w:eastAsia="Book Antiqua" w:hAnsi="Book Antiqua" w:cs="Book Antiqua"/>
          <w:color w:val="000000"/>
        </w:rPr>
        <w:t xml:space="preserve">, Enjoji M, Kitamura K. Endoscopic biopsy has limited accuracy in diagnosis of ampullary tumors.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1990; </w:t>
      </w:r>
      <w:r>
        <w:rPr>
          <w:rFonts w:ascii="Book Antiqua" w:eastAsia="Book Antiqua" w:hAnsi="Book Antiqua" w:cs="Book Antiqua"/>
          <w:b/>
          <w:bCs/>
          <w:color w:val="000000"/>
        </w:rPr>
        <w:t>36</w:t>
      </w:r>
      <w:r>
        <w:rPr>
          <w:rFonts w:ascii="Book Antiqua" w:eastAsia="Book Antiqua" w:hAnsi="Book Antiqua" w:cs="Book Antiqua"/>
          <w:color w:val="000000"/>
        </w:rPr>
        <w:t>: 588-592 [PMID: 2279648 DOI: 10.1016/s0016-5107(90)71170-4]</w:t>
      </w:r>
    </w:p>
    <w:p w14:paraId="666BE106" w14:textId="77777777" w:rsidR="00A77B3E" w:rsidRDefault="00F3115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Kang SH</w:t>
      </w:r>
      <w:r>
        <w:rPr>
          <w:rFonts w:ascii="Book Antiqua" w:eastAsia="Book Antiqua" w:hAnsi="Book Antiqua" w:cs="Book Antiqua"/>
          <w:color w:val="000000"/>
        </w:rPr>
        <w:t xml:space="preserve">, Kim KH, Kim TN, Jung MK, Cho CM, Cho KB, Han JM, Kim HG, Kim HS. Therapeutic outcomes of endoscopic papillectomy for ampullary neoplasms: retrospective analysis of a multicenter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69 [PMID: 28558658 DOI: 10.1186/s12876-017-0626-5]</w:t>
      </w:r>
    </w:p>
    <w:p w14:paraId="53A48E7A" w14:textId="77777777" w:rsidR="00A77B3E" w:rsidRDefault="00F3115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Seifert E</w:t>
      </w:r>
      <w:r>
        <w:rPr>
          <w:rFonts w:ascii="Book Antiqua" w:eastAsia="Book Antiqua" w:hAnsi="Book Antiqua" w:cs="Book Antiqua"/>
          <w:color w:val="000000"/>
        </w:rPr>
        <w:t xml:space="preserve">, Schulte F, Stolte M. Adenoma and carcinoma of the duodenum and papilla of Vater: a clinicopathologic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1992; </w:t>
      </w:r>
      <w:r>
        <w:rPr>
          <w:rFonts w:ascii="Book Antiqua" w:eastAsia="Book Antiqua" w:hAnsi="Book Antiqua" w:cs="Book Antiqua"/>
          <w:b/>
          <w:bCs/>
          <w:color w:val="000000"/>
        </w:rPr>
        <w:t>87</w:t>
      </w:r>
      <w:r>
        <w:rPr>
          <w:rFonts w:ascii="Book Antiqua" w:eastAsia="Book Antiqua" w:hAnsi="Book Antiqua" w:cs="Book Antiqua"/>
          <w:color w:val="000000"/>
        </w:rPr>
        <w:t>: 37-42 [PMID: 1728122]</w:t>
      </w:r>
    </w:p>
    <w:p w14:paraId="6AFABC5A" w14:textId="77777777" w:rsidR="00A77B3E" w:rsidRDefault="00F3115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Patel R</w:t>
      </w:r>
      <w:r>
        <w:rPr>
          <w:rFonts w:ascii="Book Antiqua" w:eastAsia="Book Antiqua" w:hAnsi="Book Antiqua" w:cs="Book Antiqua"/>
          <w:color w:val="000000"/>
        </w:rPr>
        <w:t xml:space="preserve">, Varadarajulu S, Wilcox CM. Endoscopic ampullectomy: techniques and outcomes.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8-15 [PMID: 22064552 DOI: 10.1097/MCG.0b013e318233a844]</w:t>
      </w:r>
    </w:p>
    <w:p w14:paraId="3018C753" w14:textId="77777777" w:rsidR="00A77B3E" w:rsidRDefault="00F3115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Norton ID</w:t>
      </w:r>
      <w:r>
        <w:rPr>
          <w:rFonts w:ascii="Book Antiqua" w:eastAsia="Book Antiqua" w:hAnsi="Book Antiqua" w:cs="Book Antiqua"/>
          <w:color w:val="000000"/>
        </w:rPr>
        <w:t xml:space="preserve">, Gostout CJ, Baron TH, Geller A, Petersen BT, Wiersema MJ. Safety and outcome of endoscopic snare excision of the major duodenal papilla.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239-243 [PMID: 12145603 DOI: 10.1016/s0016-5107(02)70184-3]</w:t>
      </w:r>
    </w:p>
    <w:p w14:paraId="41A39418" w14:textId="77777777" w:rsidR="00A77B3E" w:rsidRDefault="00F3115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Han J</w:t>
      </w:r>
      <w:r>
        <w:rPr>
          <w:rFonts w:ascii="Book Antiqua" w:eastAsia="Book Antiqua" w:hAnsi="Book Antiqua" w:cs="Book Antiqua"/>
          <w:color w:val="000000"/>
        </w:rPr>
        <w:t xml:space="preserve">, Kim MH. Endoscopic papillectomy for adenomas of the major duodenal papilla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292-301 [PMID: 16427938 DOI: 10.1016/j.gie.2005.07.022]</w:t>
      </w:r>
    </w:p>
    <w:p w14:paraId="3B75277F" w14:textId="77777777" w:rsidR="00A77B3E" w:rsidRDefault="00F3115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Uedo N, Yamashina T, Yamamoto S, Hanaoka N, Takeuchi Y, Higashino K, Ishihara R, Iishi H, Tatsuta M, Takahashi H, Eguchi H, Ohigashi H. Delayed perforation: a hazardous complication of endoscopic resection for non-ampullary duodenal neoplasm.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220-227 [PMID: 23621427 DOI: 10.1111/den.12104]</w:t>
      </w:r>
    </w:p>
    <w:bookmarkEnd w:id="3"/>
    <w:bookmarkEnd w:id="4"/>
    <w:p w14:paraId="187917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8BD220" w14:textId="77777777" w:rsidR="00A77B3E" w:rsidRDefault="00F3115B">
      <w:pPr>
        <w:spacing w:line="360" w:lineRule="auto"/>
        <w:jc w:val="both"/>
      </w:pPr>
      <w:r>
        <w:rPr>
          <w:rFonts w:ascii="Book Antiqua" w:eastAsia="Book Antiqua" w:hAnsi="Book Antiqua" w:cs="Book Antiqua"/>
          <w:b/>
          <w:color w:val="000000"/>
        </w:rPr>
        <w:t>Footnotes</w:t>
      </w:r>
    </w:p>
    <w:p w14:paraId="27090BA4" w14:textId="77777777" w:rsidR="00A77B3E" w:rsidRDefault="00F3115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reviewed and approved by the Ethics Committee of the Chinese PLA General Hospital.</w:t>
      </w:r>
    </w:p>
    <w:p w14:paraId="2110495A" w14:textId="77777777" w:rsidR="00A77B3E" w:rsidRDefault="00A77B3E">
      <w:pPr>
        <w:spacing w:line="360" w:lineRule="auto"/>
        <w:jc w:val="both"/>
      </w:pPr>
    </w:p>
    <w:p w14:paraId="08DAD312" w14:textId="77777777" w:rsidR="00A77B3E" w:rsidRDefault="00F3115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 and were aware of the option of surgical treatment.</w:t>
      </w:r>
    </w:p>
    <w:p w14:paraId="4DE0170E" w14:textId="77777777" w:rsidR="00A77B3E" w:rsidRDefault="00A77B3E">
      <w:pPr>
        <w:spacing w:line="360" w:lineRule="auto"/>
        <w:jc w:val="both"/>
      </w:pPr>
    </w:p>
    <w:p w14:paraId="28E152CC" w14:textId="68B5D54F" w:rsidR="00A77B3E" w:rsidRDefault="00F3115B">
      <w:pPr>
        <w:spacing w:line="360" w:lineRule="auto"/>
        <w:jc w:val="both"/>
      </w:pPr>
      <w:r>
        <w:rPr>
          <w:rFonts w:ascii="Book Antiqua" w:eastAsia="Book Antiqua" w:hAnsi="Book Antiqua" w:cs="Book Antiqua"/>
          <w:b/>
          <w:bCs/>
          <w:color w:val="000000"/>
          <w:szCs w:val="21"/>
        </w:rPr>
        <w:t xml:space="preserve">Conflict-of-interest statement: </w:t>
      </w:r>
      <w:r w:rsidR="009529FB">
        <w:rPr>
          <w:rFonts w:ascii="Book Antiqua" w:eastAsia="Book Antiqua" w:hAnsi="Book Antiqua" w:cs="Book Antiqua"/>
          <w:color w:val="000000"/>
        </w:rPr>
        <w:t>The authors</w:t>
      </w:r>
      <w:r>
        <w:rPr>
          <w:rFonts w:ascii="Book Antiqua" w:eastAsia="Book Antiqua" w:hAnsi="Book Antiqua" w:cs="Book Antiqua"/>
          <w:color w:val="000000"/>
        </w:rPr>
        <w:t xml:space="preserve"> have no financial relationships to disclose.</w:t>
      </w:r>
    </w:p>
    <w:p w14:paraId="6732265C" w14:textId="77777777" w:rsidR="00A77B3E" w:rsidRDefault="00A77B3E">
      <w:pPr>
        <w:spacing w:line="360" w:lineRule="auto"/>
        <w:jc w:val="both"/>
      </w:pPr>
    </w:p>
    <w:p w14:paraId="09F697DA" w14:textId="77777777" w:rsidR="00A77B3E" w:rsidRDefault="00F3115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542C4668" w14:textId="77777777" w:rsidR="00A77B3E" w:rsidRDefault="00A77B3E">
      <w:pPr>
        <w:spacing w:line="360" w:lineRule="auto"/>
        <w:jc w:val="both"/>
      </w:pPr>
    </w:p>
    <w:p w14:paraId="5189FE6E" w14:textId="77777777" w:rsidR="00A77B3E" w:rsidRDefault="00F311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F29CDA" w14:textId="77777777" w:rsidR="00A77B3E" w:rsidRDefault="00A77B3E">
      <w:pPr>
        <w:spacing w:line="360" w:lineRule="auto"/>
        <w:jc w:val="both"/>
      </w:pPr>
    </w:p>
    <w:p w14:paraId="37781756" w14:textId="08D8755E" w:rsidR="00A77B3E"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237FD">
        <w:rPr>
          <w:rFonts w:ascii="Book Antiqua" w:eastAsia="Book Antiqua" w:hAnsi="Book Antiqua" w:cs="Book Antiqua"/>
          <w:color w:val="000000"/>
        </w:rPr>
        <w:t>m</w:t>
      </w:r>
      <w:r>
        <w:rPr>
          <w:rFonts w:ascii="Book Antiqua" w:eastAsia="Book Antiqua" w:hAnsi="Book Antiqua" w:cs="Book Antiqua"/>
          <w:color w:val="000000"/>
        </w:rPr>
        <w:t>anuscript</w:t>
      </w:r>
    </w:p>
    <w:p w14:paraId="731B53C3" w14:textId="77777777" w:rsidR="00397C13" w:rsidRDefault="00397C13">
      <w:pPr>
        <w:spacing w:line="360" w:lineRule="auto"/>
        <w:jc w:val="both"/>
      </w:pPr>
    </w:p>
    <w:p w14:paraId="1524044E" w14:textId="2A3FB000" w:rsidR="00A77B3E" w:rsidRDefault="00F3115B">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Gastroenterological Association, </w:t>
      </w:r>
      <w:r w:rsidR="008F085D">
        <w:rPr>
          <w:rFonts w:ascii="Book Antiqua" w:eastAsia="Book Antiqua" w:hAnsi="Book Antiqua" w:cs="Book Antiqua"/>
          <w:color w:val="000000"/>
        </w:rPr>
        <w:t xml:space="preserve">No. </w:t>
      </w:r>
      <w:r>
        <w:rPr>
          <w:rFonts w:ascii="Book Antiqua" w:eastAsia="Book Antiqua" w:hAnsi="Book Antiqua" w:cs="Book Antiqua"/>
          <w:color w:val="000000"/>
        </w:rPr>
        <w:t>0000915672.</w:t>
      </w:r>
    </w:p>
    <w:p w14:paraId="21C5D172" w14:textId="77777777" w:rsidR="00A77B3E" w:rsidRDefault="00A77B3E">
      <w:pPr>
        <w:spacing w:line="360" w:lineRule="auto"/>
        <w:jc w:val="both"/>
      </w:pPr>
    </w:p>
    <w:p w14:paraId="3D00C33A" w14:textId="77777777" w:rsidR="00A77B3E" w:rsidRDefault="00F311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20, 2020</w:t>
      </w:r>
    </w:p>
    <w:p w14:paraId="614E667A" w14:textId="77777777" w:rsidR="00A77B3E" w:rsidRDefault="00F311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17BE516E" w14:textId="26033631" w:rsidR="00A77B3E" w:rsidRDefault="00F3115B">
      <w:pPr>
        <w:spacing w:line="360" w:lineRule="auto"/>
        <w:jc w:val="both"/>
      </w:pPr>
      <w:r>
        <w:rPr>
          <w:rFonts w:ascii="Book Antiqua" w:eastAsia="Book Antiqua" w:hAnsi="Book Antiqua" w:cs="Book Antiqua"/>
          <w:b/>
          <w:color w:val="000000"/>
        </w:rPr>
        <w:t xml:space="preserve">Article in press: </w:t>
      </w:r>
      <w:r w:rsidR="007511FC" w:rsidRPr="00DC2D2D">
        <w:rPr>
          <w:rFonts w:ascii="Book Antiqua" w:eastAsia="Book Antiqua" w:hAnsi="Book Antiqua" w:cs="Book Antiqua"/>
          <w:color w:val="000000"/>
        </w:rPr>
        <w:t>October 13, 2020</w:t>
      </w:r>
    </w:p>
    <w:p w14:paraId="7B46AD24" w14:textId="77777777" w:rsidR="00A77B3E" w:rsidRDefault="00A77B3E">
      <w:pPr>
        <w:spacing w:line="360" w:lineRule="auto"/>
        <w:jc w:val="both"/>
      </w:pPr>
    </w:p>
    <w:p w14:paraId="616D4985" w14:textId="6BC773EE" w:rsidR="00A77B3E" w:rsidRDefault="00F311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F1259">
        <w:rPr>
          <w:rFonts w:ascii="Book Antiqua" w:eastAsia="Book Antiqua" w:hAnsi="Book Antiqua" w:cs="Book Antiqua"/>
          <w:color w:val="000000"/>
        </w:rPr>
        <w:t>h</w:t>
      </w:r>
      <w:r>
        <w:rPr>
          <w:rFonts w:ascii="Book Antiqua" w:eastAsia="Book Antiqua" w:hAnsi="Book Antiqua" w:cs="Book Antiqua"/>
          <w:color w:val="000000"/>
        </w:rPr>
        <w:t>epatology</w:t>
      </w:r>
    </w:p>
    <w:p w14:paraId="38AA4E81" w14:textId="77777777" w:rsidR="00A77B3E" w:rsidRDefault="00F311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9286DF" w14:textId="77777777" w:rsidR="00A77B3E" w:rsidRDefault="00F3115B">
      <w:pPr>
        <w:spacing w:line="360" w:lineRule="auto"/>
        <w:jc w:val="both"/>
      </w:pPr>
      <w:r>
        <w:rPr>
          <w:rFonts w:ascii="Book Antiqua" w:eastAsia="Book Antiqua" w:hAnsi="Book Antiqua" w:cs="Book Antiqua"/>
          <w:b/>
          <w:color w:val="000000"/>
        </w:rPr>
        <w:t>Peer-review report’s scientific quality classification</w:t>
      </w:r>
    </w:p>
    <w:p w14:paraId="284D1B50" w14:textId="77777777" w:rsidR="00A77B3E" w:rsidRDefault="00F3115B">
      <w:pPr>
        <w:spacing w:line="360" w:lineRule="auto"/>
        <w:jc w:val="both"/>
      </w:pPr>
      <w:r>
        <w:rPr>
          <w:rFonts w:ascii="Book Antiqua" w:eastAsia="Book Antiqua" w:hAnsi="Book Antiqua" w:cs="Book Antiqua"/>
          <w:color w:val="000000"/>
        </w:rPr>
        <w:t>Grade A (Excellent): 0</w:t>
      </w:r>
    </w:p>
    <w:p w14:paraId="311DA11B" w14:textId="77777777" w:rsidR="00A77B3E" w:rsidRDefault="00F3115B">
      <w:pPr>
        <w:spacing w:line="360" w:lineRule="auto"/>
        <w:jc w:val="both"/>
      </w:pPr>
      <w:r>
        <w:rPr>
          <w:rFonts w:ascii="Book Antiqua" w:eastAsia="Book Antiqua" w:hAnsi="Book Antiqua" w:cs="Book Antiqua"/>
          <w:color w:val="000000"/>
        </w:rPr>
        <w:t>Grade B (Very good): 0</w:t>
      </w:r>
    </w:p>
    <w:p w14:paraId="58BA68DE" w14:textId="77777777" w:rsidR="00A77B3E" w:rsidRDefault="00F3115B">
      <w:pPr>
        <w:spacing w:line="360" w:lineRule="auto"/>
        <w:jc w:val="both"/>
      </w:pPr>
      <w:r>
        <w:rPr>
          <w:rFonts w:ascii="Book Antiqua" w:eastAsia="Book Antiqua" w:hAnsi="Book Antiqua" w:cs="Book Antiqua"/>
          <w:color w:val="000000"/>
        </w:rPr>
        <w:t>Grade C (Good): C</w:t>
      </w:r>
    </w:p>
    <w:p w14:paraId="0255E13F" w14:textId="77777777" w:rsidR="00A77B3E" w:rsidRDefault="00F3115B">
      <w:pPr>
        <w:spacing w:line="360" w:lineRule="auto"/>
        <w:jc w:val="both"/>
      </w:pPr>
      <w:r>
        <w:rPr>
          <w:rFonts w:ascii="Book Antiqua" w:eastAsia="Book Antiqua" w:hAnsi="Book Antiqua" w:cs="Book Antiqua"/>
          <w:color w:val="000000"/>
        </w:rPr>
        <w:t>Grade D (Fair): 0</w:t>
      </w:r>
    </w:p>
    <w:p w14:paraId="33AEE423" w14:textId="77777777" w:rsidR="00A77B3E" w:rsidRDefault="00F3115B">
      <w:pPr>
        <w:spacing w:line="360" w:lineRule="auto"/>
        <w:jc w:val="both"/>
      </w:pPr>
      <w:r>
        <w:rPr>
          <w:rFonts w:ascii="Book Antiqua" w:eastAsia="Book Antiqua" w:hAnsi="Book Antiqua" w:cs="Book Antiqua"/>
          <w:color w:val="000000"/>
        </w:rPr>
        <w:t>Grade E (Poor): 0</w:t>
      </w:r>
    </w:p>
    <w:p w14:paraId="5772D9AC" w14:textId="77777777" w:rsidR="00A77B3E" w:rsidRDefault="00A77B3E">
      <w:pPr>
        <w:spacing w:line="360" w:lineRule="auto"/>
        <w:jc w:val="both"/>
      </w:pPr>
    </w:p>
    <w:p w14:paraId="724FC55B" w14:textId="46AF8D91" w:rsidR="00CC49F8" w:rsidRPr="00CC49F8" w:rsidRDefault="00F3115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Masuda A</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9506E5">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CC49F8">
        <w:rPr>
          <w:rFonts w:ascii="Book Antiqua" w:hAnsi="Book Antiqua" w:cs="Book Antiqua" w:hint="eastAsia"/>
          <w:b/>
          <w:color w:val="000000"/>
          <w:lang w:eastAsia="zh-CN"/>
        </w:rPr>
        <w:t xml:space="preserve"> </w:t>
      </w:r>
      <w:r w:rsidR="00CC49F8" w:rsidRPr="00CC49F8">
        <w:rPr>
          <w:rFonts w:ascii="Book Antiqua" w:hAnsi="Book Antiqua" w:cs="Book Antiqua" w:hint="eastAsia"/>
          <w:color w:val="000000"/>
          <w:lang w:eastAsia="zh-CN"/>
        </w:rPr>
        <w:t>Liu JH</w:t>
      </w:r>
    </w:p>
    <w:p w14:paraId="6C158CD9" w14:textId="79531935" w:rsidR="00A77B3E" w:rsidRDefault="00F311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C95A38" w14:textId="08897449" w:rsidR="00A77B3E" w:rsidRDefault="00F3115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C3ECEE4" w14:textId="3B3A94D4" w:rsidR="007255D1" w:rsidRDefault="007255D1">
      <w:pPr>
        <w:spacing w:line="360" w:lineRule="auto"/>
        <w:jc w:val="both"/>
      </w:pPr>
      <w:r>
        <w:rPr>
          <w:noProof/>
          <w:lang w:eastAsia="zh-CN"/>
        </w:rPr>
        <w:drawing>
          <wp:inline distT="0" distB="0" distL="0" distR="0" wp14:anchorId="516C6B78" wp14:editId="544F4932">
            <wp:extent cx="5943600" cy="3943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7496D3B5" w14:textId="0114E402" w:rsidR="007255D1"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views of endoscopic papillectomy and overlength biliary and pancreatic stents placement in a patient with a lesion of the major duodenal papilla. </w:t>
      </w:r>
      <w:r>
        <w:rPr>
          <w:rFonts w:ascii="Book Antiqua" w:eastAsia="Book Antiqua" w:hAnsi="Book Antiqua" w:cs="Book Antiqua"/>
          <w:color w:val="000000"/>
        </w:rPr>
        <w:t xml:space="preserve">A: Duodenoscopy revealed an exposed-type tumor mass at the major duodenal papilla; B: Endoscopic ultrasonography showed an oval-shaped hyperechoic mass on the distal common bile duct; C: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muscularis propria was observed after endoscopic papillectomy; D: Overlength biliary and pancreatic stents were placed and adjusted; E: X-ray image showed overlength stents were successfully placed; F: A scar on the major duodenal papilla three months later.</w:t>
      </w:r>
    </w:p>
    <w:p w14:paraId="1BA8A33B" w14:textId="04CE8EDA" w:rsidR="00A77B3E" w:rsidRDefault="007255D1">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34AF7BF" wp14:editId="36C7525A">
            <wp:extent cx="5943600" cy="2945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14:paraId="5944BDE4" w14:textId="670B6D1B" w:rsidR="007255D1"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Overlength biliary stent in the treatment of delayed perforation after endoscopic papillectomy. </w:t>
      </w:r>
      <w:r>
        <w:rPr>
          <w:rFonts w:ascii="Book Antiqua" w:eastAsia="Book Antiqua" w:hAnsi="Book Antiqua" w:cs="Book Antiqua"/>
          <w:color w:val="000000"/>
        </w:rPr>
        <w:t xml:space="preserve">A: Duodenoscopy revealed a huge tumor mass at the major duodenal papilla (distant range view); B: Close range view of the huge tumor mass at the major duodenal papilla; C: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muscularis propria was observed after endoscopic papillectomy; D: View of the resected specimen, showing that it was 7 cm in length; E: Conventional biliary and pancreatic plastic stents were placed after endoscopic papillectomy; F: Delayed perforation and purulent necrosis were found; G: An overlength biliary stent was placed to drain bile to the proximal jejunum (shown in the red line); H: A scar on the major duodenal papilla three months later.</w:t>
      </w:r>
    </w:p>
    <w:p w14:paraId="336EE5BA" w14:textId="3C65A23D" w:rsidR="00A77B3E" w:rsidRPr="00451F29" w:rsidRDefault="00451F29">
      <w:pPr>
        <w:spacing w:line="360" w:lineRule="auto"/>
        <w:jc w:val="both"/>
        <w:rPr>
          <w:rFonts w:ascii="Book Antiqua" w:hAnsi="Book Antiqua"/>
          <w:b/>
          <w:bCs/>
        </w:rPr>
      </w:pPr>
      <w:r>
        <w:br w:type="page"/>
      </w:r>
      <w:r w:rsidRPr="00451F29">
        <w:rPr>
          <w:rFonts w:ascii="Book Antiqua" w:hAnsi="Book Antiqua"/>
          <w:b/>
          <w:bCs/>
        </w:rPr>
        <w:t xml:space="preserve">Table 1 Baseline characteristics of </w:t>
      </w:r>
      <w:r w:rsidR="009506E5">
        <w:rPr>
          <w:rFonts w:ascii="Book Antiqua" w:hAnsi="Book Antiqua"/>
          <w:b/>
          <w:bCs/>
        </w:rPr>
        <w:t xml:space="preserve">the </w:t>
      </w:r>
      <w:r w:rsidRPr="00451F29">
        <w:rPr>
          <w:rFonts w:ascii="Book Antiqua" w:hAnsi="Book Antiqua"/>
          <w:b/>
          <w:bCs/>
        </w:rPr>
        <w:t>patients with lesions of the major duodenal papilla</w:t>
      </w:r>
    </w:p>
    <w:tbl>
      <w:tblPr>
        <w:tblW w:w="9800" w:type="dxa"/>
        <w:tblInd w:w="108" w:type="dxa"/>
        <w:tblLook w:val="04A0" w:firstRow="1" w:lastRow="0" w:firstColumn="1" w:lastColumn="0" w:noHBand="0" w:noVBand="1"/>
      </w:tblPr>
      <w:tblGrid>
        <w:gridCol w:w="693"/>
        <w:gridCol w:w="913"/>
        <w:gridCol w:w="1047"/>
        <w:gridCol w:w="2870"/>
        <w:gridCol w:w="1052"/>
        <w:gridCol w:w="3225"/>
      </w:tblGrid>
      <w:tr w:rsidR="00451F29" w:rsidRPr="00451F29" w14:paraId="17862E8A" w14:textId="77777777" w:rsidTr="004F0626">
        <w:trPr>
          <w:trHeight w:val="825"/>
        </w:trPr>
        <w:tc>
          <w:tcPr>
            <w:tcW w:w="700" w:type="dxa"/>
            <w:tcBorders>
              <w:top w:val="single" w:sz="8" w:space="0" w:color="auto"/>
              <w:left w:val="nil"/>
              <w:bottom w:val="single" w:sz="8" w:space="0" w:color="auto"/>
              <w:right w:val="nil"/>
            </w:tcBorders>
            <w:shd w:val="clear" w:color="auto" w:fill="auto"/>
            <w:vAlign w:val="center"/>
            <w:hideMark/>
          </w:tcPr>
          <w:p w14:paraId="0D86791A" w14:textId="06B8CEEF"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No</w:t>
            </w:r>
            <w:r>
              <w:rPr>
                <w:rFonts w:ascii="Book Antiqua" w:eastAsia="宋体" w:hAnsi="Book Antiqua"/>
                <w:b/>
                <w:bCs/>
                <w:color w:val="000000"/>
              </w:rPr>
              <w:t>.</w:t>
            </w:r>
          </w:p>
        </w:tc>
        <w:tc>
          <w:tcPr>
            <w:tcW w:w="940" w:type="dxa"/>
            <w:tcBorders>
              <w:top w:val="single" w:sz="8" w:space="0" w:color="auto"/>
              <w:left w:val="nil"/>
              <w:bottom w:val="single" w:sz="8" w:space="0" w:color="auto"/>
              <w:right w:val="nil"/>
            </w:tcBorders>
            <w:shd w:val="clear" w:color="auto" w:fill="auto"/>
            <w:vAlign w:val="center"/>
            <w:hideMark/>
          </w:tcPr>
          <w:p w14:paraId="7AE08779"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Sex</w:t>
            </w:r>
          </w:p>
        </w:tc>
        <w:tc>
          <w:tcPr>
            <w:tcW w:w="1080" w:type="dxa"/>
            <w:tcBorders>
              <w:top w:val="single" w:sz="8" w:space="0" w:color="auto"/>
              <w:left w:val="nil"/>
              <w:bottom w:val="single" w:sz="8" w:space="0" w:color="auto"/>
              <w:right w:val="nil"/>
            </w:tcBorders>
            <w:shd w:val="clear" w:color="auto" w:fill="auto"/>
            <w:vAlign w:val="center"/>
            <w:hideMark/>
          </w:tcPr>
          <w:p w14:paraId="12BA3388" w14:textId="49FA9B3C"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Age (y</w:t>
            </w:r>
            <w:r>
              <w:rPr>
                <w:rFonts w:ascii="Book Antiqua" w:eastAsia="宋体" w:hAnsi="Book Antiqua"/>
                <w:b/>
                <w:bCs/>
                <w:color w:val="000000"/>
              </w:rPr>
              <w:t>r</w:t>
            </w:r>
            <w:r w:rsidRPr="00451F29">
              <w:rPr>
                <w:rFonts w:ascii="Book Antiqua" w:eastAsia="宋体" w:hAnsi="Book Antiqua"/>
                <w:b/>
                <w:bCs/>
                <w:color w:val="000000"/>
              </w:rPr>
              <w:t>)</w:t>
            </w:r>
          </w:p>
        </w:tc>
        <w:tc>
          <w:tcPr>
            <w:tcW w:w="2980" w:type="dxa"/>
            <w:tcBorders>
              <w:top w:val="single" w:sz="8" w:space="0" w:color="auto"/>
              <w:left w:val="nil"/>
              <w:bottom w:val="single" w:sz="8" w:space="0" w:color="auto"/>
              <w:right w:val="nil"/>
            </w:tcBorders>
            <w:shd w:val="clear" w:color="auto" w:fill="auto"/>
            <w:vAlign w:val="center"/>
            <w:hideMark/>
          </w:tcPr>
          <w:p w14:paraId="0C57A494"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Clinical presentation</w:t>
            </w:r>
          </w:p>
        </w:tc>
        <w:tc>
          <w:tcPr>
            <w:tcW w:w="1060" w:type="dxa"/>
            <w:tcBorders>
              <w:top w:val="single" w:sz="8" w:space="0" w:color="auto"/>
              <w:left w:val="nil"/>
              <w:bottom w:val="single" w:sz="8" w:space="0" w:color="auto"/>
              <w:right w:val="nil"/>
            </w:tcBorders>
            <w:shd w:val="clear" w:color="auto" w:fill="auto"/>
            <w:vAlign w:val="center"/>
            <w:hideMark/>
          </w:tcPr>
          <w:p w14:paraId="19516FC6"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Tumor size (mm)</w:t>
            </w:r>
          </w:p>
        </w:tc>
        <w:tc>
          <w:tcPr>
            <w:tcW w:w="3040" w:type="dxa"/>
            <w:tcBorders>
              <w:top w:val="single" w:sz="8" w:space="0" w:color="auto"/>
              <w:left w:val="nil"/>
              <w:bottom w:val="single" w:sz="8" w:space="0" w:color="auto"/>
              <w:right w:val="nil"/>
            </w:tcBorders>
            <w:shd w:val="clear" w:color="auto" w:fill="auto"/>
            <w:vAlign w:val="center"/>
            <w:hideMark/>
          </w:tcPr>
          <w:p w14:paraId="6439C6A2"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Biopsy pathology</w:t>
            </w:r>
          </w:p>
        </w:tc>
      </w:tr>
      <w:tr w:rsidR="00451F29" w:rsidRPr="00451F29" w14:paraId="74FE153E" w14:textId="77777777" w:rsidTr="004F0626">
        <w:trPr>
          <w:trHeight w:val="540"/>
        </w:trPr>
        <w:tc>
          <w:tcPr>
            <w:tcW w:w="700" w:type="dxa"/>
            <w:tcBorders>
              <w:top w:val="nil"/>
              <w:left w:val="nil"/>
              <w:bottom w:val="nil"/>
              <w:right w:val="nil"/>
            </w:tcBorders>
            <w:shd w:val="clear" w:color="auto" w:fill="auto"/>
            <w:hideMark/>
          </w:tcPr>
          <w:p w14:paraId="11B41703"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w:t>
            </w:r>
          </w:p>
        </w:tc>
        <w:tc>
          <w:tcPr>
            <w:tcW w:w="940" w:type="dxa"/>
            <w:tcBorders>
              <w:top w:val="nil"/>
              <w:left w:val="nil"/>
              <w:bottom w:val="nil"/>
              <w:right w:val="nil"/>
            </w:tcBorders>
            <w:shd w:val="clear" w:color="auto" w:fill="auto"/>
            <w:hideMark/>
          </w:tcPr>
          <w:p w14:paraId="44E38E6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68D9F33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58</w:t>
            </w:r>
          </w:p>
        </w:tc>
        <w:tc>
          <w:tcPr>
            <w:tcW w:w="2980" w:type="dxa"/>
            <w:tcBorders>
              <w:top w:val="nil"/>
              <w:left w:val="nil"/>
              <w:bottom w:val="nil"/>
              <w:right w:val="nil"/>
            </w:tcBorders>
            <w:shd w:val="clear" w:color="auto" w:fill="auto"/>
            <w:hideMark/>
          </w:tcPr>
          <w:p w14:paraId="0C551007"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Abdominal pain</w:t>
            </w:r>
          </w:p>
        </w:tc>
        <w:tc>
          <w:tcPr>
            <w:tcW w:w="1060" w:type="dxa"/>
            <w:tcBorders>
              <w:top w:val="nil"/>
              <w:left w:val="nil"/>
              <w:bottom w:val="nil"/>
              <w:right w:val="nil"/>
            </w:tcBorders>
            <w:shd w:val="clear" w:color="auto" w:fill="auto"/>
            <w:hideMark/>
          </w:tcPr>
          <w:p w14:paraId="36549E1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20</w:t>
            </w:r>
          </w:p>
        </w:tc>
        <w:tc>
          <w:tcPr>
            <w:tcW w:w="3040" w:type="dxa"/>
            <w:tcBorders>
              <w:top w:val="nil"/>
              <w:left w:val="nil"/>
              <w:bottom w:val="nil"/>
              <w:right w:val="nil"/>
            </w:tcBorders>
            <w:shd w:val="clear" w:color="auto" w:fill="auto"/>
            <w:hideMark/>
          </w:tcPr>
          <w:p w14:paraId="6742492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Adenomatoid hyperplasia/LGD</w:t>
            </w:r>
          </w:p>
        </w:tc>
      </w:tr>
      <w:tr w:rsidR="00451F29" w:rsidRPr="00451F29" w14:paraId="114CC87F" w14:textId="77777777" w:rsidTr="004F0626">
        <w:trPr>
          <w:trHeight w:val="270"/>
        </w:trPr>
        <w:tc>
          <w:tcPr>
            <w:tcW w:w="700" w:type="dxa"/>
            <w:tcBorders>
              <w:top w:val="nil"/>
              <w:left w:val="nil"/>
              <w:bottom w:val="nil"/>
              <w:right w:val="nil"/>
            </w:tcBorders>
            <w:shd w:val="clear" w:color="auto" w:fill="auto"/>
            <w:hideMark/>
          </w:tcPr>
          <w:p w14:paraId="5281D9D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w:t>
            </w:r>
          </w:p>
        </w:tc>
        <w:tc>
          <w:tcPr>
            <w:tcW w:w="940" w:type="dxa"/>
            <w:tcBorders>
              <w:top w:val="nil"/>
              <w:left w:val="nil"/>
              <w:bottom w:val="nil"/>
              <w:right w:val="nil"/>
            </w:tcBorders>
            <w:shd w:val="clear" w:color="auto" w:fill="auto"/>
            <w:hideMark/>
          </w:tcPr>
          <w:p w14:paraId="5A8E0F26"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16E8180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73</w:t>
            </w:r>
          </w:p>
        </w:tc>
        <w:tc>
          <w:tcPr>
            <w:tcW w:w="2980" w:type="dxa"/>
            <w:tcBorders>
              <w:top w:val="nil"/>
              <w:left w:val="nil"/>
              <w:bottom w:val="nil"/>
              <w:right w:val="nil"/>
            </w:tcBorders>
            <w:shd w:val="clear" w:color="auto" w:fill="auto"/>
            <w:hideMark/>
          </w:tcPr>
          <w:p w14:paraId="60EF45C5"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5654865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17</w:t>
            </w:r>
          </w:p>
        </w:tc>
        <w:tc>
          <w:tcPr>
            <w:tcW w:w="3040" w:type="dxa"/>
            <w:tcBorders>
              <w:top w:val="nil"/>
              <w:left w:val="nil"/>
              <w:bottom w:val="nil"/>
              <w:right w:val="nil"/>
            </w:tcBorders>
            <w:shd w:val="clear" w:color="auto" w:fill="auto"/>
            <w:hideMark/>
          </w:tcPr>
          <w:p w14:paraId="03B3519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Tubular adenoma</w:t>
            </w:r>
          </w:p>
        </w:tc>
      </w:tr>
      <w:tr w:rsidR="00451F29" w:rsidRPr="00451F29" w14:paraId="29ACD289" w14:textId="77777777" w:rsidTr="004F0626">
        <w:trPr>
          <w:trHeight w:val="270"/>
        </w:trPr>
        <w:tc>
          <w:tcPr>
            <w:tcW w:w="700" w:type="dxa"/>
            <w:tcBorders>
              <w:top w:val="nil"/>
              <w:left w:val="nil"/>
              <w:bottom w:val="nil"/>
              <w:right w:val="nil"/>
            </w:tcBorders>
            <w:shd w:val="clear" w:color="auto" w:fill="auto"/>
            <w:hideMark/>
          </w:tcPr>
          <w:p w14:paraId="49B4790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3</w:t>
            </w:r>
          </w:p>
        </w:tc>
        <w:tc>
          <w:tcPr>
            <w:tcW w:w="940" w:type="dxa"/>
            <w:tcBorders>
              <w:top w:val="nil"/>
              <w:left w:val="nil"/>
              <w:bottom w:val="nil"/>
              <w:right w:val="nil"/>
            </w:tcBorders>
            <w:shd w:val="clear" w:color="auto" w:fill="auto"/>
            <w:hideMark/>
          </w:tcPr>
          <w:p w14:paraId="2B946AB9"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77CEF8DF"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50</w:t>
            </w:r>
          </w:p>
        </w:tc>
        <w:tc>
          <w:tcPr>
            <w:tcW w:w="2980" w:type="dxa"/>
            <w:tcBorders>
              <w:top w:val="nil"/>
              <w:left w:val="nil"/>
              <w:bottom w:val="nil"/>
              <w:right w:val="nil"/>
            </w:tcBorders>
            <w:shd w:val="clear" w:color="auto" w:fill="auto"/>
            <w:hideMark/>
          </w:tcPr>
          <w:p w14:paraId="5A2E6FA8"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427E688E"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25</w:t>
            </w:r>
          </w:p>
        </w:tc>
        <w:tc>
          <w:tcPr>
            <w:tcW w:w="3040" w:type="dxa"/>
            <w:tcBorders>
              <w:top w:val="nil"/>
              <w:left w:val="nil"/>
              <w:bottom w:val="nil"/>
              <w:right w:val="nil"/>
            </w:tcBorders>
            <w:shd w:val="clear" w:color="auto" w:fill="auto"/>
            <w:hideMark/>
          </w:tcPr>
          <w:p w14:paraId="067DF857"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Adenomatoid hyperplasia</w:t>
            </w:r>
          </w:p>
        </w:tc>
      </w:tr>
      <w:tr w:rsidR="00451F29" w:rsidRPr="00451F29" w14:paraId="0A4A2BBF" w14:textId="77777777" w:rsidTr="004F0626">
        <w:trPr>
          <w:trHeight w:val="540"/>
        </w:trPr>
        <w:tc>
          <w:tcPr>
            <w:tcW w:w="700" w:type="dxa"/>
            <w:tcBorders>
              <w:top w:val="nil"/>
              <w:left w:val="nil"/>
              <w:bottom w:val="nil"/>
              <w:right w:val="nil"/>
            </w:tcBorders>
            <w:shd w:val="clear" w:color="auto" w:fill="auto"/>
            <w:hideMark/>
          </w:tcPr>
          <w:p w14:paraId="66159CB2"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4</w:t>
            </w:r>
          </w:p>
        </w:tc>
        <w:tc>
          <w:tcPr>
            <w:tcW w:w="940" w:type="dxa"/>
            <w:tcBorders>
              <w:top w:val="nil"/>
              <w:left w:val="nil"/>
              <w:bottom w:val="nil"/>
              <w:right w:val="nil"/>
            </w:tcBorders>
            <w:shd w:val="clear" w:color="auto" w:fill="auto"/>
            <w:hideMark/>
          </w:tcPr>
          <w:p w14:paraId="66294B14"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5932261D"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79</w:t>
            </w:r>
          </w:p>
        </w:tc>
        <w:tc>
          <w:tcPr>
            <w:tcW w:w="2980" w:type="dxa"/>
            <w:tcBorders>
              <w:top w:val="nil"/>
              <w:left w:val="nil"/>
              <w:bottom w:val="nil"/>
              <w:right w:val="nil"/>
            </w:tcBorders>
            <w:shd w:val="clear" w:color="auto" w:fill="auto"/>
            <w:hideMark/>
          </w:tcPr>
          <w:p w14:paraId="73ED1D4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6A89C2A0"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35</w:t>
            </w:r>
          </w:p>
        </w:tc>
        <w:tc>
          <w:tcPr>
            <w:tcW w:w="3040" w:type="dxa"/>
            <w:tcBorders>
              <w:top w:val="nil"/>
              <w:left w:val="nil"/>
              <w:bottom w:val="nil"/>
              <w:right w:val="nil"/>
            </w:tcBorders>
            <w:shd w:val="clear" w:color="auto" w:fill="auto"/>
            <w:hideMark/>
          </w:tcPr>
          <w:p w14:paraId="41FC620C" w14:textId="5F7FC53D"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Inflammation/</w:t>
            </w:r>
            <w:r w:rsidR="008E6C6F">
              <w:rPr>
                <w:rFonts w:ascii="Book Antiqua" w:eastAsia="宋体" w:hAnsi="Book Antiqua"/>
                <w:color w:val="000000"/>
              </w:rPr>
              <w:t>a</w:t>
            </w:r>
            <w:r w:rsidRPr="00451F29">
              <w:rPr>
                <w:rFonts w:ascii="Book Antiqua" w:eastAsia="宋体" w:hAnsi="Book Antiqua"/>
                <w:color w:val="000000"/>
              </w:rPr>
              <w:t>denomatoid hyperplasia</w:t>
            </w:r>
          </w:p>
        </w:tc>
      </w:tr>
      <w:tr w:rsidR="00451F29" w:rsidRPr="00451F29" w14:paraId="549FC695" w14:textId="77777777" w:rsidTr="004F0626">
        <w:trPr>
          <w:trHeight w:val="555"/>
        </w:trPr>
        <w:tc>
          <w:tcPr>
            <w:tcW w:w="700" w:type="dxa"/>
            <w:tcBorders>
              <w:top w:val="nil"/>
              <w:left w:val="nil"/>
              <w:bottom w:val="single" w:sz="8" w:space="0" w:color="auto"/>
              <w:right w:val="nil"/>
            </w:tcBorders>
            <w:shd w:val="clear" w:color="auto" w:fill="auto"/>
            <w:hideMark/>
          </w:tcPr>
          <w:p w14:paraId="5A7CF98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w:t>
            </w:r>
          </w:p>
        </w:tc>
        <w:tc>
          <w:tcPr>
            <w:tcW w:w="940" w:type="dxa"/>
            <w:tcBorders>
              <w:top w:val="nil"/>
              <w:left w:val="nil"/>
              <w:bottom w:val="single" w:sz="8" w:space="0" w:color="auto"/>
              <w:right w:val="nil"/>
            </w:tcBorders>
            <w:shd w:val="clear" w:color="auto" w:fill="auto"/>
            <w:hideMark/>
          </w:tcPr>
          <w:p w14:paraId="077CAFC5"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single" w:sz="8" w:space="0" w:color="auto"/>
              <w:right w:val="nil"/>
            </w:tcBorders>
            <w:shd w:val="clear" w:color="auto" w:fill="auto"/>
            <w:hideMark/>
          </w:tcPr>
          <w:p w14:paraId="556FCD3D"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56</w:t>
            </w:r>
          </w:p>
        </w:tc>
        <w:tc>
          <w:tcPr>
            <w:tcW w:w="2980" w:type="dxa"/>
            <w:tcBorders>
              <w:top w:val="nil"/>
              <w:left w:val="nil"/>
              <w:bottom w:val="single" w:sz="8" w:space="0" w:color="auto"/>
              <w:right w:val="nil"/>
            </w:tcBorders>
            <w:shd w:val="clear" w:color="auto" w:fill="auto"/>
            <w:hideMark/>
          </w:tcPr>
          <w:p w14:paraId="3D219199"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Abdominal pain</w:t>
            </w:r>
          </w:p>
        </w:tc>
        <w:tc>
          <w:tcPr>
            <w:tcW w:w="1060" w:type="dxa"/>
            <w:tcBorders>
              <w:top w:val="nil"/>
              <w:left w:val="nil"/>
              <w:bottom w:val="single" w:sz="8" w:space="0" w:color="auto"/>
              <w:right w:val="nil"/>
            </w:tcBorders>
            <w:shd w:val="clear" w:color="auto" w:fill="auto"/>
            <w:hideMark/>
          </w:tcPr>
          <w:p w14:paraId="4BDB7EC3"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15</w:t>
            </w:r>
          </w:p>
        </w:tc>
        <w:tc>
          <w:tcPr>
            <w:tcW w:w="3040" w:type="dxa"/>
            <w:tcBorders>
              <w:top w:val="nil"/>
              <w:left w:val="nil"/>
              <w:bottom w:val="single" w:sz="8" w:space="0" w:color="auto"/>
              <w:right w:val="nil"/>
            </w:tcBorders>
            <w:shd w:val="clear" w:color="auto" w:fill="auto"/>
            <w:hideMark/>
          </w:tcPr>
          <w:p w14:paraId="3E9AD30F" w14:textId="04B6B42E" w:rsidR="00451F29" w:rsidRPr="00451F29" w:rsidRDefault="00451F29" w:rsidP="00451F29">
            <w:pPr>
              <w:spacing w:line="360" w:lineRule="auto"/>
              <w:rPr>
                <w:rFonts w:ascii="Book Antiqua" w:eastAsia="宋体" w:hAnsi="Book Antiqua"/>
                <w:color w:val="000000"/>
                <w:lang w:eastAsia="zh-CN"/>
              </w:rPr>
            </w:pPr>
            <w:r w:rsidRPr="00451F29">
              <w:rPr>
                <w:rFonts w:ascii="Book Antiqua" w:eastAsia="宋体" w:hAnsi="Book Antiqua"/>
                <w:color w:val="000000"/>
              </w:rPr>
              <w:t>Inflammation/HGD/</w:t>
            </w:r>
            <w:r w:rsidR="008E6C6F">
              <w:rPr>
                <w:rFonts w:ascii="Book Antiqua" w:eastAsia="宋体" w:hAnsi="Book Antiqua"/>
                <w:color w:val="000000"/>
              </w:rPr>
              <w:t>f</w:t>
            </w:r>
            <w:r w:rsidRPr="00451F29">
              <w:rPr>
                <w:rFonts w:ascii="Book Antiqua" w:eastAsia="宋体" w:hAnsi="Book Antiqua"/>
                <w:color w:val="000000"/>
              </w:rPr>
              <w:t>ield cancerization</w:t>
            </w:r>
            <w:r>
              <w:rPr>
                <w:rFonts w:ascii="Book Antiqua" w:eastAsia="宋体" w:hAnsi="Book Antiqua" w:hint="eastAsia"/>
                <w:color w:val="000000"/>
                <w:lang w:eastAsia="zh-CN"/>
              </w:rPr>
              <w:t>?</w:t>
            </w:r>
          </w:p>
        </w:tc>
      </w:tr>
    </w:tbl>
    <w:p w14:paraId="670FACE3" w14:textId="6C5B56E5" w:rsidR="00451F29" w:rsidRDefault="00451F29">
      <w:pPr>
        <w:spacing w:line="360" w:lineRule="auto"/>
        <w:jc w:val="both"/>
        <w:rPr>
          <w:rFonts w:ascii="Book Antiqua" w:hAnsi="Book Antiqua"/>
        </w:rPr>
      </w:pPr>
      <w:r w:rsidRPr="00451F29">
        <w:rPr>
          <w:rFonts w:ascii="Book Antiqua" w:hAnsi="Book Antiqua"/>
        </w:rPr>
        <w:t>M</w:t>
      </w:r>
      <w:r>
        <w:rPr>
          <w:rFonts w:ascii="Book Antiqua" w:hAnsi="Book Antiqua"/>
        </w:rPr>
        <w:t>:</w:t>
      </w:r>
      <w:r w:rsidRPr="00451F29">
        <w:rPr>
          <w:rFonts w:ascii="Book Antiqua" w:hAnsi="Book Antiqua"/>
        </w:rPr>
        <w:t xml:space="preserve"> </w:t>
      </w:r>
      <w:r>
        <w:rPr>
          <w:rFonts w:ascii="Book Antiqua" w:hAnsi="Book Antiqua"/>
        </w:rPr>
        <w:t>M</w:t>
      </w:r>
      <w:r w:rsidRPr="00451F29">
        <w:rPr>
          <w:rFonts w:ascii="Book Antiqua" w:hAnsi="Book Antiqua"/>
        </w:rPr>
        <w:t>ale; LGD</w:t>
      </w:r>
      <w:r>
        <w:rPr>
          <w:rFonts w:ascii="Book Antiqua" w:hAnsi="Book Antiqua"/>
        </w:rPr>
        <w:t>: L</w:t>
      </w:r>
      <w:r w:rsidRPr="00451F29">
        <w:rPr>
          <w:rFonts w:ascii="Book Antiqua" w:hAnsi="Book Antiqua"/>
        </w:rPr>
        <w:t>ow-grade dysplasia; HGD</w:t>
      </w:r>
      <w:r>
        <w:rPr>
          <w:rFonts w:ascii="Book Antiqua" w:hAnsi="Book Antiqua"/>
        </w:rPr>
        <w:t>: H</w:t>
      </w:r>
      <w:r w:rsidRPr="00451F29">
        <w:rPr>
          <w:rFonts w:ascii="Book Antiqua" w:hAnsi="Book Antiqua"/>
        </w:rPr>
        <w:t>igh-grade dysplasia.</w:t>
      </w:r>
    </w:p>
    <w:p w14:paraId="770094DA" w14:textId="14516B20" w:rsidR="00451F29" w:rsidRDefault="00451F29">
      <w:pPr>
        <w:spacing w:line="360" w:lineRule="auto"/>
        <w:jc w:val="both"/>
        <w:rPr>
          <w:rFonts w:ascii="Book Antiqua" w:hAnsi="Book Antiqua"/>
          <w:b/>
          <w:bCs/>
        </w:rPr>
      </w:pPr>
      <w:r>
        <w:rPr>
          <w:rFonts w:ascii="Book Antiqua" w:hAnsi="Book Antiqua"/>
        </w:rPr>
        <w:br w:type="page"/>
      </w:r>
      <w:r w:rsidRPr="00451F29">
        <w:rPr>
          <w:rFonts w:ascii="Book Antiqua" w:hAnsi="Book Antiqua"/>
          <w:b/>
          <w:bCs/>
        </w:rPr>
        <w:t>Table 2 Technical results and patient outcomes</w:t>
      </w:r>
    </w:p>
    <w:tbl>
      <w:tblPr>
        <w:tblW w:w="10409" w:type="dxa"/>
        <w:jc w:val="right"/>
        <w:tblLayout w:type="fixed"/>
        <w:tblLook w:val="04A0" w:firstRow="1" w:lastRow="0" w:firstColumn="1" w:lastColumn="0" w:noHBand="0" w:noVBand="1"/>
      </w:tblPr>
      <w:tblGrid>
        <w:gridCol w:w="709"/>
        <w:gridCol w:w="769"/>
        <w:gridCol w:w="932"/>
        <w:gridCol w:w="992"/>
        <w:gridCol w:w="1276"/>
        <w:gridCol w:w="1276"/>
        <w:gridCol w:w="850"/>
        <w:gridCol w:w="993"/>
        <w:gridCol w:w="1053"/>
        <w:gridCol w:w="709"/>
        <w:gridCol w:w="850"/>
      </w:tblGrid>
      <w:tr w:rsidR="00C65923" w:rsidRPr="00C65923" w14:paraId="31DF3051" w14:textId="77777777" w:rsidTr="00C65923">
        <w:trPr>
          <w:trHeight w:val="1095"/>
          <w:jc w:val="right"/>
        </w:trPr>
        <w:tc>
          <w:tcPr>
            <w:tcW w:w="709" w:type="dxa"/>
            <w:tcBorders>
              <w:top w:val="single" w:sz="8" w:space="0" w:color="auto"/>
              <w:left w:val="nil"/>
              <w:bottom w:val="single" w:sz="8" w:space="0" w:color="auto"/>
              <w:right w:val="nil"/>
            </w:tcBorders>
            <w:shd w:val="clear" w:color="auto" w:fill="auto"/>
            <w:vAlign w:val="center"/>
            <w:hideMark/>
          </w:tcPr>
          <w:p w14:paraId="029423DE" w14:textId="77777777" w:rsidR="00C65923" w:rsidRPr="00C65923" w:rsidRDefault="00C65923" w:rsidP="00C65923">
            <w:pPr>
              <w:spacing w:line="360" w:lineRule="auto"/>
              <w:rPr>
                <w:rFonts w:ascii="Book Antiqua" w:eastAsia="宋体" w:hAnsi="Book Antiqua"/>
                <w:b/>
                <w:bCs/>
                <w:color w:val="000000"/>
              </w:rPr>
            </w:pPr>
            <w:bookmarkStart w:id="5" w:name="_Hlk52049173"/>
            <w:r w:rsidRPr="00C65923">
              <w:rPr>
                <w:rFonts w:ascii="Book Antiqua" w:eastAsia="宋体" w:hAnsi="Book Antiqua"/>
                <w:b/>
                <w:bCs/>
                <w:color w:val="000000"/>
              </w:rPr>
              <w:t>No.</w:t>
            </w:r>
          </w:p>
        </w:tc>
        <w:tc>
          <w:tcPr>
            <w:tcW w:w="769" w:type="dxa"/>
            <w:tcBorders>
              <w:top w:val="single" w:sz="8" w:space="0" w:color="auto"/>
              <w:left w:val="nil"/>
              <w:bottom w:val="single" w:sz="8" w:space="0" w:color="auto"/>
              <w:right w:val="nil"/>
            </w:tcBorders>
            <w:shd w:val="clear" w:color="auto" w:fill="auto"/>
            <w:vAlign w:val="center"/>
            <w:hideMark/>
          </w:tcPr>
          <w:p w14:paraId="0830BB57"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Tumor size (mm)</w:t>
            </w:r>
          </w:p>
        </w:tc>
        <w:tc>
          <w:tcPr>
            <w:tcW w:w="932" w:type="dxa"/>
            <w:tcBorders>
              <w:top w:val="single" w:sz="8" w:space="0" w:color="auto"/>
              <w:left w:val="nil"/>
              <w:bottom w:val="single" w:sz="8" w:space="0" w:color="auto"/>
              <w:right w:val="nil"/>
            </w:tcBorders>
            <w:shd w:val="clear" w:color="auto" w:fill="auto"/>
            <w:vAlign w:val="center"/>
            <w:hideMark/>
          </w:tcPr>
          <w:p w14:paraId="508FBB38"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Submucosal injection</w:t>
            </w:r>
          </w:p>
        </w:tc>
        <w:tc>
          <w:tcPr>
            <w:tcW w:w="992" w:type="dxa"/>
            <w:tcBorders>
              <w:top w:val="single" w:sz="8" w:space="0" w:color="auto"/>
              <w:left w:val="nil"/>
              <w:bottom w:val="single" w:sz="8" w:space="0" w:color="auto"/>
              <w:right w:val="nil"/>
            </w:tcBorders>
            <w:shd w:val="clear" w:color="auto" w:fill="auto"/>
            <w:vAlign w:val="center"/>
            <w:hideMark/>
          </w:tcPr>
          <w:p w14:paraId="350E302C"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Resection</w:t>
            </w:r>
          </w:p>
        </w:tc>
        <w:tc>
          <w:tcPr>
            <w:tcW w:w="1276" w:type="dxa"/>
            <w:tcBorders>
              <w:top w:val="single" w:sz="8" w:space="0" w:color="auto"/>
              <w:left w:val="nil"/>
              <w:bottom w:val="single" w:sz="8" w:space="0" w:color="auto"/>
              <w:right w:val="nil"/>
            </w:tcBorders>
            <w:shd w:val="clear" w:color="auto" w:fill="auto"/>
            <w:vAlign w:val="center"/>
            <w:hideMark/>
          </w:tcPr>
          <w:p w14:paraId="7C5AD48F"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Length of biliary stent T/D (mm)</w:t>
            </w:r>
          </w:p>
        </w:tc>
        <w:tc>
          <w:tcPr>
            <w:tcW w:w="1276" w:type="dxa"/>
            <w:tcBorders>
              <w:top w:val="single" w:sz="8" w:space="0" w:color="auto"/>
              <w:left w:val="nil"/>
              <w:bottom w:val="single" w:sz="8" w:space="0" w:color="auto"/>
              <w:right w:val="nil"/>
            </w:tcBorders>
            <w:shd w:val="clear" w:color="auto" w:fill="auto"/>
            <w:vAlign w:val="center"/>
            <w:hideMark/>
          </w:tcPr>
          <w:p w14:paraId="43996437"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Length of pancreatic stents T/D (mm)</w:t>
            </w:r>
          </w:p>
        </w:tc>
        <w:tc>
          <w:tcPr>
            <w:tcW w:w="850" w:type="dxa"/>
            <w:tcBorders>
              <w:top w:val="single" w:sz="8" w:space="0" w:color="auto"/>
              <w:left w:val="nil"/>
              <w:bottom w:val="single" w:sz="8" w:space="0" w:color="auto"/>
              <w:right w:val="nil"/>
            </w:tcBorders>
            <w:shd w:val="clear" w:color="auto" w:fill="auto"/>
            <w:vAlign w:val="center"/>
            <w:hideMark/>
          </w:tcPr>
          <w:p w14:paraId="6EA66BF8" w14:textId="01BAAD0A"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Operative time (min)</w:t>
            </w:r>
          </w:p>
        </w:tc>
        <w:tc>
          <w:tcPr>
            <w:tcW w:w="993" w:type="dxa"/>
            <w:tcBorders>
              <w:top w:val="single" w:sz="8" w:space="0" w:color="auto"/>
              <w:left w:val="nil"/>
              <w:bottom w:val="single" w:sz="8" w:space="0" w:color="auto"/>
              <w:right w:val="nil"/>
            </w:tcBorders>
            <w:shd w:val="clear" w:color="auto" w:fill="auto"/>
            <w:vAlign w:val="center"/>
            <w:hideMark/>
          </w:tcPr>
          <w:p w14:paraId="0188E8B5"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Complications</w:t>
            </w:r>
          </w:p>
        </w:tc>
        <w:tc>
          <w:tcPr>
            <w:tcW w:w="1053" w:type="dxa"/>
            <w:tcBorders>
              <w:top w:val="single" w:sz="8" w:space="0" w:color="auto"/>
              <w:left w:val="nil"/>
              <w:bottom w:val="single" w:sz="8" w:space="0" w:color="auto"/>
              <w:right w:val="nil"/>
            </w:tcBorders>
            <w:shd w:val="clear" w:color="auto" w:fill="auto"/>
            <w:vAlign w:val="center"/>
            <w:hideMark/>
          </w:tcPr>
          <w:p w14:paraId="7C541289"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Additional therapy</w:t>
            </w:r>
          </w:p>
        </w:tc>
        <w:tc>
          <w:tcPr>
            <w:tcW w:w="709" w:type="dxa"/>
            <w:tcBorders>
              <w:top w:val="single" w:sz="8" w:space="0" w:color="auto"/>
              <w:left w:val="nil"/>
              <w:bottom w:val="single" w:sz="8" w:space="0" w:color="auto"/>
              <w:right w:val="nil"/>
            </w:tcBorders>
            <w:shd w:val="clear" w:color="auto" w:fill="auto"/>
            <w:vAlign w:val="center"/>
            <w:hideMark/>
          </w:tcPr>
          <w:p w14:paraId="4058071C"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Recurrence</w:t>
            </w:r>
          </w:p>
        </w:tc>
        <w:tc>
          <w:tcPr>
            <w:tcW w:w="850" w:type="dxa"/>
            <w:tcBorders>
              <w:top w:val="single" w:sz="8" w:space="0" w:color="auto"/>
              <w:left w:val="nil"/>
              <w:bottom w:val="single" w:sz="8" w:space="0" w:color="auto"/>
              <w:right w:val="nil"/>
            </w:tcBorders>
            <w:shd w:val="clear" w:color="auto" w:fill="auto"/>
            <w:vAlign w:val="center"/>
            <w:hideMark/>
          </w:tcPr>
          <w:p w14:paraId="0C158D6C" w14:textId="681FE4DE"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Follow-up (mo)</w:t>
            </w:r>
          </w:p>
        </w:tc>
      </w:tr>
      <w:tr w:rsidR="00C65923" w:rsidRPr="00C65923" w14:paraId="742E813C" w14:textId="77777777" w:rsidTr="00C65923">
        <w:trPr>
          <w:trHeight w:val="540"/>
          <w:jc w:val="right"/>
        </w:trPr>
        <w:tc>
          <w:tcPr>
            <w:tcW w:w="709" w:type="dxa"/>
            <w:tcBorders>
              <w:top w:val="nil"/>
              <w:left w:val="nil"/>
              <w:bottom w:val="nil"/>
              <w:right w:val="nil"/>
            </w:tcBorders>
            <w:shd w:val="clear" w:color="auto" w:fill="auto"/>
            <w:hideMark/>
          </w:tcPr>
          <w:p w14:paraId="5A4D633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w:t>
            </w:r>
          </w:p>
        </w:tc>
        <w:tc>
          <w:tcPr>
            <w:tcW w:w="769" w:type="dxa"/>
            <w:tcBorders>
              <w:top w:val="nil"/>
              <w:left w:val="nil"/>
              <w:bottom w:val="nil"/>
              <w:right w:val="nil"/>
            </w:tcBorders>
            <w:shd w:val="clear" w:color="auto" w:fill="auto"/>
            <w:hideMark/>
          </w:tcPr>
          <w:p w14:paraId="65E46CB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20</w:t>
            </w:r>
          </w:p>
        </w:tc>
        <w:tc>
          <w:tcPr>
            <w:tcW w:w="932" w:type="dxa"/>
            <w:tcBorders>
              <w:top w:val="nil"/>
              <w:left w:val="nil"/>
              <w:bottom w:val="nil"/>
              <w:right w:val="nil"/>
            </w:tcBorders>
            <w:shd w:val="clear" w:color="auto" w:fill="auto"/>
            <w:hideMark/>
          </w:tcPr>
          <w:p w14:paraId="072B1DEB" w14:textId="63437B72"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1C2782C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En bloc</w:t>
            </w:r>
          </w:p>
        </w:tc>
        <w:tc>
          <w:tcPr>
            <w:tcW w:w="1276" w:type="dxa"/>
            <w:tcBorders>
              <w:top w:val="nil"/>
              <w:left w:val="nil"/>
              <w:bottom w:val="nil"/>
              <w:right w:val="nil"/>
            </w:tcBorders>
            <w:shd w:val="clear" w:color="auto" w:fill="auto"/>
            <w:hideMark/>
          </w:tcPr>
          <w:p w14:paraId="32D023C5"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35/13</w:t>
            </w:r>
          </w:p>
        </w:tc>
        <w:tc>
          <w:tcPr>
            <w:tcW w:w="1276" w:type="dxa"/>
            <w:tcBorders>
              <w:top w:val="nil"/>
              <w:left w:val="nil"/>
              <w:bottom w:val="nil"/>
              <w:right w:val="nil"/>
            </w:tcBorders>
            <w:shd w:val="clear" w:color="auto" w:fill="auto"/>
            <w:hideMark/>
          </w:tcPr>
          <w:p w14:paraId="75F9077E"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6DA15F30"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61</w:t>
            </w:r>
          </w:p>
        </w:tc>
        <w:tc>
          <w:tcPr>
            <w:tcW w:w="993" w:type="dxa"/>
            <w:tcBorders>
              <w:top w:val="nil"/>
              <w:left w:val="nil"/>
              <w:bottom w:val="nil"/>
              <w:right w:val="nil"/>
            </w:tcBorders>
            <w:shd w:val="clear" w:color="auto" w:fill="auto"/>
            <w:hideMark/>
          </w:tcPr>
          <w:p w14:paraId="62CD9C5C" w14:textId="37C2940A"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04F4733B"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PPPD</w:t>
            </w:r>
          </w:p>
        </w:tc>
        <w:tc>
          <w:tcPr>
            <w:tcW w:w="709" w:type="dxa"/>
            <w:tcBorders>
              <w:top w:val="nil"/>
              <w:left w:val="nil"/>
              <w:bottom w:val="nil"/>
              <w:right w:val="nil"/>
            </w:tcBorders>
            <w:shd w:val="clear" w:color="auto" w:fill="auto"/>
            <w:hideMark/>
          </w:tcPr>
          <w:p w14:paraId="30F550F0" w14:textId="67C9E85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4E2ECAFF"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17</w:t>
            </w:r>
          </w:p>
        </w:tc>
      </w:tr>
      <w:tr w:rsidR="00C65923" w:rsidRPr="00C65923" w14:paraId="192965E3" w14:textId="77777777" w:rsidTr="00C65923">
        <w:trPr>
          <w:trHeight w:val="540"/>
          <w:jc w:val="right"/>
        </w:trPr>
        <w:tc>
          <w:tcPr>
            <w:tcW w:w="709" w:type="dxa"/>
            <w:tcBorders>
              <w:top w:val="nil"/>
              <w:left w:val="nil"/>
              <w:bottom w:val="nil"/>
              <w:right w:val="nil"/>
            </w:tcBorders>
            <w:shd w:val="clear" w:color="auto" w:fill="auto"/>
            <w:hideMark/>
          </w:tcPr>
          <w:p w14:paraId="3720CA8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w:t>
            </w:r>
          </w:p>
        </w:tc>
        <w:tc>
          <w:tcPr>
            <w:tcW w:w="769" w:type="dxa"/>
            <w:tcBorders>
              <w:top w:val="nil"/>
              <w:left w:val="nil"/>
              <w:bottom w:val="nil"/>
              <w:right w:val="nil"/>
            </w:tcBorders>
            <w:shd w:val="clear" w:color="auto" w:fill="auto"/>
            <w:hideMark/>
          </w:tcPr>
          <w:p w14:paraId="0005FD3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17</w:t>
            </w:r>
          </w:p>
        </w:tc>
        <w:tc>
          <w:tcPr>
            <w:tcW w:w="932" w:type="dxa"/>
            <w:tcBorders>
              <w:top w:val="nil"/>
              <w:left w:val="nil"/>
              <w:bottom w:val="nil"/>
              <w:right w:val="nil"/>
            </w:tcBorders>
            <w:shd w:val="clear" w:color="auto" w:fill="auto"/>
            <w:hideMark/>
          </w:tcPr>
          <w:p w14:paraId="00CF5FCE" w14:textId="2713FCC0"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2E9AFFE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En bloc</w:t>
            </w:r>
          </w:p>
        </w:tc>
        <w:tc>
          <w:tcPr>
            <w:tcW w:w="1276" w:type="dxa"/>
            <w:tcBorders>
              <w:top w:val="nil"/>
              <w:left w:val="nil"/>
              <w:bottom w:val="nil"/>
              <w:right w:val="nil"/>
            </w:tcBorders>
            <w:shd w:val="clear" w:color="auto" w:fill="auto"/>
            <w:hideMark/>
          </w:tcPr>
          <w:p w14:paraId="0B576261"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35/13</w:t>
            </w:r>
          </w:p>
        </w:tc>
        <w:tc>
          <w:tcPr>
            <w:tcW w:w="1276" w:type="dxa"/>
            <w:tcBorders>
              <w:top w:val="nil"/>
              <w:left w:val="nil"/>
              <w:bottom w:val="nil"/>
              <w:right w:val="nil"/>
            </w:tcBorders>
            <w:shd w:val="clear" w:color="auto" w:fill="auto"/>
            <w:hideMark/>
          </w:tcPr>
          <w:p w14:paraId="3265E6A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0A4DD0A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55</w:t>
            </w:r>
          </w:p>
        </w:tc>
        <w:tc>
          <w:tcPr>
            <w:tcW w:w="993" w:type="dxa"/>
            <w:tcBorders>
              <w:top w:val="nil"/>
              <w:left w:val="nil"/>
              <w:bottom w:val="nil"/>
              <w:right w:val="nil"/>
            </w:tcBorders>
            <w:shd w:val="clear" w:color="auto" w:fill="auto"/>
            <w:noWrap/>
            <w:hideMark/>
          </w:tcPr>
          <w:p w14:paraId="664B2352" w14:textId="77777777" w:rsidR="00C65923" w:rsidRPr="00C65923" w:rsidRDefault="00C65923" w:rsidP="00C65923">
            <w:pPr>
              <w:spacing w:line="360" w:lineRule="auto"/>
              <w:rPr>
                <w:rFonts w:ascii="Book Antiqua" w:eastAsia="宋体" w:hAnsi="Book Antiqua"/>
              </w:rPr>
            </w:pPr>
            <w:r w:rsidRPr="00C65923">
              <w:rPr>
                <w:rFonts w:ascii="Book Antiqua" w:eastAsia="宋体" w:hAnsi="Book Antiqua"/>
              </w:rPr>
              <w:t>Panceatitis</w:t>
            </w:r>
          </w:p>
        </w:tc>
        <w:tc>
          <w:tcPr>
            <w:tcW w:w="1053" w:type="dxa"/>
            <w:tcBorders>
              <w:top w:val="nil"/>
              <w:left w:val="nil"/>
              <w:bottom w:val="nil"/>
              <w:right w:val="nil"/>
            </w:tcBorders>
            <w:shd w:val="clear" w:color="auto" w:fill="auto"/>
            <w:hideMark/>
          </w:tcPr>
          <w:p w14:paraId="6B96F843" w14:textId="31C58A31"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19BF010D" w14:textId="72BB726D"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4F9819FA"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15</w:t>
            </w:r>
          </w:p>
        </w:tc>
      </w:tr>
      <w:tr w:rsidR="00C65923" w:rsidRPr="00C65923" w14:paraId="5D66AAF7" w14:textId="77777777" w:rsidTr="00C65923">
        <w:trPr>
          <w:trHeight w:val="540"/>
          <w:jc w:val="right"/>
        </w:trPr>
        <w:tc>
          <w:tcPr>
            <w:tcW w:w="709" w:type="dxa"/>
            <w:tcBorders>
              <w:top w:val="nil"/>
              <w:left w:val="nil"/>
              <w:bottom w:val="nil"/>
              <w:right w:val="nil"/>
            </w:tcBorders>
            <w:shd w:val="clear" w:color="auto" w:fill="auto"/>
            <w:hideMark/>
          </w:tcPr>
          <w:p w14:paraId="643675A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w:t>
            </w:r>
          </w:p>
        </w:tc>
        <w:tc>
          <w:tcPr>
            <w:tcW w:w="769" w:type="dxa"/>
            <w:tcBorders>
              <w:top w:val="nil"/>
              <w:left w:val="nil"/>
              <w:bottom w:val="nil"/>
              <w:right w:val="nil"/>
            </w:tcBorders>
            <w:shd w:val="clear" w:color="auto" w:fill="auto"/>
            <w:hideMark/>
          </w:tcPr>
          <w:p w14:paraId="184D613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25</w:t>
            </w:r>
          </w:p>
        </w:tc>
        <w:tc>
          <w:tcPr>
            <w:tcW w:w="932" w:type="dxa"/>
            <w:tcBorders>
              <w:top w:val="nil"/>
              <w:left w:val="nil"/>
              <w:bottom w:val="nil"/>
              <w:right w:val="nil"/>
            </w:tcBorders>
            <w:shd w:val="clear" w:color="auto" w:fill="auto"/>
            <w:hideMark/>
          </w:tcPr>
          <w:p w14:paraId="6B983082" w14:textId="7003D536"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4889D2C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Two Pieces</w:t>
            </w:r>
          </w:p>
        </w:tc>
        <w:tc>
          <w:tcPr>
            <w:tcW w:w="1276" w:type="dxa"/>
            <w:tcBorders>
              <w:top w:val="nil"/>
              <w:left w:val="nil"/>
              <w:bottom w:val="nil"/>
              <w:right w:val="nil"/>
            </w:tcBorders>
            <w:shd w:val="clear" w:color="auto" w:fill="auto"/>
            <w:hideMark/>
          </w:tcPr>
          <w:p w14:paraId="6A67F75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35/14</w:t>
            </w:r>
          </w:p>
        </w:tc>
        <w:tc>
          <w:tcPr>
            <w:tcW w:w="1276" w:type="dxa"/>
            <w:tcBorders>
              <w:top w:val="nil"/>
              <w:left w:val="nil"/>
              <w:bottom w:val="nil"/>
              <w:right w:val="nil"/>
            </w:tcBorders>
            <w:shd w:val="clear" w:color="auto" w:fill="auto"/>
            <w:hideMark/>
          </w:tcPr>
          <w:p w14:paraId="318845F5"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53F085D2"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63</w:t>
            </w:r>
          </w:p>
        </w:tc>
        <w:tc>
          <w:tcPr>
            <w:tcW w:w="993" w:type="dxa"/>
            <w:tcBorders>
              <w:top w:val="nil"/>
              <w:left w:val="nil"/>
              <w:bottom w:val="nil"/>
              <w:right w:val="nil"/>
            </w:tcBorders>
            <w:shd w:val="clear" w:color="auto" w:fill="auto"/>
            <w:hideMark/>
          </w:tcPr>
          <w:p w14:paraId="4D4A9D82" w14:textId="4DFF5751"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4289645C" w14:textId="5A700B12"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2BDBF8FC" w14:textId="53D3C3B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30EBB40A"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12</w:t>
            </w:r>
          </w:p>
        </w:tc>
      </w:tr>
      <w:tr w:rsidR="00C65923" w:rsidRPr="00C65923" w14:paraId="12DF6A94" w14:textId="77777777" w:rsidTr="00C65923">
        <w:trPr>
          <w:trHeight w:val="540"/>
          <w:jc w:val="right"/>
        </w:trPr>
        <w:tc>
          <w:tcPr>
            <w:tcW w:w="709" w:type="dxa"/>
            <w:tcBorders>
              <w:top w:val="nil"/>
              <w:left w:val="nil"/>
              <w:bottom w:val="nil"/>
              <w:right w:val="nil"/>
            </w:tcBorders>
            <w:shd w:val="clear" w:color="auto" w:fill="auto"/>
            <w:hideMark/>
          </w:tcPr>
          <w:p w14:paraId="46B99C9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4</w:t>
            </w:r>
          </w:p>
        </w:tc>
        <w:tc>
          <w:tcPr>
            <w:tcW w:w="769" w:type="dxa"/>
            <w:tcBorders>
              <w:top w:val="nil"/>
              <w:left w:val="nil"/>
              <w:bottom w:val="nil"/>
              <w:right w:val="nil"/>
            </w:tcBorders>
            <w:shd w:val="clear" w:color="auto" w:fill="auto"/>
            <w:hideMark/>
          </w:tcPr>
          <w:p w14:paraId="59B87AE2"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w:t>
            </w:r>
          </w:p>
        </w:tc>
        <w:tc>
          <w:tcPr>
            <w:tcW w:w="932" w:type="dxa"/>
            <w:tcBorders>
              <w:top w:val="nil"/>
              <w:left w:val="nil"/>
              <w:bottom w:val="nil"/>
              <w:right w:val="nil"/>
            </w:tcBorders>
            <w:shd w:val="clear" w:color="auto" w:fill="auto"/>
            <w:hideMark/>
          </w:tcPr>
          <w:p w14:paraId="154F14E2" w14:textId="41C2CD3B"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15E0E158"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En bloc</w:t>
            </w:r>
          </w:p>
        </w:tc>
        <w:tc>
          <w:tcPr>
            <w:tcW w:w="1276" w:type="dxa"/>
            <w:tcBorders>
              <w:top w:val="nil"/>
              <w:left w:val="nil"/>
              <w:bottom w:val="nil"/>
              <w:right w:val="nil"/>
            </w:tcBorders>
            <w:shd w:val="clear" w:color="auto" w:fill="auto"/>
            <w:hideMark/>
          </w:tcPr>
          <w:p w14:paraId="6F31AC21"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33/14</w:t>
            </w:r>
          </w:p>
        </w:tc>
        <w:tc>
          <w:tcPr>
            <w:tcW w:w="1276" w:type="dxa"/>
            <w:tcBorders>
              <w:top w:val="nil"/>
              <w:left w:val="nil"/>
              <w:bottom w:val="nil"/>
              <w:right w:val="nil"/>
            </w:tcBorders>
            <w:shd w:val="clear" w:color="auto" w:fill="auto"/>
            <w:hideMark/>
          </w:tcPr>
          <w:p w14:paraId="5FA572E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30/12</w:t>
            </w:r>
          </w:p>
        </w:tc>
        <w:tc>
          <w:tcPr>
            <w:tcW w:w="850" w:type="dxa"/>
            <w:tcBorders>
              <w:top w:val="nil"/>
              <w:left w:val="nil"/>
              <w:bottom w:val="nil"/>
              <w:right w:val="nil"/>
            </w:tcBorders>
            <w:shd w:val="clear" w:color="auto" w:fill="auto"/>
            <w:hideMark/>
          </w:tcPr>
          <w:p w14:paraId="6936377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70</w:t>
            </w:r>
          </w:p>
        </w:tc>
        <w:tc>
          <w:tcPr>
            <w:tcW w:w="993" w:type="dxa"/>
            <w:tcBorders>
              <w:top w:val="nil"/>
              <w:left w:val="nil"/>
              <w:bottom w:val="nil"/>
              <w:right w:val="nil"/>
            </w:tcBorders>
            <w:shd w:val="clear" w:color="auto" w:fill="auto"/>
            <w:hideMark/>
          </w:tcPr>
          <w:p w14:paraId="5FFB0D33" w14:textId="510DC14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3D363B1D" w14:textId="20AE4BA6"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64869C5A" w14:textId="230D093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1B291A3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8</w:t>
            </w:r>
          </w:p>
        </w:tc>
      </w:tr>
      <w:tr w:rsidR="00C65923" w:rsidRPr="00C65923" w14:paraId="6BAF663A" w14:textId="77777777" w:rsidTr="00C65923">
        <w:trPr>
          <w:trHeight w:val="555"/>
          <w:jc w:val="right"/>
        </w:trPr>
        <w:tc>
          <w:tcPr>
            <w:tcW w:w="709" w:type="dxa"/>
            <w:tcBorders>
              <w:top w:val="nil"/>
              <w:left w:val="nil"/>
              <w:bottom w:val="single" w:sz="8" w:space="0" w:color="auto"/>
              <w:right w:val="nil"/>
            </w:tcBorders>
            <w:shd w:val="clear" w:color="auto" w:fill="auto"/>
            <w:hideMark/>
          </w:tcPr>
          <w:p w14:paraId="200864E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5</w:t>
            </w:r>
          </w:p>
        </w:tc>
        <w:tc>
          <w:tcPr>
            <w:tcW w:w="769" w:type="dxa"/>
            <w:tcBorders>
              <w:top w:val="nil"/>
              <w:left w:val="nil"/>
              <w:bottom w:val="single" w:sz="8" w:space="0" w:color="auto"/>
              <w:right w:val="nil"/>
            </w:tcBorders>
            <w:shd w:val="clear" w:color="auto" w:fill="auto"/>
            <w:hideMark/>
          </w:tcPr>
          <w:p w14:paraId="7D13505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15</w:t>
            </w:r>
          </w:p>
        </w:tc>
        <w:tc>
          <w:tcPr>
            <w:tcW w:w="932" w:type="dxa"/>
            <w:tcBorders>
              <w:top w:val="nil"/>
              <w:left w:val="nil"/>
              <w:bottom w:val="single" w:sz="8" w:space="0" w:color="auto"/>
              <w:right w:val="nil"/>
            </w:tcBorders>
            <w:shd w:val="clear" w:color="auto" w:fill="auto"/>
            <w:hideMark/>
          </w:tcPr>
          <w:p w14:paraId="68FE5825" w14:textId="10D26DDF"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single" w:sz="8" w:space="0" w:color="auto"/>
              <w:right w:val="nil"/>
            </w:tcBorders>
            <w:shd w:val="clear" w:color="auto" w:fill="auto"/>
            <w:hideMark/>
          </w:tcPr>
          <w:p w14:paraId="0088805A"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En bloc</w:t>
            </w:r>
          </w:p>
        </w:tc>
        <w:tc>
          <w:tcPr>
            <w:tcW w:w="1276" w:type="dxa"/>
            <w:tcBorders>
              <w:top w:val="nil"/>
              <w:left w:val="nil"/>
              <w:bottom w:val="single" w:sz="8" w:space="0" w:color="auto"/>
              <w:right w:val="nil"/>
            </w:tcBorders>
            <w:shd w:val="clear" w:color="auto" w:fill="auto"/>
            <w:hideMark/>
          </w:tcPr>
          <w:p w14:paraId="0FB0A84F"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38/13</w:t>
            </w:r>
          </w:p>
        </w:tc>
        <w:tc>
          <w:tcPr>
            <w:tcW w:w="1276" w:type="dxa"/>
            <w:tcBorders>
              <w:top w:val="nil"/>
              <w:left w:val="nil"/>
              <w:bottom w:val="single" w:sz="8" w:space="0" w:color="auto"/>
              <w:right w:val="nil"/>
            </w:tcBorders>
            <w:shd w:val="clear" w:color="auto" w:fill="auto"/>
            <w:hideMark/>
          </w:tcPr>
          <w:p w14:paraId="0735873E"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35/11</w:t>
            </w:r>
          </w:p>
        </w:tc>
        <w:tc>
          <w:tcPr>
            <w:tcW w:w="850" w:type="dxa"/>
            <w:tcBorders>
              <w:top w:val="nil"/>
              <w:left w:val="nil"/>
              <w:bottom w:val="single" w:sz="8" w:space="0" w:color="auto"/>
              <w:right w:val="nil"/>
            </w:tcBorders>
            <w:shd w:val="clear" w:color="auto" w:fill="auto"/>
            <w:hideMark/>
          </w:tcPr>
          <w:p w14:paraId="2B91F86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66</w:t>
            </w:r>
          </w:p>
        </w:tc>
        <w:tc>
          <w:tcPr>
            <w:tcW w:w="993" w:type="dxa"/>
            <w:tcBorders>
              <w:top w:val="nil"/>
              <w:left w:val="nil"/>
              <w:bottom w:val="single" w:sz="8" w:space="0" w:color="auto"/>
              <w:right w:val="nil"/>
            </w:tcBorders>
            <w:shd w:val="clear" w:color="auto" w:fill="auto"/>
            <w:hideMark/>
          </w:tcPr>
          <w:p w14:paraId="19F36352" w14:textId="44D0C86C"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single" w:sz="8" w:space="0" w:color="auto"/>
              <w:right w:val="nil"/>
            </w:tcBorders>
            <w:shd w:val="clear" w:color="auto" w:fill="auto"/>
            <w:hideMark/>
          </w:tcPr>
          <w:p w14:paraId="2935FF18" w14:textId="481EB40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single" w:sz="8" w:space="0" w:color="auto"/>
              <w:right w:val="nil"/>
            </w:tcBorders>
            <w:shd w:val="clear" w:color="auto" w:fill="auto"/>
            <w:hideMark/>
          </w:tcPr>
          <w:p w14:paraId="178803B1" w14:textId="6CED4F4E"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single" w:sz="8" w:space="0" w:color="auto"/>
              <w:right w:val="nil"/>
            </w:tcBorders>
            <w:shd w:val="clear" w:color="auto" w:fill="auto"/>
            <w:hideMark/>
          </w:tcPr>
          <w:p w14:paraId="58024F7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8</w:t>
            </w:r>
          </w:p>
        </w:tc>
      </w:tr>
    </w:tbl>
    <w:bookmarkEnd w:id="5"/>
    <w:p w14:paraId="486E8445" w14:textId="377ADB84" w:rsidR="0006636A" w:rsidRDefault="00C65923" w:rsidP="00C65923">
      <w:pPr>
        <w:spacing w:line="360" w:lineRule="auto"/>
        <w:jc w:val="both"/>
        <w:rPr>
          <w:rFonts w:ascii="Book Antiqua" w:hAnsi="Book Antiqua"/>
        </w:rPr>
      </w:pPr>
      <w:r w:rsidRPr="00C65923">
        <w:rPr>
          <w:rFonts w:ascii="Book Antiqua" w:hAnsi="Book Antiqua"/>
        </w:rPr>
        <w:t>T/D</w:t>
      </w:r>
      <w:r>
        <w:rPr>
          <w:rFonts w:ascii="Book Antiqua" w:hAnsi="Book Antiqua"/>
        </w:rPr>
        <w:t>: T</w:t>
      </w:r>
      <w:r w:rsidRPr="00C65923">
        <w:rPr>
          <w:rFonts w:ascii="Book Antiqua" w:hAnsi="Book Antiqua"/>
        </w:rPr>
        <w:t>otal length/length of the duct segment; PPPD</w:t>
      </w:r>
      <w:r>
        <w:rPr>
          <w:rFonts w:ascii="Book Antiqua" w:hAnsi="Book Antiqua"/>
        </w:rPr>
        <w:t>: P</w:t>
      </w:r>
      <w:r w:rsidRPr="00C65923">
        <w:rPr>
          <w:rFonts w:ascii="Book Antiqua" w:hAnsi="Book Antiqua"/>
        </w:rPr>
        <w:t>ylorus-preserving pancreaticoduodenectomy</w:t>
      </w:r>
      <w:r>
        <w:rPr>
          <w:rFonts w:ascii="Book Antiqua" w:hAnsi="Book Antiqua"/>
        </w:rPr>
        <w:t xml:space="preserve">; </w:t>
      </w:r>
      <w:r w:rsidRPr="00C65923">
        <w:rPr>
          <w:rFonts w:ascii="Book Antiqua" w:hAnsi="Book Antiqua"/>
        </w:rPr>
        <w:t>M</w:t>
      </w:r>
      <w:r>
        <w:rPr>
          <w:rFonts w:ascii="Book Antiqua" w:hAnsi="Book Antiqua"/>
        </w:rPr>
        <w:t>: M</w:t>
      </w:r>
      <w:r w:rsidRPr="00C65923">
        <w:rPr>
          <w:rFonts w:ascii="Book Antiqua" w:hAnsi="Book Antiqua"/>
        </w:rPr>
        <w:t>ale; LGD</w:t>
      </w:r>
      <w:r>
        <w:rPr>
          <w:rFonts w:ascii="Book Antiqua" w:hAnsi="Book Antiqua"/>
        </w:rPr>
        <w:t>: L</w:t>
      </w:r>
      <w:r w:rsidRPr="00C65923">
        <w:rPr>
          <w:rFonts w:ascii="Book Antiqua" w:hAnsi="Book Antiqua"/>
        </w:rPr>
        <w:t>ow-grade dysplasia; HGD</w:t>
      </w:r>
      <w:r>
        <w:rPr>
          <w:rFonts w:ascii="Book Antiqua" w:hAnsi="Book Antiqua"/>
        </w:rPr>
        <w:t>: H</w:t>
      </w:r>
      <w:r w:rsidRPr="00C65923">
        <w:rPr>
          <w:rFonts w:ascii="Book Antiqua" w:hAnsi="Book Antiqua"/>
        </w:rPr>
        <w:t>igh-grade dysplasia.</w:t>
      </w:r>
    </w:p>
    <w:p w14:paraId="7012432F" w14:textId="16625BA3" w:rsidR="00C65923" w:rsidRDefault="0006636A" w:rsidP="00C65923">
      <w:pPr>
        <w:spacing w:line="360" w:lineRule="auto"/>
        <w:jc w:val="both"/>
        <w:rPr>
          <w:rFonts w:ascii="Book Antiqua" w:hAnsi="Book Antiqua"/>
          <w:b/>
          <w:bCs/>
        </w:rPr>
      </w:pPr>
      <w:r>
        <w:rPr>
          <w:rFonts w:ascii="Book Antiqua" w:hAnsi="Book Antiqua"/>
        </w:rPr>
        <w:br w:type="page"/>
      </w:r>
      <w:r w:rsidRPr="0006636A">
        <w:rPr>
          <w:rFonts w:ascii="Book Antiqua" w:hAnsi="Book Antiqua"/>
          <w:b/>
          <w:bCs/>
        </w:rPr>
        <w:t>Table 3 Biopsy diagnosis and final diagnosis</w:t>
      </w:r>
    </w:p>
    <w:tbl>
      <w:tblPr>
        <w:tblW w:w="9610" w:type="dxa"/>
        <w:jc w:val="right"/>
        <w:tblLayout w:type="fixed"/>
        <w:tblLook w:val="04A0" w:firstRow="1" w:lastRow="0" w:firstColumn="1" w:lastColumn="0" w:noHBand="0" w:noVBand="1"/>
      </w:tblPr>
      <w:tblGrid>
        <w:gridCol w:w="709"/>
        <w:gridCol w:w="993"/>
        <w:gridCol w:w="1701"/>
        <w:gridCol w:w="2730"/>
        <w:gridCol w:w="1418"/>
        <w:gridCol w:w="1067"/>
        <w:gridCol w:w="992"/>
      </w:tblGrid>
      <w:tr w:rsidR="0077405A" w:rsidRPr="0077405A" w14:paraId="6FD3544F" w14:textId="77777777" w:rsidTr="0077405A">
        <w:trPr>
          <w:trHeight w:val="825"/>
          <w:jc w:val="right"/>
        </w:trPr>
        <w:tc>
          <w:tcPr>
            <w:tcW w:w="709" w:type="dxa"/>
            <w:tcBorders>
              <w:top w:val="single" w:sz="8" w:space="0" w:color="auto"/>
              <w:left w:val="nil"/>
              <w:bottom w:val="single" w:sz="8" w:space="0" w:color="auto"/>
              <w:right w:val="nil"/>
            </w:tcBorders>
            <w:shd w:val="clear" w:color="auto" w:fill="auto"/>
            <w:vAlign w:val="center"/>
            <w:hideMark/>
          </w:tcPr>
          <w:p w14:paraId="239B8548" w14:textId="77777777" w:rsidR="0077405A" w:rsidRPr="0077405A" w:rsidRDefault="0077405A" w:rsidP="0077405A">
            <w:pPr>
              <w:spacing w:line="360" w:lineRule="auto"/>
              <w:rPr>
                <w:rFonts w:ascii="Book Antiqua" w:eastAsia="宋体" w:hAnsi="Book Antiqua"/>
                <w:b/>
                <w:bCs/>
                <w:color w:val="000000"/>
              </w:rPr>
            </w:pPr>
            <w:bookmarkStart w:id="6" w:name="_Hlk52049826"/>
            <w:r w:rsidRPr="0077405A">
              <w:rPr>
                <w:rFonts w:ascii="Book Antiqua" w:eastAsia="宋体" w:hAnsi="Book Antiqua"/>
                <w:b/>
                <w:bCs/>
                <w:color w:val="000000"/>
              </w:rPr>
              <w:t>No.</w:t>
            </w:r>
          </w:p>
        </w:tc>
        <w:tc>
          <w:tcPr>
            <w:tcW w:w="993" w:type="dxa"/>
            <w:tcBorders>
              <w:top w:val="single" w:sz="8" w:space="0" w:color="auto"/>
              <w:left w:val="nil"/>
              <w:bottom w:val="single" w:sz="8" w:space="0" w:color="auto"/>
              <w:right w:val="nil"/>
            </w:tcBorders>
            <w:shd w:val="clear" w:color="auto" w:fill="auto"/>
            <w:vAlign w:val="center"/>
            <w:hideMark/>
          </w:tcPr>
          <w:p w14:paraId="2054ECD5"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Tumor size (mm)</w:t>
            </w:r>
          </w:p>
        </w:tc>
        <w:tc>
          <w:tcPr>
            <w:tcW w:w="1701" w:type="dxa"/>
            <w:tcBorders>
              <w:top w:val="single" w:sz="8" w:space="0" w:color="auto"/>
              <w:left w:val="nil"/>
              <w:bottom w:val="single" w:sz="8" w:space="0" w:color="auto"/>
              <w:right w:val="nil"/>
            </w:tcBorders>
            <w:shd w:val="clear" w:color="auto" w:fill="auto"/>
            <w:vAlign w:val="center"/>
            <w:hideMark/>
          </w:tcPr>
          <w:p w14:paraId="750E5A67"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Biopsy pathology</w:t>
            </w:r>
          </w:p>
        </w:tc>
        <w:tc>
          <w:tcPr>
            <w:tcW w:w="2730" w:type="dxa"/>
            <w:tcBorders>
              <w:top w:val="single" w:sz="8" w:space="0" w:color="auto"/>
              <w:left w:val="nil"/>
              <w:bottom w:val="single" w:sz="8" w:space="0" w:color="auto"/>
              <w:right w:val="nil"/>
            </w:tcBorders>
            <w:shd w:val="clear" w:color="auto" w:fill="auto"/>
            <w:vAlign w:val="center"/>
            <w:hideMark/>
          </w:tcPr>
          <w:p w14:paraId="42AF1602"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Final pathology</w:t>
            </w:r>
          </w:p>
        </w:tc>
        <w:tc>
          <w:tcPr>
            <w:tcW w:w="1418" w:type="dxa"/>
            <w:tcBorders>
              <w:top w:val="single" w:sz="8" w:space="0" w:color="auto"/>
              <w:left w:val="nil"/>
              <w:bottom w:val="single" w:sz="8" w:space="0" w:color="auto"/>
              <w:right w:val="nil"/>
            </w:tcBorders>
            <w:shd w:val="clear" w:color="auto" w:fill="auto"/>
            <w:vAlign w:val="center"/>
            <w:hideMark/>
          </w:tcPr>
          <w:p w14:paraId="51EC167A"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Depth of invasion</w:t>
            </w:r>
          </w:p>
        </w:tc>
        <w:tc>
          <w:tcPr>
            <w:tcW w:w="1067" w:type="dxa"/>
            <w:tcBorders>
              <w:top w:val="single" w:sz="8" w:space="0" w:color="auto"/>
              <w:left w:val="nil"/>
              <w:bottom w:val="single" w:sz="8" w:space="0" w:color="auto"/>
              <w:right w:val="nil"/>
            </w:tcBorders>
            <w:shd w:val="clear" w:color="auto" w:fill="auto"/>
            <w:vAlign w:val="center"/>
            <w:hideMark/>
          </w:tcPr>
          <w:p w14:paraId="692738A9"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Mucosal margin</w:t>
            </w:r>
          </w:p>
        </w:tc>
        <w:tc>
          <w:tcPr>
            <w:tcW w:w="992" w:type="dxa"/>
            <w:tcBorders>
              <w:top w:val="single" w:sz="8" w:space="0" w:color="auto"/>
              <w:left w:val="nil"/>
              <w:bottom w:val="single" w:sz="8" w:space="0" w:color="auto"/>
              <w:right w:val="nil"/>
            </w:tcBorders>
            <w:shd w:val="clear" w:color="auto" w:fill="auto"/>
            <w:vAlign w:val="center"/>
            <w:hideMark/>
          </w:tcPr>
          <w:p w14:paraId="20B58C47"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Deep margin</w:t>
            </w:r>
          </w:p>
        </w:tc>
      </w:tr>
      <w:tr w:rsidR="0077405A" w:rsidRPr="0077405A" w14:paraId="1639D7D2" w14:textId="77777777" w:rsidTr="0077405A">
        <w:trPr>
          <w:trHeight w:val="540"/>
          <w:jc w:val="right"/>
        </w:trPr>
        <w:tc>
          <w:tcPr>
            <w:tcW w:w="709" w:type="dxa"/>
            <w:tcBorders>
              <w:top w:val="nil"/>
              <w:left w:val="nil"/>
              <w:bottom w:val="nil"/>
              <w:right w:val="nil"/>
            </w:tcBorders>
            <w:shd w:val="clear" w:color="auto" w:fill="auto"/>
            <w:hideMark/>
          </w:tcPr>
          <w:p w14:paraId="195656B5"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w:t>
            </w:r>
          </w:p>
        </w:tc>
        <w:tc>
          <w:tcPr>
            <w:tcW w:w="993" w:type="dxa"/>
            <w:tcBorders>
              <w:top w:val="nil"/>
              <w:left w:val="nil"/>
              <w:bottom w:val="nil"/>
              <w:right w:val="nil"/>
            </w:tcBorders>
            <w:shd w:val="clear" w:color="auto" w:fill="auto"/>
            <w:hideMark/>
          </w:tcPr>
          <w:p w14:paraId="204928E9"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20</w:t>
            </w:r>
          </w:p>
        </w:tc>
        <w:tc>
          <w:tcPr>
            <w:tcW w:w="1701" w:type="dxa"/>
            <w:tcBorders>
              <w:top w:val="nil"/>
              <w:left w:val="nil"/>
              <w:bottom w:val="nil"/>
              <w:right w:val="nil"/>
            </w:tcBorders>
            <w:shd w:val="clear" w:color="auto" w:fill="auto"/>
            <w:hideMark/>
          </w:tcPr>
          <w:p w14:paraId="31B32D3D"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Adenomatoid hyperplasia/LGD</w:t>
            </w:r>
          </w:p>
        </w:tc>
        <w:tc>
          <w:tcPr>
            <w:tcW w:w="2730" w:type="dxa"/>
            <w:tcBorders>
              <w:top w:val="nil"/>
              <w:left w:val="nil"/>
              <w:bottom w:val="nil"/>
              <w:right w:val="nil"/>
            </w:tcBorders>
            <w:shd w:val="clear" w:color="auto" w:fill="auto"/>
            <w:hideMark/>
          </w:tcPr>
          <w:p w14:paraId="41DB58A6" w14:textId="0DAB5AEF"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Adenocarcinoma/</w:t>
            </w:r>
            <w:r>
              <w:rPr>
                <w:rFonts w:ascii="Book Antiqua" w:eastAsia="宋体" w:hAnsi="Book Antiqua"/>
                <w:color w:val="000000"/>
              </w:rPr>
              <w:t>p</w:t>
            </w:r>
            <w:r w:rsidRPr="0077405A">
              <w:rPr>
                <w:rFonts w:ascii="Book Antiqua" w:eastAsia="宋体" w:hAnsi="Book Antiqua"/>
                <w:color w:val="000000"/>
              </w:rPr>
              <w:t>oorly differentiated</w:t>
            </w:r>
          </w:p>
        </w:tc>
        <w:tc>
          <w:tcPr>
            <w:tcW w:w="1418" w:type="dxa"/>
            <w:tcBorders>
              <w:top w:val="nil"/>
              <w:left w:val="nil"/>
              <w:bottom w:val="nil"/>
              <w:right w:val="nil"/>
            </w:tcBorders>
            <w:shd w:val="clear" w:color="auto" w:fill="auto"/>
            <w:hideMark/>
          </w:tcPr>
          <w:p w14:paraId="16E4A9D4" w14:textId="5D460EAB" w:rsidR="0077405A" w:rsidRPr="0077405A" w:rsidRDefault="00277F04" w:rsidP="0077405A">
            <w:pPr>
              <w:spacing w:line="360" w:lineRule="auto"/>
              <w:rPr>
                <w:rFonts w:ascii="Book Antiqua" w:eastAsia="宋体" w:hAnsi="Book Antiqua"/>
                <w:color w:val="000000"/>
              </w:rPr>
            </w:pPr>
            <w:r>
              <w:rPr>
                <w:rFonts w:ascii="Book Antiqua" w:eastAsia="宋体" w:hAnsi="Book Antiqua"/>
                <w:color w:val="000000"/>
              </w:rPr>
              <w:t>M</w:t>
            </w:r>
            <w:r w:rsidR="0077405A" w:rsidRPr="0077405A">
              <w:rPr>
                <w:rFonts w:ascii="Book Antiqua" w:eastAsia="宋体" w:hAnsi="Book Antiqua"/>
                <w:color w:val="000000"/>
              </w:rPr>
              <w:t>uscularis propria</w:t>
            </w:r>
          </w:p>
        </w:tc>
        <w:tc>
          <w:tcPr>
            <w:tcW w:w="1067" w:type="dxa"/>
            <w:tcBorders>
              <w:top w:val="nil"/>
              <w:left w:val="nil"/>
              <w:bottom w:val="nil"/>
              <w:right w:val="nil"/>
            </w:tcBorders>
            <w:shd w:val="clear" w:color="auto" w:fill="auto"/>
            <w:hideMark/>
          </w:tcPr>
          <w:p w14:paraId="5D53F578" w14:textId="5C8048A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78FCD30F" w14:textId="5DBA2F3B"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color w:val="000000"/>
              </w:rPr>
              <w:t>+</w:t>
            </w:r>
            <w:r w:rsidRPr="0077405A">
              <w:rPr>
                <w:rFonts w:ascii="Book Antiqua" w:eastAsia="宋体" w:hAnsi="Book Antiqua"/>
                <w:color w:val="000000"/>
              </w:rPr>
              <w:t>)</w:t>
            </w:r>
          </w:p>
        </w:tc>
      </w:tr>
      <w:tr w:rsidR="0077405A" w:rsidRPr="0077405A" w14:paraId="1F56AC68" w14:textId="77777777" w:rsidTr="0077405A">
        <w:trPr>
          <w:trHeight w:val="270"/>
          <w:jc w:val="right"/>
        </w:trPr>
        <w:tc>
          <w:tcPr>
            <w:tcW w:w="709" w:type="dxa"/>
            <w:tcBorders>
              <w:top w:val="nil"/>
              <w:left w:val="nil"/>
              <w:bottom w:val="nil"/>
              <w:right w:val="nil"/>
            </w:tcBorders>
            <w:shd w:val="clear" w:color="auto" w:fill="auto"/>
            <w:hideMark/>
          </w:tcPr>
          <w:p w14:paraId="44194005"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w:t>
            </w:r>
          </w:p>
        </w:tc>
        <w:tc>
          <w:tcPr>
            <w:tcW w:w="993" w:type="dxa"/>
            <w:tcBorders>
              <w:top w:val="nil"/>
              <w:left w:val="nil"/>
              <w:bottom w:val="nil"/>
              <w:right w:val="nil"/>
            </w:tcBorders>
            <w:shd w:val="clear" w:color="auto" w:fill="auto"/>
            <w:hideMark/>
          </w:tcPr>
          <w:p w14:paraId="17B9EA84"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17</w:t>
            </w:r>
          </w:p>
        </w:tc>
        <w:tc>
          <w:tcPr>
            <w:tcW w:w="1701" w:type="dxa"/>
            <w:tcBorders>
              <w:top w:val="nil"/>
              <w:left w:val="nil"/>
              <w:bottom w:val="nil"/>
              <w:right w:val="nil"/>
            </w:tcBorders>
            <w:shd w:val="clear" w:color="auto" w:fill="auto"/>
            <w:hideMark/>
          </w:tcPr>
          <w:p w14:paraId="5266969B"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Tubular adenoma</w:t>
            </w:r>
          </w:p>
        </w:tc>
        <w:tc>
          <w:tcPr>
            <w:tcW w:w="2730" w:type="dxa"/>
            <w:tcBorders>
              <w:top w:val="nil"/>
              <w:left w:val="nil"/>
              <w:bottom w:val="nil"/>
              <w:right w:val="nil"/>
            </w:tcBorders>
            <w:shd w:val="clear" w:color="auto" w:fill="auto"/>
            <w:hideMark/>
          </w:tcPr>
          <w:p w14:paraId="44AC8B2E"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Tubular adenoma/HGD</w:t>
            </w:r>
          </w:p>
        </w:tc>
        <w:tc>
          <w:tcPr>
            <w:tcW w:w="1418" w:type="dxa"/>
            <w:tcBorders>
              <w:top w:val="nil"/>
              <w:left w:val="nil"/>
              <w:bottom w:val="nil"/>
              <w:right w:val="nil"/>
            </w:tcBorders>
            <w:shd w:val="clear" w:color="auto" w:fill="auto"/>
            <w:hideMark/>
          </w:tcPr>
          <w:p w14:paraId="2A643981"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61FEE2E0" w14:textId="19333CF4"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0A52A37D" w14:textId="7574504D"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2FFDC41A" w14:textId="77777777" w:rsidTr="0077405A">
        <w:trPr>
          <w:trHeight w:val="270"/>
          <w:jc w:val="right"/>
        </w:trPr>
        <w:tc>
          <w:tcPr>
            <w:tcW w:w="709" w:type="dxa"/>
            <w:tcBorders>
              <w:top w:val="nil"/>
              <w:left w:val="nil"/>
              <w:bottom w:val="nil"/>
              <w:right w:val="nil"/>
            </w:tcBorders>
            <w:shd w:val="clear" w:color="auto" w:fill="auto"/>
            <w:hideMark/>
          </w:tcPr>
          <w:p w14:paraId="5B20DBE2"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3</w:t>
            </w:r>
          </w:p>
        </w:tc>
        <w:tc>
          <w:tcPr>
            <w:tcW w:w="993" w:type="dxa"/>
            <w:tcBorders>
              <w:top w:val="nil"/>
              <w:left w:val="nil"/>
              <w:bottom w:val="nil"/>
              <w:right w:val="nil"/>
            </w:tcBorders>
            <w:shd w:val="clear" w:color="auto" w:fill="auto"/>
            <w:hideMark/>
          </w:tcPr>
          <w:p w14:paraId="16A05F98"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25</w:t>
            </w:r>
          </w:p>
        </w:tc>
        <w:tc>
          <w:tcPr>
            <w:tcW w:w="1701" w:type="dxa"/>
            <w:tcBorders>
              <w:top w:val="nil"/>
              <w:left w:val="nil"/>
              <w:bottom w:val="nil"/>
              <w:right w:val="nil"/>
            </w:tcBorders>
            <w:shd w:val="clear" w:color="auto" w:fill="auto"/>
            <w:hideMark/>
          </w:tcPr>
          <w:p w14:paraId="218012AD"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Adenomatoid hyperplasia</w:t>
            </w:r>
          </w:p>
        </w:tc>
        <w:tc>
          <w:tcPr>
            <w:tcW w:w="2730" w:type="dxa"/>
            <w:tcBorders>
              <w:top w:val="nil"/>
              <w:left w:val="nil"/>
              <w:bottom w:val="nil"/>
              <w:right w:val="nil"/>
            </w:tcBorders>
            <w:shd w:val="clear" w:color="auto" w:fill="auto"/>
            <w:hideMark/>
          </w:tcPr>
          <w:p w14:paraId="49594320"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Tubulovillous adenoma/HGD</w:t>
            </w:r>
          </w:p>
        </w:tc>
        <w:tc>
          <w:tcPr>
            <w:tcW w:w="1418" w:type="dxa"/>
            <w:tcBorders>
              <w:top w:val="nil"/>
              <w:left w:val="nil"/>
              <w:bottom w:val="nil"/>
              <w:right w:val="nil"/>
            </w:tcBorders>
            <w:shd w:val="clear" w:color="auto" w:fill="auto"/>
            <w:hideMark/>
          </w:tcPr>
          <w:p w14:paraId="0070F906"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090DF8DB" w14:textId="2C8F60D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78109A56" w14:textId="3AD89DEF"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28EE3963" w14:textId="77777777" w:rsidTr="0077405A">
        <w:trPr>
          <w:trHeight w:val="540"/>
          <w:jc w:val="right"/>
        </w:trPr>
        <w:tc>
          <w:tcPr>
            <w:tcW w:w="709" w:type="dxa"/>
            <w:tcBorders>
              <w:top w:val="nil"/>
              <w:left w:val="nil"/>
              <w:bottom w:val="nil"/>
              <w:right w:val="nil"/>
            </w:tcBorders>
            <w:shd w:val="clear" w:color="auto" w:fill="auto"/>
            <w:hideMark/>
          </w:tcPr>
          <w:p w14:paraId="3558D610"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4</w:t>
            </w:r>
          </w:p>
        </w:tc>
        <w:tc>
          <w:tcPr>
            <w:tcW w:w="993" w:type="dxa"/>
            <w:tcBorders>
              <w:top w:val="nil"/>
              <w:left w:val="nil"/>
              <w:bottom w:val="nil"/>
              <w:right w:val="nil"/>
            </w:tcBorders>
            <w:shd w:val="clear" w:color="auto" w:fill="auto"/>
            <w:hideMark/>
          </w:tcPr>
          <w:p w14:paraId="2C18FBA1"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35</w:t>
            </w:r>
          </w:p>
        </w:tc>
        <w:tc>
          <w:tcPr>
            <w:tcW w:w="1701" w:type="dxa"/>
            <w:tcBorders>
              <w:top w:val="nil"/>
              <w:left w:val="nil"/>
              <w:bottom w:val="nil"/>
              <w:right w:val="nil"/>
            </w:tcBorders>
            <w:shd w:val="clear" w:color="auto" w:fill="auto"/>
            <w:hideMark/>
          </w:tcPr>
          <w:p w14:paraId="557A24D5" w14:textId="106ECF1E"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Inflammation/</w:t>
            </w:r>
            <w:r>
              <w:rPr>
                <w:rFonts w:ascii="Book Antiqua" w:eastAsia="宋体" w:hAnsi="Book Antiqua"/>
                <w:color w:val="000000"/>
              </w:rPr>
              <w:t>a</w:t>
            </w:r>
            <w:r w:rsidRPr="0077405A">
              <w:rPr>
                <w:rFonts w:ascii="Book Antiqua" w:eastAsia="宋体" w:hAnsi="Book Antiqua"/>
                <w:color w:val="000000"/>
              </w:rPr>
              <w:t>denomatoid hyperplasia</w:t>
            </w:r>
          </w:p>
        </w:tc>
        <w:tc>
          <w:tcPr>
            <w:tcW w:w="2730" w:type="dxa"/>
            <w:tcBorders>
              <w:top w:val="nil"/>
              <w:left w:val="nil"/>
              <w:bottom w:val="nil"/>
              <w:right w:val="nil"/>
            </w:tcBorders>
            <w:shd w:val="clear" w:color="auto" w:fill="auto"/>
            <w:hideMark/>
          </w:tcPr>
          <w:p w14:paraId="49E3D4F2"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Hamartomatous polyp/LGD</w:t>
            </w:r>
          </w:p>
        </w:tc>
        <w:tc>
          <w:tcPr>
            <w:tcW w:w="1418" w:type="dxa"/>
            <w:tcBorders>
              <w:top w:val="nil"/>
              <w:left w:val="nil"/>
              <w:bottom w:val="nil"/>
              <w:right w:val="nil"/>
            </w:tcBorders>
            <w:shd w:val="clear" w:color="auto" w:fill="auto"/>
            <w:hideMark/>
          </w:tcPr>
          <w:p w14:paraId="446D3263"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2C32DE14" w14:textId="11745BC9"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367E5E23" w14:textId="259DE4FD"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10FBFBAF" w14:textId="77777777" w:rsidTr="0077405A">
        <w:trPr>
          <w:trHeight w:val="825"/>
          <w:jc w:val="right"/>
        </w:trPr>
        <w:tc>
          <w:tcPr>
            <w:tcW w:w="709" w:type="dxa"/>
            <w:tcBorders>
              <w:top w:val="nil"/>
              <w:left w:val="nil"/>
              <w:bottom w:val="single" w:sz="8" w:space="0" w:color="auto"/>
              <w:right w:val="nil"/>
            </w:tcBorders>
            <w:shd w:val="clear" w:color="auto" w:fill="auto"/>
            <w:hideMark/>
          </w:tcPr>
          <w:p w14:paraId="561C482E"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5</w:t>
            </w:r>
          </w:p>
        </w:tc>
        <w:tc>
          <w:tcPr>
            <w:tcW w:w="993" w:type="dxa"/>
            <w:tcBorders>
              <w:top w:val="nil"/>
              <w:left w:val="nil"/>
              <w:bottom w:val="single" w:sz="8" w:space="0" w:color="auto"/>
              <w:right w:val="nil"/>
            </w:tcBorders>
            <w:shd w:val="clear" w:color="auto" w:fill="auto"/>
            <w:hideMark/>
          </w:tcPr>
          <w:p w14:paraId="1609F5EA"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15</w:t>
            </w:r>
          </w:p>
        </w:tc>
        <w:tc>
          <w:tcPr>
            <w:tcW w:w="1701" w:type="dxa"/>
            <w:tcBorders>
              <w:top w:val="nil"/>
              <w:left w:val="nil"/>
              <w:bottom w:val="single" w:sz="8" w:space="0" w:color="auto"/>
              <w:right w:val="nil"/>
            </w:tcBorders>
            <w:shd w:val="clear" w:color="auto" w:fill="auto"/>
            <w:hideMark/>
          </w:tcPr>
          <w:p w14:paraId="172BC663" w14:textId="23918873"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Inflammation/HGD/</w:t>
            </w:r>
            <w:r>
              <w:rPr>
                <w:rFonts w:ascii="Book Antiqua" w:eastAsia="宋体" w:hAnsi="Book Antiqua"/>
                <w:color w:val="000000"/>
              </w:rPr>
              <w:t>f</w:t>
            </w:r>
            <w:r w:rsidRPr="0077405A">
              <w:rPr>
                <w:rFonts w:ascii="Book Antiqua" w:eastAsia="宋体" w:hAnsi="Book Antiqua"/>
                <w:color w:val="000000"/>
              </w:rPr>
              <w:t>ield cancerization?</w:t>
            </w:r>
          </w:p>
        </w:tc>
        <w:tc>
          <w:tcPr>
            <w:tcW w:w="2730" w:type="dxa"/>
            <w:tcBorders>
              <w:top w:val="nil"/>
              <w:left w:val="nil"/>
              <w:bottom w:val="single" w:sz="8" w:space="0" w:color="auto"/>
              <w:right w:val="nil"/>
            </w:tcBorders>
            <w:shd w:val="clear" w:color="auto" w:fill="auto"/>
            <w:hideMark/>
          </w:tcPr>
          <w:p w14:paraId="0566762C" w14:textId="46AA89C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Atypical juvenile polyposis/</w:t>
            </w:r>
            <w:r>
              <w:rPr>
                <w:rFonts w:ascii="Book Antiqua" w:eastAsia="宋体" w:hAnsi="Book Antiqua"/>
                <w:color w:val="000000"/>
              </w:rPr>
              <w:t>t</w:t>
            </w:r>
            <w:r w:rsidRPr="0077405A">
              <w:rPr>
                <w:rFonts w:ascii="Book Antiqua" w:eastAsia="宋体" w:hAnsi="Book Antiqua"/>
                <w:color w:val="000000"/>
              </w:rPr>
              <w:t>ubulovillous adenoma/HGD/</w:t>
            </w:r>
            <w:r>
              <w:rPr>
                <w:rFonts w:ascii="Book Antiqua" w:eastAsia="宋体" w:hAnsi="Book Antiqua"/>
                <w:color w:val="000000"/>
              </w:rPr>
              <w:t>f</w:t>
            </w:r>
            <w:r w:rsidRPr="0077405A">
              <w:rPr>
                <w:rFonts w:ascii="Book Antiqua" w:eastAsia="宋体" w:hAnsi="Book Antiqua"/>
                <w:color w:val="000000"/>
              </w:rPr>
              <w:t>ield cancerization</w:t>
            </w:r>
          </w:p>
        </w:tc>
        <w:tc>
          <w:tcPr>
            <w:tcW w:w="1418" w:type="dxa"/>
            <w:tcBorders>
              <w:top w:val="nil"/>
              <w:left w:val="nil"/>
              <w:bottom w:val="single" w:sz="8" w:space="0" w:color="auto"/>
              <w:right w:val="nil"/>
            </w:tcBorders>
            <w:shd w:val="clear" w:color="auto" w:fill="auto"/>
            <w:hideMark/>
          </w:tcPr>
          <w:p w14:paraId="46D01DEC" w14:textId="0D075FC8" w:rsidR="0077405A" w:rsidRPr="0077405A" w:rsidRDefault="00277F04" w:rsidP="0077405A">
            <w:pPr>
              <w:spacing w:line="360" w:lineRule="auto"/>
              <w:rPr>
                <w:rFonts w:ascii="Book Antiqua" w:eastAsia="宋体" w:hAnsi="Book Antiqua"/>
                <w:color w:val="000000"/>
              </w:rPr>
            </w:pPr>
            <w:r>
              <w:rPr>
                <w:rFonts w:ascii="Book Antiqua" w:eastAsia="宋体" w:hAnsi="Book Antiqua"/>
                <w:color w:val="000000"/>
              </w:rPr>
              <w:t>M</w:t>
            </w:r>
            <w:r w:rsidR="0077405A" w:rsidRPr="0077405A">
              <w:rPr>
                <w:rFonts w:ascii="Book Antiqua" w:eastAsia="宋体" w:hAnsi="Book Antiqua"/>
                <w:color w:val="000000"/>
              </w:rPr>
              <w:t>uscularis mucosae and submucosa</w:t>
            </w:r>
          </w:p>
        </w:tc>
        <w:tc>
          <w:tcPr>
            <w:tcW w:w="1067" w:type="dxa"/>
            <w:tcBorders>
              <w:top w:val="nil"/>
              <w:left w:val="nil"/>
              <w:bottom w:val="single" w:sz="8" w:space="0" w:color="auto"/>
              <w:right w:val="nil"/>
            </w:tcBorders>
            <w:shd w:val="clear" w:color="auto" w:fill="auto"/>
            <w:hideMark/>
          </w:tcPr>
          <w:p w14:paraId="3918B975" w14:textId="545662F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single" w:sz="8" w:space="0" w:color="auto"/>
              <w:right w:val="nil"/>
            </w:tcBorders>
            <w:shd w:val="clear" w:color="auto" w:fill="auto"/>
            <w:hideMark/>
          </w:tcPr>
          <w:p w14:paraId="048F855D" w14:textId="77D7E941" w:rsidR="0077405A" w:rsidRPr="0077405A" w:rsidRDefault="0077405A" w:rsidP="0077405A">
            <w:pPr>
              <w:spacing w:line="360" w:lineRule="auto"/>
              <w:rPr>
                <w:rFonts w:ascii="Book Antiqua" w:eastAsia="宋体" w:hAnsi="Book Antiqua"/>
                <w:color w:val="000000"/>
                <w:lang w:eastAsia="zh-CN"/>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bl>
    <w:bookmarkEnd w:id="6"/>
    <w:p w14:paraId="484895C8" w14:textId="53B56938" w:rsidR="0077405A" w:rsidRPr="0077405A" w:rsidRDefault="0077405A" w:rsidP="00C65923">
      <w:pPr>
        <w:spacing w:line="360" w:lineRule="auto"/>
        <w:jc w:val="both"/>
        <w:rPr>
          <w:rFonts w:ascii="Book Antiqua" w:hAnsi="Book Antiqua"/>
        </w:rPr>
      </w:pPr>
      <w:r w:rsidRPr="0077405A">
        <w:rPr>
          <w:rFonts w:ascii="Book Antiqua" w:hAnsi="Book Antiqua"/>
        </w:rPr>
        <w:t>LGD</w:t>
      </w:r>
      <w:r>
        <w:rPr>
          <w:rFonts w:ascii="Book Antiqua" w:hAnsi="Book Antiqua"/>
        </w:rPr>
        <w:t>: L</w:t>
      </w:r>
      <w:r w:rsidRPr="0077405A">
        <w:rPr>
          <w:rFonts w:ascii="Book Antiqua" w:hAnsi="Book Antiqua"/>
        </w:rPr>
        <w:t>ow-grade dysplasia; HGD</w:t>
      </w:r>
      <w:r>
        <w:rPr>
          <w:rFonts w:ascii="Book Antiqua" w:hAnsi="Book Antiqua"/>
        </w:rPr>
        <w:t>: H</w:t>
      </w:r>
      <w:r w:rsidRPr="0077405A">
        <w:rPr>
          <w:rFonts w:ascii="Book Antiqua" w:hAnsi="Book Antiqua"/>
        </w:rPr>
        <w:t>igh-grade dysplasia.</w:t>
      </w:r>
    </w:p>
    <w:sectPr w:rsidR="0077405A" w:rsidRPr="007740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6621F" w14:textId="77777777" w:rsidR="009D7E06" w:rsidRDefault="009D7E06" w:rsidP="003F5FD4">
      <w:r>
        <w:separator/>
      </w:r>
    </w:p>
  </w:endnote>
  <w:endnote w:type="continuationSeparator" w:id="0">
    <w:p w14:paraId="2F1E5504" w14:textId="77777777" w:rsidR="009D7E06" w:rsidRDefault="009D7E06" w:rsidP="003F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85315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92A9BC2" w14:textId="1DABCAB2" w:rsidR="004F0626" w:rsidRDefault="004F0626" w:rsidP="003F5FD4">
            <w:pPr>
              <w:pStyle w:val="a4"/>
              <w:jc w:val="right"/>
            </w:pPr>
            <w:r>
              <w:rPr>
                <w:lang w:val="zh-CN" w:eastAsia="zh-CN"/>
              </w:rPr>
              <w:t xml:space="preserve"> </w:t>
            </w:r>
            <w:r w:rsidRPr="003F5FD4">
              <w:rPr>
                <w:rFonts w:ascii="Book Antiqua" w:hAnsi="Book Antiqua"/>
                <w:sz w:val="21"/>
                <w:szCs w:val="21"/>
              </w:rPr>
              <w:fldChar w:fldCharType="begin"/>
            </w:r>
            <w:r w:rsidRPr="003F5FD4">
              <w:rPr>
                <w:rFonts w:ascii="Book Antiqua" w:hAnsi="Book Antiqua"/>
                <w:sz w:val="21"/>
                <w:szCs w:val="21"/>
              </w:rPr>
              <w:instrText>PAGE</w:instrText>
            </w:r>
            <w:r w:rsidRPr="003F5FD4">
              <w:rPr>
                <w:rFonts w:ascii="Book Antiqua" w:hAnsi="Book Antiqua"/>
                <w:sz w:val="21"/>
                <w:szCs w:val="21"/>
              </w:rPr>
              <w:fldChar w:fldCharType="separate"/>
            </w:r>
            <w:r w:rsidR="009D7E06">
              <w:rPr>
                <w:rFonts w:ascii="Book Antiqua" w:hAnsi="Book Antiqua"/>
                <w:noProof/>
                <w:sz w:val="21"/>
                <w:szCs w:val="21"/>
              </w:rPr>
              <w:t>1</w:t>
            </w:r>
            <w:r w:rsidRPr="003F5FD4">
              <w:rPr>
                <w:rFonts w:ascii="Book Antiqua" w:hAnsi="Book Antiqua"/>
                <w:sz w:val="21"/>
                <w:szCs w:val="21"/>
              </w:rPr>
              <w:fldChar w:fldCharType="end"/>
            </w:r>
            <w:r w:rsidRPr="003F5FD4">
              <w:rPr>
                <w:rFonts w:ascii="Book Antiqua" w:hAnsi="Book Antiqua"/>
                <w:sz w:val="21"/>
                <w:szCs w:val="21"/>
                <w:lang w:val="zh-CN" w:eastAsia="zh-CN"/>
              </w:rPr>
              <w:t xml:space="preserve"> / </w:t>
            </w:r>
            <w:r w:rsidRPr="003F5FD4">
              <w:rPr>
                <w:rFonts w:ascii="Book Antiqua" w:hAnsi="Book Antiqua"/>
                <w:sz w:val="21"/>
                <w:szCs w:val="21"/>
              </w:rPr>
              <w:fldChar w:fldCharType="begin"/>
            </w:r>
            <w:r w:rsidRPr="003F5FD4">
              <w:rPr>
                <w:rFonts w:ascii="Book Antiqua" w:hAnsi="Book Antiqua"/>
                <w:sz w:val="21"/>
                <w:szCs w:val="21"/>
              </w:rPr>
              <w:instrText>NUMPAGES</w:instrText>
            </w:r>
            <w:r w:rsidRPr="003F5FD4">
              <w:rPr>
                <w:rFonts w:ascii="Book Antiqua" w:hAnsi="Book Antiqua"/>
                <w:sz w:val="21"/>
                <w:szCs w:val="21"/>
              </w:rPr>
              <w:fldChar w:fldCharType="separate"/>
            </w:r>
            <w:r w:rsidR="009D7E06">
              <w:rPr>
                <w:rFonts w:ascii="Book Antiqua" w:hAnsi="Book Antiqua"/>
                <w:noProof/>
                <w:sz w:val="21"/>
                <w:szCs w:val="21"/>
              </w:rPr>
              <w:t>1</w:t>
            </w:r>
            <w:r w:rsidRPr="003F5FD4">
              <w:rPr>
                <w:rFonts w:ascii="Book Antiqua" w:hAnsi="Book Antiqua"/>
                <w:sz w:val="21"/>
                <w:szCs w:val="21"/>
              </w:rPr>
              <w:fldChar w:fldCharType="end"/>
            </w:r>
          </w:p>
        </w:sdtContent>
      </w:sdt>
    </w:sdtContent>
  </w:sdt>
  <w:p w14:paraId="46392F57" w14:textId="77777777" w:rsidR="004F0626" w:rsidRDefault="004F06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19381" w14:textId="77777777" w:rsidR="009D7E06" w:rsidRDefault="009D7E06" w:rsidP="003F5FD4">
      <w:r>
        <w:separator/>
      </w:r>
    </w:p>
  </w:footnote>
  <w:footnote w:type="continuationSeparator" w:id="0">
    <w:p w14:paraId="26D0AAA9" w14:textId="77777777" w:rsidR="009D7E06" w:rsidRDefault="009D7E06" w:rsidP="003F5F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F5E"/>
    <w:rsid w:val="0006636A"/>
    <w:rsid w:val="000A7A05"/>
    <w:rsid w:val="000E078B"/>
    <w:rsid w:val="0012046C"/>
    <w:rsid w:val="00126A5E"/>
    <w:rsid w:val="00134EAB"/>
    <w:rsid w:val="001B3954"/>
    <w:rsid w:val="001E6FB1"/>
    <w:rsid w:val="002200DB"/>
    <w:rsid w:val="00226815"/>
    <w:rsid w:val="00277F04"/>
    <w:rsid w:val="002B6C86"/>
    <w:rsid w:val="003363D7"/>
    <w:rsid w:val="00397C13"/>
    <w:rsid w:val="003D14ED"/>
    <w:rsid w:val="003F2668"/>
    <w:rsid w:val="003F5FD4"/>
    <w:rsid w:val="00410740"/>
    <w:rsid w:val="00451F29"/>
    <w:rsid w:val="00474842"/>
    <w:rsid w:val="004F0626"/>
    <w:rsid w:val="004F1259"/>
    <w:rsid w:val="005548F1"/>
    <w:rsid w:val="00556AFC"/>
    <w:rsid w:val="005D284C"/>
    <w:rsid w:val="006237FD"/>
    <w:rsid w:val="00706E7A"/>
    <w:rsid w:val="007255D1"/>
    <w:rsid w:val="00740110"/>
    <w:rsid w:val="007511FC"/>
    <w:rsid w:val="0076257B"/>
    <w:rsid w:val="00763936"/>
    <w:rsid w:val="0077405A"/>
    <w:rsid w:val="00775B7D"/>
    <w:rsid w:val="007774B5"/>
    <w:rsid w:val="007D1ABC"/>
    <w:rsid w:val="008108E8"/>
    <w:rsid w:val="00820E98"/>
    <w:rsid w:val="00842F11"/>
    <w:rsid w:val="0086061D"/>
    <w:rsid w:val="008778F3"/>
    <w:rsid w:val="008E6C6F"/>
    <w:rsid w:val="008F085D"/>
    <w:rsid w:val="00917C44"/>
    <w:rsid w:val="00933894"/>
    <w:rsid w:val="009506E5"/>
    <w:rsid w:val="009529FB"/>
    <w:rsid w:val="00970FD9"/>
    <w:rsid w:val="009C48CA"/>
    <w:rsid w:val="009D1D5B"/>
    <w:rsid w:val="009D1E8C"/>
    <w:rsid w:val="009D28EC"/>
    <w:rsid w:val="009D7E06"/>
    <w:rsid w:val="00A04961"/>
    <w:rsid w:val="00A75AC7"/>
    <w:rsid w:val="00A77B3E"/>
    <w:rsid w:val="00A90D45"/>
    <w:rsid w:val="00A932B6"/>
    <w:rsid w:val="00AA13D7"/>
    <w:rsid w:val="00AC64B9"/>
    <w:rsid w:val="00AD52BE"/>
    <w:rsid w:val="00BA4041"/>
    <w:rsid w:val="00BB4797"/>
    <w:rsid w:val="00C534B0"/>
    <w:rsid w:val="00C633FF"/>
    <w:rsid w:val="00C65923"/>
    <w:rsid w:val="00CA2A55"/>
    <w:rsid w:val="00CA639D"/>
    <w:rsid w:val="00CC49F8"/>
    <w:rsid w:val="00D43526"/>
    <w:rsid w:val="00D53A41"/>
    <w:rsid w:val="00D93DE9"/>
    <w:rsid w:val="00DC0755"/>
    <w:rsid w:val="00DC2D2D"/>
    <w:rsid w:val="00DE4853"/>
    <w:rsid w:val="00E268C1"/>
    <w:rsid w:val="00E41B86"/>
    <w:rsid w:val="00EB0B2A"/>
    <w:rsid w:val="00F3115B"/>
    <w:rsid w:val="00FC5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A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5F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5FD4"/>
    <w:rPr>
      <w:sz w:val="18"/>
      <w:szCs w:val="18"/>
    </w:rPr>
  </w:style>
  <w:style w:type="paragraph" w:styleId="a4">
    <w:name w:val="footer"/>
    <w:basedOn w:val="a"/>
    <w:link w:val="Char0"/>
    <w:uiPriority w:val="99"/>
    <w:unhideWhenUsed/>
    <w:rsid w:val="003F5FD4"/>
    <w:pPr>
      <w:tabs>
        <w:tab w:val="center" w:pos="4153"/>
        <w:tab w:val="right" w:pos="8306"/>
      </w:tabs>
      <w:snapToGrid w:val="0"/>
    </w:pPr>
    <w:rPr>
      <w:sz w:val="18"/>
      <w:szCs w:val="18"/>
    </w:rPr>
  </w:style>
  <w:style w:type="character" w:customStyle="1" w:styleId="Char0">
    <w:name w:val="页脚 Char"/>
    <w:basedOn w:val="a0"/>
    <w:link w:val="a4"/>
    <w:uiPriority w:val="99"/>
    <w:rsid w:val="003F5FD4"/>
    <w:rPr>
      <w:sz w:val="18"/>
      <w:szCs w:val="18"/>
    </w:rPr>
  </w:style>
  <w:style w:type="paragraph" w:styleId="a5">
    <w:name w:val="Balloon Text"/>
    <w:basedOn w:val="a"/>
    <w:link w:val="Char1"/>
    <w:rsid w:val="0076257B"/>
    <w:rPr>
      <w:rFonts w:ascii="Tahoma" w:hAnsi="Tahoma" w:cs="Tahoma"/>
      <w:sz w:val="16"/>
      <w:szCs w:val="16"/>
    </w:rPr>
  </w:style>
  <w:style w:type="character" w:customStyle="1" w:styleId="Char1">
    <w:name w:val="批注框文本 Char"/>
    <w:basedOn w:val="a0"/>
    <w:link w:val="a5"/>
    <w:rsid w:val="007625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5F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5FD4"/>
    <w:rPr>
      <w:sz w:val="18"/>
      <w:szCs w:val="18"/>
    </w:rPr>
  </w:style>
  <w:style w:type="paragraph" w:styleId="a4">
    <w:name w:val="footer"/>
    <w:basedOn w:val="a"/>
    <w:link w:val="Char0"/>
    <w:uiPriority w:val="99"/>
    <w:unhideWhenUsed/>
    <w:rsid w:val="003F5FD4"/>
    <w:pPr>
      <w:tabs>
        <w:tab w:val="center" w:pos="4153"/>
        <w:tab w:val="right" w:pos="8306"/>
      </w:tabs>
      <w:snapToGrid w:val="0"/>
    </w:pPr>
    <w:rPr>
      <w:sz w:val="18"/>
      <w:szCs w:val="18"/>
    </w:rPr>
  </w:style>
  <w:style w:type="character" w:customStyle="1" w:styleId="Char0">
    <w:name w:val="页脚 Char"/>
    <w:basedOn w:val="a0"/>
    <w:link w:val="a4"/>
    <w:uiPriority w:val="99"/>
    <w:rsid w:val="003F5FD4"/>
    <w:rPr>
      <w:sz w:val="18"/>
      <w:szCs w:val="18"/>
    </w:rPr>
  </w:style>
  <w:style w:type="paragraph" w:styleId="a5">
    <w:name w:val="Balloon Text"/>
    <w:basedOn w:val="a"/>
    <w:link w:val="Char1"/>
    <w:rsid w:val="0076257B"/>
    <w:rPr>
      <w:rFonts w:ascii="Tahoma" w:hAnsi="Tahoma" w:cs="Tahoma"/>
      <w:sz w:val="16"/>
      <w:szCs w:val="16"/>
    </w:rPr>
  </w:style>
  <w:style w:type="character" w:customStyle="1" w:styleId="Char1">
    <w:name w:val="批注框文本 Char"/>
    <w:basedOn w:val="a0"/>
    <w:link w:val="a5"/>
    <w:rsid w:val="007625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5623</Words>
  <Characters>32054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8</cp:revision>
  <dcterms:created xsi:type="dcterms:W3CDTF">2020-10-24T17:17:00Z</dcterms:created>
  <dcterms:modified xsi:type="dcterms:W3CDTF">2020-11-26T06:05:00Z</dcterms:modified>
</cp:coreProperties>
</file>