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BF34A" w14:textId="77777777" w:rsidR="00FD26C1" w:rsidRPr="00774B2C" w:rsidRDefault="00FD26C1" w:rsidP="00774B2C">
      <w:pPr>
        <w:adjustRightInd w:val="0"/>
        <w:snapToGrid w:val="0"/>
        <w:rPr>
          <w:rFonts w:cs="Segoe UI"/>
          <w:b/>
          <w:bCs/>
          <w:i/>
          <w:color w:val="000000"/>
          <w:szCs w:val="24"/>
        </w:rPr>
      </w:pPr>
      <w:bookmarkStart w:id="0" w:name="OLE_LINK2"/>
      <w:r w:rsidRPr="00774B2C">
        <w:rPr>
          <w:rFonts w:cs="Tahoma"/>
          <w:b/>
          <w:color w:val="000000"/>
          <w:szCs w:val="24"/>
        </w:rPr>
        <w:t xml:space="preserve">Name of Journal: </w:t>
      </w:r>
      <w:r w:rsidRPr="00774B2C">
        <w:rPr>
          <w:rFonts w:cs="Tahoma"/>
          <w:i/>
          <w:color w:val="000000"/>
          <w:szCs w:val="24"/>
        </w:rPr>
        <w:t>World Journal of Gastroenterology</w:t>
      </w:r>
    </w:p>
    <w:p w14:paraId="0AE11D0D" w14:textId="00DE51E5" w:rsidR="00FD26C1" w:rsidRPr="00774B2C" w:rsidRDefault="00FD26C1" w:rsidP="00774B2C">
      <w:pPr>
        <w:adjustRightInd w:val="0"/>
        <w:snapToGrid w:val="0"/>
        <w:rPr>
          <w:rFonts w:cs="Tahoma"/>
          <w:b/>
          <w:color w:val="000000"/>
          <w:szCs w:val="24"/>
        </w:rPr>
      </w:pPr>
      <w:r w:rsidRPr="00774B2C">
        <w:rPr>
          <w:rFonts w:cs="Tahoma"/>
          <w:b/>
          <w:color w:val="000000"/>
          <w:szCs w:val="24"/>
        </w:rPr>
        <w:t xml:space="preserve">Manuscript NO: </w:t>
      </w:r>
      <w:r w:rsidRPr="00774B2C">
        <w:rPr>
          <w:rFonts w:cs="Tahoma"/>
          <w:bCs/>
          <w:color w:val="000000"/>
          <w:szCs w:val="24"/>
        </w:rPr>
        <w:t>52582</w:t>
      </w:r>
    </w:p>
    <w:p w14:paraId="792433EA" w14:textId="77777777" w:rsidR="00FD26C1" w:rsidRPr="00774B2C" w:rsidRDefault="00FD26C1" w:rsidP="00774B2C">
      <w:pPr>
        <w:adjustRightInd w:val="0"/>
        <w:snapToGrid w:val="0"/>
        <w:rPr>
          <w:rFonts w:cs="Segoe UI"/>
          <w:b/>
          <w:bCs/>
          <w:i/>
          <w:color w:val="000000"/>
          <w:szCs w:val="24"/>
        </w:rPr>
      </w:pPr>
      <w:r w:rsidRPr="00774B2C">
        <w:rPr>
          <w:b/>
          <w:color w:val="000000"/>
          <w:szCs w:val="24"/>
          <w:shd w:val="clear" w:color="auto" w:fill="FFFFFF"/>
        </w:rPr>
        <w:t>Manuscript Type</w:t>
      </w:r>
      <w:r w:rsidRPr="00774B2C">
        <w:rPr>
          <w:b/>
          <w:color w:val="000000"/>
          <w:szCs w:val="24"/>
        </w:rPr>
        <w:t>:</w:t>
      </w:r>
      <w:r w:rsidRPr="00774B2C">
        <w:rPr>
          <w:rFonts w:cs="Segoe UI"/>
          <w:b/>
          <w:bCs/>
          <w:i/>
          <w:color w:val="000000"/>
          <w:szCs w:val="24"/>
        </w:rPr>
        <w:t xml:space="preserve"> </w:t>
      </w:r>
      <w:r w:rsidRPr="00774B2C">
        <w:rPr>
          <w:szCs w:val="24"/>
        </w:rPr>
        <w:t>ORIGINAL ARTICLE</w:t>
      </w:r>
    </w:p>
    <w:p w14:paraId="5524D6E9" w14:textId="77777777" w:rsidR="00D31D55" w:rsidRDefault="00D31D55" w:rsidP="00774B2C">
      <w:pPr>
        <w:adjustRightInd w:val="0"/>
        <w:snapToGrid w:val="0"/>
        <w:rPr>
          <w:b/>
          <w:bCs/>
          <w:i/>
          <w:iCs/>
          <w:szCs w:val="24"/>
        </w:rPr>
      </w:pPr>
    </w:p>
    <w:p w14:paraId="76377670" w14:textId="77777777" w:rsidR="00943B26" w:rsidRDefault="00943B26" w:rsidP="00774B2C">
      <w:pPr>
        <w:adjustRightInd w:val="0"/>
        <w:snapToGrid w:val="0"/>
        <w:rPr>
          <w:b/>
          <w:bCs/>
          <w:i/>
          <w:iCs/>
          <w:szCs w:val="24"/>
        </w:rPr>
      </w:pPr>
      <w:bookmarkStart w:id="1" w:name="OLE_LINK4"/>
      <w:bookmarkStart w:id="2" w:name="OLE_LINK1"/>
      <w:bookmarkStart w:id="3" w:name="_Hlk5282202"/>
      <w:r w:rsidRPr="00943B26">
        <w:rPr>
          <w:b/>
          <w:bCs/>
          <w:i/>
          <w:iCs/>
          <w:szCs w:val="24"/>
        </w:rPr>
        <w:t xml:space="preserve">Observational Study </w:t>
      </w:r>
    </w:p>
    <w:p w14:paraId="27F0B91F" w14:textId="68F76701" w:rsidR="000B4594" w:rsidRPr="00774B2C" w:rsidRDefault="0093033C" w:rsidP="00774B2C">
      <w:pPr>
        <w:adjustRightInd w:val="0"/>
        <w:snapToGrid w:val="0"/>
        <w:rPr>
          <w:b/>
          <w:szCs w:val="24"/>
        </w:rPr>
      </w:pPr>
      <w:r w:rsidRPr="00774B2C">
        <w:rPr>
          <w:b/>
          <w:szCs w:val="24"/>
        </w:rPr>
        <w:t xml:space="preserve">Expression of miR-1304 in </w:t>
      </w:r>
      <w:r w:rsidR="00FD26C1" w:rsidRPr="00774B2C">
        <w:rPr>
          <w:b/>
          <w:szCs w:val="24"/>
        </w:rPr>
        <w:t xml:space="preserve">patients </w:t>
      </w:r>
      <w:r w:rsidRPr="00774B2C">
        <w:rPr>
          <w:b/>
          <w:szCs w:val="24"/>
        </w:rPr>
        <w:t xml:space="preserve">with </w:t>
      </w:r>
      <w:r w:rsidR="00FD26C1" w:rsidRPr="00774B2C">
        <w:rPr>
          <w:b/>
          <w:szCs w:val="24"/>
        </w:rPr>
        <w:t xml:space="preserve">esophageal carcinoma </w:t>
      </w:r>
      <w:r w:rsidRPr="00774B2C">
        <w:rPr>
          <w:b/>
          <w:szCs w:val="24"/>
        </w:rPr>
        <w:t xml:space="preserve">and </w:t>
      </w:r>
      <w:r w:rsidR="00FD26C1" w:rsidRPr="00774B2C">
        <w:rPr>
          <w:b/>
          <w:szCs w:val="24"/>
        </w:rPr>
        <w:t xml:space="preserve">risk factors </w:t>
      </w:r>
      <w:r w:rsidRPr="00774B2C">
        <w:rPr>
          <w:b/>
          <w:szCs w:val="24"/>
        </w:rPr>
        <w:t xml:space="preserve">for </w:t>
      </w:r>
      <w:r w:rsidR="00FD26C1" w:rsidRPr="00774B2C">
        <w:rPr>
          <w:b/>
          <w:szCs w:val="24"/>
        </w:rPr>
        <w:t>recurrence</w:t>
      </w:r>
    </w:p>
    <w:bookmarkEnd w:id="1"/>
    <w:p w14:paraId="5519FC2F" w14:textId="77777777" w:rsidR="00826AC6" w:rsidRPr="00774B2C" w:rsidRDefault="00826AC6" w:rsidP="00774B2C">
      <w:pPr>
        <w:adjustRightInd w:val="0"/>
        <w:snapToGrid w:val="0"/>
        <w:rPr>
          <w:b/>
          <w:szCs w:val="24"/>
        </w:rPr>
      </w:pPr>
    </w:p>
    <w:p w14:paraId="17EBE311" w14:textId="08665A9D" w:rsidR="00011FF8" w:rsidRPr="00774B2C" w:rsidRDefault="00824846" w:rsidP="00774B2C">
      <w:pPr>
        <w:adjustRightInd w:val="0"/>
        <w:snapToGrid w:val="0"/>
        <w:rPr>
          <w:szCs w:val="24"/>
        </w:rPr>
      </w:pPr>
      <w:proofErr w:type="spellStart"/>
      <w:r w:rsidRPr="00774B2C">
        <w:rPr>
          <w:szCs w:val="24"/>
        </w:rPr>
        <w:t>Luo</w:t>
      </w:r>
      <w:proofErr w:type="spellEnd"/>
      <w:r w:rsidRPr="00774B2C">
        <w:rPr>
          <w:szCs w:val="24"/>
        </w:rPr>
        <w:t xml:space="preserve"> YG</w:t>
      </w:r>
      <w:r w:rsidR="0093033C" w:rsidRPr="00774B2C">
        <w:rPr>
          <w:szCs w:val="24"/>
        </w:rPr>
        <w:t xml:space="preserve"> </w:t>
      </w:r>
      <w:r w:rsidR="000B4594" w:rsidRPr="00774B2C">
        <w:rPr>
          <w:i/>
          <w:szCs w:val="24"/>
        </w:rPr>
        <w:t>et al</w:t>
      </w:r>
      <w:r w:rsidR="000B4594" w:rsidRPr="00774B2C">
        <w:rPr>
          <w:szCs w:val="24"/>
        </w:rPr>
        <w:t xml:space="preserve">. </w:t>
      </w:r>
      <w:bookmarkStart w:id="4" w:name="OLE_LINK5"/>
      <w:r w:rsidR="0093033C" w:rsidRPr="00774B2C">
        <w:rPr>
          <w:szCs w:val="24"/>
        </w:rPr>
        <w:t xml:space="preserve">Expression of miR-1304 in </w:t>
      </w:r>
      <w:r w:rsidR="00FD26C1" w:rsidRPr="00774B2C">
        <w:rPr>
          <w:szCs w:val="24"/>
        </w:rPr>
        <w:t>esophageal carcinoma</w:t>
      </w:r>
    </w:p>
    <w:bookmarkEnd w:id="2"/>
    <w:bookmarkEnd w:id="4"/>
    <w:p w14:paraId="10FCBB8C" w14:textId="5B1221F5" w:rsidR="0093033C" w:rsidRPr="00774B2C" w:rsidRDefault="0093033C" w:rsidP="00774B2C">
      <w:pPr>
        <w:adjustRightInd w:val="0"/>
        <w:snapToGrid w:val="0"/>
        <w:rPr>
          <w:b/>
          <w:szCs w:val="24"/>
        </w:rPr>
      </w:pPr>
    </w:p>
    <w:bookmarkEnd w:id="3"/>
    <w:p w14:paraId="6C6BE980" w14:textId="151C6C5A" w:rsidR="0093033C" w:rsidRPr="00774B2C" w:rsidRDefault="00824846" w:rsidP="00774B2C">
      <w:pPr>
        <w:adjustRightInd w:val="0"/>
        <w:snapToGrid w:val="0"/>
        <w:rPr>
          <w:bCs/>
          <w:szCs w:val="24"/>
        </w:rPr>
      </w:pPr>
      <w:r w:rsidRPr="00774B2C">
        <w:rPr>
          <w:bCs/>
          <w:szCs w:val="24"/>
        </w:rPr>
        <w:t xml:space="preserve">Yun-Gang </w:t>
      </w:r>
      <w:proofErr w:type="spellStart"/>
      <w:r w:rsidRPr="00774B2C">
        <w:rPr>
          <w:bCs/>
          <w:szCs w:val="24"/>
        </w:rPr>
        <w:t>Luo</w:t>
      </w:r>
      <w:proofErr w:type="spellEnd"/>
      <w:r w:rsidRPr="00774B2C">
        <w:rPr>
          <w:bCs/>
          <w:szCs w:val="24"/>
        </w:rPr>
        <w:t xml:space="preserve">, Li-Wei </w:t>
      </w:r>
      <w:proofErr w:type="spellStart"/>
      <w:r w:rsidRPr="00774B2C">
        <w:rPr>
          <w:bCs/>
          <w:szCs w:val="24"/>
        </w:rPr>
        <w:t>Duan</w:t>
      </w:r>
      <w:proofErr w:type="spellEnd"/>
      <w:r w:rsidRPr="00774B2C">
        <w:rPr>
          <w:bCs/>
          <w:szCs w:val="24"/>
        </w:rPr>
        <w:t xml:space="preserve">, </w:t>
      </w:r>
      <w:proofErr w:type="spellStart"/>
      <w:r w:rsidRPr="00774B2C">
        <w:rPr>
          <w:bCs/>
          <w:szCs w:val="24"/>
        </w:rPr>
        <w:t>Xuan</w:t>
      </w:r>
      <w:proofErr w:type="spellEnd"/>
      <w:r w:rsidRPr="00774B2C">
        <w:rPr>
          <w:bCs/>
          <w:szCs w:val="24"/>
        </w:rPr>
        <w:t xml:space="preserve"> </w:t>
      </w:r>
      <w:proofErr w:type="spellStart"/>
      <w:r w:rsidRPr="00774B2C">
        <w:rPr>
          <w:bCs/>
          <w:szCs w:val="24"/>
        </w:rPr>
        <w:t>Ji</w:t>
      </w:r>
      <w:proofErr w:type="spellEnd"/>
      <w:r w:rsidRPr="00774B2C">
        <w:rPr>
          <w:bCs/>
          <w:szCs w:val="24"/>
        </w:rPr>
        <w:t xml:space="preserve">, Wen-Yuan </w:t>
      </w:r>
      <w:proofErr w:type="spellStart"/>
      <w:r w:rsidRPr="00774B2C">
        <w:rPr>
          <w:bCs/>
          <w:szCs w:val="24"/>
        </w:rPr>
        <w:t>Jia</w:t>
      </w:r>
      <w:proofErr w:type="spellEnd"/>
      <w:r w:rsidRPr="00774B2C">
        <w:rPr>
          <w:bCs/>
          <w:szCs w:val="24"/>
        </w:rPr>
        <w:t xml:space="preserve">, Yun Liu, Mao-Lei Sun, </w:t>
      </w:r>
      <w:proofErr w:type="spellStart"/>
      <w:r w:rsidRPr="00774B2C">
        <w:rPr>
          <w:bCs/>
          <w:szCs w:val="24"/>
        </w:rPr>
        <w:t>Guo</w:t>
      </w:r>
      <w:proofErr w:type="spellEnd"/>
      <w:r w:rsidRPr="00774B2C">
        <w:rPr>
          <w:bCs/>
          <w:szCs w:val="24"/>
        </w:rPr>
        <w:t>-Min Liu</w:t>
      </w:r>
    </w:p>
    <w:p w14:paraId="1471BF33" w14:textId="77777777" w:rsidR="00824846" w:rsidRPr="00774B2C" w:rsidRDefault="00824846" w:rsidP="00774B2C">
      <w:pPr>
        <w:adjustRightInd w:val="0"/>
        <w:snapToGrid w:val="0"/>
        <w:rPr>
          <w:szCs w:val="24"/>
        </w:rPr>
      </w:pPr>
    </w:p>
    <w:p w14:paraId="75EB55D2" w14:textId="25D3F95A" w:rsidR="0093033C" w:rsidRPr="00774B2C" w:rsidRDefault="00824846" w:rsidP="00774B2C">
      <w:pPr>
        <w:adjustRightInd w:val="0"/>
        <w:snapToGrid w:val="0"/>
        <w:rPr>
          <w:b/>
          <w:szCs w:val="24"/>
        </w:rPr>
      </w:pPr>
      <w:r w:rsidRPr="00774B2C">
        <w:rPr>
          <w:b/>
          <w:szCs w:val="24"/>
        </w:rPr>
        <w:t xml:space="preserve">Yun-Gang </w:t>
      </w:r>
      <w:proofErr w:type="spellStart"/>
      <w:r w:rsidRPr="00774B2C">
        <w:rPr>
          <w:b/>
          <w:szCs w:val="24"/>
        </w:rPr>
        <w:t>Luo</w:t>
      </w:r>
      <w:proofErr w:type="spellEnd"/>
      <w:r w:rsidRPr="00774B2C">
        <w:rPr>
          <w:b/>
          <w:szCs w:val="24"/>
        </w:rPr>
        <w:t xml:space="preserve">, </w:t>
      </w:r>
      <w:proofErr w:type="spellStart"/>
      <w:r w:rsidRPr="00774B2C">
        <w:rPr>
          <w:b/>
          <w:szCs w:val="24"/>
        </w:rPr>
        <w:t>Xuan</w:t>
      </w:r>
      <w:proofErr w:type="spellEnd"/>
      <w:r w:rsidRPr="00774B2C">
        <w:rPr>
          <w:b/>
          <w:szCs w:val="24"/>
        </w:rPr>
        <w:t xml:space="preserve"> </w:t>
      </w:r>
      <w:proofErr w:type="spellStart"/>
      <w:r w:rsidRPr="00774B2C">
        <w:rPr>
          <w:b/>
          <w:szCs w:val="24"/>
        </w:rPr>
        <w:t>Ji</w:t>
      </w:r>
      <w:proofErr w:type="spellEnd"/>
      <w:r w:rsidRPr="00774B2C">
        <w:rPr>
          <w:b/>
          <w:szCs w:val="24"/>
        </w:rPr>
        <w:t xml:space="preserve">, Wen-Yuan </w:t>
      </w:r>
      <w:proofErr w:type="spellStart"/>
      <w:r w:rsidRPr="00774B2C">
        <w:rPr>
          <w:b/>
          <w:szCs w:val="24"/>
        </w:rPr>
        <w:t>Jia</w:t>
      </w:r>
      <w:proofErr w:type="spellEnd"/>
      <w:r w:rsidRPr="00774B2C">
        <w:rPr>
          <w:b/>
          <w:szCs w:val="24"/>
        </w:rPr>
        <w:t xml:space="preserve">, Yun Liu, Mao-Lei Sun, </w:t>
      </w:r>
      <w:proofErr w:type="spellStart"/>
      <w:r w:rsidRPr="00774B2C">
        <w:rPr>
          <w:b/>
          <w:szCs w:val="24"/>
        </w:rPr>
        <w:t>Guo</w:t>
      </w:r>
      <w:proofErr w:type="spellEnd"/>
      <w:r w:rsidRPr="00774B2C">
        <w:rPr>
          <w:b/>
          <w:szCs w:val="24"/>
        </w:rPr>
        <w:t>-Min Liu</w:t>
      </w:r>
      <w:r w:rsidR="0093033C" w:rsidRPr="00774B2C">
        <w:rPr>
          <w:b/>
          <w:szCs w:val="24"/>
        </w:rPr>
        <w:t xml:space="preserve">, </w:t>
      </w:r>
      <w:r w:rsidR="0093033C" w:rsidRPr="00774B2C">
        <w:rPr>
          <w:szCs w:val="24"/>
        </w:rPr>
        <w:t>Jilin Provincial Medicine Anti-Tumor Engineering Center, the Second Hospital of Jilin University, Changchun 130041, Jilin Province, China</w:t>
      </w:r>
    </w:p>
    <w:p w14:paraId="3DA7FC8D" w14:textId="77777777" w:rsidR="00824846" w:rsidRPr="00774B2C" w:rsidRDefault="00824846" w:rsidP="00774B2C">
      <w:pPr>
        <w:adjustRightInd w:val="0"/>
        <w:snapToGrid w:val="0"/>
        <w:rPr>
          <w:b/>
          <w:szCs w:val="24"/>
        </w:rPr>
      </w:pPr>
    </w:p>
    <w:p w14:paraId="789FD74E" w14:textId="5011B342" w:rsidR="00824846" w:rsidRPr="00774B2C" w:rsidRDefault="00824846" w:rsidP="00774B2C">
      <w:pPr>
        <w:adjustRightInd w:val="0"/>
        <w:snapToGrid w:val="0"/>
        <w:rPr>
          <w:b/>
          <w:szCs w:val="24"/>
        </w:rPr>
      </w:pPr>
      <w:r w:rsidRPr="00774B2C">
        <w:rPr>
          <w:b/>
          <w:szCs w:val="24"/>
        </w:rPr>
        <w:t xml:space="preserve">Li-Wei </w:t>
      </w:r>
      <w:proofErr w:type="spellStart"/>
      <w:r w:rsidRPr="00774B2C">
        <w:rPr>
          <w:b/>
          <w:szCs w:val="24"/>
        </w:rPr>
        <w:t>Duan</w:t>
      </w:r>
      <w:proofErr w:type="spellEnd"/>
      <w:r w:rsidRPr="00774B2C">
        <w:rPr>
          <w:b/>
          <w:szCs w:val="24"/>
        </w:rPr>
        <w:t xml:space="preserve">, </w:t>
      </w:r>
      <w:r w:rsidRPr="00774B2C">
        <w:rPr>
          <w:szCs w:val="24"/>
        </w:rPr>
        <w:t>Department of Gastroenterology, the Second Hospital of Jilin University, Changchun 130041, Jilin Province, China</w:t>
      </w:r>
    </w:p>
    <w:p w14:paraId="02219676" w14:textId="77777777" w:rsidR="00824846" w:rsidRPr="00774B2C" w:rsidRDefault="00824846" w:rsidP="00774B2C">
      <w:pPr>
        <w:adjustRightInd w:val="0"/>
        <w:snapToGrid w:val="0"/>
        <w:rPr>
          <w:b/>
          <w:szCs w:val="24"/>
        </w:rPr>
      </w:pPr>
    </w:p>
    <w:p w14:paraId="37190FBC" w14:textId="5216C258" w:rsidR="00824846" w:rsidRPr="00774B2C" w:rsidRDefault="00824846" w:rsidP="00774B2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 xml:space="preserve">Yun-Gang </w:t>
      </w:r>
      <w:proofErr w:type="spellStart"/>
      <w:r w:rsidRPr="00774B2C">
        <w:rPr>
          <w:b/>
          <w:szCs w:val="24"/>
        </w:rPr>
        <w:t>Luo</w:t>
      </w:r>
      <w:proofErr w:type="spellEnd"/>
      <w:r w:rsidRPr="00774B2C">
        <w:rPr>
          <w:b/>
          <w:szCs w:val="24"/>
        </w:rPr>
        <w:t xml:space="preserve">, </w:t>
      </w:r>
      <w:proofErr w:type="spellStart"/>
      <w:r w:rsidRPr="00774B2C">
        <w:rPr>
          <w:b/>
          <w:szCs w:val="24"/>
        </w:rPr>
        <w:t>Xuan</w:t>
      </w:r>
      <w:proofErr w:type="spellEnd"/>
      <w:r w:rsidRPr="00774B2C">
        <w:rPr>
          <w:b/>
          <w:szCs w:val="24"/>
        </w:rPr>
        <w:t xml:space="preserve"> </w:t>
      </w:r>
      <w:proofErr w:type="spellStart"/>
      <w:r w:rsidRPr="00774B2C">
        <w:rPr>
          <w:b/>
          <w:szCs w:val="24"/>
        </w:rPr>
        <w:t>Ji</w:t>
      </w:r>
      <w:proofErr w:type="spellEnd"/>
      <w:r w:rsidRPr="00774B2C">
        <w:rPr>
          <w:b/>
          <w:szCs w:val="24"/>
        </w:rPr>
        <w:t xml:space="preserve">, Yun Liu, Mao-Lei Sun, </w:t>
      </w:r>
      <w:r w:rsidRPr="00774B2C">
        <w:rPr>
          <w:szCs w:val="24"/>
        </w:rPr>
        <w:t>Department of Stomatology, the Second Hospital of Jilin University, Changchun 130041, Jilin Province, China</w:t>
      </w:r>
    </w:p>
    <w:p w14:paraId="7799D06C" w14:textId="77777777" w:rsidR="0093033C" w:rsidRPr="00774B2C" w:rsidRDefault="0093033C" w:rsidP="00774B2C">
      <w:pPr>
        <w:adjustRightInd w:val="0"/>
        <w:snapToGrid w:val="0"/>
        <w:rPr>
          <w:b/>
          <w:szCs w:val="24"/>
        </w:rPr>
      </w:pPr>
    </w:p>
    <w:p w14:paraId="2B894039" w14:textId="4E2A7BDD" w:rsidR="0093033C" w:rsidRPr="00774B2C" w:rsidRDefault="00824846" w:rsidP="00774B2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 xml:space="preserve">Wen-Yuan </w:t>
      </w:r>
      <w:proofErr w:type="spellStart"/>
      <w:r w:rsidRPr="00774B2C">
        <w:rPr>
          <w:b/>
          <w:szCs w:val="24"/>
        </w:rPr>
        <w:t>Jia</w:t>
      </w:r>
      <w:proofErr w:type="spellEnd"/>
      <w:r w:rsidRPr="00774B2C">
        <w:rPr>
          <w:b/>
          <w:szCs w:val="24"/>
        </w:rPr>
        <w:t xml:space="preserve">, </w:t>
      </w:r>
      <w:proofErr w:type="spellStart"/>
      <w:r w:rsidR="0093033C" w:rsidRPr="00774B2C">
        <w:rPr>
          <w:b/>
          <w:szCs w:val="24"/>
        </w:rPr>
        <w:t>Guo</w:t>
      </w:r>
      <w:proofErr w:type="spellEnd"/>
      <w:r w:rsidR="0093033C" w:rsidRPr="00774B2C">
        <w:rPr>
          <w:b/>
          <w:szCs w:val="24"/>
        </w:rPr>
        <w:t xml:space="preserve">-Min Liu, </w:t>
      </w:r>
      <w:r w:rsidR="0093033C" w:rsidRPr="00774B2C">
        <w:rPr>
          <w:szCs w:val="24"/>
        </w:rPr>
        <w:t>Department of Orthopedics, the Second Hospital of Jilin University, Changchun 130041, Jilin Province, China</w:t>
      </w:r>
    </w:p>
    <w:p w14:paraId="5A629A3A" w14:textId="77777777" w:rsidR="00826AC6" w:rsidRPr="00774B2C" w:rsidRDefault="00826AC6" w:rsidP="00774B2C">
      <w:pPr>
        <w:adjustRightInd w:val="0"/>
        <w:snapToGrid w:val="0"/>
        <w:rPr>
          <w:b/>
          <w:szCs w:val="24"/>
        </w:rPr>
      </w:pPr>
    </w:p>
    <w:p w14:paraId="13C38215" w14:textId="4801EED1" w:rsidR="00826AC6" w:rsidRPr="00774B2C" w:rsidRDefault="00FC68D7" w:rsidP="00774B2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>Author contributions:</w:t>
      </w:r>
      <w:r w:rsidR="0093033C" w:rsidRPr="00774B2C">
        <w:rPr>
          <w:szCs w:val="24"/>
        </w:rPr>
        <w:t xml:space="preserve"> </w:t>
      </w:r>
      <w:proofErr w:type="spellStart"/>
      <w:r w:rsidR="0093033C" w:rsidRPr="00774B2C">
        <w:rPr>
          <w:szCs w:val="24"/>
        </w:rPr>
        <w:t>Luo</w:t>
      </w:r>
      <w:proofErr w:type="spellEnd"/>
      <w:r w:rsidR="00B555A6" w:rsidRPr="00774B2C">
        <w:rPr>
          <w:szCs w:val="24"/>
        </w:rPr>
        <w:t xml:space="preserve"> YG and </w:t>
      </w:r>
      <w:proofErr w:type="spellStart"/>
      <w:r w:rsidR="00B555A6" w:rsidRPr="00774B2C">
        <w:rPr>
          <w:szCs w:val="24"/>
        </w:rPr>
        <w:t>Duan</w:t>
      </w:r>
      <w:proofErr w:type="spellEnd"/>
      <w:r w:rsidR="00B555A6" w:rsidRPr="00774B2C">
        <w:rPr>
          <w:szCs w:val="24"/>
        </w:rPr>
        <w:t xml:space="preserve"> LW </w:t>
      </w:r>
      <w:r w:rsidR="001979C3" w:rsidRPr="00774B2C">
        <w:rPr>
          <w:szCs w:val="24"/>
        </w:rPr>
        <w:t xml:space="preserve">designed </w:t>
      </w:r>
      <w:r w:rsidR="0059052B">
        <w:rPr>
          <w:szCs w:val="24"/>
        </w:rPr>
        <w:t xml:space="preserve">the </w:t>
      </w:r>
      <w:r w:rsidR="001979C3" w:rsidRPr="00774B2C">
        <w:rPr>
          <w:szCs w:val="24"/>
        </w:rPr>
        <w:t>research;</w:t>
      </w:r>
      <w:r w:rsidR="001979C3" w:rsidRPr="00774B2C">
        <w:rPr>
          <w:b/>
          <w:szCs w:val="24"/>
        </w:rPr>
        <w:t xml:space="preserve"> </w:t>
      </w:r>
      <w:r w:rsidR="0093033C" w:rsidRPr="00774B2C">
        <w:rPr>
          <w:szCs w:val="24"/>
        </w:rPr>
        <w:t xml:space="preserve">Liu GM and </w:t>
      </w:r>
      <w:proofErr w:type="spellStart"/>
      <w:r w:rsidR="0093033C" w:rsidRPr="00774B2C">
        <w:rPr>
          <w:szCs w:val="24"/>
        </w:rPr>
        <w:t>Ji</w:t>
      </w:r>
      <w:proofErr w:type="spellEnd"/>
      <w:r w:rsidR="0093033C" w:rsidRPr="00774B2C">
        <w:rPr>
          <w:szCs w:val="24"/>
        </w:rPr>
        <w:t xml:space="preserve"> X</w:t>
      </w:r>
      <w:r w:rsidR="001979C3" w:rsidRPr="00774B2C">
        <w:rPr>
          <w:szCs w:val="24"/>
        </w:rPr>
        <w:t xml:space="preserve"> performed </w:t>
      </w:r>
      <w:r w:rsidR="0059052B">
        <w:rPr>
          <w:szCs w:val="24"/>
        </w:rPr>
        <w:t xml:space="preserve">the </w:t>
      </w:r>
      <w:r w:rsidR="001979C3" w:rsidRPr="00774B2C">
        <w:rPr>
          <w:szCs w:val="24"/>
        </w:rPr>
        <w:t xml:space="preserve">research; </w:t>
      </w:r>
      <w:proofErr w:type="spellStart"/>
      <w:r w:rsidR="0093033C" w:rsidRPr="00774B2C">
        <w:rPr>
          <w:szCs w:val="24"/>
        </w:rPr>
        <w:t>Jia</w:t>
      </w:r>
      <w:proofErr w:type="spellEnd"/>
      <w:r w:rsidR="0093033C" w:rsidRPr="00774B2C">
        <w:rPr>
          <w:szCs w:val="24"/>
        </w:rPr>
        <w:t xml:space="preserve"> WY </w:t>
      </w:r>
      <w:r w:rsidR="001979C3" w:rsidRPr="00774B2C">
        <w:rPr>
          <w:szCs w:val="24"/>
        </w:rPr>
        <w:t xml:space="preserve">analyzed </w:t>
      </w:r>
      <w:r w:rsidR="0059052B">
        <w:rPr>
          <w:szCs w:val="24"/>
        </w:rPr>
        <w:t xml:space="preserve">the </w:t>
      </w:r>
      <w:r w:rsidR="001979C3" w:rsidRPr="00774B2C">
        <w:rPr>
          <w:szCs w:val="24"/>
        </w:rPr>
        <w:t xml:space="preserve">data; </w:t>
      </w:r>
      <w:r w:rsidR="0093033C" w:rsidRPr="00774B2C">
        <w:rPr>
          <w:szCs w:val="24"/>
        </w:rPr>
        <w:t xml:space="preserve">Liu Y and Sun ML </w:t>
      </w:r>
      <w:r w:rsidR="001979C3" w:rsidRPr="00774B2C">
        <w:rPr>
          <w:szCs w:val="24"/>
        </w:rPr>
        <w:t>wrote the paper.</w:t>
      </w:r>
    </w:p>
    <w:p w14:paraId="4E621F64" w14:textId="77777777" w:rsidR="00826AC6" w:rsidRPr="00774B2C" w:rsidRDefault="00826AC6" w:rsidP="00774B2C">
      <w:pPr>
        <w:adjustRightInd w:val="0"/>
        <w:snapToGrid w:val="0"/>
        <w:rPr>
          <w:b/>
          <w:szCs w:val="24"/>
        </w:rPr>
      </w:pPr>
    </w:p>
    <w:p w14:paraId="5B4D18E3" w14:textId="2E95B926" w:rsidR="00FC68D7" w:rsidRPr="00774B2C" w:rsidRDefault="00FC68D7" w:rsidP="00774B2C">
      <w:pPr>
        <w:adjustRightInd w:val="0"/>
        <w:snapToGrid w:val="0"/>
        <w:rPr>
          <w:szCs w:val="24"/>
          <w:u w:val="single"/>
        </w:rPr>
      </w:pPr>
      <w:bookmarkStart w:id="5" w:name="OLE_LINK295"/>
      <w:bookmarkStart w:id="6" w:name="OLE_LINK294"/>
      <w:bookmarkStart w:id="7" w:name="OLE_LINK56"/>
      <w:bookmarkStart w:id="8" w:name="OLE_LINK16"/>
      <w:bookmarkStart w:id="9" w:name="OLE_LINK15"/>
      <w:bookmarkStart w:id="10" w:name="OLE_LINK26"/>
      <w:r w:rsidRPr="00774B2C">
        <w:rPr>
          <w:rFonts w:cs="Times New Roman"/>
          <w:b/>
          <w:bCs/>
          <w:szCs w:val="24"/>
          <w:highlight w:val="white"/>
        </w:rPr>
        <w:lastRenderedPageBreak/>
        <w:t>Corresponding author:</w:t>
      </w:r>
      <w:bookmarkEnd w:id="5"/>
      <w:bookmarkEnd w:id="6"/>
      <w:bookmarkEnd w:id="7"/>
      <w:bookmarkEnd w:id="8"/>
      <w:bookmarkEnd w:id="9"/>
      <w:r w:rsidRPr="00774B2C">
        <w:rPr>
          <w:b/>
          <w:szCs w:val="24"/>
        </w:rPr>
        <w:t xml:space="preserve"> </w:t>
      </w:r>
      <w:bookmarkStart w:id="11" w:name="_Hlk28818325"/>
      <w:proofErr w:type="spellStart"/>
      <w:r w:rsidR="00824846" w:rsidRPr="00774B2C">
        <w:rPr>
          <w:b/>
          <w:szCs w:val="24"/>
        </w:rPr>
        <w:t>Guo</w:t>
      </w:r>
      <w:proofErr w:type="spellEnd"/>
      <w:r w:rsidR="00824846" w:rsidRPr="00774B2C">
        <w:rPr>
          <w:b/>
          <w:szCs w:val="24"/>
        </w:rPr>
        <w:t>-Min Liu</w:t>
      </w:r>
      <w:bookmarkEnd w:id="11"/>
      <w:r w:rsidRPr="00774B2C">
        <w:rPr>
          <w:b/>
          <w:szCs w:val="24"/>
        </w:rPr>
        <w:t>,</w:t>
      </w:r>
      <w:r w:rsidRPr="00774B2C">
        <w:rPr>
          <w:szCs w:val="24"/>
        </w:rPr>
        <w:t xml:space="preserve"> </w:t>
      </w:r>
      <w:r w:rsidR="00211A91" w:rsidRPr="00774B2C">
        <w:rPr>
          <w:b/>
          <w:szCs w:val="24"/>
        </w:rPr>
        <w:t>PhD</w:t>
      </w:r>
      <w:r w:rsidRPr="00774B2C">
        <w:rPr>
          <w:b/>
          <w:szCs w:val="24"/>
        </w:rPr>
        <w:t>,</w:t>
      </w:r>
      <w:r w:rsidRPr="00774B2C">
        <w:rPr>
          <w:szCs w:val="24"/>
        </w:rPr>
        <w:t xml:space="preserve"> </w:t>
      </w:r>
      <w:r w:rsidR="00211A91" w:rsidRPr="00774B2C">
        <w:rPr>
          <w:b/>
          <w:szCs w:val="24"/>
        </w:rPr>
        <w:t>Director</w:t>
      </w:r>
      <w:r w:rsidR="008B57B3" w:rsidRPr="00774B2C">
        <w:rPr>
          <w:b/>
          <w:szCs w:val="24"/>
        </w:rPr>
        <w:t>,</w:t>
      </w:r>
      <w:r w:rsidR="00826AC6" w:rsidRPr="00774B2C">
        <w:rPr>
          <w:szCs w:val="24"/>
        </w:rPr>
        <w:t xml:space="preserve"> </w:t>
      </w:r>
      <w:r w:rsidR="00483403" w:rsidRPr="00774B2C">
        <w:rPr>
          <w:szCs w:val="24"/>
        </w:rPr>
        <w:t xml:space="preserve">Jilin Provincial Medicine Anti-Tumor Engineering Center, the Second Hospital of Jilin University, </w:t>
      </w:r>
      <w:r w:rsidR="00B555A6" w:rsidRPr="00774B2C">
        <w:rPr>
          <w:szCs w:val="24"/>
        </w:rPr>
        <w:t>No. 218</w:t>
      </w:r>
      <w:r w:rsidR="00FD26C1" w:rsidRPr="00774B2C">
        <w:rPr>
          <w:szCs w:val="24"/>
        </w:rPr>
        <w:t xml:space="preserve"> </w:t>
      </w:r>
      <w:proofErr w:type="spellStart"/>
      <w:r w:rsidR="00B555A6" w:rsidRPr="00774B2C">
        <w:rPr>
          <w:szCs w:val="24"/>
        </w:rPr>
        <w:t>Ziqiang</w:t>
      </w:r>
      <w:proofErr w:type="spellEnd"/>
      <w:r w:rsidR="00B555A6" w:rsidRPr="00774B2C">
        <w:rPr>
          <w:szCs w:val="24"/>
        </w:rPr>
        <w:t xml:space="preserve"> Street, </w:t>
      </w:r>
      <w:r w:rsidR="00483403" w:rsidRPr="00774B2C">
        <w:rPr>
          <w:szCs w:val="24"/>
        </w:rPr>
        <w:t>Changchun 130041, Jilin Province, China</w:t>
      </w:r>
      <w:r w:rsidR="00FD26C1" w:rsidRPr="00774B2C">
        <w:rPr>
          <w:szCs w:val="24"/>
        </w:rPr>
        <w:t>.</w:t>
      </w:r>
      <w:r w:rsidR="00483403" w:rsidRPr="00774B2C">
        <w:rPr>
          <w:szCs w:val="24"/>
        </w:rPr>
        <w:t xml:space="preserve"> </w:t>
      </w:r>
      <w:r w:rsidR="00FD26C1" w:rsidRPr="00E760CE">
        <w:rPr>
          <w:szCs w:val="24"/>
        </w:rPr>
        <w:t>l168uw@163.com</w:t>
      </w:r>
    </w:p>
    <w:p w14:paraId="04890E4E" w14:textId="048BFA0A" w:rsidR="00FD26C1" w:rsidRPr="00774B2C" w:rsidRDefault="00FD26C1" w:rsidP="00774B2C">
      <w:pPr>
        <w:adjustRightInd w:val="0"/>
        <w:snapToGrid w:val="0"/>
        <w:rPr>
          <w:szCs w:val="24"/>
          <w:u w:val="single"/>
        </w:rPr>
      </w:pPr>
    </w:p>
    <w:p w14:paraId="1D851CCE" w14:textId="3801216F" w:rsidR="00FD26C1" w:rsidRPr="00774B2C" w:rsidRDefault="00FD26C1" w:rsidP="00774B2C">
      <w:pPr>
        <w:adjustRightInd w:val="0"/>
        <w:snapToGrid w:val="0"/>
        <w:rPr>
          <w:b/>
          <w:szCs w:val="24"/>
        </w:rPr>
      </w:pPr>
      <w:r w:rsidRPr="00774B2C">
        <w:rPr>
          <w:b/>
          <w:szCs w:val="24"/>
        </w:rPr>
        <w:t xml:space="preserve">Received: </w:t>
      </w:r>
      <w:r w:rsidRPr="00774B2C">
        <w:rPr>
          <w:szCs w:val="24"/>
        </w:rPr>
        <w:t>November 8, 2019</w:t>
      </w:r>
    </w:p>
    <w:p w14:paraId="16AED817" w14:textId="41BBB3F8" w:rsidR="00FD26C1" w:rsidRPr="00774B2C" w:rsidRDefault="00FD26C1" w:rsidP="00774B2C">
      <w:pPr>
        <w:adjustRightInd w:val="0"/>
        <w:snapToGrid w:val="0"/>
        <w:rPr>
          <w:b/>
          <w:szCs w:val="24"/>
        </w:rPr>
      </w:pPr>
      <w:r w:rsidRPr="00774B2C">
        <w:rPr>
          <w:b/>
          <w:szCs w:val="24"/>
        </w:rPr>
        <w:t xml:space="preserve">Revised: </w:t>
      </w:r>
      <w:r w:rsidRPr="00774B2C">
        <w:rPr>
          <w:szCs w:val="24"/>
        </w:rPr>
        <w:t>January 6, 2020</w:t>
      </w:r>
    </w:p>
    <w:p w14:paraId="4CA4A83F" w14:textId="6B896F73" w:rsidR="00FD26C1" w:rsidRPr="00774B2C" w:rsidRDefault="00FD26C1" w:rsidP="00774B2C">
      <w:pPr>
        <w:adjustRightInd w:val="0"/>
        <w:snapToGrid w:val="0"/>
        <w:rPr>
          <w:color w:val="000000"/>
          <w:szCs w:val="24"/>
        </w:rPr>
      </w:pPr>
      <w:r w:rsidRPr="00774B2C">
        <w:rPr>
          <w:b/>
          <w:szCs w:val="24"/>
        </w:rPr>
        <w:t>Accepted:</w:t>
      </w:r>
      <w:r w:rsidR="00943B26" w:rsidRPr="00943B26">
        <w:t xml:space="preserve"> </w:t>
      </w:r>
      <w:r w:rsidR="00943B26" w:rsidRPr="00943B26">
        <w:rPr>
          <w:bCs/>
          <w:szCs w:val="24"/>
        </w:rPr>
        <w:t>January 11, 2020</w:t>
      </w:r>
      <w:r w:rsidRPr="00943B26">
        <w:rPr>
          <w:bCs/>
          <w:szCs w:val="24"/>
        </w:rPr>
        <w:t xml:space="preserve"> </w:t>
      </w:r>
    </w:p>
    <w:p w14:paraId="63D75413" w14:textId="69F18586" w:rsidR="00FD26C1" w:rsidRPr="00774B2C" w:rsidRDefault="00FD26C1" w:rsidP="00774B2C">
      <w:pPr>
        <w:adjustRightInd w:val="0"/>
        <w:snapToGrid w:val="0"/>
        <w:rPr>
          <w:b/>
          <w:szCs w:val="24"/>
        </w:rPr>
      </w:pPr>
      <w:r w:rsidRPr="00774B2C">
        <w:rPr>
          <w:b/>
          <w:szCs w:val="24"/>
        </w:rPr>
        <w:t>Published online:</w:t>
      </w:r>
      <w:r w:rsidR="00CD1936">
        <w:rPr>
          <w:rFonts w:hint="eastAsia"/>
          <w:b/>
          <w:szCs w:val="24"/>
        </w:rPr>
        <w:t xml:space="preserve"> </w:t>
      </w:r>
      <w:r w:rsidR="00CD1936" w:rsidRPr="00846790">
        <w:rPr>
          <w:sz w:val="20"/>
          <w:szCs w:val="20"/>
        </w:rPr>
        <w:t>February 14,</w:t>
      </w:r>
      <w:r w:rsidR="00CD1936">
        <w:rPr>
          <w:rFonts w:hint="eastAsia"/>
          <w:sz w:val="20"/>
          <w:szCs w:val="20"/>
        </w:rPr>
        <w:t xml:space="preserve"> </w:t>
      </w:r>
      <w:r w:rsidR="00CD1936" w:rsidRPr="00846790">
        <w:rPr>
          <w:sz w:val="20"/>
          <w:szCs w:val="20"/>
        </w:rPr>
        <w:t>2020</w:t>
      </w:r>
    </w:p>
    <w:p w14:paraId="09040CE8" w14:textId="77777777" w:rsidR="00FD26C1" w:rsidRPr="00774B2C" w:rsidRDefault="00FD26C1" w:rsidP="00774B2C">
      <w:pPr>
        <w:adjustRightInd w:val="0"/>
        <w:snapToGrid w:val="0"/>
        <w:rPr>
          <w:szCs w:val="24"/>
          <w:u w:val="single"/>
        </w:rPr>
      </w:pPr>
    </w:p>
    <w:bookmarkEnd w:id="10"/>
    <w:p w14:paraId="739748A4" w14:textId="77777777" w:rsidR="00FD26C1" w:rsidRPr="00774B2C" w:rsidRDefault="00FD26C1" w:rsidP="00774B2C">
      <w:pPr>
        <w:widowControl/>
        <w:adjustRightInd w:val="0"/>
        <w:snapToGrid w:val="0"/>
        <w:rPr>
          <w:b/>
          <w:szCs w:val="24"/>
        </w:rPr>
      </w:pPr>
      <w:r w:rsidRPr="00774B2C">
        <w:rPr>
          <w:szCs w:val="24"/>
        </w:rPr>
        <w:br w:type="page"/>
      </w:r>
    </w:p>
    <w:p w14:paraId="24D77185" w14:textId="5A9079A3" w:rsidR="00CC30A8" w:rsidRPr="00774B2C" w:rsidRDefault="00CC30A8" w:rsidP="00774B2C">
      <w:pPr>
        <w:pStyle w:val="12ptBold"/>
        <w:adjustRightInd w:val="0"/>
        <w:snapToGrid w:val="0"/>
      </w:pPr>
      <w:r w:rsidRPr="00774B2C">
        <w:lastRenderedPageBreak/>
        <w:t>Abstract</w:t>
      </w:r>
    </w:p>
    <w:p w14:paraId="16B5780A" w14:textId="77777777" w:rsidR="008C5469" w:rsidRPr="00774B2C" w:rsidRDefault="00CC30A8" w:rsidP="00774B2C">
      <w:pPr>
        <w:adjustRightInd w:val="0"/>
        <w:snapToGrid w:val="0"/>
        <w:rPr>
          <w:bCs/>
          <w:iCs/>
          <w:szCs w:val="24"/>
        </w:rPr>
      </w:pPr>
      <w:r w:rsidRPr="00774B2C">
        <w:rPr>
          <w:bCs/>
          <w:iCs/>
          <w:szCs w:val="24"/>
        </w:rPr>
        <w:t>BACKGROUND</w:t>
      </w:r>
    </w:p>
    <w:p w14:paraId="220B59F8" w14:textId="233C0A80" w:rsidR="008C5469" w:rsidRPr="00774B2C" w:rsidRDefault="00483403" w:rsidP="00774B2C">
      <w:pPr>
        <w:adjustRightInd w:val="0"/>
        <w:snapToGrid w:val="0"/>
        <w:rPr>
          <w:szCs w:val="24"/>
        </w:rPr>
      </w:pPr>
      <w:r w:rsidRPr="00774B2C">
        <w:rPr>
          <w:szCs w:val="24"/>
        </w:rPr>
        <w:t xml:space="preserve">Esophageal carcinoma is a malignant gastrointestinal tumor with </w:t>
      </w:r>
      <w:r w:rsidR="0059052B">
        <w:rPr>
          <w:szCs w:val="24"/>
        </w:rPr>
        <w:t xml:space="preserve">a </w:t>
      </w:r>
      <w:r w:rsidRPr="00774B2C">
        <w:rPr>
          <w:szCs w:val="24"/>
        </w:rPr>
        <w:t xml:space="preserve">very poor prognosis. </w:t>
      </w:r>
      <w:r w:rsidR="001000DB">
        <w:rPr>
          <w:szCs w:val="24"/>
        </w:rPr>
        <w:t>MicroRNA (</w:t>
      </w:r>
      <w:proofErr w:type="spellStart"/>
      <w:r w:rsidRPr="00774B2C">
        <w:rPr>
          <w:szCs w:val="24"/>
        </w:rPr>
        <w:t>miR</w:t>
      </w:r>
      <w:proofErr w:type="spellEnd"/>
      <w:r w:rsidR="001000DB">
        <w:rPr>
          <w:szCs w:val="24"/>
        </w:rPr>
        <w:t>)</w:t>
      </w:r>
      <w:r w:rsidRPr="00774B2C">
        <w:rPr>
          <w:szCs w:val="24"/>
        </w:rPr>
        <w:t>-1304 is a newly discovered non-coding RNA, which shows differential expression in other cancers, and its clinical value in esophageal carcinoma remains unclear.</w:t>
      </w:r>
    </w:p>
    <w:p w14:paraId="2E5196CB" w14:textId="77777777" w:rsidR="00690D64" w:rsidRPr="00774B2C" w:rsidRDefault="00690D64" w:rsidP="00774B2C">
      <w:pPr>
        <w:adjustRightInd w:val="0"/>
        <w:snapToGrid w:val="0"/>
        <w:rPr>
          <w:szCs w:val="24"/>
        </w:rPr>
      </w:pPr>
    </w:p>
    <w:p w14:paraId="4BF250F9" w14:textId="58F41ABE" w:rsidR="00CC30A8" w:rsidRPr="00774B2C" w:rsidRDefault="00CC30A8" w:rsidP="00774B2C">
      <w:pPr>
        <w:adjustRightInd w:val="0"/>
        <w:snapToGrid w:val="0"/>
        <w:rPr>
          <w:bCs/>
          <w:iCs/>
          <w:szCs w:val="24"/>
        </w:rPr>
      </w:pPr>
      <w:r w:rsidRPr="00774B2C">
        <w:rPr>
          <w:bCs/>
          <w:iCs/>
          <w:szCs w:val="24"/>
        </w:rPr>
        <w:t>AIM</w:t>
      </w:r>
    </w:p>
    <w:p w14:paraId="012BCDC6" w14:textId="2A5F450E" w:rsidR="008C5469" w:rsidRPr="00774B2C" w:rsidRDefault="00FD26C1" w:rsidP="00774B2C">
      <w:pPr>
        <w:adjustRightInd w:val="0"/>
        <w:snapToGrid w:val="0"/>
        <w:rPr>
          <w:szCs w:val="24"/>
        </w:rPr>
      </w:pPr>
      <w:proofErr w:type="gramStart"/>
      <w:r w:rsidRPr="00774B2C">
        <w:rPr>
          <w:szCs w:val="24"/>
        </w:rPr>
        <w:t xml:space="preserve">To </w:t>
      </w:r>
      <w:r w:rsidR="00483403" w:rsidRPr="00774B2C">
        <w:rPr>
          <w:szCs w:val="24"/>
        </w:rPr>
        <w:t>explore the expression of miR-1304 in patients with esophageal carcinoma and its clinical value.</w:t>
      </w:r>
      <w:proofErr w:type="gramEnd"/>
    </w:p>
    <w:p w14:paraId="12610034" w14:textId="77777777" w:rsidR="00690D64" w:rsidRPr="00774B2C" w:rsidRDefault="00690D64" w:rsidP="00774B2C">
      <w:pPr>
        <w:adjustRightInd w:val="0"/>
        <w:snapToGrid w:val="0"/>
        <w:rPr>
          <w:szCs w:val="24"/>
        </w:rPr>
      </w:pPr>
    </w:p>
    <w:p w14:paraId="2570E0B0" w14:textId="78F0C77C" w:rsidR="00CC30A8" w:rsidRPr="00774B2C" w:rsidRDefault="00CC30A8" w:rsidP="00774B2C">
      <w:pPr>
        <w:adjustRightInd w:val="0"/>
        <w:snapToGrid w:val="0"/>
        <w:rPr>
          <w:bCs/>
          <w:iCs/>
          <w:szCs w:val="24"/>
        </w:rPr>
      </w:pPr>
      <w:r w:rsidRPr="00774B2C">
        <w:rPr>
          <w:bCs/>
          <w:iCs/>
          <w:szCs w:val="24"/>
        </w:rPr>
        <w:t>METHODS</w:t>
      </w:r>
    </w:p>
    <w:p w14:paraId="4821D1B7" w14:textId="024A6C79" w:rsidR="008C5469" w:rsidRPr="00774B2C" w:rsidRDefault="00483403" w:rsidP="00774B2C">
      <w:pPr>
        <w:adjustRightInd w:val="0"/>
        <w:snapToGrid w:val="0"/>
        <w:rPr>
          <w:szCs w:val="24"/>
        </w:rPr>
      </w:pPr>
      <w:r w:rsidRPr="00774B2C">
        <w:rPr>
          <w:szCs w:val="24"/>
        </w:rPr>
        <w:t xml:space="preserve">The expression of miR-1304 in patients with esophageal carcinoma was analyzed based on the data </w:t>
      </w:r>
      <w:r w:rsidR="0059052B">
        <w:rPr>
          <w:szCs w:val="24"/>
        </w:rPr>
        <w:t>on</w:t>
      </w:r>
      <w:r w:rsidRPr="00774B2C">
        <w:rPr>
          <w:szCs w:val="24"/>
        </w:rPr>
        <w:t xml:space="preserve"> </w:t>
      </w:r>
      <w:proofErr w:type="spellStart"/>
      <w:r w:rsidRPr="00774B2C">
        <w:rPr>
          <w:szCs w:val="24"/>
        </w:rPr>
        <w:t>miR</w:t>
      </w:r>
      <w:proofErr w:type="spellEnd"/>
      <w:r w:rsidRPr="00774B2C">
        <w:rPr>
          <w:szCs w:val="24"/>
        </w:rPr>
        <w:t xml:space="preserve"> in esophageal carcinoma downloaded from </w:t>
      </w:r>
      <w:r w:rsidR="003021B3">
        <w:rPr>
          <w:szCs w:val="24"/>
        </w:rPr>
        <w:t>T</w:t>
      </w:r>
      <w:r w:rsidRPr="00774B2C">
        <w:rPr>
          <w:szCs w:val="24"/>
        </w:rPr>
        <w:t>he Cancer Genome Atlas database. Quantitative real</w:t>
      </w:r>
      <w:r w:rsidR="001000DB">
        <w:rPr>
          <w:szCs w:val="24"/>
        </w:rPr>
        <w:t>-</w:t>
      </w:r>
      <w:r w:rsidRPr="00774B2C">
        <w:rPr>
          <w:szCs w:val="24"/>
        </w:rPr>
        <w:t xml:space="preserve">time polymerase chain reaction was adopted to determine the expression of miR-1304 in </w:t>
      </w:r>
      <w:r w:rsidR="0059052B">
        <w:rPr>
          <w:szCs w:val="24"/>
        </w:rPr>
        <w:t xml:space="preserve">the </w:t>
      </w:r>
      <w:r w:rsidRPr="00774B2C">
        <w:rPr>
          <w:szCs w:val="24"/>
        </w:rPr>
        <w:t xml:space="preserve">tissues and serum of patients. The clinical diagnostic value of miR-1304 and independent factors for recurrence and prognosis of esophageal carcinoma were </w:t>
      </w:r>
      <w:r w:rsidR="0059052B">
        <w:rPr>
          <w:szCs w:val="24"/>
        </w:rPr>
        <w:t xml:space="preserve">then </w:t>
      </w:r>
      <w:r w:rsidRPr="00774B2C">
        <w:rPr>
          <w:szCs w:val="24"/>
        </w:rPr>
        <w:t>analyzed. The potential target genes of miR-1304 were predicted, and the</w:t>
      </w:r>
      <w:r w:rsidR="0059052B">
        <w:rPr>
          <w:szCs w:val="24"/>
        </w:rPr>
        <w:t>n</w:t>
      </w:r>
      <w:r w:rsidRPr="00774B2C">
        <w:rPr>
          <w:szCs w:val="24"/>
        </w:rPr>
        <w:t xml:space="preserve"> analyzed based on gene ontology, Kyoto Encyclopedia of Genes, and Genomes, and protein-protein interaction.</w:t>
      </w:r>
    </w:p>
    <w:p w14:paraId="73C6A827" w14:textId="77777777" w:rsidR="00690D64" w:rsidRPr="00774B2C" w:rsidRDefault="00690D64" w:rsidP="00774B2C">
      <w:pPr>
        <w:adjustRightInd w:val="0"/>
        <w:snapToGrid w:val="0"/>
        <w:rPr>
          <w:szCs w:val="24"/>
        </w:rPr>
      </w:pPr>
    </w:p>
    <w:p w14:paraId="230EB96D" w14:textId="5A0C93B8" w:rsidR="00CC30A8" w:rsidRPr="00774B2C" w:rsidRDefault="00CC30A8" w:rsidP="00774B2C">
      <w:pPr>
        <w:adjustRightInd w:val="0"/>
        <w:snapToGrid w:val="0"/>
        <w:rPr>
          <w:bCs/>
          <w:iCs/>
          <w:szCs w:val="24"/>
        </w:rPr>
      </w:pPr>
      <w:r w:rsidRPr="00774B2C">
        <w:rPr>
          <w:bCs/>
          <w:iCs/>
          <w:szCs w:val="24"/>
        </w:rPr>
        <w:t>RESULTS</w:t>
      </w:r>
    </w:p>
    <w:p w14:paraId="2F8BDD33" w14:textId="245BAAF3" w:rsidR="008C5469" w:rsidRPr="00774B2C" w:rsidRDefault="00483403" w:rsidP="00774B2C">
      <w:pPr>
        <w:adjustRightInd w:val="0"/>
        <w:snapToGrid w:val="0"/>
        <w:rPr>
          <w:szCs w:val="24"/>
        </w:rPr>
      </w:pPr>
      <w:bookmarkStart w:id="12" w:name="_Hlk5291914"/>
      <w:r w:rsidRPr="00774B2C">
        <w:rPr>
          <w:szCs w:val="24"/>
        </w:rPr>
        <w:t xml:space="preserve">The expression of miR-1304 in </w:t>
      </w:r>
      <w:r w:rsidR="0059052B">
        <w:rPr>
          <w:szCs w:val="24"/>
        </w:rPr>
        <w:t xml:space="preserve">the </w:t>
      </w:r>
      <w:r w:rsidRPr="00774B2C">
        <w:rPr>
          <w:szCs w:val="24"/>
        </w:rPr>
        <w:t xml:space="preserve">tissues and serum of patients </w:t>
      </w:r>
      <w:r w:rsidR="0059052B" w:rsidRPr="00774B2C">
        <w:rPr>
          <w:szCs w:val="24"/>
        </w:rPr>
        <w:t xml:space="preserve">with esophageal carcinoma </w:t>
      </w:r>
      <w:r w:rsidRPr="00774B2C">
        <w:rPr>
          <w:szCs w:val="24"/>
        </w:rPr>
        <w:t xml:space="preserve">increased, and </w:t>
      </w:r>
      <w:r w:rsidR="0059052B">
        <w:rPr>
          <w:szCs w:val="24"/>
        </w:rPr>
        <w:t xml:space="preserve">was also </w:t>
      </w:r>
      <w:r w:rsidRPr="00774B2C">
        <w:rPr>
          <w:szCs w:val="24"/>
        </w:rPr>
        <w:t>increase</w:t>
      </w:r>
      <w:r w:rsidR="001000DB">
        <w:rPr>
          <w:szCs w:val="24"/>
        </w:rPr>
        <w:t>d</w:t>
      </w:r>
      <w:r w:rsidRPr="00774B2C">
        <w:rPr>
          <w:szCs w:val="24"/>
        </w:rPr>
        <w:t xml:space="preserve"> according to the database. Patients with high expression of miR-1304 suffered increased rates of tumor </w:t>
      </w:r>
      <w:r w:rsidR="00FD26C1" w:rsidRPr="00774B2C">
        <w:rPr>
          <w:szCs w:val="24"/>
        </w:rPr>
        <w:t xml:space="preserve">≥ </w:t>
      </w:r>
      <w:r w:rsidRPr="00774B2C">
        <w:rPr>
          <w:szCs w:val="24"/>
        </w:rPr>
        <w:t>3</w:t>
      </w:r>
      <w:r w:rsidR="00FD26C1" w:rsidRPr="00774B2C">
        <w:rPr>
          <w:szCs w:val="24"/>
        </w:rPr>
        <w:t xml:space="preserve"> </w:t>
      </w:r>
      <w:r w:rsidRPr="00774B2C">
        <w:rPr>
          <w:szCs w:val="24"/>
        </w:rPr>
        <w:t xml:space="preserve">cm, low differentiation and </w:t>
      </w:r>
      <w:r w:rsidR="0059052B">
        <w:rPr>
          <w:szCs w:val="24"/>
        </w:rPr>
        <w:t xml:space="preserve">stage </w:t>
      </w:r>
      <w:r w:rsidRPr="00774B2C">
        <w:rPr>
          <w:szCs w:val="24"/>
        </w:rPr>
        <w:t>II</w:t>
      </w:r>
      <w:r w:rsidR="00FD26C1" w:rsidRPr="00774B2C">
        <w:rPr>
          <w:szCs w:val="24"/>
        </w:rPr>
        <w:t xml:space="preserve"> </w:t>
      </w:r>
      <w:r w:rsidRPr="00774B2C">
        <w:rPr>
          <w:szCs w:val="24"/>
        </w:rPr>
        <w:t>+</w:t>
      </w:r>
      <w:r w:rsidR="00FD26C1" w:rsidRPr="00774B2C">
        <w:rPr>
          <w:szCs w:val="24"/>
        </w:rPr>
        <w:t xml:space="preserve"> </w:t>
      </w:r>
      <w:r w:rsidRPr="00774B2C">
        <w:rPr>
          <w:szCs w:val="24"/>
        </w:rPr>
        <w:t xml:space="preserve">III. </w:t>
      </w:r>
      <w:proofErr w:type="gramStart"/>
      <w:r w:rsidRPr="00774B2C">
        <w:rPr>
          <w:szCs w:val="24"/>
        </w:rPr>
        <w:t>miR-1304</w:t>
      </w:r>
      <w:proofErr w:type="gramEnd"/>
      <w:r w:rsidRPr="00774B2C">
        <w:rPr>
          <w:szCs w:val="24"/>
        </w:rPr>
        <w:t xml:space="preserve"> had a diagnostic value in identifying esophageal carcinoma, tumor size, differentiation and TNM stage. Tumor size, differentiation, TNM stage, and miR-1304 were independent risk factors for recurrence of esophageal carcinoma, and they had certain predictive and diagnostic value for </w:t>
      </w:r>
      <w:r w:rsidR="0059052B">
        <w:rPr>
          <w:szCs w:val="24"/>
        </w:rPr>
        <w:t xml:space="preserve">the </w:t>
      </w:r>
      <w:r w:rsidRPr="00774B2C">
        <w:rPr>
          <w:szCs w:val="24"/>
        </w:rPr>
        <w:lastRenderedPageBreak/>
        <w:t xml:space="preserve">recurrence of </w:t>
      </w:r>
      <w:r w:rsidR="0059052B" w:rsidRPr="00774B2C">
        <w:rPr>
          <w:szCs w:val="24"/>
        </w:rPr>
        <w:t>esophageal carcinoma</w:t>
      </w:r>
      <w:r w:rsidRPr="00774B2C">
        <w:rPr>
          <w:szCs w:val="24"/>
        </w:rPr>
        <w:t xml:space="preserve">. Seventy-eight patients showed a 3-year survival rate of 38.46%, and patients with high expression of miR-1304 </w:t>
      </w:r>
      <w:r w:rsidR="0059052B">
        <w:rPr>
          <w:szCs w:val="24"/>
        </w:rPr>
        <w:t>had</w:t>
      </w:r>
      <w:r w:rsidRPr="00774B2C">
        <w:rPr>
          <w:szCs w:val="24"/>
        </w:rPr>
        <w:t xml:space="preserve"> a relatively lower survival rate. Multivariate analysis revealed that tumor size, differentiation, recurrence and miR-1304 were independent factors for </w:t>
      </w:r>
      <w:r w:rsidR="0059052B">
        <w:rPr>
          <w:szCs w:val="24"/>
        </w:rPr>
        <w:t xml:space="preserve">the </w:t>
      </w:r>
      <w:r w:rsidRPr="00774B2C">
        <w:rPr>
          <w:szCs w:val="24"/>
        </w:rPr>
        <w:t xml:space="preserve">prognosis of patients. </w:t>
      </w:r>
      <w:proofErr w:type="spellStart"/>
      <w:r w:rsidRPr="00774B2C">
        <w:rPr>
          <w:szCs w:val="24"/>
        </w:rPr>
        <w:t>Mi</w:t>
      </w:r>
      <w:r w:rsidR="00DE7BB4">
        <w:rPr>
          <w:szCs w:val="24"/>
        </w:rPr>
        <w:t>RT</w:t>
      </w:r>
      <w:r w:rsidRPr="00774B2C">
        <w:rPr>
          <w:szCs w:val="24"/>
        </w:rPr>
        <w:t>ar</w:t>
      </w:r>
      <w:r w:rsidR="00DE7BB4">
        <w:rPr>
          <w:szCs w:val="24"/>
        </w:rPr>
        <w:t>B</w:t>
      </w:r>
      <w:r w:rsidRPr="00774B2C">
        <w:rPr>
          <w:szCs w:val="24"/>
        </w:rPr>
        <w:t>ase</w:t>
      </w:r>
      <w:proofErr w:type="spellEnd"/>
      <w:r w:rsidRPr="00774B2C">
        <w:rPr>
          <w:szCs w:val="24"/>
        </w:rPr>
        <w:t xml:space="preserve">, </w:t>
      </w:r>
      <w:proofErr w:type="spellStart"/>
      <w:r w:rsidRPr="00774B2C">
        <w:rPr>
          <w:szCs w:val="24"/>
        </w:rPr>
        <w:t>miRDB</w:t>
      </w:r>
      <w:proofErr w:type="spellEnd"/>
      <w:r w:rsidRPr="00774B2C">
        <w:rPr>
          <w:szCs w:val="24"/>
        </w:rPr>
        <w:t xml:space="preserve">, and </w:t>
      </w:r>
      <w:proofErr w:type="spellStart"/>
      <w:r w:rsidR="0059052B">
        <w:rPr>
          <w:szCs w:val="24"/>
        </w:rPr>
        <w:t>T</w:t>
      </w:r>
      <w:r w:rsidRPr="00774B2C">
        <w:rPr>
          <w:szCs w:val="24"/>
        </w:rPr>
        <w:t>argetscan</w:t>
      </w:r>
      <w:proofErr w:type="spellEnd"/>
      <w:r w:rsidRPr="00774B2C">
        <w:rPr>
          <w:szCs w:val="24"/>
        </w:rPr>
        <w:t xml:space="preserve"> predicted 20 target genes in total. </w:t>
      </w:r>
      <w:r w:rsidR="00FD26C1" w:rsidRPr="00774B2C">
        <w:rPr>
          <w:szCs w:val="24"/>
        </w:rPr>
        <w:t>Gene ontology</w:t>
      </w:r>
      <w:r w:rsidRPr="00774B2C">
        <w:rPr>
          <w:szCs w:val="24"/>
        </w:rPr>
        <w:t xml:space="preserve"> enrichment analysis found 18 functions with </w:t>
      </w:r>
      <w:proofErr w:type="spellStart"/>
      <w:proofErr w:type="gramStart"/>
      <w:r w:rsidR="003949F3" w:rsidRPr="00774B2C">
        <w:rPr>
          <w:szCs w:val="24"/>
          <w:vertAlign w:val="superscript"/>
        </w:rPr>
        <w:t>a</w:t>
      </w:r>
      <w:r w:rsidR="007E494D" w:rsidRPr="00774B2C">
        <w:rPr>
          <w:i/>
          <w:iCs/>
          <w:szCs w:val="24"/>
        </w:rPr>
        <w:t>P</w:t>
      </w:r>
      <w:proofErr w:type="spellEnd"/>
      <w:proofErr w:type="gramEnd"/>
      <w:r w:rsidR="00FD26C1" w:rsidRPr="00774B2C">
        <w:rPr>
          <w:i/>
          <w:iCs/>
          <w:szCs w:val="24"/>
        </w:rPr>
        <w:t xml:space="preserve"> </w:t>
      </w:r>
      <w:r w:rsidRPr="00774B2C">
        <w:rPr>
          <w:szCs w:val="24"/>
        </w:rPr>
        <w:t>&lt;</w:t>
      </w:r>
      <w:r w:rsidR="00FD26C1" w:rsidRPr="00774B2C">
        <w:rPr>
          <w:szCs w:val="24"/>
        </w:rPr>
        <w:t xml:space="preserve"> </w:t>
      </w:r>
      <w:r w:rsidRPr="00774B2C">
        <w:rPr>
          <w:szCs w:val="24"/>
        </w:rPr>
        <w:t xml:space="preserve">0.05, and </w:t>
      </w:r>
      <w:r w:rsidR="00FD26C1" w:rsidRPr="00774B2C">
        <w:rPr>
          <w:szCs w:val="24"/>
        </w:rPr>
        <w:t>Kyoto Encyclopedia of Genes, and Genomes</w:t>
      </w:r>
      <w:r w:rsidRPr="00774B2C">
        <w:rPr>
          <w:szCs w:val="24"/>
        </w:rPr>
        <w:t xml:space="preserve"> analysis found 11 signal pathways with </w:t>
      </w:r>
      <w:proofErr w:type="spellStart"/>
      <w:r w:rsidR="003949F3" w:rsidRPr="00774B2C">
        <w:rPr>
          <w:szCs w:val="24"/>
          <w:vertAlign w:val="superscript"/>
        </w:rPr>
        <w:t>a</w:t>
      </w:r>
      <w:r w:rsidR="007E494D" w:rsidRPr="00774B2C">
        <w:rPr>
          <w:i/>
          <w:iCs/>
          <w:szCs w:val="24"/>
        </w:rPr>
        <w:t>P</w:t>
      </w:r>
      <w:proofErr w:type="spellEnd"/>
      <w:r w:rsidR="00FD26C1" w:rsidRPr="00774B2C">
        <w:rPr>
          <w:i/>
          <w:iCs/>
          <w:szCs w:val="24"/>
        </w:rPr>
        <w:t xml:space="preserve"> </w:t>
      </w:r>
      <w:r w:rsidRPr="00774B2C">
        <w:rPr>
          <w:szCs w:val="24"/>
        </w:rPr>
        <w:t>&lt;</w:t>
      </w:r>
      <w:r w:rsidR="00FD26C1" w:rsidRPr="00774B2C">
        <w:rPr>
          <w:szCs w:val="24"/>
        </w:rPr>
        <w:t xml:space="preserve"> </w:t>
      </w:r>
      <w:r w:rsidRPr="00774B2C">
        <w:rPr>
          <w:szCs w:val="24"/>
        </w:rPr>
        <w:t>0.05. String analysis of protein co-expression found 269 relationship pairs, of which co-expression with epidermal growth factor was the most common.</w:t>
      </w:r>
    </w:p>
    <w:p w14:paraId="4D088B84" w14:textId="77777777" w:rsidR="00690D64" w:rsidRPr="00774B2C" w:rsidRDefault="00690D64" w:rsidP="00774B2C">
      <w:pPr>
        <w:adjustRightInd w:val="0"/>
        <w:snapToGrid w:val="0"/>
        <w:rPr>
          <w:szCs w:val="24"/>
        </w:rPr>
      </w:pPr>
    </w:p>
    <w:bookmarkEnd w:id="12"/>
    <w:p w14:paraId="3590F177" w14:textId="315E1787" w:rsidR="00CC30A8" w:rsidRPr="00774B2C" w:rsidRDefault="00CC30A8" w:rsidP="00774B2C">
      <w:pPr>
        <w:adjustRightInd w:val="0"/>
        <w:snapToGrid w:val="0"/>
        <w:rPr>
          <w:bCs/>
          <w:iCs/>
          <w:szCs w:val="24"/>
        </w:rPr>
      </w:pPr>
      <w:r w:rsidRPr="00774B2C">
        <w:rPr>
          <w:bCs/>
          <w:iCs/>
          <w:szCs w:val="24"/>
        </w:rPr>
        <w:t>CONCLUSION</w:t>
      </w:r>
    </w:p>
    <w:p w14:paraId="57F5A1D7" w14:textId="24D34BAD" w:rsidR="008C5469" w:rsidRPr="00774B2C" w:rsidRDefault="00483403" w:rsidP="00774B2C">
      <w:pPr>
        <w:adjustRightInd w:val="0"/>
        <w:snapToGrid w:val="0"/>
        <w:rPr>
          <w:szCs w:val="24"/>
        </w:rPr>
      </w:pPr>
      <w:proofErr w:type="gramStart"/>
      <w:r w:rsidRPr="00774B2C">
        <w:rPr>
          <w:szCs w:val="24"/>
        </w:rPr>
        <w:t>miR-1304</w:t>
      </w:r>
      <w:proofErr w:type="gramEnd"/>
      <w:r w:rsidRPr="00774B2C">
        <w:rPr>
          <w:szCs w:val="24"/>
        </w:rPr>
        <w:t xml:space="preserve"> can be used as a potential ind</w:t>
      </w:r>
      <w:r w:rsidR="00747895">
        <w:rPr>
          <w:szCs w:val="24"/>
        </w:rPr>
        <w:t>icator</w:t>
      </w:r>
      <w:r w:rsidRPr="00774B2C">
        <w:rPr>
          <w:szCs w:val="24"/>
        </w:rPr>
        <w:t xml:space="preserve"> for </w:t>
      </w:r>
      <w:r w:rsidR="001000DB">
        <w:rPr>
          <w:szCs w:val="24"/>
        </w:rPr>
        <w:t xml:space="preserve">the </w:t>
      </w:r>
      <w:r w:rsidRPr="00774B2C">
        <w:rPr>
          <w:szCs w:val="24"/>
        </w:rPr>
        <w:t xml:space="preserve">diagnosis and recurrence of esophageal carcinoma and for survival of patients with </w:t>
      </w:r>
      <w:r w:rsidR="00322A0B">
        <w:rPr>
          <w:szCs w:val="24"/>
        </w:rPr>
        <w:t>this disease</w:t>
      </w:r>
      <w:r w:rsidRPr="00774B2C">
        <w:rPr>
          <w:szCs w:val="24"/>
        </w:rPr>
        <w:t>.</w:t>
      </w:r>
    </w:p>
    <w:p w14:paraId="58755E2D" w14:textId="77777777" w:rsidR="007E1009" w:rsidRPr="00774B2C" w:rsidRDefault="007E1009" w:rsidP="00774B2C">
      <w:pPr>
        <w:adjustRightInd w:val="0"/>
        <w:snapToGrid w:val="0"/>
        <w:rPr>
          <w:szCs w:val="24"/>
        </w:rPr>
      </w:pPr>
    </w:p>
    <w:p w14:paraId="606B2CEB" w14:textId="4D12BFBC" w:rsidR="00CC30A8" w:rsidRPr="00774B2C" w:rsidRDefault="00CC30A8" w:rsidP="00774B2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>Key words:</w:t>
      </w:r>
      <w:r w:rsidRPr="00774B2C">
        <w:rPr>
          <w:szCs w:val="24"/>
        </w:rPr>
        <w:t xml:space="preserve"> </w:t>
      </w:r>
      <w:r w:rsidR="00774B2C" w:rsidRPr="00774B2C">
        <w:rPr>
          <w:szCs w:val="24"/>
        </w:rPr>
        <w:t>miR</w:t>
      </w:r>
      <w:r w:rsidR="00483403" w:rsidRPr="00774B2C">
        <w:rPr>
          <w:szCs w:val="24"/>
        </w:rPr>
        <w:t>-1304</w:t>
      </w:r>
      <w:r w:rsidR="00FD26C1" w:rsidRPr="00774B2C">
        <w:rPr>
          <w:szCs w:val="24"/>
        </w:rPr>
        <w:t>;</w:t>
      </w:r>
      <w:r w:rsidR="00483403" w:rsidRPr="00774B2C">
        <w:rPr>
          <w:szCs w:val="24"/>
        </w:rPr>
        <w:t xml:space="preserve"> </w:t>
      </w:r>
      <w:bookmarkStart w:id="13" w:name="OLE_LINK27"/>
      <w:r w:rsidR="00FD26C1" w:rsidRPr="00774B2C">
        <w:rPr>
          <w:szCs w:val="24"/>
        </w:rPr>
        <w:t>Recurrence</w:t>
      </w:r>
      <w:bookmarkEnd w:id="13"/>
      <w:r w:rsidR="00FD26C1" w:rsidRPr="00774B2C">
        <w:rPr>
          <w:szCs w:val="24"/>
        </w:rPr>
        <w:t>;</w:t>
      </w:r>
      <w:r w:rsidR="00483403" w:rsidRPr="00774B2C">
        <w:rPr>
          <w:szCs w:val="24"/>
        </w:rPr>
        <w:t xml:space="preserve"> </w:t>
      </w:r>
      <w:bookmarkStart w:id="14" w:name="OLE_LINK28"/>
      <w:bookmarkStart w:id="15" w:name="OLE_LINK32"/>
      <w:r w:rsidR="00FD26C1" w:rsidRPr="00774B2C">
        <w:rPr>
          <w:szCs w:val="24"/>
        </w:rPr>
        <w:t>Prognosis</w:t>
      </w:r>
      <w:bookmarkEnd w:id="14"/>
      <w:bookmarkEnd w:id="15"/>
      <w:r w:rsidR="00FD26C1" w:rsidRPr="00774B2C">
        <w:rPr>
          <w:szCs w:val="24"/>
        </w:rPr>
        <w:t>;</w:t>
      </w:r>
      <w:r w:rsidR="00483403" w:rsidRPr="00774B2C">
        <w:rPr>
          <w:szCs w:val="24"/>
        </w:rPr>
        <w:t xml:space="preserve"> </w:t>
      </w:r>
      <w:bookmarkStart w:id="16" w:name="OLE_LINK33"/>
      <w:bookmarkStart w:id="17" w:name="OLE_LINK35"/>
      <w:r w:rsidR="00FD26C1" w:rsidRPr="00774B2C">
        <w:rPr>
          <w:szCs w:val="24"/>
        </w:rPr>
        <w:t>Diagnosis</w:t>
      </w:r>
      <w:bookmarkEnd w:id="16"/>
      <w:bookmarkEnd w:id="17"/>
      <w:r w:rsidR="00FD26C1" w:rsidRPr="00774B2C">
        <w:rPr>
          <w:szCs w:val="24"/>
        </w:rPr>
        <w:t>;</w:t>
      </w:r>
      <w:r w:rsidR="00483403" w:rsidRPr="00774B2C">
        <w:rPr>
          <w:szCs w:val="24"/>
        </w:rPr>
        <w:t xml:space="preserve"> </w:t>
      </w:r>
      <w:bookmarkStart w:id="18" w:name="OLE_LINK36"/>
      <w:r w:rsidR="00FD26C1" w:rsidRPr="00774B2C">
        <w:rPr>
          <w:szCs w:val="24"/>
        </w:rPr>
        <w:t xml:space="preserve">Bioinformatics </w:t>
      </w:r>
      <w:r w:rsidR="00483403" w:rsidRPr="00774B2C">
        <w:rPr>
          <w:szCs w:val="24"/>
        </w:rPr>
        <w:t>analysis</w:t>
      </w:r>
      <w:bookmarkEnd w:id="18"/>
      <w:r w:rsidR="00FD26C1" w:rsidRPr="00774B2C">
        <w:rPr>
          <w:szCs w:val="24"/>
        </w:rPr>
        <w:t>;</w:t>
      </w:r>
      <w:r w:rsidR="00483403" w:rsidRPr="00774B2C">
        <w:rPr>
          <w:szCs w:val="24"/>
        </w:rPr>
        <w:t xml:space="preserve"> </w:t>
      </w:r>
      <w:bookmarkStart w:id="19" w:name="OLE_LINK37"/>
      <w:r w:rsidR="00774B2C" w:rsidRPr="00774B2C">
        <w:rPr>
          <w:szCs w:val="24"/>
        </w:rPr>
        <w:t xml:space="preserve">The </w:t>
      </w:r>
      <w:r w:rsidR="00D65E01" w:rsidRPr="00774B2C">
        <w:rPr>
          <w:szCs w:val="24"/>
        </w:rPr>
        <w:t>Cancer Genome Atlas</w:t>
      </w:r>
      <w:r w:rsidR="00FD26C1" w:rsidRPr="00774B2C">
        <w:rPr>
          <w:szCs w:val="24"/>
        </w:rPr>
        <w:t>;</w:t>
      </w:r>
      <w:bookmarkEnd w:id="19"/>
      <w:r w:rsidR="00B555A6" w:rsidRPr="00774B2C">
        <w:rPr>
          <w:szCs w:val="24"/>
        </w:rPr>
        <w:t xml:space="preserve"> </w:t>
      </w:r>
      <w:r w:rsidR="00483403" w:rsidRPr="00774B2C">
        <w:rPr>
          <w:szCs w:val="24"/>
        </w:rPr>
        <w:t>Esophageal carcinoma</w:t>
      </w:r>
    </w:p>
    <w:p w14:paraId="4F2169E3" w14:textId="77777777" w:rsidR="00690D64" w:rsidRPr="00774B2C" w:rsidRDefault="00690D64" w:rsidP="00774B2C">
      <w:pPr>
        <w:adjustRightInd w:val="0"/>
        <w:snapToGrid w:val="0"/>
        <w:rPr>
          <w:szCs w:val="24"/>
        </w:rPr>
      </w:pPr>
    </w:p>
    <w:p w14:paraId="3395A22B" w14:textId="6E0C4A15" w:rsidR="00CD1936" w:rsidRDefault="00774B2C" w:rsidP="00CD1936">
      <w:pPr>
        <w:adjustRightInd w:val="0"/>
        <w:snapToGrid w:val="0"/>
        <w:rPr>
          <w:rFonts w:hint="eastAsia"/>
          <w:bCs/>
          <w:sz w:val="20"/>
          <w:szCs w:val="20"/>
        </w:rPr>
      </w:pPr>
      <w:proofErr w:type="spellStart"/>
      <w:r w:rsidRPr="00774B2C">
        <w:rPr>
          <w:bCs/>
          <w:szCs w:val="24"/>
        </w:rPr>
        <w:t>Luo</w:t>
      </w:r>
      <w:proofErr w:type="spellEnd"/>
      <w:r w:rsidRPr="00774B2C">
        <w:rPr>
          <w:bCs/>
          <w:szCs w:val="24"/>
        </w:rPr>
        <w:t xml:space="preserve"> YG, </w:t>
      </w:r>
      <w:proofErr w:type="spellStart"/>
      <w:r w:rsidRPr="00774B2C">
        <w:rPr>
          <w:bCs/>
          <w:szCs w:val="24"/>
        </w:rPr>
        <w:t>Duan</w:t>
      </w:r>
      <w:proofErr w:type="spellEnd"/>
      <w:r w:rsidRPr="00774B2C">
        <w:rPr>
          <w:bCs/>
          <w:szCs w:val="24"/>
        </w:rPr>
        <w:t xml:space="preserve"> LW, </w:t>
      </w:r>
      <w:proofErr w:type="spellStart"/>
      <w:r w:rsidRPr="00774B2C">
        <w:rPr>
          <w:bCs/>
          <w:szCs w:val="24"/>
        </w:rPr>
        <w:t>Ji</w:t>
      </w:r>
      <w:proofErr w:type="spellEnd"/>
      <w:r w:rsidRPr="00774B2C">
        <w:rPr>
          <w:bCs/>
          <w:szCs w:val="24"/>
        </w:rPr>
        <w:t xml:space="preserve"> X, </w:t>
      </w:r>
      <w:proofErr w:type="spellStart"/>
      <w:r w:rsidRPr="00774B2C">
        <w:rPr>
          <w:bCs/>
          <w:szCs w:val="24"/>
        </w:rPr>
        <w:t>Jia</w:t>
      </w:r>
      <w:proofErr w:type="spellEnd"/>
      <w:r w:rsidRPr="00774B2C">
        <w:rPr>
          <w:bCs/>
          <w:szCs w:val="24"/>
        </w:rPr>
        <w:t xml:space="preserve"> WY, Liu Y, Sun ML, Liu GM. Expression of miR-1304 in patients with esophageal carcinoma and risk factors for recurrence. </w:t>
      </w:r>
      <w:r w:rsidRPr="00774B2C">
        <w:rPr>
          <w:bCs/>
          <w:i/>
          <w:iCs/>
          <w:szCs w:val="24"/>
        </w:rPr>
        <w:t xml:space="preserve">World J </w:t>
      </w:r>
      <w:proofErr w:type="spellStart"/>
      <w:r w:rsidRPr="00774B2C">
        <w:rPr>
          <w:bCs/>
          <w:i/>
          <w:iCs/>
          <w:szCs w:val="24"/>
        </w:rPr>
        <w:t>Gastroenterol</w:t>
      </w:r>
      <w:proofErr w:type="spellEnd"/>
      <w:r w:rsidRPr="00774B2C">
        <w:rPr>
          <w:bCs/>
          <w:i/>
          <w:iCs/>
          <w:szCs w:val="24"/>
        </w:rPr>
        <w:t xml:space="preserve"> </w:t>
      </w:r>
      <w:r w:rsidR="00CD1936" w:rsidRPr="00846790">
        <w:rPr>
          <w:bCs/>
          <w:sz w:val="20"/>
          <w:szCs w:val="20"/>
        </w:rPr>
        <w:t xml:space="preserve">2020; 26(6): </w:t>
      </w:r>
      <w:r w:rsidR="00CD1936">
        <w:rPr>
          <w:rFonts w:hint="eastAsia"/>
          <w:bCs/>
          <w:sz w:val="20"/>
          <w:szCs w:val="20"/>
        </w:rPr>
        <w:t>670</w:t>
      </w:r>
      <w:r w:rsidR="00CD1936" w:rsidRPr="00846790">
        <w:rPr>
          <w:bCs/>
          <w:sz w:val="20"/>
          <w:szCs w:val="20"/>
        </w:rPr>
        <w:t>-</w:t>
      </w:r>
      <w:r w:rsidR="00CD1936">
        <w:rPr>
          <w:rFonts w:hint="eastAsia"/>
          <w:bCs/>
          <w:sz w:val="20"/>
          <w:szCs w:val="20"/>
        </w:rPr>
        <w:t>685</w:t>
      </w:r>
    </w:p>
    <w:p w14:paraId="0E7B19C6" w14:textId="24EB69B6" w:rsidR="00CD1936" w:rsidRDefault="00CD1936" w:rsidP="00CD1936">
      <w:pPr>
        <w:adjustRightInd w:val="0"/>
        <w:snapToGrid w:val="0"/>
        <w:rPr>
          <w:rFonts w:hint="eastAsia"/>
          <w:bCs/>
          <w:sz w:val="20"/>
          <w:szCs w:val="20"/>
        </w:rPr>
      </w:pPr>
      <w:r w:rsidRPr="00846790">
        <w:rPr>
          <w:b/>
          <w:bCs/>
          <w:sz w:val="20"/>
          <w:szCs w:val="20"/>
        </w:rPr>
        <w:t>URL</w:t>
      </w:r>
      <w:r w:rsidRPr="00846790">
        <w:rPr>
          <w:bCs/>
          <w:sz w:val="20"/>
          <w:szCs w:val="20"/>
        </w:rPr>
        <w:t>: https://www.wjgnet.com/1007-9327/full/v26/i6/</w:t>
      </w:r>
      <w:r>
        <w:rPr>
          <w:rFonts w:hint="eastAsia"/>
          <w:bCs/>
          <w:sz w:val="20"/>
          <w:szCs w:val="20"/>
        </w:rPr>
        <w:t>670</w:t>
      </w:r>
      <w:r w:rsidRPr="00846790">
        <w:rPr>
          <w:bCs/>
          <w:sz w:val="20"/>
          <w:szCs w:val="20"/>
        </w:rPr>
        <w:t>.htm</w:t>
      </w:r>
    </w:p>
    <w:p w14:paraId="12E2BDCF" w14:textId="0831919C" w:rsidR="00774B2C" w:rsidRPr="00774B2C" w:rsidRDefault="00CD1936" w:rsidP="00CD1936">
      <w:pPr>
        <w:adjustRightInd w:val="0"/>
        <w:snapToGrid w:val="0"/>
        <w:rPr>
          <w:bCs/>
          <w:szCs w:val="24"/>
        </w:rPr>
      </w:pPr>
      <w:r w:rsidRPr="00846790">
        <w:rPr>
          <w:b/>
          <w:bCs/>
          <w:sz w:val="20"/>
          <w:szCs w:val="20"/>
        </w:rPr>
        <w:t>DOI:</w:t>
      </w:r>
      <w:r w:rsidRPr="00846790">
        <w:rPr>
          <w:bCs/>
          <w:sz w:val="20"/>
          <w:szCs w:val="20"/>
        </w:rPr>
        <w:t xml:space="preserve"> https://dx.doi.org/10.3748/wjg.v26.i6.</w:t>
      </w:r>
      <w:r>
        <w:rPr>
          <w:rFonts w:hint="eastAsia"/>
          <w:bCs/>
          <w:sz w:val="20"/>
          <w:szCs w:val="20"/>
        </w:rPr>
        <w:t>670</w:t>
      </w:r>
    </w:p>
    <w:p w14:paraId="22E7EF70" w14:textId="1F986B1E" w:rsidR="00774B2C" w:rsidRPr="00774B2C" w:rsidRDefault="00774B2C" w:rsidP="00774B2C">
      <w:pPr>
        <w:adjustRightInd w:val="0"/>
        <w:snapToGrid w:val="0"/>
        <w:rPr>
          <w:bCs/>
          <w:szCs w:val="24"/>
        </w:rPr>
      </w:pPr>
    </w:p>
    <w:p w14:paraId="0AA72D48" w14:textId="0C1BF6D3" w:rsidR="00CC30A8" w:rsidRPr="00774B2C" w:rsidRDefault="00CC30A8" w:rsidP="00774B2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>Core tip:</w:t>
      </w:r>
      <w:r w:rsidRPr="00774B2C">
        <w:rPr>
          <w:szCs w:val="24"/>
        </w:rPr>
        <w:t xml:space="preserve"> </w:t>
      </w:r>
      <w:bookmarkStart w:id="20" w:name="OLE_LINK38"/>
      <w:r w:rsidR="00483403" w:rsidRPr="00774B2C">
        <w:rPr>
          <w:szCs w:val="24"/>
        </w:rPr>
        <w:t xml:space="preserve">In recent years, the morbidity and mortality of esophageal carcinoma have increased significantly. However, there are few clinical tumor markers related to esophageal carcinoma. </w:t>
      </w:r>
      <w:proofErr w:type="spellStart"/>
      <w:proofErr w:type="gramStart"/>
      <w:r w:rsidR="00483403" w:rsidRPr="00774B2C">
        <w:rPr>
          <w:szCs w:val="24"/>
        </w:rPr>
        <w:t>miR</w:t>
      </w:r>
      <w:r w:rsidR="005F08EA" w:rsidRPr="00774B2C">
        <w:rPr>
          <w:szCs w:val="24"/>
        </w:rPr>
        <w:t>NA</w:t>
      </w:r>
      <w:proofErr w:type="spellEnd"/>
      <w:proofErr w:type="gramEnd"/>
      <w:r w:rsidR="00483403" w:rsidRPr="00774B2C">
        <w:rPr>
          <w:szCs w:val="24"/>
        </w:rPr>
        <w:t xml:space="preserve"> </w:t>
      </w:r>
      <w:r w:rsidR="00322A0B">
        <w:rPr>
          <w:szCs w:val="24"/>
        </w:rPr>
        <w:t>has been</w:t>
      </w:r>
      <w:r w:rsidR="00483403" w:rsidRPr="00774B2C">
        <w:rPr>
          <w:szCs w:val="24"/>
        </w:rPr>
        <w:t xml:space="preserve"> a hot research </w:t>
      </w:r>
      <w:r w:rsidR="001000DB">
        <w:rPr>
          <w:szCs w:val="24"/>
        </w:rPr>
        <w:t>topic</w:t>
      </w:r>
      <w:r w:rsidR="00483403" w:rsidRPr="00774B2C">
        <w:rPr>
          <w:szCs w:val="24"/>
        </w:rPr>
        <w:t xml:space="preserve"> in recent years. This study analyzed the expression of miR-1304 in patients with esophageal carcinoma, and found that miR-1304 was highly expressed in the</w:t>
      </w:r>
      <w:r w:rsidR="00322A0B">
        <w:rPr>
          <w:szCs w:val="24"/>
        </w:rPr>
        <w:t>se patients</w:t>
      </w:r>
      <w:r w:rsidR="00483403" w:rsidRPr="00774B2C">
        <w:rPr>
          <w:szCs w:val="24"/>
        </w:rPr>
        <w:t xml:space="preserve">, and was an independent factor for recurrence and prognosis of esophageal carcinoma. </w:t>
      </w:r>
      <w:proofErr w:type="gramStart"/>
      <w:r w:rsidR="00483403" w:rsidRPr="00774B2C">
        <w:rPr>
          <w:szCs w:val="24"/>
        </w:rPr>
        <w:t>miR-1304</w:t>
      </w:r>
      <w:proofErr w:type="gramEnd"/>
      <w:r w:rsidR="00483403" w:rsidRPr="00774B2C">
        <w:rPr>
          <w:szCs w:val="24"/>
        </w:rPr>
        <w:t xml:space="preserve"> </w:t>
      </w:r>
      <w:r w:rsidR="00322A0B">
        <w:rPr>
          <w:szCs w:val="24"/>
        </w:rPr>
        <w:t>is</w:t>
      </w:r>
      <w:r w:rsidR="00483403" w:rsidRPr="00774B2C">
        <w:rPr>
          <w:szCs w:val="24"/>
        </w:rPr>
        <w:t xml:space="preserve"> expected to become a </w:t>
      </w:r>
      <w:r w:rsidR="00483403" w:rsidRPr="00774B2C">
        <w:rPr>
          <w:szCs w:val="24"/>
        </w:rPr>
        <w:lastRenderedPageBreak/>
        <w:t>potential index for predicting prognosis and recurrence of esophageal carcinoma.</w:t>
      </w:r>
    </w:p>
    <w:bookmarkEnd w:id="20"/>
    <w:p w14:paraId="452B249F" w14:textId="77777777" w:rsidR="00774B2C" w:rsidRPr="00774B2C" w:rsidRDefault="009C1D40" w:rsidP="00774B2C">
      <w:pPr>
        <w:pStyle w:val="ac"/>
        <w:adjustRightInd w:val="0"/>
        <w:snapToGrid w:val="0"/>
        <w:spacing w:before="0" w:after="0" w:line="360" w:lineRule="auto"/>
        <w:jc w:val="both"/>
        <w:rPr>
          <w:rFonts w:ascii="Book Antiqua" w:hAnsi="Book Antiqua"/>
          <w:sz w:val="24"/>
          <w:szCs w:val="24"/>
          <w:u w:val="single"/>
          <w:lang w:val="en-US"/>
        </w:rPr>
      </w:pPr>
      <w:r w:rsidRPr="00774B2C">
        <w:rPr>
          <w:rFonts w:ascii="Book Antiqua" w:hAnsi="Book Antiqua"/>
          <w:sz w:val="24"/>
          <w:szCs w:val="24"/>
        </w:rPr>
        <w:br w:type="page"/>
      </w:r>
      <w:r w:rsidR="00774B2C" w:rsidRPr="00774B2C">
        <w:rPr>
          <w:rFonts w:ascii="Book Antiqua" w:hAnsi="Book Antiqua"/>
          <w:sz w:val="24"/>
          <w:szCs w:val="24"/>
          <w:u w:val="single"/>
          <w:lang w:val="en-US"/>
        </w:rPr>
        <w:lastRenderedPageBreak/>
        <w:t>INTRODUCTION</w:t>
      </w:r>
    </w:p>
    <w:p w14:paraId="57C2761C" w14:textId="77112B88" w:rsidR="00774B2C" w:rsidRPr="00774B2C" w:rsidRDefault="00483403" w:rsidP="00774B2C">
      <w:pPr>
        <w:widowControl/>
        <w:adjustRightInd w:val="0"/>
        <w:snapToGrid w:val="0"/>
        <w:rPr>
          <w:rFonts w:cs="Times New Roman"/>
          <w:szCs w:val="24"/>
        </w:rPr>
      </w:pPr>
      <w:r w:rsidRPr="00774B2C">
        <w:rPr>
          <w:szCs w:val="24"/>
        </w:rPr>
        <w:t xml:space="preserve">Esophageal carcinoma is one of the common digestive tract cancers, with morbidity ranking eighth and mortality ranking sixth </w:t>
      </w:r>
      <w:r w:rsidR="00322A0B">
        <w:rPr>
          <w:szCs w:val="24"/>
        </w:rPr>
        <w:t>of</w:t>
      </w:r>
      <w:r w:rsidRPr="00774B2C">
        <w:rPr>
          <w:szCs w:val="24"/>
        </w:rPr>
        <w:t xml:space="preserve"> all </w:t>
      </w:r>
      <w:proofErr w:type="gramStart"/>
      <w:r w:rsidRPr="00774B2C">
        <w:rPr>
          <w:szCs w:val="24"/>
        </w:rPr>
        <w:t>cancers</w:t>
      </w:r>
      <w:proofErr w:type="gramEnd"/>
      <w:r w:rsidR="002F5B72" w:rsidRPr="00774B2C">
        <w:rPr>
          <w:szCs w:val="24"/>
        </w:rPr>
        <w:fldChar w:fldCharType="begin">
          <w:fldData xml:space="preserve">PEVuZE5vdGU+PENpdGU+PEF1dGhvcj5Ub3JyZTwvQXV0aG9yPjxZZWFyPjIwMTU8L1llYXI+PFJl
Y051bT4zNzY4PC9SZWNOdW0+PERpc3BsYXlUZXh0PjxzdHlsZSBmYWNlPSJzdXBlcnNjcmlwdCI+
WzFdPC9zdHlsZT48L0Rpc3BsYXlUZXh0PjxyZWNvcmQ+PHJlYy1udW1iZXI+Mzc2ODwvcmVjLW51
bWJlcj48Zm9yZWlnbi1rZXlzPjxrZXkgYXBwPSJFTiIgZGItaWQ9ImFlYXg5ZnJyM3NhOXJjZTJy
cGE1c2V6ZHRkMnB2MDB3Mjl6MCIgdGltZXN0YW1wPSIxNTc3ODkzMzI1Ij4zNzY4PC9rZXk+PC9m
b3JlaWduLWtleXM+PHJlZi10eXBlIG5hbWU9IkpvdXJuYWwgQXJ0aWNsZSI+MTc8L3JlZi10eXBl
Pjxjb250cmlidXRvcnM+PGF1dGhvcnM+PGF1dGhvcj5Ub3JyZSwgTC4gQS48L2F1dGhvcj48YXV0
aG9yPkJyYXksIEYuPC9hdXRob3I+PGF1dGhvcj5TaWVnZWwsIFIuIEwuPC9hdXRob3I+PGF1dGhv
cj5GZXJsYXksIEouPC9hdXRob3I+PGF1dGhvcj5Mb3J0ZXQtVGlldWxlbnQsIEouPC9hdXRob3I+
PGF1dGhvcj5KZW1hbCwgQS48L2F1dGhvcj48L2F1dGhvcnM+PC9jb250cmlidXRvcnM+PGF1dGgt
YWRkcmVzcz5FcGlkZW1pb2xvZ2lzdCwgU3VydmVpbGxhbmNlIGFuZCBIZWFsdGggU2VydmljZXMg
UmVzZWFyY2gsIEFtZXJpY2FuIENhbmNlciBTb2NpZXR5LCBBdGxhbnRhLCBHQS48L2F1dGgtYWRk
cmVzcz48dGl0bGVzPjx0aXRsZT5HbG9iYWwgY2FuY2VyIHN0YXRpc3RpY3MsIDIwMTI8L3RpdGxl
PjxzZWNvbmRhcnktdGl0bGU+Q0EgQ2FuY2VyIEogQ2xpbjwvc2Vjb25kYXJ5LXRpdGxlPjwvdGl0
bGVzPjxwZXJpb2RpY2FsPjxmdWxsLXRpdGxlPkNBIENhbmNlciBKIENsaW48L2Z1bGwtdGl0bGU+
PC9wZXJpb2RpY2FsPjxwYWdlcz44Ny0xMDg8L3BhZ2VzPjx2b2x1bWU+NjU8L3ZvbHVtZT48bnVt
YmVyPjI8L251bWJlcj48ZWRpdGlvbj4yMDE1LzAyLzA2PC9lZGl0aW9uPjxrZXl3b3Jkcz48a2V5
d29yZD5Cb2R5IE1hc3MgSW5kZXg8L2tleXdvcmQ+PGtleXdvcmQ+QnJlYXN0IE5lb3BsYXNtcy9l
cGlkZW1pb2xvZ3k8L2tleXdvcmQ+PGtleXdvcmQ+Q29sb3JlY3RhbCBOZW9wbGFzbXMvZXBpZGVt
aW9sb2d5PC9rZXl3b3JkPjxrZXl3b3JkPkRldmVsb3BlZCBDb3VudHJpZXMvKnN0YXRpc3RpY3Mg
JmFtcDsgbnVtZXJpY2FsIGRhdGE8L2tleXdvcmQ+PGtleXdvcmQ+RGV2ZWxvcGluZyBDb3VudHJp
ZXMvKnN0YXRpc3RpY3MgJmFtcDsgbnVtZXJpY2FsIGRhdGE8L2tleXdvcmQ+PGtleXdvcmQ+RmVt
YWxlPC9rZXl3b3JkPjxrZXl3b3JkPkdsb2JhbCBIZWFsdGg8L2tleXdvcmQ+PGtleXdvcmQ+SHVt
YW5zPC9rZXl3b3JkPjxrZXl3b3JkPkluY2lkZW5jZTwva2V5d29yZD48a2V5d29yZD5MaXZlciBO
ZW9wbGFzbXMvZXBpZGVtaW9sb2d5PC9rZXl3b3JkPjxrZXl3b3JkPkx1bmcgTmVvcGxhc21zL2Vw
aWRlbWlvbG9neTwva2V5d29yZD48a2V5d29yZD5NYWxlPC9rZXl3b3JkPjxrZXl3b3JkPk5lb3Bs
YXNtcy9kaWFnbm9zaXMvKmVwaWRlbWlvbG9neS9ldGlvbG9neS9tb3J0YWxpdHkvcHJldmVudGlv
biAmYW1wOyBjb250cm9sL3RoZXJhcHk8L2tleXdvcmQ+PGtleXdvcmQ+T3ZlcndlaWdodC9lcGlk
ZW1pb2xvZ3k8L2tleXdvcmQ+PGtleXdvcmQ+UG92ZXJ0eTwva2V5d29yZD48a2V5d29yZD5QcmV2
YWxlbmNlPC9rZXl3b3JkPjxrZXl3b3JkPlByb3N0YXRpYyBOZW9wbGFzbXMvZXBpZGVtaW9sb2d5
PC9rZXl3b3JkPjxrZXl3b3JkPlJpc2sgRmFjdG9yczwva2V5d29yZD48a2V5d29yZD5TZWRlbnRh
cnkgQmVoYXZpb3I8L2tleXdvcmQ+PGtleXdvcmQ+U21va2luZy9hZHZlcnNlIGVmZmVjdHM8L2tl
eXdvcmQ+PGtleXdvcmQ+U3RvbWFjaCBOZW9wbGFzbXMvZXBpZGVtaW9sb2d5PC9rZXl3b3JkPjxr
ZXl3b3JkPlN1cnZpdmFsIFJhdGU8L2tleXdvcmQ+PGtleXdvcmQ+VXRlcmluZSBDZXJ2aWNhbCBO
ZW9wbGFzbXMvZXBpZGVtaW9sb2d5PC9rZXl3b3JkPjxrZXl3b3JkPmNhbmNlcjwva2V5d29yZD48
a2V5d29yZD5lcGlkZW1pb2xvZ3k8L2tleXdvcmQ+PGtleXdvcmQ+aGVhbHRoIGRpc3Bhcml0aWVz
PC9rZXl3b3JkPjxrZXl3b3JkPnN1cnZpdmFsPC9rZXl3b3JkPjwva2V5d29yZHM+PGRhdGVzPjx5
ZWFyPjIwMTU8L3llYXI+PHB1Yi1kYXRlcz48ZGF0ZT5NYXI8L2RhdGU+PC9wdWItZGF0ZXM+PC9k
YXRlcz48aXNibj4xNTQyLTQ4NjMgKEVsZWN0cm9uaWMpJiN4RDswMDA3LTkyMzUgKExpbmtpbmcp
PC9pc2JuPjxhY2Nlc3Npb24tbnVtPjI1NjUxNzg3PC9hY2Nlc3Npb24tbnVtPjx1cmxzPjxyZWxh
dGVkLXVybHM+PHVybD5odHRwczovL3d3dy5uY2JpLm5sbS5uaWguZ292L3B1Ym1lZC8yNTY1MTc4
NzwvdXJsPjwvcmVsYXRlZC11cmxzPjwvdXJscz48ZWxlY3Ryb25pYy1yZXNvdXJjZS1udW0+MTAu
MzMyMi9jYWFjLjIxMjYyPC9lbGVjdHJvbmljLXJlc291cmNlLW51bT48L3JlY29yZD48L0NpdGU+
PC9FbmROb3RlPgB=
</w:fldData>
        </w:fldChar>
      </w:r>
      <w:r w:rsidR="002F5B72" w:rsidRPr="00774B2C">
        <w:rPr>
          <w:szCs w:val="24"/>
        </w:rPr>
        <w:instrText xml:space="preserve"> ADDIN EN.CITE </w:instrText>
      </w:r>
      <w:r w:rsidR="002F5B72" w:rsidRPr="00774B2C">
        <w:rPr>
          <w:szCs w:val="24"/>
        </w:rPr>
        <w:fldChar w:fldCharType="begin">
          <w:fldData xml:space="preserve">PEVuZE5vdGU+PENpdGU+PEF1dGhvcj5Ub3JyZTwvQXV0aG9yPjxZZWFyPjIwMTU8L1llYXI+PFJl
Y051bT4zNzY4PC9SZWNOdW0+PERpc3BsYXlUZXh0PjxzdHlsZSBmYWNlPSJzdXBlcnNjcmlwdCI+
WzFdPC9zdHlsZT48L0Rpc3BsYXlUZXh0PjxyZWNvcmQ+PHJlYy1udW1iZXI+Mzc2ODwvcmVjLW51
bWJlcj48Zm9yZWlnbi1rZXlzPjxrZXkgYXBwPSJFTiIgZGItaWQ9ImFlYXg5ZnJyM3NhOXJjZTJy
cGE1c2V6ZHRkMnB2MDB3Mjl6MCIgdGltZXN0YW1wPSIxNTc3ODkzMzI1Ij4zNzY4PC9rZXk+PC9m
b3JlaWduLWtleXM+PHJlZi10eXBlIG5hbWU9IkpvdXJuYWwgQXJ0aWNsZSI+MTc8L3JlZi10eXBl
Pjxjb250cmlidXRvcnM+PGF1dGhvcnM+PGF1dGhvcj5Ub3JyZSwgTC4gQS48L2F1dGhvcj48YXV0
aG9yPkJyYXksIEYuPC9hdXRob3I+PGF1dGhvcj5TaWVnZWwsIFIuIEwuPC9hdXRob3I+PGF1dGhv
cj5GZXJsYXksIEouPC9hdXRob3I+PGF1dGhvcj5Mb3J0ZXQtVGlldWxlbnQsIEouPC9hdXRob3I+
PGF1dGhvcj5KZW1hbCwgQS48L2F1dGhvcj48L2F1dGhvcnM+PC9jb250cmlidXRvcnM+PGF1dGgt
YWRkcmVzcz5FcGlkZW1pb2xvZ2lzdCwgU3VydmVpbGxhbmNlIGFuZCBIZWFsdGggU2VydmljZXMg
UmVzZWFyY2gsIEFtZXJpY2FuIENhbmNlciBTb2NpZXR5LCBBdGxhbnRhLCBHQS48L2F1dGgtYWRk
cmVzcz48dGl0bGVzPjx0aXRsZT5HbG9iYWwgY2FuY2VyIHN0YXRpc3RpY3MsIDIwMTI8L3RpdGxl
PjxzZWNvbmRhcnktdGl0bGU+Q0EgQ2FuY2VyIEogQ2xpbjwvc2Vjb25kYXJ5LXRpdGxlPjwvdGl0
bGVzPjxwZXJpb2RpY2FsPjxmdWxsLXRpdGxlPkNBIENhbmNlciBKIENsaW48L2Z1bGwtdGl0bGU+
PC9wZXJpb2RpY2FsPjxwYWdlcz44Ny0xMDg8L3BhZ2VzPjx2b2x1bWU+NjU8L3ZvbHVtZT48bnVt
YmVyPjI8L251bWJlcj48ZWRpdGlvbj4yMDE1LzAyLzA2PC9lZGl0aW9uPjxrZXl3b3Jkcz48a2V5
d29yZD5Cb2R5IE1hc3MgSW5kZXg8L2tleXdvcmQ+PGtleXdvcmQ+QnJlYXN0IE5lb3BsYXNtcy9l
cGlkZW1pb2xvZ3k8L2tleXdvcmQ+PGtleXdvcmQ+Q29sb3JlY3RhbCBOZW9wbGFzbXMvZXBpZGVt
aW9sb2d5PC9rZXl3b3JkPjxrZXl3b3JkPkRldmVsb3BlZCBDb3VudHJpZXMvKnN0YXRpc3RpY3Mg
JmFtcDsgbnVtZXJpY2FsIGRhdGE8L2tleXdvcmQ+PGtleXdvcmQ+RGV2ZWxvcGluZyBDb3VudHJp
ZXMvKnN0YXRpc3RpY3MgJmFtcDsgbnVtZXJpY2FsIGRhdGE8L2tleXdvcmQ+PGtleXdvcmQ+RmVt
YWxlPC9rZXl3b3JkPjxrZXl3b3JkPkdsb2JhbCBIZWFsdGg8L2tleXdvcmQ+PGtleXdvcmQ+SHVt
YW5zPC9rZXl3b3JkPjxrZXl3b3JkPkluY2lkZW5jZTwva2V5d29yZD48a2V5d29yZD5MaXZlciBO
ZW9wbGFzbXMvZXBpZGVtaW9sb2d5PC9rZXl3b3JkPjxrZXl3b3JkPkx1bmcgTmVvcGxhc21zL2Vw
aWRlbWlvbG9neTwva2V5d29yZD48a2V5d29yZD5NYWxlPC9rZXl3b3JkPjxrZXl3b3JkPk5lb3Bs
YXNtcy9kaWFnbm9zaXMvKmVwaWRlbWlvbG9neS9ldGlvbG9neS9tb3J0YWxpdHkvcHJldmVudGlv
biAmYW1wOyBjb250cm9sL3RoZXJhcHk8L2tleXdvcmQ+PGtleXdvcmQ+T3ZlcndlaWdodC9lcGlk
ZW1pb2xvZ3k8L2tleXdvcmQ+PGtleXdvcmQ+UG92ZXJ0eTwva2V5d29yZD48a2V5d29yZD5QcmV2
YWxlbmNlPC9rZXl3b3JkPjxrZXl3b3JkPlByb3N0YXRpYyBOZW9wbGFzbXMvZXBpZGVtaW9sb2d5
PC9rZXl3b3JkPjxrZXl3b3JkPlJpc2sgRmFjdG9yczwva2V5d29yZD48a2V5d29yZD5TZWRlbnRh
cnkgQmVoYXZpb3I8L2tleXdvcmQ+PGtleXdvcmQ+U21va2luZy9hZHZlcnNlIGVmZmVjdHM8L2tl
eXdvcmQ+PGtleXdvcmQ+U3RvbWFjaCBOZW9wbGFzbXMvZXBpZGVtaW9sb2d5PC9rZXl3b3JkPjxr
ZXl3b3JkPlN1cnZpdmFsIFJhdGU8L2tleXdvcmQ+PGtleXdvcmQ+VXRlcmluZSBDZXJ2aWNhbCBO
ZW9wbGFzbXMvZXBpZGVtaW9sb2d5PC9rZXl3b3JkPjxrZXl3b3JkPmNhbmNlcjwva2V5d29yZD48
a2V5d29yZD5lcGlkZW1pb2xvZ3k8L2tleXdvcmQ+PGtleXdvcmQ+aGVhbHRoIGRpc3Bhcml0aWVz
PC9rZXl3b3JkPjxrZXl3b3JkPnN1cnZpdmFsPC9rZXl3b3JkPjwva2V5d29yZHM+PGRhdGVzPjx5
ZWFyPjIwMTU8L3llYXI+PHB1Yi1kYXRlcz48ZGF0ZT5NYXI8L2RhdGU+PC9wdWItZGF0ZXM+PC9k
YXRlcz48aXNibj4xNTQyLTQ4NjMgKEVsZWN0cm9uaWMpJiN4RDswMDA3LTkyMzUgKExpbmtpbmcp
PC9pc2JuPjxhY2Nlc3Npb24tbnVtPjI1NjUxNzg3PC9hY2Nlc3Npb24tbnVtPjx1cmxzPjxyZWxh
dGVkLXVybHM+PHVybD5odHRwczovL3d3dy5uY2JpLm5sbS5uaWguZ292L3B1Ym1lZC8yNTY1MTc4
NzwvdXJsPjwvcmVsYXRlZC11cmxzPjwvdXJscz48ZWxlY3Ryb25pYy1yZXNvdXJjZS1udW0+MTAu
MzMyMi9jYWFjLjIxMjYyPC9lbGVjdHJvbmljLXJlc291cmNlLW51bT48L3JlY29yZD48L0NpdGU+
PC9FbmROb3RlPgB=
</w:fldData>
        </w:fldChar>
      </w:r>
      <w:r w:rsidR="002F5B72" w:rsidRPr="00774B2C">
        <w:rPr>
          <w:szCs w:val="24"/>
        </w:rPr>
        <w:instrText xml:space="preserve"> ADDIN EN.CITE.DATA </w:instrText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end"/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separate"/>
      </w:r>
      <w:r w:rsidR="002F5B72" w:rsidRPr="00774B2C">
        <w:rPr>
          <w:noProof/>
          <w:szCs w:val="24"/>
          <w:vertAlign w:val="superscript"/>
        </w:rPr>
        <w:t>[1]</w:t>
      </w:r>
      <w:r w:rsidR="002F5B72" w:rsidRPr="00774B2C">
        <w:rPr>
          <w:szCs w:val="24"/>
        </w:rPr>
        <w:fldChar w:fldCharType="end"/>
      </w:r>
      <w:r w:rsidRPr="00774B2C">
        <w:rPr>
          <w:szCs w:val="24"/>
        </w:rPr>
        <w:t xml:space="preserve">. According to </w:t>
      </w:r>
      <w:r w:rsidR="00322A0B">
        <w:rPr>
          <w:szCs w:val="24"/>
        </w:rPr>
        <w:t xml:space="preserve">the </w:t>
      </w:r>
      <w:r w:rsidRPr="00774B2C">
        <w:rPr>
          <w:szCs w:val="24"/>
        </w:rPr>
        <w:t xml:space="preserve">2015 cancer statistics, there were 477900 new cases of esophageal carcinoma and 375000 deaths </w:t>
      </w:r>
      <w:r w:rsidR="00322A0B">
        <w:rPr>
          <w:szCs w:val="24"/>
        </w:rPr>
        <w:t>due to</w:t>
      </w:r>
      <w:r w:rsidRPr="00774B2C">
        <w:rPr>
          <w:szCs w:val="24"/>
        </w:rPr>
        <w:t xml:space="preserve"> esophageal carcinoma in </w:t>
      </w:r>
      <w:r w:rsidR="00322A0B">
        <w:rPr>
          <w:szCs w:val="24"/>
        </w:rPr>
        <w:t>China</w:t>
      </w:r>
      <w:r w:rsidR="002F5B72" w:rsidRPr="00774B2C">
        <w:rPr>
          <w:szCs w:val="24"/>
        </w:rPr>
        <w:fldChar w:fldCharType="begin"/>
      </w:r>
      <w:r w:rsidR="002F5B72" w:rsidRPr="00774B2C">
        <w:rPr>
          <w:szCs w:val="24"/>
        </w:rPr>
        <w:instrText xml:space="preserve"> ADDIN EN.CITE &lt;EndNote&gt;&lt;Cite&gt;&lt;Author&gt;Chen&lt;/Author&gt;&lt;Year&gt;2016&lt;/Year&gt;&lt;RecNum&gt;3770&lt;/RecNum&gt;&lt;DisplayText&gt;&lt;style face="superscript"&gt;[2]&lt;/style&gt;&lt;/DisplayText&gt;&lt;record&gt;&lt;rec-number&gt;3770&lt;/rec-number&gt;&lt;foreign-keys&gt;&lt;key app="EN" db-id="aeax9frr3sa9rce2rpa5sezdtd2pv00w29z0" timestamp="1577893553"&gt;3770&lt;/key&gt;&lt;/foreign-keys&gt;&lt;ref-type name="Journal Article"&gt;17&lt;/ref-type&gt;&lt;contributors&gt;&lt;authors&gt;&lt;author&gt;Chen, Wanqing&lt;/author&gt;&lt;author&gt;Zheng, Rongshou&lt;/author&gt;&lt;author&gt;Baade, Peter D&lt;/author&gt;&lt;author&gt;Zhang, Siwei&lt;/author&gt;&lt;author&gt;Zeng, Hongmei&lt;/author&gt;&lt;author&gt;Bray, Freddie&lt;/author&gt;&lt;author&gt;Jemal, Ahmedin&lt;/author&gt;&lt;author&gt;Yu, Xue Qin&lt;/author&gt;&lt;author&gt;He, Jie %J CA: a cancer journal for clinicians&lt;/author&gt;&lt;/authors&gt;&lt;/contributors&gt;&lt;titles&gt;&lt;title&gt;Cancer statistics in China, 2015&lt;/title&gt;&lt;/titles&gt;&lt;pages&gt;115-132&lt;/pages&gt;&lt;volume&gt;66&lt;/volume&gt;&lt;number&gt;2&lt;/number&gt;&lt;dates&gt;&lt;year&gt;2016&lt;/year&gt;&lt;/dates&gt;&lt;isbn&gt;0007-9235&lt;/isbn&gt;&lt;urls&gt;&lt;/urls&gt;&lt;/record&gt;&lt;/Cite&gt;&lt;/EndNote&gt;</w:instrText>
      </w:r>
      <w:r w:rsidR="002F5B72" w:rsidRPr="00774B2C">
        <w:rPr>
          <w:szCs w:val="24"/>
        </w:rPr>
        <w:fldChar w:fldCharType="separate"/>
      </w:r>
      <w:r w:rsidR="002F5B72" w:rsidRPr="00774B2C">
        <w:rPr>
          <w:noProof/>
          <w:szCs w:val="24"/>
          <w:vertAlign w:val="superscript"/>
        </w:rPr>
        <w:t>[2]</w:t>
      </w:r>
      <w:r w:rsidR="002F5B72" w:rsidRPr="00774B2C">
        <w:rPr>
          <w:szCs w:val="24"/>
        </w:rPr>
        <w:fldChar w:fldCharType="end"/>
      </w:r>
      <w:r w:rsidRPr="00774B2C">
        <w:rPr>
          <w:szCs w:val="24"/>
        </w:rPr>
        <w:t xml:space="preserve">. Such high mortality and morbidity causes a </w:t>
      </w:r>
      <w:r w:rsidR="00322A0B">
        <w:rPr>
          <w:szCs w:val="24"/>
        </w:rPr>
        <w:t>huge</w:t>
      </w:r>
      <w:r w:rsidRPr="00774B2C">
        <w:rPr>
          <w:szCs w:val="24"/>
        </w:rPr>
        <w:t xml:space="preserve"> problem </w:t>
      </w:r>
      <w:r w:rsidR="00322A0B">
        <w:rPr>
          <w:szCs w:val="24"/>
        </w:rPr>
        <w:t>in terms of</w:t>
      </w:r>
      <w:r w:rsidRPr="00774B2C">
        <w:rPr>
          <w:szCs w:val="24"/>
        </w:rPr>
        <w:t xml:space="preserve"> medical </w:t>
      </w:r>
      <w:r w:rsidR="00322A0B">
        <w:rPr>
          <w:szCs w:val="24"/>
        </w:rPr>
        <w:t>care</w:t>
      </w:r>
      <w:r w:rsidRPr="00774B2C">
        <w:rPr>
          <w:szCs w:val="24"/>
        </w:rPr>
        <w:t xml:space="preserve">. Patients with esophageal carcinoma in the early stage </w:t>
      </w:r>
      <w:r w:rsidR="00747895">
        <w:rPr>
          <w:szCs w:val="24"/>
        </w:rPr>
        <w:t>have</w:t>
      </w:r>
      <w:r w:rsidRPr="00774B2C">
        <w:rPr>
          <w:szCs w:val="24"/>
        </w:rPr>
        <w:t xml:space="preserve"> insidious symptoms, and patients in the intermediate stage suffer </w:t>
      </w:r>
      <w:r w:rsidR="00747895">
        <w:rPr>
          <w:szCs w:val="24"/>
        </w:rPr>
        <w:t xml:space="preserve">from </w:t>
      </w:r>
      <w:r w:rsidR="00633FF6">
        <w:rPr>
          <w:szCs w:val="24"/>
        </w:rPr>
        <w:t>the</w:t>
      </w:r>
      <w:r w:rsidRPr="00774B2C">
        <w:rPr>
          <w:szCs w:val="24"/>
        </w:rPr>
        <w:t xml:space="preserve"> typical symptom of </w:t>
      </w:r>
      <w:proofErr w:type="gramStart"/>
      <w:r w:rsidRPr="00774B2C">
        <w:rPr>
          <w:szCs w:val="24"/>
        </w:rPr>
        <w:t>dysphagia</w:t>
      </w:r>
      <w:proofErr w:type="gramEnd"/>
      <w:r w:rsidR="002F5B72" w:rsidRPr="00774B2C">
        <w:rPr>
          <w:szCs w:val="24"/>
          <w:vertAlign w:val="superscript"/>
        </w:rPr>
        <w:fldChar w:fldCharType="begin">
          <w:fldData xml:space="preserve">PEVuZE5vdGU+PENpdGU+PEF1dGhvcj5Qcm9ic3Q8L0F1dGhvcj48WWVhcj4yMDE1PC9ZZWFyPjxS
ZWNOdW0+Mzc2OTwvUmVjTnVtPjxEaXNwbGF5VGV4dD48c3R5bGUgZmFjZT0ic3VwZXJzY3JpcHQi
PlszXTwvc3R5bGU+PC9EaXNwbGF5VGV4dD48cmVjb3JkPjxyZWMtbnVtYmVyPjM3Njk8L3JlYy1u
dW1iZXI+PGZvcmVpZ24ta2V5cz48a2V5IGFwcD0iRU4iIGRiLWlkPSJhZWF4OWZycjNzYTlyY2Uy
cnBhNXNlemR0ZDJwdjAwdzI5ejAiIHRpbWVzdGFtcD0iMTU3Nzg5MzUyMCI+Mzc2OTwva2V5Pjwv
Zm9yZWlnbi1rZXlzPjxyZWYtdHlwZSBuYW1lPSJKb3VybmFsIEFydGljbGUiPjE3PC9yZWYtdHlw
ZT48Y29udHJpYnV0b3JzPjxhdXRob3JzPjxhdXRob3I+UHJvYnN0LCBBLjwvYXV0aG9yPjxhdXRo
b3I+QXVzdCwgRC48L2F1dGhvcj48YXV0aG9yPk1hcmtsLCBCLjwvYXV0aG9yPjxhdXRob3I+QW50
aHViZXIsIE0uPC9hdXRob3I+PGF1dGhvcj5NZXNzbWFubiwgSC48L2F1dGhvcj48L2F1dGhvcnM+
PC9jb250cmlidXRvcnM+PGF1dGgtYWRkcmVzcz5EZXBhcnRtZW50IG9mIEdhc3Ryb2VudGVyb2xv
Z3ksIEtsaW5pa3VtIEF1Z3NidXJnLCBBdWdzYnVyZywgR2VybWFueS4mI3hEO0luc3RpdHV0ZSBv
ZiBQYXRob2xvZ3ksIFVuaXZlcnNpdHkgb2YgVGVjaG5vbG9neSwgRHJlc2RlbiwgR2VybWFueS4m
I3hEO0luc3RpdHV0ZSBvZiBQYXRob2xvZ3ksIEtsaW5pa3VtIEF1Z3NidXJnLCBBdWdzYnVyZywg
R2VybWFueS4mI3hEO0RlcGFydG1lbnQgb2YgR2VuZXJhbCwgVmlzY2VyYWwsIGFuZCBUcmFuc3Bs
YW50YXRpb24gU3VyZ2VyeSwgS2xpbmlrdW0gQXVnc2J1cmcsIEF1Z3NidXJnLCBHZXJtYW55Ljwv
YXV0aC1hZGRyZXNzPjx0aXRsZXM+PHRpdGxlPkVhcmx5IGVzb3BoYWdlYWwgY2FuY2VyIGluIEV1
cm9wZTogZW5kb3Njb3BpYyB0cmVhdG1lbnQgYnkgZW5kb3Njb3BpYyBzdWJtdWNvc2FsIGRpc3Nl
Y3Rpb248L3RpdGxlPjxzZWNvbmRhcnktdGl0bGU+RW5kb3Njb3B5PC9zZWNvbmRhcnktdGl0bGU+
PC90aXRsZXM+PHBlcmlvZGljYWw+PGZ1bGwtdGl0bGU+RW5kb3Njb3B5PC9mdWxsLXRpdGxlPjwv
cGVyaW9kaWNhbD48cGFnZXM+MTEzLTIxPC9wYWdlcz48dm9sdW1lPjQ3PC92b2x1bWU+PG51bWJl
cj4yPC9udW1iZXI+PGVkaXRpb24+MjAxNC8xMi8wNjwvZWRpdGlvbj48a2V5d29yZHM+PGtleXdv
cmQ+QWRlbm9jYXJjaW5vbWEvcGF0aG9sb2d5LypzdXJnZXJ5PC9rZXl3b3JkPjxrZXl3b3JkPkFn
ZWQ8L2tleXdvcmQ+PGtleXdvcmQ+QmFycmV0dCBFc29waGFndXMvcGF0aG9sb2d5L3N1cmdlcnk8
L2tleXdvcmQ+PGtleXdvcmQ+Q2FyY2lub21hLCBTcXVhbW91cyBDZWxsL3BhdGhvbG9neS8qc3Vy
Z2VyeTwva2V5d29yZD48a2V5d29yZD5EaXNzZWN0aW9uL2FkdmVyc2UgZWZmZWN0cy8qbWV0aG9k
czwva2V5d29yZD48a2V5d29yZD5Fc29waGFnZWFsIE5lb3BsYXNtcy9wYXRob2xvZ3kvKnN1cmdl
cnk8L2tleXdvcmQ+PGtleXdvcmQ+RXNvcGhhZ2VhbCBTdGVub3Npcy9ldGlvbG9neTwva2V5d29y
ZD48a2V5d29yZD5Fc29waGFnb3Njb3B5PC9rZXl3b3JkPjxrZXl3b3JkPkV1cm9wZTwva2V5d29y
ZD48a2V5d29yZD5GZW1hbGU8L2tleXdvcmQ+PGtleXdvcmQ+Rm9sbG93LVVwIFN0dWRpZXM8L2tl
eXdvcmQ+PGtleXdvcmQ+R2VybWFueTwva2V5d29yZD48a2V5d29yZD5IdW1hbnM8L2tleXdvcmQ+
PGtleXdvcmQ+TWFsZTwva2V5d29yZD48a2V5d29yZD5NaWRkbGUgQWdlZDwva2V5d29yZD48a2V5
d29yZD5NdWNvdXMgTWVtYnJhbmUvc3VyZ2VyeTwva2V5d29yZD48a2V5d29yZD5OZW9wbGFzbSBS
ZWN1cnJlbmNlLCBMb2NhbC9wYXRob2xvZ3kvc3VyZ2VyeTwva2V5d29yZD48a2V5d29yZD5OZW9w
bGFzbSwgUmVzaWR1YWw8L2tleXdvcmQ+PGtleXdvcmQ+UG9zdG9wZXJhdGl2ZSBIZW1vcnJoYWdl
LypldGlvbG9neTwva2V5d29yZD48a2V5d29yZD5Qcm9zcGVjdGl2ZSBTdHVkaWVzPC9rZXl3b3Jk
PjxrZXl3b3JkPlN1cnZpdmFsIFJhdGU8L2tleXdvcmQ+PGtleXdvcmQ+VmlkZW8tQXNzaXN0ZWQg
U3VyZ2VyeS9tZXRob2RzPC9rZXl3b3JkPjwva2V5d29yZHM+PGRhdGVzPjx5ZWFyPjIwMTU8L3ll
YXI+PHB1Yi1kYXRlcz48ZGF0ZT5GZWI8L2RhdGU+PC9wdWItZGF0ZXM+PC9kYXRlcz48aXNibj4x
NDM4LTg4MTIgKEVsZWN0cm9uaWMpJiN4RDswMDEzLTcyNlggKExpbmtpbmcpPC9pc2JuPjxhY2Nl
c3Npb24tbnVtPjI1NDc5NTYzPC9hY2Nlc3Npb24tbnVtPjx1cmxzPjxyZWxhdGVkLXVybHM+PHVy
bD5odHRwczovL3d3dy5uY2JpLm5sbS5uaWguZ292L3B1Ym1lZC8yNTQ3OTU2MzwvdXJsPjwvcmVs
YXRlZC11cmxzPjwvdXJscz48ZWxlY3Ryb25pYy1yZXNvdXJjZS1udW0+MTAuMTA1NS9zLTAwMzQt
MTM5MTA4NjwvZWxlY3Ryb25pYy1yZXNvdXJjZS1udW0+PC9yZWNvcmQ+PC9DaXRlPjwvRW5kTm90
ZT4A
</w:fldData>
        </w:fldChar>
      </w:r>
      <w:r w:rsidR="002F5B72" w:rsidRPr="00774B2C">
        <w:rPr>
          <w:szCs w:val="24"/>
          <w:vertAlign w:val="superscript"/>
        </w:rPr>
        <w:instrText xml:space="preserve"> ADDIN EN.CITE </w:instrText>
      </w:r>
      <w:r w:rsidR="002F5B72" w:rsidRPr="00774B2C">
        <w:rPr>
          <w:szCs w:val="24"/>
          <w:vertAlign w:val="superscript"/>
        </w:rPr>
        <w:fldChar w:fldCharType="begin">
          <w:fldData xml:space="preserve">PEVuZE5vdGU+PENpdGU+PEF1dGhvcj5Qcm9ic3Q8L0F1dGhvcj48WWVhcj4yMDE1PC9ZZWFyPjxS
ZWNOdW0+Mzc2OTwvUmVjTnVtPjxEaXNwbGF5VGV4dD48c3R5bGUgZmFjZT0ic3VwZXJzY3JpcHQi
PlszXTwvc3R5bGU+PC9EaXNwbGF5VGV4dD48cmVjb3JkPjxyZWMtbnVtYmVyPjM3Njk8L3JlYy1u
dW1iZXI+PGZvcmVpZ24ta2V5cz48a2V5IGFwcD0iRU4iIGRiLWlkPSJhZWF4OWZycjNzYTlyY2Uy
cnBhNXNlemR0ZDJwdjAwdzI5ejAiIHRpbWVzdGFtcD0iMTU3Nzg5MzUyMCI+Mzc2OTwva2V5Pjwv
Zm9yZWlnbi1rZXlzPjxyZWYtdHlwZSBuYW1lPSJKb3VybmFsIEFydGljbGUiPjE3PC9yZWYtdHlw
ZT48Y29udHJpYnV0b3JzPjxhdXRob3JzPjxhdXRob3I+UHJvYnN0LCBBLjwvYXV0aG9yPjxhdXRo
b3I+QXVzdCwgRC48L2F1dGhvcj48YXV0aG9yPk1hcmtsLCBCLjwvYXV0aG9yPjxhdXRob3I+QW50
aHViZXIsIE0uPC9hdXRob3I+PGF1dGhvcj5NZXNzbWFubiwgSC48L2F1dGhvcj48L2F1dGhvcnM+
PC9jb250cmlidXRvcnM+PGF1dGgtYWRkcmVzcz5EZXBhcnRtZW50IG9mIEdhc3Ryb2VudGVyb2xv
Z3ksIEtsaW5pa3VtIEF1Z3NidXJnLCBBdWdzYnVyZywgR2VybWFueS4mI3hEO0luc3RpdHV0ZSBv
ZiBQYXRob2xvZ3ksIFVuaXZlcnNpdHkgb2YgVGVjaG5vbG9neSwgRHJlc2RlbiwgR2VybWFueS4m
I3hEO0luc3RpdHV0ZSBvZiBQYXRob2xvZ3ksIEtsaW5pa3VtIEF1Z3NidXJnLCBBdWdzYnVyZywg
R2VybWFueS4mI3hEO0RlcGFydG1lbnQgb2YgR2VuZXJhbCwgVmlzY2VyYWwsIGFuZCBUcmFuc3Bs
YW50YXRpb24gU3VyZ2VyeSwgS2xpbmlrdW0gQXVnc2J1cmcsIEF1Z3NidXJnLCBHZXJtYW55Ljwv
YXV0aC1hZGRyZXNzPjx0aXRsZXM+PHRpdGxlPkVhcmx5IGVzb3BoYWdlYWwgY2FuY2VyIGluIEV1
cm9wZTogZW5kb3Njb3BpYyB0cmVhdG1lbnQgYnkgZW5kb3Njb3BpYyBzdWJtdWNvc2FsIGRpc3Nl
Y3Rpb248L3RpdGxlPjxzZWNvbmRhcnktdGl0bGU+RW5kb3Njb3B5PC9zZWNvbmRhcnktdGl0bGU+
PC90aXRsZXM+PHBlcmlvZGljYWw+PGZ1bGwtdGl0bGU+RW5kb3Njb3B5PC9mdWxsLXRpdGxlPjwv
cGVyaW9kaWNhbD48cGFnZXM+MTEzLTIxPC9wYWdlcz48dm9sdW1lPjQ3PC92b2x1bWU+PG51bWJl
cj4yPC9udW1iZXI+PGVkaXRpb24+MjAxNC8xMi8wNjwvZWRpdGlvbj48a2V5d29yZHM+PGtleXdv
cmQ+QWRlbm9jYXJjaW5vbWEvcGF0aG9sb2d5LypzdXJnZXJ5PC9rZXl3b3JkPjxrZXl3b3JkPkFn
ZWQ8L2tleXdvcmQ+PGtleXdvcmQ+QmFycmV0dCBFc29waGFndXMvcGF0aG9sb2d5L3N1cmdlcnk8
L2tleXdvcmQ+PGtleXdvcmQ+Q2FyY2lub21hLCBTcXVhbW91cyBDZWxsL3BhdGhvbG9neS8qc3Vy
Z2VyeTwva2V5d29yZD48a2V5d29yZD5EaXNzZWN0aW9uL2FkdmVyc2UgZWZmZWN0cy8qbWV0aG9k
czwva2V5d29yZD48a2V5d29yZD5Fc29waGFnZWFsIE5lb3BsYXNtcy9wYXRob2xvZ3kvKnN1cmdl
cnk8L2tleXdvcmQ+PGtleXdvcmQ+RXNvcGhhZ2VhbCBTdGVub3Npcy9ldGlvbG9neTwva2V5d29y
ZD48a2V5d29yZD5Fc29waGFnb3Njb3B5PC9rZXl3b3JkPjxrZXl3b3JkPkV1cm9wZTwva2V5d29y
ZD48a2V5d29yZD5GZW1hbGU8L2tleXdvcmQ+PGtleXdvcmQ+Rm9sbG93LVVwIFN0dWRpZXM8L2tl
eXdvcmQ+PGtleXdvcmQ+R2VybWFueTwva2V5d29yZD48a2V5d29yZD5IdW1hbnM8L2tleXdvcmQ+
PGtleXdvcmQ+TWFsZTwva2V5d29yZD48a2V5d29yZD5NaWRkbGUgQWdlZDwva2V5d29yZD48a2V5
d29yZD5NdWNvdXMgTWVtYnJhbmUvc3VyZ2VyeTwva2V5d29yZD48a2V5d29yZD5OZW9wbGFzbSBS
ZWN1cnJlbmNlLCBMb2NhbC9wYXRob2xvZ3kvc3VyZ2VyeTwva2V5d29yZD48a2V5d29yZD5OZW9w
bGFzbSwgUmVzaWR1YWw8L2tleXdvcmQ+PGtleXdvcmQ+UG9zdG9wZXJhdGl2ZSBIZW1vcnJoYWdl
LypldGlvbG9neTwva2V5d29yZD48a2V5d29yZD5Qcm9zcGVjdGl2ZSBTdHVkaWVzPC9rZXl3b3Jk
PjxrZXl3b3JkPlN1cnZpdmFsIFJhdGU8L2tleXdvcmQ+PGtleXdvcmQ+VmlkZW8tQXNzaXN0ZWQg
U3VyZ2VyeS9tZXRob2RzPC9rZXl3b3JkPjwva2V5d29yZHM+PGRhdGVzPjx5ZWFyPjIwMTU8L3ll
YXI+PHB1Yi1kYXRlcz48ZGF0ZT5GZWI8L2RhdGU+PC9wdWItZGF0ZXM+PC9kYXRlcz48aXNibj4x
NDM4LTg4MTIgKEVsZWN0cm9uaWMpJiN4RDswMDEzLTcyNlggKExpbmtpbmcpPC9pc2JuPjxhY2Nl
c3Npb24tbnVtPjI1NDc5NTYzPC9hY2Nlc3Npb24tbnVtPjx1cmxzPjxyZWxhdGVkLXVybHM+PHVy
bD5odHRwczovL3d3dy5uY2JpLm5sbS5uaWguZ292L3B1Ym1lZC8yNTQ3OTU2MzwvdXJsPjwvcmVs
YXRlZC11cmxzPjwvdXJscz48ZWxlY3Ryb25pYy1yZXNvdXJjZS1udW0+MTAuMTA1NS9zLTAwMzQt
MTM5MTA4NjwvZWxlY3Ryb25pYy1yZXNvdXJjZS1udW0+PC9yZWNvcmQ+PC9DaXRlPjwvRW5kTm90
ZT4A
</w:fldData>
        </w:fldChar>
      </w:r>
      <w:r w:rsidR="002F5B72" w:rsidRPr="00774B2C">
        <w:rPr>
          <w:szCs w:val="24"/>
          <w:vertAlign w:val="superscript"/>
        </w:rPr>
        <w:instrText xml:space="preserve"> ADDIN EN.CITE.DATA </w:instrText>
      </w:r>
      <w:r w:rsidR="002F5B72" w:rsidRPr="00774B2C">
        <w:rPr>
          <w:szCs w:val="24"/>
          <w:vertAlign w:val="superscript"/>
        </w:rPr>
      </w:r>
      <w:r w:rsidR="002F5B72" w:rsidRPr="00774B2C">
        <w:rPr>
          <w:szCs w:val="24"/>
          <w:vertAlign w:val="superscript"/>
        </w:rPr>
        <w:fldChar w:fldCharType="end"/>
      </w:r>
      <w:r w:rsidR="002F5B72" w:rsidRPr="00774B2C">
        <w:rPr>
          <w:szCs w:val="24"/>
          <w:vertAlign w:val="superscript"/>
        </w:rPr>
      </w:r>
      <w:r w:rsidR="002F5B72" w:rsidRPr="00774B2C">
        <w:rPr>
          <w:szCs w:val="24"/>
          <w:vertAlign w:val="superscript"/>
        </w:rPr>
        <w:fldChar w:fldCharType="separate"/>
      </w:r>
      <w:r w:rsidR="002F5B72" w:rsidRPr="00774B2C">
        <w:rPr>
          <w:noProof/>
          <w:szCs w:val="24"/>
          <w:vertAlign w:val="superscript"/>
        </w:rPr>
        <w:t>[3]</w:t>
      </w:r>
      <w:r w:rsidR="002F5B72" w:rsidRPr="00774B2C">
        <w:rPr>
          <w:szCs w:val="24"/>
          <w:vertAlign w:val="superscript"/>
        </w:rPr>
        <w:fldChar w:fldCharType="end"/>
      </w:r>
      <w:r w:rsidRPr="00774B2C">
        <w:rPr>
          <w:szCs w:val="24"/>
        </w:rPr>
        <w:t xml:space="preserve">. At present, although there are patients with early esophageal carcinoma in hospitals, most patients with esophageal carcinoma are already in the intermediate or late stage when admitted to </w:t>
      </w:r>
      <w:proofErr w:type="gramStart"/>
      <w:r w:rsidRPr="00774B2C">
        <w:rPr>
          <w:szCs w:val="24"/>
        </w:rPr>
        <w:t>hospital</w:t>
      </w:r>
      <w:proofErr w:type="gramEnd"/>
      <w:r w:rsidR="002F5B72" w:rsidRPr="00774B2C">
        <w:rPr>
          <w:szCs w:val="24"/>
        </w:rPr>
        <w:fldChar w:fldCharType="begin">
          <w:fldData xml:space="preserve">PEVuZE5vdGU+PENpdGU+PEF1dGhvcj5BbHNvcDwvQXV0aG9yPjxZZWFyPjIwMTY8L1llYXI+PFJl
Y051bT4zODcyPC9SZWNOdW0+PERpc3BsYXlUZXh0PjxzdHlsZSBmYWNlPSJzdXBlcnNjcmlwdCI+
WzRdPC9zdHlsZT48L0Rpc3BsYXlUZXh0PjxyZWNvcmQ+PHJlYy1udW1iZXI+Mzg3MjwvcmVjLW51
bWJlcj48Zm9yZWlnbi1rZXlzPjxrZXkgYXBwPSJFTiIgZGItaWQ9ImFlYXg5ZnJyM3NhOXJjZTJy
cGE1c2V6ZHRkMnB2MDB3Mjl6MCIgdGltZXN0YW1wPSIxNTc3ODkzNzU1Ij4zODcyPC9rZXk+PC9m
b3JlaWduLWtleXM+PHJlZi10eXBlIG5hbWU9IkpvdXJuYWwgQXJ0aWNsZSI+MTc8L3JlZi10eXBl
Pjxjb250cmlidXRvcnM+PGF1dGhvcnM+PGF1dGhvcj5BbHNvcCwgQi4gUi48L2F1dGhvcj48YXV0
aG9yPlNoYXJtYSwgUC48L2F1dGhvcj48L2F1dGhvcnM+PC9jb250cmlidXRvcnM+PGF1dGgtYWRk
cmVzcz5EZXBhcnRtZW50IG9mIEdhc3Ryb2VudGVyb2xvZ3kgYW5kIEhlcGF0b2xvZ3ksIEthbnNh
cyBDaXR5IFZBIE1lZGljYWwgQ2VudGVyLCA0ODAxIExpbndvb2QgQm91bGV2YXJkLCBLYW5zYXMg
Q2l0eSwgTU8gNjQxMjgsIFVTQTsgRGVwYXJ0bWVudCBvZiBHYXN0cm9lbnRlcm9sb2d5IGFuZCBI
ZXBhdG9sb2d5LCBVbml2ZXJzaXR5IG9mIEthbnNhcyBNZWRpY2FsIENlbnRlciwgMzkwMSBSYWlu
Ym93IEJvdWxldmFyZCwgTWFpbHN0b3AgMTAyMywgS2Fuc2FzIENpdHksIEtTIDY2MTYwLCBVU0Eu
IEVsZWN0cm9uaWMgYWRkcmVzczogYmVuamFtaW4uYWxzb3BAdmEuZ292LiYjeEQ7RGVwYXJ0bWVu
dCBvZiBHYXN0cm9lbnRlcm9sb2d5IGFuZCBIZXBhdG9sb2d5LCBLYW5zYXMgQ2l0eSBWQSBNZWRp
Y2FsIENlbnRlciwgNDgwMSBMaW53b29kIEJvdWxldmFyZCwgS2Fuc2FzIENpdHksIE1PIDY0MTI4
LCBVU0E7IERlcGFydG1lbnQgb2YgR2FzdHJvZW50ZXJvbG9neSBhbmQgSGVwYXRvbG9neSwgVW5p
dmVyc2l0eSBvZiBLYW5zYXMgTWVkaWNhbCBDZW50ZXIsIDM5MDEgUmFpbmJvdyBCb3VsZXZhcmQs
IE1haWxzdG9wIDEwMjMsIEthbnNhcyBDaXR5LCBLUyA2NjE2MCwgVVNBLjwvYXV0aC1hZGRyZXNz
Pjx0aXRsZXM+PHRpdGxlPkVzb3BoYWdlYWwgQ2FuY2VyPC90aXRsZT48c2Vjb25kYXJ5LXRpdGxl
Pkdhc3Ryb2VudGVyb2wgQ2xpbiBOb3J0aCBBbTwvc2Vjb25kYXJ5LXRpdGxlPjwvdGl0bGVzPjxw
ZXJpb2RpY2FsPjxmdWxsLXRpdGxlPkdhc3Ryb2VudGVyb2wgQ2xpbiBOb3J0aCBBbTwvZnVsbC10
aXRsZT48L3BlcmlvZGljYWw+PHBhZ2VzPjM5OS00MTI8L3BhZ2VzPjx2b2x1bWU+NDU8L3ZvbHVt
ZT48bnVtYmVyPjM8L251bWJlcj48ZWRpdGlvbj4yMDE2LzA4LzIzPC9lZGl0aW9uPjxrZXl3b3Jk
cz48a2V5d29yZD5BZGVub2NhcmNpbm9tYS9kaWFnbm9zaXMvcGF0aG9sb2d5LypzdXJnZXJ5PC9r
ZXl3b3JkPjxrZXl3b3JkPkJhcnJldHQgRXNvcGhhZ3VzL2RpYWdub3Npcy9wYXRob2xvZ3kvKnRo
ZXJhcHk8L2tleXdvcmQ+PGtleXdvcmQ+Q2FyY2lub21hLCBTcXVhbW91cyBDZWxsL2RpYWdub3Np
cy9wYXRob2xvZ3kvKnN1cmdlcnk8L2tleXdvcmQ+PGtleXdvcmQ+RWFybHkgRGV0ZWN0aW9uIG9m
IENhbmNlcjwva2V5d29yZD48a2V5d29yZD5FYXJseSBNZWRpY2FsIEludGVydmVudGlvbjwva2V5
d29yZD48a2V5d29yZD5FbmRvc2NvcGljIE11Y29zYWwgUmVzZWN0aW9uPC9rZXl3b3JkPjxrZXl3
b3JkPkVuZG9zY29weSwgRGlnZXN0aXZlIFN5c3RlbTwva2V5d29yZD48a2V5d29yZD5Fc29waGFn
ZWFsIE5lb3BsYXNtcy9kaWFnbm9zaXMvcGF0aG9sb2d5LypzdXJnZXJ5PC9rZXl3b3JkPjxrZXl3
b3JkPkVzb3BoYWdlYWwgU3F1YW1vdXMgQ2VsbCBDYXJjaW5vbWE8L2tleXdvcmQ+PGtleXdvcmQ+
SHVtYW5zPC9rZXl3b3JkPjxrZXl3b3JkPk5lb3BsYXNtIFN0YWdpbmc8L2tleXdvcmQ+PGtleXdv
cmQ+V2F0Y2hmdWwgV2FpdGluZzwva2V5d29yZD48a2V5d29yZD5CYXJyZXR0JmFwb3M7cyBlc29w
aGFndXM8L2tleXdvcmQ+PGtleXdvcmQ+RXNvcGhhZ2VhbCBhZGVub2NhcmNpbm9tYTwva2V5d29y
ZD48a2V5d29yZD5Fc29waGFndXMgY2FuY2VyPC9rZXl3b3JkPjwva2V5d29yZHM+PGRhdGVzPjx5
ZWFyPjIwMTY8L3llYXI+PHB1Yi1kYXRlcz48ZGF0ZT5TZXA8L2RhdGU+PC9wdWItZGF0ZXM+PC9k
YXRlcz48aXNibj4xNTU4LTE5NDIgKEVsZWN0cm9uaWMpJiN4RDswODg5LTg1NTMgKExpbmtpbmcp
PC9pc2JuPjxhY2Nlc3Npb24tbnVtPjI3NTQ2ODM5PC9hY2Nlc3Npb24tbnVtPjx1cmxzPjxyZWxh
dGVkLXVybHM+PHVybD5odHRwczovL3d3dy5uY2JpLm5sbS5uaWguZ292L3B1Ym1lZC8yNzU0Njgz
OTwvdXJsPjwvcmVsYXRlZC11cmxzPjwvdXJscz48ZWxlY3Ryb25pYy1yZXNvdXJjZS1udW0+MTAu
MTAxNi9qLmd0Yy4yMDE2LjA0LjAwMTwvZWxlY3Ryb25pYy1yZXNvdXJjZS1udW0+PC9yZWNvcmQ+
PC9DaXRlPjwvRW5kTm90ZT5=
</w:fldData>
        </w:fldChar>
      </w:r>
      <w:r w:rsidR="002F5B72" w:rsidRPr="00774B2C">
        <w:rPr>
          <w:szCs w:val="24"/>
        </w:rPr>
        <w:instrText xml:space="preserve"> ADDIN EN.CITE </w:instrText>
      </w:r>
      <w:r w:rsidR="002F5B72" w:rsidRPr="00774B2C">
        <w:rPr>
          <w:szCs w:val="24"/>
        </w:rPr>
        <w:fldChar w:fldCharType="begin">
          <w:fldData xml:space="preserve">PEVuZE5vdGU+PENpdGU+PEF1dGhvcj5BbHNvcDwvQXV0aG9yPjxZZWFyPjIwMTY8L1llYXI+PFJl
Y051bT4zODcyPC9SZWNOdW0+PERpc3BsYXlUZXh0PjxzdHlsZSBmYWNlPSJzdXBlcnNjcmlwdCI+
WzRdPC9zdHlsZT48L0Rpc3BsYXlUZXh0PjxyZWNvcmQ+PHJlYy1udW1iZXI+Mzg3MjwvcmVjLW51
bWJlcj48Zm9yZWlnbi1rZXlzPjxrZXkgYXBwPSJFTiIgZGItaWQ9ImFlYXg5ZnJyM3NhOXJjZTJy
cGE1c2V6ZHRkMnB2MDB3Mjl6MCIgdGltZXN0YW1wPSIxNTc3ODkzNzU1Ij4zODcyPC9rZXk+PC9m
b3JlaWduLWtleXM+PHJlZi10eXBlIG5hbWU9IkpvdXJuYWwgQXJ0aWNsZSI+MTc8L3JlZi10eXBl
Pjxjb250cmlidXRvcnM+PGF1dGhvcnM+PGF1dGhvcj5BbHNvcCwgQi4gUi48L2F1dGhvcj48YXV0
aG9yPlNoYXJtYSwgUC48L2F1dGhvcj48L2F1dGhvcnM+PC9jb250cmlidXRvcnM+PGF1dGgtYWRk
cmVzcz5EZXBhcnRtZW50IG9mIEdhc3Ryb2VudGVyb2xvZ3kgYW5kIEhlcGF0b2xvZ3ksIEthbnNh
cyBDaXR5IFZBIE1lZGljYWwgQ2VudGVyLCA0ODAxIExpbndvb2QgQm91bGV2YXJkLCBLYW5zYXMg
Q2l0eSwgTU8gNjQxMjgsIFVTQTsgRGVwYXJ0bWVudCBvZiBHYXN0cm9lbnRlcm9sb2d5IGFuZCBI
ZXBhdG9sb2d5LCBVbml2ZXJzaXR5IG9mIEthbnNhcyBNZWRpY2FsIENlbnRlciwgMzkwMSBSYWlu
Ym93IEJvdWxldmFyZCwgTWFpbHN0b3AgMTAyMywgS2Fuc2FzIENpdHksIEtTIDY2MTYwLCBVU0Eu
IEVsZWN0cm9uaWMgYWRkcmVzczogYmVuamFtaW4uYWxzb3BAdmEuZ292LiYjeEQ7RGVwYXJ0bWVu
dCBvZiBHYXN0cm9lbnRlcm9sb2d5IGFuZCBIZXBhdG9sb2d5LCBLYW5zYXMgQ2l0eSBWQSBNZWRp
Y2FsIENlbnRlciwgNDgwMSBMaW53b29kIEJvdWxldmFyZCwgS2Fuc2FzIENpdHksIE1PIDY0MTI4
LCBVU0E7IERlcGFydG1lbnQgb2YgR2FzdHJvZW50ZXJvbG9neSBhbmQgSGVwYXRvbG9neSwgVW5p
dmVyc2l0eSBvZiBLYW5zYXMgTWVkaWNhbCBDZW50ZXIsIDM5MDEgUmFpbmJvdyBCb3VsZXZhcmQs
IE1haWxzdG9wIDEwMjMsIEthbnNhcyBDaXR5LCBLUyA2NjE2MCwgVVNBLjwvYXV0aC1hZGRyZXNz
Pjx0aXRsZXM+PHRpdGxlPkVzb3BoYWdlYWwgQ2FuY2VyPC90aXRsZT48c2Vjb25kYXJ5LXRpdGxl
Pkdhc3Ryb2VudGVyb2wgQ2xpbiBOb3J0aCBBbTwvc2Vjb25kYXJ5LXRpdGxlPjwvdGl0bGVzPjxw
ZXJpb2RpY2FsPjxmdWxsLXRpdGxlPkdhc3Ryb2VudGVyb2wgQ2xpbiBOb3J0aCBBbTwvZnVsbC10
aXRsZT48L3BlcmlvZGljYWw+PHBhZ2VzPjM5OS00MTI8L3BhZ2VzPjx2b2x1bWU+NDU8L3ZvbHVt
ZT48bnVtYmVyPjM8L251bWJlcj48ZWRpdGlvbj4yMDE2LzA4LzIzPC9lZGl0aW9uPjxrZXl3b3Jk
cz48a2V5d29yZD5BZGVub2NhcmNpbm9tYS9kaWFnbm9zaXMvcGF0aG9sb2d5LypzdXJnZXJ5PC9r
ZXl3b3JkPjxrZXl3b3JkPkJhcnJldHQgRXNvcGhhZ3VzL2RpYWdub3Npcy9wYXRob2xvZ3kvKnRo
ZXJhcHk8L2tleXdvcmQ+PGtleXdvcmQ+Q2FyY2lub21hLCBTcXVhbW91cyBDZWxsL2RpYWdub3Np
cy9wYXRob2xvZ3kvKnN1cmdlcnk8L2tleXdvcmQ+PGtleXdvcmQ+RWFybHkgRGV0ZWN0aW9uIG9m
IENhbmNlcjwva2V5d29yZD48a2V5d29yZD5FYXJseSBNZWRpY2FsIEludGVydmVudGlvbjwva2V5
d29yZD48a2V5d29yZD5FbmRvc2NvcGljIE11Y29zYWwgUmVzZWN0aW9uPC9rZXl3b3JkPjxrZXl3
b3JkPkVuZG9zY29weSwgRGlnZXN0aXZlIFN5c3RlbTwva2V5d29yZD48a2V5d29yZD5Fc29waGFn
ZWFsIE5lb3BsYXNtcy9kaWFnbm9zaXMvcGF0aG9sb2d5LypzdXJnZXJ5PC9rZXl3b3JkPjxrZXl3
b3JkPkVzb3BoYWdlYWwgU3F1YW1vdXMgQ2VsbCBDYXJjaW5vbWE8L2tleXdvcmQ+PGtleXdvcmQ+
SHVtYW5zPC9rZXl3b3JkPjxrZXl3b3JkPk5lb3BsYXNtIFN0YWdpbmc8L2tleXdvcmQ+PGtleXdv
cmQ+V2F0Y2hmdWwgV2FpdGluZzwva2V5d29yZD48a2V5d29yZD5CYXJyZXR0JmFwb3M7cyBlc29w
aGFndXM8L2tleXdvcmQ+PGtleXdvcmQ+RXNvcGhhZ2VhbCBhZGVub2NhcmNpbm9tYTwva2V5d29y
ZD48a2V5d29yZD5Fc29waGFndXMgY2FuY2VyPC9rZXl3b3JkPjwva2V5d29yZHM+PGRhdGVzPjx5
ZWFyPjIwMTY8L3llYXI+PHB1Yi1kYXRlcz48ZGF0ZT5TZXA8L2RhdGU+PC9wdWItZGF0ZXM+PC9k
YXRlcz48aXNibj4xNTU4LTE5NDIgKEVsZWN0cm9uaWMpJiN4RDswODg5LTg1NTMgKExpbmtpbmcp
PC9pc2JuPjxhY2Nlc3Npb24tbnVtPjI3NTQ2ODM5PC9hY2Nlc3Npb24tbnVtPjx1cmxzPjxyZWxh
dGVkLXVybHM+PHVybD5odHRwczovL3d3dy5uY2JpLm5sbS5uaWguZ292L3B1Ym1lZC8yNzU0Njgz
OTwvdXJsPjwvcmVsYXRlZC11cmxzPjwvdXJscz48ZWxlY3Ryb25pYy1yZXNvdXJjZS1udW0+MTAu
MTAxNi9qLmd0Yy4yMDE2LjA0LjAwMTwvZWxlY3Ryb25pYy1yZXNvdXJjZS1udW0+PC9yZWNvcmQ+
PC9DaXRlPjwvRW5kTm90ZT5=
</w:fldData>
        </w:fldChar>
      </w:r>
      <w:r w:rsidR="002F5B72" w:rsidRPr="00774B2C">
        <w:rPr>
          <w:szCs w:val="24"/>
        </w:rPr>
        <w:instrText xml:space="preserve"> ADDIN EN.CITE.DATA </w:instrText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end"/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separate"/>
      </w:r>
      <w:r w:rsidR="002F5B72" w:rsidRPr="00774B2C">
        <w:rPr>
          <w:noProof/>
          <w:szCs w:val="24"/>
          <w:vertAlign w:val="superscript"/>
        </w:rPr>
        <w:t>[4]</w:t>
      </w:r>
      <w:r w:rsidR="002F5B72" w:rsidRPr="00774B2C">
        <w:rPr>
          <w:szCs w:val="24"/>
        </w:rPr>
        <w:fldChar w:fldCharType="end"/>
      </w:r>
      <w:r w:rsidRPr="00774B2C">
        <w:rPr>
          <w:szCs w:val="24"/>
        </w:rPr>
        <w:t>. The optimal treatment plan for esophageal carcinoma in clinical practice is surgical resection, but its long-term efficacy is unsatisfactory, which is mainly due to the follow</w:t>
      </w:r>
      <w:r w:rsidR="00633FF6">
        <w:rPr>
          <w:szCs w:val="24"/>
        </w:rPr>
        <w:t>ing factors</w:t>
      </w:r>
      <w:r w:rsidRPr="00774B2C">
        <w:rPr>
          <w:szCs w:val="24"/>
        </w:rPr>
        <w:t xml:space="preserve">: Esophageal carcinoma has the characteristic </w:t>
      </w:r>
      <w:r w:rsidR="00633FF6">
        <w:rPr>
          <w:szCs w:val="24"/>
        </w:rPr>
        <w:t>of</w:t>
      </w:r>
      <w:r w:rsidRPr="00774B2C">
        <w:rPr>
          <w:szCs w:val="24"/>
        </w:rPr>
        <w:t xml:space="preserve"> </w:t>
      </w:r>
      <w:r w:rsidR="00633FF6">
        <w:rPr>
          <w:szCs w:val="24"/>
        </w:rPr>
        <w:t xml:space="preserve">adjacent </w:t>
      </w:r>
      <w:r w:rsidRPr="00774B2C">
        <w:rPr>
          <w:szCs w:val="24"/>
        </w:rPr>
        <w:t xml:space="preserve">lymph nodes </w:t>
      </w:r>
      <w:r w:rsidR="00747895">
        <w:rPr>
          <w:szCs w:val="24"/>
        </w:rPr>
        <w:t xml:space="preserve">which </w:t>
      </w:r>
      <w:r w:rsidRPr="00774B2C">
        <w:rPr>
          <w:szCs w:val="24"/>
        </w:rPr>
        <w:t>are prone to skip</w:t>
      </w:r>
      <w:r w:rsidR="00633FF6">
        <w:rPr>
          <w:szCs w:val="24"/>
        </w:rPr>
        <w:t>ping</w:t>
      </w:r>
      <w:r w:rsidRPr="00774B2C">
        <w:rPr>
          <w:szCs w:val="24"/>
        </w:rPr>
        <w:t xml:space="preserve"> metastasis, </w:t>
      </w:r>
      <w:r w:rsidR="00747895">
        <w:rPr>
          <w:szCs w:val="24"/>
        </w:rPr>
        <w:t>and</w:t>
      </w:r>
      <w:r w:rsidRPr="00774B2C">
        <w:rPr>
          <w:szCs w:val="24"/>
        </w:rPr>
        <w:t xml:space="preserve"> leads to recurrence of esophageal carcinoma</w:t>
      </w:r>
      <w:r w:rsidR="00633FF6">
        <w:rPr>
          <w:szCs w:val="24"/>
        </w:rPr>
        <w:t>;</w:t>
      </w:r>
      <w:r w:rsidRPr="00774B2C">
        <w:rPr>
          <w:szCs w:val="24"/>
        </w:rPr>
        <w:t xml:space="preserve"> thus</w:t>
      </w:r>
      <w:r w:rsidR="00633FF6">
        <w:rPr>
          <w:szCs w:val="24"/>
        </w:rPr>
        <w:t>,</w:t>
      </w:r>
      <w:r w:rsidRPr="00774B2C">
        <w:rPr>
          <w:szCs w:val="24"/>
        </w:rPr>
        <w:t xml:space="preserve"> resulting in failure of surgical treatment</w:t>
      </w:r>
      <w:r w:rsidR="002F5B72" w:rsidRPr="00774B2C">
        <w:rPr>
          <w:szCs w:val="24"/>
        </w:rPr>
        <w:fldChar w:fldCharType="begin">
          <w:fldData xml:space="preserve">PEVuZE5vdGU+PENpdGU+PEF1dGhvcj5SdWJlbnN0ZWluPC9BdXRob3I+PFllYXI+MjAxNTwvWWVh
cj48UmVjTnVtPjM4NzM8L1JlY051bT48RGlzcGxheVRleHQ+PHN0eWxlIGZhY2U9InN1cGVyc2Ny
aXB0Ij5bNSwgNl08L3N0eWxlPjwvRGlzcGxheVRleHQ+PHJlY29yZD48cmVjLW51bWJlcj4zODcz
PC9yZWMtbnVtYmVyPjxmb3JlaWduLWtleXM+PGtleSBhcHA9IkVOIiBkYi1pZD0iYWVheDlmcnIz
c2E5cmNlMnJwYTVzZXpkdGQycHYwMHcyOXowIiB0aW1lc3RhbXA9IjE1Nzc4OTM3ODQiPjM4NzM8
L2tleT48L2ZvcmVpZ24ta2V5cz48cmVmLXR5cGUgbmFtZT0iSm91cm5hbCBBcnRpY2xlIj4xNzwv
cmVmLXR5cGU+PGNvbnRyaWJ1dG9ycz48YXV0aG9ycz48YXV0aG9yPlJ1YmVuc3RlaW4sIEouIEgu
PC9hdXRob3I+PGF1dGhvcj5TaGFoZWVuLCBOLiBKLjwvYXV0aG9yPjwvYXV0aG9ycz48L2NvbnRy
aWJ1dG9ycz48YXV0aC1hZGRyZXNzPlZldGVyYW5zIEFmZmFpcnMgQ2VudGVyIGZvciBDbGluaWNh
bCBNYW5hZ2VtZW50IFJlc2VhcmNoLCBBbm4gQXJib3IsIE1pY2hpZ2FuOyBCYXJyZXR0JmFwb3M7
cyBFc29waGFndXMgUHJvZ3JhbSwgRGl2aXNpb24gb2YgR2FzdHJvZW50ZXJvbG9neSwgRGVwYXJ0
bWVudCBvZiBNZWRpY2luZSwgVW5pdmVyc2l0eSBvZiBNaWNoaWdhbiwgQW5uIEFyYm9yLCBNaWNo
aWdhbi4gRWxlY3Ryb25pYyBhZGRyZXNzOiBqaHJAdW1pY2guZWR1LiYjeEQ7Q2VudGVyIGZvciBF
c29waGFnZWFsIERpc2Vhc2VzIGFuZCBTd2FsbG93aW5nLCBEaXZpc2lvbiBvZiBHYXN0cm9lbnRl
cm9sb2d5IGFuZCBIZXBhdG9sb2d5LCBEZXBhcnRtZW50IG9mIE1lZGljaW5lLCBVbml2ZXJzaXR5
IG9mIE5vcnRoIENhcm9saW5hLCBDaGFwZWwgSGlsbCwgTm9ydGggQ2Fyb2xpbmEuPC9hdXRoLWFk
ZHJlc3M+PHRpdGxlcz48dGl0bGU+RXBpZGVtaW9sb2d5LCBEaWFnbm9zaXMsIGFuZCBNYW5hZ2Vt
ZW50IG9mIEVzb3BoYWdlYWwgQWRlbm9jYXJjaW5vbWE8L3RpdGxlPjxzZWNvbmRhcnktdGl0bGU+
R2FzdHJvZW50ZXJvbG9neTwvc2Vjb25kYXJ5LXRpdGxlPjwvdGl0bGVzPjxwZXJpb2RpY2FsPjxm
dWxsLXRpdGxlPkdhc3Ryb2VudGVyb2xvZ3k8L2Z1bGwtdGl0bGU+PC9wZXJpb2RpY2FsPjxwYWdl
cz4zMDItMTcgZTE8L3BhZ2VzPjx2b2x1bWU+MTQ5PC92b2x1bWU+PG51bWJlcj4yPC9udW1iZXI+
PGVkaXRpb24+MjAxNS8wNS8xMTwvZWRpdGlvbj48a2V5d29yZHM+PGtleXdvcmQ+QWRlbm9jYXJj
aW5vbWEvKmRpYWdub3Npcy8qZXBpZGVtaW9sb2d5L3N1cmdlcnkvKnRoZXJhcHk8L2tleXdvcmQ+
PGtleXdvcmQ+KkRpc2Vhc2UgTWFuYWdlbWVudDwva2V5d29yZD48a2V5d29yZD5FbmRvc29ub2dy
YXBoeS8qbWV0aG9kczwva2V5d29yZD48a2V5d29yZD5Fc29waGFnZWFsIE5lb3BsYXNtcy8qZGlh
Z25vc2lzLyplcGlkZW1pb2xvZ3kvc3VyZ2VyeS8qdGhlcmFweTwva2V5d29yZD48a2V5d29yZD5F
c29waGFnb3Njb3B5LyptZXRob2RzPC9rZXl3b3JkPjxrZXl3b3JkPkh1bWFuczwva2V5d29yZD48
a2V5d29yZD5JbmNpZGVuY2U8L2tleXdvcmQ+PGtleXdvcmQ+UHJvZ25vc2lzPC9rZXl3b3JkPjxr
ZXl3b3JkPlJpc2sgRmFjdG9yczwva2V5d29yZD48a2V5d29yZD5BZGVub2NhcmNpbm9tYTwva2V5
d29yZD48a2V5d29yZD5FbmRvc2NvcGljIFRoZXJhcHk8L2tleXdvcmQ+PGtleXdvcmQ+RXNvcGhh
Z2VhbCBOZW9wbGFzbXM8L2tleXdvcmQ+PC9rZXl3b3Jkcz48ZGF0ZXM+PHllYXI+MjAxNTwveWVh
cj48cHViLWRhdGVzPjxkYXRlPkF1ZzwvZGF0ZT48L3B1Yi1kYXRlcz48L2RhdGVzPjxpc2JuPjE1
MjgtMDAxMiAoRWxlY3Ryb25pYykmI3hEOzAwMTYtNTA4NSAoTGlua2luZyk8L2lzYm4+PGFjY2Vz
c2lvbi1udW0+MjU5NTc4NjE8L2FjY2Vzc2lvbi1udW0+PHVybHM+PHJlbGF0ZWQtdXJscz48dXJs
Pmh0dHBzOi8vd3d3Lm5jYmkubmxtLm5paC5nb3YvcHVibWVkLzI1OTU3ODYxPC91cmw+PC9yZWxh
dGVkLXVybHM+PC91cmxzPjxjdXN0b20yPlBNQzQ1MTY2Mzg8L2N1c3RvbTI+PGVsZWN0cm9uaWMt
cmVzb3VyY2UtbnVtPjEwLjEwNTMvai5nYXN0cm8uMjAxNS4wNC4wNTM8L2VsZWN0cm9uaWMtcmVz
b3VyY2UtbnVtPjwvcmVjb3JkPjwvQ2l0ZT48Q2l0ZT48QXV0aG9yPlBhcnJ5PC9BdXRob3I+PFll
YXI+MjAxNTwvWWVhcj48UmVjTnVtPjM4NzQ8L1JlY051bT48cmVjb3JkPjxyZWMtbnVtYmVyPjM4
NzQ8L3JlYy1udW1iZXI+PGZvcmVpZ24ta2V5cz48a2V5IGFwcD0iRU4iIGRiLWlkPSJhZWF4OWZy
cjNzYTlyY2UycnBhNXNlemR0ZDJwdjAwdzI5ejAiIHRpbWVzdGFtcD0iMTU3Nzg5MzgyMCI+Mzg3
NDwva2V5PjwvZm9yZWlnbi1rZXlzPjxyZWYtdHlwZSBuYW1lPSJKb3VybmFsIEFydGljbGUiPjE3
PC9yZWYtdHlwZT48Y29udHJpYnV0b3JzPjxhdXRob3JzPjxhdXRob3I+UGFycnksIEsuPC9hdXRo
b3I+PGF1dGhvcj5WaXNzZXIsIEUuPC9hdXRob3I+PGF1dGhvcj52YW4gUm9zc3VtLCBQLiBTLjwv
YXV0aG9yPjxhdXRob3I+TW9oYW1tYWQsIE4uIEguPC9hdXRob3I+PGF1dGhvcj5SdXVyZGEsIEou
IFAuPC9hdXRob3I+PGF1dGhvcj52YW4gSGlsbGVnZXJzYmVyZywgUi48L2F1dGhvcj48L2F1dGhv
cnM+PC9jb250cmlidXRvcnM+PGF1dGgtYWRkcmVzcz5EZXBhcnRtZW50IG9mIFN1cmdlcnksIFVu
aXZlcnNpdHkgTWVkaWNhbCBDZW50ZXIgVXRyZWNodCwgVXRyZWNodCwgVGhlIE5ldGhlcmxhbmRz
LiYjeEQ7RGVwYXJ0bWVudCBvZiBSYWRpb3RoZXJhcHksIFVuaXZlcnNpdHkgTWVkaWNhbCBDZW50
ZXIgVXRyZWNodCwgVXRyZWNodCwgVGhlIE5ldGhlcmxhbmRzLiYjeEQ7RGVwYXJ0bWVudCBvZiBN
ZWRpY2FsIE9uY29sb2d5LCBVbml2ZXJzaXR5IE1lZGljYWwgQ2VudGVyIFV0cmVjaHQsIFV0cmVj
aCwgVGhlIE5ldGhlcmxhbmRzLiYjeEQ7RGVwYXJ0bWVudCBvZiBTdXJnZXJ5LCBVbml2ZXJzaXR5
IE1lZGljYWwgQ2VudGVyIFV0cmVjaHQsIFV0cmVjaHQsIFRoZSBOZXRoZXJsYW5kcy4gci52YW5I
aWxsZWdlcnNiZXJnQHVtY3V0cmVjaHQubmwuPC9hdXRoLWFkZHJlc3M+PHRpdGxlcz48dGl0bGU+
UHJvZ25vc2lzIGFuZCBUcmVhdG1lbnQgQWZ0ZXIgRGlhZ25vc2lzIG9mIFJlY3VycmVudCBFc29w
aGFnZWFsIENhcmNpbm9tYSBGb2xsb3dpbmcgRXNvcGhhZ2VjdG9teSB3aXRoIEN1cmF0aXZlIElu
dGVudDwvdGl0bGU+PHNlY29uZGFyeS10aXRsZT5Bbm4gU3VyZyBPbmNvbDwvc2Vjb25kYXJ5LXRp
dGxlPjwvdGl0bGVzPjxwZXJpb2RpY2FsPjxmdWxsLXRpdGxlPkFubiBTdXJnIE9uY29sPC9mdWxs
LXRpdGxlPjwvcGVyaW9kaWNhbD48cGFnZXM+UzEyOTItMzAwPC9wYWdlcz48dm9sdW1lPjIyIFN1
cHBsIDM8L3ZvbHVtZT48ZWRpdGlvbj4yMDE1LzA5LzA0PC9lZGl0aW9uPjxrZXl3b3Jkcz48a2V5
d29yZD5BZGVub2NhcmNpbm9tYS9wYXRob2xvZ3kvKnN1cmdlcnk8L2tleXdvcmQ+PGtleXdvcmQ+
Q2FyY2lub21hLCBTcXVhbW91cyBDZWxsL3BhdGhvbG9neS8qc3VyZ2VyeTwva2V5d29yZD48a2V5
d29yZD5Db21iaW5lZCBNb2RhbGl0eSBUaGVyYXB5PC9rZXl3b3JkPjxrZXl3b3JkPkVzb3BoYWdl
YWwgTmVvcGxhc21zL3BhdGhvbG9neS8qc3VyZ2VyeTwva2V5d29yZD48a2V5d29yZD4qRXNvcGhh
Z2VjdG9teTwva2V5d29yZD48a2V5d29yZD5GZW1hbGU8L2tleXdvcmQ+PGtleXdvcmQ+Rm9sbG93
LVVwIFN0dWRpZXM8L2tleXdvcmQ+PGtleXdvcmQ+SHVtYW5zPC9rZXl3b3JkPjxrZXl3b3JkPk1h
bGU8L2tleXdvcmQ+PGtleXdvcmQ+TWlkZGxlIEFnZWQ8L2tleXdvcmQ+PGtleXdvcmQ+TmVvcGxh
c20gUmVjdXJyZW5jZSwgTG9jYWwvZXRpb2xvZ3kvcGF0aG9sb2d5Lyp0aGVyYXB5PC9rZXl3b3Jk
PjxrZXl3b3JkPk5lb3BsYXNtIFN0YWdpbmc8L2tleXdvcmQ+PGtleXdvcmQ+UHJvZ25vc2lzPC9r
ZXl3b3JkPjxrZXl3b3JkPlByb3NwZWN0aXZlIFN0dWRpZXM8L2tleXdvcmQ+PGtleXdvcmQ+U3Vy
dml2YWwgUmF0ZTwva2V5d29yZD48L2tleXdvcmRzPjxkYXRlcz48eWVhcj4yMDE1PC95ZWFyPjxw
dWItZGF0ZXM+PGRhdGU+RGVjPC9kYXRlPjwvcHViLWRhdGVzPjwvZGF0ZXM+PGlzYm4+MTUzNC00
NjgxIChFbGVjdHJvbmljKSYjeEQ7MTA2OC05MjY1IChMaW5raW5nKTwvaXNibj48YWNjZXNzaW9u
LW51bT4yNjMzNDI5NTwvYWNjZXNzaW9uLW51bT48dXJscz48cmVsYXRlZC11cmxzPjx1cmw+aHR0
cHM6Ly93d3cubmNiaS5ubG0ubmloLmdvdi9wdWJtZWQvMjYzMzQyOTU8L3VybD48L3JlbGF0ZWQt
dXJscz48L3VybHM+PGN1c3RvbTI+UE1DNDY4NjU2OTwvY3VzdG9tMj48ZWxlY3Ryb25pYy1yZXNv
dXJjZS1udW0+MTAuMTI0NS9zMTA0MzQtMDE1LTQ4NDAtNTwvZWxlY3Ryb25pYy1yZXNvdXJjZS1u
dW0+PC9yZWNvcmQ+PC9DaXRlPjwvRW5kTm90ZT5=
</w:fldData>
        </w:fldChar>
      </w:r>
      <w:r w:rsidR="002F5B72" w:rsidRPr="00774B2C">
        <w:rPr>
          <w:szCs w:val="24"/>
        </w:rPr>
        <w:instrText xml:space="preserve"> ADDIN EN.CITE </w:instrText>
      </w:r>
      <w:r w:rsidR="002F5B72" w:rsidRPr="00774B2C">
        <w:rPr>
          <w:szCs w:val="24"/>
        </w:rPr>
        <w:fldChar w:fldCharType="begin">
          <w:fldData xml:space="preserve">PEVuZE5vdGU+PENpdGU+PEF1dGhvcj5SdWJlbnN0ZWluPC9BdXRob3I+PFllYXI+MjAxNTwvWWVh
cj48UmVjTnVtPjM4NzM8L1JlY051bT48RGlzcGxheVRleHQ+PHN0eWxlIGZhY2U9InN1cGVyc2Ny
aXB0Ij5bNSwgNl08L3N0eWxlPjwvRGlzcGxheVRleHQ+PHJlY29yZD48cmVjLW51bWJlcj4zODcz
PC9yZWMtbnVtYmVyPjxmb3JlaWduLWtleXM+PGtleSBhcHA9IkVOIiBkYi1pZD0iYWVheDlmcnIz
c2E5cmNlMnJwYTVzZXpkdGQycHYwMHcyOXowIiB0aW1lc3RhbXA9IjE1Nzc4OTM3ODQiPjM4NzM8
L2tleT48L2ZvcmVpZ24ta2V5cz48cmVmLXR5cGUgbmFtZT0iSm91cm5hbCBBcnRpY2xlIj4xNzwv
cmVmLXR5cGU+PGNvbnRyaWJ1dG9ycz48YXV0aG9ycz48YXV0aG9yPlJ1YmVuc3RlaW4sIEouIEgu
PC9hdXRob3I+PGF1dGhvcj5TaGFoZWVuLCBOLiBKLjwvYXV0aG9yPjwvYXV0aG9ycz48L2NvbnRy
aWJ1dG9ycz48YXV0aC1hZGRyZXNzPlZldGVyYW5zIEFmZmFpcnMgQ2VudGVyIGZvciBDbGluaWNh
bCBNYW5hZ2VtZW50IFJlc2VhcmNoLCBBbm4gQXJib3IsIE1pY2hpZ2FuOyBCYXJyZXR0JmFwb3M7
cyBFc29waGFndXMgUHJvZ3JhbSwgRGl2aXNpb24gb2YgR2FzdHJvZW50ZXJvbG9neSwgRGVwYXJ0
bWVudCBvZiBNZWRpY2luZSwgVW5pdmVyc2l0eSBvZiBNaWNoaWdhbiwgQW5uIEFyYm9yLCBNaWNo
aWdhbi4gRWxlY3Ryb25pYyBhZGRyZXNzOiBqaHJAdW1pY2guZWR1LiYjeEQ7Q2VudGVyIGZvciBF
c29waGFnZWFsIERpc2Vhc2VzIGFuZCBTd2FsbG93aW5nLCBEaXZpc2lvbiBvZiBHYXN0cm9lbnRl
cm9sb2d5IGFuZCBIZXBhdG9sb2d5LCBEZXBhcnRtZW50IG9mIE1lZGljaW5lLCBVbml2ZXJzaXR5
IG9mIE5vcnRoIENhcm9saW5hLCBDaGFwZWwgSGlsbCwgTm9ydGggQ2Fyb2xpbmEuPC9hdXRoLWFk
ZHJlc3M+PHRpdGxlcz48dGl0bGU+RXBpZGVtaW9sb2d5LCBEaWFnbm9zaXMsIGFuZCBNYW5hZ2Vt
ZW50IG9mIEVzb3BoYWdlYWwgQWRlbm9jYXJjaW5vbWE8L3RpdGxlPjxzZWNvbmRhcnktdGl0bGU+
R2FzdHJvZW50ZXJvbG9neTwvc2Vjb25kYXJ5LXRpdGxlPjwvdGl0bGVzPjxwZXJpb2RpY2FsPjxm
dWxsLXRpdGxlPkdhc3Ryb2VudGVyb2xvZ3k8L2Z1bGwtdGl0bGU+PC9wZXJpb2RpY2FsPjxwYWdl
cz4zMDItMTcgZTE8L3BhZ2VzPjx2b2x1bWU+MTQ5PC92b2x1bWU+PG51bWJlcj4yPC9udW1iZXI+
PGVkaXRpb24+MjAxNS8wNS8xMTwvZWRpdGlvbj48a2V5d29yZHM+PGtleXdvcmQ+QWRlbm9jYXJj
aW5vbWEvKmRpYWdub3Npcy8qZXBpZGVtaW9sb2d5L3N1cmdlcnkvKnRoZXJhcHk8L2tleXdvcmQ+
PGtleXdvcmQ+KkRpc2Vhc2UgTWFuYWdlbWVudDwva2V5d29yZD48a2V5d29yZD5FbmRvc29ub2dy
YXBoeS8qbWV0aG9kczwva2V5d29yZD48a2V5d29yZD5Fc29waGFnZWFsIE5lb3BsYXNtcy8qZGlh
Z25vc2lzLyplcGlkZW1pb2xvZ3kvc3VyZ2VyeS8qdGhlcmFweTwva2V5d29yZD48a2V5d29yZD5F
c29waGFnb3Njb3B5LyptZXRob2RzPC9rZXl3b3JkPjxrZXl3b3JkPkh1bWFuczwva2V5d29yZD48
a2V5d29yZD5JbmNpZGVuY2U8L2tleXdvcmQ+PGtleXdvcmQ+UHJvZ25vc2lzPC9rZXl3b3JkPjxr
ZXl3b3JkPlJpc2sgRmFjdG9yczwva2V5d29yZD48a2V5d29yZD5BZGVub2NhcmNpbm9tYTwva2V5
d29yZD48a2V5d29yZD5FbmRvc2NvcGljIFRoZXJhcHk8L2tleXdvcmQ+PGtleXdvcmQ+RXNvcGhh
Z2VhbCBOZW9wbGFzbXM8L2tleXdvcmQ+PC9rZXl3b3Jkcz48ZGF0ZXM+PHllYXI+MjAxNTwveWVh
cj48cHViLWRhdGVzPjxkYXRlPkF1ZzwvZGF0ZT48L3B1Yi1kYXRlcz48L2RhdGVzPjxpc2JuPjE1
MjgtMDAxMiAoRWxlY3Ryb25pYykmI3hEOzAwMTYtNTA4NSAoTGlua2luZyk8L2lzYm4+PGFjY2Vz
c2lvbi1udW0+MjU5NTc4NjE8L2FjY2Vzc2lvbi1udW0+PHVybHM+PHJlbGF0ZWQtdXJscz48dXJs
Pmh0dHBzOi8vd3d3Lm5jYmkubmxtLm5paC5nb3YvcHVibWVkLzI1OTU3ODYxPC91cmw+PC9yZWxh
dGVkLXVybHM+PC91cmxzPjxjdXN0b20yPlBNQzQ1MTY2Mzg8L2N1c3RvbTI+PGVsZWN0cm9uaWMt
cmVzb3VyY2UtbnVtPjEwLjEwNTMvai5nYXN0cm8uMjAxNS4wNC4wNTM8L2VsZWN0cm9uaWMtcmVz
b3VyY2UtbnVtPjwvcmVjb3JkPjwvQ2l0ZT48Q2l0ZT48QXV0aG9yPlBhcnJ5PC9BdXRob3I+PFll
YXI+MjAxNTwvWWVhcj48UmVjTnVtPjM4NzQ8L1JlY051bT48cmVjb3JkPjxyZWMtbnVtYmVyPjM4
NzQ8L3JlYy1udW1iZXI+PGZvcmVpZ24ta2V5cz48a2V5IGFwcD0iRU4iIGRiLWlkPSJhZWF4OWZy
cjNzYTlyY2UycnBhNXNlemR0ZDJwdjAwdzI5ejAiIHRpbWVzdGFtcD0iMTU3Nzg5MzgyMCI+Mzg3
NDwva2V5PjwvZm9yZWlnbi1rZXlzPjxyZWYtdHlwZSBuYW1lPSJKb3VybmFsIEFydGljbGUiPjE3
PC9yZWYtdHlwZT48Y29udHJpYnV0b3JzPjxhdXRob3JzPjxhdXRob3I+UGFycnksIEsuPC9hdXRo
b3I+PGF1dGhvcj5WaXNzZXIsIEUuPC9hdXRob3I+PGF1dGhvcj52YW4gUm9zc3VtLCBQLiBTLjwv
YXV0aG9yPjxhdXRob3I+TW9oYW1tYWQsIE4uIEguPC9hdXRob3I+PGF1dGhvcj5SdXVyZGEsIEou
IFAuPC9hdXRob3I+PGF1dGhvcj52YW4gSGlsbGVnZXJzYmVyZywgUi48L2F1dGhvcj48L2F1dGhv
cnM+PC9jb250cmlidXRvcnM+PGF1dGgtYWRkcmVzcz5EZXBhcnRtZW50IG9mIFN1cmdlcnksIFVu
aXZlcnNpdHkgTWVkaWNhbCBDZW50ZXIgVXRyZWNodCwgVXRyZWNodCwgVGhlIE5ldGhlcmxhbmRz
LiYjeEQ7RGVwYXJ0bWVudCBvZiBSYWRpb3RoZXJhcHksIFVuaXZlcnNpdHkgTWVkaWNhbCBDZW50
ZXIgVXRyZWNodCwgVXRyZWNodCwgVGhlIE5ldGhlcmxhbmRzLiYjeEQ7RGVwYXJ0bWVudCBvZiBN
ZWRpY2FsIE9uY29sb2d5LCBVbml2ZXJzaXR5IE1lZGljYWwgQ2VudGVyIFV0cmVjaHQsIFV0cmVj
aCwgVGhlIE5ldGhlcmxhbmRzLiYjeEQ7RGVwYXJ0bWVudCBvZiBTdXJnZXJ5LCBVbml2ZXJzaXR5
IE1lZGljYWwgQ2VudGVyIFV0cmVjaHQsIFV0cmVjaHQsIFRoZSBOZXRoZXJsYW5kcy4gci52YW5I
aWxsZWdlcnNiZXJnQHVtY3V0cmVjaHQubmwuPC9hdXRoLWFkZHJlc3M+PHRpdGxlcz48dGl0bGU+
UHJvZ25vc2lzIGFuZCBUcmVhdG1lbnQgQWZ0ZXIgRGlhZ25vc2lzIG9mIFJlY3VycmVudCBFc29w
aGFnZWFsIENhcmNpbm9tYSBGb2xsb3dpbmcgRXNvcGhhZ2VjdG9teSB3aXRoIEN1cmF0aXZlIElu
dGVudDwvdGl0bGU+PHNlY29uZGFyeS10aXRsZT5Bbm4gU3VyZyBPbmNvbDwvc2Vjb25kYXJ5LXRp
dGxlPjwvdGl0bGVzPjxwZXJpb2RpY2FsPjxmdWxsLXRpdGxlPkFubiBTdXJnIE9uY29sPC9mdWxs
LXRpdGxlPjwvcGVyaW9kaWNhbD48cGFnZXM+UzEyOTItMzAwPC9wYWdlcz48dm9sdW1lPjIyIFN1
cHBsIDM8L3ZvbHVtZT48ZWRpdGlvbj4yMDE1LzA5LzA0PC9lZGl0aW9uPjxrZXl3b3Jkcz48a2V5
d29yZD5BZGVub2NhcmNpbm9tYS9wYXRob2xvZ3kvKnN1cmdlcnk8L2tleXdvcmQ+PGtleXdvcmQ+
Q2FyY2lub21hLCBTcXVhbW91cyBDZWxsL3BhdGhvbG9neS8qc3VyZ2VyeTwva2V5d29yZD48a2V5
d29yZD5Db21iaW5lZCBNb2RhbGl0eSBUaGVyYXB5PC9rZXl3b3JkPjxrZXl3b3JkPkVzb3BoYWdl
YWwgTmVvcGxhc21zL3BhdGhvbG9neS8qc3VyZ2VyeTwva2V5d29yZD48a2V5d29yZD4qRXNvcGhh
Z2VjdG9teTwva2V5d29yZD48a2V5d29yZD5GZW1hbGU8L2tleXdvcmQ+PGtleXdvcmQ+Rm9sbG93
LVVwIFN0dWRpZXM8L2tleXdvcmQ+PGtleXdvcmQ+SHVtYW5zPC9rZXl3b3JkPjxrZXl3b3JkPk1h
bGU8L2tleXdvcmQ+PGtleXdvcmQ+TWlkZGxlIEFnZWQ8L2tleXdvcmQ+PGtleXdvcmQ+TmVvcGxh
c20gUmVjdXJyZW5jZSwgTG9jYWwvZXRpb2xvZ3kvcGF0aG9sb2d5Lyp0aGVyYXB5PC9rZXl3b3Jk
PjxrZXl3b3JkPk5lb3BsYXNtIFN0YWdpbmc8L2tleXdvcmQ+PGtleXdvcmQ+UHJvZ25vc2lzPC9r
ZXl3b3JkPjxrZXl3b3JkPlByb3NwZWN0aXZlIFN0dWRpZXM8L2tleXdvcmQ+PGtleXdvcmQ+U3Vy
dml2YWwgUmF0ZTwva2V5d29yZD48L2tleXdvcmRzPjxkYXRlcz48eWVhcj4yMDE1PC95ZWFyPjxw
dWItZGF0ZXM+PGRhdGU+RGVjPC9kYXRlPjwvcHViLWRhdGVzPjwvZGF0ZXM+PGlzYm4+MTUzNC00
NjgxIChFbGVjdHJvbmljKSYjeEQ7MTA2OC05MjY1IChMaW5raW5nKTwvaXNibj48YWNjZXNzaW9u
LW51bT4yNjMzNDI5NTwvYWNjZXNzaW9uLW51bT48dXJscz48cmVsYXRlZC11cmxzPjx1cmw+aHR0
cHM6Ly93d3cubmNiaS5ubG0ubmloLmdvdi9wdWJtZWQvMjYzMzQyOTU8L3VybD48L3JlbGF0ZWQt
dXJscz48L3VybHM+PGN1c3RvbTI+UE1DNDY4NjU2OTwvY3VzdG9tMj48ZWxlY3Ryb25pYy1yZXNv
dXJjZS1udW0+MTAuMTI0NS9zMTA0MzQtMDE1LTQ4NDAtNTwvZWxlY3Ryb25pYy1yZXNvdXJjZS1u
dW0+PC9yZWNvcmQ+PC9DaXRlPjwvRW5kTm90ZT5=
</w:fldData>
        </w:fldChar>
      </w:r>
      <w:r w:rsidR="002F5B72" w:rsidRPr="00774B2C">
        <w:rPr>
          <w:szCs w:val="24"/>
        </w:rPr>
        <w:instrText xml:space="preserve"> ADDIN EN.CITE.DATA </w:instrText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end"/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separate"/>
      </w:r>
      <w:r w:rsidR="002F5B72" w:rsidRPr="00774B2C">
        <w:rPr>
          <w:noProof/>
          <w:szCs w:val="24"/>
          <w:vertAlign w:val="superscript"/>
        </w:rPr>
        <w:t>[5,6]</w:t>
      </w:r>
      <w:r w:rsidR="002F5B72" w:rsidRPr="00774B2C">
        <w:rPr>
          <w:szCs w:val="24"/>
        </w:rPr>
        <w:fldChar w:fldCharType="end"/>
      </w:r>
      <w:r w:rsidRPr="00774B2C">
        <w:rPr>
          <w:szCs w:val="24"/>
        </w:rPr>
        <w:t>. If the recurrence of esophageal carcinoma can be predicted by detecting relevant ind</w:t>
      </w:r>
      <w:r w:rsidR="00633FF6">
        <w:rPr>
          <w:szCs w:val="24"/>
        </w:rPr>
        <w:t>ic</w:t>
      </w:r>
      <w:r w:rsidRPr="00774B2C">
        <w:rPr>
          <w:szCs w:val="24"/>
        </w:rPr>
        <w:t xml:space="preserve">es </w:t>
      </w:r>
      <w:r w:rsidR="00633FF6">
        <w:rPr>
          <w:szCs w:val="24"/>
        </w:rPr>
        <w:t>in</w:t>
      </w:r>
      <w:r w:rsidRPr="00774B2C">
        <w:rPr>
          <w:szCs w:val="24"/>
        </w:rPr>
        <w:t xml:space="preserve"> patients, </w:t>
      </w:r>
      <w:r w:rsidR="00633FF6">
        <w:rPr>
          <w:szCs w:val="24"/>
        </w:rPr>
        <w:t>th</w:t>
      </w:r>
      <w:r w:rsidRPr="00774B2C">
        <w:rPr>
          <w:szCs w:val="24"/>
        </w:rPr>
        <w:t xml:space="preserve">is </w:t>
      </w:r>
      <w:r w:rsidR="00633FF6">
        <w:rPr>
          <w:szCs w:val="24"/>
        </w:rPr>
        <w:t>could</w:t>
      </w:r>
      <w:r w:rsidRPr="00774B2C">
        <w:rPr>
          <w:szCs w:val="24"/>
        </w:rPr>
        <w:t xml:space="preserve"> further prevent metastasis during </w:t>
      </w:r>
      <w:proofErr w:type="gramStart"/>
      <w:r w:rsidRPr="00774B2C">
        <w:rPr>
          <w:szCs w:val="24"/>
        </w:rPr>
        <w:t>treatment</w:t>
      </w:r>
      <w:proofErr w:type="gramEnd"/>
      <w:r w:rsidR="002F5B72" w:rsidRPr="00774B2C">
        <w:rPr>
          <w:szCs w:val="24"/>
          <w:vertAlign w:val="superscript"/>
        </w:rPr>
        <w:fldChar w:fldCharType="begin">
          <w:fldData xml:space="preserve">PEVuZE5vdGU+PENpdGU+PEF1dGhvcj5TdW48L0F1dGhvcj48WWVhcj4yMDE2PC9ZZWFyPjxSZWNO
dW0+Mzg3NTwvUmVjTnVtPjxEaXNwbGF5VGV4dD48c3R5bGUgZmFjZT0ic3VwZXJzY3JpcHQiPls3
XTwvc3R5bGU+PC9EaXNwbGF5VGV4dD48cmVjb3JkPjxyZWMtbnVtYmVyPjM4NzU8L3JlYy1udW1i
ZXI+PGZvcmVpZ24ta2V5cz48a2V5IGFwcD0iRU4iIGRiLWlkPSJhZWF4OWZycjNzYTlyY2UycnBh
NXNlemR0ZDJwdjAwdzI5ejAiIHRpbWVzdGFtcD0iMTU3Nzg5Mzg2NyI+Mzg3NTwva2V5PjwvZm9y
ZWlnbi1rZXlzPjxyZWYtdHlwZSBuYW1lPSJKb3VybmFsIEFydGljbGUiPjE3PC9yZWYtdHlwZT48
Y29udHJpYnV0b3JzPjxhdXRob3JzPjxhdXRob3I+U3VuLCBaLjwvYXV0aG9yPjxhdXRob3I+TGl1
LCBYLjwvYXV0aG9yPjxhdXRob3I+U29uZywgSi4gSC48L2F1dGhvcj48YXV0aG9yPkNoZW5nLCBZ
LjwvYXV0aG9yPjxhdXRob3I+TGl1LCBZLjwvYXV0aG9yPjxhdXRob3I+SmlhLCBZLjwvYXV0aG9y
PjxhdXRob3I+TWVsdHplciwgUy4gSi48L2F1dGhvcj48YXV0aG9yPldhbmcsIFouPC9hdXRob3I+
PC9hdXRob3JzPjwvY29udHJpYnV0b3JzPjxhdXRoLWFkZHJlc3M+RGVwYXJ0bWVudCBvZiBUaG9y
YWNpYyBTdXJnZXJ5LCBQcm92aW5jaWFsIEhvc3BpdGFsIEFmZmlsaWF0ZWQgdG8gU2hhbmRvbmcg
VW5pdmVyc2l0eSwgMzI0IEppbmd3dSBSb2FkLCBKaW5hbiwgMjUwMDIxLCBTaGFuZG9uZywgQ2hp
bmEuJiN4RDtEaXZpc2lvbiBvZiBHYXN0cm9lbnRlcm9sb2d5LCBEZXBhcnRtZW50IG9mIE1lZGlj
aW5lIGFuZCBPbmNvbG9neSBhbmQgU2lkbmV5IEtpbW1lbCBDb21wcmVoZW5zaXZlIENhbmNlciBD
ZW50cmUsIFRoZSBKb2hucyBIb3BraW5zIFVuaXZlcnNpdHkgU2Nob29sIG9mIE1lZGljaW5lLCAx
NTAzIEVhc3QgSmVmZmVyc29uIFN0cmVldCwgUm9vbSAxMTIsIEJhbHRpbW9yZSwgTUQsIDIxMjg3
LCBVU0EuJiN4RDtEZXBhcnRtZW50IG9mIFBhdGhvbG9neSwgUHJvdmluY2lhbCBIb3NwaXRhbCBB
ZmZpbGlhdGVkIHRvIFNoYW5kb25nIFVuaXZlcnNpdHksIDMyNCBKaW5nd3UgUm9hZCwgSmluYW4s
IDI1MDAyMSwgU2hhbmRvbmcsIENoaW5hLiYjeEQ7RGl2aXNpb24gb2YgR2FzdHJvZW50ZXJvbG9n
eSwgRGVwYXJ0bWVudCBvZiBNZWRpY2luZSBhbmQgT25jb2xvZ3kgYW5kIFNpZG5leSBLaW1tZWwg
Q29tcHJlaGVuc2l2ZSBDYW5jZXIgQ2VudHJlLCBUaGUgSm9obnMgSG9wa2lucyBVbml2ZXJzaXR5
IFNjaG9vbCBvZiBNZWRpY2luZSwgMTUwMyBFYXN0IEplZmZlcnNvbiBTdHJlZXQsIFJvb20gMTEy
LCBCYWx0aW1vcmUsIE1ELCAyMTI4NywgVVNBLiBzbWVsdHplckBqaG1pLmVkdS4mI3hEO0RlcGFy
dG1lbnQgb2YgVGhvcmFjaWMgU3VyZ2VyeSwgUHJvdmluY2lhbCBIb3NwaXRhbCBBZmZpbGlhdGVk
IHRvIFNoYW5kb25nIFVuaXZlcnNpdHksIDMyNCBKaW5nd3UgUm9hZCwgSmluYW4sIDI1MDAyMSwg
U2hhbmRvbmcsIENoaW5hLiB3ejYyMDIyNkBob3RtYWlsLmNvbS48L2F1dGgtYWRkcmVzcz48dGl0
bGVzPjx0aXRsZT5UTkZBSVA4IG92ZXJleHByZXNzaW9uOiBhIHBvdGVudGlhbCBwcmVkaWN0b3Ig
b2YgbHltcGhhdGljIG1ldGFzdGF0aWMgcmVjdXJyZW5jZSBpbiBwTjAgZXNvcGhhZ2VhbCBzcXVh
bW91cyBjZWxsIGNhcmNpbm9tYSBhZnRlciBJdm9yIExld2lzIGVzb3BoYWdlY3RvbXk8L3RpdGxl
PjxzZWNvbmRhcnktdGl0bGU+VHVtb3VyIEJpb2w8L3NlY29uZGFyeS10aXRsZT48L3RpdGxlcz48
cGVyaW9kaWNhbD48ZnVsbC10aXRsZT5UdW1vdXIgQmlvbDwvZnVsbC10aXRsZT48L3BlcmlvZGlj
YWw+PHBhZ2VzPjEwOTIzLTM0PC9wYWdlcz48dm9sdW1lPjM3PC92b2x1bWU+PG51bWJlcj44PC9u
dW1iZXI+PGVkaXRpb24+MjAxNi8wMi8xODwvZWRpdGlvbj48a2V5d29yZHM+PGtleXdvcmQ+QWR1
bHQ8L2tleXdvcmQ+PGtleXdvcmQ+QWdlZDwva2V5d29yZD48a2V5d29yZD5BcG9wdG9zaXMgUmVn
dWxhdG9yeSBQcm90ZWlucy9hbmFseXNpcy8qYmlvc3ludGhlc2lzPC9rZXl3b3JkPjxrZXl3b3Jk
PkJpb21hcmtlcnMsIFR1bW9yLyphbmFseXNpczwva2V5d29yZD48a2V5d29yZD5CbG90dGluZywg
V2VzdGVybjwva2V5d29yZD48a2V5d29yZD5DYXJjaW5vbWEsIFNxdWFtb3VzIENlbGwvbWV0YWJv
bGlzbS8qcGF0aG9sb2d5PC9rZXl3b3JkPjxrZXl3b3JkPkVzb3BoYWdlYWwgTmVvcGxhc21zL21l
dGFib2xpc20vKnBhdGhvbG9neTwva2V5d29yZD48a2V5d29yZD5Fc29waGFnZWFsIFNxdWFtb3Vz
IENlbGwgQ2FyY2lub21hPC9rZXl3b3JkPjxrZXl3b3JkPkVzb3BoYWdlY3RvbXk8L2tleXdvcmQ+
PGtleXdvcmQ+RmVtYWxlPC9rZXl3b3JkPjxrZXl3b3JkPkdlbmUgS25vY2tkb3duIFRlY2huaXF1
ZXM8L2tleXdvcmQ+PGtleXdvcmQ+SHVtYW5zPC9rZXl3b3JkPjxrZXl3b3JkPkltbXVub2hpc3Rv
Y2hlbWlzdHJ5PC9rZXl3b3JkPjxrZXl3b3JkPkx5bXBoYXRpYyBNZXRhc3Rhc2lzLypwYXRob2xv
Z3k8L2tleXdvcmQ+PGtleXdvcmQ+TWFsZTwva2V5d29yZD48a2V5d29yZD5NaWRkbGUgQWdlZDwv
a2V5d29yZD48a2V5d29yZD5OZW9wbGFzbSBSZWN1cnJlbmNlLCBMb2NhbC9tZXRhYm9saXNtLypw
YXRob2xvZ3k8L2tleXdvcmQ+PGtleXdvcmQ+UG9seW1lcmFzZSBDaGFpbiBSZWFjdGlvbjwva2V5
d29yZD48a2V5d29yZD5Qcm9wb3J0aW9uYWwgSGF6YXJkcyBNb2RlbHM8L2tleXdvcmQ+PGtleXdv
cmQ+UmlzayBGYWN0b3JzPC9rZXl3b3JkPjxrZXl3b3JkPkVzY2M8L2tleXdvcmQ+PGtleXdvcmQ+
TWV0YXN0YXRpYyByZWN1cnJlbmNlPC9rZXl3b3JkPjxrZXl3b3JkPlJOQWk8L2tleXdvcmQ+PGtl
eXdvcmQ+VG5mYWlwODwva2V5d29yZD48a2V5d29yZD5UdW1vciBtZXRhc3Rhc2lzPC9rZXl3b3Jk
Pjwva2V5d29yZHM+PGRhdGVzPjx5ZWFyPjIwMTY8L3llYXI+PHB1Yi1kYXRlcz48ZGF0ZT5BdWc8
L2RhdGU+PC9wdWItZGF0ZXM+PC9kYXRlcz48aXNibj4xNDIzLTAzODAgKEVsZWN0cm9uaWMpJiN4
RDsxMDEwLTQyODMgKExpbmtpbmcpPC9pc2JuPjxhY2Nlc3Npb24tbnVtPjI2ODg2Mjg1PC9hY2Nl
c3Npb24tbnVtPjx1cmxzPjxyZWxhdGVkLXVybHM+PHVybD5odHRwczovL3d3dy5uY2JpLm5sbS5u
aWguZ292L3B1Ym1lZC8yNjg4NjI4NTwvdXJsPjwvcmVsYXRlZC11cmxzPjwvdXJscz48ZWxlY3Ry
b25pYy1yZXNvdXJjZS1udW0+MTAuMTAwNy9zMTMyNzctMDE2LTQ5NzgtMTwvZWxlY3Ryb25pYy1y
ZXNvdXJjZS1udW0+PC9yZWNvcmQ+PC9DaXRlPjwvRW5kTm90ZT4A
</w:fldData>
        </w:fldChar>
      </w:r>
      <w:r w:rsidR="002F5B72" w:rsidRPr="00774B2C">
        <w:rPr>
          <w:szCs w:val="24"/>
          <w:vertAlign w:val="superscript"/>
        </w:rPr>
        <w:instrText xml:space="preserve"> ADDIN EN.CITE </w:instrText>
      </w:r>
      <w:r w:rsidR="002F5B72" w:rsidRPr="00774B2C">
        <w:rPr>
          <w:szCs w:val="24"/>
          <w:vertAlign w:val="superscript"/>
        </w:rPr>
        <w:fldChar w:fldCharType="begin">
          <w:fldData xml:space="preserve">PEVuZE5vdGU+PENpdGU+PEF1dGhvcj5TdW48L0F1dGhvcj48WWVhcj4yMDE2PC9ZZWFyPjxSZWNO
dW0+Mzg3NTwvUmVjTnVtPjxEaXNwbGF5VGV4dD48c3R5bGUgZmFjZT0ic3VwZXJzY3JpcHQiPls3
XTwvc3R5bGU+PC9EaXNwbGF5VGV4dD48cmVjb3JkPjxyZWMtbnVtYmVyPjM4NzU8L3JlYy1udW1i
ZXI+PGZvcmVpZ24ta2V5cz48a2V5IGFwcD0iRU4iIGRiLWlkPSJhZWF4OWZycjNzYTlyY2UycnBh
NXNlemR0ZDJwdjAwdzI5ejAiIHRpbWVzdGFtcD0iMTU3Nzg5Mzg2NyI+Mzg3NTwva2V5PjwvZm9y
ZWlnbi1rZXlzPjxyZWYtdHlwZSBuYW1lPSJKb3VybmFsIEFydGljbGUiPjE3PC9yZWYtdHlwZT48
Y29udHJpYnV0b3JzPjxhdXRob3JzPjxhdXRob3I+U3VuLCBaLjwvYXV0aG9yPjxhdXRob3I+TGl1
LCBYLjwvYXV0aG9yPjxhdXRob3I+U29uZywgSi4gSC48L2F1dGhvcj48YXV0aG9yPkNoZW5nLCBZ
LjwvYXV0aG9yPjxhdXRob3I+TGl1LCBZLjwvYXV0aG9yPjxhdXRob3I+SmlhLCBZLjwvYXV0aG9y
PjxhdXRob3I+TWVsdHplciwgUy4gSi48L2F1dGhvcj48YXV0aG9yPldhbmcsIFouPC9hdXRob3I+
PC9hdXRob3JzPjwvY29udHJpYnV0b3JzPjxhdXRoLWFkZHJlc3M+RGVwYXJ0bWVudCBvZiBUaG9y
YWNpYyBTdXJnZXJ5LCBQcm92aW5jaWFsIEhvc3BpdGFsIEFmZmlsaWF0ZWQgdG8gU2hhbmRvbmcg
VW5pdmVyc2l0eSwgMzI0IEppbmd3dSBSb2FkLCBKaW5hbiwgMjUwMDIxLCBTaGFuZG9uZywgQ2hp
bmEuJiN4RDtEaXZpc2lvbiBvZiBHYXN0cm9lbnRlcm9sb2d5LCBEZXBhcnRtZW50IG9mIE1lZGlj
aW5lIGFuZCBPbmNvbG9neSBhbmQgU2lkbmV5IEtpbW1lbCBDb21wcmVoZW5zaXZlIENhbmNlciBD
ZW50cmUsIFRoZSBKb2hucyBIb3BraW5zIFVuaXZlcnNpdHkgU2Nob29sIG9mIE1lZGljaW5lLCAx
NTAzIEVhc3QgSmVmZmVyc29uIFN0cmVldCwgUm9vbSAxMTIsIEJhbHRpbW9yZSwgTUQsIDIxMjg3
LCBVU0EuJiN4RDtEZXBhcnRtZW50IG9mIFBhdGhvbG9neSwgUHJvdmluY2lhbCBIb3NwaXRhbCBB
ZmZpbGlhdGVkIHRvIFNoYW5kb25nIFVuaXZlcnNpdHksIDMyNCBKaW5nd3UgUm9hZCwgSmluYW4s
IDI1MDAyMSwgU2hhbmRvbmcsIENoaW5hLiYjeEQ7RGl2aXNpb24gb2YgR2FzdHJvZW50ZXJvbG9n
eSwgRGVwYXJ0bWVudCBvZiBNZWRpY2luZSBhbmQgT25jb2xvZ3kgYW5kIFNpZG5leSBLaW1tZWwg
Q29tcHJlaGVuc2l2ZSBDYW5jZXIgQ2VudHJlLCBUaGUgSm9obnMgSG9wa2lucyBVbml2ZXJzaXR5
IFNjaG9vbCBvZiBNZWRpY2luZSwgMTUwMyBFYXN0IEplZmZlcnNvbiBTdHJlZXQsIFJvb20gMTEy
LCBCYWx0aW1vcmUsIE1ELCAyMTI4NywgVVNBLiBzbWVsdHplckBqaG1pLmVkdS4mI3hEO0RlcGFy
dG1lbnQgb2YgVGhvcmFjaWMgU3VyZ2VyeSwgUHJvdmluY2lhbCBIb3NwaXRhbCBBZmZpbGlhdGVk
IHRvIFNoYW5kb25nIFVuaXZlcnNpdHksIDMyNCBKaW5nd3UgUm9hZCwgSmluYW4sIDI1MDAyMSwg
U2hhbmRvbmcsIENoaW5hLiB3ejYyMDIyNkBob3RtYWlsLmNvbS48L2F1dGgtYWRkcmVzcz48dGl0
bGVzPjx0aXRsZT5UTkZBSVA4IG92ZXJleHByZXNzaW9uOiBhIHBvdGVudGlhbCBwcmVkaWN0b3Ig
b2YgbHltcGhhdGljIG1ldGFzdGF0aWMgcmVjdXJyZW5jZSBpbiBwTjAgZXNvcGhhZ2VhbCBzcXVh
bW91cyBjZWxsIGNhcmNpbm9tYSBhZnRlciBJdm9yIExld2lzIGVzb3BoYWdlY3RvbXk8L3RpdGxl
PjxzZWNvbmRhcnktdGl0bGU+VHVtb3VyIEJpb2w8L3NlY29uZGFyeS10aXRsZT48L3RpdGxlcz48
cGVyaW9kaWNhbD48ZnVsbC10aXRsZT5UdW1vdXIgQmlvbDwvZnVsbC10aXRsZT48L3BlcmlvZGlj
YWw+PHBhZ2VzPjEwOTIzLTM0PC9wYWdlcz48dm9sdW1lPjM3PC92b2x1bWU+PG51bWJlcj44PC9u
dW1iZXI+PGVkaXRpb24+MjAxNi8wMi8xODwvZWRpdGlvbj48a2V5d29yZHM+PGtleXdvcmQ+QWR1
bHQ8L2tleXdvcmQ+PGtleXdvcmQ+QWdlZDwva2V5d29yZD48a2V5d29yZD5BcG9wdG9zaXMgUmVn
dWxhdG9yeSBQcm90ZWlucy9hbmFseXNpcy8qYmlvc3ludGhlc2lzPC9rZXl3b3JkPjxrZXl3b3Jk
PkJpb21hcmtlcnMsIFR1bW9yLyphbmFseXNpczwva2V5d29yZD48a2V5d29yZD5CbG90dGluZywg
V2VzdGVybjwva2V5d29yZD48a2V5d29yZD5DYXJjaW5vbWEsIFNxdWFtb3VzIENlbGwvbWV0YWJv
bGlzbS8qcGF0aG9sb2d5PC9rZXl3b3JkPjxrZXl3b3JkPkVzb3BoYWdlYWwgTmVvcGxhc21zL21l
dGFib2xpc20vKnBhdGhvbG9neTwva2V5d29yZD48a2V5d29yZD5Fc29waGFnZWFsIFNxdWFtb3Vz
IENlbGwgQ2FyY2lub21hPC9rZXl3b3JkPjxrZXl3b3JkPkVzb3BoYWdlY3RvbXk8L2tleXdvcmQ+
PGtleXdvcmQ+RmVtYWxlPC9rZXl3b3JkPjxrZXl3b3JkPkdlbmUgS25vY2tkb3duIFRlY2huaXF1
ZXM8L2tleXdvcmQ+PGtleXdvcmQ+SHVtYW5zPC9rZXl3b3JkPjxrZXl3b3JkPkltbXVub2hpc3Rv
Y2hlbWlzdHJ5PC9rZXl3b3JkPjxrZXl3b3JkPkx5bXBoYXRpYyBNZXRhc3Rhc2lzLypwYXRob2xv
Z3k8L2tleXdvcmQ+PGtleXdvcmQ+TWFsZTwva2V5d29yZD48a2V5d29yZD5NaWRkbGUgQWdlZDwv
a2V5d29yZD48a2V5d29yZD5OZW9wbGFzbSBSZWN1cnJlbmNlLCBMb2NhbC9tZXRhYm9saXNtLypw
YXRob2xvZ3k8L2tleXdvcmQ+PGtleXdvcmQ+UG9seW1lcmFzZSBDaGFpbiBSZWFjdGlvbjwva2V5
d29yZD48a2V5d29yZD5Qcm9wb3J0aW9uYWwgSGF6YXJkcyBNb2RlbHM8L2tleXdvcmQ+PGtleXdv
cmQ+UmlzayBGYWN0b3JzPC9rZXl3b3JkPjxrZXl3b3JkPkVzY2M8L2tleXdvcmQ+PGtleXdvcmQ+
TWV0YXN0YXRpYyByZWN1cnJlbmNlPC9rZXl3b3JkPjxrZXl3b3JkPlJOQWk8L2tleXdvcmQ+PGtl
eXdvcmQ+VG5mYWlwODwva2V5d29yZD48a2V5d29yZD5UdW1vciBtZXRhc3Rhc2lzPC9rZXl3b3Jk
Pjwva2V5d29yZHM+PGRhdGVzPjx5ZWFyPjIwMTY8L3llYXI+PHB1Yi1kYXRlcz48ZGF0ZT5BdWc8
L2RhdGU+PC9wdWItZGF0ZXM+PC9kYXRlcz48aXNibj4xNDIzLTAzODAgKEVsZWN0cm9uaWMpJiN4
RDsxMDEwLTQyODMgKExpbmtpbmcpPC9pc2JuPjxhY2Nlc3Npb24tbnVtPjI2ODg2Mjg1PC9hY2Nl
c3Npb24tbnVtPjx1cmxzPjxyZWxhdGVkLXVybHM+PHVybD5odHRwczovL3d3dy5uY2JpLm5sbS5u
aWguZ292L3B1Ym1lZC8yNjg4NjI4NTwvdXJsPjwvcmVsYXRlZC11cmxzPjwvdXJscz48ZWxlY3Ry
b25pYy1yZXNvdXJjZS1udW0+MTAuMTAwNy9zMTMyNzctMDE2LTQ5NzgtMTwvZWxlY3Ryb25pYy1y
ZXNvdXJjZS1udW0+PC9yZWNvcmQ+PC9DaXRlPjwvRW5kTm90ZT4A
</w:fldData>
        </w:fldChar>
      </w:r>
      <w:r w:rsidR="002F5B72" w:rsidRPr="00774B2C">
        <w:rPr>
          <w:szCs w:val="24"/>
          <w:vertAlign w:val="superscript"/>
        </w:rPr>
        <w:instrText xml:space="preserve"> ADDIN EN.CITE.DATA </w:instrText>
      </w:r>
      <w:r w:rsidR="002F5B72" w:rsidRPr="00774B2C">
        <w:rPr>
          <w:szCs w:val="24"/>
          <w:vertAlign w:val="superscript"/>
        </w:rPr>
      </w:r>
      <w:r w:rsidR="002F5B72" w:rsidRPr="00774B2C">
        <w:rPr>
          <w:szCs w:val="24"/>
          <w:vertAlign w:val="superscript"/>
        </w:rPr>
        <w:fldChar w:fldCharType="end"/>
      </w:r>
      <w:r w:rsidR="002F5B72" w:rsidRPr="00774B2C">
        <w:rPr>
          <w:szCs w:val="24"/>
          <w:vertAlign w:val="superscript"/>
        </w:rPr>
      </w:r>
      <w:r w:rsidR="002F5B72" w:rsidRPr="00774B2C">
        <w:rPr>
          <w:szCs w:val="24"/>
          <w:vertAlign w:val="superscript"/>
        </w:rPr>
        <w:fldChar w:fldCharType="separate"/>
      </w:r>
      <w:r w:rsidR="002F5B72" w:rsidRPr="00774B2C">
        <w:rPr>
          <w:noProof/>
          <w:szCs w:val="24"/>
          <w:vertAlign w:val="superscript"/>
        </w:rPr>
        <w:t>[7]</w:t>
      </w:r>
      <w:r w:rsidR="002F5B72" w:rsidRPr="00774B2C">
        <w:rPr>
          <w:szCs w:val="24"/>
          <w:vertAlign w:val="superscript"/>
        </w:rPr>
        <w:fldChar w:fldCharType="end"/>
      </w:r>
      <w:r w:rsidRPr="00774B2C">
        <w:rPr>
          <w:szCs w:val="24"/>
        </w:rPr>
        <w:t>. However, there are few clinical ind</w:t>
      </w:r>
      <w:r w:rsidR="00633FF6">
        <w:rPr>
          <w:szCs w:val="24"/>
        </w:rPr>
        <w:t>ic</w:t>
      </w:r>
      <w:r w:rsidRPr="00774B2C">
        <w:rPr>
          <w:szCs w:val="24"/>
        </w:rPr>
        <w:t xml:space="preserve">es for </w:t>
      </w:r>
      <w:r w:rsidR="00633FF6">
        <w:rPr>
          <w:szCs w:val="24"/>
        </w:rPr>
        <w:t xml:space="preserve">the </w:t>
      </w:r>
      <w:r w:rsidRPr="00774B2C">
        <w:rPr>
          <w:szCs w:val="24"/>
        </w:rPr>
        <w:t>detection of esophageal carcinoma</w:t>
      </w:r>
      <w:r w:rsidR="00633FF6">
        <w:rPr>
          <w:szCs w:val="24"/>
        </w:rPr>
        <w:t>; therefore</w:t>
      </w:r>
      <w:r w:rsidRPr="00774B2C">
        <w:rPr>
          <w:szCs w:val="24"/>
        </w:rPr>
        <w:t>, it is particularly important and urgent to find a potential biomarker.</w:t>
      </w:r>
    </w:p>
    <w:p w14:paraId="0D103D44" w14:textId="71D65BAD" w:rsidR="00483403" w:rsidRPr="00774B2C" w:rsidRDefault="00483403" w:rsidP="00774B2C">
      <w:pPr>
        <w:widowControl/>
        <w:adjustRightInd w:val="0"/>
        <w:snapToGrid w:val="0"/>
        <w:ind w:firstLineChars="100" w:firstLine="240"/>
        <w:rPr>
          <w:rFonts w:cs="Times New Roman"/>
          <w:szCs w:val="24"/>
        </w:rPr>
      </w:pPr>
      <w:r w:rsidRPr="00774B2C">
        <w:rPr>
          <w:szCs w:val="24"/>
        </w:rPr>
        <w:t>Non-coding RNA is a transcript substance without any encoded protein</w:t>
      </w:r>
      <w:r w:rsidR="002F5B72" w:rsidRPr="00774B2C">
        <w:rPr>
          <w:szCs w:val="24"/>
        </w:rPr>
        <w:fldChar w:fldCharType="begin"/>
      </w:r>
      <w:r w:rsidR="002F5B72" w:rsidRPr="00774B2C">
        <w:rPr>
          <w:szCs w:val="24"/>
        </w:rPr>
        <w:instrText xml:space="preserve"> ADDIN EN.CITE &lt;EndNote&gt;&lt;Cite&gt;&lt;Author&gt;Wang&lt;/Author&gt;&lt;Year&gt;2016&lt;/Year&gt;&lt;RecNum&gt;3876&lt;/RecNum&gt;&lt;DisplayText&gt;&lt;style face="superscript"&gt;[8]&lt;/style&gt;&lt;/DisplayText&gt;&lt;record&gt;&lt;rec-number&gt;3876&lt;/rec-number&gt;&lt;foreign-keys&gt;&lt;key app="EN" db-id="aeax9frr3sa9rce2rpa5sezdtd2pv00w29z0" timestamp="1577893956"&gt;3876&lt;/key&gt;&lt;/foreign-keys&gt;&lt;ref-type name="Journal Article"&gt;17&lt;/ref-type&gt;&lt;contributors&gt;&lt;authors&gt;&lt;author&gt;Wang, J.&lt;/author&gt;&lt;author&gt;Chen, J.&lt;/author&gt;&lt;author&gt;Sen, S.&lt;/author&gt;&lt;/authors&gt;&lt;/contributors&gt;&lt;auth-address&gt;Departments of Translational Molecular Pathology, The University of Texas MD Anderson Cancer Center, Houston, Texas.&amp;#xD;Departments of Epidemiology, The University of Texas MD Anderson Cancer Center, Houston, Texas.&amp;#xD;Program in Human and Molecular Genetics, The University of Texas Graduate school of Biomedical Sciences, Houston, Texas.&lt;/auth-address&gt;&lt;titles&gt;&lt;title&gt;MicroRNA as Biomarkers and Diagnostics&lt;/title&gt;&lt;secondary-title&gt;J Cell Physiol&lt;/secondary-title&gt;&lt;/titles&gt;&lt;periodical&gt;&lt;full-title&gt;J Cell Physiol&lt;/full-title&gt;&lt;/periodical&gt;&lt;pages&gt;25-30&lt;/pages&gt;&lt;volume&gt;231&lt;/volume&gt;&lt;number&gt;1&lt;/number&gt;&lt;edition&gt;2015/06/03&lt;/edition&gt;&lt;keywords&gt;&lt;keyword&gt;Animals&lt;/keyword&gt;&lt;keyword&gt;Autoimmune Diseases/diagnosis/genetics&lt;/keyword&gt;&lt;keyword&gt;Biomarkers, Tumor/*genetics&lt;/keyword&gt;&lt;keyword&gt;Cardiovascular Diseases/*diagnosis/genetics&lt;/keyword&gt;&lt;keyword&gt;Genetic Predisposition to Disease/*genetics&lt;/keyword&gt;&lt;keyword&gt;Humans&lt;/keyword&gt;&lt;keyword&gt;MicroRNAs/*genetics&lt;/keyword&gt;&lt;keyword&gt;Neoplasms/*diagnosis/genetics&lt;/keyword&gt;&lt;/keywords&gt;&lt;dates&gt;&lt;year&gt;2016&lt;/year&gt;&lt;pub-dates&gt;&lt;date&gt;Jan&lt;/date&gt;&lt;/pub-dates&gt;&lt;/dates&gt;&lt;isbn&gt;1097-4652 (Electronic)&amp;#xD;0021-9541 (Linking)&lt;/isbn&gt;&lt;accession-num&gt;26031493&lt;/accession-num&gt;&lt;urls&gt;&lt;related-urls&gt;&lt;url&gt;https://www.ncbi.nlm.nih.gov/pubmed/26031493&lt;/url&gt;&lt;/related-urls&gt;&lt;/urls&gt;&lt;electronic-resource-num&gt;10.1002/jcp.25056&lt;/electronic-resource-num&gt;&lt;/record&gt;&lt;/Cite&gt;&lt;/EndNote&gt;</w:instrText>
      </w:r>
      <w:r w:rsidR="002F5B72" w:rsidRPr="00774B2C">
        <w:rPr>
          <w:szCs w:val="24"/>
        </w:rPr>
        <w:fldChar w:fldCharType="separate"/>
      </w:r>
      <w:r w:rsidR="002F5B72" w:rsidRPr="00774B2C">
        <w:rPr>
          <w:noProof/>
          <w:szCs w:val="24"/>
          <w:vertAlign w:val="superscript"/>
        </w:rPr>
        <w:t>[8]</w:t>
      </w:r>
      <w:r w:rsidR="002F5B72" w:rsidRPr="00774B2C">
        <w:rPr>
          <w:szCs w:val="24"/>
        </w:rPr>
        <w:fldChar w:fldCharType="end"/>
      </w:r>
      <w:r w:rsidRPr="00774B2C">
        <w:rPr>
          <w:szCs w:val="24"/>
        </w:rPr>
        <w:t xml:space="preserve">. </w:t>
      </w:r>
      <w:r w:rsidR="00633FF6">
        <w:rPr>
          <w:szCs w:val="24"/>
        </w:rPr>
        <w:t>To date</w:t>
      </w:r>
      <w:r w:rsidRPr="00774B2C">
        <w:rPr>
          <w:szCs w:val="24"/>
        </w:rPr>
        <w:t xml:space="preserve">, several types of non-coding RNA have been identified by RNA sequencing and bioinformatics methods, </w:t>
      </w:r>
      <w:r w:rsidR="00633FF6">
        <w:rPr>
          <w:szCs w:val="24"/>
        </w:rPr>
        <w:t>of</w:t>
      </w:r>
      <w:r w:rsidRPr="00774B2C">
        <w:rPr>
          <w:szCs w:val="24"/>
        </w:rPr>
        <w:t xml:space="preserve"> which long-chain non-coding RNA and short-chain non-coding RNA (</w:t>
      </w:r>
      <w:proofErr w:type="spellStart"/>
      <w:r w:rsidRPr="00774B2C">
        <w:rPr>
          <w:szCs w:val="24"/>
        </w:rPr>
        <w:t>miR</w:t>
      </w:r>
      <w:proofErr w:type="spellEnd"/>
      <w:r w:rsidRPr="00774B2C">
        <w:rPr>
          <w:szCs w:val="24"/>
        </w:rPr>
        <w:t xml:space="preserve">) have attracted much attention in various </w:t>
      </w:r>
      <w:proofErr w:type="gramStart"/>
      <w:r w:rsidRPr="00774B2C">
        <w:rPr>
          <w:szCs w:val="24"/>
        </w:rPr>
        <w:t>fields</w:t>
      </w:r>
      <w:proofErr w:type="gramEnd"/>
      <w:r w:rsidR="002F5B72" w:rsidRPr="00774B2C">
        <w:rPr>
          <w:szCs w:val="24"/>
        </w:rPr>
        <w:fldChar w:fldCharType="begin">
          <w:fldData xml:space="preserve">PEVuZE5vdGU+PENpdGU+PEF1dGhvcj5TY2htaXR0PC9BdXRob3I+PFllYXI+MjAxNjwvWWVhcj48
UmVjTnVtPjM4Nzg8L1JlY051bT48RGlzcGxheVRleHQ+PHN0eWxlIGZhY2U9InN1cGVyc2NyaXB0
Ij5bOS0xMV08L3N0eWxlPjwvRGlzcGxheVRleHQ+PHJlY29yZD48cmVjLW51bWJlcj4zODc4PC9y
ZWMtbnVtYmVyPjxmb3JlaWduLWtleXM+PGtleSBhcHA9IkVOIiBkYi1pZD0iYWVheDlmcnIzc2E5
cmNlMnJwYTVzZXpkdGQycHYwMHcyOXowIiB0aW1lc3RhbXA9IjE1Nzc4OTM5OTEiPjM4Nzg8L2tl
eT48L2ZvcmVpZ24ta2V5cz48cmVmLXR5cGUgbmFtZT0iSm91cm5hbCBBcnRpY2xlIj4xNzwvcmVm
LXR5cGU+PGNvbnRyaWJ1dG9ycz48YXV0aG9ycz48YXV0aG9yPlNjaG1pdHQsIEEuIE0uPC9hdXRo
b3I+PGF1dGhvcj5DaGFuZywgSC4gWS48L2F1dGhvcj48L2F1dGhvcnM+PC9jb250cmlidXRvcnM+
PGF1dGgtYWRkcmVzcz5EZXBhcnRtZW50IG9mIFJhZGlhdGlvbiBPbmNvbG9neSwgTWVtb3JpYWwg
U2xvYW4gS2V0dGVyaW5nIENhbmNlciBDZW50ZXIsIE5ldyBZb3JrLCBOWSAxMDA2NSwgVVNBLiBF
bGVjdHJvbmljIGFkZHJlc3M6IHNjaG1pdHRhQG1za2NjLm9yZy4mI3hEO0NlbnRlciBmb3IgUGVy
c29uYWwgRHluYW1pYyBSZWd1bG9tZXMsIFN0YW5mb3JkIFVuaXZlcnNpdHkgU2Nob29sIG9mIE1l
ZGljaW5lLCBTdGFuZm9yZCwgQ0EgOTQzMDUsIFVTQS4gRWxlY3Ryb25pYyBhZGRyZXNzOiBob3dj
aGFuZ0BzdGFuZm9yZC5lZHUuPC9hdXRoLWFkZHJlc3M+PHRpdGxlcz48dGl0bGU+TG9uZyBOb25j
b2RpbmcgUk5BcyBpbiBDYW5jZXIgUGF0aHdheXM8L3RpdGxlPjxzZWNvbmRhcnktdGl0bGU+Q2Fu
Y2VyIENlbGw8L3NlY29uZGFyeS10aXRsZT48L3RpdGxlcz48cGVyaW9kaWNhbD48ZnVsbC10aXRs
ZT5DYW5jZXIgQ2VsbDwvZnVsbC10aXRsZT48L3BlcmlvZGljYWw+PHBhZ2VzPjQ1Mi00NjM8L3Bh
Z2VzPjx2b2x1bWU+Mjk8L3ZvbHVtZT48bnVtYmVyPjQ8L251bWJlcj48ZWRpdGlvbj4yMDE2LzA0
LzE0PC9lZGl0aW9uPjxrZXl3b3Jkcz48a2V5d29yZD5BbmltYWxzPC9rZXl3b3JkPjxrZXl3b3Jk
PkJpb21hcmtlcnMsIFR1bW9yPC9rZXl3b3JkPjxrZXl3b3JkPkNlbGwgQ29tcGFydG1lbnRhdGlv
bjwva2V5d29yZD48a2V5d29yZD5DZWxsIERpdmlzaW9uL2dlbmV0aWNzPC9rZXl3b3JkPjxrZXl3
b3JkPkNlbGwgTW92ZW1lbnQvZ2VuZXRpY3M8L2tleXdvcmQ+PGtleXdvcmQ+Q2VsbHVsYXIgU2Vu
ZXNjZW5jZS9nZW5ldGljczwva2V5d29yZD48a2V5d29yZD5DaHJvbWF0aW4vdWx0cmFzdHJ1Y3R1
cmU8L2tleXdvcmQ+PGtleXdvcmQ+RGlzZWFzZSBQcm9ncmVzc2lvbjwva2V5d29yZD48a2V5d29y
ZD5Gb3JlY2FzdGluZzwva2V5d29yZD48a2V5d29yZD5HZW5lIEV4cHJlc3Npb24gUmVndWxhdGlv
biwgTmVvcGxhc3RpYy8qZ2VuZXRpY3M8L2tleXdvcmQ+PGtleXdvcmQ+SHVtYW5zPC9rZXl3b3Jk
PjxrZXl3b3JkPk1pY2U8L2tleXdvcmQ+PGtleXdvcmQ+TW9kZWxzLCBHZW5ldGljPC9rZXl3b3Jk
PjxrZXl3b3JkPk11dGF0aW9uPC9rZXl3b3JkPjxrZXl3b3JkPk5lb3BsYXNtIE1ldGFzdGFzaXM8
L2tleXdvcmQ+PGtleXdvcmQ+TmVvcGxhc20gUHJvdGVpbnMvbWV0YWJvbGlzbTwva2V5d29yZD48
a2V5d29yZD5OZW9wbGFzbXMvZGlhZ25vc2lzLypnZW5ldGljczwva2V5d29yZD48a2V5d29yZD5Q
cm9nbm9zaXM8L2tleXdvcmQ+PGtleXdvcmQ+Uk5BLCBMb25nIE5vbmNvZGluZy9hbmFseXNpcy8q
Z2VuZXRpY3M8L2tleXdvcmQ+PGtleXdvcmQ+Uk5BLCBNZXNzZW5nZXIvbWV0YWJvbGlzbTwva2V5
d29yZD48a2V5d29yZD5STkEsIE5lb3BsYXNtL2FuYWx5c2lzLypnZW5ldGljczwva2V5d29yZD48
a2V5d29yZD5STkEtQmluZGluZyBQcm90ZWlucy9tZXRhYm9saXNtPC9rZXl3b3JkPjxrZXl3b3Jk
PlRyYW5zY3JpcHRpb24sIEdlbmV0aWM8L2tleXdvcmQ+PGtleXdvcmQ+VHJhbnNjcmlwdG9tZTwv
a2V5d29yZD48a2V5d29yZD5UcmVhdG1lbnQgT3V0Y29tZTwva2V5d29yZD48L2tleXdvcmRzPjxk
YXRlcz48eWVhcj4yMDE2PC95ZWFyPjxwdWItZGF0ZXM+PGRhdGU+QXByIDExPC9kYXRlPjwvcHVi
LWRhdGVzPjwvZGF0ZXM+PGlzYm4+MTg3OC0zNjg2IChFbGVjdHJvbmljKSYjeEQ7MTUzNS02MTA4
IChMaW5raW5nKTwvaXNibj48YWNjZXNzaW9uLW51bT4yNzA3MDcwMDwvYWNjZXNzaW9uLW51bT48
dXJscz48cmVsYXRlZC11cmxzPjx1cmw+aHR0cHM6Ly93d3cubmNiaS5ubG0ubmloLmdvdi9wdWJt
ZWQvMjcwNzA3MDA8L3VybD48L3JlbGF0ZWQtdXJscz48L3VybHM+PGN1c3RvbTI+UE1DNDgzMTEz
ODwvY3VzdG9tMj48ZWxlY3Ryb25pYy1yZXNvdXJjZS1udW0+MTAuMTAxNi9qLmNjZWxsLjIwMTYu
MDMuMDEwPC9lbGVjdHJvbmljLXJlc291cmNlLW51bT48L3JlY29yZD48L0NpdGU+PENpdGU+PEF1
dGhvcj5NZW5nPC9BdXRob3I+PFllYXI+MjAxNzwvWWVhcj48UmVjTnVtPjM4Nzk8L1JlY051bT48
cmVjb3JkPjxyZWMtbnVtYmVyPjM4Nzk8L3JlYy1udW1iZXI+PGZvcmVpZ24ta2V5cz48a2V5IGFw
cD0iRU4iIGRiLWlkPSJhZWF4OWZycjNzYTlyY2UycnBhNXNlemR0ZDJwdjAwdzI5ejAiIHRpbWVz
dGFtcD0iMTU3Nzg5NDAxMSI+Mzg3OTwva2V5PjwvZm9yZWlnbi1rZXlzPjxyZWYtdHlwZSBuYW1l
PSJKb3VybmFsIEFydGljbGUiPjE3PC9yZWYtdHlwZT48Y29udHJpYnV0b3JzPjxhdXRob3JzPjxh
dXRob3I+TWVuZywgUy48L2F1dGhvcj48YXV0aG9yPlpob3UsIEguPC9hdXRob3I+PGF1dGhvcj5G
ZW5nLCBaLjwvYXV0aG9yPjxhdXRob3I+WHUsIFouPC9hdXRob3I+PGF1dGhvcj5UYW5nLCBZLjwv
YXV0aG9yPjxhdXRob3I+TGksIFAuPC9hdXRob3I+PGF1dGhvcj5XdSwgTS48L2F1dGhvcj48L2F1
dGhvcnM+PC9jb250cmlidXRvcnM+PGF1dGgtYWRkcmVzcz5IdW5hbiBQcm92aW5jaWFsIFR1bW9y
IEhvc3BpdGFsIGFuZCB0aGUgQWZmaWxpYXRlZCBUdW1vciBIb3NwaXRhbCBvZiBYaWFuZ3lhIE1l
ZGljYWwgU2Nob29sLCBDZW50cmFsIFNvdXRoIFVuaXZlcnNpdHksIENoYW5nc2hhLCA0MTAwMTMs
IEh1bmFuLCBDaGluYS4mI3hEO1RoZSBLZXkgTGFib3JhdG9yeSBvZiBDYXJjaW5vZ2VuZXNpcyBv
ZiB0aGUgQ2hpbmVzZSBNaW5pc3RyeSBvZiBIZWFsdGgsIFRoZSBLZXkgTGFib3JhdG9yeSBvZiBD
YXJjaW5vZ2VuZXNpcyBhbmQgQ2FuY2VyIEludmFzaW9uIG9mIHRoZSBDaGluZXNlIE1pbmlzdHJ5
IG9mIEVkdWNhdGlvbiwgQ2FuY2VyIFJlc2VhcmNoIEluc3RpdHV0ZSwgQ2VudHJhbCBTb3V0aCBV
bml2ZXJzaXR5LCBDaGFuZ3NoYSwgSHVuYW4sIDQxMDAwOCwgQ2hpbmEuJiN4RDtUaGUgS2V5IExh
Ym9yYXRvcnkgb2YgQ2FyY2lub2dlbmVzaXMgb2YgdGhlIENoaW5lc2UgTWluaXN0cnkgb2YgSGVh
bHRoLCBUaGUgS2V5IExhYm9yYXRvcnkgb2YgQ2FyY2lub2dlbmVzaXMgYW5kIENhbmNlciBJbnZh
c2lvbiBvZiB0aGUgQ2hpbmVzZSBNaW5pc3RyeSBvZiBFZHVjYXRpb24sIENhbmNlciBSZXNlYXJj
aCBJbnN0aXR1dGUsIENlbnRyYWwgU291dGggVW5pdmVyc2l0eSwgQ2hhbmdzaGEsIEh1bmFuLCA0
MTAwMDgsIENoaW5hLiB3dW1pbmdodWE1NTRAYWxpeXVuLmNvbS48L2F1dGgtYWRkcmVzcz48dGl0
bGVzPjx0aXRsZT5DaXJjUk5BOiBmdW5jdGlvbnMgYW5kIHByb3BlcnRpZXMgb2YgYSBub3ZlbCBw
b3RlbnRpYWwgYmlvbWFya2VyIGZvciBjYW5jZXI8L3RpdGxlPjxzZWNvbmRhcnktdGl0bGU+TW9s
IENhbmNlcjwvc2Vjb25kYXJ5LXRpdGxlPjwvdGl0bGVzPjxwZXJpb2RpY2FsPjxmdWxsLXRpdGxl
Pk1vbCBDYW5jZXI8L2Z1bGwtdGl0bGU+PC9wZXJpb2RpY2FsPjxwYWdlcz45NDwvcGFnZXM+PHZv
bHVtZT4xNjwvdm9sdW1lPjxudW1iZXI+MTwvbnVtYmVyPjxlZGl0aW9uPjIwMTcvMDUvMjY8L2Vk
aXRpb24+PGtleXdvcmRzPjxrZXl3b3JkPkFuaW1hbHM8L2tleXdvcmQ+PGtleXdvcmQ+KkJpb21h
cmtlcnMsIFR1bW9yPC9rZXl3b3JkPjxrZXl3b3JkPkV1a2FyeW90aWMgQ2VsbHMvbWV0YWJvbGlz
bTwva2V5d29yZD48a2V5d29yZD5IdW1hbnM8L2tleXdvcmQ+PGtleXdvcmQ+TWljcm9STkFzL2dl
bmV0aWNzPC9rZXl3b3JkPjxrZXl3b3JkPk5lb3BsYXNtcy9kaWFnbm9zaXMvKmdlbmV0aWNzL21l
dGFib2xpc208L2tleXdvcmQ+PGtleXdvcmQ+Uk5BLypnZW5ldGljcy9tZXRhYm9saXNtPC9rZXl3
b3JkPjxrZXl3b3JkPlJOQSBTdGFiaWxpdHk8L2tleXdvcmQ+PGtleXdvcmQ+Uk5BLCBDaXJjdWxh
cjwva2V5d29yZD48a2V5d29yZD5STkEsIE1lc3Nlbmdlci9nZW5ldGljczwva2V5d29yZD48a2V5
d29yZD4qUk5BLCBOZW9wbGFzbTwva2V5d29yZD48a2V5d29yZD5STkEsIFVudHJhbnNsYXRlZC9n
ZW5ldGljczwva2V5d29yZD48a2V5d29yZD5STkEtQmluZGluZyBQcm90ZWlucy9tZXRhYm9saXNt
PC9rZXl3b3JkPjxrZXl3b3JkPipCaW9tYXJrZXI8L2tleXdvcmQ+PGtleXdvcmQ+Kk5vbi1jb2Rp
bmcgUk5BPC9rZXl3b3JkPjxrZXl3b3JkPipUdW1vdXI8L2tleXdvcmQ+PGtleXdvcmQ+KmNpcmNS
TkE8L2tleXdvcmQ+PGtleXdvcmQ+Km1pY3JvUk5BIHNwb25nZTwva2V5d29yZD48L2tleXdvcmRz
PjxkYXRlcz48eWVhcj4yMDE3PC95ZWFyPjxwdWItZGF0ZXM+PGRhdGU+TWF5IDIzPC9kYXRlPjwv
cHViLWRhdGVzPjwvZGF0ZXM+PGlzYm4+MTQ3Ni00NTk4IChFbGVjdHJvbmljKSYjeEQ7MTQ3Ni00
NTk4IChMaW5raW5nKTwvaXNibj48YWNjZXNzaW9uLW51bT4yODUzNTc2NzwvYWNjZXNzaW9uLW51
bT48dXJscz48cmVsYXRlZC11cmxzPjx1cmw+aHR0cHM6Ly93d3cubmNiaS5ubG0ubmloLmdvdi9w
dWJtZWQvMjg1MzU3Njc8L3VybD48L3JlbGF0ZWQtdXJscz48L3VybHM+PGN1c3RvbTI+UE1DNTQ0
MDkwODwvY3VzdG9tMj48ZWxlY3Ryb25pYy1yZXNvdXJjZS1udW0+MTAuMTE4Ni9zMTI5NDMtMDE3
LTA2NjMtMjwvZWxlY3Ryb25pYy1yZXNvdXJjZS1udW0+PC9yZWNvcmQ+PC9DaXRlPjxDaXRlPjxB
dXRob3I+TGluPC9BdXRob3I+PFllYXI+MjAxNTwvWWVhcj48UmVjTnVtPjM4ODA8L1JlY051bT48
cmVjb3JkPjxyZWMtbnVtYmVyPjM4ODA8L3JlYy1udW1iZXI+PGZvcmVpZ24ta2V5cz48a2V5IGFw
cD0iRU4iIGRiLWlkPSJhZWF4OWZycjNzYTlyY2UycnBhNXNlemR0ZDJwdjAwdzI5ejAiIHRpbWVz
dGFtcD0iMTU3Nzg5NDA4MyI+Mzg4MDwva2V5PjwvZm9yZWlnbi1rZXlzPjxyZWYtdHlwZSBuYW1l
PSJKb3VybmFsIEFydGljbGUiPjE3PC9yZWYtdHlwZT48Y29udHJpYnV0b3JzPjxhdXRob3JzPjxh
dXRob3I+TGluLCBTLjwvYXV0aG9yPjxhdXRob3I+R3JlZ29yeSwgUi4gSS48L2F1dGhvcj48L2F1
dGhvcnM+PC9jb250cmlidXRvcnM+PGF1dGgtYWRkcmVzcz4xXSBTdGVtIENlbGwgUHJvZ3JhbSwg
Qm9zdG9uIENoaWxkcmVuJmFwb3M7cyBIb3NwaXRhbCwgQm9zdG9uLCBNYXNzYWNodXNldHRzIDAy
MTE1LCBVU0EuIFsyXSBEZXBhcnRtZW50IG9mIEJpb2xvZ2ljYWwgQ2hlbWlzdHJ5IGFuZCBNb2xl
Y3VsYXIgUGhhcm1hY29sb2d5LCBIYXJ2YXJkIE1lZGljYWwgU2Nob29sLCBCb3N0b24sIE1hc3Nh
Y2h1c2V0dHMgMDIxMTUsIFVTQS4mI3hEOzFdIFN0ZW0gQ2VsbCBQcm9ncmFtLCBCb3N0b24gQ2hp
bGRyZW4mYXBvcztzIEhvc3BpdGFsLCBCb3N0b24sIE1hc3NhY2h1c2V0dHMgMDIxMTUsIFVTQS4g
WzJdIERlcGFydG1lbnQgb2YgQmlvbG9naWNhbCBDaGVtaXN0cnkgYW5kIE1vbGVjdWxhciBQaGFy
bWFjb2xvZ3ksIEhhcnZhcmQgTWVkaWNhbCBTY2hvb2wsIEJvc3RvbiwgTWFzc2FjaHVzZXR0cyAw
MjExNSwgVVNBLiBbM10gRGVwYXJ0bWVudCBvZiBQZWRpYXRyaWNzLCBIYXJ2YXJkIE1lZGljYWwg
U2Nob29sLCBCb3N0b24sIE1hc3NhY2h1c2V0dHMgMDIxMTUsIFVTQS4gWzRdIEhhcnZhcmQgU3Rl
bSBDZWxsIEluc3RpdHV0ZSwgQm9zdG9uLCBNYXNzYWNodXNldHRzIDAyMTE1LCBVU0EuPC9hdXRo
LWFkZHJlc3M+PHRpdGxlcz48dGl0bGU+TWljcm9STkEgYmlvZ2VuZXNpcyBwYXRod2F5cyBpbiBj
YW5jZXI8L3RpdGxlPjxzZWNvbmRhcnktdGl0bGU+TmF0IFJldiBDYW5jZXI8L3NlY29uZGFyeS10
aXRsZT48L3RpdGxlcz48cGVyaW9kaWNhbD48ZnVsbC10aXRsZT5OYXQgUmV2IENhbmNlcjwvZnVs
bC10aXRsZT48L3BlcmlvZGljYWw+PHBhZ2VzPjMyMS0zMzwvcGFnZXM+PHZvbHVtZT4xNTwvdm9s
dW1lPjxudW1iZXI+NjwvbnVtYmVyPjxlZGl0aW9uPjIwMTUvMDUvMjM8L2VkaXRpb24+PGtleXdv
cmRzPjxrZXl3b3JkPkFuaW1hbHM8L2tleXdvcmQ+PGtleXdvcmQ+QmlvbG9naWNhbCBUcmFuc3Bv
cnQ8L2tleXdvcmQ+PGtleXdvcmQ+Q2x1c3RlcmVkIFJlZ3VsYXJseSBJbnRlcnNwYWNlZCBTaG9y
dCBQYWxpbmRyb21pYyBSZXBlYXRzPC9rZXl3b3JkPjxrZXl3b3JkPkdlbmUgRXhwcmVzc2lvbiBS
ZWd1bGF0aW9uLCBOZW9wbGFzdGljPC9rZXl3b3JkPjxrZXl3b3JkPkh1bWFuczwva2V5d29yZD48
a2V5d29yZD5NaWNlPC9rZXl3b3JkPjxrZXl3b3JkPk1pY3JvUk5Bcy8qcGh5c2lvbG9neTwva2V5
d29yZD48a2V5d29yZD5OZW9wbGFzbXMvKmdlbmV0aWNzL21ldGFib2xpc208L2tleXdvcmQ+PGtl
eXdvcmQ+Uk5BIFByb2Nlc3NpbmcsIFBvc3QtVHJhbnNjcmlwdGlvbmFsPC9rZXl3b3JkPjwva2V5
d29yZHM+PGRhdGVzPjx5ZWFyPjIwMTU8L3llYXI+PHB1Yi1kYXRlcz48ZGF0ZT5KdW48L2RhdGU+
PC9wdWItZGF0ZXM+PC9kYXRlcz48aXNibj4xNDc0LTE3NjggKEVsZWN0cm9uaWMpJiN4RDsxNDc0
LTE3NVggKExpbmtpbmcpPC9pc2JuPjxhY2Nlc3Npb24tbnVtPjI1OTk4NzEyPC9hY2Nlc3Npb24t
bnVtPjx1cmxzPjxyZWxhdGVkLXVybHM+PHVybD5odHRwczovL3d3dy5uY2JpLm5sbS5uaWguZ292
L3B1Ym1lZC8yNTk5ODcxMjwvdXJsPjwvcmVsYXRlZC11cmxzPjwvdXJscz48Y3VzdG9tMj5QTUM0
ODU5ODA5PC9jdXN0b20yPjxlbGVjdHJvbmljLXJlc291cmNlLW51bT4xMC4xMDM4L25yYzM5MzI8
L2VsZWN0cm9uaWMtcmVzb3VyY2UtbnVtPjwvcmVjb3JkPjwvQ2l0ZT48L0VuZE5vdGU+
</w:fldData>
        </w:fldChar>
      </w:r>
      <w:r w:rsidR="002F5B72" w:rsidRPr="00774B2C">
        <w:rPr>
          <w:szCs w:val="24"/>
        </w:rPr>
        <w:instrText xml:space="preserve"> ADDIN EN.CITE </w:instrText>
      </w:r>
      <w:r w:rsidR="002F5B72" w:rsidRPr="00774B2C">
        <w:rPr>
          <w:szCs w:val="24"/>
        </w:rPr>
        <w:fldChar w:fldCharType="begin">
          <w:fldData xml:space="preserve">PEVuZE5vdGU+PENpdGU+PEF1dGhvcj5TY2htaXR0PC9BdXRob3I+PFllYXI+MjAxNjwvWWVhcj48
UmVjTnVtPjM4Nzg8L1JlY051bT48RGlzcGxheVRleHQ+PHN0eWxlIGZhY2U9InN1cGVyc2NyaXB0
Ij5bOS0xMV08L3N0eWxlPjwvRGlzcGxheVRleHQ+PHJlY29yZD48cmVjLW51bWJlcj4zODc4PC9y
ZWMtbnVtYmVyPjxmb3JlaWduLWtleXM+PGtleSBhcHA9IkVOIiBkYi1pZD0iYWVheDlmcnIzc2E5
cmNlMnJwYTVzZXpkdGQycHYwMHcyOXowIiB0aW1lc3RhbXA9IjE1Nzc4OTM5OTEiPjM4Nzg8L2tl
eT48L2ZvcmVpZ24ta2V5cz48cmVmLXR5cGUgbmFtZT0iSm91cm5hbCBBcnRpY2xlIj4xNzwvcmVm
LXR5cGU+PGNvbnRyaWJ1dG9ycz48YXV0aG9ycz48YXV0aG9yPlNjaG1pdHQsIEEuIE0uPC9hdXRo
b3I+PGF1dGhvcj5DaGFuZywgSC4gWS48L2F1dGhvcj48L2F1dGhvcnM+PC9jb250cmlidXRvcnM+
PGF1dGgtYWRkcmVzcz5EZXBhcnRtZW50IG9mIFJhZGlhdGlvbiBPbmNvbG9neSwgTWVtb3JpYWwg
U2xvYW4gS2V0dGVyaW5nIENhbmNlciBDZW50ZXIsIE5ldyBZb3JrLCBOWSAxMDA2NSwgVVNBLiBF
bGVjdHJvbmljIGFkZHJlc3M6IHNjaG1pdHRhQG1za2NjLm9yZy4mI3hEO0NlbnRlciBmb3IgUGVy
c29uYWwgRHluYW1pYyBSZWd1bG9tZXMsIFN0YW5mb3JkIFVuaXZlcnNpdHkgU2Nob29sIG9mIE1l
ZGljaW5lLCBTdGFuZm9yZCwgQ0EgOTQzMDUsIFVTQS4gRWxlY3Ryb25pYyBhZGRyZXNzOiBob3dj
aGFuZ0BzdGFuZm9yZC5lZHUuPC9hdXRoLWFkZHJlc3M+PHRpdGxlcz48dGl0bGU+TG9uZyBOb25j
b2RpbmcgUk5BcyBpbiBDYW5jZXIgUGF0aHdheXM8L3RpdGxlPjxzZWNvbmRhcnktdGl0bGU+Q2Fu
Y2VyIENlbGw8L3NlY29uZGFyeS10aXRsZT48L3RpdGxlcz48cGVyaW9kaWNhbD48ZnVsbC10aXRs
ZT5DYW5jZXIgQ2VsbDwvZnVsbC10aXRsZT48L3BlcmlvZGljYWw+PHBhZ2VzPjQ1Mi00NjM8L3Bh
Z2VzPjx2b2x1bWU+Mjk8L3ZvbHVtZT48bnVtYmVyPjQ8L251bWJlcj48ZWRpdGlvbj4yMDE2LzA0
LzE0PC9lZGl0aW9uPjxrZXl3b3Jkcz48a2V5d29yZD5BbmltYWxzPC9rZXl3b3JkPjxrZXl3b3Jk
PkJpb21hcmtlcnMsIFR1bW9yPC9rZXl3b3JkPjxrZXl3b3JkPkNlbGwgQ29tcGFydG1lbnRhdGlv
bjwva2V5d29yZD48a2V5d29yZD5DZWxsIERpdmlzaW9uL2dlbmV0aWNzPC9rZXl3b3JkPjxrZXl3
b3JkPkNlbGwgTW92ZW1lbnQvZ2VuZXRpY3M8L2tleXdvcmQ+PGtleXdvcmQ+Q2VsbHVsYXIgU2Vu
ZXNjZW5jZS9nZW5ldGljczwva2V5d29yZD48a2V5d29yZD5DaHJvbWF0aW4vdWx0cmFzdHJ1Y3R1
cmU8L2tleXdvcmQ+PGtleXdvcmQ+RGlzZWFzZSBQcm9ncmVzc2lvbjwva2V5d29yZD48a2V5d29y
ZD5Gb3JlY2FzdGluZzwva2V5d29yZD48a2V5d29yZD5HZW5lIEV4cHJlc3Npb24gUmVndWxhdGlv
biwgTmVvcGxhc3RpYy8qZ2VuZXRpY3M8L2tleXdvcmQ+PGtleXdvcmQ+SHVtYW5zPC9rZXl3b3Jk
PjxrZXl3b3JkPk1pY2U8L2tleXdvcmQ+PGtleXdvcmQ+TW9kZWxzLCBHZW5ldGljPC9rZXl3b3Jk
PjxrZXl3b3JkPk11dGF0aW9uPC9rZXl3b3JkPjxrZXl3b3JkPk5lb3BsYXNtIE1ldGFzdGFzaXM8
L2tleXdvcmQ+PGtleXdvcmQ+TmVvcGxhc20gUHJvdGVpbnMvbWV0YWJvbGlzbTwva2V5d29yZD48
a2V5d29yZD5OZW9wbGFzbXMvZGlhZ25vc2lzLypnZW5ldGljczwva2V5d29yZD48a2V5d29yZD5Q
cm9nbm9zaXM8L2tleXdvcmQ+PGtleXdvcmQ+Uk5BLCBMb25nIE5vbmNvZGluZy9hbmFseXNpcy8q
Z2VuZXRpY3M8L2tleXdvcmQ+PGtleXdvcmQ+Uk5BLCBNZXNzZW5nZXIvbWV0YWJvbGlzbTwva2V5
d29yZD48a2V5d29yZD5STkEsIE5lb3BsYXNtL2FuYWx5c2lzLypnZW5ldGljczwva2V5d29yZD48
a2V5d29yZD5STkEtQmluZGluZyBQcm90ZWlucy9tZXRhYm9saXNtPC9rZXl3b3JkPjxrZXl3b3Jk
PlRyYW5zY3JpcHRpb24sIEdlbmV0aWM8L2tleXdvcmQ+PGtleXdvcmQ+VHJhbnNjcmlwdG9tZTwv
a2V5d29yZD48a2V5d29yZD5UcmVhdG1lbnQgT3V0Y29tZTwva2V5d29yZD48L2tleXdvcmRzPjxk
YXRlcz48eWVhcj4yMDE2PC95ZWFyPjxwdWItZGF0ZXM+PGRhdGU+QXByIDExPC9kYXRlPjwvcHVi
LWRhdGVzPjwvZGF0ZXM+PGlzYm4+MTg3OC0zNjg2IChFbGVjdHJvbmljKSYjeEQ7MTUzNS02MTA4
IChMaW5raW5nKTwvaXNibj48YWNjZXNzaW9uLW51bT4yNzA3MDcwMDwvYWNjZXNzaW9uLW51bT48
dXJscz48cmVsYXRlZC11cmxzPjx1cmw+aHR0cHM6Ly93d3cubmNiaS5ubG0ubmloLmdvdi9wdWJt
ZWQvMjcwNzA3MDA8L3VybD48L3JlbGF0ZWQtdXJscz48L3VybHM+PGN1c3RvbTI+UE1DNDgzMTEz
ODwvY3VzdG9tMj48ZWxlY3Ryb25pYy1yZXNvdXJjZS1udW0+MTAuMTAxNi9qLmNjZWxsLjIwMTYu
MDMuMDEwPC9lbGVjdHJvbmljLXJlc291cmNlLW51bT48L3JlY29yZD48L0NpdGU+PENpdGU+PEF1
dGhvcj5NZW5nPC9BdXRob3I+PFllYXI+MjAxNzwvWWVhcj48UmVjTnVtPjM4Nzk8L1JlY051bT48
cmVjb3JkPjxyZWMtbnVtYmVyPjM4Nzk8L3JlYy1udW1iZXI+PGZvcmVpZ24ta2V5cz48a2V5IGFw
cD0iRU4iIGRiLWlkPSJhZWF4OWZycjNzYTlyY2UycnBhNXNlemR0ZDJwdjAwdzI5ejAiIHRpbWVz
dGFtcD0iMTU3Nzg5NDAxMSI+Mzg3OTwva2V5PjwvZm9yZWlnbi1rZXlzPjxyZWYtdHlwZSBuYW1l
PSJKb3VybmFsIEFydGljbGUiPjE3PC9yZWYtdHlwZT48Y29udHJpYnV0b3JzPjxhdXRob3JzPjxh
dXRob3I+TWVuZywgUy48L2F1dGhvcj48YXV0aG9yPlpob3UsIEguPC9hdXRob3I+PGF1dGhvcj5G
ZW5nLCBaLjwvYXV0aG9yPjxhdXRob3I+WHUsIFouPC9hdXRob3I+PGF1dGhvcj5UYW5nLCBZLjwv
YXV0aG9yPjxhdXRob3I+TGksIFAuPC9hdXRob3I+PGF1dGhvcj5XdSwgTS48L2F1dGhvcj48L2F1
dGhvcnM+PC9jb250cmlidXRvcnM+PGF1dGgtYWRkcmVzcz5IdW5hbiBQcm92aW5jaWFsIFR1bW9y
IEhvc3BpdGFsIGFuZCB0aGUgQWZmaWxpYXRlZCBUdW1vciBIb3NwaXRhbCBvZiBYaWFuZ3lhIE1l
ZGljYWwgU2Nob29sLCBDZW50cmFsIFNvdXRoIFVuaXZlcnNpdHksIENoYW5nc2hhLCA0MTAwMTMs
IEh1bmFuLCBDaGluYS4mI3hEO1RoZSBLZXkgTGFib3JhdG9yeSBvZiBDYXJjaW5vZ2VuZXNpcyBv
ZiB0aGUgQ2hpbmVzZSBNaW5pc3RyeSBvZiBIZWFsdGgsIFRoZSBLZXkgTGFib3JhdG9yeSBvZiBD
YXJjaW5vZ2VuZXNpcyBhbmQgQ2FuY2VyIEludmFzaW9uIG9mIHRoZSBDaGluZXNlIE1pbmlzdHJ5
IG9mIEVkdWNhdGlvbiwgQ2FuY2VyIFJlc2VhcmNoIEluc3RpdHV0ZSwgQ2VudHJhbCBTb3V0aCBV
bml2ZXJzaXR5LCBDaGFuZ3NoYSwgSHVuYW4sIDQxMDAwOCwgQ2hpbmEuJiN4RDtUaGUgS2V5IExh
Ym9yYXRvcnkgb2YgQ2FyY2lub2dlbmVzaXMgb2YgdGhlIENoaW5lc2UgTWluaXN0cnkgb2YgSGVh
bHRoLCBUaGUgS2V5IExhYm9yYXRvcnkgb2YgQ2FyY2lub2dlbmVzaXMgYW5kIENhbmNlciBJbnZh
c2lvbiBvZiB0aGUgQ2hpbmVzZSBNaW5pc3RyeSBvZiBFZHVjYXRpb24sIENhbmNlciBSZXNlYXJj
aCBJbnN0aXR1dGUsIENlbnRyYWwgU291dGggVW5pdmVyc2l0eSwgQ2hhbmdzaGEsIEh1bmFuLCA0
MTAwMDgsIENoaW5hLiB3dW1pbmdodWE1NTRAYWxpeXVuLmNvbS48L2F1dGgtYWRkcmVzcz48dGl0
bGVzPjx0aXRsZT5DaXJjUk5BOiBmdW5jdGlvbnMgYW5kIHByb3BlcnRpZXMgb2YgYSBub3ZlbCBw
b3RlbnRpYWwgYmlvbWFya2VyIGZvciBjYW5jZXI8L3RpdGxlPjxzZWNvbmRhcnktdGl0bGU+TW9s
IENhbmNlcjwvc2Vjb25kYXJ5LXRpdGxlPjwvdGl0bGVzPjxwZXJpb2RpY2FsPjxmdWxsLXRpdGxl
Pk1vbCBDYW5jZXI8L2Z1bGwtdGl0bGU+PC9wZXJpb2RpY2FsPjxwYWdlcz45NDwvcGFnZXM+PHZv
bHVtZT4xNjwvdm9sdW1lPjxudW1iZXI+MTwvbnVtYmVyPjxlZGl0aW9uPjIwMTcvMDUvMjY8L2Vk
aXRpb24+PGtleXdvcmRzPjxrZXl3b3JkPkFuaW1hbHM8L2tleXdvcmQ+PGtleXdvcmQ+KkJpb21h
cmtlcnMsIFR1bW9yPC9rZXl3b3JkPjxrZXl3b3JkPkV1a2FyeW90aWMgQ2VsbHMvbWV0YWJvbGlz
bTwva2V5d29yZD48a2V5d29yZD5IdW1hbnM8L2tleXdvcmQ+PGtleXdvcmQ+TWljcm9STkFzL2dl
bmV0aWNzPC9rZXl3b3JkPjxrZXl3b3JkPk5lb3BsYXNtcy9kaWFnbm9zaXMvKmdlbmV0aWNzL21l
dGFib2xpc208L2tleXdvcmQ+PGtleXdvcmQ+Uk5BLypnZW5ldGljcy9tZXRhYm9saXNtPC9rZXl3
b3JkPjxrZXl3b3JkPlJOQSBTdGFiaWxpdHk8L2tleXdvcmQ+PGtleXdvcmQ+Uk5BLCBDaXJjdWxh
cjwva2V5d29yZD48a2V5d29yZD5STkEsIE1lc3Nlbmdlci9nZW5ldGljczwva2V5d29yZD48a2V5
d29yZD4qUk5BLCBOZW9wbGFzbTwva2V5d29yZD48a2V5d29yZD5STkEsIFVudHJhbnNsYXRlZC9n
ZW5ldGljczwva2V5d29yZD48a2V5d29yZD5STkEtQmluZGluZyBQcm90ZWlucy9tZXRhYm9saXNt
PC9rZXl3b3JkPjxrZXl3b3JkPipCaW9tYXJrZXI8L2tleXdvcmQ+PGtleXdvcmQ+Kk5vbi1jb2Rp
bmcgUk5BPC9rZXl3b3JkPjxrZXl3b3JkPipUdW1vdXI8L2tleXdvcmQ+PGtleXdvcmQ+KmNpcmNS
TkE8L2tleXdvcmQ+PGtleXdvcmQ+Km1pY3JvUk5BIHNwb25nZTwva2V5d29yZD48L2tleXdvcmRz
PjxkYXRlcz48eWVhcj4yMDE3PC95ZWFyPjxwdWItZGF0ZXM+PGRhdGU+TWF5IDIzPC9kYXRlPjwv
cHViLWRhdGVzPjwvZGF0ZXM+PGlzYm4+MTQ3Ni00NTk4IChFbGVjdHJvbmljKSYjeEQ7MTQ3Ni00
NTk4IChMaW5raW5nKTwvaXNibj48YWNjZXNzaW9uLW51bT4yODUzNTc2NzwvYWNjZXNzaW9uLW51
bT48dXJscz48cmVsYXRlZC11cmxzPjx1cmw+aHR0cHM6Ly93d3cubmNiaS5ubG0ubmloLmdvdi9w
dWJtZWQvMjg1MzU3Njc8L3VybD48L3JlbGF0ZWQtdXJscz48L3VybHM+PGN1c3RvbTI+UE1DNTQ0
MDkwODwvY3VzdG9tMj48ZWxlY3Ryb25pYy1yZXNvdXJjZS1udW0+MTAuMTE4Ni9zMTI5NDMtMDE3
LTA2NjMtMjwvZWxlY3Ryb25pYy1yZXNvdXJjZS1udW0+PC9yZWNvcmQ+PC9DaXRlPjxDaXRlPjxB
dXRob3I+TGluPC9BdXRob3I+PFllYXI+MjAxNTwvWWVhcj48UmVjTnVtPjM4ODA8L1JlY051bT48
cmVjb3JkPjxyZWMtbnVtYmVyPjM4ODA8L3JlYy1udW1iZXI+PGZvcmVpZ24ta2V5cz48a2V5IGFw
cD0iRU4iIGRiLWlkPSJhZWF4OWZycjNzYTlyY2UycnBhNXNlemR0ZDJwdjAwdzI5ejAiIHRpbWVz
dGFtcD0iMTU3Nzg5NDA4MyI+Mzg4MDwva2V5PjwvZm9yZWlnbi1rZXlzPjxyZWYtdHlwZSBuYW1l
PSJKb3VybmFsIEFydGljbGUiPjE3PC9yZWYtdHlwZT48Y29udHJpYnV0b3JzPjxhdXRob3JzPjxh
dXRob3I+TGluLCBTLjwvYXV0aG9yPjxhdXRob3I+R3JlZ29yeSwgUi4gSS48L2F1dGhvcj48L2F1
dGhvcnM+PC9jb250cmlidXRvcnM+PGF1dGgtYWRkcmVzcz4xXSBTdGVtIENlbGwgUHJvZ3JhbSwg
Qm9zdG9uIENoaWxkcmVuJmFwb3M7cyBIb3NwaXRhbCwgQm9zdG9uLCBNYXNzYWNodXNldHRzIDAy
MTE1LCBVU0EuIFsyXSBEZXBhcnRtZW50IG9mIEJpb2xvZ2ljYWwgQ2hlbWlzdHJ5IGFuZCBNb2xl
Y3VsYXIgUGhhcm1hY29sb2d5LCBIYXJ2YXJkIE1lZGljYWwgU2Nob29sLCBCb3N0b24sIE1hc3Nh
Y2h1c2V0dHMgMDIxMTUsIFVTQS4mI3hEOzFdIFN0ZW0gQ2VsbCBQcm9ncmFtLCBCb3N0b24gQ2hp
bGRyZW4mYXBvcztzIEhvc3BpdGFsLCBCb3N0b24sIE1hc3NhY2h1c2V0dHMgMDIxMTUsIFVTQS4g
WzJdIERlcGFydG1lbnQgb2YgQmlvbG9naWNhbCBDaGVtaXN0cnkgYW5kIE1vbGVjdWxhciBQaGFy
bWFjb2xvZ3ksIEhhcnZhcmQgTWVkaWNhbCBTY2hvb2wsIEJvc3RvbiwgTWFzc2FjaHVzZXR0cyAw
MjExNSwgVVNBLiBbM10gRGVwYXJ0bWVudCBvZiBQZWRpYXRyaWNzLCBIYXJ2YXJkIE1lZGljYWwg
U2Nob29sLCBCb3N0b24sIE1hc3NhY2h1c2V0dHMgMDIxMTUsIFVTQS4gWzRdIEhhcnZhcmQgU3Rl
bSBDZWxsIEluc3RpdHV0ZSwgQm9zdG9uLCBNYXNzYWNodXNldHRzIDAyMTE1LCBVU0EuPC9hdXRo
LWFkZHJlc3M+PHRpdGxlcz48dGl0bGU+TWljcm9STkEgYmlvZ2VuZXNpcyBwYXRod2F5cyBpbiBj
YW5jZXI8L3RpdGxlPjxzZWNvbmRhcnktdGl0bGU+TmF0IFJldiBDYW5jZXI8L3NlY29uZGFyeS10
aXRsZT48L3RpdGxlcz48cGVyaW9kaWNhbD48ZnVsbC10aXRsZT5OYXQgUmV2IENhbmNlcjwvZnVs
bC10aXRsZT48L3BlcmlvZGljYWw+PHBhZ2VzPjMyMS0zMzwvcGFnZXM+PHZvbHVtZT4xNTwvdm9s
dW1lPjxudW1iZXI+NjwvbnVtYmVyPjxlZGl0aW9uPjIwMTUvMDUvMjM8L2VkaXRpb24+PGtleXdv
cmRzPjxrZXl3b3JkPkFuaW1hbHM8L2tleXdvcmQ+PGtleXdvcmQ+QmlvbG9naWNhbCBUcmFuc3Bv
cnQ8L2tleXdvcmQ+PGtleXdvcmQ+Q2x1c3RlcmVkIFJlZ3VsYXJseSBJbnRlcnNwYWNlZCBTaG9y
dCBQYWxpbmRyb21pYyBSZXBlYXRzPC9rZXl3b3JkPjxrZXl3b3JkPkdlbmUgRXhwcmVzc2lvbiBS
ZWd1bGF0aW9uLCBOZW9wbGFzdGljPC9rZXl3b3JkPjxrZXl3b3JkPkh1bWFuczwva2V5d29yZD48
a2V5d29yZD5NaWNlPC9rZXl3b3JkPjxrZXl3b3JkPk1pY3JvUk5Bcy8qcGh5c2lvbG9neTwva2V5
d29yZD48a2V5d29yZD5OZW9wbGFzbXMvKmdlbmV0aWNzL21ldGFib2xpc208L2tleXdvcmQ+PGtl
eXdvcmQ+Uk5BIFByb2Nlc3NpbmcsIFBvc3QtVHJhbnNjcmlwdGlvbmFsPC9rZXl3b3JkPjwva2V5
d29yZHM+PGRhdGVzPjx5ZWFyPjIwMTU8L3llYXI+PHB1Yi1kYXRlcz48ZGF0ZT5KdW48L2RhdGU+
PC9wdWItZGF0ZXM+PC9kYXRlcz48aXNibj4xNDc0LTE3NjggKEVsZWN0cm9uaWMpJiN4RDsxNDc0
LTE3NVggKExpbmtpbmcpPC9pc2JuPjxhY2Nlc3Npb24tbnVtPjI1OTk4NzEyPC9hY2Nlc3Npb24t
bnVtPjx1cmxzPjxyZWxhdGVkLXVybHM+PHVybD5odHRwczovL3d3dy5uY2JpLm5sbS5uaWguZ292
L3B1Ym1lZC8yNTk5ODcxMjwvdXJsPjwvcmVsYXRlZC11cmxzPjwvdXJscz48Y3VzdG9tMj5QTUM0
ODU5ODA5PC9jdXN0b20yPjxlbGVjdHJvbmljLXJlc291cmNlLW51bT4xMC4xMDM4L25yYzM5MzI8
L2VsZWN0cm9uaWMtcmVzb3VyY2UtbnVtPjwvcmVjb3JkPjwvQ2l0ZT48L0VuZE5vdGU+
</w:fldData>
        </w:fldChar>
      </w:r>
      <w:r w:rsidR="002F5B72" w:rsidRPr="00774B2C">
        <w:rPr>
          <w:szCs w:val="24"/>
        </w:rPr>
        <w:instrText xml:space="preserve"> ADDIN EN.CITE.DATA </w:instrText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end"/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separate"/>
      </w:r>
      <w:r w:rsidR="002F5B72" w:rsidRPr="00774B2C">
        <w:rPr>
          <w:noProof/>
          <w:szCs w:val="24"/>
          <w:vertAlign w:val="superscript"/>
        </w:rPr>
        <w:t>[9-11]</w:t>
      </w:r>
      <w:r w:rsidR="002F5B72" w:rsidRPr="00774B2C">
        <w:rPr>
          <w:szCs w:val="24"/>
        </w:rPr>
        <w:fldChar w:fldCharType="end"/>
      </w:r>
      <w:r w:rsidRPr="00774B2C">
        <w:rPr>
          <w:szCs w:val="24"/>
        </w:rPr>
        <w:t xml:space="preserve">. </w:t>
      </w:r>
      <w:proofErr w:type="spellStart"/>
      <w:proofErr w:type="gramStart"/>
      <w:r w:rsidRPr="00774B2C">
        <w:rPr>
          <w:szCs w:val="24"/>
        </w:rPr>
        <w:t>miR</w:t>
      </w:r>
      <w:proofErr w:type="spellEnd"/>
      <w:proofErr w:type="gramEnd"/>
      <w:r w:rsidRPr="00774B2C">
        <w:rPr>
          <w:szCs w:val="24"/>
        </w:rPr>
        <w:t xml:space="preserve"> is a highly conserved short-chain non-coding RNA about 21-25</w:t>
      </w:r>
      <w:r w:rsidR="00774B2C">
        <w:rPr>
          <w:szCs w:val="24"/>
        </w:rPr>
        <w:t xml:space="preserve"> </w:t>
      </w:r>
      <w:proofErr w:type="spellStart"/>
      <w:r w:rsidRPr="00774B2C">
        <w:rPr>
          <w:szCs w:val="24"/>
        </w:rPr>
        <w:t>nt</w:t>
      </w:r>
      <w:proofErr w:type="spellEnd"/>
      <w:r w:rsidRPr="00774B2C">
        <w:rPr>
          <w:szCs w:val="24"/>
        </w:rPr>
        <w:t xml:space="preserve"> long. Studies have revealed that </w:t>
      </w:r>
      <w:proofErr w:type="spellStart"/>
      <w:r w:rsidRPr="00774B2C">
        <w:rPr>
          <w:szCs w:val="24"/>
        </w:rPr>
        <w:t>miR</w:t>
      </w:r>
      <w:proofErr w:type="spellEnd"/>
      <w:r w:rsidRPr="00774B2C">
        <w:rPr>
          <w:szCs w:val="24"/>
        </w:rPr>
        <w:t xml:space="preserve"> is disorder</w:t>
      </w:r>
      <w:r w:rsidR="00633FF6">
        <w:rPr>
          <w:szCs w:val="24"/>
        </w:rPr>
        <w:t>ed</w:t>
      </w:r>
      <w:r w:rsidRPr="00774B2C">
        <w:rPr>
          <w:szCs w:val="24"/>
        </w:rPr>
        <w:t xml:space="preserve"> in patients with diseases such as cardiovascular diseases and </w:t>
      </w:r>
      <w:proofErr w:type="gramStart"/>
      <w:r w:rsidRPr="00774B2C">
        <w:rPr>
          <w:szCs w:val="24"/>
        </w:rPr>
        <w:t>cancer</w:t>
      </w:r>
      <w:proofErr w:type="gramEnd"/>
      <w:r w:rsidR="002F5B72" w:rsidRPr="00774B2C">
        <w:rPr>
          <w:szCs w:val="24"/>
        </w:rPr>
        <w:fldChar w:fldCharType="begin">
          <w:fldData xml:space="preserve">PEVuZE5vdGU+PENpdGU+PEF1dGhvcj5BY3Vuem88L0F1dGhvcj48WWVhcj4yMDE1PC9ZZWFyPjxS
ZWNOdW0+Mzg4MjwvUmVjTnVtPjxEaXNwbGF5VGV4dD48c3R5bGUgZmFjZT0ic3VwZXJzY3JpcHQi
PlsxMiwgMTNdPC9zdHlsZT48L0Rpc3BsYXlUZXh0PjxyZWNvcmQ+PHJlYy1udW1iZXI+Mzg4Mjwv
cmVjLW51bWJlcj48Zm9yZWlnbi1rZXlzPjxrZXkgYXBwPSJFTiIgZGItaWQ9ImFlYXg5ZnJyM3Nh
OXJjZTJycGE1c2V6ZHRkMnB2MDB3Mjl6MCIgdGltZXN0YW1wPSIxNTc3ODk0MjE4Ij4zODgyPC9r
ZXk+PC9mb3JlaWduLWtleXM+PHJlZi10eXBlIG5hbWU9IkpvdXJuYWwgQXJ0aWNsZSI+MTc8L3Jl
Zi10eXBlPjxjb250cmlidXRvcnM+PGF1dGhvcnM+PGF1dGhvcj5BY3Vuem8sIE0uPC9hdXRob3I+
PGF1dGhvcj5Sb21hbm8sIEcuPC9hdXRob3I+PGF1dGhvcj5XZXJuaWNrZSwgRC48L2F1dGhvcj48
YXV0aG9yPkNyb2NlLCBDLiBNLjwvYXV0aG9yPjwvYXV0aG9ycz48L2NvbnRyaWJ1dG9ycz48YXV0
aC1hZGRyZXNzPkRlcGFydG1lbnQgb2YgTW9sZWN1bGFyIFZpcm9sb2d5LCBJbW11bm9sb2d5IGFu
ZCBNZWRpY2FsIEdlbmV0aWNzLCBUaGUgT2hpbyBTdGF0ZSBVbml2ZXJzaXR5LCBDb21wcmVoZW5z
aXZlIENhbmNlciBDZW50ZXIsIENvbHVtYnVzLCBPSCwgVVNBLiYjeEQ7RGVwYXJ0bWVudCBvZiBN
b2xlY3VsYXIgVmlyb2xvZ3ksIEltbXVub2xvZ3kgYW5kIE1lZGljYWwgR2VuZXRpY3MsIFRoZSBP
aGlvIFN0YXRlIFVuaXZlcnNpdHksIENvbXByZWhlbnNpdmUgQ2FuY2VyIENlbnRlciwgQ29sdW1i
dXMsIE9ILCBVU0EuIEVsZWN0cm9uaWMgYWRkcmVzczogY2FybG8uY3JvY2VAb3N1bWMuZWR1Ljwv
YXV0aC1hZGRyZXNzPjx0aXRsZXM+PHRpdGxlPk1pY3JvUk5BIGFuZCBjYW5jZXItLWEgYnJpZWYg
b3ZlcnZpZXc8L3RpdGxlPjxzZWNvbmRhcnktdGl0bGU+QWR2IEJpb2wgUmVndWw8L3NlY29uZGFy
eS10aXRsZT48L3RpdGxlcz48cGVyaW9kaWNhbD48ZnVsbC10aXRsZT5BZHYgQmlvbCBSZWd1bDwv
ZnVsbC10aXRsZT48L3BlcmlvZGljYWw+PHBhZ2VzPjEtOTwvcGFnZXM+PHZvbHVtZT41Nzwvdm9s
dW1lPjxlZGl0aW9uPjIwMTQvMTAvMDk8L2VkaXRpb24+PGtleXdvcmRzPjxrZXl3b3JkPkFuaW1h
bHM8L2tleXdvcmQ+PGtleXdvcmQ+KkRydWcgUmVzaXN0YW5jZSwgTmVvcGxhc208L2tleXdvcmQ+
PGtleXdvcmQ+KkdlbmUgRXhwcmVzc2lvbiBSZWd1bGF0aW9uLCBOZW9wbGFzdGljPC9rZXl3b3Jk
PjxrZXl3b3JkPkh1bWFuczwva2V5d29yZD48a2V5d29yZD4qTWljcm9STkFzL2dlbmV0aWNzL21l
dGFib2xpc208L2tleXdvcmQ+PGtleXdvcmQ+Kk5lb3BsYXNtcy9nZW5ldGljcy9tZXRhYm9saXNt
L3BhdGhvbG9neTwva2V5d29yZD48a2V5d29yZD4qUk5BLCBOZW9wbGFzbS9nZW5ldGljcy9tZXRh
Ym9saXNtPC9rZXl3b3JkPjxrZXl3b3JkPkJpb21hcmtlcjwva2V5d29yZD48a2V5d29yZD5DYW5j
ZXI8L2tleXdvcmQ+PGtleXdvcmQ+TWljcm9STkE8L2tleXdvcmQ+PC9rZXl3b3Jkcz48ZGF0ZXM+
PHllYXI+MjAxNTwveWVhcj48cHViLWRhdGVzPjxkYXRlPkphbjwvZGF0ZT48L3B1Yi1kYXRlcz48
L2RhdGVzPjxpc2JuPjIyMTItNDkzNCAoRWxlY3Ryb25pYykmI3hEOzIyMTItNDkyNiAoTGlua2lu
Zyk8L2lzYm4+PGFjY2Vzc2lvbi1udW0+MjUyOTQ2Nzg8L2FjY2Vzc2lvbi1udW0+PHVybHM+PHJl
bGF0ZWQtdXJscz48dXJsPmh0dHBzOi8vd3d3Lm5jYmkubmxtLm5paC5nb3YvcHVibWVkLzI1Mjk0
Njc4PC91cmw+PC9yZWxhdGVkLXVybHM+PC91cmxzPjxlbGVjdHJvbmljLXJlc291cmNlLW51bT4x
MC4xMDE2L2ouamJpb3IuMjAxNC4wOS4wMTM8L2VsZWN0cm9uaWMtcmVzb3VyY2UtbnVtPjwvcmVj
b3JkPjwvQ2l0ZT48Q2l0ZT48QXV0aG9yPlJvbWFpbmU8L0F1dGhvcj48WWVhcj4yMDE1PC9ZZWFy
PjxSZWNOdW0+Mzg4MzwvUmVjTnVtPjxyZWNvcmQ+PHJlYy1udW1iZXI+Mzg4MzwvcmVjLW51bWJl
cj48Zm9yZWlnbi1rZXlzPjxrZXkgYXBwPSJFTiIgZGItaWQ9ImFlYXg5ZnJyM3NhOXJjZTJycGE1
c2V6ZHRkMnB2MDB3Mjl6MCIgdGltZXN0YW1wPSIxNTc3ODk0MjQ0Ij4zODgzPC9rZXk+PC9mb3Jl
aWduLWtleXM+PHJlZi10eXBlIG5hbWU9IkpvdXJuYWwgQXJ0aWNsZSI+MTc8L3JlZi10eXBlPjxj
b250cmlidXRvcnM+PGF1dGhvcnM+PGF1dGhvcj5Sb21haW5lLCBTLiBQLjwvYXV0aG9yPjxhdXRo
b3I+VG9tYXN6ZXdza2ksIE0uPC9hdXRob3I+PGF1dGhvcj5Db25kb3JlbGxpLCBHLjwvYXV0aG9y
PjxhdXRob3I+U2FtYW5pLCBOLiBKLjwvYXV0aG9yPjwvYXV0aG9ycz48L2NvbnRyaWJ1dG9ycz48
YXV0aC1hZGRyZXNzPkRlcGFydG1lbnQgb2YgQ2FyZGlvdmFzY3VsYXIgU2NpZW5jZXMsIFVuaXZl
cnNpdHkgb2YgTGVpY2VzdGVyLCBMZWljZXN0ZXIsIFVLLiYjeEQ7RGVwYXJ0bWVudCBvZiBDYXJk
aW92YXNjdWxhciBTY2llbmNlcywgVW5pdmVyc2l0eSBvZiBMZWljZXN0ZXIsIExlaWNlc3Rlciwg
VUsgTklIUiBMZWljZXN0ZXIgQ2FyZGlvdmFzY3VsYXIgQmlvbWVkaWNhbCBSZXNlYXJjaCBVbml0
LCBMZWljZXN0ZXIsIFVLLiYjeEQ7RGVwYXJ0bWVudCBvZiBDYXJkaW92YXNjdWxhciBTY2llbmNl
cywgVW5pdmVyc2l0eSBvZiBMZWljZXN0ZXIsIExlaWNlc3RlciwgVUsgTklIUiBMZWljZXN0ZXIg
Q2FyZGlvdmFzY3VsYXIgQmlvbWVkaWNhbCBSZXNlYXJjaCBVbml0LCBMZWljZXN0ZXIsIFVLIFVu
aXZlcnNpdHkgb2YgTWlsYW4sIE1pbGFuLCBJdGFseS48L2F1dGgtYWRkcmVzcz48dGl0bGVzPjx0
aXRsZT5NaWNyb1JOQXMgaW4gY2FyZGlvdmFzY3VsYXIgZGlzZWFzZTogYW4gaW50cm9kdWN0aW9u
IGZvciBjbGluaWNpYW5zPC90aXRsZT48c2Vjb25kYXJ5LXRpdGxlPkhlYXJ0PC9zZWNvbmRhcnkt
dGl0bGU+PC90aXRsZXM+PHBlcmlvZGljYWw+PGZ1bGwtdGl0bGU+SGVhcnQ8L2Z1bGwtdGl0bGU+
PC9wZXJpb2RpY2FsPjxwYWdlcz45MjEtODwvcGFnZXM+PHZvbHVtZT4xMDE8L3ZvbHVtZT48bnVt
YmVyPjEyPC9udW1iZXI+PGVkaXRpb24+MjAxNS8wMy8zMTwvZWRpdGlvbj48a2V5d29yZHM+PGtl
eXdvcmQ+QWR1bHQ8L2tleXdvcmQ+PGtleXdvcmQ+QW5pbWFsczwva2V5d29yZD48a2V5d29yZD5B
dGhlcm9zY2xlcm9zaXMvcGh5c2lvcGF0aG9sb2d5PC9rZXl3b3JkPjxrZXl3b3JkPkF0cmlhbCBS
ZW1vZGVsaW5nL3BoeXNpb2xvZ3k8L2tleXdvcmQ+PGtleXdvcmQ+Q2FyZGlvdmFzY3VsYXIgRGlz
ZWFzZXMvZHJ1ZyB0aGVyYXB5LypnZW5ldGljcy9tZXRhYm9saXNtPC9rZXl3b3JkPjxrZXl3b3Jk
Pkh1bWFuczwva2V5d29yZD48a2V5d29yZD5NaWNyb1JOQXMvYW5hbHlzaXMvZ2VuZXRpY3MvKnBo
eXNpb2xvZ3k8L2tleXdvcmQ+PGtleXdvcmQ+TW9sZWN1bGFyIFRhcmdldGVkIFRoZXJhcHk8L2tl
eXdvcmQ+PC9rZXl3b3Jkcz48ZGF0ZXM+PHllYXI+MjAxNTwveWVhcj48cHViLWRhdGVzPjxkYXRl
Pkp1bjwvZGF0ZT48L3B1Yi1kYXRlcz48L2RhdGVzPjxpc2JuPjE0NjgtMjAxWCAoRWxlY3Ryb25p
YykmI3hEOzEzNTUtNjAzNyAoTGlua2luZyk8L2lzYm4+PGFjY2Vzc2lvbi1udW0+MjU4MTQ2NTM8
L2FjY2Vzc2lvbi1udW0+PHVybHM+PHJlbGF0ZWQtdXJscz48dXJsPmh0dHBzOi8vd3d3Lm5jYmku
bmxtLm5paC5nb3YvcHVibWVkLzI1ODE0NjUzPC91cmw+PC9yZWxhdGVkLXVybHM+PC91cmxzPjxj
dXN0b20yPlBNQzQ0ODQyNjI8L2N1c3RvbTI+PGVsZWN0cm9uaWMtcmVzb3VyY2UtbnVtPjEwLjEx
MzYvaGVhcnRqbmwtMjAxMy0zMDU0MDI8L2VsZWN0cm9uaWMtcmVzb3VyY2UtbnVtPjwvcmVjb3Jk
PjwvQ2l0ZT48L0VuZE5vdGU+AG==
</w:fldData>
        </w:fldChar>
      </w:r>
      <w:r w:rsidR="002F5B72" w:rsidRPr="00774B2C">
        <w:rPr>
          <w:szCs w:val="24"/>
        </w:rPr>
        <w:instrText xml:space="preserve"> ADDIN EN.CITE </w:instrText>
      </w:r>
      <w:r w:rsidR="002F5B72" w:rsidRPr="00774B2C">
        <w:rPr>
          <w:szCs w:val="24"/>
        </w:rPr>
        <w:fldChar w:fldCharType="begin">
          <w:fldData xml:space="preserve">PEVuZE5vdGU+PENpdGU+PEF1dGhvcj5BY3Vuem88L0F1dGhvcj48WWVhcj4yMDE1PC9ZZWFyPjxS
ZWNOdW0+Mzg4MjwvUmVjTnVtPjxEaXNwbGF5VGV4dD48c3R5bGUgZmFjZT0ic3VwZXJzY3JpcHQi
PlsxMiwgMTNdPC9zdHlsZT48L0Rpc3BsYXlUZXh0PjxyZWNvcmQ+PHJlYy1udW1iZXI+Mzg4Mjwv
cmVjLW51bWJlcj48Zm9yZWlnbi1rZXlzPjxrZXkgYXBwPSJFTiIgZGItaWQ9ImFlYXg5ZnJyM3Nh
OXJjZTJycGE1c2V6ZHRkMnB2MDB3Mjl6MCIgdGltZXN0YW1wPSIxNTc3ODk0MjE4Ij4zODgyPC9r
ZXk+PC9mb3JlaWduLWtleXM+PHJlZi10eXBlIG5hbWU9IkpvdXJuYWwgQXJ0aWNsZSI+MTc8L3Jl
Zi10eXBlPjxjb250cmlidXRvcnM+PGF1dGhvcnM+PGF1dGhvcj5BY3Vuem8sIE0uPC9hdXRob3I+
PGF1dGhvcj5Sb21hbm8sIEcuPC9hdXRob3I+PGF1dGhvcj5XZXJuaWNrZSwgRC48L2F1dGhvcj48
YXV0aG9yPkNyb2NlLCBDLiBNLjwvYXV0aG9yPjwvYXV0aG9ycz48L2NvbnRyaWJ1dG9ycz48YXV0
aC1hZGRyZXNzPkRlcGFydG1lbnQgb2YgTW9sZWN1bGFyIFZpcm9sb2d5LCBJbW11bm9sb2d5IGFu
ZCBNZWRpY2FsIEdlbmV0aWNzLCBUaGUgT2hpbyBTdGF0ZSBVbml2ZXJzaXR5LCBDb21wcmVoZW5z
aXZlIENhbmNlciBDZW50ZXIsIENvbHVtYnVzLCBPSCwgVVNBLiYjeEQ7RGVwYXJ0bWVudCBvZiBN
b2xlY3VsYXIgVmlyb2xvZ3ksIEltbXVub2xvZ3kgYW5kIE1lZGljYWwgR2VuZXRpY3MsIFRoZSBP
aGlvIFN0YXRlIFVuaXZlcnNpdHksIENvbXByZWhlbnNpdmUgQ2FuY2VyIENlbnRlciwgQ29sdW1i
dXMsIE9ILCBVU0EuIEVsZWN0cm9uaWMgYWRkcmVzczogY2FybG8uY3JvY2VAb3N1bWMuZWR1Ljwv
YXV0aC1hZGRyZXNzPjx0aXRsZXM+PHRpdGxlPk1pY3JvUk5BIGFuZCBjYW5jZXItLWEgYnJpZWYg
b3ZlcnZpZXc8L3RpdGxlPjxzZWNvbmRhcnktdGl0bGU+QWR2IEJpb2wgUmVndWw8L3NlY29uZGFy
eS10aXRsZT48L3RpdGxlcz48cGVyaW9kaWNhbD48ZnVsbC10aXRsZT5BZHYgQmlvbCBSZWd1bDwv
ZnVsbC10aXRsZT48L3BlcmlvZGljYWw+PHBhZ2VzPjEtOTwvcGFnZXM+PHZvbHVtZT41Nzwvdm9s
dW1lPjxlZGl0aW9uPjIwMTQvMTAvMDk8L2VkaXRpb24+PGtleXdvcmRzPjxrZXl3b3JkPkFuaW1h
bHM8L2tleXdvcmQ+PGtleXdvcmQ+KkRydWcgUmVzaXN0YW5jZSwgTmVvcGxhc208L2tleXdvcmQ+
PGtleXdvcmQ+KkdlbmUgRXhwcmVzc2lvbiBSZWd1bGF0aW9uLCBOZW9wbGFzdGljPC9rZXl3b3Jk
PjxrZXl3b3JkPkh1bWFuczwva2V5d29yZD48a2V5d29yZD4qTWljcm9STkFzL2dlbmV0aWNzL21l
dGFib2xpc208L2tleXdvcmQ+PGtleXdvcmQ+Kk5lb3BsYXNtcy9nZW5ldGljcy9tZXRhYm9saXNt
L3BhdGhvbG9neTwva2V5d29yZD48a2V5d29yZD4qUk5BLCBOZW9wbGFzbS9nZW5ldGljcy9tZXRh
Ym9saXNtPC9rZXl3b3JkPjxrZXl3b3JkPkJpb21hcmtlcjwva2V5d29yZD48a2V5d29yZD5DYW5j
ZXI8L2tleXdvcmQ+PGtleXdvcmQ+TWljcm9STkE8L2tleXdvcmQ+PC9rZXl3b3Jkcz48ZGF0ZXM+
PHllYXI+MjAxNTwveWVhcj48cHViLWRhdGVzPjxkYXRlPkphbjwvZGF0ZT48L3B1Yi1kYXRlcz48
L2RhdGVzPjxpc2JuPjIyMTItNDkzNCAoRWxlY3Ryb25pYykmI3hEOzIyMTItNDkyNiAoTGlua2lu
Zyk8L2lzYm4+PGFjY2Vzc2lvbi1udW0+MjUyOTQ2Nzg8L2FjY2Vzc2lvbi1udW0+PHVybHM+PHJl
bGF0ZWQtdXJscz48dXJsPmh0dHBzOi8vd3d3Lm5jYmkubmxtLm5paC5nb3YvcHVibWVkLzI1Mjk0
Njc4PC91cmw+PC9yZWxhdGVkLXVybHM+PC91cmxzPjxlbGVjdHJvbmljLXJlc291cmNlLW51bT4x
MC4xMDE2L2ouamJpb3IuMjAxNC4wOS4wMTM8L2VsZWN0cm9uaWMtcmVzb3VyY2UtbnVtPjwvcmVj
b3JkPjwvQ2l0ZT48Q2l0ZT48QXV0aG9yPlJvbWFpbmU8L0F1dGhvcj48WWVhcj4yMDE1PC9ZZWFy
PjxSZWNOdW0+Mzg4MzwvUmVjTnVtPjxyZWNvcmQ+PHJlYy1udW1iZXI+Mzg4MzwvcmVjLW51bWJl
cj48Zm9yZWlnbi1rZXlzPjxrZXkgYXBwPSJFTiIgZGItaWQ9ImFlYXg5ZnJyM3NhOXJjZTJycGE1
c2V6ZHRkMnB2MDB3Mjl6MCIgdGltZXN0YW1wPSIxNTc3ODk0MjQ0Ij4zODgzPC9rZXk+PC9mb3Jl
aWduLWtleXM+PHJlZi10eXBlIG5hbWU9IkpvdXJuYWwgQXJ0aWNsZSI+MTc8L3JlZi10eXBlPjxj
b250cmlidXRvcnM+PGF1dGhvcnM+PGF1dGhvcj5Sb21haW5lLCBTLiBQLjwvYXV0aG9yPjxhdXRo
b3I+VG9tYXN6ZXdza2ksIE0uPC9hdXRob3I+PGF1dGhvcj5Db25kb3JlbGxpLCBHLjwvYXV0aG9y
PjxhdXRob3I+U2FtYW5pLCBOLiBKLjwvYXV0aG9yPjwvYXV0aG9ycz48L2NvbnRyaWJ1dG9ycz48
YXV0aC1hZGRyZXNzPkRlcGFydG1lbnQgb2YgQ2FyZGlvdmFzY3VsYXIgU2NpZW5jZXMsIFVuaXZl
cnNpdHkgb2YgTGVpY2VzdGVyLCBMZWljZXN0ZXIsIFVLLiYjeEQ7RGVwYXJ0bWVudCBvZiBDYXJk
aW92YXNjdWxhciBTY2llbmNlcywgVW5pdmVyc2l0eSBvZiBMZWljZXN0ZXIsIExlaWNlc3Rlciwg
VUsgTklIUiBMZWljZXN0ZXIgQ2FyZGlvdmFzY3VsYXIgQmlvbWVkaWNhbCBSZXNlYXJjaCBVbml0
LCBMZWljZXN0ZXIsIFVLLiYjeEQ7RGVwYXJ0bWVudCBvZiBDYXJkaW92YXNjdWxhciBTY2llbmNl
cywgVW5pdmVyc2l0eSBvZiBMZWljZXN0ZXIsIExlaWNlc3RlciwgVUsgTklIUiBMZWljZXN0ZXIg
Q2FyZGlvdmFzY3VsYXIgQmlvbWVkaWNhbCBSZXNlYXJjaCBVbml0LCBMZWljZXN0ZXIsIFVLIFVu
aXZlcnNpdHkgb2YgTWlsYW4sIE1pbGFuLCBJdGFseS48L2F1dGgtYWRkcmVzcz48dGl0bGVzPjx0
aXRsZT5NaWNyb1JOQXMgaW4gY2FyZGlvdmFzY3VsYXIgZGlzZWFzZTogYW4gaW50cm9kdWN0aW9u
IGZvciBjbGluaWNpYW5zPC90aXRsZT48c2Vjb25kYXJ5LXRpdGxlPkhlYXJ0PC9zZWNvbmRhcnkt
dGl0bGU+PC90aXRsZXM+PHBlcmlvZGljYWw+PGZ1bGwtdGl0bGU+SGVhcnQ8L2Z1bGwtdGl0bGU+
PC9wZXJpb2RpY2FsPjxwYWdlcz45MjEtODwvcGFnZXM+PHZvbHVtZT4xMDE8L3ZvbHVtZT48bnVt
YmVyPjEyPC9udW1iZXI+PGVkaXRpb24+MjAxNS8wMy8zMTwvZWRpdGlvbj48a2V5d29yZHM+PGtl
eXdvcmQ+QWR1bHQ8L2tleXdvcmQ+PGtleXdvcmQ+QW5pbWFsczwva2V5d29yZD48a2V5d29yZD5B
dGhlcm9zY2xlcm9zaXMvcGh5c2lvcGF0aG9sb2d5PC9rZXl3b3JkPjxrZXl3b3JkPkF0cmlhbCBS
ZW1vZGVsaW5nL3BoeXNpb2xvZ3k8L2tleXdvcmQ+PGtleXdvcmQ+Q2FyZGlvdmFzY3VsYXIgRGlz
ZWFzZXMvZHJ1ZyB0aGVyYXB5LypnZW5ldGljcy9tZXRhYm9saXNtPC9rZXl3b3JkPjxrZXl3b3Jk
Pkh1bWFuczwva2V5d29yZD48a2V5d29yZD5NaWNyb1JOQXMvYW5hbHlzaXMvZ2VuZXRpY3MvKnBo
eXNpb2xvZ3k8L2tleXdvcmQ+PGtleXdvcmQ+TW9sZWN1bGFyIFRhcmdldGVkIFRoZXJhcHk8L2tl
eXdvcmQ+PC9rZXl3b3Jkcz48ZGF0ZXM+PHllYXI+MjAxNTwveWVhcj48cHViLWRhdGVzPjxkYXRl
Pkp1bjwvZGF0ZT48L3B1Yi1kYXRlcz48L2RhdGVzPjxpc2JuPjE0NjgtMjAxWCAoRWxlY3Ryb25p
YykmI3hEOzEzNTUtNjAzNyAoTGlua2luZyk8L2lzYm4+PGFjY2Vzc2lvbi1udW0+MjU4MTQ2NTM8
L2FjY2Vzc2lvbi1udW0+PHVybHM+PHJlbGF0ZWQtdXJscz48dXJsPmh0dHBzOi8vd3d3Lm5jYmku
bmxtLm5paC5nb3YvcHVibWVkLzI1ODE0NjUzPC91cmw+PC9yZWxhdGVkLXVybHM+PC91cmxzPjxj
dXN0b20yPlBNQzQ0ODQyNjI8L2N1c3RvbTI+PGVsZWN0cm9uaWMtcmVzb3VyY2UtbnVtPjEwLjEx
MzYvaGVhcnRqbmwtMjAxMy0zMDU0MDI8L2VsZWN0cm9uaWMtcmVzb3VyY2UtbnVtPjwvcmVjb3Jk
PjwvQ2l0ZT48L0VuZE5vdGU+AG==
</w:fldData>
        </w:fldChar>
      </w:r>
      <w:r w:rsidR="002F5B72" w:rsidRPr="00774B2C">
        <w:rPr>
          <w:szCs w:val="24"/>
        </w:rPr>
        <w:instrText xml:space="preserve"> ADDIN EN.CITE.DATA </w:instrText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end"/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separate"/>
      </w:r>
      <w:r w:rsidR="002F5B72" w:rsidRPr="00774B2C">
        <w:rPr>
          <w:noProof/>
          <w:szCs w:val="24"/>
          <w:vertAlign w:val="superscript"/>
        </w:rPr>
        <w:t>[12,13]</w:t>
      </w:r>
      <w:r w:rsidR="002F5B72" w:rsidRPr="00774B2C">
        <w:rPr>
          <w:szCs w:val="24"/>
        </w:rPr>
        <w:fldChar w:fldCharType="end"/>
      </w:r>
      <w:r w:rsidRPr="00774B2C">
        <w:rPr>
          <w:szCs w:val="24"/>
        </w:rPr>
        <w:t xml:space="preserve">. Many studies have confirmed that </w:t>
      </w:r>
      <w:proofErr w:type="spellStart"/>
      <w:r w:rsidRPr="00774B2C">
        <w:rPr>
          <w:szCs w:val="24"/>
        </w:rPr>
        <w:t>miR</w:t>
      </w:r>
      <w:proofErr w:type="spellEnd"/>
      <w:r w:rsidRPr="00774B2C">
        <w:rPr>
          <w:szCs w:val="24"/>
        </w:rPr>
        <w:t xml:space="preserve"> can suppress the translation of target genes after transcription by binding to </w:t>
      </w:r>
      <w:proofErr w:type="spellStart"/>
      <w:r w:rsidRPr="00774B2C">
        <w:rPr>
          <w:szCs w:val="24"/>
        </w:rPr>
        <w:t>untranslated</w:t>
      </w:r>
      <w:proofErr w:type="spellEnd"/>
      <w:r w:rsidRPr="00774B2C">
        <w:rPr>
          <w:szCs w:val="24"/>
        </w:rPr>
        <w:t xml:space="preserve"> </w:t>
      </w:r>
      <w:proofErr w:type="gramStart"/>
      <w:r w:rsidRPr="00774B2C">
        <w:rPr>
          <w:szCs w:val="24"/>
        </w:rPr>
        <w:t>regions</w:t>
      </w:r>
      <w:proofErr w:type="gramEnd"/>
      <w:r w:rsidR="002F5B72" w:rsidRPr="00774B2C">
        <w:rPr>
          <w:szCs w:val="24"/>
        </w:rPr>
        <w:fldChar w:fldCharType="begin">
          <w:fldData xml:space="preserve">PEVuZE5vdGU+PENpdGU+PEF1dGhvcj5BZ2Fyd2FsPC9BdXRob3I+PFllYXI+MjAxNTwvWWVhcj48
UmVjTnVtPjM4ODQ8L1JlY051bT48RGlzcGxheVRleHQ+PHN0eWxlIGZhY2U9InN1cGVyc2NyaXB0
Ij5bMTRdPC9zdHlsZT48L0Rpc3BsYXlUZXh0PjxyZWNvcmQ+PHJlYy1udW1iZXI+Mzg4NDwvcmVj
LW51bWJlcj48Zm9yZWlnbi1rZXlzPjxrZXkgYXBwPSJFTiIgZGItaWQ9ImFlYXg5ZnJyM3NhOXJj
ZTJycGE1c2V6ZHRkMnB2MDB3Mjl6MCIgdGltZXN0YW1wPSIxNTc3ODk0MjY2Ij4zODg0PC9rZXk+
PC9mb3JlaWduLWtleXM+PHJlZi10eXBlIG5hbWU9IkpvdXJuYWwgQXJ0aWNsZSI+MTc8L3JlZi10
eXBlPjxjb250cmlidXRvcnM+PGF1dGhvcnM+PGF1dGhvcj5BZ2Fyd2FsLCBWLjwvYXV0aG9yPjxh
dXRob3I+QmVsbCwgRy4gVy48L2F1dGhvcj48YXV0aG9yPk5hbSwgSi4gVy48L2F1dGhvcj48YXV0
aG9yPkJhcnRlbCwgRC4gUC48L2F1dGhvcj48L2F1dGhvcnM+PC9jb250cmlidXRvcnM+PGF1dGgt
YWRkcmVzcz5Ib3dhcmQgSHVnaGVzIE1lZGljYWwgSW5zdGl0dXRlLCBXaGl0ZWhlYWQgSW5zdGl0
dXRlIGZvciBCaW9tZWRpY2FsIFJlc2VhcmNoLCBDYW1icmlkZ2UsIFVuaXRlZCBTdGF0ZXMuJiN4
RDtCaW9pbmZvcm1hdGljcyBhbmQgUmVzZWFyY2ggQ29tcHV0aW5nLCBXaGl0ZWhlYWQgSW5zdGl0
dXRlIGZvciBCaW9tZWRpY2FsIFJlc2VhcmNoLCBDYW1icmlkZ2UsIFVuaXRlZCBTdGF0ZXMuPC9h
dXRoLWFkZHJlc3M+PHRpdGxlcz48dGl0bGU+UHJlZGljdGluZyBlZmZlY3RpdmUgbWljcm9STkEg
dGFyZ2V0IHNpdGVzIGluIG1hbW1hbGlhbiBtUk5BczwvdGl0bGU+PHNlY29uZGFyeS10aXRsZT5F
bGlmZTwvc2Vjb25kYXJ5LXRpdGxlPjwvdGl0bGVzPjxwZXJpb2RpY2FsPjxmdWxsLXRpdGxlPkVs
aWZlPC9mdWxsLXRpdGxlPjwvcGVyaW9kaWNhbD48dm9sdW1lPjQ8L3ZvbHVtZT48ZWRpdGlvbj4y
MDE1LzA4LzEzPC9lZGl0aW9uPjxrZXl3b3Jkcz48a2V5d29yZD5BbmltYWxzPC9rZXl3b3JkPjxr
ZXl3b3JkPkJpbmRpbmcgU2l0ZXM8L2tleXdvcmQ+PGtleXdvcmQ+Q29tcHV0YXRpb25hbCBCaW9s
b2d5LyptZXRob2RzPC9rZXl3b3JkPjxrZXl3b3JkPkdlbmUgRXhwcmVzc2lvbiBSZWd1bGF0aW9u
PC9rZXl3b3JkPjxrZXl3b3JkPk1hbW1hbHM8L2tleXdvcmQ+PGtleXdvcmQ+TWljcm9STkFzLypn
ZW5ldGljcy8qbWV0YWJvbGlzbTwva2V5d29yZD48a2V5d29yZD5Nb2xlY3VsYXIgQmlvbG9neS8q
bWV0aG9kczwva2V5d29yZD48a2V5d29yZD5STkEsIE1lc3Nlbmdlci8qZ2VuZXRpY3MvKm1ldGFi
b2xpc208L2tleXdvcmQ+PGtleXdvcmQ+Y29tcHV0YXRpb25hbCBiaW9sb2d5PC9rZXl3b3JkPjxr
ZXl3b3JkPmV2b2x1dGlvbmFyeSBiaW9sb2d5PC9rZXl3b3JkPjxrZXl3b3JkPmdlbm9taWNzPC9r
ZXl3b3JkPjxrZXl3b3JkPmh1bWFuPC9rZXl3b3JkPjxrZXl3b3JkPm1pUk5BIHRhcmdldCBwcmVk
aWN0aW9uPC9rZXl3b3JkPjxrZXl3b3JkPm1pUk5BIHRhcmdldHM8L2tleXdvcmQ+PGtleXdvcmQ+
bWlSTkEtYmluZGluZyBzaXRlczwva2V5d29yZD48a2V5d29yZD5tb3VzZTwva2V5d29yZD48a2V5
d29yZD5wb3N0LXRyYW5zY3JpcHRpb25hbCBnZW5lIHJlZ3VsYXRpb248L2tleXdvcmQ+PGtleXdv
cmQ+cmF0PC9rZXl3b3JkPjxrZXl3b3JkPnN5c3RlbXMgYmlvbG9neTwva2V5d29yZD48a2V5d29y
ZD56ZWJyYWZpc2g8L2tleXdvcmQ+PC9rZXl3b3Jkcz48ZGF0ZXM+PHllYXI+MjAxNTwveWVhcj48
cHViLWRhdGVzPjxkYXRlPkF1ZyAxMjwvZGF0ZT48L3B1Yi1kYXRlcz48L2RhdGVzPjxpc2JuPjIw
NTAtMDg0WCAoRWxlY3Ryb25pYykmI3hEOzIwNTAtMDg0WCAoTGlua2luZyk8L2lzYm4+PGFjY2Vz
c2lvbi1udW0+MjYyNjcyMTY8L2FjY2Vzc2lvbi1udW0+PHVybHM+PHJlbGF0ZWQtdXJscz48dXJs
Pmh0dHBzOi8vd3d3Lm5jYmkubmxtLm5paC5nb3YvcHVibWVkLzI2MjY3MjE2PC91cmw+PC9yZWxh
dGVkLXVybHM+PC91cmxzPjxjdXN0b20yPlBNQzQ1MzI4OTU8L2N1c3RvbTI+PGVsZWN0cm9uaWMt
cmVzb3VyY2UtbnVtPjEwLjc1NTQvZUxpZmUuMDUwMDU8L2VsZWN0cm9uaWMtcmVzb3VyY2UtbnVt
PjwvcmVjb3JkPjwvQ2l0ZT48L0VuZE5vdGU+
</w:fldData>
        </w:fldChar>
      </w:r>
      <w:r w:rsidR="002F5B72" w:rsidRPr="00774B2C">
        <w:rPr>
          <w:szCs w:val="24"/>
        </w:rPr>
        <w:instrText xml:space="preserve"> ADDIN EN.CITE </w:instrText>
      </w:r>
      <w:r w:rsidR="002F5B72" w:rsidRPr="00774B2C">
        <w:rPr>
          <w:szCs w:val="24"/>
        </w:rPr>
        <w:fldChar w:fldCharType="begin">
          <w:fldData xml:space="preserve">PEVuZE5vdGU+PENpdGU+PEF1dGhvcj5BZ2Fyd2FsPC9BdXRob3I+PFllYXI+MjAxNTwvWWVhcj48
UmVjTnVtPjM4ODQ8L1JlY051bT48RGlzcGxheVRleHQ+PHN0eWxlIGZhY2U9InN1cGVyc2NyaXB0
Ij5bMTRdPC9zdHlsZT48L0Rpc3BsYXlUZXh0PjxyZWNvcmQ+PHJlYy1udW1iZXI+Mzg4NDwvcmVj
LW51bWJlcj48Zm9yZWlnbi1rZXlzPjxrZXkgYXBwPSJFTiIgZGItaWQ9ImFlYXg5ZnJyM3NhOXJj
ZTJycGE1c2V6ZHRkMnB2MDB3Mjl6MCIgdGltZXN0YW1wPSIxNTc3ODk0MjY2Ij4zODg0PC9rZXk+
PC9mb3JlaWduLWtleXM+PHJlZi10eXBlIG5hbWU9IkpvdXJuYWwgQXJ0aWNsZSI+MTc8L3JlZi10
eXBlPjxjb250cmlidXRvcnM+PGF1dGhvcnM+PGF1dGhvcj5BZ2Fyd2FsLCBWLjwvYXV0aG9yPjxh
dXRob3I+QmVsbCwgRy4gVy48L2F1dGhvcj48YXV0aG9yPk5hbSwgSi4gVy48L2F1dGhvcj48YXV0
aG9yPkJhcnRlbCwgRC4gUC48L2F1dGhvcj48L2F1dGhvcnM+PC9jb250cmlidXRvcnM+PGF1dGgt
YWRkcmVzcz5Ib3dhcmQgSHVnaGVzIE1lZGljYWwgSW5zdGl0dXRlLCBXaGl0ZWhlYWQgSW5zdGl0
dXRlIGZvciBCaW9tZWRpY2FsIFJlc2VhcmNoLCBDYW1icmlkZ2UsIFVuaXRlZCBTdGF0ZXMuJiN4
RDtCaW9pbmZvcm1hdGljcyBhbmQgUmVzZWFyY2ggQ29tcHV0aW5nLCBXaGl0ZWhlYWQgSW5zdGl0
dXRlIGZvciBCaW9tZWRpY2FsIFJlc2VhcmNoLCBDYW1icmlkZ2UsIFVuaXRlZCBTdGF0ZXMuPC9h
dXRoLWFkZHJlc3M+PHRpdGxlcz48dGl0bGU+UHJlZGljdGluZyBlZmZlY3RpdmUgbWljcm9STkEg
dGFyZ2V0IHNpdGVzIGluIG1hbW1hbGlhbiBtUk5BczwvdGl0bGU+PHNlY29uZGFyeS10aXRsZT5F
bGlmZTwvc2Vjb25kYXJ5LXRpdGxlPjwvdGl0bGVzPjxwZXJpb2RpY2FsPjxmdWxsLXRpdGxlPkVs
aWZlPC9mdWxsLXRpdGxlPjwvcGVyaW9kaWNhbD48dm9sdW1lPjQ8L3ZvbHVtZT48ZWRpdGlvbj4y
MDE1LzA4LzEzPC9lZGl0aW9uPjxrZXl3b3Jkcz48a2V5d29yZD5BbmltYWxzPC9rZXl3b3JkPjxr
ZXl3b3JkPkJpbmRpbmcgU2l0ZXM8L2tleXdvcmQ+PGtleXdvcmQ+Q29tcHV0YXRpb25hbCBCaW9s
b2d5LyptZXRob2RzPC9rZXl3b3JkPjxrZXl3b3JkPkdlbmUgRXhwcmVzc2lvbiBSZWd1bGF0aW9u
PC9rZXl3b3JkPjxrZXl3b3JkPk1hbW1hbHM8L2tleXdvcmQ+PGtleXdvcmQ+TWljcm9STkFzLypn
ZW5ldGljcy8qbWV0YWJvbGlzbTwva2V5d29yZD48a2V5d29yZD5Nb2xlY3VsYXIgQmlvbG9neS8q
bWV0aG9kczwva2V5d29yZD48a2V5d29yZD5STkEsIE1lc3Nlbmdlci8qZ2VuZXRpY3MvKm1ldGFi
b2xpc208L2tleXdvcmQ+PGtleXdvcmQ+Y29tcHV0YXRpb25hbCBiaW9sb2d5PC9rZXl3b3JkPjxr
ZXl3b3JkPmV2b2x1dGlvbmFyeSBiaW9sb2d5PC9rZXl3b3JkPjxrZXl3b3JkPmdlbm9taWNzPC9r
ZXl3b3JkPjxrZXl3b3JkPmh1bWFuPC9rZXl3b3JkPjxrZXl3b3JkPm1pUk5BIHRhcmdldCBwcmVk
aWN0aW9uPC9rZXl3b3JkPjxrZXl3b3JkPm1pUk5BIHRhcmdldHM8L2tleXdvcmQ+PGtleXdvcmQ+
bWlSTkEtYmluZGluZyBzaXRlczwva2V5d29yZD48a2V5d29yZD5tb3VzZTwva2V5d29yZD48a2V5
d29yZD5wb3N0LXRyYW5zY3JpcHRpb25hbCBnZW5lIHJlZ3VsYXRpb248L2tleXdvcmQ+PGtleXdv
cmQ+cmF0PC9rZXl3b3JkPjxrZXl3b3JkPnN5c3RlbXMgYmlvbG9neTwva2V5d29yZD48a2V5d29y
ZD56ZWJyYWZpc2g8L2tleXdvcmQ+PC9rZXl3b3Jkcz48ZGF0ZXM+PHllYXI+MjAxNTwveWVhcj48
cHViLWRhdGVzPjxkYXRlPkF1ZyAxMjwvZGF0ZT48L3B1Yi1kYXRlcz48L2RhdGVzPjxpc2JuPjIw
NTAtMDg0WCAoRWxlY3Ryb25pYykmI3hEOzIwNTAtMDg0WCAoTGlua2luZyk8L2lzYm4+PGFjY2Vz
c2lvbi1udW0+MjYyNjcyMTY8L2FjY2Vzc2lvbi1udW0+PHVybHM+PHJlbGF0ZWQtdXJscz48dXJs
Pmh0dHBzOi8vd3d3Lm5jYmkubmxtLm5paC5nb3YvcHVibWVkLzI2MjY3MjE2PC91cmw+PC9yZWxh
dGVkLXVybHM+PC91cmxzPjxjdXN0b20yPlBNQzQ1MzI4OTU8L2N1c3RvbTI+PGVsZWN0cm9uaWMt
cmVzb3VyY2UtbnVtPjEwLjc1NTQvZUxpZmUuMDUwMDU8L2VsZWN0cm9uaWMtcmVzb3VyY2UtbnVt
PjwvcmVjb3JkPjwvQ2l0ZT48L0VuZE5vdGU+
</w:fldData>
        </w:fldChar>
      </w:r>
      <w:r w:rsidR="002F5B72" w:rsidRPr="00774B2C">
        <w:rPr>
          <w:szCs w:val="24"/>
        </w:rPr>
        <w:instrText xml:space="preserve"> ADDIN EN.CITE.DATA </w:instrText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end"/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separate"/>
      </w:r>
      <w:r w:rsidR="002F5B72" w:rsidRPr="00774B2C">
        <w:rPr>
          <w:noProof/>
          <w:szCs w:val="24"/>
          <w:vertAlign w:val="superscript"/>
        </w:rPr>
        <w:t>[14]</w:t>
      </w:r>
      <w:r w:rsidR="002F5B72" w:rsidRPr="00774B2C">
        <w:rPr>
          <w:szCs w:val="24"/>
        </w:rPr>
        <w:fldChar w:fldCharType="end"/>
      </w:r>
      <w:r w:rsidRPr="00774B2C">
        <w:rPr>
          <w:szCs w:val="24"/>
        </w:rPr>
        <w:t xml:space="preserve">. </w:t>
      </w:r>
      <w:r w:rsidR="00633FF6">
        <w:rPr>
          <w:szCs w:val="24"/>
        </w:rPr>
        <w:t>The</w:t>
      </w:r>
      <w:r w:rsidRPr="00774B2C">
        <w:rPr>
          <w:szCs w:val="24"/>
        </w:rPr>
        <w:t xml:space="preserve"> study by Li </w:t>
      </w:r>
      <w:r w:rsidRPr="00774B2C">
        <w:rPr>
          <w:i/>
          <w:iCs/>
          <w:szCs w:val="24"/>
        </w:rPr>
        <w:t xml:space="preserve">et </w:t>
      </w:r>
      <w:proofErr w:type="gramStart"/>
      <w:r w:rsidRPr="00774B2C">
        <w:rPr>
          <w:i/>
          <w:iCs/>
          <w:szCs w:val="24"/>
        </w:rPr>
        <w:t>al</w:t>
      </w:r>
      <w:r w:rsidR="00774B2C" w:rsidRPr="00774B2C">
        <w:rPr>
          <w:szCs w:val="24"/>
          <w:vertAlign w:val="superscript"/>
        </w:rPr>
        <w:t>[</w:t>
      </w:r>
      <w:proofErr w:type="gramEnd"/>
      <w:r w:rsidR="00774B2C" w:rsidRPr="00774B2C">
        <w:rPr>
          <w:szCs w:val="24"/>
          <w:vertAlign w:val="superscript"/>
        </w:rPr>
        <w:t>15]</w:t>
      </w:r>
      <w:r w:rsidRPr="00774B2C">
        <w:rPr>
          <w:szCs w:val="24"/>
        </w:rPr>
        <w:t xml:space="preserve"> found that miR-377 could suppress the occurrence and development of </w:t>
      </w:r>
      <w:r w:rsidRPr="00774B2C">
        <w:rPr>
          <w:szCs w:val="24"/>
        </w:rPr>
        <w:lastRenderedPageBreak/>
        <w:t xml:space="preserve">esophageal carcinoma by mediating CD133 and vascular endothelial growth factor. Some studies showed that miR-506 could be used as a biomarker for </w:t>
      </w:r>
      <w:r w:rsidR="00633FF6">
        <w:rPr>
          <w:szCs w:val="24"/>
        </w:rPr>
        <w:t xml:space="preserve">the </w:t>
      </w:r>
      <w:r w:rsidRPr="00774B2C">
        <w:rPr>
          <w:szCs w:val="24"/>
        </w:rPr>
        <w:t>prognosis of esophageal squamous cell carcinoma</w:t>
      </w:r>
      <w:r w:rsidR="002F5B72" w:rsidRPr="00774B2C">
        <w:rPr>
          <w:szCs w:val="24"/>
        </w:rPr>
        <w:fldChar w:fldCharType="begin"/>
      </w:r>
      <w:r w:rsidR="002F5B72" w:rsidRPr="00774B2C">
        <w:rPr>
          <w:szCs w:val="24"/>
        </w:rPr>
        <w:instrText xml:space="preserve"> ADDIN EN.CITE &lt;EndNote&gt;&lt;Cite&gt;&lt;Author&gt;Li&lt;/Author&gt;&lt;Year&gt;2016&lt;/Year&gt;&lt;RecNum&gt;3886&lt;/RecNum&gt;&lt;DisplayText&gt;&lt;style face="superscript"&gt;[16]&lt;/style&gt;&lt;/DisplayText&gt;&lt;record&gt;&lt;rec-number&gt;3886&lt;/rec-number&gt;&lt;foreign-keys&gt;&lt;key app="EN" db-id="aeax9frr3sa9rce2rpa5sezdtd2pv00w29z0" timestamp="1577894383"&gt;3886&lt;/key&gt;&lt;/foreign-keys&gt;&lt;ref-type name="Journal Article"&gt;17&lt;/ref-type&gt;&lt;contributors&gt;&lt;authors&gt;&lt;author&gt;Li, S. P.&lt;/author&gt;&lt;author&gt;Su, H. X.&lt;/author&gt;&lt;author&gt;Zhao, D.&lt;/author&gt;&lt;author&gt;Guan, Q. L.&lt;/author&gt;&lt;/authors&gt;&lt;/contributors&gt;&lt;auth-address&gt;Department of Radiation Oncology, The First Hospital of Lanzhou University, Lanzhou, Gansu, China (mainland).&amp;#xD;Department of Oncology, The First Hospital of Lanzhou University, Lanzhou, Gansu, China (mainland).&lt;/auth-address&gt;&lt;titles&gt;&lt;title&gt;Plasma miRNA-506 as a Prognostic Biomarker for Esophageal Squamous Cell Carcinoma&lt;/title&gt;&lt;secondary-title&gt;Med Sci Monit&lt;/secondary-title&gt;&lt;/titles&gt;&lt;periodical&gt;&lt;full-title&gt;Med Sci Monit&lt;/full-title&gt;&lt;/periodical&gt;&lt;pages&gt;2195-201&lt;/pages&gt;&lt;volume&gt;22&lt;/volume&gt;&lt;edition&gt;2016/06/28&lt;/edition&gt;&lt;keywords&gt;&lt;keyword&gt;Adult&lt;/keyword&gt;&lt;keyword&gt;Aged&lt;/keyword&gt;&lt;keyword&gt;Biomarkers, Tumor/blood/genetics&lt;/keyword&gt;&lt;keyword&gt;Carcinoma, Squamous Cell/blood/*genetics/pathology&lt;/keyword&gt;&lt;keyword&gt;Esophageal Neoplasms/blood/*genetics/pathology&lt;/keyword&gt;&lt;keyword&gt;Esophageal Squamous Cell Carcinoma&lt;/keyword&gt;&lt;keyword&gt;Female&lt;/keyword&gt;&lt;keyword&gt;Humans&lt;/keyword&gt;&lt;keyword&gt;Lymphatic Metastasis&lt;/keyword&gt;&lt;keyword&gt;Male&lt;/keyword&gt;&lt;keyword&gt;MicroRNAs/*blood/genetics&lt;/keyword&gt;&lt;keyword&gt;Middle Aged&lt;/keyword&gt;&lt;keyword&gt;Neoplasm Staging&lt;/keyword&gt;&lt;keyword&gt;Prognosis&lt;/keyword&gt;&lt;keyword&gt;ROC Curve&lt;/keyword&gt;&lt;/keywords&gt;&lt;dates&gt;&lt;year&gt;2016&lt;/year&gt;&lt;pub-dates&gt;&lt;date&gt;Jun 27&lt;/date&gt;&lt;/pub-dates&gt;&lt;/dates&gt;&lt;isbn&gt;1643-3750 (Electronic)&amp;#xD;1234-1010 (Linking)&lt;/isbn&gt;&lt;accession-num&gt;27345473&lt;/accession-num&gt;&lt;urls&gt;&lt;related-urls&gt;&lt;url&gt;https://www.ncbi.nlm.nih.gov/pubmed/27345473&lt;/url&gt;&lt;/related-urls&gt;&lt;/urls&gt;&lt;custom2&gt;PMC4927144&lt;/custom2&gt;&lt;electronic-resource-num&gt;10.12659/msm.899377&lt;/electronic-resource-num&gt;&lt;/record&gt;&lt;/Cite&gt;&lt;/EndNote&gt;</w:instrText>
      </w:r>
      <w:r w:rsidR="002F5B72" w:rsidRPr="00774B2C">
        <w:rPr>
          <w:szCs w:val="24"/>
        </w:rPr>
        <w:fldChar w:fldCharType="separate"/>
      </w:r>
      <w:r w:rsidR="002F5B72" w:rsidRPr="00774B2C">
        <w:rPr>
          <w:noProof/>
          <w:szCs w:val="24"/>
          <w:vertAlign w:val="superscript"/>
        </w:rPr>
        <w:t>[16]</w:t>
      </w:r>
      <w:r w:rsidR="002F5B72" w:rsidRPr="00774B2C">
        <w:rPr>
          <w:szCs w:val="24"/>
        </w:rPr>
        <w:fldChar w:fldCharType="end"/>
      </w:r>
      <w:r w:rsidRPr="00774B2C">
        <w:rPr>
          <w:szCs w:val="24"/>
        </w:rPr>
        <w:t xml:space="preserve">. </w:t>
      </w:r>
      <w:proofErr w:type="gramStart"/>
      <w:r w:rsidRPr="00774B2C">
        <w:rPr>
          <w:szCs w:val="24"/>
        </w:rPr>
        <w:t>miR-1304</w:t>
      </w:r>
      <w:proofErr w:type="gramEnd"/>
      <w:r w:rsidRPr="00774B2C">
        <w:rPr>
          <w:szCs w:val="24"/>
        </w:rPr>
        <w:t xml:space="preserve"> is a newly discovered </w:t>
      </w:r>
      <w:proofErr w:type="spellStart"/>
      <w:r w:rsidRPr="00774B2C">
        <w:rPr>
          <w:szCs w:val="24"/>
        </w:rPr>
        <w:t>miR</w:t>
      </w:r>
      <w:proofErr w:type="spellEnd"/>
      <w:r w:rsidRPr="00774B2C">
        <w:rPr>
          <w:szCs w:val="24"/>
        </w:rPr>
        <w:t xml:space="preserve">. A previous study indicated that miR-1304 </w:t>
      </w:r>
      <w:r w:rsidR="00633FF6">
        <w:rPr>
          <w:szCs w:val="24"/>
        </w:rPr>
        <w:t>was</w:t>
      </w:r>
      <w:r w:rsidRPr="00774B2C">
        <w:rPr>
          <w:szCs w:val="24"/>
        </w:rPr>
        <w:t xml:space="preserve"> in expression imbalance in nasopharyngeal cancer patients treated with </w:t>
      </w:r>
      <w:proofErr w:type="gramStart"/>
      <w:r w:rsidRPr="00774B2C">
        <w:rPr>
          <w:szCs w:val="24"/>
        </w:rPr>
        <w:t>paclitaxel</w:t>
      </w:r>
      <w:proofErr w:type="gramEnd"/>
      <w:r w:rsidR="002F5B72" w:rsidRPr="00774B2C">
        <w:rPr>
          <w:szCs w:val="24"/>
          <w:vertAlign w:val="superscript"/>
        </w:rPr>
        <w:fldChar w:fldCharType="begin">
          <w:fldData xml:space="preserve">PEVuZE5vdGU+PENpdGU+PEF1dGhvcj5YdTwvQXV0aG9yPjxZZWFyPjIwMTM8L1llYXI+PFJlY051
bT4zODg3PC9SZWNOdW0+PERpc3BsYXlUZXh0PjxzdHlsZSBmYWNlPSJzdXBlcnNjcmlwdCI+WzE3
XTwvc3R5bGU+PC9EaXNwbGF5VGV4dD48cmVjb3JkPjxyZWMtbnVtYmVyPjM4ODc8L3JlYy1udW1i
ZXI+PGZvcmVpZ24ta2V5cz48a2V5IGFwcD0iRU4iIGRiLWlkPSJhZWF4OWZycjNzYTlyY2UycnBh
NXNlemR0ZDJwdjAwdzI5ejAiIHRpbWVzdGFtcD0iMTU3Nzg5NDQxNCI+Mzg4Nzwva2V5PjwvZm9y
ZWlnbi1rZXlzPjxyZWYtdHlwZSBuYW1lPSJKb3VybmFsIEFydGljbGUiPjE3PC9yZWYtdHlwZT48
Y29udHJpYnV0b3JzPjxhdXRob3JzPjxhdXRob3I+WHUsIEMuIFouPC9hdXRob3I+PGF1dGhvcj5T
aGksIFIuIEouPC9hdXRob3I+PGF1dGhvcj5DaGVuLCBELjwvYXV0aG9yPjxhdXRob3I+U3VuLCBZ
LiBZLjwvYXV0aG9yPjxhdXRob3I+V3UsIFEuIFcuPC9hdXRob3I+PGF1dGhvcj5XYW5nLCBULjwv
YXV0aG9yPjxhdXRob3I+V2FuZywgUC4gSC48L2F1dGhvcj48L2F1dGhvcnM+PC9jb250cmlidXRv
cnM+PGF1dGgtYWRkcmVzcz5EZXBhcnRtZW50IG9mIE90b2xhcnluZ29sb2d5LUhlYWQgYW5kIE5l
Y2sgU3VyZ2VyeSwgU2hhbmdoYWkgTmludGggUGVvcGxlJmFwb3M7cyBIb3NwaXRhbCwgU2Nob29s
IG9mIE1lZGljaW5lLCBTaGFuZ2hhaSBKaWFvIFRvbmcgVW5pdmVyc2l0eSBTaGFuZ2hhaSwgQ2hp
bmEuPC9hdXRoLWFkZHJlc3M+PHRpdGxlcz48dGl0bGU+UG90ZW50aWFsIGJpb21hcmtlcnMgZm9y
IHBhY2xpdGF4ZWwgc2Vuc2l0aXZpdHkgaW4gaHlwb3BoYXJ5bnggY2FuY2VyIGNlbGw8L3RpdGxl
PjxzZWNvbmRhcnktdGl0bGU+SW50IEogQ2xpbiBFeHAgUGF0aG9sPC9zZWNvbmRhcnktdGl0bGU+
PC90aXRsZXM+PHBlcmlvZGljYWw+PGZ1bGwtdGl0bGU+SW50IEogQ2xpbiBFeHAgUGF0aG9sPC9m
dWxsLXRpdGxlPjwvcGVyaW9kaWNhbD48cGFnZXM+Mjc0NS01NjwvcGFnZXM+PHZvbHVtZT42PC92
b2x1bWU+PG51bWJlcj4xMjwvbnVtYmVyPjxlZGl0aW9uPjIwMTMvMTIvMDM8L2VkaXRpb24+PGtl
eXdvcmRzPjxrZXl3b3JkPkFudGluZW9wbGFzdGljIEFnZW50cywgUGh5dG9nZW5pYy8qcGhhcm1h
Y29sb2d5PC9rZXl3b3JkPjxrZXl3b3JkPkJpb21hcmtlcnMsIFR1bW9yLypnZW5ldGljcy9tZXRh
Ym9saXNtPC9rZXl3b3JkPjxrZXl3b3JkPkNlbGwgTGluZSwgVHVtb3I8L2tleXdvcmQ+PGtleXdv
cmQ+Q2VsbCBTdXJ2aXZhbC9kcnVnIGVmZmVjdHM8L2tleXdvcmQ+PGtleXdvcmQ+RG9zZS1SZXNw
b25zZSBSZWxhdGlvbnNoaXAsIERydWc8L2tleXdvcmQ+PGtleXdvcmQ+RHJ1ZyBSZXNpc3RhbmNl
LCBOZW9wbGFzbS9nZW5ldGljczwva2V5d29yZD48a2V5d29yZD5HZW5lIEV4cHJlc3Npb24gUHJv
ZmlsaW5nL21ldGhvZHM8L2tleXdvcmQ+PGtleXdvcmQ+R2VuZSBFeHByZXNzaW9uIFJlZ3VsYXRp
b24sIE5lb3BsYXN0aWMvZHJ1ZyBlZmZlY3RzPC9rZXl3b3JkPjxrZXl3b3JkPkdlbmUgUmVndWxh
dG9yeSBOZXR3b3Jrcy9kcnVnIGVmZmVjdHM8L2tleXdvcmQ+PGtleXdvcmQ+SHVtYW5zPC9rZXl3
b3JkPjxrZXl3b3JkPkh5cG9waGFyeW5nZWFsIE5lb3BsYXNtcy8qZ2VuZXRpY3MvbWV0YWJvbGlz
bS9wYXRob2xvZ3k8L2tleXdvcmQ+PGtleXdvcmQ+TWljcm9STkFzL21ldGFib2xpc208L2tleXdv
cmQ+PGtleXdvcmQ+T2xpZ29udWNsZW90aWRlIEFycmF5IFNlcXVlbmNlIEFuYWx5c2lzPC9rZXl3
b3JkPjxrZXl3b3JkPlBhY2xpdGF4ZWwvKnBoYXJtYWNvbG9neTwva2V5d29yZD48a2V5d29yZD5S
TkEsIE1lc3Nlbmdlci9tZXRhYm9saXNtPC9rZXl3b3JkPjxrZXl3b3JkPlJlcHJvZHVjaWJpbGl0
eSBvZiBSZXN1bHRzPC9rZXl3b3JkPjxrZXl3b3JkPlNpZ25hbCBUcmFuc2R1Y3Rpb24vZHJ1ZyBl
ZmZlY3RzL2dlbmV0aWNzPC9rZXl3b3JkPjxrZXl3b3JkPlRpbWUgRmFjdG9yczwva2V5d29yZD48
a2V5d29yZD5ETkEgbWljcm9hcnJheTwva2V5d29yZD48a2V5d29yZD5QYWNsaXRheGVsPC9rZXl3
b3JkPjxrZXl3b3JkPmh5cG9waGFyeW54IGNhbmNlcjwva2V5d29yZD48a2V5d29yZD5tVE9SIHNp
Z25hbGluZzwva2V5d29yZD48L2tleXdvcmRzPjxkYXRlcz48eWVhcj4yMDEzPC95ZWFyPjwvZGF0
ZXM+PGlzYm4+MTkzNi0yNjI1IChFbGVjdHJvbmljKSYjeEQ7MTkzNi0yNjI1IChMaW5raW5nKTwv
aXNibj48YWNjZXNzaW9uLW51bT4yNDI5NDM2MTwvYWNjZXNzaW9uLW51bT48dXJscz48cmVsYXRl
ZC11cmxzPjx1cmw+aHR0cHM6Ly93d3cubmNiaS5ubG0ubmloLmdvdi9wdWJtZWQvMjQyOTQzNjE8
L3VybD48L3JlbGF0ZWQtdXJscz48L3VybHM+PGN1c3RvbTI+UE1DMzg0MzI1NTwvY3VzdG9tMj48
L3JlY29yZD48L0NpdGU+PC9FbmROb3RlPgB=
</w:fldData>
        </w:fldChar>
      </w:r>
      <w:r w:rsidR="002F5B72" w:rsidRPr="00774B2C">
        <w:rPr>
          <w:szCs w:val="24"/>
          <w:vertAlign w:val="superscript"/>
        </w:rPr>
        <w:instrText xml:space="preserve"> ADDIN EN.CITE </w:instrText>
      </w:r>
      <w:r w:rsidR="002F5B72" w:rsidRPr="00774B2C">
        <w:rPr>
          <w:szCs w:val="24"/>
          <w:vertAlign w:val="superscript"/>
        </w:rPr>
        <w:fldChar w:fldCharType="begin">
          <w:fldData xml:space="preserve">PEVuZE5vdGU+PENpdGU+PEF1dGhvcj5YdTwvQXV0aG9yPjxZZWFyPjIwMTM8L1llYXI+PFJlY051
bT4zODg3PC9SZWNOdW0+PERpc3BsYXlUZXh0PjxzdHlsZSBmYWNlPSJzdXBlcnNjcmlwdCI+WzE3
XTwvc3R5bGU+PC9EaXNwbGF5VGV4dD48cmVjb3JkPjxyZWMtbnVtYmVyPjM4ODc8L3JlYy1udW1i
ZXI+PGZvcmVpZ24ta2V5cz48a2V5IGFwcD0iRU4iIGRiLWlkPSJhZWF4OWZycjNzYTlyY2UycnBh
NXNlemR0ZDJwdjAwdzI5ejAiIHRpbWVzdGFtcD0iMTU3Nzg5NDQxNCI+Mzg4Nzwva2V5PjwvZm9y
ZWlnbi1rZXlzPjxyZWYtdHlwZSBuYW1lPSJKb3VybmFsIEFydGljbGUiPjE3PC9yZWYtdHlwZT48
Y29udHJpYnV0b3JzPjxhdXRob3JzPjxhdXRob3I+WHUsIEMuIFouPC9hdXRob3I+PGF1dGhvcj5T
aGksIFIuIEouPC9hdXRob3I+PGF1dGhvcj5DaGVuLCBELjwvYXV0aG9yPjxhdXRob3I+U3VuLCBZ
LiBZLjwvYXV0aG9yPjxhdXRob3I+V3UsIFEuIFcuPC9hdXRob3I+PGF1dGhvcj5XYW5nLCBULjwv
YXV0aG9yPjxhdXRob3I+V2FuZywgUC4gSC48L2F1dGhvcj48L2F1dGhvcnM+PC9jb250cmlidXRv
cnM+PGF1dGgtYWRkcmVzcz5EZXBhcnRtZW50IG9mIE90b2xhcnluZ29sb2d5LUhlYWQgYW5kIE5l
Y2sgU3VyZ2VyeSwgU2hhbmdoYWkgTmludGggUGVvcGxlJmFwb3M7cyBIb3NwaXRhbCwgU2Nob29s
IG9mIE1lZGljaW5lLCBTaGFuZ2hhaSBKaWFvIFRvbmcgVW5pdmVyc2l0eSBTaGFuZ2hhaSwgQ2hp
bmEuPC9hdXRoLWFkZHJlc3M+PHRpdGxlcz48dGl0bGU+UG90ZW50aWFsIGJpb21hcmtlcnMgZm9y
IHBhY2xpdGF4ZWwgc2Vuc2l0aXZpdHkgaW4gaHlwb3BoYXJ5bnggY2FuY2VyIGNlbGw8L3RpdGxl
PjxzZWNvbmRhcnktdGl0bGU+SW50IEogQ2xpbiBFeHAgUGF0aG9sPC9zZWNvbmRhcnktdGl0bGU+
PC90aXRsZXM+PHBlcmlvZGljYWw+PGZ1bGwtdGl0bGU+SW50IEogQ2xpbiBFeHAgUGF0aG9sPC9m
dWxsLXRpdGxlPjwvcGVyaW9kaWNhbD48cGFnZXM+Mjc0NS01NjwvcGFnZXM+PHZvbHVtZT42PC92
b2x1bWU+PG51bWJlcj4xMjwvbnVtYmVyPjxlZGl0aW9uPjIwMTMvMTIvMDM8L2VkaXRpb24+PGtl
eXdvcmRzPjxrZXl3b3JkPkFudGluZW9wbGFzdGljIEFnZW50cywgUGh5dG9nZW5pYy8qcGhhcm1h
Y29sb2d5PC9rZXl3b3JkPjxrZXl3b3JkPkJpb21hcmtlcnMsIFR1bW9yLypnZW5ldGljcy9tZXRh
Ym9saXNtPC9rZXl3b3JkPjxrZXl3b3JkPkNlbGwgTGluZSwgVHVtb3I8L2tleXdvcmQ+PGtleXdv
cmQ+Q2VsbCBTdXJ2aXZhbC9kcnVnIGVmZmVjdHM8L2tleXdvcmQ+PGtleXdvcmQ+RG9zZS1SZXNw
b25zZSBSZWxhdGlvbnNoaXAsIERydWc8L2tleXdvcmQ+PGtleXdvcmQ+RHJ1ZyBSZXNpc3RhbmNl
LCBOZW9wbGFzbS9nZW5ldGljczwva2V5d29yZD48a2V5d29yZD5HZW5lIEV4cHJlc3Npb24gUHJv
ZmlsaW5nL21ldGhvZHM8L2tleXdvcmQ+PGtleXdvcmQ+R2VuZSBFeHByZXNzaW9uIFJlZ3VsYXRp
b24sIE5lb3BsYXN0aWMvZHJ1ZyBlZmZlY3RzPC9rZXl3b3JkPjxrZXl3b3JkPkdlbmUgUmVndWxh
dG9yeSBOZXR3b3Jrcy9kcnVnIGVmZmVjdHM8L2tleXdvcmQ+PGtleXdvcmQ+SHVtYW5zPC9rZXl3
b3JkPjxrZXl3b3JkPkh5cG9waGFyeW5nZWFsIE5lb3BsYXNtcy8qZ2VuZXRpY3MvbWV0YWJvbGlz
bS9wYXRob2xvZ3k8L2tleXdvcmQ+PGtleXdvcmQ+TWljcm9STkFzL21ldGFib2xpc208L2tleXdv
cmQ+PGtleXdvcmQ+T2xpZ29udWNsZW90aWRlIEFycmF5IFNlcXVlbmNlIEFuYWx5c2lzPC9rZXl3
b3JkPjxrZXl3b3JkPlBhY2xpdGF4ZWwvKnBoYXJtYWNvbG9neTwva2V5d29yZD48a2V5d29yZD5S
TkEsIE1lc3Nlbmdlci9tZXRhYm9saXNtPC9rZXl3b3JkPjxrZXl3b3JkPlJlcHJvZHVjaWJpbGl0
eSBvZiBSZXN1bHRzPC9rZXl3b3JkPjxrZXl3b3JkPlNpZ25hbCBUcmFuc2R1Y3Rpb24vZHJ1ZyBl
ZmZlY3RzL2dlbmV0aWNzPC9rZXl3b3JkPjxrZXl3b3JkPlRpbWUgRmFjdG9yczwva2V5d29yZD48
a2V5d29yZD5ETkEgbWljcm9hcnJheTwva2V5d29yZD48a2V5d29yZD5QYWNsaXRheGVsPC9rZXl3
b3JkPjxrZXl3b3JkPmh5cG9waGFyeW54IGNhbmNlcjwva2V5d29yZD48a2V5d29yZD5tVE9SIHNp
Z25hbGluZzwva2V5d29yZD48L2tleXdvcmRzPjxkYXRlcz48eWVhcj4yMDEzPC95ZWFyPjwvZGF0
ZXM+PGlzYm4+MTkzNi0yNjI1IChFbGVjdHJvbmljKSYjeEQ7MTkzNi0yNjI1IChMaW5raW5nKTwv
aXNibj48YWNjZXNzaW9uLW51bT4yNDI5NDM2MTwvYWNjZXNzaW9uLW51bT48dXJscz48cmVsYXRl
ZC11cmxzPjx1cmw+aHR0cHM6Ly93d3cubmNiaS5ubG0ubmloLmdvdi9wdWJtZWQvMjQyOTQzNjE8
L3VybD48L3JlbGF0ZWQtdXJscz48L3VybHM+PGN1c3RvbTI+UE1DMzg0MzI1NTwvY3VzdG9tMj48
L3JlY29yZD48L0NpdGU+PC9FbmROb3RlPgB=
</w:fldData>
        </w:fldChar>
      </w:r>
      <w:r w:rsidR="002F5B72" w:rsidRPr="00774B2C">
        <w:rPr>
          <w:szCs w:val="24"/>
          <w:vertAlign w:val="superscript"/>
        </w:rPr>
        <w:instrText xml:space="preserve"> ADDIN EN.CITE.DATA </w:instrText>
      </w:r>
      <w:r w:rsidR="002F5B72" w:rsidRPr="00774B2C">
        <w:rPr>
          <w:szCs w:val="24"/>
          <w:vertAlign w:val="superscript"/>
        </w:rPr>
      </w:r>
      <w:r w:rsidR="002F5B72" w:rsidRPr="00774B2C">
        <w:rPr>
          <w:szCs w:val="24"/>
          <w:vertAlign w:val="superscript"/>
        </w:rPr>
        <w:fldChar w:fldCharType="end"/>
      </w:r>
      <w:r w:rsidR="002F5B72" w:rsidRPr="00774B2C">
        <w:rPr>
          <w:szCs w:val="24"/>
          <w:vertAlign w:val="superscript"/>
        </w:rPr>
      </w:r>
      <w:r w:rsidR="002F5B72" w:rsidRPr="00774B2C">
        <w:rPr>
          <w:szCs w:val="24"/>
          <w:vertAlign w:val="superscript"/>
        </w:rPr>
        <w:fldChar w:fldCharType="separate"/>
      </w:r>
      <w:r w:rsidR="002F5B72" w:rsidRPr="00774B2C">
        <w:rPr>
          <w:noProof/>
          <w:szCs w:val="24"/>
          <w:vertAlign w:val="superscript"/>
        </w:rPr>
        <w:t>[17]</w:t>
      </w:r>
      <w:r w:rsidR="002F5B72" w:rsidRPr="00774B2C">
        <w:rPr>
          <w:szCs w:val="24"/>
          <w:vertAlign w:val="superscript"/>
        </w:rPr>
        <w:fldChar w:fldCharType="end"/>
      </w:r>
      <w:r w:rsidRPr="00774B2C">
        <w:rPr>
          <w:szCs w:val="24"/>
        </w:rPr>
        <w:t xml:space="preserve">, but there is no related study on </w:t>
      </w:r>
      <w:r w:rsidR="00633FF6">
        <w:rPr>
          <w:szCs w:val="24"/>
        </w:rPr>
        <w:t xml:space="preserve">the </w:t>
      </w:r>
      <w:r w:rsidRPr="00774B2C">
        <w:rPr>
          <w:szCs w:val="24"/>
        </w:rPr>
        <w:t xml:space="preserve">expression of miR-1304 in patients with esophageal carcinoma. This study analyzed the expression of </w:t>
      </w:r>
      <w:proofErr w:type="spellStart"/>
      <w:r w:rsidRPr="00774B2C">
        <w:rPr>
          <w:szCs w:val="24"/>
        </w:rPr>
        <w:t>miR</w:t>
      </w:r>
      <w:proofErr w:type="spellEnd"/>
      <w:r w:rsidRPr="00774B2C">
        <w:rPr>
          <w:szCs w:val="24"/>
        </w:rPr>
        <w:t xml:space="preserve"> in patients with esophageal carcinoma based on </w:t>
      </w:r>
      <w:r w:rsidR="003021B3">
        <w:rPr>
          <w:szCs w:val="24"/>
        </w:rPr>
        <w:t>T</w:t>
      </w:r>
      <w:r w:rsidR="00633FF6">
        <w:rPr>
          <w:szCs w:val="24"/>
        </w:rPr>
        <w:t xml:space="preserve">he </w:t>
      </w:r>
      <w:r w:rsidR="00633FF6" w:rsidRPr="00774B2C">
        <w:rPr>
          <w:szCs w:val="24"/>
        </w:rPr>
        <w:t xml:space="preserve">Cancer Genome Atlas </w:t>
      </w:r>
      <w:r w:rsidR="003021B3">
        <w:rPr>
          <w:szCs w:val="24"/>
        </w:rPr>
        <w:t>(T</w:t>
      </w:r>
      <w:r w:rsidRPr="00774B2C">
        <w:rPr>
          <w:szCs w:val="24"/>
        </w:rPr>
        <w:t>CGA</w:t>
      </w:r>
      <w:r w:rsidR="003021B3">
        <w:rPr>
          <w:szCs w:val="24"/>
        </w:rPr>
        <w:t>)</w:t>
      </w:r>
      <w:r w:rsidRPr="00774B2C">
        <w:rPr>
          <w:szCs w:val="24"/>
        </w:rPr>
        <w:t xml:space="preserve"> database and found that miR-1304 was highly expressed in the</w:t>
      </w:r>
      <w:r w:rsidR="00633FF6">
        <w:rPr>
          <w:szCs w:val="24"/>
        </w:rPr>
        <w:t>se patients</w:t>
      </w:r>
      <w:r w:rsidRPr="00774B2C">
        <w:rPr>
          <w:szCs w:val="24"/>
        </w:rPr>
        <w:t xml:space="preserve">, which indicated that miR-1304 </w:t>
      </w:r>
      <w:r w:rsidR="00633FF6">
        <w:rPr>
          <w:szCs w:val="24"/>
        </w:rPr>
        <w:t>is</w:t>
      </w:r>
      <w:r w:rsidRPr="00774B2C">
        <w:rPr>
          <w:szCs w:val="24"/>
        </w:rPr>
        <w:t xml:space="preserve"> expected to be a potential ind</w:t>
      </w:r>
      <w:r w:rsidR="00747895">
        <w:rPr>
          <w:szCs w:val="24"/>
        </w:rPr>
        <w:t>icator of</w:t>
      </w:r>
      <w:r w:rsidRPr="00774B2C">
        <w:rPr>
          <w:szCs w:val="24"/>
        </w:rPr>
        <w:t xml:space="preserve"> esophageal carcinoma.</w:t>
      </w:r>
    </w:p>
    <w:p w14:paraId="430B1293" w14:textId="43201B9C" w:rsidR="00483403" w:rsidRPr="00774B2C" w:rsidRDefault="00483403" w:rsidP="00774B2C">
      <w:pPr>
        <w:adjustRightInd w:val="0"/>
        <w:snapToGrid w:val="0"/>
        <w:ind w:firstLineChars="100" w:firstLine="240"/>
        <w:rPr>
          <w:rFonts w:eastAsia="楷体"/>
          <w:szCs w:val="24"/>
        </w:rPr>
      </w:pPr>
      <w:r w:rsidRPr="00774B2C">
        <w:rPr>
          <w:szCs w:val="24"/>
        </w:rPr>
        <w:t xml:space="preserve">Therefore, this study </w:t>
      </w:r>
      <w:r w:rsidR="003021B3">
        <w:rPr>
          <w:szCs w:val="24"/>
        </w:rPr>
        <w:t>determined</w:t>
      </w:r>
      <w:r w:rsidRPr="00774B2C">
        <w:rPr>
          <w:szCs w:val="24"/>
        </w:rPr>
        <w:t xml:space="preserve"> the expression of miR-1304 in patients with esophageal carcinoma and its clinical value, </w:t>
      </w:r>
      <w:r w:rsidR="003021B3">
        <w:rPr>
          <w:szCs w:val="24"/>
        </w:rPr>
        <w:t>in order</w:t>
      </w:r>
      <w:r w:rsidRPr="00774B2C">
        <w:rPr>
          <w:szCs w:val="24"/>
        </w:rPr>
        <w:t xml:space="preserve"> to provide </w:t>
      </w:r>
      <w:r w:rsidR="003021B3">
        <w:rPr>
          <w:szCs w:val="24"/>
        </w:rPr>
        <w:t xml:space="preserve">a </w:t>
      </w:r>
      <w:r w:rsidRPr="00774B2C">
        <w:rPr>
          <w:szCs w:val="24"/>
        </w:rPr>
        <w:t>reference for clinicians.</w:t>
      </w:r>
    </w:p>
    <w:p w14:paraId="2340A2C1" w14:textId="77777777" w:rsidR="00D65E01" w:rsidRDefault="00D65E01" w:rsidP="00774B2C">
      <w:pPr>
        <w:rPr>
          <w:b/>
          <w:szCs w:val="24"/>
          <w:u w:val="single"/>
        </w:rPr>
      </w:pPr>
      <w:bookmarkStart w:id="21" w:name="OLE_LINK337"/>
      <w:bookmarkStart w:id="22" w:name="OLE_LINK338"/>
      <w:bookmarkStart w:id="23" w:name="OLE_LINK378"/>
      <w:bookmarkStart w:id="24" w:name="OLE_LINK388"/>
    </w:p>
    <w:p w14:paraId="184B3312" w14:textId="77777777" w:rsidR="00D65E01" w:rsidRDefault="00774B2C" w:rsidP="00D65E01">
      <w:pPr>
        <w:rPr>
          <w:b/>
          <w:szCs w:val="24"/>
          <w:u w:val="single"/>
        </w:rPr>
      </w:pPr>
      <w:r w:rsidRPr="006E6A95">
        <w:rPr>
          <w:b/>
          <w:szCs w:val="24"/>
          <w:u w:val="single"/>
        </w:rPr>
        <w:t>MATERIALS AND METHODS</w:t>
      </w:r>
      <w:bookmarkEnd w:id="21"/>
      <w:bookmarkEnd w:id="22"/>
      <w:bookmarkEnd w:id="23"/>
      <w:bookmarkEnd w:id="24"/>
    </w:p>
    <w:p w14:paraId="3A10FC19" w14:textId="65BED01D" w:rsidR="00483403" w:rsidRPr="00D65E01" w:rsidRDefault="00483403" w:rsidP="00D65E01">
      <w:pPr>
        <w:rPr>
          <w:b/>
          <w:bCs/>
          <w:i/>
          <w:iCs/>
          <w:szCs w:val="24"/>
          <w:u w:val="single"/>
        </w:rPr>
      </w:pPr>
      <w:r w:rsidRPr="00D65E01">
        <w:rPr>
          <w:b/>
          <w:bCs/>
          <w:i/>
          <w:iCs/>
          <w:szCs w:val="24"/>
        </w:rPr>
        <w:t>Data download</w:t>
      </w:r>
      <w:r w:rsidR="003021B3">
        <w:rPr>
          <w:b/>
          <w:bCs/>
          <w:i/>
          <w:iCs/>
          <w:szCs w:val="24"/>
        </w:rPr>
        <w:t>ed</w:t>
      </w:r>
      <w:r w:rsidRPr="00D65E01">
        <w:rPr>
          <w:b/>
          <w:bCs/>
          <w:i/>
          <w:iCs/>
          <w:szCs w:val="24"/>
        </w:rPr>
        <w:t xml:space="preserve"> from </w:t>
      </w:r>
      <w:r w:rsidR="003021B3">
        <w:rPr>
          <w:b/>
          <w:bCs/>
          <w:i/>
          <w:iCs/>
          <w:szCs w:val="24"/>
        </w:rPr>
        <w:t>T</w:t>
      </w:r>
      <w:r w:rsidRPr="00D65E01">
        <w:rPr>
          <w:b/>
          <w:bCs/>
          <w:i/>
          <w:iCs/>
          <w:szCs w:val="24"/>
        </w:rPr>
        <w:t>he Cancer Genome Atlas</w:t>
      </w:r>
    </w:p>
    <w:p w14:paraId="5F2264AA" w14:textId="6442CAD7" w:rsidR="00096C8E" w:rsidRDefault="00483403" w:rsidP="00096C8E">
      <w:pPr>
        <w:adjustRightInd w:val="0"/>
        <w:snapToGrid w:val="0"/>
        <w:rPr>
          <w:szCs w:val="24"/>
        </w:rPr>
      </w:pPr>
      <w:r w:rsidRPr="00774B2C">
        <w:rPr>
          <w:szCs w:val="24"/>
        </w:rPr>
        <w:t xml:space="preserve">Manifest, Cart, and Metadata were downloaded by logging </w:t>
      </w:r>
      <w:r w:rsidR="003021B3">
        <w:rPr>
          <w:szCs w:val="24"/>
        </w:rPr>
        <w:t>in</w:t>
      </w:r>
      <w:r w:rsidRPr="00774B2C">
        <w:rPr>
          <w:szCs w:val="24"/>
        </w:rPr>
        <w:t xml:space="preserve">to </w:t>
      </w:r>
      <w:hyperlink r:id="rId10" w:history="1">
        <w:r w:rsidR="00774B2C" w:rsidRPr="006708E5">
          <w:rPr>
            <w:rStyle w:val="a7"/>
            <w:szCs w:val="24"/>
          </w:rPr>
          <w:t>https://portal.gdc.cancer.gov/</w:t>
        </w:r>
      </w:hyperlink>
      <w:r w:rsidR="00774B2C">
        <w:rPr>
          <w:szCs w:val="24"/>
        </w:rPr>
        <w:t xml:space="preserve">, </w:t>
      </w:r>
      <w:r w:rsidRPr="00774B2C">
        <w:rPr>
          <w:szCs w:val="24"/>
        </w:rPr>
        <w:t>selecting Repository</w:t>
      </w:r>
      <w:r w:rsidR="00774B2C">
        <w:rPr>
          <w:rFonts w:hint="cs"/>
          <w:szCs w:val="24"/>
          <w:cs/>
        </w:rPr>
        <w:t>-</w:t>
      </w:r>
      <w:r w:rsidRPr="00774B2C">
        <w:rPr>
          <w:szCs w:val="24"/>
        </w:rPr>
        <w:t>Cases</w:t>
      </w:r>
      <w:r w:rsidR="00774B2C">
        <w:rPr>
          <w:rFonts w:hint="cs"/>
          <w:szCs w:val="24"/>
          <w:cs/>
        </w:rPr>
        <w:t>-</w:t>
      </w:r>
      <w:r w:rsidRPr="00774B2C">
        <w:rPr>
          <w:szCs w:val="24"/>
        </w:rPr>
        <w:t>Esophagus</w:t>
      </w:r>
      <w:r w:rsidR="00774B2C">
        <w:rPr>
          <w:rFonts w:hint="cs"/>
          <w:szCs w:val="24"/>
          <w:cs/>
        </w:rPr>
        <w:t>-</w:t>
      </w:r>
      <w:r w:rsidR="00774B2C" w:rsidRPr="00774B2C">
        <w:rPr>
          <w:rFonts w:cs="Times New Roman"/>
          <w:szCs w:val="24"/>
        </w:rPr>
        <w:t xml:space="preserve">The </w:t>
      </w:r>
      <w:r w:rsidR="00D65E01" w:rsidRPr="00774B2C">
        <w:rPr>
          <w:rFonts w:cs="Times New Roman"/>
          <w:szCs w:val="24"/>
        </w:rPr>
        <w:t>Cancer Genome Atlas</w:t>
      </w:r>
      <w:r w:rsidR="00D65E01" w:rsidRPr="00774B2C">
        <w:rPr>
          <w:szCs w:val="24"/>
        </w:rPr>
        <w:t xml:space="preserve"> </w:t>
      </w:r>
      <w:r w:rsidR="00774B2C">
        <w:rPr>
          <w:szCs w:val="24"/>
        </w:rPr>
        <w:t>(</w:t>
      </w:r>
      <w:r w:rsidRPr="00774B2C">
        <w:rPr>
          <w:szCs w:val="24"/>
        </w:rPr>
        <w:t>TCGA</w:t>
      </w:r>
      <w:r w:rsidR="00774B2C">
        <w:rPr>
          <w:szCs w:val="24"/>
        </w:rPr>
        <w:t>)-</w:t>
      </w:r>
      <w:r w:rsidRPr="00774B2C">
        <w:rPr>
          <w:szCs w:val="24"/>
        </w:rPr>
        <w:t>ESCA</w:t>
      </w:r>
      <w:r w:rsidR="00774B2C">
        <w:rPr>
          <w:rFonts w:hint="cs"/>
          <w:szCs w:val="24"/>
          <w:cs/>
        </w:rPr>
        <w:t>-</w:t>
      </w:r>
      <w:r w:rsidRPr="00774B2C">
        <w:rPr>
          <w:szCs w:val="24"/>
        </w:rPr>
        <w:t>File</w:t>
      </w:r>
      <w:r w:rsidR="00774B2C">
        <w:rPr>
          <w:rFonts w:hint="cs"/>
          <w:szCs w:val="24"/>
          <w:cs/>
        </w:rPr>
        <w:t>-</w:t>
      </w:r>
      <w:proofErr w:type="spellStart"/>
      <w:r w:rsidRPr="00774B2C">
        <w:rPr>
          <w:szCs w:val="24"/>
        </w:rPr>
        <w:t>Transcriptome</w:t>
      </w:r>
      <w:proofErr w:type="spellEnd"/>
      <w:r w:rsidRPr="00774B2C">
        <w:rPr>
          <w:szCs w:val="24"/>
        </w:rPr>
        <w:t xml:space="preserve"> Profiling</w:t>
      </w:r>
      <w:r w:rsidR="00774B2C">
        <w:rPr>
          <w:rFonts w:hint="cs"/>
          <w:szCs w:val="24"/>
          <w:cs/>
        </w:rPr>
        <w:t>-</w:t>
      </w:r>
      <w:proofErr w:type="spellStart"/>
      <w:r w:rsidRPr="00774B2C">
        <w:rPr>
          <w:szCs w:val="24"/>
        </w:rPr>
        <w:t>miRNA</w:t>
      </w:r>
      <w:proofErr w:type="spellEnd"/>
      <w:r w:rsidRPr="00774B2C">
        <w:rPr>
          <w:szCs w:val="24"/>
        </w:rPr>
        <w:t xml:space="preserve"> Expression Quantification</w:t>
      </w:r>
      <w:r w:rsidR="00774B2C">
        <w:rPr>
          <w:rFonts w:hint="cs"/>
          <w:szCs w:val="24"/>
          <w:cs/>
        </w:rPr>
        <w:t>-</w:t>
      </w:r>
      <w:proofErr w:type="spellStart"/>
      <w:r w:rsidRPr="00774B2C">
        <w:rPr>
          <w:szCs w:val="24"/>
        </w:rPr>
        <w:t>HTSeq</w:t>
      </w:r>
      <w:proofErr w:type="spellEnd"/>
      <w:r w:rsidRPr="00774B2C">
        <w:rPr>
          <w:szCs w:val="24"/>
        </w:rPr>
        <w:t xml:space="preserve">-Counts, and adding all Files to </w:t>
      </w:r>
      <w:r w:rsidR="003021B3">
        <w:rPr>
          <w:szCs w:val="24"/>
        </w:rPr>
        <w:t xml:space="preserve">the </w:t>
      </w:r>
      <w:r w:rsidRPr="00774B2C">
        <w:rPr>
          <w:szCs w:val="24"/>
        </w:rPr>
        <w:t xml:space="preserve">cart. A total of 198 specimens were collected, including 185 cancer tissue specimens and 13 tumor-adjacent tissue specimens. The files were converted into a matrix to extract data </w:t>
      </w:r>
      <w:r w:rsidR="003021B3">
        <w:rPr>
          <w:szCs w:val="24"/>
        </w:rPr>
        <w:t>on</w:t>
      </w:r>
      <w:r w:rsidRPr="00774B2C">
        <w:rPr>
          <w:szCs w:val="24"/>
        </w:rPr>
        <w:t xml:space="preserve"> miR-1304 for analysis.</w:t>
      </w:r>
    </w:p>
    <w:p w14:paraId="5F387093" w14:textId="77777777" w:rsidR="00096C8E" w:rsidRDefault="00096C8E" w:rsidP="00096C8E">
      <w:pPr>
        <w:adjustRightInd w:val="0"/>
        <w:snapToGrid w:val="0"/>
        <w:rPr>
          <w:szCs w:val="24"/>
        </w:rPr>
      </w:pPr>
    </w:p>
    <w:p w14:paraId="5158BCDC" w14:textId="457CC904" w:rsidR="00483403" w:rsidRPr="00096C8E" w:rsidRDefault="00483403" w:rsidP="00096C8E">
      <w:pPr>
        <w:adjustRightInd w:val="0"/>
        <w:snapToGrid w:val="0"/>
        <w:rPr>
          <w:rFonts w:eastAsia="楷体"/>
          <w:b/>
          <w:bCs/>
          <w:i/>
          <w:iCs/>
          <w:szCs w:val="24"/>
        </w:rPr>
      </w:pPr>
      <w:r w:rsidRPr="00096C8E">
        <w:rPr>
          <w:b/>
          <w:bCs/>
          <w:i/>
          <w:iCs/>
          <w:szCs w:val="24"/>
        </w:rPr>
        <w:t>Specimen collection from patients</w:t>
      </w:r>
    </w:p>
    <w:p w14:paraId="265EE82F" w14:textId="126EFFBC" w:rsidR="00096C8E" w:rsidRDefault="00483403" w:rsidP="00096C8E">
      <w:pPr>
        <w:adjustRightInd w:val="0"/>
        <w:snapToGrid w:val="0"/>
        <w:rPr>
          <w:szCs w:val="24"/>
        </w:rPr>
      </w:pPr>
      <w:r w:rsidRPr="00774B2C">
        <w:rPr>
          <w:szCs w:val="24"/>
        </w:rPr>
        <w:t xml:space="preserve">A total of 78 patients with esophageal carcinoma treated in </w:t>
      </w:r>
      <w:r w:rsidR="00AF7042" w:rsidRPr="00774B2C">
        <w:rPr>
          <w:szCs w:val="24"/>
        </w:rPr>
        <w:t>the Second Hospital of Jilin University</w:t>
      </w:r>
      <w:r w:rsidRPr="00774B2C">
        <w:rPr>
          <w:szCs w:val="24"/>
        </w:rPr>
        <w:t xml:space="preserve"> from March 201</w:t>
      </w:r>
      <w:r w:rsidR="00AF7042" w:rsidRPr="00774B2C">
        <w:rPr>
          <w:szCs w:val="24"/>
        </w:rPr>
        <w:t>5</w:t>
      </w:r>
      <w:r w:rsidRPr="00774B2C">
        <w:rPr>
          <w:szCs w:val="24"/>
        </w:rPr>
        <w:t xml:space="preserve"> to March 201</w:t>
      </w:r>
      <w:r w:rsidR="00AF7042" w:rsidRPr="00774B2C">
        <w:rPr>
          <w:szCs w:val="24"/>
        </w:rPr>
        <w:t>8</w:t>
      </w:r>
      <w:r w:rsidRPr="00774B2C">
        <w:rPr>
          <w:szCs w:val="24"/>
        </w:rPr>
        <w:t xml:space="preserve"> were enrolled as </w:t>
      </w:r>
      <w:r w:rsidR="003021B3">
        <w:rPr>
          <w:szCs w:val="24"/>
        </w:rPr>
        <w:t>the</w:t>
      </w:r>
      <w:r w:rsidRPr="00774B2C">
        <w:rPr>
          <w:szCs w:val="24"/>
        </w:rPr>
        <w:t xml:space="preserve"> patient group, and </w:t>
      </w:r>
      <w:r w:rsidR="003021B3">
        <w:rPr>
          <w:szCs w:val="24"/>
        </w:rPr>
        <w:t>an</w:t>
      </w:r>
      <w:r w:rsidRPr="00774B2C">
        <w:rPr>
          <w:szCs w:val="24"/>
        </w:rPr>
        <w:t xml:space="preserve">other 50 healthy </w:t>
      </w:r>
      <w:r w:rsidR="003021B3">
        <w:rPr>
          <w:szCs w:val="24"/>
        </w:rPr>
        <w:t>subjects</w:t>
      </w:r>
      <w:r w:rsidRPr="00774B2C">
        <w:rPr>
          <w:szCs w:val="24"/>
        </w:rPr>
        <w:t xml:space="preserve"> during the same period were enrolled as </w:t>
      </w:r>
      <w:r w:rsidR="003021B3">
        <w:rPr>
          <w:szCs w:val="24"/>
        </w:rPr>
        <w:t>the</w:t>
      </w:r>
      <w:r w:rsidRPr="00774B2C">
        <w:rPr>
          <w:szCs w:val="24"/>
        </w:rPr>
        <w:t xml:space="preserve"> normal group. The patient group consisted of 44 males and 34 females, with an average age of 58.4</w:t>
      </w:r>
      <w:r w:rsidR="00774B2C">
        <w:rPr>
          <w:szCs w:val="24"/>
        </w:rPr>
        <w:t xml:space="preserve"> </w:t>
      </w:r>
      <w:r w:rsidRPr="00774B2C">
        <w:rPr>
          <w:szCs w:val="24"/>
        </w:rPr>
        <w:t>±</w:t>
      </w:r>
      <w:r w:rsidR="00774B2C">
        <w:rPr>
          <w:szCs w:val="24"/>
        </w:rPr>
        <w:t xml:space="preserve"> </w:t>
      </w:r>
      <w:r w:rsidRPr="00774B2C">
        <w:rPr>
          <w:szCs w:val="24"/>
        </w:rPr>
        <w:t xml:space="preserve">5.9 years, and the normal group </w:t>
      </w:r>
      <w:r w:rsidRPr="00774B2C">
        <w:rPr>
          <w:szCs w:val="24"/>
        </w:rPr>
        <w:lastRenderedPageBreak/>
        <w:t>consisted of 30 males and 20 females, with an average age of 59.4</w:t>
      </w:r>
      <w:r w:rsidR="00774B2C">
        <w:rPr>
          <w:szCs w:val="24"/>
        </w:rPr>
        <w:t xml:space="preserve"> </w:t>
      </w:r>
      <w:r w:rsidRPr="00774B2C">
        <w:rPr>
          <w:szCs w:val="24"/>
        </w:rPr>
        <w:t>±</w:t>
      </w:r>
      <w:r w:rsidR="00774B2C">
        <w:rPr>
          <w:szCs w:val="24"/>
        </w:rPr>
        <w:t xml:space="preserve"> </w:t>
      </w:r>
      <w:r w:rsidRPr="00774B2C">
        <w:rPr>
          <w:szCs w:val="24"/>
        </w:rPr>
        <w:t>4.8 years. Inclusion criteria were as follows: Patients diagnosed with esophageal squamous cell carcinoma based on pathology; patients meeting the 8</w:t>
      </w:r>
      <w:r w:rsidRPr="00774B2C">
        <w:rPr>
          <w:szCs w:val="24"/>
          <w:vertAlign w:val="superscript"/>
        </w:rPr>
        <w:t>th</w:t>
      </w:r>
      <w:r w:rsidRPr="00774B2C">
        <w:rPr>
          <w:szCs w:val="24"/>
        </w:rPr>
        <w:t xml:space="preserve"> edition of TNM stage criteria for esophageal carcinoma released by the American Joint Committee on Cancer in 2017</w:t>
      </w:r>
      <w:r w:rsidR="002F5B72" w:rsidRPr="00774B2C">
        <w:rPr>
          <w:szCs w:val="24"/>
        </w:rPr>
        <w:fldChar w:fldCharType="begin">
          <w:fldData xml:space="preserve">PEVuZE5vdGU+PENpdGU+PEF1dGhvcj5aaGFuZzwvQXV0aG9yPjxZZWFyPjIwMTc8L1llYXI+PFJl
Y051bT4zODg5PC9SZWNOdW0+PERpc3BsYXlUZXh0PjxzdHlsZSBmYWNlPSJzdXBlcnNjcmlwdCI+
WzE4XTwvc3R5bGU+PC9EaXNwbGF5VGV4dD48cmVjb3JkPjxyZWMtbnVtYmVyPjM4ODk8L3JlYy1u
dW1iZXI+PGZvcmVpZ24ta2V5cz48a2V5IGFwcD0iRU4iIGRiLWlkPSJhZWF4OWZycjNzYTlyY2Uy
cnBhNXNlemR0ZDJwdjAwdzI5ejAiIHRpbWVzdGFtcD0iMTU3Nzg5NDU5MSI+Mzg4OTwva2V5Pjwv
Zm9yZWlnbi1rZXlzPjxyZWYtdHlwZSBuYW1lPSJKb3VybmFsIEFydGljbGUiPjE3PC9yZWYtdHlw
ZT48Y29udHJpYnV0b3JzPjxhdXRob3JzPjxhdXRob3I+WmhhbmcsIEQuPC9hdXRob3I+PGF1dGhv
cj5aaGVuZywgWS48L2F1dGhvcj48YXV0aG9yPldhbmcsIFouPC9hdXRob3I+PGF1dGhvcj5IdWFu
ZywgUS48L2F1dGhvcj48YXV0aG9yPkNhbywgWC48L2F1dGhvcj48YXV0aG9yPldhbmcsIEYuPC9h
dXRob3I+PGF1dGhvcj5MaXUsIFMuPC9hdXRob3I+PC9hdXRob3JzPjwvY29udHJpYnV0b3JzPjxh
dXRoLWFkZHJlc3M+RGVwYXJ0bWVudCBvZiBUaG9yYWNpYyBPbmNvbG9neSwgRnVqaWFuIE1lZGlj
YWwgVW5pdmVyc2l0eSBDYW5jZXIgSG9zcGl0YWwsIEZ1emhvdSwgRnVqaWFuLCBQUiBDaGluYS4m
I3hEO0RlcGFydG1lbnQgb2YgVGhvcmFjaWMgT25jb2xvZ3ksIEZ1amlhbiBNZWRpY2FsIFVuaXZl
cnNpdHkgQ2FuY2VyIEhvc3BpdGFsLCBGdXpob3UsIEZ1amlhbiwgUFIgQ2hpbmE7IEZ1amlhbiBQ
cm92aW5jaWFsIEtleSBMYWJvcmF0b3J5IG9mIFR1bW9yIEJpb3RoZXJhcHksIEZ1emhvdSwgRnVq
aWFuLCBQUiBDaGluYS4mI3hEO0RlcGFydG1lbnQgb2YgVGhvcmFjaWMgU3VyZ2VyeSwgU2hhbmdo
YWkgSmlhbyBUb25nIFVuaXZlcnNpdHkgQWZmaWxpYXRlZCBDaGVzdCBIb3NwaXRhbCwgMjQxIFdl
c3QgSHVhaWhhaSBSb2FkLCBTaGFuZ2hhaSwgUFIgQ2hpbmEuJiN4RDtEZXBhcnRtZW50IG9mIElu
dGVuc2l2ZSBDYXJlIFVuaXQsIFN1biBZYXQtc2VuIFVuaXZlcnNpdHkgQ2FuY2VyIENlbnRlciwg
U3RhdGUgS2V5IExhYm9yYXRvcnkgb2YgT25jb2xvZ3kgaW4gU291dGggQ2hpbmEsIENvbGxhYm9y
YXRpdmUgSW5ub3ZhdGlvbiwgR3Vhbmd6aG91LCBHdWFuZ2RvbmcsIFBSIENoaW5hLiYjeEQ7RGVw
YXJ0bWVudCBvZiBUaG9yYWNpYyBPbmNvbG9neSwgRnVqaWFuIE1lZGljYWwgVW5pdmVyc2l0eSBD
YW5jZXIgSG9zcGl0YWwsIEZ1emhvdSwgRnVqaWFuLCBQUiBDaGluYS4gRWxlY3Ryb25pYyBhZGRy
ZXNzOiBzaHVveWFubGl1MjAxMEAxNjMuY29tLjwvYXV0aC1hZGRyZXNzPjx0aXRsZXM+PHRpdGxl
PkNvbXBhcmlzb24gb2YgdGhlIDd0aCBhbmQgcHJvcG9zZWQgOHRoIGVkaXRpb25zIG9mIHRoZSBB
SkNDL1VJQ0MgVE5NIHN0YWdpbmcgc3lzdGVtIGZvciBlc29waGFnZWFsIHNxdWFtb3VzIGNlbGwg
Y2FyY2lub21hIHVuZGVyd2VudCByYWRpY2FsIHN1cmdlcnk8L3RpdGxlPjxzZWNvbmRhcnktdGl0
bGU+RXVyIEogU3VyZyBPbmNvbDwvc2Vjb25kYXJ5LXRpdGxlPjwvdGl0bGVzPjxwZXJpb2RpY2Fs
PjxmdWxsLXRpdGxlPkV1ciBKIFN1cmcgT25jb2w8L2Z1bGwtdGl0bGU+PC9wZXJpb2RpY2FsPjxw
YWdlcz4xOTQ5LTE5NTU8L3BhZ2VzPjx2b2x1bWU+NDM8L3ZvbHVtZT48bnVtYmVyPjEwPC9udW1i
ZXI+PGVkaXRpb24+MjAxNy8wNy8xOTwvZWRpdGlvbj48a2V5d29yZHM+PGtleXdvcmQ+QWR1bHQ8
L2tleXdvcmQ+PGtleXdvcmQ+QWdlZDwva2V5d29yZD48a2V5d29yZD5BZ2VkLCA4MCBhbmQgb3Zl
cjwva2V5d29yZD48a2V5d29yZD5DYXJjaW5vbWEsIFNxdWFtb3VzIENlbGwvKmRpYWdub3Npcy9t
b3J0YWxpdHkvc3VyZ2VyeTwva2V5d29yZD48a2V5d29yZD5DaGluYS9lcGlkZW1pb2xvZ3k8L2tl
eXdvcmQ+PGtleXdvcmQ+RXNvcGhhZ2VhbCBOZW9wbGFzbXMvKmRpYWdub3Npcy9tb3J0YWxpdHkv
c3VyZ2VyeTwva2V5d29yZD48a2V5d29yZD5Fc29waGFnZWFsIFNxdWFtb3VzIENlbGwgQ2FyY2lu
b21hPC9rZXl3b3JkPjxrZXl3b3JkPkVzb3BoYWdlY3RvbXkvKm1ldGhvZHM8L2tleXdvcmQ+PGtl
eXdvcmQ+RmVtYWxlPC9rZXl3b3JkPjxrZXl3b3JkPkZvbGxvdy1VcCBTdHVkaWVzPC9rZXl3b3Jk
PjxrZXl3b3JkPkh1bWFuczwva2V5d29yZD48a2V5d29yZD5NYWxlPC9rZXl3b3JkPjxrZXl3b3Jk
Pk1pZGRsZSBBZ2VkPC9rZXl3b3JkPjxrZXl3b3JkPk5lb3BsYXNtIFN0YWdpbmcvKmNsYXNzaWZp
Y2F0aW9uPC9rZXl3b3JkPjxrZXl3b3JkPlByb2dub3Npczwva2V5d29yZD48a2V5d29yZD5SZXRy
b3NwZWN0aXZlIFN0dWRpZXM8L2tleXdvcmQ+PGtleXdvcmQ+U3Vydml2YWwgUmF0ZS90cmVuZHM8
L2tleXdvcmQ+PGtleXdvcmQ+VGltZSBGYWN0b3JzPC9rZXl3b3JkPjxrZXl3b3JkPkVzb3BoYWdl
YWwgY2FuY2VyPC9rZXl3b3JkPjxrZXl3b3JkPlNxdWFtb3VzIGNlbGwgY2FyY2lub21hPC9rZXl3
b3JkPjwva2V5d29yZHM+PGRhdGVzPjx5ZWFyPjIwMTc8L3llYXI+PHB1Yi1kYXRlcz48ZGF0ZT5P
Y3Q8L2RhdGU+PC9wdWItZGF0ZXM+PC9kYXRlcz48aXNibj4xNTMyLTIxNTcgKEVsZWN0cm9uaWMp
JiN4RDswNzQ4LTc5ODMgKExpbmtpbmcpPC9pc2JuPjxhY2Nlc3Npb24tbnVtPjI4NzE2Mzc3PC9h
Y2Nlc3Npb24tbnVtPjx1cmxzPjxyZWxhdGVkLXVybHM+PHVybD5odHRwczovL3d3dy5uY2JpLm5s
bS5uaWguZ292L3B1Ym1lZC8yODcxNjM3NzwvdXJsPjwvcmVsYXRlZC11cmxzPjwvdXJscz48ZWxl
Y3Ryb25pYy1yZXNvdXJjZS1udW0+MTAuMTAxNi9qLmVqc28uMjAxNy4wNi4wMDU8L2VsZWN0cm9u
aWMtcmVzb3VyY2UtbnVtPjwvcmVjb3JkPjwvQ2l0ZT48L0VuZE5vdGU+
</w:fldData>
        </w:fldChar>
      </w:r>
      <w:r w:rsidR="002F5B72" w:rsidRPr="00774B2C">
        <w:rPr>
          <w:szCs w:val="24"/>
        </w:rPr>
        <w:instrText xml:space="preserve"> ADDIN EN.CITE </w:instrText>
      </w:r>
      <w:r w:rsidR="002F5B72" w:rsidRPr="00774B2C">
        <w:rPr>
          <w:szCs w:val="24"/>
        </w:rPr>
        <w:fldChar w:fldCharType="begin">
          <w:fldData xml:space="preserve">PEVuZE5vdGU+PENpdGU+PEF1dGhvcj5aaGFuZzwvQXV0aG9yPjxZZWFyPjIwMTc8L1llYXI+PFJl
Y051bT4zODg5PC9SZWNOdW0+PERpc3BsYXlUZXh0PjxzdHlsZSBmYWNlPSJzdXBlcnNjcmlwdCI+
WzE4XTwvc3R5bGU+PC9EaXNwbGF5VGV4dD48cmVjb3JkPjxyZWMtbnVtYmVyPjM4ODk8L3JlYy1u
dW1iZXI+PGZvcmVpZ24ta2V5cz48a2V5IGFwcD0iRU4iIGRiLWlkPSJhZWF4OWZycjNzYTlyY2Uy
cnBhNXNlemR0ZDJwdjAwdzI5ejAiIHRpbWVzdGFtcD0iMTU3Nzg5NDU5MSI+Mzg4OTwva2V5Pjwv
Zm9yZWlnbi1rZXlzPjxyZWYtdHlwZSBuYW1lPSJKb3VybmFsIEFydGljbGUiPjE3PC9yZWYtdHlw
ZT48Y29udHJpYnV0b3JzPjxhdXRob3JzPjxhdXRob3I+WmhhbmcsIEQuPC9hdXRob3I+PGF1dGhv
cj5aaGVuZywgWS48L2F1dGhvcj48YXV0aG9yPldhbmcsIFouPC9hdXRob3I+PGF1dGhvcj5IdWFu
ZywgUS48L2F1dGhvcj48YXV0aG9yPkNhbywgWC48L2F1dGhvcj48YXV0aG9yPldhbmcsIEYuPC9h
dXRob3I+PGF1dGhvcj5MaXUsIFMuPC9hdXRob3I+PC9hdXRob3JzPjwvY29udHJpYnV0b3JzPjxh
dXRoLWFkZHJlc3M+RGVwYXJ0bWVudCBvZiBUaG9yYWNpYyBPbmNvbG9neSwgRnVqaWFuIE1lZGlj
YWwgVW5pdmVyc2l0eSBDYW5jZXIgSG9zcGl0YWwsIEZ1emhvdSwgRnVqaWFuLCBQUiBDaGluYS4m
I3hEO0RlcGFydG1lbnQgb2YgVGhvcmFjaWMgT25jb2xvZ3ksIEZ1amlhbiBNZWRpY2FsIFVuaXZl
cnNpdHkgQ2FuY2VyIEhvc3BpdGFsLCBGdXpob3UsIEZ1amlhbiwgUFIgQ2hpbmE7IEZ1amlhbiBQ
cm92aW5jaWFsIEtleSBMYWJvcmF0b3J5IG9mIFR1bW9yIEJpb3RoZXJhcHksIEZ1emhvdSwgRnVq
aWFuLCBQUiBDaGluYS4mI3hEO0RlcGFydG1lbnQgb2YgVGhvcmFjaWMgU3VyZ2VyeSwgU2hhbmdo
YWkgSmlhbyBUb25nIFVuaXZlcnNpdHkgQWZmaWxpYXRlZCBDaGVzdCBIb3NwaXRhbCwgMjQxIFdl
c3QgSHVhaWhhaSBSb2FkLCBTaGFuZ2hhaSwgUFIgQ2hpbmEuJiN4RDtEZXBhcnRtZW50IG9mIElu
dGVuc2l2ZSBDYXJlIFVuaXQsIFN1biBZYXQtc2VuIFVuaXZlcnNpdHkgQ2FuY2VyIENlbnRlciwg
U3RhdGUgS2V5IExhYm9yYXRvcnkgb2YgT25jb2xvZ3kgaW4gU291dGggQ2hpbmEsIENvbGxhYm9y
YXRpdmUgSW5ub3ZhdGlvbiwgR3Vhbmd6aG91LCBHdWFuZ2RvbmcsIFBSIENoaW5hLiYjeEQ7RGVw
YXJ0bWVudCBvZiBUaG9yYWNpYyBPbmNvbG9neSwgRnVqaWFuIE1lZGljYWwgVW5pdmVyc2l0eSBD
YW5jZXIgSG9zcGl0YWwsIEZ1emhvdSwgRnVqaWFuLCBQUiBDaGluYS4gRWxlY3Ryb25pYyBhZGRy
ZXNzOiBzaHVveWFubGl1MjAxMEAxNjMuY29tLjwvYXV0aC1hZGRyZXNzPjx0aXRsZXM+PHRpdGxl
PkNvbXBhcmlzb24gb2YgdGhlIDd0aCBhbmQgcHJvcG9zZWQgOHRoIGVkaXRpb25zIG9mIHRoZSBB
SkNDL1VJQ0MgVE5NIHN0YWdpbmcgc3lzdGVtIGZvciBlc29waGFnZWFsIHNxdWFtb3VzIGNlbGwg
Y2FyY2lub21hIHVuZGVyd2VudCByYWRpY2FsIHN1cmdlcnk8L3RpdGxlPjxzZWNvbmRhcnktdGl0
bGU+RXVyIEogU3VyZyBPbmNvbDwvc2Vjb25kYXJ5LXRpdGxlPjwvdGl0bGVzPjxwZXJpb2RpY2Fs
PjxmdWxsLXRpdGxlPkV1ciBKIFN1cmcgT25jb2w8L2Z1bGwtdGl0bGU+PC9wZXJpb2RpY2FsPjxw
YWdlcz4xOTQ5LTE5NTU8L3BhZ2VzPjx2b2x1bWU+NDM8L3ZvbHVtZT48bnVtYmVyPjEwPC9udW1i
ZXI+PGVkaXRpb24+MjAxNy8wNy8xOTwvZWRpdGlvbj48a2V5d29yZHM+PGtleXdvcmQ+QWR1bHQ8
L2tleXdvcmQ+PGtleXdvcmQ+QWdlZDwva2V5d29yZD48a2V5d29yZD5BZ2VkLCA4MCBhbmQgb3Zl
cjwva2V5d29yZD48a2V5d29yZD5DYXJjaW5vbWEsIFNxdWFtb3VzIENlbGwvKmRpYWdub3Npcy9t
b3J0YWxpdHkvc3VyZ2VyeTwva2V5d29yZD48a2V5d29yZD5DaGluYS9lcGlkZW1pb2xvZ3k8L2tl
eXdvcmQ+PGtleXdvcmQ+RXNvcGhhZ2VhbCBOZW9wbGFzbXMvKmRpYWdub3Npcy9tb3J0YWxpdHkv
c3VyZ2VyeTwva2V5d29yZD48a2V5d29yZD5Fc29waGFnZWFsIFNxdWFtb3VzIENlbGwgQ2FyY2lu
b21hPC9rZXl3b3JkPjxrZXl3b3JkPkVzb3BoYWdlY3RvbXkvKm1ldGhvZHM8L2tleXdvcmQ+PGtl
eXdvcmQ+RmVtYWxlPC9rZXl3b3JkPjxrZXl3b3JkPkZvbGxvdy1VcCBTdHVkaWVzPC9rZXl3b3Jk
PjxrZXl3b3JkPkh1bWFuczwva2V5d29yZD48a2V5d29yZD5NYWxlPC9rZXl3b3JkPjxrZXl3b3Jk
Pk1pZGRsZSBBZ2VkPC9rZXl3b3JkPjxrZXl3b3JkPk5lb3BsYXNtIFN0YWdpbmcvKmNsYXNzaWZp
Y2F0aW9uPC9rZXl3b3JkPjxrZXl3b3JkPlByb2dub3Npczwva2V5d29yZD48a2V5d29yZD5SZXRy
b3NwZWN0aXZlIFN0dWRpZXM8L2tleXdvcmQ+PGtleXdvcmQ+U3Vydml2YWwgUmF0ZS90cmVuZHM8
L2tleXdvcmQ+PGtleXdvcmQ+VGltZSBGYWN0b3JzPC9rZXl3b3JkPjxrZXl3b3JkPkVzb3BoYWdl
YWwgY2FuY2VyPC9rZXl3b3JkPjxrZXl3b3JkPlNxdWFtb3VzIGNlbGwgY2FyY2lub21hPC9rZXl3
b3JkPjwva2V5d29yZHM+PGRhdGVzPjx5ZWFyPjIwMTc8L3llYXI+PHB1Yi1kYXRlcz48ZGF0ZT5P
Y3Q8L2RhdGU+PC9wdWItZGF0ZXM+PC9kYXRlcz48aXNibj4xNTMyLTIxNTcgKEVsZWN0cm9uaWMp
JiN4RDswNzQ4LTc5ODMgKExpbmtpbmcpPC9pc2JuPjxhY2Nlc3Npb24tbnVtPjI4NzE2Mzc3PC9h
Y2Nlc3Npb24tbnVtPjx1cmxzPjxyZWxhdGVkLXVybHM+PHVybD5odHRwczovL3d3dy5uY2JpLm5s
bS5uaWguZ292L3B1Ym1lZC8yODcxNjM3NzwvdXJsPjwvcmVsYXRlZC11cmxzPjwvdXJscz48ZWxl
Y3Ryb25pYy1yZXNvdXJjZS1udW0+MTAuMTAxNi9qLmVqc28uMjAxNy4wNi4wMDU8L2VsZWN0cm9u
aWMtcmVzb3VyY2UtbnVtPjwvcmVjb3JkPjwvQ2l0ZT48L0VuZE5vdGU+
</w:fldData>
        </w:fldChar>
      </w:r>
      <w:r w:rsidR="002F5B72" w:rsidRPr="00774B2C">
        <w:rPr>
          <w:szCs w:val="24"/>
        </w:rPr>
        <w:instrText xml:space="preserve"> ADDIN EN.CITE.DATA </w:instrText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end"/>
      </w:r>
      <w:r w:rsidR="002F5B72" w:rsidRPr="00774B2C">
        <w:rPr>
          <w:szCs w:val="24"/>
        </w:rPr>
      </w:r>
      <w:r w:rsidR="002F5B72" w:rsidRPr="00774B2C">
        <w:rPr>
          <w:szCs w:val="24"/>
        </w:rPr>
        <w:fldChar w:fldCharType="separate"/>
      </w:r>
      <w:r w:rsidR="002F5B72" w:rsidRPr="00774B2C">
        <w:rPr>
          <w:noProof/>
          <w:szCs w:val="24"/>
          <w:vertAlign w:val="superscript"/>
        </w:rPr>
        <w:t>[18]</w:t>
      </w:r>
      <w:r w:rsidR="002F5B72" w:rsidRPr="00774B2C">
        <w:rPr>
          <w:szCs w:val="24"/>
        </w:rPr>
        <w:fldChar w:fldCharType="end"/>
      </w:r>
      <w:r w:rsidRPr="00774B2C">
        <w:rPr>
          <w:szCs w:val="24"/>
        </w:rPr>
        <w:t xml:space="preserve">; patients who had not undergone cancer therapy; patients who and whose families signed an informed consent form after understanding the study, and patients with detailed clinical data and willing to cooperate </w:t>
      </w:r>
      <w:r w:rsidR="003021B3">
        <w:rPr>
          <w:szCs w:val="24"/>
        </w:rPr>
        <w:t>during</w:t>
      </w:r>
      <w:r w:rsidRPr="00774B2C">
        <w:rPr>
          <w:szCs w:val="24"/>
        </w:rPr>
        <w:t xml:space="preserve"> follow-up. Exclusion criteria were as follows: Patients comorbid with other tumors; patients with infection before admission, severe cardiac or cerebral function injury, or immune deficiency; patients unable to receive the </w:t>
      </w:r>
      <w:r w:rsidR="003021B3">
        <w:rPr>
          <w:szCs w:val="24"/>
        </w:rPr>
        <w:t xml:space="preserve">full </w:t>
      </w:r>
      <w:r w:rsidRPr="00774B2C">
        <w:rPr>
          <w:szCs w:val="24"/>
        </w:rPr>
        <w:t xml:space="preserve">treatment, or unwilling to cooperate </w:t>
      </w:r>
      <w:r w:rsidR="003021B3">
        <w:rPr>
          <w:szCs w:val="24"/>
        </w:rPr>
        <w:t>during</w:t>
      </w:r>
      <w:r w:rsidRPr="00774B2C">
        <w:rPr>
          <w:szCs w:val="24"/>
        </w:rPr>
        <w:t xml:space="preserve"> follow-up, and those with expected survival time less than 3 </w:t>
      </w:r>
      <w:proofErr w:type="gramStart"/>
      <w:r w:rsidRPr="00774B2C">
        <w:rPr>
          <w:szCs w:val="24"/>
        </w:rPr>
        <w:t>mo</w:t>
      </w:r>
      <w:proofErr w:type="gramEnd"/>
      <w:r w:rsidRPr="00774B2C">
        <w:rPr>
          <w:szCs w:val="24"/>
        </w:rPr>
        <w:t>.</w:t>
      </w:r>
    </w:p>
    <w:p w14:paraId="29CF7B14" w14:textId="77777777" w:rsidR="00096C8E" w:rsidRDefault="00096C8E" w:rsidP="00096C8E">
      <w:pPr>
        <w:adjustRightInd w:val="0"/>
        <w:snapToGrid w:val="0"/>
        <w:rPr>
          <w:szCs w:val="24"/>
        </w:rPr>
      </w:pPr>
    </w:p>
    <w:p w14:paraId="41A2965E" w14:textId="21FE09ED" w:rsidR="00483403" w:rsidRPr="00096C8E" w:rsidRDefault="00483403" w:rsidP="00096C8E">
      <w:pPr>
        <w:adjustRightInd w:val="0"/>
        <w:snapToGrid w:val="0"/>
        <w:rPr>
          <w:rFonts w:eastAsia="楷体"/>
          <w:b/>
          <w:bCs/>
          <w:i/>
          <w:iCs/>
          <w:szCs w:val="24"/>
        </w:rPr>
      </w:pPr>
      <w:r w:rsidRPr="00096C8E">
        <w:rPr>
          <w:b/>
          <w:bCs/>
          <w:i/>
          <w:iCs/>
          <w:szCs w:val="24"/>
        </w:rPr>
        <w:t>Treatment plan</w:t>
      </w:r>
    </w:p>
    <w:p w14:paraId="0FC03E6B" w14:textId="649E114E" w:rsidR="00096C8E" w:rsidRDefault="00483403" w:rsidP="00096C8E">
      <w:pPr>
        <w:adjustRightInd w:val="0"/>
        <w:snapToGrid w:val="0"/>
        <w:rPr>
          <w:szCs w:val="24"/>
        </w:rPr>
      </w:pPr>
      <w:r w:rsidRPr="00774B2C">
        <w:rPr>
          <w:szCs w:val="24"/>
        </w:rPr>
        <w:t xml:space="preserve">All 78 patients were treated </w:t>
      </w:r>
      <w:r w:rsidR="003021B3">
        <w:rPr>
          <w:szCs w:val="24"/>
        </w:rPr>
        <w:t>by</w:t>
      </w:r>
      <w:r w:rsidRPr="00774B2C">
        <w:rPr>
          <w:szCs w:val="24"/>
        </w:rPr>
        <w:t xml:space="preserve"> resection of esophageal carcinoma and lymph node dissection, and </w:t>
      </w:r>
      <w:r w:rsidR="003021B3">
        <w:rPr>
          <w:szCs w:val="24"/>
        </w:rPr>
        <w:t>received</w:t>
      </w:r>
      <w:r w:rsidRPr="00774B2C">
        <w:rPr>
          <w:szCs w:val="24"/>
        </w:rPr>
        <w:t xml:space="preserve"> auxiliary therapy after surgery. Twenty-six patients were treated with radiotherapy, and fifty-two patients with chemotherapy. Radiotherapy was performed mainly </w:t>
      </w:r>
      <w:r w:rsidR="003021B3">
        <w:rPr>
          <w:szCs w:val="24"/>
        </w:rPr>
        <w:t>by</w:t>
      </w:r>
      <w:r w:rsidRPr="00774B2C">
        <w:rPr>
          <w:szCs w:val="24"/>
        </w:rPr>
        <w:t xml:space="preserve"> three-dimensional conformal radiation therapy and intensity</w:t>
      </w:r>
      <w:r w:rsidR="003021B3">
        <w:rPr>
          <w:szCs w:val="24"/>
        </w:rPr>
        <w:t>-</w:t>
      </w:r>
      <w:r w:rsidRPr="00774B2C">
        <w:rPr>
          <w:szCs w:val="24"/>
        </w:rPr>
        <w:t>modulated radiation therapy</w:t>
      </w:r>
      <w:r w:rsidR="0078633A" w:rsidRPr="00774B2C">
        <w:rPr>
          <w:szCs w:val="24"/>
        </w:rPr>
        <w:fldChar w:fldCharType="begin">
          <w:fldData xml:space="preserve">PEVuZE5vdGU+PENpdGU+PEF1dGhvcj5GcmVpbGljaDwvQXV0aG9yPjxZZWFyPjIwMTU8L1llYXI+
PFJlY051bT4zODkwPC9SZWNOdW0+PERpc3BsYXlUZXh0PjxzdHlsZSBmYWNlPSJzdXBlcnNjcmlw
dCI+WzE5XTwvc3R5bGU+PC9EaXNwbGF5VGV4dD48cmVjb3JkPjxyZWMtbnVtYmVyPjM4OTA8L3Jl
Yy1udW1iZXI+PGZvcmVpZ24ta2V5cz48a2V5IGFwcD0iRU4iIGRiLWlkPSJhZWF4OWZycjNzYTly
Y2UycnBhNXNlemR0ZDJwdjAwdzI5ejAiIHRpbWVzdGFtcD0iMTU3Nzg5NDY5NSI+Mzg5MDwva2V5
PjwvZm9yZWlnbi1rZXlzPjxyZWYtdHlwZSBuYW1lPSJKb3VybmFsIEFydGljbGUiPjE3PC9yZWYt
dHlwZT48Y29udHJpYnV0b3JzPjxhdXRob3JzPjxhdXRob3I+RnJlaWxpY2gsIEouPC9hdXRob3I+
PGF1dGhvcj5Ib2ZmZSwgUy4gRS48L2F1dGhvcj48YXV0aG9yPkFsbWhhbm5hLCBLLjwvYXV0aG9y
PjxhdXRob3I+RGlud29vZGllLCBXLjwvYXV0aG9yPjxhdXRob3I+WXVlLCBCLjwvYXV0aG9yPjxh
dXRob3I+RnVscCwgVy48L2F1dGhvcj48YXV0aG9yPk1lcmVkaXRoLCBLLiBMLjwvYXV0aG9yPjxh
dXRob3I+U2hyaWRoYXIsIFIuPC9hdXRob3I+PC9hdXRob3JzPjwvY29udHJpYnV0b3JzPjxhdXRo
LWFkZHJlc3M+RGVwYXJ0bWVudCBvZiBSYWRpYXRpb24gT25jb2xvZ3ksIE1vZmZpdHQgQ2FuY2Vy
IENlbnRlciwgVGFtcGEsIEZsb3JpZGEsIFVTQS48L2F1dGgtYWRkcmVzcz48dGl0bGVzPjx0aXRs
ZT5Db21wYXJhdGl2ZSBvdXRjb21lcyBmb3IgdGhyZWUtZGltZW5zaW9uYWwgY29uZm9ybWFsIHZl
cnN1cyBpbnRlbnNpdHktbW9kdWxhdGVkIHJhZGlhdGlvbiB0aGVyYXB5IGZvciBlc29waGFnZWFs
IGNhbmNlcjwvdGl0bGU+PHNlY29uZGFyeS10aXRsZT5EaXMgRXNvcGhhZ3VzPC9zZWNvbmRhcnkt
dGl0bGU+PC90aXRsZXM+PHBlcmlvZGljYWw+PGZ1bGwtdGl0bGU+RGlzIEVzb3BoYWd1czwvZnVs
bC10aXRsZT48L3BlcmlvZGljYWw+PHBhZ2VzPjM1Mi03PC9wYWdlcz48dm9sdW1lPjI4PC92b2x1
bWU+PG51bWJlcj40PC9udW1iZXI+PGVkaXRpb24+MjAxNC8wMy8xOTwvZWRpdGlvbj48a2V5d29y
ZHM+PGtleXdvcmQ+QWdlZDwva2V5d29yZD48a2V5d29yZD5BbmFseXNpcyBvZiBWYXJpYW5jZTwv
a2V5d29yZD48a2V5d29yZD5BbnRpbmVvcGxhc3RpYyBBZ2VudHMvdGhlcmFwZXV0aWMgdXNlPC9r
ZXl3b3JkPjxrZXl3b3JkPkNoZW1vcmFkaW90aGVyYXB5L21ldGhvZHM8L2tleXdvcmQ+PGtleXdv
cmQ+RXNvcGhhZ2VhbCBOZW9wbGFzbXMvbW9ydGFsaXR5Lyp0aGVyYXB5PC9rZXl3b3JkPjxrZXl3
b3JkPkZlbWFsZTwva2V5d29yZD48a2V5d29yZD5IdW1hbnM8L2tleXdvcmQ+PGtleXdvcmQ+Kklt
YWdpbmcsIFRocmVlLURpbWVuc2lvbmFsPC9rZXl3b3JkPjxrZXl3b3JkPkthcGxhbi1NZWllciBF
c3RpbWF0ZTwva2V5d29yZD48a2V5d29yZD5NYWxlPC9rZXl3b3JkPjxrZXl3b3JkPk1pZGRsZSBB
Z2VkPC9rZXl3b3JkPjxrZXl3b3JkPk5lb3BsYXNtIFJlY3VycmVuY2UsIExvY2FsPC9rZXl3b3Jk
PjxrZXl3b3JkPk5lb3BsYXNtIFN0YWdpbmc8L2tleXdvcmQ+PGtleXdvcmQ+UHJvcG9ydGlvbmFs
IEhhemFyZHMgTW9kZWxzPC9rZXl3b3JkPjxrZXl3b3JkPlJhZGlhdGlvbiBFZmZlY3RzPC9rZXl3
b3JkPjxrZXl3b3JkPlJhZGlvdGhlcmFweSwgQ29uZm9ybWFsLyptZXRob2RzLyptb3J0YWxpdHk8
L2tleXdvcmQ+PGtleXdvcmQ+UmFkaW90aGVyYXB5LCBJbnRlbnNpdHktTW9kdWxhdGVkPC9rZXl3
b3JkPjxrZXl3b3JkPlJldHJvc3BlY3RpdmUgU3R1ZGllczwva2V5d29yZD48a2V5d29yZD5TdXJ2
aXZhbCBBbmFseXNpczwva2V5d29yZD48a2V5d29yZD5UcmVhdG1lbnQgT3V0Y29tZTwva2V5d29y
ZD48a2V5d29yZD5XZWlnaHQgTG9zczwva2V5d29yZD48a2V5d29yZD4zLUQgY29uZm9ybWFsIHJh
ZGlhdGlvbjwva2V5d29yZD48a2V5d29yZD5lc29waGFnZWFsIGNhbmNlcjwva2V5d29yZD48a2V5
d29yZD5pbnRlbnNpdHktbW9kdWxhdGVkIHJhZGlhdGlvbiB0aGVyYXB5PC9rZXl3b3JkPjwva2V5
d29yZHM+PGRhdGVzPjx5ZWFyPjIwMTU8L3llYXI+PHB1Yi1kYXRlcz48ZGF0ZT5NYXktSnVuPC9k
YXRlPjwvcHViLWRhdGVzPjwvZGF0ZXM+PGlzYm4+MTQ0Mi0yMDUwIChFbGVjdHJvbmljKSYjeEQ7
MTEyMC04Njk0IChMaW5raW5nKTwvaXNibj48YWNjZXNzaW9uLW51bT4yNDYzNTY1NzwvYWNjZXNz
aW9uLW51bT48dXJscz48cmVsYXRlZC11cmxzPjx1cmw+aHR0cHM6Ly93d3cubmNiaS5ubG0ubmlo
Lmdvdi9wdWJtZWQvMjQ2MzU2NTc8L3VybD48L3JlbGF0ZWQtdXJscz48L3VybHM+PGVsZWN0cm9u
aWMtcmVzb3VyY2UtbnVtPjEwLjExMTEvZG90ZS4xMjIwMzwvZWxlY3Ryb25pYy1yZXNvdXJjZS1u
dW0+PC9yZWNvcmQ+PC9DaXRlPjwvRW5kTm90ZT4A
</w:fldData>
        </w:fldChar>
      </w:r>
      <w:r w:rsidR="0078633A" w:rsidRPr="00774B2C">
        <w:rPr>
          <w:szCs w:val="24"/>
        </w:rPr>
        <w:instrText xml:space="preserve"> ADDIN EN.CITE </w:instrText>
      </w:r>
      <w:r w:rsidR="0078633A" w:rsidRPr="00774B2C">
        <w:rPr>
          <w:szCs w:val="24"/>
        </w:rPr>
        <w:fldChar w:fldCharType="begin">
          <w:fldData xml:space="preserve">PEVuZE5vdGU+PENpdGU+PEF1dGhvcj5GcmVpbGljaDwvQXV0aG9yPjxZZWFyPjIwMTU8L1llYXI+
PFJlY051bT4zODkwPC9SZWNOdW0+PERpc3BsYXlUZXh0PjxzdHlsZSBmYWNlPSJzdXBlcnNjcmlw
dCI+WzE5XTwvc3R5bGU+PC9EaXNwbGF5VGV4dD48cmVjb3JkPjxyZWMtbnVtYmVyPjM4OTA8L3Jl
Yy1udW1iZXI+PGZvcmVpZ24ta2V5cz48a2V5IGFwcD0iRU4iIGRiLWlkPSJhZWF4OWZycjNzYTly
Y2UycnBhNXNlemR0ZDJwdjAwdzI5ejAiIHRpbWVzdGFtcD0iMTU3Nzg5NDY5NSI+Mzg5MDwva2V5
PjwvZm9yZWlnbi1rZXlzPjxyZWYtdHlwZSBuYW1lPSJKb3VybmFsIEFydGljbGUiPjE3PC9yZWYt
dHlwZT48Y29udHJpYnV0b3JzPjxhdXRob3JzPjxhdXRob3I+RnJlaWxpY2gsIEouPC9hdXRob3I+
PGF1dGhvcj5Ib2ZmZSwgUy4gRS48L2F1dGhvcj48YXV0aG9yPkFsbWhhbm5hLCBLLjwvYXV0aG9y
PjxhdXRob3I+RGlud29vZGllLCBXLjwvYXV0aG9yPjxhdXRob3I+WXVlLCBCLjwvYXV0aG9yPjxh
dXRob3I+RnVscCwgVy48L2F1dGhvcj48YXV0aG9yPk1lcmVkaXRoLCBLLiBMLjwvYXV0aG9yPjxh
dXRob3I+U2hyaWRoYXIsIFIuPC9hdXRob3I+PC9hdXRob3JzPjwvY29udHJpYnV0b3JzPjxhdXRo
LWFkZHJlc3M+RGVwYXJ0bWVudCBvZiBSYWRpYXRpb24gT25jb2xvZ3ksIE1vZmZpdHQgQ2FuY2Vy
IENlbnRlciwgVGFtcGEsIEZsb3JpZGEsIFVTQS48L2F1dGgtYWRkcmVzcz48dGl0bGVzPjx0aXRs
ZT5Db21wYXJhdGl2ZSBvdXRjb21lcyBmb3IgdGhyZWUtZGltZW5zaW9uYWwgY29uZm9ybWFsIHZl
cnN1cyBpbnRlbnNpdHktbW9kdWxhdGVkIHJhZGlhdGlvbiB0aGVyYXB5IGZvciBlc29waGFnZWFs
IGNhbmNlcjwvdGl0bGU+PHNlY29uZGFyeS10aXRsZT5EaXMgRXNvcGhhZ3VzPC9zZWNvbmRhcnkt
dGl0bGU+PC90aXRsZXM+PHBlcmlvZGljYWw+PGZ1bGwtdGl0bGU+RGlzIEVzb3BoYWd1czwvZnVs
bC10aXRsZT48L3BlcmlvZGljYWw+PHBhZ2VzPjM1Mi03PC9wYWdlcz48dm9sdW1lPjI4PC92b2x1
bWU+PG51bWJlcj40PC9udW1iZXI+PGVkaXRpb24+MjAxNC8wMy8xOTwvZWRpdGlvbj48a2V5d29y
ZHM+PGtleXdvcmQ+QWdlZDwva2V5d29yZD48a2V5d29yZD5BbmFseXNpcyBvZiBWYXJpYW5jZTwv
a2V5d29yZD48a2V5d29yZD5BbnRpbmVvcGxhc3RpYyBBZ2VudHMvdGhlcmFwZXV0aWMgdXNlPC9r
ZXl3b3JkPjxrZXl3b3JkPkNoZW1vcmFkaW90aGVyYXB5L21ldGhvZHM8L2tleXdvcmQ+PGtleXdv
cmQ+RXNvcGhhZ2VhbCBOZW9wbGFzbXMvbW9ydGFsaXR5Lyp0aGVyYXB5PC9rZXl3b3JkPjxrZXl3
b3JkPkZlbWFsZTwva2V5d29yZD48a2V5d29yZD5IdW1hbnM8L2tleXdvcmQ+PGtleXdvcmQ+Kklt
YWdpbmcsIFRocmVlLURpbWVuc2lvbmFsPC9rZXl3b3JkPjxrZXl3b3JkPkthcGxhbi1NZWllciBF
c3RpbWF0ZTwva2V5d29yZD48a2V5d29yZD5NYWxlPC9rZXl3b3JkPjxrZXl3b3JkPk1pZGRsZSBB
Z2VkPC9rZXl3b3JkPjxrZXl3b3JkPk5lb3BsYXNtIFJlY3VycmVuY2UsIExvY2FsPC9rZXl3b3Jk
PjxrZXl3b3JkPk5lb3BsYXNtIFN0YWdpbmc8L2tleXdvcmQ+PGtleXdvcmQ+UHJvcG9ydGlvbmFs
IEhhemFyZHMgTW9kZWxzPC9rZXl3b3JkPjxrZXl3b3JkPlJhZGlhdGlvbiBFZmZlY3RzPC9rZXl3
b3JkPjxrZXl3b3JkPlJhZGlvdGhlcmFweSwgQ29uZm9ybWFsLyptZXRob2RzLyptb3J0YWxpdHk8
L2tleXdvcmQ+PGtleXdvcmQ+UmFkaW90aGVyYXB5LCBJbnRlbnNpdHktTW9kdWxhdGVkPC9rZXl3
b3JkPjxrZXl3b3JkPlJldHJvc3BlY3RpdmUgU3R1ZGllczwva2V5d29yZD48a2V5d29yZD5TdXJ2
aXZhbCBBbmFseXNpczwva2V5d29yZD48a2V5d29yZD5UcmVhdG1lbnQgT3V0Y29tZTwva2V5d29y
ZD48a2V5d29yZD5XZWlnaHQgTG9zczwva2V5d29yZD48a2V5d29yZD4zLUQgY29uZm9ybWFsIHJh
ZGlhdGlvbjwva2V5d29yZD48a2V5d29yZD5lc29waGFnZWFsIGNhbmNlcjwva2V5d29yZD48a2V5
d29yZD5pbnRlbnNpdHktbW9kdWxhdGVkIHJhZGlhdGlvbiB0aGVyYXB5PC9rZXl3b3JkPjwva2V5
d29yZHM+PGRhdGVzPjx5ZWFyPjIwMTU8L3llYXI+PHB1Yi1kYXRlcz48ZGF0ZT5NYXktSnVuPC9k
YXRlPjwvcHViLWRhdGVzPjwvZGF0ZXM+PGlzYm4+MTQ0Mi0yMDUwIChFbGVjdHJvbmljKSYjeEQ7
MTEyMC04Njk0IChMaW5raW5nKTwvaXNibj48YWNjZXNzaW9uLW51bT4yNDYzNTY1NzwvYWNjZXNz
aW9uLW51bT48dXJscz48cmVsYXRlZC11cmxzPjx1cmw+aHR0cHM6Ly93d3cubmNiaS5ubG0ubmlo
Lmdvdi9wdWJtZWQvMjQ2MzU2NTc8L3VybD48L3JlbGF0ZWQtdXJscz48L3VybHM+PGVsZWN0cm9u
aWMtcmVzb3VyY2UtbnVtPjEwLjExMTEvZG90ZS4xMjIwMzwvZWxlY3Ryb25pYy1yZXNvdXJjZS1u
dW0+PC9yZWNvcmQ+PC9DaXRlPjwvRW5kTm90ZT4A
</w:fldData>
        </w:fldChar>
      </w:r>
      <w:r w:rsidR="0078633A" w:rsidRPr="00774B2C">
        <w:rPr>
          <w:szCs w:val="24"/>
        </w:rPr>
        <w:instrText xml:space="preserve"> ADDIN EN.CITE.DATA </w:instrText>
      </w:r>
      <w:r w:rsidR="0078633A" w:rsidRPr="00774B2C">
        <w:rPr>
          <w:szCs w:val="24"/>
        </w:rPr>
      </w:r>
      <w:r w:rsidR="0078633A" w:rsidRPr="00774B2C">
        <w:rPr>
          <w:szCs w:val="24"/>
        </w:rPr>
        <w:fldChar w:fldCharType="end"/>
      </w:r>
      <w:r w:rsidR="0078633A" w:rsidRPr="00774B2C">
        <w:rPr>
          <w:szCs w:val="24"/>
        </w:rPr>
      </w:r>
      <w:r w:rsidR="0078633A" w:rsidRPr="00774B2C">
        <w:rPr>
          <w:szCs w:val="24"/>
        </w:rPr>
        <w:fldChar w:fldCharType="separate"/>
      </w:r>
      <w:r w:rsidR="0078633A" w:rsidRPr="00774B2C">
        <w:rPr>
          <w:noProof/>
          <w:szCs w:val="24"/>
          <w:vertAlign w:val="superscript"/>
        </w:rPr>
        <w:t>[19]</w:t>
      </w:r>
      <w:r w:rsidR="0078633A" w:rsidRPr="00774B2C">
        <w:rPr>
          <w:szCs w:val="24"/>
        </w:rPr>
        <w:fldChar w:fldCharType="end"/>
      </w:r>
      <w:r w:rsidRPr="00774B2C">
        <w:rPr>
          <w:szCs w:val="24"/>
        </w:rPr>
        <w:t xml:space="preserve">, and chemotherapy was mainly performed using fluorouracil and </w:t>
      </w:r>
      <w:proofErr w:type="spellStart"/>
      <w:r w:rsidRPr="00774B2C">
        <w:rPr>
          <w:szCs w:val="24"/>
        </w:rPr>
        <w:t>cisplatin</w:t>
      </w:r>
      <w:proofErr w:type="spellEnd"/>
      <w:r w:rsidRPr="00774B2C">
        <w:rPr>
          <w:szCs w:val="24"/>
        </w:rPr>
        <w:t xml:space="preserve"> as follows: 500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mg/m</w:t>
      </w:r>
      <w:r w:rsidRPr="00774B2C">
        <w:rPr>
          <w:szCs w:val="24"/>
          <w:vertAlign w:val="superscript"/>
        </w:rPr>
        <w:t>2</w:t>
      </w:r>
      <w:r w:rsidRPr="00774B2C">
        <w:rPr>
          <w:szCs w:val="24"/>
        </w:rPr>
        <w:t xml:space="preserve"> fluorouracil (Hainan </w:t>
      </w:r>
      <w:proofErr w:type="spellStart"/>
      <w:r w:rsidRPr="00774B2C">
        <w:rPr>
          <w:szCs w:val="24"/>
        </w:rPr>
        <w:t>Choitec</w:t>
      </w:r>
      <w:proofErr w:type="spellEnd"/>
      <w:r w:rsidRPr="00774B2C">
        <w:rPr>
          <w:szCs w:val="24"/>
        </w:rPr>
        <w:t xml:space="preserve"> Pharmaceuticals Co.</w:t>
      </w:r>
      <w:r w:rsidR="003021B3">
        <w:rPr>
          <w:szCs w:val="24"/>
        </w:rPr>
        <w:t>,</w:t>
      </w:r>
      <w:r w:rsidRPr="00774B2C">
        <w:rPr>
          <w:szCs w:val="24"/>
        </w:rPr>
        <w:t xml:space="preserve"> Ltd., Hainan, China) w</w:t>
      </w:r>
      <w:r w:rsidR="003021B3">
        <w:rPr>
          <w:szCs w:val="24"/>
        </w:rPr>
        <w:t>as administered by</w:t>
      </w:r>
      <w:r w:rsidRPr="00774B2C">
        <w:rPr>
          <w:szCs w:val="24"/>
        </w:rPr>
        <w:t xml:space="preserve"> intravenous drip for 1-5 d, and </w:t>
      </w:r>
      <w:proofErr w:type="spellStart"/>
      <w:r w:rsidRPr="00774B2C">
        <w:rPr>
          <w:szCs w:val="24"/>
        </w:rPr>
        <w:t>cisplatin</w:t>
      </w:r>
      <w:proofErr w:type="spellEnd"/>
      <w:r w:rsidRPr="00774B2C">
        <w:rPr>
          <w:szCs w:val="24"/>
        </w:rPr>
        <w:t xml:space="preserve"> (</w:t>
      </w:r>
      <w:proofErr w:type="spellStart"/>
      <w:r w:rsidRPr="00774B2C">
        <w:rPr>
          <w:szCs w:val="24"/>
        </w:rPr>
        <w:t>Guizhou</w:t>
      </w:r>
      <w:proofErr w:type="spellEnd"/>
      <w:r w:rsidRPr="00774B2C">
        <w:rPr>
          <w:szCs w:val="24"/>
        </w:rPr>
        <w:t xml:space="preserve"> </w:t>
      </w:r>
      <w:proofErr w:type="spellStart"/>
      <w:r w:rsidRPr="00774B2C">
        <w:rPr>
          <w:szCs w:val="24"/>
        </w:rPr>
        <w:t>Hanfang</w:t>
      </w:r>
      <w:proofErr w:type="spellEnd"/>
      <w:r w:rsidRPr="00774B2C">
        <w:rPr>
          <w:szCs w:val="24"/>
        </w:rPr>
        <w:t xml:space="preserve"> Pharmaceutical Co., Ltd., </w:t>
      </w:r>
      <w:proofErr w:type="spellStart"/>
      <w:r w:rsidRPr="00774B2C">
        <w:rPr>
          <w:szCs w:val="24"/>
        </w:rPr>
        <w:t>Guizhou</w:t>
      </w:r>
      <w:proofErr w:type="spellEnd"/>
      <w:r w:rsidRPr="00774B2C">
        <w:rPr>
          <w:szCs w:val="24"/>
        </w:rPr>
        <w:t>, China) w</w:t>
      </w:r>
      <w:r w:rsidR="003021B3">
        <w:rPr>
          <w:szCs w:val="24"/>
        </w:rPr>
        <w:t>as administered</w:t>
      </w:r>
      <w:r w:rsidRPr="00774B2C">
        <w:rPr>
          <w:szCs w:val="24"/>
        </w:rPr>
        <w:t xml:space="preserve"> in the same way for 1-5 d. </w:t>
      </w:r>
      <w:r w:rsidR="003021B3">
        <w:rPr>
          <w:szCs w:val="24"/>
        </w:rPr>
        <w:t>Patients received t</w:t>
      </w:r>
      <w:r w:rsidRPr="00774B2C">
        <w:rPr>
          <w:szCs w:val="24"/>
        </w:rPr>
        <w:t xml:space="preserve">he two drugs </w:t>
      </w:r>
      <w:r w:rsidR="003021B3">
        <w:rPr>
          <w:szCs w:val="24"/>
        </w:rPr>
        <w:t>for</w:t>
      </w:r>
      <w:r w:rsidRPr="00774B2C">
        <w:rPr>
          <w:szCs w:val="24"/>
        </w:rPr>
        <w:t xml:space="preserve"> at least 2 cycles, 28 d a cycle.</w:t>
      </w:r>
    </w:p>
    <w:p w14:paraId="48DB02F7" w14:textId="77777777" w:rsidR="00096C8E" w:rsidRDefault="00096C8E" w:rsidP="00096C8E">
      <w:pPr>
        <w:adjustRightInd w:val="0"/>
        <w:snapToGrid w:val="0"/>
        <w:rPr>
          <w:szCs w:val="24"/>
        </w:rPr>
      </w:pPr>
    </w:p>
    <w:p w14:paraId="7760B633" w14:textId="5D275454" w:rsidR="00483403" w:rsidRPr="00096C8E" w:rsidRDefault="00483403" w:rsidP="00096C8E">
      <w:pPr>
        <w:adjustRightInd w:val="0"/>
        <w:snapToGrid w:val="0"/>
        <w:rPr>
          <w:rFonts w:eastAsia="楷体"/>
          <w:b/>
          <w:bCs/>
          <w:i/>
          <w:iCs/>
          <w:szCs w:val="24"/>
        </w:rPr>
      </w:pPr>
      <w:r w:rsidRPr="00096C8E">
        <w:rPr>
          <w:b/>
          <w:bCs/>
          <w:i/>
          <w:iCs/>
          <w:szCs w:val="24"/>
        </w:rPr>
        <w:t>Specimen collection and detection</w:t>
      </w:r>
    </w:p>
    <w:p w14:paraId="7F7D30EA" w14:textId="57863FAA" w:rsidR="00096C8E" w:rsidRDefault="00483403" w:rsidP="00096C8E">
      <w:pPr>
        <w:adjustRightInd w:val="0"/>
        <w:snapToGrid w:val="0"/>
        <w:rPr>
          <w:szCs w:val="24"/>
        </w:rPr>
      </w:pPr>
      <w:r w:rsidRPr="00774B2C">
        <w:rPr>
          <w:szCs w:val="24"/>
        </w:rPr>
        <w:t>Cancer tissues and tumor-adjacent tissues were sampled from the patients during surgery, and sent to a laboratory for subsequent analysis in liquid nitrogen. Peripheral fasting venous blood (5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m</w:t>
      </w:r>
      <w:r w:rsidR="003F4EBA">
        <w:rPr>
          <w:szCs w:val="24"/>
        </w:rPr>
        <w:t>L</w:t>
      </w:r>
      <w:r w:rsidRPr="00774B2C">
        <w:rPr>
          <w:szCs w:val="24"/>
        </w:rPr>
        <w:t xml:space="preserve">) was </w:t>
      </w:r>
      <w:r w:rsidR="003152E3">
        <w:rPr>
          <w:szCs w:val="24"/>
        </w:rPr>
        <w:t>obtained</w:t>
      </w:r>
      <w:r w:rsidRPr="00774B2C">
        <w:rPr>
          <w:szCs w:val="24"/>
        </w:rPr>
        <w:t xml:space="preserve"> from each patient in the morning of the day before surgery and each person undergoing </w:t>
      </w:r>
      <w:r w:rsidRPr="00774B2C">
        <w:rPr>
          <w:szCs w:val="24"/>
        </w:rPr>
        <w:lastRenderedPageBreak/>
        <w:t>physical examination in the morning of the day of physical examination, allowed to stand for 30 min, and then centrifuged at 3000</w:t>
      </w:r>
      <w:r w:rsidR="003F4EBA">
        <w:rPr>
          <w:szCs w:val="24"/>
        </w:rPr>
        <w:t xml:space="preserve"> </w:t>
      </w:r>
      <w:r w:rsidRPr="00774B2C">
        <w:rPr>
          <w:szCs w:val="24"/>
        </w:rPr>
        <w:t xml:space="preserve">rpm for 10 min to collect </w:t>
      </w:r>
      <w:r w:rsidR="003152E3">
        <w:rPr>
          <w:szCs w:val="24"/>
        </w:rPr>
        <w:t xml:space="preserve">the </w:t>
      </w:r>
      <w:r w:rsidRPr="00774B2C">
        <w:rPr>
          <w:szCs w:val="24"/>
        </w:rPr>
        <w:t xml:space="preserve">supernatant. The total RNA in the collected serum and tissues was extracted with </w:t>
      </w:r>
      <w:proofErr w:type="spellStart"/>
      <w:r w:rsidRPr="00774B2C">
        <w:rPr>
          <w:szCs w:val="24"/>
        </w:rPr>
        <w:t>TRIzol</w:t>
      </w:r>
      <w:proofErr w:type="spellEnd"/>
      <w:r w:rsidRPr="00774B2C">
        <w:rPr>
          <w:szCs w:val="24"/>
        </w:rPr>
        <w:t xml:space="preserve"> reagent (Carlsbad Invitrogen Company, C</w:t>
      </w:r>
      <w:r w:rsidR="003152E3">
        <w:rPr>
          <w:szCs w:val="24"/>
        </w:rPr>
        <w:t>A</w:t>
      </w:r>
      <w:r w:rsidRPr="00774B2C">
        <w:rPr>
          <w:szCs w:val="24"/>
        </w:rPr>
        <w:t>, U</w:t>
      </w:r>
      <w:r w:rsidR="003F4EBA">
        <w:rPr>
          <w:szCs w:val="24"/>
        </w:rPr>
        <w:t xml:space="preserve">nited </w:t>
      </w:r>
      <w:r w:rsidRPr="00774B2C">
        <w:rPr>
          <w:szCs w:val="24"/>
        </w:rPr>
        <w:t>S</w:t>
      </w:r>
      <w:r w:rsidR="003F4EBA">
        <w:rPr>
          <w:szCs w:val="24"/>
        </w:rPr>
        <w:t>tates</w:t>
      </w:r>
      <w:r w:rsidRPr="00774B2C">
        <w:rPr>
          <w:szCs w:val="24"/>
        </w:rPr>
        <w:t xml:space="preserve">, 15596018), and the purity, concentration and integrity of the total RNA were determined using ultraviolet spectrophotometry and </w:t>
      </w:r>
      <w:proofErr w:type="spellStart"/>
      <w:r w:rsidRPr="00774B2C">
        <w:rPr>
          <w:szCs w:val="24"/>
        </w:rPr>
        <w:t>agarose</w:t>
      </w:r>
      <w:proofErr w:type="spellEnd"/>
      <w:r w:rsidRPr="00774B2C">
        <w:rPr>
          <w:szCs w:val="24"/>
        </w:rPr>
        <w:t xml:space="preserve"> gel electrophoresis. Reverse transcription was performed using the </w:t>
      </w:r>
      <w:proofErr w:type="spellStart"/>
      <w:r w:rsidRPr="00774B2C">
        <w:rPr>
          <w:szCs w:val="24"/>
        </w:rPr>
        <w:t>TransScript</w:t>
      </w:r>
      <w:proofErr w:type="spellEnd"/>
      <w:r w:rsidRPr="00E760CE">
        <w:rPr>
          <w:szCs w:val="24"/>
          <w:vertAlign w:val="superscript"/>
        </w:rPr>
        <w:t>®</w:t>
      </w:r>
      <w:r w:rsidRPr="00774B2C">
        <w:rPr>
          <w:szCs w:val="24"/>
        </w:rPr>
        <w:t xml:space="preserve"> </w:t>
      </w:r>
      <w:proofErr w:type="spellStart"/>
      <w:r w:rsidRPr="00774B2C">
        <w:rPr>
          <w:szCs w:val="24"/>
        </w:rPr>
        <w:t>miRNA</w:t>
      </w:r>
      <w:proofErr w:type="spellEnd"/>
      <w:r w:rsidRPr="00774B2C">
        <w:rPr>
          <w:szCs w:val="24"/>
        </w:rPr>
        <w:t xml:space="preserve"> RT Enzyme Mix and 2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×</w:t>
      </w:r>
      <w:r w:rsidR="003F4EBA">
        <w:rPr>
          <w:szCs w:val="24"/>
        </w:rPr>
        <w:t xml:space="preserve"> </w:t>
      </w:r>
      <w:r w:rsidRPr="00774B2C">
        <w:rPr>
          <w:szCs w:val="24"/>
        </w:rPr>
        <w:t xml:space="preserve">TS </w:t>
      </w:r>
      <w:proofErr w:type="spellStart"/>
      <w:r w:rsidRPr="00774B2C">
        <w:rPr>
          <w:szCs w:val="24"/>
        </w:rPr>
        <w:t>miRNA</w:t>
      </w:r>
      <w:proofErr w:type="spellEnd"/>
      <w:r w:rsidRPr="00774B2C">
        <w:rPr>
          <w:szCs w:val="24"/>
        </w:rPr>
        <w:t xml:space="preserve"> Reaction Mix in </w:t>
      </w:r>
      <w:proofErr w:type="spellStart"/>
      <w:r w:rsidRPr="00774B2C">
        <w:rPr>
          <w:szCs w:val="24"/>
        </w:rPr>
        <w:t>TransScript</w:t>
      </w:r>
      <w:proofErr w:type="spellEnd"/>
      <w:r w:rsidRPr="00774B2C">
        <w:rPr>
          <w:szCs w:val="24"/>
        </w:rPr>
        <w:t xml:space="preserve"> Green </w:t>
      </w:r>
      <w:proofErr w:type="spellStart"/>
      <w:r w:rsidRPr="00774B2C">
        <w:rPr>
          <w:szCs w:val="24"/>
        </w:rPr>
        <w:t>miRNA</w:t>
      </w:r>
      <w:proofErr w:type="spellEnd"/>
      <w:r w:rsidRPr="00774B2C">
        <w:rPr>
          <w:szCs w:val="24"/>
        </w:rPr>
        <w:t xml:space="preserve"> Two-Step </w:t>
      </w:r>
      <w:r w:rsidR="00FD26C1" w:rsidRPr="00774B2C">
        <w:rPr>
          <w:szCs w:val="24"/>
        </w:rPr>
        <w:t>Quantitative real</w:t>
      </w:r>
      <w:r w:rsidR="003152E3">
        <w:rPr>
          <w:szCs w:val="24"/>
        </w:rPr>
        <w:t>-</w:t>
      </w:r>
      <w:r w:rsidR="00FD26C1" w:rsidRPr="00774B2C">
        <w:rPr>
          <w:szCs w:val="24"/>
        </w:rPr>
        <w:t>time polymerase chain reaction (</w:t>
      </w:r>
      <w:proofErr w:type="spellStart"/>
      <w:r w:rsidR="00FD26C1" w:rsidRPr="00774B2C">
        <w:rPr>
          <w:szCs w:val="24"/>
        </w:rPr>
        <w:t>qRT</w:t>
      </w:r>
      <w:proofErr w:type="spellEnd"/>
      <w:r w:rsidR="00FD26C1" w:rsidRPr="00774B2C">
        <w:rPr>
          <w:szCs w:val="24"/>
        </w:rPr>
        <w:t>-PCR)</w:t>
      </w:r>
      <w:r w:rsidRPr="00774B2C">
        <w:rPr>
          <w:szCs w:val="24"/>
        </w:rPr>
        <w:t xml:space="preserve"> </w:t>
      </w:r>
      <w:proofErr w:type="spellStart"/>
      <w:r w:rsidRPr="00774B2C">
        <w:rPr>
          <w:szCs w:val="24"/>
        </w:rPr>
        <w:t>SuperMix</w:t>
      </w:r>
      <w:proofErr w:type="spellEnd"/>
      <w:r w:rsidRPr="00774B2C">
        <w:rPr>
          <w:szCs w:val="24"/>
        </w:rPr>
        <w:t xml:space="preserve"> kit (</w:t>
      </w:r>
      <w:proofErr w:type="spellStart"/>
      <w:r w:rsidRPr="00774B2C">
        <w:rPr>
          <w:szCs w:val="24"/>
        </w:rPr>
        <w:t>TransGen</w:t>
      </w:r>
      <w:proofErr w:type="spellEnd"/>
      <w:r w:rsidRPr="00774B2C">
        <w:rPr>
          <w:szCs w:val="24"/>
        </w:rPr>
        <w:t xml:space="preserve"> Biotech, Beijing, China, AQ202-01) in strict accordance with the original kit instructions. The amplification system of miR-1304 consisted of 1</w:t>
      </w:r>
      <w:r w:rsidR="003F4EBA">
        <w:rPr>
          <w:szCs w:val="24"/>
        </w:rPr>
        <w:t xml:space="preserve"> </w:t>
      </w:r>
      <w:proofErr w:type="spellStart"/>
      <w:r w:rsidRPr="00774B2C">
        <w:rPr>
          <w:szCs w:val="24"/>
        </w:rPr>
        <w:t>μL</w:t>
      </w:r>
      <w:proofErr w:type="spellEnd"/>
      <w:r w:rsidRPr="00774B2C">
        <w:rPr>
          <w:szCs w:val="24"/>
        </w:rPr>
        <w:t xml:space="preserve"> of </w:t>
      </w:r>
      <w:proofErr w:type="spellStart"/>
      <w:r w:rsidRPr="00774B2C">
        <w:rPr>
          <w:szCs w:val="24"/>
        </w:rPr>
        <w:t>cDNA</w:t>
      </w:r>
      <w:proofErr w:type="spellEnd"/>
      <w:r w:rsidRPr="00774B2C">
        <w:rPr>
          <w:szCs w:val="24"/>
        </w:rPr>
        <w:t>, 0.4</w:t>
      </w:r>
      <w:r w:rsidR="003F4EBA">
        <w:rPr>
          <w:szCs w:val="24"/>
        </w:rPr>
        <w:t xml:space="preserve"> </w:t>
      </w:r>
      <w:proofErr w:type="spellStart"/>
      <w:r w:rsidRPr="00774B2C">
        <w:rPr>
          <w:szCs w:val="24"/>
        </w:rPr>
        <w:t>μL</w:t>
      </w:r>
      <w:proofErr w:type="spellEnd"/>
      <w:r w:rsidRPr="00774B2C">
        <w:rPr>
          <w:szCs w:val="24"/>
        </w:rPr>
        <w:t xml:space="preserve"> of upstream and downstream primers, respectively, 10</w:t>
      </w:r>
      <w:r w:rsidR="003F4EBA">
        <w:rPr>
          <w:szCs w:val="24"/>
        </w:rPr>
        <w:t xml:space="preserve"> </w:t>
      </w:r>
      <w:proofErr w:type="spellStart"/>
      <w:r w:rsidRPr="00774B2C">
        <w:rPr>
          <w:szCs w:val="24"/>
        </w:rPr>
        <w:t>μL</w:t>
      </w:r>
      <w:proofErr w:type="spellEnd"/>
      <w:r w:rsidRPr="00774B2C">
        <w:rPr>
          <w:szCs w:val="24"/>
        </w:rPr>
        <w:t xml:space="preserve"> of 2</w:t>
      </w:r>
      <w:r w:rsidR="003F4EBA">
        <w:rPr>
          <w:szCs w:val="24"/>
        </w:rPr>
        <w:t xml:space="preserve"> ×</w:t>
      </w:r>
      <w:r w:rsidRPr="00774B2C">
        <w:rPr>
          <w:szCs w:val="24"/>
        </w:rPr>
        <w:t xml:space="preserve"> </w:t>
      </w:r>
      <w:proofErr w:type="spellStart"/>
      <w:r w:rsidRPr="00774B2C">
        <w:rPr>
          <w:szCs w:val="24"/>
        </w:rPr>
        <w:t>TransScript</w:t>
      </w:r>
      <w:proofErr w:type="spellEnd"/>
      <w:r w:rsidRPr="00E760CE">
        <w:rPr>
          <w:szCs w:val="24"/>
          <w:vertAlign w:val="superscript"/>
        </w:rPr>
        <w:t>®</w:t>
      </w:r>
      <w:r w:rsidRPr="00774B2C">
        <w:rPr>
          <w:szCs w:val="24"/>
        </w:rPr>
        <w:t xml:space="preserve"> Tip Green </w:t>
      </w:r>
      <w:proofErr w:type="spellStart"/>
      <w:r w:rsidRPr="00774B2C">
        <w:rPr>
          <w:szCs w:val="24"/>
        </w:rPr>
        <w:t>qPCR</w:t>
      </w:r>
      <w:proofErr w:type="spellEnd"/>
      <w:r w:rsidRPr="00774B2C">
        <w:rPr>
          <w:szCs w:val="24"/>
        </w:rPr>
        <w:t xml:space="preserve"> </w:t>
      </w:r>
      <w:proofErr w:type="spellStart"/>
      <w:r w:rsidRPr="00774B2C">
        <w:rPr>
          <w:szCs w:val="24"/>
        </w:rPr>
        <w:t>SuperMix</w:t>
      </w:r>
      <w:proofErr w:type="spellEnd"/>
      <w:r w:rsidRPr="00774B2C">
        <w:rPr>
          <w:szCs w:val="24"/>
        </w:rPr>
        <w:t>, 0.4</w:t>
      </w:r>
      <w:r w:rsidR="003F4EBA">
        <w:rPr>
          <w:szCs w:val="24"/>
        </w:rPr>
        <w:t xml:space="preserve"> </w:t>
      </w:r>
      <w:proofErr w:type="spellStart"/>
      <w:r w:rsidRPr="00774B2C">
        <w:rPr>
          <w:szCs w:val="24"/>
        </w:rPr>
        <w:t>μL</w:t>
      </w:r>
      <w:proofErr w:type="spellEnd"/>
      <w:r w:rsidRPr="00774B2C">
        <w:rPr>
          <w:szCs w:val="24"/>
        </w:rPr>
        <w:t xml:space="preserve"> of Passive Reference Dye (50</w:t>
      </w:r>
      <w:r w:rsidR="003F4EBA">
        <w:rPr>
          <w:szCs w:val="24"/>
        </w:rPr>
        <w:t xml:space="preserve"> ×</w:t>
      </w:r>
      <w:r w:rsidRPr="00774B2C">
        <w:rPr>
          <w:szCs w:val="24"/>
        </w:rPr>
        <w:t>) and ddH</w:t>
      </w:r>
      <w:r w:rsidRPr="00774B2C">
        <w:rPr>
          <w:szCs w:val="24"/>
          <w:vertAlign w:val="subscript"/>
        </w:rPr>
        <w:t>2</w:t>
      </w:r>
      <w:r w:rsidRPr="00774B2C">
        <w:rPr>
          <w:szCs w:val="24"/>
        </w:rPr>
        <w:t xml:space="preserve">O (added to make up </w:t>
      </w:r>
      <w:r w:rsidR="003152E3">
        <w:rPr>
          <w:szCs w:val="24"/>
        </w:rPr>
        <w:t>to</w:t>
      </w:r>
      <w:r w:rsidRPr="00774B2C">
        <w:rPr>
          <w:szCs w:val="24"/>
        </w:rPr>
        <w:t xml:space="preserve"> 20</w:t>
      </w:r>
      <w:r w:rsidR="003F4EBA">
        <w:rPr>
          <w:szCs w:val="24"/>
        </w:rPr>
        <w:t xml:space="preserve"> </w:t>
      </w:r>
      <w:proofErr w:type="spellStart"/>
      <w:r w:rsidRPr="00774B2C">
        <w:rPr>
          <w:szCs w:val="24"/>
        </w:rPr>
        <w:t>μL</w:t>
      </w:r>
      <w:proofErr w:type="spellEnd"/>
      <w:r w:rsidRPr="00774B2C">
        <w:rPr>
          <w:szCs w:val="24"/>
        </w:rPr>
        <w:t xml:space="preserve"> in total). The amplification conditions were as follows: Pre-denaturation at 94</w:t>
      </w:r>
      <w:r w:rsidRPr="00774B2C">
        <w:rPr>
          <w:szCs w:val="24"/>
          <w:cs/>
        </w:rPr>
        <w:t xml:space="preserve">℃ </w:t>
      </w:r>
      <w:r w:rsidRPr="00774B2C">
        <w:rPr>
          <w:szCs w:val="24"/>
        </w:rPr>
        <w:t>for 30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s, denaturation at 94</w:t>
      </w:r>
      <w:r w:rsidRPr="00774B2C">
        <w:rPr>
          <w:szCs w:val="24"/>
          <w:cs/>
        </w:rPr>
        <w:t xml:space="preserve">℃ </w:t>
      </w:r>
      <w:r w:rsidRPr="00774B2C">
        <w:rPr>
          <w:szCs w:val="24"/>
        </w:rPr>
        <w:t>for 5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s, and annealing and extension at 60</w:t>
      </w:r>
      <w:r w:rsidRPr="00774B2C">
        <w:rPr>
          <w:szCs w:val="24"/>
          <w:cs/>
        </w:rPr>
        <w:t xml:space="preserve">℃ </w:t>
      </w:r>
      <w:r w:rsidRPr="00774B2C">
        <w:rPr>
          <w:szCs w:val="24"/>
        </w:rPr>
        <w:t>for 30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s, 40 cycles in total. Three repeated wells were set for each specimen, and the experiment was repeated three times. U6 was used as an internal reference, and 2</w:t>
      </w:r>
      <w:r w:rsidRPr="00774B2C">
        <w:rPr>
          <w:szCs w:val="24"/>
          <w:vertAlign w:val="superscript"/>
        </w:rPr>
        <w:t>-</w:t>
      </w:r>
      <w:r w:rsidRPr="00774B2C">
        <w:rPr>
          <w:rFonts w:cs="Cambria Math"/>
          <w:szCs w:val="24"/>
          <w:vertAlign w:val="superscript"/>
          <w:cs/>
        </w:rPr>
        <w:t>△△</w:t>
      </w:r>
      <w:proofErr w:type="spellStart"/>
      <w:r w:rsidRPr="00774B2C">
        <w:rPr>
          <w:szCs w:val="24"/>
          <w:vertAlign w:val="superscript"/>
        </w:rPr>
        <w:t>ct</w:t>
      </w:r>
      <w:proofErr w:type="spellEnd"/>
      <w:r w:rsidRPr="00774B2C">
        <w:rPr>
          <w:szCs w:val="24"/>
        </w:rPr>
        <w:t xml:space="preserve"> was used to analyze the data</w:t>
      </w:r>
      <w:r w:rsidR="0078633A" w:rsidRPr="00774B2C">
        <w:rPr>
          <w:szCs w:val="24"/>
        </w:rPr>
        <w:fldChar w:fldCharType="begin"/>
      </w:r>
      <w:r w:rsidR="0078633A" w:rsidRPr="00774B2C">
        <w:rPr>
          <w:szCs w:val="24"/>
        </w:rPr>
        <w:instrText xml:space="preserve"> ADDIN EN.CITE &lt;EndNote&gt;&lt;Cite&gt;&lt;Author&gt;Ljvak&lt;/Author&gt;&lt;Year&gt;2001&lt;/Year&gt;&lt;RecNum&gt;3891&lt;/RecNum&gt;&lt;DisplayText&gt;&lt;style face="superscript"&gt;[20]&lt;/style&gt;&lt;/DisplayText&gt;&lt;record&gt;&lt;rec-number&gt;3891&lt;/rec-number&gt;&lt;foreign-keys&gt;&lt;key app="EN" db-id="aeax9frr3sa9rce2rpa5sezdtd2pv00w29z0" timestamp="1577894885"&gt;3891&lt;/key&gt;&lt;/foreign-keys&gt;&lt;ref-type name="Journal Article"&gt;17&lt;/ref-type&gt;&lt;contributors&gt;&lt;authors&gt;&lt;author&gt;Ljvak, KJ %J Methods&lt;/author&gt;&lt;/authors&gt;&lt;/contributors&gt;&lt;titles&gt;&lt;title&gt;Analysis of relative gene expression data using real time quantitative PCR and the 2^&amp;lt;-ΔΔCT&amp;gt; method&lt;/title&gt;&lt;/titles&gt;&lt;pages&gt;402-408&lt;/pages&gt;&lt;volume&gt;25&lt;/volume&gt;&lt;dates&gt;&lt;year&gt;2001&lt;/year&gt;&lt;/dates&gt;&lt;urls&gt;&lt;/urls&gt;&lt;/record&gt;&lt;/Cite&gt;&lt;/EndNote&gt;</w:instrText>
      </w:r>
      <w:r w:rsidR="0078633A" w:rsidRPr="00774B2C">
        <w:rPr>
          <w:szCs w:val="24"/>
        </w:rPr>
        <w:fldChar w:fldCharType="separate"/>
      </w:r>
      <w:r w:rsidR="0078633A" w:rsidRPr="00774B2C">
        <w:rPr>
          <w:noProof/>
          <w:szCs w:val="24"/>
          <w:vertAlign w:val="superscript"/>
        </w:rPr>
        <w:t>[20]</w:t>
      </w:r>
      <w:r w:rsidR="0078633A" w:rsidRPr="00774B2C">
        <w:rPr>
          <w:szCs w:val="24"/>
        </w:rPr>
        <w:fldChar w:fldCharType="end"/>
      </w:r>
      <w:r w:rsidRPr="00774B2C">
        <w:rPr>
          <w:szCs w:val="24"/>
        </w:rPr>
        <w:t xml:space="preserve">. Experiments were carried out using </w:t>
      </w:r>
      <w:r w:rsidR="003152E3">
        <w:rPr>
          <w:szCs w:val="24"/>
        </w:rPr>
        <w:t xml:space="preserve">the </w:t>
      </w:r>
      <w:r w:rsidRPr="00774B2C">
        <w:rPr>
          <w:szCs w:val="24"/>
        </w:rPr>
        <w:t>7500</w:t>
      </w:r>
      <w:r w:rsidR="003152E3">
        <w:rPr>
          <w:szCs w:val="24"/>
        </w:rPr>
        <w:t xml:space="preserve"> </w:t>
      </w:r>
      <w:r w:rsidRPr="00774B2C">
        <w:rPr>
          <w:szCs w:val="24"/>
        </w:rPr>
        <w:t>PCR instrument from ABI, U</w:t>
      </w:r>
      <w:r w:rsidR="003F4EBA">
        <w:rPr>
          <w:szCs w:val="24"/>
        </w:rPr>
        <w:t xml:space="preserve">nited </w:t>
      </w:r>
      <w:r w:rsidRPr="00774B2C">
        <w:rPr>
          <w:szCs w:val="24"/>
        </w:rPr>
        <w:t>S</w:t>
      </w:r>
      <w:r w:rsidR="003F4EBA">
        <w:rPr>
          <w:szCs w:val="24"/>
        </w:rPr>
        <w:t>tates</w:t>
      </w:r>
      <w:r w:rsidRPr="00774B2C">
        <w:rPr>
          <w:szCs w:val="24"/>
        </w:rPr>
        <w:t xml:space="preserve">. The upstream primer and downstream primer of </w:t>
      </w:r>
      <w:r w:rsidR="003152E3">
        <w:rPr>
          <w:szCs w:val="24"/>
        </w:rPr>
        <w:t xml:space="preserve">the </w:t>
      </w:r>
      <w:r w:rsidRPr="00774B2C">
        <w:rPr>
          <w:szCs w:val="24"/>
        </w:rPr>
        <w:t>primer sequence miR-1304 were 5</w:t>
      </w:r>
      <w:r w:rsidR="003F4EBA">
        <w:rPr>
          <w:rFonts w:hint="cs"/>
          <w:szCs w:val="24"/>
          <w:cs/>
        </w:rPr>
        <w:t>'</w:t>
      </w:r>
      <w:r w:rsidR="003F4EBA">
        <w:rPr>
          <w:szCs w:val="24"/>
        </w:rPr>
        <w:t>—</w:t>
      </w:r>
      <w:r w:rsidRPr="00774B2C">
        <w:rPr>
          <w:szCs w:val="24"/>
        </w:rPr>
        <w:t>3</w:t>
      </w:r>
      <w:r w:rsidR="003F4EBA">
        <w:rPr>
          <w:rFonts w:hint="cs"/>
          <w:szCs w:val="24"/>
          <w:cs/>
        </w:rPr>
        <w:t>'</w:t>
      </w:r>
      <w:r w:rsidRPr="00774B2C">
        <w:rPr>
          <w:szCs w:val="24"/>
          <w:cs/>
        </w:rPr>
        <w:t xml:space="preserve"> </w:t>
      </w:r>
      <w:r w:rsidRPr="00774B2C">
        <w:rPr>
          <w:szCs w:val="24"/>
        </w:rPr>
        <w:t>and 5</w:t>
      </w:r>
      <w:r w:rsidR="003F4EBA">
        <w:rPr>
          <w:rFonts w:hint="cs"/>
          <w:szCs w:val="24"/>
          <w:cs/>
        </w:rPr>
        <w:t>'</w:t>
      </w:r>
      <w:r w:rsidR="003F4EBA">
        <w:rPr>
          <w:szCs w:val="24"/>
        </w:rPr>
        <w:t>—</w:t>
      </w:r>
      <w:r w:rsidRPr="00774B2C">
        <w:rPr>
          <w:szCs w:val="24"/>
        </w:rPr>
        <w:t>3</w:t>
      </w:r>
      <w:r w:rsidR="003F4EBA">
        <w:rPr>
          <w:rFonts w:hint="cs"/>
          <w:szCs w:val="24"/>
          <w:cs/>
        </w:rPr>
        <w:t>'</w:t>
      </w:r>
      <w:r w:rsidRPr="00774B2C">
        <w:rPr>
          <w:szCs w:val="24"/>
        </w:rPr>
        <w:t>, respectively, and those of U6 were 5</w:t>
      </w:r>
      <w:r w:rsidR="003F4EBA">
        <w:rPr>
          <w:rFonts w:hint="cs"/>
          <w:szCs w:val="24"/>
          <w:cs/>
        </w:rPr>
        <w:t>'</w:t>
      </w:r>
      <w:r w:rsidR="003F4EBA">
        <w:rPr>
          <w:szCs w:val="24"/>
        </w:rPr>
        <w:t>—</w:t>
      </w:r>
      <w:r w:rsidRPr="00774B2C">
        <w:rPr>
          <w:szCs w:val="24"/>
        </w:rPr>
        <w:t>3</w:t>
      </w:r>
      <w:r w:rsidR="003F4EBA">
        <w:rPr>
          <w:rFonts w:hint="cs"/>
          <w:szCs w:val="24"/>
          <w:cs/>
        </w:rPr>
        <w:t>'</w:t>
      </w:r>
      <w:r w:rsidRPr="00774B2C">
        <w:rPr>
          <w:szCs w:val="24"/>
          <w:cs/>
        </w:rPr>
        <w:t xml:space="preserve"> </w:t>
      </w:r>
      <w:r w:rsidRPr="00774B2C">
        <w:rPr>
          <w:szCs w:val="24"/>
        </w:rPr>
        <w:t>and 5</w:t>
      </w:r>
      <w:r w:rsidR="003F4EBA">
        <w:rPr>
          <w:rFonts w:hint="cs"/>
          <w:szCs w:val="24"/>
          <w:cs/>
        </w:rPr>
        <w:t>'</w:t>
      </w:r>
      <w:r w:rsidR="003F4EBA">
        <w:rPr>
          <w:szCs w:val="24"/>
        </w:rPr>
        <w:t>—</w:t>
      </w:r>
      <w:r w:rsidRPr="00774B2C">
        <w:rPr>
          <w:szCs w:val="24"/>
        </w:rPr>
        <w:t>3</w:t>
      </w:r>
      <w:r w:rsidR="003F4EBA">
        <w:rPr>
          <w:rFonts w:hint="cs"/>
          <w:szCs w:val="24"/>
          <w:cs/>
        </w:rPr>
        <w:t>'</w:t>
      </w:r>
      <w:r w:rsidRPr="00774B2C">
        <w:rPr>
          <w:szCs w:val="24"/>
        </w:rPr>
        <w:t>, respectively.</w:t>
      </w:r>
    </w:p>
    <w:p w14:paraId="7241F827" w14:textId="77777777" w:rsidR="00096C8E" w:rsidRDefault="00096C8E" w:rsidP="00096C8E">
      <w:pPr>
        <w:adjustRightInd w:val="0"/>
        <w:snapToGrid w:val="0"/>
        <w:rPr>
          <w:szCs w:val="24"/>
        </w:rPr>
      </w:pPr>
    </w:p>
    <w:p w14:paraId="29338CD8" w14:textId="00CA76F3" w:rsidR="00483403" w:rsidRPr="00096C8E" w:rsidRDefault="00483403" w:rsidP="00096C8E">
      <w:pPr>
        <w:adjustRightInd w:val="0"/>
        <w:snapToGrid w:val="0"/>
        <w:rPr>
          <w:rFonts w:eastAsia="楷体"/>
          <w:b/>
          <w:bCs/>
          <w:i/>
          <w:iCs/>
          <w:szCs w:val="24"/>
        </w:rPr>
      </w:pPr>
      <w:r w:rsidRPr="00096C8E">
        <w:rPr>
          <w:b/>
          <w:bCs/>
          <w:i/>
          <w:iCs/>
          <w:szCs w:val="24"/>
        </w:rPr>
        <w:t>Criteria for recurrence</w:t>
      </w:r>
    </w:p>
    <w:p w14:paraId="0DA490B9" w14:textId="49D0BC5F" w:rsidR="00096C8E" w:rsidRDefault="00483403" w:rsidP="00096C8E">
      <w:pPr>
        <w:adjustRightInd w:val="0"/>
        <w:snapToGrid w:val="0"/>
        <w:rPr>
          <w:szCs w:val="24"/>
        </w:rPr>
      </w:pPr>
      <w:r w:rsidRPr="00774B2C">
        <w:rPr>
          <w:szCs w:val="24"/>
        </w:rPr>
        <w:t xml:space="preserve">If the lymph node short diameter was </w:t>
      </w:r>
      <w:r w:rsidR="003152E3">
        <w:rPr>
          <w:szCs w:val="24"/>
        </w:rPr>
        <w:t>found</w:t>
      </w:r>
      <w:r w:rsidRPr="00774B2C">
        <w:rPr>
          <w:szCs w:val="24"/>
        </w:rPr>
        <w:t xml:space="preserve"> to be longer than or equal to 10</w:t>
      </w:r>
      <w:r w:rsidR="003F4EBA">
        <w:rPr>
          <w:szCs w:val="24"/>
        </w:rPr>
        <w:t xml:space="preserve"> </w:t>
      </w:r>
      <w:r w:rsidRPr="00774B2C">
        <w:rPr>
          <w:szCs w:val="24"/>
        </w:rPr>
        <w:t xml:space="preserve">mm in terms of pathology or cytology based on puncture, and in terms of imaging, </w:t>
      </w:r>
      <w:r w:rsidR="003152E3">
        <w:rPr>
          <w:szCs w:val="24"/>
        </w:rPr>
        <w:t>this was</w:t>
      </w:r>
      <w:r w:rsidRPr="00774B2C">
        <w:rPr>
          <w:szCs w:val="24"/>
        </w:rPr>
        <w:t xml:space="preserve"> considered regional lymph node recurrence.</w:t>
      </w:r>
    </w:p>
    <w:p w14:paraId="203D7666" w14:textId="77777777" w:rsidR="00096C8E" w:rsidRDefault="00096C8E" w:rsidP="00096C8E">
      <w:pPr>
        <w:adjustRightInd w:val="0"/>
        <w:snapToGrid w:val="0"/>
        <w:rPr>
          <w:szCs w:val="24"/>
        </w:rPr>
      </w:pPr>
    </w:p>
    <w:p w14:paraId="12D06245" w14:textId="7D50CFB6" w:rsidR="00483403" w:rsidRPr="00096C8E" w:rsidRDefault="00483403" w:rsidP="00096C8E">
      <w:pPr>
        <w:adjustRightInd w:val="0"/>
        <w:snapToGrid w:val="0"/>
        <w:rPr>
          <w:rFonts w:eastAsia="楷体"/>
          <w:b/>
          <w:bCs/>
          <w:i/>
          <w:iCs/>
          <w:szCs w:val="24"/>
        </w:rPr>
      </w:pPr>
      <w:r w:rsidRPr="00096C8E">
        <w:rPr>
          <w:b/>
          <w:bCs/>
          <w:i/>
          <w:iCs/>
          <w:szCs w:val="24"/>
        </w:rPr>
        <w:t>Follow-up</w:t>
      </w:r>
    </w:p>
    <w:p w14:paraId="541E7271" w14:textId="67D7583C" w:rsidR="00096C8E" w:rsidRDefault="00483403" w:rsidP="00096C8E">
      <w:pPr>
        <w:adjustRightInd w:val="0"/>
        <w:snapToGrid w:val="0"/>
        <w:rPr>
          <w:szCs w:val="24"/>
        </w:rPr>
      </w:pPr>
      <w:r w:rsidRPr="00774B2C">
        <w:rPr>
          <w:szCs w:val="24"/>
        </w:rPr>
        <w:t xml:space="preserve">The patients were followed up mainly </w:t>
      </w:r>
      <w:r w:rsidR="003152E3">
        <w:rPr>
          <w:szCs w:val="24"/>
        </w:rPr>
        <w:t>by</w:t>
      </w:r>
      <w:r w:rsidRPr="00774B2C">
        <w:rPr>
          <w:szCs w:val="24"/>
        </w:rPr>
        <w:t xml:space="preserve"> telephone as well as reexamination </w:t>
      </w:r>
      <w:r w:rsidRPr="00774B2C">
        <w:rPr>
          <w:szCs w:val="24"/>
        </w:rPr>
        <w:lastRenderedPageBreak/>
        <w:t xml:space="preserve">or review of </w:t>
      </w:r>
      <w:r w:rsidR="003152E3">
        <w:rPr>
          <w:szCs w:val="24"/>
        </w:rPr>
        <w:t xml:space="preserve">an </w:t>
      </w:r>
      <w:r w:rsidRPr="00774B2C">
        <w:rPr>
          <w:szCs w:val="24"/>
        </w:rPr>
        <w:t>electronic archive of them at the 3</w:t>
      </w:r>
      <w:r w:rsidRPr="00774B2C">
        <w:rPr>
          <w:szCs w:val="24"/>
          <w:vertAlign w:val="superscript"/>
        </w:rPr>
        <w:t>rd</w:t>
      </w:r>
      <w:r w:rsidRPr="00774B2C">
        <w:rPr>
          <w:szCs w:val="24"/>
        </w:rPr>
        <w:t>, 6</w:t>
      </w:r>
      <w:r w:rsidRPr="00774B2C">
        <w:rPr>
          <w:szCs w:val="24"/>
          <w:vertAlign w:val="superscript"/>
        </w:rPr>
        <w:t>th</w:t>
      </w:r>
      <w:r w:rsidRPr="00774B2C">
        <w:rPr>
          <w:szCs w:val="24"/>
        </w:rPr>
        <w:t>, 9</w:t>
      </w:r>
      <w:r w:rsidRPr="00774B2C">
        <w:rPr>
          <w:szCs w:val="24"/>
          <w:vertAlign w:val="superscript"/>
        </w:rPr>
        <w:t>th</w:t>
      </w:r>
      <w:r w:rsidRPr="00774B2C">
        <w:rPr>
          <w:szCs w:val="24"/>
        </w:rPr>
        <w:t xml:space="preserve"> and 12</w:t>
      </w:r>
      <w:r w:rsidRPr="00774B2C">
        <w:rPr>
          <w:szCs w:val="24"/>
          <w:vertAlign w:val="superscript"/>
        </w:rPr>
        <w:t>th</w:t>
      </w:r>
      <w:r w:rsidRPr="00774B2C">
        <w:rPr>
          <w:szCs w:val="24"/>
        </w:rPr>
        <w:t xml:space="preserve"> </w:t>
      </w:r>
      <w:proofErr w:type="spellStart"/>
      <w:r w:rsidRPr="00774B2C">
        <w:rPr>
          <w:szCs w:val="24"/>
        </w:rPr>
        <w:t>mo</w:t>
      </w:r>
      <w:proofErr w:type="spellEnd"/>
      <w:r w:rsidRPr="00774B2C">
        <w:rPr>
          <w:szCs w:val="24"/>
        </w:rPr>
        <w:t xml:space="preserve"> in the first year, and every 4 </w:t>
      </w:r>
      <w:proofErr w:type="spellStart"/>
      <w:r w:rsidRPr="00774B2C">
        <w:rPr>
          <w:szCs w:val="24"/>
        </w:rPr>
        <w:t>mo</w:t>
      </w:r>
      <w:proofErr w:type="spellEnd"/>
      <w:r w:rsidRPr="00774B2C">
        <w:rPr>
          <w:szCs w:val="24"/>
        </w:rPr>
        <w:t xml:space="preserve"> in the 2</w:t>
      </w:r>
      <w:r w:rsidRPr="00774B2C">
        <w:rPr>
          <w:szCs w:val="24"/>
          <w:vertAlign w:val="superscript"/>
        </w:rPr>
        <w:t>nd</w:t>
      </w:r>
      <w:r w:rsidRPr="00774B2C">
        <w:rPr>
          <w:szCs w:val="24"/>
        </w:rPr>
        <w:t xml:space="preserve"> and 3</w:t>
      </w:r>
      <w:r w:rsidRPr="00774B2C">
        <w:rPr>
          <w:szCs w:val="24"/>
          <w:vertAlign w:val="superscript"/>
        </w:rPr>
        <w:t>rd</w:t>
      </w:r>
      <w:r w:rsidRPr="00774B2C">
        <w:rPr>
          <w:szCs w:val="24"/>
        </w:rPr>
        <w:t xml:space="preserve"> years.</w:t>
      </w:r>
    </w:p>
    <w:p w14:paraId="78122059" w14:textId="77777777" w:rsidR="00096C8E" w:rsidRDefault="00096C8E" w:rsidP="00096C8E">
      <w:pPr>
        <w:adjustRightInd w:val="0"/>
        <w:snapToGrid w:val="0"/>
        <w:rPr>
          <w:szCs w:val="24"/>
        </w:rPr>
      </w:pPr>
    </w:p>
    <w:p w14:paraId="7DD069D5" w14:textId="2F1948FF" w:rsidR="00483403" w:rsidRPr="00096C8E" w:rsidRDefault="00483403" w:rsidP="00096C8E">
      <w:pPr>
        <w:adjustRightInd w:val="0"/>
        <w:snapToGrid w:val="0"/>
        <w:rPr>
          <w:rFonts w:eastAsia="楷体"/>
          <w:b/>
          <w:bCs/>
          <w:i/>
          <w:iCs/>
          <w:szCs w:val="24"/>
        </w:rPr>
      </w:pPr>
      <w:r w:rsidRPr="00096C8E">
        <w:rPr>
          <w:b/>
          <w:bCs/>
          <w:i/>
          <w:iCs/>
          <w:szCs w:val="24"/>
        </w:rPr>
        <w:t>Bioinformatics analysis</w:t>
      </w:r>
    </w:p>
    <w:p w14:paraId="0938C4B2" w14:textId="7C52F74A" w:rsidR="00096C8E" w:rsidRDefault="00483403" w:rsidP="00096C8E">
      <w:pPr>
        <w:adjustRightInd w:val="0"/>
        <w:snapToGrid w:val="0"/>
        <w:rPr>
          <w:szCs w:val="24"/>
        </w:rPr>
      </w:pPr>
      <w:r w:rsidRPr="00774B2C">
        <w:rPr>
          <w:szCs w:val="24"/>
        </w:rPr>
        <w:t xml:space="preserve">Target genes were predicted on three online target gene prediction websites for </w:t>
      </w:r>
      <w:proofErr w:type="spellStart"/>
      <w:r w:rsidRPr="00774B2C">
        <w:rPr>
          <w:szCs w:val="24"/>
        </w:rPr>
        <w:t>miR</w:t>
      </w:r>
      <w:proofErr w:type="spellEnd"/>
      <w:r w:rsidRPr="00774B2C">
        <w:rPr>
          <w:szCs w:val="24"/>
        </w:rPr>
        <w:t xml:space="preserve">, namely, </w:t>
      </w:r>
      <w:proofErr w:type="spellStart"/>
      <w:r w:rsidR="003152E3">
        <w:rPr>
          <w:szCs w:val="24"/>
        </w:rPr>
        <w:t>M</w:t>
      </w:r>
      <w:r w:rsidRPr="00774B2C">
        <w:rPr>
          <w:szCs w:val="24"/>
        </w:rPr>
        <w:t>i</w:t>
      </w:r>
      <w:r w:rsidR="003152E3">
        <w:rPr>
          <w:szCs w:val="24"/>
        </w:rPr>
        <w:t>RT</w:t>
      </w:r>
      <w:r w:rsidRPr="00774B2C">
        <w:rPr>
          <w:szCs w:val="24"/>
        </w:rPr>
        <w:t>ar</w:t>
      </w:r>
      <w:r w:rsidR="003152E3">
        <w:rPr>
          <w:szCs w:val="24"/>
        </w:rPr>
        <w:t>B</w:t>
      </w:r>
      <w:r w:rsidRPr="00774B2C">
        <w:rPr>
          <w:szCs w:val="24"/>
        </w:rPr>
        <w:t>ase</w:t>
      </w:r>
      <w:proofErr w:type="spellEnd"/>
      <w:r w:rsidRPr="00774B2C">
        <w:rPr>
          <w:szCs w:val="24"/>
        </w:rPr>
        <w:t xml:space="preserve">, </w:t>
      </w:r>
      <w:proofErr w:type="spellStart"/>
      <w:r w:rsidRPr="00774B2C">
        <w:rPr>
          <w:szCs w:val="24"/>
        </w:rPr>
        <w:t>miRDB</w:t>
      </w:r>
      <w:proofErr w:type="spellEnd"/>
      <w:r w:rsidRPr="00774B2C">
        <w:rPr>
          <w:szCs w:val="24"/>
        </w:rPr>
        <w:t xml:space="preserve">, and </w:t>
      </w:r>
      <w:proofErr w:type="spellStart"/>
      <w:r w:rsidR="003152E3">
        <w:rPr>
          <w:szCs w:val="24"/>
        </w:rPr>
        <w:t>T</w:t>
      </w:r>
      <w:r w:rsidRPr="00774B2C">
        <w:rPr>
          <w:szCs w:val="24"/>
        </w:rPr>
        <w:t>arget</w:t>
      </w:r>
      <w:r w:rsidR="003152E3">
        <w:rPr>
          <w:szCs w:val="24"/>
        </w:rPr>
        <w:t>S</w:t>
      </w:r>
      <w:r w:rsidRPr="00774B2C">
        <w:rPr>
          <w:szCs w:val="24"/>
        </w:rPr>
        <w:t>can</w:t>
      </w:r>
      <w:proofErr w:type="spellEnd"/>
      <w:r w:rsidRPr="00774B2C">
        <w:rPr>
          <w:szCs w:val="24"/>
        </w:rPr>
        <w:t xml:space="preserve">, respectively, and a Venn diagram was drawn. </w:t>
      </w:r>
      <w:r w:rsidR="003152E3">
        <w:rPr>
          <w:szCs w:val="24"/>
        </w:rPr>
        <w:t>The s</w:t>
      </w:r>
      <w:r w:rsidRPr="00774B2C">
        <w:rPr>
          <w:szCs w:val="24"/>
        </w:rPr>
        <w:t xml:space="preserve">ignal pathways of potential mRNAs were analyzed based on </w:t>
      </w:r>
      <w:r w:rsidR="003152E3">
        <w:rPr>
          <w:szCs w:val="24"/>
        </w:rPr>
        <w:t xml:space="preserve">the </w:t>
      </w:r>
      <w:r w:rsidRPr="00774B2C">
        <w:rPr>
          <w:szCs w:val="24"/>
        </w:rPr>
        <w:t>gene ontology (GO) and Kyoto Encyclopedia of Genes and Genomes (KEGG) online websites, D</w:t>
      </w:r>
      <w:r w:rsidR="00F43942">
        <w:rPr>
          <w:szCs w:val="24"/>
        </w:rPr>
        <w:t>A</w:t>
      </w:r>
      <w:r w:rsidRPr="00774B2C">
        <w:rPr>
          <w:szCs w:val="24"/>
        </w:rPr>
        <w:t>V</w:t>
      </w:r>
      <w:r w:rsidR="00F43942">
        <w:rPr>
          <w:szCs w:val="24"/>
        </w:rPr>
        <w:t>I</w:t>
      </w:r>
      <w:r w:rsidRPr="00774B2C">
        <w:rPr>
          <w:szCs w:val="24"/>
        </w:rPr>
        <w:t xml:space="preserve">D and KOBAS, and a network map for protein co-expression was drawn on the online website, </w:t>
      </w:r>
      <w:r w:rsidR="003152E3">
        <w:rPr>
          <w:szCs w:val="24"/>
        </w:rPr>
        <w:t>S</w:t>
      </w:r>
      <w:r w:rsidRPr="00774B2C">
        <w:rPr>
          <w:szCs w:val="24"/>
        </w:rPr>
        <w:t>tring.</w:t>
      </w:r>
    </w:p>
    <w:p w14:paraId="33FFAE14" w14:textId="77777777" w:rsidR="00096C8E" w:rsidRDefault="00096C8E" w:rsidP="00096C8E">
      <w:pPr>
        <w:adjustRightInd w:val="0"/>
        <w:snapToGrid w:val="0"/>
        <w:rPr>
          <w:szCs w:val="24"/>
        </w:rPr>
      </w:pPr>
    </w:p>
    <w:p w14:paraId="63595DD2" w14:textId="61DE9B7B" w:rsidR="00483403" w:rsidRPr="00096C8E" w:rsidRDefault="00483403" w:rsidP="00096C8E">
      <w:pPr>
        <w:adjustRightInd w:val="0"/>
        <w:snapToGrid w:val="0"/>
        <w:rPr>
          <w:rFonts w:eastAsia="楷体"/>
          <w:b/>
          <w:bCs/>
          <w:i/>
          <w:iCs/>
          <w:szCs w:val="24"/>
        </w:rPr>
      </w:pPr>
      <w:r w:rsidRPr="00096C8E">
        <w:rPr>
          <w:b/>
          <w:bCs/>
          <w:i/>
          <w:iCs/>
          <w:szCs w:val="24"/>
        </w:rPr>
        <w:t>Statistical analysis</w:t>
      </w:r>
    </w:p>
    <w:p w14:paraId="7671246B" w14:textId="33AB1E72" w:rsidR="00483403" w:rsidRPr="00774B2C" w:rsidRDefault="00483403" w:rsidP="00774B2C">
      <w:pPr>
        <w:adjustRightInd w:val="0"/>
        <w:snapToGrid w:val="0"/>
        <w:rPr>
          <w:szCs w:val="24"/>
        </w:rPr>
      </w:pPr>
      <w:r w:rsidRPr="00774B2C">
        <w:rPr>
          <w:szCs w:val="24"/>
        </w:rPr>
        <w:t>In this study, the SPSS</w:t>
      </w:r>
      <w:r w:rsidR="003F4EBA">
        <w:rPr>
          <w:szCs w:val="24"/>
        </w:rPr>
        <w:t xml:space="preserve"> </w:t>
      </w:r>
      <w:r w:rsidRPr="00774B2C">
        <w:rPr>
          <w:szCs w:val="24"/>
        </w:rPr>
        <w:t xml:space="preserve">20.0 software package was used to analyze the collected data statistically, and the </w:t>
      </w:r>
      <w:proofErr w:type="spellStart"/>
      <w:r w:rsidRPr="00774B2C">
        <w:rPr>
          <w:szCs w:val="24"/>
        </w:rPr>
        <w:t>GraphPad</w:t>
      </w:r>
      <w:proofErr w:type="spellEnd"/>
      <w:r w:rsidRPr="00774B2C">
        <w:rPr>
          <w:szCs w:val="24"/>
        </w:rPr>
        <w:t xml:space="preserve"> 7 software package was used to draw </w:t>
      </w:r>
      <w:r w:rsidR="003152E3">
        <w:rPr>
          <w:szCs w:val="24"/>
        </w:rPr>
        <w:t xml:space="preserve">the required </w:t>
      </w:r>
      <w:r w:rsidRPr="00774B2C">
        <w:rPr>
          <w:szCs w:val="24"/>
        </w:rPr>
        <w:t xml:space="preserve">figures. </w:t>
      </w:r>
      <w:r w:rsidR="003152E3">
        <w:rPr>
          <w:szCs w:val="24"/>
        </w:rPr>
        <w:t xml:space="preserve">The </w:t>
      </w:r>
      <w:r w:rsidRPr="003F4EBA">
        <w:rPr>
          <w:i/>
          <w:iCs/>
          <w:szCs w:val="24"/>
        </w:rPr>
        <w:t>K-S</w:t>
      </w:r>
      <w:r w:rsidRPr="00774B2C">
        <w:rPr>
          <w:szCs w:val="24"/>
        </w:rPr>
        <w:t xml:space="preserve"> test was used to analyze the distribution of measurement data. The measurement data </w:t>
      </w:r>
      <w:r w:rsidR="000B7CDA">
        <w:rPr>
          <w:szCs w:val="24"/>
        </w:rPr>
        <w:t>with</w:t>
      </w:r>
      <w:r w:rsidR="000B7CDA" w:rsidRPr="00774B2C">
        <w:rPr>
          <w:szCs w:val="24"/>
        </w:rPr>
        <w:t xml:space="preserve"> </w:t>
      </w:r>
      <w:r w:rsidRPr="00774B2C">
        <w:rPr>
          <w:szCs w:val="24"/>
        </w:rPr>
        <w:t xml:space="preserve">normal distribution were expressed by </w:t>
      </w:r>
      <w:r w:rsidR="00BB4600" w:rsidRPr="00774B2C">
        <w:rPr>
          <w:szCs w:val="24"/>
        </w:rPr>
        <w:t>m</w:t>
      </w:r>
      <w:r w:rsidRPr="00774B2C">
        <w:rPr>
          <w:szCs w:val="24"/>
        </w:rPr>
        <w:t xml:space="preserve">ean ± SD, and those </w:t>
      </w:r>
      <w:r w:rsidR="000B7CDA">
        <w:rPr>
          <w:szCs w:val="24"/>
        </w:rPr>
        <w:t>with non-</w:t>
      </w:r>
      <w:r w:rsidRPr="00774B2C">
        <w:rPr>
          <w:szCs w:val="24"/>
        </w:rPr>
        <w:t xml:space="preserve">normal distribution were expressed by median and interquartile range </w:t>
      </w:r>
      <w:r w:rsidRPr="00774B2C">
        <w:rPr>
          <w:color w:val="000000"/>
          <w:szCs w:val="24"/>
        </w:rPr>
        <w:t>P</w:t>
      </w:r>
      <w:r w:rsidRPr="00774B2C">
        <w:rPr>
          <w:color w:val="000000"/>
          <w:szCs w:val="24"/>
          <w:vertAlign w:val="subscript"/>
        </w:rPr>
        <w:t xml:space="preserve">50 </w:t>
      </w:r>
      <w:r w:rsidR="003F4EBA">
        <w:rPr>
          <w:color w:val="000000"/>
          <w:szCs w:val="24"/>
        </w:rPr>
        <w:t>(</w:t>
      </w:r>
      <w:r w:rsidRPr="00774B2C">
        <w:rPr>
          <w:color w:val="000000"/>
          <w:szCs w:val="24"/>
        </w:rPr>
        <w:t>P</w:t>
      </w:r>
      <w:r w:rsidRPr="00774B2C">
        <w:rPr>
          <w:color w:val="000000"/>
          <w:szCs w:val="24"/>
          <w:vertAlign w:val="subscript"/>
        </w:rPr>
        <w:t>25</w:t>
      </w:r>
      <w:r w:rsidRPr="00774B2C">
        <w:rPr>
          <w:color w:val="000000"/>
          <w:szCs w:val="24"/>
        </w:rPr>
        <w:t>-P</w:t>
      </w:r>
      <w:r w:rsidRPr="00774B2C">
        <w:rPr>
          <w:color w:val="000000"/>
          <w:szCs w:val="24"/>
          <w:vertAlign w:val="subscript"/>
        </w:rPr>
        <w:t>75</w:t>
      </w:r>
      <w:r w:rsidR="003F4EBA">
        <w:rPr>
          <w:color w:val="000000"/>
          <w:szCs w:val="24"/>
        </w:rPr>
        <w:t>)</w:t>
      </w:r>
      <w:r w:rsidRPr="00774B2C">
        <w:rPr>
          <w:szCs w:val="24"/>
        </w:rPr>
        <w:t xml:space="preserve">, analyzed using </w:t>
      </w:r>
      <w:r w:rsidR="000B7CDA">
        <w:rPr>
          <w:szCs w:val="24"/>
        </w:rPr>
        <w:t xml:space="preserve">the </w:t>
      </w:r>
      <w:r w:rsidRPr="00774B2C">
        <w:rPr>
          <w:szCs w:val="24"/>
        </w:rPr>
        <w:t>non-parametric test, and then expressed by Z. Comparison</w:t>
      </w:r>
      <w:r w:rsidR="000B7CDA">
        <w:rPr>
          <w:szCs w:val="24"/>
        </w:rPr>
        <w:t>s</w:t>
      </w:r>
      <w:r w:rsidRPr="00774B2C">
        <w:rPr>
          <w:szCs w:val="24"/>
        </w:rPr>
        <w:t xml:space="preserve"> between groups w</w:t>
      </w:r>
      <w:r w:rsidR="000B7CDA">
        <w:rPr>
          <w:szCs w:val="24"/>
        </w:rPr>
        <w:t>ere</w:t>
      </w:r>
      <w:r w:rsidRPr="00774B2C">
        <w:rPr>
          <w:szCs w:val="24"/>
        </w:rPr>
        <w:t xml:space="preserve"> analyzed using </w:t>
      </w:r>
      <w:r w:rsidR="000B7CDA">
        <w:rPr>
          <w:szCs w:val="24"/>
        </w:rPr>
        <w:t xml:space="preserve">the </w:t>
      </w:r>
      <w:r w:rsidRPr="00774B2C">
        <w:rPr>
          <w:szCs w:val="24"/>
        </w:rPr>
        <w:t xml:space="preserve">independent-samples </w:t>
      </w:r>
      <w:r w:rsidR="003F4EBA">
        <w:rPr>
          <w:i/>
          <w:iCs/>
          <w:szCs w:val="24"/>
        </w:rPr>
        <w:t>t</w:t>
      </w:r>
      <w:r w:rsidRPr="00774B2C">
        <w:rPr>
          <w:szCs w:val="24"/>
        </w:rPr>
        <w:t xml:space="preserve"> test, and comparison</w:t>
      </w:r>
      <w:r w:rsidR="000B7CDA">
        <w:rPr>
          <w:szCs w:val="24"/>
        </w:rPr>
        <w:t>s</w:t>
      </w:r>
      <w:r w:rsidRPr="00774B2C">
        <w:rPr>
          <w:szCs w:val="24"/>
        </w:rPr>
        <w:t xml:space="preserve"> within groups w</w:t>
      </w:r>
      <w:r w:rsidR="000B7CDA">
        <w:rPr>
          <w:szCs w:val="24"/>
        </w:rPr>
        <w:t>ere</w:t>
      </w:r>
      <w:r w:rsidRPr="00774B2C">
        <w:rPr>
          <w:szCs w:val="24"/>
        </w:rPr>
        <w:t xml:space="preserve"> analyzed using </w:t>
      </w:r>
      <w:r w:rsidR="000B7CDA">
        <w:rPr>
          <w:szCs w:val="24"/>
        </w:rPr>
        <w:t xml:space="preserve">the </w:t>
      </w:r>
      <w:r w:rsidRPr="00774B2C">
        <w:rPr>
          <w:szCs w:val="24"/>
        </w:rPr>
        <w:t xml:space="preserve">paired </w:t>
      </w:r>
      <w:r w:rsidRPr="003F4EBA">
        <w:rPr>
          <w:i/>
          <w:iCs/>
          <w:szCs w:val="24"/>
        </w:rPr>
        <w:t>t</w:t>
      </w:r>
      <w:r w:rsidRPr="00774B2C">
        <w:rPr>
          <w:szCs w:val="24"/>
        </w:rPr>
        <w:t xml:space="preserve"> test, and expressed by </w:t>
      </w:r>
      <w:r w:rsidRPr="00096C8E">
        <w:rPr>
          <w:i/>
          <w:iCs/>
          <w:szCs w:val="24"/>
        </w:rPr>
        <w:t>t</w:t>
      </w:r>
      <w:r w:rsidRPr="00774B2C">
        <w:rPr>
          <w:szCs w:val="24"/>
        </w:rPr>
        <w:t>. Enumeration data were analyzed using</w:t>
      </w:r>
      <w:r w:rsidR="000B7CDA">
        <w:rPr>
          <w:szCs w:val="24"/>
        </w:rPr>
        <w:t xml:space="preserve"> the</w:t>
      </w:r>
      <w:r w:rsidRPr="00774B2C">
        <w:rPr>
          <w:szCs w:val="24"/>
        </w:rPr>
        <w:t xml:space="preserve"> </w:t>
      </w:r>
      <w:r w:rsidR="00BB4600" w:rsidRPr="0087151A">
        <w:rPr>
          <w:rFonts w:cs="Book Antiqua"/>
          <w:i/>
          <w:iCs/>
        </w:rPr>
        <w:t>χ</w:t>
      </w:r>
      <w:r w:rsidR="00BB4600" w:rsidRPr="0087151A">
        <w:rPr>
          <w:rFonts w:cs="Book Antiqua" w:hint="eastAsia"/>
          <w:vertAlign w:val="superscript"/>
        </w:rPr>
        <w:t>2</w:t>
      </w:r>
      <w:r w:rsidRPr="00774B2C">
        <w:rPr>
          <w:szCs w:val="24"/>
        </w:rPr>
        <w:t xml:space="preserve"> test, and expressed by </w:t>
      </w:r>
      <w:r w:rsidRPr="003F4EBA">
        <w:rPr>
          <w:i/>
          <w:iCs/>
          <w:color w:val="000000"/>
          <w:szCs w:val="24"/>
        </w:rPr>
        <w:sym w:font="Symbol" w:char="0063"/>
      </w:r>
      <w:r w:rsidRPr="003F4EBA">
        <w:rPr>
          <w:i/>
          <w:iCs/>
          <w:color w:val="000000"/>
          <w:szCs w:val="24"/>
          <w:vertAlign w:val="superscript"/>
        </w:rPr>
        <w:t>2</w:t>
      </w:r>
      <w:r w:rsidRPr="00774B2C">
        <w:rPr>
          <w:szCs w:val="24"/>
        </w:rPr>
        <w:t>. Comparison</w:t>
      </w:r>
      <w:r w:rsidR="000B7CDA">
        <w:rPr>
          <w:szCs w:val="24"/>
        </w:rPr>
        <w:t>s</w:t>
      </w:r>
      <w:r w:rsidRPr="00774B2C">
        <w:rPr>
          <w:szCs w:val="24"/>
        </w:rPr>
        <w:t xml:space="preserve"> among multiple groups w</w:t>
      </w:r>
      <w:r w:rsidR="000B7CDA">
        <w:rPr>
          <w:szCs w:val="24"/>
        </w:rPr>
        <w:t>ere</w:t>
      </w:r>
      <w:r w:rsidRPr="00774B2C">
        <w:rPr>
          <w:szCs w:val="24"/>
        </w:rPr>
        <w:t xml:space="preserve"> analyzed using one-way </w:t>
      </w:r>
      <w:r w:rsidR="000B7CDA">
        <w:rPr>
          <w:szCs w:val="24"/>
        </w:rPr>
        <w:t>ANOVA</w:t>
      </w:r>
      <w:r w:rsidRPr="00774B2C">
        <w:rPr>
          <w:szCs w:val="24"/>
        </w:rPr>
        <w:t>, and expressed by F. Post</w:t>
      </w:r>
      <w:r w:rsidR="000B7CDA">
        <w:rPr>
          <w:szCs w:val="24"/>
        </w:rPr>
        <w:t>-</w:t>
      </w:r>
      <w:r w:rsidRPr="00774B2C">
        <w:rPr>
          <w:szCs w:val="24"/>
        </w:rPr>
        <w:t>hoc pairwise comparison</w:t>
      </w:r>
      <w:r w:rsidR="000B7CDA">
        <w:rPr>
          <w:szCs w:val="24"/>
        </w:rPr>
        <w:t>s were</w:t>
      </w:r>
      <w:r w:rsidRPr="00774B2C">
        <w:rPr>
          <w:szCs w:val="24"/>
        </w:rPr>
        <w:t xml:space="preserve"> analyzed using </w:t>
      </w:r>
      <w:r w:rsidR="000B7CDA">
        <w:rPr>
          <w:szCs w:val="24"/>
        </w:rPr>
        <w:t xml:space="preserve">the </w:t>
      </w:r>
      <w:r w:rsidRPr="00774B2C">
        <w:rPr>
          <w:szCs w:val="24"/>
        </w:rPr>
        <w:t>LSD-</w:t>
      </w:r>
      <w:r w:rsidRPr="003F4EBA">
        <w:rPr>
          <w:i/>
          <w:iCs/>
          <w:szCs w:val="24"/>
        </w:rPr>
        <w:t>t</w:t>
      </w:r>
      <w:r w:rsidRPr="00774B2C">
        <w:rPr>
          <w:szCs w:val="24"/>
        </w:rPr>
        <w:t xml:space="preserve"> test. Receiver operating characteristic (ROC) curves were drawn for </w:t>
      </w:r>
      <w:r w:rsidR="000B7CDA">
        <w:rPr>
          <w:szCs w:val="24"/>
        </w:rPr>
        <w:t xml:space="preserve">the </w:t>
      </w:r>
      <w:r w:rsidRPr="00774B2C">
        <w:rPr>
          <w:szCs w:val="24"/>
        </w:rPr>
        <w:t>diagnostic value of miR-1304 in esophageal carcinoma. Spe</w:t>
      </w:r>
      <w:r w:rsidR="000B7CDA">
        <w:rPr>
          <w:szCs w:val="24"/>
        </w:rPr>
        <w:t>a</w:t>
      </w:r>
      <w:r w:rsidRPr="00774B2C">
        <w:rPr>
          <w:szCs w:val="24"/>
        </w:rPr>
        <w:t>rman</w:t>
      </w:r>
      <w:r w:rsidR="000B7CDA">
        <w:rPr>
          <w:szCs w:val="24"/>
        </w:rPr>
        <w:t>’s correlation</w:t>
      </w:r>
      <w:r w:rsidRPr="00774B2C">
        <w:rPr>
          <w:szCs w:val="24"/>
        </w:rPr>
        <w:t xml:space="preserve"> </w:t>
      </w:r>
      <w:r w:rsidR="00F43942">
        <w:rPr>
          <w:szCs w:val="24"/>
        </w:rPr>
        <w:t>analysis</w:t>
      </w:r>
      <w:r w:rsidR="000B7CDA">
        <w:rPr>
          <w:szCs w:val="24"/>
        </w:rPr>
        <w:t xml:space="preserve"> </w:t>
      </w:r>
      <w:r w:rsidRPr="00774B2C">
        <w:rPr>
          <w:szCs w:val="24"/>
        </w:rPr>
        <w:t>was adopted to analyze the</w:t>
      </w:r>
      <w:r w:rsidRPr="00774B2C">
        <w:rPr>
          <w:color w:val="000000"/>
          <w:szCs w:val="24"/>
        </w:rPr>
        <w:t xml:space="preserve"> correlation between miR-1304 in </w:t>
      </w:r>
      <w:r w:rsidR="000B7CDA">
        <w:rPr>
          <w:color w:val="000000"/>
          <w:szCs w:val="24"/>
        </w:rPr>
        <w:t xml:space="preserve">the </w:t>
      </w:r>
      <w:r w:rsidRPr="00774B2C">
        <w:rPr>
          <w:color w:val="000000"/>
          <w:szCs w:val="24"/>
        </w:rPr>
        <w:t xml:space="preserve">tissues and serum of patients. A Kaplan-Meier curve </w:t>
      </w:r>
      <w:r w:rsidR="000B7CDA">
        <w:rPr>
          <w:color w:val="000000"/>
          <w:szCs w:val="24"/>
        </w:rPr>
        <w:t>of</w:t>
      </w:r>
      <w:r w:rsidRPr="00774B2C">
        <w:rPr>
          <w:color w:val="000000"/>
          <w:szCs w:val="24"/>
        </w:rPr>
        <w:t xml:space="preserve"> the 5-year survival of patients was drawn, and was analyzed using </w:t>
      </w:r>
      <w:r w:rsidR="000B7CDA">
        <w:rPr>
          <w:color w:val="000000"/>
          <w:szCs w:val="24"/>
        </w:rPr>
        <w:t xml:space="preserve">the </w:t>
      </w:r>
      <w:r w:rsidRPr="00774B2C">
        <w:rPr>
          <w:color w:val="000000"/>
          <w:szCs w:val="24"/>
        </w:rPr>
        <w:t xml:space="preserve">Log-rank test. Multivariate Cox regression was adopted to analyze independent risk factors for </w:t>
      </w:r>
      <w:r w:rsidR="000B7CDA">
        <w:rPr>
          <w:color w:val="000000"/>
          <w:szCs w:val="24"/>
        </w:rPr>
        <w:t xml:space="preserve">the </w:t>
      </w:r>
      <w:r w:rsidRPr="00774B2C">
        <w:rPr>
          <w:color w:val="000000"/>
          <w:szCs w:val="24"/>
        </w:rPr>
        <w:t xml:space="preserve">prognosis of patients and Logistic regression </w:t>
      </w:r>
      <w:r w:rsidR="000B7CDA">
        <w:rPr>
          <w:color w:val="000000"/>
          <w:szCs w:val="24"/>
        </w:rPr>
        <w:t xml:space="preserve">was used </w:t>
      </w:r>
      <w:r w:rsidRPr="00774B2C">
        <w:rPr>
          <w:color w:val="000000"/>
          <w:szCs w:val="24"/>
        </w:rPr>
        <w:t xml:space="preserve">to analyze </w:t>
      </w:r>
      <w:r w:rsidRPr="00774B2C">
        <w:rPr>
          <w:color w:val="000000"/>
          <w:szCs w:val="24"/>
        </w:rPr>
        <w:lastRenderedPageBreak/>
        <w:t xml:space="preserve">independent risk factors for recurrence of esophageal carcinoma in patients. </w:t>
      </w:r>
      <w:proofErr w:type="spellStart"/>
      <w:proofErr w:type="gramStart"/>
      <w:r w:rsidR="003949F3" w:rsidRPr="00774B2C">
        <w:rPr>
          <w:color w:val="000000"/>
          <w:szCs w:val="24"/>
          <w:vertAlign w:val="superscript"/>
        </w:rPr>
        <w:t>a</w:t>
      </w:r>
      <w:r w:rsidRPr="00774B2C">
        <w:rPr>
          <w:i/>
          <w:iCs/>
          <w:szCs w:val="24"/>
        </w:rPr>
        <w:t>P</w:t>
      </w:r>
      <w:proofErr w:type="spellEnd"/>
      <w:proofErr w:type="gramEnd"/>
      <w:r w:rsidR="003F4EBA">
        <w:rPr>
          <w:i/>
          <w:iCs/>
          <w:szCs w:val="24"/>
        </w:rPr>
        <w:t xml:space="preserve"> </w:t>
      </w:r>
      <w:r w:rsidR="003F4EBA">
        <w:rPr>
          <w:rFonts w:hint="eastAsia"/>
          <w:szCs w:val="24"/>
        </w:rPr>
        <w:t>&lt;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0.05 indicated a significant difference.</w:t>
      </w:r>
    </w:p>
    <w:p w14:paraId="367745EE" w14:textId="77777777" w:rsidR="00A21E34" w:rsidRPr="003F4EBA" w:rsidRDefault="00A21E34" w:rsidP="00774B2C">
      <w:pPr>
        <w:adjustRightInd w:val="0"/>
        <w:snapToGrid w:val="0"/>
        <w:rPr>
          <w:rFonts w:eastAsia="楷体"/>
          <w:color w:val="000000"/>
          <w:szCs w:val="24"/>
        </w:rPr>
      </w:pPr>
    </w:p>
    <w:p w14:paraId="4CC42E6E" w14:textId="77777777" w:rsidR="005D3A57" w:rsidRDefault="003F4EBA" w:rsidP="005D3A57">
      <w:pPr>
        <w:pStyle w:val="ac"/>
        <w:spacing w:before="0" w:after="0" w:line="360" w:lineRule="auto"/>
        <w:jc w:val="both"/>
        <w:rPr>
          <w:rFonts w:ascii="Book Antiqua" w:hAnsi="Book Antiqua"/>
          <w:sz w:val="24"/>
          <w:szCs w:val="24"/>
          <w:u w:val="single"/>
          <w:lang w:val="en-US" w:eastAsia="fr-FR"/>
        </w:rPr>
      </w:pPr>
      <w:r w:rsidRPr="006E6A95">
        <w:rPr>
          <w:rFonts w:ascii="Book Antiqua" w:hAnsi="Book Antiqua"/>
          <w:sz w:val="24"/>
          <w:szCs w:val="24"/>
          <w:u w:val="single"/>
          <w:lang w:val="en-US" w:eastAsia="fr-FR"/>
        </w:rPr>
        <w:t>RESULTS</w:t>
      </w:r>
    </w:p>
    <w:p w14:paraId="02F57B3A" w14:textId="6C27C52D" w:rsidR="00483403" w:rsidRPr="005D3A57" w:rsidRDefault="00483403" w:rsidP="005D3A57">
      <w:pPr>
        <w:pStyle w:val="ac"/>
        <w:spacing w:before="0" w:after="0" w:line="360" w:lineRule="auto"/>
        <w:jc w:val="both"/>
        <w:rPr>
          <w:rFonts w:ascii="Book Antiqua" w:hAnsi="Book Antiqua"/>
          <w:i/>
          <w:iCs/>
          <w:sz w:val="24"/>
          <w:szCs w:val="24"/>
          <w:u w:val="single"/>
          <w:lang w:val="en-US" w:eastAsia="fr-FR"/>
        </w:rPr>
      </w:pPr>
      <w:r w:rsidRPr="005D3A57">
        <w:rPr>
          <w:rFonts w:ascii="Book Antiqua" w:hAnsi="Book Antiqua"/>
          <w:i/>
          <w:iCs/>
          <w:sz w:val="24"/>
          <w:szCs w:val="24"/>
        </w:rPr>
        <w:t>Clinical baseline data analysis</w:t>
      </w:r>
    </w:p>
    <w:p w14:paraId="7EADFEF5" w14:textId="5E532BED" w:rsidR="005D3A57" w:rsidRDefault="000B7CDA" w:rsidP="005D3A57">
      <w:pPr>
        <w:adjustRightInd w:val="0"/>
        <w:snapToGrid w:val="0"/>
        <w:rPr>
          <w:szCs w:val="24"/>
        </w:rPr>
      </w:pPr>
      <w:r>
        <w:rPr>
          <w:szCs w:val="24"/>
        </w:rPr>
        <w:t>C</w:t>
      </w:r>
      <w:r w:rsidRPr="00774B2C">
        <w:rPr>
          <w:szCs w:val="24"/>
        </w:rPr>
        <w:t xml:space="preserve">linical baseline data </w:t>
      </w:r>
      <w:r>
        <w:rPr>
          <w:szCs w:val="24"/>
        </w:rPr>
        <w:t>in t</w:t>
      </w:r>
      <w:r w:rsidR="00483403" w:rsidRPr="00774B2C">
        <w:rPr>
          <w:szCs w:val="24"/>
        </w:rPr>
        <w:t xml:space="preserve">he normal group and patient group were compared, and no significant differences </w:t>
      </w:r>
      <w:r>
        <w:rPr>
          <w:szCs w:val="24"/>
        </w:rPr>
        <w:t xml:space="preserve">were found </w:t>
      </w:r>
      <w:r w:rsidR="00483403" w:rsidRPr="00774B2C">
        <w:rPr>
          <w:szCs w:val="24"/>
        </w:rPr>
        <w:t xml:space="preserve">between them in </w:t>
      </w:r>
      <w:r>
        <w:rPr>
          <w:szCs w:val="24"/>
        </w:rPr>
        <w:t xml:space="preserve">terms of </w:t>
      </w:r>
      <w:r w:rsidR="00483403" w:rsidRPr="00774B2C">
        <w:rPr>
          <w:szCs w:val="24"/>
        </w:rPr>
        <w:t xml:space="preserve">age, gender, smoking history and history of </w:t>
      </w:r>
      <w:r w:rsidR="00A21E34" w:rsidRPr="00774B2C">
        <w:rPr>
          <w:szCs w:val="24"/>
        </w:rPr>
        <w:t>alcoholism</w:t>
      </w:r>
      <w:r w:rsidR="003F4EBA">
        <w:rPr>
          <w:szCs w:val="24"/>
        </w:rPr>
        <w:t xml:space="preserve"> (</w:t>
      </w:r>
      <w:r w:rsidR="00A21E34" w:rsidRPr="00774B2C">
        <w:rPr>
          <w:szCs w:val="24"/>
        </w:rPr>
        <w:t>T</w:t>
      </w:r>
      <w:r w:rsidR="00483403" w:rsidRPr="00774B2C">
        <w:rPr>
          <w:szCs w:val="24"/>
        </w:rPr>
        <w:t>able 1</w:t>
      </w:r>
      <w:r w:rsidR="003F4EBA">
        <w:rPr>
          <w:szCs w:val="24"/>
        </w:rPr>
        <w:t>)</w:t>
      </w:r>
      <w:r w:rsidR="00483403" w:rsidRPr="00774B2C">
        <w:rPr>
          <w:szCs w:val="24"/>
        </w:rPr>
        <w:t>.</w:t>
      </w:r>
    </w:p>
    <w:p w14:paraId="478DED50" w14:textId="77777777" w:rsidR="005D3A57" w:rsidRDefault="005D3A57" w:rsidP="005D3A57">
      <w:pPr>
        <w:adjustRightInd w:val="0"/>
        <w:snapToGrid w:val="0"/>
        <w:rPr>
          <w:szCs w:val="24"/>
        </w:rPr>
      </w:pPr>
    </w:p>
    <w:p w14:paraId="77683362" w14:textId="741AE9F2" w:rsidR="00483403" w:rsidRPr="005D3A57" w:rsidRDefault="00483403" w:rsidP="005D3A57">
      <w:pPr>
        <w:adjustRightInd w:val="0"/>
        <w:snapToGrid w:val="0"/>
        <w:rPr>
          <w:rFonts w:eastAsia="楷体"/>
          <w:b/>
          <w:bCs/>
          <w:i/>
          <w:iCs/>
          <w:szCs w:val="24"/>
        </w:rPr>
      </w:pPr>
      <w:r w:rsidRPr="005D3A57">
        <w:rPr>
          <w:b/>
          <w:bCs/>
          <w:i/>
          <w:iCs/>
          <w:szCs w:val="24"/>
        </w:rPr>
        <w:t>Expression of miR-1304 in patients with esophageal carcinoma and its diagnostic value</w:t>
      </w:r>
    </w:p>
    <w:p w14:paraId="118383CF" w14:textId="6CCCBC6F" w:rsidR="005D3A57" w:rsidRDefault="00483403" w:rsidP="005D3A57">
      <w:pPr>
        <w:adjustRightInd w:val="0"/>
        <w:snapToGrid w:val="0"/>
        <w:rPr>
          <w:szCs w:val="24"/>
        </w:rPr>
      </w:pPr>
      <w:r w:rsidRPr="00774B2C">
        <w:rPr>
          <w:szCs w:val="24"/>
        </w:rPr>
        <w:t xml:space="preserve">Firstly, analysis </w:t>
      </w:r>
      <w:r w:rsidR="000B7CDA">
        <w:rPr>
          <w:szCs w:val="24"/>
        </w:rPr>
        <w:t>of</w:t>
      </w:r>
      <w:r w:rsidRPr="00774B2C">
        <w:rPr>
          <w:szCs w:val="24"/>
        </w:rPr>
        <w:t xml:space="preserve"> the expression of miR-1304 from TCGA database revealed that cancer tissues showed significantly higher expression of miR-1304 than normal tissues (</w:t>
      </w:r>
      <w:proofErr w:type="spellStart"/>
      <w:r w:rsidR="003949F3" w:rsidRPr="00774B2C">
        <w:rPr>
          <w:szCs w:val="24"/>
          <w:vertAlign w:val="superscript"/>
        </w:rPr>
        <w:t>b</w:t>
      </w:r>
      <w:r w:rsidRPr="00774B2C">
        <w:rPr>
          <w:i/>
          <w:iCs/>
          <w:szCs w:val="24"/>
        </w:rPr>
        <w:t>P</w:t>
      </w:r>
      <w:proofErr w:type="spellEnd"/>
      <w:r w:rsidR="003F4EBA">
        <w:rPr>
          <w:i/>
          <w:iCs/>
          <w:szCs w:val="24"/>
        </w:rPr>
        <w:t xml:space="preserve"> </w:t>
      </w:r>
      <w:r w:rsidR="003F4EBA">
        <w:rPr>
          <w:rFonts w:hint="eastAsia"/>
          <w:szCs w:val="24"/>
        </w:rPr>
        <w:t>&lt;</w:t>
      </w:r>
      <w:r w:rsidR="003F4EBA">
        <w:rPr>
          <w:szCs w:val="24"/>
        </w:rPr>
        <w:t xml:space="preserve"> </w:t>
      </w:r>
      <w:r w:rsidRPr="00774B2C">
        <w:rPr>
          <w:szCs w:val="24"/>
        </w:rPr>
        <w:t xml:space="preserve">0.001). </w:t>
      </w:r>
      <w:r w:rsidR="000B7CDA">
        <w:rPr>
          <w:szCs w:val="24"/>
        </w:rPr>
        <w:t>A</w:t>
      </w:r>
      <w:r w:rsidRPr="00774B2C">
        <w:rPr>
          <w:szCs w:val="24"/>
        </w:rPr>
        <w:t xml:space="preserve">nalysis </w:t>
      </w:r>
      <w:r w:rsidR="000B7CDA">
        <w:rPr>
          <w:szCs w:val="24"/>
        </w:rPr>
        <w:t>of the</w:t>
      </w:r>
      <w:r w:rsidRPr="00774B2C">
        <w:rPr>
          <w:szCs w:val="24"/>
        </w:rPr>
        <w:t xml:space="preserve"> expression of miR-1304 in </w:t>
      </w:r>
      <w:r w:rsidR="000B7CDA">
        <w:rPr>
          <w:szCs w:val="24"/>
        </w:rPr>
        <w:t xml:space="preserve">the </w:t>
      </w:r>
      <w:r w:rsidRPr="00774B2C">
        <w:rPr>
          <w:szCs w:val="24"/>
        </w:rPr>
        <w:t xml:space="preserve">serum and tissues of patients showed that the expression of miR-1304 was significantly higher than that in tumor-adjacent tissues and normal serum. Correlation analysis revealed that the expression of miR-1304 in </w:t>
      </w:r>
      <w:r w:rsidR="000B7CDA">
        <w:rPr>
          <w:szCs w:val="24"/>
        </w:rPr>
        <w:t xml:space="preserve">the </w:t>
      </w:r>
      <w:r w:rsidRPr="00774B2C">
        <w:rPr>
          <w:szCs w:val="24"/>
        </w:rPr>
        <w:t>tissues of patients was positively correlated with that in serum (</w:t>
      </w:r>
      <w:r w:rsidRPr="007C797C">
        <w:rPr>
          <w:i/>
          <w:iCs/>
          <w:szCs w:val="24"/>
        </w:rPr>
        <w:t>R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=</w:t>
      </w:r>
      <w:r w:rsidR="003F4EBA">
        <w:rPr>
          <w:szCs w:val="24"/>
        </w:rPr>
        <w:t xml:space="preserve"> </w:t>
      </w:r>
      <w:r w:rsidRPr="00774B2C">
        <w:rPr>
          <w:szCs w:val="24"/>
        </w:rPr>
        <w:t xml:space="preserve">0.330, </w:t>
      </w:r>
      <w:proofErr w:type="spellStart"/>
      <w:r w:rsidR="003949F3" w:rsidRPr="00774B2C">
        <w:rPr>
          <w:szCs w:val="24"/>
          <w:vertAlign w:val="superscript"/>
        </w:rPr>
        <w:t>b</w:t>
      </w:r>
      <w:r w:rsidR="007E494D" w:rsidRPr="00774B2C">
        <w:rPr>
          <w:i/>
          <w:iCs/>
          <w:szCs w:val="24"/>
        </w:rPr>
        <w:t>P</w:t>
      </w:r>
      <w:proofErr w:type="spellEnd"/>
      <w:r w:rsidR="003F4EBA">
        <w:rPr>
          <w:i/>
          <w:iCs/>
          <w:szCs w:val="24"/>
        </w:rPr>
        <w:t xml:space="preserve"> </w:t>
      </w:r>
      <w:r w:rsidRPr="00774B2C">
        <w:rPr>
          <w:szCs w:val="24"/>
        </w:rPr>
        <w:t>&lt;</w:t>
      </w:r>
      <w:r w:rsidR="003F4EBA">
        <w:rPr>
          <w:szCs w:val="24"/>
        </w:rPr>
        <w:t xml:space="preserve"> </w:t>
      </w:r>
      <w:r w:rsidRPr="00774B2C">
        <w:rPr>
          <w:szCs w:val="24"/>
        </w:rPr>
        <w:t xml:space="preserve">0.001). ROC curve analysis revealed that the </w:t>
      </w:r>
      <w:bookmarkStart w:id="25" w:name="OLE_LINK31"/>
      <w:r w:rsidRPr="00774B2C">
        <w:rPr>
          <w:szCs w:val="24"/>
        </w:rPr>
        <w:t>area under the curve</w:t>
      </w:r>
      <w:bookmarkEnd w:id="25"/>
      <w:r w:rsidRPr="00774B2C">
        <w:rPr>
          <w:szCs w:val="24"/>
        </w:rPr>
        <w:t xml:space="preserve"> (AUC) of miR-1304 for </w:t>
      </w:r>
      <w:r w:rsidR="000B7CDA">
        <w:rPr>
          <w:szCs w:val="24"/>
        </w:rPr>
        <w:t xml:space="preserve">the </w:t>
      </w:r>
      <w:r w:rsidRPr="00774B2C">
        <w:rPr>
          <w:szCs w:val="24"/>
        </w:rPr>
        <w:t>diagnosi</w:t>
      </w:r>
      <w:r w:rsidR="000B7CDA">
        <w:rPr>
          <w:szCs w:val="24"/>
        </w:rPr>
        <w:t>s of</w:t>
      </w:r>
      <w:r w:rsidRPr="00774B2C">
        <w:rPr>
          <w:szCs w:val="24"/>
        </w:rPr>
        <w:t xml:space="preserve"> esophageal carcinoma was 0.912</w:t>
      </w:r>
      <w:r w:rsidR="000B7CDA">
        <w:rPr>
          <w:szCs w:val="24"/>
        </w:rPr>
        <w:t>; thus</w:t>
      </w:r>
      <w:r w:rsidRPr="00774B2C">
        <w:rPr>
          <w:szCs w:val="24"/>
        </w:rPr>
        <w:t xml:space="preserve">, </w:t>
      </w:r>
      <w:r w:rsidR="000B7CDA">
        <w:rPr>
          <w:szCs w:val="24"/>
        </w:rPr>
        <w:t>miR-1304</w:t>
      </w:r>
      <w:r w:rsidRPr="00774B2C">
        <w:rPr>
          <w:szCs w:val="24"/>
        </w:rPr>
        <w:t xml:space="preserve"> had high diagnostic value</w:t>
      </w:r>
      <w:r w:rsidR="003F4EBA">
        <w:rPr>
          <w:szCs w:val="24"/>
        </w:rPr>
        <w:t xml:space="preserve"> (</w:t>
      </w:r>
      <w:r w:rsidRPr="00774B2C">
        <w:rPr>
          <w:szCs w:val="24"/>
        </w:rPr>
        <w:t>Figure 1</w:t>
      </w:r>
      <w:r w:rsidR="003F4EBA">
        <w:rPr>
          <w:szCs w:val="24"/>
        </w:rPr>
        <w:t>)</w:t>
      </w:r>
      <w:r w:rsidRPr="00774B2C">
        <w:rPr>
          <w:szCs w:val="24"/>
        </w:rPr>
        <w:t>.</w:t>
      </w:r>
    </w:p>
    <w:p w14:paraId="0D14E8BB" w14:textId="77777777" w:rsidR="005D3A57" w:rsidRDefault="005D3A57" w:rsidP="005D3A57">
      <w:pPr>
        <w:adjustRightInd w:val="0"/>
        <w:snapToGrid w:val="0"/>
        <w:rPr>
          <w:szCs w:val="24"/>
        </w:rPr>
      </w:pPr>
    </w:p>
    <w:p w14:paraId="29473955" w14:textId="0565D08F" w:rsidR="00483403" w:rsidRPr="005D3A57" w:rsidRDefault="00483403" w:rsidP="005D3A57">
      <w:pPr>
        <w:adjustRightInd w:val="0"/>
        <w:snapToGrid w:val="0"/>
        <w:rPr>
          <w:rFonts w:eastAsia="楷体"/>
          <w:b/>
          <w:bCs/>
          <w:i/>
          <w:iCs/>
          <w:szCs w:val="24"/>
        </w:rPr>
      </w:pPr>
      <w:r w:rsidRPr="005D3A57">
        <w:rPr>
          <w:b/>
          <w:bCs/>
          <w:i/>
          <w:iCs/>
          <w:szCs w:val="24"/>
        </w:rPr>
        <w:t xml:space="preserve">Relationship between miR-1304 and pathological data </w:t>
      </w:r>
      <w:r w:rsidR="000B7CDA">
        <w:rPr>
          <w:b/>
          <w:bCs/>
          <w:i/>
          <w:iCs/>
          <w:szCs w:val="24"/>
        </w:rPr>
        <w:t>in</w:t>
      </w:r>
      <w:r w:rsidRPr="005D3A57">
        <w:rPr>
          <w:b/>
          <w:bCs/>
          <w:i/>
          <w:iCs/>
          <w:szCs w:val="24"/>
        </w:rPr>
        <w:t xml:space="preserve"> patients, and its diagnostic value</w:t>
      </w:r>
    </w:p>
    <w:p w14:paraId="5035F879" w14:textId="474049DB" w:rsidR="003F4EBA" w:rsidRDefault="00483403" w:rsidP="003F4EBA">
      <w:pPr>
        <w:adjustRightInd w:val="0"/>
        <w:snapToGrid w:val="0"/>
        <w:rPr>
          <w:szCs w:val="24"/>
        </w:rPr>
      </w:pPr>
      <w:r w:rsidRPr="00774B2C">
        <w:rPr>
          <w:szCs w:val="24"/>
        </w:rPr>
        <w:t>The patients were divided into a high miR-1304 expression group and a low miR-1304 expression group according to the median expression, and the</w:t>
      </w:r>
      <w:r w:rsidR="00C94439" w:rsidRPr="00C94439">
        <w:rPr>
          <w:szCs w:val="24"/>
        </w:rPr>
        <w:t xml:space="preserve"> </w:t>
      </w:r>
      <w:r w:rsidR="00C94439" w:rsidRPr="00774B2C">
        <w:rPr>
          <w:szCs w:val="24"/>
        </w:rPr>
        <w:t xml:space="preserve">pathological data </w:t>
      </w:r>
      <w:r w:rsidRPr="00774B2C">
        <w:rPr>
          <w:szCs w:val="24"/>
        </w:rPr>
        <w:t xml:space="preserve">were compared. </w:t>
      </w:r>
      <w:r w:rsidR="00C94439">
        <w:rPr>
          <w:szCs w:val="24"/>
        </w:rPr>
        <w:t>N</w:t>
      </w:r>
      <w:r w:rsidRPr="00774B2C">
        <w:rPr>
          <w:szCs w:val="24"/>
        </w:rPr>
        <w:t>o significant difference</w:t>
      </w:r>
      <w:r w:rsidR="00F43942">
        <w:rPr>
          <w:szCs w:val="24"/>
        </w:rPr>
        <w:t>s</w:t>
      </w:r>
      <w:r w:rsidRPr="00774B2C">
        <w:rPr>
          <w:szCs w:val="24"/>
        </w:rPr>
        <w:t xml:space="preserve"> in gender, age, and lesion location</w:t>
      </w:r>
      <w:r w:rsidR="00C94439">
        <w:rPr>
          <w:szCs w:val="24"/>
        </w:rPr>
        <w:t xml:space="preserve"> w</w:t>
      </w:r>
      <w:r w:rsidR="00F43942">
        <w:rPr>
          <w:szCs w:val="24"/>
        </w:rPr>
        <w:t>ere</w:t>
      </w:r>
      <w:r w:rsidR="00C94439">
        <w:rPr>
          <w:szCs w:val="24"/>
        </w:rPr>
        <w:t xml:space="preserve"> found between the two groups</w:t>
      </w:r>
      <w:r w:rsidRPr="00774B2C">
        <w:rPr>
          <w:szCs w:val="24"/>
        </w:rPr>
        <w:t xml:space="preserve">, and the high miR-1304 expression group </w:t>
      </w:r>
      <w:r w:rsidR="00C94439">
        <w:rPr>
          <w:szCs w:val="24"/>
        </w:rPr>
        <w:t>had</w:t>
      </w:r>
      <w:r w:rsidRPr="00774B2C">
        <w:rPr>
          <w:szCs w:val="24"/>
        </w:rPr>
        <w:t xml:space="preserve"> significantly higher rates of tumor size </w:t>
      </w:r>
      <w:r w:rsidR="003F4EBA">
        <w:rPr>
          <w:szCs w:val="24"/>
        </w:rPr>
        <w:t>≥</w:t>
      </w:r>
      <w:r w:rsidR="003F4EBA">
        <w:rPr>
          <w:rFonts w:hint="cs"/>
          <w:szCs w:val="24"/>
          <w:cs/>
        </w:rPr>
        <w:t xml:space="preserve"> </w:t>
      </w:r>
      <w:r w:rsidRPr="00774B2C">
        <w:rPr>
          <w:szCs w:val="24"/>
        </w:rPr>
        <w:t>3</w:t>
      </w:r>
      <w:r w:rsidR="00C94439">
        <w:rPr>
          <w:szCs w:val="24"/>
        </w:rPr>
        <w:t xml:space="preserve"> </w:t>
      </w:r>
      <w:r w:rsidRPr="00774B2C">
        <w:rPr>
          <w:szCs w:val="24"/>
        </w:rPr>
        <w:t xml:space="preserve">cm, low differentiation and </w:t>
      </w:r>
      <w:r w:rsidR="00C94439" w:rsidRPr="00774B2C">
        <w:rPr>
          <w:szCs w:val="24"/>
        </w:rPr>
        <w:t xml:space="preserve">stage </w:t>
      </w:r>
      <w:r w:rsidRPr="00774B2C">
        <w:rPr>
          <w:szCs w:val="24"/>
        </w:rPr>
        <w:t>II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+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III than the low miR-1304 expression group (</w:t>
      </w:r>
      <w:proofErr w:type="spellStart"/>
      <w:r w:rsidR="003949F3" w:rsidRPr="00774B2C">
        <w:rPr>
          <w:szCs w:val="24"/>
          <w:vertAlign w:val="superscript"/>
        </w:rPr>
        <w:t>a</w:t>
      </w:r>
      <w:r w:rsidRPr="00774B2C">
        <w:rPr>
          <w:i/>
          <w:iCs/>
          <w:szCs w:val="24"/>
        </w:rPr>
        <w:t>P</w:t>
      </w:r>
      <w:proofErr w:type="spellEnd"/>
      <w:r w:rsidR="003F4EBA">
        <w:rPr>
          <w:i/>
          <w:iCs/>
          <w:szCs w:val="24"/>
        </w:rPr>
        <w:t xml:space="preserve"> </w:t>
      </w:r>
      <w:r w:rsidR="003F4EBA">
        <w:rPr>
          <w:rFonts w:hint="eastAsia"/>
          <w:szCs w:val="24"/>
        </w:rPr>
        <w:t>&lt;</w:t>
      </w:r>
      <w:r w:rsidR="003F4EBA">
        <w:rPr>
          <w:szCs w:val="24"/>
        </w:rPr>
        <w:t xml:space="preserve"> </w:t>
      </w:r>
      <w:r w:rsidRPr="00774B2C">
        <w:rPr>
          <w:szCs w:val="24"/>
        </w:rPr>
        <w:t xml:space="preserve">0.05). Therefore, we further analyzed the correlation </w:t>
      </w:r>
      <w:r w:rsidR="00C94439">
        <w:rPr>
          <w:szCs w:val="24"/>
        </w:rPr>
        <w:t>between</w:t>
      </w:r>
      <w:r w:rsidRPr="00774B2C">
        <w:rPr>
          <w:szCs w:val="24"/>
        </w:rPr>
        <w:t xml:space="preserve"> miR-1304 </w:t>
      </w:r>
      <w:r w:rsidRPr="00774B2C">
        <w:rPr>
          <w:szCs w:val="24"/>
        </w:rPr>
        <w:lastRenderedPageBreak/>
        <w:t xml:space="preserve">expression </w:t>
      </w:r>
      <w:r w:rsidR="00C94439">
        <w:rPr>
          <w:szCs w:val="24"/>
        </w:rPr>
        <w:t>and</w:t>
      </w:r>
      <w:r w:rsidRPr="00774B2C">
        <w:rPr>
          <w:szCs w:val="24"/>
        </w:rPr>
        <w:t xml:space="preserve"> tumor size, differentiation, and TNM stage, </w:t>
      </w:r>
      <w:r w:rsidR="00C94439">
        <w:rPr>
          <w:szCs w:val="24"/>
        </w:rPr>
        <w:t>and found</w:t>
      </w:r>
      <w:r w:rsidRPr="00774B2C">
        <w:rPr>
          <w:szCs w:val="24"/>
        </w:rPr>
        <w:t xml:space="preserve"> that patients with tumor size</w:t>
      </w:r>
      <w:r w:rsidR="003F4EBA">
        <w:rPr>
          <w:szCs w:val="24"/>
        </w:rPr>
        <w:t xml:space="preserve"> ≥</w:t>
      </w:r>
      <w:r w:rsidRPr="00774B2C">
        <w:rPr>
          <w:szCs w:val="24"/>
          <w:cs/>
        </w:rPr>
        <w:t xml:space="preserve"> </w:t>
      </w:r>
      <w:r w:rsidRPr="00774B2C">
        <w:rPr>
          <w:szCs w:val="24"/>
        </w:rPr>
        <w:t>3</w:t>
      </w:r>
      <w:r w:rsidR="007C797C">
        <w:rPr>
          <w:szCs w:val="24"/>
        </w:rPr>
        <w:t xml:space="preserve"> </w:t>
      </w:r>
      <w:r w:rsidRPr="00774B2C">
        <w:rPr>
          <w:szCs w:val="24"/>
        </w:rPr>
        <w:t xml:space="preserve">cm and low differentiation at </w:t>
      </w:r>
      <w:r w:rsidR="00C94439">
        <w:rPr>
          <w:szCs w:val="24"/>
        </w:rPr>
        <w:t xml:space="preserve">stage </w:t>
      </w:r>
      <w:r w:rsidRPr="00774B2C">
        <w:rPr>
          <w:szCs w:val="24"/>
        </w:rPr>
        <w:t>II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+</w:t>
      </w:r>
      <w:r w:rsidR="003F4EBA">
        <w:rPr>
          <w:szCs w:val="24"/>
        </w:rPr>
        <w:t xml:space="preserve"> </w:t>
      </w:r>
      <w:r w:rsidRPr="00774B2C">
        <w:rPr>
          <w:szCs w:val="24"/>
        </w:rPr>
        <w:t>III</w:t>
      </w:r>
      <w:r w:rsidR="00F43942">
        <w:rPr>
          <w:szCs w:val="24"/>
        </w:rPr>
        <w:t>, and</w:t>
      </w:r>
      <w:r w:rsidRPr="00774B2C">
        <w:rPr>
          <w:szCs w:val="24"/>
        </w:rPr>
        <w:t xml:space="preserve"> showed </w:t>
      </w:r>
      <w:r w:rsidR="00311C61">
        <w:rPr>
          <w:szCs w:val="24"/>
        </w:rPr>
        <w:t xml:space="preserve">that the </w:t>
      </w:r>
      <w:r w:rsidRPr="00774B2C">
        <w:rPr>
          <w:szCs w:val="24"/>
        </w:rPr>
        <w:t xml:space="preserve">expression of miR-1304 </w:t>
      </w:r>
      <w:r w:rsidR="00311C61">
        <w:rPr>
          <w:szCs w:val="24"/>
        </w:rPr>
        <w:t xml:space="preserve">was </w:t>
      </w:r>
      <w:r w:rsidRPr="00774B2C">
        <w:rPr>
          <w:szCs w:val="24"/>
        </w:rPr>
        <w:t xml:space="preserve">different </w:t>
      </w:r>
      <w:r w:rsidR="00311C61">
        <w:rPr>
          <w:szCs w:val="24"/>
        </w:rPr>
        <w:t>to</w:t>
      </w:r>
      <w:r w:rsidRPr="00774B2C">
        <w:rPr>
          <w:szCs w:val="24"/>
        </w:rPr>
        <w:t xml:space="preserve"> other patients in their group. ROC curves revealed that the AUCs of miR-1304 for identifying tumor size, differentiation and TNM stage were 0.710, 0.773, and 0.788, respectively</w:t>
      </w:r>
      <w:r w:rsidR="00311C61">
        <w:rPr>
          <w:szCs w:val="24"/>
        </w:rPr>
        <w:t>; therefore</w:t>
      </w:r>
      <w:r w:rsidRPr="00774B2C">
        <w:rPr>
          <w:szCs w:val="24"/>
        </w:rPr>
        <w:t xml:space="preserve">, </w:t>
      </w:r>
      <w:r w:rsidR="00311C61" w:rsidRPr="00774B2C">
        <w:rPr>
          <w:szCs w:val="24"/>
        </w:rPr>
        <w:t xml:space="preserve">miR-1304 </w:t>
      </w:r>
      <w:r w:rsidRPr="00774B2C">
        <w:rPr>
          <w:szCs w:val="24"/>
        </w:rPr>
        <w:t>had a high diagnostic value</w:t>
      </w:r>
      <w:r w:rsidR="00D81F87">
        <w:rPr>
          <w:szCs w:val="24"/>
        </w:rPr>
        <w:t xml:space="preserve"> (</w:t>
      </w:r>
      <w:r w:rsidRPr="00774B2C">
        <w:rPr>
          <w:szCs w:val="24"/>
        </w:rPr>
        <w:t>Figure 2</w:t>
      </w:r>
      <w:r w:rsidR="007C797C">
        <w:rPr>
          <w:szCs w:val="24"/>
        </w:rPr>
        <w:t>,</w:t>
      </w:r>
      <w:r w:rsidRPr="00774B2C">
        <w:rPr>
          <w:szCs w:val="24"/>
        </w:rPr>
        <w:t xml:space="preserve"> Table</w:t>
      </w:r>
      <w:r w:rsidR="003F4EBA">
        <w:rPr>
          <w:szCs w:val="24"/>
        </w:rPr>
        <w:t>s</w:t>
      </w:r>
      <w:r w:rsidRPr="00774B2C">
        <w:rPr>
          <w:szCs w:val="24"/>
        </w:rPr>
        <w:t xml:space="preserve"> 2</w:t>
      </w:r>
      <w:r w:rsidR="003F4EBA">
        <w:rPr>
          <w:szCs w:val="24"/>
        </w:rPr>
        <w:t xml:space="preserve"> and </w:t>
      </w:r>
      <w:r w:rsidRPr="00774B2C">
        <w:rPr>
          <w:szCs w:val="24"/>
        </w:rPr>
        <w:t>3</w:t>
      </w:r>
      <w:r w:rsidR="00D81F87">
        <w:rPr>
          <w:szCs w:val="24"/>
        </w:rPr>
        <w:t>)</w:t>
      </w:r>
      <w:r w:rsidRPr="00774B2C">
        <w:rPr>
          <w:szCs w:val="24"/>
        </w:rPr>
        <w:t>.</w:t>
      </w:r>
    </w:p>
    <w:p w14:paraId="6A1D7FA8" w14:textId="77777777" w:rsidR="003F4EBA" w:rsidRDefault="003F4EBA" w:rsidP="003F4EBA">
      <w:pPr>
        <w:adjustRightInd w:val="0"/>
        <w:snapToGrid w:val="0"/>
        <w:rPr>
          <w:szCs w:val="24"/>
        </w:rPr>
      </w:pPr>
    </w:p>
    <w:p w14:paraId="3D85EFAB" w14:textId="3E0B14CE" w:rsidR="00483403" w:rsidRPr="003F4EBA" w:rsidRDefault="00483403" w:rsidP="003F4EBA">
      <w:pPr>
        <w:adjustRightInd w:val="0"/>
        <w:snapToGrid w:val="0"/>
        <w:rPr>
          <w:rFonts w:eastAsia="楷体"/>
          <w:b/>
          <w:bCs/>
          <w:i/>
          <w:iCs/>
          <w:szCs w:val="24"/>
        </w:rPr>
      </w:pPr>
      <w:r w:rsidRPr="003F4EBA">
        <w:rPr>
          <w:b/>
          <w:bCs/>
          <w:i/>
          <w:iCs/>
          <w:szCs w:val="24"/>
        </w:rPr>
        <w:t xml:space="preserve">Risk factors for </w:t>
      </w:r>
      <w:r w:rsidR="00311C61">
        <w:rPr>
          <w:b/>
          <w:bCs/>
          <w:i/>
          <w:iCs/>
          <w:szCs w:val="24"/>
        </w:rPr>
        <w:t xml:space="preserve">the </w:t>
      </w:r>
      <w:r w:rsidRPr="003F4EBA">
        <w:rPr>
          <w:b/>
          <w:bCs/>
          <w:i/>
          <w:iCs/>
          <w:szCs w:val="24"/>
        </w:rPr>
        <w:t>recurrence of esophageal carcinoma in patients</w:t>
      </w:r>
    </w:p>
    <w:p w14:paraId="667DB45E" w14:textId="53DCDBF0" w:rsidR="005D3A57" w:rsidRDefault="00311C61" w:rsidP="005D3A57">
      <w:pPr>
        <w:adjustRightInd w:val="0"/>
        <w:snapToGrid w:val="0"/>
        <w:rPr>
          <w:szCs w:val="24"/>
        </w:rPr>
      </w:pPr>
      <w:r>
        <w:rPr>
          <w:szCs w:val="24"/>
        </w:rPr>
        <w:t>The s</w:t>
      </w:r>
      <w:r w:rsidR="00483403" w:rsidRPr="00774B2C">
        <w:rPr>
          <w:szCs w:val="24"/>
        </w:rPr>
        <w:t xml:space="preserve">tatistics </w:t>
      </w:r>
      <w:r w:rsidR="00F43942">
        <w:rPr>
          <w:szCs w:val="24"/>
        </w:rPr>
        <w:t>o</w:t>
      </w:r>
      <w:r>
        <w:rPr>
          <w:szCs w:val="24"/>
        </w:rPr>
        <w:t>n</w:t>
      </w:r>
      <w:r w:rsidR="00483403" w:rsidRPr="00774B2C">
        <w:rPr>
          <w:szCs w:val="24"/>
        </w:rPr>
        <w:t xml:space="preserve"> recurrence of esophageal carcinoma in patients after treatment revealed that the 78 patients showed a recurrence rate of 42.31% with recurrence in 33 patients. </w:t>
      </w:r>
      <w:proofErr w:type="spellStart"/>
      <w:r w:rsidR="00483403" w:rsidRPr="00774B2C">
        <w:rPr>
          <w:szCs w:val="24"/>
        </w:rPr>
        <w:t>Univariate</w:t>
      </w:r>
      <w:proofErr w:type="spellEnd"/>
      <w:r w:rsidR="00483403" w:rsidRPr="00774B2C">
        <w:rPr>
          <w:szCs w:val="24"/>
        </w:rPr>
        <w:t xml:space="preserve"> analysis was performed </w:t>
      </w:r>
      <w:r>
        <w:rPr>
          <w:szCs w:val="24"/>
        </w:rPr>
        <w:t>on</w:t>
      </w:r>
      <w:r w:rsidR="00483403" w:rsidRPr="00774B2C">
        <w:rPr>
          <w:szCs w:val="24"/>
        </w:rPr>
        <w:t xml:space="preserve"> the collected clinical data, and it was found that there was no significant difference</w:t>
      </w:r>
      <w:r>
        <w:rPr>
          <w:szCs w:val="24"/>
        </w:rPr>
        <w:t>s</w:t>
      </w:r>
      <w:r w:rsidR="00483403" w:rsidRPr="00774B2C">
        <w:rPr>
          <w:szCs w:val="24"/>
        </w:rPr>
        <w:t xml:space="preserve"> between the two groups in </w:t>
      </w:r>
      <w:r>
        <w:rPr>
          <w:szCs w:val="24"/>
        </w:rPr>
        <w:t xml:space="preserve">terms of </w:t>
      </w:r>
      <w:r w:rsidR="00483403" w:rsidRPr="00774B2C">
        <w:rPr>
          <w:szCs w:val="24"/>
        </w:rPr>
        <w:t xml:space="preserve">gender, age, smoking history, history of alcoholism, lesion location and adjuvant therapy (all </w:t>
      </w:r>
      <w:r w:rsidR="00483403" w:rsidRPr="005D3A57">
        <w:rPr>
          <w:i/>
          <w:iCs/>
          <w:szCs w:val="24"/>
        </w:rPr>
        <w:t>P</w:t>
      </w:r>
      <w:r w:rsidR="005D3A57">
        <w:rPr>
          <w:szCs w:val="24"/>
        </w:rPr>
        <w:t xml:space="preserve"> </w:t>
      </w:r>
      <w:r w:rsidR="005D3A57">
        <w:rPr>
          <w:rFonts w:hint="eastAsia"/>
          <w:szCs w:val="24"/>
        </w:rPr>
        <w:t>&gt;</w:t>
      </w:r>
      <w:r w:rsidR="005D3A57">
        <w:rPr>
          <w:szCs w:val="24"/>
        </w:rPr>
        <w:t xml:space="preserve"> </w:t>
      </w:r>
      <w:r w:rsidR="00483403" w:rsidRPr="00774B2C">
        <w:rPr>
          <w:szCs w:val="24"/>
        </w:rPr>
        <w:t xml:space="preserve">0.05), while there were differences between </w:t>
      </w:r>
      <w:r>
        <w:rPr>
          <w:szCs w:val="24"/>
        </w:rPr>
        <w:t>patients</w:t>
      </w:r>
      <w:r w:rsidR="00483403" w:rsidRPr="00774B2C">
        <w:rPr>
          <w:szCs w:val="24"/>
        </w:rPr>
        <w:t xml:space="preserve"> in </w:t>
      </w:r>
      <w:r>
        <w:rPr>
          <w:szCs w:val="24"/>
        </w:rPr>
        <w:t xml:space="preserve">terms of </w:t>
      </w:r>
      <w:r w:rsidR="00483403" w:rsidRPr="00774B2C">
        <w:rPr>
          <w:szCs w:val="24"/>
        </w:rPr>
        <w:t xml:space="preserve">tumor size, differentiation, TNM stage, and expression of miR-1304 (all </w:t>
      </w:r>
      <w:proofErr w:type="spellStart"/>
      <w:r w:rsidR="003949F3" w:rsidRPr="00774B2C">
        <w:rPr>
          <w:szCs w:val="24"/>
          <w:vertAlign w:val="superscript"/>
        </w:rPr>
        <w:t>a</w:t>
      </w:r>
      <w:r w:rsidR="00483403" w:rsidRPr="00774B2C">
        <w:rPr>
          <w:i/>
          <w:iCs/>
          <w:szCs w:val="24"/>
        </w:rPr>
        <w:t>P</w:t>
      </w:r>
      <w:proofErr w:type="spellEnd"/>
      <w:r w:rsidR="005D3A57">
        <w:rPr>
          <w:i/>
          <w:iCs/>
          <w:szCs w:val="24"/>
        </w:rPr>
        <w:t xml:space="preserve"> </w:t>
      </w:r>
      <w:r w:rsidR="005D3A57">
        <w:rPr>
          <w:rFonts w:hint="eastAsia"/>
          <w:szCs w:val="24"/>
        </w:rPr>
        <w:t>&lt;</w:t>
      </w:r>
      <w:r w:rsidR="005D3A57">
        <w:rPr>
          <w:szCs w:val="24"/>
        </w:rPr>
        <w:t xml:space="preserve"> </w:t>
      </w:r>
      <w:r w:rsidR="00483403" w:rsidRPr="00774B2C">
        <w:rPr>
          <w:szCs w:val="24"/>
        </w:rPr>
        <w:t>0.05)</w:t>
      </w:r>
      <w:r w:rsidR="005D3A57">
        <w:rPr>
          <w:szCs w:val="24"/>
        </w:rPr>
        <w:t xml:space="preserve"> (</w:t>
      </w:r>
      <w:r w:rsidR="00483403" w:rsidRPr="00774B2C">
        <w:rPr>
          <w:szCs w:val="24"/>
        </w:rPr>
        <w:t>Table 4</w:t>
      </w:r>
      <w:r w:rsidR="005D3A57">
        <w:rPr>
          <w:szCs w:val="24"/>
        </w:rPr>
        <w:t>)</w:t>
      </w:r>
      <w:r w:rsidR="00483403" w:rsidRPr="00774B2C">
        <w:rPr>
          <w:szCs w:val="24"/>
        </w:rPr>
        <w:t xml:space="preserve">. Assignment </w:t>
      </w:r>
      <w:r w:rsidR="00F43942">
        <w:rPr>
          <w:szCs w:val="24"/>
        </w:rPr>
        <w:t xml:space="preserve">of these factors </w:t>
      </w:r>
      <w:r w:rsidR="00483403" w:rsidRPr="00774B2C">
        <w:rPr>
          <w:szCs w:val="24"/>
        </w:rPr>
        <w:t xml:space="preserve">was carried </w:t>
      </w:r>
      <w:r w:rsidR="005D3A57">
        <w:rPr>
          <w:szCs w:val="24"/>
        </w:rPr>
        <w:t>(</w:t>
      </w:r>
      <w:r w:rsidR="00483403" w:rsidRPr="00774B2C">
        <w:rPr>
          <w:szCs w:val="24"/>
        </w:rPr>
        <w:t>Table 5</w:t>
      </w:r>
      <w:r w:rsidR="005D3A57">
        <w:rPr>
          <w:szCs w:val="24"/>
        </w:rPr>
        <w:t>)</w:t>
      </w:r>
      <w:r w:rsidR="00F43942" w:rsidRPr="00F43942">
        <w:rPr>
          <w:szCs w:val="24"/>
        </w:rPr>
        <w:t xml:space="preserve"> </w:t>
      </w:r>
      <w:r w:rsidR="00F43942">
        <w:rPr>
          <w:szCs w:val="24"/>
        </w:rPr>
        <w:t>using</w:t>
      </w:r>
      <w:r>
        <w:rPr>
          <w:szCs w:val="24"/>
        </w:rPr>
        <w:t xml:space="preserve"> </w:t>
      </w:r>
      <w:r w:rsidR="00483403" w:rsidRPr="00774B2C">
        <w:rPr>
          <w:szCs w:val="24"/>
        </w:rPr>
        <w:t>Logistic regression analysis and backward LR was selected for statistics. It was found that tumor size, differentiation, TNM stage, and expression of miR-1304 were independent risk factors for recurrence of esophageal carcinoma</w:t>
      </w:r>
      <w:r w:rsidR="005D3A57">
        <w:rPr>
          <w:szCs w:val="24"/>
        </w:rPr>
        <w:t xml:space="preserve"> (</w:t>
      </w:r>
      <w:r w:rsidR="00483403" w:rsidRPr="00774B2C">
        <w:rPr>
          <w:szCs w:val="24"/>
        </w:rPr>
        <w:t>Table 6</w:t>
      </w:r>
      <w:r w:rsidR="005D3A57">
        <w:rPr>
          <w:szCs w:val="24"/>
        </w:rPr>
        <w:t>)</w:t>
      </w:r>
      <w:r w:rsidR="00483403" w:rsidRPr="00774B2C">
        <w:rPr>
          <w:szCs w:val="24"/>
        </w:rPr>
        <w:t xml:space="preserve">. In addition, ROC curves were drawn for </w:t>
      </w:r>
      <w:r>
        <w:rPr>
          <w:szCs w:val="24"/>
        </w:rPr>
        <w:t xml:space="preserve">these </w:t>
      </w:r>
      <w:r w:rsidR="00483403" w:rsidRPr="00774B2C">
        <w:rPr>
          <w:szCs w:val="24"/>
        </w:rPr>
        <w:t xml:space="preserve">independent risk factors, and tumor size, differentiation, TNM stage, and miR-1304 </w:t>
      </w:r>
      <w:r>
        <w:rPr>
          <w:szCs w:val="24"/>
        </w:rPr>
        <w:t xml:space="preserve">were found to have </w:t>
      </w:r>
      <w:r w:rsidR="00483403" w:rsidRPr="00774B2C">
        <w:rPr>
          <w:szCs w:val="24"/>
        </w:rPr>
        <w:t>certain clinical value in predicating recurrence</w:t>
      </w:r>
      <w:r w:rsidR="005D3A57">
        <w:rPr>
          <w:szCs w:val="24"/>
        </w:rPr>
        <w:t xml:space="preserve"> (</w:t>
      </w:r>
      <w:r w:rsidR="00483403" w:rsidRPr="00774B2C">
        <w:rPr>
          <w:szCs w:val="24"/>
        </w:rPr>
        <w:t>Figure 3</w:t>
      </w:r>
      <w:r w:rsidR="005D3A57">
        <w:rPr>
          <w:szCs w:val="24"/>
        </w:rPr>
        <w:t>)</w:t>
      </w:r>
      <w:r w:rsidR="00483403" w:rsidRPr="00774B2C">
        <w:rPr>
          <w:szCs w:val="24"/>
        </w:rPr>
        <w:t>.</w:t>
      </w:r>
    </w:p>
    <w:p w14:paraId="08C66329" w14:textId="77777777" w:rsidR="005D3A57" w:rsidRDefault="005D3A57" w:rsidP="005D3A57">
      <w:pPr>
        <w:adjustRightInd w:val="0"/>
        <w:snapToGrid w:val="0"/>
        <w:rPr>
          <w:szCs w:val="24"/>
        </w:rPr>
      </w:pPr>
    </w:p>
    <w:p w14:paraId="4DF2158E" w14:textId="032B6212" w:rsidR="00483403" w:rsidRPr="005D3A57" w:rsidRDefault="00483403" w:rsidP="005D3A57">
      <w:pPr>
        <w:adjustRightInd w:val="0"/>
        <w:snapToGrid w:val="0"/>
        <w:rPr>
          <w:b/>
          <w:bCs/>
          <w:i/>
          <w:iCs/>
          <w:szCs w:val="24"/>
        </w:rPr>
      </w:pPr>
      <w:r w:rsidRPr="005D3A57">
        <w:rPr>
          <w:b/>
          <w:bCs/>
          <w:i/>
          <w:iCs/>
          <w:szCs w:val="24"/>
        </w:rPr>
        <w:t xml:space="preserve">Relationship between miR-1304 and </w:t>
      </w:r>
      <w:r w:rsidR="00311C61">
        <w:rPr>
          <w:b/>
          <w:bCs/>
          <w:i/>
          <w:iCs/>
          <w:szCs w:val="24"/>
        </w:rPr>
        <w:t xml:space="preserve">the </w:t>
      </w:r>
      <w:r w:rsidRPr="005D3A57">
        <w:rPr>
          <w:b/>
          <w:bCs/>
          <w:i/>
          <w:iCs/>
          <w:szCs w:val="24"/>
        </w:rPr>
        <w:t xml:space="preserve">prognosis of patients with esophageal carcinoma in </w:t>
      </w:r>
      <w:r w:rsidR="00311C61">
        <w:rPr>
          <w:b/>
          <w:bCs/>
          <w:i/>
          <w:iCs/>
          <w:szCs w:val="24"/>
        </w:rPr>
        <w:t xml:space="preserve">terms of </w:t>
      </w:r>
      <w:r w:rsidRPr="005D3A57">
        <w:rPr>
          <w:b/>
          <w:bCs/>
          <w:i/>
          <w:iCs/>
          <w:szCs w:val="24"/>
        </w:rPr>
        <w:t>survival</w:t>
      </w:r>
    </w:p>
    <w:p w14:paraId="5ADD033D" w14:textId="292D5E85" w:rsidR="005D3A57" w:rsidRDefault="00483403" w:rsidP="005D3A57">
      <w:pPr>
        <w:adjustRightInd w:val="0"/>
        <w:snapToGrid w:val="0"/>
        <w:rPr>
          <w:szCs w:val="24"/>
        </w:rPr>
      </w:pPr>
      <w:r w:rsidRPr="00774B2C">
        <w:rPr>
          <w:szCs w:val="24"/>
        </w:rPr>
        <w:t>The patients were followed</w:t>
      </w:r>
      <w:r w:rsidR="00311C61">
        <w:rPr>
          <w:szCs w:val="24"/>
        </w:rPr>
        <w:t>-</w:t>
      </w:r>
      <w:r w:rsidRPr="00774B2C">
        <w:rPr>
          <w:szCs w:val="24"/>
        </w:rPr>
        <w:t xml:space="preserve">up for 3 years. </w:t>
      </w:r>
      <w:r w:rsidR="00311C61">
        <w:rPr>
          <w:szCs w:val="24"/>
        </w:rPr>
        <w:t>All</w:t>
      </w:r>
      <w:r w:rsidRPr="00774B2C">
        <w:rPr>
          <w:szCs w:val="24"/>
        </w:rPr>
        <w:t xml:space="preserve"> 78 patients were successfully followed</w:t>
      </w:r>
      <w:r w:rsidR="00311C61">
        <w:rPr>
          <w:szCs w:val="24"/>
        </w:rPr>
        <w:t>-</w:t>
      </w:r>
      <w:r w:rsidRPr="00774B2C">
        <w:rPr>
          <w:szCs w:val="24"/>
        </w:rPr>
        <w:t xml:space="preserve">up with no </w:t>
      </w:r>
      <w:r w:rsidR="00311C61">
        <w:rPr>
          <w:szCs w:val="24"/>
        </w:rPr>
        <w:t>patients</w:t>
      </w:r>
      <w:r w:rsidRPr="00774B2C">
        <w:rPr>
          <w:szCs w:val="24"/>
        </w:rPr>
        <w:t xml:space="preserve"> lost to follow-up, 30 of whom survived for 3 years, showing a 3-year survival rate of 38.46%. Survival curves were drawn according to the expression of miR-1304, which revealed that patients with </w:t>
      </w:r>
      <w:r w:rsidRPr="00774B2C">
        <w:rPr>
          <w:szCs w:val="24"/>
        </w:rPr>
        <w:lastRenderedPageBreak/>
        <w:t>low expression of miR-1304 showed a significantly higher survival rate than those with high expression (</w:t>
      </w:r>
      <w:proofErr w:type="spellStart"/>
      <w:r w:rsidR="003949F3" w:rsidRPr="00774B2C">
        <w:rPr>
          <w:szCs w:val="24"/>
          <w:vertAlign w:val="superscript"/>
        </w:rPr>
        <w:t>b</w:t>
      </w:r>
      <w:r w:rsidRPr="00774B2C">
        <w:rPr>
          <w:i/>
          <w:iCs/>
          <w:szCs w:val="24"/>
        </w:rPr>
        <w:t>P</w:t>
      </w:r>
      <w:proofErr w:type="spellEnd"/>
      <w:r w:rsidR="005D3A57">
        <w:rPr>
          <w:i/>
          <w:iCs/>
          <w:szCs w:val="24"/>
        </w:rPr>
        <w:t xml:space="preserve"> </w:t>
      </w:r>
      <w:r w:rsidR="005D3A57">
        <w:rPr>
          <w:rFonts w:hint="eastAsia"/>
          <w:szCs w:val="24"/>
        </w:rPr>
        <w:t>&lt;</w:t>
      </w:r>
      <w:r w:rsidR="005D3A57">
        <w:rPr>
          <w:szCs w:val="24"/>
        </w:rPr>
        <w:t xml:space="preserve"> </w:t>
      </w:r>
      <w:r w:rsidRPr="00774B2C">
        <w:rPr>
          <w:szCs w:val="24"/>
        </w:rPr>
        <w:t xml:space="preserve">0.001). </w:t>
      </w:r>
      <w:proofErr w:type="spellStart"/>
      <w:r w:rsidR="00DE7BB4">
        <w:rPr>
          <w:szCs w:val="24"/>
        </w:rPr>
        <w:t>U</w:t>
      </w:r>
      <w:r w:rsidRPr="00774B2C">
        <w:rPr>
          <w:szCs w:val="24"/>
        </w:rPr>
        <w:t>nivariate</w:t>
      </w:r>
      <w:proofErr w:type="spellEnd"/>
      <w:r w:rsidRPr="00774B2C">
        <w:rPr>
          <w:szCs w:val="24"/>
        </w:rPr>
        <w:t xml:space="preserve"> Cox regression </w:t>
      </w:r>
      <w:r w:rsidR="00DE7BB4">
        <w:rPr>
          <w:szCs w:val="24"/>
        </w:rPr>
        <w:t>analysis of the</w:t>
      </w:r>
      <w:r w:rsidRPr="00774B2C">
        <w:rPr>
          <w:szCs w:val="24"/>
        </w:rPr>
        <w:t xml:space="preserve"> collected pathological data revealed that tumor size, differentiation, recurrence, and miR-1304 were prognostic factors for pat</w:t>
      </w:r>
      <w:r w:rsidR="00DE7BB4">
        <w:rPr>
          <w:szCs w:val="24"/>
        </w:rPr>
        <w:t>i</w:t>
      </w:r>
      <w:r w:rsidRPr="00774B2C">
        <w:rPr>
          <w:szCs w:val="24"/>
        </w:rPr>
        <w:t>ents, and multivariate analysis revealed that th</w:t>
      </w:r>
      <w:r w:rsidR="00DE7BB4">
        <w:rPr>
          <w:szCs w:val="24"/>
        </w:rPr>
        <w:t>e</w:t>
      </w:r>
      <w:r w:rsidRPr="00774B2C">
        <w:rPr>
          <w:szCs w:val="24"/>
        </w:rPr>
        <w:t xml:space="preserve">se factors were independent </w:t>
      </w:r>
      <w:r w:rsidR="00DE7BB4">
        <w:rPr>
          <w:szCs w:val="24"/>
        </w:rPr>
        <w:t>predictors of</w:t>
      </w:r>
      <w:r w:rsidRPr="00774B2C">
        <w:rPr>
          <w:szCs w:val="24"/>
        </w:rPr>
        <w:t xml:space="preserve"> prognosis </w:t>
      </w:r>
      <w:r w:rsidR="005D3A57">
        <w:rPr>
          <w:szCs w:val="24"/>
        </w:rPr>
        <w:t>(</w:t>
      </w:r>
      <w:r w:rsidRPr="00774B2C">
        <w:rPr>
          <w:szCs w:val="24"/>
        </w:rPr>
        <w:t>Figure 4 and Table 7</w:t>
      </w:r>
      <w:r w:rsidR="005D3A57">
        <w:rPr>
          <w:szCs w:val="24"/>
        </w:rPr>
        <w:t>)</w:t>
      </w:r>
      <w:r w:rsidRPr="00774B2C">
        <w:rPr>
          <w:szCs w:val="24"/>
        </w:rPr>
        <w:t>.</w:t>
      </w:r>
    </w:p>
    <w:p w14:paraId="788A4F7E" w14:textId="77777777" w:rsidR="005D3A57" w:rsidRDefault="005D3A57" w:rsidP="005D3A57">
      <w:pPr>
        <w:adjustRightInd w:val="0"/>
        <w:snapToGrid w:val="0"/>
        <w:rPr>
          <w:szCs w:val="24"/>
        </w:rPr>
      </w:pPr>
    </w:p>
    <w:p w14:paraId="5F0F27A7" w14:textId="6BD22961" w:rsidR="00483403" w:rsidRPr="005D3A57" w:rsidRDefault="00483403" w:rsidP="005D3A57">
      <w:pPr>
        <w:adjustRightInd w:val="0"/>
        <w:snapToGrid w:val="0"/>
        <w:rPr>
          <w:rFonts w:eastAsia="楷体"/>
          <w:b/>
          <w:bCs/>
          <w:i/>
          <w:iCs/>
          <w:szCs w:val="24"/>
        </w:rPr>
      </w:pPr>
      <w:r w:rsidRPr="005D3A57">
        <w:rPr>
          <w:b/>
          <w:bCs/>
          <w:i/>
          <w:iCs/>
          <w:szCs w:val="24"/>
        </w:rPr>
        <w:t>Bioinformatics analysis of miR-1304</w:t>
      </w:r>
    </w:p>
    <w:p w14:paraId="212612A3" w14:textId="5A8E4329" w:rsidR="00483403" w:rsidRPr="00774B2C" w:rsidRDefault="00483403" w:rsidP="00774B2C">
      <w:pPr>
        <w:adjustRightInd w:val="0"/>
        <w:snapToGrid w:val="0"/>
        <w:rPr>
          <w:szCs w:val="24"/>
        </w:rPr>
      </w:pPr>
      <w:r w:rsidRPr="00774B2C">
        <w:rPr>
          <w:szCs w:val="24"/>
        </w:rPr>
        <w:t xml:space="preserve">Three online target gene prediction websites for </w:t>
      </w:r>
      <w:proofErr w:type="spellStart"/>
      <w:r w:rsidRPr="00774B2C">
        <w:rPr>
          <w:szCs w:val="24"/>
        </w:rPr>
        <w:t>miR</w:t>
      </w:r>
      <w:proofErr w:type="spellEnd"/>
      <w:r w:rsidRPr="00774B2C">
        <w:rPr>
          <w:szCs w:val="24"/>
        </w:rPr>
        <w:t xml:space="preserve">, namely, </w:t>
      </w:r>
      <w:proofErr w:type="spellStart"/>
      <w:r w:rsidR="00DE7BB4">
        <w:rPr>
          <w:szCs w:val="24"/>
        </w:rPr>
        <w:t>M</w:t>
      </w:r>
      <w:r w:rsidRPr="00774B2C">
        <w:rPr>
          <w:szCs w:val="24"/>
        </w:rPr>
        <w:t>i</w:t>
      </w:r>
      <w:r w:rsidR="00DE7BB4">
        <w:rPr>
          <w:szCs w:val="24"/>
        </w:rPr>
        <w:t>RT</w:t>
      </w:r>
      <w:r w:rsidRPr="00774B2C">
        <w:rPr>
          <w:szCs w:val="24"/>
        </w:rPr>
        <w:t>ar</w:t>
      </w:r>
      <w:r w:rsidR="00DE7BB4">
        <w:rPr>
          <w:szCs w:val="24"/>
        </w:rPr>
        <w:t>B</w:t>
      </w:r>
      <w:r w:rsidRPr="00774B2C">
        <w:rPr>
          <w:szCs w:val="24"/>
        </w:rPr>
        <w:t>ase</w:t>
      </w:r>
      <w:proofErr w:type="spellEnd"/>
      <w:r w:rsidRPr="00774B2C">
        <w:rPr>
          <w:szCs w:val="24"/>
        </w:rPr>
        <w:t xml:space="preserve">, </w:t>
      </w:r>
      <w:proofErr w:type="spellStart"/>
      <w:r w:rsidRPr="00774B2C">
        <w:rPr>
          <w:szCs w:val="24"/>
        </w:rPr>
        <w:t>miRDB</w:t>
      </w:r>
      <w:proofErr w:type="spellEnd"/>
      <w:r w:rsidRPr="00774B2C">
        <w:rPr>
          <w:szCs w:val="24"/>
        </w:rPr>
        <w:t xml:space="preserve">, and </w:t>
      </w:r>
      <w:proofErr w:type="spellStart"/>
      <w:r w:rsidR="00DE7BB4">
        <w:rPr>
          <w:szCs w:val="24"/>
        </w:rPr>
        <w:t>T</w:t>
      </w:r>
      <w:r w:rsidRPr="00774B2C">
        <w:rPr>
          <w:szCs w:val="24"/>
        </w:rPr>
        <w:t>argetscan</w:t>
      </w:r>
      <w:proofErr w:type="spellEnd"/>
      <w:r w:rsidRPr="00774B2C">
        <w:rPr>
          <w:szCs w:val="24"/>
        </w:rPr>
        <w:t>, were use</w:t>
      </w:r>
      <w:r w:rsidR="005D3A57">
        <w:rPr>
          <w:szCs w:val="24"/>
        </w:rPr>
        <w:t>d</w:t>
      </w:r>
      <w:r w:rsidRPr="00774B2C">
        <w:rPr>
          <w:szCs w:val="24"/>
        </w:rPr>
        <w:t xml:space="preserve"> to predict target genes of miR-1304, and 20 target genes </w:t>
      </w:r>
      <w:r w:rsidR="00DE7BB4">
        <w:rPr>
          <w:szCs w:val="24"/>
        </w:rPr>
        <w:t>were</w:t>
      </w:r>
      <w:r w:rsidR="00DE7BB4" w:rsidRPr="00774B2C">
        <w:rPr>
          <w:szCs w:val="24"/>
        </w:rPr>
        <w:t xml:space="preserve"> predicted </w:t>
      </w:r>
      <w:r w:rsidRPr="00774B2C">
        <w:rPr>
          <w:szCs w:val="24"/>
        </w:rPr>
        <w:t xml:space="preserve">in total. GO enrichment was performed </w:t>
      </w:r>
      <w:r w:rsidR="00F43942">
        <w:rPr>
          <w:szCs w:val="24"/>
        </w:rPr>
        <w:t>on</w:t>
      </w:r>
      <w:r w:rsidRPr="00774B2C">
        <w:rPr>
          <w:szCs w:val="24"/>
        </w:rPr>
        <w:t xml:space="preserve"> target genes predicted through pairwise websites based on DAVID, and 18 functions with </w:t>
      </w:r>
      <w:proofErr w:type="spellStart"/>
      <w:proofErr w:type="gramStart"/>
      <w:r w:rsidR="003949F3" w:rsidRPr="00774B2C">
        <w:rPr>
          <w:szCs w:val="24"/>
          <w:vertAlign w:val="superscript"/>
        </w:rPr>
        <w:t>a</w:t>
      </w:r>
      <w:r w:rsidR="007E494D" w:rsidRPr="00774B2C">
        <w:rPr>
          <w:i/>
          <w:iCs/>
          <w:szCs w:val="24"/>
        </w:rPr>
        <w:t>P</w:t>
      </w:r>
      <w:proofErr w:type="spellEnd"/>
      <w:proofErr w:type="gramEnd"/>
      <w:r w:rsidR="005D3A57">
        <w:rPr>
          <w:i/>
          <w:iCs/>
          <w:szCs w:val="24"/>
        </w:rPr>
        <w:t xml:space="preserve"> </w:t>
      </w:r>
      <w:r w:rsidRPr="00774B2C">
        <w:rPr>
          <w:szCs w:val="24"/>
        </w:rPr>
        <w:t>&lt;</w:t>
      </w:r>
      <w:r w:rsidR="005D3A57">
        <w:rPr>
          <w:szCs w:val="24"/>
        </w:rPr>
        <w:t xml:space="preserve"> </w:t>
      </w:r>
      <w:r w:rsidRPr="00774B2C">
        <w:rPr>
          <w:szCs w:val="24"/>
        </w:rPr>
        <w:t>0.05</w:t>
      </w:r>
      <w:r w:rsidR="00F43942">
        <w:rPr>
          <w:szCs w:val="24"/>
        </w:rPr>
        <w:t xml:space="preserve"> were found</w:t>
      </w:r>
      <w:r w:rsidRPr="00774B2C">
        <w:rPr>
          <w:szCs w:val="24"/>
        </w:rPr>
        <w:t xml:space="preserve">. KEGG analysis </w:t>
      </w:r>
      <w:r w:rsidR="00DE7BB4">
        <w:rPr>
          <w:szCs w:val="24"/>
        </w:rPr>
        <w:t>of</w:t>
      </w:r>
      <w:r w:rsidRPr="00774B2C">
        <w:rPr>
          <w:szCs w:val="24"/>
        </w:rPr>
        <w:t xml:space="preserve"> the target genes </w:t>
      </w:r>
      <w:r w:rsidR="00DE7BB4">
        <w:rPr>
          <w:szCs w:val="24"/>
        </w:rPr>
        <w:t>was performed</w:t>
      </w:r>
      <w:r w:rsidRPr="00774B2C">
        <w:rPr>
          <w:szCs w:val="24"/>
        </w:rPr>
        <w:t xml:space="preserve">, and 11 signal pathways with </w:t>
      </w:r>
      <w:proofErr w:type="spellStart"/>
      <w:proofErr w:type="gramStart"/>
      <w:r w:rsidR="003949F3" w:rsidRPr="00774B2C">
        <w:rPr>
          <w:szCs w:val="24"/>
          <w:vertAlign w:val="superscript"/>
        </w:rPr>
        <w:t>a</w:t>
      </w:r>
      <w:r w:rsidR="007E494D" w:rsidRPr="00774B2C">
        <w:rPr>
          <w:i/>
          <w:iCs/>
          <w:szCs w:val="24"/>
        </w:rPr>
        <w:t>P</w:t>
      </w:r>
      <w:proofErr w:type="spellEnd"/>
      <w:proofErr w:type="gramEnd"/>
      <w:r w:rsidR="005D3A57">
        <w:rPr>
          <w:i/>
          <w:iCs/>
          <w:szCs w:val="24"/>
        </w:rPr>
        <w:t xml:space="preserve"> </w:t>
      </w:r>
      <w:r w:rsidRPr="00774B2C">
        <w:rPr>
          <w:szCs w:val="24"/>
        </w:rPr>
        <w:t>&lt;</w:t>
      </w:r>
      <w:r w:rsidR="005D3A57">
        <w:rPr>
          <w:szCs w:val="24"/>
        </w:rPr>
        <w:t xml:space="preserve"> </w:t>
      </w:r>
      <w:r w:rsidRPr="00774B2C">
        <w:rPr>
          <w:szCs w:val="24"/>
        </w:rPr>
        <w:t>0.05</w:t>
      </w:r>
      <w:r w:rsidR="00DE7BB4">
        <w:rPr>
          <w:szCs w:val="24"/>
        </w:rPr>
        <w:t xml:space="preserve"> were found</w:t>
      </w:r>
      <w:r w:rsidRPr="00774B2C">
        <w:rPr>
          <w:szCs w:val="24"/>
        </w:rPr>
        <w:t>. String analysis of protein co-expression found 269 relationship pairs, of which co-expression with epidermal growth factor (EGF) was the most common</w:t>
      </w:r>
      <w:r w:rsidR="005D3A57">
        <w:rPr>
          <w:szCs w:val="24"/>
        </w:rPr>
        <w:t xml:space="preserve"> (</w:t>
      </w:r>
      <w:r w:rsidRPr="00774B2C">
        <w:rPr>
          <w:szCs w:val="24"/>
        </w:rPr>
        <w:t>Figure 5 and Table</w:t>
      </w:r>
      <w:r w:rsidR="005D3A57">
        <w:rPr>
          <w:szCs w:val="24"/>
        </w:rPr>
        <w:t>s</w:t>
      </w:r>
      <w:r w:rsidRPr="00774B2C">
        <w:rPr>
          <w:szCs w:val="24"/>
        </w:rPr>
        <w:t xml:space="preserve"> 8-10</w:t>
      </w:r>
      <w:r w:rsidR="005D3A57">
        <w:rPr>
          <w:szCs w:val="24"/>
        </w:rPr>
        <w:t>)</w:t>
      </w:r>
      <w:r w:rsidRPr="00774B2C">
        <w:rPr>
          <w:szCs w:val="24"/>
        </w:rPr>
        <w:t>.</w:t>
      </w:r>
    </w:p>
    <w:p w14:paraId="3606A279" w14:textId="3793CF94" w:rsidR="00483403" w:rsidRPr="00774B2C" w:rsidRDefault="00483403" w:rsidP="00774B2C">
      <w:pPr>
        <w:adjustRightInd w:val="0"/>
        <w:snapToGrid w:val="0"/>
        <w:rPr>
          <w:szCs w:val="24"/>
        </w:rPr>
      </w:pPr>
    </w:p>
    <w:p w14:paraId="57221E85" w14:textId="77777777" w:rsidR="005D3A57" w:rsidRPr="006E6A95" w:rsidRDefault="005D3A57" w:rsidP="005D3A57">
      <w:pPr>
        <w:autoSpaceDE w:val="0"/>
        <w:autoSpaceDN w:val="0"/>
        <w:adjustRightInd w:val="0"/>
        <w:rPr>
          <w:b/>
          <w:bCs/>
          <w:szCs w:val="24"/>
          <w:u w:val="single"/>
          <w:lang w:eastAsia="fr-FR"/>
        </w:rPr>
      </w:pPr>
      <w:r w:rsidRPr="006E6A95">
        <w:rPr>
          <w:b/>
          <w:bCs/>
          <w:szCs w:val="24"/>
          <w:u w:val="single"/>
          <w:lang w:eastAsia="fr-FR"/>
        </w:rPr>
        <w:t>DISCUSSION</w:t>
      </w:r>
    </w:p>
    <w:p w14:paraId="207DC7C2" w14:textId="67F7D3A4" w:rsidR="00483403" w:rsidRPr="00774B2C" w:rsidRDefault="00483403" w:rsidP="00774B2C">
      <w:pPr>
        <w:adjustRightInd w:val="0"/>
        <w:snapToGrid w:val="0"/>
        <w:rPr>
          <w:rFonts w:eastAsia="楷体"/>
          <w:szCs w:val="24"/>
        </w:rPr>
      </w:pPr>
      <w:r w:rsidRPr="00774B2C">
        <w:rPr>
          <w:szCs w:val="24"/>
        </w:rPr>
        <w:t>Esophageal carcinoma, a malignant gastrointestinal tumor, is the 8</w:t>
      </w:r>
      <w:r w:rsidRPr="00774B2C">
        <w:rPr>
          <w:szCs w:val="24"/>
          <w:vertAlign w:val="superscript"/>
        </w:rPr>
        <w:t>th</w:t>
      </w:r>
      <w:r w:rsidRPr="00774B2C">
        <w:rPr>
          <w:szCs w:val="24"/>
        </w:rPr>
        <w:t xml:space="preserve"> most common malignant tumor in the world</w:t>
      </w:r>
      <w:r w:rsidR="0078633A" w:rsidRPr="00774B2C">
        <w:rPr>
          <w:szCs w:val="24"/>
        </w:rPr>
        <w:fldChar w:fldCharType="begin"/>
      </w:r>
      <w:r w:rsidR="0078633A" w:rsidRPr="00774B2C">
        <w:rPr>
          <w:szCs w:val="24"/>
        </w:rPr>
        <w:instrText xml:space="preserve"> ADDIN EN.CITE &lt;EndNote&gt;&lt;Cite&gt;&lt;Author&gt;Zeng&lt;/Author&gt;&lt;Year&gt;2016&lt;/Year&gt;&lt;RecNum&gt;3893&lt;/RecNum&gt;&lt;DisplayText&gt;&lt;style face="superscript"&gt;[21]&lt;/style&gt;&lt;/DisplayText&gt;&lt;record&gt;&lt;rec-number&gt;3893&lt;/rec-number&gt;&lt;foreign-keys&gt;&lt;key app="EN" db-id="aeax9frr3sa9rce2rpa5sezdtd2pv00w29z0" timestamp="1577895099"&gt;3893&lt;/key&gt;&lt;/foreign-keys&gt;&lt;ref-type name="Journal Article"&gt;17&lt;/ref-type&gt;&lt;contributors&gt;&lt;authors&gt;&lt;author&gt;Zeng, Hongmei&lt;/author&gt;&lt;author&gt;Zheng, Rongshou&lt;/author&gt;&lt;author&gt;Zhang, Siwei&lt;/author&gt;&lt;author&gt;Zuo, Tingting&lt;/author&gt;&lt;author&gt;Xia, Changfa&lt;/author&gt;&lt;author&gt;Zou, Xiaonong&lt;/author&gt;&lt;author&gt;Chen, Wanqing %J Thoracic cancer&lt;/author&gt;&lt;/authors&gt;&lt;/contributors&gt;&lt;titles&gt;&lt;title&gt;Esophageal cancer statistics in C hina, 2011: Estimates based on 177 cancer registries&lt;/title&gt;&lt;/titles&gt;&lt;pages&gt;232-237&lt;/pages&gt;&lt;volume&gt;7&lt;/volume&gt;&lt;number&gt;2&lt;/number&gt;&lt;dates&gt;&lt;year&gt;2016&lt;/year&gt;&lt;/dates&gt;&lt;isbn&gt;1759-7706&lt;/isbn&gt;&lt;urls&gt;&lt;/urls&gt;&lt;/record&gt;&lt;/Cite&gt;&lt;/EndNote&gt;</w:instrText>
      </w:r>
      <w:r w:rsidR="0078633A" w:rsidRPr="00774B2C">
        <w:rPr>
          <w:szCs w:val="24"/>
        </w:rPr>
        <w:fldChar w:fldCharType="separate"/>
      </w:r>
      <w:r w:rsidR="0078633A" w:rsidRPr="00774B2C">
        <w:rPr>
          <w:noProof/>
          <w:szCs w:val="24"/>
          <w:vertAlign w:val="superscript"/>
        </w:rPr>
        <w:t>[21]</w:t>
      </w:r>
      <w:r w:rsidR="0078633A" w:rsidRPr="00774B2C">
        <w:rPr>
          <w:szCs w:val="24"/>
        </w:rPr>
        <w:fldChar w:fldCharType="end"/>
      </w:r>
      <w:r w:rsidRPr="00774B2C">
        <w:rPr>
          <w:szCs w:val="24"/>
        </w:rPr>
        <w:t>. In 2018, there were more than 500000 new and de</w:t>
      </w:r>
      <w:r w:rsidR="002358EA">
        <w:rPr>
          <w:szCs w:val="24"/>
        </w:rPr>
        <w:t>ceased</w:t>
      </w:r>
      <w:r w:rsidRPr="00774B2C">
        <w:rPr>
          <w:szCs w:val="24"/>
        </w:rPr>
        <w:t xml:space="preserve"> esophageal carcinoma patients worldwide, and the morbidity and mortality of esophageal carcinoma showed an upward </w:t>
      </w:r>
      <w:proofErr w:type="gramStart"/>
      <w:r w:rsidRPr="00774B2C">
        <w:rPr>
          <w:szCs w:val="24"/>
        </w:rPr>
        <w:t>trend</w:t>
      </w:r>
      <w:proofErr w:type="gramEnd"/>
      <w:r w:rsidR="0078633A" w:rsidRPr="00774B2C">
        <w:rPr>
          <w:szCs w:val="24"/>
        </w:rPr>
        <w:fldChar w:fldCharType="begin">
          <w:fldData xml:space="preserve">PEVuZE5vdGU+PENpdGU+PEF1dGhvcj5CcmF5PC9BdXRob3I+PFllYXI+MjAxODwvWWVhcj48UmVj
TnVtPjM4OTI8L1JlY051bT48RGlzcGxheVRleHQ+PHN0eWxlIGZhY2U9InN1cGVyc2NyaXB0Ij5b
MjJdPC9zdHlsZT48L0Rpc3BsYXlUZXh0PjxyZWNvcmQ+PHJlYy1udW1iZXI+Mzg5MjwvcmVjLW51
bWJlcj48Zm9yZWlnbi1rZXlzPjxrZXkgYXBwPSJFTiIgZGItaWQ9ImFlYXg5ZnJyM3NhOXJjZTJy
cGE1c2V6ZHRkMnB2MDB3Mjl6MCIgdGltZXN0YW1wPSIxNTc3ODk1MDU0Ij4zODkyPC9rZXk+PC9m
b3JlaWduLWtleXM+PHJlZi10eXBlIG5hbWU9IkpvdXJuYWwgQXJ0aWNsZSI+MTc8L3JlZi10eXBl
Pjxjb250cmlidXRvcnM+PGF1dGhvcnM+PGF1dGhvcj5CcmF5LCBGLjwvYXV0aG9yPjxhdXRob3I+
RmVybGF5LCBKLjwvYXV0aG9yPjxhdXRob3I+U29lcmpvbWF0YXJhbSwgSS48L2F1dGhvcj48YXV0
aG9yPlNpZWdlbCwgUi4gTC48L2F1dGhvcj48YXV0aG9yPlRvcnJlLCBMLiBBLjwvYXV0aG9yPjxh
dXRob3I+SmVtYWwsIEEuPC9hdXRob3I+PC9hdXRob3JzPjwvY29udHJpYnV0b3JzPjxhdXRoLWFk
ZHJlc3M+SGVhZCwgU2VjdGlvbiBvZiBDYW5jZXIgU3VydmVpbGxhbmNlLCBJbnRlcm5hdGlvbmFs
IEFnZW5jeSBmb3IgUmVzZWFyY2ggb24gQ2FuY2VyLCBMeW9uLCBGcmFuY2UuJiN4RDtJbmZvcm1h
dGljcyBPZmZpY2VyLCBTZWN0aW9uIG9mIENhbmNlciBTdXJ2ZWlsbGFuY2UsIEludGVybmF0aW9u
YWwgQWdlbmN5IGZvciBSZXNlYXJjaCBvbiBDYW5jZXIsIEx5b24sIEZyYW5jZS4mI3hEO0RlcHV0
eSBIZWFkLCBTZWN0aW9uIG9mIENhbmNlciBTdXJ2ZWlsbGFuY2UsIEludGVybmF0aW9uYWwgQWdl
bmN5IGZvciBSZXNlYXJjaCBvbiBDYW5jZXIsIEx5b24sIEZyYW5jZS4mI3hEO1NjaWVudGlmaWMg
RGlyZWN0b3IsIFN1cnZlaWxsYW5jZSBhbmQgSGVhbHRoIFNlcnZpY2VzIFJlc2VhcmNoLCBBbWVy
aWNhbiBDYW5jZXIgU29jaWV0eSwgQXRsYW50YSwgR0EuJiN4RDtTY2llbnRpc3QsIFN1cnZlaWxs
YW5jZSBhbmQgSGVhbHRoIFNlcnZpY2VzIFJlc2VhcmNoLCBBbWVyaWNhbiBDYW5jZXIgU29jaWV0
eSwgQXRsYW50YSwgR0EuJiN4RDtTY2llbnRpZmljIFZpY2UgUHJlc2lkZW50LCBTdXJ2ZWlsbGFu
Y2UgYW5kIEhlYWx0aCBTZXJ2aWNlcyBSZXNlYXJjaCwgQW1lcmljYW4gQ2FuY2VyIFNvY2lldHks
IEF0bGFudGEsIEdBLjwvYXV0aC1hZGRyZXNzPjx0aXRsZXM+PHRpdGxlPkdsb2JhbCBjYW5jZXIg
c3RhdGlzdGljcyAyMDE4OiBHTE9CT0NBTiBlc3RpbWF0ZXMgb2YgaW5jaWRlbmNlIGFuZCBtb3J0
YWxpdHkgd29ybGR3aWRlIGZvciAzNiBjYW5jZXJzIGluIDE4NSBjb3VudHJpZXM8L3RpdGxlPjxz
ZWNvbmRhcnktdGl0bGU+Q0EgQ2FuY2VyIEogQ2xpbjwvc2Vjb25kYXJ5LXRpdGxlPjwvdGl0bGVz
PjxwZXJpb2RpY2FsPjxmdWxsLXRpdGxlPkNBIENhbmNlciBKIENsaW48L2Z1bGwtdGl0bGU+PC9w
ZXJpb2RpY2FsPjxwYWdlcz4zOTQtNDI0PC9wYWdlcz48dm9sdW1lPjY4PC92b2x1bWU+PG51bWJl
cj42PC9udW1iZXI+PGVkaXRpb24+MjAxOC8wOS8xMzwvZWRpdGlvbj48a2V5d29yZHM+PGtleXdv
cmQ+QWRvbGVzY2VudDwva2V5d29yZD48a2V5d29yZD5BZHVsdDwva2V5d29yZD48a2V5d29yZD5B
Z2UgRGlzdHJpYnV0aW9uPC9rZXl3b3JkPjxrZXl3b3JkPkFnZWQ8L2tleXdvcmQ+PGtleXdvcmQ+
QWdlZCwgODAgYW5kIG92ZXI8L2tleXdvcmQ+PGtleXdvcmQ+Q2F1c2Ugb2YgRGVhdGgvdHJlbmRz
PC9rZXl3b3JkPjxrZXl3b3JkPkNoaWxkPC9rZXl3b3JkPjxrZXl3b3JkPkNoaWxkLCBQcmVzY2hv
b2w8L2tleXdvcmQ+PGtleXdvcmQ+RmVtYWxlPC9rZXl3b3JkPjxrZXl3b3JkPkdsb2JhbCBCdXJk
ZW4gb2YgRGlzZWFzZS8qc3RhdGlzdGljcyAmYW1wOyBudW1lcmljYWwgZGF0YTwva2V5d29yZD48
a2V5d29yZD5HbG9iYWwgSGVhbHRoLypzdGF0aXN0aWNzICZhbXA7IG51bWVyaWNhbCBkYXRhPC9r
ZXl3b3JkPjxrZXl3b3JkPkh1bWFuczwva2V5d29yZD48a2V5d29yZD5JbmNpZGVuY2U8L2tleXdv
cmQ+PGtleXdvcmQ+SW5mYW50PC9rZXl3b3JkPjxrZXl3b3JkPkluZmFudCwgTmV3Ym9ybjwva2V5
d29yZD48a2V5d29yZD5NYWxlPC9rZXl3b3JkPjxrZXl3b3JkPk1pZGRsZSBBZ2VkPC9rZXl3b3Jk
PjxrZXl3b3JkPk5lb3BsYXNtcy8qZXBpZGVtaW9sb2d5PC9rZXl3b3JkPjxrZXl3b3JkPlByZXZh
bGVuY2U8L2tleXdvcmQ+PGtleXdvcmQ+UmVnaXN0cmllcy8qc3RhdGlzdGljcyAmYW1wOyBudW1l
cmljYWwgZGF0YTwva2V5d29yZD48a2V5d29yZD5SaXNrIEZhY3RvcnM8L2tleXdvcmQ+PGtleXdv
cmQ+U2V4IERpc3RyaWJ1dGlvbjwva2V5d29yZD48a2V5d29yZD5TdXJ2aXZhbCBSYXRlPC9rZXl3
b3JkPjxrZXl3b3JkPllvdW5nIEFkdWx0PC9rZXl3b3JkPjxrZXl3b3JkPipjYW5jZXI8L2tleXdv
cmQ+PGtleXdvcmQ+KmVwaWRlbWlvbG9neTwva2V5d29yZD48a2V5d29yZD4qaW5jaWRlbmNlPC9r
ZXl3b3JkPjxrZXl3b3JkPipzdXJ2aXZhbDwva2V5d29yZD48L2tleXdvcmRzPjxkYXRlcz48eWVh
cj4yMDE4PC95ZWFyPjxwdWItZGF0ZXM+PGRhdGU+Tm92PC9kYXRlPjwvcHViLWRhdGVzPjwvZGF0
ZXM+PGlzYm4+MTU0Mi00ODYzIChFbGVjdHJvbmljKSYjeEQ7MDAwNy05MjM1IChMaW5raW5nKTwv
aXNibj48YWNjZXNzaW9uLW51bT4zMDIwNzU5MzwvYWNjZXNzaW9uLW51bT48dXJscz48cmVsYXRl
ZC11cmxzPjx1cmw+aHR0cHM6Ly93d3cubmNiaS5ubG0ubmloLmdvdi9wdWJtZWQvMzAyMDc1OTM8
L3VybD48L3JlbGF0ZWQtdXJscz48L3VybHM+PGVsZWN0cm9uaWMtcmVzb3VyY2UtbnVtPjEwLjMz
MjIvY2FhYy4yMTQ5MjwvZWxlY3Ryb25pYy1yZXNvdXJjZS1udW0+PC9yZWNvcmQ+PC9DaXRlPjwv
RW5kTm90ZT4A
</w:fldData>
        </w:fldChar>
      </w:r>
      <w:r w:rsidR="0078633A" w:rsidRPr="00774B2C">
        <w:rPr>
          <w:szCs w:val="24"/>
        </w:rPr>
        <w:instrText xml:space="preserve"> ADDIN EN.CITE </w:instrText>
      </w:r>
      <w:r w:rsidR="0078633A" w:rsidRPr="00774B2C">
        <w:rPr>
          <w:szCs w:val="24"/>
        </w:rPr>
        <w:fldChar w:fldCharType="begin">
          <w:fldData xml:space="preserve">PEVuZE5vdGU+PENpdGU+PEF1dGhvcj5CcmF5PC9BdXRob3I+PFllYXI+MjAxODwvWWVhcj48UmVj
TnVtPjM4OTI8L1JlY051bT48RGlzcGxheVRleHQ+PHN0eWxlIGZhY2U9InN1cGVyc2NyaXB0Ij5b
MjJdPC9zdHlsZT48L0Rpc3BsYXlUZXh0PjxyZWNvcmQ+PHJlYy1udW1iZXI+Mzg5MjwvcmVjLW51
bWJlcj48Zm9yZWlnbi1rZXlzPjxrZXkgYXBwPSJFTiIgZGItaWQ9ImFlYXg5ZnJyM3NhOXJjZTJy
cGE1c2V6ZHRkMnB2MDB3Mjl6MCIgdGltZXN0YW1wPSIxNTc3ODk1MDU0Ij4zODkyPC9rZXk+PC9m
b3JlaWduLWtleXM+PHJlZi10eXBlIG5hbWU9IkpvdXJuYWwgQXJ0aWNsZSI+MTc8L3JlZi10eXBl
Pjxjb250cmlidXRvcnM+PGF1dGhvcnM+PGF1dGhvcj5CcmF5LCBGLjwvYXV0aG9yPjxhdXRob3I+
RmVybGF5LCBKLjwvYXV0aG9yPjxhdXRob3I+U29lcmpvbWF0YXJhbSwgSS48L2F1dGhvcj48YXV0
aG9yPlNpZWdlbCwgUi4gTC48L2F1dGhvcj48YXV0aG9yPlRvcnJlLCBMLiBBLjwvYXV0aG9yPjxh
dXRob3I+SmVtYWwsIEEuPC9hdXRob3I+PC9hdXRob3JzPjwvY29udHJpYnV0b3JzPjxhdXRoLWFk
ZHJlc3M+SGVhZCwgU2VjdGlvbiBvZiBDYW5jZXIgU3VydmVpbGxhbmNlLCBJbnRlcm5hdGlvbmFs
IEFnZW5jeSBmb3IgUmVzZWFyY2ggb24gQ2FuY2VyLCBMeW9uLCBGcmFuY2UuJiN4RDtJbmZvcm1h
dGljcyBPZmZpY2VyLCBTZWN0aW9uIG9mIENhbmNlciBTdXJ2ZWlsbGFuY2UsIEludGVybmF0aW9u
YWwgQWdlbmN5IGZvciBSZXNlYXJjaCBvbiBDYW5jZXIsIEx5b24sIEZyYW5jZS4mI3hEO0RlcHV0
eSBIZWFkLCBTZWN0aW9uIG9mIENhbmNlciBTdXJ2ZWlsbGFuY2UsIEludGVybmF0aW9uYWwgQWdl
bmN5IGZvciBSZXNlYXJjaCBvbiBDYW5jZXIsIEx5b24sIEZyYW5jZS4mI3hEO1NjaWVudGlmaWMg
RGlyZWN0b3IsIFN1cnZlaWxsYW5jZSBhbmQgSGVhbHRoIFNlcnZpY2VzIFJlc2VhcmNoLCBBbWVy
aWNhbiBDYW5jZXIgU29jaWV0eSwgQXRsYW50YSwgR0EuJiN4RDtTY2llbnRpc3QsIFN1cnZlaWxs
YW5jZSBhbmQgSGVhbHRoIFNlcnZpY2VzIFJlc2VhcmNoLCBBbWVyaWNhbiBDYW5jZXIgU29jaWV0
eSwgQXRsYW50YSwgR0EuJiN4RDtTY2llbnRpZmljIFZpY2UgUHJlc2lkZW50LCBTdXJ2ZWlsbGFu
Y2UgYW5kIEhlYWx0aCBTZXJ2aWNlcyBSZXNlYXJjaCwgQW1lcmljYW4gQ2FuY2VyIFNvY2lldHks
IEF0bGFudGEsIEdBLjwvYXV0aC1hZGRyZXNzPjx0aXRsZXM+PHRpdGxlPkdsb2JhbCBjYW5jZXIg
c3RhdGlzdGljcyAyMDE4OiBHTE9CT0NBTiBlc3RpbWF0ZXMgb2YgaW5jaWRlbmNlIGFuZCBtb3J0
YWxpdHkgd29ybGR3aWRlIGZvciAzNiBjYW5jZXJzIGluIDE4NSBjb3VudHJpZXM8L3RpdGxlPjxz
ZWNvbmRhcnktdGl0bGU+Q0EgQ2FuY2VyIEogQ2xpbjwvc2Vjb25kYXJ5LXRpdGxlPjwvdGl0bGVz
PjxwZXJpb2RpY2FsPjxmdWxsLXRpdGxlPkNBIENhbmNlciBKIENsaW48L2Z1bGwtdGl0bGU+PC9w
ZXJpb2RpY2FsPjxwYWdlcz4zOTQtNDI0PC9wYWdlcz48dm9sdW1lPjY4PC92b2x1bWU+PG51bWJl
cj42PC9udW1iZXI+PGVkaXRpb24+MjAxOC8wOS8xMzwvZWRpdGlvbj48a2V5d29yZHM+PGtleXdv
cmQ+QWRvbGVzY2VudDwva2V5d29yZD48a2V5d29yZD5BZHVsdDwva2V5d29yZD48a2V5d29yZD5B
Z2UgRGlzdHJpYnV0aW9uPC9rZXl3b3JkPjxrZXl3b3JkPkFnZWQ8L2tleXdvcmQ+PGtleXdvcmQ+
QWdlZCwgODAgYW5kIG92ZXI8L2tleXdvcmQ+PGtleXdvcmQ+Q2F1c2Ugb2YgRGVhdGgvdHJlbmRz
PC9rZXl3b3JkPjxrZXl3b3JkPkNoaWxkPC9rZXl3b3JkPjxrZXl3b3JkPkNoaWxkLCBQcmVzY2hv
b2w8L2tleXdvcmQ+PGtleXdvcmQ+RmVtYWxlPC9rZXl3b3JkPjxrZXl3b3JkPkdsb2JhbCBCdXJk
ZW4gb2YgRGlzZWFzZS8qc3RhdGlzdGljcyAmYW1wOyBudW1lcmljYWwgZGF0YTwva2V5d29yZD48
a2V5d29yZD5HbG9iYWwgSGVhbHRoLypzdGF0aXN0aWNzICZhbXA7IG51bWVyaWNhbCBkYXRhPC9r
ZXl3b3JkPjxrZXl3b3JkPkh1bWFuczwva2V5d29yZD48a2V5d29yZD5JbmNpZGVuY2U8L2tleXdv
cmQ+PGtleXdvcmQ+SW5mYW50PC9rZXl3b3JkPjxrZXl3b3JkPkluZmFudCwgTmV3Ym9ybjwva2V5
d29yZD48a2V5d29yZD5NYWxlPC9rZXl3b3JkPjxrZXl3b3JkPk1pZGRsZSBBZ2VkPC9rZXl3b3Jk
PjxrZXl3b3JkPk5lb3BsYXNtcy8qZXBpZGVtaW9sb2d5PC9rZXl3b3JkPjxrZXl3b3JkPlByZXZh
bGVuY2U8L2tleXdvcmQ+PGtleXdvcmQ+UmVnaXN0cmllcy8qc3RhdGlzdGljcyAmYW1wOyBudW1l
cmljYWwgZGF0YTwva2V5d29yZD48a2V5d29yZD5SaXNrIEZhY3RvcnM8L2tleXdvcmQ+PGtleXdv
cmQ+U2V4IERpc3RyaWJ1dGlvbjwva2V5d29yZD48a2V5d29yZD5TdXJ2aXZhbCBSYXRlPC9rZXl3
b3JkPjxrZXl3b3JkPllvdW5nIEFkdWx0PC9rZXl3b3JkPjxrZXl3b3JkPipjYW5jZXI8L2tleXdv
cmQ+PGtleXdvcmQ+KmVwaWRlbWlvbG9neTwva2V5d29yZD48a2V5d29yZD4qaW5jaWRlbmNlPC9r
ZXl3b3JkPjxrZXl3b3JkPipzdXJ2aXZhbDwva2V5d29yZD48L2tleXdvcmRzPjxkYXRlcz48eWVh
cj4yMDE4PC95ZWFyPjxwdWItZGF0ZXM+PGRhdGU+Tm92PC9kYXRlPjwvcHViLWRhdGVzPjwvZGF0
ZXM+PGlzYm4+MTU0Mi00ODYzIChFbGVjdHJvbmljKSYjeEQ7MDAwNy05MjM1IChMaW5raW5nKTwv
aXNibj48YWNjZXNzaW9uLW51bT4zMDIwNzU5MzwvYWNjZXNzaW9uLW51bT48dXJscz48cmVsYXRl
ZC11cmxzPjx1cmw+aHR0cHM6Ly93d3cubmNiaS5ubG0ubmloLmdvdi9wdWJtZWQvMzAyMDc1OTM8
L3VybD48L3JlbGF0ZWQtdXJscz48L3VybHM+PGVsZWN0cm9uaWMtcmVzb3VyY2UtbnVtPjEwLjMz
MjIvY2FhYy4yMTQ5MjwvZWxlY3Ryb25pYy1yZXNvdXJjZS1udW0+PC9yZWNvcmQ+PC9DaXRlPjwv
RW5kTm90ZT4A
</w:fldData>
        </w:fldChar>
      </w:r>
      <w:r w:rsidR="0078633A" w:rsidRPr="00774B2C">
        <w:rPr>
          <w:szCs w:val="24"/>
        </w:rPr>
        <w:instrText xml:space="preserve"> ADDIN EN.CITE.DATA </w:instrText>
      </w:r>
      <w:r w:rsidR="0078633A" w:rsidRPr="00774B2C">
        <w:rPr>
          <w:szCs w:val="24"/>
        </w:rPr>
      </w:r>
      <w:r w:rsidR="0078633A" w:rsidRPr="00774B2C">
        <w:rPr>
          <w:szCs w:val="24"/>
        </w:rPr>
        <w:fldChar w:fldCharType="end"/>
      </w:r>
      <w:r w:rsidR="0078633A" w:rsidRPr="00774B2C">
        <w:rPr>
          <w:szCs w:val="24"/>
        </w:rPr>
      </w:r>
      <w:r w:rsidR="0078633A" w:rsidRPr="00774B2C">
        <w:rPr>
          <w:szCs w:val="24"/>
        </w:rPr>
        <w:fldChar w:fldCharType="separate"/>
      </w:r>
      <w:r w:rsidR="0078633A" w:rsidRPr="00774B2C">
        <w:rPr>
          <w:noProof/>
          <w:szCs w:val="24"/>
          <w:vertAlign w:val="superscript"/>
        </w:rPr>
        <w:t>[22]</w:t>
      </w:r>
      <w:r w:rsidR="0078633A" w:rsidRPr="00774B2C">
        <w:rPr>
          <w:szCs w:val="24"/>
        </w:rPr>
        <w:fldChar w:fldCharType="end"/>
      </w:r>
      <w:r w:rsidRPr="00774B2C">
        <w:rPr>
          <w:szCs w:val="24"/>
        </w:rPr>
        <w:t xml:space="preserve">. The main reasons for this phenomenon are as follows: Firstly, the diet structure of patients </w:t>
      </w:r>
      <w:r w:rsidR="002358EA">
        <w:rPr>
          <w:szCs w:val="24"/>
        </w:rPr>
        <w:t>has</w:t>
      </w:r>
      <w:r w:rsidRPr="00774B2C">
        <w:rPr>
          <w:szCs w:val="24"/>
        </w:rPr>
        <w:t xml:space="preserve"> changed. Secondly, esophageal carcinoma has no obvious clinical characteristics in the early stage, so almost all patients are already in </w:t>
      </w:r>
      <w:r w:rsidR="002358EA">
        <w:rPr>
          <w:szCs w:val="24"/>
        </w:rPr>
        <w:t xml:space="preserve">the </w:t>
      </w:r>
      <w:r w:rsidRPr="00774B2C">
        <w:rPr>
          <w:szCs w:val="24"/>
        </w:rPr>
        <w:t>middle or late stage when admitted to hospital, and have missed the best treatment opportunity. Finally, there is a lack of tumor markers with high specificity for esophageal carcinoma. Th</w:t>
      </w:r>
      <w:r w:rsidR="002358EA">
        <w:rPr>
          <w:szCs w:val="24"/>
        </w:rPr>
        <w:t>e</w:t>
      </w:r>
      <w:r w:rsidRPr="00774B2C">
        <w:rPr>
          <w:szCs w:val="24"/>
        </w:rPr>
        <w:t xml:space="preserve">se factors eventually lead to </w:t>
      </w:r>
      <w:r w:rsidR="002358EA">
        <w:rPr>
          <w:szCs w:val="24"/>
        </w:rPr>
        <w:t>a</w:t>
      </w:r>
      <w:r w:rsidRPr="00774B2C">
        <w:rPr>
          <w:szCs w:val="24"/>
        </w:rPr>
        <w:t xml:space="preserve"> ris</w:t>
      </w:r>
      <w:r w:rsidR="002358EA">
        <w:rPr>
          <w:szCs w:val="24"/>
        </w:rPr>
        <w:t>e in</w:t>
      </w:r>
      <w:r w:rsidRPr="00774B2C">
        <w:rPr>
          <w:szCs w:val="24"/>
        </w:rPr>
        <w:t xml:space="preserve"> mortality and </w:t>
      </w:r>
      <w:proofErr w:type="gramStart"/>
      <w:r w:rsidRPr="00774B2C">
        <w:rPr>
          <w:szCs w:val="24"/>
        </w:rPr>
        <w:t>morbidity</w:t>
      </w:r>
      <w:proofErr w:type="gramEnd"/>
      <w:r w:rsidR="00833962" w:rsidRPr="00774B2C">
        <w:rPr>
          <w:szCs w:val="24"/>
        </w:rPr>
        <w:fldChar w:fldCharType="begin">
          <w:fldData xml:space="preserve">PEVuZE5vdGU+PENpdGU+PEF1dGhvcj5ZYW5nPC9BdXRob3I+PFllYXI+MjAxNjwvWWVhcj48UmVj
TnVtPjM4OTQ8L1JlY051bT48RGlzcGxheVRleHQ+PHN0eWxlIGZhY2U9InN1cGVyc2NyaXB0Ij5b
MjMsIDI0XTwvc3R5bGU+PC9EaXNwbGF5VGV4dD48cmVjb3JkPjxyZWMtbnVtYmVyPjM4OTQ8L3Jl
Yy1udW1iZXI+PGZvcmVpZ24ta2V5cz48a2V5IGFwcD0iRU4iIGRiLWlkPSJhZWF4OWZycjNzYTly
Y2UycnBhNXNlemR0ZDJwdjAwdzI5ejAiIHRpbWVzdGFtcD0iMTU3Nzg5NTI1NiI+Mzg5NDwva2V5
PjwvZm9yZWlnbi1rZXlzPjxyZWYtdHlwZSBuYW1lPSJKb3VybmFsIEFydGljbGUiPjE3PC9yZWYt
dHlwZT48Y29udHJpYnV0b3JzPjxhdXRob3JzPjxhdXRob3I+WWFuZywgQy4gUy48L2F1dGhvcj48
YXV0aG9yPkNoZW4sIFguPC9hdXRob3I+PGF1dGhvcj5UdSwgUy48L2F1dGhvcj48L2F1dGhvcnM+
PC9jb250cmlidXRvcnM+PGF1dGgtYWRkcmVzcz5EZXBhcnRtZW50IG9mIENoZW1pY2FsIEJpb2xv
Z3ksIFN1c2FuIExlaG1hbiBDdWxsbWFuIExhYm9yYXRvcnkgZm9yIENhbmNlciBSZXNlYXJjaCwg
RXJuZXN0IE1hcmlvIFNjaG9vbCBvZiBQaGFybWFjeSwgUnV0Z2VycywgVGhlIFN0YXRlIFVuaXZl
cnNpdHkgb2YgTmV3IEplcnNleSwgUGlzY2F0YXdheSwgTi5KLCBVU0EuJiN4RDtKdWxpdXMgTC4g
Q2hhbWJlcnMgQmlvbWVkaWNhbC9CaW90ZWNobm9sb2d5IFJlc2VhcmNoIEluc3RpdHV0ZSwgTm9y
dGggQ2Fyb2xpbmEgQ2VudHJhbCBVbml2ZXJzaXR5LCBEdXJoYW0sIE4uQywgVVNBOyBDZW50ZXIg
Zm9yIEVzb3BoYWdlYWwgRGlzZWFzZXMgYW5kIFN3YWxsb3dpbmcsIERpdmlzaW9uIG9mIEdhc3Ry
b2VudGVyb2xvZ3kgYW5kIEhlcGF0b2xvZ3ksIERlcGFydG1lbnQgb2YgTWVkaWNpbmUsIFVuaXZl
cnNpdHkgb2YgTm9ydGggQ2Fyb2xpbmEgYXQgQ2hhcGVsIEhpbGwsIENoYXBlbCBIaWxsLCBOLkMu
LCBVU0EuJiN4RDtEZXBhcnRtZW50IG9mIE9uY29sb2d5LCBSZW5qaSBIb3NwaXRhbCwgU2hhbmdo
YWkgSmlhb3RvbmcgVW5pdmVyc2l0eSBTY2hvb2wgb2YgTWVkaWNpbmUsIFNoYW5naGFpLCBQUiBD
aGluYS48L2F1dGgtYWRkcmVzcz48dGl0bGVzPjx0aXRsZT5FdGlvbG9neSBhbmQgUHJldmVudGlv
biBvZiBFc29waGFnZWFsIENhbmNlcjwvdGl0bGU+PHNlY29uZGFyeS10aXRsZT5HYXN0cm9pbnRl
c3QgVHVtb3JzPC9zZWNvbmRhcnktdGl0bGU+PC90aXRsZXM+PHBlcmlvZGljYWw+PGZ1bGwtdGl0
bGU+R2FzdHJvaW50ZXN0IFR1bW9yczwvZnVsbC10aXRsZT48L3BlcmlvZGljYWw+PHBhZ2VzPjMt
MTY8L3BhZ2VzPjx2b2x1bWU+Mzwvdm9sdW1lPjxudW1iZXI+MTwvbnVtYmVyPjxlZGl0aW9uPjIw
MTYvMTAvMTE8L2VkaXRpb24+PGtleXdvcmRzPjxrZXl3b3JkPkVzb3BoYWdlYWwgY2FuY2VyPC9r
ZXl3b3JkPjxrZXl3b3JkPkV0aW9sb2d5PC9rZXl3b3JkPjxrZXl3b3JkPlByZXZlbnRpb248L2tl
eXdvcmQ+PC9rZXl3b3Jkcz48ZGF0ZXM+PHllYXI+MjAxNjwveWVhcj48cHViLWRhdGVzPjxkYXRl
PlNlcDwvZGF0ZT48L3B1Yi1kYXRlcz48L2RhdGVzPjxpc2JuPjIyOTYtMzc3NCAoUHJpbnQpJiN4
RDsyMjk2LTM3NzQgKExpbmtpbmcpPC9pc2JuPjxhY2Nlc3Npb24tbnVtPjI3NzIyMTUyPC9hY2Nl
c3Npb24tbnVtPjx1cmxzPjxyZWxhdGVkLXVybHM+PHVybD5odHRwczovL3d3dy5uY2JpLm5sbS5u
aWguZ292L3B1Ym1lZC8yNzcyMjE1MjwvdXJsPjwvcmVsYXRlZC11cmxzPjwvdXJscz48Y3VzdG9t
Mj5QTUM1MDQwODg3PC9jdXN0b20yPjxlbGVjdHJvbmljLXJlc291cmNlLW51bT4xMC4xMTU5LzAw
MDQ0MzE1NTwvZWxlY3Ryb25pYy1yZXNvdXJjZS1udW0+PC9yZWNvcmQ+PC9DaXRlPjxDaXRlPjxB
dXRob3I+TG9wZXotTGF6YXJvPC9BdXRob3I+PFllYXI+MjAxNjwvWWVhcj48UmVjTnVtPjM4OTU8
L1JlY051bT48cmVjb3JkPjxyZWMtbnVtYmVyPjM4OTU8L3JlYy1udW1iZXI+PGZvcmVpZ24ta2V5
cz48a2V5IGFwcD0iRU4iIGRiLWlkPSJhZWF4OWZycjNzYTlyY2UycnBhNXNlemR0ZDJwdjAwdzI5
ejAiIHRpbWVzdGFtcD0iMTU3Nzg5NTMzNCI+Mzg5NTwva2V5PjwvZm9yZWlnbi1rZXlzPjxyZWYt
dHlwZSBuYW1lPSJKb3VybmFsIEFydGljbGUiPjE3PC9yZWYtdHlwZT48Y29udHJpYnV0b3JzPjxh
dXRob3JzPjxhdXRob3I+TG9wZXotTGF6YXJvLCBNLjwvYXV0aG9yPjwvYXV0aG9ycz48L2NvbnRy
aWJ1dG9ycz48YXV0aC1hZGRyZXNzPkRlcGFydG1lbnQgb2YgUGhhcm1hY29sb2d5LCBGYWN1bHR5
IG9mIFBoYXJtYWN5LCBVbml2ZXJzaXR5IG9mIFNldmlsbGUsIFNwYWluLiBFbGVjdHJvbmljIGFk
ZHJlc3M6IG1sb3BlemxhemFyb0B1cy5lcy48L2F1dGgtYWRkcmVzcz48dGl0bGVzPjx0aXRsZT5B
IGxvY2FsIG1lY2hhbmlzbSBieSB3aGljaCBhbGNvaG9sIGNvbnN1bXB0aW9uIGNhdXNlcyBjYW5j
ZXI8L3RpdGxlPjxzZWNvbmRhcnktdGl0bGU+T3JhbCBPbmNvbDwvc2Vjb25kYXJ5LXRpdGxlPjwv
dGl0bGVzPjxwZXJpb2RpY2FsPjxmdWxsLXRpdGxlPk9yYWwgT25jb2w8L2Z1bGwtdGl0bGU+PC9w
ZXJpb2RpY2FsPjxwYWdlcz4xNDktMTUyPC9wYWdlcz48dm9sdW1lPjYyPC92b2x1bWU+PGVkaXRp
b24+MjAxNi8xMC8xMTwvZWRpdGlvbj48a2V5d29yZHM+PGtleXdvcmQ+KkFsY29ob2wgRHJpbmtp
bmc8L2tleXdvcmQ+PGtleXdvcmQ+SHVtYW5zPC9rZXl3b3JkPjxrZXl3b3JkPk5lb3BsYXNtcy8q
ZXRpb2xvZ3k8L2tleXdvcmQ+PGtleXdvcmQ+KkFsY29ob2w8L2tleXdvcmQ+PGtleXdvcmQ+KkNh
bmNlcjwva2V5d29yZD48a2V5d29yZD4qQ2FyY2lub2dlbmVzaXM8L2tleXdvcmQ+PGtleXdvcmQ+
KkVzb3BoYWd1czwva2V5d29yZD48a2V5d29yZD4qRXRoYW5vbDwva2V5d29yZD48a2V5d29yZD4q
T3JhbCBjYXZpdHk8L2tleXdvcmQ+PGtleXdvcmQ+KlBoYXJ5bng8L2tleXdvcmQ+PGtleXdvcmQ+
KlN0ZW0gY2VsbHM8L2tleXdvcmQ+PGtleXdvcmQ+KlN5bmVyZ2lzbTwva2V5d29yZD48a2V5d29y
ZD4qVG9iYWNjbzwva2V5d29yZD48L2tleXdvcmRzPjxkYXRlcz48eWVhcj4yMDE2PC95ZWFyPjxw
dWItZGF0ZXM+PGRhdGU+Tm92PC9kYXRlPjwvcHViLWRhdGVzPjwvZGF0ZXM+PGlzYm4+MTg3OS0w
NTkzIChFbGVjdHJvbmljKSYjeEQ7MTM2OC04Mzc1IChMaW5raW5nKTwvaXNibj48YWNjZXNzaW9u
LW51bT4yNzcyMDM5NzwvYWNjZXNzaW9uLW51bT48dXJscz48cmVsYXRlZC11cmxzPjx1cmw+aHR0
cHM6Ly93d3cubmNiaS5ubG0ubmloLmdvdi9wdWJtZWQvMjc3MjAzOTc8L3VybD48L3JlbGF0ZWQt
dXJscz48L3VybHM+PGVsZWN0cm9uaWMtcmVzb3VyY2UtbnVtPjEwLjEwMTYvai5vcmFsb25jb2xv
Z3kuMjAxNi4xMC4wMDE8L2VsZWN0cm9uaWMtcmVzb3VyY2UtbnVtPjwvcmVjb3JkPjwvQ2l0ZT48
L0VuZE5vdGU+AG==
</w:fldData>
        </w:fldChar>
      </w:r>
      <w:r w:rsidR="00833962" w:rsidRPr="00774B2C">
        <w:rPr>
          <w:szCs w:val="24"/>
        </w:rPr>
        <w:instrText xml:space="preserve"> ADDIN EN.CITE </w:instrText>
      </w:r>
      <w:r w:rsidR="00833962" w:rsidRPr="00774B2C">
        <w:rPr>
          <w:szCs w:val="24"/>
        </w:rPr>
        <w:fldChar w:fldCharType="begin">
          <w:fldData xml:space="preserve">PEVuZE5vdGU+PENpdGU+PEF1dGhvcj5ZYW5nPC9BdXRob3I+PFllYXI+MjAxNjwvWWVhcj48UmVj
TnVtPjM4OTQ8L1JlY051bT48RGlzcGxheVRleHQ+PHN0eWxlIGZhY2U9InN1cGVyc2NyaXB0Ij5b
MjMsIDI0XTwvc3R5bGU+PC9EaXNwbGF5VGV4dD48cmVjb3JkPjxyZWMtbnVtYmVyPjM4OTQ8L3Jl
Yy1udW1iZXI+PGZvcmVpZ24ta2V5cz48a2V5IGFwcD0iRU4iIGRiLWlkPSJhZWF4OWZycjNzYTly
Y2UycnBhNXNlemR0ZDJwdjAwdzI5ejAiIHRpbWVzdGFtcD0iMTU3Nzg5NTI1NiI+Mzg5NDwva2V5
PjwvZm9yZWlnbi1rZXlzPjxyZWYtdHlwZSBuYW1lPSJKb3VybmFsIEFydGljbGUiPjE3PC9yZWYt
dHlwZT48Y29udHJpYnV0b3JzPjxhdXRob3JzPjxhdXRob3I+WWFuZywgQy4gUy48L2F1dGhvcj48
YXV0aG9yPkNoZW4sIFguPC9hdXRob3I+PGF1dGhvcj5UdSwgUy48L2F1dGhvcj48L2F1dGhvcnM+
PC9jb250cmlidXRvcnM+PGF1dGgtYWRkcmVzcz5EZXBhcnRtZW50IG9mIENoZW1pY2FsIEJpb2xv
Z3ksIFN1c2FuIExlaG1hbiBDdWxsbWFuIExhYm9yYXRvcnkgZm9yIENhbmNlciBSZXNlYXJjaCwg
RXJuZXN0IE1hcmlvIFNjaG9vbCBvZiBQaGFybWFjeSwgUnV0Z2VycywgVGhlIFN0YXRlIFVuaXZl
cnNpdHkgb2YgTmV3IEplcnNleSwgUGlzY2F0YXdheSwgTi5KLCBVU0EuJiN4RDtKdWxpdXMgTC4g
Q2hhbWJlcnMgQmlvbWVkaWNhbC9CaW90ZWNobm9sb2d5IFJlc2VhcmNoIEluc3RpdHV0ZSwgTm9y
dGggQ2Fyb2xpbmEgQ2VudHJhbCBVbml2ZXJzaXR5LCBEdXJoYW0sIE4uQywgVVNBOyBDZW50ZXIg
Zm9yIEVzb3BoYWdlYWwgRGlzZWFzZXMgYW5kIFN3YWxsb3dpbmcsIERpdmlzaW9uIG9mIEdhc3Ry
b2VudGVyb2xvZ3kgYW5kIEhlcGF0b2xvZ3ksIERlcGFydG1lbnQgb2YgTWVkaWNpbmUsIFVuaXZl
cnNpdHkgb2YgTm9ydGggQ2Fyb2xpbmEgYXQgQ2hhcGVsIEhpbGwsIENoYXBlbCBIaWxsLCBOLkMu
LCBVU0EuJiN4RDtEZXBhcnRtZW50IG9mIE9uY29sb2d5LCBSZW5qaSBIb3NwaXRhbCwgU2hhbmdo
YWkgSmlhb3RvbmcgVW5pdmVyc2l0eSBTY2hvb2wgb2YgTWVkaWNpbmUsIFNoYW5naGFpLCBQUiBD
aGluYS48L2F1dGgtYWRkcmVzcz48dGl0bGVzPjx0aXRsZT5FdGlvbG9neSBhbmQgUHJldmVudGlv
biBvZiBFc29waGFnZWFsIENhbmNlcjwvdGl0bGU+PHNlY29uZGFyeS10aXRsZT5HYXN0cm9pbnRl
c3QgVHVtb3JzPC9zZWNvbmRhcnktdGl0bGU+PC90aXRsZXM+PHBlcmlvZGljYWw+PGZ1bGwtdGl0
bGU+R2FzdHJvaW50ZXN0IFR1bW9yczwvZnVsbC10aXRsZT48L3BlcmlvZGljYWw+PHBhZ2VzPjMt
MTY8L3BhZ2VzPjx2b2x1bWU+Mzwvdm9sdW1lPjxudW1iZXI+MTwvbnVtYmVyPjxlZGl0aW9uPjIw
MTYvMTAvMTE8L2VkaXRpb24+PGtleXdvcmRzPjxrZXl3b3JkPkVzb3BoYWdlYWwgY2FuY2VyPC9r
ZXl3b3JkPjxrZXl3b3JkPkV0aW9sb2d5PC9rZXl3b3JkPjxrZXl3b3JkPlByZXZlbnRpb248L2tl
eXdvcmQ+PC9rZXl3b3Jkcz48ZGF0ZXM+PHllYXI+MjAxNjwveWVhcj48cHViLWRhdGVzPjxkYXRl
PlNlcDwvZGF0ZT48L3B1Yi1kYXRlcz48L2RhdGVzPjxpc2JuPjIyOTYtMzc3NCAoUHJpbnQpJiN4
RDsyMjk2LTM3NzQgKExpbmtpbmcpPC9pc2JuPjxhY2Nlc3Npb24tbnVtPjI3NzIyMTUyPC9hY2Nl
c3Npb24tbnVtPjx1cmxzPjxyZWxhdGVkLXVybHM+PHVybD5odHRwczovL3d3dy5uY2JpLm5sbS5u
aWguZ292L3B1Ym1lZC8yNzcyMjE1MjwvdXJsPjwvcmVsYXRlZC11cmxzPjwvdXJscz48Y3VzdG9t
Mj5QTUM1MDQwODg3PC9jdXN0b20yPjxlbGVjdHJvbmljLXJlc291cmNlLW51bT4xMC4xMTU5LzAw
MDQ0MzE1NTwvZWxlY3Ryb25pYy1yZXNvdXJjZS1udW0+PC9yZWNvcmQ+PC9DaXRlPjxDaXRlPjxB
dXRob3I+TG9wZXotTGF6YXJvPC9BdXRob3I+PFllYXI+MjAxNjwvWWVhcj48UmVjTnVtPjM4OTU8
L1JlY051bT48cmVjb3JkPjxyZWMtbnVtYmVyPjM4OTU8L3JlYy1udW1iZXI+PGZvcmVpZ24ta2V5
cz48a2V5IGFwcD0iRU4iIGRiLWlkPSJhZWF4OWZycjNzYTlyY2UycnBhNXNlemR0ZDJwdjAwdzI5
ejAiIHRpbWVzdGFtcD0iMTU3Nzg5NTMzNCI+Mzg5NTwva2V5PjwvZm9yZWlnbi1rZXlzPjxyZWYt
dHlwZSBuYW1lPSJKb3VybmFsIEFydGljbGUiPjE3PC9yZWYtdHlwZT48Y29udHJpYnV0b3JzPjxh
dXRob3JzPjxhdXRob3I+TG9wZXotTGF6YXJvLCBNLjwvYXV0aG9yPjwvYXV0aG9ycz48L2NvbnRy
aWJ1dG9ycz48YXV0aC1hZGRyZXNzPkRlcGFydG1lbnQgb2YgUGhhcm1hY29sb2d5LCBGYWN1bHR5
IG9mIFBoYXJtYWN5LCBVbml2ZXJzaXR5IG9mIFNldmlsbGUsIFNwYWluLiBFbGVjdHJvbmljIGFk
ZHJlc3M6IG1sb3BlemxhemFyb0B1cy5lcy48L2F1dGgtYWRkcmVzcz48dGl0bGVzPjx0aXRsZT5B
IGxvY2FsIG1lY2hhbmlzbSBieSB3aGljaCBhbGNvaG9sIGNvbnN1bXB0aW9uIGNhdXNlcyBjYW5j
ZXI8L3RpdGxlPjxzZWNvbmRhcnktdGl0bGU+T3JhbCBPbmNvbDwvc2Vjb25kYXJ5LXRpdGxlPjwv
dGl0bGVzPjxwZXJpb2RpY2FsPjxmdWxsLXRpdGxlPk9yYWwgT25jb2w8L2Z1bGwtdGl0bGU+PC9w
ZXJpb2RpY2FsPjxwYWdlcz4xNDktMTUyPC9wYWdlcz48dm9sdW1lPjYyPC92b2x1bWU+PGVkaXRp
b24+MjAxNi8xMC8xMTwvZWRpdGlvbj48a2V5d29yZHM+PGtleXdvcmQ+KkFsY29ob2wgRHJpbmtp
bmc8L2tleXdvcmQ+PGtleXdvcmQ+SHVtYW5zPC9rZXl3b3JkPjxrZXl3b3JkPk5lb3BsYXNtcy8q
ZXRpb2xvZ3k8L2tleXdvcmQ+PGtleXdvcmQ+KkFsY29ob2w8L2tleXdvcmQ+PGtleXdvcmQ+KkNh
bmNlcjwva2V5d29yZD48a2V5d29yZD4qQ2FyY2lub2dlbmVzaXM8L2tleXdvcmQ+PGtleXdvcmQ+
KkVzb3BoYWd1czwva2V5d29yZD48a2V5d29yZD4qRXRoYW5vbDwva2V5d29yZD48a2V5d29yZD4q
T3JhbCBjYXZpdHk8L2tleXdvcmQ+PGtleXdvcmQ+KlBoYXJ5bng8L2tleXdvcmQ+PGtleXdvcmQ+
KlN0ZW0gY2VsbHM8L2tleXdvcmQ+PGtleXdvcmQ+KlN5bmVyZ2lzbTwva2V5d29yZD48a2V5d29y
ZD4qVG9iYWNjbzwva2V5d29yZD48L2tleXdvcmRzPjxkYXRlcz48eWVhcj4yMDE2PC95ZWFyPjxw
dWItZGF0ZXM+PGRhdGU+Tm92PC9kYXRlPjwvcHViLWRhdGVzPjwvZGF0ZXM+PGlzYm4+MTg3OS0w
NTkzIChFbGVjdHJvbmljKSYjeEQ7MTM2OC04Mzc1IChMaW5raW5nKTwvaXNibj48YWNjZXNzaW9u
LW51bT4yNzcyMDM5NzwvYWNjZXNzaW9uLW51bT48dXJscz48cmVsYXRlZC11cmxzPjx1cmw+aHR0
cHM6Ly93d3cubmNiaS5ubG0ubmloLmdvdi9wdWJtZWQvMjc3MjAzOTc8L3VybD48L3JlbGF0ZWQt
dXJscz48L3VybHM+PGVsZWN0cm9uaWMtcmVzb3VyY2UtbnVtPjEwLjEwMTYvai5vcmFsb25jb2xv
Z3kuMjAxNi4xMC4wMDE8L2VsZWN0cm9uaWMtcmVzb3VyY2UtbnVtPjwvcmVjb3JkPjwvQ2l0ZT48
L0VuZE5vdGU+AG==
</w:fldData>
        </w:fldChar>
      </w:r>
      <w:r w:rsidR="00833962" w:rsidRPr="00774B2C">
        <w:rPr>
          <w:szCs w:val="24"/>
        </w:rPr>
        <w:instrText xml:space="preserve"> ADDIN EN.CITE.DATA </w:instrText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end"/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separate"/>
      </w:r>
      <w:r w:rsidR="00833962" w:rsidRPr="00774B2C">
        <w:rPr>
          <w:noProof/>
          <w:szCs w:val="24"/>
          <w:vertAlign w:val="superscript"/>
        </w:rPr>
        <w:t>[23,24]</w:t>
      </w:r>
      <w:r w:rsidR="00833962" w:rsidRPr="00774B2C">
        <w:rPr>
          <w:szCs w:val="24"/>
        </w:rPr>
        <w:fldChar w:fldCharType="end"/>
      </w:r>
      <w:r w:rsidRPr="00774B2C">
        <w:rPr>
          <w:szCs w:val="24"/>
        </w:rPr>
        <w:t xml:space="preserve">. Therefore, </w:t>
      </w:r>
      <w:r w:rsidR="002358EA">
        <w:rPr>
          <w:szCs w:val="24"/>
        </w:rPr>
        <w:t>the identification of</w:t>
      </w:r>
      <w:r w:rsidRPr="00774B2C">
        <w:rPr>
          <w:szCs w:val="24"/>
        </w:rPr>
        <w:t xml:space="preserve"> a clinical diagnostic marker with high specificity </w:t>
      </w:r>
      <w:r w:rsidR="002358EA">
        <w:rPr>
          <w:szCs w:val="24"/>
        </w:rPr>
        <w:t xml:space="preserve">is essential </w:t>
      </w:r>
      <w:r w:rsidRPr="00774B2C">
        <w:rPr>
          <w:szCs w:val="24"/>
        </w:rPr>
        <w:lastRenderedPageBreak/>
        <w:t>to solve this problem.</w:t>
      </w:r>
    </w:p>
    <w:p w14:paraId="14651A9F" w14:textId="41342F83" w:rsidR="00483403" w:rsidRPr="00774B2C" w:rsidRDefault="00483403" w:rsidP="005D3A57">
      <w:pPr>
        <w:adjustRightInd w:val="0"/>
        <w:snapToGrid w:val="0"/>
        <w:ind w:firstLineChars="100" w:firstLine="240"/>
        <w:rPr>
          <w:rFonts w:eastAsia="楷体"/>
          <w:szCs w:val="24"/>
        </w:rPr>
      </w:pPr>
      <w:r w:rsidRPr="00774B2C">
        <w:rPr>
          <w:szCs w:val="24"/>
        </w:rPr>
        <w:t>In this study, we found</w:t>
      </w:r>
      <w:r w:rsidR="002358EA">
        <w:rPr>
          <w:szCs w:val="24"/>
        </w:rPr>
        <w:t>,</w:t>
      </w:r>
      <w:r w:rsidRPr="00774B2C">
        <w:rPr>
          <w:szCs w:val="24"/>
        </w:rPr>
        <w:t xml:space="preserve"> for the first time</w:t>
      </w:r>
      <w:r w:rsidR="002358EA">
        <w:rPr>
          <w:szCs w:val="24"/>
        </w:rPr>
        <w:t>,</w:t>
      </w:r>
      <w:r w:rsidRPr="00774B2C">
        <w:rPr>
          <w:szCs w:val="24"/>
        </w:rPr>
        <w:t xml:space="preserve"> that miR-1304 was highly expressed in patients with esophageal carcinoma. </w:t>
      </w:r>
      <w:proofErr w:type="spellStart"/>
      <w:proofErr w:type="gramStart"/>
      <w:r w:rsidRPr="00774B2C">
        <w:rPr>
          <w:szCs w:val="24"/>
        </w:rPr>
        <w:t>miR</w:t>
      </w:r>
      <w:proofErr w:type="spellEnd"/>
      <w:proofErr w:type="gramEnd"/>
      <w:r w:rsidRPr="00774B2C">
        <w:rPr>
          <w:szCs w:val="24"/>
        </w:rPr>
        <w:t xml:space="preserve"> </w:t>
      </w:r>
      <w:r w:rsidR="002358EA">
        <w:rPr>
          <w:szCs w:val="24"/>
        </w:rPr>
        <w:t>has been</w:t>
      </w:r>
      <w:r w:rsidRPr="00774B2C">
        <w:rPr>
          <w:szCs w:val="24"/>
        </w:rPr>
        <w:t xml:space="preserve"> a hot research topic in various fields in recent years. As a short-chain non-coding RNA, it can inhibit transcription and </w:t>
      </w:r>
      <w:r w:rsidR="002358EA">
        <w:rPr>
          <w:szCs w:val="24"/>
        </w:rPr>
        <w:t xml:space="preserve">the </w:t>
      </w:r>
      <w:r w:rsidRPr="00774B2C">
        <w:rPr>
          <w:szCs w:val="24"/>
        </w:rPr>
        <w:t xml:space="preserve">expression of downstream target genes by regulating them through </w:t>
      </w:r>
      <w:r w:rsidR="002358EA">
        <w:rPr>
          <w:szCs w:val="24"/>
        </w:rPr>
        <w:t xml:space="preserve">the </w:t>
      </w:r>
      <w:r w:rsidRPr="00774B2C">
        <w:rPr>
          <w:szCs w:val="24"/>
        </w:rPr>
        <w:t>3-</w:t>
      </w:r>
      <w:r w:rsidR="00774B2C" w:rsidRPr="00774B2C">
        <w:rPr>
          <w:szCs w:val="24"/>
        </w:rPr>
        <w:t>untranslated regions</w:t>
      </w:r>
      <w:r w:rsidR="00833962" w:rsidRPr="00774B2C">
        <w:rPr>
          <w:szCs w:val="24"/>
        </w:rPr>
        <w:fldChar w:fldCharType="begin"/>
      </w:r>
      <w:r w:rsidR="00833962" w:rsidRPr="00774B2C">
        <w:rPr>
          <w:szCs w:val="24"/>
        </w:rPr>
        <w:instrText xml:space="preserve"> ADDIN EN.CITE &lt;EndNote&gt;&lt;Cite&gt;&lt;Author&gt;Zhang&lt;/Author&gt;&lt;Year&gt;2016&lt;/Year&gt;&lt;RecNum&gt;3896&lt;/RecNum&gt;&lt;DisplayText&gt;&lt;style face="superscript"&gt;[25]&lt;/style&gt;&lt;/DisplayText&gt;&lt;record&gt;&lt;rec-number&gt;3896&lt;/rec-number&gt;&lt;foreign-keys&gt;&lt;key app="EN" db-id="aeax9frr3sa9rce2rpa5sezdtd2pv00w29z0" timestamp="1577895400"&gt;3896&lt;/key&gt;&lt;/foreign-keys&gt;&lt;ref-type name="Journal Article"&gt;17&lt;/ref-type&gt;&lt;contributors&gt;&lt;authors&gt;&lt;author&gt;Zhang, L.&lt;/author&gt;&lt;author&gt;Yang, C. S.&lt;/author&gt;&lt;author&gt;Varelas, X.&lt;/author&gt;&lt;author&gt;Monti, S.&lt;/author&gt;&lt;/authors&gt;&lt;/contributors&gt;&lt;auth-address&gt;Computational Biomedicine, Boston University School of Medicine, Boston, 02118, MA, US.&amp;#xD;Department of Biochemistry, Boston University School of Medicine, Boston, 02118, MA, US.&lt;/auth-address&gt;&lt;titles&gt;&lt;title&gt;Altered RNA editing in 3&amp;apos; UTR perturbs microRNA-mediated regulation of oncogenes and tumor-suppressors&lt;/title&gt;&lt;secondary-title&gt;Sci Rep&lt;/secondary-title&gt;&lt;/titles&gt;&lt;periodical&gt;&lt;full-title&gt;Sci Rep&lt;/full-title&gt;&lt;/periodical&gt;&lt;pages&gt;23226&lt;/pages&gt;&lt;volume&gt;6&lt;/volume&gt;&lt;edition&gt;2016/03/17&lt;/edition&gt;&lt;keywords&gt;&lt;keyword&gt;*3&amp;apos; Untranslated Regions&lt;/keyword&gt;&lt;keyword&gt;Base Sequence&lt;/keyword&gt;&lt;keyword&gt;Binding Sites&lt;/keyword&gt;&lt;keyword&gt;Cell Line, Tumor&lt;/keyword&gt;&lt;keyword&gt;*Gene Expression Regulation, Neoplastic&lt;/keyword&gt;&lt;keyword&gt;Humans&lt;/keyword&gt;&lt;keyword&gt;MicroRNAs/*physiology&lt;/keyword&gt;&lt;keyword&gt;Oncogenes&lt;/keyword&gt;&lt;keyword&gt;Proto-Oncogene Proteins c-mdm2/genetics/metabolism&lt;/keyword&gt;&lt;keyword&gt;*RNA Editing&lt;/keyword&gt;&lt;keyword&gt;RNA Interference&lt;/keyword&gt;&lt;keyword&gt;Sequence Analysis, RNA&lt;/keyword&gt;&lt;keyword&gt;Tumor Suppressor Proteins/*genetics/metabolism&lt;/keyword&gt;&lt;/keywords&gt;&lt;dates&gt;&lt;year&gt;2016&lt;/year&gt;&lt;pub-dates&gt;&lt;date&gt;Mar 16&lt;/date&gt;&lt;/pub-dates&gt;&lt;/dates&gt;&lt;isbn&gt;2045-2322 (Electronic)&amp;#xD;2045-2322 (Linking)&lt;/isbn&gt;&lt;accession-num&gt;26980570&lt;/accession-num&gt;&lt;urls&gt;&lt;related-urls&gt;&lt;url&gt;https://www.ncbi.nlm.nih.gov/pubmed/26980570&lt;/url&gt;&lt;/related-urls&gt;&lt;/urls&gt;&lt;custom2&gt;PMC4793219&lt;/custom2&gt;&lt;electronic-resource-num&gt;10.1038/srep23226&lt;/electronic-resource-num&gt;&lt;/record&gt;&lt;/Cite&gt;&lt;/EndNote&gt;</w:instrText>
      </w:r>
      <w:r w:rsidR="00833962" w:rsidRPr="00774B2C">
        <w:rPr>
          <w:szCs w:val="24"/>
        </w:rPr>
        <w:fldChar w:fldCharType="separate"/>
      </w:r>
      <w:r w:rsidR="00833962" w:rsidRPr="00774B2C">
        <w:rPr>
          <w:noProof/>
          <w:szCs w:val="24"/>
          <w:vertAlign w:val="superscript"/>
        </w:rPr>
        <w:t>[25]</w:t>
      </w:r>
      <w:r w:rsidR="00833962" w:rsidRPr="00774B2C">
        <w:rPr>
          <w:szCs w:val="24"/>
        </w:rPr>
        <w:fldChar w:fldCharType="end"/>
      </w:r>
      <w:r w:rsidRPr="00774B2C">
        <w:rPr>
          <w:szCs w:val="24"/>
        </w:rPr>
        <w:t xml:space="preserve">. </w:t>
      </w:r>
      <w:proofErr w:type="gramStart"/>
      <w:r w:rsidRPr="00774B2C">
        <w:rPr>
          <w:szCs w:val="24"/>
        </w:rPr>
        <w:t>miR-1304</w:t>
      </w:r>
      <w:proofErr w:type="gramEnd"/>
      <w:r w:rsidRPr="00774B2C">
        <w:rPr>
          <w:szCs w:val="24"/>
        </w:rPr>
        <w:t xml:space="preserve"> is an important member of </w:t>
      </w:r>
      <w:r w:rsidR="002358EA">
        <w:rPr>
          <w:szCs w:val="24"/>
        </w:rPr>
        <w:t xml:space="preserve">the </w:t>
      </w:r>
      <w:proofErr w:type="spellStart"/>
      <w:r w:rsidRPr="00774B2C">
        <w:rPr>
          <w:szCs w:val="24"/>
        </w:rPr>
        <w:t>miR</w:t>
      </w:r>
      <w:proofErr w:type="spellEnd"/>
      <w:r w:rsidRPr="00774B2C">
        <w:rPr>
          <w:szCs w:val="24"/>
        </w:rPr>
        <w:t xml:space="preserve"> family. Previous studies have found that miR-1304 shows differential expression in patients with lung cancer, and can inhibit the growth of non-small cell lung cancer by regulating </w:t>
      </w:r>
      <w:proofErr w:type="spellStart"/>
      <w:r w:rsidRPr="00774B2C">
        <w:rPr>
          <w:szCs w:val="24"/>
        </w:rPr>
        <w:t>heme</w:t>
      </w:r>
      <w:proofErr w:type="spellEnd"/>
      <w:r w:rsidRPr="00774B2C">
        <w:rPr>
          <w:szCs w:val="24"/>
        </w:rPr>
        <w:t xml:space="preserve"> oxygenase-1</w:t>
      </w:r>
      <w:r w:rsidR="00833962" w:rsidRPr="00774B2C">
        <w:rPr>
          <w:szCs w:val="24"/>
        </w:rPr>
        <w:fldChar w:fldCharType="begin">
          <w:fldData xml:space="preserve">PEVuZE5vdGU+PENpdGU+PEF1dGhvcj5MaTwvQXV0aG9yPjxZZWFyPjIwMTc8L1llYXI+PFJlY051
bT4zODk3PC9SZWNOdW0+PERpc3BsYXlUZXh0PjxzdHlsZSBmYWNlPSJzdXBlcnNjcmlwdCI+WzI2
XTwvc3R5bGU+PC9EaXNwbGF5VGV4dD48cmVjb3JkPjxyZWMtbnVtYmVyPjM4OTc8L3JlYy1udW1i
ZXI+PGZvcmVpZ24ta2V5cz48a2V5IGFwcD0iRU4iIGRiLWlkPSJhZWF4OWZycjNzYTlyY2UycnBh
NXNlemR0ZDJwdjAwdzI5ejAiIHRpbWVzdGFtcD0iMTU3Nzg5NTQyNCI+Mzg5Nzwva2V5PjwvZm9y
ZWlnbi1rZXlzPjxyZWYtdHlwZSBuYW1lPSJKb3VybmFsIEFydGljbGUiPjE3PC9yZWYtdHlwZT48
Y29udHJpYnV0b3JzPjxhdXRob3JzPjxhdXRob3I+TGksIEMuIEcuPC9hdXRob3I+PGF1dGhvcj5Q
dSwgTS4gRi48L2F1dGhvcj48YXV0aG9yPkxpLCBDLiBaLjwvYXV0aG9yPjxhdXRob3I+R2FvLCBN
LjwvYXV0aG9yPjxhdXRob3I+TGl1LCBNLiBYLjwvYXV0aG9yPjxhdXRob3I+WXUsIEMuIFouPC9h
dXRob3I+PGF1dGhvcj5ZYW4sIEguPC9hdXRob3I+PGF1dGhvcj5QZW5nLCBDLjwvYXV0aG9yPjxh
dXRob3I+WmhhbywgWS48L2F1dGhvcj48YXV0aG9yPkxpLCBZLjwvYXV0aG9yPjxhdXRob3I+TWEs
IFouIEwuPC9hdXRob3I+PGF1dGhvcj5RaSwgWC4gTS48L2F1dGhvcj48YXV0aG9yPldhbmcsIFku
IFouPC9hdXRob3I+PGF1dGhvcj5NaWFvLCBMLiBMLjwvYXV0aG9yPjxhdXRob3I+UmVuLCBKLjwv
YXV0aG9yPjwvYXV0aG9ycz48L2NvbnRyaWJ1dG9ycz48YXV0aC1hZGRyZXNzPkNlbnRlciBmb3Ig
RHJ1ZyBTYWZldHkgRXZhbHVhdGlvbiBhbmQgUmVzZWFyY2gsIFN0YXRlIEtleSBMYWJvcmF0b3J5
IG9mIERydWcgUmVzZWFyY2gsIFNoYW5naGFpIEluc3RpdHV0ZSBvZiBNYXRlcmlhIE1lZGljYSwg
Q2hpbmVzZSBBY2FkZW15IG9mIFNjaWVuY2VzLCBTaGFuZ2hhaSAyMDEyMDMsIENoaW5hLiYjeEQ7
Q2VudGVyIGZvciBEcnVnIFNhZmV0eSBFdmFsdWF0aW9uIGFuZCBSZXNlYXJjaCwgU3RhdGUgS2V5
IExhYm9yYXRvcnkgb2YgRHJ1ZyBSZXNlYXJjaCwgU2hhbmdoYWkgSW5zdGl0dXRlIG9mIE1hdGVy
aWEgTWVkaWNhLCBVbml2ZXJzaXR5IG9mIENoaW5lc2UgQWNhZGVteSBvZiBTY2llbmNlcywgQmVp
amluZyAxMDAwNDksIENoaW5hLiYjeEQ7VGhlIEJyYWluIFNjaWVuY2UgQ2VudGVyLCBCZWlqaW5n
IEluc3RpdHV0ZSBvZiBCYXNpYyBNZWRpY2FsIFNjaWVuY2VzLCBCZWlqaW5nIDEwMDg1MCwgQ2hp
bmEuPC9hdXRoLWFkZHJlc3M+PHRpdGxlcz48dGl0bGU+TWljcm9STkEtMTMwNCBzdXBwcmVzc2Vz
IGh1bWFuIG5vbi1zbWFsbCBjZWxsIGx1bmcgY2FuY2VyIGNlbGwgZ3Jvd3RoIGluIHZpdHJvIGJ5
IHRhcmdldGluZyBoZW1lIG94eWdlbmFzZS0xPC90aXRsZT48c2Vjb25kYXJ5LXRpdGxlPkFjdGEg
UGhhcm1hY29sIFNpbjwvc2Vjb25kYXJ5LXRpdGxlPjwvdGl0bGVzPjxwZXJpb2RpY2FsPjxmdWxs
LXRpdGxlPkFjdGEgUGhhcm1hY29sIFNpbjwvZnVsbC10aXRsZT48L3BlcmlvZGljYWw+PHBhZ2Vz
PjExMC0xMTk8L3BhZ2VzPjx2b2x1bWU+Mzg8L3ZvbHVtZT48bnVtYmVyPjE8L251bWJlcj48ZWRp
dGlvbj4yMDE2LzA5LzIwPC9lZGl0aW9uPjxrZXl3b3Jkcz48a2V5d29yZD5BcG9wdG9zaXMvZHJ1
ZyBlZmZlY3RzPC9rZXl3b3JkPjxrZXl3b3JkPkNlbGwgQ3ljbGUgQ2hlY2twb2ludHMvZHJ1ZyBl
ZmZlY3RzPC9rZXl3b3JkPjxrZXl3b3JkPkNlbGwgTGluZSwgVHVtb3I8L2tleXdvcmQ+PGtleXdv
cmQ+Q2VsbCBQcm9saWZlcmF0aW9uLypkcnVnIGVmZmVjdHM8L2tleXdvcmQ+PGtleXdvcmQ+Q2Vs
bCBTdXJ2aXZhbC9kcnVnIGVmZmVjdHM8L2tleXdvcmQ+PGtleXdvcmQ+RG93bi1SZWd1bGF0aW9u
PC9rZXl3b3JkPjxrZXl3b3JkPkdlbmUgRXhwcmVzc2lvbiBSZWd1bGF0aW9uLCBOZW9wbGFzdGlj
LypkcnVnIGVmZmVjdHM8L2tleXdvcmQ+PGtleXdvcmQ+SGVtZSBPeHlnZW5hc2UtMS8qYW50YWdv
bmlzdHMgJmFtcDsgaW5oaWJpdG9ycy9tZXRhYm9saXNtPC9rZXl3b3JkPjxrZXl3b3JkPkhlbWlu
L3BoYXJtYWNvbG9neTwva2V5d29yZD48a2V5d29yZD5IdW1hbnM8L2tleXdvcmQ+PGtleXdvcmQ+
TWljcm9STkFzL2FudGFnb25pc3RzICZhbXA7IGluaGliaXRvcnMvKnBoYXJtYWNvbG9neTwva2V5
d29yZD48a2V5d29yZD5STkEsIFNtYWxsIEludGVyZmVyaW5nL3BoYXJtYWNvbG9neTwva2V5d29y
ZD48a2V5d29yZD5UdW1vciBTdGVtIENlbGwgQXNzYXk8L2tleXdvcmQ+PGtleXdvcmQ+VXAtUmVn
dWxhdGlvbjwva2V5d29yZD48L2tleXdvcmRzPjxkYXRlcz48eWVhcj4yMDE3PC95ZWFyPjxwdWIt
ZGF0ZXM+PGRhdGU+SmFuPC9kYXRlPjwvcHViLWRhdGVzPjwvZGF0ZXM+PGlzYm4+MTc0NS03MjU0
IChFbGVjdHJvbmljKSYjeEQ7MTY3MS00MDgzIChMaW5raW5nKTwvaXNibj48YWNjZXNzaW9uLW51
bT4yNzY0MTczNTwvYWNjZXNzaW9uLW51bT48dXJscz48cmVsYXRlZC11cmxzPjx1cmw+aHR0cHM6
Ly93d3cubmNiaS5ubG0ubmloLmdvdi9wdWJtZWQvMjc2NDE3MzU8L3VybD48L3JlbGF0ZWQtdXJs
cz48L3VybHM+PGN1c3RvbTI+UE1DNTIyMDU0ODwvY3VzdG9tMj48ZWxlY3Ryb25pYy1yZXNvdXJj
ZS1udW0+MTAuMTAzOC9hcHMuMjAxNi45MjwvZWxlY3Ryb25pYy1yZXNvdXJjZS1udW0+PC9yZWNv
cmQ+PC9DaXRlPjwvRW5kTm90ZT4A
</w:fldData>
        </w:fldChar>
      </w:r>
      <w:r w:rsidR="00833962" w:rsidRPr="00774B2C">
        <w:rPr>
          <w:szCs w:val="24"/>
        </w:rPr>
        <w:instrText xml:space="preserve"> ADDIN EN.CITE </w:instrText>
      </w:r>
      <w:r w:rsidR="00833962" w:rsidRPr="00774B2C">
        <w:rPr>
          <w:szCs w:val="24"/>
        </w:rPr>
        <w:fldChar w:fldCharType="begin">
          <w:fldData xml:space="preserve">PEVuZE5vdGU+PENpdGU+PEF1dGhvcj5MaTwvQXV0aG9yPjxZZWFyPjIwMTc8L1llYXI+PFJlY051
bT4zODk3PC9SZWNOdW0+PERpc3BsYXlUZXh0PjxzdHlsZSBmYWNlPSJzdXBlcnNjcmlwdCI+WzI2
XTwvc3R5bGU+PC9EaXNwbGF5VGV4dD48cmVjb3JkPjxyZWMtbnVtYmVyPjM4OTc8L3JlYy1udW1i
ZXI+PGZvcmVpZ24ta2V5cz48a2V5IGFwcD0iRU4iIGRiLWlkPSJhZWF4OWZycjNzYTlyY2UycnBh
NXNlemR0ZDJwdjAwdzI5ejAiIHRpbWVzdGFtcD0iMTU3Nzg5NTQyNCI+Mzg5Nzwva2V5PjwvZm9y
ZWlnbi1rZXlzPjxyZWYtdHlwZSBuYW1lPSJKb3VybmFsIEFydGljbGUiPjE3PC9yZWYtdHlwZT48
Y29udHJpYnV0b3JzPjxhdXRob3JzPjxhdXRob3I+TGksIEMuIEcuPC9hdXRob3I+PGF1dGhvcj5Q
dSwgTS4gRi48L2F1dGhvcj48YXV0aG9yPkxpLCBDLiBaLjwvYXV0aG9yPjxhdXRob3I+R2FvLCBN
LjwvYXV0aG9yPjxhdXRob3I+TGl1LCBNLiBYLjwvYXV0aG9yPjxhdXRob3I+WXUsIEMuIFouPC9h
dXRob3I+PGF1dGhvcj5ZYW4sIEguPC9hdXRob3I+PGF1dGhvcj5QZW5nLCBDLjwvYXV0aG9yPjxh
dXRob3I+WmhhbywgWS48L2F1dGhvcj48YXV0aG9yPkxpLCBZLjwvYXV0aG9yPjxhdXRob3I+TWEs
IFouIEwuPC9hdXRob3I+PGF1dGhvcj5RaSwgWC4gTS48L2F1dGhvcj48YXV0aG9yPldhbmcsIFku
IFouPC9hdXRob3I+PGF1dGhvcj5NaWFvLCBMLiBMLjwvYXV0aG9yPjxhdXRob3I+UmVuLCBKLjwv
YXV0aG9yPjwvYXV0aG9ycz48L2NvbnRyaWJ1dG9ycz48YXV0aC1hZGRyZXNzPkNlbnRlciBmb3Ig
RHJ1ZyBTYWZldHkgRXZhbHVhdGlvbiBhbmQgUmVzZWFyY2gsIFN0YXRlIEtleSBMYWJvcmF0b3J5
IG9mIERydWcgUmVzZWFyY2gsIFNoYW5naGFpIEluc3RpdHV0ZSBvZiBNYXRlcmlhIE1lZGljYSwg
Q2hpbmVzZSBBY2FkZW15IG9mIFNjaWVuY2VzLCBTaGFuZ2hhaSAyMDEyMDMsIENoaW5hLiYjeEQ7
Q2VudGVyIGZvciBEcnVnIFNhZmV0eSBFdmFsdWF0aW9uIGFuZCBSZXNlYXJjaCwgU3RhdGUgS2V5
IExhYm9yYXRvcnkgb2YgRHJ1ZyBSZXNlYXJjaCwgU2hhbmdoYWkgSW5zdGl0dXRlIG9mIE1hdGVy
aWEgTWVkaWNhLCBVbml2ZXJzaXR5IG9mIENoaW5lc2UgQWNhZGVteSBvZiBTY2llbmNlcywgQmVp
amluZyAxMDAwNDksIENoaW5hLiYjeEQ7VGhlIEJyYWluIFNjaWVuY2UgQ2VudGVyLCBCZWlqaW5n
IEluc3RpdHV0ZSBvZiBCYXNpYyBNZWRpY2FsIFNjaWVuY2VzLCBCZWlqaW5nIDEwMDg1MCwgQ2hp
bmEuPC9hdXRoLWFkZHJlc3M+PHRpdGxlcz48dGl0bGU+TWljcm9STkEtMTMwNCBzdXBwcmVzc2Vz
IGh1bWFuIG5vbi1zbWFsbCBjZWxsIGx1bmcgY2FuY2VyIGNlbGwgZ3Jvd3RoIGluIHZpdHJvIGJ5
IHRhcmdldGluZyBoZW1lIG94eWdlbmFzZS0xPC90aXRsZT48c2Vjb25kYXJ5LXRpdGxlPkFjdGEg
UGhhcm1hY29sIFNpbjwvc2Vjb25kYXJ5LXRpdGxlPjwvdGl0bGVzPjxwZXJpb2RpY2FsPjxmdWxs
LXRpdGxlPkFjdGEgUGhhcm1hY29sIFNpbjwvZnVsbC10aXRsZT48L3BlcmlvZGljYWw+PHBhZ2Vz
PjExMC0xMTk8L3BhZ2VzPjx2b2x1bWU+Mzg8L3ZvbHVtZT48bnVtYmVyPjE8L251bWJlcj48ZWRp
dGlvbj4yMDE2LzA5LzIwPC9lZGl0aW9uPjxrZXl3b3Jkcz48a2V5d29yZD5BcG9wdG9zaXMvZHJ1
ZyBlZmZlY3RzPC9rZXl3b3JkPjxrZXl3b3JkPkNlbGwgQ3ljbGUgQ2hlY2twb2ludHMvZHJ1ZyBl
ZmZlY3RzPC9rZXl3b3JkPjxrZXl3b3JkPkNlbGwgTGluZSwgVHVtb3I8L2tleXdvcmQ+PGtleXdv
cmQ+Q2VsbCBQcm9saWZlcmF0aW9uLypkcnVnIGVmZmVjdHM8L2tleXdvcmQ+PGtleXdvcmQ+Q2Vs
bCBTdXJ2aXZhbC9kcnVnIGVmZmVjdHM8L2tleXdvcmQ+PGtleXdvcmQ+RG93bi1SZWd1bGF0aW9u
PC9rZXl3b3JkPjxrZXl3b3JkPkdlbmUgRXhwcmVzc2lvbiBSZWd1bGF0aW9uLCBOZW9wbGFzdGlj
LypkcnVnIGVmZmVjdHM8L2tleXdvcmQ+PGtleXdvcmQ+SGVtZSBPeHlnZW5hc2UtMS8qYW50YWdv
bmlzdHMgJmFtcDsgaW5oaWJpdG9ycy9tZXRhYm9saXNtPC9rZXl3b3JkPjxrZXl3b3JkPkhlbWlu
L3BoYXJtYWNvbG9neTwva2V5d29yZD48a2V5d29yZD5IdW1hbnM8L2tleXdvcmQ+PGtleXdvcmQ+
TWljcm9STkFzL2FudGFnb25pc3RzICZhbXA7IGluaGliaXRvcnMvKnBoYXJtYWNvbG9neTwva2V5
d29yZD48a2V5d29yZD5STkEsIFNtYWxsIEludGVyZmVyaW5nL3BoYXJtYWNvbG9neTwva2V5d29y
ZD48a2V5d29yZD5UdW1vciBTdGVtIENlbGwgQXNzYXk8L2tleXdvcmQ+PGtleXdvcmQ+VXAtUmVn
dWxhdGlvbjwva2V5d29yZD48L2tleXdvcmRzPjxkYXRlcz48eWVhcj4yMDE3PC95ZWFyPjxwdWIt
ZGF0ZXM+PGRhdGU+SmFuPC9kYXRlPjwvcHViLWRhdGVzPjwvZGF0ZXM+PGlzYm4+MTc0NS03MjU0
IChFbGVjdHJvbmljKSYjeEQ7MTY3MS00MDgzIChMaW5raW5nKTwvaXNibj48YWNjZXNzaW9uLW51
bT4yNzY0MTczNTwvYWNjZXNzaW9uLW51bT48dXJscz48cmVsYXRlZC11cmxzPjx1cmw+aHR0cHM6
Ly93d3cubmNiaS5ubG0ubmloLmdvdi9wdWJtZWQvMjc2NDE3MzU8L3VybD48L3JlbGF0ZWQtdXJs
cz48L3VybHM+PGN1c3RvbTI+UE1DNTIyMDU0ODwvY3VzdG9tMj48ZWxlY3Ryb25pYy1yZXNvdXJj
ZS1udW0+MTAuMTAzOC9hcHMuMjAxNi45MjwvZWxlY3Ryb25pYy1yZXNvdXJjZS1udW0+PC9yZWNv
cmQ+PC9DaXRlPjwvRW5kTm90ZT4A
</w:fldData>
        </w:fldChar>
      </w:r>
      <w:r w:rsidR="00833962" w:rsidRPr="00774B2C">
        <w:rPr>
          <w:szCs w:val="24"/>
        </w:rPr>
        <w:instrText xml:space="preserve"> ADDIN EN.CITE.DATA </w:instrText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end"/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separate"/>
      </w:r>
      <w:r w:rsidR="00833962" w:rsidRPr="00774B2C">
        <w:rPr>
          <w:noProof/>
          <w:szCs w:val="24"/>
          <w:vertAlign w:val="superscript"/>
        </w:rPr>
        <w:t>[26]</w:t>
      </w:r>
      <w:r w:rsidR="00833962" w:rsidRPr="00774B2C">
        <w:rPr>
          <w:szCs w:val="24"/>
        </w:rPr>
        <w:fldChar w:fldCharType="end"/>
      </w:r>
      <w:r w:rsidRPr="00774B2C">
        <w:rPr>
          <w:szCs w:val="24"/>
        </w:rPr>
        <w:t xml:space="preserve">. However, there are few studies on esophageal carcinoma. </w:t>
      </w:r>
      <w:proofErr w:type="gramStart"/>
      <w:r w:rsidRPr="00774B2C">
        <w:rPr>
          <w:szCs w:val="24"/>
        </w:rPr>
        <w:t>miR-1304</w:t>
      </w:r>
      <w:proofErr w:type="gramEnd"/>
      <w:r w:rsidRPr="00774B2C">
        <w:rPr>
          <w:szCs w:val="24"/>
        </w:rPr>
        <w:t xml:space="preserve"> was </w:t>
      </w:r>
      <w:r w:rsidR="002358EA">
        <w:rPr>
          <w:szCs w:val="24"/>
        </w:rPr>
        <w:t xml:space="preserve">first </w:t>
      </w:r>
      <w:r w:rsidRPr="00774B2C">
        <w:rPr>
          <w:szCs w:val="24"/>
        </w:rPr>
        <w:t>found to be high</w:t>
      </w:r>
      <w:r w:rsidR="002358EA">
        <w:rPr>
          <w:szCs w:val="24"/>
        </w:rPr>
        <w:t>ly</w:t>
      </w:r>
      <w:r w:rsidRPr="00774B2C">
        <w:rPr>
          <w:szCs w:val="24"/>
        </w:rPr>
        <w:t xml:space="preserve"> express</w:t>
      </w:r>
      <w:r w:rsidR="002358EA">
        <w:rPr>
          <w:szCs w:val="24"/>
        </w:rPr>
        <w:t>ed</w:t>
      </w:r>
      <w:r w:rsidRPr="00774B2C">
        <w:rPr>
          <w:szCs w:val="24"/>
        </w:rPr>
        <w:t xml:space="preserve"> in patients with esophageal carcinoma based on TCGA, which indicated that miR-1304 </w:t>
      </w:r>
      <w:r w:rsidR="002358EA">
        <w:rPr>
          <w:szCs w:val="24"/>
        </w:rPr>
        <w:t>is</w:t>
      </w:r>
      <w:r w:rsidRPr="00774B2C">
        <w:rPr>
          <w:szCs w:val="24"/>
        </w:rPr>
        <w:t xml:space="preserve"> expected to become a potential diagnostic ind</w:t>
      </w:r>
      <w:r w:rsidR="00747895">
        <w:rPr>
          <w:szCs w:val="24"/>
        </w:rPr>
        <w:t xml:space="preserve">icator </w:t>
      </w:r>
      <w:r w:rsidRPr="00774B2C">
        <w:rPr>
          <w:szCs w:val="24"/>
        </w:rPr>
        <w:t xml:space="preserve">for esophageal carcinoma. Therefore, we conducted a clinical experiment, </w:t>
      </w:r>
      <w:r w:rsidR="002358EA">
        <w:rPr>
          <w:szCs w:val="24"/>
        </w:rPr>
        <w:t>to</w:t>
      </w:r>
      <w:r w:rsidRPr="00774B2C">
        <w:rPr>
          <w:szCs w:val="24"/>
        </w:rPr>
        <w:t xml:space="preserve"> determine</w:t>
      </w:r>
      <w:r w:rsidR="002358EA">
        <w:rPr>
          <w:szCs w:val="24"/>
        </w:rPr>
        <w:t xml:space="preserve"> if the</w:t>
      </w:r>
      <w:r w:rsidRPr="00774B2C">
        <w:rPr>
          <w:szCs w:val="24"/>
        </w:rPr>
        <w:t xml:space="preserve"> expression of miR-1304 in </w:t>
      </w:r>
      <w:r w:rsidR="002358EA">
        <w:rPr>
          <w:szCs w:val="24"/>
        </w:rPr>
        <w:t xml:space="preserve">the </w:t>
      </w:r>
      <w:r w:rsidRPr="00774B2C">
        <w:rPr>
          <w:szCs w:val="24"/>
        </w:rPr>
        <w:t xml:space="preserve">serum and tissues of patients was the same as that in the database; the expression of miR-1304 in tissues was positively correlated with that in serum, and </w:t>
      </w:r>
      <w:r w:rsidR="002358EA">
        <w:rPr>
          <w:szCs w:val="24"/>
        </w:rPr>
        <w:t xml:space="preserve">the </w:t>
      </w:r>
      <w:r w:rsidRPr="00774B2C">
        <w:rPr>
          <w:szCs w:val="24"/>
        </w:rPr>
        <w:t xml:space="preserve">AUC of expression in the ROC curve was </w:t>
      </w:r>
      <w:r w:rsidR="002358EA">
        <w:rPr>
          <w:szCs w:val="24"/>
        </w:rPr>
        <w:t>greater</w:t>
      </w:r>
      <w:r w:rsidRPr="00774B2C">
        <w:rPr>
          <w:szCs w:val="24"/>
        </w:rPr>
        <w:t xml:space="preserve"> than 0.9. </w:t>
      </w:r>
      <w:r w:rsidR="002358EA">
        <w:rPr>
          <w:szCs w:val="24"/>
        </w:rPr>
        <w:t>This</w:t>
      </w:r>
      <w:r w:rsidRPr="00774B2C">
        <w:rPr>
          <w:szCs w:val="24"/>
        </w:rPr>
        <w:t xml:space="preserve"> further confirmed the role of miR-1304 in esophageal carcinoma, and indicated that miR-1304 could be a potential diagnostic ind</w:t>
      </w:r>
      <w:r w:rsidR="00747895">
        <w:rPr>
          <w:szCs w:val="24"/>
        </w:rPr>
        <w:t>icator</w:t>
      </w:r>
      <w:r w:rsidRPr="00774B2C">
        <w:rPr>
          <w:szCs w:val="24"/>
        </w:rPr>
        <w:t xml:space="preserve"> for esophageal carcinoma. Moreover, we analyzed the correlation between high and low expression of miR-1304 and pathological data, </w:t>
      </w:r>
      <w:r w:rsidR="002358EA">
        <w:rPr>
          <w:szCs w:val="24"/>
        </w:rPr>
        <w:t>and found</w:t>
      </w:r>
      <w:r w:rsidRPr="00774B2C">
        <w:rPr>
          <w:szCs w:val="24"/>
        </w:rPr>
        <w:t xml:space="preserve"> that patients with high expression of miR-1304 </w:t>
      </w:r>
      <w:r w:rsidR="002358EA">
        <w:rPr>
          <w:szCs w:val="24"/>
        </w:rPr>
        <w:t>had</w:t>
      </w:r>
      <w:r w:rsidRPr="00774B2C">
        <w:rPr>
          <w:szCs w:val="24"/>
        </w:rPr>
        <w:t xml:space="preserve"> significantly higher rates of tumor size </w:t>
      </w:r>
      <w:r w:rsidR="005D3A57">
        <w:rPr>
          <w:szCs w:val="24"/>
        </w:rPr>
        <w:t>≥</w:t>
      </w:r>
      <w:r w:rsidR="005D3A57">
        <w:rPr>
          <w:rFonts w:hint="cs"/>
          <w:szCs w:val="24"/>
          <w:cs/>
        </w:rPr>
        <w:t xml:space="preserve"> </w:t>
      </w:r>
      <w:r w:rsidRPr="00774B2C">
        <w:rPr>
          <w:szCs w:val="24"/>
        </w:rPr>
        <w:t>3</w:t>
      </w:r>
      <w:r w:rsidR="007C797C">
        <w:rPr>
          <w:szCs w:val="24"/>
        </w:rPr>
        <w:t xml:space="preserve"> </w:t>
      </w:r>
      <w:r w:rsidRPr="00774B2C">
        <w:rPr>
          <w:szCs w:val="24"/>
        </w:rPr>
        <w:t xml:space="preserve">cm, low differentiation, and </w:t>
      </w:r>
      <w:r w:rsidR="00C67538">
        <w:rPr>
          <w:szCs w:val="24"/>
        </w:rPr>
        <w:t xml:space="preserve">stage </w:t>
      </w:r>
      <w:r w:rsidRPr="00774B2C">
        <w:rPr>
          <w:szCs w:val="24"/>
        </w:rPr>
        <w:t>II</w:t>
      </w:r>
      <w:r w:rsidR="005D3A57">
        <w:rPr>
          <w:szCs w:val="24"/>
        </w:rPr>
        <w:t xml:space="preserve"> </w:t>
      </w:r>
      <w:r w:rsidRPr="00774B2C">
        <w:rPr>
          <w:szCs w:val="24"/>
        </w:rPr>
        <w:t>+</w:t>
      </w:r>
      <w:r w:rsidR="005D3A57">
        <w:rPr>
          <w:szCs w:val="24"/>
        </w:rPr>
        <w:t xml:space="preserve"> </w:t>
      </w:r>
      <w:r w:rsidRPr="00774B2C">
        <w:rPr>
          <w:szCs w:val="24"/>
        </w:rPr>
        <w:t xml:space="preserve">III </w:t>
      </w:r>
      <w:r w:rsidR="00C67538">
        <w:rPr>
          <w:szCs w:val="24"/>
        </w:rPr>
        <w:t>disease</w:t>
      </w:r>
      <w:r w:rsidRPr="00774B2C">
        <w:rPr>
          <w:szCs w:val="24"/>
        </w:rPr>
        <w:t>, and the expression of miR-1304 had certain diagnostic value.</w:t>
      </w:r>
    </w:p>
    <w:p w14:paraId="05BB01A2" w14:textId="545DA6FD" w:rsidR="00483403" w:rsidRPr="00774B2C" w:rsidRDefault="00483403" w:rsidP="005D3A57">
      <w:pPr>
        <w:adjustRightInd w:val="0"/>
        <w:snapToGrid w:val="0"/>
        <w:ind w:firstLineChars="100" w:firstLine="240"/>
        <w:rPr>
          <w:rFonts w:eastAsia="楷体"/>
          <w:szCs w:val="24"/>
        </w:rPr>
      </w:pPr>
      <w:r w:rsidRPr="00774B2C">
        <w:rPr>
          <w:szCs w:val="24"/>
        </w:rPr>
        <w:t xml:space="preserve">At present, the best treatment for esophageal carcinoma is radical resection, which can effectively improve the prognosis of patients to a certain extent together with postoperative radiotherapy and </w:t>
      </w:r>
      <w:proofErr w:type="gramStart"/>
      <w:r w:rsidRPr="00774B2C">
        <w:rPr>
          <w:szCs w:val="24"/>
        </w:rPr>
        <w:t>chemotherapy</w:t>
      </w:r>
      <w:proofErr w:type="gramEnd"/>
      <w:r w:rsidR="00833962" w:rsidRPr="00774B2C">
        <w:rPr>
          <w:szCs w:val="24"/>
        </w:rPr>
        <w:fldChar w:fldCharType="begin">
          <w:fldData xml:space="preserve">PEVuZE5vdGU+PENpdGU+PEF1dGhvcj5QYXNxdWFsaTwvQXV0aG9yPjxZZWFyPjIwMTc8L1llYXI+
PFJlY051bT4zODk4PC9SZWNOdW0+PERpc3BsYXlUZXh0PjxzdHlsZSBmYWNlPSJzdXBlcnNjcmlw
dCI+WzI3XTwvc3R5bGU+PC9EaXNwbGF5VGV4dD48cmVjb3JkPjxyZWMtbnVtYmVyPjM4OTg8L3Jl
Yy1udW1iZXI+PGZvcmVpZ24ta2V5cz48a2V5IGFwcD0iRU4iIGRiLWlkPSJhZWF4OWZycjNzYTly
Y2UycnBhNXNlemR0ZDJwdjAwdzI5ejAiIHRpbWVzdGFtcD0iMTU3Nzg5NTQ1MiI+Mzg5ODwva2V5
PjwvZm9yZWlnbi1rZXlzPjxyZWYtdHlwZSBuYW1lPSJKb3VybmFsIEFydGljbGUiPjE3PC9yZWYt
dHlwZT48Y29udHJpYnV0b3JzPjxhdXRob3JzPjxhdXRob3I+UGFzcXVhbGksIFMuPC9hdXRob3I+
PGF1dGhvcj5ZaW0sIEcuPC9hdXRob3I+PGF1dGhvcj5Wb2hyYSwgUi4gUy48L2F1dGhvcj48YXV0
aG9yPk1vY2VsbGluLCBTLjwvYXV0aG9yPjxhdXRob3I+TnlhbmhvbmdvLCBELjwvYXV0aG9yPjxh
dXRob3I+TWFycmlvdHQsIFAuPC9hdXRob3I+PGF1dGhvcj5HZWgsIEouIEkuPC9hdXRob3I+PGF1
dGhvcj5HcmlmZml0aHMsIEUuIEEuPC9hdXRob3I+PC9hdXRob3JzPjwvY29udHJpYnV0b3JzPjxh
dXRoLWFkZHJlc3M+KlN1cmdpY2FsIE9uY29sb2d5IFVuaXQsIFZlbmV0byBJbnN0aXR1dGUgb2Yg
T25jb2xvZ3kgSU9WLUlSQ0NTLCBQYWRvdmEsIEl0YWx5IGRhZ2dlckRlcGFydG1lbnQgb2YgVXBw
ZXIgR2FzdHJvaW50ZXN0aW5hbCBTdXJnZXJ5LCBVbml2ZXJzaXR5IEhvc3BpdGFscyBCaXJtaW5n
aGFtIE5IUyBGb3VuZGF0aW9uIFRydXN0LCBCaXJtaW5naGFtLCBVSyBkb3VibGUgZGFnZ2VyTm90
dGluZ2hhbSBPZXNvcGhhZ28tR2FzdHJpYyBVbml0LCBOb3R0aW5naGFtIFVuaXZlcnNpdHkgSG9z
cGl0YWxzIE5IUyBGb3VuZGF0aW9uIFRydXN0LCBOb3R0aW5naGFtLCBVSyBzZWN0aW9uIHNpZ25E
ZXBhcnRtZW50IG9mIFN1cmdlcnksIE9uY29sb2d5IGFuZCBHYXN0cm9lbnRlcm9sb2d5LCBVbml2
ZXJzaXR5IG9mIFBhZG92YSwgUGFkb3ZhLCBJdGFseSBwYXJhZ3JhcGggc2lnblRoZSBDYW5jZXIg
Q2VudHJlLCBVbml2ZXJzaXR5IEhvc3BpdGFscyBCaXJtaW5naGFtIE5IUyBGb3VuZGF0aW9uIFRy
dXN0LCBCaXJtaW5naGFtLCBVSy48L2F1dGgtYWRkcmVzcz48dGl0bGVzPjx0aXRsZT5TdXJ2aXZh
bCBBZnRlciBOZW9hZGp1dmFudCBhbmQgQWRqdXZhbnQgVHJlYXRtZW50cyBDb21wYXJlZCB0byBT
dXJnZXJ5IEFsb25lIGZvciBSZXNlY3RhYmxlIEVzb3BoYWdlYWwgQ2FyY2lub21hOiBBIE5ldHdv
cmsgTWV0YS1hbmFseXNpczwvdGl0bGU+PHNlY29uZGFyeS10aXRsZT5Bbm4gU3VyZzwvc2Vjb25k
YXJ5LXRpdGxlPjwvdGl0bGVzPjxwZXJpb2RpY2FsPjxmdWxsLXRpdGxlPkFubiBTdXJnPC9mdWxs
LXRpdGxlPjwvcGVyaW9kaWNhbD48cGFnZXM+NDgxLTQ5MTwvcGFnZXM+PHZvbHVtZT4yNjU8L3Zv
bHVtZT48bnVtYmVyPjM8L251bWJlcj48ZWRpdGlvbj4yMDE2LzA3LzE5PC9lZGl0aW9uPjxrZXl3
b3Jkcz48a2V5d29yZD5DYXJjaW5vbWEsIFNxdWFtb3VzIENlbGwvKm1vcnRhbGl0eS9wYXRob2xv
Z3kvdGhlcmFweTwva2V5d29yZD48a2V5d29yZD5DaGVtb3RoZXJhcHksIEFkanV2YW50L21vcnRh
bGl0eTwva2V5d29yZD48a2V5d29yZD5EaXNlYXNlLUZyZWUgU3Vydml2YWw8L2tleXdvcmQ+PGtl
eXdvcmQ+RXNvcGhhZ2VhbCBOZW9wbGFzbXMvKm1vcnRhbGl0eS9wYXRob2xvZ3kvKnRoZXJhcHk8
L2tleXdvcmQ+PGtleXdvcmQ+RXNvcGhhZ2VjdG9teS9tZXRob2RzLyptb3J0YWxpdHk8L2tleXdv
cmQ+PGtleXdvcmQ+RmVtYWxlPC9rZXl3b3JkPjxrZXl3b3JkPkh1bWFuczwva2V5d29yZD48a2V5
d29yZD5NYWxlPC9rZXl3b3JkPjxrZXl3b3JkPk5lb2FkanV2YW50IFRoZXJhcHkvKm1vcnRhbGl0
eTwva2V5d29yZD48a2V5d29yZD5OZXR3b3JrIE1ldGEtQW5hbHlzaXM8L2tleXdvcmQ+PGtleXdv
cmQ+UHJvZ25vc2lzPC9rZXl3b3JkPjxrZXl3b3JkPlJhZGlvdGhlcmFweSwgQWRqdXZhbnQvbW9y
dGFsaXR5PC9rZXl3b3JkPjxrZXl3b3JkPlJhbmRvbWl6ZWQgQ29udHJvbGxlZCBUcmlhbHMgYXMg
VG9waWM8L2tleXdvcmQ+PGtleXdvcmQ+UmlzayBBc3Nlc3NtZW50PC9rZXl3b3JkPjxrZXl3b3Jk
PlN1cnZpdmFsIEFuYWx5c2lzPC9rZXl3b3JkPjwva2V5d29yZHM+PGRhdGVzPjx5ZWFyPjIwMTc8
L3llYXI+PHB1Yi1kYXRlcz48ZGF0ZT5NYXI8L2RhdGU+PC9wdWItZGF0ZXM+PC9kYXRlcz48aXNi
bj4xNTI4LTExNDAgKEVsZWN0cm9uaWMpJiN4RDswMDAzLTQ5MzIgKExpbmtpbmcpPC9pc2JuPjxh
Y2Nlc3Npb24tbnVtPjI3NDI5MDE3PC9hY2Nlc3Npb24tbnVtPjx1cmxzPjxyZWxhdGVkLXVybHM+
PHVybD5odHRwczovL3d3dy5uY2JpLm5sbS5uaWguZ292L3B1Ym1lZC8yNzQyOTAxNzwvdXJsPjwv
cmVsYXRlZC11cmxzPjwvdXJscz48ZWxlY3Ryb25pYy1yZXNvdXJjZS1udW0+MTAuMTA5Ny9TTEEu
MDAwMDAwMDAwMDAwMTkwNTwvZWxlY3Ryb25pYy1yZXNvdXJjZS1udW0+PC9yZWNvcmQ+PC9DaXRl
PjwvRW5kTm90ZT5=
</w:fldData>
        </w:fldChar>
      </w:r>
      <w:r w:rsidR="00833962" w:rsidRPr="00774B2C">
        <w:rPr>
          <w:szCs w:val="24"/>
        </w:rPr>
        <w:instrText xml:space="preserve"> ADDIN EN.CITE </w:instrText>
      </w:r>
      <w:r w:rsidR="00833962" w:rsidRPr="00774B2C">
        <w:rPr>
          <w:szCs w:val="24"/>
        </w:rPr>
        <w:fldChar w:fldCharType="begin">
          <w:fldData xml:space="preserve">PEVuZE5vdGU+PENpdGU+PEF1dGhvcj5QYXNxdWFsaTwvQXV0aG9yPjxZZWFyPjIwMTc8L1llYXI+
PFJlY051bT4zODk4PC9SZWNOdW0+PERpc3BsYXlUZXh0PjxzdHlsZSBmYWNlPSJzdXBlcnNjcmlw
dCI+WzI3XTwvc3R5bGU+PC9EaXNwbGF5VGV4dD48cmVjb3JkPjxyZWMtbnVtYmVyPjM4OTg8L3Jl
Yy1udW1iZXI+PGZvcmVpZ24ta2V5cz48a2V5IGFwcD0iRU4iIGRiLWlkPSJhZWF4OWZycjNzYTly
Y2UycnBhNXNlemR0ZDJwdjAwdzI5ejAiIHRpbWVzdGFtcD0iMTU3Nzg5NTQ1MiI+Mzg5ODwva2V5
PjwvZm9yZWlnbi1rZXlzPjxyZWYtdHlwZSBuYW1lPSJKb3VybmFsIEFydGljbGUiPjE3PC9yZWYt
dHlwZT48Y29udHJpYnV0b3JzPjxhdXRob3JzPjxhdXRob3I+UGFzcXVhbGksIFMuPC9hdXRob3I+
PGF1dGhvcj5ZaW0sIEcuPC9hdXRob3I+PGF1dGhvcj5Wb2hyYSwgUi4gUy48L2F1dGhvcj48YXV0
aG9yPk1vY2VsbGluLCBTLjwvYXV0aG9yPjxhdXRob3I+TnlhbmhvbmdvLCBELjwvYXV0aG9yPjxh
dXRob3I+TWFycmlvdHQsIFAuPC9hdXRob3I+PGF1dGhvcj5HZWgsIEouIEkuPC9hdXRob3I+PGF1
dGhvcj5HcmlmZml0aHMsIEUuIEEuPC9hdXRob3I+PC9hdXRob3JzPjwvY29udHJpYnV0b3JzPjxh
dXRoLWFkZHJlc3M+KlN1cmdpY2FsIE9uY29sb2d5IFVuaXQsIFZlbmV0byBJbnN0aXR1dGUgb2Yg
T25jb2xvZ3kgSU9WLUlSQ0NTLCBQYWRvdmEsIEl0YWx5IGRhZ2dlckRlcGFydG1lbnQgb2YgVXBw
ZXIgR2FzdHJvaW50ZXN0aW5hbCBTdXJnZXJ5LCBVbml2ZXJzaXR5IEhvc3BpdGFscyBCaXJtaW5n
aGFtIE5IUyBGb3VuZGF0aW9uIFRydXN0LCBCaXJtaW5naGFtLCBVSyBkb3VibGUgZGFnZ2VyTm90
dGluZ2hhbSBPZXNvcGhhZ28tR2FzdHJpYyBVbml0LCBOb3R0aW5naGFtIFVuaXZlcnNpdHkgSG9z
cGl0YWxzIE5IUyBGb3VuZGF0aW9uIFRydXN0LCBOb3R0aW5naGFtLCBVSyBzZWN0aW9uIHNpZ25E
ZXBhcnRtZW50IG9mIFN1cmdlcnksIE9uY29sb2d5IGFuZCBHYXN0cm9lbnRlcm9sb2d5LCBVbml2
ZXJzaXR5IG9mIFBhZG92YSwgUGFkb3ZhLCBJdGFseSBwYXJhZ3JhcGggc2lnblRoZSBDYW5jZXIg
Q2VudHJlLCBVbml2ZXJzaXR5IEhvc3BpdGFscyBCaXJtaW5naGFtIE5IUyBGb3VuZGF0aW9uIFRy
dXN0LCBCaXJtaW5naGFtLCBVSy48L2F1dGgtYWRkcmVzcz48dGl0bGVzPjx0aXRsZT5TdXJ2aXZh
bCBBZnRlciBOZW9hZGp1dmFudCBhbmQgQWRqdXZhbnQgVHJlYXRtZW50cyBDb21wYXJlZCB0byBT
dXJnZXJ5IEFsb25lIGZvciBSZXNlY3RhYmxlIEVzb3BoYWdlYWwgQ2FyY2lub21hOiBBIE5ldHdv
cmsgTWV0YS1hbmFseXNpczwvdGl0bGU+PHNlY29uZGFyeS10aXRsZT5Bbm4gU3VyZzwvc2Vjb25k
YXJ5LXRpdGxlPjwvdGl0bGVzPjxwZXJpb2RpY2FsPjxmdWxsLXRpdGxlPkFubiBTdXJnPC9mdWxs
LXRpdGxlPjwvcGVyaW9kaWNhbD48cGFnZXM+NDgxLTQ5MTwvcGFnZXM+PHZvbHVtZT4yNjU8L3Zv
bHVtZT48bnVtYmVyPjM8L251bWJlcj48ZWRpdGlvbj4yMDE2LzA3LzE5PC9lZGl0aW9uPjxrZXl3
b3Jkcz48a2V5d29yZD5DYXJjaW5vbWEsIFNxdWFtb3VzIENlbGwvKm1vcnRhbGl0eS9wYXRob2xv
Z3kvdGhlcmFweTwva2V5d29yZD48a2V5d29yZD5DaGVtb3RoZXJhcHksIEFkanV2YW50L21vcnRh
bGl0eTwva2V5d29yZD48a2V5d29yZD5EaXNlYXNlLUZyZWUgU3Vydml2YWw8L2tleXdvcmQ+PGtl
eXdvcmQ+RXNvcGhhZ2VhbCBOZW9wbGFzbXMvKm1vcnRhbGl0eS9wYXRob2xvZ3kvKnRoZXJhcHk8
L2tleXdvcmQ+PGtleXdvcmQ+RXNvcGhhZ2VjdG9teS9tZXRob2RzLyptb3J0YWxpdHk8L2tleXdv
cmQ+PGtleXdvcmQ+RmVtYWxlPC9rZXl3b3JkPjxrZXl3b3JkPkh1bWFuczwva2V5d29yZD48a2V5
d29yZD5NYWxlPC9rZXl3b3JkPjxrZXl3b3JkPk5lb2FkanV2YW50IFRoZXJhcHkvKm1vcnRhbGl0
eTwva2V5d29yZD48a2V5d29yZD5OZXR3b3JrIE1ldGEtQW5hbHlzaXM8L2tleXdvcmQ+PGtleXdv
cmQ+UHJvZ25vc2lzPC9rZXl3b3JkPjxrZXl3b3JkPlJhZGlvdGhlcmFweSwgQWRqdXZhbnQvbW9y
dGFsaXR5PC9rZXl3b3JkPjxrZXl3b3JkPlJhbmRvbWl6ZWQgQ29udHJvbGxlZCBUcmlhbHMgYXMg
VG9waWM8L2tleXdvcmQ+PGtleXdvcmQ+UmlzayBBc3Nlc3NtZW50PC9rZXl3b3JkPjxrZXl3b3Jk
PlN1cnZpdmFsIEFuYWx5c2lzPC9rZXl3b3JkPjwva2V5d29yZHM+PGRhdGVzPjx5ZWFyPjIwMTc8
L3llYXI+PHB1Yi1kYXRlcz48ZGF0ZT5NYXI8L2RhdGU+PC9wdWItZGF0ZXM+PC9kYXRlcz48aXNi
bj4xNTI4LTExNDAgKEVsZWN0cm9uaWMpJiN4RDswMDAzLTQ5MzIgKExpbmtpbmcpPC9pc2JuPjxh
Y2Nlc3Npb24tbnVtPjI3NDI5MDE3PC9hY2Nlc3Npb24tbnVtPjx1cmxzPjxyZWxhdGVkLXVybHM+
PHVybD5odHRwczovL3d3dy5uY2JpLm5sbS5uaWguZ292L3B1Ym1lZC8yNzQyOTAxNzwvdXJsPjwv
cmVsYXRlZC11cmxzPjwvdXJscz48ZWxlY3Ryb25pYy1yZXNvdXJjZS1udW0+MTAuMTA5Ny9TTEEu
MDAwMDAwMDAwMDAwMTkwNTwvZWxlY3Ryb25pYy1yZXNvdXJjZS1udW0+PC9yZWNvcmQ+PC9DaXRl
PjwvRW5kTm90ZT5=
</w:fldData>
        </w:fldChar>
      </w:r>
      <w:r w:rsidR="00833962" w:rsidRPr="00774B2C">
        <w:rPr>
          <w:szCs w:val="24"/>
        </w:rPr>
        <w:instrText xml:space="preserve"> ADDIN EN.CITE.DATA </w:instrText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end"/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separate"/>
      </w:r>
      <w:r w:rsidR="00833962" w:rsidRPr="00774B2C">
        <w:rPr>
          <w:noProof/>
          <w:szCs w:val="24"/>
          <w:vertAlign w:val="superscript"/>
        </w:rPr>
        <w:t>[27]</w:t>
      </w:r>
      <w:r w:rsidR="00833962" w:rsidRPr="00774B2C">
        <w:rPr>
          <w:szCs w:val="24"/>
        </w:rPr>
        <w:fldChar w:fldCharType="end"/>
      </w:r>
      <w:r w:rsidRPr="00774B2C">
        <w:rPr>
          <w:szCs w:val="24"/>
        </w:rPr>
        <w:t xml:space="preserve">. However, treatment </w:t>
      </w:r>
      <w:r w:rsidR="00C67538">
        <w:rPr>
          <w:szCs w:val="24"/>
        </w:rPr>
        <w:t>of</w:t>
      </w:r>
      <w:r w:rsidRPr="00774B2C">
        <w:rPr>
          <w:szCs w:val="24"/>
        </w:rPr>
        <w:t xml:space="preserve"> patients with esophageal carcinoma is prone to failure due to </w:t>
      </w:r>
      <w:proofErr w:type="spellStart"/>
      <w:r w:rsidRPr="00774B2C">
        <w:rPr>
          <w:szCs w:val="24"/>
        </w:rPr>
        <w:t>micrometastasis</w:t>
      </w:r>
      <w:proofErr w:type="spellEnd"/>
      <w:r w:rsidRPr="00774B2C">
        <w:rPr>
          <w:szCs w:val="24"/>
        </w:rPr>
        <w:t xml:space="preserve"> of some lesions and limit</w:t>
      </w:r>
      <w:r w:rsidR="00C67538">
        <w:rPr>
          <w:szCs w:val="24"/>
        </w:rPr>
        <w:t>ed</w:t>
      </w:r>
      <w:r w:rsidRPr="00774B2C">
        <w:rPr>
          <w:szCs w:val="24"/>
        </w:rPr>
        <w:t xml:space="preserve"> lymph node dissection</w:t>
      </w:r>
      <w:r w:rsidR="00C67538">
        <w:rPr>
          <w:szCs w:val="24"/>
        </w:rPr>
        <w:t>;</w:t>
      </w:r>
      <w:r w:rsidRPr="00774B2C">
        <w:rPr>
          <w:szCs w:val="24"/>
        </w:rPr>
        <w:t xml:space="preserve"> thus</w:t>
      </w:r>
      <w:r w:rsidR="00C67538">
        <w:rPr>
          <w:szCs w:val="24"/>
        </w:rPr>
        <w:t>,</w:t>
      </w:r>
      <w:r w:rsidRPr="00774B2C">
        <w:rPr>
          <w:szCs w:val="24"/>
        </w:rPr>
        <w:t xml:space="preserve"> resulting in local regional recurrence or distal </w:t>
      </w:r>
      <w:proofErr w:type="gramStart"/>
      <w:r w:rsidRPr="00774B2C">
        <w:rPr>
          <w:szCs w:val="24"/>
        </w:rPr>
        <w:t>metastasis</w:t>
      </w:r>
      <w:proofErr w:type="gramEnd"/>
      <w:r w:rsidR="00833962" w:rsidRPr="00774B2C">
        <w:rPr>
          <w:szCs w:val="24"/>
        </w:rPr>
        <w:fldChar w:fldCharType="begin">
          <w:fldData xml:space="preserve">PEVuZE5vdGU+PENpdGU+PEF1dGhvcj5IaXlvc2hpPC9BdXRob3I+PFllYXI+MjAxNTwvWWVhcj48
UmVjTnVtPjM4OTk8L1JlY051bT48RGlzcGxheVRleHQ+PHN0eWxlIGZhY2U9InN1cGVyc2NyaXB0
Ij5bMjhdPC9zdHlsZT48L0Rpc3BsYXlUZXh0PjxyZWNvcmQ+PHJlYy1udW1iZXI+Mzg5OTwvcmVj
LW51bWJlcj48Zm9yZWlnbi1rZXlzPjxrZXkgYXBwPSJFTiIgZGItaWQ9ImFlYXg5ZnJyM3NhOXJj
ZTJycGE1c2V6ZHRkMnB2MDB3Mjl6MCIgdGltZXN0YW1wPSIxNTc3ODk1NDc4Ij4zODk5PC9rZXk+
PC9mb3JlaWduLWtleXM+PHJlZi10eXBlIG5hbWU9IkpvdXJuYWwgQXJ0aWNsZSI+MTc8L3JlZi10
eXBlPjxjb250cmlidXRvcnM+PGF1dGhvcnM+PGF1dGhvcj5IaXlvc2hpLCBZLjwvYXV0aG9yPjxh
dXRob3I+TW9yaXRhLCBNLjwvYXV0aG9yPjxhdXRob3I+S2F3YW5vLCBILjwvYXV0aG9yPjxhdXRo
b3I+T3RzdSwgSC48L2F1dGhvcj48YXV0aG9yPkFuZG8sIEsuPC9hdXRob3I+PGF1dGhvcj5JdG8s
IFMuPC9hdXRob3I+PGF1dGhvcj5NaXlhbW90bywgWS48L2F1dGhvcj48YXV0aG9yPlNha2Ftb3Rv
LCBZLjwvYXV0aG9yPjxhdXRob3I+U2Fla2ksIEguPC9hdXRob3I+PGF1dGhvcj5Pa2ksIEUuPC9h
dXRob3I+PGF1dGhvcj5Ja2VkYSwgVC48L2F1dGhvcj48YXV0aG9yPkJhYmEsIEguPC9hdXRob3I+
PGF1dGhvcj5NYWVoYXJhLCBZLjwvYXV0aG9yPjwvYXV0aG9ycz48L2NvbnRyaWJ1dG9ycz48YXV0
aC1hZGRyZXNzPkRlcGFydG1lbnQgb2YgU3VyZ2VyeSBhbmQgU2NpZW5jZSwgR3JhZHVhdGUgU2No
b29sIG9mIE1lZGljYWwgU2NpZW5jZXMsIEt5dXNodSBVbml2ZXJzaXR5LCBGdWt1b2thLCBKYXBh
bi48L2F1dGgtYWRkcmVzcz48dGl0bGVzPjx0aXRsZT5DbGluaWNhbCBzaWduaWZpY2FuY2Ugb2Yg
c3VyZ2ljYWwgcmVzZWN0aW9uIGZvciB0aGUgcmVjdXJyZW5jZSBvZiBlc29waGFnZWFsIGNhbmNl
ciBhZnRlciByYWRpY2FsIGVzb3BoYWdlY3RvbXk8L3RpdGxlPjxzZWNvbmRhcnktdGl0bGU+QW5u
IFN1cmcgT25jb2w8L3NlY29uZGFyeS10aXRsZT48L3RpdGxlcz48cGVyaW9kaWNhbD48ZnVsbC10
aXRsZT5Bbm4gU3VyZyBPbmNvbDwvZnVsbC10aXRsZT48L3BlcmlvZGljYWw+PHBhZ2VzPjI0MC02
PC9wYWdlcz48dm9sdW1lPjIyPC92b2x1bWU+PG51bWJlcj4xPC9udW1iZXI+PGVkaXRpb24+MjAx
NC8wOC8xNjwvZWRpdGlvbj48a2V5d29yZHM+PGtleXdvcmQ+QWR1bHQ8L2tleXdvcmQ+PGtleXdv
cmQ+QWdlZDwva2V5d29yZD48a2V5d29yZD5BZ2VkLCA4MCBhbmQgb3Zlcjwva2V5d29yZD48a2V5
d29yZD5Db21iaW5lZCBNb2RhbGl0eSBUaGVyYXB5PC9rZXl3b3JkPjxrZXl3b3JkPkVzb3BoYWdl
YWwgTmVvcGxhc21zL21vcnRhbGl0eS9wYXRob2xvZ3kvKnN1cmdlcnk8L2tleXdvcmQ+PGtleXdv
cmQ+RXNvcGhhZ2VjdG9teS8qbW9ydGFsaXR5PC9rZXl3b3JkPjxrZXl3b3JkPkZlbWFsZTwva2V5
d29yZD48a2V5d29yZD5Gb2xsb3ctVXAgU3R1ZGllczwva2V5d29yZD48a2V5d29yZD5IdW1hbnM8
L2tleXdvcmQ+PGtleXdvcmQ+THltcGggTm9kZSBFeGNpc2lvbjwva2V5d29yZD48a2V5d29yZD5M
eW1waGF0aWMgTWV0YXN0YXNpczwva2V5d29yZD48a2V5d29yZD5NYWxlPC9rZXl3b3JkPjxrZXl3
b3JkPk1pZGRsZSBBZ2VkPC9rZXl3b3JkPjxrZXl3b3JkPk5lb3BsYXNtIFJlY3VycmVuY2UsIExv
Y2FsL21vcnRhbGl0eS9wYXRob2xvZ3kvKnN1cmdlcnk8L2tleXdvcmQ+PGtleXdvcmQ+TmVvcGxh
c20gU3RhZ2luZzwva2V5d29yZD48a2V5d29yZD5Qcm9nbm9zaXM8L2tleXdvcmQ+PGtleXdvcmQ+
UmV0cm9zcGVjdGl2ZSBTdHVkaWVzPC9rZXl3b3JkPjxrZXl3b3JkPlN1cnZpdmFsIFJhdGU8L2tl
eXdvcmQ+PC9rZXl3b3Jkcz48ZGF0ZXM+PHllYXI+MjAxNTwveWVhcj48cHViLWRhdGVzPjxkYXRl
PkphbjwvZGF0ZT48L3B1Yi1kYXRlcz48L2RhdGVzPjxpc2JuPjE1MzQtNDY4MSAoRWxlY3Ryb25p
YykmI3hEOzEwNjgtOTI2NSAoTGlua2luZyk8L2lzYm4+PGFjY2Vzc2lvbi1udW0+MjUxMjQ0Njk8
L2FjY2Vzc2lvbi1udW0+PHVybHM+PHJlbGF0ZWQtdXJscz48dXJsPmh0dHBzOi8vd3d3Lm5jYmku
bmxtLm5paC5nb3YvcHVibWVkLzI1MTI0NDY5PC91cmw+PC9yZWxhdGVkLXVybHM+PC91cmxzPjxl
bGVjdHJvbmljLXJlc291cmNlLW51bT4xMC4xMjQ1L3MxMDQzNC0wMTQtMzk3MC01PC9lbGVjdHJv
bmljLXJlc291cmNlLW51bT48L3JlY29yZD48L0NpdGU+PC9FbmROb3RlPn==
</w:fldData>
        </w:fldChar>
      </w:r>
      <w:r w:rsidR="00833962" w:rsidRPr="00774B2C">
        <w:rPr>
          <w:szCs w:val="24"/>
        </w:rPr>
        <w:instrText xml:space="preserve"> ADDIN EN.CITE </w:instrText>
      </w:r>
      <w:r w:rsidR="00833962" w:rsidRPr="00774B2C">
        <w:rPr>
          <w:szCs w:val="24"/>
        </w:rPr>
        <w:fldChar w:fldCharType="begin">
          <w:fldData xml:space="preserve">PEVuZE5vdGU+PENpdGU+PEF1dGhvcj5IaXlvc2hpPC9BdXRob3I+PFllYXI+MjAxNTwvWWVhcj48
UmVjTnVtPjM4OTk8L1JlY051bT48RGlzcGxheVRleHQ+PHN0eWxlIGZhY2U9InN1cGVyc2NyaXB0
Ij5bMjhdPC9zdHlsZT48L0Rpc3BsYXlUZXh0PjxyZWNvcmQ+PHJlYy1udW1iZXI+Mzg5OTwvcmVj
LW51bWJlcj48Zm9yZWlnbi1rZXlzPjxrZXkgYXBwPSJFTiIgZGItaWQ9ImFlYXg5ZnJyM3NhOXJj
ZTJycGE1c2V6ZHRkMnB2MDB3Mjl6MCIgdGltZXN0YW1wPSIxNTc3ODk1NDc4Ij4zODk5PC9rZXk+
PC9mb3JlaWduLWtleXM+PHJlZi10eXBlIG5hbWU9IkpvdXJuYWwgQXJ0aWNsZSI+MTc8L3JlZi10
eXBlPjxjb250cmlidXRvcnM+PGF1dGhvcnM+PGF1dGhvcj5IaXlvc2hpLCBZLjwvYXV0aG9yPjxh
dXRob3I+TW9yaXRhLCBNLjwvYXV0aG9yPjxhdXRob3I+S2F3YW5vLCBILjwvYXV0aG9yPjxhdXRo
b3I+T3RzdSwgSC48L2F1dGhvcj48YXV0aG9yPkFuZG8sIEsuPC9hdXRob3I+PGF1dGhvcj5JdG8s
IFMuPC9hdXRob3I+PGF1dGhvcj5NaXlhbW90bywgWS48L2F1dGhvcj48YXV0aG9yPlNha2Ftb3Rv
LCBZLjwvYXV0aG9yPjxhdXRob3I+U2Fla2ksIEguPC9hdXRob3I+PGF1dGhvcj5Pa2ksIEUuPC9h
dXRob3I+PGF1dGhvcj5Ja2VkYSwgVC48L2F1dGhvcj48YXV0aG9yPkJhYmEsIEguPC9hdXRob3I+
PGF1dGhvcj5NYWVoYXJhLCBZLjwvYXV0aG9yPjwvYXV0aG9ycz48L2NvbnRyaWJ1dG9ycz48YXV0
aC1hZGRyZXNzPkRlcGFydG1lbnQgb2YgU3VyZ2VyeSBhbmQgU2NpZW5jZSwgR3JhZHVhdGUgU2No
b29sIG9mIE1lZGljYWwgU2NpZW5jZXMsIEt5dXNodSBVbml2ZXJzaXR5LCBGdWt1b2thLCBKYXBh
bi48L2F1dGgtYWRkcmVzcz48dGl0bGVzPjx0aXRsZT5DbGluaWNhbCBzaWduaWZpY2FuY2Ugb2Yg
c3VyZ2ljYWwgcmVzZWN0aW9uIGZvciB0aGUgcmVjdXJyZW5jZSBvZiBlc29waGFnZWFsIGNhbmNl
ciBhZnRlciByYWRpY2FsIGVzb3BoYWdlY3RvbXk8L3RpdGxlPjxzZWNvbmRhcnktdGl0bGU+QW5u
IFN1cmcgT25jb2w8L3NlY29uZGFyeS10aXRsZT48L3RpdGxlcz48cGVyaW9kaWNhbD48ZnVsbC10
aXRsZT5Bbm4gU3VyZyBPbmNvbDwvZnVsbC10aXRsZT48L3BlcmlvZGljYWw+PHBhZ2VzPjI0MC02
PC9wYWdlcz48dm9sdW1lPjIyPC92b2x1bWU+PG51bWJlcj4xPC9udW1iZXI+PGVkaXRpb24+MjAx
NC8wOC8xNjwvZWRpdGlvbj48a2V5d29yZHM+PGtleXdvcmQ+QWR1bHQ8L2tleXdvcmQ+PGtleXdv
cmQ+QWdlZDwva2V5d29yZD48a2V5d29yZD5BZ2VkLCA4MCBhbmQgb3Zlcjwva2V5d29yZD48a2V5
d29yZD5Db21iaW5lZCBNb2RhbGl0eSBUaGVyYXB5PC9rZXl3b3JkPjxrZXl3b3JkPkVzb3BoYWdl
YWwgTmVvcGxhc21zL21vcnRhbGl0eS9wYXRob2xvZ3kvKnN1cmdlcnk8L2tleXdvcmQ+PGtleXdv
cmQ+RXNvcGhhZ2VjdG9teS8qbW9ydGFsaXR5PC9rZXl3b3JkPjxrZXl3b3JkPkZlbWFsZTwva2V5
d29yZD48a2V5d29yZD5Gb2xsb3ctVXAgU3R1ZGllczwva2V5d29yZD48a2V5d29yZD5IdW1hbnM8
L2tleXdvcmQ+PGtleXdvcmQ+THltcGggTm9kZSBFeGNpc2lvbjwva2V5d29yZD48a2V5d29yZD5M
eW1waGF0aWMgTWV0YXN0YXNpczwva2V5d29yZD48a2V5d29yZD5NYWxlPC9rZXl3b3JkPjxrZXl3
b3JkPk1pZGRsZSBBZ2VkPC9rZXl3b3JkPjxrZXl3b3JkPk5lb3BsYXNtIFJlY3VycmVuY2UsIExv
Y2FsL21vcnRhbGl0eS9wYXRob2xvZ3kvKnN1cmdlcnk8L2tleXdvcmQ+PGtleXdvcmQ+TmVvcGxh
c20gU3RhZ2luZzwva2V5d29yZD48a2V5d29yZD5Qcm9nbm9zaXM8L2tleXdvcmQ+PGtleXdvcmQ+
UmV0cm9zcGVjdGl2ZSBTdHVkaWVzPC9rZXl3b3JkPjxrZXl3b3JkPlN1cnZpdmFsIFJhdGU8L2tl
eXdvcmQ+PC9rZXl3b3Jkcz48ZGF0ZXM+PHllYXI+MjAxNTwveWVhcj48cHViLWRhdGVzPjxkYXRl
PkphbjwvZGF0ZT48L3B1Yi1kYXRlcz48L2RhdGVzPjxpc2JuPjE1MzQtNDY4MSAoRWxlY3Ryb25p
YykmI3hEOzEwNjgtOTI2NSAoTGlua2luZyk8L2lzYm4+PGFjY2Vzc2lvbi1udW0+MjUxMjQ0Njk8
L2FjY2Vzc2lvbi1udW0+PHVybHM+PHJlbGF0ZWQtdXJscz48dXJsPmh0dHBzOi8vd3d3Lm5jYmku
bmxtLm5paC5nb3YvcHVibWVkLzI1MTI0NDY5PC91cmw+PC9yZWxhdGVkLXVybHM+PC91cmxzPjxl
bGVjdHJvbmljLXJlc291cmNlLW51bT4xMC4xMjQ1L3MxMDQzNC0wMTQtMzk3MC01PC9lbGVjdHJv
bmljLXJlc291cmNlLW51bT48L3JlY29yZD48L0NpdGU+PC9FbmROb3RlPn==
</w:fldData>
        </w:fldChar>
      </w:r>
      <w:r w:rsidR="00833962" w:rsidRPr="00774B2C">
        <w:rPr>
          <w:szCs w:val="24"/>
        </w:rPr>
        <w:instrText xml:space="preserve"> ADDIN EN.CITE.DATA </w:instrText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end"/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separate"/>
      </w:r>
      <w:r w:rsidR="00833962" w:rsidRPr="00774B2C">
        <w:rPr>
          <w:noProof/>
          <w:szCs w:val="24"/>
          <w:vertAlign w:val="superscript"/>
        </w:rPr>
        <w:t>[28]</w:t>
      </w:r>
      <w:r w:rsidR="00833962" w:rsidRPr="00774B2C">
        <w:rPr>
          <w:szCs w:val="24"/>
        </w:rPr>
        <w:fldChar w:fldCharType="end"/>
      </w:r>
      <w:r w:rsidRPr="00774B2C">
        <w:rPr>
          <w:szCs w:val="24"/>
        </w:rPr>
        <w:t xml:space="preserve">. At present, recurrence of esophageal carcinoma in patients is mainly judged by </w:t>
      </w:r>
      <w:r w:rsidR="00C67538">
        <w:rPr>
          <w:szCs w:val="24"/>
        </w:rPr>
        <w:t xml:space="preserve">the </w:t>
      </w:r>
      <w:r w:rsidRPr="00774B2C">
        <w:rPr>
          <w:szCs w:val="24"/>
        </w:rPr>
        <w:lastRenderedPageBreak/>
        <w:t>identif</w:t>
      </w:r>
      <w:r w:rsidR="00C67538">
        <w:rPr>
          <w:szCs w:val="24"/>
        </w:rPr>
        <w:t>ication of</w:t>
      </w:r>
      <w:r w:rsidRPr="00774B2C">
        <w:rPr>
          <w:szCs w:val="24"/>
        </w:rPr>
        <w:t xml:space="preserve"> metastasis through imaging after treatment. If ind</w:t>
      </w:r>
      <w:r w:rsidR="00C67538">
        <w:rPr>
          <w:szCs w:val="24"/>
        </w:rPr>
        <w:t xml:space="preserve">ices </w:t>
      </w:r>
      <w:r w:rsidR="0086742B">
        <w:rPr>
          <w:szCs w:val="24"/>
        </w:rPr>
        <w:t>were</w:t>
      </w:r>
      <w:r w:rsidR="00C67538">
        <w:rPr>
          <w:szCs w:val="24"/>
        </w:rPr>
        <w:t xml:space="preserve"> available </w:t>
      </w:r>
      <w:r w:rsidRPr="00774B2C">
        <w:rPr>
          <w:szCs w:val="24"/>
        </w:rPr>
        <w:t xml:space="preserve">to predict metastasis in patients before treatment, </w:t>
      </w:r>
      <w:r w:rsidR="00C67538">
        <w:rPr>
          <w:szCs w:val="24"/>
        </w:rPr>
        <w:t>this</w:t>
      </w:r>
      <w:r w:rsidRPr="00774B2C">
        <w:rPr>
          <w:szCs w:val="24"/>
        </w:rPr>
        <w:t xml:space="preserve"> w</w:t>
      </w:r>
      <w:r w:rsidR="0086742B">
        <w:rPr>
          <w:szCs w:val="24"/>
        </w:rPr>
        <w:t>ould</w:t>
      </w:r>
      <w:r w:rsidRPr="00774B2C">
        <w:rPr>
          <w:szCs w:val="24"/>
        </w:rPr>
        <w:t xml:space="preserve"> </w:t>
      </w:r>
      <w:r w:rsidR="00C67538">
        <w:rPr>
          <w:szCs w:val="24"/>
        </w:rPr>
        <w:t xml:space="preserve">allow changes in the </w:t>
      </w:r>
      <w:r w:rsidRPr="00774B2C">
        <w:rPr>
          <w:szCs w:val="24"/>
        </w:rPr>
        <w:t xml:space="preserve">treatment of patients and avoid the recurrence of esophageal </w:t>
      </w:r>
      <w:proofErr w:type="gramStart"/>
      <w:r w:rsidRPr="00774B2C">
        <w:rPr>
          <w:szCs w:val="24"/>
        </w:rPr>
        <w:t>carcinoma</w:t>
      </w:r>
      <w:proofErr w:type="gramEnd"/>
      <w:r w:rsidR="00833962" w:rsidRPr="00774B2C">
        <w:rPr>
          <w:szCs w:val="24"/>
        </w:rPr>
        <w:fldChar w:fldCharType="begin">
          <w:fldData xml:space="preserve">PEVuZE5vdGU+PENpdGU+PEF1dGhvcj5Hb2Vuc2U8L0F1dGhvcj48WWVhcj4yMDE1PC9ZZWFyPjxS
ZWNOdW0+MzkwMDwvUmVjTnVtPjxEaXNwbGF5VGV4dD48c3R5bGUgZmFjZT0ic3VwZXJzY3JpcHQi
PlsyOV08L3N0eWxlPjwvRGlzcGxheVRleHQ+PHJlY29yZD48cmVjLW51bWJlcj4zOTAwPC9yZWMt
bnVtYmVyPjxmb3JlaWduLWtleXM+PGtleSBhcHA9IkVOIiBkYi1pZD0iYWVheDlmcnIzc2E5cmNl
MnJwYTVzZXpkdGQycHYwMHcyOXowIiB0aW1lc3RhbXA9IjE1Nzc4OTU1NDkiPjM5MDA8L2tleT48
L2ZvcmVpZ24ta2V5cz48cmVmLXR5cGUgbmFtZT0iSm91cm5hbCBBcnRpY2xlIj4xNzwvcmVmLXR5
cGU+PGNvbnRyaWJ1dG9ycz48YXV0aG9ycz48YXV0aG9yPkdvZW5zZSwgTC48L2F1dGhvcj48YXV0
aG9yPnZhbiBSb3NzdW0sIFAuIFMuPC9hdXRob3I+PGF1dGhvcj5SZWl0c21hLCBKLiBCLjwvYXV0
aG9yPjxhdXRob3I+TGFtLCBNLiBHLjwvYXV0aG9yPjxhdXRob3I+TWVpamVyLCBHLiBKLjwvYXV0
aG9yPjxhdXRob3I+dmFuIFZ1bHBlbiwgTS48L2F1dGhvcj48YXV0aG9yPlJ1dXJkYSwgSi4gUC48
L2F1dGhvcj48YXV0aG9yPnZhbiBIaWxsZWdlcnNiZXJnLCBSLjwvYXV0aG9yPjwvYXV0aG9ycz48
L2NvbnRyaWJ1dG9ycz48YXV0aC1hZGRyZXNzPkRlcGFydG1lbnQgb2YgU3VyZ2VyeSwgVW5pdmVy
c2l0eSBNZWRpY2FsIENlbnRlciBVdHJlY2h0LCBVdHJlY2h0LCBUaGUgTmV0aGVybGFuZHMgRGVw
YXJ0bWVudCBvZiBSYWRpb3RoZXJhcHksIFVuaXZlcnNpdHkgTWVkaWNhbCBDZW50ZXIgVXRyZWNo
dCwgVXRyZWNodCwgVGhlIE5ldGhlcmxhbmRzIEwuR29lbnNlLTJAdW1jdXRyZWNodC5ubCBKLlAu
UnV1cmRhQHVtY3V0cmVjaHQubmwuJiN4RDtEZXBhcnRtZW50IG9mIFN1cmdlcnksIFVuaXZlcnNp
dHkgTWVkaWNhbCBDZW50ZXIgVXRyZWNodCwgVXRyZWNodCwgVGhlIE5ldGhlcmxhbmRzIERlcGFy
dG1lbnQgb2YgUmFkaW90aGVyYXB5LCBVbml2ZXJzaXR5IE1lZGljYWwgQ2VudGVyIFV0cmVjaHQs
IFV0cmVjaHQsIFRoZSBOZXRoZXJsYW5kcy4mI3hEO0p1bGl1cyBDZW50ZXIgZm9yIEhlYWx0aCBT
Y2llbmNlcyBhbmQgUHJpbWFyeSBDYXJlLCBVbml2ZXJzaXR5IE1lZGljYWwgQ2VudGVyIFV0cmVj
aHQsIFV0cmVjaHQsIFRoZSBOZXRoZXJsYW5kczsgYW5kLiYjeEQ7RGVwYXJ0bWVudCBvZiBSYWRp
b2xvZ3kgYW5kIE51Y2xlYXIgTWVkaWNpbmUsIFVuaXZlcnNpdHkgTWVkaWNhbCBDZW50ZXIgVXRy
ZWNodCwgVXRyZWNodCwgVGhlIE5ldGhlcmxhbmRzLiYjeEQ7RGVwYXJ0bWVudCBvZiBSYWRpb3Ro
ZXJhcHksIFVuaXZlcnNpdHkgTWVkaWNhbCBDZW50ZXIgVXRyZWNodCwgVXRyZWNodCwgVGhlIE5l
dGhlcmxhbmRzLiYjeEQ7RGVwYXJ0bWVudCBvZiBTdXJnZXJ5LCBVbml2ZXJzaXR5IE1lZGljYWwg
Q2VudGVyIFV0cmVjaHQsIFV0cmVjaHQsIFRoZSBOZXRoZXJsYW5kcyBMLkdvZW5zZS0yQHVtY3V0
cmVjaHQubmwgSi5QLlJ1dXJkYUB1bWN1dHJlY2h0Lm5sLiYjeEQ7RGVwYXJ0bWVudCBvZiBTdXJn
ZXJ5LCBVbml2ZXJzaXR5IE1lZGljYWwgQ2VudGVyIFV0cmVjaHQsIFV0cmVjaHQsIFRoZSBOZXRo
ZXJsYW5kcy48L2F1dGgtYWRkcmVzcz48dGl0bGVzPjx0aXRsZT5EaWFnbm9zdGljIFBlcmZvcm1h
bmNlIG9mICgxKSg4KUYtRkRHIFBFVCBhbmQgUEVUL0NUIGZvciB0aGUgRGV0ZWN0aW9uIG9mIFJl
Y3VycmVudCBFc29waGFnZWFsIENhbmNlciBBZnRlciBUcmVhdG1lbnQgd2l0aCBDdXJhdGl2ZSBJ
bnRlbnQ6IEEgU3lzdGVtYXRpYyBSZXZpZXcgYW5kIE1ldGEtQW5hbHlzaXM8L3RpdGxlPjxzZWNv
bmRhcnktdGl0bGU+SiBOdWNsIE1lZDwvc2Vjb25kYXJ5LXRpdGxlPjwvdGl0bGVzPjxwZXJpb2Rp
Y2FsPjxmdWxsLXRpdGxlPkogTnVjbCBNZWQ8L2Z1bGwtdGl0bGU+PC9wZXJpb2RpY2FsPjxwYWdl
cz45OTUtMTAwMjwvcGFnZXM+PHZvbHVtZT41Njwvdm9sdW1lPjxudW1iZXI+NzwvbnVtYmVyPjxl
ZGl0aW9uPjIwMTUvMDUvMDk8L2VkaXRpb24+PGtleXdvcmRzPjxrZXl3b3JkPkJpb3BzeTwva2V5
d29yZD48a2V5d29yZD5Fc29waGFnZWFsIE5lb3BsYXNtcy8qZGlhZ25vc3RpYyBpbWFnaW5nPC9r
ZXl3b3JkPjxrZXl3b3JkPkZhbHNlIE5lZ2F0aXZlIFJlYWN0aW9uczwva2V5d29yZD48a2V5d29y
ZD4qRmx1b3JvZGVveHlnbHVjb3NlIEYxODwva2V5d29yZD48a2V5d29yZD5IdW1hbnM8L2tleXdv
cmQ+PGtleXdvcmQ+TmVvcGxhc20gUmVjdXJyZW5jZSwgTG9jYWwvKmRpYWdub3N0aWMgaW1hZ2lu
Zzwva2V5d29yZD48a2V5d29yZD4qUG9zaXRyb24tRW1pc3Npb24gVG9tb2dyYXBoeTwva2V5d29y
ZD48a2V5d29yZD5RdWFsaXR5IENvbnRyb2w8L2tleXdvcmQ+PGtleXdvcmQ+UmVjdXJyZW5jZTwv
a2V5d29yZD48a2V5d29yZD5SZXByb2R1Y2liaWxpdHkgb2YgUmVzdWx0czwva2V5d29yZD48a2V5
d29yZD5TZW5zaXRpdml0eSBhbmQgU3BlY2lmaWNpdHk8L2tleXdvcmQ+PGtleXdvcmQ+KlRvbW9n
cmFwaHksIFgtUmF5IENvbXB1dGVkPC9rZXl3b3JkPjxrZXl3b3JkPlRyZWF0bWVudCBPdXRjb21l
PC9rZXl3b3JkPjxrZXl3b3JkPjE4Zi1mZGcgcGV0PC9rZXl3b3JkPjxrZXl3b3JkPmVzb3BoYWdl
YWwgY2FuY2VyPC9rZXl3b3JkPjxrZXl3b3JkPnBvc2l0cm9uIGVtaXNzaW9uIHRvbW9ncmFwaHkv
Y29tcHV0ZWQgdG9tb2dyYXBoeTwva2V5d29yZD48a2V5d29yZD5yZWN1cnJlbnQgZGlzZWFzZTwv
a2V5d29yZD48a2V5d29yZD5zeXN0ZW1hdGljIHJldmlldzwva2V5d29yZD48L2tleXdvcmRzPjxk
YXRlcz48eWVhcj4yMDE1PC95ZWFyPjxwdWItZGF0ZXM+PGRhdGU+SnVsPC9kYXRlPjwvcHViLWRh
dGVzPjwvZGF0ZXM+PGlzYm4+MTUzNS01NjY3IChFbGVjdHJvbmljKSYjeEQ7MDE2MS01NTA1IChM
aW5raW5nKTwvaXNibj48YWNjZXNzaW9uLW51bT4yNTk1MjczMzwvYWNjZXNzaW9uLW51bT48dXJs
cz48cmVsYXRlZC11cmxzPjx1cmw+aHR0cHM6Ly93d3cubmNiaS5ubG0ubmloLmdvdi9wdWJtZWQv
MjU5NTI3MzM8L3VybD48L3JlbGF0ZWQtdXJscz48L3VybHM+PGVsZWN0cm9uaWMtcmVzb3VyY2Ut
bnVtPjEwLjI5Njcvam51bWVkLjExNS4xNTU1ODA8L2VsZWN0cm9uaWMtcmVzb3VyY2UtbnVtPjwv
cmVjb3JkPjwvQ2l0ZT48L0VuZE5vdGU+AG==
</w:fldData>
        </w:fldChar>
      </w:r>
      <w:r w:rsidR="00833962" w:rsidRPr="00774B2C">
        <w:rPr>
          <w:szCs w:val="24"/>
        </w:rPr>
        <w:instrText xml:space="preserve"> ADDIN EN.CITE </w:instrText>
      </w:r>
      <w:r w:rsidR="00833962" w:rsidRPr="00774B2C">
        <w:rPr>
          <w:szCs w:val="24"/>
        </w:rPr>
        <w:fldChar w:fldCharType="begin">
          <w:fldData xml:space="preserve">PEVuZE5vdGU+PENpdGU+PEF1dGhvcj5Hb2Vuc2U8L0F1dGhvcj48WWVhcj4yMDE1PC9ZZWFyPjxS
ZWNOdW0+MzkwMDwvUmVjTnVtPjxEaXNwbGF5VGV4dD48c3R5bGUgZmFjZT0ic3VwZXJzY3JpcHQi
PlsyOV08L3N0eWxlPjwvRGlzcGxheVRleHQ+PHJlY29yZD48cmVjLW51bWJlcj4zOTAwPC9yZWMt
bnVtYmVyPjxmb3JlaWduLWtleXM+PGtleSBhcHA9IkVOIiBkYi1pZD0iYWVheDlmcnIzc2E5cmNl
MnJwYTVzZXpkdGQycHYwMHcyOXowIiB0aW1lc3RhbXA9IjE1Nzc4OTU1NDkiPjM5MDA8L2tleT48
L2ZvcmVpZ24ta2V5cz48cmVmLXR5cGUgbmFtZT0iSm91cm5hbCBBcnRpY2xlIj4xNzwvcmVmLXR5
cGU+PGNvbnRyaWJ1dG9ycz48YXV0aG9ycz48YXV0aG9yPkdvZW5zZSwgTC48L2F1dGhvcj48YXV0
aG9yPnZhbiBSb3NzdW0sIFAuIFMuPC9hdXRob3I+PGF1dGhvcj5SZWl0c21hLCBKLiBCLjwvYXV0
aG9yPjxhdXRob3I+TGFtLCBNLiBHLjwvYXV0aG9yPjxhdXRob3I+TWVpamVyLCBHLiBKLjwvYXV0
aG9yPjxhdXRob3I+dmFuIFZ1bHBlbiwgTS48L2F1dGhvcj48YXV0aG9yPlJ1dXJkYSwgSi4gUC48
L2F1dGhvcj48YXV0aG9yPnZhbiBIaWxsZWdlcnNiZXJnLCBSLjwvYXV0aG9yPjwvYXV0aG9ycz48
L2NvbnRyaWJ1dG9ycz48YXV0aC1hZGRyZXNzPkRlcGFydG1lbnQgb2YgU3VyZ2VyeSwgVW5pdmVy
c2l0eSBNZWRpY2FsIENlbnRlciBVdHJlY2h0LCBVdHJlY2h0LCBUaGUgTmV0aGVybGFuZHMgRGVw
YXJ0bWVudCBvZiBSYWRpb3RoZXJhcHksIFVuaXZlcnNpdHkgTWVkaWNhbCBDZW50ZXIgVXRyZWNo
dCwgVXRyZWNodCwgVGhlIE5ldGhlcmxhbmRzIEwuR29lbnNlLTJAdW1jdXRyZWNodC5ubCBKLlAu
UnV1cmRhQHVtY3V0cmVjaHQubmwuJiN4RDtEZXBhcnRtZW50IG9mIFN1cmdlcnksIFVuaXZlcnNp
dHkgTWVkaWNhbCBDZW50ZXIgVXRyZWNodCwgVXRyZWNodCwgVGhlIE5ldGhlcmxhbmRzIERlcGFy
dG1lbnQgb2YgUmFkaW90aGVyYXB5LCBVbml2ZXJzaXR5IE1lZGljYWwgQ2VudGVyIFV0cmVjaHQs
IFV0cmVjaHQsIFRoZSBOZXRoZXJsYW5kcy4mI3hEO0p1bGl1cyBDZW50ZXIgZm9yIEhlYWx0aCBT
Y2llbmNlcyBhbmQgUHJpbWFyeSBDYXJlLCBVbml2ZXJzaXR5IE1lZGljYWwgQ2VudGVyIFV0cmVj
aHQsIFV0cmVjaHQsIFRoZSBOZXRoZXJsYW5kczsgYW5kLiYjeEQ7RGVwYXJ0bWVudCBvZiBSYWRp
b2xvZ3kgYW5kIE51Y2xlYXIgTWVkaWNpbmUsIFVuaXZlcnNpdHkgTWVkaWNhbCBDZW50ZXIgVXRy
ZWNodCwgVXRyZWNodCwgVGhlIE5ldGhlcmxhbmRzLiYjeEQ7RGVwYXJ0bWVudCBvZiBSYWRpb3Ro
ZXJhcHksIFVuaXZlcnNpdHkgTWVkaWNhbCBDZW50ZXIgVXRyZWNodCwgVXRyZWNodCwgVGhlIE5l
dGhlcmxhbmRzLiYjeEQ7RGVwYXJ0bWVudCBvZiBTdXJnZXJ5LCBVbml2ZXJzaXR5IE1lZGljYWwg
Q2VudGVyIFV0cmVjaHQsIFV0cmVjaHQsIFRoZSBOZXRoZXJsYW5kcyBMLkdvZW5zZS0yQHVtY3V0
cmVjaHQubmwgSi5QLlJ1dXJkYUB1bWN1dHJlY2h0Lm5sLiYjeEQ7RGVwYXJ0bWVudCBvZiBTdXJn
ZXJ5LCBVbml2ZXJzaXR5IE1lZGljYWwgQ2VudGVyIFV0cmVjaHQsIFV0cmVjaHQsIFRoZSBOZXRo
ZXJsYW5kcy48L2F1dGgtYWRkcmVzcz48dGl0bGVzPjx0aXRsZT5EaWFnbm9zdGljIFBlcmZvcm1h
bmNlIG9mICgxKSg4KUYtRkRHIFBFVCBhbmQgUEVUL0NUIGZvciB0aGUgRGV0ZWN0aW9uIG9mIFJl
Y3VycmVudCBFc29waGFnZWFsIENhbmNlciBBZnRlciBUcmVhdG1lbnQgd2l0aCBDdXJhdGl2ZSBJ
bnRlbnQ6IEEgU3lzdGVtYXRpYyBSZXZpZXcgYW5kIE1ldGEtQW5hbHlzaXM8L3RpdGxlPjxzZWNv
bmRhcnktdGl0bGU+SiBOdWNsIE1lZDwvc2Vjb25kYXJ5LXRpdGxlPjwvdGl0bGVzPjxwZXJpb2Rp
Y2FsPjxmdWxsLXRpdGxlPkogTnVjbCBNZWQ8L2Z1bGwtdGl0bGU+PC9wZXJpb2RpY2FsPjxwYWdl
cz45OTUtMTAwMjwvcGFnZXM+PHZvbHVtZT41Njwvdm9sdW1lPjxudW1iZXI+NzwvbnVtYmVyPjxl
ZGl0aW9uPjIwMTUvMDUvMDk8L2VkaXRpb24+PGtleXdvcmRzPjxrZXl3b3JkPkJpb3BzeTwva2V5
d29yZD48a2V5d29yZD5Fc29waGFnZWFsIE5lb3BsYXNtcy8qZGlhZ25vc3RpYyBpbWFnaW5nPC9r
ZXl3b3JkPjxrZXl3b3JkPkZhbHNlIE5lZ2F0aXZlIFJlYWN0aW9uczwva2V5d29yZD48a2V5d29y
ZD4qRmx1b3JvZGVveHlnbHVjb3NlIEYxODwva2V5d29yZD48a2V5d29yZD5IdW1hbnM8L2tleXdv
cmQ+PGtleXdvcmQ+TmVvcGxhc20gUmVjdXJyZW5jZSwgTG9jYWwvKmRpYWdub3N0aWMgaW1hZ2lu
Zzwva2V5d29yZD48a2V5d29yZD4qUG9zaXRyb24tRW1pc3Npb24gVG9tb2dyYXBoeTwva2V5d29y
ZD48a2V5d29yZD5RdWFsaXR5IENvbnRyb2w8L2tleXdvcmQ+PGtleXdvcmQ+UmVjdXJyZW5jZTwv
a2V5d29yZD48a2V5d29yZD5SZXByb2R1Y2liaWxpdHkgb2YgUmVzdWx0czwva2V5d29yZD48a2V5
d29yZD5TZW5zaXRpdml0eSBhbmQgU3BlY2lmaWNpdHk8L2tleXdvcmQ+PGtleXdvcmQ+KlRvbW9n
cmFwaHksIFgtUmF5IENvbXB1dGVkPC9rZXl3b3JkPjxrZXl3b3JkPlRyZWF0bWVudCBPdXRjb21l
PC9rZXl3b3JkPjxrZXl3b3JkPjE4Zi1mZGcgcGV0PC9rZXl3b3JkPjxrZXl3b3JkPmVzb3BoYWdl
YWwgY2FuY2VyPC9rZXl3b3JkPjxrZXl3b3JkPnBvc2l0cm9uIGVtaXNzaW9uIHRvbW9ncmFwaHkv
Y29tcHV0ZWQgdG9tb2dyYXBoeTwva2V5d29yZD48a2V5d29yZD5yZWN1cnJlbnQgZGlzZWFzZTwv
a2V5d29yZD48a2V5d29yZD5zeXN0ZW1hdGljIHJldmlldzwva2V5d29yZD48L2tleXdvcmRzPjxk
YXRlcz48eWVhcj4yMDE1PC95ZWFyPjxwdWItZGF0ZXM+PGRhdGU+SnVsPC9kYXRlPjwvcHViLWRh
dGVzPjwvZGF0ZXM+PGlzYm4+MTUzNS01NjY3IChFbGVjdHJvbmljKSYjeEQ7MDE2MS01NTA1IChM
aW5raW5nKTwvaXNibj48YWNjZXNzaW9uLW51bT4yNTk1MjczMzwvYWNjZXNzaW9uLW51bT48dXJs
cz48cmVsYXRlZC11cmxzPjx1cmw+aHR0cHM6Ly93d3cubmNiaS5ubG0ubmloLmdvdi9wdWJtZWQv
MjU5NTI3MzM8L3VybD48L3JlbGF0ZWQtdXJscz48L3VybHM+PGVsZWN0cm9uaWMtcmVzb3VyY2Ut
bnVtPjEwLjI5Njcvam51bWVkLjExNS4xNTU1ODA8L2VsZWN0cm9uaWMtcmVzb3VyY2UtbnVtPjwv
cmVjb3JkPjwvQ2l0ZT48L0VuZE5vdGU+AG==
</w:fldData>
        </w:fldChar>
      </w:r>
      <w:r w:rsidR="00833962" w:rsidRPr="00774B2C">
        <w:rPr>
          <w:szCs w:val="24"/>
        </w:rPr>
        <w:instrText xml:space="preserve"> ADDIN EN.CITE.DATA </w:instrText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end"/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separate"/>
      </w:r>
      <w:r w:rsidR="00833962" w:rsidRPr="00774B2C">
        <w:rPr>
          <w:noProof/>
          <w:szCs w:val="24"/>
          <w:vertAlign w:val="superscript"/>
        </w:rPr>
        <w:t>[29]</w:t>
      </w:r>
      <w:r w:rsidR="00833962" w:rsidRPr="00774B2C">
        <w:rPr>
          <w:szCs w:val="24"/>
        </w:rPr>
        <w:fldChar w:fldCharType="end"/>
      </w:r>
      <w:r w:rsidRPr="00774B2C">
        <w:rPr>
          <w:szCs w:val="24"/>
        </w:rPr>
        <w:t xml:space="preserve">. In this study, 33 of 78 patients </w:t>
      </w:r>
      <w:r w:rsidR="00C67538">
        <w:rPr>
          <w:szCs w:val="24"/>
        </w:rPr>
        <w:t>developed</w:t>
      </w:r>
      <w:r w:rsidRPr="00774B2C">
        <w:rPr>
          <w:szCs w:val="24"/>
        </w:rPr>
        <w:t xml:space="preserve"> recurrence of esophageal carcinoma, a recurrence rate of 42.31%, which was consistent with </w:t>
      </w:r>
      <w:r w:rsidR="00C67538">
        <w:rPr>
          <w:szCs w:val="24"/>
        </w:rPr>
        <w:t>national</w:t>
      </w:r>
      <w:r w:rsidRPr="00774B2C">
        <w:rPr>
          <w:szCs w:val="24"/>
        </w:rPr>
        <w:t xml:space="preserve"> and </w:t>
      </w:r>
      <w:r w:rsidR="00C67538">
        <w:rPr>
          <w:szCs w:val="24"/>
        </w:rPr>
        <w:t>international</w:t>
      </w:r>
      <w:r w:rsidRPr="00774B2C">
        <w:rPr>
          <w:szCs w:val="24"/>
        </w:rPr>
        <w:t xml:space="preserve"> </w:t>
      </w:r>
      <w:proofErr w:type="gramStart"/>
      <w:r w:rsidRPr="00774B2C">
        <w:rPr>
          <w:szCs w:val="24"/>
        </w:rPr>
        <w:t>studies</w:t>
      </w:r>
      <w:proofErr w:type="gramEnd"/>
      <w:r w:rsidR="00833962" w:rsidRPr="00774B2C">
        <w:rPr>
          <w:szCs w:val="24"/>
          <w:vertAlign w:val="superscript"/>
        </w:rPr>
        <w:fldChar w:fldCharType="begin">
          <w:fldData xml:space="preserve">PEVuZE5vdGU+PENpdGU+PEF1dGhvcj5MaXU8L0F1dGhvcj48WWVhcj4yMDE0PC9ZZWFyPjxSZWNO
dW0+MzkwMTwvUmVjTnVtPjxEaXNwbGF5VGV4dD48c3R5bGUgZmFjZT0ic3VwZXJzY3JpcHQiPlsz
MCwgMzFdPC9zdHlsZT48L0Rpc3BsYXlUZXh0PjxyZWNvcmQ+PHJlYy1udW1iZXI+MzkwMTwvcmVj
LW51bWJlcj48Zm9yZWlnbi1rZXlzPjxrZXkgYXBwPSJFTiIgZGItaWQ9ImFlYXg5ZnJyM3NhOXJj
ZTJycGE1c2V6ZHRkMnB2MDB3Mjl6MCIgdGltZXN0YW1wPSIxNTc3ODk1NjIwIj4zOTAxPC9rZXk+
PC9mb3JlaWduLWtleXM+PHJlZi10eXBlIG5hbWU9IkpvdXJuYWwgQXJ0aWNsZSI+MTc8L3JlZi10
eXBlPjxjb250cmlidXRvcnM+PGF1dGhvcnM+PGF1dGhvcj5MaXUsIFEuPC9hdXRob3I+PGF1dGhv
cj5DYWksIFguIFcuPC9hdXRob3I+PGF1dGhvcj5XdSwgQi48L2F1dGhvcj48YXV0aG9yPlpodSwg
Wi4gRi48L2F1dGhvcj48YXV0aG9yPkNoZW4sIEguIFEuPC9hdXRob3I+PGF1dGhvcj5GdSwgWC4g
TC48L2F1dGhvcj48L2F1dGhvcnM+PC9jb250cmlidXRvcnM+PGF1dGgtYWRkcmVzcz5EZXBhcnRt
ZW50IG9mIFJhZGlhdGlvbiBPbmNvbG9neSwgRnVkYW4gVW5pdmVyc2l0eSBTaGFuZ2hhaSBDYW5j
ZXIgQ2VudGVyLCBTaGFuZ2hhaSwgUC5SLiBDaGluYTsgRGVwYXJ0bWVudCBvZiBPbmNvbG9neSwg
U2hhbmdoYWkgTWVkaWNhbCBDb2xsZWdlLCBGdWRhbiBVbml2ZXJzaXR5LCBTaGFuZ2hhaSwgUC5S
LiBDaGluYS4mI3hEO0RlcGFydG1lbnQgb2YgT25jb2xvZ3ksIFNoYW5naGFpIE1lZGljYWwgQ29s
bGVnZSwgRnVkYW4gVW5pdmVyc2l0eSwgU2hhbmdoYWksIFAuUi4gQ2hpbmE7IERlcGFydG1lbnQg
b2YgUmFkaW9sb2d5LCBGdWRhbiBVbml2ZXJzaXR5IFNoYW5naGFpIENhbmNlciBDZW50ZXIsIFNo
YW5naGFpLCBQLlIuIENoaW5hLiYjeEQ7RGVwYXJ0bWVudCBvZiBPbmNvbG9neSwgU2hhbmdoYWkg
TWVkaWNhbCBDb2xsZWdlLCBGdWRhbiBVbml2ZXJzaXR5LCBTaGFuZ2hhaSwgUC5SLiBDaGluYTsg
RGVwYXJ0bWVudCBvZiBUaG9yYWNpYyBTdXJnZXJ5LCBGdWRhbiBVbml2ZXJzaXR5IFNoYW5naGFp
IENhbmNlciBDZW50ZXIsIFNoYW5naGFpLCBQLlIuIENoaW5hLjwvYXV0aC1hZGRyZXNzPjx0aXRs
ZXM+PHRpdGxlPlBhdHRlcm5zIG9mIGZhaWx1cmUgYWZ0ZXIgcmFkaWNhbCBzdXJnZXJ5IGFtb25n
IHBhdGllbnRzIHdpdGggdGhvcmFjaWMgZXNvcGhhZ2VhbCBzcXVhbW91cyBjZWxsIGNhcmNpbm9t
YTogaW1wbGljYXRpb25zIGZvciB0aGUgY2xpbmljYWwgdGFyZ2V0IHZvbHVtZSBkZXNpZ24gb2Yg
cG9zdG9wZXJhdGl2ZSByYWRpb3RoZXJhcHk8L3RpdGxlPjxzZWNvbmRhcnktdGl0bGU+UExvUyBP
bmU8L3NlY29uZGFyeS10aXRsZT48L3RpdGxlcz48cGVyaW9kaWNhbD48ZnVsbC10aXRsZT5QTG9T
IE9uZTwvZnVsbC10aXRsZT48L3BlcmlvZGljYWw+PHBhZ2VzPmU5NzIyNTwvcGFnZXM+PHZvbHVt
ZT45PC92b2x1bWU+PG51bWJlcj41PC9udW1iZXI+PGVkaXRpb24+MjAxNC8wNS8xNDwvZWRpdGlv
bj48a2V5d29yZHM+PGtleXdvcmQ+QWR1bHQ8L2tleXdvcmQ+PGtleXdvcmQ+QWdlZDwva2V5d29y
ZD48a2V5d29yZD5DYXJjaW5vbWEsIFNxdWFtb3VzIENlbGwvZGlhZ25vc3RpYyBpbWFnaW5nLypy
YWRpb3RoZXJhcHkvKnN1cmdlcnk8L2tleXdvcmQ+PGtleXdvcmQ+RXNvcGhhZ2VhbCBOZW9wbGFz
bXMvZGlhZ25vc3RpYyBpbWFnaW5nLypyYWRpb3RoZXJhcHkvKnN1cmdlcnk8L2tleXdvcmQ+PGtl
eXdvcmQ+RXNvcGhhZ2VhbCBTcXVhbW91cyBDZWxsIENhcmNpbm9tYTwva2V5d29yZD48a2V5d29y
ZD5Fc29waGFnZWN0b215PC9rZXl3b3JkPjxrZXl3b3JkPkZlbWFsZTwva2V5d29yZD48a2V5d29y
ZD5IdW1hbnM8L2tleXdvcmQ+PGtleXdvcmQ+TWFsZTwva2V5d29yZD48a2V5d29yZD5NaWRkbGUg
QWdlZDwva2V5d29yZD48a2V5d29yZD5Qb3N0b3BlcmF0aXZlIFBlcmlvZDwva2V5d29yZD48a2V5
d29yZD5SZWN1cnJlbmNlPC9rZXl3b3JkPjxrZXl3b3JkPlJldHJvc3BlY3RpdmUgU3R1ZGllczwv
a2V5d29yZD48a2V5d29yZD5SaXNrIEZhY3RvcnM8L2tleXdvcmQ+PGtleXdvcmQ+VG9tb2dyYXBo
eSwgWC1SYXkgQ29tcHV0ZWQ8L2tleXdvcmQ+PGtleXdvcmQ+VHJlYXRtZW50IEZhaWx1cmU8L2tl
eXdvcmQ+PC9rZXl3b3Jkcz48ZGF0ZXM+PHllYXI+MjAxNDwveWVhcj48L2RhdGVzPjxpc2JuPjE5
MzItNjIwMyAoRWxlY3Ryb25pYykmI3hEOzE5MzItNjIwMyAoTGlua2luZyk8L2lzYm4+PGFjY2Vz
c2lvbi1udW0+MjQ4MjAxNzc8L2FjY2Vzc2lvbi1udW0+PHVybHM+PHJlbGF0ZWQtdXJscz48dXJs
Pmh0dHBzOi8vd3d3Lm5jYmkubmxtLm5paC5nb3YvcHVibWVkLzI0ODIwMTc3PC91cmw+PC9yZWxh
dGVkLXVybHM+PC91cmxzPjxjdXN0b20yPlBNQzQwMTgyNTU8L2N1c3RvbTI+PGVsZWN0cm9uaWMt
cmVzb3VyY2UtbnVtPjEwLjEzNzEvam91cm5hbC5wb25lLjAwOTcyMjU8L2VsZWN0cm9uaWMtcmVz
b3VyY2UtbnVtPjwvcmVjb3JkPjwvQ2l0ZT48Q2l0ZT48QXV0aG9yPlh1PC9BdXRob3I+PFllYXI+
MjAxMzwvWWVhcj48UmVjTnVtPjM5MDI8L1JlY051bT48cmVjb3JkPjxyZWMtbnVtYmVyPjM5MDI8
L3JlYy1udW1iZXI+PGZvcmVpZ24ta2V5cz48a2V5IGFwcD0iRU4iIGRiLWlkPSJhZWF4OWZycjNz
YTlyY2UycnBhNXNlemR0ZDJwdjAwdzI5ejAiIHRpbWVzdGFtcD0iMTU3Nzg5NTY5NiI+MzkwMjwv
a2V5PjwvZm9yZWlnbi1rZXlzPjxyZWYtdHlwZSBuYW1lPSJKb3VybmFsIEFydGljbGUiPjE3PC9y
ZWYtdHlwZT48Y29udHJpYnV0b3JzPjxhdXRob3JzPjxhdXRob3I+WHUsIFkuPC9hdXRob3I+PGF1
dGhvcj5DaGVuLCBRLjwvYXV0aG9yPjxhdXRob3I+WXUsIFguPC9hdXRob3I+PGF1dGhvcj5aaG91
LCBYLjwvYXV0aG9yPjxhdXRob3I+WmhlbmcsIFguPC9hdXRob3I+PGF1dGhvcj5NYW8sIFcuPC9h
dXRob3I+PC9hdXRob3JzPjwvY29udHJpYnV0b3JzPjxhdXRoLWFkZHJlc3M+RGVwYXJ0bWVudHMg
b2YgUmFkaWF0aW9uIE9uY29sb2d5LjwvYXV0aC1hZGRyZXNzPjx0aXRsZXM+PHRpdGxlPkZhY3Rv
cnMgaW5mbHVlbmNpbmcgdGhlIHJpc2sgb2YgcmVjdXJyZW5jZSBpbiBwYXRpZW50cyB3aXRoIGVz
b3BoYWdlYWwgY2FyY2lub21hIHRyZWF0ZWQgd2l0aCBzdXJnZXJ5OiBBIHNpbmdsZSBpbnN0aXR1
dGlvbiBhbmFseXNpcyBjb25zaXN0aW5nIG9mIDEwMDIgY2FzZXM8L3RpdGxlPjxzZWNvbmRhcnkt
dGl0bGU+T25jb2wgTGV0dDwvc2Vjb25kYXJ5LXRpdGxlPjwvdGl0bGVzPjxwZXJpb2RpY2FsPjxm
dWxsLXRpdGxlPk9uY29sIExldHQ8L2Z1bGwtdGl0bGU+PC9wZXJpb2RpY2FsPjxwYWdlcz4xODUt
MTkwPC9wYWdlcz48dm9sdW1lPjU8L3ZvbHVtZT48bnVtYmVyPjE8L251bWJlcj48ZWRpdGlvbj4y
MDEyLzEyLzIxPC9lZGl0aW9uPjxkYXRlcz48eWVhcj4yMDEzPC95ZWFyPjxwdWItZGF0ZXM+PGRh
dGU+SmFuPC9kYXRlPjwvcHViLWRhdGVzPjwvZGF0ZXM+PGlzYm4+MTc5Mi0xMDc0IChQcmludCkm
I3hEOzE3OTItMTA3NCAoTGlua2luZyk8L2lzYm4+PGFjY2Vzc2lvbi1udW0+MjMyNTU5MTc8L2Fj
Y2Vzc2lvbi1udW0+PHVybHM+PHJlbGF0ZWQtdXJscz48dXJsPmh0dHBzOi8vd3d3Lm5jYmkubmxt
Lm5paC5nb3YvcHVibWVkLzIzMjU1OTE3PC91cmw+PC9yZWxhdGVkLXVybHM+PC91cmxzPjxjdXN0
b20yPlBNQzM1MjUzNjQ8L2N1c3RvbTI+PGVsZWN0cm9uaWMtcmVzb3VyY2UtbnVtPjEwLjM4OTIv
b2wuMjAxMi4xMDA3PC9lbGVjdHJvbmljLXJlc291cmNlLW51bT48L3JlY29yZD48L0NpdGU+PC9F
bmROb3RlPn==
</w:fldData>
        </w:fldChar>
      </w:r>
      <w:r w:rsidR="00833962" w:rsidRPr="00774B2C">
        <w:rPr>
          <w:szCs w:val="24"/>
          <w:vertAlign w:val="superscript"/>
        </w:rPr>
        <w:instrText xml:space="preserve"> ADDIN EN.CITE </w:instrText>
      </w:r>
      <w:r w:rsidR="00833962" w:rsidRPr="00774B2C">
        <w:rPr>
          <w:szCs w:val="24"/>
          <w:vertAlign w:val="superscript"/>
        </w:rPr>
        <w:fldChar w:fldCharType="begin">
          <w:fldData xml:space="preserve">PEVuZE5vdGU+PENpdGU+PEF1dGhvcj5MaXU8L0F1dGhvcj48WWVhcj4yMDE0PC9ZZWFyPjxSZWNO
dW0+MzkwMTwvUmVjTnVtPjxEaXNwbGF5VGV4dD48c3R5bGUgZmFjZT0ic3VwZXJzY3JpcHQiPlsz
MCwgMzFdPC9zdHlsZT48L0Rpc3BsYXlUZXh0PjxyZWNvcmQ+PHJlYy1udW1iZXI+MzkwMTwvcmVj
LW51bWJlcj48Zm9yZWlnbi1rZXlzPjxrZXkgYXBwPSJFTiIgZGItaWQ9ImFlYXg5ZnJyM3NhOXJj
ZTJycGE1c2V6ZHRkMnB2MDB3Mjl6MCIgdGltZXN0YW1wPSIxNTc3ODk1NjIwIj4zOTAxPC9rZXk+
PC9mb3JlaWduLWtleXM+PHJlZi10eXBlIG5hbWU9IkpvdXJuYWwgQXJ0aWNsZSI+MTc8L3JlZi10
eXBlPjxjb250cmlidXRvcnM+PGF1dGhvcnM+PGF1dGhvcj5MaXUsIFEuPC9hdXRob3I+PGF1dGhv
cj5DYWksIFguIFcuPC9hdXRob3I+PGF1dGhvcj5XdSwgQi48L2F1dGhvcj48YXV0aG9yPlpodSwg
Wi4gRi48L2F1dGhvcj48YXV0aG9yPkNoZW4sIEguIFEuPC9hdXRob3I+PGF1dGhvcj5GdSwgWC4g
TC48L2F1dGhvcj48L2F1dGhvcnM+PC9jb250cmlidXRvcnM+PGF1dGgtYWRkcmVzcz5EZXBhcnRt
ZW50IG9mIFJhZGlhdGlvbiBPbmNvbG9neSwgRnVkYW4gVW5pdmVyc2l0eSBTaGFuZ2hhaSBDYW5j
ZXIgQ2VudGVyLCBTaGFuZ2hhaSwgUC5SLiBDaGluYTsgRGVwYXJ0bWVudCBvZiBPbmNvbG9neSwg
U2hhbmdoYWkgTWVkaWNhbCBDb2xsZWdlLCBGdWRhbiBVbml2ZXJzaXR5LCBTaGFuZ2hhaSwgUC5S
LiBDaGluYS4mI3hEO0RlcGFydG1lbnQgb2YgT25jb2xvZ3ksIFNoYW5naGFpIE1lZGljYWwgQ29s
bGVnZSwgRnVkYW4gVW5pdmVyc2l0eSwgU2hhbmdoYWksIFAuUi4gQ2hpbmE7IERlcGFydG1lbnQg
b2YgUmFkaW9sb2d5LCBGdWRhbiBVbml2ZXJzaXR5IFNoYW5naGFpIENhbmNlciBDZW50ZXIsIFNo
YW5naGFpLCBQLlIuIENoaW5hLiYjeEQ7RGVwYXJ0bWVudCBvZiBPbmNvbG9neSwgU2hhbmdoYWkg
TWVkaWNhbCBDb2xsZWdlLCBGdWRhbiBVbml2ZXJzaXR5LCBTaGFuZ2hhaSwgUC5SLiBDaGluYTsg
RGVwYXJ0bWVudCBvZiBUaG9yYWNpYyBTdXJnZXJ5LCBGdWRhbiBVbml2ZXJzaXR5IFNoYW5naGFp
IENhbmNlciBDZW50ZXIsIFNoYW5naGFpLCBQLlIuIENoaW5hLjwvYXV0aC1hZGRyZXNzPjx0aXRs
ZXM+PHRpdGxlPlBhdHRlcm5zIG9mIGZhaWx1cmUgYWZ0ZXIgcmFkaWNhbCBzdXJnZXJ5IGFtb25n
IHBhdGllbnRzIHdpdGggdGhvcmFjaWMgZXNvcGhhZ2VhbCBzcXVhbW91cyBjZWxsIGNhcmNpbm9t
YTogaW1wbGljYXRpb25zIGZvciB0aGUgY2xpbmljYWwgdGFyZ2V0IHZvbHVtZSBkZXNpZ24gb2Yg
cG9zdG9wZXJhdGl2ZSByYWRpb3RoZXJhcHk8L3RpdGxlPjxzZWNvbmRhcnktdGl0bGU+UExvUyBP
bmU8L3NlY29uZGFyeS10aXRsZT48L3RpdGxlcz48cGVyaW9kaWNhbD48ZnVsbC10aXRsZT5QTG9T
IE9uZTwvZnVsbC10aXRsZT48L3BlcmlvZGljYWw+PHBhZ2VzPmU5NzIyNTwvcGFnZXM+PHZvbHVt
ZT45PC92b2x1bWU+PG51bWJlcj41PC9udW1iZXI+PGVkaXRpb24+MjAxNC8wNS8xNDwvZWRpdGlv
bj48a2V5d29yZHM+PGtleXdvcmQ+QWR1bHQ8L2tleXdvcmQ+PGtleXdvcmQ+QWdlZDwva2V5d29y
ZD48a2V5d29yZD5DYXJjaW5vbWEsIFNxdWFtb3VzIENlbGwvZGlhZ25vc3RpYyBpbWFnaW5nLypy
YWRpb3RoZXJhcHkvKnN1cmdlcnk8L2tleXdvcmQ+PGtleXdvcmQ+RXNvcGhhZ2VhbCBOZW9wbGFz
bXMvZGlhZ25vc3RpYyBpbWFnaW5nLypyYWRpb3RoZXJhcHkvKnN1cmdlcnk8L2tleXdvcmQ+PGtl
eXdvcmQ+RXNvcGhhZ2VhbCBTcXVhbW91cyBDZWxsIENhcmNpbm9tYTwva2V5d29yZD48a2V5d29y
ZD5Fc29waGFnZWN0b215PC9rZXl3b3JkPjxrZXl3b3JkPkZlbWFsZTwva2V5d29yZD48a2V5d29y
ZD5IdW1hbnM8L2tleXdvcmQ+PGtleXdvcmQ+TWFsZTwva2V5d29yZD48a2V5d29yZD5NaWRkbGUg
QWdlZDwva2V5d29yZD48a2V5d29yZD5Qb3N0b3BlcmF0aXZlIFBlcmlvZDwva2V5d29yZD48a2V5
d29yZD5SZWN1cnJlbmNlPC9rZXl3b3JkPjxrZXl3b3JkPlJldHJvc3BlY3RpdmUgU3R1ZGllczwv
a2V5d29yZD48a2V5d29yZD5SaXNrIEZhY3RvcnM8L2tleXdvcmQ+PGtleXdvcmQ+VG9tb2dyYXBo
eSwgWC1SYXkgQ29tcHV0ZWQ8L2tleXdvcmQ+PGtleXdvcmQ+VHJlYXRtZW50IEZhaWx1cmU8L2tl
eXdvcmQ+PC9rZXl3b3Jkcz48ZGF0ZXM+PHllYXI+MjAxNDwveWVhcj48L2RhdGVzPjxpc2JuPjE5
MzItNjIwMyAoRWxlY3Ryb25pYykmI3hEOzE5MzItNjIwMyAoTGlua2luZyk8L2lzYm4+PGFjY2Vz
c2lvbi1udW0+MjQ4MjAxNzc8L2FjY2Vzc2lvbi1udW0+PHVybHM+PHJlbGF0ZWQtdXJscz48dXJs
Pmh0dHBzOi8vd3d3Lm5jYmkubmxtLm5paC5nb3YvcHVibWVkLzI0ODIwMTc3PC91cmw+PC9yZWxh
dGVkLXVybHM+PC91cmxzPjxjdXN0b20yPlBNQzQwMTgyNTU8L2N1c3RvbTI+PGVsZWN0cm9uaWMt
cmVzb3VyY2UtbnVtPjEwLjEzNzEvam91cm5hbC5wb25lLjAwOTcyMjU8L2VsZWN0cm9uaWMtcmVz
b3VyY2UtbnVtPjwvcmVjb3JkPjwvQ2l0ZT48Q2l0ZT48QXV0aG9yPlh1PC9BdXRob3I+PFllYXI+
MjAxMzwvWWVhcj48UmVjTnVtPjM5MDI8L1JlY051bT48cmVjb3JkPjxyZWMtbnVtYmVyPjM5MDI8
L3JlYy1udW1iZXI+PGZvcmVpZ24ta2V5cz48a2V5IGFwcD0iRU4iIGRiLWlkPSJhZWF4OWZycjNz
YTlyY2UycnBhNXNlemR0ZDJwdjAwdzI5ejAiIHRpbWVzdGFtcD0iMTU3Nzg5NTY5NiI+MzkwMjwv
a2V5PjwvZm9yZWlnbi1rZXlzPjxyZWYtdHlwZSBuYW1lPSJKb3VybmFsIEFydGljbGUiPjE3PC9y
ZWYtdHlwZT48Y29udHJpYnV0b3JzPjxhdXRob3JzPjxhdXRob3I+WHUsIFkuPC9hdXRob3I+PGF1
dGhvcj5DaGVuLCBRLjwvYXV0aG9yPjxhdXRob3I+WXUsIFguPC9hdXRob3I+PGF1dGhvcj5aaG91
LCBYLjwvYXV0aG9yPjxhdXRob3I+WmhlbmcsIFguPC9hdXRob3I+PGF1dGhvcj5NYW8sIFcuPC9h
dXRob3I+PC9hdXRob3JzPjwvY29udHJpYnV0b3JzPjxhdXRoLWFkZHJlc3M+RGVwYXJ0bWVudHMg
b2YgUmFkaWF0aW9uIE9uY29sb2d5LjwvYXV0aC1hZGRyZXNzPjx0aXRsZXM+PHRpdGxlPkZhY3Rv
cnMgaW5mbHVlbmNpbmcgdGhlIHJpc2sgb2YgcmVjdXJyZW5jZSBpbiBwYXRpZW50cyB3aXRoIGVz
b3BoYWdlYWwgY2FyY2lub21hIHRyZWF0ZWQgd2l0aCBzdXJnZXJ5OiBBIHNpbmdsZSBpbnN0aXR1
dGlvbiBhbmFseXNpcyBjb25zaXN0aW5nIG9mIDEwMDIgY2FzZXM8L3RpdGxlPjxzZWNvbmRhcnkt
dGl0bGU+T25jb2wgTGV0dDwvc2Vjb25kYXJ5LXRpdGxlPjwvdGl0bGVzPjxwZXJpb2RpY2FsPjxm
dWxsLXRpdGxlPk9uY29sIExldHQ8L2Z1bGwtdGl0bGU+PC9wZXJpb2RpY2FsPjxwYWdlcz4xODUt
MTkwPC9wYWdlcz48dm9sdW1lPjU8L3ZvbHVtZT48bnVtYmVyPjE8L251bWJlcj48ZWRpdGlvbj4y
MDEyLzEyLzIxPC9lZGl0aW9uPjxkYXRlcz48eWVhcj4yMDEzPC95ZWFyPjxwdWItZGF0ZXM+PGRh
dGU+SmFuPC9kYXRlPjwvcHViLWRhdGVzPjwvZGF0ZXM+PGlzYm4+MTc5Mi0xMDc0IChQcmludCkm
I3hEOzE3OTItMTA3NCAoTGlua2luZyk8L2lzYm4+PGFjY2Vzc2lvbi1udW0+MjMyNTU5MTc8L2Fj
Y2Vzc2lvbi1udW0+PHVybHM+PHJlbGF0ZWQtdXJscz48dXJsPmh0dHBzOi8vd3d3Lm5jYmkubmxt
Lm5paC5nb3YvcHVibWVkLzIzMjU1OTE3PC91cmw+PC9yZWxhdGVkLXVybHM+PC91cmxzPjxjdXN0
b20yPlBNQzM1MjUzNjQ8L2N1c3RvbTI+PGVsZWN0cm9uaWMtcmVzb3VyY2UtbnVtPjEwLjM4OTIv
b2wuMjAxMi4xMDA3PC9lbGVjdHJvbmljLXJlc291cmNlLW51bT48L3JlY29yZD48L0NpdGU+PC9F
bmROb3RlPn==
</w:fldData>
        </w:fldChar>
      </w:r>
      <w:r w:rsidR="00833962" w:rsidRPr="00774B2C">
        <w:rPr>
          <w:szCs w:val="24"/>
          <w:vertAlign w:val="superscript"/>
        </w:rPr>
        <w:instrText xml:space="preserve"> ADDIN EN.CITE.DATA </w:instrText>
      </w:r>
      <w:r w:rsidR="00833962" w:rsidRPr="00774B2C">
        <w:rPr>
          <w:szCs w:val="24"/>
          <w:vertAlign w:val="superscript"/>
        </w:rPr>
      </w:r>
      <w:r w:rsidR="00833962" w:rsidRPr="00774B2C">
        <w:rPr>
          <w:szCs w:val="24"/>
          <w:vertAlign w:val="superscript"/>
        </w:rPr>
        <w:fldChar w:fldCharType="end"/>
      </w:r>
      <w:r w:rsidR="00833962" w:rsidRPr="00774B2C">
        <w:rPr>
          <w:szCs w:val="24"/>
          <w:vertAlign w:val="superscript"/>
        </w:rPr>
      </w:r>
      <w:r w:rsidR="00833962" w:rsidRPr="00774B2C">
        <w:rPr>
          <w:szCs w:val="24"/>
          <w:vertAlign w:val="superscript"/>
        </w:rPr>
        <w:fldChar w:fldCharType="separate"/>
      </w:r>
      <w:r w:rsidR="00833962" w:rsidRPr="00774B2C">
        <w:rPr>
          <w:noProof/>
          <w:szCs w:val="24"/>
          <w:vertAlign w:val="superscript"/>
        </w:rPr>
        <w:t>[30,31]</w:t>
      </w:r>
      <w:r w:rsidR="00833962" w:rsidRPr="00774B2C">
        <w:rPr>
          <w:szCs w:val="24"/>
          <w:vertAlign w:val="superscript"/>
        </w:rPr>
        <w:fldChar w:fldCharType="end"/>
      </w:r>
      <w:r w:rsidRPr="00774B2C">
        <w:rPr>
          <w:szCs w:val="24"/>
        </w:rPr>
        <w:t>. We collected clinical data</w:t>
      </w:r>
      <w:r w:rsidR="00C67538">
        <w:rPr>
          <w:szCs w:val="24"/>
        </w:rPr>
        <w:t>,</w:t>
      </w:r>
      <w:r w:rsidRPr="00774B2C">
        <w:rPr>
          <w:szCs w:val="24"/>
        </w:rPr>
        <w:t xml:space="preserve"> grouped the patients, performed Logistic regression analysis, </w:t>
      </w:r>
      <w:r w:rsidR="00C67538">
        <w:rPr>
          <w:szCs w:val="24"/>
        </w:rPr>
        <w:t>and found</w:t>
      </w:r>
      <w:r w:rsidRPr="00774B2C">
        <w:rPr>
          <w:szCs w:val="24"/>
        </w:rPr>
        <w:t xml:space="preserve"> that tumor size, differentiation, TNM stage, and miR-1304 were independent risk factors for prognosis </w:t>
      </w:r>
      <w:r w:rsidR="0086742B">
        <w:rPr>
          <w:szCs w:val="24"/>
        </w:rPr>
        <w:t>in</w:t>
      </w:r>
      <w:r w:rsidRPr="00774B2C">
        <w:rPr>
          <w:szCs w:val="24"/>
        </w:rPr>
        <w:t xml:space="preserve"> the</w:t>
      </w:r>
      <w:r w:rsidR="00C67538">
        <w:rPr>
          <w:szCs w:val="24"/>
        </w:rPr>
        <w:t>se</w:t>
      </w:r>
      <w:r w:rsidRPr="00774B2C">
        <w:rPr>
          <w:szCs w:val="24"/>
        </w:rPr>
        <w:t xml:space="preserve"> patients. In addition, we drew ROC curves</w:t>
      </w:r>
      <w:r w:rsidR="00C67538">
        <w:rPr>
          <w:szCs w:val="24"/>
        </w:rPr>
        <w:t xml:space="preserve"> and found</w:t>
      </w:r>
      <w:r w:rsidRPr="00774B2C">
        <w:rPr>
          <w:szCs w:val="24"/>
        </w:rPr>
        <w:t xml:space="preserve"> that the AUC of miR-1304 for predicting recurrence of esophageal carcinoma was larger than 0.7, and larger than that </w:t>
      </w:r>
      <w:r w:rsidR="00C67538">
        <w:rPr>
          <w:szCs w:val="24"/>
        </w:rPr>
        <w:t>for</w:t>
      </w:r>
      <w:r w:rsidRPr="00774B2C">
        <w:rPr>
          <w:szCs w:val="24"/>
        </w:rPr>
        <w:t xml:space="preserve"> tumor size, differentiation, and TNM stage. Many studies have confirmed that tumor size, differentiation and TNM stage are independent risk factors for recurrence in patients</w:t>
      </w:r>
      <w:r w:rsidR="00833962" w:rsidRPr="00774B2C">
        <w:rPr>
          <w:szCs w:val="24"/>
        </w:rPr>
        <w:fldChar w:fldCharType="begin">
          <w:fldData xml:space="preserve">PEVuZE5vdGU+PENpdGU+PEF1dGhvcj5OaW5vbWl5YTwvQXV0aG9yPjxZZWFyPjIwMTY8L1llYXI+
PFJlY051bT4zOTAzPC9SZWNOdW0+PERpc3BsYXlUZXh0PjxzdHlsZSBmYWNlPSJzdXBlcnNjcmlw
dCI+WzMyLCAzM108L3N0eWxlPjwvRGlzcGxheVRleHQ+PHJlY29yZD48cmVjLW51bWJlcj4zOTAz
PC9yZWMtbnVtYmVyPjxmb3JlaWduLWtleXM+PGtleSBhcHA9IkVOIiBkYi1pZD0iYWVheDlmcnIz
c2E5cmNlMnJwYTVzZXpkdGQycHYwMHcyOXowIiB0aW1lc3RhbXA9IjE1Nzc4OTU4MTciPjM5MDM8
L2tleT48L2ZvcmVpZ24ta2V5cz48cmVmLXR5cGUgbmFtZT0iSm91cm5hbCBBcnRpY2xlIj4xNzwv
cmVmLXR5cGU+PGNvbnRyaWJ1dG9ycz48YXV0aG9ycz48YXV0aG9yPk5pbm9taXlhLCBJLjwvYXV0
aG9yPjxhdXRob3I+T2thbW90bywgSy48L2F1dGhvcj48YXV0aG9yPlRzdWthZGEsIFQuPC9hdXRo
b3I+PGF1dGhvcj5LaW5vc2hpdGEsIEouPC9hdXRob3I+PGF1dGhvcj5PeWFtYSwgSy48L2F1dGhv
cj48YXV0aG9yPkZ1c2hpZGEsIFMuPC9hdXRob3I+PGF1dGhvcj5Pc3VnaSwgSC48L2F1dGhvcj48
YXV0aG9yPk9odGEsIFQuPC9hdXRob3I+PC9hdXRob3JzPjwvY29udHJpYnV0b3JzPjxhdXRoLWFk
ZHJlc3M+R2FzdHJvZW50ZXJvbG9naWMgU3VyZ2VyeSwgRGVwYXJ0bWVudCBvZiBPbmNvbG9neSwg
RGl2aXNpb24gb2YgQ2FuY2VyIE1lZGljaW5lLCBHcmFkdWF0ZSBTY2hvb2wgb2YgTWVkaWNhbCBT
Y2llbmNlLCBLYW5hemF3YSBVbml2ZXJzaXR5LCBLYW5hemF3YSwgSXNoaWthd2EgOTIwLTg2NDEs
IEphcGFuLiYjeEQ7RGVwYXJ0bWVudCBvZiBHYXN0cm9lbnRlcm9sb2dpY2FsIFN1cmdlcnksIE9z
YWthIENpdHkgVW5pdmVyc2l0eSwgR3JhZHVhdGUgU2Nob29sIG9mIE1lZGljaW5lLCBPc2FrYSA1
NjUtMDg3MSwgSmFwYW4uPC9hdXRoLWFkZHJlc3M+PHRpdGxlcz48dGl0bGU+UmVjdXJyZW5jZSBw
YXR0ZXJucyBhbmQgcmlzayBmYWN0b3JzIGZvbGxvd2luZyB0aG9yYWNvc2NvcGljIGVzb3BoYWdl
Y3RvbXkgd2l0aCByYWRpY2FsIGx5bXBoIG5vZGUgZGlzc2VjdGlvbiBmb3IgdGhvcmFjaWMgZXNv
cGhhZ2VhbCBzcXVhbW91cyBjZWxsIGNhcmNpbm9tYTwvdGl0bGU+PHNlY29uZGFyeS10aXRsZT5N
b2wgQ2xpbiBPbmNvbDwvc2Vjb25kYXJ5LXRpdGxlPjwvdGl0bGVzPjxwZXJpb2RpY2FsPjxmdWxs
LXRpdGxlPk1vbCBDbGluIE9uY29sPC9mdWxsLXRpdGxlPjwvcGVyaW9kaWNhbD48cGFnZXM+Mjc4
LTI4NDwvcGFnZXM+PHZvbHVtZT40PC92b2x1bWU+PG51bWJlcj4yPC9udW1iZXI+PGVkaXRpb24+
MjAxNi8wMi8yMDwvZWRpdGlvbj48a2V5d29yZHM+PGtleXdvcmQ+ZXNvcGhhZ2VhbCBjYW5jZXI8
L2tleXdvcmQ+PGtleXdvcmQ+cmVjdXJyZW5jZTwva2V5d29yZD48a2V5d29yZD5yaXNrIGZhY3Rv
cnM8L2tleXdvcmQ+PGtleXdvcmQ+c3F1YW1vdXMgY2VsbCBjYXJjaW5vbWE8L2tleXdvcmQ+PGtl
eXdvcmQ+dGhvcmFjb3Njb3B5PC9rZXl3b3JkPjwva2V5d29yZHM+PGRhdGVzPjx5ZWFyPjIwMTY8
L3llYXI+PHB1Yi1kYXRlcz48ZGF0ZT5GZWI8L2RhdGU+PC9wdWItZGF0ZXM+PC9kYXRlcz48aXNi
bj4yMDQ5LTk0NTAgKFByaW50KSYjeEQ7MjA0OS05NDUwIChMaW5raW5nKTwvaXNibj48YWNjZXNz
aW9uLW51bT4yNjg5Mzg3NTwvYWNjZXNzaW9uLW51bT48dXJscz48cmVsYXRlZC11cmxzPjx1cmw+
aHR0cHM6Ly93d3cubmNiaS5ubG0ubmloLmdvdi9wdWJtZWQvMjY4OTM4NzU8L3VybD48L3JlbGF0
ZWQtdXJscz48L3VybHM+PGN1c3RvbTI+UE1DNDczNDE0NTwvY3VzdG9tMj48ZWxlY3Ryb25pYy1y
ZXNvdXJjZS1udW0+MTAuMzg5Mi9tY28uMjAxNS42ODg8L2VsZWN0cm9uaWMtcmVzb3VyY2UtbnVt
PjwvcmVjb3JkPjwvQ2l0ZT48Q2l0ZT48QXV0aG9yPktvZm9lZDwvQXV0aG9yPjxZZWFyPjIwMTU8
L1llYXI+PFJlY051bT4zOTA0PC9SZWNOdW0+PHJlY29yZD48cmVjLW51bWJlcj4zOTA0PC9yZWMt
bnVtYmVyPjxmb3JlaWduLWtleXM+PGtleSBhcHA9IkVOIiBkYi1pZD0iYWVheDlmcnIzc2E5cmNl
MnJwYTVzZXpkdGQycHYwMHcyOXowIiB0aW1lc3RhbXA9IjE1Nzc4OTU4NjYiPjM5MDQ8L2tleT48
L2ZvcmVpZ24ta2V5cz48cmVmLXR5cGUgbmFtZT0iSm91cm5hbCBBcnRpY2xlIj4xNzwvcmVmLXR5
cGU+PGNvbnRyaWJ1dG9ycz48YXV0aG9ycz48YXV0aG9yPktvZm9lZCwgUy4gQy48L2F1dGhvcj48
YXV0aG9yPkNhbGF0YXl1ZCwgRC48L2F1dGhvcj48YXV0aG9yPkplbnNlbiwgTC4gUy48L2F1dGhv
cj48YXV0aG9yPkhlbGdzdHJhbmQsIEYuPC9hdXRob3I+PGF1dGhvcj5BY2hpYW0sIE0uIFAuPC9h
dXRob3I+PGF1dGhvcj5EZSBIZWVyLCBQLjwvYXV0aG9yPjxhdXRob3I+U3ZlbmRzZW4sIEwuIEIu
PC9hdXRob3I+PGF1dGhvcj5EYW5pc2ggRXNvcGhhZ2VhbCwgQ2FyZGlhPC9hdXRob3I+PGF1dGhv
cj5TdG9tYWNoIENhbmNlciwgR3JvdXA8L2F1dGhvcj48L2F1dGhvcnM+PC9jb250cmlidXRvcnM+
PGF1dGgtYWRkcmVzcz5EZXBhcnRtZW50IG9mIFN1cmdlcnkgJmFtcDsgVHJhbnNwbGFudGF0aW9u
LCBSaWdzaG9zcGl0YWxldCwgVW5pdmVyc2l0eSBvZiBDb3BlbmhhZ2VuLCBDb3BlbmhhZ2VuLCBE
ZW5tYXJrLiBFbGVjdHJvbmljIGFkZHJlc3M6IFN0ZWVuLkNocmlzdGlhbi5Lb2ZvZWRAcmVnaW9u
aC5kay4mI3hEO0RlcGFydG1lbnQgb2YgU3VyZ2VyeSAmYW1wOyBUcmFuc3BsYW50YXRpb24sIFJp
Z3Nob3NwaXRhbGV0LCBVbml2ZXJzaXR5IG9mIENvcGVuaGFnZW4sIENvcGVuaGFnZW4sIERlbm1h
cmsuJiN4RDtEZXBhcnRtZW50IG9mIFN1cmdlcnksIEFhcmh1cyBIb3NwaXRhbCwgVW5pdmVyc2l0
eSBvZiBBYXJodXMsIEFhcmh1cywgRGVubWFyay48L2F1dGgtYWRkcmVzcz48dGl0bGVzPjx0aXRs
ZT5JbnRyYXRob3JhY2ljIGFuYXN0b21vdGljIGxlYWthZ2UgYWZ0ZXIgZ2FzdHJvZXNvcGhhZ2Vh
bCBjYW5jZXIgcmVzZWN0aW9uIGlzIGFzc29jaWF0ZWQgd2l0aCBpbmNyZWFzZWQgcmlzayBvZiBy
ZWN1cnJlbmNlPC90aXRsZT48c2Vjb25kYXJ5LXRpdGxlPkogVGhvcmFjIENhcmRpb3Zhc2MgU3Vy
Zzwvc2Vjb25kYXJ5LXRpdGxlPjwvdGl0bGVzPjxwZXJpb2RpY2FsPjxmdWxsLXRpdGxlPkogVGhv
cmFjIENhcmRpb3Zhc2MgU3VyZzwvZnVsbC10aXRsZT48L3BlcmlvZGljYWw+PHBhZ2VzPjQyLTg8
L3BhZ2VzPjx2b2x1bWU+MTUwPC92b2x1bWU+PG51bWJlcj4xPC9udW1iZXI+PGVkaXRpb24+MjAx
NS8wNS8yMDwvZWRpdGlvbj48a2V5d29yZHM+PGtleXdvcmQ+QW5hc3RvbW90aWMgTGVhay8qZXBp
ZGVtaW9sb2d5PC9rZXl3b3JkPjxrZXl3b3JkPkVzb3BoYWdlYWwgTmVvcGxhc21zLyplcGlkZW1p
b2xvZ3kvKnN1cmdlcnk8L2tleXdvcmQ+PGtleXdvcmQ+KkVzb3BoYWdvZ2FzdHJpYyBKdW5jdGlv
bjwva2V5d29yZD48a2V5d29yZD5GZW1hbGU8L2tleXdvcmQ+PGtleXdvcmQ+SHVtYW5zPC9rZXl3
b3JkPjxrZXl3b3JkPk1hbGU8L2tleXdvcmQ+PGtleXdvcmQ+TWlkZGxlIEFnZWQ8L2tleXdvcmQ+
PGtleXdvcmQ+TmVvcGxhc20gUmVjdXJyZW5jZSwgTG9jYWwvKmVwaWRlbWlvbG9neTwva2V5d29y
ZD48a2V5d29yZD5Qcm9zcGVjdGl2ZSBTdHVkaWVzPC9rZXl3b3JkPjxrZXl3b3JkPlJpc2sgQXNz
ZXNzbWVudDwva2V5d29yZD48a2V5d29yZD5TdG9tYWNoIE5lb3BsYXNtcy8qZXBpZGVtaW9sb2d5
LypzdXJnZXJ5PC9rZXl3b3JkPjxrZXl3b3JkPlRob3JheDwva2V5d29yZD48a2V5d29yZD5MZWFr
PC9rZXl3b3JkPjxrZXl3b3JkPmNhbmNlcjwva2V5d29yZD48a2V5d29yZD5nYXN0cm9lc29waGFn
ZWFsPC9rZXl3b3JkPjxrZXl3b3JkPnN1cnZpdmFsPC9rZXl3b3JkPjwva2V5d29yZHM+PGRhdGVz
Pjx5ZWFyPjIwMTU8L3llYXI+PHB1Yi1kYXRlcz48ZGF0ZT5KdWw8L2RhdGU+PC9wdWItZGF0ZXM+
PC9kYXRlcz48aXNibj4xMDk3LTY4NVggKEVsZWN0cm9uaWMpJiN4RDswMDIyLTUyMjMgKExpbmtp
bmcpPC9pc2JuPjxhY2Nlc3Npb24tbnVtPjI1OTg2NDkzPC9hY2Nlc3Npb24tbnVtPjx1cmxzPjxy
ZWxhdGVkLXVybHM+PHVybD5odHRwczovL3d3dy5uY2JpLm5sbS5uaWguZ292L3B1Ym1lZC8yNTk4
NjQ5MzwvdXJsPjwvcmVsYXRlZC11cmxzPjwvdXJscz48ZWxlY3Ryb25pYy1yZXNvdXJjZS1udW0+
MTAuMTAxNi9qLmp0Y3ZzLjIwMTUuMDQuMDMwPC9lbGVjdHJvbmljLXJlc291cmNlLW51bT48L3Jl
Y29yZD48L0NpdGU+PC9FbmROb3RlPn==
</w:fldData>
        </w:fldChar>
      </w:r>
      <w:r w:rsidR="00833962" w:rsidRPr="00774B2C">
        <w:rPr>
          <w:szCs w:val="24"/>
        </w:rPr>
        <w:instrText xml:space="preserve"> ADDIN EN.CITE </w:instrText>
      </w:r>
      <w:r w:rsidR="00833962" w:rsidRPr="00774B2C">
        <w:rPr>
          <w:szCs w:val="24"/>
        </w:rPr>
        <w:fldChar w:fldCharType="begin">
          <w:fldData xml:space="preserve">PEVuZE5vdGU+PENpdGU+PEF1dGhvcj5OaW5vbWl5YTwvQXV0aG9yPjxZZWFyPjIwMTY8L1llYXI+
PFJlY051bT4zOTAzPC9SZWNOdW0+PERpc3BsYXlUZXh0PjxzdHlsZSBmYWNlPSJzdXBlcnNjcmlw
dCI+WzMyLCAzM108L3N0eWxlPjwvRGlzcGxheVRleHQ+PHJlY29yZD48cmVjLW51bWJlcj4zOTAz
PC9yZWMtbnVtYmVyPjxmb3JlaWduLWtleXM+PGtleSBhcHA9IkVOIiBkYi1pZD0iYWVheDlmcnIz
c2E5cmNlMnJwYTVzZXpkdGQycHYwMHcyOXowIiB0aW1lc3RhbXA9IjE1Nzc4OTU4MTciPjM5MDM8
L2tleT48L2ZvcmVpZ24ta2V5cz48cmVmLXR5cGUgbmFtZT0iSm91cm5hbCBBcnRpY2xlIj4xNzwv
cmVmLXR5cGU+PGNvbnRyaWJ1dG9ycz48YXV0aG9ycz48YXV0aG9yPk5pbm9taXlhLCBJLjwvYXV0
aG9yPjxhdXRob3I+T2thbW90bywgSy48L2F1dGhvcj48YXV0aG9yPlRzdWthZGEsIFQuPC9hdXRo
b3I+PGF1dGhvcj5LaW5vc2hpdGEsIEouPC9hdXRob3I+PGF1dGhvcj5PeWFtYSwgSy48L2F1dGhv
cj48YXV0aG9yPkZ1c2hpZGEsIFMuPC9hdXRob3I+PGF1dGhvcj5Pc3VnaSwgSC48L2F1dGhvcj48
YXV0aG9yPk9odGEsIFQuPC9hdXRob3I+PC9hdXRob3JzPjwvY29udHJpYnV0b3JzPjxhdXRoLWFk
ZHJlc3M+R2FzdHJvZW50ZXJvbG9naWMgU3VyZ2VyeSwgRGVwYXJ0bWVudCBvZiBPbmNvbG9neSwg
RGl2aXNpb24gb2YgQ2FuY2VyIE1lZGljaW5lLCBHcmFkdWF0ZSBTY2hvb2wgb2YgTWVkaWNhbCBT
Y2llbmNlLCBLYW5hemF3YSBVbml2ZXJzaXR5LCBLYW5hemF3YSwgSXNoaWthd2EgOTIwLTg2NDEs
IEphcGFuLiYjeEQ7RGVwYXJ0bWVudCBvZiBHYXN0cm9lbnRlcm9sb2dpY2FsIFN1cmdlcnksIE9z
YWthIENpdHkgVW5pdmVyc2l0eSwgR3JhZHVhdGUgU2Nob29sIG9mIE1lZGljaW5lLCBPc2FrYSA1
NjUtMDg3MSwgSmFwYW4uPC9hdXRoLWFkZHJlc3M+PHRpdGxlcz48dGl0bGU+UmVjdXJyZW5jZSBw
YXR0ZXJucyBhbmQgcmlzayBmYWN0b3JzIGZvbGxvd2luZyB0aG9yYWNvc2NvcGljIGVzb3BoYWdl
Y3RvbXkgd2l0aCByYWRpY2FsIGx5bXBoIG5vZGUgZGlzc2VjdGlvbiBmb3IgdGhvcmFjaWMgZXNv
cGhhZ2VhbCBzcXVhbW91cyBjZWxsIGNhcmNpbm9tYTwvdGl0bGU+PHNlY29uZGFyeS10aXRsZT5N
b2wgQ2xpbiBPbmNvbDwvc2Vjb25kYXJ5LXRpdGxlPjwvdGl0bGVzPjxwZXJpb2RpY2FsPjxmdWxs
LXRpdGxlPk1vbCBDbGluIE9uY29sPC9mdWxsLXRpdGxlPjwvcGVyaW9kaWNhbD48cGFnZXM+Mjc4
LTI4NDwvcGFnZXM+PHZvbHVtZT40PC92b2x1bWU+PG51bWJlcj4yPC9udW1iZXI+PGVkaXRpb24+
MjAxNi8wMi8yMDwvZWRpdGlvbj48a2V5d29yZHM+PGtleXdvcmQ+ZXNvcGhhZ2VhbCBjYW5jZXI8
L2tleXdvcmQ+PGtleXdvcmQ+cmVjdXJyZW5jZTwva2V5d29yZD48a2V5d29yZD5yaXNrIGZhY3Rv
cnM8L2tleXdvcmQ+PGtleXdvcmQ+c3F1YW1vdXMgY2VsbCBjYXJjaW5vbWE8L2tleXdvcmQ+PGtl
eXdvcmQ+dGhvcmFjb3Njb3B5PC9rZXl3b3JkPjwva2V5d29yZHM+PGRhdGVzPjx5ZWFyPjIwMTY8
L3llYXI+PHB1Yi1kYXRlcz48ZGF0ZT5GZWI8L2RhdGU+PC9wdWItZGF0ZXM+PC9kYXRlcz48aXNi
bj4yMDQ5LTk0NTAgKFByaW50KSYjeEQ7MjA0OS05NDUwIChMaW5raW5nKTwvaXNibj48YWNjZXNz
aW9uLW51bT4yNjg5Mzg3NTwvYWNjZXNzaW9uLW51bT48dXJscz48cmVsYXRlZC11cmxzPjx1cmw+
aHR0cHM6Ly93d3cubmNiaS5ubG0ubmloLmdvdi9wdWJtZWQvMjY4OTM4NzU8L3VybD48L3JlbGF0
ZWQtdXJscz48L3VybHM+PGN1c3RvbTI+UE1DNDczNDE0NTwvY3VzdG9tMj48ZWxlY3Ryb25pYy1y
ZXNvdXJjZS1udW0+MTAuMzg5Mi9tY28uMjAxNS42ODg8L2VsZWN0cm9uaWMtcmVzb3VyY2UtbnVt
PjwvcmVjb3JkPjwvQ2l0ZT48Q2l0ZT48QXV0aG9yPktvZm9lZDwvQXV0aG9yPjxZZWFyPjIwMTU8
L1llYXI+PFJlY051bT4zOTA0PC9SZWNOdW0+PHJlY29yZD48cmVjLW51bWJlcj4zOTA0PC9yZWMt
bnVtYmVyPjxmb3JlaWduLWtleXM+PGtleSBhcHA9IkVOIiBkYi1pZD0iYWVheDlmcnIzc2E5cmNl
MnJwYTVzZXpkdGQycHYwMHcyOXowIiB0aW1lc3RhbXA9IjE1Nzc4OTU4NjYiPjM5MDQ8L2tleT48
L2ZvcmVpZ24ta2V5cz48cmVmLXR5cGUgbmFtZT0iSm91cm5hbCBBcnRpY2xlIj4xNzwvcmVmLXR5
cGU+PGNvbnRyaWJ1dG9ycz48YXV0aG9ycz48YXV0aG9yPktvZm9lZCwgUy4gQy48L2F1dGhvcj48
YXV0aG9yPkNhbGF0YXl1ZCwgRC48L2F1dGhvcj48YXV0aG9yPkplbnNlbiwgTC4gUy48L2F1dGhv
cj48YXV0aG9yPkhlbGdzdHJhbmQsIEYuPC9hdXRob3I+PGF1dGhvcj5BY2hpYW0sIE0uIFAuPC9h
dXRob3I+PGF1dGhvcj5EZSBIZWVyLCBQLjwvYXV0aG9yPjxhdXRob3I+U3ZlbmRzZW4sIEwuIEIu
PC9hdXRob3I+PGF1dGhvcj5EYW5pc2ggRXNvcGhhZ2VhbCwgQ2FyZGlhPC9hdXRob3I+PGF1dGhv
cj5TdG9tYWNoIENhbmNlciwgR3JvdXA8L2F1dGhvcj48L2F1dGhvcnM+PC9jb250cmlidXRvcnM+
PGF1dGgtYWRkcmVzcz5EZXBhcnRtZW50IG9mIFN1cmdlcnkgJmFtcDsgVHJhbnNwbGFudGF0aW9u
LCBSaWdzaG9zcGl0YWxldCwgVW5pdmVyc2l0eSBvZiBDb3BlbmhhZ2VuLCBDb3BlbmhhZ2VuLCBE
ZW5tYXJrLiBFbGVjdHJvbmljIGFkZHJlc3M6IFN0ZWVuLkNocmlzdGlhbi5Lb2ZvZWRAcmVnaW9u
aC5kay4mI3hEO0RlcGFydG1lbnQgb2YgU3VyZ2VyeSAmYW1wOyBUcmFuc3BsYW50YXRpb24sIFJp
Z3Nob3NwaXRhbGV0LCBVbml2ZXJzaXR5IG9mIENvcGVuaGFnZW4sIENvcGVuaGFnZW4sIERlbm1h
cmsuJiN4RDtEZXBhcnRtZW50IG9mIFN1cmdlcnksIEFhcmh1cyBIb3NwaXRhbCwgVW5pdmVyc2l0
eSBvZiBBYXJodXMsIEFhcmh1cywgRGVubWFyay48L2F1dGgtYWRkcmVzcz48dGl0bGVzPjx0aXRs
ZT5JbnRyYXRob3JhY2ljIGFuYXN0b21vdGljIGxlYWthZ2UgYWZ0ZXIgZ2FzdHJvZXNvcGhhZ2Vh
bCBjYW5jZXIgcmVzZWN0aW9uIGlzIGFzc29jaWF0ZWQgd2l0aCBpbmNyZWFzZWQgcmlzayBvZiBy
ZWN1cnJlbmNlPC90aXRsZT48c2Vjb25kYXJ5LXRpdGxlPkogVGhvcmFjIENhcmRpb3Zhc2MgU3Vy
Zzwvc2Vjb25kYXJ5LXRpdGxlPjwvdGl0bGVzPjxwZXJpb2RpY2FsPjxmdWxsLXRpdGxlPkogVGhv
cmFjIENhcmRpb3Zhc2MgU3VyZzwvZnVsbC10aXRsZT48L3BlcmlvZGljYWw+PHBhZ2VzPjQyLTg8
L3BhZ2VzPjx2b2x1bWU+MTUwPC92b2x1bWU+PG51bWJlcj4xPC9udW1iZXI+PGVkaXRpb24+MjAx
NS8wNS8yMDwvZWRpdGlvbj48a2V5d29yZHM+PGtleXdvcmQ+QW5hc3RvbW90aWMgTGVhay8qZXBp
ZGVtaW9sb2d5PC9rZXl3b3JkPjxrZXl3b3JkPkVzb3BoYWdlYWwgTmVvcGxhc21zLyplcGlkZW1p
b2xvZ3kvKnN1cmdlcnk8L2tleXdvcmQ+PGtleXdvcmQ+KkVzb3BoYWdvZ2FzdHJpYyBKdW5jdGlv
bjwva2V5d29yZD48a2V5d29yZD5GZW1hbGU8L2tleXdvcmQ+PGtleXdvcmQ+SHVtYW5zPC9rZXl3
b3JkPjxrZXl3b3JkPk1hbGU8L2tleXdvcmQ+PGtleXdvcmQ+TWlkZGxlIEFnZWQ8L2tleXdvcmQ+
PGtleXdvcmQ+TmVvcGxhc20gUmVjdXJyZW5jZSwgTG9jYWwvKmVwaWRlbWlvbG9neTwva2V5d29y
ZD48a2V5d29yZD5Qcm9zcGVjdGl2ZSBTdHVkaWVzPC9rZXl3b3JkPjxrZXl3b3JkPlJpc2sgQXNz
ZXNzbWVudDwva2V5d29yZD48a2V5d29yZD5TdG9tYWNoIE5lb3BsYXNtcy8qZXBpZGVtaW9sb2d5
LypzdXJnZXJ5PC9rZXl3b3JkPjxrZXl3b3JkPlRob3JheDwva2V5d29yZD48a2V5d29yZD5MZWFr
PC9rZXl3b3JkPjxrZXl3b3JkPmNhbmNlcjwva2V5d29yZD48a2V5d29yZD5nYXN0cm9lc29waGFn
ZWFsPC9rZXl3b3JkPjxrZXl3b3JkPnN1cnZpdmFsPC9rZXl3b3JkPjwva2V5d29yZHM+PGRhdGVz
Pjx5ZWFyPjIwMTU8L3llYXI+PHB1Yi1kYXRlcz48ZGF0ZT5KdWw8L2RhdGU+PC9wdWItZGF0ZXM+
PC9kYXRlcz48aXNibj4xMDk3LTY4NVggKEVsZWN0cm9uaWMpJiN4RDswMDIyLTUyMjMgKExpbmtp
bmcpPC9pc2JuPjxhY2Nlc3Npb24tbnVtPjI1OTg2NDkzPC9hY2Nlc3Npb24tbnVtPjx1cmxzPjxy
ZWxhdGVkLXVybHM+PHVybD5odHRwczovL3d3dy5uY2JpLm5sbS5uaWguZ292L3B1Ym1lZC8yNTk4
NjQ5MzwvdXJsPjwvcmVsYXRlZC11cmxzPjwvdXJscz48ZWxlY3Ryb25pYy1yZXNvdXJjZS1udW0+
MTAuMTAxNi9qLmp0Y3ZzLjIwMTUuMDQuMDMwPC9lbGVjdHJvbmljLXJlc291cmNlLW51bT48L3Jl
Y29yZD48L0NpdGU+PC9FbmROb3RlPn==
</w:fldData>
        </w:fldChar>
      </w:r>
      <w:r w:rsidR="00833962" w:rsidRPr="00774B2C">
        <w:rPr>
          <w:szCs w:val="24"/>
        </w:rPr>
        <w:instrText xml:space="preserve"> ADDIN EN.CITE.DATA </w:instrText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end"/>
      </w:r>
      <w:r w:rsidR="00833962" w:rsidRPr="00774B2C">
        <w:rPr>
          <w:szCs w:val="24"/>
        </w:rPr>
      </w:r>
      <w:r w:rsidR="00833962" w:rsidRPr="00774B2C">
        <w:rPr>
          <w:szCs w:val="24"/>
        </w:rPr>
        <w:fldChar w:fldCharType="separate"/>
      </w:r>
      <w:r w:rsidR="00833962" w:rsidRPr="00774B2C">
        <w:rPr>
          <w:noProof/>
          <w:szCs w:val="24"/>
          <w:vertAlign w:val="superscript"/>
        </w:rPr>
        <w:t>[32,33]</w:t>
      </w:r>
      <w:r w:rsidR="00833962" w:rsidRPr="00774B2C">
        <w:rPr>
          <w:szCs w:val="24"/>
        </w:rPr>
        <w:fldChar w:fldCharType="end"/>
      </w:r>
      <w:r w:rsidRPr="00774B2C">
        <w:rPr>
          <w:szCs w:val="24"/>
        </w:rPr>
        <w:t xml:space="preserve">, but </w:t>
      </w:r>
      <w:r w:rsidR="00C67538">
        <w:rPr>
          <w:szCs w:val="24"/>
        </w:rPr>
        <w:t>this</w:t>
      </w:r>
      <w:r w:rsidRPr="00774B2C">
        <w:rPr>
          <w:szCs w:val="24"/>
        </w:rPr>
        <w:t xml:space="preserve"> is the first report </w:t>
      </w:r>
      <w:r w:rsidR="0086742B">
        <w:rPr>
          <w:szCs w:val="24"/>
        </w:rPr>
        <w:t xml:space="preserve">to discover </w:t>
      </w:r>
      <w:r w:rsidRPr="00774B2C">
        <w:rPr>
          <w:szCs w:val="24"/>
        </w:rPr>
        <w:t xml:space="preserve">that miR-1304 </w:t>
      </w:r>
      <w:r w:rsidR="00C67538">
        <w:rPr>
          <w:szCs w:val="24"/>
        </w:rPr>
        <w:t>may</w:t>
      </w:r>
      <w:r w:rsidRPr="00774B2C">
        <w:rPr>
          <w:szCs w:val="24"/>
        </w:rPr>
        <w:t xml:space="preserve"> be an independent risk factor for </w:t>
      </w:r>
      <w:r w:rsidR="0086742B">
        <w:rPr>
          <w:szCs w:val="24"/>
        </w:rPr>
        <w:t xml:space="preserve">the </w:t>
      </w:r>
      <w:r w:rsidRPr="00774B2C">
        <w:rPr>
          <w:szCs w:val="24"/>
        </w:rPr>
        <w:t xml:space="preserve">recurrence of esophageal carcinoma, which suggests that the expression of miR-1304 has certain predicative value in recurrence in </w:t>
      </w:r>
      <w:r w:rsidR="0086742B">
        <w:rPr>
          <w:szCs w:val="24"/>
        </w:rPr>
        <w:t xml:space="preserve">these </w:t>
      </w:r>
      <w:r w:rsidRPr="00774B2C">
        <w:rPr>
          <w:szCs w:val="24"/>
        </w:rPr>
        <w:t>patients.</w:t>
      </w:r>
    </w:p>
    <w:p w14:paraId="723A5C58" w14:textId="5C04E264" w:rsidR="00483403" w:rsidRPr="00774B2C" w:rsidRDefault="00483403" w:rsidP="005D3A57">
      <w:pPr>
        <w:adjustRightInd w:val="0"/>
        <w:snapToGrid w:val="0"/>
        <w:ind w:firstLineChars="100" w:firstLine="240"/>
        <w:rPr>
          <w:rFonts w:eastAsia="楷体"/>
          <w:szCs w:val="24"/>
        </w:rPr>
      </w:pPr>
      <w:r w:rsidRPr="00774B2C">
        <w:rPr>
          <w:szCs w:val="24"/>
        </w:rPr>
        <w:t xml:space="preserve">In addition, this study followed patients </w:t>
      </w:r>
      <w:r w:rsidR="00C64D7C">
        <w:rPr>
          <w:szCs w:val="24"/>
        </w:rPr>
        <w:t>to assess</w:t>
      </w:r>
      <w:r w:rsidRPr="00774B2C">
        <w:rPr>
          <w:szCs w:val="24"/>
        </w:rPr>
        <w:t xml:space="preserve"> the</w:t>
      </w:r>
      <w:r w:rsidR="00C64D7C">
        <w:rPr>
          <w:szCs w:val="24"/>
        </w:rPr>
        <w:t>ir</w:t>
      </w:r>
      <w:r w:rsidRPr="00774B2C">
        <w:rPr>
          <w:szCs w:val="24"/>
        </w:rPr>
        <w:t xml:space="preserve"> 3-year survival </w:t>
      </w:r>
      <w:r w:rsidR="00C64D7C">
        <w:rPr>
          <w:szCs w:val="24"/>
        </w:rPr>
        <w:t>rate</w:t>
      </w:r>
      <w:r w:rsidRPr="00774B2C">
        <w:rPr>
          <w:szCs w:val="24"/>
        </w:rPr>
        <w:t xml:space="preserve">, and found that the 3-year overall survival rate was 38.46%, which was consistent with </w:t>
      </w:r>
      <w:r w:rsidR="00C64D7C">
        <w:rPr>
          <w:szCs w:val="24"/>
        </w:rPr>
        <w:t>national</w:t>
      </w:r>
      <w:r w:rsidRPr="00774B2C">
        <w:rPr>
          <w:szCs w:val="24"/>
        </w:rPr>
        <w:t xml:space="preserve"> and </w:t>
      </w:r>
      <w:r w:rsidR="00C64D7C">
        <w:rPr>
          <w:szCs w:val="24"/>
        </w:rPr>
        <w:t>international</w:t>
      </w:r>
      <w:r w:rsidRPr="00774B2C">
        <w:rPr>
          <w:szCs w:val="24"/>
        </w:rPr>
        <w:t xml:space="preserve"> </w:t>
      </w:r>
      <w:proofErr w:type="gramStart"/>
      <w:r w:rsidRPr="00774B2C">
        <w:rPr>
          <w:szCs w:val="24"/>
        </w:rPr>
        <w:t>studies</w:t>
      </w:r>
      <w:proofErr w:type="gramEnd"/>
      <w:r w:rsidR="004F1A88" w:rsidRPr="00774B2C">
        <w:rPr>
          <w:szCs w:val="24"/>
          <w:vertAlign w:val="superscript"/>
        </w:rPr>
        <w:fldChar w:fldCharType="begin">
          <w:fldData xml:space="preserve">PEVuZE5vdGU+PENpdGU+PEF1dGhvcj5MYXJ1ZTwvQXV0aG9yPjxZZWFyPjIwMTg8L1llYXI+PFJl
Y051bT4zOTA1PC9SZWNOdW0+PERpc3BsYXlUZXh0PjxzdHlsZSBmYWNlPSJzdXBlcnNjcmlwdCI+
WzM0LCAzNV08L3N0eWxlPjwvRGlzcGxheVRleHQ+PHJlY29yZD48cmVjLW51bWJlcj4zOTA1PC9y
ZWMtbnVtYmVyPjxmb3JlaWduLWtleXM+PGtleSBhcHA9IkVOIiBkYi1pZD0iYWVheDlmcnIzc2E5
cmNlMnJwYTVzZXpkdGQycHYwMHcyOXowIiB0aW1lc3RhbXA9IjE1Nzc4OTYwMzAiPjM5MDU8L2tl
eT48L2ZvcmVpZ24ta2V5cz48cmVmLXR5cGUgbmFtZT0iSm91cm5hbCBBcnRpY2xlIj4xNzwvcmVm
LXR5cGU+PGNvbnRyaWJ1dG9ycz48YXV0aG9ycz48YXV0aG9yPkxhcnVlLCBSdGhtPC9hdXRob3I+
PGF1dGhvcj5LbGFhc3NlbiwgUi48L2F1dGhvcj48YXV0aG9yPkpvY2hlbXMsIEEuPC9hdXRob3I+
PGF1dGhvcj5MZWlqZW5hYXIsIFIuIFQuIEguPC9hdXRob3I+PGF1dGhvcj5IdWxzaG9mLCBNY2Nt
PC9hdXRob3I+PGF1dGhvcj52YW4gQmVyZ2UgSGVuZWdvdXdlbiwgTS4gSS48L2F1dGhvcj48YXV0
aG9yPlNjaHJldXJzLCBXLiBNLiBKLjwvYXV0aG9yPjxhdXRob3I+U29zZWYsIE0uIE4uPC9hdXRo
b3I+PGF1dGhvcj52YW4gRWxtcHQsIFcuPC9hdXRob3I+PGF1dGhvcj52YW4gTGFhcmhvdmVuLCBI
LiBXLiBNLjwvYXV0aG9yPjxhdXRob3I+TGFtYmluLCBQLjwvYXV0aG9yPjwvYXV0aG9ycz48L2Nv
bnRyaWJ1dG9ycz48YXV0aC1hZGRyZXNzPmEgVGhlIEQtTGFiOiBEZWNpc2lvbiBTdXBwb3J0IGZv
ciBQcmVjaXNpb24gTWVkaWNpbmUsIEdST1cgLSBTY2hvb2wgZm9yIE9uY29sb2d5IGFuZCBEZXZl
bG9wbWVudGFsIEJpb2xvZ3ksIE1hYXN0cmljaHQgVW5pdmVyc2l0eSBNZWRpY2FsIENlbnRyZSAs
IE1hYXN0cmljaHQgLCBUaGUgTmV0aGVybGFuZHMuJiN4RDtiIERlcGFydG1lbnQgb2YgUmFkaWF0
aW9uIE9uY29sb2d5IChNQUFTVFJPKSwgR1JPVyAtIFNjaG9vbCBmb3IgT25jb2xvZ3kgYW5kIERl
dmVsb3BtZW50YWwgQmlvbG9neSAsIE1hYXN0cmljaHQgVW5pdmVyc2l0eSBNZWRpY2FsIENlbnRy
ZSAsIE1hYXN0cmljaHQgLCBUaGUgTmV0aGVybGFuZHMuJiN4RDtjIERlcGFydG1lbnQgb2YgTWVk
aWNhbCBPbmNvbG9neSAsIEFjYWRlbWljIE1lZGljYWwgQ2VudHJlICwgQW1zdGVyZGFtICwgVGhl
IE5ldGhlcmxhbmRzLiYjeEQ7ZCBEZXBhcnRtZW50IG9mIFJhZGlvdGhlcmFweSAsIEFjYWRlbWlj
IE1lZGljYWwgQ2VudHJlICwgQW1zdGVyZGFtICwgVGhlIE5ldGhlcmxhbmRzLiYjeEQ7ZSBEZXBh
cnRtZW50IG9mIFN1cmdlcnkgLCBBY2FkZW1pYyBNZWRpY2FsIENlbnRyZSAsIEFtc3RlcmRhbSAs
IFRoZSBOZXRoZXJsYW5kcy4mI3hEO2YgRGVwYXJ0bWVudCBvZiBOdWNsZWFyIE1lZGljaW5lICwg
WnV5ZGVybGFuZCBNZWRpY2FsIENlbnRyZSAsIEhlZXJsZW4gLCBUaGUgTmV0aGVybGFuZHMuJiN4
RDtnIERlcGFydG1lbnQgb2YgU3VyZ2VyeSAsIFp1eWRlcmxhbmQgTWVkaWNhbCBDZW50cmUgLCBI
ZWVybGVuICwgVGhlIE5ldGhlcmxhbmRzLjwvYXV0aC1hZGRyZXNzPjx0aXRsZXM+PHRpdGxlPlBy
ZS10cmVhdG1lbnQgQ1QgcmFkaW9taWNzIHRvIHByZWRpY3QgMy15ZWFyIG92ZXJhbGwgc3Vydml2
YWwgZm9sbG93aW5nIGNoZW1vcmFkaW90aGVyYXB5IG9mIGVzb3BoYWdlYWwgY2FuY2VyPC90aXRs
ZT48c2Vjb25kYXJ5LXRpdGxlPkFjdGEgT25jb2w8L3NlY29uZGFyeS10aXRsZT48L3RpdGxlcz48
cGVyaW9kaWNhbD48ZnVsbC10aXRsZT5BY3RhIE9uY29sPC9mdWxsLXRpdGxlPjwvcGVyaW9kaWNh
bD48cGFnZXM+MTQ3NS0xNDgxPC9wYWdlcz48dm9sdW1lPjU3PC92b2x1bWU+PG51bWJlcj4xMTwv
bnVtYmVyPjxlZGl0aW9uPjIwMTgvMDgvMDI8L2VkaXRpb24+PGtleXdvcmRzPjxrZXl3b3JkPkFk
dWx0PC9rZXl3b3JkPjxrZXl3b3JkPkFnZWQ8L2tleXdvcmQ+PGtleXdvcmQ+QWdlZCwgODAgYW5k
IG92ZXI8L2tleXdvcmQ+PGtleXdvcmQ+QW50aW5lb3BsYXN0aWMgQ29tYmluZWQgQ2hlbW90aGVy
YXB5IFByb3RvY29scy90aGVyYXBldXRpYyB1c2U8L2tleXdvcmQ+PGtleXdvcmQ+QXJlYSBVbmRl
ciBDdXJ2ZTwva2V5d29yZD48a2V5d29yZD5DaGVtb3JhZGlvdGhlcmFweTwva2V5d29yZD48a2V5
d29yZD5Fc29waGFnZWFsIE5lb3BsYXNtcy9kaWFnbm9zdGljIGltYWdpbmcvKm1vcnRhbGl0eS8q
dGhlcmFweTwva2V5d29yZD48a2V5d29yZD5GZW1hbGU8L2tleXdvcmQ+PGtleXdvcmQ+SHVtYW5z
PC9rZXl3b3JkPjxrZXl3b3JkPkltYWdlIFByb2Nlc3NpbmcsIENvbXB1dGVyLUFzc2lzdGVkPC9r
ZXl3b3JkPjxrZXl3b3JkPkthcGxhbi1NZWllciBFc3RpbWF0ZTwva2V5d29yZD48a2V5d29yZD5N
YWxlPC9rZXl3b3JkPjxrZXl3b3JkPk1pZGRsZSBBZ2VkPC9rZXl3b3JkPjxrZXl3b3JkPipNb2Rl
bHMsIEJpb2xvZ2ljYWw8L2tleXdvcmQ+PGtleXdvcmQ+UHJvZ25vc2lzPC9rZXl3b3JkPjxrZXl3
b3JkPlJhZGlvdGhlcmFweSBQbGFubmluZywgQ29tcHV0ZXItQXNzaXN0ZWQ8L2tleXdvcmQ+PGtl
eXdvcmQ+UmV0cm9zcGVjdGl2ZSBTdHVkaWVzPC9rZXl3b3JkPjxrZXl3b3JkPlN1cnZpdmFsIEFu
YWx5c2lzPC9rZXl3b3JkPjxrZXl3b3JkPlRvbW9ncmFwaHksIFgtUmF5IENvbXB1dGVkLyptZXRo
b2RzPC9rZXl3b3JkPjwva2V5d29yZHM+PGRhdGVzPjx5ZWFyPjIwMTg8L3llYXI+PHB1Yi1kYXRl
cz48ZGF0ZT5Ob3Y8L2RhdGU+PC9wdWItZGF0ZXM+PC9kYXRlcz48aXNibj4xNjUxLTIyNlggKEVs
ZWN0cm9uaWMpJiN4RDswMjg0LTE4NlggKExpbmtpbmcpPC9pc2JuPjxhY2Nlc3Npb24tbnVtPjMw
MDY3NDIxPC9hY2Nlc3Npb24tbnVtPjx1cmxzPjxyZWxhdGVkLXVybHM+PHVybD5odHRwczovL3d3
dy5uY2JpLm5sbS5uaWguZ292L3B1Ym1lZC8zMDA2NzQyMTwvdXJsPjwvcmVsYXRlZC11cmxzPjwv
dXJscz48ZWxlY3Ryb25pYy1yZXNvdXJjZS1udW0+MTAuMTA4MC8wMjg0MTg2WC4yMDE4LjE0ODYw
Mzk8L2VsZWN0cm9uaWMtcmVzb3VyY2UtbnVtPjwvcmVjb3JkPjwvQ2l0ZT48Q2l0ZT48QXV0aG9y
Plllcm9rdW48L0F1dGhvcj48WWVhcj4yMDE2PC9ZZWFyPjxSZWNOdW0+MzkwNjwvUmVjTnVtPjxy
ZWNvcmQ+PHJlYy1udW1iZXI+MzkwNjwvcmVjLW51bWJlcj48Zm9yZWlnbi1rZXlzPjxrZXkgYXBw
PSJFTiIgZGItaWQ9ImFlYXg5ZnJyM3NhOXJjZTJycGE1c2V6ZHRkMnB2MDB3Mjl6MCIgdGltZXN0
YW1wPSIxNTc3ODk2MDQ4Ij4zOTA2PC9rZXk+PC9mb3JlaWduLWtleXM+PHJlZi10eXBlIG5hbWU9
IkpvdXJuYWwgQXJ0aWNsZSI+MTc8L3JlZi10eXBlPjxjb250cmlidXRvcnM+PGF1dGhvcnM+PGF1
dGhvcj5ZZXJva3VuLCBCLiBBLjwvYXV0aG9yPjxhdXRob3I+U3VuLCBaLjwvYXV0aG9yPjxhdXRo
b3I+WWFuZywgQy4gSi48L2F1dGhvcj48YXV0aG9yPkd1bGFjaywgQi4gQy48L2F1dGhvcj48YXV0
aG9yPlNwZWljaGVyLCBQLiBKLjwvYXV0aG9yPjxhdXRob3I+QWRhbSwgTS4gQS48L2F1dGhvcj48
YXV0aG9yPkQmYXBvcztBbWljbywgVC4gQS48L2F1dGhvcj48YXV0aG9yPk9uYWl0aXMsIE0uIFcu
PC9hdXRob3I+PGF1dGhvcj5IYXJwb2xlLCBELiBILjwvYXV0aG9yPjxhdXRob3I+QmVycnksIE0u
IEYuPC9hdXRob3I+PGF1dGhvcj5IYXJ0d2lnLCBNLiBHLjwvYXV0aG9yPjwvYXV0aG9ycz48L2Nv
bnRyaWJ1dG9ycz48YXV0aC1hZGRyZXNzPkRlcGFydG1lbnQgb2YgU3VyZ2VyeSwgRHVrZSBVbml2
ZXJzaXR5IE1lZGljYWwgQ2VudGVyLCBEdXJoYW0sIE5vcnRoIENhcm9saW5hLiYjeEQ7RGVwYXJ0
bWVudCBvZiBTdXJnZXJ5LCBEaXZpc2lvbiBvZiBDYXJkaW92YXNjdWxhciBhbmQgVGhvcmFjaWMg
U3VyZ2VyeSwgRHVrZSBVbml2ZXJzaXR5IE1lZGljYWwgQ2VudGVyLCBEdXJoYW0sIE5vcnRoIENh
cm9saW5hLiYjeEQ7RGVwYXJ0bWVudCBvZiBDYXJkaW90aG9yYWNpYyBTdXJnZXJ5LCBTdGFuZm9y
ZCBVbml2ZXJzaXR5LCBTdGFuZm9yZCwgQ2FsaWZvcm5pYS4mI3hEO0RlcGFydG1lbnQgb2YgU3Vy
Z2VyeSwgRGl2aXNpb24gb2YgQ2FyZGlvdmFzY3VsYXIgYW5kIFRob3JhY2ljIFN1cmdlcnksIER1
a2UgVW5pdmVyc2l0eSBNZWRpY2FsIENlbnRlciwgRHVyaGFtLCBOb3J0aCBDYXJvbGluYS4gRWxl
Y3Ryb25pYyBhZGRyZXNzOiBtYXR0aGV3LmhhcnR3aWdAZHVrZS5lZHUuPC9hdXRoLWFkZHJlc3M+
PHRpdGxlcz48dGl0bGU+TWluaW1hbGx5IEludmFzaXZlIFZlcnN1cyBPcGVuIEVzb3BoYWdlY3Rv
bXkgZm9yIEVzb3BoYWdlYWwgQ2FuY2VyOiBBIFBvcHVsYXRpb24tQmFzZWQgQW5hbHlzaXM8L3Rp
dGxlPjxzZWNvbmRhcnktdGl0bGU+QW5uIFRob3JhYyBTdXJnPC9zZWNvbmRhcnktdGl0bGU+PC90
aXRsZXM+PHBlcmlvZGljYWw+PGZ1bGwtdGl0bGU+QW5uIFRob3JhYyBTdXJnPC9mdWxsLXRpdGxl
PjwvcGVyaW9kaWNhbD48cGFnZXM+NDE2LTIzPC9wYWdlcz48dm9sdW1lPjEwMjwvdm9sdW1lPjxu
dW1iZXI+MjwvbnVtYmVyPjxlZGl0aW9uPjIwMTYvMDUvMTA8L2VkaXRpb24+PGtleXdvcmRzPjxr
ZXl3b3JkPkFnZWQ8L2tleXdvcmQ+PGtleXdvcmQ+RXNvcGhhZ2VhbCBOZW9wbGFzbXMvZGlhZ25v
c2lzL21vcnRhbGl0eS8qc3VyZ2VyeTwva2V5d29yZD48a2V5d29yZD5Fc29waGFnZWN0b215Lypt
ZXRob2RzPC9rZXl3b3JkPjxrZXl3b3JkPkVzb3BoYWd1cy9kaWFnbm9zdGljIGltYWdpbmcvKnN1
cmdlcnk8L2tleXdvcmQ+PGtleXdvcmQ+RmVtYWxlPC9rZXl3b3JkPjxrZXl3b3JkPkZvbGxvdy1V
cCBTdHVkaWVzPC9rZXl3b3JkPjxrZXl3b3JkPkh1bWFuczwva2V5d29yZD48a2V5d29yZD5MYXBh
cm9zY29weS8qbWV0aG9kczwva2V5d29yZD48a2V5d29yZD5MZW5ndGggb2YgU3RheS90cmVuZHM8
L2tleXdvcmQ+PGtleXdvcmQ+TWFsZTwva2V5d29yZD48a2V5d29yZD5NaWRkbGUgQWdlZDwva2V5
d29yZD48a2V5d29yZD5OZW9wbGFzbSBTdGFnaW5nLyptZXRob2RzPC9rZXl3b3JkPjxrZXl3b3Jk
PlBvcHVsYXRpb24gU3VydmVpbGxhbmNlLyptZXRob2RzPC9rZXl3b3JkPjxrZXl3b3JkPlJldHJv
c3BlY3RpdmUgU3R1ZGllczwva2V5d29yZD48a2V5d29yZD5TdXJ2aXZhbCBSYXRlL3RyZW5kczwv
a2V5d29yZD48a2V5d29yZD5UaG9yYWNvc2NvcHkvKm1ldGhvZHM8L2tleXdvcmQ+PGtleXdvcmQ+
VGltZSBGYWN0b3JzPC9rZXl3b3JkPjxrZXl3b3JkPlVuaXRlZCBTdGF0ZXMvZXBpZGVtaW9sb2d5
PC9rZXl3b3JkPjwva2V5d29yZHM+PGRhdGVzPjx5ZWFyPjIwMTY8L3llYXI+PHB1Yi1kYXRlcz48
ZGF0ZT5BdWc8L2RhdGU+PC9wdWItZGF0ZXM+PC9kYXRlcz48aXNibj4xNTUyLTYyNTkgKEVsZWN0
cm9uaWMpJiN4RDswMDAzLTQ5NzUgKExpbmtpbmcpPC9pc2JuPjxhY2Nlc3Npb24tbnVtPjI3MTU3
MzI2PC9hY2Nlc3Npb24tbnVtPjx1cmxzPjxyZWxhdGVkLXVybHM+PHVybD5odHRwczovL3d3dy5u
Y2JpLm5sbS5uaWguZ292L3B1Ym1lZC8yNzE1NzMyNjwvdXJsPjwvcmVsYXRlZC11cmxzPjwvdXJs
cz48Y3VzdG9tMj5QTUM1MTQyNTIxPC9jdXN0b20yPjxlbGVjdHJvbmljLXJlc291cmNlLW51bT4x
MC4xMDE2L2ouYXRob3JhY3N1ci4yMDE2LjAyLjA3ODwvZWxlY3Ryb25pYy1yZXNvdXJjZS1udW0+
PC9yZWNvcmQ+PC9DaXRlPjwvRW5kTm90ZT4A
</w:fldData>
        </w:fldChar>
      </w:r>
      <w:r w:rsidR="004F1A88" w:rsidRPr="00774B2C">
        <w:rPr>
          <w:szCs w:val="24"/>
          <w:vertAlign w:val="superscript"/>
        </w:rPr>
        <w:instrText xml:space="preserve"> ADDIN EN.CITE </w:instrText>
      </w:r>
      <w:r w:rsidR="004F1A88" w:rsidRPr="00774B2C">
        <w:rPr>
          <w:szCs w:val="24"/>
          <w:vertAlign w:val="superscript"/>
        </w:rPr>
        <w:fldChar w:fldCharType="begin">
          <w:fldData xml:space="preserve">PEVuZE5vdGU+PENpdGU+PEF1dGhvcj5MYXJ1ZTwvQXV0aG9yPjxZZWFyPjIwMTg8L1llYXI+PFJl
Y051bT4zOTA1PC9SZWNOdW0+PERpc3BsYXlUZXh0PjxzdHlsZSBmYWNlPSJzdXBlcnNjcmlwdCI+
WzM0LCAzNV08L3N0eWxlPjwvRGlzcGxheVRleHQ+PHJlY29yZD48cmVjLW51bWJlcj4zOTA1PC9y
ZWMtbnVtYmVyPjxmb3JlaWduLWtleXM+PGtleSBhcHA9IkVOIiBkYi1pZD0iYWVheDlmcnIzc2E5
cmNlMnJwYTVzZXpkdGQycHYwMHcyOXowIiB0aW1lc3RhbXA9IjE1Nzc4OTYwMzAiPjM5MDU8L2tl
eT48L2ZvcmVpZ24ta2V5cz48cmVmLXR5cGUgbmFtZT0iSm91cm5hbCBBcnRpY2xlIj4xNzwvcmVm
LXR5cGU+PGNvbnRyaWJ1dG9ycz48YXV0aG9ycz48YXV0aG9yPkxhcnVlLCBSdGhtPC9hdXRob3I+
PGF1dGhvcj5LbGFhc3NlbiwgUi48L2F1dGhvcj48YXV0aG9yPkpvY2hlbXMsIEEuPC9hdXRob3I+
PGF1dGhvcj5MZWlqZW5hYXIsIFIuIFQuIEguPC9hdXRob3I+PGF1dGhvcj5IdWxzaG9mLCBNY2Nt
PC9hdXRob3I+PGF1dGhvcj52YW4gQmVyZ2UgSGVuZWdvdXdlbiwgTS4gSS48L2F1dGhvcj48YXV0
aG9yPlNjaHJldXJzLCBXLiBNLiBKLjwvYXV0aG9yPjxhdXRob3I+U29zZWYsIE0uIE4uPC9hdXRo
b3I+PGF1dGhvcj52YW4gRWxtcHQsIFcuPC9hdXRob3I+PGF1dGhvcj52YW4gTGFhcmhvdmVuLCBI
LiBXLiBNLjwvYXV0aG9yPjxhdXRob3I+TGFtYmluLCBQLjwvYXV0aG9yPjwvYXV0aG9ycz48L2Nv
bnRyaWJ1dG9ycz48YXV0aC1hZGRyZXNzPmEgVGhlIEQtTGFiOiBEZWNpc2lvbiBTdXBwb3J0IGZv
ciBQcmVjaXNpb24gTWVkaWNpbmUsIEdST1cgLSBTY2hvb2wgZm9yIE9uY29sb2d5IGFuZCBEZXZl
bG9wbWVudGFsIEJpb2xvZ3ksIE1hYXN0cmljaHQgVW5pdmVyc2l0eSBNZWRpY2FsIENlbnRyZSAs
IE1hYXN0cmljaHQgLCBUaGUgTmV0aGVybGFuZHMuJiN4RDtiIERlcGFydG1lbnQgb2YgUmFkaWF0
aW9uIE9uY29sb2d5IChNQUFTVFJPKSwgR1JPVyAtIFNjaG9vbCBmb3IgT25jb2xvZ3kgYW5kIERl
dmVsb3BtZW50YWwgQmlvbG9neSAsIE1hYXN0cmljaHQgVW5pdmVyc2l0eSBNZWRpY2FsIENlbnRy
ZSAsIE1hYXN0cmljaHQgLCBUaGUgTmV0aGVybGFuZHMuJiN4RDtjIERlcGFydG1lbnQgb2YgTWVk
aWNhbCBPbmNvbG9neSAsIEFjYWRlbWljIE1lZGljYWwgQ2VudHJlICwgQW1zdGVyZGFtICwgVGhl
IE5ldGhlcmxhbmRzLiYjeEQ7ZCBEZXBhcnRtZW50IG9mIFJhZGlvdGhlcmFweSAsIEFjYWRlbWlj
IE1lZGljYWwgQ2VudHJlICwgQW1zdGVyZGFtICwgVGhlIE5ldGhlcmxhbmRzLiYjeEQ7ZSBEZXBh
cnRtZW50IG9mIFN1cmdlcnkgLCBBY2FkZW1pYyBNZWRpY2FsIENlbnRyZSAsIEFtc3RlcmRhbSAs
IFRoZSBOZXRoZXJsYW5kcy4mI3hEO2YgRGVwYXJ0bWVudCBvZiBOdWNsZWFyIE1lZGljaW5lICwg
WnV5ZGVybGFuZCBNZWRpY2FsIENlbnRyZSAsIEhlZXJsZW4gLCBUaGUgTmV0aGVybGFuZHMuJiN4
RDtnIERlcGFydG1lbnQgb2YgU3VyZ2VyeSAsIFp1eWRlcmxhbmQgTWVkaWNhbCBDZW50cmUgLCBI
ZWVybGVuICwgVGhlIE5ldGhlcmxhbmRzLjwvYXV0aC1hZGRyZXNzPjx0aXRsZXM+PHRpdGxlPlBy
ZS10cmVhdG1lbnQgQ1QgcmFkaW9taWNzIHRvIHByZWRpY3QgMy15ZWFyIG92ZXJhbGwgc3Vydml2
YWwgZm9sbG93aW5nIGNoZW1vcmFkaW90aGVyYXB5IG9mIGVzb3BoYWdlYWwgY2FuY2VyPC90aXRs
ZT48c2Vjb25kYXJ5LXRpdGxlPkFjdGEgT25jb2w8L3NlY29uZGFyeS10aXRsZT48L3RpdGxlcz48
cGVyaW9kaWNhbD48ZnVsbC10aXRsZT5BY3RhIE9uY29sPC9mdWxsLXRpdGxlPjwvcGVyaW9kaWNh
bD48cGFnZXM+MTQ3NS0xNDgxPC9wYWdlcz48dm9sdW1lPjU3PC92b2x1bWU+PG51bWJlcj4xMTwv
bnVtYmVyPjxlZGl0aW9uPjIwMTgvMDgvMDI8L2VkaXRpb24+PGtleXdvcmRzPjxrZXl3b3JkPkFk
dWx0PC9rZXl3b3JkPjxrZXl3b3JkPkFnZWQ8L2tleXdvcmQ+PGtleXdvcmQ+QWdlZCwgODAgYW5k
IG92ZXI8L2tleXdvcmQ+PGtleXdvcmQ+QW50aW5lb3BsYXN0aWMgQ29tYmluZWQgQ2hlbW90aGVy
YXB5IFByb3RvY29scy90aGVyYXBldXRpYyB1c2U8L2tleXdvcmQ+PGtleXdvcmQ+QXJlYSBVbmRl
ciBDdXJ2ZTwva2V5d29yZD48a2V5d29yZD5DaGVtb3JhZGlvdGhlcmFweTwva2V5d29yZD48a2V5
d29yZD5Fc29waGFnZWFsIE5lb3BsYXNtcy9kaWFnbm9zdGljIGltYWdpbmcvKm1vcnRhbGl0eS8q
dGhlcmFweTwva2V5d29yZD48a2V5d29yZD5GZW1hbGU8L2tleXdvcmQ+PGtleXdvcmQ+SHVtYW5z
PC9rZXl3b3JkPjxrZXl3b3JkPkltYWdlIFByb2Nlc3NpbmcsIENvbXB1dGVyLUFzc2lzdGVkPC9r
ZXl3b3JkPjxrZXl3b3JkPkthcGxhbi1NZWllciBFc3RpbWF0ZTwva2V5d29yZD48a2V5d29yZD5N
YWxlPC9rZXl3b3JkPjxrZXl3b3JkPk1pZGRsZSBBZ2VkPC9rZXl3b3JkPjxrZXl3b3JkPipNb2Rl
bHMsIEJpb2xvZ2ljYWw8L2tleXdvcmQ+PGtleXdvcmQ+UHJvZ25vc2lzPC9rZXl3b3JkPjxrZXl3
b3JkPlJhZGlvdGhlcmFweSBQbGFubmluZywgQ29tcHV0ZXItQXNzaXN0ZWQ8L2tleXdvcmQ+PGtl
eXdvcmQ+UmV0cm9zcGVjdGl2ZSBTdHVkaWVzPC9rZXl3b3JkPjxrZXl3b3JkPlN1cnZpdmFsIEFu
YWx5c2lzPC9rZXl3b3JkPjxrZXl3b3JkPlRvbW9ncmFwaHksIFgtUmF5IENvbXB1dGVkLyptZXRo
b2RzPC9rZXl3b3JkPjwva2V5d29yZHM+PGRhdGVzPjx5ZWFyPjIwMTg8L3llYXI+PHB1Yi1kYXRl
cz48ZGF0ZT5Ob3Y8L2RhdGU+PC9wdWItZGF0ZXM+PC9kYXRlcz48aXNibj4xNjUxLTIyNlggKEVs
ZWN0cm9uaWMpJiN4RDswMjg0LTE4NlggKExpbmtpbmcpPC9pc2JuPjxhY2Nlc3Npb24tbnVtPjMw
MDY3NDIxPC9hY2Nlc3Npb24tbnVtPjx1cmxzPjxyZWxhdGVkLXVybHM+PHVybD5odHRwczovL3d3
dy5uY2JpLm5sbS5uaWguZ292L3B1Ym1lZC8zMDA2NzQyMTwvdXJsPjwvcmVsYXRlZC11cmxzPjwv
dXJscz48ZWxlY3Ryb25pYy1yZXNvdXJjZS1udW0+MTAuMTA4MC8wMjg0MTg2WC4yMDE4LjE0ODYw
Mzk8L2VsZWN0cm9uaWMtcmVzb3VyY2UtbnVtPjwvcmVjb3JkPjwvQ2l0ZT48Q2l0ZT48QXV0aG9y
Plllcm9rdW48L0F1dGhvcj48WWVhcj4yMDE2PC9ZZWFyPjxSZWNOdW0+MzkwNjwvUmVjTnVtPjxy
ZWNvcmQ+PHJlYy1udW1iZXI+MzkwNjwvcmVjLW51bWJlcj48Zm9yZWlnbi1rZXlzPjxrZXkgYXBw
PSJFTiIgZGItaWQ9ImFlYXg5ZnJyM3NhOXJjZTJycGE1c2V6ZHRkMnB2MDB3Mjl6MCIgdGltZXN0
YW1wPSIxNTc3ODk2MDQ4Ij4zOTA2PC9rZXk+PC9mb3JlaWduLWtleXM+PHJlZi10eXBlIG5hbWU9
IkpvdXJuYWwgQXJ0aWNsZSI+MTc8L3JlZi10eXBlPjxjb250cmlidXRvcnM+PGF1dGhvcnM+PGF1
dGhvcj5ZZXJva3VuLCBCLiBBLjwvYXV0aG9yPjxhdXRob3I+U3VuLCBaLjwvYXV0aG9yPjxhdXRo
b3I+WWFuZywgQy4gSi48L2F1dGhvcj48YXV0aG9yPkd1bGFjaywgQi4gQy48L2F1dGhvcj48YXV0
aG9yPlNwZWljaGVyLCBQLiBKLjwvYXV0aG9yPjxhdXRob3I+QWRhbSwgTS4gQS48L2F1dGhvcj48
YXV0aG9yPkQmYXBvcztBbWljbywgVC4gQS48L2F1dGhvcj48YXV0aG9yPk9uYWl0aXMsIE0uIFcu
PC9hdXRob3I+PGF1dGhvcj5IYXJwb2xlLCBELiBILjwvYXV0aG9yPjxhdXRob3I+QmVycnksIE0u
IEYuPC9hdXRob3I+PGF1dGhvcj5IYXJ0d2lnLCBNLiBHLjwvYXV0aG9yPjwvYXV0aG9ycz48L2Nv
bnRyaWJ1dG9ycz48YXV0aC1hZGRyZXNzPkRlcGFydG1lbnQgb2YgU3VyZ2VyeSwgRHVrZSBVbml2
ZXJzaXR5IE1lZGljYWwgQ2VudGVyLCBEdXJoYW0sIE5vcnRoIENhcm9saW5hLiYjeEQ7RGVwYXJ0
bWVudCBvZiBTdXJnZXJ5LCBEaXZpc2lvbiBvZiBDYXJkaW92YXNjdWxhciBhbmQgVGhvcmFjaWMg
U3VyZ2VyeSwgRHVrZSBVbml2ZXJzaXR5IE1lZGljYWwgQ2VudGVyLCBEdXJoYW0sIE5vcnRoIENh
cm9saW5hLiYjeEQ7RGVwYXJ0bWVudCBvZiBDYXJkaW90aG9yYWNpYyBTdXJnZXJ5LCBTdGFuZm9y
ZCBVbml2ZXJzaXR5LCBTdGFuZm9yZCwgQ2FsaWZvcm5pYS4mI3hEO0RlcGFydG1lbnQgb2YgU3Vy
Z2VyeSwgRGl2aXNpb24gb2YgQ2FyZGlvdmFzY3VsYXIgYW5kIFRob3JhY2ljIFN1cmdlcnksIER1
a2UgVW5pdmVyc2l0eSBNZWRpY2FsIENlbnRlciwgRHVyaGFtLCBOb3J0aCBDYXJvbGluYS4gRWxl
Y3Ryb25pYyBhZGRyZXNzOiBtYXR0aGV3LmhhcnR3aWdAZHVrZS5lZHUuPC9hdXRoLWFkZHJlc3M+
PHRpdGxlcz48dGl0bGU+TWluaW1hbGx5IEludmFzaXZlIFZlcnN1cyBPcGVuIEVzb3BoYWdlY3Rv
bXkgZm9yIEVzb3BoYWdlYWwgQ2FuY2VyOiBBIFBvcHVsYXRpb24tQmFzZWQgQW5hbHlzaXM8L3Rp
dGxlPjxzZWNvbmRhcnktdGl0bGU+QW5uIFRob3JhYyBTdXJnPC9zZWNvbmRhcnktdGl0bGU+PC90
aXRsZXM+PHBlcmlvZGljYWw+PGZ1bGwtdGl0bGU+QW5uIFRob3JhYyBTdXJnPC9mdWxsLXRpdGxl
PjwvcGVyaW9kaWNhbD48cGFnZXM+NDE2LTIzPC9wYWdlcz48dm9sdW1lPjEwMjwvdm9sdW1lPjxu
dW1iZXI+MjwvbnVtYmVyPjxlZGl0aW9uPjIwMTYvMDUvMTA8L2VkaXRpb24+PGtleXdvcmRzPjxr
ZXl3b3JkPkFnZWQ8L2tleXdvcmQ+PGtleXdvcmQ+RXNvcGhhZ2VhbCBOZW9wbGFzbXMvZGlhZ25v
c2lzL21vcnRhbGl0eS8qc3VyZ2VyeTwva2V5d29yZD48a2V5d29yZD5Fc29waGFnZWN0b215Lypt
ZXRob2RzPC9rZXl3b3JkPjxrZXl3b3JkPkVzb3BoYWd1cy9kaWFnbm9zdGljIGltYWdpbmcvKnN1
cmdlcnk8L2tleXdvcmQ+PGtleXdvcmQ+RmVtYWxlPC9rZXl3b3JkPjxrZXl3b3JkPkZvbGxvdy1V
cCBTdHVkaWVzPC9rZXl3b3JkPjxrZXl3b3JkPkh1bWFuczwva2V5d29yZD48a2V5d29yZD5MYXBh
cm9zY29weS8qbWV0aG9kczwva2V5d29yZD48a2V5d29yZD5MZW5ndGggb2YgU3RheS90cmVuZHM8
L2tleXdvcmQ+PGtleXdvcmQ+TWFsZTwva2V5d29yZD48a2V5d29yZD5NaWRkbGUgQWdlZDwva2V5
d29yZD48a2V5d29yZD5OZW9wbGFzbSBTdGFnaW5nLyptZXRob2RzPC9rZXl3b3JkPjxrZXl3b3Jk
PlBvcHVsYXRpb24gU3VydmVpbGxhbmNlLyptZXRob2RzPC9rZXl3b3JkPjxrZXl3b3JkPlJldHJv
c3BlY3RpdmUgU3R1ZGllczwva2V5d29yZD48a2V5d29yZD5TdXJ2aXZhbCBSYXRlL3RyZW5kczwv
a2V5d29yZD48a2V5d29yZD5UaG9yYWNvc2NvcHkvKm1ldGhvZHM8L2tleXdvcmQ+PGtleXdvcmQ+
VGltZSBGYWN0b3JzPC9rZXl3b3JkPjxrZXl3b3JkPlVuaXRlZCBTdGF0ZXMvZXBpZGVtaW9sb2d5
PC9rZXl3b3JkPjwva2V5d29yZHM+PGRhdGVzPjx5ZWFyPjIwMTY8L3llYXI+PHB1Yi1kYXRlcz48
ZGF0ZT5BdWc8L2RhdGU+PC9wdWItZGF0ZXM+PC9kYXRlcz48aXNibj4xNTUyLTYyNTkgKEVsZWN0
cm9uaWMpJiN4RDswMDAzLTQ5NzUgKExpbmtpbmcpPC9pc2JuPjxhY2Nlc3Npb24tbnVtPjI3MTU3
MzI2PC9hY2Nlc3Npb24tbnVtPjx1cmxzPjxyZWxhdGVkLXVybHM+PHVybD5odHRwczovL3d3dy5u
Y2JpLm5sbS5uaWguZ292L3B1Ym1lZC8yNzE1NzMyNjwvdXJsPjwvcmVsYXRlZC11cmxzPjwvdXJs
cz48Y3VzdG9tMj5QTUM1MTQyNTIxPC9jdXN0b20yPjxlbGVjdHJvbmljLXJlc291cmNlLW51bT4x
MC4xMDE2L2ouYXRob3JhY3N1ci4yMDE2LjAyLjA3ODwvZWxlY3Ryb25pYy1yZXNvdXJjZS1udW0+
PC9yZWNvcmQ+PC9DaXRlPjwvRW5kTm90ZT4A
</w:fldData>
        </w:fldChar>
      </w:r>
      <w:r w:rsidR="004F1A88" w:rsidRPr="00774B2C">
        <w:rPr>
          <w:szCs w:val="24"/>
          <w:vertAlign w:val="superscript"/>
        </w:rPr>
        <w:instrText xml:space="preserve"> ADDIN EN.CITE.DATA </w:instrText>
      </w:r>
      <w:r w:rsidR="004F1A88" w:rsidRPr="00774B2C">
        <w:rPr>
          <w:szCs w:val="24"/>
          <w:vertAlign w:val="superscript"/>
        </w:rPr>
      </w:r>
      <w:r w:rsidR="004F1A88" w:rsidRPr="00774B2C">
        <w:rPr>
          <w:szCs w:val="24"/>
          <w:vertAlign w:val="superscript"/>
        </w:rPr>
        <w:fldChar w:fldCharType="end"/>
      </w:r>
      <w:r w:rsidR="004F1A88" w:rsidRPr="00774B2C">
        <w:rPr>
          <w:szCs w:val="24"/>
          <w:vertAlign w:val="superscript"/>
        </w:rPr>
      </w:r>
      <w:r w:rsidR="004F1A88" w:rsidRPr="00774B2C">
        <w:rPr>
          <w:szCs w:val="24"/>
          <w:vertAlign w:val="superscript"/>
        </w:rPr>
        <w:fldChar w:fldCharType="separate"/>
      </w:r>
      <w:r w:rsidR="004F1A88" w:rsidRPr="00774B2C">
        <w:rPr>
          <w:noProof/>
          <w:szCs w:val="24"/>
          <w:vertAlign w:val="superscript"/>
        </w:rPr>
        <w:t>[34,35]</w:t>
      </w:r>
      <w:r w:rsidR="004F1A88" w:rsidRPr="00774B2C">
        <w:rPr>
          <w:szCs w:val="24"/>
          <w:vertAlign w:val="superscript"/>
        </w:rPr>
        <w:fldChar w:fldCharType="end"/>
      </w:r>
      <w:r w:rsidRPr="00774B2C">
        <w:rPr>
          <w:szCs w:val="24"/>
        </w:rPr>
        <w:t xml:space="preserve">. We analyzed the 3-year survival of patients according to the expression of miR-1304, </w:t>
      </w:r>
      <w:r w:rsidR="00C64D7C">
        <w:rPr>
          <w:szCs w:val="24"/>
        </w:rPr>
        <w:t>and</w:t>
      </w:r>
      <w:r w:rsidRPr="00774B2C">
        <w:rPr>
          <w:szCs w:val="24"/>
        </w:rPr>
        <w:t xml:space="preserve"> patients with low expression of miR-1304 showed a significantly higher 3-year survival rate</w:t>
      </w:r>
      <w:r w:rsidR="00C64D7C">
        <w:rPr>
          <w:szCs w:val="24"/>
        </w:rPr>
        <w:t xml:space="preserve"> than those with high expression</w:t>
      </w:r>
      <w:r w:rsidRPr="00774B2C">
        <w:rPr>
          <w:szCs w:val="24"/>
        </w:rPr>
        <w:t xml:space="preserve">. Prognostic analysis revealed that miR-1304 </w:t>
      </w:r>
      <w:r w:rsidR="00C64D7C">
        <w:rPr>
          <w:szCs w:val="24"/>
        </w:rPr>
        <w:t>may</w:t>
      </w:r>
      <w:r w:rsidRPr="00774B2C">
        <w:rPr>
          <w:szCs w:val="24"/>
        </w:rPr>
        <w:t xml:space="preserve"> be an independent prognostic factor for 3-year survival </w:t>
      </w:r>
      <w:r w:rsidR="00C64D7C">
        <w:rPr>
          <w:szCs w:val="24"/>
        </w:rPr>
        <w:t>in</w:t>
      </w:r>
      <w:r w:rsidRPr="00774B2C">
        <w:rPr>
          <w:szCs w:val="24"/>
        </w:rPr>
        <w:t xml:space="preserve"> patients</w:t>
      </w:r>
      <w:r w:rsidR="00C64D7C">
        <w:rPr>
          <w:szCs w:val="24"/>
        </w:rPr>
        <w:t xml:space="preserve"> with esophageal carcinoma</w:t>
      </w:r>
      <w:r w:rsidRPr="00774B2C">
        <w:rPr>
          <w:szCs w:val="24"/>
        </w:rPr>
        <w:t xml:space="preserve">. Based on the above studies, we can confirm the clinical diagnostic and prognostic value of miR-1304 for esophageal carcinoma, but the specific mechanism of miR-1304 remains unclear. Therefore, we conducted </w:t>
      </w:r>
      <w:r w:rsidR="00C64D7C">
        <w:rPr>
          <w:szCs w:val="24"/>
        </w:rPr>
        <w:t xml:space="preserve">a </w:t>
      </w:r>
      <w:r w:rsidRPr="00774B2C">
        <w:rPr>
          <w:szCs w:val="24"/>
        </w:rPr>
        <w:t>bioinformatics analysis</w:t>
      </w:r>
      <w:r w:rsidR="00C64D7C">
        <w:rPr>
          <w:szCs w:val="24"/>
        </w:rPr>
        <w:t>, which</w:t>
      </w:r>
      <w:r w:rsidRPr="00774B2C">
        <w:rPr>
          <w:szCs w:val="24"/>
        </w:rPr>
        <w:t xml:space="preserve"> revealed that the three predic</w:t>
      </w:r>
      <w:r w:rsidR="00C64D7C">
        <w:rPr>
          <w:szCs w:val="24"/>
        </w:rPr>
        <w:t>tive</w:t>
      </w:r>
      <w:r w:rsidRPr="00774B2C">
        <w:rPr>
          <w:szCs w:val="24"/>
        </w:rPr>
        <w:t xml:space="preserve"> networks predicted a total of 20 target genes of miR-1304. GO and KEGG enrichment analysis based on </w:t>
      </w:r>
      <w:r w:rsidRPr="00C64D7C">
        <w:rPr>
          <w:szCs w:val="24"/>
        </w:rPr>
        <w:t>DA</w:t>
      </w:r>
      <w:r w:rsidR="00C64D7C">
        <w:rPr>
          <w:szCs w:val="24"/>
        </w:rPr>
        <w:t>V</w:t>
      </w:r>
      <w:r w:rsidRPr="00C64D7C">
        <w:rPr>
          <w:szCs w:val="24"/>
        </w:rPr>
        <w:t>ID</w:t>
      </w:r>
      <w:r w:rsidRPr="00774B2C">
        <w:rPr>
          <w:szCs w:val="24"/>
        </w:rPr>
        <w:t xml:space="preserve"> and KOBAS found 18 functions with </w:t>
      </w:r>
      <w:proofErr w:type="spellStart"/>
      <w:r w:rsidR="003949F3" w:rsidRPr="00774B2C">
        <w:rPr>
          <w:szCs w:val="24"/>
          <w:vertAlign w:val="superscript"/>
        </w:rPr>
        <w:t>a</w:t>
      </w:r>
      <w:r w:rsidR="007E494D" w:rsidRPr="00774B2C">
        <w:rPr>
          <w:i/>
          <w:iCs/>
          <w:szCs w:val="24"/>
        </w:rPr>
        <w:t>P</w:t>
      </w:r>
      <w:proofErr w:type="spellEnd"/>
      <w:r w:rsidR="005D3A57">
        <w:rPr>
          <w:i/>
          <w:iCs/>
          <w:szCs w:val="24"/>
        </w:rPr>
        <w:t xml:space="preserve"> </w:t>
      </w:r>
      <w:r w:rsidRPr="00774B2C">
        <w:rPr>
          <w:szCs w:val="24"/>
        </w:rPr>
        <w:t>&lt;</w:t>
      </w:r>
      <w:r w:rsidR="005D3A57">
        <w:rPr>
          <w:szCs w:val="24"/>
        </w:rPr>
        <w:t xml:space="preserve"> </w:t>
      </w:r>
      <w:r w:rsidRPr="00774B2C">
        <w:rPr>
          <w:szCs w:val="24"/>
        </w:rPr>
        <w:t xml:space="preserve">0.05 and 11 signal pathways with </w:t>
      </w:r>
      <w:proofErr w:type="spellStart"/>
      <w:r w:rsidR="003949F3" w:rsidRPr="00774B2C">
        <w:rPr>
          <w:szCs w:val="24"/>
          <w:vertAlign w:val="superscript"/>
        </w:rPr>
        <w:t>a</w:t>
      </w:r>
      <w:r w:rsidR="007E494D" w:rsidRPr="00774B2C">
        <w:rPr>
          <w:i/>
          <w:iCs/>
          <w:szCs w:val="24"/>
        </w:rPr>
        <w:t>P</w:t>
      </w:r>
      <w:proofErr w:type="spellEnd"/>
      <w:r w:rsidR="005D3A57">
        <w:rPr>
          <w:i/>
          <w:iCs/>
          <w:szCs w:val="24"/>
        </w:rPr>
        <w:t xml:space="preserve"> </w:t>
      </w:r>
      <w:r w:rsidRPr="00774B2C">
        <w:rPr>
          <w:szCs w:val="24"/>
        </w:rPr>
        <w:t>&lt;</w:t>
      </w:r>
      <w:r w:rsidR="005D3A57">
        <w:rPr>
          <w:szCs w:val="24"/>
        </w:rPr>
        <w:t xml:space="preserve"> </w:t>
      </w:r>
      <w:r w:rsidRPr="00774B2C">
        <w:rPr>
          <w:szCs w:val="24"/>
        </w:rPr>
        <w:t xml:space="preserve">0.05, </w:t>
      </w:r>
      <w:r w:rsidRPr="00774B2C">
        <w:rPr>
          <w:szCs w:val="24"/>
        </w:rPr>
        <w:lastRenderedPageBreak/>
        <w:t xml:space="preserve">respectively. </w:t>
      </w:r>
      <w:r w:rsidR="00C64D7C">
        <w:rPr>
          <w:szCs w:val="24"/>
        </w:rPr>
        <w:t>It</w:t>
      </w:r>
      <w:r w:rsidRPr="00774B2C">
        <w:rPr>
          <w:szCs w:val="24"/>
        </w:rPr>
        <w:t xml:space="preserve"> is worth </w:t>
      </w:r>
      <w:r w:rsidR="00C64D7C">
        <w:rPr>
          <w:szCs w:val="24"/>
        </w:rPr>
        <w:t>mentioning</w:t>
      </w:r>
      <w:r w:rsidRPr="00774B2C">
        <w:rPr>
          <w:szCs w:val="24"/>
        </w:rPr>
        <w:t xml:space="preserve"> that previous reports indicat</w:t>
      </w:r>
      <w:r w:rsidR="00356015">
        <w:rPr>
          <w:szCs w:val="24"/>
        </w:rPr>
        <w:t>ed</w:t>
      </w:r>
      <w:r w:rsidRPr="00774B2C">
        <w:rPr>
          <w:szCs w:val="24"/>
        </w:rPr>
        <w:t xml:space="preserve"> that HIF-1 and </w:t>
      </w:r>
      <w:proofErr w:type="spellStart"/>
      <w:r w:rsidRPr="00774B2C">
        <w:rPr>
          <w:szCs w:val="24"/>
        </w:rPr>
        <w:t>GnRH</w:t>
      </w:r>
      <w:proofErr w:type="spellEnd"/>
      <w:r w:rsidRPr="00774B2C">
        <w:rPr>
          <w:szCs w:val="24"/>
        </w:rPr>
        <w:t xml:space="preserve"> signaling pathways </w:t>
      </w:r>
      <w:r w:rsidR="00356015">
        <w:rPr>
          <w:szCs w:val="24"/>
        </w:rPr>
        <w:t>were</w:t>
      </w:r>
      <w:r w:rsidRPr="00774B2C">
        <w:rPr>
          <w:szCs w:val="24"/>
        </w:rPr>
        <w:t xml:space="preserve"> involved in the occurrence and development of esophageal carcinoma</w:t>
      </w:r>
      <w:r w:rsidR="004F1A88" w:rsidRPr="00774B2C">
        <w:rPr>
          <w:szCs w:val="24"/>
          <w:vertAlign w:val="superscript"/>
        </w:rPr>
        <w:fldChar w:fldCharType="begin">
          <w:fldData xml:space="preserve">PEVuZE5vdGU+PENpdGU+PEF1dGhvcj5aaHU8L0F1dGhvcj48WWVhcj4yMDE3PC9ZZWFyPjxSZWNO
dW0+MzkwNzwvUmVjTnVtPjxEaXNwbGF5VGV4dD48c3R5bGUgZmFjZT0ic3VwZXJzY3JpcHQiPlsz
NiwgMzddPC9zdHlsZT48L0Rpc3BsYXlUZXh0PjxyZWNvcmQ+PHJlYy1udW1iZXI+MzkwNzwvcmVj
LW51bWJlcj48Zm9yZWlnbi1rZXlzPjxrZXkgYXBwPSJFTiIgZGItaWQ9ImFlYXg5ZnJyM3NhOXJj
ZTJycGE1c2V6ZHRkMnB2MDB3Mjl6MCIgdGltZXN0YW1wPSIxNTc3ODk2MTY3Ij4zOTA3PC9rZXk+
PC9mb3JlaWduLWtleXM+PHJlZi10eXBlIG5hbWU9IkpvdXJuYWwgQXJ0aWNsZSI+MTc8L3JlZi10
eXBlPjxjb250cmlidXRvcnM+PGF1dGhvcnM+PGF1dGhvcj5aaHUsIFkuPC9hdXRob3I+PGF1dGhv
cj5aYW5nLCBZLjwvYXV0aG9yPjxhdXRob3I+WmhhbywgRi48L2F1dGhvcj48YXV0aG9yPkxpLCBa
LjwvYXV0aG9yPjxhdXRob3I+WmhhbmcsIEouPC9hdXRob3I+PGF1dGhvcj5GYW5nLCBMLjwvYXV0
aG9yPjxhdXRob3I+TGksIE0uPC9hdXRob3I+PGF1dGhvcj5YaW5nLCBMLjwvYXV0aG9yPjxhdXRo
b3I+WHUsIFouPC9hdXRob3I+PGF1dGhvcj5ZdSwgSi48L2F1dGhvcj48L2F1dGhvcnM+PC9jb250
cmlidXRvcnM+PGF1dGgtYWRkcmVzcz5EZXBhcnRtZW50IG9mIFJhZGlhdGlvbiBPbmNvbG9neSwg
U2hhbmRvbmcgQ2FuY2VyIEhvc3BpdGFsIGFuZCBJbnN0aXR1dGUsIFNoYW5kb25nIFVuaXZlcnNp
dHlKaW5hbiwgQ2hpbmEuJiN4RDtEZXBhcnRtZW50IG9mIFVyb2xvZ3ksIFFpbHUgSG9zcGl0YWws
IFNoYW5kb25nIFVuaXZlcnNpdHlKaW5hbiwgQ2hpbmEuJiN4RDtEZXBhcnRtZW50IG9mIFBhdGhv
bG9neSwgU2hhbmRvbmcgQ2FuY2VyIEhvc3BpdGFsIGFuZCBJbnN0aXR1dGUsIFNoYW5kb25nIFVu
aXZlcnNpdHlKaW5hbiwgQ2hpbmEuPC9hdXRoLWFkZHJlc3M+PHRpdGxlcz48dGl0bGU+SW5oaWJp
dGlvbiBvZiBISUYtMWFscGhhIGJ5IFBYLTQ3OCBzdXBwcmVzc2VzIHR1bW9yIGdyb3d0aCBvZiBl
c29waGFnZWFsIHNxdWFtb3VzIGNlbGwgY2FuY2VyIGluIHZpdHJvIGFuZCBpbiB2aXZvPC90aXRs
ZT48c2Vjb25kYXJ5LXRpdGxlPkFtIEogQ2FuY2VyIFJlczwvc2Vjb25kYXJ5LXRpdGxlPjwvdGl0
bGVzPjxwZXJpb2RpY2FsPjxmdWxsLXRpdGxlPkFtIEogQ2FuY2VyIFJlczwvZnVsbC10aXRsZT48
L3BlcmlvZGljYWw+PHBhZ2VzPjExOTgtMTIxMjwvcGFnZXM+PHZvbHVtZT43PC92b2x1bWU+PG51
bWJlcj41PC9udW1iZXI+PGVkaXRpb24+MjAxNy8wNi8wMTwvZWRpdGlvbj48a2V5d29yZHM+PGtl
eXdvcmQ+RXNvcGhhZ2VhbCBzcXVhbW91cyBjZWxsIGNhbmNlciAoRVNDQyk8L2tleXdvcmQ+PGtl
eXdvcmQ+UHgtNDc4PC9rZXl3b3JkPjxrZXl3b3JkPmVwaXRoZWxpYWwtbWVzZW5jaHltYWwgdHJh
bnNpdGlvbiAoRU1UKTwva2V5d29yZD48a2V5d29yZD5oeXBveGlhIGluZHVjaWJsZSBmYWN0b3It
MWFscGhhIChISUYtMWFscGhhKSBpbmhpYml0b3JzPC9rZXl3b3JkPjxrZXl3b3JkPnR1bW9yIGdy
b3d0aDwva2V5d29yZD48L2tleXdvcmRzPjxkYXRlcz48eWVhcj4yMDE3PC95ZWFyPjwvZGF0ZXM+
PGlzYm4+MjE1Ni02OTc2IChQcmludCkmI3hEOzIxNTYtNjk3NiAoTGlua2luZyk8L2lzYm4+PGFj
Y2Vzc2lvbi1udW0+Mjg1NjAwNjc8L2FjY2Vzc2lvbi1udW0+PHVybHM+PHJlbGF0ZWQtdXJscz48
dXJsPmh0dHBzOi8vd3d3Lm5jYmkubmxtLm5paC5nb3YvcHVibWVkLzI4NTYwMDY3PC91cmw+PC9y
ZWxhdGVkLXVybHM+PC91cmxzPjxjdXN0b20yPlBNQzU0NDY0ODQ8L2N1c3RvbTI+PC9yZWNvcmQ+
PC9DaXRlPjxDaXRlPjxBdXRob3I+TGVlPC9BdXRob3I+PFllYXI+MjAxMjwvWWVhcj48UmVjTnVt
PjM5MDg8L1JlY051bT48cmVjb3JkPjxyZWMtbnVtYmVyPjM5MDg8L3JlYy1udW1iZXI+PGZvcmVp
Z24ta2V5cz48a2V5IGFwcD0iRU4iIGRiLWlkPSJhZWF4OWZycjNzYTlyY2UycnBhNXNlemR0ZDJw
djAwdzI5ejAiIHRpbWVzdGFtcD0iMTU3Nzg5NjI2NyI+MzkwODwva2V5PjwvZm9yZWlnbi1rZXlz
PjxyZWYtdHlwZSBuYW1lPSJKb3VybmFsIEFydGljbGUiPjE3PC9yZWYtdHlwZT48Y29udHJpYnV0
b3JzPjxhdXRob3JzPjxhdXRob3I+TGVlLCBHLjwvYXV0aG9yPjxhdXRob3I+Q2hldW5nLCBBLiBQ
LjwvYXV0aG9yPjxhdXRob3I+R2UsIEIuPC9hdXRob3I+PGF1dGhvcj5aaHUsIE0uPC9hdXRob3I+
PGF1dGhvcj5HaW9sbWEsIEIuPC9hdXRob3I+PGF1dGhvcj5MaSwgQi48L2F1dGhvcj48YXV0aG9y
PldvbmcsIEUuPC9hdXRob3I+PGF1dGhvcj5MaSwgWS48L2F1dGhvcj48YXV0aG9yPldhbmcsIFku
PC9hdXRob3I+PGF1dGhvcj5DaGVuLCBaLjwvYXV0aG9yPjxhdXRob3I+R3UsIEouPC9hdXRob3I+
PC9hdXRob3JzPjwvY29udHJpYnV0b3JzPjxhdXRoLWFkZHJlc3M+QW5kcm9sb2d5IExhYm9yYXRv
cnksIFVuaXZlcnNpdHkgb2YgQnJpdGlzaCBDb2x1bWJpYSBDZW50ZXIgZm9yIFJlcHJvZHVjdGl2
ZSBIZWFsdGgsIDQ1MDAgT2FrIFN0cmVldCwgVmFuY291dmVyLCBCQyBWNkggM04xLCBDYW5hZGEu
IGN5Z2xlZUB5YWhvby5jb208L2F1dGgtYWRkcmVzcz48dGl0bGVzPjx0aXRsZT5DQTIxNSBhbmQg
R25SSCByZWNlcHRvciBhcyB0YXJnZXRzIGZvciBjYW5jZXIgdGhlcmFweTwvdGl0bGU+PHNlY29u
ZGFyeS10aXRsZT5DYW5jZXIgSW1tdW5vbCBJbW11bm90aGVyPC9zZWNvbmRhcnktdGl0bGU+PC90
aXRsZXM+PHBlcmlvZGljYWw+PGZ1bGwtdGl0bGU+Q2FuY2VyIEltbXVub2wgSW1tdW5vdGhlcjwv
ZnVsbC10aXRsZT48L3BlcmlvZGljYWw+PHBhZ2VzPjE4MDUtMTc8L3BhZ2VzPjx2b2x1bWU+NjE8
L3ZvbHVtZT48bnVtYmVyPjEwPC9udW1iZXI+PGVkaXRpb24+MjAxMi8wMy8yMTwvZWRpdGlvbj48
a2V5d29yZHM+PGtleXdvcmQ+QW5pbWFsczwva2V5d29yZD48a2V5d29yZD5BbnRpYm9kaWVzLCBN
b25vY2xvbmFsLyp0aGVyYXBldXRpYyB1c2U8L2tleXdvcmQ+PGtleXdvcmQ+QW50aWdlbnMsIE5l
b3BsYXNtL2ltbXVub2xvZ3k8L2tleXdvcmQ+PGtleXdvcmQ+QW50aW5lb3BsYXN0aWMgQWdlbnRz
Lyp0aGVyYXBldXRpYyB1c2U8L2tleXdvcmQ+PGtleXdvcmQ+QXBvcHRvc2lzL2RydWcgZWZmZWN0
czwva2V5d29yZD48a2V5d29yZD5DQS0xMjUgQW50aWdlbi8qaW1tdW5vbG9neTwva2V5d29yZD48
a2V5d29yZD5DZWxsIExpbmUsIFR1bW9yPC9rZXl3b3JkPjxrZXl3b3JkPkNvbXBsZW1lbnQgU3lz
dGVtIFByb3RlaW5zL2RydWcgZWZmZWN0cy9pbW11bm9sb2d5PC9rZXl3b3JkPjxrZXl3b3JkPkN5
dG90b3hpY2l0eSwgSW1tdW5vbG9naWMvZHJ1ZyBlZmZlY3RzPC9rZXl3b3JkPjxrZXl3b3JkPkRp
c2Vhc2UgTW9kZWxzLCBBbmltYWw8L2tleXdvcmQ+PGtleXdvcmQ+RmVtYWxlPC9rZXl3b3JkPjxr
ZXl3b3JkPkdvbmFkb3Ryb3Bpbi1SZWxlYXNpbmcgSG9ybW9uZS9hbmFsb2dzICZhbXA7IGRlcml2
YXRpdmVzPC9rZXl3b3JkPjxrZXl3b3JkPkh1bWFuczwva2V5d29yZD48a2V5d29yZD5JbW11bm9o
aXN0b2NoZW1pc3RyeTwva2V5d29yZD48a2V5d29yZD5NZW1icmFuZSBQcm90ZWlucy8qaW1tdW5v
bG9neTwva2V5d29yZD48a2V5d29yZD5NaWNlPC9rZXl3b3JkPjxrZXl3b3JkPk1pY2UsIE51ZGU8
L2tleXdvcmQ+PGtleXdvcmQ+TmVvcGxhc21zL2ltbXVub2xvZ3kvcGF0aG9sb2d5Lyp0aGVyYXB5
PC9rZXl3b3JkPjxrZXl3b3JkPlJlY2VwdG9ycywgTEhSSC8qaW1tdW5vbG9neTwva2V5d29yZD48
a2V5d29yZD5UcmVhdG1lbnQgT3V0Y29tZTwva2V5d29yZD48a2V5d29yZD5YZW5vZ3JhZnQgTW9k
ZWwgQW50aXR1bW9yIEFzc2F5czwva2V5d29yZD48L2tleXdvcmRzPjxkYXRlcz48eWVhcj4yMDEy
PC95ZWFyPjxwdWItZGF0ZXM+PGRhdGU+T2N0PC9kYXRlPjwvcHViLWRhdGVzPjwvZGF0ZXM+PGlz
Ym4+MTQzMi0wODUxIChFbGVjdHJvbmljKSYjeEQ7MDM0MC03MDA0IChMaW5raW5nKTwvaXNibj48
YWNjZXNzaW9uLW51bT4yMjQzMDYyODwvYWNjZXNzaW9uLW51bT48dXJscz48cmVsYXRlZC11cmxz
Pjx1cmw+aHR0cHM6Ly93d3cubmNiaS5ubG0ubmloLmdvdi9wdWJtZWQvMjI0MzA2Mjg8L3VybD48
L3JlbGF0ZWQtdXJscz48L3VybHM+PGVsZWN0cm9uaWMtcmVzb3VyY2UtbnVtPjEwLjEwMDcvczAw
MjYyLTAxMi0xMjMwLTg8L2VsZWN0cm9uaWMtcmVzb3VyY2UtbnVtPjwvcmVjb3JkPjwvQ2l0ZT48
L0VuZE5vdGU+AG==
</w:fldData>
        </w:fldChar>
      </w:r>
      <w:r w:rsidR="004F1A88" w:rsidRPr="00774B2C">
        <w:rPr>
          <w:szCs w:val="24"/>
          <w:vertAlign w:val="superscript"/>
        </w:rPr>
        <w:instrText xml:space="preserve"> ADDIN EN.CITE </w:instrText>
      </w:r>
      <w:r w:rsidR="004F1A88" w:rsidRPr="00774B2C">
        <w:rPr>
          <w:szCs w:val="24"/>
          <w:vertAlign w:val="superscript"/>
        </w:rPr>
        <w:fldChar w:fldCharType="begin">
          <w:fldData xml:space="preserve">PEVuZE5vdGU+PENpdGU+PEF1dGhvcj5aaHU8L0F1dGhvcj48WWVhcj4yMDE3PC9ZZWFyPjxSZWNO
dW0+MzkwNzwvUmVjTnVtPjxEaXNwbGF5VGV4dD48c3R5bGUgZmFjZT0ic3VwZXJzY3JpcHQiPlsz
NiwgMzddPC9zdHlsZT48L0Rpc3BsYXlUZXh0PjxyZWNvcmQ+PHJlYy1udW1iZXI+MzkwNzwvcmVj
LW51bWJlcj48Zm9yZWlnbi1rZXlzPjxrZXkgYXBwPSJFTiIgZGItaWQ9ImFlYXg5ZnJyM3NhOXJj
ZTJycGE1c2V6ZHRkMnB2MDB3Mjl6MCIgdGltZXN0YW1wPSIxNTc3ODk2MTY3Ij4zOTA3PC9rZXk+
PC9mb3JlaWduLWtleXM+PHJlZi10eXBlIG5hbWU9IkpvdXJuYWwgQXJ0aWNsZSI+MTc8L3JlZi10
eXBlPjxjb250cmlidXRvcnM+PGF1dGhvcnM+PGF1dGhvcj5aaHUsIFkuPC9hdXRob3I+PGF1dGhv
cj5aYW5nLCBZLjwvYXV0aG9yPjxhdXRob3I+WmhhbywgRi48L2F1dGhvcj48YXV0aG9yPkxpLCBa
LjwvYXV0aG9yPjxhdXRob3I+WmhhbmcsIEouPC9hdXRob3I+PGF1dGhvcj5GYW5nLCBMLjwvYXV0
aG9yPjxhdXRob3I+TGksIE0uPC9hdXRob3I+PGF1dGhvcj5YaW5nLCBMLjwvYXV0aG9yPjxhdXRo
b3I+WHUsIFouPC9hdXRob3I+PGF1dGhvcj5ZdSwgSi48L2F1dGhvcj48L2F1dGhvcnM+PC9jb250
cmlidXRvcnM+PGF1dGgtYWRkcmVzcz5EZXBhcnRtZW50IG9mIFJhZGlhdGlvbiBPbmNvbG9neSwg
U2hhbmRvbmcgQ2FuY2VyIEhvc3BpdGFsIGFuZCBJbnN0aXR1dGUsIFNoYW5kb25nIFVuaXZlcnNp
dHlKaW5hbiwgQ2hpbmEuJiN4RDtEZXBhcnRtZW50IG9mIFVyb2xvZ3ksIFFpbHUgSG9zcGl0YWws
IFNoYW5kb25nIFVuaXZlcnNpdHlKaW5hbiwgQ2hpbmEuJiN4RDtEZXBhcnRtZW50IG9mIFBhdGhv
bG9neSwgU2hhbmRvbmcgQ2FuY2VyIEhvc3BpdGFsIGFuZCBJbnN0aXR1dGUsIFNoYW5kb25nIFVu
aXZlcnNpdHlKaW5hbiwgQ2hpbmEuPC9hdXRoLWFkZHJlc3M+PHRpdGxlcz48dGl0bGU+SW5oaWJp
dGlvbiBvZiBISUYtMWFscGhhIGJ5IFBYLTQ3OCBzdXBwcmVzc2VzIHR1bW9yIGdyb3d0aCBvZiBl
c29waGFnZWFsIHNxdWFtb3VzIGNlbGwgY2FuY2VyIGluIHZpdHJvIGFuZCBpbiB2aXZvPC90aXRs
ZT48c2Vjb25kYXJ5LXRpdGxlPkFtIEogQ2FuY2VyIFJlczwvc2Vjb25kYXJ5LXRpdGxlPjwvdGl0
bGVzPjxwZXJpb2RpY2FsPjxmdWxsLXRpdGxlPkFtIEogQ2FuY2VyIFJlczwvZnVsbC10aXRsZT48
L3BlcmlvZGljYWw+PHBhZ2VzPjExOTgtMTIxMjwvcGFnZXM+PHZvbHVtZT43PC92b2x1bWU+PG51
bWJlcj41PC9udW1iZXI+PGVkaXRpb24+MjAxNy8wNi8wMTwvZWRpdGlvbj48a2V5d29yZHM+PGtl
eXdvcmQ+RXNvcGhhZ2VhbCBzcXVhbW91cyBjZWxsIGNhbmNlciAoRVNDQyk8L2tleXdvcmQ+PGtl
eXdvcmQ+UHgtNDc4PC9rZXl3b3JkPjxrZXl3b3JkPmVwaXRoZWxpYWwtbWVzZW5jaHltYWwgdHJh
bnNpdGlvbiAoRU1UKTwva2V5d29yZD48a2V5d29yZD5oeXBveGlhIGluZHVjaWJsZSBmYWN0b3It
MWFscGhhIChISUYtMWFscGhhKSBpbmhpYml0b3JzPC9rZXl3b3JkPjxrZXl3b3JkPnR1bW9yIGdy
b3d0aDwva2V5d29yZD48L2tleXdvcmRzPjxkYXRlcz48eWVhcj4yMDE3PC95ZWFyPjwvZGF0ZXM+
PGlzYm4+MjE1Ni02OTc2IChQcmludCkmI3hEOzIxNTYtNjk3NiAoTGlua2luZyk8L2lzYm4+PGFj
Y2Vzc2lvbi1udW0+Mjg1NjAwNjc8L2FjY2Vzc2lvbi1udW0+PHVybHM+PHJlbGF0ZWQtdXJscz48
dXJsPmh0dHBzOi8vd3d3Lm5jYmkubmxtLm5paC5nb3YvcHVibWVkLzI4NTYwMDY3PC91cmw+PC9y
ZWxhdGVkLXVybHM+PC91cmxzPjxjdXN0b20yPlBNQzU0NDY0ODQ8L2N1c3RvbTI+PC9yZWNvcmQ+
PC9DaXRlPjxDaXRlPjxBdXRob3I+TGVlPC9BdXRob3I+PFllYXI+MjAxMjwvWWVhcj48UmVjTnVt
PjM5MDg8L1JlY051bT48cmVjb3JkPjxyZWMtbnVtYmVyPjM5MDg8L3JlYy1udW1iZXI+PGZvcmVp
Z24ta2V5cz48a2V5IGFwcD0iRU4iIGRiLWlkPSJhZWF4OWZycjNzYTlyY2UycnBhNXNlemR0ZDJw
djAwdzI5ejAiIHRpbWVzdGFtcD0iMTU3Nzg5NjI2NyI+MzkwODwva2V5PjwvZm9yZWlnbi1rZXlz
PjxyZWYtdHlwZSBuYW1lPSJKb3VybmFsIEFydGljbGUiPjE3PC9yZWYtdHlwZT48Y29udHJpYnV0
b3JzPjxhdXRob3JzPjxhdXRob3I+TGVlLCBHLjwvYXV0aG9yPjxhdXRob3I+Q2hldW5nLCBBLiBQ
LjwvYXV0aG9yPjxhdXRob3I+R2UsIEIuPC9hdXRob3I+PGF1dGhvcj5aaHUsIE0uPC9hdXRob3I+
PGF1dGhvcj5HaW9sbWEsIEIuPC9hdXRob3I+PGF1dGhvcj5MaSwgQi48L2F1dGhvcj48YXV0aG9y
PldvbmcsIEUuPC9hdXRob3I+PGF1dGhvcj5MaSwgWS48L2F1dGhvcj48YXV0aG9yPldhbmcsIFku
PC9hdXRob3I+PGF1dGhvcj5DaGVuLCBaLjwvYXV0aG9yPjxhdXRob3I+R3UsIEouPC9hdXRob3I+
PC9hdXRob3JzPjwvY29udHJpYnV0b3JzPjxhdXRoLWFkZHJlc3M+QW5kcm9sb2d5IExhYm9yYXRv
cnksIFVuaXZlcnNpdHkgb2YgQnJpdGlzaCBDb2x1bWJpYSBDZW50ZXIgZm9yIFJlcHJvZHVjdGl2
ZSBIZWFsdGgsIDQ1MDAgT2FrIFN0cmVldCwgVmFuY291dmVyLCBCQyBWNkggM04xLCBDYW5hZGEu
IGN5Z2xlZUB5YWhvby5jb208L2F1dGgtYWRkcmVzcz48dGl0bGVzPjx0aXRsZT5DQTIxNSBhbmQg
R25SSCByZWNlcHRvciBhcyB0YXJnZXRzIGZvciBjYW5jZXIgdGhlcmFweTwvdGl0bGU+PHNlY29u
ZGFyeS10aXRsZT5DYW5jZXIgSW1tdW5vbCBJbW11bm90aGVyPC9zZWNvbmRhcnktdGl0bGU+PC90
aXRsZXM+PHBlcmlvZGljYWw+PGZ1bGwtdGl0bGU+Q2FuY2VyIEltbXVub2wgSW1tdW5vdGhlcjwv
ZnVsbC10aXRsZT48L3BlcmlvZGljYWw+PHBhZ2VzPjE4MDUtMTc8L3BhZ2VzPjx2b2x1bWU+NjE8
L3ZvbHVtZT48bnVtYmVyPjEwPC9udW1iZXI+PGVkaXRpb24+MjAxMi8wMy8yMTwvZWRpdGlvbj48
a2V5d29yZHM+PGtleXdvcmQ+QW5pbWFsczwva2V5d29yZD48a2V5d29yZD5BbnRpYm9kaWVzLCBN
b25vY2xvbmFsLyp0aGVyYXBldXRpYyB1c2U8L2tleXdvcmQ+PGtleXdvcmQ+QW50aWdlbnMsIE5l
b3BsYXNtL2ltbXVub2xvZ3k8L2tleXdvcmQ+PGtleXdvcmQ+QW50aW5lb3BsYXN0aWMgQWdlbnRz
Lyp0aGVyYXBldXRpYyB1c2U8L2tleXdvcmQ+PGtleXdvcmQ+QXBvcHRvc2lzL2RydWcgZWZmZWN0
czwva2V5d29yZD48a2V5d29yZD5DQS0xMjUgQW50aWdlbi8qaW1tdW5vbG9neTwva2V5d29yZD48
a2V5d29yZD5DZWxsIExpbmUsIFR1bW9yPC9rZXl3b3JkPjxrZXl3b3JkPkNvbXBsZW1lbnQgU3lz
dGVtIFByb3RlaW5zL2RydWcgZWZmZWN0cy9pbW11bm9sb2d5PC9rZXl3b3JkPjxrZXl3b3JkPkN5
dG90b3hpY2l0eSwgSW1tdW5vbG9naWMvZHJ1ZyBlZmZlY3RzPC9rZXl3b3JkPjxrZXl3b3JkPkRp
c2Vhc2UgTW9kZWxzLCBBbmltYWw8L2tleXdvcmQ+PGtleXdvcmQ+RmVtYWxlPC9rZXl3b3JkPjxr
ZXl3b3JkPkdvbmFkb3Ryb3Bpbi1SZWxlYXNpbmcgSG9ybW9uZS9hbmFsb2dzICZhbXA7IGRlcml2
YXRpdmVzPC9rZXl3b3JkPjxrZXl3b3JkPkh1bWFuczwva2V5d29yZD48a2V5d29yZD5JbW11bm9o
aXN0b2NoZW1pc3RyeTwva2V5d29yZD48a2V5d29yZD5NZW1icmFuZSBQcm90ZWlucy8qaW1tdW5v
bG9neTwva2V5d29yZD48a2V5d29yZD5NaWNlPC9rZXl3b3JkPjxrZXl3b3JkPk1pY2UsIE51ZGU8
L2tleXdvcmQ+PGtleXdvcmQ+TmVvcGxhc21zL2ltbXVub2xvZ3kvcGF0aG9sb2d5Lyp0aGVyYXB5
PC9rZXl3b3JkPjxrZXl3b3JkPlJlY2VwdG9ycywgTEhSSC8qaW1tdW5vbG9neTwva2V5d29yZD48
a2V5d29yZD5UcmVhdG1lbnQgT3V0Y29tZTwva2V5d29yZD48a2V5d29yZD5YZW5vZ3JhZnQgTW9k
ZWwgQW50aXR1bW9yIEFzc2F5czwva2V5d29yZD48L2tleXdvcmRzPjxkYXRlcz48eWVhcj4yMDEy
PC95ZWFyPjxwdWItZGF0ZXM+PGRhdGU+T2N0PC9kYXRlPjwvcHViLWRhdGVzPjwvZGF0ZXM+PGlz
Ym4+MTQzMi0wODUxIChFbGVjdHJvbmljKSYjeEQ7MDM0MC03MDA0IChMaW5raW5nKTwvaXNibj48
YWNjZXNzaW9uLW51bT4yMjQzMDYyODwvYWNjZXNzaW9uLW51bT48dXJscz48cmVsYXRlZC11cmxz
Pjx1cmw+aHR0cHM6Ly93d3cubmNiaS5ubG0ubmloLmdvdi9wdWJtZWQvMjI0MzA2Mjg8L3VybD48
L3JlbGF0ZWQtdXJscz48L3VybHM+PGVsZWN0cm9uaWMtcmVzb3VyY2UtbnVtPjEwLjEwMDcvczAw
MjYyLTAxMi0xMjMwLTg8L2VsZWN0cm9uaWMtcmVzb3VyY2UtbnVtPjwvcmVjb3JkPjwvQ2l0ZT48
L0VuZE5vdGU+AG==
</w:fldData>
        </w:fldChar>
      </w:r>
      <w:r w:rsidR="004F1A88" w:rsidRPr="00774B2C">
        <w:rPr>
          <w:szCs w:val="24"/>
          <w:vertAlign w:val="superscript"/>
        </w:rPr>
        <w:instrText xml:space="preserve"> ADDIN EN.CITE.DATA </w:instrText>
      </w:r>
      <w:r w:rsidR="004F1A88" w:rsidRPr="00774B2C">
        <w:rPr>
          <w:szCs w:val="24"/>
          <w:vertAlign w:val="superscript"/>
        </w:rPr>
      </w:r>
      <w:r w:rsidR="004F1A88" w:rsidRPr="00774B2C">
        <w:rPr>
          <w:szCs w:val="24"/>
          <w:vertAlign w:val="superscript"/>
        </w:rPr>
        <w:fldChar w:fldCharType="end"/>
      </w:r>
      <w:r w:rsidR="004F1A88" w:rsidRPr="00774B2C">
        <w:rPr>
          <w:szCs w:val="24"/>
          <w:vertAlign w:val="superscript"/>
        </w:rPr>
      </w:r>
      <w:r w:rsidR="004F1A88" w:rsidRPr="00774B2C">
        <w:rPr>
          <w:szCs w:val="24"/>
          <w:vertAlign w:val="superscript"/>
        </w:rPr>
        <w:fldChar w:fldCharType="separate"/>
      </w:r>
      <w:r w:rsidR="004F1A88" w:rsidRPr="00774B2C">
        <w:rPr>
          <w:noProof/>
          <w:szCs w:val="24"/>
          <w:vertAlign w:val="superscript"/>
        </w:rPr>
        <w:t>[36,37]</w:t>
      </w:r>
      <w:r w:rsidR="004F1A88" w:rsidRPr="00774B2C">
        <w:rPr>
          <w:szCs w:val="24"/>
          <w:vertAlign w:val="superscript"/>
        </w:rPr>
        <w:fldChar w:fldCharType="end"/>
      </w:r>
      <w:r w:rsidRPr="00774B2C">
        <w:rPr>
          <w:szCs w:val="24"/>
        </w:rPr>
        <w:t xml:space="preserve">, which may be our main research direction in the future. Finally, we plotted a </w:t>
      </w:r>
      <w:r w:rsidR="00FD26C1" w:rsidRPr="00774B2C">
        <w:rPr>
          <w:szCs w:val="24"/>
        </w:rPr>
        <w:t>protein-protein interaction</w:t>
      </w:r>
      <w:r w:rsidRPr="00774B2C">
        <w:rPr>
          <w:szCs w:val="24"/>
        </w:rPr>
        <w:t xml:space="preserve"> co-expression spectrum, </w:t>
      </w:r>
      <w:r w:rsidR="00356015">
        <w:rPr>
          <w:szCs w:val="24"/>
        </w:rPr>
        <w:t>and found</w:t>
      </w:r>
      <w:r w:rsidRPr="00774B2C">
        <w:rPr>
          <w:szCs w:val="24"/>
        </w:rPr>
        <w:t xml:space="preserve"> that relationship pairs with </w:t>
      </w:r>
      <w:r w:rsidR="00356015">
        <w:rPr>
          <w:szCs w:val="24"/>
        </w:rPr>
        <w:t xml:space="preserve">the </w:t>
      </w:r>
      <w:r w:rsidRPr="00774B2C">
        <w:rPr>
          <w:szCs w:val="24"/>
        </w:rPr>
        <w:t>EGF gene w</w:t>
      </w:r>
      <w:r w:rsidR="00356015">
        <w:rPr>
          <w:szCs w:val="24"/>
        </w:rPr>
        <w:t>ere</w:t>
      </w:r>
      <w:r w:rsidRPr="00774B2C">
        <w:rPr>
          <w:szCs w:val="24"/>
        </w:rPr>
        <w:t xml:space="preserve"> the most common. EGF, a member of epidermal growth factor super family, is a powerful </w:t>
      </w:r>
      <w:proofErr w:type="spellStart"/>
      <w:r w:rsidRPr="00774B2C">
        <w:rPr>
          <w:szCs w:val="24"/>
        </w:rPr>
        <w:t>mitogenic</w:t>
      </w:r>
      <w:proofErr w:type="spellEnd"/>
      <w:r w:rsidRPr="00774B2C">
        <w:rPr>
          <w:szCs w:val="24"/>
        </w:rPr>
        <w:t xml:space="preserve"> factor with important functions in growth, proliferation and differentiation of various cells, and early studies have </w:t>
      </w:r>
      <w:r w:rsidR="00356015">
        <w:rPr>
          <w:szCs w:val="24"/>
        </w:rPr>
        <w:t>shown</w:t>
      </w:r>
      <w:r w:rsidRPr="00774B2C">
        <w:rPr>
          <w:szCs w:val="24"/>
        </w:rPr>
        <w:t xml:space="preserve"> that EGF is closely related to </w:t>
      </w:r>
      <w:r w:rsidR="00356015">
        <w:rPr>
          <w:szCs w:val="24"/>
        </w:rPr>
        <w:t xml:space="preserve">the </w:t>
      </w:r>
      <w:r w:rsidRPr="00774B2C">
        <w:rPr>
          <w:szCs w:val="24"/>
        </w:rPr>
        <w:t>prognosis of esophageal carcinoma. Whether miR-1304 can regulate EGF and suppress the occurrence and development of esophageal carcinoma is the main direction of our future research.</w:t>
      </w:r>
    </w:p>
    <w:p w14:paraId="43F59A86" w14:textId="4A6CFEA8" w:rsidR="00483403" w:rsidRPr="00774B2C" w:rsidRDefault="00483403" w:rsidP="005D3A57">
      <w:pPr>
        <w:adjustRightInd w:val="0"/>
        <w:snapToGrid w:val="0"/>
        <w:ind w:firstLineChars="100" w:firstLine="240"/>
        <w:rPr>
          <w:rFonts w:eastAsia="楷体"/>
          <w:szCs w:val="24"/>
        </w:rPr>
      </w:pPr>
      <w:r w:rsidRPr="00774B2C">
        <w:rPr>
          <w:szCs w:val="24"/>
        </w:rPr>
        <w:t xml:space="preserve">This study has preliminarily proved the clinical value of miR-1304 in esophageal carcinoma, but it has certain limitations. Firstly, </w:t>
      </w:r>
      <w:r w:rsidR="0086742B">
        <w:rPr>
          <w:szCs w:val="24"/>
        </w:rPr>
        <w:t>we</w:t>
      </w:r>
      <w:r w:rsidRPr="00774B2C">
        <w:rPr>
          <w:szCs w:val="24"/>
        </w:rPr>
        <w:t xml:space="preserve"> did not </w:t>
      </w:r>
      <w:bookmarkStart w:id="26" w:name="_GoBack"/>
      <w:bookmarkEnd w:id="26"/>
      <w:r w:rsidRPr="00774B2C">
        <w:rPr>
          <w:szCs w:val="24"/>
        </w:rPr>
        <w:t>carry out basic experiment</w:t>
      </w:r>
      <w:r w:rsidR="00AC3978">
        <w:rPr>
          <w:szCs w:val="24"/>
        </w:rPr>
        <w:t>s</w:t>
      </w:r>
      <w:r w:rsidRPr="00774B2C">
        <w:rPr>
          <w:szCs w:val="24"/>
        </w:rPr>
        <w:t xml:space="preserve">, and did not clarify </w:t>
      </w:r>
      <w:r w:rsidR="00AC3978">
        <w:rPr>
          <w:szCs w:val="24"/>
        </w:rPr>
        <w:t xml:space="preserve">the </w:t>
      </w:r>
      <w:r w:rsidRPr="00774B2C">
        <w:rPr>
          <w:szCs w:val="24"/>
        </w:rPr>
        <w:t xml:space="preserve">relevant mechanisms of miR-1304 in esophageal carcinoma. Secondly, the specimens in this study were </w:t>
      </w:r>
      <w:r w:rsidR="00AC3978">
        <w:rPr>
          <w:szCs w:val="24"/>
        </w:rPr>
        <w:t>basic</w:t>
      </w:r>
      <w:r w:rsidRPr="00774B2C">
        <w:rPr>
          <w:szCs w:val="24"/>
        </w:rPr>
        <w:t xml:space="preserve">, and the study only compared the difference in expression of serum miR-1304 between patients with esophageal carcinoma and normal </w:t>
      </w:r>
      <w:r w:rsidR="00AC3978">
        <w:rPr>
          <w:szCs w:val="24"/>
        </w:rPr>
        <w:t>subjects</w:t>
      </w:r>
      <w:r w:rsidRPr="00774B2C">
        <w:rPr>
          <w:szCs w:val="24"/>
        </w:rPr>
        <w:t>. Whether difference</w:t>
      </w:r>
      <w:r w:rsidR="00AC3978">
        <w:rPr>
          <w:szCs w:val="24"/>
        </w:rPr>
        <w:t>s</w:t>
      </w:r>
      <w:r w:rsidRPr="00774B2C">
        <w:rPr>
          <w:szCs w:val="24"/>
        </w:rPr>
        <w:t xml:space="preserve"> in </w:t>
      </w:r>
      <w:r w:rsidR="00AC3978" w:rsidRPr="00774B2C">
        <w:rPr>
          <w:szCs w:val="24"/>
        </w:rPr>
        <w:t xml:space="preserve">miR-1304 </w:t>
      </w:r>
      <w:r w:rsidR="00AC3978">
        <w:rPr>
          <w:szCs w:val="24"/>
        </w:rPr>
        <w:t>expression exist</w:t>
      </w:r>
      <w:r w:rsidRPr="00774B2C">
        <w:rPr>
          <w:szCs w:val="24"/>
        </w:rPr>
        <w:t xml:space="preserve"> between patients with esophageal carcinoma and patients with benign esophageal lesion </w:t>
      </w:r>
      <w:r w:rsidR="00AC3978">
        <w:rPr>
          <w:szCs w:val="24"/>
        </w:rPr>
        <w:t>requires</w:t>
      </w:r>
      <w:r w:rsidRPr="00774B2C">
        <w:rPr>
          <w:szCs w:val="24"/>
        </w:rPr>
        <w:t xml:space="preserve"> further </w:t>
      </w:r>
      <w:r w:rsidR="00AC3978">
        <w:rPr>
          <w:szCs w:val="24"/>
        </w:rPr>
        <w:t>investigation</w:t>
      </w:r>
      <w:r w:rsidRPr="00774B2C">
        <w:rPr>
          <w:szCs w:val="24"/>
        </w:rPr>
        <w:t xml:space="preserve">. Therefore, we hope to </w:t>
      </w:r>
      <w:r w:rsidR="00AC3978">
        <w:rPr>
          <w:szCs w:val="24"/>
        </w:rPr>
        <w:t xml:space="preserve">carry out </w:t>
      </w:r>
      <w:r w:rsidRPr="00774B2C">
        <w:rPr>
          <w:szCs w:val="24"/>
        </w:rPr>
        <w:t xml:space="preserve">basic experiments in future research, </w:t>
      </w:r>
      <w:r w:rsidR="00AC3978">
        <w:rPr>
          <w:szCs w:val="24"/>
        </w:rPr>
        <w:t xml:space="preserve">use </w:t>
      </w:r>
      <w:r w:rsidRPr="00774B2C">
        <w:rPr>
          <w:szCs w:val="24"/>
        </w:rPr>
        <w:t>divers</w:t>
      </w:r>
      <w:r w:rsidR="00AC3978">
        <w:rPr>
          <w:szCs w:val="24"/>
        </w:rPr>
        <w:t>e</w:t>
      </w:r>
      <w:r w:rsidRPr="00774B2C">
        <w:rPr>
          <w:szCs w:val="24"/>
        </w:rPr>
        <w:t xml:space="preserve"> specimens and </w:t>
      </w:r>
      <w:r w:rsidR="00AC3978">
        <w:rPr>
          <w:szCs w:val="24"/>
        </w:rPr>
        <w:t xml:space="preserve">to </w:t>
      </w:r>
      <w:r w:rsidRPr="00774B2C">
        <w:rPr>
          <w:szCs w:val="24"/>
        </w:rPr>
        <w:t xml:space="preserve">compare miR-1304 and </w:t>
      </w:r>
      <w:r w:rsidR="00AC3978" w:rsidRPr="00774B2C">
        <w:rPr>
          <w:szCs w:val="24"/>
        </w:rPr>
        <w:t xml:space="preserve">common </w:t>
      </w:r>
      <w:r w:rsidRPr="00774B2C">
        <w:rPr>
          <w:szCs w:val="24"/>
        </w:rPr>
        <w:t>tumor markers in esophageal carcinoma to further confirm the role of miR-1304 in esophageal carcinoma</w:t>
      </w:r>
      <w:r w:rsidR="00AC3978">
        <w:rPr>
          <w:szCs w:val="24"/>
        </w:rPr>
        <w:t xml:space="preserve"> to</w:t>
      </w:r>
      <w:r w:rsidRPr="00774B2C">
        <w:rPr>
          <w:szCs w:val="24"/>
        </w:rPr>
        <w:t xml:space="preserve"> supplement </w:t>
      </w:r>
      <w:r w:rsidR="00AC3978">
        <w:rPr>
          <w:szCs w:val="24"/>
        </w:rPr>
        <w:t>the present</w:t>
      </w:r>
      <w:r w:rsidRPr="00774B2C">
        <w:rPr>
          <w:szCs w:val="24"/>
        </w:rPr>
        <w:t xml:space="preserve"> </w:t>
      </w:r>
      <w:r w:rsidR="00AC3978">
        <w:rPr>
          <w:szCs w:val="24"/>
        </w:rPr>
        <w:t>findings</w:t>
      </w:r>
      <w:r w:rsidRPr="00774B2C">
        <w:rPr>
          <w:szCs w:val="24"/>
        </w:rPr>
        <w:t>.</w:t>
      </w:r>
    </w:p>
    <w:p w14:paraId="4035D894" w14:textId="46F69690" w:rsidR="00483403" w:rsidRPr="00774B2C" w:rsidRDefault="00483403" w:rsidP="005D3A57">
      <w:pPr>
        <w:adjustRightInd w:val="0"/>
        <w:snapToGrid w:val="0"/>
        <w:ind w:firstLineChars="100" w:firstLine="240"/>
        <w:rPr>
          <w:szCs w:val="24"/>
        </w:rPr>
      </w:pPr>
      <w:r w:rsidRPr="00774B2C">
        <w:rPr>
          <w:szCs w:val="24"/>
        </w:rPr>
        <w:t>In conclusion, miR-1304 can be used as a potential ind</w:t>
      </w:r>
      <w:r w:rsidR="00747895">
        <w:rPr>
          <w:szCs w:val="24"/>
        </w:rPr>
        <w:t xml:space="preserve">icator </w:t>
      </w:r>
      <w:r w:rsidRPr="00774B2C">
        <w:rPr>
          <w:szCs w:val="24"/>
        </w:rPr>
        <w:t xml:space="preserve">for </w:t>
      </w:r>
      <w:r w:rsidR="00AC3978">
        <w:rPr>
          <w:szCs w:val="24"/>
        </w:rPr>
        <w:t xml:space="preserve">the </w:t>
      </w:r>
      <w:r w:rsidRPr="00774B2C">
        <w:rPr>
          <w:szCs w:val="24"/>
        </w:rPr>
        <w:t>diagnosis and recurrence of esophageal carcinoma, and for survival of the</w:t>
      </w:r>
      <w:r w:rsidR="00AC3978">
        <w:rPr>
          <w:szCs w:val="24"/>
        </w:rPr>
        <w:t>se</w:t>
      </w:r>
      <w:r w:rsidRPr="00774B2C">
        <w:rPr>
          <w:szCs w:val="24"/>
        </w:rPr>
        <w:t xml:space="preserve"> patients.</w:t>
      </w:r>
    </w:p>
    <w:p w14:paraId="7AFB5CE7" w14:textId="450A82F4" w:rsidR="00BF2B1A" w:rsidRPr="00774B2C" w:rsidRDefault="00BF2B1A" w:rsidP="00774B2C">
      <w:pPr>
        <w:adjustRightInd w:val="0"/>
        <w:snapToGrid w:val="0"/>
        <w:rPr>
          <w:rFonts w:eastAsia="楷体"/>
          <w:szCs w:val="24"/>
        </w:rPr>
      </w:pPr>
    </w:p>
    <w:p w14:paraId="521F5745" w14:textId="77777777" w:rsidR="005D3A57" w:rsidRPr="006E6A95" w:rsidRDefault="005D3A57" w:rsidP="005D3A57">
      <w:pPr>
        <w:adjustRightInd w:val="0"/>
        <w:snapToGrid w:val="0"/>
        <w:rPr>
          <w:b/>
          <w:color w:val="000000"/>
          <w:szCs w:val="24"/>
          <w:u w:val="single"/>
        </w:rPr>
      </w:pPr>
      <w:r w:rsidRPr="006E6A95">
        <w:rPr>
          <w:b/>
          <w:color w:val="000000"/>
          <w:szCs w:val="24"/>
          <w:u w:val="single"/>
        </w:rPr>
        <w:t xml:space="preserve">ARTICLE HIGHLIGHTS </w:t>
      </w:r>
    </w:p>
    <w:p w14:paraId="347B5070" w14:textId="2455CCC0" w:rsidR="007E494D" w:rsidRPr="00774B2C" w:rsidRDefault="007E494D" w:rsidP="00774B2C">
      <w:pPr>
        <w:adjustRightInd w:val="0"/>
        <w:snapToGrid w:val="0"/>
        <w:rPr>
          <w:rFonts w:cs="Times New Roman"/>
          <w:b/>
          <w:i/>
          <w:szCs w:val="24"/>
        </w:rPr>
      </w:pPr>
      <w:r w:rsidRPr="00774B2C">
        <w:rPr>
          <w:rFonts w:cs="Times New Roman"/>
          <w:b/>
          <w:i/>
          <w:szCs w:val="24"/>
        </w:rPr>
        <w:t>Research background</w:t>
      </w:r>
    </w:p>
    <w:p w14:paraId="79C99D78" w14:textId="7CFAF25E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  <w:r w:rsidRPr="00774B2C">
        <w:rPr>
          <w:rFonts w:cs="Times New Roman"/>
          <w:szCs w:val="24"/>
        </w:rPr>
        <w:lastRenderedPageBreak/>
        <w:t xml:space="preserve">Esophageal carcinoma is a common digestive tract cancer, which </w:t>
      </w:r>
      <w:r w:rsidR="0086742B">
        <w:rPr>
          <w:rFonts w:cs="Times New Roman"/>
          <w:szCs w:val="24"/>
        </w:rPr>
        <w:t xml:space="preserve">frequently </w:t>
      </w:r>
      <w:r w:rsidRPr="00774B2C">
        <w:rPr>
          <w:rFonts w:cs="Times New Roman"/>
          <w:szCs w:val="24"/>
        </w:rPr>
        <w:t>recur</w:t>
      </w:r>
      <w:r w:rsidR="00AC3978">
        <w:rPr>
          <w:rFonts w:cs="Times New Roman"/>
          <w:szCs w:val="24"/>
        </w:rPr>
        <w:t>s</w:t>
      </w:r>
      <w:r w:rsidRPr="00774B2C">
        <w:rPr>
          <w:rFonts w:cs="Times New Roman"/>
          <w:szCs w:val="24"/>
        </w:rPr>
        <w:t xml:space="preserve"> after treatment. MiR-1304 is a newly discovered non-coding RNA, which shows differential expression in other cancers, but its clinical value in esophageal carcinoma remains unclear.</w:t>
      </w:r>
    </w:p>
    <w:p w14:paraId="46AAFB0E" w14:textId="77777777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</w:p>
    <w:p w14:paraId="286E28AC" w14:textId="77777777" w:rsidR="007E494D" w:rsidRPr="00774B2C" w:rsidRDefault="007E494D" w:rsidP="00774B2C">
      <w:pPr>
        <w:adjustRightInd w:val="0"/>
        <w:snapToGrid w:val="0"/>
        <w:rPr>
          <w:rFonts w:cs="Times New Roman"/>
          <w:b/>
          <w:i/>
          <w:szCs w:val="24"/>
        </w:rPr>
      </w:pPr>
      <w:r w:rsidRPr="00774B2C">
        <w:rPr>
          <w:rFonts w:cs="Times New Roman"/>
          <w:b/>
          <w:i/>
          <w:szCs w:val="24"/>
        </w:rPr>
        <w:t>Research motivation</w:t>
      </w:r>
    </w:p>
    <w:p w14:paraId="251B0722" w14:textId="4230FB1B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  <w:proofErr w:type="gramStart"/>
      <w:r w:rsidRPr="00774B2C">
        <w:rPr>
          <w:rFonts w:cs="Times New Roman"/>
          <w:szCs w:val="24"/>
        </w:rPr>
        <w:t xml:space="preserve">To </w:t>
      </w:r>
      <w:r w:rsidR="00AC3978">
        <w:rPr>
          <w:rFonts w:cs="Times New Roman"/>
          <w:szCs w:val="24"/>
        </w:rPr>
        <w:t>identify</w:t>
      </w:r>
      <w:r w:rsidRPr="00774B2C">
        <w:rPr>
          <w:rFonts w:cs="Times New Roman"/>
          <w:szCs w:val="24"/>
        </w:rPr>
        <w:t xml:space="preserve"> potential diagnostic and prognostic indicators of esophageal cancer recurrence.</w:t>
      </w:r>
      <w:proofErr w:type="gramEnd"/>
    </w:p>
    <w:p w14:paraId="18ED631E" w14:textId="77777777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</w:p>
    <w:p w14:paraId="66003F7A" w14:textId="77777777" w:rsidR="007E494D" w:rsidRPr="00774B2C" w:rsidRDefault="007E494D" w:rsidP="00774B2C">
      <w:pPr>
        <w:adjustRightInd w:val="0"/>
        <w:snapToGrid w:val="0"/>
        <w:rPr>
          <w:rFonts w:cs="Times New Roman"/>
          <w:b/>
          <w:i/>
          <w:szCs w:val="24"/>
        </w:rPr>
      </w:pPr>
      <w:r w:rsidRPr="00774B2C">
        <w:rPr>
          <w:rFonts w:cs="Times New Roman"/>
          <w:b/>
          <w:i/>
          <w:szCs w:val="24"/>
        </w:rPr>
        <w:t>Research objectives</w:t>
      </w:r>
    </w:p>
    <w:p w14:paraId="32901366" w14:textId="3D0B3A8C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  <w:proofErr w:type="gramStart"/>
      <w:r w:rsidRPr="00774B2C">
        <w:rPr>
          <w:rFonts w:cs="Times New Roman"/>
          <w:szCs w:val="24"/>
        </w:rPr>
        <w:t xml:space="preserve">To </w:t>
      </w:r>
      <w:r w:rsidR="00AC3978">
        <w:rPr>
          <w:rFonts w:cs="Times New Roman"/>
          <w:szCs w:val="24"/>
        </w:rPr>
        <w:t>determine</w:t>
      </w:r>
      <w:r w:rsidRPr="00774B2C">
        <w:rPr>
          <w:rFonts w:cs="Times New Roman"/>
          <w:szCs w:val="24"/>
        </w:rPr>
        <w:t xml:space="preserve"> the diagnostic and prognostic value of miR-1304 in esophageal carcinoma</w:t>
      </w:r>
      <w:r w:rsidR="00AC3978" w:rsidRPr="00AC3978">
        <w:rPr>
          <w:rFonts w:cs="Times New Roman"/>
          <w:szCs w:val="24"/>
        </w:rPr>
        <w:t xml:space="preserve"> </w:t>
      </w:r>
      <w:r w:rsidR="00AC3978" w:rsidRPr="00774B2C">
        <w:rPr>
          <w:rFonts w:cs="Times New Roman"/>
          <w:szCs w:val="24"/>
        </w:rPr>
        <w:t>recurrence</w:t>
      </w:r>
      <w:r w:rsidRPr="00774B2C">
        <w:rPr>
          <w:rFonts w:cs="Times New Roman"/>
          <w:szCs w:val="24"/>
        </w:rPr>
        <w:t>.</w:t>
      </w:r>
      <w:proofErr w:type="gramEnd"/>
    </w:p>
    <w:p w14:paraId="5C44EEFE" w14:textId="77777777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</w:p>
    <w:p w14:paraId="5B91764A" w14:textId="77777777" w:rsidR="007E494D" w:rsidRPr="00774B2C" w:rsidRDefault="007E494D" w:rsidP="00774B2C">
      <w:pPr>
        <w:adjustRightInd w:val="0"/>
        <w:snapToGrid w:val="0"/>
        <w:rPr>
          <w:rFonts w:cs="Times New Roman"/>
          <w:b/>
          <w:i/>
          <w:szCs w:val="24"/>
        </w:rPr>
      </w:pPr>
      <w:r w:rsidRPr="00774B2C">
        <w:rPr>
          <w:rFonts w:cs="Times New Roman"/>
          <w:b/>
          <w:i/>
          <w:szCs w:val="24"/>
        </w:rPr>
        <w:t>Research methods</w:t>
      </w:r>
    </w:p>
    <w:p w14:paraId="7673E3EC" w14:textId="6FEE0A6D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  <w:r w:rsidRPr="00774B2C">
        <w:rPr>
          <w:rFonts w:cs="Times New Roman"/>
          <w:szCs w:val="24"/>
        </w:rPr>
        <w:t xml:space="preserve">Data </w:t>
      </w:r>
      <w:r w:rsidR="00AC3978">
        <w:rPr>
          <w:rFonts w:cs="Times New Roman"/>
          <w:szCs w:val="24"/>
        </w:rPr>
        <w:t>on</w:t>
      </w:r>
      <w:r w:rsidRPr="00774B2C">
        <w:rPr>
          <w:rFonts w:cs="Times New Roman"/>
          <w:szCs w:val="24"/>
        </w:rPr>
        <w:t xml:space="preserve"> </w:t>
      </w:r>
      <w:proofErr w:type="spellStart"/>
      <w:r w:rsidRPr="00774B2C">
        <w:rPr>
          <w:rFonts w:cs="Times New Roman"/>
          <w:szCs w:val="24"/>
        </w:rPr>
        <w:t>miR</w:t>
      </w:r>
      <w:r w:rsidR="00AC3978">
        <w:rPr>
          <w:rFonts w:cs="Times New Roman"/>
          <w:szCs w:val="24"/>
        </w:rPr>
        <w:t>s</w:t>
      </w:r>
      <w:proofErr w:type="spellEnd"/>
      <w:r w:rsidRPr="00774B2C">
        <w:rPr>
          <w:rFonts w:cs="Times New Roman"/>
          <w:szCs w:val="24"/>
        </w:rPr>
        <w:t xml:space="preserve"> with potential difference</w:t>
      </w:r>
      <w:r w:rsidR="00AC3978">
        <w:rPr>
          <w:rFonts w:cs="Times New Roman"/>
          <w:szCs w:val="24"/>
        </w:rPr>
        <w:t>s</w:t>
      </w:r>
      <w:r w:rsidRPr="00774B2C">
        <w:rPr>
          <w:rFonts w:cs="Times New Roman"/>
          <w:szCs w:val="24"/>
        </w:rPr>
        <w:t xml:space="preserve"> in esophageal carcinoma were screened from </w:t>
      </w:r>
      <w:bookmarkStart w:id="27" w:name="_Hlk29223023"/>
      <w:r w:rsidRPr="00774B2C">
        <w:rPr>
          <w:rFonts w:cs="Times New Roman"/>
          <w:szCs w:val="24"/>
        </w:rPr>
        <w:t>the Cancer Genome Atlas</w:t>
      </w:r>
      <w:bookmarkEnd w:id="27"/>
      <w:r w:rsidRPr="00774B2C">
        <w:rPr>
          <w:rFonts w:cs="Times New Roman"/>
          <w:szCs w:val="24"/>
        </w:rPr>
        <w:t>. A quantitative real</w:t>
      </w:r>
      <w:r w:rsidR="00AC3978">
        <w:rPr>
          <w:rFonts w:cs="Times New Roman"/>
          <w:szCs w:val="24"/>
        </w:rPr>
        <w:t>-</w:t>
      </w:r>
      <w:r w:rsidRPr="00774B2C">
        <w:rPr>
          <w:rFonts w:cs="Times New Roman"/>
          <w:szCs w:val="24"/>
        </w:rPr>
        <w:t xml:space="preserve">time polymerase chain reaction was employed to determine the expression of miR-1304 in esophageal carcinoma patients, and </w:t>
      </w:r>
      <w:r w:rsidR="00AC3978">
        <w:rPr>
          <w:rFonts w:cs="Times New Roman"/>
          <w:szCs w:val="24"/>
        </w:rPr>
        <w:t xml:space="preserve">the </w:t>
      </w:r>
      <w:proofErr w:type="spellStart"/>
      <w:r w:rsidRPr="00774B2C">
        <w:rPr>
          <w:rFonts w:cs="Times New Roman"/>
          <w:szCs w:val="24"/>
        </w:rPr>
        <w:t>clinicopathological</w:t>
      </w:r>
      <w:proofErr w:type="spellEnd"/>
      <w:r w:rsidRPr="00774B2C">
        <w:rPr>
          <w:rFonts w:cs="Times New Roman"/>
          <w:szCs w:val="24"/>
        </w:rPr>
        <w:t xml:space="preserve"> features of the</w:t>
      </w:r>
      <w:r w:rsidR="00AC3978">
        <w:rPr>
          <w:rFonts w:cs="Times New Roman"/>
          <w:szCs w:val="24"/>
        </w:rPr>
        <w:t>se</w:t>
      </w:r>
      <w:r w:rsidRPr="00774B2C">
        <w:rPr>
          <w:rFonts w:cs="Times New Roman"/>
          <w:szCs w:val="24"/>
        </w:rPr>
        <w:t xml:space="preserve"> patients were analyzed. Based on the analysis of screened data and the expression of miR-1304 in esophageal carcinoma patients, the function of miR-1304 was evaluated. Moreover, the patients were followed</w:t>
      </w:r>
      <w:r w:rsidR="00AC3978">
        <w:rPr>
          <w:rFonts w:cs="Times New Roman"/>
          <w:szCs w:val="24"/>
        </w:rPr>
        <w:t>-</w:t>
      </w:r>
      <w:r w:rsidRPr="00774B2C">
        <w:rPr>
          <w:rFonts w:cs="Times New Roman"/>
          <w:szCs w:val="24"/>
        </w:rPr>
        <w:t xml:space="preserve">up </w:t>
      </w:r>
      <w:r w:rsidR="00AC3978">
        <w:rPr>
          <w:rFonts w:cs="Times New Roman"/>
          <w:szCs w:val="24"/>
        </w:rPr>
        <w:t>to analyze</w:t>
      </w:r>
      <w:r w:rsidRPr="00774B2C">
        <w:rPr>
          <w:rFonts w:cs="Times New Roman"/>
          <w:szCs w:val="24"/>
        </w:rPr>
        <w:t xml:space="preserve"> prognosis. Target genes of miR-1304 were predicted, and the function</w:t>
      </w:r>
      <w:r w:rsidR="00AC3978">
        <w:rPr>
          <w:rFonts w:cs="Times New Roman"/>
          <w:szCs w:val="24"/>
        </w:rPr>
        <w:t>s</w:t>
      </w:r>
      <w:r w:rsidRPr="00774B2C">
        <w:rPr>
          <w:rFonts w:cs="Times New Roman"/>
          <w:szCs w:val="24"/>
        </w:rPr>
        <w:t xml:space="preserve"> of the</w:t>
      </w:r>
      <w:r w:rsidR="00AC3978">
        <w:rPr>
          <w:rFonts w:cs="Times New Roman"/>
          <w:szCs w:val="24"/>
        </w:rPr>
        <w:t>se genes</w:t>
      </w:r>
      <w:r w:rsidRPr="00774B2C">
        <w:rPr>
          <w:rFonts w:cs="Times New Roman"/>
          <w:szCs w:val="24"/>
        </w:rPr>
        <w:t xml:space="preserve"> w</w:t>
      </w:r>
      <w:r w:rsidR="00AC3978">
        <w:rPr>
          <w:rFonts w:cs="Times New Roman"/>
          <w:szCs w:val="24"/>
        </w:rPr>
        <w:t>ere</w:t>
      </w:r>
      <w:r w:rsidRPr="00774B2C">
        <w:rPr>
          <w:rFonts w:cs="Times New Roman"/>
          <w:szCs w:val="24"/>
        </w:rPr>
        <w:t xml:space="preserve"> analyzed.</w:t>
      </w:r>
    </w:p>
    <w:p w14:paraId="56FBDC47" w14:textId="77777777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</w:p>
    <w:p w14:paraId="173E8043" w14:textId="77777777" w:rsidR="007E494D" w:rsidRPr="00774B2C" w:rsidRDefault="007E494D" w:rsidP="00774B2C">
      <w:pPr>
        <w:adjustRightInd w:val="0"/>
        <w:snapToGrid w:val="0"/>
        <w:rPr>
          <w:rFonts w:cs="Times New Roman"/>
          <w:b/>
          <w:i/>
          <w:szCs w:val="24"/>
        </w:rPr>
      </w:pPr>
      <w:r w:rsidRPr="00774B2C">
        <w:rPr>
          <w:rFonts w:cs="Times New Roman"/>
          <w:b/>
          <w:i/>
          <w:szCs w:val="24"/>
        </w:rPr>
        <w:t>Research results</w:t>
      </w:r>
    </w:p>
    <w:p w14:paraId="53CB5677" w14:textId="2FE42062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  <w:r w:rsidRPr="00774B2C">
        <w:rPr>
          <w:rFonts w:cs="Times New Roman"/>
          <w:szCs w:val="24"/>
        </w:rPr>
        <w:t xml:space="preserve">The expression of miR-1304 in </w:t>
      </w:r>
      <w:r w:rsidR="00AC3978">
        <w:rPr>
          <w:rFonts w:cs="Times New Roman"/>
          <w:szCs w:val="24"/>
        </w:rPr>
        <w:t xml:space="preserve">the </w:t>
      </w:r>
      <w:r w:rsidRPr="00774B2C">
        <w:rPr>
          <w:rFonts w:cs="Times New Roman"/>
          <w:szCs w:val="24"/>
        </w:rPr>
        <w:t xml:space="preserve">tissues and serum of patients increased, </w:t>
      </w:r>
      <w:r w:rsidR="00AC3978">
        <w:rPr>
          <w:rFonts w:cs="Times New Roman"/>
          <w:szCs w:val="24"/>
        </w:rPr>
        <w:t>similar to that seen in</w:t>
      </w:r>
      <w:r w:rsidRPr="00774B2C">
        <w:rPr>
          <w:rFonts w:cs="Times New Roman"/>
          <w:szCs w:val="24"/>
        </w:rPr>
        <w:t xml:space="preserve"> the database. Patients with high expression of miR-1304 </w:t>
      </w:r>
      <w:r w:rsidR="00AC3978">
        <w:rPr>
          <w:rFonts w:cs="Times New Roman"/>
          <w:szCs w:val="24"/>
        </w:rPr>
        <w:t>had</w:t>
      </w:r>
      <w:r w:rsidRPr="00774B2C">
        <w:rPr>
          <w:rFonts w:cs="Times New Roman"/>
          <w:szCs w:val="24"/>
        </w:rPr>
        <w:t xml:space="preserve"> increased rates of tumor ≥</w:t>
      </w:r>
      <w:r w:rsidR="005D3A57">
        <w:rPr>
          <w:rFonts w:cs="Times New Roman"/>
          <w:szCs w:val="24"/>
        </w:rPr>
        <w:t xml:space="preserve"> </w:t>
      </w:r>
      <w:r w:rsidRPr="00774B2C">
        <w:rPr>
          <w:rFonts w:cs="Times New Roman"/>
          <w:szCs w:val="24"/>
        </w:rPr>
        <w:t>3</w:t>
      </w:r>
      <w:r w:rsidR="007C797C">
        <w:rPr>
          <w:rFonts w:cs="Times New Roman"/>
          <w:szCs w:val="24"/>
        </w:rPr>
        <w:t xml:space="preserve"> </w:t>
      </w:r>
      <w:r w:rsidRPr="00774B2C">
        <w:rPr>
          <w:rFonts w:cs="Times New Roman"/>
          <w:szCs w:val="24"/>
        </w:rPr>
        <w:t xml:space="preserve">cm, low differentiation and </w:t>
      </w:r>
      <w:r w:rsidR="00B4271B">
        <w:rPr>
          <w:rFonts w:cs="Times New Roman"/>
          <w:szCs w:val="24"/>
        </w:rPr>
        <w:t xml:space="preserve">stage </w:t>
      </w:r>
      <w:r w:rsidRPr="00774B2C">
        <w:rPr>
          <w:rFonts w:cs="Times New Roman"/>
          <w:szCs w:val="24"/>
        </w:rPr>
        <w:t>II</w:t>
      </w:r>
      <w:r w:rsidR="005D3A57">
        <w:rPr>
          <w:rFonts w:cs="Times New Roman"/>
          <w:szCs w:val="24"/>
        </w:rPr>
        <w:t xml:space="preserve"> </w:t>
      </w:r>
      <w:r w:rsidRPr="00774B2C">
        <w:rPr>
          <w:rFonts w:cs="Times New Roman"/>
          <w:szCs w:val="24"/>
        </w:rPr>
        <w:t>+</w:t>
      </w:r>
      <w:r w:rsidR="005D3A57">
        <w:rPr>
          <w:rFonts w:cs="Times New Roman"/>
          <w:szCs w:val="24"/>
        </w:rPr>
        <w:t xml:space="preserve"> </w:t>
      </w:r>
      <w:r w:rsidRPr="00774B2C">
        <w:rPr>
          <w:rFonts w:cs="Times New Roman"/>
          <w:szCs w:val="24"/>
        </w:rPr>
        <w:t xml:space="preserve">III </w:t>
      </w:r>
      <w:r w:rsidR="00B4271B">
        <w:rPr>
          <w:rFonts w:cs="Times New Roman"/>
          <w:szCs w:val="24"/>
        </w:rPr>
        <w:t>disease</w:t>
      </w:r>
      <w:r w:rsidRPr="00774B2C">
        <w:rPr>
          <w:rFonts w:cs="Times New Roman"/>
          <w:szCs w:val="24"/>
        </w:rPr>
        <w:t xml:space="preserve">. MiR-1304 had diagnostic value in identifying esophageal carcinoma, tumor size, differentiation and TNM staging. Tumor size, differentiation, TNM staging, and miR-1304 were independent risk factors for recurrence of </w:t>
      </w:r>
      <w:r w:rsidRPr="00774B2C">
        <w:rPr>
          <w:rFonts w:cs="Times New Roman"/>
          <w:szCs w:val="24"/>
        </w:rPr>
        <w:lastRenderedPageBreak/>
        <w:t xml:space="preserve">esophageal carcinoma, and had certain predictive and diagnostic value for recurrence of </w:t>
      </w:r>
      <w:r w:rsidR="00B4271B">
        <w:rPr>
          <w:rFonts w:cs="Times New Roman"/>
          <w:szCs w:val="24"/>
        </w:rPr>
        <w:t>this disease</w:t>
      </w:r>
      <w:r w:rsidRPr="00774B2C">
        <w:rPr>
          <w:rFonts w:cs="Times New Roman"/>
          <w:szCs w:val="24"/>
        </w:rPr>
        <w:t xml:space="preserve">. Patients with high expression of miR-1304-3p </w:t>
      </w:r>
      <w:r w:rsidR="00B4271B">
        <w:rPr>
          <w:rFonts w:cs="Times New Roman"/>
          <w:szCs w:val="24"/>
        </w:rPr>
        <w:t>had</w:t>
      </w:r>
      <w:r w:rsidRPr="00774B2C">
        <w:rPr>
          <w:rFonts w:cs="Times New Roman"/>
          <w:szCs w:val="24"/>
        </w:rPr>
        <w:t xml:space="preserve"> a lower survival rate. Multivariate analysis revealed that tumor size, differentiation, recurrence and miR-1304 were independent factors for prognosis. Furthermore, </w:t>
      </w:r>
      <w:r w:rsidR="00B4271B">
        <w:rPr>
          <w:rFonts w:cs="Times New Roman"/>
          <w:szCs w:val="24"/>
        </w:rPr>
        <w:t>the target genes had</w:t>
      </w:r>
      <w:r w:rsidRPr="00774B2C">
        <w:rPr>
          <w:rFonts w:cs="Times New Roman"/>
          <w:szCs w:val="24"/>
        </w:rPr>
        <w:t xml:space="preserve"> 18 functions with </w:t>
      </w:r>
      <w:proofErr w:type="spellStart"/>
      <w:proofErr w:type="gramStart"/>
      <w:r w:rsidR="003949F3" w:rsidRPr="00774B2C">
        <w:rPr>
          <w:szCs w:val="24"/>
          <w:vertAlign w:val="superscript"/>
        </w:rPr>
        <w:t>a</w:t>
      </w:r>
      <w:r w:rsidR="003949F3" w:rsidRPr="00774B2C">
        <w:rPr>
          <w:i/>
          <w:iCs/>
          <w:szCs w:val="24"/>
        </w:rPr>
        <w:t>P</w:t>
      </w:r>
      <w:proofErr w:type="spellEnd"/>
      <w:proofErr w:type="gramEnd"/>
      <w:r w:rsidR="005D3A57">
        <w:rPr>
          <w:i/>
          <w:iCs/>
          <w:szCs w:val="24"/>
        </w:rPr>
        <w:t xml:space="preserve"> </w:t>
      </w:r>
      <w:r w:rsidRPr="00774B2C">
        <w:rPr>
          <w:rFonts w:cs="Times New Roman"/>
          <w:szCs w:val="24"/>
        </w:rPr>
        <w:t>&lt;</w:t>
      </w:r>
      <w:r w:rsidR="005D3A57">
        <w:rPr>
          <w:rFonts w:cs="Times New Roman"/>
          <w:szCs w:val="24"/>
        </w:rPr>
        <w:t xml:space="preserve"> </w:t>
      </w:r>
      <w:r w:rsidRPr="00774B2C">
        <w:rPr>
          <w:rFonts w:cs="Times New Roman"/>
          <w:szCs w:val="24"/>
        </w:rPr>
        <w:t xml:space="preserve">0.05 according to </w:t>
      </w:r>
      <w:r w:rsidR="005D3A57" w:rsidRPr="00774B2C">
        <w:rPr>
          <w:szCs w:val="24"/>
        </w:rPr>
        <w:t>gene ontology</w:t>
      </w:r>
      <w:r w:rsidRPr="00774B2C">
        <w:rPr>
          <w:rFonts w:cs="Times New Roman"/>
          <w:szCs w:val="24"/>
        </w:rPr>
        <w:t xml:space="preserve"> enrichment analysis and 11 signal pathways with </w:t>
      </w:r>
      <w:proofErr w:type="spellStart"/>
      <w:r w:rsidR="003949F3" w:rsidRPr="00774B2C">
        <w:rPr>
          <w:szCs w:val="24"/>
          <w:vertAlign w:val="superscript"/>
        </w:rPr>
        <w:t>a</w:t>
      </w:r>
      <w:r w:rsidR="003949F3" w:rsidRPr="00774B2C">
        <w:rPr>
          <w:i/>
          <w:iCs/>
          <w:szCs w:val="24"/>
        </w:rPr>
        <w:t>P</w:t>
      </w:r>
      <w:proofErr w:type="spellEnd"/>
      <w:r w:rsidR="005D3A57">
        <w:rPr>
          <w:i/>
          <w:iCs/>
          <w:szCs w:val="24"/>
        </w:rPr>
        <w:t xml:space="preserve"> </w:t>
      </w:r>
      <w:r w:rsidRPr="00774B2C">
        <w:rPr>
          <w:rFonts w:cs="Times New Roman"/>
          <w:szCs w:val="24"/>
        </w:rPr>
        <w:t>&lt;</w:t>
      </w:r>
      <w:r w:rsidR="005D3A57">
        <w:rPr>
          <w:rFonts w:cs="Times New Roman"/>
          <w:szCs w:val="24"/>
        </w:rPr>
        <w:t xml:space="preserve"> </w:t>
      </w:r>
      <w:r w:rsidRPr="00774B2C">
        <w:rPr>
          <w:rFonts w:cs="Times New Roman"/>
          <w:szCs w:val="24"/>
        </w:rPr>
        <w:t xml:space="preserve">0.05 according to </w:t>
      </w:r>
      <w:r w:rsidR="00B4271B">
        <w:rPr>
          <w:rFonts w:cs="Times New Roman"/>
          <w:szCs w:val="24"/>
        </w:rPr>
        <w:t xml:space="preserve">the </w:t>
      </w:r>
      <w:r w:rsidRPr="00774B2C">
        <w:rPr>
          <w:rFonts w:cs="Times New Roman"/>
          <w:szCs w:val="24"/>
        </w:rPr>
        <w:t xml:space="preserve">Kyoto Encyclopedia of Genes and Genomes. In addition, there were 269 relationship pairs according to </w:t>
      </w:r>
      <w:r w:rsidR="00B4271B">
        <w:rPr>
          <w:rFonts w:cs="Times New Roman"/>
          <w:szCs w:val="24"/>
        </w:rPr>
        <w:t>S</w:t>
      </w:r>
      <w:r w:rsidRPr="00774B2C">
        <w:rPr>
          <w:rFonts w:cs="Times New Roman"/>
          <w:szCs w:val="24"/>
        </w:rPr>
        <w:t xml:space="preserve">tring analysis of protein co-expression, of which the co-expression pairs with </w:t>
      </w:r>
      <w:r w:rsidR="005D3A57" w:rsidRPr="00774B2C">
        <w:rPr>
          <w:szCs w:val="24"/>
        </w:rPr>
        <w:t>epidermal growth factor</w:t>
      </w:r>
      <w:r w:rsidRPr="00774B2C">
        <w:rPr>
          <w:rFonts w:cs="Times New Roman"/>
          <w:szCs w:val="24"/>
        </w:rPr>
        <w:t xml:space="preserve"> were the most</w:t>
      </w:r>
      <w:r w:rsidR="00B4271B">
        <w:rPr>
          <w:rFonts w:cs="Times New Roman"/>
          <w:szCs w:val="24"/>
        </w:rPr>
        <w:t xml:space="preserve"> common</w:t>
      </w:r>
      <w:r w:rsidRPr="00774B2C">
        <w:rPr>
          <w:rFonts w:cs="Times New Roman"/>
          <w:szCs w:val="24"/>
        </w:rPr>
        <w:t>.</w:t>
      </w:r>
    </w:p>
    <w:p w14:paraId="3AC1020D" w14:textId="77777777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</w:p>
    <w:p w14:paraId="19787901" w14:textId="77777777" w:rsidR="007E494D" w:rsidRPr="00774B2C" w:rsidRDefault="007E494D" w:rsidP="00774B2C">
      <w:pPr>
        <w:adjustRightInd w:val="0"/>
        <w:snapToGrid w:val="0"/>
        <w:rPr>
          <w:rFonts w:cs="Times New Roman"/>
          <w:b/>
          <w:i/>
          <w:szCs w:val="24"/>
        </w:rPr>
      </w:pPr>
      <w:r w:rsidRPr="00774B2C">
        <w:rPr>
          <w:rFonts w:cs="Times New Roman"/>
          <w:b/>
          <w:i/>
          <w:szCs w:val="24"/>
        </w:rPr>
        <w:t>Research conclusion</w:t>
      </w:r>
    </w:p>
    <w:p w14:paraId="3DC6CB65" w14:textId="711D5B1D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  <w:r w:rsidRPr="00774B2C">
        <w:rPr>
          <w:rFonts w:cs="Times New Roman"/>
          <w:szCs w:val="24"/>
        </w:rPr>
        <w:t xml:space="preserve">MiR-1304 can be used as a potential indicator for </w:t>
      </w:r>
      <w:r w:rsidR="00B4271B">
        <w:rPr>
          <w:rFonts w:cs="Times New Roman"/>
          <w:szCs w:val="24"/>
        </w:rPr>
        <w:t xml:space="preserve">the </w:t>
      </w:r>
      <w:r w:rsidRPr="00774B2C">
        <w:rPr>
          <w:rFonts w:cs="Times New Roman"/>
          <w:szCs w:val="24"/>
        </w:rPr>
        <w:t>diagnosis and recurrence of esophageal carcinoma, and survival of patients.</w:t>
      </w:r>
    </w:p>
    <w:p w14:paraId="0E75A5BB" w14:textId="77777777" w:rsidR="007E494D" w:rsidRPr="00774B2C" w:rsidRDefault="007E494D" w:rsidP="00774B2C">
      <w:pPr>
        <w:adjustRightInd w:val="0"/>
        <w:snapToGrid w:val="0"/>
        <w:rPr>
          <w:rFonts w:cs="Times New Roman"/>
          <w:szCs w:val="24"/>
        </w:rPr>
      </w:pPr>
    </w:p>
    <w:p w14:paraId="5263A7B6" w14:textId="77777777" w:rsidR="007E494D" w:rsidRPr="00774B2C" w:rsidRDefault="007E494D" w:rsidP="00774B2C">
      <w:pPr>
        <w:adjustRightInd w:val="0"/>
        <w:snapToGrid w:val="0"/>
        <w:rPr>
          <w:rFonts w:cs="Times New Roman"/>
          <w:b/>
          <w:i/>
          <w:szCs w:val="24"/>
        </w:rPr>
      </w:pPr>
      <w:r w:rsidRPr="00774B2C">
        <w:rPr>
          <w:rFonts w:cs="Times New Roman"/>
          <w:b/>
          <w:i/>
          <w:szCs w:val="24"/>
        </w:rPr>
        <w:t>Research perspectives</w:t>
      </w:r>
    </w:p>
    <w:p w14:paraId="430C0063" w14:textId="0E3D6EA2" w:rsidR="005D3A57" w:rsidRDefault="007E494D" w:rsidP="005D3A57">
      <w:pPr>
        <w:adjustRightInd w:val="0"/>
        <w:snapToGrid w:val="0"/>
        <w:rPr>
          <w:rFonts w:cs="Times New Roman"/>
          <w:szCs w:val="24"/>
        </w:rPr>
      </w:pPr>
      <w:r w:rsidRPr="00774B2C">
        <w:rPr>
          <w:rFonts w:cs="Times New Roman"/>
          <w:szCs w:val="24"/>
        </w:rPr>
        <w:t xml:space="preserve">In future research, the molecular mechanism of miR-1304 in esophageal carcinoma </w:t>
      </w:r>
      <w:r w:rsidR="00B4271B">
        <w:rPr>
          <w:rFonts w:cs="Times New Roman"/>
          <w:szCs w:val="24"/>
        </w:rPr>
        <w:t>will</w:t>
      </w:r>
      <w:r w:rsidRPr="00774B2C">
        <w:rPr>
          <w:rFonts w:cs="Times New Roman"/>
          <w:szCs w:val="24"/>
        </w:rPr>
        <w:t xml:space="preserve"> be studied.</w:t>
      </w:r>
      <w:bookmarkStart w:id="28" w:name="_Hlk28814560"/>
    </w:p>
    <w:p w14:paraId="126C2ED2" w14:textId="77777777" w:rsidR="005D3A57" w:rsidRDefault="005D3A57" w:rsidP="005D3A57">
      <w:pPr>
        <w:adjustRightInd w:val="0"/>
        <w:snapToGrid w:val="0"/>
        <w:rPr>
          <w:rFonts w:cs="Times New Roman"/>
          <w:szCs w:val="24"/>
        </w:rPr>
      </w:pPr>
    </w:p>
    <w:p w14:paraId="78F44ACE" w14:textId="029578CF" w:rsidR="00CA5B13" w:rsidRDefault="00CA5B13" w:rsidP="005D3A57">
      <w:pPr>
        <w:adjustRightInd w:val="0"/>
        <w:snapToGrid w:val="0"/>
        <w:rPr>
          <w:b/>
          <w:bCs/>
          <w:szCs w:val="24"/>
        </w:rPr>
      </w:pPr>
      <w:r w:rsidRPr="005D3A57">
        <w:rPr>
          <w:b/>
          <w:bCs/>
          <w:szCs w:val="24"/>
        </w:rPr>
        <w:t>REFERENCES</w:t>
      </w:r>
    </w:p>
    <w:p w14:paraId="6334273E" w14:textId="77777777" w:rsidR="00381BBC" w:rsidRDefault="00381BBC" w:rsidP="00381BBC">
      <w:pPr>
        <w:rPr>
          <w:rFonts w:asciiTheme="minorHAnsi" w:hAnsiTheme="minorHAnsi"/>
          <w:sz w:val="21"/>
        </w:rPr>
      </w:pPr>
      <w:r>
        <w:rPr>
          <w:rFonts w:hint="eastAsia"/>
        </w:rPr>
        <w:t xml:space="preserve">1 </w:t>
      </w:r>
      <w:r>
        <w:rPr>
          <w:rFonts w:hint="eastAsia"/>
          <w:b/>
        </w:rPr>
        <w:t>Torre LA</w:t>
      </w:r>
      <w:r>
        <w:rPr>
          <w:rFonts w:hint="eastAsia"/>
        </w:rPr>
        <w:t xml:space="preserve">, Bray F, Siegel RL, </w:t>
      </w:r>
      <w:proofErr w:type="spellStart"/>
      <w:r>
        <w:rPr>
          <w:rFonts w:hint="eastAsia"/>
        </w:rPr>
        <w:t>Ferlay</w:t>
      </w:r>
      <w:proofErr w:type="spellEnd"/>
      <w:r>
        <w:rPr>
          <w:rFonts w:hint="eastAsia"/>
        </w:rPr>
        <w:t xml:space="preserve"> J, </w:t>
      </w:r>
      <w:proofErr w:type="spellStart"/>
      <w:r>
        <w:rPr>
          <w:rFonts w:hint="eastAsia"/>
        </w:rPr>
        <w:t>Lortet-Tieulent</w:t>
      </w:r>
      <w:proofErr w:type="spellEnd"/>
      <w:r>
        <w:rPr>
          <w:rFonts w:hint="eastAsia"/>
        </w:rPr>
        <w:t xml:space="preserve"> J, </w:t>
      </w:r>
      <w:proofErr w:type="spellStart"/>
      <w:r>
        <w:rPr>
          <w:rFonts w:hint="eastAsia"/>
        </w:rPr>
        <w:t>Jemal</w:t>
      </w:r>
      <w:proofErr w:type="spellEnd"/>
      <w:r>
        <w:rPr>
          <w:rFonts w:hint="eastAsia"/>
        </w:rPr>
        <w:t xml:space="preserve"> A. Global cancer statistics, 2012. </w:t>
      </w:r>
      <w:r>
        <w:rPr>
          <w:rFonts w:hint="eastAsia"/>
          <w:i/>
        </w:rPr>
        <w:t xml:space="preserve">CA Cancer J </w:t>
      </w:r>
      <w:proofErr w:type="spellStart"/>
      <w:r>
        <w:rPr>
          <w:rFonts w:hint="eastAsia"/>
          <w:i/>
        </w:rPr>
        <w:t>Clin</w:t>
      </w:r>
      <w:proofErr w:type="spellEnd"/>
      <w:r>
        <w:rPr>
          <w:rFonts w:hint="eastAsia"/>
        </w:rPr>
        <w:t xml:space="preserve"> 2015; </w:t>
      </w:r>
      <w:r>
        <w:rPr>
          <w:rFonts w:hint="eastAsia"/>
          <w:b/>
        </w:rPr>
        <w:t>65</w:t>
      </w:r>
      <w:r>
        <w:rPr>
          <w:rFonts w:hint="eastAsia"/>
        </w:rPr>
        <w:t>: 87-108 [PMID: 25651787 DOI: 10.3322/caac.21262]</w:t>
      </w:r>
    </w:p>
    <w:p w14:paraId="62D26191" w14:textId="26BC0C42" w:rsidR="00381BBC" w:rsidRDefault="00381BBC" w:rsidP="007C797C">
      <w:r>
        <w:rPr>
          <w:rFonts w:hint="eastAsia"/>
        </w:rPr>
        <w:t xml:space="preserve">2 </w:t>
      </w:r>
      <w:r>
        <w:rPr>
          <w:rFonts w:hint="eastAsia"/>
          <w:b/>
        </w:rPr>
        <w:t>Chen W</w:t>
      </w:r>
      <w:r w:rsidR="00FD2BD2">
        <w:rPr>
          <w:b/>
        </w:rPr>
        <w:t>Q</w:t>
      </w:r>
      <w:r>
        <w:rPr>
          <w:rFonts w:hint="eastAsia"/>
          <w:b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Zheng</w:t>
      </w:r>
      <w:proofErr w:type="spellEnd"/>
      <w:r>
        <w:rPr>
          <w:rFonts w:hint="eastAsia"/>
        </w:rPr>
        <w:t xml:space="preserve"> R</w:t>
      </w:r>
      <w:r w:rsidR="00FD2BD2">
        <w:t>S</w:t>
      </w:r>
      <w:r>
        <w:rPr>
          <w:rFonts w:hint="eastAsia"/>
        </w:rPr>
        <w:t>, Baade PD, Zhang S</w:t>
      </w:r>
      <w:r w:rsidR="00FD2BD2">
        <w:t>W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Zeng</w:t>
      </w:r>
      <w:proofErr w:type="spellEnd"/>
      <w:r>
        <w:rPr>
          <w:rFonts w:hint="eastAsia"/>
        </w:rPr>
        <w:t xml:space="preserve"> H</w:t>
      </w:r>
      <w:r w:rsidR="00FD2BD2">
        <w:t>M</w:t>
      </w:r>
      <w:r>
        <w:rPr>
          <w:rFonts w:hint="eastAsia"/>
        </w:rPr>
        <w:t>, Bray F</w:t>
      </w:r>
      <w:r w:rsidR="00CF7F77">
        <w:t>B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Jemal</w:t>
      </w:r>
      <w:proofErr w:type="spellEnd"/>
      <w:r>
        <w:rPr>
          <w:rFonts w:hint="eastAsia"/>
        </w:rPr>
        <w:t xml:space="preserve"> A, Yu XQ, He J</w:t>
      </w:r>
      <w:bookmarkStart w:id="29" w:name="OLE_LINK29"/>
      <w:bookmarkStart w:id="30" w:name="OLE_LINK30"/>
      <w:r w:rsidR="00CF7F77">
        <w:t xml:space="preserve">. </w:t>
      </w:r>
      <w:bookmarkEnd w:id="29"/>
      <w:bookmarkEnd w:id="30"/>
      <w:r w:rsidR="00CF7F77" w:rsidRPr="00CF7F77">
        <w:t>Cancer statistics in China, 2015</w:t>
      </w:r>
      <w:r w:rsidR="00CF7F77">
        <w:t xml:space="preserve">. </w:t>
      </w:r>
      <w:r w:rsidR="007C797C" w:rsidRPr="007C797C">
        <w:rPr>
          <w:i/>
          <w:iCs/>
        </w:rPr>
        <w:t xml:space="preserve">CA Cancer J </w:t>
      </w:r>
      <w:proofErr w:type="spellStart"/>
      <w:r w:rsidR="007C797C" w:rsidRPr="007C797C">
        <w:rPr>
          <w:i/>
          <w:iCs/>
        </w:rPr>
        <w:t>Clin</w:t>
      </w:r>
      <w:proofErr w:type="spellEnd"/>
      <w:r w:rsidR="007C797C">
        <w:rPr>
          <w:i/>
          <w:iCs/>
        </w:rPr>
        <w:t xml:space="preserve"> </w:t>
      </w:r>
      <w:r>
        <w:rPr>
          <w:rFonts w:hint="eastAsia"/>
        </w:rPr>
        <w:t>2016;</w:t>
      </w:r>
      <w:r w:rsidRPr="00FD2BD2">
        <w:rPr>
          <w:rFonts w:hint="eastAsia"/>
          <w:b/>
          <w:bCs/>
        </w:rPr>
        <w:t xml:space="preserve"> 66</w:t>
      </w:r>
      <w:r>
        <w:rPr>
          <w:rFonts w:hint="eastAsia"/>
        </w:rPr>
        <w:t>: 115-132</w:t>
      </w:r>
      <w:r w:rsidR="00CF7F77">
        <w:t xml:space="preserve"> [</w:t>
      </w:r>
      <w:r w:rsidR="007C797C">
        <w:t>PMID:</w:t>
      </w:r>
      <w:r w:rsidR="007C797C">
        <w:rPr>
          <w:rFonts w:hint="eastAsia"/>
        </w:rPr>
        <w:t xml:space="preserve"> </w:t>
      </w:r>
      <w:r w:rsidR="007C797C">
        <w:t xml:space="preserve">26808342 </w:t>
      </w:r>
      <w:r w:rsidR="00CF7F77">
        <w:t>DOI:</w:t>
      </w:r>
      <w:r w:rsidR="00CF7F77" w:rsidRPr="00CF7F77">
        <w:t xml:space="preserve"> 10.3322/caac.21338</w:t>
      </w:r>
      <w:r w:rsidR="00CF7F77">
        <w:t>]</w:t>
      </w:r>
    </w:p>
    <w:p w14:paraId="3BF5F508" w14:textId="77777777" w:rsidR="00381BBC" w:rsidRDefault="00381BBC" w:rsidP="00381BBC">
      <w:r>
        <w:rPr>
          <w:rFonts w:hint="eastAsia"/>
        </w:rPr>
        <w:t xml:space="preserve">3 </w:t>
      </w:r>
      <w:proofErr w:type="spellStart"/>
      <w:r>
        <w:rPr>
          <w:rFonts w:hint="eastAsia"/>
          <w:b/>
        </w:rPr>
        <w:t>Probst</w:t>
      </w:r>
      <w:proofErr w:type="spellEnd"/>
      <w:r>
        <w:rPr>
          <w:rFonts w:hint="eastAsia"/>
          <w:b/>
        </w:rPr>
        <w:t xml:space="preserve"> A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Aust</w:t>
      </w:r>
      <w:proofErr w:type="spellEnd"/>
      <w:r>
        <w:rPr>
          <w:rFonts w:hint="eastAsia"/>
        </w:rPr>
        <w:t xml:space="preserve"> D, </w:t>
      </w:r>
      <w:proofErr w:type="spellStart"/>
      <w:r>
        <w:rPr>
          <w:rFonts w:hint="eastAsia"/>
        </w:rPr>
        <w:t>Märkl</w:t>
      </w:r>
      <w:proofErr w:type="spellEnd"/>
      <w:r>
        <w:rPr>
          <w:rFonts w:hint="eastAsia"/>
        </w:rPr>
        <w:t xml:space="preserve"> B, </w:t>
      </w:r>
      <w:proofErr w:type="spellStart"/>
      <w:r>
        <w:rPr>
          <w:rFonts w:hint="eastAsia"/>
        </w:rPr>
        <w:t>Anthuber</w:t>
      </w:r>
      <w:proofErr w:type="spellEnd"/>
      <w:r>
        <w:rPr>
          <w:rFonts w:hint="eastAsia"/>
        </w:rPr>
        <w:t xml:space="preserve"> M, </w:t>
      </w:r>
      <w:proofErr w:type="spellStart"/>
      <w:r>
        <w:rPr>
          <w:rFonts w:hint="eastAsia"/>
        </w:rPr>
        <w:t>Messmann</w:t>
      </w:r>
      <w:proofErr w:type="spellEnd"/>
      <w:r>
        <w:rPr>
          <w:rFonts w:hint="eastAsia"/>
        </w:rPr>
        <w:t xml:space="preserve"> H. Early esophageal cancer in Europe: endoscopic treatment by endoscopic </w:t>
      </w:r>
      <w:proofErr w:type="spellStart"/>
      <w:r>
        <w:rPr>
          <w:rFonts w:hint="eastAsia"/>
        </w:rPr>
        <w:t>submucosal</w:t>
      </w:r>
      <w:proofErr w:type="spellEnd"/>
      <w:r>
        <w:rPr>
          <w:rFonts w:hint="eastAsia"/>
        </w:rPr>
        <w:t xml:space="preserve"> dissection. </w:t>
      </w:r>
      <w:r>
        <w:rPr>
          <w:rFonts w:hint="eastAsia"/>
          <w:i/>
        </w:rPr>
        <w:t>Endoscopy</w:t>
      </w:r>
      <w:r>
        <w:rPr>
          <w:rFonts w:hint="eastAsia"/>
        </w:rPr>
        <w:t xml:space="preserve"> 2015; </w:t>
      </w:r>
      <w:r>
        <w:rPr>
          <w:rFonts w:hint="eastAsia"/>
          <w:b/>
        </w:rPr>
        <w:t>47</w:t>
      </w:r>
      <w:r>
        <w:rPr>
          <w:rFonts w:hint="eastAsia"/>
        </w:rPr>
        <w:t>: 113-121 [PMID: 25479563 DOI: 10.1055/s-0034-1391086]</w:t>
      </w:r>
    </w:p>
    <w:p w14:paraId="65C60953" w14:textId="77777777" w:rsidR="00381BBC" w:rsidRDefault="00381BBC" w:rsidP="00381BBC">
      <w:proofErr w:type="gramStart"/>
      <w:r>
        <w:rPr>
          <w:rFonts w:hint="eastAsia"/>
        </w:rPr>
        <w:t xml:space="preserve">4 </w:t>
      </w:r>
      <w:r>
        <w:rPr>
          <w:rFonts w:hint="eastAsia"/>
          <w:b/>
        </w:rPr>
        <w:t>Alsop BR</w:t>
      </w:r>
      <w:r>
        <w:rPr>
          <w:rFonts w:hint="eastAsia"/>
        </w:rPr>
        <w:t>, Sharma P. Esophageal Cancer.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  <w:i/>
        </w:rPr>
        <w:t>Gastroenterol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Clin</w:t>
      </w:r>
      <w:proofErr w:type="spellEnd"/>
      <w:r>
        <w:rPr>
          <w:rFonts w:hint="eastAsia"/>
          <w:i/>
        </w:rPr>
        <w:t xml:space="preserve"> North Am</w:t>
      </w:r>
      <w:r>
        <w:rPr>
          <w:rFonts w:hint="eastAsia"/>
        </w:rPr>
        <w:t xml:space="preserve"> 2016; </w:t>
      </w:r>
      <w:r>
        <w:rPr>
          <w:rFonts w:hint="eastAsia"/>
          <w:b/>
        </w:rPr>
        <w:lastRenderedPageBreak/>
        <w:t>45</w:t>
      </w:r>
      <w:r>
        <w:rPr>
          <w:rFonts w:hint="eastAsia"/>
        </w:rPr>
        <w:t>: 399-412 [PMID: 27546839 DOI: 10.1016/j.gtc.2016.04.001]</w:t>
      </w:r>
    </w:p>
    <w:p w14:paraId="796091B0" w14:textId="77777777" w:rsidR="00381BBC" w:rsidRDefault="00381BBC" w:rsidP="00381BBC">
      <w:r>
        <w:rPr>
          <w:rFonts w:hint="eastAsia"/>
        </w:rPr>
        <w:t xml:space="preserve">5 </w:t>
      </w:r>
      <w:r>
        <w:rPr>
          <w:rFonts w:hint="eastAsia"/>
          <w:b/>
        </w:rPr>
        <w:t>Rubenstein JH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Shaheen</w:t>
      </w:r>
      <w:proofErr w:type="spellEnd"/>
      <w:r>
        <w:rPr>
          <w:rFonts w:hint="eastAsia"/>
        </w:rPr>
        <w:t xml:space="preserve"> NJ. </w:t>
      </w:r>
      <w:proofErr w:type="gramStart"/>
      <w:r>
        <w:rPr>
          <w:rFonts w:hint="eastAsia"/>
        </w:rPr>
        <w:t>Epidemiology, Diagnosis, and Management of Esophageal Adenocarcinoma.</w:t>
      </w:r>
      <w:proofErr w:type="gramEnd"/>
      <w:r>
        <w:rPr>
          <w:rFonts w:hint="eastAsia"/>
        </w:rPr>
        <w:t xml:space="preserve"> </w:t>
      </w:r>
      <w:r>
        <w:rPr>
          <w:rFonts w:hint="eastAsia"/>
          <w:i/>
        </w:rPr>
        <w:t>Gastroenterology</w:t>
      </w:r>
      <w:r>
        <w:rPr>
          <w:rFonts w:hint="eastAsia"/>
        </w:rPr>
        <w:t xml:space="preserve"> 2015; </w:t>
      </w:r>
      <w:r>
        <w:rPr>
          <w:rFonts w:hint="eastAsia"/>
          <w:b/>
        </w:rPr>
        <w:t>149</w:t>
      </w:r>
      <w:r>
        <w:rPr>
          <w:rFonts w:hint="eastAsia"/>
        </w:rPr>
        <w:t>: 302-17.e1 [PMID: 25957861 DOI: 10.1053/j.gastro.2015.04.053]</w:t>
      </w:r>
    </w:p>
    <w:p w14:paraId="08C1F34B" w14:textId="77777777" w:rsidR="00381BBC" w:rsidRDefault="00381BBC" w:rsidP="00381BBC">
      <w:r>
        <w:rPr>
          <w:rFonts w:hint="eastAsia"/>
        </w:rPr>
        <w:t xml:space="preserve">6 </w:t>
      </w:r>
      <w:r>
        <w:rPr>
          <w:rFonts w:hint="eastAsia"/>
          <w:b/>
        </w:rPr>
        <w:t>Parry K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Visser</w:t>
      </w:r>
      <w:proofErr w:type="spellEnd"/>
      <w:r>
        <w:rPr>
          <w:rFonts w:hint="eastAsia"/>
        </w:rPr>
        <w:t xml:space="preserve"> E, van </w:t>
      </w:r>
      <w:proofErr w:type="spellStart"/>
      <w:r>
        <w:rPr>
          <w:rFonts w:hint="eastAsia"/>
        </w:rPr>
        <w:t>Rossum</w:t>
      </w:r>
      <w:proofErr w:type="spellEnd"/>
      <w:r>
        <w:rPr>
          <w:rFonts w:hint="eastAsia"/>
        </w:rPr>
        <w:t xml:space="preserve"> PS, Mohammad NH, </w:t>
      </w:r>
      <w:proofErr w:type="spellStart"/>
      <w:r>
        <w:rPr>
          <w:rFonts w:hint="eastAsia"/>
        </w:rPr>
        <w:t>Ruurda</w:t>
      </w:r>
      <w:proofErr w:type="spellEnd"/>
      <w:r>
        <w:rPr>
          <w:rFonts w:hint="eastAsia"/>
        </w:rPr>
        <w:t xml:space="preserve"> JP, van </w:t>
      </w:r>
      <w:proofErr w:type="spellStart"/>
      <w:r>
        <w:rPr>
          <w:rFonts w:hint="eastAsia"/>
        </w:rPr>
        <w:t>Hillegersberg</w:t>
      </w:r>
      <w:proofErr w:type="spellEnd"/>
      <w:r>
        <w:rPr>
          <w:rFonts w:hint="eastAsia"/>
        </w:rPr>
        <w:t xml:space="preserve"> R. Prognosis and Treatment </w:t>
      </w:r>
      <w:proofErr w:type="gramStart"/>
      <w:r>
        <w:rPr>
          <w:rFonts w:hint="eastAsia"/>
        </w:rPr>
        <w:t>After</w:t>
      </w:r>
      <w:proofErr w:type="gramEnd"/>
      <w:r>
        <w:rPr>
          <w:rFonts w:hint="eastAsia"/>
        </w:rPr>
        <w:t xml:space="preserve"> Diagnosis of Recurrent Esophageal Carcinoma Following </w:t>
      </w:r>
      <w:proofErr w:type="spellStart"/>
      <w:r>
        <w:rPr>
          <w:rFonts w:hint="eastAsia"/>
        </w:rPr>
        <w:t>Esophagectomy</w:t>
      </w:r>
      <w:proofErr w:type="spellEnd"/>
      <w:r>
        <w:rPr>
          <w:rFonts w:hint="eastAsia"/>
        </w:rPr>
        <w:t xml:space="preserve"> with Curative Intent. </w:t>
      </w:r>
      <w:r>
        <w:rPr>
          <w:rFonts w:hint="eastAsia"/>
          <w:i/>
        </w:rPr>
        <w:t xml:space="preserve">Ann </w:t>
      </w:r>
      <w:proofErr w:type="spellStart"/>
      <w:r>
        <w:rPr>
          <w:rFonts w:hint="eastAsia"/>
          <w:i/>
        </w:rPr>
        <w:t>Surg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Oncol</w:t>
      </w:r>
      <w:proofErr w:type="spellEnd"/>
      <w:r>
        <w:rPr>
          <w:rFonts w:hint="eastAsia"/>
        </w:rPr>
        <w:t xml:space="preserve"> 2015; </w:t>
      </w:r>
      <w:r>
        <w:rPr>
          <w:rFonts w:hint="eastAsia"/>
          <w:b/>
        </w:rPr>
        <w:t xml:space="preserve">22 </w:t>
      </w:r>
      <w:proofErr w:type="spellStart"/>
      <w:r>
        <w:rPr>
          <w:rFonts w:hint="eastAsia"/>
          <w:b/>
        </w:rPr>
        <w:t>Suppl</w:t>
      </w:r>
      <w:proofErr w:type="spellEnd"/>
      <w:r>
        <w:rPr>
          <w:rFonts w:hint="eastAsia"/>
          <w:b/>
        </w:rPr>
        <w:t xml:space="preserve"> 3</w:t>
      </w:r>
      <w:r>
        <w:rPr>
          <w:rFonts w:hint="eastAsia"/>
        </w:rPr>
        <w:t>: S1292-S1300 [PMID: 26334295 DOI: 10.1245/s10434-015-4840-5]</w:t>
      </w:r>
    </w:p>
    <w:p w14:paraId="139F3C85" w14:textId="77777777" w:rsidR="00381BBC" w:rsidRDefault="00381BBC" w:rsidP="00381BBC">
      <w:r>
        <w:rPr>
          <w:rFonts w:hint="eastAsia"/>
        </w:rPr>
        <w:t xml:space="preserve">7 </w:t>
      </w:r>
      <w:r>
        <w:rPr>
          <w:rFonts w:hint="eastAsia"/>
          <w:b/>
        </w:rPr>
        <w:t>Sun Z</w:t>
      </w:r>
      <w:r>
        <w:rPr>
          <w:rFonts w:hint="eastAsia"/>
        </w:rPr>
        <w:t xml:space="preserve">, Liu X, Song JH, Cheng Y, Liu Y, </w:t>
      </w:r>
      <w:proofErr w:type="spellStart"/>
      <w:r>
        <w:rPr>
          <w:rFonts w:hint="eastAsia"/>
        </w:rPr>
        <w:t>Jia</w:t>
      </w:r>
      <w:proofErr w:type="spellEnd"/>
      <w:r>
        <w:rPr>
          <w:rFonts w:hint="eastAsia"/>
        </w:rPr>
        <w:t xml:space="preserve"> Y, Meltzer SJ, Wang Z. TNFAIP8 overexpression: a potential predictor of lymphatic metastatic recurrence in pN0 esophageal squamous cell carcinoma after Ivor Lewis </w:t>
      </w:r>
      <w:proofErr w:type="spellStart"/>
      <w:r>
        <w:rPr>
          <w:rFonts w:hint="eastAsia"/>
        </w:rPr>
        <w:t>esophagectomy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i/>
        </w:rPr>
        <w:t>Tumour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Biol</w:t>
      </w:r>
      <w:proofErr w:type="spellEnd"/>
      <w:r>
        <w:rPr>
          <w:rFonts w:hint="eastAsia"/>
        </w:rPr>
        <w:t xml:space="preserve"> 2016; </w:t>
      </w:r>
      <w:r>
        <w:rPr>
          <w:rFonts w:hint="eastAsia"/>
          <w:b/>
        </w:rPr>
        <w:t>37</w:t>
      </w:r>
      <w:r>
        <w:rPr>
          <w:rFonts w:hint="eastAsia"/>
        </w:rPr>
        <w:t>: 10923-10934 [PMID: 26886285 DOI: 10.1007/s13277-016-4978-1]</w:t>
      </w:r>
    </w:p>
    <w:p w14:paraId="5EE17D9A" w14:textId="77777777" w:rsidR="00381BBC" w:rsidRDefault="00381BBC" w:rsidP="00381BBC">
      <w:r>
        <w:rPr>
          <w:rFonts w:hint="eastAsia"/>
        </w:rPr>
        <w:t xml:space="preserve">8 </w:t>
      </w:r>
      <w:r>
        <w:rPr>
          <w:rFonts w:hint="eastAsia"/>
          <w:b/>
        </w:rPr>
        <w:t>Wang J</w:t>
      </w:r>
      <w:r>
        <w:rPr>
          <w:rFonts w:hint="eastAsia"/>
        </w:rPr>
        <w:t xml:space="preserve">, Chen J, </w:t>
      </w:r>
      <w:proofErr w:type="spellStart"/>
      <w:r>
        <w:rPr>
          <w:rFonts w:hint="eastAsia"/>
        </w:rPr>
        <w:t>Sen</w:t>
      </w:r>
      <w:proofErr w:type="spellEnd"/>
      <w:r>
        <w:rPr>
          <w:rFonts w:hint="eastAsia"/>
        </w:rPr>
        <w:t xml:space="preserve"> S. MicroRNA as Biomarkers and Diagnostics. </w:t>
      </w:r>
      <w:r>
        <w:rPr>
          <w:rFonts w:hint="eastAsia"/>
          <w:i/>
        </w:rPr>
        <w:t xml:space="preserve">J Cell </w:t>
      </w:r>
      <w:proofErr w:type="spellStart"/>
      <w:r>
        <w:rPr>
          <w:rFonts w:hint="eastAsia"/>
          <w:i/>
        </w:rPr>
        <w:t>Physiol</w:t>
      </w:r>
      <w:proofErr w:type="spellEnd"/>
      <w:r>
        <w:rPr>
          <w:rFonts w:hint="eastAsia"/>
        </w:rPr>
        <w:t xml:space="preserve"> 2016; </w:t>
      </w:r>
      <w:r>
        <w:rPr>
          <w:rFonts w:hint="eastAsia"/>
          <w:b/>
        </w:rPr>
        <w:t>231</w:t>
      </w:r>
      <w:r>
        <w:rPr>
          <w:rFonts w:hint="eastAsia"/>
        </w:rPr>
        <w:t>: 25-30 [PMID: 26031493 DOI: 10.1002/jcp.25056]</w:t>
      </w:r>
    </w:p>
    <w:p w14:paraId="0B9C5B22" w14:textId="77777777" w:rsidR="00381BBC" w:rsidRDefault="00381BBC" w:rsidP="00381BBC">
      <w:r>
        <w:rPr>
          <w:rFonts w:hint="eastAsia"/>
        </w:rPr>
        <w:t xml:space="preserve">9 </w:t>
      </w:r>
      <w:r>
        <w:rPr>
          <w:rFonts w:hint="eastAsia"/>
          <w:b/>
        </w:rPr>
        <w:t>Schmitt AM</w:t>
      </w:r>
      <w:r>
        <w:rPr>
          <w:rFonts w:hint="eastAsia"/>
        </w:rPr>
        <w:t xml:space="preserve">, Chang HY. </w:t>
      </w:r>
      <w:proofErr w:type="gramStart"/>
      <w:r>
        <w:rPr>
          <w:rFonts w:hint="eastAsia"/>
        </w:rPr>
        <w:t>Long Noncoding RNAs in Cancer Pathways.</w:t>
      </w:r>
      <w:proofErr w:type="gramEnd"/>
      <w:r>
        <w:rPr>
          <w:rFonts w:hint="eastAsia"/>
        </w:rPr>
        <w:t xml:space="preserve"> </w:t>
      </w:r>
      <w:r>
        <w:rPr>
          <w:rFonts w:hint="eastAsia"/>
          <w:i/>
        </w:rPr>
        <w:t>Cancer Cell</w:t>
      </w:r>
      <w:r>
        <w:rPr>
          <w:rFonts w:hint="eastAsia"/>
        </w:rPr>
        <w:t xml:space="preserve"> 2016; </w:t>
      </w:r>
      <w:r>
        <w:rPr>
          <w:rFonts w:hint="eastAsia"/>
          <w:b/>
        </w:rPr>
        <w:t>29</w:t>
      </w:r>
      <w:r>
        <w:rPr>
          <w:rFonts w:hint="eastAsia"/>
        </w:rPr>
        <w:t>: 452-463 [PMID: 27070700 DOI: 10.1016/j.ccell.2016.03.010]</w:t>
      </w:r>
    </w:p>
    <w:p w14:paraId="0860E732" w14:textId="77777777" w:rsidR="00381BBC" w:rsidRDefault="00381BBC" w:rsidP="00381BBC">
      <w:r>
        <w:rPr>
          <w:rFonts w:hint="eastAsia"/>
        </w:rPr>
        <w:t xml:space="preserve">10 </w:t>
      </w:r>
      <w:proofErr w:type="spellStart"/>
      <w:r>
        <w:rPr>
          <w:rFonts w:hint="eastAsia"/>
          <w:b/>
        </w:rPr>
        <w:t>Meng</w:t>
      </w:r>
      <w:proofErr w:type="spellEnd"/>
      <w:r>
        <w:rPr>
          <w:rFonts w:hint="eastAsia"/>
          <w:b/>
        </w:rPr>
        <w:t xml:space="preserve"> S</w:t>
      </w:r>
      <w:r>
        <w:rPr>
          <w:rFonts w:hint="eastAsia"/>
        </w:rPr>
        <w:t xml:space="preserve">, Zhou H, </w:t>
      </w:r>
      <w:proofErr w:type="spellStart"/>
      <w:r>
        <w:rPr>
          <w:rFonts w:hint="eastAsia"/>
        </w:rPr>
        <w:t>Feng</w:t>
      </w:r>
      <w:proofErr w:type="spellEnd"/>
      <w:r>
        <w:rPr>
          <w:rFonts w:hint="eastAsia"/>
        </w:rPr>
        <w:t xml:space="preserve"> Z, </w:t>
      </w:r>
      <w:proofErr w:type="spellStart"/>
      <w:r>
        <w:rPr>
          <w:rFonts w:hint="eastAsia"/>
        </w:rPr>
        <w:t>Xu</w:t>
      </w:r>
      <w:proofErr w:type="spellEnd"/>
      <w:r>
        <w:rPr>
          <w:rFonts w:hint="eastAsia"/>
        </w:rPr>
        <w:t xml:space="preserve"> Z, Tang Y, Li P, Wu M. </w:t>
      </w:r>
      <w:proofErr w:type="spellStart"/>
      <w:r>
        <w:rPr>
          <w:rFonts w:hint="eastAsia"/>
        </w:rPr>
        <w:t>CircRNA</w:t>
      </w:r>
      <w:proofErr w:type="spellEnd"/>
      <w:r>
        <w:rPr>
          <w:rFonts w:hint="eastAsia"/>
        </w:rPr>
        <w:t xml:space="preserve">: functions and properties of a novel potential biomarker for cancer. </w:t>
      </w:r>
      <w:proofErr w:type="spellStart"/>
      <w:r>
        <w:rPr>
          <w:rFonts w:hint="eastAsia"/>
          <w:i/>
        </w:rPr>
        <w:t>Mol</w:t>
      </w:r>
      <w:proofErr w:type="spellEnd"/>
      <w:r>
        <w:rPr>
          <w:rFonts w:hint="eastAsia"/>
          <w:i/>
        </w:rPr>
        <w:t xml:space="preserve"> Cancer</w:t>
      </w:r>
      <w:r>
        <w:rPr>
          <w:rFonts w:hint="eastAsia"/>
        </w:rPr>
        <w:t xml:space="preserve"> 2017; </w:t>
      </w:r>
      <w:r>
        <w:rPr>
          <w:rFonts w:hint="eastAsia"/>
          <w:b/>
        </w:rPr>
        <w:t>16</w:t>
      </w:r>
      <w:r>
        <w:rPr>
          <w:rFonts w:hint="eastAsia"/>
        </w:rPr>
        <w:t>: 94 [PMID: 28535767 DOI: 10.1186/s12943-017-0663-2]</w:t>
      </w:r>
    </w:p>
    <w:p w14:paraId="0892135A" w14:textId="77777777" w:rsidR="00381BBC" w:rsidRDefault="00381BBC" w:rsidP="00381BBC">
      <w:proofErr w:type="gramStart"/>
      <w:r>
        <w:rPr>
          <w:rFonts w:hint="eastAsia"/>
        </w:rPr>
        <w:t xml:space="preserve">11 </w:t>
      </w:r>
      <w:r>
        <w:rPr>
          <w:rFonts w:hint="eastAsia"/>
          <w:b/>
        </w:rPr>
        <w:t>Lin S</w:t>
      </w:r>
      <w:r>
        <w:rPr>
          <w:rFonts w:hint="eastAsia"/>
        </w:rPr>
        <w:t>, Gregory RI.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MicroRNA biogenesis pathways in cancer.</w:t>
      </w:r>
      <w:proofErr w:type="gramEnd"/>
      <w:r>
        <w:rPr>
          <w:rFonts w:hint="eastAsia"/>
        </w:rPr>
        <w:t xml:space="preserve"> </w:t>
      </w:r>
      <w:r>
        <w:rPr>
          <w:rFonts w:hint="eastAsia"/>
          <w:i/>
        </w:rPr>
        <w:t>Nat Rev Cancer</w:t>
      </w:r>
      <w:r>
        <w:rPr>
          <w:rFonts w:hint="eastAsia"/>
        </w:rPr>
        <w:t xml:space="preserve"> 2015; </w:t>
      </w:r>
      <w:r>
        <w:rPr>
          <w:rFonts w:hint="eastAsia"/>
          <w:b/>
        </w:rPr>
        <w:t>15</w:t>
      </w:r>
      <w:r>
        <w:rPr>
          <w:rFonts w:hint="eastAsia"/>
        </w:rPr>
        <w:t>: 321-333 [PMID: 25998712 DOI: 10.1038/nrc3932]</w:t>
      </w:r>
    </w:p>
    <w:p w14:paraId="66FD2149" w14:textId="77777777" w:rsidR="00381BBC" w:rsidRDefault="00381BBC" w:rsidP="00381BBC">
      <w:r>
        <w:rPr>
          <w:rFonts w:hint="eastAsia"/>
        </w:rPr>
        <w:t xml:space="preserve">12 </w:t>
      </w:r>
      <w:proofErr w:type="spellStart"/>
      <w:r>
        <w:rPr>
          <w:rFonts w:hint="eastAsia"/>
          <w:b/>
        </w:rPr>
        <w:t>Acunzo</w:t>
      </w:r>
      <w:proofErr w:type="spellEnd"/>
      <w:r>
        <w:rPr>
          <w:rFonts w:hint="eastAsia"/>
          <w:b/>
        </w:rPr>
        <w:t xml:space="preserve"> M</w:t>
      </w:r>
      <w:r>
        <w:rPr>
          <w:rFonts w:hint="eastAsia"/>
        </w:rPr>
        <w:t xml:space="preserve">, Romano G, Wernicke D, Croce CM. MicroRNA and cancer--a brief overview. </w:t>
      </w:r>
      <w:proofErr w:type="spellStart"/>
      <w:r>
        <w:rPr>
          <w:rFonts w:hint="eastAsia"/>
          <w:i/>
        </w:rPr>
        <w:t>Adv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Biol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Regul</w:t>
      </w:r>
      <w:proofErr w:type="spellEnd"/>
      <w:r>
        <w:rPr>
          <w:rFonts w:hint="eastAsia"/>
        </w:rPr>
        <w:t xml:space="preserve"> 2015; </w:t>
      </w:r>
      <w:r>
        <w:rPr>
          <w:rFonts w:hint="eastAsia"/>
          <w:b/>
        </w:rPr>
        <w:t>57</w:t>
      </w:r>
      <w:r>
        <w:rPr>
          <w:rFonts w:hint="eastAsia"/>
        </w:rPr>
        <w:t>: 1-9 [PMID: 25294678 DOI: 10.1016/j.jbior.2014.09.013]</w:t>
      </w:r>
    </w:p>
    <w:p w14:paraId="17F2D333" w14:textId="77777777" w:rsidR="00381BBC" w:rsidRDefault="00381BBC" w:rsidP="00381BBC">
      <w:proofErr w:type="gramStart"/>
      <w:r>
        <w:rPr>
          <w:rFonts w:hint="eastAsia"/>
        </w:rPr>
        <w:t xml:space="preserve">13 </w:t>
      </w:r>
      <w:r>
        <w:rPr>
          <w:rFonts w:hint="eastAsia"/>
          <w:b/>
        </w:rPr>
        <w:t>Romaine SP</w:t>
      </w:r>
      <w:proofErr w:type="gram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Tomaszewski</w:t>
      </w:r>
      <w:proofErr w:type="spellEnd"/>
      <w:r>
        <w:rPr>
          <w:rFonts w:hint="eastAsia"/>
        </w:rPr>
        <w:t xml:space="preserve"> M, </w:t>
      </w:r>
      <w:proofErr w:type="spellStart"/>
      <w:r>
        <w:rPr>
          <w:rFonts w:hint="eastAsia"/>
        </w:rPr>
        <w:t>Condorelli</w:t>
      </w:r>
      <w:proofErr w:type="spellEnd"/>
      <w:r>
        <w:rPr>
          <w:rFonts w:hint="eastAsia"/>
        </w:rPr>
        <w:t xml:space="preserve"> G, </w:t>
      </w:r>
      <w:proofErr w:type="spellStart"/>
      <w:r>
        <w:rPr>
          <w:rFonts w:hint="eastAsia"/>
        </w:rPr>
        <w:t>Samani</w:t>
      </w:r>
      <w:proofErr w:type="spellEnd"/>
      <w:r>
        <w:rPr>
          <w:rFonts w:hint="eastAsia"/>
        </w:rPr>
        <w:t xml:space="preserve"> NJ. MicroRNAs in cardiovascular disease: an introduction for clinicians. </w:t>
      </w:r>
      <w:r>
        <w:rPr>
          <w:rFonts w:hint="eastAsia"/>
          <w:i/>
        </w:rPr>
        <w:t>Heart</w:t>
      </w:r>
      <w:r>
        <w:rPr>
          <w:rFonts w:hint="eastAsia"/>
        </w:rPr>
        <w:t xml:space="preserve"> 2015; </w:t>
      </w:r>
      <w:r>
        <w:rPr>
          <w:rFonts w:hint="eastAsia"/>
          <w:b/>
        </w:rPr>
        <w:t>101</w:t>
      </w:r>
      <w:r>
        <w:rPr>
          <w:rFonts w:hint="eastAsia"/>
        </w:rPr>
        <w:t>: 921-928 [PMID: 25814653 DOI: 10.1136/heartjnl-2013-305402]</w:t>
      </w:r>
    </w:p>
    <w:p w14:paraId="599D11A9" w14:textId="431018EB" w:rsidR="00381BBC" w:rsidRDefault="00381BBC" w:rsidP="00381BBC">
      <w:proofErr w:type="gramStart"/>
      <w:r>
        <w:rPr>
          <w:rFonts w:hint="eastAsia"/>
        </w:rPr>
        <w:t xml:space="preserve">14 </w:t>
      </w:r>
      <w:proofErr w:type="spellStart"/>
      <w:r>
        <w:rPr>
          <w:rFonts w:hint="eastAsia"/>
          <w:b/>
        </w:rPr>
        <w:t>Agarwal</w:t>
      </w:r>
      <w:proofErr w:type="spellEnd"/>
      <w:r>
        <w:rPr>
          <w:rFonts w:hint="eastAsia"/>
          <w:b/>
        </w:rPr>
        <w:t xml:space="preserve"> V</w:t>
      </w:r>
      <w:r>
        <w:rPr>
          <w:rFonts w:hint="eastAsia"/>
        </w:rPr>
        <w:t xml:space="preserve">, Bell GW, Nam JW, </w:t>
      </w:r>
      <w:proofErr w:type="spellStart"/>
      <w:r>
        <w:rPr>
          <w:rFonts w:hint="eastAsia"/>
        </w:rPr>
        <w:t>Bartel</w:t>
      </w:r>
      <w:proofErr w:type="spellEnd"/>
      <w:r>
        <w:rPr>
          <w:rFonts w:hint="eastAsia"/>
        </w:rPr>
        <w:t xml:space="preserve"> DP.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Predicting effective microRNA </w:t>
      </w:r>
      <w:r>
        <w:rPr>
          <w:rFonts w:hint="eastAsia"/>
        </w:rPr>
        <w:lastRenderedPageBreak/>
        <w:t>target sites in mammalian mRNAs.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  <w:i/>
        </w:rPr>
        <w:t>Elife</w:t>
      </w:r>
      <w:proofErr w:type="spellEnd"/>
      <w:r>
        <w:rPr>
          <w:rFonts w:hint="eastAsia"/>
        </w:rPr>
        <w:t xml:space="preserve"> 2015; </w:t>
      </w:r>
      <w:r>
        <w:rPr>
          <w:rFonts w:hint="eastAsia"/>
          <w:b/>
        </w:rPr>
        <w:t>4</w:t>
      </w:r>
      <w:r>
        <w:t xml:space="preserve"> </w:t>
      </w:r>
      <w:r>
        <w:rPr>
          <w:rFonts w:hint="eastAsia"/>
        </w:rPr>
        <w:t>[PMID: 26267216 DOI: 10.7554/eLife.05005]</w:t>
      </w:r>
    </w:p>
    <w:p w14:paraId="79BB5AD4" w14:textId="77777777" w:rsidR="00381BBC" w:rsidRDefault="00381BBC" w:rsidP="00381BBC">
      <w:r>
        <w:rPr>
          <w:rFonts w:hint="eastAsia"/>
        </w:rPr>
        <w:t xml:space="preserve">15 </w:t>
      </w:r>
      <w:r>
        <w:rPr>
          <w:rFonts w:hint="eastAsia"/>
          <w:b/>
        </w:rPr>
        <w:t>Li B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Xu</w:t>
      </w:r>
      <w:proofErr w:type="spellEnd"/>
      <w:r>
        <w:rPr>
          <w:rFonts w:hint="eastAsia"/>
        </w:rPr>
        <w:t xml:space="preserve"> WW, Han L, Chan KT, </w:t>
      </w:r>
      <w:proofErr w:type="spellStart"/>
      <w:r>
        <w:rPr>
          <w:rFonts w:hint="eastAsia"/>
        </w:rPr>
        <w:t>Tsao</w:t>
      </w:r>
      <w:proofErr w:type="spellEnd"/>
      <w:r>
        <w:rPr>
          <w:rFonts w:hint="eastAsia"/>
        </w:rPr>
        <w:t xml:space="preserve"> SW, Lee NPY, Law S, </w:t>
      </w:r>
      <w:proofErr w:type="spellStart"/>
      <w:r>
        <w:rPr>
          <w:rFonts w:hint="eastAsia"/>
        </w:rPr>
        <w:t>Xu</w:t>
      </w:r>
      <w:proofErr w:type="spellEnd"/>
      <w:r>
        <w:rPr>
          <w:rFonts w:hint="eastAsia"/>
        </w:rPr>
        <w:t xml:space="preserve"> LY, Li EM, Chan KW, Qin YR, Guan XY, He QY, Cheung ALM. MicroRNA-377 suppresses initiation and progression of esophageal cancer by inhibiting CD133 and VEGF. </w:t>
      </w:r>
      <w:r>
        <w:rPr>
          <w:rFonts w:hint="eastAsia"/>
          <w:i/>
        </w:rPr>
        <w:t>Oncogene</w:t>
      </w:r>
      <w:r>
        <w:rPr>
          <w:rFonts w:hint="eastAsia"/>
        </w:rPr>
        <w:t xml:space="preserve"> 2017; </w:t>
      </w:r>
      <w:r>
        <w:rPr>
          <w:rFonts w:hint="eastAsia"/>
          <w:b/>
        </w:rPr>
        <w:t>36</w:t>
      </w:r>
      <w:r>
        <w:rPr>
          <w:rFonts w:hint="eastAsia"/>
        </w:rPr>
        <w:t>: 3986-4000 [PMID: 28288140 DOI: 10.1038/onc.2017.29]</w:t>
      </w:r>
    </w:p>
    <w:p w14:paraId="23988070" w14:textId="77777777" w:rsidR="00381BBC" w:rsidRDefault="00381BBC" w:rsidP="00381BBC">
      <w:r>
        <w:rPr>
          <w:rFonts w:hint="eastAsia"/>
        </w:rPr>
        <w:t xml:space="preserve">16 </w:t>
      </w:r>
      <w:r>
        <w:rPr>
          <w:rFonts w:hint="eastAsia"/>
          <w:b/>
        </w:rPr>
        <w:t>Li SP</w:t>
      </w:r>
      <w:r>
        <w:rPr>
          <w:rFonts w:hint="eastAsia"/>
        </w:rPr>
        <w:t xml:space="preserve">, Su HX, Zhao D, Guan QL. Plasma miRNA-506 as a Prognostic Biomarker for Esophageal Squamous Cell Carcinoma. </w:t>
      </w:r>
      <w:r>
        <w:rPr>
          <w:rFonts w:hint="eastAsia"/>
          <w:i/>
        </w:rPr>
        <w:t xml:space="preserve">Med </w:t>
      </w:r>
      <w:proofErr w:type="spellStart"/>
      <w:r>
        <w:rPr>
          <w:rFonts w:hint="eastAsia"/>
          <w:i/>
        </w:rPr>
        <w:t>Sci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Monit</w:t>
      </w:r>
      <w:proofErr w:type="spellEnd"/>
      <w:r>
        <w:rPr>
          <w:rFonts w:hint="eastAsia"/>
        </w:rPr>
        <w:t xml:space="preserve"> 2016; </w:t>
      </w:r>
      <w:r>
        <w:rPr>
          <w:rFonts w:hint="eastAsia"/>
          <w:b/>
        </w:rPr>
        <w:t>22</w:t>
      </w:r>
      <w:r>
        <w:rPr>
          <w:rFonts w:hint="eastAsia"/>
        </w:rPr>
        <w:t>: 2195-2201 [PMID: 27345473 DOI: 10.12659/msm.899377]</w:t>
      </w:r>
    </w:p>
    <w:p w14:paraId="2C840143" w14:textId="77777777" w:rsidR="00381BBC" w:rsidRDefault="00381BBC" w:rsidP="00381BBC">
      <w:r>
        <w:rPr>
          <w:rFonts w:hint="eastAsia"/>
        </w:rPr>
        <w:t xml:space="preserve">17 </w:t>
      </w:r>
      <w:proofErr w:type="spellStart"/>
      <w:r>
        <w:rPr>
          <w:rFonts w:hint="eastAsia"/>
          <w:b/>
        </w:rPr>
        <w:t>Xu</w:t>
      </w:r>
      <w:proofErr w:type="spellEnd"/>
      <w:r>
        <w:rPr>
          <w:rFonts w:hint="eastAsia"/>
          <w:b/>
        </w:rPr>
        <w:t xml:space="preserve"> CZ</w:t>
      </w:r>
      <w:r>
        <w:rPr>
          <w:rFonts w:hint="eastAsia"/>
        </w:rPr>
        <w:t xml:space="preserve">, Shi RJ, Chen D, Sun YY, Wu QW, Wang T, Wang PH. Potential biomarkers for paclitaxel sensitivity in </w:t>
      </w:r>
      <w:proofErr w:type="spellStart"/>
      <w:r>
        <w:rPr>
          <w:rFonts w:hint="eastAsia"/>
        </w:rPr>
        <w:t>hypopharynx</w:t>
      </w:r>
      <w:proofErr w:type="spellEnd"/>
      <w:r>
        <w:rPr>
          <w:rFonts w:hint="eastAsia"/>
        </w:rPr>
        <w:t xml:space="preserve"> cancer cell. </w:t>
      </w:r>
      <w:proofErr w:type="spellStart"/>
      <w:r>
        <w:rPr>
          <w:rFonts w:hint="eastAsia"/>
          <w:i/>
        </w:rPr>
        <w:t>Int</w:t>
      </w:r>
      <w:proofErr w:type="spellEnd"/>
      <w:r>
        <w:rPr>
          <w:rFonts w:hint="eastAsia"/>
          <w:i/>
        </w:rPr>
        <w:t xml:space="preserve"> J </w:t>
      </w:r>
      <w:proofErr w:type="spellStart"/>
      <w:r>
        <w:rPr>
          <w:rFonts w:hint="eastAsia"/>
          <w:i/>
        </w:rPr>
        <w:t>Clin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Exp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Pathol</w:t>
      </w:r>
      <w:proofErr w:type="spellEnd"/>
      <w:r>
        <w:rPr>
          <w:rFonts w:hint="eastAsia"/>
        </w:rPr>
        <w:t xml:space="preserve"> 2013; </w:t>
      </w:r>
      <w:r>
        <w:rPr>
          <w:rFonts w:hint="eastAsia"/>
          <w:b/>
        </w:rPr>
        <w:t>6</w:t>
      </w:r>
      <w:r>
        <w:rPr>
          <w:rFonts w:hint="eastAsia"/>
        </w:rPr>
        <w:t>: 2745-2756 [PMID: 24294361]</w:t>
      </w:r>
    </w:p>
    <w:p w14:paraId="5F312022" w14:textId="77777777" w:rsidR="00381BBC" w:rsidRDefault="00381BBC" w:rsidP="00381BBC">
      <w:r>
        <w:rPr>
          <w:rFonts w:hint="eastAsia"/>
        </w:rPr>
        <w:t xml:space="preserve">18 </w:t>
      </w:r>
      <w:r>
        <w:rPr>
          <w:rFonts w:hint="eastAsia"/>
          <w:b/>
        </w:rPr>
        <w:t>Zhang D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Zheng</w:t>
      </w:r>
      <w:proofErr w:type="spellEnd"/>
      <w:r>
        <w:rPr>
          <w:rFonts w:hint="eastAsia"/>
        </w:rPr>
        <w:t xml:space="preserve"> Y, Wang Z, Huang Q, Cao X, Wang F, Liu S. Comparison of the 7th and proposed 8th editions of the AJCC/UICC TNM staging system for esophageal squamous cell carcinoma underwent radical surgery. </w:t>
      </w:r>
      <w:proofErr w:type="spellStart"/>
      <w:r>
        <w:rPr>
          <w:rFonts w:hint="eastAsia"/>
          <w:i/>
        </w:rPr>
        <w:t>Eur</w:t>
      </w:r>
      <w:proofErr w:type="spellEnd"/>
      <w:r>
        <w:rPr>
          <w:rFonts w:hint="eastAsia"/>
          <w:i/>
        </w:rPr>
        <w:t xml:space="preserve"> J </w:t>
      </w:r>
      <w:proofErr w:type="spellStart"/>
      <w:r>
        <w:rPr>
          <w:rFonts w:hint="eastAsia"/>
          <w:i/>
        </w:rPr>
        <w:t>Surg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Oncol</w:t>
      </w:r>
      <w:proofErr w:type="spellEnd"/>
      <w:r>
        <w:rPr>
          <w:rFonts w:hint="eastAsia"/>
        </w:rPr>
        <w:t xml:space="preserve"> 2017; </w:t>
      </w:r>
      <w:r>
        <w:rPr>
          <w:rFonts w:hint="eastAsia"/>
          <w:b/>
        </w:rPr>
        <w:t>43</w:t>
      </w:r>
      <w:r>
        <w:rPr>
          <w:rFonts w:hint="eastAsia"/>
        </w:rPr>
        <w:t>: 1949-1955 [PMID: 28716377 DOI: 10.1016/j.ejso.2017.06.005]</w:t>
      </w:r>
    </w:p>
    <w:p w14:paraId="7AAAAC6A" w14:textId="77777777" w:rsidR="00381BBC" w:rsidRDefault="00381BBC" w:rsidP="00381BBC">
      <w:r>
        <w:rPr>
          <w:rFonts w:hint="eastAsia"/>
        </w:rPr>
        <w:t xml:space="preserve">19 </w:t>
      </w:r>
      <w:proofErr w:type="spellStart"/>
      <w:r>
        <w:rPr>
          <w:rFonts w:hint="eastAsia"/>
          <w:b/>
        </w:rPr>
        <w:t>Freilich</w:t>
      </w:r>
      <w:proofErr w:type="spellEnd"/>
      <w:r>
        <w:rPr>
          <w:rFonts w:hint="eastAsia"/>
          <w:b/>
        </w:rPr>
        <w:t xml:space="preserve"> J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Hoffe</w:t>
      </w:r>
      <w:proofErr w:type="spellEnd"/>
      <w:r>
        <w:rPr>
          <w:rFonts w:hint="eastAsia"/>
        </w:rPr>
        <w:t xml:space="preserve"> SE, </w:t>
      </w:r>
      <w:proofErr w:type="spellStart"/>
      <w:r>
        <w:rPr>
          <w:rFonts w:hint="eastAsia"/>
        </w:rPr>
        <w:t>Almhanna</w:t>
      </w:r>
      <w:proofErr w:type="spellEnd"/>
      <w:r>
        <w:rPr>
          <w:rFonts w:hint="eastAsia"/>
        </w:rPr>
        <w:t xml:space="preserve"> K, </w:t>
      </w:r>
      <w:proofErr w:type="spellStart"/>
      <w:r>
        <w:rPr>
          <w:rFonts w:hint="eastAsia"/>
        </w:rPr>
        <w:t>Dinwoodie</w:t>
      </w:r>
      <w:proofErr w:type="spellEnd"/>
      <w:r>
        <w:rPr>
          <w:rFonts w:hint="eastAsia"/>
        </w:rPr>
        <w:t xml:space="preserve"> W, </w:t>
      </w:r>
      <w:proofErr w:type="spellStart"/>
      <w:r>
        <w:rPr>
          <w:rFonts w:hint="eastAsia"/>
        </w:rPr>
        <w:t>Yue</w:t>
      </w:r>
      <w:proofErr w:type="spellEnd"/>
      <w:r>
        <w:rPr>
          <w:rFonts w:hint="eastAsia"/>
        </w:rPr>
        <w:t xml:space="preserve"> B, </w:t>
      </w:r>
      <w:proofErr w:type="spellStart"/>
      <w:r>
        <w:rPr>
          <w:rFonts w:hint="eastAsia"/>
        </w:rPr>
        <w:t>Fulp</w:t>
      </w:r>
      <w:proofErr w:type="spellEnd"/>
      <w:r>
        <w:rPr>
          <w:rFonts w:hint="eastAsia"/>
        </w:rPr>
        <w:t xml:space="preserve"> W, Meredith KL, </w:t>
      </w:r>
      <w:proofErr w:type="spellStart"/>
      <w:r>
        <w:rPr>
          <w:rFonts w:hint="eastAsia"/>
        </w:rPr>
        <w:t>Shridhar</w:t>
      </w:r>
      <w:proofErr w:type="spellEnd"/>
      <w:r>
        <w:rPr>
          <w:rFonts w:hint="eastAsia"/>
        </w:rPr>
        <w:t xml:space="preserve"> R. Comparative outcomes for three-dimensional conformal versus intensity-modulated radiation therapy for esophageal cancer. </w:t>
      </w:r>
      <w:r>
        <w:rPr>
          <w:rFonts w:hint="eastAsia"/>
          <w:i/>
        </w:rPr>
        <w:t>Dis Esophagus</w:t>
      </w:r>
      <w:r>
        <w:rPr>
          <w:rFonts w:hint="eastAsia"/>
        </w:rPr>
        <w:t xml:space="preserve"> 2015; </w:t>
      </w:r>
      <w:r>
        <w:rPr>
          <w:rFonts w:hint="eastAsia"/>
          <w:b/>
        </w:rPr>
        <w:t>28</w:t>
      </w:r>
      <w:r>
        <w:rPr>
          <w:rFonts w:hint="eastAsia"/>
        </w:rPr>
        <w:t>: 352-357 [PMID: 24635657 DOI: 10.1111/dote.12203]</w:t>
      </w:r>
    </w:p>
    <w:p w14:paraId="00A54636" w14:textId="17743D3B" w:rsidR="00381BBC" w:rsidRDefault="00381BBC" w:rsidP="007560F1">
      <w:r>
        <w:rPr>
          <w:rFonts w:hint="eastAsia"/>
        </w:rPr>
        <w:t xml:space="preserve">20 </w:t>
      </w:r>
      <w:proofErr w:type="spellStart"/>
      <w:r w:rsidRPr="007560F1">
        <w:rPr>
          <w:rFonts w:hint="eastAsia"/>
          <w:b/>
          <w:bCs/>
        </w:rPr>
        <w:t>Ljvak</w:t>
      </w:r>
      <w:proofErr w:type="spellEnd"/>
      <w:r w:rsidRPr="007560F1">
        <w:rPr>
          <w:rFonts w:hint="eastAsia"/>
          <w:b/>
          <w:bCs/>
        </w:rPr>
        <w:t xml:space="preserve"> KJ</w:t>
      </w:r>
      <w:r w:rsidR="007560F1" w:rsidRPr="007560F1">
        <w:rPr>
          <w:b/>
          <w:bCs/>
        </w:rPr>
        <w:t>,</w:t>
      </w:r>
      <w:r w:rsidR="007560F1">
        <w:t xml:space="preserve"> </w:t>
      </w:r>
      <w:proofErr w:type="spellStart"/>
      <w:r w:rsidR="007560F1" w:rsidRPr="007560F1">
        <w:t>Schmittgen</w:t>
      </w:r>
      <w:proofErr w:type="spellEnd"/>
      <w:r w:rsidR="007560F1" w:rsidRPr="007560F1">
        <w:t xml:space="preserve"> TD</w:t>
      </w:r>
      <w:r>
        <w:rPr>
          <w:rFonts w:hint="eastAsia"/>
        </w:rPr>
        <w:t xml:space="preserve">. </w:t>
      </w:r>
      <w:r w:rsidR="007560F1" w:rsidRPr="007560F1">
        <w:t xml:space="preserve">Analysis of relative gene expression data using real-time quantitative PCR and the 2(-Delta </w:t>
      </w:r>
      <w:proofErr w:type="spellStart"/>
      <w:r w:rsidR="007560F1" w:rsidRPr="007560F1">
        <w:t>Delta</w:t>
      </w:r>
      <w:proofErr w:type="spellEnd"/>
      <w:r w:rsidR="007560F1" w:rsidRPr="007560F1">
        <w:t xml:space="preserve"> </w:t>
      </w:r>
      <w:proofErr w:type="gramStart"/>
      <w:r w:rsidR="007560F1" w:rsidRPr="007560F1">
        <w:t>C(</w:t>
      </w:r>
      <w:proofErr w:type="gramEnd"/>
      <w:r w:rsidR="007560F1" w:rsidRPr="007560F1">
        <w:t>T)) Method</w:t>
      </w:r>
      <w:r>
        <w:rPr>
          <w:rFonts w:hint="eastAsia"/>
        </w:rPr>
        <w:t xml:space="preserve">. </w:t>
      </w:r>
      <w:r w:rsidR="007560F1" w:rsidRPr="007560F1">
        <w:rPr>
          <w:i/>
          <w:iCs/>
        </w:rPr>
        <w:t xml:space="preserve">Methods </w:t>
      </w:r>
      <w:r>
        <w:rPr>
          <w:rFonts w:hint="eastAsia"/>
        </w:rPr>
        <w:t xml:space="preserve">2001; </w:t>
      </w:r>
      <w:r w:rsidRPr="007560F1">
        <w:rPr>
          <w:rFonts w:hint="eastAsia"/>
          <w:b/>
          <w:bCs/>
        </w:rPr>
        <w:t>25</w:t>
      </w:r>
      <w:r>
        <w:rPr>
          <w:rFonts w:hint="eastAsia"/>
        </w:rPr>
        <w:t>: 402-408</w:t>
      </w:r>
      <w:r w:rsidR="007560F1">
        <w:t xml:space="preserve"> [PMID:</w:t>
      </w:r>
      <w:r w:rsidR="007560F1">
        <w:rPr>
          <w:rFonts w:hint="eastAsia"/>
        </w:rPr>
        <w:t xml:space="preserve"> </w:t>
      </w:r>
      <w:r w:rsidR="007560F1">
        <w:t>11846609</w:t>
      </w:r>
      <w:r w:rsidR="007560F1">
        <w:rPr>
          <w:rFonts w:hint="eastAsia"/>
        </w:rPr>
        <w:t xml:space="preserve"> </w:t>
      </w:r>
      <w:r w:rsidR="007560F1">
        <w:t>DOI:</w:t>
      </w:r>
      <w:r w:rsidR="007560F1">
        <w:rPr>
          <w:rFonts w:hint="eastAsia"/>
        </w:rPr>
        <w:t xml:space="preserve"> </w:t>
      </w:r>
      <w:r w:rsidR="007560F1">
        <w:t>10.1006/meth.2001.1262]</w:t>
      </w:r>
    </w:p>
    <w:p w14:paraId="5F834814" w14:textId="696A2E6E" w:rsidR="00381BBC" w:rsidRDefault="00381BBC" w:rsidP="00381BBC">
      <w:proofErr w:type="gramStart"/>
      <w:r>
        <w:rPr>
          <w:rFonts w:hint="eastAsia"/>
        </w:rPr>
        <w:t xml:space="preserve">21 </w:t>
      </w:r>
      <w:proofErr w:type="spellStart"/>
      <w:r>
        <w:rPr>
          <w:rFonts w:hint="eastAsia"/>
          <w:b/>
        </w:rPr>
        <w:t>Zeng</w:t>
      </w:r>
      <w:proofErr w:type="spellEnd"/>
      <w:r>
        <w:rPr>
          <w:rFonts w:hint="eastAsia"/>
          <w:b/>
        </w:rPr>
        <w:t xml:space="preserve"> H</w:t>
      </w:r>
      <w:r w:rsidR="007560F1">
        <w:rPr>
          <w:b/>
        </w:rPr>
        <w:t>M</w:t>
      </w:r>
      <w:r>
        <w:rPr>
          <w:rFonts w:hint="eastAsia"/>
          <w:b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Zheng</w:t>
      </w:r>
      <w:proofErr w:type="spellEnd"/>
      <w:r>
        <w:rPr>
          <w:rFonts w:hint="eastAsia"/>
        </w:rPr>
        <w:t xml:space="preserve"> R</w:t>
      </w:r>
      <w:r w:rsidR="007560F1">
        <w:t>S</w:t>
      </w:r>
      <w:r>
        <w:rPr>
          <w:rFonts w:hint="eastAsia"/>
        </w:rPr>
        <w:t>, Zhang S</w:t>
      </w:r>
      <w:r w:rsidR="007560F1">
        <w:t>W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Zuo</w:t>
      </w:r>
      <w:proofErr w:type="spellEnd"/>
      <w:r>
        <w:rPr>
          <w:rFonts w:hint="eastAsia"/>
        </w:rPr>
        <w:t xml:space="preserve"> T</w:t>
      </w:r>
      <w:r w:rsidR="007560F1">
        <w:t>T</w:t>
      </w:r>
      <w:r>
        <w:rPr>
          <w:rFonts w:hint="eastAsia"/>
        </w:rPr>
        <w:t>, Xia C</w:t>
      </w:r>
      <w:r w:rsidR="007560F1">
        <w:t>F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Zou</w:t>
      </w:r>
      <w:proofErr w:type="spellEnd"/>
      <w:r>
        <w:rPr>
          <w:rFonts w:hint="eastAsia"/>
        </w:rPr>
        <w:t xml:space="preserve"> X</w:t>
      </w:r>
      <w:r w:rsidR="007560F1">
        <w:t>N</w:t>
      </w:r>
      <w:r>
        <w:rPr>
          <w:rFonts w:hint="eastAsia"/>
        </w:rPr>
        <w:t>, Chen W</w:t>
      </w:r>
      <w:r w:rsidR="007560F1">
        <w:t>Q.</w:t>
      </w:r>
      <w:proofErr w:type="gramEnd"/>
      <w:r>
        <w:rPr>
          <w:rFonts w:hint="eastAsia"/>
        </w:rPr>
        <w:t xml:space="preserve"> </w:t>
      </w:r>
      <w:bookmarkStart w:id="31" w:name="OLE_LINK34"/>
      <w:r w:rsidR="007560F1" w:rsidRPr="007560F1">
        <w:t>Esophageal cancer statistics in China, 2011: Estimates based on 177 cancer registries</w:t>
      </w:r>
      <w:r>
        <w:rPr>
          <w:rFonts w:hint="eastAsia"/>
        </w:rPr>
        <w:t>.</w:t>
      </w:r>
      <w:bookmarkEnd w:id="31"/>
      <w:r>
        <w:rPr>
          <w:rFonts w:hint="eastAsia"/>
        </w:rPr>
        <w:t xml:space="preserve"> </w:t>
      </w:r>
      <w:proofErr w:type="spellStart"/>
      <w:r w:rsidR="007560F1" w:rsidRPr="007560F1">
        <w:rPr>
          <w:i/>
          <w:iCs/>
        </w:rPr>
        <w:t>Thorac</w:t>
      </w:r>
      <w:proofErr w:type="spellEnd"/>
      <w:r w:rsidR="007560F1" w:rsidRPr="007560F1">
        <w:rPr>
          <w:i/>
          <w:iCs/>
        </w:rPr>
        <w:t xml:space="preserve"> Cancer</w:t>
      </w:r>
      <w:r w:rsidR="007560F1">
        <w:t xml:space="preserve"> </w:t>
      </w:r>
      <w:r>
        <w:rPr>
          <w:rFonts w:hint="eastAsia"/>
        </w:rPr>
        <w:t xml:space="preserve">2016; </w:t>
      </w:r>
      <w:r w:rsidRPr="007560F1">
        <w:rPr>
          <w:rFonts w:hint="eastAsia"/>
          <w:b/>
          <w:bCs/>
        </w:rPr>
        <w:t>7</w:t>
      </w:r>
      <w:r>
        <w:rPr>
          <w:rFonts w:hint="eastAsia"/>
        </w:rPr>
        <w:t>: 232-237</w:t>
      </w:r>
      <w:r w:rsidR="007560F1">
        <w:t xml:space="preserve"> [PMID: </w:t>
      </w:r>
      <w:r w:rsidR="007560F1" w:rsidRPr="007560F1">
        <w:t>27042227</w:t>
      </w:r>
      <w:r w:rsidR="007560F1">
        <w:t xml:space="preserve"> </w:t>
      </w:r>
      <w:r w:rsidR="007560F1" w:rsidRPr="007560F1">
        <w:rPr>
          <w:caps/>
        </w:rPr>
        <w:t>doi:</w:t>
      </w:r>
      <w:r w:rsidR="007560F1" w:rsidRPr="007560F1">
        <w:t xml:space="preserve"> 10.1111/1759-7714.12322</w:t>
      </w:r>
      <w:r w:rsidR="007560F1">
        <w:t>]</w:t>
      </w:r>
    </w:p>
    <w:p w14:paraId="4A710587" w14:textId="77777777" w:rsidR="00381BBC" w:rsidRDefault="00381BBC" w:rsidP="00381BBC">
      <w:r>
        <w:rPr>
          <w:rFonts w:hint="eastAsia"/>
        </w:rPr>
        <w:t xml:space="preserve">22 </w:t>
      </w:r>
      <w:r>
        <w:rPr>
          <w:rFonts w:hint="eastAsia"/>
          <w:b/>
        </w:rPr>
        <w:t>Bray F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Ferlay</w:t>
      </w:r>
      <w:proofErr w:type="spellEnd"/>
      <w:r>
        <w:rPr>
          <w:rFonts w:hint="eastAsia"/>
        </w:rPr>
        <w:t xml:space="preserve"> J, </w:t>
      </w:r>
      <w:proofErr w:type="spellStart"/>
      <w:r>
        <w:rPr>
          <w:rFonts w:hint="eastAsia"/>
        </w:rPr>
        <w:t>Soerjomataram</w:t>
      </w:r>
      <w:proofErr w:type="spellEnd"/>
      <w:r>
        <w:rPr>
          <w:rFonts w:hint="eastAsia"/>
        </w:rPr>
        <w:t xml:space="preserve"> I, Siegel RL, Torre LA, </w:t>
      </w:r>
      <w:proofErr w:type="spellStart"/>
      <w:proofErr w:type="gramStart"/>
      <w:r>
        <w:rPr>
          <w:rFonts w:hint="eastAsia"/>
        </w:rPr>
        <w:t>Jemal</w:t>
      </w:r>
      <w:proofErr w:type="spellEnd"/>
      <w:proofErr w:type="gramEnd"/>
      <w:r>
        <w:rPr>
          <w:rFonts w:hint="eastAsia"/>
        </w:rPr>
        <w:t xml:space="preserve"> A. Global </w:t>
      </w:r>
      <w:r>
        <w:rPr>
          <w:rFonts w:hint="eastAsia"/>
        </w:rPr>
        <w:lastRenderedPageBreak/>
        <w:t xml:space="preserve">cancer statistics 2018: GLOBOCAN estimates of incidence and mortality worldwide for 36 cancers in 185 countries. </w:t>
      </w:r>
      <w:r>
        <w:rPr>
          <w:rFonts w:hint="eastAsia"/>
          <w:i/>
        </w:rPr>
        <w:t xml:space="preserve">CA Cancer J </w:t>
      </w:r>
      <w:proofErr w:type="spellStart"/>
      <w:r>
        <w:rPr>
          <w:rFonts w:hint="eastAsia"/>
          <w:i/>
        </w:rPr>
        <w:t>Clin</w:t>
      </w:r>
      <w:proofErr w:type="spellEnd"/>
      <w:r>
        <w:rPr>
          <w:rFonts w:hint="eastAsia"/>
        </w:rPr>
        <w:t xml:space="preserve"> 2018; </w:t>
      </w:r>
      <w:r>
        <w:rPr>
          <w:rFonts w:hint="eastAsia"/>
          <w:b/>
        </w:rPr>
        <w:t>68</w:t>
      </w:r>
      <w:r>
        <w:rPr>
          <w:rFonts w:hint="eastAsia"/>
        </w:rPr>
        <w:t>: 394-424 [PMID: 30207593 DOI: 10.3322/caac.21492]</w:t>
      </w:r>
    </w:p>
    <w:p w14:paraId="6CEDDE50" w14:textId="77777777" w:rsidR="00381BBC" w:rsidRDefault="00381BBC" w:rsidP="00381BBC">
      <w:r>
        <w:rPr>
          <w:rFonts w:hint="eastAsia"/>
        </w:rPr>
        <w:t xml:space="preserve">23 </w:t>
      </w:r>
      <w:proofErr w:type="gramStart"/>
      <w:r>
        <w:rPr>
          <w:rFonts w:hint="eastAsia"/>
          <w:b/>
        </w:rPr>
        <w:t>Yang</w:t>
      </w:r>
      <w:proofErr w:type="gramEnd"/>
      <w:r>
        <w:rPr>
          <w:rFonts w:hint="eastAsia"/>
          <w:b/>
        </w:rPr>
        <w:t xml:space="preserve"> CS</w:t>
      </w:r>
      <w:r>
        <w:rPr>
          <w:rFonts w:hint="eastAsia"/>
        </w:rPr>
        <w:t xml:space="preserve">, Chen X, </w:t>
      </w: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 xml:space="preserve"> S. Etiology and Prevention of Esophageal Cancer. </w:t>
      </w:r>
      <w:proofErr w:type="spellStart"/>
      <w:r>
        <w:rPr>
          <w:rFonts w:hint="eastAsia"/>
          <w:i/>
        </w:rPr>
        <w:t>Gastrointest</w:t>
      </w:r>
      <w:proofErr w:type="spellEnd"/>
      <w:r>
        <w:rPr>
          <w:rFonts w:hint="eastAsia"/>
          <w:i/>
        </w:rPr>
        <w:t xml:space="preserve"> Tumors</w:t>
      </w:r>
      <w:r>
        <w:rPr>
          <w:rFonts w:hint="eastAsia"/>
        </w:rPr>
        <w:t xml:space="preserve"> 2016; </w:t>
      </w:r>
      <w:r>
        <w:rPr>
          <w:rFonts w:hint="eastAsia"/>
          <w:b/>
        </w:rPr>
        <w:t>3</w:t>
      </w:r>
      <w:r>
        <w:rPr>
          <w:rFonts w:hint="eastAsia"/>
        </w:rPr>
        <w:t>: 3-16 [PMID: 27722152 DOI: 10.1159/000443155]</w:t>
      </w:r>
    </w:p>
    <w:p w14:paraId="7C768DD5" w14:textId="77777777" w:rsidR="00381BBC" w:rsidRDefault="00381BBC" w:rsidP="00381BBC">
      <w:r>
        <w:rPr>
          <w:rFonts w:hint="eastAsia"/>
        </w:rPr>
        <w:t xml:space="preserve">24 </w:t>
      </w:r>
      <w:r>
        <w:rPr>
          <w:rFonts w:hint="eastAsia"/>
          <w:b/>
        </w:rPr>
        <w:t>L</w:t>
      </w:r>
      <w:r>
        <w:rPr>
          <w:rFonts w:hint="eastAsia"/>
          <w:b/>
        </w:rPr>
        <w:t>ó</w:t>
      </w:r>
      <w:proofErr w:type="spellStart"/>
      <w:r>
        <w:rPr>
          <w:rFonts w:hint="eastAsia"/>
          <w:b/>
        </w:rPr>
        <w:t>pez</w:t>
      </w:r>
      <w:proofErr w:type="spellEnd"/>
      <w:r>
        <w:rPr>
          <w:rFonts w:hint="eastAsia"/>
          <w:b/>
        </w:rPr>
        <w:t>-L</w:t>
      </w:r>
      <w:r>
        <w:rPr>
          <w:rFonts w:hint="eastAsia"/>
          <w:b/>
        </w:rPr>
        <w:t>á</w:t>
      </w:r>
      <w:proofErr w:type="spellStart"/>
      <w:r>
        <w:rPr>
          <w:rFonts w:hint="eastAsia"/>
          <w:b/>
        </w:rPr>
        <w:t>zaro</w:t>
      </w:r>
      <w:proofErr w:type="spellEnd"/>
      <w:r>
        <w:rPr>
          <w:rFonts w:hint="eastAsia"/>
          <w:b/>
        </w:rPr>
        <w:t xml:space="preserve"> M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A local mechanism by which alcohol consumption causes cancer.</w:t>
      </w:r>
      <w:proofErr w:type="gramEnd"/>
      <w:r>
        <w:rPr>
          <w:rFonts w:hint="eastAsia"/>
        </w:rPr>
        <w:t xml:space="preserve"> </w:t>
      </w:r>
      <w:r>
        <w:rPr>
          <w:rFonts w:hint="eastAsia"/>
          <w:i/>
        </w:rPr>
        <w:t xml:space="preserve">Oral </w:t>
      </w:r>
      <w:proofErr w:type="spellStart"/>
      <w:r>
        <w:rPr>
          <w:rFonts w:hint="eastAsia"/>
          <w:i/>
        </w:rPr>
        <w:t>Oncol</w:t>
      </w:r>
      <w:proofErr w:type="spellEnd"/>
      <w:r>
        <w:rPr>
          <w:rFonts w:hint="eastAsia"/>
        </w:rPr>
        <w:t xml:space="preserve"> 2016; </w:t>
      </w:r>
      <w:r>
        <w:rPr>
          <w:rFonts w:hint="eastAsia"/>
          <w:b/>
        </w:rPr>
        <w:t>62</w:t>
      </w:r>
      <w:r>
        <w:rPr>
          <w:rFonts w:hint="eastAsia"/>
        </w:rPr>
        <w:t>: 149-152 [PMID: 27720397 DOI: 10.1016/j.oraloncology.2016.10.001]</w:t>
      </w:r>
    </w:p>
    <w:p w14:paraId="6B2C1E6F" w14:textId="77777777" w:rsidR="00381BBC" w:rsidRDefault="00381BBC" w:rsidP="00381BBC">
      <w:r>
        <w:rPr>
          <w:rFonts w:hint="eastAsia"/>
        </w:rPr>
        <w:t xml:space="preserve">25 </w:t>
      </w:r>
      <w:r>
        <w:rPr>
          <w:rFonts w:hint="eastAsia"/>
          <w:b/>
        </w:rPr>
        <w:t>Zhang L</w:t>
      </w:r>
      <w:r>
        <w:rPr>
          <w:rFonts w:hint="eastAsia"/>
        </w:rPr>
        <w:t xml:space="preserve">, Yang CS, </w:t>
      </w:r>
      <w:proofErr w:type="spellStart"/>
      <w:r>
        <w:rPr>
          <w:rFonts w:hint="eastAsia"/>
        </w:rPr>
        <w:t>Varelas</w:t>
      </w:r>
      <w:proofErr w:type="spellEnd"/>
      <w:r>
        <w:rPr>
          <w:rFonts w:hint="eastAsia"/>
        </w:rPr>
        <w:t xml:space="preserve"> X, </w:t>
      </w:r>
      <w:proofErr w:type="spellStart"/>
      <w:r>
        <w:rPr>
          <w:rFonts w:hint="eastAsia"/>
        </w:rPr>
        <w:t>Monti</w:t>
      </w:r>
      <w:proofErr w:type="spellEnd"/>
      <w:r>
        <w:rPr>
          <w:rFonts w:hint="eastAsia"/>
        </w:rPr>
        <w:t xml:space="preserve"> S. Altered RNA editing in 3' UTR perturbs microRNA-mediated regulation of oncogenes and tumor-suppressors. </w:t>
      </w:r>
      <w:proofErr w:type="spellStart"/>
      <w:r>
        <w:rPr>
          <w:rFonts w:hint="eastAsia"/>
          <w:i/>
        </w:rPr>
        <w:t>Sci</w:t>
      </w:r>
      <w:proofErr w:type="spellEnd"/>
      <w:r>
        <w:rPr>
          <w:rFonts w:hint="eastAsia"/>
          <w:i/>
        </w:rPr>
        <w:t xml:space="preserve"> Rep</w:t>
      </w:r>
      <w:r>
        <w:rPr>
          <w:rFonts w:hint="eastAsia"/>
        </w:rPr>
        <w:t xml:space="preserve"> 2016; </w:t>
      </w:r>
      <w:r>
        <w:rPr>
          <w:rFonts w:hint="eastAsia"/>
          <w:b/>
        </w:rPr>
        <w:t>6</w:t>
      </w:r>
      <w:r>
        <w:rPr>
          <w:rFonts w:hint="eastAsia"/>
        </w:rPr>
        <w:t>: 23226 [PMID: 26980570 DOI: 10.1038/srep23226]</w:t>
      </w:r>
    </w:p>
    <w:p w14:paraId="1698847C" w14:textId="77777777" w:rsidR="00381BBC" w:rsidRDefault="00381BBC" w:rsidP="00381BBC">
      <w:r>
        <w:rPr>
          <w:rFonts w:hint="eastAsia"/>
        </w:rPr>
        <w:t xml:space="preserve">26 </w:t>
      </w:r>
      <w:r>
        <w:rPr>
          <w:rFonts w:hint="eastAsia"/>
          <w:b/>
        </w:rPr>
        <w:t>Li CG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Pu</w:t>
      </w:r>
      <w:proofErr w:type="spellEnd"/>
      <w:r>
        <w:rPr>
          <w:rFonts w:hint="eastAsia"/>
        </w:rPr>
        <w:t xml:space="preserve"> MF, Li CZ, </w:t>
      </w:r>
      <w:proofErr w:type="spellStart"/>
      <w:r>
        <w:rPr>
          <w:rFonts w:hint="eastAsia"/>
        </w:rPr>
        <w:t>Gao</w:t>
      </w:r>
      <w:proofErr w:type="spellEnd"/>
      <w:r>
        <w:rPr>
          <w:rFonts w:hint="eastAsia"/>
        </w:rPr>
        <w:t xml:space="preserve"> M, Liu MX, Yu CZ, Yan H, </w:t>
      </w:r>
      <w:proofErr w:type="spellStart"/>
      <w:r>
        <w:rPr>
          <w:rFonts w:hint="eastAsia"/>
        </w:rPr>
        <w:t>Peng</w:t>
      </w:r>
      <w:proofErr w:type="spellEnd"/>
      <w:r>
        <w:rPr>
          <w:rFonts w:hint="eastAsia"/>
        </w:rPr>
        <w:t xml:space="preserve"> C, Zhao Y, Li Y, Ma ZL, Qi XM, Wang YZ, Miao LL, </w:t>
      </w:r>
      <w:proofErr w:type="spellStart"/>
      <w:r>
        <w:rPr>
          <w:rFonts w:hint="eastAsia"/>
        </w:rPr>
        <w:t>Ren</w:t>
      </w:r>
      <w:proofErr w:type="spellEnd"/>
      <w:r>
        <w:rPr>
          <w:rFonts w:hint="eastAsia"/>
        </w:rPr>
        <w:t xml:space="preserve"> J. MicroRNA-1304 suppresses human non-small cell lung cancer cell growth in vitro by targeting </w:t>
      </w:r>
      <w:proofErr w:type="spellStart"/>
      <w:r>
        <w:rPr>
          <w:rFonts w:hint="eastAsia"/>
        </w:rPr>
        <w:t>heme</w:t>
      </w:r>
      <w:proofErr w:type="spellEnd"/>
      <w:r>
        <w:rPr>
          <w:rFonts w:hint="eastAsia"/>
        </w:rPr>
        <w:t xml:space="preserve"> oxygenase-1. </w:t>
      </w:r>
      <w:proofErr w:type="spellStart"/>
      <w:r>
        <w:rPr>
          <w:rFonts w:hint="eastAsia"/>
          <w:i/>
        </w:rPr>
        <w:t>Acta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Pharmacol</w:t>
      </w:r>
      <w:proofErr w:type="spellEnd"/>
      <w:r>
        <w:rPr>
          <w:rFonts w:hint="eastAsia"/>
          <w:i/>
        </w:rPr>
        <w:t xml:space="preserve"> Sin</w:t>
      </w:r>
      <w:r>
        <w:rPr>
          <w:rFonts w:hint="eastAsia"/>
        </w:rPr>
        <w:t xml:space="preserve"> 2017; </w:t>
      </w:r>
      <w:r>
        <w:rPr>
          <w:rFonts w:hint="eastAsia"/>
          <w:b/>
        </w:rPr>
        <w:t>38</w:t>
      </w:r>
      <w:r>
        <w:rPr>
          <w:rFonts w:hint="eastAsia"/>
        </w:rPr>
        <w:t>: 110-119 [PMID: 27641735 DOI: 10.1038/aps.2016.92]</w:t>
      </w:r>
    </w:p>
    <w:p w14:paraId="741F3BC5" w14:textId="77777777" w:rsidR="00381BBC" w:rsidRDefault="00381BBC" w:rsidP="00381BBC">
      <w:r>
        <w:rPr>
          <w:rFonts w:hint="eastAsia"/>
        </w:rPr>
        <w:t xml:space="preserve">27 </w:t>
      </w:r>
      <w:proofErr w:type="spellStart"/>
      <w:r>
        <w:rPr>
          <w:rFonts w:hint="eastAsia"/>
          <w:b/>
        </w:rPr>
        <w:t>Pasquali</w:t>
      </w:r>
      <w:proofErr w:type="spellEnd"/>
      <w:r>
        <w:rPr>
          <w:rFonts w:hint="eastAsia"/>
          <w:b/>
        </w:rPr>
        <w:t xml:space="preserve"> S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Yim</w:t>
      </w:r>
      <w:proofErr w:type="spellEnd"/>
      <w:r>
        <w:rPr>
          <w:rFonts w:hint="eastAsia"/>
        </w:rPr>
        <w:t xml:space="preserve"> G, </w:t>
      </w:r>
      <w:proofErr w:type="spellStart"/>
      <w:r>
        <w:rPr>
          <w:rFonts w:hint="eastAsia"/>
        </w:rPr>
        <w:t>Vohra</w:t>
      </w:r>
      <w:proofErr w:type="spellEnd"/>
      <w:r>
        <w:rPr>
          <w:rFonts w:hint="eastAsia"/>
        </w:rPr>
        <w:t xml:space="preserve"> RS, </w:t>
      </w:r>
      <w:proofErr w:type="spellStart"/>
      <w:r>
        <w:rPr>
          <w:rFonts w:hint="eastAsia"/>
        </w:rPr>
        <w:t>Mocellin</w:t>
      </w:r>
      <w:proofErr w:type="spellEnd"/>
      <w:r>
        <w:rPr>
          <w:rFonts w:hint="eastAsia"/>
        </w:rPr>
        <w:t xml:space="preserve"> S, </w:t>
      </w:r>
      <w:proofErr w:type="spellStart"/>
      <w:r>
        <w:rPr>
          <w:rFonts w:hint="eastAsia"/>
        </w:rPr>
        <w:t>Nyanhongo</w:t>
      </w:r>
      <w:proofErr w:type="spellEnd"/>
      <w:r>
        <w:rPr>
          <w:rFonts w:hint="eastAsia"/>
        </w:rPr>
        <w:t xml:space="preserve"> D, Marriott P, </w:t>
      </w:r>
      <w:proofErr w:type="spellStart"/>
      <w:r>
        <w:rPr>
          <w:rFonts w:hint="eastAsia"/>
        </w:rPr>
        <w:t>Geh</w:t>
      </w:r>
      <w:proofErr w:type="spellEnd"/>
      <w:r>
        <w:rPr>
          <w:rFonts w:hint="eastAsia"/>
        </w:rPr>
        <w:t xml:space="preserve"> JI, Griffiths EA. Survival After </w:t>
      </w:r>
      <w:proofErr w:type="spellStart"/>
      <w:r>
        <w:rPr>
          <w:rFonts w:hint="eastAsia"/>
        </w:rPr>
        <w:t>Neoadjuvant</w:t>
      </w:r>
      <w:proofErr w:type="spellEnd"/>
      <w:r>
        <w:rPr>
          <w:rFonts w:hint="eastAsia"/>
        </w:rPr>
        <w:t xml:space="preserve"> and Adjuvant Treatments Compared to Surgery Alone for </w:t>
      </w:r>
      <w:proofErr w:type="spellStart"/>
      <w:r>
        <w:rPr>
          <w:rFonts w:hint="eastAsia"/>
        </w:rPr>
        <w:t>Resectable</w:t>
      </w:r>
      <w:proofErr w:type="spellEnd"/>
      <w:r>
        <w:rPr>
          <w:rFonts w:hint="eastAsia"/>
        </w:rPr>
        <w:t xml:space="preserve"> Esophageal Carcinoma: A Network Meta-analysis. </w:t>
      </w:r>
      <w:r>
        <w:rPr>
          <w:rFonts w:hint="eastAsia"/>
          <w:i/>
        </w:rPr>
        <w:t xml:space="preserve">Ann </w:t>
      </w:r>
      <w:proofErr w:type="spellStart"/>
      <w:r>
        <w:rPr>
          <w:rFonts w:hint="eastAsia"/>
          <w:i/>
        </w:rPr>
        <w:t>Surg</w:t>
      </w:r>
      <w:proofErr w:type="spellEnd"/>
      <w:r>
        <w:rPr>
          <w:rFonts w:hint="eastAsia"/>
        </w:rPr>
        <w:t xml:space="preserve"> 2017; </w:t>
      </w:r>
      <w:r>
        <w:rPr>
          <w:rFonts w:hint="eastAsia"/>
          <w:b/>
        </w:rPr>
        <w:t>265</w:t>
      </w:r>
      <w:r>
        <w:rPr>
          <w:rFonts w:hint="eastAsia"/>
        </w:rPr>
        <w:t>: 481-491 [PMID: 27429017 DOI: 10.1097/SLA.0000000000001905]</w:t>
      </w:r>
    </w:p>
    <w:p w14:paraId="6D44F3A4" w14:textId="77777777" w:rsidR="00381BBC" w:rsidRDefault="00381BBC" w:rsidP="00381BBC">
      <w:r>
        <w:rPr>
          <w:rFonts w:hint="eastAsia"/>
        </w:rPr>
        <w:t xml:space="preserve">28 </w:t>
      </w:r>
      <w:proofErr w:type="spellStart"/>
      <w:r>
        <w:rPr>
          <w:rFonts w:hint="eastAsia"/>
          <w:b/>
        </w:rPr>
        <w:t>Hiyoshi</w:t>
      </w:r>
      <w:proofErr w:type="spellEnd"/>
      <w:r>
        <w:rPr>
          <w:rFonts w:hint="eastAsia"/>
          <w:b/>
        </w:rPr>
        <w:t xml:space="preserve"> Y</w:t>
      </w:r>
      <w:r>
        <w:rPr>
          <w:rFonts w:hint="eastAsia"/>
        </w:rPr>
        <w:t xml:space="preserve">, Morita M, Kawano H, Otsu H, Ando K, Ito S, Miyamoto Y, Sakamoto Y, Saeki H, Oki E, Ikeda T, Baba H, </w:t>
      </w:r>
      <w:proofErr w:type="spellStart"/>
      <w:r>
        <w:rPr>
          <w:rFonts w:hint="eastAsia"/>
        </w:rPr>
        <w:t>Maehara</w:t>
      </w:r>
      <w:proofErr w:type="spellEnd"/>
      <w:r>
        <w:rPr>
          <w:rFonts w:hint="eastAsia"/>
        </w:rPr>
        <w:t xml:space="preserve"> Y. Clinical significance of surgical resection for the recurrence of esophageal cancer after radical </w:t>
      </w:r>
      <w:proofErr w:type="spellStart"/>
      <w:r>
        <w:rPr>
          <w:rFonts w:hint="eastAsia"/>
        </w:rPr>
        <w:t>esophagectomy</w:t>
      </w:r>
      <w:proofErr w:type="spellEnd"/>
      <w:r>
        <w:rPr>
          <w:rFonts w:hint="eastAsia"/>
        </w:rPr>
        <w:t xml:space="preserve">. </w:t>
      </w:r>
      <w:r>
        <w:rPr>
          <w:rFonts w:hint="eastAsia"/>
          <w:i/>
        </w:rPr>
        <w:t xml:space="preserve">Ann </w:t>
      </w:r>
      <w:proofErr w:type="spellStart"/>
      <w:r>
        <w:rPr>
          <w:rFonts w:hint="eastAsia"/>
          <w:i/>
        </w:rPr>
        <w:t>Surg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Oncol</w:t>
      </w:r>
      <w:proofErr w:type="spellEnd"/>
      <w:r>
        <w:rPr>
          <w:rFonts w:hint="eastAsia"/>
        </w:rPr>
        <w:t xml:space="preserve"> 2015; </w:t>
      </w:r>
      <w:r>
        <w:rPr>
          <w:rFonts w:hint="eastAsia"/>
          <w:b/>
        </w:rPr>
        <w:t>22</w:t>
      </w:r>
      <w:r>
        <w:rPr>
          <w:rFonts w:hint="eastAsia"/>
        </w:rPr>
        <w:t>: 240-246 [PMID: 25124469 DOI: 10.1245/s10434-014-3970-5]</w:t>
      </w:r>
    </w:p>
    <w:p w14:paraId="0943DD2F" w14:textId="77777777" w:rsidR="00381BBC" w:rsidRDefault="00381BBC" w:rsidP="00381BBC">
      <w:r>
        <w:rPr>
          <w:rFonts w:hint="eastAsia"/>
        </w:rPr>
        <w:t xml:space="preserve">29 </w:t>
      </w:r>
      <w:proofErr w:type="spellStart"/>
      <w:r>
        <w:rPr>
          <w:rFonts w:hint="eastAsia"/>
          <w:b/>
        </w:rPr>
        <w:t>Goense</w:t>
      </w:r>
      <w:proofErr w:type="spellEnd"/>
      <w:r>
        <w:rPr>
          <w:rFonts w:hint="eastAsia"/>
          <w:b/>
        </w:rPr>
        <w:t xml:space="preserve"> L</w:t>
      </w:r>
      <w:r>
        <w:rPr>
          <w:rFonts w:hint="eastAsia"/>
        </w:rPr>
        <w:t xml:space="preserve">, van </w:t>
      </w:r>
      <w:proofErr w:type="spellStart"/>
      <w:r>
        <w:rPr>
          <w:rFonts w:hint="eastAsia"/>
        </w:rPr>
        <w:t>Rossum</w:t>
      </w:r>
      <w:proofErr w:type="spellEnd"/>
      <w:r>
        <w:rPr>
          <w:rFonts w:hint="eastAsia"/>
        </w:rPr>
        <w:t xml:space="preserve"> PS, </w:t>
      </w:r>
      <w:proofErr w:type="spellStart"/>
      <w:r>
        <w:rPr>
          <w:rFonts w:hint="eastAsia"/>
        </w:rPr>
        <w:t>Reitsma</w:t>
      </w:r>
      <w:proofErr w:type="spellEnd"/>
      <w:r>
        <w:rPr>
          <w:rFonts w:hint="eastAsia"/>
        </w:rPr>
        <w:t xml:space="preserve"> JB, Lam MG, Meijer GJ, van </w:t>
      </w:r>
      <w:proofErr w:type="spellStart"/>
      <w:r>
        <w:rPr>
          <w:rFonts w:hint="eastAsia"/>
        </w:rPr>
        <w:t>Vulpen</w:t>
      </w:r>
      <w:proofErr w:type="spellEnd"/>
      <w:r>
        <w:rPr>
          <w:rFonts w:hint="eastAsia"/>
        </w:rPr>
        <w:t xml:space="preserve"> M, </w:t>
      </w:r>
      <w:proofErr w:type="spellStart"/>
      <w:r>
        <w:rPr>
          <w:rFonts w:hint="eastAsia"/>
        </w:rPr>
        <w:t>Ruurda</w:t>
      </w:r>
      <w:proofErr w:type="spellEnd"/>
      <w:r>
        <w:rPr>
          <w:rFonts w:hint="eastAsia"/>
        </w:rPr>
        <w:t xml:space="preserve"> JP, van </w:t>
      </w:r>
      <w:proofErr w:type="spellStart"/>
      <w:r>
        <w:rPr>
          <w:rFonts w:hint="eastAsia"/>
        </w:rPr>
        <w:t>Hillegersberg</w:t>
      </w:r>
      <w:proofErr w:type="spellEnd"/>
      <w:r>
        <w:rPr>
          <w:rFonts w:hint="eastAsia"/>
        </w:rPr>
        <w:t xml:space="preserve"> R. Diagnostic Performance of </w:t>
      </w:r>
      <w:r>
        <w:rPr>
          <w:rFonts w:hint="eastAsia"/>
        </w:rPr>
        <w:t>¹</w:t>
      </w:r>
      <w:r>
        <w:rPr>
          <w:rFonts w:ascii="微软雅黑" w:eastAsia="微软雅黑" w:hAnsi="微软雅黑" w:cs="微软雅黑" w:hint="eastAsia"/>
        </w:rPr>
        <w:t>⁸</w:t>
      </w:r>
      <w:r>
        <w:rPr>
          <w:rFonts w:hint="eastAsia"/>
        </w:rPr>
        <w:t xml:space="preserve">F-FDG PET and </w:t>
      </w:r>
      <w:r>
        <w:rPr>
          <w:rFonts w:hint="eastAsia"/>
        </w:rPr>
        <w:lastRenderedPageBreak/>
        <w:t xml:space="preserve">PET/CT for the Detection of Recurrent Esophageal Cancer After Treatment with Curative Intent: A Systematic Review and Meta-Analysis. </w:t>
      </w:r>
      <w:r>
        <w:rPr>
          <w:rFonts w:hint="eastAsia"/>
          <w:i/>
        </w:rPr>
        <w:t xml:space="preserve">J </w:t>
      </w:r>
      <w:proofErr w:type="spellStart"/>
      <w:r>
        <w:rPr>
          <w:rFonts w:hint="eastAsia"/>
          <w:i/>
        </w:rPr>
        <w:t>Nucl</w:t>
      </w:r>
      <w:proofErr w:type="spellEnd"/>
      <w:r>
        <w:rPr>
          <w:rFonts w:hint="eastAsia"/>
          <w:i/>
        </w:rPr>
        <w:t xml:space="preserve"> Med</w:t>
      </w:r>
      <w:r>
        <w:rPr>
          <w:rFonts w:hint="eastAsia"/>
        </w:rPr>
        <w:t xml:space="preserve"> 2015; </w:t>
      </w:r>
      <w:r>
        <w:rPr>
          <w:rFonts w:hint="eastAsia"/>
          <w:b/>
        </w:rPr>
        <w:t>56</w:t>
      </w:r>
      <w:r>
        <w:rPr>
          <w:rFonts w:hint="eastAsia"/>
        </w:rPr>
        <w:t>: 995-1002 [PMID: 25952733 DOI: 10.2967/jnumed.115.155580]</w:t>
      </w:r>
    </w:p>
    <w:p w14:paraId="0B88F845" w14:textId="77777777" w:rsidR="00381BBC" w:rsidRDefault="00381BBC" w:rsidP="00381BBC">
      <w:r>
        <w:rPr>
          <w:rFonts w:hint="eastAsia"/>
        </w:rPr>
        <w:t xml:space="preserve">30 </w:t>
      </w:r>
      <w:r>
        <w:rPr>
          <w:rFonts w:hint="eastAsia"/>
          <w:b/>
        </w:rPr>
        <w:t>Liu Q</w:t>
      </w:r>
      <w:r>
        <w:rPr>
          <w:rFonts w:hint="eastAsia"/>
        </w:rPr>
        <w:t xml:space="preserve">, </w:t>
      </w:r>
      <w:proofErr w:type="spellStart"/>
      <w:proofErr w:type="gramStart"/>
      <w:r>
        <w:rPr>
          <w:rFonts w:hint="eastAsia"/>
        </w:rPr>
        <w:t>Cai</w:t>
      </w:r>
      <w:proofErr w:type="spellEnd"/>
      <w:proofErr w:type="gramEnd"/>
      <w:r>
        <w:rPr>
          <w:rFonts w:hint="eastAsia"/>
        </w:rPr>
        <w:t xml:space="preserve"> XW, Wu B, Zhu ZF, Chen HQ, Fu XL. Patterns of failure after radical surgery among patients with thoracic esophageal squamous cell carcinoma: implications for the clinical target volume design of postoperative radiotherapy. </w:t>
      </w:r>
      <w:proofErr w:type="spellStart"/>
      <w:r>
        <w:rPr>
          <w:rFonts w:hint="eastAsia"/>
          <w:i/>
        </w:rPr>
        <w:t>PLoS</w:t>
      </w:r>
      <w:proofErr w:type="spellEnd"/>
      <w:r>
        <w:rPr>
          <w:rFonts w:hint="eastAsia"/>
          <w:i/>
        </w:rPr>
        <w:t xml:space="preserve"> One</w:t>
      </w:r>
      <w:r>
        <w:rPr>
          <w:rFonts w:hint="eastAsia"/>
        </w:rPr>
        <w:t xml:space="preserve"> 2014; </w:t>
      </w:r>
      <w:r>
        <w:rPr>
          <w:rFonts w:hint="eastAsia"/>
          <w:b/>
        </w:rPr>
        <w:t>9</w:t>
      </w:r>
      <w:r>
        <w:rPr>
          <w:rFonts w:hint="eastAsia"/>
        </w:rPr>
        <w:t>: e97225 [PMID: 24820177 DOI: 10.1371/journal.pone.0097225]</w:t>
      </w:r>
    </w:p>
    <w:p w14:paraId="20A91847" w14:textId="77777777" w:rsidR="00381BBC" w:rsidRDefault="00381BBC" w:rsidP="00381BBC">
      <w:r>
        <w:rPr>
          <w:rFonts w:hint="eastAsia"/>
        </w:rPr>
        <w:t xml:space="preserve">31 </w:t>
      </w:r>
      <w:proofErr w:type="spellStart"/>
      <w:r>
        <w:rPr>
          <w:rFonts w:hint="eastAsia"/>
          <w:b/>
        </w:rPr>
        <w:t>Xu</w:t>
      </w:r>
      <w:proofErr w:type="spellEnd"/>
      <w:r>
        <w:rPr>
          <w:rFonts w:hint="eastAsia"/>
          <w:b/>
        </w:rPr>
        <w:t xml:space="preserve"> Y</w:t>
      </w:r>
      <w:r>
        <w:rPr>
          <w:rFonts w:hint="eastAsia"/>
        </w:rPr>
        <w:t xml:space="preserve">, Chen Q, Yu X, Zhou X, </w:t>
      </w:r>
      <w:proofErr w:type="spellStart"/>
      <w:r>
        <w:rPr>
          <w:rFonts w:hint="eastAsia"/>
        </w:rPr>
        <w:t>Zheng</w:t>
      </w:r>
      <w:proofErr w:type="spellEnd"/>
      <w:r>
        <w:rPr>
          <w:rFonts w:hint="eastAsia"/>
        </w:rPr>
        <w:t xml:space="preserve"> X, Mao W. Factors influencing the risk of recurrence in patients with esophageal carcinoma treated with surgery: A single institution analysis consisting of 1002 cases. </w:t>
      </w:r>
      <w:proofErr w:type="spellStart"/>
      <w:r>
        <w:rPr>
          <w:rFonts w:hint="eastAsia"/>
          <w:i/>
        </w:rPr>
        <w:t>Oncol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Lett</w:t>
      </w:r>
      <w:proofErr w:type="spellEnd"/>
      <w:r>
        <w:rPr>
          <w:rFonts w:hint="eastAsia"/>
        </w:rPr>
        <w:t xml:space="preserve"> 2013; </w:t>
      </w:r>
      <w:r>
        <w:rPr>
          <w:rFonts w:hint="eastAsia"/>
          <w:b/>
        </w:rPr>
        <w:t>5</w:t>
      </w:r>
      <w:r>
        <w:rPr>
          <w:rFonts w:hint="eastAsia"/>
        </w:rPr>
        <w:t>: 185-190 [PMID: 23255917 DOI: 10.3892/ol.2012.1007]</w:t>
      </w:r>
    </w:p>
    <w:p w14:paraId="121531E4" w14:textId="77777777" w:rsidR="00381BBC" w:rsidRDefault="00381BBC" w:rsidP="00381BBC">
      <w:r>
        <w:rPr>
          <w:rFonts w:hint="eastAsia"/>
        </w:rPr>
        <w:t xml:space="preserve">32 </w:t>
      </w:r>
      <w:proofErr w:type="spellStart"/>
      <w:r>
        <w:rPr>
          <w:rFonts w:hint="eastAsia"/>
          <w:b/>
        </w:rPr>
        <w:t>Ninomiya</w:t>
      </w:r>
      <w:proofErr w:type="spellEnd"/>
      <w:r>
        <w:rPr>
          <w:rFonts w:hint="eastAsia"/>
          <w:b/>
        </w:rPr>
        <w:t xml:space="preserve"> I</w:t>
      </w:r>
      <w:r>
        <w:rPr>
          <w:rFonts w:hint="eastAsia"/>
        </w:rPr>
        <w:t xml:space="preserve">, Okamoto K, </w:t>
      </w:r>
      <w:proofErr w:type="spellStart"/>
      <w:r>
        <w:rPr>
          <w:rFonts w:hint="eastAsia"/>
        </w:rPr>
        <w:t>Tsukada</w:t>
      </w:r>
      <w:proofErr w:type="spellEnd"/>
      <w:r>
        <w:rPr>
          <w:rFonts w:hint="eastAsia"/>
        </w:rPr>
        <w:t xml:space="preserve"> T, Kinoshita J, </w:t>
      </w:r>
      <w:proofErr w:type="spellStart"/>
      <w:r>
        <w:rPr>
          <w:rFonts w:hint="eastAsia"/>
        </w:rPr>
        <w:t>Oyama</w:t>
      </w:r>
      <w:proofErr w:type="spellEnd"/>
      <w:r>
        <w:rPr>
          <w:rFonts w:hint="eastAsia"/>
        </w:rPr>
        <w:t xml:space="preserve"> K, </w:t>
      </w:r>
      <w:proofErr w:type="spellStart"/>
      <w:r>
        <w:rPr>
          <w:rFonts w:hint="eastAsia"/>
        </w:rPr>
        <w:t>Fushida</w:t>
      </w:r>
      <w:proofErr w:type="spellEnd"/>
      <w:r>
        <w:rPr>
          <w:rFonts w:hint="eastAsia"/>
        </w:rPr>
        <w:t xml:space="preserve"> S, </w:t>
      </w:r>
      <w:proofErr w:type="spellStart"/>
      <w:r>
        <w:rPr>
          <w:rFonts w:hint="eastAsia"/>
        </w:rPr>
        <w:t>Osugi</w:t>
      </w:r>
      <w:proofErr w:type="spellEnd"/>
      <w:r>
        <w:rPr>
          <w:rFonts w:hint="eastAsia"/>
        </w:rPr>
        <w:t xml:space="preserve"> H, </w:t>
      </w:r>
      <w:proofErr w:type="spellStart"/>
      <w:r>
        <w:rPr>
          <w:rFonts w:hint="eastAsia"/>
        </w:rPr>
        <w:t>Ohta</w:t>
      </w:r>
      <w:proofErr w:type="spellEnd"/>
      <w:r>
        <w:rPr>
          <w:rFonts w:hint="eastAsia"/>
        </w:rPr>
        <w:t xml:space="preserve"> T. Recurrence patterns and risk factors following </w:t>
      </w:r>
      <w:proofErr w:type="spellStart"/>
      <w:r>
        <w:rPr>
          <w:rFonts w:hint="eastAsia"/>
        </w:rPr>
        <w:t>thoracoscopic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esophagectomy</w:t>
      </w:r>
      <w:proofErr w:type="spellEnd"/>
      <w:r>
        <w:rPr>
          <w:rFonts w:hint="eastAsia"/>
        </w:rPr>
        <w:t xml:space="preserve"> with radical lymph node dissection for thoracic esophageal squamous cell carcinoma. </w:t>
      </w:r>
      <w:proofErr w:type="spellStart"/>
      <w:r>
        <w:rPr>
          <w:rFonts w:hint="eastAsia"/>
          <w:i/>
        </w:rPr>
        <w:t>Mol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Clin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Oncol</w:t>
      </w:r>
      <w:proofErr w:type="spellEnd"/>
      <w:r>
        <w:rPr>
          <w:rFonts w:hint="eastAsia"/>
        </w:rPr>
        <w:t xml:space="preserve"> 2016; </w:t>
      </w:r>
      <w:r>
        <w:rPr>
          <w:rFonts w:hint="eastAsia"/>
          <w:b/>
        </w:rPr>
        <w:t>4</w:t>
      </w:r>
      <w:r>
        <w:rPr>
          <w:rFonts w:hint="eastAsia"/>
        </w:rPr>
        <w:t>: 278-284 [PMID: 26893875 DOI: 10.3892/mco.2015.688]</w:t>
      </w:r>
    </w:p>
    <w:p w14:paraId="52279FFD" w14:textId="77777777" w:rsidR="00381BBC" w:rsidRDefault="00381BBC" w:rsidP="00381BBC">
      <w:proofErr w:type="gramStart"/>
      <w:r>
        <w:rPr>
          <w:rFonts w:hint="eastAsia"/>
        </w:rPr>
        <w:t xml:space="preserve">33 </w:t>
      </w:r>
      <w:proofErr w:type="spellStart"/>
      <w:r>
        <w:rPr>
          <w:rFonts w:hint="eastAsia"/>
          <w:b/>
        </w:rPr>
        <w:t>Kofoed</w:t>
      </w:r>
      <w:proofErr w:type="spellEnd"/>
      <w:r>
        <w:rPr>
          <w:rFonts w:hint="eastAsia"/>
          <w:b/>
        </w:rPr>
        <w:t xml:space="preserve"> SC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Calatayud</w:t>
      </w:r>
      <w:proofErr w:type="spellEnd"/>
      <w:r>
        <w:rPr>
          <w:rFonts w:hint="eastAsia"/>
        </w:rPr>
        <w:t xml:space="preserve"> D, Jensen LS, </w:t>
      </w:r>
      <w:proofErr w:type="spellStart"/>
      <w:r>
        <w:rPr>
          <w:rFonts w:hint="eastAsia"/>
        </w:rPr>
        <w:t>Helgstrand</w:t>
      </w:r>
      <w:proofErr w:type="spellEnd"/>
      <w:r>
        <w:rPr>
          <w:rFonts w:hint="eastAsia"/>
        </w:rPr>
        <w:t xml:space="preserve"> F, </w:t>
      </w:r>
      <w:proofErr w:type="spellStart"/>
      <w:r>
        <w:rPr>
          <w:rFonts w:hint="eastAsia"/>
        </w:rPr>
        <w:t>Achiam</w:t>
      </w:r>
      <w:proofErr w:type="spellEnd"/>
      <w:r>
        <w:rPr>
          <w:rFonts w:hint="eastAsia"/>
        </w:rPr>
        <w:t xml:space="preserve"> MP, De </w:t>
      </w:r>
      <w:proofErr w:type="spellStart"/>
      <w:r>
        <w:rPr>
          <w:rFonts w:hint="eastAsia"/>
        </w:rPr>
        <w:t>Heer</w:t>
      </w:r>
      <w:proofErr w:type="spellEnd"/>
      <w:r>
        <w:rPr>
          <w:rFonts w:hint="eastAsia"/>
        </w:rPr>
        <w:t xml:space="preserve"> P, </w:t>
      </w:r>
      <w:proofErr w:type="spellStart"/>
      <w:r>
        <w:rPr>
          <w:rFonts w:hint="eastAsia"/>
        </w:rPr>
        <w:t>Svendsen</w:t>
      </w:r>
      <w:proofErr w:type="spellEnd"/>
      <w:r>
        <w:rPr>
          <w:rFonts w:hint="eastAsia"/>
        </w:rPr>
        <w:t xml:space="preserve"> LB; Danish Esophageal, </w:t>
      </w:r>
      <w:proofErr w:type="spellStart"/>
      <w:r>
        <w:rPr>
          <w:rFonts w:hint="eastAsia"/>
        </w:rPr>
        <w:t>Cardia</w:t>
      </w:r>
      <w:proofErr w:type="spellEnd"/>
      <w:r>
        <w:rPr>
          <w:rFonts w:hint="eastAsia"/>
        </w:rPr>
        <w:t xml:space="preserve"> and Stomach Cancer Group.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Intrathoracic</w:t>
      </w:r>
      <w:proofErr w:type="spellEnd"/>
      <w:r>
        <w:rPr>
          <w:rFonts w:hint="eastAsia"/>
        </w:rPr>
        <w:t xml:space="preserve"> anastomotic leakage after </w:t>
      </w:r>
      <w:proofErr w:type="spellStart"/>
      <w:r>
        <w:rPr>
          <w:rFonts w:hint="eastAsia"/>
        </w:rPr>
        <w:t>gastroesophageal</w:t>
      </w:r>
      <w:proofErr w:type="spellEnd"/>
      <w:r>
        <w:rPr>
          <w:rFonts w:hint="eastAsia"/>
        </w:rPr>
        <w:t xml:space="preserve"> cancer resection is associated with increased risk of recurrence. </w:t>
      </w:r>
      <w:r>
        <w:rPr>
          <w:rFonts w:hint="eastAsia"/>
          <w:i/>
        </w:rPr>
        <w:t xml:space="preserve">J </w:t>
      </w:r>
      <w:proofErr w:type="spellStart"/>
      <w:r>
        <w:rPr>
          <w:rFonts w:hint="eastAsia"/>
          <w:i/>
        </w:rPr>
        <w:t>Thorac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Cardiovasc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Surg</w:t>
      </w:r>
      <w:proofErr w:type="spellEnd"/>
      <w:r>
        <w:rPr>
          <w:rFonts w:hint="eastAsia"/>
        </w:rPr>
        <w:t xml:space="preserve"> 2015; </w:t>
      </w:r>
      <w:r>
        <w:rPr>
          <w:rFonts w:hint="eastAsia"/>
          <w:b/>
        </w:rPr>
        <w:t>150</w:t>
      </w:r>
      <w:r>
        <w:rPr>
          <w:rFonts w:hint="eastAsia"/>
        </w:rPr>
        <w:t>: 42-48 [PMID: 25986493 DOI: 10.1016/j.jtcvs.2015.04.030]</w:t>
      </w:r>
    </w:p>
    <w:p w14:paraId="55319489" w14:textId="77777777" w:rsidR="00381BBC" w:rsidRDefault="00381BBC" w:rsidP="00381BBC">
      <w:r>
        <w:rPr>
          <w:rFonts w:hint="eastAsia"/>
        </w:rPr>
        <w:t xml:space="preserve">34 </w:t>
      </w:r>
      <w:r>
        <w:rPr>
          <w:rFonts w:hint="eastAsia"/>
          <w:b/>
        </w:rPr>
        <w:t>Larue RTHM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Klaassen</w:t>
      </w:r>
      <w:proofErr w:type="spellEnd"/>
      <w:r>
        <w:rPr>
          <w:rFonts w:hint="eastAsia"/>
        </w:rPr>
        <w:t xml:space="preserve"> R, </w:t>
      </w:r>
      <w:proofErr w:type="spellStart"/>
      <w:r>
        <w:rPr>
          <w:rFonts w:hint="eastAsia"/>
        </w:rPr>
        <w:t>Jochems</w:t>
      </w:r>
      <w:proofErr w:type="spellEnd"/>
      <w:r>
        <w:rPr>
          <w:rFonts w:hint="eastAsia"/>
        </w:rPr>
        <w:t xml:space="preserve"> A, </w:t>
      </w:r>
      <w:proofErr w:type="spellStart"/>
      <w:r>
        <w:rPr>
          <w:rFonts w:hint="eastAsia"/>
        </w:rPr>
        <w:t>Leijenaar</w:t>
      </w:r>
      <w:proofErr w:type="spellEnd"/>
      <w:r>
        <w:rPr>
          <w:rFonts w:hint="eastAsia"/>
        </w:rPr>
        <w:t xml:space="preserve"> RTH, Hulshof MCCM, van Berge </w:t>
      </w:r>
      <w:proofErr w:type="spellStart"/>
      <w:r>
        <w:rPr>
          <w:rFonts w:hint="eastAsia"/>
        </w:rPr>
        <w:t>Henegouwen</w:t>
      </w:r>
      <w:proofErr w:type="spellEnd"/>
      <w:r>
        <w:rPr>
          <w:rFonts w:hint="eastAsia"/>
        </w:rPr>
        <w:t xml:space="preserve"> MI, </w:t>
      </w:r>
      <w:proofErr w:type="spellStart"/>
      <w:r>
        <w:rPr>
          <w:rFonts w:hint="eastAsia"/>
        </w:rPr>
        <w:t>Schreurs</w:t>
      </w:r>
      <w:proofErr w:type="spellEnd"/>
      <w:r>
        <w:rPr>
          <w:rFonts w:hint="eastAsia"/>
        </w:rPr>
        <w:t xml:space="preserve"> WMJ, </w:t>
      </w:r>
      <w:proofErr w:type="spellStart"/>
      <w:r>
        <w:rPr>
          <w:rFonts w:hint="eastAsia"/>
        </w:rPr>
        <w:t>Sosef</w:t>
      </w:r>
      <w:proofErr w:type="spellEnd"/>
      <w:r>
        <w:rPr>
          <w:rFonts w:hint="eastAsia"/>
        </w:rPr>
        <w:t xml:space="preserve"> MN, van </w:t>
      </w:r>
      <w:proofErr w:type="spellStart"/>
      <w:r>
        <w:rPr>
          <w:rFonts w:hint="eastAsia"/>
        </w:rPr>
        <w:t>Elmpt</w:t>
      </w:r>
      <w:proofErr w:type="spellEnd"/>
      <w:r>
        <w:rPr>
          <w:rFonts w:hint="eastAsia"/>
        </w:rPr>
        <w:t xml:space="preserve"> W, van </w:t>
      </w:r>
      <w:proofErr w:type="spellStart"/>
      <w:r>
        <w:rPr>
          <w:rFonts w:hint="eastAsia"/>
        </w:rPr>
        <w:t>Laarhoven</w:t>
      </w:r>
      <w:proofErr w:type="spellEnd"/>
      <w:r>
        <w:rPr>
          <w:rFonts w:hint="eastAsia"/>
        </w:rPr>
        <w:t xml:space="preserve"> HWM, </w:t>
      </w:r>
      <w:proofErr w:type="spellStart"/>
      <w:r>
        <w:rPr>
          <w:rFonts w:hint="eastAsia"/>
        </w:rPr>
        <w:t>Lambin</w:t>
      </w:r>
      <w:proofErr w:type="spellEnd"/>
      <w:r>
        <w:rPr>
          <w:rFonts w:hint="eastAsia"/>
        </w:rPr>
        <w:t xml:space="preserve"> P. Pre-treatment CT </w:t>
      </w:r>
      <w:proofErr w:type="spellStart"/>
      <w:r>
        <w:rPr>
          <w:rFonts w:hint="eastAsia"/>
        </w:rPr>
        <w:t>radiomics</w:t>
      </w:r>
      <w:proofErr w:type="spellEnd"/>
      <w:r>
        <w:rPr>
          <w:rFonts w:hint="eastAsia"/>
        </w:rPr>
        <w:t xml:space="preserve"> to predict 3-year overall survival following </w:t>
      </w:r>
      <w:proofErr w:type="spellStart"/>
      <w:r>
        <w:rPr>
          <w:rFonts w:hint="eastAsia"/>
        </w:rPr>
        <w:t>chemoradiotherapy</w:t>
      </w:r>
      <w:proofErr w:type="spellEnd"/>
      <w:r>
        <w:rPr>
          <w:rFonts w:hint="eastAsia"/>
        </w:rPr>
        <w:t xml:space="preserve"> of esophageal cancer. </w:t>
      </w:r>
      <w:proofErr w:type="spellStart"/>
      <w:r>
        <w:rPr>
          <w:rFonts w:hint="eastAsia"/>
          <w:i/>
        </w:rPr>
        <w:t>Acta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Oncol</w:t>
      </w:r>
      <w:proofErr w:type="spellEnd"/>
      <w:r>
        <w:rPr>
          <w:rFonts w:hint="eastAsia"/>
        </w:rPr>
        <w:t xml:space="preserve"> 2018; </w:t>
      </w:r>
      <w:r>
        <w:rPr>
          <w:rFonts w:hint="eastAsia"/>
          <w:b/>
        </w:rPr>
        <w:t>57</w:t>
      </w:r>
      <w:r>
        <w:rPr>
          <w:rFonts w:hint="eastAsia"/>
        </w:rPr>
        <w:t>: 1475-1481 [PMID: 30067421 DOI: 10.1080/0284186X.2018.1486039]</w:t>
      </w:r>
    </w:p>
    <w:p w14:paraId="6A1C2DA0" w14:textId="77777777" w:rsidR="00381BBC" w:rsidRDefault="00381BBC" w:rsidP="00381BBC">
      <w:r>
        <w:rPr>
          <w:rFonts w:hint="eastAsia"/>
        </w:rPr>
        <w:t xml:space="preserve">35 </w:t>
      </w:r>
      <w:proofErr w:type="spellStart"/>
      <w:r>
        <w:rPr>
          <w:rFonts w:hint="eastAsia"/>
          <w:b/>
        </w:rPr>
        <w:t>Yerokun</w:t>
      </w:r>
      <w:proofErr w:type="spellEnd"/>
      <w:r>
        <w:rPr>
          <w:rFonts w:hint="eastAsia"/>
          <w:b/>
        </w:rPr>
        <w:t xml:space="preserve"> BA</w:t>
      </w:r>
      <w:r>
        <w:rPr>
          <w:rFonts w:hint="eastAsia"/>
        </w:rPr>
        <w:t xml:space="preserve">, Sun Z, Yang CJ, </w:t>
      </w:r>
      <w:proofErr w:type="spellStart"/>
      <w:r>
        <w:rPr>
          <w:rFonts w:hint="eastAsia"/>
        </w:rPr>
        <w:t>Gulack</w:t>
      </w:r>
      <w:proofErr w:type="spellEnd"/>
      <w:r>
        <w:rPr>
          <w:rFonts w:hint="eastAsia"/>
        </w:rPr>
        <w:t xml:space="preserve"> BC, </w:t>
      </w:r>
      <w:proofErr w:type="spellStart"/>
      <w:r>
        <w:rPr>
          <w:rFonts w:hint="eastAsia"/>
        </w:rPr>
        <w:t>Speicher</w:t>
      </w:r>
      <w:proofErr w:type="spellEnd"/>
      <w:r>
        <w:rPr>
          <w:rFonts w:hint="eastAsia"/>
        </w:rPr>
        <w:t xml:space="preserve"> PJ, Adam MA, D'Amico TA, </w:t>
      </w:r>
      <w:proofErr w:type="spellStart"/>
      <w:r>
        <w:rPr>
          <w:rFonts w:hint="eastAsia"/>
        </w:rPr>
        <w:t>Onaitis</w:t>
      </w:r>
      <w:proofErr w:type="spellEnd"/>
      <w:r>
        <w:rPr>
          <w:rFonts w:hint="eastAsia"/>
        </w:rPr>
        <w:t xml:space="preserve"> MW, </w:t>
      </w:r>
      <w:proofErr w:type="spellStart"/>
      <w:r>
        <w:rPr>
          <w:rFonts w:hint="eastAsia"/>
        </w:rPr>
        <w:t>Harpole</w:t>
      </w:r>
      <w:proofErr w:type="spellEnd"/>
      <w:r>
        <w:rPr>
          <w:rFonts w:hint="eastAsia"/>
        </w:rPr>
        <w:t xml:space="preserve"> DH, Berry MF, </w:t>
      </w:r>
      <w:proofErr w:type="spellStart"/>
      <w:r>
        <w:rPr>
          <w:rFonts w:hint="eastAsia"/>
        </w:rPr>
        <w:t>Hartwig</w:t>
      </w:r>
      <w:proofErr w:type="spellEnd"/>
      <w:r>
        <w:rPr>
          <w:rFonts w:hint="eastAsia"/>
        </w:rPr>
        <w:t xml:space="preserve"> MG. Minimally Invasive </w:t>
      </w:r>
      <w:r>
        <w:rPr>
          <w:rFonts w:hint="eastAsia"/>
        </w:rPr>
        <w:lastRenderedPageBreak/>
        <w:t xml:space="preserve">Versus Open </w:t>
      </w:r>
      <w:proofErr w:type="spellStart"/>
      <w:r>
        <w:rPr>
          <w:rFonts w:hint="eastAsia"/>
        </w:rPr>
        <w:t>Esophagectomy</w:t>
      </w:r>
      <w:proofErr w:type="spellEnd"/>
      <w:r>
        <w:rPr>
          <w:rFonts w:hint="eastAsia"/>
        </w:rPr>
        <w:t xml:space="preserve"> for Esophageal Cancer: A Population-Based Analysis. </w:t>
      </w:r>
      <w:r>
        <w:rPr>
          <w:rFonts w:hint="eastAsia"/>
          <w:i/>
        </w:rPr>
        <w:t xml:space="preserve">Ann </w:t>
      </w:r>
      <w:proofErr w:type="spellStart"/>
      <w:r>
        <w:rPr>
          <w:rFonts w:hint="eastAsia"/>
          <w:i/>
        </w:rPr>
        <w:t>Thorac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Surg</w:t>
      </w:r>
      <w:proofErr w:type="spellEnd"/>
      <w:r>
        <w:rPr>
          <w:rFonts w:hint="eastAsia"/>
        </w:rPr>
        <w:t xml:space="preserve"> 2016; </w:t>
      </w:r>
      <w:r>
        <w:rPr>
          <w:rFonts w:hint="eastAsia"/>
          <w:b/>
        </w:rPr>
        <w:t>102</w:t>
      </w:r>
      <w:r>
        <w:rPr>
          <w:rFonts w:hint="eastAsia"/>
        </w:rPr>
        <w:t>: 416-423 [PMID: 27157326 DOI: 10.1016/j.athoracsur.2016.02.078]</w:t>
      </w:r>
    </w:p>
    <w:p w14:paraId="560F3581" w14:textId="77777777" w:rsidR="00381BBC" w:rsidRDefault="00381BBC" w:rsidP="00381BBC">
      <w:r>
        <w:rPr>
          <w:rFonts w:hint="eastAsia"/>
        </w:rPr>
        <w:t xml:space="preserve">36 </w:t>
      </w:r>
      <w:r>
        <w:rPr>
          <w:rFonts w:hint="eastAsia"/>
          <w:b/>
        </w:rPr>
        <w:t>Zhu Y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Zang</w:t>
      </w:r>
      <w:proofErr w:type="spellEnd"/>
      <w:r>
        <w:rPr>
          <w:rFonts w:hint="eastAsia"/>
        </w:rPr>
        <w:t xml:space="preserve"> Y, Zhao F, Li Z, Zhang J, Fang L, Li M, Xing L, </w:t>
      </w:r>
      <w:proofErr w:type="spellStart"/>
      <w:r>
        <w:rPr>
          <w:rFonts w:hint="eastAsia"/>
        </w:rPr>
        <w:t>Xu</w:t>
      </w:r>
      <w:proofErr w:type="spellEnd"/>
      <w:r>
        <w:rPr>
          <w:rFonts w:hint="eastAsia"/>
        </w:rPr>
        <w:t xml:space="preserve"> Z, Yu J. Inhibition of HIF-1</w:t>
      </w:r>
      <w:r>
        <w:rPr>
          <w:rFonts w:hint="eastAsia"/>
        </w:rPr>
        <w:t>α</w:t>
      </w:r>
      <w:r>
        <w:rPr>
          <w:rFonts w:hint="eastAsia"/>
        </w:rPr>
        <w:t xml:space="preserve"> by PX-478 suppresses tumor growth of esophageal squamous cell cancer in vitro and in vivo. </w:t>
      </w:r>
      <w:r>
        <w:rPr>
          <w:rFonts w:hint="eastAsia"/>
          <w:i/>
        </w:rPr>
        <w:t>Am J Cancer Res</w:t>
      </w:r>
      <w:r>
        <w:rPr>
          <w:rFonts w:hint="eastAsia"/>
        </w:rPr>
        <w:t xml:space="preserve"> 2017; </w:t>
      </w:r>
      <w:r>
        <w:rPr>
          <w:rFonts w:hint="eastAsia"/>
          <w:b/>
        </w:rPr>
        <w:t>7</w:t>
      </w:r>
      <w:r>
        <w:rPr>
          <w:rFonts w:hint="eastAsia"/>
        </w:rPr>
        <w:t>: 1198-1212 [PMID: 28560067]</w:t>
      </w:r>
    </w:p>
    <w:p w14:paraId="208482A9" w14:textId="77777777" w:rsidR="00381BBC" w:rsidRDefault="00381BBC" w:rsidP="00381BBC">
      <w:r>
        <w:rPr>
          <w:rFonts w:hint="eastAsia"/>
        </w:rPr>
        <w:t xml:space="preserve">37 </w:t>
      </w:r>
      <w:r>
        <w:rPr>
          <w:rFonts w:hint="eastAsia"/>
          <w:b/>
        </w:rPr>
        <w:t>Lee G</w:t>
      </w:r>
      <w:r>
        <w:rPr>
          <w:rFonts w:hint="eastAsia"/>
        </w:rPr>
        <w:t xml:space="preserve">, Cheung AP, </w:t>
      </w:r>
      <w:proofErr w:type="spellStart"/>
      <w:r>
        <w:rPr>
          <w:rFonts w:hint="eastAsia"/>
        </w:rPr>
        <w:t>Ge</w:t>
      </w:r>
      <w:proofErr w:type="spellEnd"/>
      <w:r>
        <w:rPr>
          <w:rFonts w:hint="eastAsia"/>
        </w:rPr>
        <w:t xml:space="preserve"> B, Zhu M, </w:t>
      </w:r>
      <w:proofErr w:type="spellStart"/>
      <w:r>
        <w:rPr>
          <w:rFonts w:hint="eastAsia"/>
        </w:rPr>
        <w:t>Giolma</w:t>
      </w:r>
      <w:proofErr w:type="spellEnd"/>
      <w:r>
        <w:rPr>
          <w:rFonts w:hint="eastAsia"/>
        </w:rPr>
        <w:t xml:space="preserve"> B, Li B, Wong E, Li Y, Wang Y, Chen Z, </w:t>
      </w:r>
      <w:proofErr w:type="spellStart"/>
      <w:r>
        <w:rPr>
          <w:rFonts w:hint="eastAsia"/>
        </w:rPr>
        <w:t>Gu</w:t>
      </w:r>
      <w:proofErr w:type="spellEnd"/>
      <w:r>
        <w:rPr>
          <w:rFonts w:hint="eastAsia"/>
        </w:rPr>
        <w:t xml:space="preserve"> J. CA215 and </w:t>
      </w:r>
      <w:proofErr w:type="spellStart"/>
      <w:r>
        <w:rPr>
          <w:rFonts w:hint="eastAsia"/>
        </w:rPr>
        <w:t>GnRH</w:t>
      </w:r>
      <w:proofErr w:type="spellEnd"/>
      <w:r>
        <w:rPr>
          <w:rFonts w:hint="eastAsia"/>
        </w:rPr>
        <w:t xml:space="preserve"> receptor as targets for cancer therapy. </w:t>
      </w:r>
      <w:r>
        <w:rPr>
          <w:rFonts w:hint="eastAsia"/>
          <w:i/>
        </w:rPr>
        <w:t xml:space="preserve">Cancer </w:t>
      </w:r>
      <w:proofErr w:type="spellStart"/>
      <w:r>
        <w:rPr>
          <w:rFonts w:hint="eastAsia"/>
          <w:i/>
        </w:rPr>
        <w:t>Immunol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Immunother</w:t>
      </w:r>
      <w:proofErr w:type="spellEnd"/>
      <w:r>
        <w:rPr>
          <w:rFonts w:hint="eastAsia"/>
        </w:rPr>
        <w:t xml:space="preserve"> 2012; </w:t>
      </w:r>
      <w:r>
        <w:rPr>
          <w:rFonts w:hint="eastAsia"/>
          <w:b/>
        </w:rPr>
        <w:t>61</w:t>
      </w:r>
      <w:r>
        <w:rPr>
          <w:rFonts w:hint="eastAsia"/>
        </w:rPr>
        <w:t>: 1805-1817 [PMID: 22430628 DOI: 10.1007/s00262-012-1230-8]</w:t>
      </w:r>
    </w:p>
    <w:p w14:paraId="7F60F533" w14:textId="77777777" w:rsidR="007C797C" w:rsidRDefault="007C797C" w:rsidP="005D3A57">
      <w:pPr>
        <w:adjustRightInd w:val="0"/>
        <w:snapToGrid w:val="0"/>
        <w:rPr>
          <w:b/>
          <w:szCs w:val="24"/>
        </w:rPr>
      </w:pPr>
      <w:bookmarkStart w:id="32" w:name="_Hlk5271874"/>
      <w:bookmarkEnd w:id="28"/>
      <w:r>
        <w:rPr>
          <w:b/>
          <w:szCs w:val="24"/>
        </w:rPr>
        <w:br w:type="page"/>
      </w:r>
    </w:p>
    <w:p w14:paraId="3CBE7DDE" w14:textId="7F6C78BD" w:rsidR="005D3A57" w:rsidRPr="00002F66" w:rsidRDefault="005D3A57" w:rsidP="005D3A57">
      <w:pPr>
        <w:adjustRightInd w:val="0"/>
        <w:snapToGrid w:val="0"/>
        <w:rPr>
          <w:b/>
          <w:szCs w:val="24"/>
        </w:rPr>
      </w:pPr>
      <w:r w:rsidRPr="00002F66">
        <w:rPr>
          <w:b/>
          <w:szCs w:val="24"/>
        </w:rPr>
        <w:lastRenderedPageBreak/>
        <w:t>Footnotes</w:t>
      </w:r>
    </w:p>
    <w:p w14:paraId="1293D05B" w14:textId="77777777" w:rsidR="00FD26C1" w:rsidRPr="00774B2C" w:rsidRDefault="00FD26C1" w:rsidP="00774B2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 xml:space="preserve">Institutional review board statement: </w:t>
      </w:r>
      <w:r w:rsidRPr="00774B2C">
        <w:rPr>
          <w:szCs w:val="24"/>
        </w:rPr>
        <w:t>This study was reviewed and approved by the Second Hospital of Jilin University Ethics Committee.</w:t>
      </w:r>
    </w:p>
    <w:p w14:paraId="4BACF43F" w14:textId="77777777" w:rsidR="00FD26C1" w:rsidRPr="00774B2C" w:rsidRDefault="00FD26C1" w:rsidP="00774B2C">
      <w:pPr>
        <w:adjustRightInd w:val="0"/>
        <w:snapToGrid w:val="0"/>
        <w:rPr>
          <w:szCs w:val="24"/>
        </w:rPr>
      </w:pPr>
    </w:p>
    <w:p w14:paraId="4522EFC6" w14:textId="77777777" w:rsidR="00FD26C1" w:rsidRPr="00774B2C" w:rsidRDefault="00FD26C1" w:rsidP="00774B2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>Informed consent statement:</w:t>
      </w:r>
      <w:r w:rsidRPr="00774B2C">
        <w:rPr>
          <w:szCs w:val="24"/>
        </w:rPr>
        <w:t xml:space="preserve"> All patients in our study provided informed consent.</w:t>
      </w:r>
    </w:p>
    <w:p w14:paraId="6855656E" w14:textId="77777777" w:rsidR="00FD26C1" w:rsidRPr="00774B2C" w:rsidRDefault="00FD26C1" w:rsidP="00774B2C">
      <w:pPr>
        <w:adjustRightInd w:val="0"/>
        <w:snapToGrid w:val="0"/>
        <w:rPr>
          <w:szCs w:val="24"/>
        </w:rPr>
      </w:pPr>
    </w:p>
    <w:p w14:paraId="2F211962" w14:textId="77777777" w:rsidR="00FD26C1" w:rsidRPr="00774B2C" w:rsidRDefault="00FD26C1" w:rsidP="00774B2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 xml:space="preserve">Conflict-of-interest statement: </w:t>
      </w:r>
      <w:r w:rsidRPr="00774B2C">
        <w:rPr>
          <w:szCs w:val="24"/>
        </w:rPr>
        <w:t>The authors declare no conflict of interest.</w:t>
      </w:r>
    </w:p>
    <w:p w14:paraId="23D79813" w14:textId="77777777" w:rsidR="00FD26C1" w:rsidRPr="00774B2C" w:rsidRDefault="00FD26C1" w:rsidP="00774B2C">
      <w:pPr>
        <w:adjustRightInd w:val="0"/>
        <w:snapToGrid w:val="0"/>
        <w:rPr>
          <w:szCs w:val="24"/>
        </w:rPr>
      </w:pPr>
    </w:p>
    <w:p w14:paraId="47F7FA92" w14:textId="77777777" w:rsidR="00FD26C1" w:rsidRPr="00774B2C" w:rsidRDefault="00FD26C1" w:rsidP="00774B2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 xml:space="preserve">Data sharing statement: </w:t>
      </w:r>
      <w:r w:rsidRPr="00774B2C">
        <w:rPr>
          <w:szCs w:val="24"/>
        </w:rPr>
        <w:t>No additional data are available.</w:t>
      </w:r>
    </w:p>
    <w:p w14:paraId="0F549DAA" w14:textId="77777777" w:rsidR="00FD26C1" w:rsidRPr="00774B2C" w:rsidRDefault="00FD26C1" w:rsidP="00774B2C">
      <w:pPr>
        <w:adjustRightInd w:val="0"/>
        <w:snapToGrid w:val="0"/>
        <w:rPr>
          <w:szCs w:val="24"/>
        </w:rPr>
      </w:pPr>
    </w:p>
    <w:p w14:paraId="6F817EF8" w14:textId="77777777" w:rsidR="00381BBC" w:rsidRPr="00774B2C" w:rsidRDefault="00381BBC" w:rsidP="00381BB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>STROBE statement:</w:t>
      </w:r>
      <w:r w:rsidRPr="00774B2C">
        <w:rPr>
          <w:szCs w:val="24"/>
        </w:rPr>
        <w:t xml:space="preserve"> The authors have read the STROBE Statement-checklist of items, and the manuscript was prepared and revised according to the STROBE Statement-checklist of items.</w:t>
      </w:r>
    </w:p>
    <w:p w14:paraId="55F0E19C" w14:textId="77777777" w:rsidR="00381BBC" w:rsidRPr="00774B2C" w:rsidRDefault="00381BBC" w:rsidP="00381BBC">
      <w:pPr>
        <w:adjustRightInd w:val="0"/>
        <w:snapToGrid w:val="0"/>
        <w:rPr>
          <w:szCs w:val="24"/>
        </w:rPr>
      </w:pPr>
    </w:p>
    <w:p w14:paraId="7A5E7C9F" w14:textId="77777777" w:rsidR="00381BBC" w:rsidRPr="002378B0" w:rsidRDefault="00381BBC" w:rsidP="00381BBC">
      <w:pPr>
        <w:rPr>
          <w:szCs w:val="24"/>
        </w:rPr>
      </w:pPr>
      <w:r w:rsidRPr="002378B0">
        <w:rPr>
          <w:b/>
          <w:szCs w:val="24"/>
        </w:rPr>
        <w:t xml:space="preserve">Open-Access: </w:t>
      </w:r>
      <w:r w:rsidRPr="002378B0">
        <w:rPr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1" w:history="1">
        <w:r w:rsidRPr="00773617">
          <w:rPr>
            <w:rStyle w:val="a7"/>
            <w:szCs w:val="24"/>
          </w:rPr>
          <w:t>http://creativecommons.org/licenses/by-nc/4.0/</w:t>
        </w:r>
      </w:hyperlink>
    </w:p>
    <w:p w14:paraId="15DFD913" w14:textId="77777777" w:rsidR="00381BBC" w:rsidRDefault="00381BBC" w:rsidP="00381BBC">
      <w:pPr>
        <w:adjustRightInd w:val="0"/>
        <w:snapToGrid w:val="0"/>
        <w:rPr>
          <w:b/>
          <w:bCs/>
          <w:color w:val="000000"/>
          <w:szCs w:val="24"/>
        </w:rPr>
      </w:pPr>
    </w:p>
    <w:p w14:paraId="47976460" w14:textId="77777777" w:rsidR="00381BBC" w:rsidRPr="00002F66" w:rsidRDefault="00381BBC" w:rsidP="00381BBC">
      <w:pPr>
        <w:adjustRightInd w:val="0"/>
        <w:snapToGrid w:val="0"/>
        <w:rPr>
          <w:b/>
          <w:bCs/>
          <w:color w:val="000000"/>
          <w:szCs w:val="24"/>
        </w:rPr>
      </w:pPr>
      <w:r w:rsidRPr="00002F66">
        <w:rPr>
          <w:b/>
          <w:bCs/>
          <w:color w:val="000000"/>
          <w:szCs w:val="24"/>
          <w:lang w:eastAsia="pl-PL"/>
        </w:rPr>
        <w:t>Manuscript source:</w:t>
      </w:r>
      <w:r w:rsidRPr="00002F66">
        <w:rPr>
          <w:b/>
          <w:bCs/>
          <w:color w:val="000000"/>
          <w:szCs w:val="24"/>
        </w:rPr>
        <w:t xml:space="preserve"> </w:t>
      </w:r>
      <w:r w:rsidRPr="00002F66">
        <w:rPr>
          <w:bCs/>
          <w:color w:val="000000"/>
          <w:szCs w:val="24"/>
          <w:lang w:eastAsia="pl-PL"/>
        </w:rPr>
        <w:t>Unsolicited manuscript</w:t>
      </w:r>
    </w:p>
    <w:p w14:paraId="77B31962" w14:textId="3CBDEC43" w:rsidR="00CB4B1B" w:rsidRDefault="00CB4B1B" w:rsidP="00774B2C">
      <w:pPr>
        <w:adjustRightInd w:val="0"/>
        <w:snapToGrid w:val="0"/>
        <w:rPr>
          <w:szCs w:val="24"/>
        </w:rPr>
      </w:pPr>
    </w:p>
    <w:p w14:paraId="043F3DDE" w14:textId="2611AEC9" w:rsidR="00381BBC" w:rsidRPr="002378B0" w:rsidRDefault="00381BBC" w:rsidP="00381BBC">
      <w:pPr>
        <w:rPr>
          <w:b/>
          <w:szCs w:val="24"/>
        </w:rPr>
      </w:pPr>
      <w:r w:rsidRPr="002378B0">
        <w:rPr>
          <w:b/>
          <w:szCs w:val="24"/>
        </w:rPr>
        <w:t xml:space="preserve">Peer-review started: </w:t>
      </w:r>
      <w:r>
        <w:rPr>
          <w:szCs w:val="24"/>
        </w:rPr>
        <w:t>November</w:t>
      </w:r>
      <w:r w:rsidRPr="002378B0">
        <w:rPr>
          <w:szCs w:val="24"/>
        </w:rPr>
        <w:t xml:space="preserve"> </w:t>
      </w:r>
      <w:r>
        <w:rPr>
          <w:szCs w:val="24"/>
        </w:rPr>
        <w:t>8</w:t>
      </w:r>
      <w:r w:rsidRPr="002378B0">
        <w:rPr>
          <w:szCs w:val="24"/>
        </w:rPr>
        <w:t>, 201</w:t>
      </w:r>
      <w:r>
        <w:rPr>
          <w:szCs w:val="24"/>
        </w:rPr>
        <w:t>9</w:t>
      </w:r>
    </w:p>
    <w:p w14:paraId="09351763" w14:textId="632258A6" w:rsidR="00381BBC" w:rsidRPr="002378B0" w:rsidRDefault="00381BBC" w:rsidP="00381BBC">
      <w:pPr>
        <w:rPr>
          <w:b/>
          <w:szCs w:val="24"/>
        </w:rPr>
      </w:pPr>
      <w:r w:rsidRPr="002378B0">
        <w:rPr>
          <w:b/>
          <w:szCs w:val="24"/>
        </w:rPr>
        <w:t xml:space="preserve">First decision: </w:t>
      </w:r>
      <w:r>
        <w:rPr>
          <w:szCs w:val="24"/>
        </w:rPr>
        <w:t>December</w:t>
      </w:r>
      <w:r w:rsidRPr="002378B0">
        <w:rPr>
          <w:szCs w:val="24"/>
        </w:rPr>
        <w:t xml:space="preserve"> </w:t>
      </w:r>
      <w:r>
        <w:rPr>
          <w:szCs w:val="24"/>
        </w:rPr>
        <w:t>23</w:t>
      </w:r>
      <w:r w:rsidRPr="002378B0">
        <w:rPr>
          <w:szCs w:val="24"/>
        </w:rPr>
        <w:t>, 201</w:t>
      </w:r>
      <w:r>
        <w:rPr>
          <w:szCs w:val="24"/>
        </w:rPr>
        <w:t>9</w:t>
      </w:r>
    </w:p>
    <w:p w14:paraId="54CEEB1C" w14:textId="03CABDCF" w:rsidR="00381BBC" w:rsidRDefault="00381BBC" w:rsidP="00381BBC">
      <w:pPr>
        <w:rPr>
          <w:b/>
          <w:szCs w:val="24"/>
        </w:rPr>
      </w:pPr>
      <w:r w:rsidRPr="002378B0">
        <w:rPr>
          <w:b/>
          <w:szCs w:val="24"/>
        </w:rPr>
        <w:t>Article in press:</w:t>
      </w:r>
      <w:r w:rsidR="00CD1936">
        <w:rPr>
          <w:rFonts w:hint="eastAsia"/>
          <w:b/>
          <w:szCs w:val="24"/>
        </w:rPr>
        <w:t xml:space="preserve"> </w:t>
      </w:r>
      <w:r w:rsidR="00CD1936" w:rsidRPr="00CD1936">
        <w:rPr>
          <w:szCs w:val="24"/>
        </w:rPr>
        <w:t>January 11, 2020</w:t>
      </w:r>
    </w:p>
    <w:p w14:paraId="211E6937" w14:textId="77777777" w:rsidR="00381BBC" w:rsidRPr="002378B0" w:rsidRDefault="00381BBC" w:rsidP="00381BBC">
      <w:pPr>
        <w:rPr>
          <w:b/>
          <w:szCs w:val="24"/>
        </w:rPr>
      </w:pPr>
    </w:p>
    <w:p w14:paraId="26B726DE" w14:textId="77777777" w:rsidR="00381BBC" w:rsidRPr="00002F66" w:rsidRDefault="00381BBC" w:rsidP="00381BBC">
      <w:pPr>
        <w:adjustRightInd w:val="0"/>
        <w:snapToGrid w:val="0"/>
        <w:rPr>
          <w:rFonts w:eastAsia="微软雅黑" w:cs="宋体"/>
          <w:szCs w:val="24"/>
        </w:rPr>
      </w:pPr>
      <w:r w:rsidRPr="00002F66">
        <w:rPr>
          <w:rFonts w:cs="宋体"/>
          <w:b/>
          <w:szCs w:val="24"/>
        </w:rPr>
        <w:t xml:space="preserve">Specialty type: </w:t>
      </w:r>
      <w:r w:rsidRPr="00002F66">
        <w:rPr>
          <w:rFonts w:eastAsia="微软雅黑" w:cs="宋体"/>
          <w:szCs w:val="24"/>
        </w:rPr>
        <w:t xml:space="preserve">Gastroenterology and </w:t>
      </w:r>
      <w:proofErr w:type="spellStart"/>
      <w:r w:rsidRPr="00002F66">
        <w:rPr>
          <w:rFonts w:eastAsia="微软雅黑" w:cs="宋体"/>
          <w:szCs w:val="24"/>
        </w:rPr>
        <w:t>hepatology</w:t>
      </w:r>
      <w:proofErr w:type="spellEnd"/>
    </w:p>
    <w:p w14:paraId="5B5ADBDA" w14:textId="21233C37" w:rsidR="00381BBC" w:rsidRPr="00002F66" w:rsidRDefault="00381BBC" w:rsidP="00381BBC">
      <w:pPr>
        <w:adjustRightInd w:val="0"/>
        <w:snapToGrid w:val="0"/>
        <w:rPr>
          <w:rFonts w:cs="宋体"/>
          <w:szCs w:val="24"/>
        </w:rPr>
      </w:pPr>
      <w:r w:rsidRPr="00002F66">
        <w:rPr>
          <w:rFonts w:cs="宋体"/>
          <w:b/>
          <w:szCs w:val="24"/>
        </w:rPr>
        <w:lastRenderedPageBreak/>
        <w:t xml:space="preserve">Country of origin: </w:t>
      </w:r>
      <w:r w:rsidRPr="00381BBC">
        <w:rPr>
          <w:szCs w:val="24"/>
          <w:lang w:eastAsia="fr-FR"/>
        </w:rPr>
        <w:t>China</w:t>
      </w:r>
    </w:p>
    <w:p w14:paraId="47B125CB" w14:textId="77777777" w:rsidR="00381BBC" w:rsidRPr="00002F66" w:rsidRDefault="00381BBC" w:rsidP="00381BBC">
      <w:pPr>
        <w:adjustRightInd w:val="0"/>
        <w:snapToGrid w:val="0"/>
        <w:rPr>
          <w:rFonts w:cs="宋体"/>
          <w:b/>
          <w:szCs w:val="24"/>
        </w:rPr>
      </w:pPr>
      <w:r w:rsidRPr="00002F66">
        <w:rPr>
          <w:rFonts w:cs="宋体"/>
          <w:b/>
          <w:szCs w:val="24"/>
        </w:rPr>
        <w:t>Peer-review report classification</w:t>
      </w:r>
    </w:p>
    <w:p w14:paraId="7203B04A" w14:textId="77777777" w:rsidR="00381BBC" w:rsidRPr="00002F66" w:rsidRDefault="00381BBC" w:rsidP="00381BBC">
      <w:pPr>
        <w:adjustRightInd w:val="0"/>
        <w:snapToGrid w:val="0"/>
        <w:rPr>
          <w:rFonts w:cs="宋体"/>
          <w:szCs w:val="24"/>
        </w:rPr>
      </w:pPr>
      <w:r>
        <w:rPr>
          <w:rFonts w:cs="宋体"/>
          <w:szCs w:val="24"/>
        </w:rPr>
        <w:t>Grade </w:t>
      </w:r>
      <w:proofErr w:type="gramStart"/>
      <w:r>
        <w:rPr>
          <w:rFonts w:cs="宋体"/>
          <w:szCs w:val="24"/>
        </w:rPr>
        <w:t>A</w:t>
      </w:r>
      <w:proofErr w:type="gramEnd"/>
      <w:r>
        <w:rPr>
          <w:rFonts w:cs="宋体"/>
          <w:szCs w:val="24"/>
        </w:rPr>
        <w:t xml:space="preserve"> (Excellent): </w:t>
      </w:r>
      <w:r>
        <w:rPr>
          <w:rFonts w:cs="宋体" w:hint="eastAsia"/>
          <w:szCs w:val="24"/>
        </w:rPr>
        <w:t>0</w:t>
      </w:r>
    </w:p>
    <w:p w14:paraId="128EF508" w14:textId="77777777" w:rsidR="00381BBC" w:rsidRPr="00002F66" w:rsidRDefault="00381BBC" w:rsidP="00381BBC">
      <w:pPr>
        <w:adjustRightInd w:val="0"/>
        <w:snapToGrid w:val="0"/>
        <w:rPr>
          <w:rFonts w:cs="宋体"/>
          <w:szCs w:val="24"/>
        </w:rPr>
      </w:pPr>
      <w:r w:rsidRPr="00002F66">
        <w:rPr>
          <w:rFonts w:cs="宋体"/>
          <w:szCs w:val="24"/>
        </w:rPr>
        <w:t xml:space="preserve">Grade B (Very good): </w:t>
      </w:r>
      <w:r>
        <w:rPr>
          <w:rFonts w:cs="宋体" w:hint="eastAsia"/>
          <w:szCs w:val="24"/>
        </w:rPr>
        <w:t>B, B</w:t>
      </w:r>
    </w:p>
    <w:p w14:paraId="115AE7FC" w14:textId="5D30583D" w:rsidR="00381BBC" w:rsidRPr="00002F66" w:rsidRDefault="00381BBC" w:rsidP="00381BBC">
      <w:pPr>
        <w:adjustRightInd w:val="0"/>
        <w:snapToGrid w:val="0"/>
        <w:rPr>
          <w:rFonts w:cs="宋体"/>
          <w:szCs w:val="24"/>
        </w:rPr>
      </w:pPr>
      <w:r w:rsidRPr="00002F66">
        <w:rPr>
          <w:rFonts w:cs="宋体"/>
          <w:szCs w:val="24"/>
        </w:rPr>
        <w:t xml:space="preserve">Grade C (Good): </w:t>
      </w:r>
      <w:r>
        <w:rPr>
          <w:rFonts w:cs="宋体"/>
          <w:szCs w:val="24"/>
        </w:rPr>
        <w:t>0</w:t>
      </w:r>
    </w:p>
    <w:p w14:paraId="67826B3D" w14:textId="77777777" w:rsidR="00381BBC" w:rsidRPr="00002F66" w:rsidRDefault="00381BBC" w:rsidP="00381BBC">
      <w:pPr>
        <w:adjustRightInd w:val="0"/>
        <w:snapToGrid w:val="0"/>
        <w:rPr>
          <w:rFonts w:cs="宋体"/>
          <w:szCs w:val="24"/>
        </w:rPr>
      </w:pPr>
      <w:r w:rsidRPr="00002F66">
        <w:rPr>
          <w:rFonts w:cs="宋体"/>
          <w:szCs w:val="24"/>
        </w:rPr>
        <w:t>Grade D (Fair): 0</w:t>
      </w:r>
    </w:p>
    <w:p w14:paraId="1158E1F3" w14:textId="77777777" w:rsidR="00381BBC" w:rsidRPr="00002F66" w:rsidRDefault="00381BBC" w:rsidP="00381BBC">
      <w:pPr>
        <w:adjustRightInd w:val="0"/>
        <w:snapToGrid w:val="0"/>
        <w:rPr>
          <w:rFonts w:eastAsia="DengXian"/>
          <w:szCs w:val="24"/>
          <w:lang w:val="hu-HU"/>
        </w:rPr>
      </w:pPr>
      <w:r w:rsidRPr="00002F66">
        <w:rPr>
          <w:rFonts w:cs="宋体"/>
          <w:szCs w:val="24"/>
        </w:rPr>
        <w:t>Grade E (Poor): 0</w:t>
      </w:r>
    </w:p>
    <w:p w14:paraId="19E0D224" w14:textId="77777777" w:rsidR="00381BBC" w:rsidRPr="006E6A95" w:rsidRDefault="00381BBC" w:rsidP="00381BBC">
      <w:pPr>
        <w:ind w:right="361"/>
        <w:rPr>
          <w:szCs w:val="24"/>
        </w:rPr>
      </w:pPr>
    </w:p>
    <w:p w14:paraId="5D1D8EF2" w14:textId="61AA4096" w:rsidR="00381BBC" w:rsidRDefault="00381BBC" w:rsidP="00381BBC">
      <w:pPr>
        <w:adjustRightInd w:val="0"/>
        <w:snapToGrid w:val="0"/>
        <w:rPr>
          <w:b/>
          <w:bCs/>
          <w:szCs w:val="24"/>
        </w:rPr>
      </w:pPr>
      <w:r w:rsidRPr="002378B0">
        <w:rPr>
          <w:rStyle w:val="ae"/>
          <w:rFonts w:cs="Arial"/>
          <w:bCs w:val="0"/>
          <w:noProof/>
          <w:szCs w:val="24"/>
        </w:rPr>
        <w:t>P-Reviewer:</w:t>
      </w:r>
      <w:r w:rsidRPr="002378B0">
        <w:rPr>
          <w:bCs/>
          <w:szCs w:val="24"/>
        </w:rPr>
        <w:t xml:space="preserve"> </w:t>
      </w:r>
      <w:r w:rsidRPr="00381BBC">
        <w:rPr>
          <w:bCs/>
          <w:szCs w:val="24"/>
        </w:rPr>
        <w:t>Lee</w:t>
      </w:r>
      <w:r>
        <w:rPr>
          <w:bCs/>
          <w:szCs w:val="24"/>
        </w:rPr>
        <w:t xml:space="preserve"> CL, </w:t>
      </w:r>
      <w:r w:rsidRPr="00381BBC">
        <w:rPr>
          <w:bCs/>
          <w:szCs w:val="24"/>
        </w:rPr>
        <w:t>Mohamed</w:t>
      </w:r>
      <w:r>
        <w:rPr>
          <w:bCs/>
          <w:szCs w:val="24"/>
        </w:rPr>
        <w:t xml:space="preserve"> SY</w:t>
      </w:r>
      <w:r w:rsidR="00B4271B">
        <w:rPr>
          <w:bCs/>
          <w:szCs w:val="24"/>
        </w:rPr>
        <w:t>,</w:t>
      </w:r>
      <w:r>
        <w:rPr>
          <w:rFonts w:hint="eastAsia"/>
          <w:bCs/>
          <w:szCs w:val="24"/>
        </w:rPr>
        <w:t xml:space="preserve"> </w:t>
      </w:r>
      <w:r w:rsidRPr="002378B0">
        <w:rPr>
          <w:b/>
          <w:bCs/>
          <w:szCs w:val="24"/>
        </w:rPr>
        <w:t>S-Editor:</w:t>
      </w:r>
      <w:r w:rsidRPr="002378B0">
        <w:rPr>
          <w:bCs/>
          <w:szCs w:val="24"/>
        </w:rPr>
        <w:t xml:space="preserve"> </w:t>
      </w:r>
      <w:r>
        <w:rPr>
          <w:bCs/>
          <w:szCs w:val="24"/>
        </w:rPr>
        <w:t>Zhang L</w:t>
      </w:r>
      <w:r w:rsidR="00B4271B">
        <w:rPr>
          <w:bCs/>
          <w:szCs w:val="24"/>
        </w:rPr>
        <w:t>,</w:t>
      </w:r>
      <w:r w:rsidRPr="002378B0">
        <w:rPr>
          <w:b/>
          <w:bCs/>
          <w:szCs w:val="24"/>
        </w:rPr>
        <w:t xml:space="preserve"> </w:t>
      </w:r>
      <w:r w:rsidR="00B4271B">
        <w:rPr>
          <w:b/>
          <w:bCs/>
          <w:szCs w:val="24"/>
        </w:rPr>
        <w:t xml:space="preserve">L-Editor: </w:t>
      </w:r>
      <w:r w:rsidR="00B4271B">
        <w:rPr>
          <w:bCs/>
          <w:szCs w:val="24"/>
        </w:rPr>
        <w:t xml:space="preserve">Webster JR, </w:t>
      </w:r>
      <w:r w:rsidRPr="002378B0">
        <w:rPr>
          <w:b/>
          <w:bCs/>
          <w:szCs w:val="24"/>
        </w:rPr>
        <w:t>E-</w:t>
      </w:r>
      <w:r w:rsidRPr="00381BBC">
        <w:rPr>
          <w:b/>
          <w:bCs/>
          <w:szCs w:val="24"/>
        </w:rPr>
        <w:t xml:space="preserve"> </w:t>
      </w:r>
      <w:r w:rsidRPr="002378B0">
        <w:rPr>
          <w:b/>
          <w:bCs/>
          <w:szCs w:val="24"/>
        </w:rPr>
        <w:t>Editor:</w:t>
      </w:r>
      <w:r w:rsidR="00CD1936">
        <w:rPr>
          <w:rFonts w:hint="eastAsia"/>
          <w:b/>
          <w:bCs/>
          <w:szCs w:val="24"/>
        </w:rPr>
        <w:t xml:space="preserve"> </w:t>
      </w:r>
      <w:r w:rsidR="00CD1936" w:rsidRPr="00CD1936">
        <w:rPr>
          <w:bCs/>
          <w:szCs w:val="24"/>
        </w:rPr>
        <w:t>Ma YJ</w:t>
      </w:r>
    </w:p>
    <w:p w14:paraId="11670B43" w14:textId="77777777" w:rsidR="00381BBC" w:rsidRDefault="00381BBC">
      <w:pPr>
        <w:widowControl/>
        <w:spacing w:line="24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1C9A96DC" w14:textId="42CBDEFC" w:rsidR="00483403" w:rsidRDefault="00FD2BD2" w:rsidP="00774B2C">
      <w:pPr>
        <w:adjustRightInd w:val="0"/>
        <w:snapToGrid w:val="0"/>
        <w:rPr>
          <w:b/>
          <w:szCs w:val="24"/>
        </w:rPr>
      </w:pPr>
      <w:r w:rsidRPr="00E70091">
        <w:rPr>
          <w:b/>
          <w:szCs w:val="24"/>
        </w:rPr>
        <w:lastRenderedPageBreak/>
        <w:t>Figure Legends</w:t>
      </w:r>
      <w:bookmarkEnd w:id="0"/>
      <w:bookmarkEnd w:id="32"/>
    </w:p>
    <w:p w14:paraId="22363E98" w14:textId="0E383AA1" w:rsidR="007C797C" w:rsidRPr="007C797C" w:rsidRDefault="007C797C" w:rsidP="00774B2C">
      <w:pPr>
        <w:adjustRightInd w:val="0"/>
        <w:snapToGrid w:val="0"/>
        <w:rPr>
          <w:b/>
          <w:szCs w:val="24"/>
        </w:rPr>
      </w:pPr>
      <w:r>
        <w:rPr>
          <w:noProof/>
        </w:rPr>
        <w:drawing>
          <wp:inline distT="0" distB="0" distL="0" distR="0" wp14:anchorId="1E2DE597" wp14:editId="4F126CAB">
            <wp:extent cx="5274310" cy="26771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A3AC7" w14:textId="0E7F05EE" w:rsidR="00483403" w:rsidRPr="00774B2C" w:rsidRDefault="00483403" w:rsidP="00774B2C">
      <w:pPr>
        <w:adjustRightInd w:val="0"/>
        <w:snapToGrid w:val="0"/>
        <w:rPr>
          <w:rFonts w:eastAsia="楷体"/>
          <w:szCs w:val="24"/>
        </w:rPr>
      </w:pPr>
      <w:r w:rsidRPr="00774B2C">
        <w:rPr>
          <w:b/>
          <w:szCs w:val="24"/>
        </w:rPr>
        <w:t>Figure 1</w:t>
      </w:r>
      <w:r w:rsidRPr="00774B2C">
        <w:rPr>
          <w:szCs w:val="24"/>
        </w:rPr>
        <w:t xml:space="preserve"> </w:t>
      </w:r>
      <w:r w:rsidRPr="00774B2C">
        <w:rPr>
          <w:b/>
          <w:szCs w:val="24"/>
        </w:rPr>
        <w:t>Expression of miR-1304 in patients with esophageal carcinoma</w:t>
      </w:r>
      <w:r w:rsidR="00BF2B1A" w:rsidRPr="00774B2C">
        <w:rPr>
          <w:b/>
          <w:szCs w:val="24"/>
        </w:rPr>
        <w:t xml:space="preserve"> and its diagnostic value.</w:t>
      </w:r>
      <w:r w:rsidR="00BF2B1A" w:rsidRPr="00774B2C">
        <w:rPr>
          <w:szCs w:val="24"/>
        </w:rPr>
        <w:t xml:space="preserve"> A:</w:t>
      </w:r>
      <w:r w:rsidRPr="00774B2C">
        <w:rPr>
          <w:szCs w:val="24"/>
        </w:rPr>
        <w:t xml:space="preserve"> Expression of miR-1304 in cancer tissues and tumor-ad</w:t>
      </w:r>
      <w:r w:rsidR="00BF2B1A" w:rsidRPr="00774B2C">
        <w:rPr>
          <w:szCs w:val="24"/>
        </w:rPr>
        <w:t xml:space="preserve">jacent tissues in </w:t>
      </w:r>
      <w:r w:rsidR="00FD2BD2" w:rsidRPr="00774B2C">
        <w:rPr>
          <w:rFonts w:cs="Times New Roman"/>
          <w:szCs w:val="24"/>
        </w:rPr>
        <w:t>The Cancer Genome Atlas</w:t>
      </w:r>
      <w:r w:rsidR="00FD2BD2" w:rsidRPr="00774B2C">
        <w:rPr>
          <w:szCs w:val="24"/>
        </w:rPr>
        <w:t xml:space="preserve"> </w:t>
      </w:r>
      <w:r w:rsidR="00BF2B1A" w:rsidRPr="00774B2C">
        <w:rPr>
          <w:szCs w:val="24"/>
        </w:rPr>
        <w:t>database; B:</w:t>
      </w:r>
      <w:r w:rsidRPr="00774B2C">
        <w:rPr>
          <w:szCs w:val="24"/>
        </w:rPr>
        <w:t xml:space="preserve"> Expression of miR-</w:t>
      </w:r>
      <w:r w:rsidR="00BF2B1A" w:rsidRPr="00774B2C">
        <w:rPr>
          <w:szCs w:val="24"/>
        </w:rPr>
        <w:t xml:space="preserve">1304 in </w:t>
      </w:r>
      <w:r w:rsidR="00B4271B">
        <w:rPr>
          <w:szCs w:val="24"/>
        </w:rPr>
        <w:t xml:space="preserve">the </w:t>
      </w:r>
      <w:r w:rsidR="00BF2B1A" w:rsidRPr="00774B2C">
        <w:rPr>
          <w:szCs w:val="24"/>
        </w:rPr>
        <w:t>tissues of patients; C:</w:t>
      </w:r>
      <w:r w:rsidRPr="00774B2C">
        <w:rPr>
          <w:szCs w:val="24"/>
        </w:rPr>
        <w:t xml:space="preserve"> Expression of mi</w:t>
      </w:r>
      <w:r w:rsidR="00BF2B1A" w:rsidRPr="00774B2C">
        <w:rPr>
          <w:szCs w:val="24"/>
        </w:rPr>
        <w:t xml:space="preserve">R-1304 in </w:t>
      </w:r>
      <w:r w:rsidR="00B4271B">
        <w:rPr>
          <w:szCs w:val="24"/>
        </w:rPr>
        <w:t xml:space="preserve">the </w:t>
      </w:r>
      <w:r w:rsidR="00BF2B1A" w:rsidRPr="00774B2C">
        <w:rPr>
          <w:szCs w:val="24"/>
        </w:rPr>
        <w:t>serum of patients; D</w:t>
      </w:r>
      <w:r w:rsidR="00A21E34" w:rsidRPr="00774B2C">
        <w:rPr>
          <w:szCs w:val="24"/>
        </w:rPr>
        <w:t>, E</w:t>
      </w:r>
      <w:r w:rsidR="00BF2B1A" w:rsidRPr="00774B2C">
        <w:rPr>
          <w:szCs w:val="24"/>
        </w:rPr>
        <w:t>:</w:t>
      </w:r>
      <w:r w:rsidRPr="00774B2C">
        <w:rPr>
          <w:szCs w:val="24"/>
        </w:rPr>
        <w:t xml:space="preserve"> Diagnostic value of serum miR-1304 in esophageal carcinoma. When the cutoff value was 1.154, the specificity, sensitivity and </w:t>
      </w:r>
      <w:proofErr w:type="spellStart"/>
      <w:r w:rsidRPr="00774B2C">
        <w:rPr>
          <w:szCs w:val="24"/>
        </w:rPr>
        <w:t>Youden</w:t>
      </w:r>
      <w:proofErr w:type="spellEnd"/>
      <w:r w:rsidRPr="00774B2C">
        <w:rPr>
          <w:szCs w:val="24"/>
        </w:rPr>
        <w:t xml:space="preserve"> index </w:t>
      </w:r>
      <w:r w:rsidR="00B4271B">
        <w:rPr>
          <w:szCs w:val="24"/>
        </w:rPr>
        <w:t>were</w:t>
      </w:r>
      <w:r w:rsidRPr="00774B2C">
        <w:rPr>
          <w:szCs w:val="24"/>
        </w:rPr>
        <w:t xml:space="preserve"> 94.00%, 80.77%, and 71.77%, respectively.</w:t>
      </w:r>
      <w:r w:rsidR="003949F3" w:rsidRPr="00774B2C">
        <w:rPr>
          <w:szCs w:val="24"/>
        </w:rPr>
        <w:t xml:space="preserve"> </w:t>
      </w:r>
      <w:proofErr w:type="spellStart"/>
      <w:proofErr w:type="gramStart"/>
      <w:r w:rsidR="00855483" w:rsidRPr="00FD2BD2">
        <w:rPr>
          <w:szCs w:val="24"/>
          <w:vertAlign w:val="superscript"/>
        </w:rPr>
        <w:t>b</w:t>
      </w:r>
      <w:r w:rsidR="00855483" w:rsidRPr="00774B2C">
        <w:rPr>
          <w:i/>
          <w:iCs/>
          <w:szCs w:val="24"/>
        </w:rPr>
        <w:t>P</w:t>
      </w:r>
      <w:proofErr w:type="spellEnd"/>
      <w:proofErr w:type="gramEnd"/>
      <w:r w:rsidR="00FD2BD2">
        <w:rPr>
          <w:i/>
          <w:iCs/>
          <w:szCs w:val="24"/>
        </w:rPr>
        <w:t xml:space="preserve"> </w:t>
      </w:r>
      <w:r w:rsidR="00855483" w:rsidRPr="00774B2C">
        <w:rPr>
          <w:szCs w:val="24"/>
        </w:rPr>
        <w:t>&lt;</w:t>
      </w:r>
      <w:r w:rsidR="00FD2BD2">
        <w:rPr>
          <w:szCs w:val="24"/>
        </w:rPr>
        <w:t xml:space="preserve"> </w:t>
      </w:r>
      <w:r w:rsidR="00855483" w:rsidRPr="00774B2C">
        <w:rPr>
          <w:szCs w:val="24"/>
        </w:rPr>
        <w:t>0.001</w:t>
      </w:r>
      <w:r w:rsidR="00FD2BD2">
        <w:rPr>
          <w:szCs w:val="24"/>
        </w:rPr>
        <w:t>.</w:t>
      </w:r>
    </w:p>
    <w:p w14:paraId="792E59E9" w14:textId="0DE3A4A4" w:rsidR="00FD2BD2" w:rsidRDefault="00FD2BD2">
      <w:pPr>
        <w:widowControl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18D1C486" w14:textId="0128EC80" w:rsidR="00483403" w:rsidRPr="00774B2C" w:rsidRDefault="007C797C" w:rsidP="00774B2C">
      <w:pPr>
        <w:adjustRightInd w:val="0"/>
        <w:snapToGrid w:val="0"/>
        <w:rPr>
          <w:rFonts w:eastAsia="楷体"/>
          <w:szCs w:val="24"/>
        </w:rPr>
      </w:pPr>
      <w:r>
        <w:rPr>
          <w:noProof/>
        </w:rPr>
        <w:lastRenderedPageBreak/>
        <w:drawing>
          <wp:inline distT="0" distB="0" distL="0" distR="0" wp14:anchorId="1A05AE63" wp14:editId="70B7A62D">
            <wp:extent cx="5274310" cy="10687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FA6F" w14:textId="600BCFE9" w:rsidR="00483403" w:rsidRPr="00774B2C" w:rsidRDefault="00483403" w:rsidP="00774B2C">
      <w:pPr>
        <w:adjustRightInd w:val="0"/>
        <w:snapToGrid w:val="0"/>
        <w:rPr>
          <w:rFonts w:eastAsia="楷体"/>
          <w:szCs w:val="24"/>
        </w:rPr>
      </w:pPr>
      <w:r w:rsidRPr="00774B2C">
        <w:rPr>
          <w:b/>
          <w:szCs w:val="24"/>
        </w:rPr>
        <w:t>Figure 2</w:t>
      </w:r>
      <w:r w:rsidRPr="00774B2C">
        <w:rPr>
          <w:szCs w:val="24"/>
        </w:rPr>
        <w:t xml:space="preserve"> </w:t>
      </w:r>
      <w:r w:rsidRPr="00774B2C">
        <w:rPr>
          <w:b/>
          <w:szCs w:val="24"/>
        </w:rPr>
        <w:t xml:space="preserve">Relationship between miR-1304 and pathological data </w:t>
      </w:r>
      <w:r w:rsidR="00BF2B1A" w:rsidRPr="00774B2C">
        <w:rPr>
          <w:b/>
          <w:szCs w:val="24"/>
        </w:rPr>
        <w:t>and its diagnostic value.</w:t>
      </w:r>
      <w:r w:rsidR="00BF2B1A" w:rsidRPr="00774B2C">
        <w:rPr>
          <w:szCs w:val="24"/>
        </w:rPr>
        <w:t xml:space="preserve"> A:</w:t>
      </w:r>
      <w:r w:rsidRPr="00774B2C">
        <w:rPr>
          <w:szCs w:val="24"/>
        </w:rPr>
        <w:t xml:space="preserve"> Patients with tumor size </w:t>
      </w:r>
      <w:r w:rsidR="00FD2BD2">
        <w:rPr>
          <w:szCs w:val="24"/>
        </w:rPr>
        <w:t>≥</w:t>
      </w:r>
      <w:r w:rsidR="00FD2BD2">
        <w:rPr>
          <w:rFonts w:hint="cs"/>
          <w:szCs w:val="24"/>
          <w:cs/>
        </w:rPr>
        <w:t xml:space="preserve"> </w:t>
      </w:r>
      <w:r w:rsidRPr="00774B2C">
        <w:rPr>
          <w:szCs w:val="24"/>
        </w:rPr>
        <w:t>3</w:t>
      </w:r>
      <w:r w:rsidR="00B4271B">
        <w:rPr>
          <w:szCs w:val="24"/>
        </w:rPr>
        <w:t xml:space="preserve"> </w:t>
      </w:r>
      <w:r w:rsidRPr="00774B2C">
        <w:rPr>
          <w:szCs w:val="24"/>
        </w:rPr>
        <w:t>cm showed incr</w:t>
      </w:r>
      <w:r w:rsidR="00BF2B1A" w:rsidRPr="00774B2C">
        <w:rPr>
          <w:szCs w:val="24"/>
        </w:rPr>
        <w:t>eased expression of miR-1304; B:</w:t>
      </w:r>
      <w:r w:rsidRPr="00774B2C">
        <w:rPr>
          <w:szCs w:val="24"/>
        </w:rPr>
        <w:t xml:space="preserve"> miR-1304 was highly expressed in pa</w:t>
      </w:r>
      <w:r w:rsidR="00BF2B1A" w:rsidRPr="00774B2C">
        <w:rPr>
          <w:szCs w:val="24"/>
        </w:rPr>
        <w:t>tients with low differentiation; C:</w:t>
      </w:r>
      <w:r w:rsidRPr="00774B2C">
        <w:rPr>
          <w:szCs w:val="24"/>
        </w:rPr>
        <w:t xml:space="preserve"> miR-1304 was highly expressed in patients </w:t>
      </w:r>
      <w:r w:rsidR="00B4271B">
        <w:rPr>
          <w:szCs w:val="24"/>
        </w:rPr>
        <w:t>with stage</w:t>
      </w:r>
      <w:r w:rsidRPr="00774B2C">
        <w:rPr>
          <w:szCs w:val="24"/>
        </w:rPr>
        <w:t xml:space="preserve"> I</w:t>
      </w:r>
      <w:r w:rsidR="00FD2BD2">
        <w:rPr>
          <w:szCs w:val="24"/>
        </w:rPr>
        <w:t xml:space="preserve"> </w:t>
      </w:r>
      <w:r w:rsidRPr="00774B2C">
        <w:rPr>
          <w:szCs w:val="24"/>
        </w:rPr>
        <w:t>+</w:t>
      </w:r>
      <w:r w:rsidR="00FD2BD2">
        <w:rPr>
          <w:szCs w:val="24"/>
        </w:rPr>
        <w:t xml:space="preserve"> </w:t>
      </w:r>
      <w:r w:rsidRPr="00774B2C">
        <w:rPr>
          <w:szCs w:val="24"/>
        </w:rPr>
        <w:t xml:space="preserve">III </w:t>
      </w:r>
      <w:r w:rsidR="00B4271B">
        <w:rPr>
          <w:szCs w:val="24"/>
        </w:rPr>
        <w:t>disease</w:t>
      </w:r>
      <w:r w:rsidR="00BF2B1A" w:rsidRPr="00774B2C">
        <w:rPr>
          <w:szCs w:val="24"/>
        </w:rPr>
        <w:t>; D:</w:t>
      </w:r>
      <w:r w:rsidRPr="00774B2C">
        <w:rPr>
          <w:szCs w:val="24"/>
        </w:rPr>
        <w:t xml:space="preserve"> </w:t>
      </w:r>
      <w:r w:rsidR="00FD2BD2" w:rsidRPr="00774B2C">
        <w:rPr>
          <w:szCs w:val="24"/>
        </w:rPr>
        <w:t>Receiver operating characteristic</w:t>
      </w:r>
      <w:r w:rsidRPr="00774B2C">
        <w:rPr>
          <w:szCs w:val="24"/>
        </w:rPr>
        <w:t xml:space="preserve"> curves of miR-1304 for identifying tumor size, differentiation, and TNM stage.</w:t>
      </w:r>
      <w:r w:rsidR="00855483" w:rsidRPr="00774B2C">
        <w:rPr>
          <w:szCs w:val="24"/>
        </w:rPr>
        <w:t xml:space="preserve"> </w:t>
      </w:r>
      <w:proofErr w:type="spellStart"/>
      <w:proofErr w:type="gramStart"/>
      <w:r w:rsidR="00855483" w:rsidRPr="00774B2C">
        <w:rPr>
          <w:szCs w:val="24"/>
          <w:vertAlign w:val="superscript"/>
        </w:rPr>
        <w:t>a</w:t>
      </w:r>
      <w:r w:rsidR="00855483" w:rsidRPr="00774B2C">
        <w:rPr>
          <w:i/>
          <w:iCs/>
          <w:szCs w:val="24"/>
        </w:rPr>
        <w:t>P</w:t>
      </w:r>
      <w:proofErr w:type="spellEnd"/>
      <w:proofErr w:type="gramEnd"/>
      <w:r w:rsidR="00FD2BD2">
        <w:rPr>
          <w:i/>
          <w:iCs/>
          <w:szCs w:val="24"/>
        </w:rPr>
        <w:t xml:space="preserve"> </w:t>
      </w:r>
      <w:r w:rsidR="00855483" w:rsidRPr="00774B2C">
        <w:rPr>
          <w:szCs w:val="24"/>
        </w:rPr>
        <w:t>&lt;</w:t>
      </w:r>
      <w:r w:rsidR="00FD2BD2">
        <w:rPr>
          <w:szCs w:val="24"/>
        </w:rPr>
        <w:t xml:space="preserve"> </w:t>
      </w:r>
      <w:r w:rsidR="00855483" w:rsidRPr="00774B2C">
        <w:rPr>
          <w:szCs w:val="24"/>
        </w:rPr>
        <w:t>0.05</w:t>
      </w:r>
      <w:r w:rsidR="00FD2BD2">
        <w:rPr>
          <w:szCs w:val="24"/>
        </w:rPr>
        <w:t>.</w:t>
      </w:r>
    </w:p>
    <w:p w14:paraId="587F06CA" w14:textId="22D234FB" w:rsidR="00FD2BD2" w:rsidRDefault="00FD2BD2">
      <w:pPr>
        <w:widowControl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75474D3C" w14:textId="77777777" w:rsidR="00483403" w:rsidRPr="00774B2C" w:rsidRDefault="00483403" w:rsidP="00774B2C">
      <w:pPr>
        <w:adjustRightInd w:val="0"/>
        <w:snapToGrid w:val="0"/>
        <w:rPr>
          <w:b/>
          <w:szCs w:val="24"/>
        </w:rPr>
      </w:pPr>
    </w:p>
    <w:p w14:paraId="08296799" w14:textId="1225B853" w:rsidR="00BF2B1A" w:rsidRPr="00774B2C" w:rsidRDefault="007C797C" w:rsidP="00774B2C">
      <w:pPr>
        <w:adjustRightInd w:val="0"/>
        <w:snapToGrid w:val="0"/>
        <w:rPr>
          <w:rFonts w:eastAsia="楷体"/>
          <w:szCs w:val="24"/>
        </w:rPr>
      </w:pPr>
      <w:r>
        <w:rPr>
          <w:noProof/>
        </w:rPr>
        <w:drawing>
          <wp:inline distT="0" distB="0" distL="0" distR="0" wp14:anchorId="4C1D0A9D" wp14:editId="20B82BFD">
            <wp:extent cx="2552709" cy="2014694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2966" cy="20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FC2C" w14:textId="6F2CE81E" w:rsidR="00BF2B1A" w:rsidRPr="00774B2C" w:rsidRDefault="00BF2B1A" w:rsidP="00774B2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>Figure 3 Diagnostic values of independent risk factors for recurrence.</w:t>
      </w:r>
      <w:r w:rsidRPr="00774B2C">
        <w:rPr>
          <w:szCs w:val="24"/>
        </w:rPr>
        <w:t xml:space="preserve"> The red line represent</w:t>
      </w:r>
      <w:r w:rsidR="00B4271B">
        <w:rPr>
          <w:szCs w:val="24"/>
        </w:rPr>
        <w:t>s</w:t>
      </w:r>
      <w:r w:rsidRPr="00774B2C">
        <w:rPr>
          <w:szCs w:val="24"/>
        </w:rPr>
        <w:t xml:space="preserve"> tumor size, and its </w:t>
      </w:r>
      <w:r w:rsidR="00FD2BD2" w:rsidRPr="00774B2C">
        <w:rPr>
          <w:szCs w:val="24"/>
        </w:rPr>
        <w:t xml:space="preserve">area under the curve </w:t>
      </w:r>
      <w:r w:rsidR="00FD2BD2">
        <w:rPr>
          <w:szCs w:val="24"/>
        </w:rPr>
        <w:t>(</w:t>
      </w:r>
      <w:r w:rsidRPr="00774B2C">
        <w:rPr>
          <w:szCs w:val="24"/>
        </w:rPr>
        <w:t>AUC</w:t>
      </w:r>
      <w:r w:rsidR="00FD2BD2">
        <w:rPr>
          <w:szCs w:val="24"/>
        </w:rPr>
        <w:t>)</w:t>
      </w:r>
      <w:r w:rsidRPr="00774B2C">
        <w:rPr>
          <w:szCs w:val="24"/>
        </w:rPr>
        <w:t xml:space="preserve"> was 0.683; the blue line represent</w:t>
      </w:r>
      <w:r w:rsidR="00B4271B">
        <w:rPr>
          <w:szCs w:val="24"/>
        </w:rPr>
        <w:t>s</w:t>
      </w:r>
      <w:r w:rsidRPr="00774B2C">
        <w:rPr>
          <w:szCs w:val="24"/>
        </w:rPr>
        <w:t xml:space="preserve"> differentiation, and its AUC was 0.642; the green line represent</w:t>
      </w:r>
      <w:r w:rsidR="00B4271B">
        <w:rPr>
          <w:szCs w:val="24"/>
        </w:rPr>
        <w:t>s</w:t>
      </w:r>
      <w:r w:rsidRPr="00774B2C">
        <w:rPr>
          <w:szCs w:val="24"/>
        </w:rPr>
        <w:t xml:space="preserve"> TNM stage, and its AUC was 0.642, and the light brown line represent</w:t>
      </w:r>
      <w:r w:rsidR="00B4271B">
        <w:rPr>
          <w:szCs w:val="24"/>
        </w:rPr>
        <w:t>s</w:t>
      </w:r>
      <w:r w:rsidRPr="00774B2C">
        <w:rPr>
          <w:szCs w:val="24"/>
        </w:rPr>
        <w:t xml:space="preserve"> miR-1304 and its AUC was 0.721.</w:t>
      </w:r>
    </w:p>
    <w:p w14:paraId="700294A9" w14:textId="23E7B8FA" w:rsidR="00FD2BD2" w:rsidRDefault="00FD2BD2">
      <w:pPr>
        <w:widowControl/>
        <w:spacing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1112088B" w14:textId="61183228" w:rsidR="00BF2B1A" w:rsidRPr="00774B2C" w:rsidRDefault="007C797C" w:rsidP="00774B2C">
      <w:pPr>
        <w:adjustRightInd w:val="0"/>
        <w:snapToGrid w:val="0"/>
        <w:rPr>
          <w:rFonts w:eastAsia="楷体"/>
          <w:szCs w:val="24"/>
        </w:rPr>
      </w:pPr>
      <w:r>
        <w:rPr>
          <w:noProof/>
        </w:rPr>
        <w:lastRenderedPageBreak/>
        <w:drawing>
          <wp:inline distT="0" distB="0" distL="0" distR="0" wp14:anchorId="784906A3" wp14:editId="1A7C13B3">
            <wp:extent cx="5274310" cy="185166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E66D4" w14:textId="6142F880" w:rsidR="00BF2B1A" w:rsidRPr="00774B2C" w:rsidRDefault="00BF2B1A" w:rsidP="00774B2C">
      <w:pPr>
        <w:adjustRightInd w:val="0"/>
        <w:snapToGrid w:val="0"/>
        <w:rPr>
          <w:szCs w:val="24"/>
        </w:rPr>
      </w:pPr>
      <w:r w:rsidRPr="00774B2C">
        <w:rPr>
          <w:b/>
          <w:szCs w:val="24"/>
        </w:rPr>
        <w:t xml:space="preserve">Figure 4 </w:t>
      </w:r>
      <w:r w:rsidR="00FD2BD2">
        <w:rPr>
          <w:b/>
          <w:szCs w:val="24"/>
        </w:rPr>
        <w:t>Three</w:t>
      </w:r>
      <w:r w:rsidRPr="00774B2C">
        <w:rPr>
          <w:b/>
          <w:szCs w:val="24"/>
        </w:rPr>
        <w:t xml:space="preserve">-year </w:t>
      </w:r>
      <w:proofErr w:type="gramStart"/>
      <w:r w:rsidRPr="00774B2C">
        <w:rPr>
          <w:b/>
          <w:szCs w:val="24"/>
        </w:rPr>
        <w:t>survival</w:t>
      </w:r>
      <w:proofErr w:type="gramEnd"/>
      <w:r w:rsidRPr="00774B2C">
        <w:rPr>
          <w:b/>
          <w:szCs w:val="24"/>
        </w:rPr>
        <w:t xml:space="preserve"> of </w:t>
      </w:r>
      <w:r w:rsidR="00B4271B">
        <w:rPr>
          <w:b/>
          <w:szCs w:val="24"/>
        </w:rPr>
        <w:t>esophageal carcinoma</w:t>
      </w:r>
      <w:r w:rsidRPr="00774B2C">
        <w:rPr>
          <w:b/>
          <w:szCs w:val="24"/>
        </w:rPr>
        <w:t xml:space="preserve"> patients.</w:t>
      </w:r>
      <w:r w:rsidRPr="00774B2C">
        <w:rPr>
          <w:szCs w:val="24"/>
        </w:rPr>
        <w:t xml:space="preserve"> A: The 3-year overall survival rate of patients; B: Survival of </w:t>
      </w:r>
      <w:r w:rsidR="00B4271B">
        <w:rPr>
          <w:szCs w:val="24"/>
        </w:rPr>
        <w:t xml:space="preserve">the </w:t>
      </w:r>
      <w:r w:rsidRPr="00774B2C">
        <w:rPr>
          <w:szCs w:val="24"/>
        </w:rPr>
        <w:t>high and low miR-1304 expression groups.</w:t>
      </w:r>
    </w:p>
    <w:p w14:paraId="671555CF" w14:textId="5FAE52FB" w:rsidR="00FD2BD2" w:rsidRDefault="00FD2BD2">
      <w:pPr>
        <w:widowControl/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3DB257A7" w14:textId="77777777" w:rsidR="00BF2B1A" w:rsidRPr="00774B2C" w:rsidRDefault="00BF2B1A" w:rsidP="00774B2C">
      <w:pPr>
        <w:adjustRightInd w:val="0"/>
        <w:snapToGrid w:val="0"/>
        <w:rPr>
          <w:szCs w:val="24"/>
        </w:rPr>
      </w:pPr>
    </w:p>
    <w:p w14:paraId="695B14C1" w14:textId="54C59011" w:rsidR="00BF2B1A" w:rsidRPr="00774B2C" w:rsidRDefault="007C797C" w:rsidP="00774B2C">
      <w:pPr>
        <w:adjustRightInd w:val="0"/>
        <w:snapToGrid w:val="0"/>
        <w:rPr>
          <w:rFonts w:eastAsia="楷体"/>
          <w:szCs w:val="24"/>
        </w:rPr>
      </w:pPr>
      <w:r>
        <w:rPr>
          <w:noProof/>
        </w:rPr>
        <w:drawing>
          <wp:inline distT="0" distB="0" distL="0" distR="0" wp14:anchorId="3A34CD05" wp14:editId="08D27E22">
            <wp:extent cx="5274310" cy="252666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80D66" w14:textId="6D1B8EC4" w:rsidR="00BF2B1A" w:rsidRPr="00774B2C" w:rsidRDefault="00BF2B1A" w:rsidP="00774B2C">
      <w:pPr>
        <w:adjustRightInd w:val="0"/>
        <w:snapToGrid w:val="0"/>
        <w:rPr>
          <w:rFonts w:eastAsia="楷体"/>
          <w:szCs w:val="24"/>
        </w:rPr>
      </w:pPr>
      <w:r w:rsidRPr="00774B2C">
        <w:rPr>
          <w:b/>
          <w:szCs w:val="24"/>
        </w:rPr>
        <w:t>Figure 5 Bioinformatics analysis.</w:t>
      </w:r>
      <w:r w:rsidRPr="00774B2C">
        <w:rPr>
          <w:szCs w:val="24"/>
        </w:rPr>
        <w:t xml:space="preserve"> A: Venn diagram. </w:t>
      </w:r>
      <w:r w:rsidR="00B4271B">
        <w:rPr>
          <w:szCs w:val="24"/>
        </w:rPr>
        <w:t>B</w:t>
      </w:r>
      <w:r w:rsidRPr="00774B2C">
        <w:rPr>
          <w:szCs w:val="24"/>
        </w:rPr>
        <w:t xml:space="preserve">lue represents the potential target genes predicted by </w:t>
      </w:r>
      <w:proofErr w:type="spellStart"/>
      <w:r w:rsidR="00B4271B">
        <w:rPr>
          <w:szCs w:val="24"/>
        </w:rPr>
        <w:t>M</w:t>
      </w:r>
      <w:r w:rsidRPr="00774B2C">
        <w:rPr>
          <w:szCs w:val="24"/>
        </w:rPr>
        <w:t>i</w:t>
      </w:r>
      <w:r w:rsidR="00B4271B">
        <w:rPr>
          <w:szCs w:val="24"/>
        </w:rPr>
        <w:t>RT</w:t>
      </w:r>
      <w:r w:rsidRPr="00774B2C">
        <w:rPr>
          <w:szCs w:val="24"/>
        </w:rPr>
        <w:t>ar</w:t>
      </w:r>
      <w:r w:rsidR="00B4271B">
        <w:rPr>
          <w:szCs w:val="24"/>
        </w:rPr>
        <w:t>B</w:t>
      </w:r>
      <w:r w:rsidRPr="00774B2C">
        <w:rPr>
          <w:szCs w:val="24"/>
        </w:rPr>
        <w:t>ase</w:t>
      </w:r>
      <w:proofErr w:type="spellEnd"/>
      <w:r w:rsidRPr="00774B2C">
        <w:rPr>
          <w:szCs w:val="24"/>
        </w:rPr>
        <w:t xml:space="preserve">; red represents the potential target genes predicted by </w:t>
      </w:r>
      <w:proofErr w:type="spellStart"/>
      <w:r w:rsidRPr="00774B2C">
        <w:rPr>
          <w:szCs w:val="24"/>
        </w:rPr>
        <w:t>miRDB</w:t>
      </w:r>
      <w:proofErr w:type="spellEnd"/>
      <w:r w:rsidRPr="00774B2C">
        <w:rPr>
          <w:szCs w:val="24"/>
        </w:rPr>
        <w:t xml:space="preserve">, and green represents the potential target genes predicted by </w:t>
      </w:r>
      <w:proofErr w:type="spellStart"/>
      <w:r w:rsidR="00B4271B">
        <w:rPr>
          <w:szCs w:val="24"/>
        </w:rPr>
        <w:t>T</w:t>
      </w:r>
      <w:r w:rsidRPr="00774B2C">
        <w:rPr>
          <w:szCs w:val="24"/>
        </w:rPr>
        <w:t>argetscan</w:t>
      </w:r>
      <w:proofErr w:type="spellEnd"/>
      <w:r w:rsidRPr="00774B2C">
        <w:rPr>
          <w:szCs w:val="24"/>
        </w:rPr>
        <w:t xml:space="preserve">; </w:t>
      </w:r>
      <w:r w:rsidR="001A1C8A" w:rsidRPr="00774B2C">
        <w:rPr>
          <w:szCs w:val="24"/>
        </w:rPr>
        <w:t>B:</w:t>
      </w:r>
      <w:r w:rsidRPr="00774B2C">
        <w:rPr>
          <w:szCs w:val="24"/>
        </w:rPr>
        <w:t xml:space="preserve"> Distribution of the first 30 relationship pairs.</w:t>
      </w:r>
    </w:p>
    <w:p w14:paraId="734A659F" w14:textId="764AEDA2" w:rsidR="00BF2B1A" w:rsidRPr="00774B2C" w:rsidRDefault="00BF2B1A" w:rsidP="00774B2C">
      <w:pPr>
        <w:adjustRightInd w:val="0"/>
        <w:snapToGrid w:val="0"/>
        <w:rPr>
          <w:b/>
          <w:szCs w:val="24"/>
        </w:rPr>
      </w:pPr>
    </w:p>
    <w:p w14:paraId="01AF3057" w14:textId="77777777" w:rsidR="00BF2B1A" w:rsidRPr="00774B2C" w:rsidRDefault="00BF2B1A" w:rsidP="00774B2C">
      <w:pPr>
        <w:widowControl/>
        <w:adjustRightInd w:val="0"/>
        <w:snapToGrid w:val="0"/>
        <w:rPr>
          <w:b/>
          <w:szCs w:val="24"/>
        </w:rPr>
      </w:pPr>
      <w:r w:rsidRPr="00774B2C">
        <w:rPr>
          <w:b/>
          <w:szCs w:val="24"/>
        </w:rPr>
        <w:br w:type="page"/>
      </w:r>
    </w:p>
    <w:p w14:paraId="2E577141" w14:textId="338B4A53" w:rsidR="00483403" w:rsidRPr="00774B2C" w:rsidRDefault="00483403" w:rsidP="00774B2C">
      <w:pPr>
        <w:adjustRightInd w:val="0"/>
        <w:snapToGrid w:val="0"/>
        <w:rPr>
          <w:rFonts w:eastAsia="楷体"/>
          <w:b/>
          <w:szCs w:val="24"/>
        </w:rPr>
      </w:pPr>
      <w:r w:rsidRPr="00774B2C">
        <w:rPr>
          <w:b/>
          <w:szCs w:val="24"/>
        </w:rPr>
        <w:lastRenderedPageBreak/>
        <w:t>Table 1 Comparison of baseline data</w:t>
      </w:r>
    </w:p>
    <w:tbl>
      <w:tblPr>
        <w:tblW w:w="9639" w:type="dxa"/>
        <w:tblInd w:w="-113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1276"/>
        <w:gridCol w:w="1275"/>
      </w:tblGrid>
      <w:tr w:rsidR="00F4446D" w:rsidRPr="00774B2C" w14:paraId="6505F4A8" w14:textId="77777777" w:rsidTr="00F4446D">
        <w:trPr>
          <w:trHeight w:val="25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A0A739" w14:textId="77777777" w:rsidR="00F4446D" w:rsidRPr="00FD2BD2" w:rsidRDefault="00F4446D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FD2BD2">
              <w:rPr>
                <w:b/>
                <w:bCs/>
                <w:szCs w:val="24"/>
              </w:rPr>
              <w:t>Factors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189DFB" w14:textId="2BD31FC6" w:rsidR="00F4446D" w:rsidRPr="00FD2BD2" w:rsidRDefault="00F4446D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FD2BD2">
              <w:rPr>
                <w:b/>
                <w:bCs/>
                <w:szCs w:val="24"/>
              </w:rPr>
              <w:t>Normal group (</w:t>
            </w:r>
            <w:r w:rsidRPr="00F4446D">
              <w:rPr>
                <w:b/>
                <w:bCs/>
                <w:i/>
                <w:iCs/>
                <w:szCs w:val="24"/>
              </w:rPr>
              <w:t>n</w:t>
            </w:r>
            <w:r>
              <w:rPr>
                <w:b/>
                <w:bCs/>
                <w:szCs w:val="24"/>
              </w:rPr>
              <w:t xml:space="preserve"> </w:t>
            </w:r>
            <w:r w:rsidRPr="00FD2BD2">
              <w:rPr>
                <w:b/>
                <w:bCs/>
                <w:szCs w:val="24"/>
              </w:rPr>
              <w:t>=</w:t>
            </w:r>
            <w:r>
              <w:rPr>
                <w:b/>
                <w:bCs/>
                <w:szCs w:val="24"/>
              </w:rPr>
              <w:t xml:space="preserve"> </w:t>
            </w:r>
            <w:r w:rsidRPr="00FD2BD2">
              <w:rPr>
                <w:b/>
                <w:bCs/>
                <w:szCs w:val="24"/>
              </w:rPr>
              <w:t>50)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71893D" w14:textId="2DB6C522" w:rsidR="00F4446D" w:rsidRPr="00FD2BD2" w:rsidRDefault="00F4446D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FD2BD2">
              <w:rPr>
                <w:b/>
                <w:bCs/>
                <w:szCs w:val="24"/>
              </w:rPr>
              <w:t>Patient group (</w:t>
            </w:r>
            <w:r w:rsidRPr="00F4446D">
              <w:rPr>
                <w:b/>
                <w:bCs/>
                <w:i/>
                <w:iCs/>
                <w:szCs w:val="24"/>
              </w:rPr>
              <w:t>n</w:t>
            </w:r>
            <w:r>
              <w:rPr>
                <w:b/>
                <w:bCs/>
                <w:szCs w:val="24"/>
              </w:rPr>
              <w:t xml:space="preserve"> </w:t>
            </w:r>
            <w:r w:rsidRPr="00FD2BD2">
              <w:rPr>
                <w:b/>
                <w:bCs/>
                <w:szCs w:val="24"/>
              </w:rPr>
              <w:t>=</w:t>
            </w:r>
            <w:r>
              <w:rPr>
                <w:b/>
                <w:bCs/>
                <w:szCs w:val="24"/>
              </w:rPr>
              <w:t xml:space="preserve"> </w:t>
            </w:r>
            <w:r w:rsidRPr="00FD2BD2">
              <w:rPr>
                <w:b/>
                <w:bCs/>
                <w:szCs w:val="24"/>
              </w:rPr>
              <w:t>78)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AAC7F2" w14:textId="5EF94D92" w:rsidR="00F4446D" w:rsidRPr="00FD2BD2" w:rsidRDefault="00F4446D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F4446D">
              <w:rPr>
                <w:rFonts w:hint="eastAsia"/>
                <w:b/>
                <w:bCs/>
                <w:i/>
                <w:iCs/>
                <w:szCs w:val="24"/>
              </w:rPr>
              <w:t>t</w:t>
            </w:r>
            <w:r>
              <w:rPr>
                <w:b/>
                <w:bCs/>
                <w:szCs w:val="24"/>
              </w:rPr>
              <w:t xml:space="preserve"> </w:t>
            </w:r>
            <w:r w:rsidRPr="00FD2BD2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t xml:space="preserve"> </w:t>
            </w:r>
            <w:r w:rsidRPr="00F4446D">
              <w:rPr>
                <w:b/>
                <w:bCs/>
                <w:i/>
                <w:iCs/>
                <w:szCs w:val="24"/>
              </w:rPr>
              <w:sym w:font="Symbol" w:char="0063"/>
            </w:r>
            <w:r w:rsidRPr="00FD2BD2">
              <w:rPr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C56023" w14:textId="41B257A7" w:rsidR="00F4446D" w:rsidRPr="00F4446D" w:rsidRDefault="001C4C56" w:rsidP="00774B2C">
            <w:pPr>
              <w:adjustRightInd w:val="0"/>
              <w:snapToGrid w:val="0"/>
              <w:rPr>
                <w:rFonts w:eastAsia="楷体"/>
                <w:b/>
                <w:bCs/>
                <w:i/>
                <w:iCs/>
                <w:szCs w:val="24"/>
              </w:rPr>
            </w:pPr>
            <w:r w:rsidRPr="001C4C56">
              <w:rPr>
                <w:b/>
                <w:bCs/>
                <w:i/>
                <w:iCs/>
                <w:color w:val="000000"/>
                <w:szCs w:val="24"/>
              </w:rPr>
              <w:t>P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1C4C56">
              <w:rPr>
                <w:b/>
                <w:bCs/>
                <w:color w:val="000000"/>
                <w:szCs w:val="24"/>
              </w:rPr>
              <w:t>value</w:t>
            </w:r>
          </w:p>
        </w:tc>
      </w:tr>
      <w:tr w:rsidR="00F4446D" w:rsidRPr="00774B2C" w14:paraId="7B917949" w14:textId="77777777" w:rsidTr="00F4446D">
        <w:trPr>
          <w:trHeight w:val="420"/>
        </w:trPr>
        <w:tc>
          <w:tcPr>
            <w:tcW w:w="3119" w:type="dxa"/>
            <w:tcBorders>
              <w:top w:val="single" w:sz="4" w:space="0" w:color="auto"/>
            </w:tcBorders>
          </w:tcPr>
          <w:p w14:paraId="3087B7FC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Gender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03BBD4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1499D70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EAA615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0.161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903383E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0.688</w:t>
            </w:r>
          </w:p>
        </w:tc>
      </w:tr>
      <w:tr w:rsidR="00F4446D" w:rsidRPr="00774B2C" w14:paraId="38A3A518" w14:textId="77777777" w:rsidTr="00F4446D">
        <w:trPr>
          <w:trHeight w:val="123"/>
        </w:trPr>
        <w:tc>
          <w:tcPr>
            <w:tcW w:w="3119" w:type="dxa"/>
          </w:tcPr>
          <w:p w14:paraId="16E6F2C3" w14:textId="7F8A5BF9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Male</w:t>
            </w:r>
          </w:p>
        </w:tc>
        <w:tc>
          <w:tcPr>
            <w:tcW w:w="1843" w:type="dxa"/>
          </w:tcPr>
          <w:p w14:paraId="3E9E58F9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30 (60.00)</w:t>
            </w:r>
          </w:p>
        </w:tc>
        <w:tc>
          <w:tcPr>
            <w:tcW w:w="2126" w:type="dxa"/>
          </w:tcPr>
          <w:p w14:paraId="5BC82D62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44 (56.41)</w:t>
            </w:r>
          </w:p>
        </w:tc>
        <w:tc>
          <w:tcPr>
            <w:tcW w:w="1276" w:type="dxa"/>
          </w:tcPr>
          <w:p w14:paraId="2981FC25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7AB2CE5C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6258A3A7" w14:textId="77777777" w:rsidTr="00F4446D">
        <w:trPr>
          <w:trHeight w:val="123"/>
        </w:trPr>
        <w:tc>
          <w:tcPr>
            <w:tcW w:w="3119" w:type="dxa"/>
          </w:tcPr>
          <w:p w14:paraId="7901655A" w14:textId="79F7638D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Female</w:t>
            </w:r>
          </w:p>
        </w:tc>
        <w:tc>
          <w:tcPr>
            <w:tcW w:w="1843" w:type="dxa"/>
          </w:tcPr>
          <w:p w14:paraId="47B738AD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20 (40.00)</w:t>
            </w:r>
          </w:p>
        </w:tc>
        <w:tc>
          <w:tcPr>
            <w:tcW w:w="2126" w:type="dxa"/>
          </w:tcPr>
          <w:p w14:paraId="5B062A00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34 (43.59)</w:t>
            </w:r>
          </w:p>
        </w:tc>
        <w:tc>
          <w:tcPr>
            <w:tcW w:w="1276" w:type="dxa"/>
          </w:tcPr>
          <w:p w14:paraId="16862416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33230A8D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2FB15F53" w14:textId="77777777" w:rsidTr="00F4446D">
        <w:trPr>
          <w:trHeight w:val="123"/>
        </w:trPr>
        <w:tc>
          <w:tcPr>
            <w:tcW w:w="3119" w:type="dxa"/>
          </w:tcPr>
          <w:p w14:paraId="7D8B351A" w14:textId="060396A3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Age (</w:t>
            </w:r>
            <w:proofErr w:type="spellStart"/>
            <w:r w:rsidR="007C797C" w:rsidRPr="00774B2C">
              <w:rPr>
                <w:szCs w:val="24"/>
              </w:rPr>
              <w:t>y</w:t>
            </w:r>
            <w:r>
              <w:rPr>
                <w:szCs w:val="24"/>
              </w:rPr>
              <w:t>r</w:t>
            </w:r>
            <w:proofErr w:type="spellEnd"/>
            <w:r w:rsidRPr="00774B2C">
              <w:rPr>
                <w:szCs w:val="24"/>
              </w:rPr>
              <w:t>)</w:t>
            </w:r>
          </w:p>
        </w:tc>
        <w:tc>
          <w:tcPr>
            <w:tcW w:w="1843" w:type="dxa"/>
          </w:tcPr>
          <w:p w14:paraId="53085ED5" w14:textId="2059BDF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60.4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±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4.8</w:t>
            </w:r>
          </w:p>
        </w:tc>
        <w:tc>
          <w:tcPr>
            <w:tcW w:w="2126" w:type="dxa"/>
          </w:tcPr>
          <w:p w14:paraId="032AE11B" w14:textId="380C8072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58.7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±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5.4</w:t>
            </w:r>
          </w:p>
        </w:tc>
        <w:tc>
          <w:tcPr>
            <w:tcW w:w="1276" w:type="dxa"/>
          </w:tcPr>
          <w:p w14:paraId="1F0A867A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0.310</w:t>
            </w:r>
          </w:p>
        </w:tc>
        <w:tc>
          <w:tcPr>
            <w:tcW w:w="1275" w:type="dxa"/>
          </w:tcPr>
          <w:p w14:paraId="71D5BC9A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0.757</w:t>
            </w:r>
          </w:p>
        </w:tc>
      </w:tr>
      <w:tr w:rsidR="00F4446D" w:rsidRPr="00774B2C" w14:paraId="3AE750FC" w14:textId="77777777" w:rsidTr="00F4446D">
        <w:trPr>
          <w:trHeight w:val="127"/>
        </w:trPr>
        <w:tc>
          <w:tcPr>
            <w:tcW w:w="3119" w:type="dxa"/>
          </w:tcPr>
          <w:p w14:paraId="42A2C4E6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Smoking history</w:t>
            </w:r>
          </w:p>
        </w:tc>
        <w:tc>
          <w:tcPr>
            <w:tcW w:w="1843" w:type="dxa"/>
          </w:tcPr>
          <w:p w14:paraId="3ACC5A1D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4CA9D6BD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6" w:type="dxa"/>
          </w:tcPr>
          <w:p w14:paraId="52647426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0.295</w:t>
            </w:r>
          </w:p>
        </w:tc>
        <w:tc>
          <w:tcPr>
            <w:tcW w:w="1275" w:type="dxa"/>
          </w:tcPr>
          <w:p w14:paraId="179143EB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0.587</w:t>
            </w:r>
          </w:p>
        </w:tc>
      </w:tr>
      <w:tr w:rsidR="00F4446D" w:rsidRPr="00774B2C" w14:paraId="7418FDAC" w14:textId="77777777" w:rsidTr="00F4446D">
        <w:trPr>
          <w:trHeight w:val="127"/>
        </w:trPr>
        <w:tc>
          <w:tcPr>
            <w:tcW w:w="3119" w:type="dxa"/>
          </w:tcPr>
          <w:p w14:paraId="571A9961" w14:textId="512FA2AC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33" w:name="OLE_LINK3"/>
            <w:r w:rsidRPr="00774B2C">
              <w:rPr>
                <w:szCs w:val="24"/>
              </w:rPr>
              <w:t>Yes</w:t>
            </w:r>
          </w:p>
        </w:tc>
        <w:tc>
          <w:tcPr>
            <w:tcW w:w="1843" w:type="dxa"/>
          </w:tcPr>
          <w:p w14:paraId="343555CC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30 (60.00)</w:t>
            </w:r>
          </w:p>
        </w:tc>
        <w:tc>
          <w:tcPr>
            <w:tcW w:w="2126" w:type="dxa"/>
          </w:tcPr>
          <w:p w14:paraId="7D295064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43 (55.13)</w:t>
            </w:r>
          </w:p>
        </w:tc>
        <w:tc>
          <w:tcPr>
            <w:tcW w:w="1276" w:type="dxa"/>
          </w:tcPr>
          <w:p w14:paraId="34FE1200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120565A4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26279C37" w14:textId="77777777" w:rsidTr="00F4446D">
        <w:trPr>
          <w:trHeight w:val="127"/>
        </w:trPr>
        <w:tc>
          <w:tcPr>
            <w:tcW w:w="3119" w:type="dxa"/>
          </w:tcPr>
          <w:p w14:paraId="7DC8990E" w14:textId="5540F8A0" w:rsidR="00F4446D" w:rsidRPr="00774B2C" w:rsidRDefault="00F4446D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No</w:t>
            </w:r>
          </w:p>
        </w:tc>
        <w:tc>
          <w:tcPr>
            <w:tcW w:w="1843" w:type="dxa"/>
          </w:tcPr>
          <w:p w14:paraId="2F5D6307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20 (40.00)</w:t>
            </w:r>
          </w:p>
        </w:tc>
        <w:tc>
          <w:tcPr>
            <w:tcW w:w="2126" w:type="dxa"/>
          </w:tcPr>
          <w:p w14:paraId="2CACD691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35 (44.87)</w:t>
            </w:r>
          </w:p>
        </w:tc>
        <w:tc>
          <w:tcPr>
            <w:tcW w:w="1276" w:type="dxa"/>
          </w:tcPr>
          <w:p w14:paraId="7DB0360A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6C1614C4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33"/>
      <w:tr w:rsidR="00F4446D" w:rsidRPr="00774B2C" w14:paraId="73835B9F" w14:textId="77777777" w:rsidTr="00F4446D">
        <w:trPr>
          <w:trHeight w:val="127"/>
        </w:trPr>
        <w:tc>
          <w:tcPr>
            <w:tcW w:w="3119" w:type="dxa"/>
          </w:tcPr>
          <w:p w14:paraId="58A0AAF1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History of alcoholism</w:t>
            </w:r>
          </w:p>
        </w:tc>
        <w:tc>
          <w:tcPr>
            <w:tcW w:w="1843" w:type="dxa"/>
          </w:tcPr>
          <w:p w14:paraId="4CFD030E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216B1B63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6" w:type="dxa"/>
          </w:tcPr>
          <w:p w14:paraId="001CB17C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0.081</w:t>
            </w:r>
          </w:p>
        </w:tc>
        <w:tc>
          <w:tcPr>
            <w:tcW w:w="1275" w:type="dxa"/>
          </w:tcPr>
          <w:p w14:paraId="39E72501" w14:textId="2DD95F4F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0.776</w:t>
            </w:r>
          </w:p>
        </w:tc>
      </w:tr>
      <w:tr w:rsidR="00F4446D" w:rsidRPr="00774B2C" w14:paraId="776A1F08" w14:textId="77777777" w:rsidTr="00F4446D">
        <w:trPr>
          <w:trHeight w:val="127"/>
        </w:trPr>
        <w:tc>
          <w:tcPr>
            <w:tcW w:w="3119" w:type="dxa"/>
          </w:tcPr>
          <w:p w14:paraId="115ECED0" w14:textId="3A51BB10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Yes</w:t>
            </w:r>
          </w:p>
        </w:tc>
        <w:tc>
          <w:tcPr>
            <w:tcW w:w="1843" w:type="dxa"/>
          </w:tcPr>
          <w:p w14:paraId="503696F6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8 (16.00)</w:t>
            </w:r>
          </w:p>
        </w:tc>
        <w:tc>
          <w:tcPr>
            <w:tcW w:w="2126" w:type="dxa"/>
          </w:tcPr>
          <w:p w14:paraId="594A2FCF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14 (17.95)</w:t>
            </w:r>
          </w:p>
        </w:tc>
        <w:tc>
          <w:tcPr>
            <w:tcW w:w="1276" w:type="dxa"/>
          </w:tcPr>
          <w:p w14:paraId="0E190D3E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721DAC5B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174AF0CE" w14:textId="77777777" w:rsidTr="00F4446D">
        <w:trPr>
          <w:trHeight w:val="127"/>
        </w:trPr>
        <w:tc>
          <w:tcPr>
            <w:tcW w:w="3119" w:type="dxa"/>
          </w:tcPr>
          <w:p w14:paraId="3D357F66" w14:textId="69D67200" w:rsidR="00F4446D" w:rsidRPr="00774B2C" w:rsidRDefault="00F4446D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No</w:t>
            </w:r>
          </w:p>
        </w:tc>
        <w:tc>
          <w:tcPr>
            <w:tcW w:w="1843" w:type="dxa"/>
          </w:tcPr>
          <w:p w14:paraId="72031F2B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42 (84.00)</w:t>
            </w:r>
          </w:p>
        </w:tc>
        <w:tc>
          <w:tcPr>
            <w:tcW w:w="2126" w:type="dxa"/>
          </w:tcPr>
          <w:p w14:paraId="7CCFAD2D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64 (82.05)</w:t>
            </w:r>
          </w:p>
        </w:tc>
        <w:tc>
          <w:tcPr>
            <w:tcW w:w="1276" w:type="dxa"/>
          </w:tcPr>
          <w:p w14:paraId="4633A197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45CAFCA4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0683FA08" w14:textId="77777777" w:rsidTr="00F4446D">
        <w:trPr>
          <w:trHeight w:val="127"/>
        </w:trPr>
        <w:tc>
          <w:tcPr>
            <w:tcW w:w="3119" w:type="dxa"/>
          </w:tcPr>
          <w:p w14:paraId="3104BE6B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Location</w:t>
            </w:r>
          </w:p>
        </w:tc>
        <w:tc>
          <w:tcPr>
            <w:tcW w:w="1843" w:type="dxa"/>
          </w:tcPr>
          <w:p w14:paraId="7968AB5E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3F833C9E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6" w:type="dxa"/>
          </w:tcPr>
          <w:p w14:paraId="28B962D3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6B1101EE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2A9EE849" w14:textId="77777777" w:rsidTr="00F4446D">
        <w:trPr>
          <w:trHeight w:val="127"/>
        </w:trPr>
        <w:tc>
          <w:tcPr>
            <w:tcW w:w="3119" w:type="dxa"/>
          </w:tcPr>
          <w:p w14:paraId="101BAE0C" w14:textId="62E04BDB" w:rsidR="00F4446D" w:rsidRPr="00774B2C" w:rsidRDefault="00F4446D" w:rsidP="00B4271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 xml:space="preserve">The upper thoracic </w:t>
            </w:r>
            <w:r w:rsidR="00B4271B">
              <w:rPr>
                <w:szCs w:val="24"/>
              </w:rPr>
              <w:t>area</w:t>
            </w:r>
          </w:p>
        </w:tc>
        <w:tc>
          <w:tcPr>
            <w:tcW w:w="1843" w:type="dxa"/>
          </w:tcPr>
          <w:p w14:paraId="7BE196E7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18672989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19 (24.36)</w:t>
            </w:r>
          </w:p>
        </w:tc>
        <w:tc>
          <w:tcPr>
            <w:tcW w:w="1276" w:type="dxa"/>
          </w:tcPr>
          <w:p w14:paraId="48B12BEF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4FEF4E62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4AA615AD" w14:textId="77777777" w:rsidTr="00F4446D">
        <w:trPr>
          <w:trHeight w:val="127"/>
        </w:trPr>
        <w:tc>
          <w:tcPr>
            <w:tcW w:w="3119" w:type="dxa"/>
          </w:tcPr>
          <w:p w14:paraId="2D41F477" w14:textId="51CAF2F0" w:rsidR="00F4446D" w:rsidRPr="00774B2C" w:rsidRDefault="00F4446D" w:rsidP="00B4271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 xml:space="preserve">The middle thoracic </w:t>
            </w:r>
            <w:r w:rsidR="00B4271B">
              <w:rPr>
                <w:szCs w:val="24"/>
              </w:rPr>
              <w:t>area</w:t>
            </w:r>
          </w:p>
        </w:tc>
        <w:tc>
          <w:tcPr>
            <w:tcW w:w="1843" w:type="dxa"/>
          </w:tcPr>
          <w:p w14:paraId="4527D8BC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24B2767F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34 (43.59)</w:t>
            </w:r>
          </w:p>
        </w:tc>
        <w:tc>
          <w:tcPr>
            <w:tcW w:w="1276" w:type="dxa"/>
          </w:tcPr>
          <w:p w14:paraId="6D78A393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48283C82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6DF6767C" w14:textId="77777777" w:rsidTr="00F4446D">
        <w:trPr>
          <w:trHeight w:val="127"/>
        </w:trPr>
        <w:tc>
          <w:tcPr>
            <w:tcW w:w="3119" w:type="dxa"/>
          </w:tcPr>
          <w:p w14:paraId="609A6E81" w14:textId="71D6CDFB" w:rsidR="00F4446D" w:rsidRPr="00774B2C" w:rsidRDefault="00F4446D" w:rsidP="00B4271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 xml:space="preserve">The lower thoracic </w:t>
            </w:r>
            <w:r w:rsidR="00B4271B">
              <w:rPr>
                <w:szCs w:val="24"/>
              </w:rPr>
              <w:t>area</w:t>
            </w:r>
          </w:p>
        </w:tc>
        <w:tc>
          <w:tcPr>
            <w:tcW w:w="1843" w:type="dxa"/>
          </w:tcPr>
          <w:p w14:paraId="2CF48A1D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3C63447D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25 (32.05)</w:t>
            </w:r>
          </w:p>
        </w:tc>
        <w:tc>
          <w:tcPr>
            <w:tcW w:w="1276" w:type="dxa"/>
          </w:tcPr>
          <w:p w14:paraId="474753F7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166CFB6E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7BF13438" w14:textId="77777777" w:rsidTr="00F4446D">
        <w:trPr>
          <w:trHeight w:val="127"/>
        </w:trPr>
        <w:tc>
          <w:tcPr>
            <w:tcW w:w="3119" w:type="dxa"/>
          </w:tcPr>
          <w:p w14:paraId="232C76D9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Tumor size</w:t>
            </w:r>
          </w:p>
        </w:tc>
        <w:tc>
          <w:tcPr>
            <w:tcW w:w="1843" w:type="dxa"/>
          </w:tcPr>
          <w:p w14:paraId="2EC804BF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4A6AEFA0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6" w:type="dxa"/>
          </w:tcPr>
          <w:p w14:paraId="0377979C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1DFFDDEB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678EE018" w14:textId="77777777" w:rsidTr="00F4446D">
        <w:trPr>
          <w:trHeight w:val="127"/>
        </w:trPr>
        <w:tc>
          <w:tcPr>
            <w:tcW w:w="3119" w:type="dxa"/>
          </w:tcPr>
          <w:p w14:paraId="6F6D3CDB" w14:textId="05C72A89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>
              <w:rPr>
                <w:szCs w:val="24"/>
              </w:rPr>
              <w:t>≥</w:t>
            </w:r>
            <w:r>
              <w:rPr>
                <w:rFonts w:hint="cs"/>
                <w:szCs w:val="24"/>
                <w:cs/>
              </w:rPr>
              <w:t xml:space="preserve"> </w:t>
            </w:r>
            <w:r w:rsidRPr="00774B2C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cm</w:t>
            </w:r>
          </w:p>
        </w:tc>
        <w:tc>
          <w:tcPr>
            <w:tcW w:w="1843" w:type="dxa"/>
          </w:tcPr>
          <w:p w14:paraId="2AC037CD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2B297077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45 (57.69)</w:t>
            </w:r>
          </w:p>
        </w:tc>
        <w:tc>
          <w:tcPr>
            <w:tcW w:w="1276" w:type="dxa"/>
          </w:tcPr>
          <w:p w14:paraId="6FCC5986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0D9350C9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2BB92CA8" w14:textId="77777777" w:rsidTr="00F4446D">
        <w:trPr>
          <w:trHeight w:val="127"/>
        </w:trPr>
        <w:tc>
          <w:tcPr>
            <w:tcW w:w="3119" w:type="dxa"/>
          </w:tcPr>
          <w:p w14:paraId="6F37F7F2" w14:textId="16C578D1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>
              <w:rPr>
                <w:rFonts w:hint="eastAsia"/>
                <w:szCs w:val="24"/>
              </w:rPr>
              <w:t>&lt;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</w:t>
            </w:r>
            <w:r w:rsidR="00B4271B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cm</w:t>
            </w:r>
          </w:p>
        </w:tc>
        <w:tc>
          <w:tcPr>
            <w:tcW w:w="1843" w:type="dxa"/>
          </w:tcPr>
          <w:p w14:paraId="360DD9AB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4C644572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33 (42.31)</w:t>
            </w:r>
          </w:p>
        </w:tc>
        <w:tc>
          <w:tcPr>
            <w:tcW w:w="1276" w:type="dxa"/>
          </w:tcPr>
          <w:p w14:paraId="3DC8F577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617DA1E8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3C3F2F87" w14:textId="77777777" w:rsidTr="00F4446D">
        <w:trPr>
          <w:trHeight w:val="127"/>
        </w:trPr>
        <w:tc>
          <w:tcPr>
            <w:tcW w:w="3119" w:type="dxa"/>
          </w:tcPr>
          <w:p w14:paraId="79F2E7AB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Differentiation</w:t>
            </w:r>
          </w:p>
        </w:tc>
        <w:tc>
          <w:tcPr>
            <w:tcW w:w="1843" w:type="dxa"/>
          </w:tcPr>
          <w:p w14:paraId="20494ABB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36C4A84C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6" w:type="dxa"/>
          </w:tcPr>
          <w:p w14:paraId="31794693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14953C83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1EA660D5" w14:textId="77777777" w:rsidTr="00F4446D">
        <w:trPr>
          <w:trHeight w:val="127"/>
        </w:trPr>
        <w:tc>
          <w:tcPr>
            <w:tcW w:w="3119" w:type="dxa"/>
          </w:tcPr>
          <w:p w14:paraId="5F0F21E3" w14:textId="3DB88C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Low differentiation</w:t>
            </w:r>
          </w:p>
        </w:tc>
        <w:tc>
          <w:tcPr>
            <w:tcW w:w="1843" w:type="dxa"/>
          </w:tcPr>
          <w:p w14:paraId="5EC9A011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780E82CA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25 (32.05)</w:t>
            </w:r>
          </w:p>
        </w:tc>
        <w:tc>
          <w:tcPr>
            <w:tcW w:w="1276" w:type="dxa"/>
          </w:tcPr>
          <w:p w14:paraId="5FBC7EAF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5D54F0CA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54EB0C83" w14:textId="77777777" w:rsidTr="00F4446D">
        <w:trPr>
          <w:trHeight w:val="127"/>
        </w:trPr>
        <w:tc>
          <w:tcPr>
            <w:tcW w:w="3119" w:type="dxa"/>
          </w:tcPr>
          <w:p w14:paraId="6FDD90FC" w14:textId="6BF17FE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Moderate + high differentiation</w:t>
            </w:r>
          </w:p>
        </w:tc>
        <w:tc>
          <w:tcPr>
            <w:tcW w:w="1843" w:type="dxa"/>
          </w:tcPr>
          <w:p w14:paraId="5C59EF5D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01409EF3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53 (67.95)</w:t>
            </w:r>
          </w:p>
        </w:tc>
        <w:tc>
          <w:tcPr>
            <w:tcW w:w="1276" w:type="dxa"/>
          </w:tcPr>
          <w:p w14:paraId="271E93CA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5B18791C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55EA37B9" w14:textId="77777777" w:rsidTr="00F4446D">
        <w:trPr>
          <w:trHeight w:val="127"/>
        </w:trPr>
        <w:tc>
          <w:tcPr>
            <w:tcW w:w="3119" w:type="dxa"/>
          </w:tcPr>
          <w:p w14:paraId="584BDDF2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TNM stage</w:t>
            </w:r>
          </w:p>
        </w:tc>
        <w:tc>
          <w:tcPr>
            <w:tcW w:w="1843" w:type="dxa"/>
          </w:tcPr>
          <w:p w14:paraId="026CE4BC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268FA264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6" w:type="dxa"/>
          </w:tcPr>
          <w:p w14:paraId="6F55A29B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434C01B4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0DA7E3A2" w14:textId="77777777" w:rsidTr="00F4446D">
        <w:trPr>
          <w:trHeight w:val="127"/>
        </w:trPr>
        <w:tc>
          <w:tcPr>
            <w:tcW w:w="3119" w:type="dxa"/>
          </w:tcPr>
          <w:p w14:paraId="15688C2D" w14:textId="72562CC8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34" w:name="OLE_LINK6"/>
            <w:r w:rsidRPr="00774B2C">
              <w:rPr>
                <w:szCs w:val="24"/>
              </w:rPr>
              <w:t>Stage I</w:t>
            </w:r>
          </w:p>
        </w:tc>
        <w:tc>
          <w:tcPr>
            <w:tcW w:w="1843" w:type="dxa"/>
          </w:tcPr>
          <w:p w14:paraId="47DE9907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41A18CC4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27 (34.62)</w:t>
            </w:r>
          </w:p>
        </w:tc>
        <w:tc>
          <w:tcPr>
            <w:tcW w:w="1276" w:type="dxa"/>
          </w:tcPr>
          <w:p w14:paraId="6DA21244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7DA3BD73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6F761E6A" w14:textId="77777777" w:rsidTr="00F4446D">
        <w:trPr>
          <w:trHeight w:val="144"/>
        </w:trPr>
        <w:tc>
          <w:tcPr>
            <w:tcW w:w="3119" w:type="dxa"/>
          </w:tcPr>
          <w:p w14:paraId="7CD48541" w14:textId="58A90C7F" w:rsidR="00F4446D" w:rsidRPr="00774B2C" w:rsidRDefault="00820C61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>
              <w:rPr>
                <w:szCs w:val="24"/>
              </w:rPr>
              <w:t xml:space="preserve">Stage </w:t>
            </w:r>
            <w:r w:rsidR="00F4446D" w:rsidRPr="00774B2C">
              <w:rPr>
                <w:szCs w:val="24"/>
              </w:rPr>
              <w:t>II</w:t>
            </w:r>
            <w:r w:rsidR="00F4446D">
              <w:rPr>
                <w:szCs w:val="24"/>
              </w:rPr>
              <w:t xml:space="preserve"> </w:t>
            </w:r>
            <w:r w:rsidR="00F4446D" w:rsidRPr="00774B2C">
              <w:rPr>
                <w:szCs w:val="24"/>
              </w:rPr>
              <w:t>+</w:t>
            </w:r>
            <w:r w:rsidR="00F4446D">
              <w:rPr>
                <w:szCs w:val="24"/>
              </w:rPr>
              <w:t xml:space="preserve"> </w:t>
            </w:r>
            <w:r w:rsidR="00F4446D" w:rsidRPr="00774B2C">
              <w:rPr>
                <w:szCs w:val="24"/>
              </w:rPr>
              <w:t xml:space="preserve">III </w:t>
            </w:r>
          </w:p>
        </w:tc>
        <w:tc>
          <w:tcPr>
            <w:tcW w:w="1843" w:type="dxa"/>
          </w:tcPr>
          <w:p w14:paraId="772292BE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0464682F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51 (65.38)</w:t>
            </w:r>
          </w:p>
        </w:tc>
        <w:tc>
          <w:tcPr>
            <w:tcW w:w="1276" w:type="dxa"/>
          </w:tcPr>
          <w:p w14:paraId="1AFD7638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275" w:type="dxa"/>
          </w:tcPr>
          <w:p w14:paraId="08ACFD17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34"/>
    </w:tbl>
    <w:p w14:paraId="2179B827" w14:textId="16C07496" w:rsidR="00F4446D" w:rsidRDefault="00F4446D" w:rsidP="00774B2C">
      <w:pPr>
        <w:adjustRightInd w:val="0"/>
        <w:snapToGrid w:val="0"/>
        <w:rPr>
          <w:rFonts w:eastAsia="楷体"/>
          <w:szCs w:val="24"/>
        </w:rPr>
      </w:pPr>
    </w:p>
    <w:p w14:paraId="70456393" w14:textId="77777777" w:rsidR="00F4446D" w:rsidRDefault="00F4446D">
      <w:pPr>
        <w:widowControl/>
        <w:spacing w:line="240" w:lineRule="auto"/>
        <w:jc w:val="left"/>
        <w:rPr>
          <w:rFonts w:eastAsia="楷体"/>
          <w:szCs w:val="24"/>
        </w:rPr>
      </w:pPr>
      <w:r>
        <w:rPr>
          <w:rFonts w:eastAsia="楷体"/>
          <w:szCs w:val="24"/>
        </w:rPr>
        <w:br w:type="page"/>
      </w:r>
    </w:p>
    <w:p w14:paraId="3C439B95" w14:textId="2A86BA61" w:rsidR="00483403" w:rsidRPr="00774B2C" w:rsidRDefault="00483403" w:rsidP="00774B2C">
      <w:pPr>
        <w:adjustRightInd w:val="0"/>
        <w:snapToGrid w:val="0"/>
        <w:rPr>
          <w:rFonts w:eastAsia="楷体"/>
          <w:b/>
          <w:szCs w:val="24"/>
        </w:rPr>
      </w:pPr>
      <w:r w:rsidRPr="00774B2C">
        <w:rPr>
          <w:b/>
          <w:szCs w:val="24"/>
        </w:rPr>
        <w:lastRenderedPageBreak/>
        <w:t xml:space="preserve">Table 2 Relationship between miR-1304 and pathological data </w:t>
      </w:r>
    </w:p>
    <w:tbl>
      <w:tblPr>
        <w:tblW w:w="9215" w:type="dxa"/>
        <w:tblInd w:w="-43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7"/>
        <w:gridCol w:w="2126"/>
        <w:gridCol w:w="1134"/>
        <w:gridCol w:w="1134"/>
      </w:tblGrid>
      <w:tr w:rsidR="00F4446D" w:rsidRPr="00774B2C" w14:paraId="77746E68" w14:textId="77777777" w:rsidTr="002E70BB">
        <w:trPr>
          <w:trHeight w:val="24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8B47627" w14:textId="77777777" w:rsidR="00F4446D" w:rsidRPr="00F4446D" w:rsidRDefault="00F4446D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F4446D">
              <w:rPr>
                <w:b/>
                <w:bCs/>
                <w:szCs w:val="24"/>
              </w:rPr>
              <w:t>Factors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DCE1F8B" w14:textId="3683753E" w:rsidR="00F4446D" w:rsidRPr="00F4446D" w:rsidRDefault="00F4446D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F4446D">
              <w:rPr>
                <w:b/>
                <w:bCs/>
                <w:szCs w:val="24"/>
              </w:rPr>
              <w:t>High expression (</w:t>
            </w:r>
            <w:r w:rsidRPr="00F4446D">
              <w:rPr>
                <w:b/>
                <w:bCs/>
                <w:i/>
                <w:iCs/>
                <w:szCs w:val="24"/>
              </w:rPr>
              <w:t>n</w:t>
            </w:r>
            <w:r w:rsidRPr="00F4446D">
              <w:rPr>
                <w:b/>
                <w:bCs/>
                <w:szCs w:val="24"/>
              </w:rPr>
              <w:t xml:space="preserve"> = 39)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9CE9FD" w14:textId="5DD417F6" w:rsidR="00F4446D" w:rsidRPr="00F4446D" w:rsidRDefault="00F4446D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F4446D">
              <w:rPr>
                <w:b/>
                <w:bCs/>
                <w:szCs w:val="24"/>
              </w:rPr>
              <w:t>Low expression (</w:t>
            </w:r>
            <w:r w:rsidRPr="00F4446D">
              <w:rPr>
                <w:b/>
                <w:bCs/>
                <w:i/>
                <w:iCs/>
                <w:szCs w:val="24"/>
              </w:rPr>
              <w:t>n</w:t>
            </w:r>
            <w:r w:rsidRPr="00F4446D">
              <w:rPr>
                <w:b/>
                <w:bCs/>
                <w:szCs w:val="24"/>
              </w:rPr>
              <w:t xml:space="preserve"> = 39)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C98E96" w14:textId="77777777" w:rsidR="00F4446D" w:rsidRPr="00F4446D" w:rsidRDefault="00F4446D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F4446D">
              <w:rPr>
                <w:rFonts w:eastAsia="楷体"/>
                <w:b/>
                <w:bCs/>
                <w:i/>
                <w:iCs/>
                <w:szCs w:val="24"/>
              </w:rPr>
              <w:sym w:font="Symbol" w:char="0063"/>
            </w:r>
            <w:r w:rsidRPr="00F4446D">
              <w:rPr>
                <w:rFonts w:eastAsia="楷体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6FFE1D" w14:textId="496B9B08" w:rsidR="00F4446D" w:rsidRPr="00F4446D" w:rsidRDefault="001C4C56" w:rsidP="00774B2C">
            <w:pPr>
              <w:adjustRightInd w:val="0"/>
              <w:snapToGrid w:val="0"/>
              <w:rPr>
                <w:rFonts w:eastAsia="楷体"/>
                <w:b/>
                <w:bCs/>
                <w:i/>
                <w:iCs/>
                <w:szCs w:val="24"/>
              </w:rPr>
            </w:pPr>
            <w:r w:rsidRPr="001C4C56">
              <w:rPr>
                <w:b/>
                <w:bCs/>
                <w:i/>
                <w:iCs/>
                <w:color w:val="000000"/>
                <w:szCs w:val="24"/>
              </w:rPr>
              <w:t>P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1C4C56">
              <w:rPr>
                <w:b/>
                <w:bCs/>
                <w:color w:val="000000"/>
                <w:szCs w:val="24"/>
              </w:rPr>
              <w:t>value</w:t>
            </w:r>
          </w:p>
        </w:tc>
      </w:tr>
      <w:tr w:rsidR="00F4446D" w:rsidRPr="00774B2C" w14:paraId="1A56D387" w14:textId="77777777" w:rsidTr="002E70BB">
        <w:trPr>
          <w:trHeight w:val="128"/>
        </w:trPr>
        <w:tc>
          <w:tcPr>
            <w:tcW w:w="2694" w:type="dxa"/>
            <w:tcBorders>
              <w:top w:val="single" w:sz="4" w:space="0" w:color="auto"/>
            </w:tcBorders>
          </w:tcPr>
          <w:p w14:paraId="48BC7DBF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Gender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9FBCA61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8FBAE4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2C44BF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0.834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910418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0.361</w:t>
            </w:r>
          </w:p>
        </w:tc>
      </w:tr>
      <w:tr w:rsidR="00F4446D" w:rsidRPr="00774B2C" w14:paraId="0929A5AC" w14:textId="77777777" w:rsidTr="002E70BB">
        <w:trPr>
          <w:trHeight w:val="117"/>
        </w:trPr>
        <w:tc>
          <w:tcPr>
            <w:tcW w:w="2694" w:type="dxa"/>
          </w:tcPr>
          <w:p w14:paraId="0FFDAE79" w14:textId="5D7BF484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35" w:name="OLE_LINK7"/>
            <w:r w:rsidRPr="00774B2C">
              <w:rPr>
                <w:szCs w:val="24"/>
              </w:rPr>
              <w:t>Male (</w:t>
            </w:r>
            <w:r w:rsidRPr="00F4446D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44)</w:t>
            </w:r>
          </w:p>
        </w:tc>
        <w:tc>
          <w:tcPr>
            <w:tcW w:w="2127" w:type="dxa"/>
          </w:tcPr>
          <w:p w14:paraId="3424E0E4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20 (51.28)</w:t>
            </w:r>
          </w:p>
        </w:tc>
        <w:tc>
          <w:tcPr>
            <w:tcW w:w="2126" w:type="dxa"/>
          </w:tcPr>
          <w:p w14:paraId="05D462B9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24 (61.54)</w:t>
            </w:r>
          </w:p>
        </w:tc>
        <w:tc>
          <w:tcPr>
            <w:tcW w:w="1134" w:type="dxa"/>
          </w:tcPr>
          <w:p w14:paraId="3FDC0928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775814FA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59CC3BFE" w14:textId="77777777" w:rsidTr="002E70BB">
        <w:trPr>
          <w:trHeight w:val="117"/>
        </w:trPr>
        <w:tc>
          <w:tcPr>
            <w:tcW w:w="2694" w:type="dxa"/>
          </w:tcPr>
          <w:p w14:paraId="1DC56BDD" w14:textId="447EE19D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Female (</w:t>
            </w:r>
            <w:r w:rsidRPr="00F4446D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34)</w:t>
            </w:r>
          </w:p>
        </w:tc>
        <w:tc>
          <w:tcPr>
            <w:tcW w:w="2127" w:type="dxa"/>
          </w:tcPr>
          <w:p w14:paraId="3CA41CB6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19 (48.72)</w:t>
            </w:r>
          </w:p>
        </w:tc>
        <w:tc>
          <w:tcPr>
            <w:tcW w:w="2126" w:type="dxa"/>
          </w:tcPr>
          <w:p w14:paraId="7EEE44D6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15 (38.46)</w:t>
            </w:r>
          </w:p>
        </w:tc>
        <w:tc>
          <w:tcPr>
            <w:tcW w:w="1134" w:type="dxa"/>
          </w:tcPr>
          <w:p w14:paraId="15D3B3F7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75ABC5B2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35"/>
      <w:tr w:rsidR="00F4446D" w:rsidRPr="00774B2C" w14:paraId="7C333DBA" w14:textId="77777777" w:rsidTr="002E70BB">
        <w:trPr>
          <w:trHeight w:val="117"/>
        </w:trPr>
        <w:tc>
          <w:tcPr>
            <w:tcW w:w="2694" w:type="dxa"/>
          </w:tcPr>
          <w:p w14:paraId="0B2662B5" w14:textId="4223C749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Age (</w:t>
            </w:r>
            <w:proofErr w:type="spellStart"/>
            <w:r w:rsidR="007C797C" w:rsidRPr="00774B2C">
              <w:rPr>
                <w:szCs w:val="24"/>
              </w:rPr>
              <w:t>y</w:t>
            </w:r>
            <w:r>
              <w:rPr>
                <w:szCs w:val="24"/>
              </w:rPr>
              <w:t>r</w:t>
            </w:r>
            <w:proofErr w:type="spellEnd"/>
            <w:r w:rsidRPr="00774B2C">
              <w:rPr>
                <w:szCs w:val="24"/>
              </w:rPr>
              <w:t>)</w:t>
            </w:r>
          </w:p>
        </w:tc>
        <w:tc>
          <w:tcPr>
            <w:tcW w:w="2127" w:type="dxa"/>
          </w:tcPr>
          <w:p w14:paraId="1792DFA7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789ABB1E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7B2534F3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0.821</w:t>
            </w:r>
          </w:p>
        </w:tc>
        <w:tc>
          <w:tcPr>
            <w:tcW w:w="1134" w:type="dxa"/>
          </w:tcPr>
          <w:p w14:paraId="43324FFC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0.365</w:t>
            </w:r>
          </w:p>
        </w:tc>
      </w:tr>
      <w:tr w:rsidR="00F4446D" w:rsidRPr="00774B2C" w14:paraId="329B6395" w14:textId="77777777" w:rsidTr="002E70BB">
        <w:trPr>
          <w:trHeight w:val="117"/>
        </w:trPr>
        <w:tc>
          <w:tcPr>
            <w:tcW w:w="2694" w:type="dxa"/>
          </w:tcPr>
          <w:p w14:paraId="54D3F7D6" w14:textId="2CDD4335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36" w:name="OLE_LINK8"/>
            <w:r>
              <w:rPr>
                <w:szCs w:val="24"/>
              </w:rPr>
              <w:t>≥</w:t>
            </w:r>
            <w:r>
              <w:rPr>
                <w:rFonts w:hint="cs"/>
                <w:szCs w:val="24"/>
                <w:cs/>
              </w:rPr>
              <w:t xml:space="preserve"> </w:t>
            </w:r>
            <w:r w:rsidRPr="00774B2C">
              <w:rPr>
                <w:szCs w:val="24"/>
              </w:rPr>
              <w:t>60 (</w:t>
            </w:r>
            <w:r w:rsidRPr="00F4446D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38)</w:t>
            </w:r>
          </w:p>
        </w:tc>
        <w:tc>
          <w:tcPr>
            <w:tcW w:w="2127" w:type="dxa"/>
          </w:tcPr>
          <w:p w14:paraId="0A5D02EB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17 (43.59)</w:t>
            </w:r>
          </w:p>
        </w:tc>
        <w:tc>
          <w:tcPr>
            <w:tcW w:w="2126" w:type="dxa"/>
          </w:tcPr>
          <w:p w14:paraId="2D45B389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21 (53.85)</w:t>
            </w:r>
          </w:p>
        </w:tc>
        <w:tc>
          <w:tcPr>
            <w:tcW w:w="1134" w:type="dxa"/>
          </w:tcPr>
          <w:p w14:paraId="66055127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750742D2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7E68C222" w14:textId="77777777" w:rsidTr="002E70BB">
        <w:trPr>
          <w:trHeight w:val="117"/>
        </w:trPr>
        <w:tc>
          <w:tcPr>
            <w:tcW w:w="2694" w:type="dxa"/>
          </w:tcPr>
          <w:p w14:paraId="0E48172F" w14:textId="45EAE7F8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>
              <w:rPr>
                <w:rFonts w:hint="eastAsia"/>
                <w:szCs w:val="24"/>
              </w:rPr>
              <w:t>&lt;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60 (</w:t>
            </w:r>
            <w:r w:rsidRPr="00F4446D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40)</w:t>
            </w:r>
          </w:p>
        </w:tc>
        <w:tc>
          <w:tcPr>
            <w:tcW w:w="2127" w:type="dxa"/>
          </w:tcPr>
          <w:p w14:paraId="7A308FB5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22 (56.41)</w:t>
            </w:r>
          </w:p>
        </w:tc>
        <w:tc>
          <w:tcPr>
            <w:tcW w:w="2126" w:type="dxa"/>
          </w:tcPr>
          <w:p w14:paraId="34060F36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18 (46.15)</w:t>
            </w:r>
          </w:p>
        </w:tc>
        <w:tc>
          <w:tcPr>
            <w:tcW w:w="1134" w:type="dxa"/>
          </w:tcPr>
          <w:p w14:paraId="67825937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0EA58194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36"/>
      <w:tr w:rsidR="00F4446D" w:rsidRPr="00774B2C" w14:paraId="30F37168" w14:textId="77777777" w:rsidTr="002E70BB">
        <w:trPr>
          <w:trHeight w:val="121"/>
        </w:trPr>
        <w:tc>
          <w:tcPr>
            <w:tcW w:w="2694" w:type="dxa"/>
          </w:tcPr>
          <w:p w14:paraId="13EC9B79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Lesion location</w:t>
            </w:r>
          </w:p>
        </w:tc>
        <w:tc>
          <w:tcPr>
            <w:tcW w:w="2127" w:type="dxa"/>
          </w:tcPr>
          <w:p w14:paraId="03796D1A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645B246F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46DB86DA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1.523</w:t>
            </w:r>
          </w:p>
        </w:tc>
        <w:tc>
          <w:tcPr>
            <w:tcW w:w="1134" w:type="dxa"/>
          </w:tcPr>
          <w:p w14:paraId="6A4695F3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0.467</w:t>
            </w:r>
          </w:p>
        </w:tc>
      </w:tr>
      <w:tr w:rsidR="00F4446D" w:rsidRPr="00774B2C" w14:paraId="6D268241" w14:textId="77777777" w:rsidTr="002E70BB">
        <w:trPr>
          <w:trHeight w:val="121"/>
        </w:trPr>
        <w:tc>
          <w:tcPr>
            <w:tcW w:w="2694" w:type="dxa"/>
          </w:tcPr>
          <w:p w14:paraId="06526C5D" w14:textId="0DA8D66F" w:rsidR="00F4446D" w:rsidRPr="00774B2C" w:rsidRDefault="00F4446D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37" w:name="OLE_LINK9"/>
            <w:r w:rsidRPr="00774B2C">
              <w:rPr>
                <w:szCs w:val="24"/>
              </w:rPr>
              <w:t xml:space="preserve">The upper thoracic </w:t>
            </w:r>
            <w:r w:rsidR="00820C61">
              <w:rPr>
                <w:szCs w:val="24"/>
              </w:rPr>
              <w:t>area</w:t>
            </w:r>
            <w:r w:rsidRPr="00774B2C">
              <w:rPr>
                <w:szCs w:val="24"/>
              </w:rPr>
              <w:t xml:space="preserve"> (</w:t>
            </w:r>
            <w:r w:rsidRPr="00F4446D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19)</w:t>
            </w:r>
          </w:p>
        </w:tc>
        <w:tc>
          <w:tcPr>
            <w:tcW w:w="2127" w:type="dxa"/>
          </w:tcPr>
          <w:p w14:paraId="4E8B0670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10 (25.64)</w:t>
            </w:r>
          </w:p>
        </w:tc>
        <w:tc>
          <w:tcPr>
            <w:tcW w:w="2126" w:type="dxa"/>
          </w:tcPr>
          <w:p w14:paraId="4682E6B5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9 (23.08)</w:t>
            </w:r>
          </w:p>
        </w:tc>
        <w:tc>
          <w:tcPr>
            <w:tcW w:w="1134" w:type="dxa"/>
          </w:tcPr>
          <w:p w14:paraId="26D97670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7FA16181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6B154B80" w14:textId="77777777" w:rsidTr="002E70BB">
        <w:trPr>
          <w:trHeight w:val="121"/>
        </w:trPr>
        <w:tc>
          <w:tcPr>
            <w:tcW w:w="2694" w:type="dxa"/>
          </w:tcPr>
          <w:p w14:paraId="795FE322" w14:textId="213726D5" w:rsidR="00F4446D" w:rsidRPr="00774B2C" w:rsidRDefault="00F4446D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 xml:space="preserve">The middle thoracic </w:t>
            </w:r>
            <w:r w:rsidR="00820C61">
              <w:rPr>
                <w:szCs w:val="24"/>
              </w:rPr>
              <w:t>area</w:t>
            </w:r>
            <w:r w:rsidRPr="00774B2C">
              <w:rPr>
                <w:szCs w:val="24"/>
              </w:rPr>
              <w:t xml:space="preserve"> (</w:t>
            </w:r>
            <w:r w:rsidRPr="00F4446D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34)</w:t>
            </w:r>
          </w:p>
        </w:tc>
        <w:tc>
          <w:tcPr>
            <w:tcW w:w="2127" w:type="dxa"/>
          </w:tcPr>
          <w:p w14:paraId="122B2319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19 (48.72)</w:t>
            </w:r>
          </w:p>
        </w:tc>
        <w:tc>
          <w:tcPr>
            <w:tcW w:w="2126" w:type="dxa"/>
          </w:tcPr>
          <w:p w14:paraId="1BEE2C8F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15 (38.46)</w:t>
            </w:r>
          </w:p>
        </w:tc>
        <w:tc>
          <w:tcPr>
            <w:tcW w:w="1134" w:type="dxa"/>
          </w:tcPr>
          <w:p w14:paraId="1B301F73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20334CC8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37B79ECA" w14:textId="77777777" w:rsidTr="002E70BB">
        <w:trPr>
          <w:trHeight w:val="121"/>
        </w:trPr>
        <w:tc>
          <w:tcPr>
            <w:tcW w:w="2694" w:type="dxa"/>
          </w:tcPr>
          <w:p w14:paraId="2AFE6C35" w14:textId="5BD9904B" w:rsidR="00F4446D" w:rsidRPr="00774B2C" w:rsidRDefault="00F4446D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 xml:space="preserve">The lower thoracic </w:t>
            </w:r>
            <w:r w:rsidR="00820C61">
              <w:rPr>
                <w:szCs w:val="24"/>
              </w:rPr>
              <w:t>area</w:t>
            </w:r>
            <w:r w:rsidRPr="00774B2C">
              <w:rPr>
                <w:szCs w:val="24"/>
              </w:rPr>
              <w:t xml:space="preserve"> (</w:t>
            </w:r>
            <w:r w:rsidRPr="00F4446D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25)</w:t>
            </w:r>
          </w:p>
        </w:tc>
        <w:tc>
          <w:tcPr>
            <w:tcW w:w="2127" w:type="dxa"/>
          </w:tcPr>
          <w:p w14:paraId="2E652D43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10 (25.64)</w:t>
            </w:r>
          </w:p>
        </w:tc>
        <w:tc>
          <w:tcPr>
            <w:tcW w:w="2126" w:type="dxa"/>
          </w:tcPr>
          <w:p w14:paraId="7A862619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15 (38.46)</w:t>
            </w:r>
          </w:p>
        </w:tc>
        <w:tc>
          <w:tcPr>
            <w:tcW w:w="1134" w:type="dxa"/>
          </w:tcPr>
          <w:p w14:paraId="07708738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030025D2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37"/>
      <w:tr w:rsidR="00F4446D" w:rsidRPr="00774B2C" w14:paraId="2741309C" w14:textId="77777777" w:rsidTr="002E70BB">
        <w:trPr>
          <w:trHeight w:val="121"/>
        </w:trPr>
        <w:tc>
          <w:tcPr>
            <w:tcW w:w="2694" w:type="dxa"/>
          </w:tcPr>
          <w:p w14:paraId="1A537963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Tumor size</w:t>
            </w:r>
          </w:p>
        </w:tc>
        <w:tc>
          <w:tcPr>
            <w:tcW w:w="2127" w:type="dxa"/>
          </w:tcPr>
          <w:p w14:paraId="21475934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4935DA1C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5C0721D6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6.356</w:t>
            </w:r>
          </w:p>
        </w:tc>
        <w:tc>
          <w:tcPr>
            <w:tcW w:w="1134" w:type="dxa"/>
          </w:tcPr>
          <w:p w14:paraId="4C9C67A6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0.001</w:t>
            </w:r>
          </w:p>
        </w:tc>
      </w:tr>
      <w:tr w:rsidR="00F4446D" w:rsidRPr="00774B2C" w14:paraId="089CFDD4" w14:textId="77777777" w:rsidTr="002E70BB">
        <w:trPr>
          <w:trHeight w:val="121"/>
        </w:trPr>
        <w:tc>
          <w:tcPr>
            <w:tcW w:w="2694" w:type="dxa"/>
          </w:tcPr>
          <w:p w14:paraId="0AF29A54" w14:textId="5CF5FA9C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38" w:name="OLE_LINK13"/>
            <w:bookmarkStart w:id="39" w:name="OLE_LINK10"/>
            <w:r>
              <w:rPr>
                <w:szCs w:val="24"/>
              </w:rPr>
              <w:t>≥</w:t>
            </w:r>
            <w:r>
              <w:rPr>
                <w:rFonts w:hint="cs"/>
                <w:szCs w:val="24"/>
                <w:cs/>
              </w:rPr>
              <w:t xml:space="preserve"> </w:t>
            </w:r>
            <w:r w:rsidRPr="00774B2C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cm</w:t>
            </w:r>
            <w:bookmarkEnd w:id="38"/>
            <w:r w:rsidRPr="00774B2C">
              <w:rPr>
                <w:szCs w:val="24"/>
              </w:rPr>
              <w:t xml:space="preserve"> (</w:t>
            </w:r>
            <w:r w:rsidRPr="00F4446D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45)</w:t>
            </w:r>
          </w:p>
        </w:tc>
        <w:tc>
          <w:tcPr>
            <w:tcW w:w="2127" w:type="dxa"/>
          </w:tcPr>
          <w:p w14:paraId="5192CC58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28 (71.79)</w:t>
            </w:r>
          </w:p>
        </w:tc>
        <w:tc>
          <w:tcPr>
            <w:tcW w:w="2126" w:type="dxa"/>
          </w:tcPr>
          <w:p w14:paraId="07B63C5D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17 (43.59)</w:t>
            </w:r>
          </w:p>
        </w:tc>
        <w:tc>
          <w:tcPr>
            <w:tcW w:w="1134" w:type="dxa"/>
          </w:tcPr>
          <w:p w14:paraId="753680F1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46FD907E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441446DE" w14:textId="77777777" w:rsidTr="002E70BB">
        <w:trPr>
          <w:trHeight w:val="121"/>
        </w:trPr>
        <w:tc>
          <w:tcPr>
            <w:tcW w:w="2694" w:type="dxa"/>
          </w:tcPr>
          <w:p w14:paraId="09C26F82" w14:textId="639C16C6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40" w:name="OLE_LINK14"/>
            <w:r>
              <w:rPr>
                <w:rFonts w:hint="eastAsia"/>
                <w:szCs w:val="24"/>
              </w:rPr>
              <w:t>&lt;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cm</w:t>
            </w:r>
            <w:bookmarkEnd w:id="40"/>
            <w:r w:rsidRPr="00774B2C">
              <w:rPr>
                <w:szCs w:val="24"/>
              </w:rPr>
              <w:t xml:space="preserve"> (</w:t>
            </w:r>
            <w:r w:rsidRPr="00F4446D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33)</w:t>
            </w:r>
          </w:p>
        </w:tc>
        <w:tc>
          <w:tcPr>
            <w:tcW w:w="2127" w:type="dxa"/>
          </w:tcPr>
          <w:p w14:paraId="41DE785C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11 (28.21)</w:t>
            </w:r>
          </w:p>
        </w:tc>
        <w:tc>
          <w:tcPr>
            <w:tcW w:w="2126" w:type="dxa"/>
          </w:tcPr>
          <w:p w14:paraId="0EBC28FC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22 (56.41)</w:t>
            </w:r>
          </w:p>
        </w:tc>
        <w:tc>
          <w:tcPr>
            <w:tcW w:w="1134" w:type="dxa"/>
          </w:tcPr>
          <w:p w14:paraId="637D0191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4DB21674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39"/>
      <w:tr w:rsidR="00F4446D" w:rsidRPr="00774B2C" w14:paraId="63220E01" w14:textId="77777777" w:rsidTr="002E70BB">
        <w:trPr>
          <w:trHeight w:val="121"/>
        </w:trPr>
        <w:tc>
          <w:tcPr>
            <w:tcW w:w="2694" w:type="dxa"/>
          </w:tcPr>
          <w:p w14:paraId="58EF8D9C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Differentiation</w:t>
            </w:r>
          </w:p>
        </w:tc>
        <w:tc>
          <w:tcPr>
            <w:tcW w:w="2127" w:type="dxa"/>
          </w:tcPr>
          <w:p w14:paraId="3D055861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111C5516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1640BC54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4.768</w:t>
            </w:r>
          </w:p>
        </w:tc>
        <w:tc>
          <w:tcPr>
            <w:tcW w:w="1134" w:type="dxa"/>
          </w:tcPr>
          <w:p w14:paraId="3B5C6882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0.029</w:t>
            </w:r>
          </w:p>
        </w:tc>
      </w:tr>
      <w:tr w:rsidR="00F4446D" w:rsidRPr="00774B2C" w14:paraId="54E60941" w14:textId="77777777" w:rsidTr="002E70BB">
        <w:trPr>
          <w:trHeight w:val="121"/>
        </w:trPr>
        <w:tc>
          <w:tcPr>
            <w:tcW w:w="2694" w:type="dxa"/>
          </w:tcPr>
          <w:p w14:paraId="2C8020D8" w14:textId="7527C255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41" w:name="OLE_LINK11"/>
            <w:r w:rsidRPr="00774B2C">
              <w:rPr>
                <w:szCs w:val="24"/>
              </w:rPr>
              <w:t>Low differentiation (</w:t>
            </w:r>
            <w:r w:rsidRPr="00F4446D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25)</w:t>
            </w:r>
          </w:p>
        </w:tc>
        <w:tc>
          <w:tcPr>
            <w:tcW w:w="2127" w:type="dxa"/>
          </w:tcPr>
          <w:p w14:paraId="16A51C2E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17 (43.59)</w:t>
            </w:r>
          </w:p>
        </w:tc>
        <w:tc>
          <w:tcPr>
            <w:tcW w:w="2126" w:type="dxa"/>
          </w:tcPr>
          <w:p w14:paraId="5736C768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8 (20.51)</w:t>
            </w:r>
          </w:p>
        </w:tc>
        <w:tc>
          <w:tcPr>
            <w:tcW w:w="1134" w:type="dxa"/>
          </w:tcPr>
          <w:p w14:paraId="6B8CD18C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144FCFDD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007345CB" w14:textId="77777777" w:rsidTr="002E70BB">
        <w:trPr>
          <w:trHeight w:val="223"/>
        </w:trPr>
        <w:tc>
          <w:tcPr>
            <w:tcW w:w="2694" w:type="dxa"/>
          </w:tcPr>
          <w:p w14:paraId="17FDF6C1" w14:textId="115724BA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Moderate + high differentiation (</w:t>
            </w:r>
            <w:r w:rsidRPr="00F4446D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53)</w:t>
            </w:r>
          </w:p>
        </w:tc>
        <w:tc>
          <w:tcPr>
            <w:tcW w:w="2127" w:type="dxa"/>
          </w:tcPr>
          <w:p w14:paraId="08FF7794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22 (56.41)</w:t>
            </w:r>
          </w:p>
        </w:tc>
        <w:tc>
          <w:tcPr>
            <w:tcW w:w="2126" w:type="dxa"/>
          </w:tcPr>
          <w:p w14:paraId="4B9B2109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31 (79.49)</w:t>
            </w:r>
          </w:p>
        </w:tc>
        <w:tc>
          <w:tcPr>
            <w:tcW w:w="1134" w:type="dxa"/>
          </w:tcPr>
          <w:p w14:paraId="194F3FEC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1053F88F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41"/>
      <w:tr w:rsidR="00F4446D" w:rsidRPr="00774B2C" w14:paraId="519B9057" w14:textId="77777777" w:rsidTr="002E70BB">
        <w:trPr>
          <w:trHeight w:val="121"/>
        </w:trPr>
        <w:tc>
          <w:tcPr>
            <w:tcW w:w="2694" w:type="dxa"/>
          </w:tcPr>
          <w:p w14:paraId="614926EE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TNM stage</w:t>
            </w:r>
          </w:p>
        </w:tc>
        <w:tc>
          <w:tcPr>
            <w:tcW w:w="2127" w:type="dxa"/>
          </w:tcPr>
          <w:p w14:paraId="6E513FA6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3E03A7C9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545BDC45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6.854</w:t>
            </w:r>
          </w:p>
        </w:tc>
        <w:tc>
          <w:tcPr>
            <w:tcW w:w="1134" w:type="dxa"/>
          </w:tcPr>
          <w:p w14:paraId="15254382" w14:textId="77777777" w:rsidR="00F4446D" w:rsidRPr="00774B2C" w:rsidRDefault="00F4446D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0.009</w:t>
            </w:r>
          </w:p>
        </w:tc>
      </w:tr>
      <w:tr w:rsidR="00F4446D" w:rsidRPr="00774B2C" w14:paraId="5AA69C40" w14:textId="77777777" w:rsidTr="002E70BB">
        <w:trPr>
          <w:trHeight w:val="121"/>
        </w:trPr>
        <w:tc>
          <w:tcPr>
            <w:tcW w:w="2694" w:type="dxa"/>
          </w:tcPr>
          <w:p w14:paraId="57FD49B2" w14:textId="6E622E7F" w:rsidR="00F4446D" w:rsidRPr="00774B2C" w:rsidRDefault="00820C61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42" w:name="OLE_LINK12"/>
            <w:r>
              <w:rPr>
                <w:szCs w:val="24"/>
              </w:rPr>
              <w:t xml:space="preserve">Stage </w:t>
            </w:r>
            <w:r w:rsidR="00F4446D" w:rsidRPr="00774B2C">
              <w:rPr>
                <w:szCs w:val="24"/>
              </w:rPr>
              <w:t>I (</w:t>
            </w:r>
            <w:r w:rsidR="00F4446D" w:rsidRPr="00F4446D">
              <w:rPr>
                <w:i/>
                <w:iCs/>
                <w:szCs w:val="24"/>
              </w:rPr>
              <w:t>n</w:t>
            </w:r>
            <w:r w:rsidR="00F4446D">
              <w:rPr>
                <w:szCs w:val="24"/>
              </w:rPr>
              <w:t xml:space="preserve"> </w:t>
            </w:r>
            <w:r w:rsidR="00F4446D" w:rsidRPr="00774B2C">
              <w:rPr>
                <w:szCs w:val="24"/>
              </w:rPr>
              <w:t>=</w:t>
            </w:r>
            <w:r w:rsidR="00F4446D">
              <w:rPr>
                <w:szCs w:val="24"/>
              </w:rPr>
              <w:t xml:space="preserve"> </w:t>
            </w:r>
            <w:r w:rsidR="00F4446D" w:rsidRPr="00774B2C">
              <w:rPr>
                <w:szCs w:val="24"/>
              </w:rPr>
              <w:t>27)</w:t>
            </w:r>
          </w:p>
        </w:tc>
        <w:tc>
          <w:tcPr>
            <w:tcW w:w="2127" w:type="dxa"/>
          </w:tcPr>
          <w:p w14:paraId="665BF4E8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8 (20.51)</w:t>
            </w:r>
          </w:p>
        </w:tc>
        <w:tc>
          <w:tcPr>
            <w:tcW w:w="2126" w:type="dxa"/>
          </w:tcPr>
          <w:p w14:paraId="70CF590C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19 (48.72)</w:t>
            </w:r>
          </w:p>
        </w:tc>
        <w:tc>
          <w:tcPr>
            <w:tcW w:w="1134" w:type="dxa"/>
          </w:tcPr>
          <w:p w14:paraId="5D98095C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2CABECC2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F4446D" w:rsidRPr="00774B2C" w14:paraId="24313A6F" w14:textId="77777777" w:rsidTr="002E70BB">
        <w:trPr>
          <w:trHeight w:val="137"/>
        </w:trPr>
        <w:tc>
          <w:tcPr>
            <w:tcW w:w="2694" w:type="dxa"/>
          </w:tcPr>
          <w:p w14:paraId="44C531EB" w14:textId="479EA2B1" w:rsidR="00F4446D" w:rsidRPr="00774B2C" w:rsidRDefault="00820C61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>
              <w:rPr>
                <w:szCs w:val="24"/>
              </w:rPr>
              <w:t xml:space="preserve">Stage </w:t>
            </w:r>
            <w:r w:rsidR="00F4446D" w:rsidRPr="00774B2C">
              <w:rPr>
                <w:szCs w:val="24"/>
              </w:rPr>
              <w:t>II</w:t>
            </w:r>
            <w:r w:rsidR="00F4446D">
              <w:rPr>
                <w:szCs w:val="24"/>
              </w:rPr>
              <w:t xml:space="preserve"> </w:t>
            </w:r>
            <w:r w:rsidR="00F4446D" w:rsidRPr="00774B2C">
              <w:rPr>
                <w:szCs w:val="24"/>
              </w:rPr>
              <w:t>+</w:t>
            </w:r>
            <w:r w:rsidR="00F4446D">
              <w:rPr>
                <w:szCs w:val="24"/>
              </w:rPr>
              <w:t xml:space="preserve"> </w:t>
            </w:r>
            <w:r w:rsidR="00F4446D" w:rsidRPr="00774B2C">
              <w:rPr>
                <w:szCs w:val="24"/>
              </w:rPr>
              <w:t>III</w:t>
            </w:r>
            <w:r w:rsidR="00F4446D">
              <w:rPr>
                <w:szCs w:val="24"/>
              </w:rPr>
              <w:t xml:space="preserve"> </w:t>
            </w:r>
            <w:r w:rsidR="00F4446D" w:rsidRPr="00774B2C">
              <w:rPr>
                <w:szCs w:val="24"/>
              </w:rPr>
              <w:t>(</w:t>
            </w:r>
            <w:r w:rsidR="00F4446D" w:rsidRPr="00F4446D">
              <w:rPr>
                <w:i/>
                <w:iCs/>
                <w:szCs w:val="24"/>
              </w:rPr>
              <w:t>n</w:t>
            </w:r>
            <w:r w:rsidR="00F4446D">
              <w:rPr>
                <w:szCs w:val="24"/>
              </w:rPr>
              <w:t xml:space="preserve"> </w:t>
            </w:r>
            <w:r w:rsidR="00F4446D" w:rsidRPr="00774B2C">
              <w:rPr>
                <w:szCs w:val="24"/>
              </w:rPr>
              <w:t>=</w:t>
            </w:r>
            <w:r w:rsidR="00F4446D">
              <w:rPr>
                <w:szCs w:val="24"/>
              </w:rPr>
              <w:t xml:space="preserve"> </w:t>
            </w:r>
            <w:r w:rsidR="00F4446D" w:rsidRPr="00774B2C">
              <w:rPr>
                <w:szCs w:val="24"/>
              </w:rPr>
              <w:t>51)</w:t>
            </w:r>
          </w:p>
        </w:tc>
        <w:tc>
          <w:tcPr>
            <w:tcW w:w="2127" w:type="dxa"/>
          </w:tcPr>
          <w:p w14:paraId="42B25C89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31 (79.49)</w:t>
            </w:r>
          </w:p>
        </w:tc>
        <w:tc>
          <w:tcPr>
            <w:tcW w:w="2126" w:type="dxa"/>
          </w:tcPr>
          <w:p w14:paraId="4F94DD6B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20 (51.28)</w:t>
            </w:r>
          </w:p>
        </w:tc>
        <w:tc>
          <w:tcPr>
            <w:tcW w:w="1134" w:type="dxa"/>
          </w:tcPr>
          <w:p w14:paraId="1CFF300F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04E36F4B" w14:textId="77777777" w:rsidR="00F4446D" w:rsidRPr="00774B2C" w:rsidRDefault="00F4446D" w:rsidP="00F4446D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42"/>
    </w:tbl>
    <w:p w14:paraId="58182343" w14:textId="3AF00ADD" w:rsidR="002E70BB" w:rsidRDefault="002E70BB" w:rsidP="00774B2C">
      <w:pPr>
        <w:adjustRightInd w:val="0"/>
        <w:snapToGrid w:val="0"/>
        <w:rPr>
          <w:szCs w:val="24"/>
        </w:rPr>
      </w:pPr>
    </w:p>
    <w:p w14:paraId="25DD818D" w14:textId="77777777" w:rsidR="002E70BB" w:rsidRDefault="002E70BB">
      <w:pPr>
        <w:widowControl/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1BC8E759" w14:textId="682453A6" w:rsidR="00483403" w:rsidRPr="00774B2C" w:rsidRDefault="00483403" w:rsidP="00774B2C">
      <w:pPr>
        <w:adjustRightInd w:val="0"/>
        <w:snapToGrid w:val="0"/>
        <w:rPr>
          <w:rFonts w:eastAsia="楷体"/>
          <w:b/>
          <w:szCs w:val="24"/>
        </w:rPr>
      </w:pPr>
      <w:r w:rsidRPr="00774B2C">
        <w:rPr>
          <w:b/>
          <w:szCs w:val="24"/>
        </w:rPr>
        <w:lastRenderedPageBreak/>
        <w:t xml:space="preserve">Table 3 </w:t>
      </w:r>
      <w:r w:rsidR="008C34D5" w:rsidRPr="00774B2C">
        <w:rPr>
          <w:b/>
          <w:szCs w:val="24"/>
        </w:rPr>
        <w:t>Receiver operating characteristic</w:t>
      </w:r>
      <w:r w:rsidRPr="00774B2C">
        <w:rPr>
          <w:b/>
          <w:szCs w:val="24"/>
        </w:rPr>
        <w:t xml:space="preserve"> parameters</w:t>
      </w:r>
    </w:p>
    <w:tbl>
      <w:tblPr>
        <w:tblW w:w="9923" w:type="dxa"/>
        <w:tblInd w:w="-85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5"/>
        <w:gridCol w:w="1843"/>
        <w:gridCol w:w="1134"/>
        <w:gridCol w:w="1276"/>
        <w:gridCol w:w="1134"/>
        <w:gridCol w:w="1417"/>
      </w:tblGrid>
      <w:tr w:rsidR="00483403" w:rsidRPr="00774B2C" w14:paraId="4B299D3C" w14:textId="77777777" w:rsidTr="002E70BB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55FF8DC" w14:textId="77777777" w:rsidR="00483403" w:rsidRPr="002E70BB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2E70BB">
              <w:rPr>
                <w:b/>
                <w:bCs/>
                <w:szCs w:val="24"/>
              </w:rPr>
              <w:t>Parameters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DDAB3E3" w14:textId="77777777" w:rsidR="00483403" w:rsidRPr="002E70BB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2E70BB">
              <w:rPr>
                <w:b/>
                <w:bCs/>
                <w:szCs w:val="24"/>
              </w:rPr>
              <w:t>AUC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33EC7F" w14:textId="00B74C6A" w:rsidR="00483403" w:rsidRPr="002E70BB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2E70BB">
              <w:rPr>
                <w:b/>
                <w:bCs/>
                <w:szCs w:val="24"/>
              </w:rPr>
              <w:t>95</w:t>
            </w:r>
            <w:r w:rsidR="007C797C" w:rsidRPr="002E70BB">
              <w:rPr>
                <w:b/>
                <w:bCs/>
                <w:szCs w:val="24"/>
              </w:rPr>
              <w:t>%</w:t>
            </w:r>
            <w:r w:rsidRPr="002E70BB">
              <w:rPr>
                <w:b/>
                <w:bCs/>
                <w:szCs w:val="24"/>
              </w:rPr>
              <w:t xml:space="preserve">CI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04A698" w14:textId="61102283" w:rsidR="00483403" w:rsidRPr="002E70BB" w:rsidRDefault="001C4C56" w:rsidP="00774B2C">
            <w:pPr>
              <w:adjustRightInd w:val="0"/>
              <w:snapToGrid w:val="0"/>
              <w:rPr>
                <w:rFonts w:eastAsia="楷体"/>
                <w:b/>
                <w:bCs/>
                <w:i/>
                <w:iCs/>
                <w:szCs w:val="24"/>
              </w:rPr>
            </w:pPr>
            <w:r w:rsidRPr="001C4C56">
              <w:rPr>
                <w:b/>
                <w:bCs/>
                <w:i/>
                <w:iCs/>
                <w:color w:val="000000"/>
                <w:szCs w:val="24"/>
              </w:rPr>
              <w:t>P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1C4C56">
              <w:rPr>
                <w:b/>
                <w:bCs/>
                <w:color w:val="000000"/>
                <w:szCs w:val="24"/>
              </w:rPr>
              <w:t>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77E29E" w14:textId="6B5DDB12" w:rsidR="00483403" w:rsidRPr="002E70BB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2E70BB">
              <w:rPr>
                <w:b/>
                <w:bCs/>
                <w:szCs w:val="24"/>
              </w:rPr>
              <w:t>Sensitivity</w:t>
            </w:r>
            <w:r w:rsidR="002E70BB" w:rsidRPr="002E70BB">
              <w:rPr>
                <w:b/>
                <w:bCs/>
                <w:szCs w:val="24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3DB998" w14:textId="7AF6EFB3" w:rsidR="00483403" w:rsidRPr="002E70BB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2E70BB">
              <w:rPr>
                <w:b/>
                <w:bCs/>
                <w:szCs w:val="24"/>
              </w:rPr>
              <w:t>Specificity</w:t>
            </w:r>
            <w:r w:rsidR="002E70BB" w:rsidRPr="002E70BB">
              <w:rPr>
                <w:b/>
                <w:bCs/>
                <w:szCs w:val="24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05A8CD" w14:textId="77777777" w:rsidR="00483403" w:rsidRPr="002E70BB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2E70BB">
              <w:rPr>
                <w:b/>
                <w:bCs/>
                <w:szCs w:val="24"/>
              </w:rPr>
              <w:t>Cut-off</w:t>
            </w:r>
          </w:p>
        </w:tc>
      </w:tr>
      <w:tr w:rsidR="00483403" w:rsidRPr="00774B2C" w14:paraId="595F52ED" w14:textId="77777777" w:rsidTr="002E70BB">
        <w:tc>
          <w:tcPr>
            <w:tcW w:w="1844" w:type="dxa"/>
            <w:tcBorders>
              <w:top w:val="single" w:sz="4" w:space="0" w:color="auto"/>
            </w:tcBorders>
          </w:tcPr>
          <w:p w14:paraId="1681DBB2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Tumor size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D5E76D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0.710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1BF712" w14:textId="4935282B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0.591</w:t>
            </w:r>
            <w:r w:rsidR="007C797C">
              <w:rPr>
                <w:rFonts w:hint="eastAsia"/>
                <w:szCs w:val="24"/>
              </w:rPr>
              <w:t>-</w:t>
            </w:r>
            <w:r w:rsidRPr="00774B2C">
              <w:rPr>
                <w:szCs w:val="24"/>
              </w:rPr>
              <w:t>0.829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E24967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0.002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26C26B" w14:textId="0AAA3F59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42.42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FD6014" w14:textId="2C3ED444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95.56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5BDDF8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&lt; 1.158</w:t>
            </w:r>
          </w:p>
        </w:tc>
      </w:tr>
      <w:tr w:rsidR="00483403" w:rsidRPr="00774B2C" w14:paraId="358F7257" w14:textId="77777777" w:rsidTr="002E70BB">
        <w:tc>
          <w:tcPr>
            <w:tcW w:w="1844" w:type="dxa"/>
          </w:tcPr>
          <w:p w14:paraId="38FD3427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Differentiation</w:t>
            </w:r>
          </w:p>
        </w:tc>
        <w:tc>
          <w:tcPr>
            <w:tcW w:w="1275" w:type="dxa"/>
          </w:tcPr>
          <w:p w14:paraId="64C67EC7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0.773</w:t>
            </w:r>
          </w:p>
        </w:tc>
        <w:tc>
          <w:tcPr>
            <w:tcW w:w="1843" w:type="dxa"/>
          </w:tcPr>
          <w:p w14:paraId="2DFA847E" w14:textId="60D8E861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0.665</w:t>
            </w:r>
            <w:r w:rsidR="007C797C">
              <w:rPr>
                <w:rFonts w:hint="eastAsia"/>
                <w:szCs w:val="24"/>
              </w:rPr>
              <w:t>-</w:t>
            </w:r>
            <w:r w:rsidRPr="00774B2C">
              <w:rPr>
                <w:szCs w:val="24"/>
              </w:rPr>
              <w:t>0.881</w:t>
            </w:r>
          </w:p>
        </w:tc>
        <w:tc>
          <w:tcPr>
            <w:tcW w:w="1134" w:type="dxa"/>
          </w:tcPr>
          <w:p w14:paraId="7EB99456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0.001</w:t>
            </w:r>
          </w:p>
        </w:tc>
        <w:tc>
          <w:tcPr>
            <w:tcW w:w="1276" w:type="dxa"/>
          </w:tcPr>
          <w:p w14:paraId="307C9AC8" w14:textId="404CEBE9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77.36</w:t>
            </w:r>
          </w:p>
        </w:tc>
        <w:tc>
          <w:tcPr>
            <w:tcW w:w="1134" w:type="dxa"/>
          </w:tcPr>
          <w:p w14:paraId="374AC818" w14:textId="6BB8D135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68.00</w:t>
            </w:r>
          </w:p>
        </w:tc>
        <w:tc>
          <w:tcPr>
            <w:tcW w:w="1417" w:type="dxa"/>
          </w:tcPr>
          <w:p w14:paraId="4AEB079A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&lt; 1.363</w:t>
            </w:r>
          </w:p>
        </w:tc>
      </w:tr>
      <w:tr w:rsidR="00483403" w:rsidRPr="00774B2C" w14:paraId="50DB2038" w14:textId="77777777" w:rsidTr="002E70BB">
        <w:tc>
          <w:tcPr>
            <w:tcW w:w="1844" w:type="dxa"/>
          </w:tcPr>
          <w:p w14:paraId="5B2253D0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TNM staging</w:t>
            </w:r>
          </w:p>
        </w:tc>
        <w:tc>
          <w:tcPr>
            <w:tcW w:w="1275" w:type="dxa"/>
          </w:tcPr>
          <w:p w14:paraId="4EF63518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0.788</w:t>
            </w:r>
          </w:p>
        </w:tc>
        <w:tc>
          <w:tcPr>
            <w:tcW w:w="1843" w:type="dxa"/>
          </w:tcPr>
          <w:p w14:paraId="565FAE16" w14:textId="4CEB91AD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0.687</w:t>
            </w:r>
            <w:r w:rsidR="007C797C">
              <w:rPr>
                <w:rFonts w:hint="eastAsia"/>
                <w:szCs w:val="24"/>
              </w:rPr>
              <w:t>-</w:t>
            </w:r>
            <w:r w:rsidRPr="00774B2C">
              <w:rPr>
                <w:szCs w:val="24"/>
              </w:rPr>
              <w:t>0.889</w:t>
            </w:r>
          </w:p>
        </w:tc>
        <w:tc>
          <w:tcPr>
            <w:tcW w:w="1134" w:type="dxa"/>
          </w:tcPr>
          <w:p w14:paraId="2FA67010" w14:textId="555DCA33" w:rsidR="00483403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>
              <w:rPr>
                <w:rFonts w:hint="eastAsia"/>
                <w:szCs w:val="24"/>
              </w:rPr>
              <w:t>&lt;</w:t>
            </w:r>
            <w:r>
              <w:rPr>
                <w:szCs w:val="24"/>
              </w:rPr>
              <w:t xml:space="preserve"> </w:t>
            </w:r>
            <w:r w:rsidR="00483403" w:rsidRPr="00774B2C">
              <w:rPr>
                <w:szCs w:val="24"/>
              </w:rPr>
              <w:t>0.001</w:t>
            </w:r>
          </w:p>
        </w:tc>
        <w:tc>
          <w:tcPr>
            <w:tcW w:w="1276" w:type="dxa"/>
          </w:tcPr>
          <w:p w14:paraId="1F25E923" w14:textId="6203146C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47.06</w:t>
            </w:r>
          </w:p>
        </w:tc>
        <w:tc>
          <w:tcPr>
            <w:tcW w:w="1134" w:type="dxa"/>
          </w:tcPr>
          <w:p w14:paraId="0C6D9698" w14:textId="2B3357B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96.30</w:t>
            </w:r>
          </w:p>
        </w:tc>
        <w:tc>
          <w:tcPr>
            <w:tcW w:w="1417" w:type="dxa"/>
          </w:tcPr>
          <w:p w14:paraId="63370581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&gt; 1.393</w:t>
            </w:r>
          </w:p>
        </w:tc>
      </w:tr>
    </w:tbl>
    <w:p w14:paraId="7D8CC0AF" w14:textId="219A0E36" w:rsidR="00483403" w:rsidRPr="002E70BB" w:rsidRDefault="002E70BB" w:rsidP="00774B2C">
      <w:pPr>
        <w:adjustRightInd w:val="0"/>
        <w:snapToGrid w:val="0"/>
        <w:rPr>
          <w:szCs w:val="24"/>
        </w:rPr>
      </w:pPr>
      <w:r w:rsidRPr="002E70BB">
        <w:rPr>
          <w:szCs w:val="24"/>
        </w:rPr>
        <w:t>AUC: Area under the curve</w:t>
      </w:r>
      <w:r>
        <w:rPr>
          <w:szCs w:val="24"/>
        </w:rPr>
        <w:t>.</w:t>
      </w:r>
    </w:p>
    <w:p w14:paraId="708CCD4A" w14:textId="77777777" w:rsidR="002E70BB" w:rsidRDefault="002E70BB">
      <w:pPr>
        <w:widowControl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47815146" w14:textId="6077D755" w:rsidR="00483403" w:rsidRPr="00774B2C" w:rsidRDefault="00483403" w:rsidP="00774B2C">
      <w:pPr>
        <w:adjustRightInd w:val="0"/>
        <w:snapToGrid w:val="0"/>
        <w:rPr>
          <w:rFonts w:eastAsia="楷体"/>
          <w:b/>
          <w:szCs w:val="24"/>
        </w:rPr>
      </w:pPr>
      <w:r w:rsidRPr="00774B2C">
        <w:rPr>
          <w:b/>
          <w:szCs w:val="24"/>
        </w:rPr>
        <w:lastRenderedPageBreak/>
        <w:t xml:space="preserve">Table 4 </w:t>
      </w:r>
      <w:proofErr w:type="spellStart"/>
      <w:r w:rsidRPr="00774B2C">
        <w:rPr>
          <w:b/>
          <w:szCs w:val="24"/>
        </w:rPr>
        <w:t>Univariate</w:t>
      </w:r>
      <w:proofErr w:type="spellEnd"/>
      <w:r w:rsidRPr="00774B2C">
        <w:rPr>
          <w:b/>
          <w:szCs w:val="24"/>
        </w:rPr>
        <w:t xml:space="preserve"> analysis</w:t>
      </w:r>
    </w:p>
    <w:tbl>
      <w:tblPr>
        <w:tblW w:w="9073" w:type="dxa"/>
        <w:tblInd w:w="-43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701"/>
        <w:gridCol w:w="2126"/>
        <w:gridCol w:w="1134"/>
        <w:gridCol w:w="992"/>
      </w:tblGrid>
      <w:tr w:rsidR="002E70BB" w:rsidRPr="00774B2C" w14:paraId="3EE3A444" w14:textId="77777777" w:rsidTr="00DF734D">
        <w:trPr>
          <w:trHeight w:val="259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4717D461" w14:textId="77777777" w:rsidR="002E70BB" w:rsidRPr="002E70BB" w:rsidRDefault="002E70BB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2E70BB">
              <w:rPr>
                <w:b/>
                <w:bCs/>
                <w:szCs w:val="24"/>
              </w:rPr>
              <w:t>Factors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02868B" w14:textId="6CCF2DE6" w:rsidR="002E70BB" w:rsidRPr="002E70BB" w:rsidRDefault="002E70BB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2E70BB">
              <w:rPr>
                <w:b/>
                <w:bCs/>
                <w:szCs w:val="24"/>
              </w:rPr>
              <w:t>Recurrence group (</w:t>
            </w:r>
            <w:r w:rsidRPr="002E70BB">
              <w:rPr>
                <w:b/>
                <w:bCs/>
                <w:i/>
                <w:iCs/>
                <w:szCs w:val="24"/>
              </w:rPr>
              <w:t>n</w:t>
            </w:r>
            <w:r>
              <w:rPr>
                <w:b/>
                <w:bCs/>
                <w:szCs w:val="24"/>
              </w:rPr>
              <w:t xml:space="preserve"> </w:t>
            </w:r>
            <w:r w:rsidRPr="002E70BB">
              <w:rPr>
                <w:b/>
                <w:bCs/>
                <w:szCs w:val="24"/>
              </w:rPr>
              <w:t>=</w:t>
            </w:r>
            <w:r>
              <w:rPr>
                <w:b/>
                <w:bCs/>
                <w:szCs w:val="24"/>
              </w:rPr>
              <w:t xml:space="preserve"> </w:t>
            </w:r>
            <w:r w:rsidRPr="002E70BB">
              <w:rPr>
                <w:b/>
                <w:bCs/>
                <w:szCs w:val="24"/>
              </w:rPr>
              <w:t>33)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F0548C" w14:textId="62D1ED0C" w:rsidR="002E70BB" w:rsidRPr="002E70BB" w:rsidRDefault="002E70BB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2E70BB">
              <w:rPr>
                <w:b/>
                <w:bCs/>
                <w:szCs w:val="24"/>
              </w:rPr>
              <w:t>Non-recurrence group (</w:t>
            </w:r>
            <w:r w:rsidRPr="002E70BB">
              <w:rPr>
                <w:b/>
                <w:bCs/>
                <w:i/>
                <w:iCs/>
                <w:szCs w:val="24"/>
              </w:rPr>
              <w:t>n</w:t>
            </w:r>
            <w:r>
              <w:rPr>
                <w:b/>
                <w:bCs/>
                <w:szCs w:val="24"/>
              </w:rPr>
              <w:t xml:space="preserve"> </w:t>
            </w:r>
            <w:r w:rsidRPr="002E70BB">
              <w:rPr>
                <w:b/>
                <w:bCs/>
                <w:szCs w:val="24"/>
              </w:rPr>
              <w:t>=</w:t>
            </w:r>
            <w:r>
              <w:rPr>
                <w:b/>
                <w:bCs/>
                <w:szCs w:val="24"/>
              </w:rPr>
              <w:t xml:space="preserve"> </w:t>
            </w:r>
            <w:r w:rsidRPr="002E70BB">
              <w:rPr>
                <w:b/>
                <w:bCs/>
                <w:szCs w:val="24"/>
              </w:rPr>
              <w:t>45)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E82E5D" w14:textId="5A1E3758" w:rsidR="002E70BB" w:rsidRPr="002E70BB" w:rsidRDefault="002E70BB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t</w:t>
            </w:r>
            <w:r>
              <w:rPr>
                <w:b/>
                <w:bCs/>
                <w:szCs w:val="24"/>
              </w:rPr>
              <w:t xml:space="preserve"> </w:t>
            </w:r>
            <w:r w:rsidRPr="002E70BB">
              <w:rPr>
                <w:b/>
                <w:bCs/>
                <w:szCs w:val="24"/>
              </w:rPr>
              <w:t>/</w:t>
            </w:r>
            <w:r w:rsidRPr="002E70BB">
              <w:rPr>
                <w:b/>
                <w:bCs/>
                <w:i/>
                <w:iCs/>
                <w:szCs w:val="24"/>
              </w:rPr>
              <w:sym w:font="Symbol" w:char="0063"/>
            </w:r>
            <w:r w:rsidRPr="002E70BB">
              <w:rPr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4785C4" w14:textId="6C1A1FE9" w:rsidR="002E70BB" w:rsidRPr="002E70BB" w:rsidRDefault="001C4C56" w:rsidP="00774B2C">
            <w:pPr>
              <w:adjustRightInd w:val="0"/>
              <w:snapToGrid w:val="0"/>
              <w:rPr>
                <w:rFonts w:eastAsia="楷体"/>
                <w:b/>
                <w:bCs/>
                <w:i/>
                <w:iCs/>
                <w:szCs w:val="24"/>
              </w:rPr>
            </w:pPr>
            <w:r w:rsidRPr="001C4C56">
              <w:rPr>
                <w:b/>
                <w:bCs/>
                <w:i/>
                <w:iCs/>
                <w:color w:val="000000"/>
                <w:szCs w:val="24"/>
              </w:rPr>
              <w:t>P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1C4C56">
              <w:rPr>
                <w:b/>
                <w:bCs/>
                <w:color w:val="000000"/>
                <w:szCs w:val="24"/>
              </w:rPr>
              <w:t>value</w:t>
            </w:r>
          </w:p>
        </w:tc>
      </w:tr>
      <w:tr w:rsidR="002E70BB" w:rsidRPr="00774B2C" w14:paraId="6D6F922E" w14:textId="77777777" w:rsidTr="00DF734D">
        <w:trPr>
          <w:trHeight w:val="135"/>
        </w:trPr>
        <w:tc>
          <w:tcPr>
            <w:tcW w:w="3120" w:type="dxa"/>
            <w:tcBorders>
              <w:top w:val="single" w:sz="4" w:space="0" w:color="auto"/>
            </w:tcBorders>
          </w:tcPr>
          <w:p w14:paraId="3E21AC68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Gender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1DE2CC9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68E1D3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4A2961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2.792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730ABC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0.095</w:t>
            </w:r>
          </w:p>
        </w:tc>
      </w:tr>
      <w:tr w:rsidR="002E70BB" w:rsidRPr="00774B2C" w14:paraId="5B91F53B" w14:textId="77777777" w:rsidTr="00DF734D">
        <w:trPr>
          <w:trHeight w:val="123"/>
        </w:trPr>
        <w:tc>
          <w:tcPr>
            <w:tcW w:w="3120" w:type="dxa"/>
          </w:tcPr>
          <w:p w14:paraId="6C47DE47" w14:textId="7872474B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43" w:name="OLE_LINK17"/>
            <w:r w:rsidRPr="00774B2C">
              <w:rPr>
                <w:szCs w:val="24"/>
              </w:rPr>
              <w:t>Male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i/>
                <w:iCs/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44)</w:t>
            </w:r>
          </w:p>
        </w:tc>
        <w:tc>
          <w:tcPr>
            <w:tcW w:w="1701" w:type="dxa"/>
          </w:tcPr>
          <w:p w14:paraId="273AF0D2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15 (45.45)</w:t>
            </w:r>
          </w:p>
        </w:tc>
        <w:tc>
          <w:tcPr>
            <w:tcW w:w="2126" w:type="dxa"/>
          </w:tcPr>
          <w:p w14:paraId="1B3572EC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29 (64.44)</w:t>
            </w:r>
          </w:p>
        </w:tc>
        <w:tc>
          <w:tcPr>
            <w:tcW w:w="1134" w:type="dxa"/>
          </w:tcPr>
          <w:p w14:paraId="6C8677E9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7DB31DFA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26326300" w14:textId="77777777" w:rsidTr="00DF734D">
        <w:trPr>
          <w:trHeight w:val="123"/>
        </w:trPr>
        <w:tc>
          <w:tcPr>
            <w:tcW w:w="3120" w:type="dxa"/>
          </w:tcPr>
          <w:p w14:paraId="0979CA8E" w14:textId="53260394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Female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34)</w:t>
            </w:r>
          </w:p>
        </w:tc>
        <w:tc>
          <w:tcPr>
            <w:tcW w:w="1701" w:type="dxa"/>
          </w:tcPr>
          <w:p w14:paraId="1057386A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18 (54.55)</w:t>
            </w:r>
          </w:p>
        </w:tc>
        <w:tc>
          <w:tcPr>
            <w:tcW w:w="2126" w:type="dxa"/>
          </w:tcPr>
          <w:p w14:paraId="7D1BE8A9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16 (35.56)</w:t>
            </w:r>
          </w:p>
        </w:tc>
        <w:tc>
          <w:tcPr>
            <w:tcW w:w="1134" w:type="dxa"/>
          </w:tcPr>
          <w:p w14:paraId="32B99767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14F21593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43"/>
      <w:tr w:rsidR="002E70BB" w:rsidRPr="00774B2C" w14:paraId="0B805972" w14:textId="77777777" w:rsidTr="00DF734D">
        <w:trPr>
          <w:trHeight w:val="123"/>
        </w:trPr>
        <w:tc>
          <w:tcPr>
            <w:tcW w:w="3120" w:type="dxa"/>
          </w:tcPr>
          <w:p w14:paraId="760CAC1F" w14:textId="36C88270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Age (</w:t>
            </w:r>
            <w:proofErr w:type="spellStart"/>
            <w:r w:rsidR="007C797C" w:rsidRPr="00774B2C">
              <w:rPr>
                <w:szCs w:val="24"/>
              </w:rPr>
              <w:t>y</w:t>
            </w:r>
            <w:r>
              <w:rPr>
                <w:szCs w:val="24"/>
              </w:rPr>
              <w:t>r</w:t>
            </w:r>
            <w:proofErr w:type="spellEnd"/>
            <w:r w:rsidRPr="00774B2C">
              <w:rPr>
                <w:szCs w:val="24"/>
              </w:rPr>
              <w:t>)</w:t>
            </w:r>
          </w:p>
        </w:tc>
        <w:tc>
          <w:tcPr>
            <w:tcW w:w="1701" w:type="dxa"/>
          </w:tcPr>
          <w:p w14:paraId="6CB59241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0CB8C473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0602DFA3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0.179</w:t>
            </w:r>
          </w:p>
        </w:tc>
        <w:tc>
          <w:tcPr>
            <w:tcW w:w="992" w:type="dxa"/>
          </w:tcPr>
          <w:p w14:paraId="32874C21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0.672</w:t>
            </w:r>
          </w:p>
        </w:tc>
      </w:tr>
      <w:tr w:rsidR="002E70BB" w:rsidRPr="00774B2C" w14:paraId="6C0AB652" w14:textId="77777777" w:rsidTr="00DF734D">
        <w:trPr>
          <w:trHeight w:val="290"/>
        </w:trPr>
        <w:tc>
          <w:tcPr>
            <w:tcW w:w="3120" w:type="dxa"/>
          </w:tcPr>
          <w:p w14:paraId="55F41A84" w14:textId="7C375A4F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44" w:name="OLE_LINK18"/>
            <w:r>
              <w:rPr>
                <w:szCs w:val="24"/>
              </w:rPr>
              <w:t>≥</w:t>
            </w:r>
            <w:r>
              <w:rPr>
                <w:rFonts w:hint="cs"/>
                <w:szCs w:val="24"/>
                <w:cs/>
              </w:rPr>
              <w:t xml:space="preserve"> </w:t>
            </w:r>
            <w:r w:rsidRPr="00774B2C">
              <w:rPr>
                <w:szCs w:val="24"/>
              </w:rPr>
              <w:t>60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38)</w:t>
            </w:r>
          </w:p>
        </w:tc>
        <w:tc>
          <w:tcPr>
            <w:tcW w:w="1701" w:type="dxa"/>
          </w:tcPr>
          <w:p w14:paraId="6B4CBBCF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17 (51.52)</w:t>
            </w:r>
          </w:p>
        </w:tc>
        <w:tc>
          <w:tcPr>
            <w:tcW w:w="2126" w:type="dxa"/>
          </w:tcPr>
          <w:p w14:paraId="79CDD7ED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21 (46.67)</w:t>
            </w:r>
          </w:p>
        </w:tc>
        <w:tc>
          <w:tcPr>
            <w:tcW w:w="1134" w:type="dxa"/>
          </w:tcPr>
          <w:p w14:paraId="68E1964E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31502E3D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6A49FC4C" w14:textId="77777777" w:rsidTr="00DF734D">
        <w:trPr>
          <w:trHeight w:val="123"/>
        </w:trPr>
        <w:tc>
          <w:tcPr>
            <w:tcW w:w="3120" w:type="dxa"/>
          </w:tcPr>
          <w:p w14:paraId="720151A9" w14:textId="7290781D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>
              <w:rPr>
                <w:rFonts w:hint="eastAsia"/>
                <w:szCs w:val="24"/>
              </w:rPr>
              <w:t>&lt;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60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40)</w:t>
            </w:r>
          </w:p>
        </w:tc>
        <w:tc>
          <w:tcPr>
            <w:tcW w:w="1701" w:type="dxa"/>
          </w:tcPr>
          <w:p w14:paraId="114355D6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16 (48.48)</w:t>
            </w:r>
          </w:p>
        </w:tc>
        <w:tc>
          <w:tcPr>
            <w:tcW w:w="2126" w:type="dxa"/>
          </w:tcPr>
          <w:p w14:paraId="5F40A0E5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24 (53.33)</w:t>
            </w:r>
          </w:p>
        </w:tc>
        <w:tc>
          <w:tcPr>
            <w:tcW w:w="1134" w:type="dxa"/>
          </w:tcPr>
          <w:p w14:paraId="4D696D32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608F089B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44"/>
      <w:tr w:rsidR="002E70BB" w:rsidRPr="00774B2C" w14:paraId="25F0F05F" w14:textId="77777777" w:rsidTr="00DF734D">
        <w:trPr>
          <w:trHeight w:val="127"/>
        </w:trPr>
        <w:tc>
          <w:tcPr>
            <w:tcW w:w="3120" w:type="dxa"/>
          </w:tcPr>
          <w:p w14:paraId="3360CF38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Smoking history</w:t>
            </w:r>
          </w:p>
        </w:tc>
        <w:tc>
          <w:tcPr>
            <w:tcW w:w="1701" w:type="dxa"/>
          </w:tcPr>
          <w:p w14:paraId="588778BF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60302275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31A6D200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0.694</w:t>
            </w:r>
          </w:p>
        </w:tc>
        <w:tc>
          <w:tcPr>
            <w:tcW w:w="992" w:type="dxa"/>
          </w:tcPr>
          <w:p w14:paraId="67D30843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0.405</w:t>
            </w:r>
          </w:p>
        </w:tc>
      </w:tr>
      <w:tr w:rsidR="002E70BB" w:rsidRPr="00774B2C" w14:paraId="59466109" w14:textId="77777777" w:rsidTr="00DF734D">
        <w:trPr>
          <w:trHeight w:val="90"/>
        </w:trPr>
        <w:tc>
          <w:tcPr>
            <w:tcW w:w="3120" w:type="dxa"/>
          </w:tcPr>
          <w:p w14:paraId="274233EC" w14:textId="4B7B4ECB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45" w:name="OLE_LINK19"/>
            <w:r w:rsidRPr="00774B2C">
              <w:rPr>
                <w:szCs w:val="24"/>
              </w:rPr>
              <w:t>Yes (</w:t>
            </w:r>
            <w:r w:rsidRPr="002E70BB">
              <w:rPr>
                <w:i/>
                <w:iCs/>
                <w:szCs w:val="24"/>
              </w:rPr>
              <w:t>n</w:t>
            </w:r>
            <w:r w:rsidRPr="00774B2C">
              <w:rPr>
                <w:szCs w:val="24"/>
              </w:rPr>
              <w:t>=43)</w:t>
            </w:r>
          </w:p>
        </w:tc>
        <w:tc>
          <w:tcPr>
            <w:tcW w:w="1701" w:type="dxa"/>
          </w:tcPr>
          <w:p w14:paraId="5E4A7A6F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20 (60.61)</w:t>
            </w:r>
          </w:p>
        </w:tc>
        <w:tc>
          <w:tcPr>
            <w:tcW w:w="2126" w:type="dxa"/>
          </w:tcPr>
          <w:p w14:paraId="6A47D97A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23 (51.11)</w:t>
            </w:r>
          </w:p>
        </w:tc>
        <w:tc>
          <w:tcPr>
            <w:tcW w:w="1134" w:type="dxa"/>
          </w:tcPr>
          <w:p w14:paraId="616EFF66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7A48E356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24EB60FA" w14:textId="77777777" w:rsidTr="00DF734D">
        <w:trPr>
          <w:trHeight w:val="127"/>
        </w:trPr>
        <w:tc>
          <w:tcPr>
            <w:tcW w:w="3120" w:type="dxa"/>
          </w:tcPr>
          <w:p w14:paraId="7C058DC7" w14:textId="548A8C60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No (</w:t>
            </w:r>
            <w:r w:rsidRPr="002E70BB">
              <w:rPr>
                <w:i/>
                <w:iCs/>
                <w:szCs w:val="24"/>
              </w:rPr>
              <w:t>n</w:t>
            </w:r>
            <w:r w:rsidRPr="00774B2C">
              <w:rPr>
                <w:szCs w:val="24"/>
              </w:rPr>
              <w:t>=35)</w:t>
            </w:r>
          </w:p>
        </w:tc>
        <w:tc>
          <w:tcPr>
            <w:tcW w:w="1701" w:type="dxa"/>
          </w:tcPr>
          <w:p w14:paraId="7FAE0BB5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13 (39.39)</w:t>
            </w:r>
          </w:p>
        </w:tc>
        <w:tc>
          <w:tcPr>
            <w:tcW w:w="2126" w:type="dxa"/>
          </w:tcPr>
          <w:p w14:paraId="53041C42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22 (48.89)</w:t>
            </w:r>
          </w:p>
        </w:tc>
        <w:tc>
          <w:tcPr>
            <w:tcW w:w="1134" w:type="dxa"/>
          </w:tcPr>
          <w:p w14:paraId="5FBCF368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6ED2B80B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45"/>
      <w:tr w:rsidR="002E70BB" w:rsidRPr="00774B2C" w14:paraId="72E694BB" w14:textId="77777777" w:rsidTr="00DF734D">
        <w:trPr>
          <w:trHeight w:val="127"/>
        </w:trPr>
        <w:tc>
          <w:tcPr>
            <w:tcW w:w="3120" w:type="dxa"/>
          </w:tcPr>
          <w:p w14:paraId="74F42EB5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History of alcoholism</w:t>
            </w:r>
          </w:p>
        </w:tc>
        <w:tc>
          <w:tcPr>
            <w:tcW w:w="1701" w:type="dxa"/>
          </w:tcPr>
          <w:p w14:paraId="596BC568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168111A2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708E2813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1.319</w:t>
            </w:r>
          </w:p>
        </w:tc>
        <w:tc>
          <w:tcPr>
            <w:tcW w:w="992" w:type="dxa"/>
          </w:tcPr>
          <w:p w14:paraId="18A451E6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0.251</w:t>
            </w:r>
          </w:p>
        </w:tc>
      </w:tr>
      <w:tr w:rsidR="002E70BB" w:rsidRPr="00774B2C" w14:paraId="6C788BA9" w14:textId="77777777" w:rsidTr="00DF734D">
        <w:trPr>
          <w:trHeight w:val="127"/>
        </w:trPr>
        <w:tc>
          <w:tcPr>
            <w:tcW w:w="3120" w:type="dxa"/>
          </w:tcPr>
          <w:p w14:paraId="12E4C246" w14:textId="3E16115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46" w:name="OLE_LINK20"/>
            <w:r w:rsidRPr="00774B2C">
              <w:rPr>
                <w:szCs w:val="24"/>
              </w:rPr>
              <w:t>Yes (</w:t>
            </w:r>
            <w:r w:rsidRPr="002E70BB">
              <w:rPr>
                <w:i/>
                <w:iCs/>
                <w:szCs w:val="24"/>
              </w:rPr>
              <w:t>n</w:t>
            </w:r>
            <w:r w:rsidRPr="00774B2C">
              <w:rPr>
                <w:szCs w:val="24"/>
              </w:rPr>
              <w:t>=14)</w:t>
            </w:r>
          </w:p>
        </w:tc>
        <w:tc>
          <w:tcPr>
            <w:tcW w:w="1701" w:type="dxa"/>
          </w:tcPr>
          <w:p w14:paraId="58F46A93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4 (12.12)</w:t>
            </w:r>
          </w:p>
        </w:tc>
        <w:tc>
          <w:tcPr>
            <w:tcW w:w="2126" w:type="dxa"/>
          </w:tcPr>
          <w:p w14:paraId="33A974ED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10 (22.22)</w:t>
            </w:r>
          </w:p>
        </w:tc>
        <w:tc>
          <w:tcPr>
            <w:tcW w:w="1134" w:type="dxa"/>
          </w:tcPr>
          <w:p w14:paraId="06F774AE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5E43DCC0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00DD29A0" w14:textId="77777777" w:rsidTr="00DF734D">
        <w:trPr>
          <w:trHeight w:val="127"/>
        </w:trPr>
        <w:tc>
          <w:tcPr>
            <w:tcW w:w="3120" w:type="dxa"/>
          </w:tcPr>
          <w:p w14:paraId="6792D165" w14:textId="6FA41430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No (</w:t>
            </w:r>
            <w:r w:rsidRPr="002E70BB">
              <w:rPr>
                <w:i/>
                <w:iCs/>
                <w:szCs w:val="24"/>
              </w:rPr>
              <w:t>n</w:t>
            </w:r>
            <w:r w:rsidRPr="00774B2C">
              <w:rPr>
                <w:szCs w:val="24"/>
              </w:rPr>
              <w:t>=64)</w:t>
            </w:r>
          </w:p>
        </w:tc>
        <w:tc>
          <w:tcPr>
            <w:tcW w:w="1701" w:type="dxa"/>
          </w:tcPr>
          <w:p w14:paraId="465A1D9F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29 (87.88)</w:t>
            </w:r>
          </w:p>
        </w:tc>
        <w:tc>
          <w:tcPr>
            <w:tcW w:w="2126" w:type="dxa"/>
          </w:tcPr>
          <w:p w14:paraId="0A2F473D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35 (77.78)</w:t>
            </w:r>
          </w:p>
        </w:tc>
        <w:tc>
          <w:tcPr>
            <w:tcW w:w="1134" w:type="dxa"/>
          </w:tcPr>
          <w:p w14:paraId="52CCA6E8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102BF185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46"/>
      <w:tr w:rsidR="002E70BB" w:rsidRPr="00774B2C" w14:paraId="210870A1" w14:textId="77777777" w:rsidTr="00DF734D">
        <w:trPr>
          <w:trHeight w:val="127"/>
        </w:trPr>
        <w:tc>
          <w:tcPr>
            <w:tcW w:w="3120" w:type="dxa"/>
          </w:tcPr>
          <w:p w14:paraId="3F929C57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Lesion location</w:t>
            </w:r>
          </w:p>
        </w:tc>
        <w:tc>
          <w:tcPr>
            <w:tcW w:w="1701" w:type="dxa"/>
          </w:tcPr>
          <w:p w14:paraId="58CD2B09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51F8EF2E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56ECAE6F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0.602</w:t>
            </w:r>
          </w:p>
        </w:tc>
        <w:tc>
          <w:tcPr>
            <w:tcW w:w="992" w:type="dxa"/>
          </w:tcPr>
          <w:p w14:paraId="264786BB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0.740</w:t>
            </w:r>
          </w:p>
        </w:tc>
      </w:tr>
      <w:tr w:rsidR="002E70BB" w:rsidRPr="00774B2C" w14:paraId="3D922590" w14:textId="77777777" w:rsidTr="00DF734D">
        <w:trPr>
          <w:trHeight w:val="127"/>
        </w:trPr>
        <w:tc>
          <w:tcPr>
            <w:tcW w:w="3120" w:type="dxa"/>
          </w:tcPr>
          <w:p w14:paraId="5BD588E8" w14:textId="67174DCF" w:rsidR="002E70BB" w:rsidRPr="00774B2C" w:rsidRDefault="002E70BB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47" w:name="OLE_LINK21"/>
            <w:r w:rsidRPr="00774B2C">
              <w:rPr>
                <w:szCs w:val="24"/>
              </w:rPr>
              <w:t xml:space="preserve">The upper thoracic </w:t>
            </w:r>
            <w:r w:rsidR="00820C61">
              <w:rPr>
                <w:szCs w:val="24"/>
              </w:rPr>
              <w:t>area</w:t>
            </w:r>
            <w:r w:rsidRPr="00774B2C">
              <w:rPr>
                <w:szCs w:val="24"/>
              </w:rPr>
              <w:t xml:space="preserve">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19)</w:t>
            </w:r>
          </w:p>
        </w:tc>
        <w:tc>
          <w:tcPr>
            <w:tcW w:w="1701" w:type="dxa"/>
          </w:tcPr>
          <w:p w14:paraId="4956D197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7 (21.21)</w:t>
            </w:r>
          </w:p>
        </w:tc>
        <w:tc>
          <w:tcPr>
            <w:tcW w:w="2126" w:type="dxa"/>
          </w:tcPr>
          <w:p w14:paraId="22B374CF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12 (26.67)</w:t>
            </w:r>
          </w:p>
        </w:tc>
        <w:tc>
          <w:tcPr>
            <w:tcW w:w="1134" w:type="dxa"/>
          </w:tcPr>
          <w:p w14:paraId="5994F2B4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422FC47F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7F70A0EA" w14:textId="77777777" w:rsidTr="00DF734D">
        <w:trPr>
          <w:trHeight w:val="127"/>
        </w:trPr>
        <w:tc>
          <w:tcPr>
            <w:tcW w:w="3120" w:type="dxa"/>
          </w:tcPr>
          <w:p w14:paraId="2AB7CE98" w14:textId="0410DB90" w:rsidR="002E70BB" w:rsidRPr="00774B2C" w:rsidRDefault="002E70BB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 xml:space="preserve">The middle thoracic </w:t>
            </w:r>
            <w:r w:rsidR="00820C61">
              <w:rPr>
                <w:szCs w:val="24"/>
              </w:rPr>
              <w:t>area</w:t>
            </w:r>
            <w:r w:rsidRPr="00774B2C">
              <w:rPr>
                <w:szCs w:val="24"/>
              </w:rPr>
              <w:t xml:space="preserve">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34)</w:t>
            </w:r>
          </w:p>
        </w:tc>
        <w:tc>
          <w:tcPr>
            <w:tcW w:w="1701" w:type="dxa"/>
          </w:tcPr>
          <w:p w14:paraId="2E4223A9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16 (48.49)</w:t>
            </w:r>
          </w:p>
        </w:tc>
        <w:tc>
          <w:tcPr>
            <w:tcW w:w="2126" w:type="dxa"/>
          </w:tcPr>
          <w:p w14:paraId="3A5ED28D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18 (40.00)</w:t>
            </w:r>
          </w:p>
        </w:tc>
        <w:tc>
          <w:tcPr>
            <w:tcW w:w="1134" w:type="dxa"/>
          </w:tcPr>
          <w:p w14:paraId="62C041FD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04B06DCA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6CE410E7" w14:textId="77777777" w:rsidTr="00DF734D">
        <w:trPr>
          <w:trHeight w:val="127"/>
        </w:trPr>
        <w:tc>
          <w:tcPr>
            <w:tcW w:w="3120" w:type="dxa"/>
          </w:tcPr>
          <w:p w14:paraId="1EDA3C9A" w14:textId="15C3E33B" w:rsidR="002E70BB" w:rsidRPr="00774B2C" w:rsidRDefault="002E70BB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 xml:space="preserve">The lower thoracic </w:t>
            </w:r>
            <w:r w:rsidR="00820C61">
              <w:rPr>
                <w:szCs w:val="24"/>
              </w:rPr>
              <w:t>area</w:t>
            </w:r>
            <w:r w:rsidRPr="00774B2C">
              <w:rPr>
                <w:szCs w:val="24"/>
              </w:rPr>
              <w:t xml:space="preserve">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25)</w:t>
            </w:r>
          </w:p>
        </w:tc>
        <w:tc>
          <w:tcPr>
            <w:tcW w:w="1701" w:type="dxa"/>
          </w:tcPr>
          <w:p w14:paraId="6495CD86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10 (30.30)</w:t>
            </w:r>
          </w:p>
        </w:tc>
        <w:tc>
          <w:tcPr>
            <w:tcW w:w="2126" w:type="dxa"/>
          </w:tcPr>
          <w:p w14:paraId="61FA6A5D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15 (33.33)</w:t>
            </w:r>
          </w:p>
        </w:tc>
        <w:tc>
          <w:tcPr>
            <w:tcW w:w="1134" w:type="dxa"/>
          </w:tcPr>
          <w:p w14:paraId="5ECF6613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558BBD25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47"/>
      <w:tr w:rsidR="002E70BB" w:rsidRPr="00774B2C" w14:paraId="60987887" w14:textId="77777777" w:rsidTr="00DF734D">
        <w:trPr>
          <w:trHeight w:val="127"/>
        </w:trPr>
        <w:tc>
          <w:tcPr>
            <w:tcW w:w="3120" w:type="dxa"/>
          </w:tcPr>
          <w:p w14:paraId="04694D4E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Tumor size</w:t>
            </w:r>
          </w:p>
        </w:tc>
        <w:tc>
          <w:tcPr>
            <w:tcW w:w="1701" w:type="dxa"/>
          </w:tcPr>
          <w:p w14:paraId="3A9399F9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4B86CB49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0D318398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7.648</w:t>
            </w:r>
          </w:p>
        </w:tc>
        <w:tc>
          <w:tcPr>
            <w:tcW w:w="992" w:type="dxa"/>
          </w:tcPr>
          <w:p w14:paraId="3F920A0D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0.006</w:t>
            </w:r>
          </w:p>
        </w:tc>
      </w:tr>
      <w:tr w:rsidR="002E70BB" w:rsidRPr="00774B2C" w14:paraId="27B485FE" w14:textId="77777777" w:rsidTr="00DF734D">
        <w:trPr>
          <w:trHeight w:val="127"/>
        </w:trPr>
        <w:tc>
          <w:tcPr>
            <w:tcW w:w="3120" w:type="dxa"/>
          </w:tcPr>
          <w:p w14:paraId="5454AAC8" w14:textId="63C52B0C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48" w:name="OLE_LINK22"/>
            <w:r>
              <w:rPr>
                <w:szCs w:val="24"/>
              </w:rPr>
              <w:t>≥</w:t>
            </w:r>
            <w:r>
              <w:rPr>
                <w:rFonts w:hint="cs"/>
                <w:szCs w:val="24"/>
                <w:cs/>
              </w:rPr>
              <w:t xml:space="preserve"> </w:t>
            </w:r>
            <w:r w:rsidRPr="00774B2C">
              <w:rPr>
                <w:szCs w:val="24"/>
              </w:rPr>
              <w:t>3</w:t>
            </w:r>
            <w:r w:rsidR="00820C61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cm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i/>
                <w:iCs/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45)</w:t>
            </w:r>
          </w:p>
        </w:tc>
        <w:tc>
          <w:tcPr>
            <w:tcW w:w="1701" w:type="dxa"/>
          </w:tcPr>
          <w:p w14:paraId="66DD8F61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25 (75.76)</w:t>
            </w:r>
          </w:p>
        </w:tc>
        <w:tc>
          <w:tcPr>
            <w:tcW w:w="2126" w:type="dxa"/>
          </w:tcPr>
          <w:p w14:paraId="5CD26656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20 (44.44)</w:t>
            </w:r>
          </w:p>
        </w:tc>
        <w:tc>
          <w:tcPr>
            <w:tcW w:w="1134" w:type="dxa"/>
          </w:tcPr>
          <w:p w14:paraId="0EACD2E1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1722A8DB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39040760" w14:textId="77777777" w:rsidTr="00DF734D">
        <w:trPr>
          <w:trHeight w:val="127"/>
        </w:trPr>
        <w:tc>
          <w:tcPr>
            <w:tcW w:w="3120" w:type="dxa"/>
          </w:tcPr>
          <w:p w14:paraId="53853019" w14:textId="44C515A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&lt; 3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cm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33)</w:t>
            </w:r>
          </w:p>
        </w:tc>
        <w:tc>
          <w:tcPr>
            <w:tcW w:w="1701" w:type="dxa"/>
          </w:tcPr>
          <w:p w14:paraId="1F4891B8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8 (24.24)</w:t>
            </w:r>
          </w:p>
        </w:tc>
        <w:tc>
          <w:tcPr>
            <w:tcW w:w="2126" w:type="dxa"/>
          </w:tcPr>
          <w:p w14:paraId="3E0AFD5C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25 (55.56)</w:t>
            </w:r>
          </w:p>
        </w:tc>
        <w:tc>
          <w:tcPr>
            <w:tcW w:w="1134" w:type="dxa"/>
          </w:tcPr>
          <w:p w14:paraId="46A69122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7F1A8F9A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48"/>
      <w:tr w:rsidR="002E70BB" w:rsidRPr="00774B2C" w14:paraId="491E54CE" w14:textId="77777777" w:rsidTr="00DF734D">
        <w:trPr>
          <w:trHeight w:val="127"/>
        </w:trPr>
        <w:tc>
          <w:tcPr>
            <w:tcW w:w="3120" w:type="dxa"/>
          </w:tcPr>
          <w:p w14:paraId="6A9BAE3C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Differentiation</w:t>
            </w:r>
          </w:p>
        </w:tc>
        <w:tc>
          <w:tcPr>
            <w:tcW w:w="1701" w:type="dxa"/>
          </w:tcPr>
          <w:p w14:paraId="2B9AD3BC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6DB9954E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03A1D284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7.093</w:t>
            </w:r>
          </w:p>
        </w:tc>
        <w:tc>
          <w:tcPr>
            <w:tcW w:w="992" w:type="dxa"/>
          </w:tcPr>
          <w:p w14:paraId="7215CB1F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0.008</w:t>
            </w:r>
          </w:p>
        </w:tc>
      </w:tr>
      <w:tr w:rsidR="002E70BB" w:rsidRPr="00774B2C" w14:paraId="3698C7C0" w14:textId="77777777" w:rsidTr="00DF734D">
        <w:trPr>
          <w:trHeight w:val="127"/>
        </w:trPr>
        <w:tc>
          <w:tcPr>
            <w:tcW w:w="3120" w:type="dxa"/>
          </w:tcPr>
          <w:p w14:paraId="2BA83615" w14:textId="61A2D8C2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49" w:name="OLE_LINK23"/>
            <w:r w:rsidRPr="00774B2C">
              <w:rPr>
                <w:szCs w:val="24"/>
              </w:rPr>
              <w:t>Low differentiation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25)</w:t>
            </w:r>
          </w:p>
        </w:tc>
        <w:tc>
          <w:tcPr>
            <w:tcW w:w="1701" w:type="dxa"/>
          </w:tcPr>
          <w:p w14:paraId="0F968355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16 (48.48)</w:t>
            </w:r>
          </w:p>
        </w:tc>
        <w:tc>
          <w:tcPr>
            <w:tcW w:w="2126" w:type="dxa"/>
          </w:tcPr>
          <w:p w14:paraId="1C390137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9 (20.00)</w:t>
            </w:r>
          </w:p>
        </w:tc>
        <w:tc>
          <w:tcPr>
            <w:tcW w:w="1134" w:type="dxa"/>
          </w:tcPr>
          <w:p w14:paraId="51F04A56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0A60974B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6E9B0D86" w14:textId="77777777" w:rsidTr="00DF734D">
        <w:trPr>
          <w:trHeight w:val="127"/>
        </w:trPr>
        <w:tc>
          <w:tcPr>
            <w:tcW w:w="3120" w:type="dxa"/>
          </w:tcPr>
          <w:p w14:paraId="1E33F0BC" w14:textId="3F626E22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Moderate + high differentiation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53)</w:t>
            </w:r>
          </w:p>
        </w:tc>
        <w:tc>
          <w:tcPr>
            <w:tcW w:w="1701" w:type="dxa"/>
          </w:tcPr>
          <w:p w14:paraId="2D002378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17 (51.52)</w:t>
            </w:r>
          </w:p>
        </w:tc>
        <w:tc>
          <w:tcPr>
            <w:tcW w:w="2126" w:type="dxa"/>
          </w:tcPr>
          <w:p w14:paraId="795D792C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36 (80.00)</w:t>
            </w:r>
          </w:p>
        </w:tc>
        <w:tc>
          <w:tcPr>
            <w:tcW w:w="1134" w:type="dxa"/>
          </w:tcPr>
          <w:p w14:paraId="11FE913C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6E167533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49"/>
      <w:tr w:rsidR="002E70BB" w:rsidRPr="00774B2C" w14:paraId="316E0F91" w14:textId="77777777" w:rsidTr="00DF734D">
        <w:trPr>
          <w:trHeight w:val="127"/>
        </w:trPr>
        <w:tc>
          <w:tcPr>
            <w:tcW w:w="3120" w:type="dxa"/>
          </w:tcPr>
          <w:p w14:paraId="4D62D261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lastRenderedPageBreak/>
              <w:t>TNM staging</w:t>
            </w:r>
          </w:p>
        </w:tc>
        <w:tc>
          <w:tcPr>
            <w:tcW w:w="1701" w:type="dxa"/>
          </w:tcPr>
          <w:p w14:paraId="6889BEA1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2126" w:type="dxa"/>
          </w:tcPr>
          <w:p w14:paraId="07630713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134" w:type="dxa"/>
          </w:tcPr>
          <w:p w14:paraId="7D131C8B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6.825</w:t>
            </w:r>
          </w:p>
        </w:tc>
        <w:tc>
          <w:tcPr>
            <w:tcW w:w="992" w:type="dxa"/>
          </w:tcPr>
          <w:p w14:paraId="613B0CFC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0.009</w:t>
            </w:r>
          </w:p>
        </w:tc>
      </w:tr>
      <w:tr w:rsidR="002E70BB" w:rsidRPr="00774B2C" w14:paraId="2E8B20C4" w14:textId="77777777" w:rsidTr="00DF734D">
        <w:trPr>
          <w:trHeight w:val="127"/>
        </w:trPr>
        <w:tc>
          <w:tcPr>
            <w:tcW w:w="3120" w:type="dxa"/>
          </w:tcPr>
          <w:p w14:paraId="6657F65B" w14:textId="22FABC4E" w:rsidR="002E70BB" w:rsidRPr="00774B2C" w:rsidRDefault="00820C61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50" w:name="OLE_LINK24"/>
            <w:r>
              <w:rPr>
                <w:szCs w:val="24"/>
              </w:rPr>
              <w:t xml:space="preserve">Stage </w:t>
            </w:r>
            <w:r w:rsidR="002E70BB" w:rsidRPr="00774B2C">
              <w:rPr>
                <w:szCs w:val="24"/>
              </w:rPr>
              <w:t>I (</w:t>
            </w:r>
            <w:r w:rsidR="002E70BB" w:rsidRPr="002E70BB">
              <w:rPr>
                <w:i/>
                <w:iCs/>
                <w:szCs w:val="24"/>
              </w:rPr>
              <w:t>n</w:t>
            </w:r>
            <w:r w:rsidR="002E70BB">
              <w:rPr>
                <w:szCs w:val="24"/>
              </w:rPr>
              <w:t xml:space="preserve"> </w:t>
            </w:r>
            <w:r w:rsidR="002E70BB" w:rsidRPr="00774B2C">
              <w:rPr>
                <w:szCs w:val="24"/>
              </w:rPr>
              <w:t>=</w:t>
            </w:r>
            <w:r w:rsidR="002E70BB">
              <w:rPr>
                <w:szCs w:val="24"/>
              </w:rPr>
              <w:t xml:space="preserve"> </w:t>
            </w:r>
            <w:r w:rsidR="002E70BB" w:rsidRPr="00774B2C">
              <w:rPr>
                <w:szCs w:val="24"/>
              </w:rPr>
              <w:t>27)</w:t>
            </w:r>
          </w:p>
        </w:tc>
        <w:tc>
          <w:tcPr>
            <w:tcW w:w="1701" w:type="dxa"/>
          </w:tcPr>
          <w:p w14:paraId="38FE2E8E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6 (18.18)</w:t>
            </w:r>
          </w:p>
        </w:tc>
        <w:tc>
          <w:tcPr>
            <w:tcW w:w="2126" w:type="dxa"/>
          </w:tcPr>
          <w:p w14:paraId="0A4CC2C0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21 (46.67)</w:t>
            </w:r>
          </w:p>
        </w:tc>
        <w:tc>
          <w:tcPr>
            <w:tcW w:w="1134" w:type="dxa"/>
          </w:tcPr>
          <w:p w14:paraId="3DD7E5F7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1E9E00A3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170027DA" w14:textId="77777777" w:rsidTr="00DF734D">
        <w:trPr>
          <w:trHeight w:val="144"/>
        </w:trPr>
        <w:tc>
          <w:tcPr>
            <w:tcW w:w="3120" w:type="dxa"/>
          </w:tcPr>
          <w:p w14:paraId="2A74D7D8" w14:textId="0816B895" w:rsidR="002E70BB" w:rsidRPr="00774B2C" w:rsidRDefault="00820C61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>
              <w:rPr>
                <w:szCs w:val="24"/>
              </w:rPr>
              <w:t xml:space="preserve">Stage </w:t>
            </w:r>
            <w:r w:rsidR="002E70BB" w:rsidRPr="00774B2C">
              <w:rPr>
                <w:szCs w:val="24"/>
              </w:rPr>
              <w:t>II</w:t>
            </w:r>
            <w:r w:rsidR="002E70BB">
              <w:rPr>
                <w:szCs w:val="24"/>
              </w:rPr>
              <w:t xml:space="preserve"> </w:t>
            </w:r>
            <w:r w:rsidR="002E70BB" w:rsidRPr="00774B2C">
              <w:rPr>
                <w:szCs w:val="24"/>
              </w:rPr>
              <w:t>+</w:t>
            </w:r>
            <w:r w:rsidR="002E70BB">
              <w:rPr>
                <w:szCs w:val="24"/>
              </w:rPr>
              <w:t xml:space="preserve"> </w:t>
            </w:r>
            <w:r w:rsidR="002E70BB" w:rsidRPr="00774B2C">
              <w:rPr>
                <w:szCs w:val="24"/>
              </w:rPr>
              <w:t>III (</w:t>
            </w:r>
            <w:r w:rsidR="002E70BB" w:rsidRPr="002E70BB">
              <w:rPr>
                <w:i/>
                <w:iCs/>
                <w:szCs w:val="24"/>
              </w:rPr>
              <w:t>n</w:t>
            </w:r>
            <w:r w:rsidR="002E70BB">
              <w:rPr>
                <w:szCs w:val="24"/>
              </w:rPr>
              <w:t xml:space="preserve"> </w:t>
            </w:r>
            <w:r w:rsidR="002E70BB" w:rsidRPr="00774B2C">
              <w:rPr>
                <w:szCs w:val="24"/>
              </w:rPr>
              <w:t>=</w:t>
            </w:r>
            <w:r w:rsidR="002E70BB">
              <w:rPr>
                <w:szCs w:val="24"/>
              </w:rPr>
              <w:t xml:space="preserve"> </w:t>
            </w:r>
            <w:r w:rsidR="002E70BB" w:rsidRPr="00774B2C">
              <w:rPr>
                <w:szCs w:val="24"/>
              </w:rPr>
              <w:t>51)</w:t>
            </w:r>
          </w:p>
        </w:tc>
        <w:tc>
          <w:tcPr>
            <w:tcW w:w="1701" w:type="dxa"/>
          </w:tcPr>
          <w:p w14:paraId="319E7743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27 (81.82)</w:t>
            </w:r>
          </w:p>
        </w:tc>
        <w:tc>
          <w:tcPr>
            <w:tcW w:w="2126" w:type="dxa"/>
          </w:tcPr>
          <w:p w14:paraId="27520D93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24 (53.33)</w:t>
            </w:r>
          </w:p>
        </w:tc>
        <w:tc>
          <w:tcPr>
            <w:tcW w:w="1134" w:type="dxa"/>
          </w:tcPr>
          <w:p w14:paraId="11DF77C7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4502C9AF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00EFC7BB" w14:textId="77777777" w:rsidTr="00DF734D">
        <w:trPr>
          <w:trHeight w:val="144"/>
        </w:trPr>
        <w:tc>
          <w:tcPr>
            <w:tcW w:w="3120" w:type="dxa"/>
          </w:tcPr>
          <w:p w14:paraId="7C059189" w14:textId="11CF8C66" w:rsidR="002E70BB" w:rsidRPr="00774B2C" w:rsidRDefault="002E70BB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 xml:space="preserve">Adjuvant therapy </w:t>
            </w:r>
          </w:p>
        </w:tc>
        <w:tc>
          <w:tcPr>
            <w:tcW w:w="1701" w:type="dxa"/>
          </w:tcPr>
          <w:p w14:paraId="1B070F85" w14:textId="77777777" w:rsidR="002E70BB" w:rsidRPr="00774B2C" w:rsidRDefault="002E70BB" w:rsidP="00774B2C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</w:p>
        </w:tc>
        <w:tc>
          <w:tcPr>
            <w:tcW w:w="2126" w:type="dxa"/>
          </w:tcPr>
          <w:p w14:paraId="78EB1131" w14:textId="77777777" w:rsidR="002E70BB" w:rsidRPr="00774B2C" w:rsidRDefault="002E70BB" w:rsidP="00774B2C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2202E4A9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0.946</w:t>
            </w:r>
          </w:p>
        </w:tc>
        <w:tc>
          <w:tcPr>
            <w:tcW w:w="992" w:type="dxa"/>
          </w:tcPr>
          <w:p w14:paraId="12E5475F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0.331</w:t>
            </w:r>
          </w:p>
        </w:tc>
      </w:tr>
      <w:tr w:rsidR="002E70BB" w:rsidRPr="00774B2C" w14:paraId="7C026720" w14:textId="77777777" w:rsidTr="00DF734D">
        <w:trPr>
          <w:trHeight w:val="144"/>
        </w:trPr>
        <w:tc>
          <w:tcPr>
            <w:tcW w:w="3120" w:type="dxa"/>
          </w:tcPr>
          <w:p w14:paraId="09CDF79A" w14:textId="414BB11C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bookmarkStart w:id="51" w:name="OLE_LINK25"/>
            <w:r w:rsidRPr="00774B2C">
              <w:rPr>
                <w:szCs w:val="24"/>
              </w:rPr>
              <w:t>Chemotherapy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52)</w:t>
            </w:r>
          </w:p>
        </w:tc>
        <w:tc>
          <w:tcPr>
            <w:tcW w:w="1701" w:type="dxa"/>
          </w:tcPr>
          <w:p w14:paraId="5025D883" w14:textId="77777777" w:rsidR="002E70BB" w:rsidRPr="00774B2C" w:rsidRDefault="002E70BB" w:rsidP="002E70BB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  <w:r w:rsidRPr="00774B2C">
              <w:rPr>
                <w:color w:val="000000"/>
                <w:szCs w:val="24"/>
              </w:rPr>
              <w:t>24 (72.73)</w:t>
            </w:r>
          </w:p>
        </w:tc>
        <w:tc>
          <w:tcPr>
            <w:tcW w:w="2126" w:type="dxa"/>
          </w:tcPr>
          <w:p w14:paraId="56F00316" w14:textId="77777777" w:rsidR="002E70BB" w:rsidRPr="00774B2C" w:rsidRDefault="002E70BB" w:rsidP="002E70BB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  <w:r w:rsidRPr="00774B2C">
              <w:rPr>
                <w:color w:val="000000"/>
                <w:szCs w:val="24"/>
              </w:rPr>
              <w:t>28 (62.22)</w:t>
            </w:r>
          </w:p>
        </w:tc>
        <w:tc>
          <w:tcPr>
            <w:tcW w:w="1134" w:type="dxa"/>
          </w:tcPr>
          <w:p w14:paraId="50B3599A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0B815765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69DF65A2" w14:textId="77777777" w:rsidTr="00DF734D">
        <w:trPr>
          <w:trHeight w:val="144"/>
        </w:trPr>
        <w:tc>
          <w:tcPr>
            <w:tcW w:w="3120" w:type="dxa"/>
          </w:tcPr>
          <w:p w14:paraId="033B21A0" w14:textId="0FD65365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Radiotherapy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26)</w:t>
            </w:r>
          </w:p>
        </w:tc>
        <w:tc>
          <w:tcPr>
            <w:tcW w:w="1701" w:type="dxa"/>
          </w:tcPr>
          <w:p w14:paraId="3B220E46" w14:textId="77777777" w:rsidR="002E70BB" w:rsidRPr="00774B2C" w:rsidRDefault="002E70BB" w:rsidP="002E70BB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  <w:r w:rsidRPr="00774B2C">
              <w:rPr>
                <w:color w:val="000000"/>
                <w:szCs w:val="24"/>
              </w:rPr>
              <w:t>9 (27.27)</w:t>
            </w:r>
          </w:p>
        </w:tc>
        <w:tc>
          <w:tcPr>
            <w:tcW w:w="2126" w:type="dxa"/>
          </w:tcPr>
          <w:p w14:paraId="248A5B5D" w14:textId="77777777" w:rsidR="002E70BB" w:rsidRPr="00774B2C" w:rsidRDefault="002E70BB" w:rsidP="002E70BB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  <w:r w:rsidRPr="00774B2C">
              <w:rPr>
                <w:color w:val="000000"/>
                <w:szCs w:val="24"/>
              </w:rPr>
              <w:t>17 (37.78)</w:t>
            </w:r>
          </w:p>
        </w:tc>
        <w:tc>
          <w:tcPr>
            <w:tcW w:w="1134" w:type="dxa"/>
          </w:tcPr>
          <w:p w14:paraId="6ADFC0A5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24EE6D2F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2360F5FA" w14:textId="77777777" w:rsidTr="00DF734D">
        <w:trPr>
          <w:trHeight w:val="144"/>
        </w:trPr>
        <w:tc>
          <w:tcPr>
            <w:tcW w:w="3120" w:type="dxa"/>
          </w:tcPr>
          <w:p w14:paraId="3A4AF595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Expression of miR-1304</w:t>
            </w:r>
          </w:p>
        </w:tc>
        <w:tc>
          <w:tcPr>
            <w:tcW w:w="1701" w:type="dxa"/>
          </w:tcPr>
          <w:p w14:paraId="1531FF7A" w14:textId="77777777" w:rsidR="002E70BB" w:rsidRPr="00774B2C" w:rsidRDefault="002E70BB" w:rsidP="00774B2C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</w:p>
        </w:tc>
        <w:tc>
          <w:tcPr>
            <w:tcW w:w="2126" w:type="dxa"/>
          </w:tcPr>
          <w:p w14:paraId="3A22AD2F" w14:textId="77777777" w:rsidR="002E70BB" w:rsidRPr="00774B2C" w:rsidRDefault="002E70BB" w:rsidP="00774B2C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</w:p>
        </w:tc>
        <w:tc>
          <w:tcPr>
            <w:tcW w:w="1134" w:type="dxa"/>
          </w:tcPr>
          <w:p w14:paraId="3543420E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8.877</w:t>
            </w:r>
          </w:p>
        </w:tc>
        <w:tc>
          <w:tcPr>
            <w:tcW w:w="992" w:type="dxa"/>
          </w:tcPr>
          <w:p w14:paraId="5C9D8E17" w14:textId="77777777" w:rsidR="002E70BB" w:rsidRPr="00774B2C" w:rsidRDefault="002E70BB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0.003</w:t>
            </w:r>
          </w:p>
        </w:tc>
      </w:tr>
      <w:tr w:rsidR="002E70BB" w:rsidRPr="00774B2C" w14:paraId="29DA7D35" w14:textId="77777777" w:rsidTr="00DF734D">
        <w:trPr>
          <w:trHeight w:val="144"/>
        </w:trPr>
        <w:tc>
          <w:tcPr>
            <w:tcW w:w="3120" w:type="dxa"/>
          </w:tcPr>
          <w:p w14:paraId="59C947B1" w14:textId="57FA796E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High expression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39)</w:t>
            </w:r>
          </w:p>
        </w:tc>
        <w:tc>
          <w:tcPr>
            <w:tcW w:w="1701" w:type="dxa"/>
          </w:tcPr>
          <w:p w14:paraId="65B16C1B" w14:textId="77777777" w:rsidR="002E70BB" w:rsidRPr="00774B2C" w:rsidRDefault="002E70BB" w:rsidP="002E70BB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  <w:r w:rsidRPr="00774B2C">
              <w:rPr>
                <w:color w:val="000000"/>
                <w:szCs w:val="24"/>
              </w:rPr>
              <w:t>23 (69.70)</w:t>
            </w:r>
          </w:p>
        </w:tc>
        <w:tc>
          <w:tcPr>
            <w:tcW w:w="2126" w:type="dxa"/>
          </w:tcPr>
          <w:p w14:paraId="628D30EE" w14:textId="77777777" w:rsidR="002E70BB" w:rsidRPr="00774B2C" w:rsidRDefault="002E70BB" w:rsidP="002E70BB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  <w:r w:rsidRPr="00774B2C">
              <w:rPr>
                <w:color w:val="000000"/>
                <w:szCs w:val="24"/>
              </w:rPr>
              <w:t>16 (35.56)</w:t>
            </w:r>
          </w:p>
        </w:tc>
        <w:tc>
          <w:tcPr>
            <w:tcW w:w="1134" w:type="dxa"/>
          </w:tcPr>
          <w:p w14:paraId="5D9B1498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2171E7E8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2E70BB" w:rsidRPr="00774B2C" w14:paraId="243DE761" w14:textId="77777777" w:rsidTr="00DF734D">
        <w:trPr>
          <w:trHeight w:val="144"/>
        </w:trPr>
        <w:tc>
          <w:tcPr>
            <w:tcW w:w="3120" w:type="dxa"/>
          </w:tcPr>
          <w:p w14:paraId="3E02307F" w14:textId="3F114302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Low expression (</w:t>
            </w:r>
            <w:r w:rsidRPr="002E70BB">
              <w:rPr>
                <w:i/>
                <w:iCs/>
                <w:szCs w:val="24"/>
              </w:rPr>
              <w:t>n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39)</w:t>
            </w:r>
          </w:p>
        </w:tc>
        <w:tc>
          <w:tcPr>
            <w:tcW w:w="1701" w:type="dxa"/>
          </w:tcPr>
          <w:p w14:paraId="4EB950F7" w14:textId="77777777" w:rsidR="002E70BB" w:rsidRPr="00774B2C" w:rsidRDefault="002E70BB" w:rsidP="002E70BB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  <w:r w:rsidRPr="00774B2C">
              <w:rPr>
                <w:color w:val="000000"/>
                <w:szCs w:val="24"/>
              </w:rPr>
              <w:t>10 (30.30)</w:t>
            </w:r>
          </w:p>
        </w:tc>
        <w:tc>
          <w:tcPr>
            <w:tcW w:w="2126" w:type="dxa"/>
          </w:tcPr>
          <w:p w14:paraId="3663F669" w14:textId="77777777" w:rsidR="002E70BB" w:rsidRPr="00774B2C" w:rsidRDefault="002E70BB" w:rsidP="002E70BB">
            <w:pPr>
              <w:adjustRightInd w:val="0"/>
              <w:snapToGrid w:val="0"/>
              <w:rPr>
                <w:color w:val="000000"/>
                <w:szCs w:val="24"/>
                <w:lang w:bidi="ar"/>
              </w:rPr>
            </w:pPr>
            <w:r w:rsidRPr="00774B2C">
              <w:rPr>
                <w:color w:val="000000"/>
                <w:szCs w:val="24"/>
              </w:rPr>
              <w:t>29 (64.44)</w:t>
            </w:r>
          </w:p>
        </w:tc>
        <w:tc>
          <w:tcPr>
            <w:tcW w:w="1134" w:type="dxa"/>
          </w:tcPr>
          <w:p w14:paraId="33F0FC74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992" w:type="dxa"/>
          </w:tcPr>
          <w:p w14:paraId="3F11AD9B" w14:textId="77777777" w:rsidR="002E70BB" w:rsidRPr="00774B2C" w:rsidRDefault="002E70BB" w:rsidP="002E70BB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bookmarkEnd w:id="50"/>
      <w:bookmarkEnd w:id="51"/>
    </w:tbl>
    <w:p w14:paraId="75E2466F" w14:textId="3FB0754C" w:rsidR="00DF734D" w:rsidRDefault="00DF734D" w:rsidP="00774B2C">
      <w:pPr>
        <w:adjustRightInd w:val="0"/>
        <w:snapToGrid w:val="0"/>
        <w:rPr>
          <w:rFonts w:eastAsia="楷体"/>
          <w:szCs w:val="24"/>
        </w:rPr>
      </w:pPr>
    </w:p>
    <w:p w14:paraId="6F90AF4F" w14:textId="77777777" w:rsidR="00DF734D" w:rsidRDefault="00DF734D">
      <w:pPr>
        <w:widowControl/>
        <w:spacing w:line="240" w:lineRule="auto"/>
        <w:jc w:val="left"/>
        <w:rPr>
          <w:rFonts w:eastAsia="楷体"/>
          <w:szCs w:val="24"/>
        </w:rPr>
      </w:pPr>
      <w:r>
        <w:rPr>
          <w:rFonts w:eastAsia="楷体"/>
          <w:szCs w:val="24"/>
        </w:rPr>
        <w:br w:type="page"/>
      </w:r>
    </w:p>
    <w:p w14:paraId="04B4F422" w14:textId="77777777" w:rsidR="00483403" w:rsidRPr="00774B2C" w:rsidRDefault="00483403" w:rsidP="00774B2C">
      <w:pPr>
        <w:adjustRightInd w:val="0"/>
        <w:snapToGrid w:val="0"/>
        <w:rPr>
          <w:rFonts w:eastAsia="楷体"/>
          <w:b/>
          <w:szCs w:val="24"/>
        </w:rPr>
      </w:pPr>
      <w:r w:rsidRPr="00774B2C">
        <w:rPr>
          <w:b/>
          <w:szCs w:val="24"/>
        </w:rPr>
        <w:lastRenderedPageBreak/>
        <w:t>Table 5 Assignment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5223"/>
      </w:tblGrid>
      <w:tr w:rsidR="00483403" w:rsidRPr="00774B2C" w14:paraId="73EA4963" w14:textId="77777777" w:rsidTr="00DF734D"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2D066DBB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DF734D">
              <w:rPr>
                <w:b/>
                <w:bCs/>
                <w:szCs w:val="24"/>
              </w:rPr>
              <w:t>Factors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14:paraId="6AAC6D4E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DF734D">
              <w:rPr>
                <w:b/>
                <w:bCs/>
                <w:szCs w:val="24"/>
              </w:rPr>
              <w:t>Assignment</w:t>
            </w:r>
          </w:p>
        </w:tc>
      </w:tr>
      <w:tr w:rsidR="00483403" w:rsidRPr="00774B2C" w14:paraId="3159DAF7" w14:textId="77777777" w:rsidTr="00DF734D"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14:paraId="7E0E450F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Tumor size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14:paraId="047C5873" w14:textId="0A37D17A" w:rsidR="00483403" w:rsidRPr="00774B2C" w:rsidRDefault="00DF734D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>
              <w:rPr>
                <w:szCs w:val="24"/>
              </w:rPr>
              <w:t>≥</w:t>
            </w:r>
            <w:r>
              <w:rPr>
                <w:rFonts w:hint="cs"/>
                <w:szCs w:val="24"/>
                <w:cs/>
              </w:rPr>
              <w:t xml:space="preserve"> </w:t>
            </w:r>
            <w:r w:rsidR="00483403" w:rsidRPr="00774B2C">
              <w:rPr>
                <w:szCs w:val="24"/>
              </w:rPr>
              <w:t>3</w:t>
            </w:r>
            <w:r w:rsidR="007C797C">
              <w:rPr>
                <w:szCs w:val="24"/>
              </w:rPr>
              <w:t xml:space="preserve"> </w:t>
            </w:r>
            <w:r w:rsidR="00483403" w:rsidRPr="00774B2C">
              <w:rPr>
                <w:szCs w:val="24"/>
              </w:rPr>
              <w:t>cm</w:t>
            </w:r>
            <w:r>
              <w:rPr>
                <w:szCs w:val="24"/>
              </w:rPr>
              <w:t xml:space="preserve"> </w:t>
            </w:r>
            <w:r w:rsidR="00483403"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="00483403" w:rsidRPr="00774B2C">
              <w:rPr>
                <w:szCs w:val="24"/>
              </w:rPr>
              <w:t>1</w:t>
            </w:r>
            <w:r w:rsidR="00820C61">
              <w:rPr>
                <w:szCs w:val="24"/>
              </w:rPr>
              <w:t>,</w:t>
            </w:r>
            <w:r w:rsidR="00820C61">
              <w:rPr>
                <w:szCs w:val="24"/>
                <w:lang w:val="en-GB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&lt; </w:t>
            </w:r>
            <w:r w:rsidR="00483403" w:rsidRPr="00774B2C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="00483403" w:rsidRPr="00774B2C">
              <w:rPr>
                <w:szCs w:val="24"/>
              </w:rPr>
              <w:t>cm</w:t>
            </w:r>
            <w:r>
              <w:rPr>
                <w:szCs w:val="24"/>
              </w:rPr>
              <w:t xml:space="preserve"> </w:t>
            </w:r>
            <w:r w:rsidR="00483403" w:rsidRPr="00774B2C">
              <w:rPr>
                <w:szCs w:val="24"/>
              </w:rPr>
              <w:t>=</w:t>
            </w:r>
            <w:r>
              <w:rPr>
                <w:szCs w:val="24"/>
              </w:rPr>
              <w:t xml:space="preserve"> </w:t>
            </w:r>
            <w:r w:rsidR="00483403" w:rsidRPr="00774B2C">
              <w:rPr>
                <w:szCs w:val="24"/>
              </w:rPr>
              <w:t>0</w:t>
            </w:r>
          </w:p>
        </w:tc>
      </w:tr>
      <w:tr w:rsidR="00483403" w:rsidRPr="00774B2C" w14:paraId="1349269E" w14:textId="77777777" w:rsidTr="00DF734D">
        <w:tc>
          <w:tcPr>
            <w:tcW w:w="3299" w:type="dxa"/>
            <w:vAlign w:val="center"/>
          </w:tcPr>
          <w:p w14:paraId="5F320F7E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Differentiation</w:t>
            </w:r>
          </w:p>
        </w:tc>
        <w:tc>
          <w:tcPr>
            <w:tcW w:w="5223" w:type="dxa"/>
          </w:tcPr>
          <w:p w14:paraId="1E8945D8" w14:textId="395DF1ED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Low differentiation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1, Moderate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+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high differentiation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0</w:t>
            </w:r>
          </w:p>
        </w:tc>
      </w:tr>
      <w:tr w:rsidR="00483403" w:rsidRPr="00774B2C" w14:paraId="20F9546A" w14:textId="77777777" w:rsidTr="00DF734D">
        <w:tc>
          <w:tcPr>
            <w:tcW w:w="3299" w:type="dxa"/>
            <w:vAlign w:val="center"/>
          </w:tcPr>
          <w:p w14:paraId="785B493F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TNM stage</w:t>
            </w:r>
          </w:p>
        </w:tc>
        <w:tc>
          <w:tcPr>
            <w:tcW w:w="5223" w:type="dxa"/>
          </w:tcPr>
          <w:p w14:paraId="6115EB86" w14:textId="7EB51688" w:rsidR="00483403" w:rsidRPr="00774B2C" w:rsidRDefault="00820C61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>
              <w:rPr>
                <w:szCs w:val="24"/>
              </w:rPr>
              <w:t xml:space="preserve">Stage </w:t>
            </w:r>
            <w:r w:rsidR="00483403" w:rsidRPr="00774B2C">
              <w:rPr>
                <w:szCs w:val="24"/>
              </w:rPr>
              <w:t>I =</w:t>
            </w:r>
            <w:r w:rsidR="00DF734D">
              <w:rPr>
                <w:szCs w:val="24"/>
              </w:rPr>
              <w:t xml:space="preserve"> </w:t>
            </w:r>
            <w:r w:rsidR="00483403" w:rsidRPr="00774B2C">
              <w:rPr>
                <w:szCs w:val="24"/>
              </w:rPr>
              <w:t xml:space="preserve">1, </w:t>
            </w:r>
            <w:r>
              <w:rPr>
                <w:szCs w:val="24"/>
              </w:rPr>
              <w:t xml:space="preserve">stage </w:t>
            </w:r>
            <w:r w:rsidR="00483403" w:rsidRPr="00774B2C">
              <w:rPr>
                <w:szCs w:val="24"/>
              </w:rPr>
              <w:t>II</w:t>
            </w:r>
            <w:r w:rsidR="00DF734D">
              <w:rPr>
                <w:szCs w:val="24"/>
              </w:rPr>
              <w:t xml:space="preserve"> </w:t>
            </w:r>
            <w:r w:rsidR="00483403" w:rsidRPr="00774B2C">
              <w:rPr>
                <w:szCs w:val="24"/>
              </w:rPr>
              <w:t>+</w:t>
            </w:r>
            <w:r w:rsidR="00DF734D">
              <w:rPr>
                <w:szCs w:val="24"/>
              </w:rPr>
              <w:t xml:space="preserve"> </w:t>
            </w:r>
            <w:r w:rsidR="00483403" w:rsidRPr="00774B2C">
              <w:rPr>
                <w:szCs w:val="24"/>
              </w:rPr>
              <w:t>III =</w:t>
            </w:r>
            <w:r w:rsidR="00DF734D">
              <w:rPr>
                <w:szCs w:val="24"/>
              </w:rPr>
              <w:t xml:space="preserve"> </w:t>
            </w:r>
            <w:r w:rsidR="00483403" w:rsidRPr="00774B2C">
              <w:rPr>
                <w:szCs w:val="24"/>
              </w:rPr>
              <w:t>0</w:t>
            </w:r>
          </w:p>
        </w:tc>
      </w:tr>
      <w:tr w:rsidR="00483403" w:rsidRPr="00774B2C" w14:paraId="0FA779DB" w14:textId="77777777" w:rsidTr="00DF734D">
        <w:tc>
          <w:tcPr>
            <w:tcW w:w="3299" w:type="dxa"/>
            <w:vAlign w:val="center"/>
          </w:tcPr>
          <w:p w14:paraId="18282D18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Expression of miR-1304</w:t>
            </w:r>
          </w:p>
        </w:tc>
        <w:tc>
          <w:tcPr>
            <w:tcW w:w="5223" w:type="dxa"/>
          </w:tcPr>
          <w:p w14:paraId="5856A93D" w14:textId="60B943EC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High differentiation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1, low differentiation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0</w:t>
            </w:r>
          </w:p>
        </w:tc>
      </w:tr>
      <w:tr w:rsidR="00483403" w:rsidRPr="00774B2C" w14:paraId="70B5B871" w14:textId="77777777" w:rsidTr="00DF734D">
        <w:tc>
          <w:tcPr>
            <w:tcW w:w="3299" w:type="dxa"/>
            <w:vAlign w:val="center"/>
          </w:tcPr>
          <w:p w14:paraId="26FA813B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Recurrence</w:t>
            </w:r>
          </w:p>
        </w:tc>
        <w:tc>
          <w:tcPr>
            <w:tcW w:w="5223" w:type="dxa"/>
          </w:tcPr>
          <w:p w14:paraId="733C7086" w14:textId="3FD03E2C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Recurrence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1, non-recurrence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=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0</w:t>
            </w:r>
          </w:p>
        </w:tc>
      </w:tr>
    </w:tbl>
    <w:p w14:paraId="0671B952" w14:textId="7028AF39" w:rsidR="00DF734D" w:rsidRDefault="00DF734D" w:rsidP="00774B2C">
      <w:pPr>
        <w:adjustRightInd w:val="0"/>
        <w:snapToGrid w:val="0"/>
        <w:rPr>
          <w:rFonts w:eastAsia="楷体"/>
          <w:szCs w:val="24"/>
        </w:rPr>
      </w:pPr>
    </w:p>
    <w:p w14:paraId="63D711C5" w14:textId="77777777" w:rsidR="00DF734D" w:rsidRDefault="00DF734D">
      <w:pPr>
        <w:widowControl/>
        <w:spacing w:line="240" w:lineRule="auto"/>
        <w:jc w:val="left"/>
        <w:rPr>
          <w:rFonts w:eastAsia="楷体"/>
          <w:szCs w:val="24"/>
        </w:rPr>
      </w:pPr>
      <w:r>
        <w:rPr>
          <w:rFonts w:eastAsia="楷体"/>
          <w:szCs w:val="24"/>
        </w:rPr>
        <w:br w:type="page"/>
      </w:r>
    </w:p>
    <w:p w14:paraId="53DF326A" w14:textId="77777777" w:rsidR="00483403" w:rsidRPr="00774B2C" w:rsidRDefault="00483403" w:rsidP="00774B2C">
      <w:pPr>
        <w:adjustRightInd w:val="0"/>
        <w:snapToGrid w:val="0"/>
        <w:rPr>
          <w:rFonts w:eastAsia="楷体"/>
          <w:b/>
          <w:szCs w:val="24"/>
        </w:rPr>
      </w:pPr>
      <w:r w:rsidRPr="00774B2C">
        <w:rPr>
          <w:b/>
          <w:szCs w:val="24"/>
        </w:rPr>
        <w:lastRenderedPageBreak/>
        <w:t>Table 6 Logistic regression analysis</w:t>
      </w:r>
    </w:p>
    <w:tbl>
      <w:tblPr>
        <w:tblW w:w="8522" w:type="dxa"/>
        <w:tblInd w:w="-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722"/>
        <w:gridCol w:w="784"/>
        <w:gridCol w:w="709"/>
        <w:gridCol w:w="850"/>
        <w:gridCol w:w="1418"/>
        <w:gridCol w:w="1417"/>
        <w:gridCol w:w="913"/>
      </w:tblGrid>
      <w:tr w:rsidR="00483403" w:rsidRPr="00774B2C" w14:paraId="697CDD10" w14:textId="77777777" w:rsidTr="00DF734D">
        <w:trPr>
          <w:trHeight w:val="270"/>
        </w:trPr>
        <w:tc>
          <w:tcPr>
            <w:tcW w:w="1709" w:type="dxa"/>
            <w:vMerge w:val="restart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DEC1E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  <w:r w:rsidRPr="00DF734D">
              <w:rPr>
                <w:b/>
                <w:bCs/>
                <w:color w:val="000000"/>
                <w:szCs w:val="24"/>
              </w:rPr>
              <w:t>Factors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80C0C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  <w:r w:rsidRPr="00DF734D">
              <w:rPr>
                <w:b/>
                <w:bCs/>
                <w:color w:val="000000"/>
                <w:szCs w:val="24"/>
              </w:rPr>
              <w:t>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2F755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  <w:r w:rsidRPr="00DF734D">
              <w:rPr>
                <w:b/>
                <w:bCs/>
                <w:color w:val="000000"/>
                <w:szCs w:val="24"/>
              </w:rPr>
              <w:t>SD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762F4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  <w:vertAlign w:val="superscript"/>
              </w:rPr>
            </w:pPr>
            <w:r w:rsidRPr="00DF734D">
              <w:rPr>
                <w:b/>
                <w:bCs/>
                <w:i/>
                <w:iCs/>
                <w:color w:val="000000"/>
                <w:szCs w:val="24"/>
              </w:rPr>
              <w:sym w:font="Symbol" w:char="0063"/>
            </w:r>
            <w:r w:rsidRPr="00DF734D">
              <w:rPr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BF3D8" w14:textId="7F66327C" w:rsidR="00483403" w:rsidRPr="00DF734D" w:rsidRDefault="001C4C56" w:rsidP="00774B2C">
            <w:pPr>
              <w:adjustRightInd w:val="0"/>
              <w:snapToGrid w:val="0"/>
              <w:rPr>
                <w:rFonts w:eastAsia="楷体"/>
                <w:b/>
                <w:bCs/>
                <w:i/>
                <w:iCs/>
                <w:color w:val="000000"/>
                <w:szCs w:val="24"/>
              </w:rPr>
            </w:pPr>
            <w:r w:rsidRPr="001C4C56">
              <w:rPr>
                <w:b/>
                <w:bCs/>
                <w:i/>
                <w:iCs/>
                <w:color w:val="000000"/>
                <w:szCs w:val="24"/>
              </w:rPr>
              <w:t>P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1C4C56">
              <w:rPr>
                <w:b/>
                <w:bCs/>
                <w:color w:val="000000"/>
                <w:szCs w:val="24"/>
              </w:rPr>
              <w:t>value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69110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  <w:proofErr w:type="spellStart"/>
            <w:r w:rsidRPr="00DF734D">
              <w:rPr>
                <w:b/>
                <w:bCs/>
                <w:color w:val="000000"/>
                <w:szCs w:val="24"/>
              </w:rPr>
              <w:t>Exp</w:t>
            </w:r>
            <w:proofErr w:type="spellEnd"/>
            <w:r w:rsidRPr="00DF734D">
              <w:rPr>
                <w:b/>
                <w:bCs/>
                <w:color w:val="000000"/>
                <w:szCs w:val="24"/>
              </w:rPr>
              <w:t xml:space="preserve"> (HR)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80CB9" w14:textId="480C0E95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  <w:r w:rsidRPr="00DF734D">
              <w:rPr>
                <w:b/>
                <w:bCs/>
                <w:color w:val="000000"/>
                <w:szCs w:val="24"/>
              </w:rPr>
              <w:t>HR</w:t>
            </w:r>
            <w:r w:rsidRPr="00DF734D">
              <w:rPr>
                <w:rStyle w:val="font11"/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DF734D">
              <w:rPr>
                <w:rStyle w:val="font21"/>
                <w:rFonts w:ascii="Book Antiqua" w:hAnsi="Book Antiqua"/>
                <w:b/>
                <w:bCs/>
                <w:sz w:val="24"/>
                <w:szCs w:val="24"/>
              </w:rPr>
              <w:t>95%</w:t>
            </w:r>
            <w:r w:rsidR="00DF734D" w:rsidRPr="00DF734D">
              <w:rPr>
                <w:rStyle w:val="font21"/>
                <w:rFonts w:ascii="Book Antiqua" w:hAnsi="Book Antiqua"/>
                <w:b/>
                <w:bCs/>
                <w:sz w:val="24"/>
                <w:szCs w:val="24"/>
              </w:rPr>
              <w:t>C</w:t>
            </w:r>
            <w:r w:rsidR="00DF734D">
              <w:rPr>
                <w:rStyle w:val="font21"/>
                <w:rFonts w:ascii="Book Antiqua" w:hAnsi="Book Antiqua"/>
                <w:b/>
                <w:bCs/>
                <w:sz w:val="24"/>
                <w:szCs w:val="24"/>
              </w:rPr>
              <w:t>I</w:t>
            </w:r>
          </w:p>
        </w:tc>
      </w:tr>
      <w:tr w:rsidR="00483403" w:rsidRPr="00774B2C" w14:paraId="75973B97" w14:textId="77777777" w:rsidTr="00DF734D">
        <w:trPr>
          <w:trHeight w:val="270"/>
        </w:trPr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99011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</w:p>
        </w:tc>
        <w:tc>
          <w:tcPr>
            <w:tcW w:w="722" w:type="dxa"/>
            <w:vMerge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8D38A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8163E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A42CE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1C375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44B8D" w14:textId="77777777" w:rsidR="00483403" w:rsidRPr="00DF734D" w:rsidRDefault="00483403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33737" w14:textId="1117E79F" w:rsidR="00483403" w:rsidRPr="00DF734D" w:rsidRDefault="00DF734D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  <w:r w:rsidRPr="00DF734D">
              <w:rPr>
                <w:b/>
                <w:bCs/>
                <w:color w:val="000000"/>
                <w:szCs w:val="24"/>
              </w:rPr>
              <w:t>Up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A0E66" w14:textId="5A05371F" w:rsidR="00483403" w:rsidRPr="00DF734D" w:rsidRDefault="00DF734D" w:rsidP="00774B2C">
            <w:pPr>
              <w:adjustRightInd w:val="0"/>
              <w:snapToGrid w:val="0"/>
              <w:rPr>
                <w:rFonts w:eastAsia="楷体"/>
                <w:b/>
                <w:bCs/>
                <w:color w:val="000000"/>
                <w:szCs w:val="24"/>
              </w:rPr>
            </w:pPr>
            <w:r w:rsidRPr="00DF734D">
              <w:rPr>
                <w:b/>
                <w:bCs/>
                <w:color w:val="000000"/>
                <w:szCs w:val="24"/>
              </w:rPr>
              <w:t>Down</w:t>
            </w:r>
          </w:p>
        </w:tc>
      </w:tr>
      <w:tr w:rsidR="00483403" w:rsidRPr="00774B2C" w14:paraId="1E61EF32" w14:textId="77777777" w:rsidTr="00DF734D">
        <w:trPr>
          <w:trHeight w:val="270"/>
        </w:trPr>
        <w:tc>
          <w:tcPr>
            <w:tcW w:w="170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5F635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Tumor size</w:t>
            </w:r>
          </w:p>
        </w:tc>
        <w:tc>
          <w:tcPr>
            <w:tcW w:w="72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32DE4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1.861 </w:t>
            </w:r>
          </w:p>
        </w:tc>
        <w:tc>
          <w:tcPr>
            <w:tcW w:w="78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4471D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0.646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901B8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8.297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3D60C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0.004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75AE8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6.429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75A3C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1.812 </w:t>
            </w:r>
          </w:p>
        </w:tc>
        <w:tc>
          <w:tcPr>
            <w:tcW w:w="913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D959F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22.803 </w:t>
            </w:r>
          </w:p>
        </w:tc>
      </w:tr>
      <w:tr w:rsidR="00483403" w:rsidRPr="00774B2C" w14:paraId="722D32F3" w14:textId="77777777" w:rsidTr="00DF734D">
        <w:trPr>
          <w:trHeight w:val="270"/>
        </w:trPr>
        <w:tc>
          <w:tcPr>
            <w:tcW w:w="1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2235D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Differentiation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36439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1.811 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8DCCF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0.665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BE604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7.414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3E1D2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0.006 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B223C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6.114 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D35AE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1.661 </w:t>
            </w:r>
          </w:p>
        </w:tc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144E6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22.506 </w:t>
            </w:r>
          </w:p>
        </w:tc>
      </w:tr>
      <w:tr w:rsidR="00483403" w:rsidRPr="00774B2C" w14:paraId="691D8CA7" w14:textId="77777777" w:rsidTr="00DF734D">
        <w:trPr>
          <w:trHeight w:val="270"/>
        </w:trPr>
        <w:tc>
          <w:tcPr>
            <w:tcW w:w="1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876CF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szCs w:val="24"/>
              </w:rPr>
              <w:t>TNM stage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2B7A5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-1.801 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C039E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0.675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39398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7.118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22E32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0.008 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3174B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0.165 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17E14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0.044 </w:t>
            </w:r>
          </w:p>
        </w:tc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E72F8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0.620 </w:t>
            </w:r>
          </w:p>
        </w:tc>
      </w:tr>
      <w:tr w:rsidR="00483403" w:rsidRPr="00774B2C" w14:paraId="64AA4B3D" w14:textId="77777777" w:rsidTr="00DF734D">
        <w:trPr>
          <w:trHeight w:val="270"/>
        </w:trPr>
        <w:tc>
          <w:tcPr>
            <w:tcW w:w="1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9C68C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szCs w:val="24"/>
              </w:rPr>
              <w:t>Expression of miR-1304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2C791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1.838 </w:t>
            </w:r>
          </w:p>
        </w:tc>
        <w:tc>
          <w:tcPr>
            <w:tcW w:w="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EF64A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0.627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B7550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8.586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03E47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0.003 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1F6D2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6.286 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6A5A2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1.838 </w:t>
            </w:r>
          </w:p>
        </w:tc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D45C4" w14:textId="77777777" w:rsidR="00483403" w:rsidRPr="00774B2C" w:rsidRDefault="00483403" w:rsidP="00774B2C">
            <w:pPr>
              <w:adjustRightInd w:val="0"/>
              <w:snapToGrid w:val="0"/>
              <w:rPr>
                <w:rFonts w:eastAsia="楷体"/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21.501 </w:t>
            </w:r>
          </w:p>
        </w:tc>
      </w:tr>
    </w:tbl>
    <w:p w14:paraId="0D350EB1" w14:textId="01FEFF11" w:rsidR="00DF734D" w:rsidRPr="00DF734D" w:rsidRDefault="00DF734D" w:rsidP="00774B2C">
      <w:pPr>
        <w:adjustRightInd w:val="0"/>
        <w:snapToGrid w:val="0"/>
        <w:rPr>
          <w:szCs w:val="24"/>
        </w:rPr>
      </w:pPr>
      <w:r w:rsidRPr="00DF734D">
        <w:rPr>
          <w:rStyle w:val="font21"/>
          <w:rFonts w:ascii="Book Antiqua" w:hAnsi="Book Antiqua"/>
          <w:sz w:val="24"/>
          <w:szCs w:val="24"/>
        </w:rPr>
        <w:t>CI: Credibility interval.</w:t>
      </w:r>
    </w:p>
    <w:p w14:paraId="5253F0CB" w14:textId="77777777" w:rsidR="00DF734D" w:rsidRDefault="00DF734D">
      <w:pPr>
        <w:widowControl/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EE3F342" w14:textId="77777777" w:rsidR="00BF2B1A" w:rsidRPr="00774B2C" w:rsidRDefault="00BF2B1A" w:rsidP="00774B2C">
      <w:pPr>
        <w:adjustRightInd w:val="0"/>
        <w:snapToGrid w:val="0"/>
        <w:rPr>
          <w:rFonts w:eastAsia="楷体"/>
          <w:b/>
          <w:szCs w:val="24"/>
        </w:rPr>
      </w:pPr>
      <w:r w:rsidRPr="00774B2C">
        <w:rPr>
          <w:b/>
          <w:szCs w:val="24"/>
        </w:rPr>
        <w:lastRenderedPageBreak/>
        <w:t>Table 7 Cox regression analysis</w:t>
      </w:r>
    </w:p>
    <w:tbl>
      <w:tblPr>
        <w:tblW w:w="864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28"/>
        <w:gridCol w:w="1701"/>
        <w:gridCol w:w="1134"/>
        <w:gridCol w:w="1701"/>
      </w:tblGrid>
      <w:tr w:rsidR="00BF2B1A" w:rsidRPr="00774B2C" w14:paraId="329DF099" w14:textId="77777777" w:rsidTr="001C4C56">
        <w:trPr>
          <w:trHeight w:val="90"/>
        </w:trPr>
        <w:tc>
          <w:tcPr>
            <w:tcW w:w="2978" w:type="dxa"/>
            <w:vMerge w:val="restart"/>
            <w:tcBorders>
              <w:top w:val="single" w:sz="4" w:space="0" w:color="auto"/>
              <w:bottom w:val="nil"/>
            </w:tcBorders>
          </w:tcPr>
          <w:p w14:paraId="39F8208A" w14:textId="77777777" w:rsidR="00BF2B1A" w:rsidRPr="00DF734D" w:rsidRDefault="00BF2B1A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DF734D">
              <w:rPr>
                <w:b/>
                <w:bCs/>
                <w:szCs w:val="24"/>
              </w:rPr>
              <w:t>Factors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nil"/>
            </w:tcBorders>
          </w:tcPr>
          <w:p w14:paraId="7F0527D2" w14:textId="5DBEA157" w:rsidR="00BF2B1A" w:rsidRPr="00DF734D" w:rsidRDefault="00BF2B1A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DF734D">
              <w:rPr>
                <w:b/>
                <w:bCs/>
                <w:szCs w:val="24"/>
              </w:rPr>
              <w:t>3-</w:t>
            </w:r>
            <w:r w:rsidR="007C797C" w:rsidRPr="00DF734D">
              <w:rPr>
                <w:b/>
                <w:bCs/>
                <w:szCs w:val="24"/>
              </w:rPr>
              <w:t>y</w:t>
            </w:r>
            <w:r w:rsidR="00DF734D" w:rsidRPr="00DF734D">
              <w:rPr>
                <w:b/>
                <w:bCs/>
                <w:szCs w:val="24"/>
              </w:rPr>
              <w:t xml:space="preserve">r </w:t>
            </w:r>
            <w:proofErr w:type="spellStart"/>
            <w:r w:rsidRPr="00DF734D">
              <w:rPr>
                <w:b/>
                <w:bCs/>
                <w:szCs w:val="24"/>
              </w:rPr>
              <w:t>univariate</w:t>
            </w:r>
            <w:proofErr w:type="spellEnd"/>
            <w:r w:rsidRPr="00DF734D">
              <w:rPr>
                <w:b/>
                <w:bCs/>
                <w:szCs w:val="24"/>
              </w:rPr>
              <w:t xml:space="preserve"> Cox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</w:tcPr>
          <w:p w14:paraId="03D58D64" w14:textId="042E501A" w:rsidR="00BF2B1A" w:rsidRPr="00DF734D" w:rsidRDefault="00BF2B1A" w:rsidP="00820C61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DF734D">
              <w:rPr>
                <w:b/>
                <w:bCs/>
                <w:szCs w:val="24"/>
              </w:rPr>
              <w:t>3-</w:t>
            </w:r>
            <w:r w:rsidR="00820C61">
              <w:rPr>
                <w:b/>
                <w:bCs/>
                <w:szCs w:val="24"/>
              </w:rPr>
              <w:t>y</w:t>
            </w:r>
            <w:r w:rsidR="00DF734D" w:rsidRPr="00DF734D">
              <w:rPr>
                <w:b/>
                <w:bCs/>
                <w:szCs w:val="24"/>
              </w:rPr>
              <w:t xml:space="preserve">r </w:t>
            </w:r>
            <w:r w:rsidRPr="00DF734D">
              <w:rPr>
                <w:b/>
                <w:bCs/>
                <w:szCs w:val="24"/>
              </w:rPr>
              <w:t>multivariate Cox</w:t>
            </w:r>
          </w:p>
        </w:tc>
      </w:tr>
      <w:tr w:rsidR="00BF2B1A" w:rsidRPr="00774B2C" w14:paraId="092684B5" w14:textId="77777777" w:rsidTr="001C4C56">
        <w:trPr>
          <w:trHeight w:val="90"/>
        </w:trPr>
        <w:tc>
          <w:tcPr>
            <w:tcW w:w="2978" w:type="dxa"/>
            <w:vMerge/>
            <w:tcBorders>
              <w:top w:val="nil"/>
              <w:bottom w:val="single" w:sz="4" w:space="0" w:color="auto"/>
            </w:tcBorders>
          </w:tcPr>
          <w:p w14:paraId="7023EB0E" w14:textId="77777777" w:rsidR="00BF2B1A" w:rsidRPr="00DF734D" w:rsidRDefault="00BF2B1A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2CFD713F" w14:textId="5C09A99E" w:rsidR="00BF2B1A" w:rsidRPr="00DF734D" w:rsidRDefault="001C4C56" w:rsidP="00774B2C">
            <w:pPr>
              <w:adjustRightInd w:val="0"/>
              <w:snapToGrid w:val="0"/>
              <w:rPr>
                <w:rFonts w:eastAsia="楷体"/>
                <w:b/>
                <w:bCs/>
                <w:i/>
                <w:iCs/>
                <w:szCs w:val="24"/>
              </w:rPr>
            </w:pPr>
            <w:r w:rsidRPr="001C4C56">
              <w:rPr>
                <w:b/>
                <w:bCs/>
                <w:i/>
                <w:iCs/>
                <w:color w:val="000000"/>
                <w:szCs w:val="24"/>
              </w:rPr>
              <w:t>P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1C4C56">
              <w:rPr>
                <w:b/>
                <w:bCs/>
                <w:color w:val="000000"/>
                <w:szCs w:val="24"/>
              </w:rPr>
              <w:t>value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1EE4CCA" w14:textId="48CEAD59" w:rsidR="00BF2B1A" w:rsidRPr="00DF734D" w:rsidRDefault="00BF2B1A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DF734D">
              <w:rPr>
                <w:b/>
                <w:bCs/>
                <w:szCs w:val="24"/>
              </w:rPr>
              <w:t>H (95</w:t>
            </w:r>
            <w:r w:rsidR="007C797C" w:rsidRPr="00DF734D">
              <w:rPr>
                <w:b/>
                <w:bCs/>
                <w:szCs w:val="24"/>
              </w:rPr>
              <w:t>%</w:t>
            </w:r>
            <w:r w:rsidRPr="00DF734D">
              <w:rPr>
                <w:b/>
                <w:bCs/>
                <w:szCs w:val="24"/>
              </w:rPr>
              <w:t>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E049F1F" w14:textId="5FD990AB" w:rsidR="00BF2B1A" w:rsidRPr="00DF734D" w:rsidRDefault="001C4C56" w:rsidP="00774B2C">
            <w:pPr>
              <w:adjustRightInd w:val="0"/>
              <w:snapToGrid w:val="0"/>
              <w:rPr>
                <w:rFonts w:eastAsia="楷体"/>
                <w:b/>
                <w:bCs/>
                <w:i/>
                <w:iCs/>
                <w:szCs w:val="24"/>
              </w:rPr>
            </w:pPr>
            <w:r w:rsidRPr="001C4C56">
              <w:rPr>
                <w:b/>
                <w:bCs/>
                <w:i/>
                <w:iCs/>
                <w:color w:val="000000"/>
                <w:szCs w:val="24"/>
              </w:rPr>
              <w:t>P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1C4C56">
              <w:rPr>
                <w:b/>
                <w:bCs/>
                <w:color w:val="000000"/>
                <w:szCs w:val="24"/>
              </w:rPr>
              <w:t>value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2595BE1" w14:textId="00C54499" w:rsidR="00BF2B1A" w:rsidRPr="00DF734D" w:rsidRDefault="00BF2B1A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DF734D">
              <w:rPr>
                <w:b/>
                <w:bCs/>
                <w:szCs w:val="24"/>
              </w:rPr>
              <w:t>HR (95</w:t>
            </w:r>
            <w:r w:rsidR="007C797C" w:rsidRPr="00DF734D">
              <w:rPr>
                <w:b/>
                <w:bCs/>
                <w:szCs w:val="24"/>
              </w:rPr>
              <w:t>%</w:t>
            </w:r>
            <w:r w:rsidRPr="00DF734D">
              <w:rPr>
                <w:b/>
                <w:bCs/>
                <w:szCs w:val="24"/>
              </w:rPr>
              <w:t>CI)</w:t>
            </w:r>
          </w:p>
        </w:tc>
      </w:tr>
      <w:tr w:rsidR="00BF2B1A" w:rsidRPr="00774B2C" w14:paraId="75CDBD3D" w14:textId="77777777" w:rsidTr="001C4C56">
        <w:trPr>
          <w:trHeight w:val="90"/>
        </w:trPr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25BDCF8C" w14:textId="12413461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Gender (male </w:t>
            </w:r>
            <w:proofErr w:type="spellStart"/>
            <w:r w:rsidR="00DF734D" w:rsidRPr="00DF734D">
              <w:rPr>
                <w:i/>
                <w:iCs/>
                <w:color w:val="000000"/>
                <w:szCs w:val="24"/>
              </w:rPr>
              <w:t>vs</w:t>
            </w:r>
            <w:proofErr w:type="spellEnd"/>
            <w:r w:rsidRPr="00774B2C">
              <w:rPr>
                <w:color w:val="000000"/>
                <w:szCs w:val="24"/>
              </w:rPr>
              <w:t xml:space="preserve"> female)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7DD005BF" w14:textId="17C8979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0.803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0797310" w14:textId="2D3CBD1F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1.075</w:t>
            </w:r>
            <w:r w:rsidR="00DF734D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(0.608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1.903)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3FFE43" w14:textId="7777777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0A14D3" w14:textId="7777777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BF2B1A" w:rsidRPr="00774B2C" w14:paraId="7DA2A25E" w14:textId="77777777" w:rsidTr="001C4C56">
        <w:trPr>
          <w:trHeight w:val="90"/>
        </w:trPr>
        <w:tc>
          <w:tcPr>
            <w:tcW w:w="2978" w:type="dxa"/>
            <w:vAlign w:val="center"/>
          </w:tcPr>
          <w:p w14:paraId="70E1BE26" w14:textId="42137DC8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Age (</w:t>
            </w:r>
            <w:r w:rsidR="00DF734D">
              <w:rPr>
                <w:szCs w:val="24"/>
              </w:rPr>
              <w:t>≥</w:t>
            </w:r>
            <w:r w:rsidR="00DF734D">
              <w:rPr>
                <w:rFonts w:hint="cs"/>
                <w:szCs w:val="24"/>
                <w:cs/>
              </w:rPr>
              <w:t xml:space="preserve"> </w:t>
            </w:r>
            <w:r w:rsidRPr="00774B2C">
              <w:rPr>
                <w:szCs w:val="24"/>
              </w:rPr>
              <w:t xml:space="preserve">60 </w:t>
            </w:r>
            <w:proofErr w:type="spellStart"/>
            <w:r w:rsidRPr="00774B2C">
              <w:rPr>
                <w:szCs w:val="24"/>
              </w:rPr>
              <w:t>yr</w:t>
            </w:r>
            <w:proofErr w:type="spellEnd"/>
            <w:r w:rsidRPr="00774B2C">
              <w:rPr>
                <w:szCs w:val="24"/>
              </w:rPr>
              <w:t xml:space="preserve"> </w:t>
            </w:r>
            <w:proofErr w:type="spellStart"/>
            <w:r w:rsidRPr="00DF734D">
              <w:rPr>
                <w:i/>
                <w:iCs/>
                <w:szCs w:val="24"/>
              </w:rPr>
              <w:t>vs</w:t>
            </w:r>
            <w:proofErr w:type="spellEnd"/>
            <w:r w:rsidRPr="00774B2C">
              <w:rPr>
                <w:szCs w:val="24"/>
              </w:rPr>
              <w:t xml:space="preserve"> </w:t>
            </w:r>
            <w:r w:rsidR="00DF734D">
              <w:rPr>
                <w:rFonts w:hint="eastAsia"/>
                <w:szCs w:val="24"/>
              </w:rPr>
              <w:t>&lt;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 xml:space="preserve">65 </w:t>
            </w:r>
            <w:proofErr w:type="spellStart"/>
            <w:r w:rsidRPr="00774B2C">
              <w:rPr>
                <w:szCs w:val="24"/>
              </w:rPr>
              <w:t>yr</w:t>
            </w:r>
            <w:proofErr w:type="spellEnd"/>
            <w:r w:rsidRPr="00774B2C">
              <w:rPr>
                <w:szCs w:val="24"/>
              </w:rPr>
              <w:t>)</w:t>
            </w:r>
          </w:p>
        </w:tc>
        <w:tc>
          <w:tcPr>
            <w:tcW w:w="1128" w:type="dxa"/>
            <w:vAlign w:val="center"/>
          </w:tcPr>
          <w:p w14:paraId="1F48B4B6" w14:textId="056C3960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0.534</w:t>
            </w:r>
          </w:p>
        </w:tc>
        <w:tc>
          <w:tcPr>
            <w:tcW w:w="1701" w:type="dxa"/>
            <w:vAlign w:val="center"/>
          </w:tcPr>
          <w:p w14:paraId="43497C2A" w14:textId="22BBB41F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0.835 (0.473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1.474)</w:t>
            </w:r>
          </w:p>
        </w:tc>
        <w:tc>
          <w:tcPr>
            <w:tcW w:w="1134" w:type="dxa"/>
          </w:tcPr>
          <w:p w14:paraId="752D2D1F" w14:textId="7777777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701" w:type="dxa"/>
          </w:tcPr>
          <w:p w14:paraId="6129049B" w14:textId="7777777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BF2B1A" w:rsidRPr="00774B2C" w14:paraId="496DEA04" w14:textId="77777777" w:rsidTr="001C4C56">
        <w:trPr>
          <w:trHeight w:val="90"/>
        </w:trPr>
        <w:tc>
          <w:tcPr>
            <w:tcW w:w="2978" w:type="dxa"/>
            <w:vAlign w:val="center"/>
          </w:tcPr>
          <w:p w14:paraId="633BFE36" w14:textId="59768B14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Lesion location (upper </w:t>
            </w:r>
            <w:proofErr w:type="spellStart"/>
            <w:r w:rsidRPr="00DF734D">
              <w:rPr>
                <w:i/>
                <w:iCs/>
                <w:color w:val="000000"/>
                <w:szCs w:val="24"/>
              </w:rPr>
              <w:t>vs</w:t>
            </w:r>
            <w:proofErr w:type="spellEnd"/>
            <w:r w:rsidRPr="00774B2C">
              <w:rPr>
                <w:color w:val="000000"/>
                <w:szCs w:val="24"/>
              </w:rPr>
              <w:t xml:space="preserve"> middle</w:t>
            </w:r>
            <w:r w:rsidRPr="00DF734D">
              <w:rPr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DF734D">
              <w:rPr>
                <w:i/>
                <w:iCs/>
                <w:color w:val="000000"/>
                <w:szCs w:val="24"/>
              </w:rPr>
              <w:t>vs</w:t>
            </w:r>
            <w:proofErr w:type="spellEnd"/>
            <w:r w:rsidRPr="00DF734D">
              <w:rPr>
                <w:i/>
                <w:iCs/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lower)</w:t>
            </w:r>
          </w:p>
        </w:tc>
        <w:tc>
          <w:tcPr>
            <w:tcW w:w="1128" w:type="dxa"/>
            <w:vAlign w:val="center"/>
          </w:tcPr>
          <w:p w14:paraId="0F944672" w14:textId="23E1D039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0.427</w:t>
            </w:r>
          </w:p>
        </w:tc>
        <w:tc>
          <w:tcPr>
            <w:tcW w:w="1701" w:type="dxa"/>
            <w:vAlign w:val="center"/>
          </w:tcPr>
          <w:p w14:paraId="465F3B4F" w14:textId="1E002DCB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1.166 (0.798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1.705)</w:t>
            </w:r>
          </w:p>
        </w:tc>
        <w:tc>
          <w:tcPr>
            <w:tcW w:w="1134" w:type="dxa"/>
          </w:tcPr>
          <w:p w14:paraId="4E7332DF" w14:textId="7777777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701" w:type="dxa"/>
          </w:tcPr>
          <w:p w14:paraId="34736171" w14:textId="7777777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BF2B1A" w:rsidRPr="00774B2C" w14:paraId="21AA81ED" w14:textId="77777777" w:rsidTr="001C4C56">
        <w:trPr>
          <w:trHeight w:val="90"/>
        </w:trPr>
        <w:tc>
          <w:tcPr>
            <w:tcW w:w="2978" w:type="dxa"/>
            <w:vAlign w:val="center"/>
          </w:tcPr>
          <w:p w14:paraId="18B77D9D" w14:textId="2D510DBE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szCs w:val="24"/>
              </w:rPr>
              <w:t>Tumor size (</w:t>
            </w:r>
            <w:r w:rsidR="00DF734D">
              <w:rPr>
                <w:szCs w:val="24"/>
              </w:rPr>
              <w:t>≥</w:t>
            </w:r>
            <w:r w:rsidRPr="00774B2C">
              <w:rPr>
                <w:szCs w:val="24"/>
                <w:cs/>
              </w:rPr>
              <w:t xml:space="preserve"> </w:t>
            </w:r>
            <w:r w:rsidRPr="00774B2C">
              <w:rPr>
                <w:szCs w:val="24"/>
              </w:rPr>
              <w:t>3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 xml:space="preserve">cm </w:t>
            </w:r>
            <w:proofErr w:type="spellStart"/>
            <w:r w:rsidRPr="00DF734D">
              <w:rPr>
                <w:i/>
                <w:iCs/>
                <w:szCs w:val="24"/>
              </w:rPr>
              <w:t>vs</w:t>
            </w:r>
            <w:proofErr w:type="spellEnd"/>
            <w:r w:rsidRPr="00774B2C">
              <w:rPr>
                <w:szCs w:val="24"/>
              </w:rPr>
              <w:t xml:space="preserve"> &lt; 3</w:t>
            </w:r>
            <w:r w:rsidR="00DF734D">
              <w:rPr>
                <w:szCs w:val="24"/>
              </w:rPr>
              <w:t xml:space="preserve"> </w:t>
            </w:r>
            <w:r w:rsidRPr="00774B2C">
              <w:rPr>
                <w:szCs w:val="24"/>
              </w:rPr>
              <w:t>cm)</w:t>
            </w:r>
          </w:p>
        </w:tc>
        <w:tc>
          <w:tcPr>
            <w:tcW w:w="1128" w:type="dxa"/>
            <w:vAlign w:val="center"/>
          </w:tcPr>
          <w:p w14:paraId="525AA190" w14:textId="28FDE4F6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0.000</w:t>
            </w:r>
          </w:p>
        </w:tc>
        <w:tc>
          <w:tcPr>
            <w:tcW w:w="1701" w:type="dxa"/>
            <w:vAlign w:val="center"/>
          </w:tcPr>
          <w:p w14:paraId="79F4ED9F" w14:textId="07C8881E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3.473 (1.827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6.601)</w:t>
            </w:r>
          </w:p>
        </w:tc>
        <w:tc>
          <w:tcPr>
            <w:tcW w:w="1134" w:type="dxa"/>
            <w:vAlign w:val="center"/>
          </w:tcPr>
          <w:p w14:paraId="444CE492" w14:textId="38C65AC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0.010</w:t>
            </w:r>
          </w:p>
        </w:tc>
        <w:tc>
          <w:tcPr>
            <w:tcW w:w="1701" w:type="dxa"/>
            <w:vAlign w:val="center"/>
          </w:tcPr>
          <w:p w14:paraId="54E99FF6" w14:textId="4D2C0FD2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2.402 (1.237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4.665)</w:t>
            </w:r>
          </w:p>
        </w:tc>
      </w:tr>
      <w:tr w:rsidR="00BF2B1A" w:rsidRPr="00774B2C" w14:paraId="37A65755" w14:textId="77777777" w:rsidTr="001C4C56">
        <w:trPr>
          <w:trHeight w:val="90"/>
        </w:trPr>
        <w:tc>
          <w:tcPr>
            <w:tcW w:w="2978" w:type="dxa"/>
            <w:vAlign w:val="center"/>
          </w:tcPr>
          <w:p w14:paraId="2547279B" w14:textId="366E536E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Differentiation (low differentiation </w:t>
            </w:r>
            <w:proofErr w:type="spellStart"/>
            <w:r w:rsidRPr="00DF734D">
              <w:rPr>
                <w:i/>
                <w:iCs/>
                <w:color w:val="000000"/>
                <w:szCs w:val="24"/>
              </w:rPr>
              <w:t>vs</w:t>
            </w:r>
            <w:proofErr w:type="spellEnd"/>
            <w:r w:rsidRPr="00774B2C">
              <w:rPr>
                <w:color w:val="000000"/>
                <w:szCs w:val="24"/>
              </w:rPr>
              <w:t xml:space="preserve"> moderate +</w:t>
            </w:r>
            <w:r w:rsidR="00DF734D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high differentiation)</w:t>
            </w:r>
          </w:p>
        </w:tc>
        <w:tc>
          <w:tcPr>
            <w:tcW w:w="1128" w:type="dxa"/>
            <w:vAlign w:val="center"/>
          </w:tcPr>
          <w:p w14:paraId="35C73C3A" w14:textId="2F458B6F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0.000</w:t>
            </w:r>
          </w:p>
        </w:tc>
        <w:tc>
          <w:tcPr>
            <w:tcW w:w="1701" w:type="dxa"/>
            <w:vAlign w:val="center"/>
          </w:tcPr>
          <w:p w14:paraId="375E4B85" w14:textId="5668DD3E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3.09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(1.724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5.539)</w:t>
            </w:r>
          </w:p>
        </w:tc>
        <w:tc>
          <w:tcPr>
            <w:tcW w:w="1134" w:type="dxa"/>
            <w:vAlign w:val="center"/>
          </w:tcPr>
          <w:p w14:paraId="37840DFA" w14:textId="1F3469AA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0.015</w:t>
            </w:r>
          </w:p>
        </w:tc>
        <w:tc>
          <w:tcPr>
            <w:tcW w:w="1701" w:type="dxa"/>
            <w:vAlign w:val="center"/>
          </w:tcPr>
          <w:p w14:paraId="6018EF6F" w14:textId="5E0254A9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2.153 (1.159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4.002)</w:t>
            </w:r>
          </w:p>
        </w:tc>
      </w:tr>
      <w:tr w:rsidR="00BF2B1A" w:rsidRPr="00774B2C" w14:paraId="3C0AB42F" w14:textId="77777777" w:rsidTr="001C4C56">
        <w:trPr>
          <w:trHeight w:val="90"/>
        </w:trPr>
        <w:tc>
          <w:tcPr>
            <w:tcW w:w="2978" w:type="dxa"/>
            <w:vAlign w:val="center"/>
          </w:tcPr>
          <w:p w14:paraId="037121D6" w14:textId="11482AFE" w:rsidR="00BF2B1A" w:rsidRPr="00774B2C" w:rsidRDefault="00BF2B1A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TNM stage (</w:t>
            </w:r>
            <w:r w:rsidR="00820C61" w:rsidRPr="00774B2C">
              <w:rPr>
                <w:color w:val="000000"/>
                <w:szCs w:val="24"/>
              </w:rPr>
              <w:t xml:space="preserve">stage </w:t>
            </w:r>
            <w:r w:rsidRPr="00774B2C">
              <w:rPr>
                <w:color w:val="000000"/>
                <w:szCs w:val="24"/>
              </w:rPr>
              <w:t xml:space="preserve">I </w:t>
            </w:r>
            <w:proofErr w:type="spellStart"/>
            <w:r w:rsidRPr="00DF734D">
              <w:rPr>
                <w:i/>
                <w:iCs/>
                <w:color w:val="000000"/>
                <w:szCs w:val="24"/>
              </w:rPr>
              <w:t>vs</w:t>
            </w:r>
            <w:proofErr w:type="spellEnd"/>
            <w:r w:rsidRPr="00774B2C">
              <w:rPr>
                <w:color w:val="000000"/>
                <w:szCs w:val="24"/>
              </w:rPr>
              <w:t xml:space="preserve"> </w:t>
            </w:r>
            <w:r w:rsidR="00820C61">
              <w:rPr>
                <w:color w:val="000000"/>
                <w:szCs w:val="24"/>
              </w:rPr>
              <w:t xml:space="preserve">stage </w:t>
            </w:r>
            <w:r w:rsidRPr="00774B2C">
              <w:rPr>
                <w:color w:val="000000"/>
                <w:szCs w:val="24"/>
              </w:rPr>
              <w:t>II +</w:t>
            </w:r>
            <w:r w:rsidR="00DF734D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III)</w:t>
            </w:r>
          </w:p>
        </w:tc>
        <w:tc>
          <w:tcPr>
            <w:tcW w:w="1128" w:type="dxa"/>
            <w:vAlign w:val="center"/>
          </w:tcPr>
          <w:p w14:paraId="262BCCEF" w14:textId="1A02E18A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0.060</w:t>
            </w:r>
          </w:p>
        </w:tc>
        <w:tc>
          <w:tcPr>
            <w:tcW w:w="1701" w:type="dxa"/>
            <w:vAlign w:val="center"/>
          </w:tcPr>
          <w:p w14:paraId="7961BD85" w14:textId="659FB08E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0.543</w:t>
            </w:r>
            <w:r w:rsidR="00DF734D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(0.287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1.027)</w:t>
            </w:r>
          </w:p>
        </w:tc>
        <w:tc>
          <w:tcPr>
            <w:tcW w:w="1134" w:type="dxa"/>
            <w:vAlign w:val="center"/>
          </w:tcPr>
          <w:p w14:paraId="35B08935" w14:textId="7777777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8C93B0" w14:textId="7777777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BF2B1A" w:rsidRPr="00774B2C" w14:paraId="0B53AFFE" w14:textId="77777777" w:rsidTr="001C4C56">
        <w:trPr>
          <w:trHeight w:val="90"/>
        </w:trPr>
        <w:tc>
          <w:tcPr>
            <w:tcW w:w="2978" w:type="dxa"/>
            <w:vAlign w:val="center"/>
          </w:tcPr>
          <w:p w14:paraId="01AF4279" w14:textId="71EFAB10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Adjuvant therapy plan (chemotherapy </w:t>
            </w:r>
            <w:proofErr w:type="spellStart"/>
            <w:r w:rsidRPr="00DF734D">
              <w:rPr>
                <w:i/>
                <w:iCs/>
                <w:color w:val="000000"/>
                <w:szCs w:val="24"/>
              </w:rPr>
              <w:t>vs</w:t>
            </w:r>
            <w:proofErr w:type="spellEnd"/>
            <w:r w:rsidRPr="00774B2C">
              <w:rPr>
                <w:color w:val="000000"/>
                <w:szCs w:val="24"/>
              </w:rPr>
              <w:t xml:space="preserve"> radiotherapy)</w:t>
            </w:r>
          </w:p>
        </w:tc>
        <w:tc>
          <w:tcPr>
            <w:tcW w:w="1128" w:type="dxa"/>
            <w:vAlign w:val="center"/>
          </w:tcPr>
          <w:p w14:paraId="3B95D5CD" w14:textId="7B933828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0.939</w:t>
            </w:r>
          </w:p>
        </w:tc>
        <w:tc>
          <w:tcPr>
            <w:tcW w:w="1701" w:type="dxa"/>
            <w:vAlign w:val="center"/>
          </w:tcPr>
          <w:p w14:paraId="7E37FC01" w14:textId="6554A396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1.025 (0.549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1.911)</w:t>
            </w:r>
          </w:p>
        </w:tc>
        <w:tc>
          <w:tcPr>
            <w:tcW w:w="1134" w:type="dxa"/>
            <w:vAlign w:val="center"/>
          </w:tcPr>
          <w:p w14:paraId="44CB9DBC" w14:textId="7777777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6F1A60" w14:textId="77777777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</w:p>
        </w:tc>
      </w:tr>
      <w:tr w:rsidR="00BF2B1A" w:rsidRPr="00774B2C" w14:paraId="0A678ABF" w14:textId="77777777" w:rsidTr="001C4C56">
        <w:trPr>
          <w:trHeight w:val="90"/>
        </w:trPr>
        <w:tc>
          <w:tcPr>
            <w:tcW w:w="2978" w:type="dxa"/>
            <w:vAlign w:val="center"/>
          </w:tcPr>
          <w:p w14:paraId="249351F5" w14:textId="3465C293" w:rsidR="00BF2B1A" w:rsidRPr="00774B2C" w:rsidRDefault="00BF2B1A" w:rsidP="00820C61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Recurrence (recurre</w:t>
            </w:r>
            <w:r w:rsidR="00820C61">
              <w:rPr>
                <w:color w:val="000000"/>
                <w:szCs w:val="24"/>
              </w:rPr>
              <w:t>nce</w:t>
            </w:r>
            <w:r w:rsidRPr="00774B2C">
              <w:rPr>
                <w:color w:val="000000"/>
                <w:szCs w:val="24"/>
              </w:rPr>
              <w:t xml:space="preserve"> </w:t>
            </w:r>
            <w:proofErr w:type="spellStart"/>
            <w:r w:rsidRPr="00DF734D">
              <w:rPr>
                <w:i/>
                <w:iCs/>
                <w:color w:val="000000"/>
                <w:szCs w:val="24"/>
              </w:rPr>
              <w:t>vs</w:t>
            </w:r>
            <w:proofErr w:type="spellEnd"/>
            <w:r w:rsidRPr="00774B2C">
              <w:rPr>
                <w:color w:val="000000"/>
                <w:szCs w:val="24"/>
              </w:rPr>
              <w:t xml:space="preserve"> no</w:t>
            </w:r>
            <w:r w:rsidR="00820C61">
              <w:rPr>
                <w:color w:val="000000"/>
                <w:szCs w:val="24"/>
              </w:rPr>
              <w:t>n-</w:t>
            </w:r>
            <w:r w:rsidRPr="00774B2C">
              <w:rPr>
                <w:color w:val="000000"/>
                <w:szCs w:val="24"/>
              </w:rPr>
              <w:t>recurre</w:t>
            </w:r>
            <w:r w:rsidR="00820C61">
              <w:rPr>
                <w:color w:val="000000"/>
                <w:szCs w:val="24"/>
              </w:rPr>
              <w:t>nce</w:t>
            </w:r>
            <w:r w:rsidRPr="00774B2C">
              <w:rPr>
                <w:color w:val="000000"/>
                <w:szCs w:val="24"/>
              </w:rPr>
              <w:t>)</w:t>
            </w:r>
          </w:p>
        </w:tc>
        <w:tc>
          <w:tcPr>
            <w:tcW w:w="1128" w:type="dxa"/>
            <w:vAlign w:val="center"/>
          </w:tcPr>
          <w:p w14:paraId="42BBDDB3" w14:textId="59DE4C3E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0.002</w:t>
            </w:r>
          </w:p>
        </w:tc>
        <w:tc>
          <w:tcPr>
            <w:tcW w:w="1701" w:type="dxa"/>
            <w:vAlign w:val="center"/>
          </w:tcPr>
          <w:p w14:paraId="3C34F09F" w14:textId="5FCFFAED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2.561 (1.408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4.657)</w:t>
            </w:r>
          </w:p>
        </w:tc>
        <w:tc>
          <w:tcPr>
            <w:tcW w:w="1134" w:type="dxa"/>
            <w:vAlign w:val="center"/>
          </w:tcPr>
          <w:p w14:paraId="55FFE05F" w14:textId="2C954ABA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0.034</w:t>
            </w:r>
          </w:p>
        </w:tc>
        <w:tc>
          <w:tcPr>
            <w:tcW w:w="1701" w:type="dxa"/>
            <w:vAlign w:val="center"/>
          </w:tcPr>
          <w:p w14:paraId="544F89D5" w14:textId="6E97A1B4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1.949</w:t>
            </w:r>
            <w:r w:rsidR="00DF734D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(1.05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3.619)</w:t>
            </w:r>
          </w:p>
        </w:tc>
      </w:tr>
      <w:tr w:rsidR="00BF2B1A" w:rsidRPr="00774B2C" w14:paraId="1CE648CC" w14:textId="77777777" w:rsidTr="001C4C56">
        <w:trPr>
          <w:trHeight w:val="90"/>
        </w:trPr>
        <w:tc>
          <w:tcPr>
            <w:tcW w:w="2978" w:type="dxa"/>
            <w:vAlign w:val="center"/>
          </w:tcPr>
          <w:p w14:paraId="4142771C" w14:textId="34CE1546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miR-1304 (high expression </w:t>
            </w:r>
            <w:proofErr w:type="spellStart"/>
            <w:r w:rsidRPr="00DF734D">
              <w:rPr>
                <w:i/>
                <w:iCs/>
                <w:color w:val="000000"/>
                <w:szCs w:val="24"/>
              </w:rPr>
              <w:t>vs</w:t>
            </w:r>
            <w:proofErr w:type="spellEnd"/>
            <w:r w:rsidRPr="00774B2C">
              <w:rPr>
                <w:color w:val="000000"/>
                <w:szCs w:val="24"/>
              </w:rPr>
              <w:t xml:space="preserve"> low expression)</w:t>
            </w:r>
          </w:p>
        </w:tc>
        <w:tc>
          <w:tcPr>
            <w:tcW w:w="1128" w:type="dxa"/>
            <w:vAlign w:val="center"/>
          </w:tcPr>
          <w:p w14:paraId="2DE05014" w14:textId="401FCE26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0.001</w:t>
            </w:r>
          </w:p>
        </w:tc>
        <w:tc>
          <w:tcPr>
            <w:tcW w:w="1701" w:type="dxa"/>
            <w:vAlign w:val="center"/>
          </w:tcPr>
          <w:p w14:paraId="116CE01E" w14:textId="78703932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2.614</w:t>
            </w:r>
            <w:r w:rsidR="00DF734D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(1.448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4.717)</w:t>
            </w:r>
          </w:p>
        </w:tc>
        <w:tc>
          <w:tcPr>
            <w:tcW w:w="1134" w:type="dxa"/>
            <w:vAlign w:val="center"/>
          </w:tcPr>
          <w:p w14:paraId="18DE9201" w14:textId="76609184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0.036</w:t>
            </w:r>
          </w:p>
        </w:tc>
        <w:tc>
          <w:tcPr>
            <w:tcW w:w="1701" w:type="dxa"/>
            <w:vAlign w:val="center"/>
          </w:tcPr>
          <w:p w14:paraId="2D93DF32" w14:textId="49030B02" w:rsidR="00BF2B1A" w:rsidRPr="00774B2C" w:rsidRDefault="00BF2B1A" w:rsidP="00774B2C">
            <w:pPr>
              <w:adjustRightInd w:val="0"/>
              <w:snapToGrid w:val="0"/>
              <w:rPr>
                <w:rFonts w:eastAsia="楷体"/>
                <w:szCs w:val="24"/>
              </w:rPr>
            </w:pPr>
            <w:r w:rsidRPr="00774B2C">
              <w:rPr>
                <w:color w:val="000000"/>
                <w:szCs w:val="24"/>
              </w:rPr>
              <w:t>1.93</w:t>
            </w:r>
            <w:r w:rsidR="00DF734D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(1.044</w:t>
            </w:r>
            <w:r w:rsidR="00C51327">
              <w:rPr>
                <w:rFonts w:hint="eastAsia"/>
                <w:color w:val="000000"/>
                <w:szCs w:val="24"/>
              </w:rPr>
              <w:t>-</w:t>
            </w:r>
            <w:r w:rsidRPr="00774B2C">
              <w:rPr>
                <w:color w:val="000000"/>
                <w:szCs w:val="24"/>
              </w:rPr>
              <w:t>3.565)</w:t>
            </w:r>
          </w:p>
        </w:tc>
      </w:tr>
    </w:tbl>
    <w:p w14:paraId="49838676" w14:textId="0E2967C3" w:rsidR="00DF734D" w:rsidRDefault="00DF734D" w:rsidP="00774B2C">
      <w:pPr>
        <w:adjustRightInd w:val="0"/>
        <w:snapToGrid w:val="0"/>
        <w:rPr>
          <w:rFonts w:eastAsia="楷体"/>
          <w:szCs w:val="24"/>
        </w:rPr>
      </w:pPr>
    </w:p>
    <w:p w14:paraId="657E51B2" w14:textId="77777777" w:rsidR="00DF734D" w:rsidRDefault="00DF734D">
      <w:pPr>
        <w:widowControl/>
        <w:spacing w:line="240" w:lineRule="auto"/>
        <w:jc w:val="left"/>
        <w:rPr>
          <w:rFonts w:eastAsia="楷体"/>
          <w:szCs w:val="24"/>
        </w:rPr>
      </w:pPr>
      <w:r>
        <w:rPr>
          <w:rFonts w:eastAsia="楷体"/>
          <w:szCs w:val="24"/>
        </w:rPr>
        <w:br w:type="page"/>
      </w:r>
    </w:p>
    <w:p w14:paraId="7E48F0C6" w14:textId="77777777" w:rsidR="00BF2B1A" w:rsidRPr="00774B2C" w:rsidRDefault="00BF2B1A" w:rsidP="00774B2C">
      <w:pPr>
        <w:adjustRightInd w:val="0"/>
        <w:snapToGrid w:val="0"/>
        <w:rPr>
          <w:rFonts w:eastAsia="楷体"/>
          <w:b/>
          <w:szCs w:val="24"/>
        </w:rPr>
      </w:pPr>
      <w:r w:rsidRPr="00774B2C">
        <w:rPr>
          <w:b/>
          <w:szCs w:val="24"/>
        </w:rPr>
        <w:lastRenderedPageBreak/>
        <w:t>Table 8 Target genes of miR-1304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6932"/>
      </w:tblGrid>
      <w:tr w:rsidR="00BF2B1A" w:rsidRPr="00774B2C" w14:paraId="13DF85C4" w14:textId="77777777" w:rsidTr="001C4C56"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4F49CCEC" w14:textId="77777777" w:rsidR="00BF2B1A" w:rsidRPr="001C4C56" w:rsidRDefault="00BF2B1A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1C4C56">
              <w:rPr>
                <w:b/>
                <w:bCs/>
                <w:szCs w:val="24"/>
              </w:rPr>
              <w:t>Gene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</w:tcBorders>
          </w:tcPr>
          <w:p w14:paraId="5D475046" w14:textId="05B65DA7" w:rsidR="00BF2B1A" w:rsidRPr="001C4C56" w:rsidRDefault="00BF2B1A" w:rsidP="00774B2C">
            <w:pPr>
              <w:adjustRightInd w:val="0"/>
              <w:snapToGrid w:val="0"/>
              <w:rPr>
                <w:rFonts w:eastAsia="楷体"/>
                <w:b/>
                <w:bCs/>
                <w:szCs w:val="24"/>
              </w:rPr>
            </w:pPr>
            <w:r w:rsidRPr="001C4C56">
              <w:rPr>
                <w:b/>
                <w:bCs/>
                <w:szCs w:val="24"/>
              </w:rPr>
              <w:t>Target gene</w:t>
            </w:r>
          </w:p>
        </w:tc>
      </w:tr>
      <w:tr w:rsidR="00BF2B1A" w:rsidRPr="00774B2C" w14:paraId="5A6AAA79" w14:textId="77777777" w:rsidTr="001C4C56">
        <w:tc>
          <w:tcPr>
            <w:tcW w:w="1590" w:type="dxa"/>
            <w:tcBorders>
              <w:top w:val="single" w:sz="4" w:space="0" w:color="auto"/>
            </w:tcBorders>
          </w:tcPr>
          <w:p w14:paraId="011B7F1B" w14:textId="77777777" w:rsidR="00BF2B1A" w:rsidRPr="00C51327" w:rsidRDefault="00BF2B1A" w:rsidP="00774B2C">
            <w:pPr>
              <w:adjustRightInd w:val="0"/>
              <w:snapToGrid w:val="0"/>
              <w:rPr>
                <w:rFonts w:eastAsia="楷体"/>
                <w:i/>
                <w:iCs/>
                <w:szCs w:val="24"/>
              </w:rPr>
            </w:pPr>
            <w:r w:rsidRPr="00C51327">
              <w:rPr>
                <w:i/>
                <w:iCs/>
                <w:szCs w:val="24"/>
              </w:rPr>
              <w:t>miR-1304</w:t>
            </w:r>
          </w:p>
        </w:tc>
        <w:tc>
          <w:tcPr>
            <w:tcW w:w="6932" w:type="dxa"/>
            <w:tcBorders>
              <w:top w:val="single" w:sz="4" w:space="0" w:color="auto"/>
            </w:tcBorders>
          </w:tcPr>
          <w:p w14:paraId="16E7EC8D" w14:textId="77777777" w:rsidR="00BF2B1A" w:rsidRPr="00C51327" w:rsidRDefault="00BF2B1A" w:rsidP="00774B2C">
            <w:pPr>
              <w:adjustRightInd w:val="0"/>
              <w:snapToGrid w:val="0"/>
              <w:rPr>
                <w:rFonts w:eastAsia="楷体"/>
                <w:i/>
                <w:iCs/>
                <w:szCs w:val="24"/>
              </w:rPr>
            </w:pPr>
            <w:r w:rsidRPr="00C51327">
              <w:rPr>
                <w:i/>
                <w:iCs/>
                <w:szCs w:val="24"/>
              </w:rPr>
              <w:t xml:space="preserve">LYPD3, MYC, LMNB1, KLHL15, ZNF99, SPRYD4, CCNT2, PLEKHF2, DSEL, ADIPOR2, CBX5, DDX3X, SMAD5, DARS, PCGF3, FAM83H, RRAS, PDE3A, CALM2, </w:t>
            </w:r>
            <w:r w:rsidRPr="00C51327">
              <w:rPr>
                <w:szCs w:val="24"/>
              </w:rPr>
              <w:t>and</w:t>
            </w:r>
            <w:r w:rsidRPr="00C51327">
              <w:rPr>
                <w:i/>
                <w:iCs/>
                <w:szCs w:val="24"/>
              </w:rPr>
              <w:t xml:space="preserve"> TMBIM6</w:t>
            </w:r>
          </w:p>
        </w:tc>
      </w:tr>
    </w:tbl>
    <w:p w14:paraId="491AD3B6" w14:textId="314ED492" w:rsidR="001C4C56" w:rsidRDefault="001C4C56" w:rsidP="00774B2C">
      <w:pPr>
        <w:adjustRightInd w:val="0"/>
        <w:snapToGrid w:val="0"/>
        <w:rPr>
          <w:rFonts w:eastAsia="楷体"/>
          <w:szCs w:val="24"/>
        </w:rPr>
      </w:pPr>
    </w:p>
    <w:p w14:paraId="383DAFD1" w14:textId="77777777" w:rsidR="001C4C56" w:rsidRDefault="001C4C56">
      <w:pPr>
        <w:widowControl/>
        <w:spacing w:line="240" w:lineRule="auto"/>
        <w:jc w:val="left"/>
        <w:rPr>
          <w:rFonts w:eastAsia="楷体"/>
          <w:szCs w:val="24"/>
        </w:rPr>
      </w:pPr>
      <w:r>
        <w:rPr>
          <w:rFonts w:eastAsia="楷体"/>
          <w:szCs w:val="24"/>
        </w:rPr>
        <w:br w:type="page"/>
      </w:r>
    </w:p>
    <w:p w14:paraId="2538D6EB" w14:textId="37F23E07" w:rsidR="00BF2B1A" w:rsidRPr="00774B2C" w:rsidRDefault="00BF2B1A" w:rsidP="00774B2C">
      <w:pPr>
        <w:adjustRightInd w:val="0"/>
        <w:snapToGrid w:val="0"/>
        <w:rPr>
          <w:rFonts w:eastAsia="楷体"/>
          <w:b/>
          <w:szCs w:val="24"/>
        </w:rPr>
      </w:pPr>
      <w:r w:rsidRPr="00774B2C">
        <w:rPr>
          <w:b/>
          <w:szCs w:val="24"/>
        </w:rPr>
        <w:lastRenderedPageBreak/>
        <w:t xml:space="preserve">Table 9 </w:t>
      </w:r>
      <w:r w:rsidR="008C34D5" w:rsidRPr="00774B2C">
        <w:rPr>
          <w:b/>
          <w:szCs w:val="24"/>
        </w:rPr>
        <w:t>Gene ontology</w:t>
      </w:r>
      <w:r w:rsidRPr="00774B2C">
        <w:rPr>
          <w:b/>
          <w:szCs w:val="24"/>
        </w:rPr>
        <w:t xml:space="preserve"> enrichment analysis</w:t>
      </w:r>
    </w:p>
    <w:tbl>
      <w:tblPr>
        <w:tblW w:w="9782" w:type="dxa"/>
        <w:tblInd w:w="-8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2227"/>
        <w:gridCol w:w="4109"/>
        <w:gridCol w:w="817"/>
        <w:gridCol w:w="851"/>
      </w:tblGrid>
      <w:tr w:rsidR="00BF2B1A" w:rsidRPr="00774B2C" w14:paraId="5FD8D0F6" w14:textId="77777777" w:rsidTr="001C4C56">
        <w:trPr>
          <w:trHeight w:val="270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9BB22" w14:textId="77777777" w:rsidR="00BF2B1A" w:rsidRPr="001C4C56" w:rsidRDefault="00BF2B1A" w:rsidP="00774B2C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 w:rsidRPr="001C4C56">
              <w:rPr>
                <w:b/>
                <w:bCs/>
                <w:color w:val="000000"/>
                <w:szCs w:val="24"/>
              </w:rPr>
              <w:t>ID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CBEF2" w14:textId="77777777" w:rsidR="00BF2B1A" w:rsidRPr="001C4C56" w:rsidRDefault="00BF2B1A" w:rsidP="00774B2C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 w:rsidRPr="001C4C56">
              <w:rPr>
                <w:b/>
                <w:bCs/>
                <w:color w:val="000000"/>
                <w:szCs w:val="24"/>
              </w:rPr>
              <w:t>Term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64194" w14:textId="77777777" w:rsidR="00BF2B1A" w:rsidRPr="00C51327" w:rsidRDefault="00BF2B1A" w:rsidP="00774B2C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 w:rsidRPr="00C51327">
              <w:rPr>
                <w:b/>
                <w:bCs/>
                <w:color w:val="000000"/>
                <w:szCs w:val="24"/>
              </w:rPr>
              <w:t>Gene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E8164" w14:textId="77777777" w:rsidR="00BF2B1A" w:rsidRPr="001C4C56" w:rsidRDefault="00BF2B1A" w:rsidP="00774B2C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 w:rsidRPr="001C4C56">
              <w:rPr>
                <w:b/>
                <w:bCs/>
                <w:color w:val="000000"/>
                <w:szCs w:val="24"/>
              </w:rPr>
              <w:t>Count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69CC4" w14:textId="7B3846FF" w:rsidR="00BF2B1A" w:rsidRPr="001C4C56" w:rsidRDefault="001C4C56" w:rsidP="00774B2C">
            <w:pPr>
              <w:adjustRightInd w:val="0"/>
              <w:snapToGrid w:val="0"/>
              <w:rPr>
                <w:b/>
                <w:bCs/>
                <w:i/>
                <w:iCs/>
                <w:color w:val="000000"/>
                <w:szCs w:val="24"/>
              </w:rPr>
            </w:pPr>
            <w:r w:rsidRPr="001C4C56">
              <w:rPr>
                <w:b/>
                <w:bCs/>
                <w:i/>
                <w:iCs/>
                <w:color w:val="000000"/>
                <w:szCs w:val="24"/>
              </w:rPr>
              <w:t>P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1C4C56">
              <w:rPr>
                <w:b/>
                <w:bCs/>
                <w:color w:val="000000"/>
                <w:szCs w:val="24"/>
              </w:rPr>
              <w:t>value</w:t>
            </w:r>
          </w:p>
        </w:tc>
      </w:tr>
      <w:tr w:rsidR="00BF2B1A" w:rsidRPr="00774B2C" w14:paraId="2B183864" w14:textId="77777777" w:rsidTr="001C4C56">
        <w:trPr>
          <w:trHeight w:val="270"/>
        </w:trPr>
        <w:tc>
          <w:tcPr>
            <w:tcW w:w="177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54B54" w14:textId="4054E631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0043392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7A6D0" w14:textId="3939636E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Negative </w:t>
            </w:r>
            <w:r w:rsidR="00BF2B1A" w:rsidRPr="00774B2C">
              <w:rPr>
                <w:color w:val="000000"/>
                <w:szCs w:val="24"/>
              </w:rPr>
              <w:t>regulation of DNA binding</w:t>
            </w:r>
          </w:p>
        </w:tc>
        <w:tc>
          <w:tcPr>
            <w:tcW w:w="410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7567A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WFIKKN2, SP100, HAND2, HMOX1, HMGA2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D42C9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80944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0.001 </w:t>
            </w:r>
          </w:p>
        </w:tc>
      </w:tr>
      <w:tr w:rsidR="00BF2B1A" w:rsidRPr="00774B2C" w14:paraId="28FECD18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82121" w14:textId="140FBFF1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0051091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BCFCC" w14:textId="0FC4378B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Positive </w:t>
            </w:r>
            <w:r w:rsidR="00BF2B1A" w:rsidRPr="00774B2C">
              <w:rPr>
                <w:color w:val="000000"/>
                <w:szCs w:val="24"/>
              </w:rPr>
              <w:t>regulation of sequence-specific DNA binding transcription factor activity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F92A9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IL6, SP100, HIPK2, PYCARD, HMGA2, TRIM22, TCF3, ATF2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A3728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2EA9A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0.001 </w:t>
            </w:r>
          </w:p>
        </w:tc>
      </w:tr>
      <w:tr w:rsidR="00BF2B1A" w:rsidRPr="00774B2C" w14:paraId="74713B5C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EDF92" w14:textId="3B4347BC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0000122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3B351" w14:textId="456D9428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Negative </w:t>
            </w:r>
            <w:r w:rsidR="00BF2B1A" w:rsidRPr="00774B2C">
              <w:rPr>
                <w:color w:val="000000"/>
                <w:szCs w:val="24"/>
              </w:rPr>
              <w:t>regulation of transcription from RNA polymerase II promoter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2E4A5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ATF7IP, SATB1, BACH2, SP100, GABPA, DICER1, YBX3, KLF16, ZEB2, HMGA2, ZNF345, ATF2, SUV39H2, VDR, OLIG3, MLX, PRMT6, HIPK2, ZNF431, TCF3, SMARCA2, SUDS3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A6CF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22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28C68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0.002 </w:t>
            </w:r>
          </w:p>
        </w:tc>
      </w:tr>
      <w:tr w:rsidR="00BF2B1A" w:rsidRPr="00774B2C" w14:paraId="47F990A0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F2080" w14:textId="1F23C034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0006351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E8D83" w14:textId="2B5B07C7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Transcription</w:t>
            </w:r>
            <w:r w:rsidR="00BF2B1A" w:rsidRPr="00774B2C">
              <w:rPr>
                <w:color w:val="000000"/>
                <w:szCs w:val="24"/>
              </w:rPr>
              <w:t>, DNA-</w:t>
            </w:r>
            <w:proofErr w:type="spellStart"/>
            <w:r w:rsidR="00BF2B1A" w:rsidRPr="00774B2C">
              <w:rPr>
                <w:color w:val="000000"/>
                <w:szCs w:val="24"/>
              </w:rPr>
              <w:t>templated</w:t>
            </w:r>
            <w:proofErr w:type="spellEnd"/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7D194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XRCC5, ZNF555, IRX5, CCNT1, YBX3, BBX, TTLL5, ZNF250, ZEB2, ZNF652, ZNF184, VDR, OLIG3, PRMT6, ZNF426, KDM3B, BAZ2A, TCF3, MAP2K6, ATF7IP, SATB1, SP100, ZNF620, ZNF92, KLF16, SCAI, TRIM22, ATMIN, ZNF585B, FAM208A, SUV39H2, ZBTB25, EYA4, ZNF439, MLX, PARP14, HIPK2, ZNF431, ZNF432, SMARCA2, FOXD4L6, SUDS3, ZNF573, ZBTB8A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FDF5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44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754B5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0.002 </w:t>
            </w:r>
          </w:p>
        </w:tc>
      </w:tr>
      <w:tr w:rsidR="00BF2B1A" w:rsidRPr="00774B2C" w14:paraId="67CA7352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E210B" w14:textId="39915A9D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0006355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67173" w14:textId="504910BA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Regulation </w:t>
            </w:r>
            <w:r w:rsidR="00BF2B1A" w:rsidRPr="00774B2C">
              <w:rPr>
                <w:color w:val="000000"/>
                <w:szCs w:val="24"/>
              </w:rPr>
              <w:t>of transcription, DNA-</w:t>
            </w:r>
            <w:proofErr w:type="spellStart"/>
            <w:r w:rsidR="00BF2B1A" w:rsidRPr="00774B2C">
              <w:rPr>
                <w:color w:val="000000"/>
                <w:szCs w:val="24"/>
              </w:rPr>
              <w:t>templated</w:t>
            </w:r>
            <w:proofErr w:type="spellEnd"/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B0313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 xml:space="preserve">ZNF555, IRX5, YBX3, BBX, ZNF250, ZNF652, ATF2, VDR, ZNF184, ZNF426, KDM3B, BAZ2A, INSR, TCF3, MAP2K6, SATB1, ZNF620, ZNF92, SCAI, AFF1, HMGA2, TRIM22, ZNF585B, FAM208A, </w:t>
            </w:r>
            <w:r w:rsidRPr="00C51327">
              <w:rPr>
                <w:i/>
                <w:iCs/>
                <w:color w:val="000000"/>
                <w:szCs w:val="24"/>
              </w:rPr>
              <w:lastRenderedPageBreak/>
              <w:t>ZBTB25, EYA4, TULP4, ZNF439, PARP14, CDKN2AIP, MLX, ZNF431, ZNF432, SMARCA2, ZBTB8A, ZNF573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1AF85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lastRenderedPageBreak/>
              <w:t>36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73CF7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0.003 </w:t>
            </w:r>
          </w:p>
        </w:tc>
      </w:tr>
      <w:tr w:rsidR="00BF2B1A" w:rsidRPr="00774B2C" w14:paraId="33BA57B8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6F558" w14:textId="184E1D11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lastRenderedPageBreak/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0005138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F18AB" w14:textId="440A19B0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Interleukin</w:t>
            </w:r>
            <w:r w:rsidR="00BF2B1A" w:rsidRPr="00774B2C">
              <w:rPr>
                <w:color w:val="000000"/>
                <w:szCs w:val="24"/>
              </w:rPr>
              <w:t>-6 receptor binding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240F1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IL6, PYCARD, ADAM17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26240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FFF1A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0.004 </w:t>
            </w:r>
          </w:p>
        </w:tc>
      </w:tr>
      <w:tr w:rsidR="00BF2B1A" w:rsidRPr="00774B2C" w14:paraId="1A611BAC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40E6E" w14:textId="07BDDB76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0015031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A4A9C" w14:textId="59B12626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Protein </w:t>
            </w:r>
            <w:r w:rsidR="00BF2B1A" w:rsidRPr="00774B2C">
              <w:rPr>
                <w:color w:val="000000"/>
                <w:szCs w:val="24"/>
              </w:rPr>
              <w:t>transport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D0270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SLC7A6OS, RAB9A, RAB3D, KIF17, DUOXA1, RAB39A, VPS52, PKDCC, HOOK3, GOPC, SNX30, SNX20, EXOC6B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34C44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13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1B4C8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0.011 </w:t>
            </w:r>
          </w:p>
        </w:tc>
      </w:tr>
      <w:tr w:rsidR="00BF2B1A" w:rsidRPr="00774B2C" w14:paraId="208ED35B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F661C" w14:textId="1998FFE2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0050892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D04BB" w14:textId="79D703C2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Intestinal </w:t>
            </w:r>
            <w:r w:rsidR="00BF2B1A" w:rsidRPr="00774B2C">
              <w:rPr>
                <w:color w:val="000000"/>
                <w:szCs w:val="24"/>
              </w:rPr>
              <w:t>absorption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B5B7E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F11R, VDR, KCNQ1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1B747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11C1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0.016 </w:t>
            </w:r>
          </w:p>
        </w:tc>
      </w:tr>
      <w:tr w:rsidR="00BF2B1A" w:rsidRPr="00774B2C" w14:paraId="7B251152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F045B" w14:textId="1D9D358E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0042147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6D6AC" w14:textId="5251A532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Retrograde </w:t>
            </w:r>
            <w:r w:rsidR="00BF2B1A" w:rsidRPr="00774B2C">
              <w:rPr>
                <w:color w:val="000000"/>
                <w:szCs w:val="24"/>
              </w:rPr>
              <w:t>transport, endosome to Golgi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6667E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SPAG9, RAB9A, STX16, VPS52, VPS26A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6B9BA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FF921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0.017 </w:t>
            </w:r>
          </w:p>
        </w:tc>
      </w:tr>
      <w:tr w:rsidR="00BF2B1A" w:rsidRPr="00774B2C" w14:paraId="206F8ECE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668AE" w14:textId="331C41C2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0032259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AB8A5" w14:textId="2FEE0154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Methylation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A7F31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METTL8, TRMT10B, SETD9, CARNMT1, NNMT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E27FC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0B654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0.020 </w:t>
            </w:r>
          </w:p>
        </w:tc>
      </w:tr>
      <w:tr w:rsidR="00BF2B1A" w:rsidRPr="00774B2C" w14:paraId="5971B043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649F4" w14:textId="5E1379A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0032290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FFCAB" w14:textId="1B1C19E7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Peripheral </w:t>
            </w:r>
            <w:r w:rsidR="00BF2B1A" w:rsidRPr="00774B2C">
              <w:rPr>
                <w:color w:val="000000"/>
                <w:szCs w:val="24"/>
              </w:rPr>
              <w:t>nervous system myelin formation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CFCAB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NCMAP, DICER1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61014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38E94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0.028 </w:t>
            </w:r>
          </w:p>
        </w:tc>
      </w:tr>
      <w:tr w:rsidR="00BF2B1A" w:rsidRPr="00774B2C" w14:paraId="5B47E33F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3D4C6" w14:textId="2C2EF521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0005509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6B959" w14:textId="0D865389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Calcium </w:t>
            </w:r>
            <w:r w:rsidR="00BF2B1A" w:rsidRPr="00774B2C">
              <w:rPr>
                <w:color w:val="000000"/>
                <w:szCs w:val="24"/>
              </w:rPr>
              <w:t>ion binding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16A44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PCDH11Y, PCDH11X, RPH3AL, DAG1, STIM1, MMP17, FSTL4, TTN, IQGAP1, CALU, ITPR2, PLSCR1, CALML4, TPT1, SYTL2, EGF, CALM2, CACNA1B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691DC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18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698FC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0.029 </w:t>
            </w:r>
          </w:p>
        </w:tc>
      </w:tr>
      <w:tr w:rsidR="00BF2B1A" w:rsidRPr="00774B2C" w14:paraId="2C3DCBF8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5D0B5" w14:textId="207EB753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0008544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4B460" w14:textId="1472585E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Epidermis </w:t>
            </w:r>
            <w:r w:rsidR="00BF2B1A" w:rsidRPr="00774B2C">
              <w:rPr>
                <w:color w:val="000000"/>
                <w:szCs w:val="24"/>
              </w:rPr>
              <w:t>development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8B433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SATB1, STS, ELF3, INSR, SCEL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5BC86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E6320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0.033 </w:t>
            </w:r>
          </w:p>
        </w:tc>
      </w:tr>
      <w:tr w:rsidR="00BF2B1A" w:rsidRPr="00774B2C" w14:paraId="449AE471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6C0FC" w14:textId="384BB7CE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0003677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65FDC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DNA binding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84C5E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 xml:space="preserve">XRCC5, ZNF555, AGFG1, KIAA1958, CCNT1, YBX3, BBX, ZNF250, ZEB2, ZNF345, ZNF652, ZNF184, VDR, OLIG3, HIST1H4C, ZNF426, BAZ2A, TCF3, SATB1, SP100, ZNF620, CHTF8, </w:t>
            </w:r>
            <w:r w:rsidRPr="00C51327">
              <w:rPr>
                <w:i/>
                <w:iCs/>
                <w:color w:val="000000"/>
                <w:szCs w:val="24"/>
              </w:rPr>
              <w:lastRenderedPageBreak/>
              <w:t>GABPA, HMGA2, ZBTB25, PLSCR1, ZNF439, RFC2, MLX, HIPK2, RAD18, ZNF432, ZNF573, ZBTB8A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69CFE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lastRenderedPageBreak/>
              <w:t>34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1BD5F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0.035 </w:t>
            </w:r>
          </w:p>
        </w:tc>
      </w:tr>
      <w:tr w:rsidR="00BF2B1A" w:rsidRPr="00774B2C" w14:paraId="4A16EA4E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A9181" w14:textId="4BD72CB5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lastRenderedPageBreak/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0046872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CBC29" w14:textId="027B8E8C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Metal ion binding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B3082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ZNF555, MGAT5B, AGFG1, DICER1, ZNF250, ZEB2, ZNF345, ZNF652, ATF2, ZFC3H1, ZNF184, CLEC17A, FGG, HMOX1, ZC3H12B, ZNF426, KDM3B, STS, KCND3, NRXN3, ZNF620, ZNF92, KLF16, RPH3AL, ATMIN, ZNF585B, ZBTB25, EYA4, ZNF439, GNAQ, ADAM17, ZNF431, YME1L1, ZNF432, ADAM12, ZNHIT6, CACNA1D, UGP2, ZBTB8A, ZNF573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0CD3C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40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E40BF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0.042 </w:t>
            </w:r>
          </w:p>
        </w:tc>
      </w:tr>
      <w:tr w:rsidR="00BF2B1A" w:rsidRPr="00774B2C" w14:paraId="53290A5F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7832E" w14:textId="18DAF18D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0070644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07B8A" w14:textId="1EE4CF88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Vitamin </w:t>
            </w:r>
            <w:r w:rsidR="00BF2B1A" w:rsidRPr="00774B2C">
              <w:rPr>
                <w:color w:val="000000"/>
                <w:szCs w:val="24"/>
              </w:rPr>
              <w:t>D response element binding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0327A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VDR, TCF3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D47E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BB9F0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0.042 </w:t>
            </w:r>
          </w:p>
        </w:tc>
      </w:tr>
      <w:tr w:rsidR="00BF2B1A" w:rsidRPr="00774B2C" w14:paraId="007CDA9D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FC4C9" w14:textId="227160E0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0005794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D50E7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Golgi apparatus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56762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STS, RAB39A, FGFRL1, VPS52, PKDCC, PRKG1, SART1, CALU, HOOK3, PLSCR1, NRAS, COPB1, STX16, GOPC, CNTNAP2, CAND1, B4GALT7, TRAPPC3, SLC30A7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C2704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19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1AD94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0.044 </w:t>
            </w:r>
          </w:p>
        </w:tc>
      </w:tr>
      <w:tr w:rsidR="00BF2B1A" w:rsidRPr="00774B2C" w14:paraId="6529CA0C" w14:textId="77777777" w:rsidTr="001C4C56">
        <w:trPr>
          <w:trHeight w:val="270"/>
        </w:trPr>
        <w:tc>
          <w:tcPr>
            <w:tcW w:w="17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B7653" w14:textId="729E431E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GO:</w:t>
            </w:r>
            <w:r w:rsidR="001C4C56">
              <w:rPr>
                <w:color w:val="000000"/>
                <w:szCs w:val="24"/>
              </w:rPr>
              <w:t xml:space="preserve"> </w:t>
            </w:r>
            <w:r w:rsidRPr="00774B2C">
              <w:rPr>
                <w:color w:val="000000"/>
                <w:szCs w:val="24"/>
              </w:rPr>
              <w:t>0007173</w:t>
            </w:r>
          </w:p>
        </w:tc>
        <w:tc>
          <w:tcPr>
            <w:tcW w:w="22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73E53" w14:textId="5CF98A04" w:rsidR="00BF2B1A" w:rsidRPr="00774B2C" w:rsidRDefault="001C4C56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Epidermal </w:t>
            </w:r>
            <w:r w:rsidR="00BF2B1A" w:rsidRPr="00774B2C">
              <w:rPr>
                <w:color w:val="000000"/>
                <w:szCs w:val="24"/>
              </w:rPr>
              <w:t>growth factor receptor signaling pathway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EB1DF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NRAS, ADAM17, EGF, IQGAP1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A88F0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41942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 xml:space="preserve">0.045 </w:t>
            </w:r>
          </w:p>
        </w:tc>
      </w:tr>
    </w:tbl>
    <w:p w14:paraId="0F391CBB" w14:textId="6B1615E2" w:rsidR="001C4C56" w:rsidRDefault="001C4C56" w:rsidP="00774B2C">
      <w:pPr>
        <w:adjustRightInd w:val="0"/>
        <w:snapToGrid w:val="0"/>
        <w:rPr>
          <w:rFonts w:eastAsia="楷体"/>
          <w:szCs w:val="24"/>
        </w:rPr>
      </w:pPr>
    </w:p>
    <w:p w14:paraId="495264C7" w14:textId="77777777" w:rsidR="001C4C56" w:rsidRDefault="001C4C56">
      <w:pPr>
        <w:widowControl/>
        <w:spacing w:line="240" w:lineRule="auto"/>
        <w:jc w:val="left"/>
        <w:rPr>
          <w:rFonts w:eastAsia="楷体"/>
          <w:szCs w:val="24"/>
        </w:rPr>
      </w:pPr>
      <w:r>
        <w:rPr>
          <w:rFonts w:eastAsia="楷体"/>
          <w:szCs w:val="24"/>
        </w:rPr>
        <w:br w:type="page"/>
      </w:r>
    </w:p>
    <w:p w14:paraId="1D0FFAC4" w14:textId="3859DCF7" w:rsidR="00BF2B1A" w:rsidRPr="00774B2C" w:rsidRDefault="00BF2B1A" w:rsidP="00774B2C">
      <w:pPr>
        <w:adjustRightInd w:val="0"/>
        <w:snapToGrid w:val="0"/>
        <w:rPr>
          <w:rFonts w:eastAsia="楷体"/>
          <w:b/>
          <w:szCs w:val="24"/>
        </w:rPr>
      </w:pPr>
      <w:r w:rsidRPr="00774B2C">
        <w:rPr>
          <w:b/>
          <w:szCs w:val="24"/>
        </w:rPr>
        <w:lastRenderedPageBreak/>
        <w:t xml:space="preserve">Table 10 </w:t>
      </w:r>
      <w:r w:rsidR="008C34D5" w:rsidRPr="00774B2C">
        <w:rPr>
          <w:b/>
          <w:szCs w:val="24"/>
        </w:rPr>
        <w:t xml:space="preserve">Kyoto Encyclopedia of </w:t>
      </w:r>
      <w:proofErr w:type="gramStart"/>
      <w:r w:rsidR="008C34D5" w:rsidRPr="00774B2C">
        <w:rPr>
          <w:b/>
          <w:szCs w:val="24"/>
        </w:rPr>
        <w:t>Genes,</w:t>
      </w:r>
      <w:proofErr w:type="gramEnd"/>
      <w:r w:rsidR="008C34D5" w:rsidRPr="00774B2C">
        <w:rPr>
          <w:b/>
          <w:szCs w:val="24"/>
        </w:rPr>
        <w:t xml:space="preserve"> and Genomes</w:t>
      </w:r>
      <w:r w:rsidRPr="00774B2C">
        <w:rPr>
          <w:b/>
          <w:szCs w:val="24"/>
        </w:rPr>
        <w:t xml:space="preserve"> pathway enrichment analysis</w:t>
      </w:r>
    </w:p>
    <w:tbl>
      <w:tblPr>
        <w:tblW w:w="9923" w:type="dxa"/>
        <w:tblInd w:w="-71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2387"/>
        <w:gridCol w:w="4327"/>
        <w:gridCol w:w="838"/>
        <w:gridCol w:w="992"/>
      </w:tblGrid>
      <w:tr w:rsidR="00BF2B1A" w:rsidRPr="00774B2C" w14:paraId="4E6CB9E8" w14:textId="77777777" w:rsidTr="001C4C56">
        <w:trPr>
          <w:trHeight w:val="270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3F9F6" w14:textId="77777777" w:rsidR="00BF2B1A" w:rsidRPr="001C4C56" w:rsidRDefault="00BF2B1A" w:rsidP="00774B2C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 w:rsidRPr="001C4C56">
              <w:rPr>
                <w:b/>
                <w:bCs/>
                <w:color w:val="000000"/>
                <w:szCs w:val="24"/>
              </w:rPr>
              <w:t>ID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91427" w14:textId="77777777" w:rsidR="00BF2B1A" w:rsidRPr="001C4C56" w:rsidRDefault="00BF2B1A" w:rsidP="00774B2C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 w:rsidRPr="001C4C56">
              <w:rPr>
                <w:b/>
                <w:bCs/>
                <w:color w:val="000000"/>
                <w:szCs w:val="24"/>
              </w:rPr>
              <w:t>Term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70872" w14:textId="77777777" w:rsidR="00BF2B1A" w:rsidRPr="00C51327" w:rsidRDefault="00BF2B1A" w:rsidP="00774B2C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 w:rsidRPr="00C51327">
              <w:rPr>
                <w:b/>
                <w:bCs/>
                <w:color w:val="000000"/>
                <w:szCs w:val="24"/>
              </w:rPr>
              <w:t>Genes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B9C95" w14:textId="77777777" w:rsidR="00BF2B1A" w:rsidRPr="001C4C56" w:rsidRDefault="00BF2B1A" w:rsidP="00774B2C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 w:rsidRPr="001C4C56">
              <w:rPr>
                <w:b/>
                <w:bCs/>
                <w:color w:val="000000"/>
                <w:szCs w:val="24"/>
              </w:rPr>
              <w:t>Count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2EF8D" w14:textId="2E5108E4" w:rsidR="00BF2B1A" w:rsidRPr="001C4C56" w:rsidRDefault="00BF2B1A" w:rsidP="00774B2C">
            <w:pPr>
              <w:adjustRightInd w:val="0"/>
              <w:snapToGrid w:val="0"/>
              <w:rPr>
                <w:b/>
                <w:bCs/>
                <w:color w:val="000000"/>
                <w:szCs w:val="24"/>
              </w:rPr>
            </w:pPr>
            <w:r w:rsidRPr="001C4C56">
              <w:rPr>
                <w:b/>
                <w:bCs/>
                <w:i/>
                <w:iCs/>
                <w:color w:val="000000"/>
                <w:szCs w:val="24"/>
              </w:rPr>
              <w:t>P</w:t>
            </w:r>
            <w:r w:rsidR="001C4C56">
              <w:rPr>
                <w:b/>
                <w:bCs/>
                <w:color w:val="000000"/>
                <w:szCs w:val="24"/>
              </w:rPr>
              <w:t xml:space="preserve"> </w:t>
            </w:r>
            <w:r w:rsidR="001C4C56" w:rsidRPr="001C4C56">
              <w:rPr>
                <w:b/>
                <w:bCs/>
                <w:color w:val="000000"/>
                <w:szCs w:val="24"/>
              </w:rPr>
              <w:t>value</w:t>
            </w:r>
          </w:p>
        </w:tc>
      </w:tr>
      <w:tr w:rsidR="00BF2B1A" w:rsidRPr="00774B2C" w14:paraId="23AB8806" w14:textId="77777777" w:rsidTr="001C4C56">
        <w:trPr>
          <w:trHeight w:val="270"/>
        </w:trPr>
        <w:tc>
          <w:tcPr>
            <w:tcW w:w="137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4D046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hsa04912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6E2D8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proofErr w:type="spellStart"/>
            <w:r w:rsidRPr="00774B2C">
              <w:rPr>
                <w:color w:val="000000"/>
                <w:szCs w:val="24"/>
              </w:rPr>
              <w:t>GnRH</w:t>
            </w:r>
            <w:proofErr w:type="spellEnd"/>
            <w:r w:rsidRPr="00774B2C">
              <w:rPr>
                <w:color w:val="000000"/>
                <w:szCs w:val="24"/>
              </w:rPr>
              <w:t xml:space="preserve"> signaling pathway</w:t>
            </w:r>
          </w:p>
        </w:tc>
        <w:tc>
          <w:tcPr>
            <w:tcW w:w="432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97B5D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NRAS, GNAQ, CACNA1D, MAP2K6, CALM2, ITPR2</w:t>
            </w:r>
          </w:p>
        </w:tc>
        <w:tc>
          <w:tcPr>
            <w:tcW w:w="83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EAB9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90BEE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0.007</w:t>
            </w:r>
          </w:p>
        </w:tc>
      </w:tr>
      <w:tr w:rsidR="00BF2B1A" w:rsidRPr="00774B2C" w14:paraId="702A3A4E" w14:textId="77777777" w:rsidTr="001C4C56">
        <w:trPr>
          <w:trHeight w:val="270"/>
        </w:trPr>
        <w:tc>
          <w:tcPr>
            <w:tcW w:w="1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E0AA7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hsa04725</w:t>
            </w:r>
          </w:p>
        </w:tc>
        <w:tc>
          <w:tcPr>
            <w:tcW w:w="23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B4C30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Cholinergic synapse</w:t>
            </w:r>
          </w:p>
        </w:tc>
        <w:tc>
          <w:tcPr>
            <w:tcW w:w="43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684AA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NRAS, GNAQ, CACNA1D, KCNQ1, ITPR2, CACNA1B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C1C37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3352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0.015</w:t>
            </w:r>
          </w:p>
        </w:tc>
      </w:tr>
      <w:tr w:rsidR="00BF2B1A" w:rsidRPr="00774B2C" w14:paraId="3E148CE6" w14:textId="77777777" w:rsidTr="001C4C56">
        <w:trPr>
          <w:trHeight w:val="270"/>
        </w:trPr>
        <w:tc>
          <w:tcPr>
            <w:tcW w:w="1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BC431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hsa04022</w:t>
            </w:r>
          </w:p>
        </w:tc>
        <w:tc>
          <w:tcPr>
            <w:tcW w:w="23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2429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proofErr w:type="spellStart"/>
            <w:r w:rsidRPr="00774B2C">
              <w:rPr>
                <w:color w:val="000000"/>
                <w:szCs w:val="24"/>
              </w:rPr>
              <w:t>cGMP</w:t>
            </w:r>
            <w:proofErr w:type="spellEnd"/>
            <w:r w:rsidRPr="00774B2C">
              <w:rPr>
                <w:color w:val="000000"/>
                <w:szCs w:val="24"/>
              </w:rPr>
              <w:t>-PKG signaling pathway</w:t>
            </w:r>
          </w:p>
        </w:tc>
        <w:tc>
          <w:tcPr>
            <w:tcW w:w="43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0D2C6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GNAQ, PRKG1, CACNA1D, INSR, CALM2, ITPR2, ATF2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2D9CE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AB8E9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0.017</w:t>
            </w:r>
          </w:p>
        </w:tc>
      </w:tr>
      <w:tr w:rsidR="00BF2B1A" w:rsidRPr="00774B2C" w14:paraId="168AF03B" w14:textId="77777777" w:rsidTr="001C4C56">
        <w:trPr>
          <w:trHeight w:val="270"/>
        </w:trPr>
        <w:tc>
          <w:tcPr>
            <w:tcW w:w="1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E2D9F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hsa04925</w:t>
            </w:r>
          </w:p>
        </w:tc>
        <w:tc>
          <w:tcPr>
            <w:tcW w:w="23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8ECF9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Aldosterone synthesis and secretion</w:t>
            </w:r>
          </w:p>
        </w:tc>
        <w:tc>
          <w:tcPr>
            <w:tcW w:w="43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7FFD9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GNAQ, CACNA1D, CALM2, ITPR2, ATF2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EF72F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D8742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0.021</w:t>
            </w:r>
          </w:p>
        </w:tc>
      </w:tr>
      <w:tr w:rsidR="00BF2B1A" w:rsidRPr="00774B2C" w14:paraId="1E6EF2B3" w14:textId="77777777" w:rsidTr="001C4C56">
        <w:trPr>
          <w:trHeight w:val="270"/>
        </w:trPr>
        <w:tc>
          <w:tcPr>
            <w:tcW w:w="1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EC7A5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hsa04728</w:t>
            </w:r>
          </w:p>
        </w:tc>
        <w:tc>
          <w:tcPr>
            <w:tcW w:w="23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DF854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Dopaminergic synapse</w:t>
            </w:r>
          </w:p>
        </w:tc>
        <w:tc>
          <w:tcPr>
            <w:tcW w:w="43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CA43B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GNAQ, CACNA1D, CALM2, ITPR2, ATF2, CACNA1B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52CB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08A84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0.026</w:t>
            </w:r>
          </w:p>
        </w:tc>
      </w:tr>
      <w:tr w:rsidR="00BF2B1A" w:rsidRPr="00774B2C" w14:paraId="61543AAA" w14:textId="77777777" w:rsidTr="001C4C56">
        <w:trPr>
          <w:trHeight w:val="270"/>
        </w:trPr>
        <w:tc>
          <w:tcPr>
            <w:tcW w:w="1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18389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hsa05164</w:t>
            </w:r>
          </w:p>
        </w:tc>
        <w:tc>
          <w:tcPr>
            <w:tcW w:w="23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FF5B0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Influenza A</w:t>
            </w:r>
          </w:p>
        </w:tc>
        <w:tc>
          <w:tcPr>
            <w:tcW w:w="43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12F63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IL6, AGFG1, PYCARD, DNAJC3, MAP2K6, HLA-DRA, ATF2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3C9A0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ABEBE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0.026</w:t>
            </w:r>
          </w:p>
        </w:tc>
      </w:tr>
      <w:tr w:rsidR="00BF2B1A" w:rsidRPr="00774B2C" w14:paraId="410267FD" w14:textId="77777777" w:rsidTr="001C4C56">
        <w:trPr>
          <w:trHeight w:val="270"/>
        </w:trPr>
        <w:tc>
          <w:tcPr>
            <w:tcW w:w="1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B7C1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hsa04540</w:t>
            </w:r>
          </w:p>
        </w:tc>
        <w:tc>
          <w:tcPr>
            <w:tcW w:w="23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3C976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Gap junction</w:t>
            </w:r>
          </w:p>
        </w:tc>
        <w:tc>
          <w:tcPr>
            <w:tcW w:w="43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45E5B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NRAS, GNAQ, PRKG1, EGF, ITPR2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47C29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C0616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0.028</w:t>
            </w:r>
          </w:p>
        </w:tc>
      </w:tr>
      <w:tr w:rsidR="00BF2B1A" w:rsidRPr="00774B2C" w14:paraId="07A131AD" w14:textId="77777777" w:rsidTr="001C4C56">
        <w:trPr>
          <w:trHeight w:val="270"/>
        </w:trPr>
        <w:tc>
          <w:tcPr>
            <w:tcW w:w="1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C2144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hsa04066</w:t>
            </w:r>
          </w:p>
        </w:tc>
        <w:tc>
          <w:tcPr>
            <w:tcW w:w="23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4E4B4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HIF-1 signaling pathway</w:t>
            </w:r>
          </w:p>
        </w:tc>
        <w:tc>
          <w:tcPr>
            <w:tcW w:w="43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68D4D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IL6, PFKFB3, HMOX1, EGF, INSR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7C0D9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E4B07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0.037</w:t>
            </w:r>
          </w:p>
        </w:tc>
      </w:tr>
      <w:tr w:rsidR="00BF2B1A" w:rsidRPr="00774B2C" w14:paraId="3624684C" w14:textId="77777777" w:rsidTr="001C4C56">
        <w:trPr>
          <w:trHeight w:val="270"/>
        </w:trPr>
        <w:tc>
          <w:tcPr>
            <w:tcW w:w="1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B5D10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hsa04915</w:t>
            </w:r>
          </w:p>
        </w:tc>
        <w:tc>
          <w:tcPr>
            <w:tcW w:w="23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E16E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Estrogen signaling pathway</w:t>
            </w:r>
          </w:p>
        </w:tc>
        <w:tc>
          <w:tcPr>
            <w:tcW w:w="43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0E7C4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NRAS, GNAQ, CALM2, ITPR2, ATF2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83A38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E656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0.040</w:t>
            </w:r>
          </w:p>
        </w:tc>
      </w:tr>
      <w:tr w:rsidR="00BF2B1A" w:rsidRPr="00774B2C" w14:paraId="538F2EB7" w14:textId="77777777" w:rsidTr="001C4C56">
        <w:trPr>
          <w:trHeight w:val="270"/>
        </w:trPr>
        <w:tc>
          <w:tcPr>
            <w:tcW w:w="1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203A7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hsa04922</w:t>
            </w:r>
          </w:p>
        </w:tc>
        <w:tc>
          <w:tcPr>
            <w:tcW w:w="23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2E18F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Glucagon signaling pathway</w:t>
            </w:r>
          </w:p>
        </w:tc>
        <w:tc>
          <w:tcPr>
            <w:tcW w:w="43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3CDCA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GNAQ, CALM2, G6PC2, ITPR2, ATF2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AA9FA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7D5BB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0.040</w:t>
            </w:r>
          </w:p>
        </w:tc>
      </w:tr>
      <w:tr w:rsidR="00BF2B1A" w:rsidRPr="00774B2C" w14:paraId="49CC1619" w14:textId="77777777" w:rsidTr="001C4C56">
        <w:trPr>
          <w:trHeight w:val="270"/>
        </w:trPr>
        <w:tc>
          <w:tcPr>
            <w:tcW w:w="13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FFCC5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hsa04730</w:t>
            </w:r>
          </w:p>
        </w:tc>
        <w:tc>
          <w:tcPr>
            <w:tcW w:w="23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0E6B0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Long-term depression</w:t>
            </w:r>
          </w:p>
        </w:tc>
        <w:tc>
          <w:tcPr>
            <w:tcW w:w="43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EAE99" w14:textId="77777777" w:rsidR="00BF2B1A" w:rsidRPr="00C51327" w:rsidRDefault="00BF2B1A" w:rsidP="00774B2C">
            <w:pPr>
              <w:adjustRightInd w:val="0"/>
              <w:snapToGrid w:val="0"/>
              <w:rPr>
                <w:i/>
                <w:iCs/>
                <w:color w:val="000000"/>
                <w:szCs w:val="24"/>
              </w:rPr>
            </w:pPr>
            <w:r w:rsidRPr="00C51327">
              <w:rPr>
                <w:i/>
                <w:iCs/>
                <w:color w:val="000000"/>
                <w:szCs w:val="24"/>
              </w:rPr>
              <w:t>NRAS, GNAQ, PRKG1, ITPR2</w:t>
            </w:r>
          </w:p>
        </w:tc>
        <w:tc>
          <w:tcPr>
            <w:tcW w:w="8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D1A6B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B5803" w14:textId="77777777" w:rsidR="00BF2B1A" w:rsidRPr="00774B2C" w:rsidRDefault="00BF2B1A" w:rsidP="00774B2C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774B2C">
              <w:rPr>
                <w:color w:val="000000"/>
                <w:szCs w:val="24"/>
              </w:rPr>
              <w:t>0.043</w:t>
            </w:r>
          </w:p>
        </w:tc>
      </w:tr>
    </w:tbl>
    <w:p w14:paraId="71CE6CC2" w14:textId="53831D8D" w:rsidR="00483403" w:rsidRPr="00774B2C" w:rsidRDefault="00483403" w:rsidP="00774B2C">
      <w:pPr>
        <w:adjustRightInd w:val="0"/>
        <w:snapToGrid w:val="0"/>
        <w:rPr>
          <w:b/>
          <w:szCs w:val="24"/>
        </w:rPr>
      </w:pPr>
    </w:p>
    <w:sectPr w:rsidR="00483403" w:rsidRPr="00774B2C" w:rsidSect="00DA7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F881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F88152" w16cid:durableId="21E2CE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2FCAE" w14:textId="77777777" w:rsidR="009C0523" w:rsidRDefault="009C0523" w:rsidP="00E677F2">
      <w:pPr>
        <w:spacing w:after="240"/>
      </w:pPr>
      <w:r>
        <w:separator/>
      </w:r>
    </w:p>
  </w:endnote>
  <w:endnote w:type="continuationSeparator" w:id="0">
    <w:p w14:paraId="4316B550" w14:textId="77777777" w:rsidR="009C0523" w:rsidRDefault="009C0523" w:rsidP="00E677F2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7B99F" w14:textId="77777777" w:rsidR="009C0523" w:rsidRDefault="009C0523" w:rsidP="00E677F2">
      <w:pPr>
        <w:spacing w:after="240"/>
      </w:pPr>
      <w:r>
        <w:separator/>
      </w:r>
    </w:p>
  </w:footnote>
  <w:footnote w:type="continuationSeparator" w:id="0">
    <w:p w14:paraId="33E692D1" w14:textId="77777777" w:rsidR="009C0523" w:rsidRDefault="009C0523" w:rsidP="00E677F2">
      <w:pPr>
        <w:spacing w:after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379"/>
    <w:multiLevelType w:val="multilevel"/>
    <w:tmpl w:val="0ADD73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167451"/>
    <w:multiLevelType w:val="hybridMultilevel"/>
    <w:tmpl w:val="349A468C"/>
    <w:lvl w:ilvl="0" w:tplc="AE9C130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2DBE62"/>
    <w:multiLevelType w:val="singleLevel"/>
    <w:tmpl w:val="5A2DBE62"/>
    <w:lvl w:ilvl="0">
      <w:start w:val="1"/>
      <w:numFmt w:val="decimal"/>
      <w:suff w:val="nothing"/>
      <w:lvlText w:val="%1."/>
      <w:lvlJc w:val="left"/>
      <w:rPr>
        <w:rFonts w:ascii="Times New Roman" w:eastAsia="宋体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ax9frr3sa9rce2rpa5sezdtd2pv00w29z0&quot;&gt;My EndNote Library&lt;record-ids&gt;&lt;item&gt;3770&lt;/item&gt;&lt;item&gt;3891&lt;/item&gt;&lt;item&gt;3908&lt;/item&gt;&lt;/record-ids&gt;&lt;/item&gt;&lt;/Libraries&gt;"/>
  </w:docVars>
  <w:rsids>
    <w:rsidRoot w:val="00053A4D"/>
    <w:rsid w:val="00003678"/>
    <w:rsid w:val="0001165D"/>
    <w:rsid w:val="00011FF8"/>
    <w:rsid w:val="000141F3"/>
    <w:rsid w:val="00024F9B"/>
    <w:rsid w:val="000352F7"/>
    <w:rsid w:val="00035744"/>
    <w:rsid w:val="00037CB1"/>
    <w:rsid w:val="0005207C"/>
    <w:rsid w:val="00053A4D"/>
    <w:rsid w:val="0005440A"/>
    <w:rsid w:val="00054684"/>
    <w:rsid w:val="00055EEA"/>
    <w:rsid w:val="000653D4"/>
    <w:rsid w:val="00066EC1"/>
    <w:rsid w:val="00067368"/>
    <w:rsid w:val="0007048F"/>
    <w:rsid w:val="0007091F"/>
    <w:rsid w:val="0008352A"/>
    <w:rsid w:val="000865BB"/>
    <w:rsid w:val="00087AB1"/>
    <w:rsid w:val="00087D05"/>
    <w:rsid w:val="000908CF"/>
    <w:rsid w:val="00090C8F"/>
    <w:rsid w:val="00090D58"/>
    <w:rsid w:val="00092A89"/>
    <w:rsid w:val="00096C8E"/>
    <w:rsid w:val="000A0431"/>
    <w:rsid w:val="000A1842"/>
    <w:rsid w:val="000A2CB7"/>
    <w:rsid w:val="000A3436"/>
    <w:rsid w:val="000A3CC4"/>
    <w:rsid w:val="000B1713"/>
    <w:rsid w:val="000B3D6D"/>
    <w:rsid w:val="000B4594"/>
    <w:rsid w:val="000B727E"/>
    <w:rsid w:val="000B7CDA"/>
    <w:rsid w:val="000C11EE"/>
    <w:rsid w:val="000C3E15"/>
    <w:rsid w:val="000C5014"/>
    <w:rsid w:val="000D2A49"/>
    <w:rsid w:val="000E2387"/>
    <w:rsid w:val="000E4A15"/>
    <w:rsid w:val="000F6CCA"/>
    <w:rsid w:val="001000DB"/>
    <w:rsid w:val="0010416E"/>
    <w:rsid w:val="00111614"/>
    <w:rsid w:val="0011378B"/>
    <w:rsid w:val="0011379F"/>
    <w:rsid w:val="001140B9"/>
    <w:rsid w:val="0012234F"/>
    <w:rsid w:val="0012477B"/>
    <w:rsid w:val="00124B02"/>
    <w:rsid w:val="00126F75"/>
    <w:rsid w:val="00133DBF"/>
    <w:rsid w:val="00144A3A"/>
    <w:rsid w:val="00145998"/>
    <w:rsid w:val="00145D1E"/>
    <w:rsid w:val="00154826"/>
    <w:rsid w:val="00176A16"/>
    <w:rsid w:val="001820F7"/>
    <w:rsid w:val="001844FD"/>
    <w:rsid w:val="001979C3"/>
    <w:rsid w:val="001A1C8A"/>
    <w:rsid w:val="001A4BE1"/>
    <w:rsid w:val="001B6EA0"/>
    <w:rsid w:val="001C4C56"/>
    <w:rsid w:val="001C5593"/>
    <w:rsid w:val="001D179E"/>
    <w:rsid w:val="001D4B99"/>
    <w:rsid w:val="001E0097"/>
    <w:rsid w:val="001E21D1"/>
    <w:rsid w:val="001E39A1"/>
    <w:rsid w:val="001F0B5D"/>
    <w:rsid w:val="001F3F7C"/>
    <w:rsid w:val="00210074"/>
    <w:rsid w:val="0021007C"/>
    <w:rsid w:val="00211A91"/>
    <w:rsid w:val="00214555"/>
    <w:rsid w:val="0021786B"/>
    <w:rsid w:val="00220518"/>
    <w:rsid w:val="00222581"/>
    <w:rsid w:val="002275EC"/>
    <w:rsid w:val="00233DCD"/>
    <w:rsid w:val="002358EA"/>
    <w:rsid w:val="00244C58"/>
    <w:rsid w:val="00255A71"/>
    <w:rsid w:val="00256244"/>
    <w:rsid w:val="00263D46"/>
    <w:rsid w:val="00281F2C"/>
    <w:rsid w:val="00293071"/>
    <w:rsid w:val="00294D11"/>
    <w:rsid w:val="0029743C"/>
    <w:rsid w:val="002B1355"/>
    <w:rsid w:val="002B3C97"/>
    <w:rsid w:val="002B75A1"/>
    <w:rsid w:val="002C190C"/>
    <w:rsid w:val="002C64AB"/>
    <w:rsid w:val="002C6DCB"/>
    <w:rsid w:val="002D4173"/>
    <w:rsid w:val="002D5C49"/>
    <w:rsid w:val="002E70BB"/>
    <w:rsid w:val="002F18BF"/>
    <w:rsid w:val="002F1B47"/>
    <w:rsid w:val="002F5B72"/>
    <w:rsid w:val="003021B3"/>
    <w:rsid w:val="00306962"/>
    <w:rsid w:val="00310723"/>
    <w:rsid w:val="00311C61"/>
    <w:rsid w:val="003152E3"/>
    <w:rsid w:val="00320061"/>
    <w:rsid w:val="00322A0B"/>
    <w:rsid w:val="003245E0"/>
    <w:rsid w:val="00335330"/>
    <w:rsid w:val="0034129C"/>
    <w:rsid w:val="003421C2"/>
    <w:rsid w:val="00356015"/>
    <w:rsid w:val="00365190"/>
    <w:rsid w:val="00365E52"/>
    <w:rsid w:val="00372534"/>
    <w:rsid w:val="00375E44"/>
    <w:rsid w:val="00381BBC"/>
    <w:rsid w:val="00383769"/>
    <w:rsid w:val="00383D1A"/>
    <w:rsid w:val="00385DEB"/>
    <w:rsid w:val="003901B4"/>
    <w:rsid w:val="003949F3"/>
    <w:rsid w:val="00394D81"/>
    <w:rsid w:val="003A17E7"/>
    <w:rsid w:val="003A1C2A"/>
    <w:rsid w:val="003A6666"/>
    <w:rsid w:val="003B6FC7"/>
    <w:rsid w:val="003B7D34"/>
    <w:rsid w:val="003C2CEA"/>
    <w:rsid w:val="003C30F6"/>
    <w:rsid w:val="003C3190"/>
    <w:rsid w:val="003C76AF"/>
    <w:rsid w:val="003E03B2"/>
    <w:rsid w:val="003E262E"/>
    <w:rsid w:val="003E67E0"/>
    <w:rsid w:val="003F0738"/>
    <w:rsid w:val="003F389F"/>
    <w:rsid w:val="003F4EBA"/>
    <w:rsid w:val="00400729"/>
    <w:rsid w:val="004018CB"/>
    <w:rsid w:val="00407450"/>
    <w:rsid w:val="00407C58"/>
    <w:rsid w:val="00430896"/>
    <w:rsid w:val="00441E51"/>
    <w:rsid w:val="00443800"/>
    <w:rsid w:val="004510C3"/>
    <w:rsid w:val="0045307B"/>
    <w:rsid w:val="004575BC"/>
    <w:rsid w:val="00461C0C"/>
    <w:rsid w:val="00471615"/>
    <w:rsid w:val="00483403"/>
    <w:rsid w:val="00485C7E"/>
    <w:rsid w:val="004925EF"/>
    <w:rsid w:val="0049710C"/>
    <w:rsid w:val="004A2C23"/>
    <w:rsid w:val="004A64BD"/>
    <w:rsid w:val="004B3A27"/>
    <w:rsid w:val="004B4711"/>
    <w:rsid w:val="004B689E"/>
    <w:rsid w:val="004C042D"/>
    <w:rsid w:val="004C1790"/>
    <w:rsid w:val="004C7789"/>
    <w:rsid w:val="004D19CA"/>
    <w:rsid w:val="004D3E63"/>
    <w:rsid w:val="004E4B33"/>
    <w:rsid w:val="004F1A88"/>
    <w:rsid w:val="004F3C3B"/>
    <w:rsid w:val="004F40A2"/>
    <w:rsid w:val="004F6A54"/>
    <w:rsid w:val="005001E2"/>
    <w:rsid w:val="00517C48"/>
    <w:rsid w:val="0052260A"/>
    <w:rsid w:val="0053076A"/>
    <w:rsid w:val="00535E30"/>
    <w:rsid w:val="005360BC"/>
    <w:rsid w:val="00536B63"/>
    <w:rsid w:val="00541E8B"/>
    <w:rsid w:val="00542F53"/>
    <w:rsid w:val="00545BA4"/>
    <w:rsid w:val="00545F29"/>
    <w:rsid w:val="00546C42"/>
    <w:rsid w:val="00550137"/>
    <w:rsid w:val="00561847"/>
    <w:rsid w:val="00571A73"/>
    <w:rsid w:val="005728DE"/>
    <w:rsid w:val="005732DA"/>
    <w:rsid w:val="00573D6D"/>
    <w:rsid w:val="00583867"/>
    <w:rsid w:val="00585CE9"/>
    <w:rsid w:val="0059052B"/>
    <w:rsid w:val="005A1993"/>
    <w:rsid w:val="005A42B5"/>
    <w:rsid w:val="005A5321"/>
    <w:rsid w:val="005B4404"/>
    <w:rsid w:val="005C1000"/>
    <w:rsid w:val="005D2675"/>
    <w:rsid w:val="005D3A57"/>
    <w:rsid w:val="005D3D98"/>
    <w:rsid w:val="005D58D8"/>
    <w:rsid w:val="005D6A1F"/>
    <w:rsid w:val="005E46A5"/>
    <w:rsid w:val="005F08EA"/>
    <w:rsid w:val="005F40E4"/>
    <w:rsid w:val="006021FC"/>
    <w:rsid w:val="00602AEB"/>
    <w:rsid w:val="00603C49"/>
    <w:rsid w:val="006148D1"/>
    <w:rsid w:val="00625824"/>
    <w:rsid w:val="0062704E"/>
    <w:rsid w:val="00633FF6"/>
    <w:rsid w:val="00634625"/>
    <w:rsid w:val="00635DF3"/>
    <w:rsid w:val="00636D04"/>
    <w:rsid w:val="006374CE"/>
    <w:rsid w:val="006508F5"/>
    <w:rsid w:val="00652C70"/>
    <w:rsid w:val="00654C43"/>
    <w:rsid w:val="00655649"/>
    <w:rsid w:val="0065590B"/>
    <w:rsid w:val="00660ADA"/>
    <w:rsid w:val="00662A61"/>
    <w:rsid w:val="00665E74"/>
    <w:rsid w:val="00681671"/>
    <w:rsid w:val="00690474"/>
    <w:rsid w:val="00690D64"/>
    <w:rsid w:val="0069311A"/>
    <w:rsid w:val="006964DB"/>
    <w:rsid w:val="006B1C46"/>
    <w:rsid w:val="006C0982"/>
    <w:rsid w:val="006C1A45"/>
    <w:rsid w:val="006C493B"/>
    <w:rsid w:val="006C5917"/>
    <w:rsid w:val="006D1F10"/>
    <w:rsid w:val="006D200A"/>
    <w:rsid w:val="006D3355"/>
    <w:rsid w:val="006D5295"/>
    <w:rsid w:val="006D67A5"/>
    <w:rsid w:val="006D7157"/>
    <w:rsid w:val="006E57D3"/>
    <w:rsid w:val="006F3330"/>
    <w:rsid w:val="006F5582"/>
    <w:rsid w:val="006F676B"/>
    <w:rsid w:val="007015C6"/>
    <w:rsid w:val="00702AA6"/>
    <w:rsid w:val="00706CCE"/>
    <w:rsid w:val="00737D01"/>
    <w:rsid w:val="00740653"/>
    <w:rsid w:val="0074148A"/>
    <w:rsid w:val="00741C3A"/>
    <w:rsid w:val="0074599A"/>
    <w:rsid w:val="00747895"/>
    <w:rsid w:val="00750EE4"/>
    <w:rsid w:val="0075321D"/>
    <w:rsid w:val="00754669"/>
    <w:rsid w:val="007560F1"/>
    <w:rsid w:val="0075735E"/>
    <w:rsid w:val="00757DAD"/>
    <w:rsid w:val="007609AC"/>
    <w:rsid w:val="007611DA"/>
    <w:rsid w:val="00774B2C"/>
    <w:rsid w:val="00782D13"/>
    <w:rsid w:val="0078633A"/>
    <w:rsid w:val="007905D5"/>
    <w:rsid w:val="00790657"/>
    <w:rsid w:val="00790DCB"/>
    <w:rsid w:val="00794CE6"/>
    <w:rsid w:val="00797346"/>
    <w:rsid w:val="007A00FF"/>
    <w:rsid w:val="007A5F9B"/>
    <w:rsid w:val="007B4FC0"/>
    <w:rsid w:val="007B5CAD"/>
    <w:rsid w:val="007B710C"/>
    <w:rsid w:val="007B7265"/>
    <w:rsid w:val="007C0A45"/>
    <w:rsid w:val="007C7221"/>
    <w:rsid w:val="007C797C"/>
    <w:rsid w:val="007C7992"/>
    <w:rsid w:val="007D649D"/>
    <w:rsid w:val="007E1009"/>
    <w:rsid w:val="007E1A04"/>
    <w:rsid w:val="007E34B0"/>
    <w:rsid w:val="007E494D"/>
    <w:rsid w:val="007E512D"/>
    <w:rsid w:val="007E66C7"/>
    <w:rsid w:val="007F0DF6"/>
    <w:rsid w:val="007F1AA9"/>
    <w:rsid w:val="007F3107"/>
    <w:rsid w:val="008065D9"/>
    <w:rsid w:val="008107C9"/>
    <w:rsid w:val="00810DE3"/>
    <w:rsid w:val="008117CC"/>
    <w:rsid w:val="00813E48"/>
    <w:rsid w:val="00820C61"/>
    <w:rsid w:val="00824219"/>
    <w:rsid w:val="00824846"/>
    <w:rsid w:val="00825001"/>
    <w:rsid w:val="008253F8"/>
    <w:rsid w:val="0082546B"/>
    <w:rsid w:val="00826AC6"/>
    <w:rsid w:val="00833962"/>
    <w:rsid w:val="008347AA"/>
    <w:rsid w:val="008365F3"/>
    <w:rsid w:val="00837462"/>
    <w:rsid w:val="00844779"/>
    <w:rsid w:val="0084753B"/>
    <w:rsid w:val="0084784D"/>
    <w:rsid w:val="00847CE1"/>
    <w:rsid w:val="00852CC9"/>
    <w:rsid w:val="00853884"/>
    <w:rsid w:val="00855483"/>
    <w:rsid w:val="00855F2E"/>
    <w:rsid w:val="00862CF8"/>
    <w:rsid w:val="00863AE7"/>
    <w:rsid w:val="0086742B"/>
    <w:rsid w:val="0087077E"/>
    <w:rsid w:val="00871037"/>
    <w:rsid w:val="00875E74"/>
    <w:rsid w:val="0088300B"/>
    <w:rsid w:val="008860E8"/>
    <w:rsid w:val="008906CA"/>
    <w:rsid w:val="0089287D"/>
    <w:rsid w:val="00896AB6"/>
    <w:rsid w:val="008A24D4"/>
    <w:rsid w:val="008A45EE"/>
    <w:rsid w:val="008B2B1D"/>
    <w:rsid w:val="008B57B3"/>
    <w:rsid w:val="008C26F6"/>
    <w:rsid w:val="008C311F"/>
    <w:rsid w:val="008C34D5"/>
    <w:rsid w:val="008C5469"/>
    <w:rsid w:val="008D634B"/>
    <w:rsid w:val="008E33A1"/>
    <w:rsid w:val="008E4A10"/>
    <w:rsid w:val="008F065F"/>
    <w:rsid w:val="008F0D43"/>
    <w:rsid w:val="008F41E0"/>
    <w:rsid w:val="008F64AB"/>
    <w:rsid w:val="00907A88"/>
    <w:rsid w:val="0091413F"/>
    <w:rsid w:val="00916B0A"/>
    <w:rsid w:val="00923420"/>
    <w:rsid w:val="00923D51"/>
    <w:rsid w:val="0093033C"/>
    <w:rsid w:val="00943B26"/>
    <w:rsid w:val="009461D4"/>
    <w:rsid w:val="009533EF"/>
    <w:rsid w:val="00961696"/>
    <w:rsid w:val="00964E17"/>
    <w:rsid w:val="009762E1"/>
    <w:rsid w:val="0098408F"/>
    <w:rsid w:val="009911CF"/>
    <w:rsid w:val="00995649"/>
    <w:rsid w:val="009958DB"/>
    <w:rsid w:val="00997233"/>
    <w:rsid w:val="009B24BF"/>
    <w:rsid w:val="009B660B"/>
    <w:rsid w:val="009C0523"/>
    <w:rsid w:val="009C139A"/>
    <w:rsid w:val="009C1D40"/>
    <w:rsid w:val="009C4D81"/>
    <w:rsid w:val="009D4E6F"/>
    <w:rsid w:val="009D77D5"/>
    <w:rsid w:val="009E1657"/>
    <w:rsid w:val="009E42AE"/>
    <w:rsid w:val="009E50E2"/>
    <w:rsid w:val="009E51AC"/>
    <w:rsid w:val="009F1B2F"/>
    <w:rsid w:val="009F4F25"/>
    <w:rsid w:val="00A038A6"/>
    <w:rsid w:val="00A045F5"/>
    <w:rsid w:val="00A0595A"/>
    <w:rsid w:val="00A13B67"/>
    <w:rsid w:val="00A20B74"/>
    <w:rsid w:val="00A21E34"/>
    <w:rsid w:val="00A36156"/>
    <w:rsid w:val="00A37E78"/>
    <w:rsid w:val="00A461DE"/>
    <w:rsid w:val="00A5482C"/>
    <w:rsid w:val="00A55468"/>
    <w:rsid w:val="00A5737D"/>
    <w:rsid w:val="00A579E7"/>
    <w:rsid w:val="00A732F4"/>
    <w:rsid w:val="00A761E2"/>
    <w:rsid w:val="00A8081F"/>
    <w:rsid w:val="00A85688"/>
    <w:rsid w:val="00A90C73"/>
    <w:rsid w:val="00AA0866"/>
    <w:rsid w:val="00AA174B"/>
    <w:rsid w:val="00AA62B2"/>
    <w:rsid w:val="00AB28F3"/>
    <w:rsid w:val="00AB3DC9"/>
    <w:rsid w:val="00AB404D"/>
    <w:rsid w:val="00AB4943"/>
    <w:rsid w:val="00AB69BC"/>
    <w:rsid w:val="00AC0F91"/>
    <w:rsid w:val="00AC2B7C"/>
    <w:rsid w:val="00AC35D1"/>
    <w:rsid w:val="00AC3978"/>
    <w:rsid w:val="00AC6B06"/>
    <w:rsid w:val="00AE3D35"/>
    <w:rsid w:val="00AE48B7"/>
    <w:rsid w:val="00AE612A"/>
    <w:rsid w:val="00AF2ADE"/>
    <w:rsid w:val="00AF7042"/>
    <w:rsid w:val="00AF769C"/>
    <w:rsid w:val="00B01841"/>
    <w:rsid w:val="00B0686A"/>
    <w:rsid w:val="00B224CF"/>
    <w:rsid w:val="00B22FE1"/>
    <w:rsid w:val="00B30674"/>
    <w:rsid w:val="00B33E22"/>
    <w:rsid w:val="00B4271B"/>
    <w:rsid w:val="00B42C2F"/>
    <w:rsid w:val="00B44951"/>
    <w:rsid w:val="00B462AF"/>
    <w:rsid w:val="00B479C1"/>
    <w:rsid w:val="00B504D1"/>
    <w:rsid w:val="00B532C2"/>
    <w:rsid w:val="00B54D77"/>
    <w:rsid w:val="00B555A6"/>
    <w:rsid w:val="00B66DE5"/>
    <w:rsid w:val="00B71DAD"/>
    <w:rsid w:val="00B72005"/>
    <w:rsid w:val="00B75287"/>
    <w:rsid w:val="00B76B95"/>
    <w:rsid w:val="00B9066F"/>
    <w:rsid w:val="00B97AF4"/>
    <w:rsid w:val="00BA278E"/>
    <w:rsid w:val="00BA32CD"/>
    <w:rsid w:val="00BB4600"/>
    <w:rsid w:val="00BB5F5F"/>
    <w:rsid w:val="00BD0E4B"/>
    <w:rsid w:val="00BD5712"/>
    <w:rsid w:val="00BD78F5"/>
    <w:rsid w:val="00BF19CC"/>
    <w:rsid w:val="00BF2B1A"/>
    <w:rsid w:val="00C14884"/>
    <w:rsid w:val="00C15DF2"/>
    <w:rsid w:val="00C16123"/>
    <w:rsid w:val="00C22389"/>
    <w:rsid w:val="00C33B80"/>
    <w:rsid w:val="00C3618B"/>
    <w:rsid w:val="00C37CCC"/>
    <w:rsid w:val="00C453BB"/>
    <w:rsid w:val="00C51327"/>
    <w:rsid w:val="00C54A51"/>
    <w:rsid w:val="00C5554C"/>
    <w:rsid w:val="00C5701F"/>
    <w:rsid w:val="00C613AE"/>
    <w:rsid w:val="00C64D7C"/>
    <w:rsid w:val="00C66921"/>
    <w:rsid w:val="00C67538"/>
    <w:rsid w:val="00C707F3"/>
    <w:rsid w:val="00C712CE"/>
    <w:rsid w:val="00C71EB2"/>
    <w:rsid w:val="00C722FD"/>
    <w:rsid w:val="00C72321"/>
    <w:rsid w:val="00C757D3"/>
    <w:rsid w:val="00C76CE8"/>
    <w:rsid w:val="00C77B02"/>
    <w:rsid w:val="00C82749"/>
    <w:rsid w:val="00C90AB7"/>
    <w:rsid w:val="00C93138"/>
    <w:rsid w:val="00C93BEA"/>
    <w:rsid w:val="00C94439"/>
    <w:rsid w:val="00C97950"/>
    <w:rsid w:val="00C97CC3"/>
    <w:rsid w:val="00CA5B13"/>
    <w:rsid w:val="00CB130A"/>
    <w:rsid w:val="00CB18CC"/>
    <w:rsid w:val="00CB4B1B"/>
    <w:rsid w:val="00CC1ABB"/>
    <w:rsid w:val="00CC28B9"/>
    <w:rsid w:val="00CC30A8"/>
    <w:rsid w:val="00CD0816"/>
    <w:rsid w:val="00CD10F3"/>
    <w:rsid w:val="00CD1936"/>
    <w:rsid w:val="00CD3436"/>
    <w:rsid w:val="00CE11E9"/>
    <w:rsid w:val="00CE3EC2"/>
    <w:rsid w:val="00CE4A11"/>
    <w:rsid w:val="00CF4CAB"/>
    <w:rsid w:val="00CF4D7C"/>
    <w:rsid w:val="00CF5E96"/>
    <w:rsid w:val="00CF7F77"/>
    <w:rsid w:val="00D012EF"/>
    <w:rsid w:val="00D043A6"/>
    <w:rsid w:val="00D04AE8"/>
    <w:rsid w:val="00D07896"/>
    <w:rsid w:val="00D07DB9"/>
    <w:rsid w:val="00D10B6C"/>
    <w:rsid w:val="00D110AC"/>
    <w:rsid w:val="00D12A2D"/>
    <w:rsid w:val="00D15CDB"/>
    <w:rsid w:val="00D16602"/>
    <w:rsid w:val="00D31D55"/>
    <w:rsid w:val="00D346DB"/>
    <w:rsid w:val="00D41876"/>
    <w:rsid w:val="00D42542"/>
    <w:rsid w:val="00D45FEC"/>
    <w:rsid w:val="00D5478E"/>
    <w:rsid w:val="00D549F3"/>
    <w:rsid w:val="00D60157"/>
    <w:rsid w:val="00D64C73"/>
    <w:rsid w:val="00D65E01"/>
    <w:rsid w:val="00D7173D"/>
    <w:rsid w:val="00D743EE"/>
    <w:rsid w:val="00D779EC"/>
    <w:rsid w:val="00D80924"/>
    <w:rsid w:val="00D81F87"/>
    <w:rsid w:val="00D8675E"/>
    <w:rsid w:val="00D9409E"/>
    <w:rsid w:val="00DA1F08"/>
    <w:rsid w:val="00DA2744"/>
    <w:rsid w:val="00DA789A"/>
    <w:rsid w:val="00DB2C92"/>
    <w:rsid w:val="00DB3495"/>
    <w:rsid w:val="00DB3E0D"/>
    <w:rsid w:val="00DB6F8F"/>
    <w:rsid w:val="00DC307F"/>
    <w:rsid w:val="00DD360D"/>
    <w:rsid w:val="00DD76C3"/>
    <w:rsid w:val="00DE0B74"/>
    <w:rsid w:val="00DE54FD"/>
    <w:rsid w:val="00DE7BB4"/>
    <w:rsid w:val="00DF47A2"/>
    <w:rsid w:val="00DF54E6"/>
    <w:rsid w:val="00DF54F2"/>
    <w:rsid w:val="00DF734D"/>
    <w:rsid w:val="00E0293D"/>
    <w:rsid w:val="00E17F9A"/>
    <w:rsid w:val="00E20C55"/>
    <w:rsid w:val="00E21EBB"/>
    <w:rsid w:val="00E32D2D"/>
    <w:rsid w:val="00E3560E"/>
    <w:rsid w:val="00E37D10"/>
    <w:rsid w:val="00E37FD1"/>
    <w:rsid w:val="00E46487"/>
    <w:rsid w:val="00E50140"/>
    <w:rsid w:val="00E51B12"/>
    <w:rsid w:val="00E52B7C"/>
    <w:rsid w:val="00E613A8"/>
    <w:rsid w:val="00E62F62"/>
    <w:rsid w:val="00E677F2"/>
    <w:rsid w:val="00E73F52"/>
    <w:rsid w:val="00E760CE"/>
    <w:rsid w:val="00E76AAF"/>
    <w:rsid w:val="00E772B1"/>
    <w:rsid w:val="00E861FB"/>
    <w:rsid w:val="00E90A1E"/>
    <w:rsid w:val="00EA53AD"/>
    <w:rsid w:val="00EB3091"/>
    <w:rsid w:val="00EB4CF5"/>
    <w:rsid w:val="00EB5481"/>
    <w:rsid w:val="00EB58BB"/>
    <w:rsid w:val="00EB73FE"/>
    <w:rsid w:val="00EB7863"/>
    <w:rsid w:val="00EC3368"/>
    <w:rsid w:val="00EC3846"/>
    <w:rsid w:val="00EC6F7F"/>
    <w:rsid w:val="00EC7D41"/>
    <w:rsid w:val="00ED7FD0"/>
    <w:rsid w:val="00EF02E6"/>
    <w:rsid w:val="00EF291C"/>
    <w:rsid w:val="00EF6BC7"/>
    <w:rsid w:val="00F0293D"/>
    <w:rsid w:val="00F11A86"/>
    <w:rsid w:val="00F25AC3"/>
    <w:rsid w:val="00F32067"/>
    <w:rsid w:val="00F35E7A"/>
    <w:rsid w:val="00F4322B"/>
    <w:rsid w:val="00F43942"/>
    <w:rsid w:val="00F4446D"/>
    <w:rsid w:val="00F47359"/>
    <w:rsid w:val="00F5088D"/>
    <w:rsid w:val="00F60A7A"/>
    <w:rsid w:val="00F63AE6"/>
    <w:rsid w:val="00F73661"/>
    <w:rsid w:val="00F7674B"/>
    <w:rsid w:val="00F83437"/>
    <w:rsid w:val="00F837F4"/>
    <w:rsid w:val="00F90C7D"/>
    <w:rsid w:val="00FA6C89"/>
    <w:rsid w:val="00FB0B0C"/>
    <w:rsid w:val="00FB1206"/>
    <w:rsid w:val="00FB286F"/>
    <w:rsid w:val="00FB588F"/>
    <w:rsid w:val="00FC060E"/>
    <w:rsid w:val="00FC1D5E"/>
    <w:rsid w:val="00FC68D7"/>
    <w:rsid w:val="00FD26C1"/>
    <w:rsid w:val="00FD2BD2"/>
    <w:rsid w:val="00FD3097"/>
    <w:rsid w:val="00FD34AC"/>
    <w:rsid w:val="00FD60EA"/>
    <w:rsid w:val="00FD6526"/>
    <w:rsid w:val="00FD6B90"/>
    <w:rsid w:val="00FE70EC"/>
    <w:rsid w:val="00FE7289"/>
    <w:rsid w:val="00FF00B0"/>
    <w:rsid w:val="00FF1A1C"/>
    <w:rsid w:val="03B007D7"/>
    <w:rsid w:val="0E05035F"/>
    <w:rsid w:val="12B12136"/>
    <w:rsid w:val="140E7641"/>
    <w:rsid w:val="26216F95"/>
    <w:rsid w:val="2A976E70"/>
    <w:rsid w:val="4AE250EF"/>
    <w:rsid w:val="542F3F53"/>
    <w:rsid w:val="5B9270AD"/>
    <w:rsid w:val="75A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2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D"/>
    <w:pPr>
      <w:widowControl w:val="0"/>
      <w:spacing w:line="360" w:lineRule="auto"/>
      <w:jc w:val="both"/>
    </w:pPr>
    <w:rPr>
      <w:rFonts w:ascii="Book Antiqua" w:hAnsi="Book Antiqua"/>
      <w:kern w:val="2"/>
      <w:sz w:val="24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BF2B1A"/>
    <w:pPr>
      <w:keepNext/>
      <w:keepLines/>
      <w:spacing w:line="480" w:lineRule="exact"/>
      <w:outlineLvl w:val="0"/>
    </w:pPr>
    <w:rPr>
      <w:b/>
      <w:bCs/>
      <w:cap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73F52"/>
    <w:pPr>
      <w:keepNext/>
      <w:keepLines/>
      <w:spacing w:line="480" w:lineRule="exact"/>
      <w:outlineLvl w:val="1"/>
    </w:pPr>
    <w:rPr>
      <w:rFonts w:eastAsiaTheme="majorEastAsia" w:cstheme="majorBidi"/>
      <w:b/>
      <w:bCs/>
      <w:i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7992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7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A78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89A"/>
    <w:rPr>
      <w:sz w:val="18"/>
      <w:szCs w:val="18"/>
    </w:rPr>
  </w:style>
  <w:style w:type="paragraph" w:styleId="a5">
    <w:name w:val="List Paragraph"/>
    <w:basedOn w:val="a"/>
    <w:uiPriority w:val="34"/>
    <w:qFormat/>
    <w:rsid w:val="00DA789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677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77F2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6B1C46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C11EE"/>
    <w:rPr>
      <w:sz w:val="21"/>
      <w:szCs w:val="21"/>
    </w:rPr>
  </w:style>
  <w:style w:type="paragraph" w:styleId="a9">
    <w:name w:val="annotation text"/>
    <w:basedOn w:val="a"/>
    <w:link w:val="Char10"/>
    <w:uiPriority w:val="99"/>
    <w:semiHidden/>
    <w:unhideWhenUsed/>
    <w:rsid w:val="000C11EE"/>
    <w:pPr>
      <w:jc w:val="left"/>
    </w:pPr>
  </w:style>
  <w:style w:type="character" w:customStyle="1" w:styleId="Char10">
    <w:name w:val="批注文字 Char1"/>
    <w:basedOn w:val="a0"/>
    <w:link w:val="a9"/>
    <w:uiPriority w:val="99"/>
    <w:semiHidden/>
    <w:rsid w:val="000C11E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C11EE"/>
    <w:rPr>
      <w:b/>
      <w:bCs/>
    </w:rPr>
  </w:style>
  <w:style w:type="character" w:customStyle="1" w:styleId="Char2">
    <w:name w:val="批注主题 Char"/>
    <w:basedOn w:val="Char10"/>
    <w:link w:val="aa"/>
    <w:uiPriority w:val="99"/>
    <w:semiHidden/>
    <w:rsid w:val="000C11EE"/>
    <w:rPr>
      <w:b/>
      <w:bCs/>
      <w:kern w:val="2"/>
      <w:sz w:val="21"/>
      <w:szCs w:val="22"/>
    </w:rPr>
  </w:style>
  <w:style w:type="character" w:customStyle="1" w:styleId="Char3">
    <w:name w:val="批注文字 Char"/>
    <w:uiPriority w:val="99"/>
    <w:semiHidden/>
    <w:rsid w:val="00CB4B1B"/>
    <w:rPr>
      <w:kern w:val="2"/>
      <w:sz w:val="21"/>
      <w:szCs w:val="22"/>
    </w:rPr>
  </w:style>
  <w:style w:type="paragraph" w:customStyle="1" w:styleId="EndNoteBibliographyTitle">
    <w:name w:val="EndNote Bibliography Title"/>
    <w:basedOn w:val="a"/>
    <w:link w:val="EndNoteBibliographyTitleChar"/>
    <w:rsid w:val="00B9066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9066F"/>
    <w:rPr>
      <w:rFonts w:ascii="Calibri" w:hAnsi="Calibri" w:cs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B9066F"/>
    <w:pPr>
      <w:spacing w:line="240" w:lineRule="auto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9066F"/>
    <w:rPr>
      <w:rFonts w:ascii="Calibri" w:hAnsi="Calibri" w:cs="Calibri"/>
      <w:noProof/>
      <w:kern w:val="2"/>
      <w:szCs w:val="22"/>
    </w:rPr>
  </w:style>
  <w:style w:type="character" w:customStyle="1" w:styleId="1Char">
    <w:name w:val="标题 1 Char"/>
    <w:basedOn w:val="a0"/>
    <w:link w:val="1"/>
    <w:uiPriority w:val="9"/>
    <w:rsid w:val="00BF2B1A"/>
    <w:rPr>
      <w:rFonts w:ascii="Book Antiqua" w:hAnsi="Book Antiqua"/>
      <w:b/>
      <w:bCs/>
      <w:cap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E73F52"/>
    <w:rPr>
      <w:rFonts w:ascii="Book Antiqua" w:eastAsiaTheme="majorEastAsia" w:hAnsi="Book Antiqua" w:cstheme="majorBidi"/>
      <w:b/>
      <w:bCs/>
      <w:i/>
      <w:kern w:val="2"/>
      <w:sz w:val="24"/>
      <w:szCs w:val="32"/>
    </w:rPr>
  </w:style>
  <w:style w:type="paragraph" w:customStyle="1" w:styleId="12ptBold">
    <w:name w:val="12pt+Bold"/>
    <w:basedOn w:val="a"/>
    <w:qFormat/>
    <w:rsid w:val="009C139A"/>
    <w:rPr>
      <w:b/>
      <w:szCs w:val="24"/>
    </w:rPr>
  </w:style>
  <w:style w:type="paragraph" w:customStyle="1" w:styleId="SmallcapsItalics">
    <w:name w:val="Small caps+Italics"/>
    <w:basedOn w:val="a"/>
    <w:qFormat/>
    <w:rsid w:val="00FC060E"/>
    <w:rPr>
      <w:b/>
      <w:i/>
      <w:caps/>
      <w:szCs w:val="24"/>
    </w:rPr>
  </w:style>
  <w:style w:type="paragraph" w:customStyle="1" w:styleId="Red">
    <w:name w:val="Red"/>
    <w:basedOn w:val="a"/>
    <w:qFormat/>
    <w:rsid w:val="00FC060E"/>
    <w:pPr>
      <w:snapToGrid w:val="0"/>
    </w:pPr>
    <w:rPr>
      <w:rFonts w:cs="Times New Roman"/>
      <w:color w:val="FF0000"/>
      <w:sz w:val="21"/>
      <w:szCs w:val="24"/>
    </w:rPr>
  </w:style>
  <w:style w:type="paragraph" w:customStyle="1" w:styleId="HighlightHeading">
    <w:name w:val="Highlight Heading"/>
    <w:basedOn w:val="a"/>
    <w:qFormat/>
    <w:rsid w:val="003901B4"/>
    <w:pPr>
      <w:snapToGrid w:val="0"/>
    </w:pPr>
    <w:rPr>
      <w:rFonts w:cs="Times New Roman"/>
      <w:b/>
      <w:i/>
      <w:szCs w:val="24"/>
    </w:rPr>
  </w:style>
  <w:style w:type="paragraph" w:customStyle="1" w:styleId="Smallcapsnormal">
    <w:name w:val="Small caps+normal"/>
    <w:qFormat/>
    <w:rsid w:val="003901B4"/>
    <w:rPr>
      <w:rFonts w:ascii="Book Antiqua" w:hAnsi="Book Antiqua"/>
      <w:b/>
      <w:caps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7C7992"/>
    <w:rPr>
      <w:rFonts w:ascii="Book Antiqua" w:hAnsi="Book Antiqua"/>
      <w:b/>
      <w:bCs/>
      <w:kern w:val="2"/>
      <w:sz w:val="24"/>
      <w:szCs w:val="32"/>
    </w:rPr>
  </w:style>
  <w:style w:type="character" w:customStyle="1" w:styleId="font11">
    <w:name w:val="font11"/>
    <w:rsid w:val="00483403"/>
    <w:rPr>
      <w:rFonts w:ascii="楷体" w:eastAsia="楷体" w:hAnsi="楷体" w:cs="楷体"/>
      <w:i w:val="0"/>
      <w:color w:val="000000"/>
      <w:sz w:val="18"/>
      <w:szCs w:val="18"/>
      <w:u w:val="none"/>
      <w:lang w:val="en-US" w:eastAsia="en-US"/>
    </w:rPr>
  </w:style>
  <w:style w:type="character" w:customStyle="1" w:styleId="font21">
    <w:name w:val="font21"/>
    <w:rsid w:val="00483403"/>
    <w:rPr>
      <w:rFonts w:ascii="Times New Roman" w:hAnsi="Times New Roman" w:cs="Times New Roman" w:hint="default"/>
      <w:i w:val="0"/>
      <w:color w:val="000000"/>
      <w:sz w:val="18"/>
      <w:szCs w:val="18"/>
      <w:u w:val="none"/>
      <w:lang w:val="en-US" w:eastAsia="en-US"/>
    </w:rPr>
  </w:style>
  <w:style w:type="paragraph" w:styleId="ab">
    <w:name w:val="Revision"/>
    <w:hidden/>
    <w:uiPriority w:val="99"/>
    <w:semiHidden/>
    <w:rsid w:val="00A21E34"/>
    <w:rPr>
      <w:rFonts w:ascii="Book Antiqua" w:hAnsi="Book Antiqua"/>
      <w:kern w:val="2"/>
      <w:sz w:val="24"/>
      <w:szCs w:val="22"/>
    </w:rPr>
  </w:style>
  <w:style w:type="character" w:customStyle="1" w:styleId="10">
    <w:name w:val="未处理的提及1"/>
    <w:basedOn w:val="a0"/>
    <w:uiPriority w:val="99"/>
    <w:semiHidden/>
    <w:unhideWhenUsed/>
    <w:rsid w:val="00FD26C1"/>
    <w:rPr>
      <w:color w:val="605E5C"/>
      <w:shd w:val="clear" w:color="auto" w:fill="E1DFDD"/>
    </w:rPr>
  </w:style>
  <w:style w:type="paragraph" w:styleId="ac">
    <w:name w:val="Title"/>
    <w:basedOn w:val="a"/>
    <w:next w:val="a"/>
    <w:link w:val="Char4"/>
    <w:uiPriority w:val="10"/>
    <w:qFormat/>
    <w:rsid w:val="00774B2C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d">
    <w:name w:val="标题 字符"/>
    <w:basedOn w:val="a0"/>
    <w:uiPriority w:val="10"/>
    <w:rsid w:val="00774B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4">
    <w:name w:val="标题 Char"/>
    <w:link w:val="ac"/>
    <w:uiPriority w:val="10"/>
    <w:rsid w:val="00774B2C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ae">
    <w:name w:val="Strong"/>
    <w:uiPriority w:val="22"/>
    <w:qFormat/>
    <w:rsid w:val="00381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D"/>
    <w:pPr>
      <w:widowControl w:val="0"/>
      <w:spacing w:line="360" w:lineRule="auto"/>
      <w:jc w:val="both"/>
    </w:pPr>
    <w:rPr>
      <w:rFonts w:ascii="Book Antiqua" w:hAnsi="Book Antiqua"/>
      <w:kern w:val="2"/>
      <w:sz w:val="24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BF2B1A"/>
    <w:pPr>
      <w:keepNext/>
      <w:keepLines/>
      <w:spacing w:line="480" w:lineRule="exact"/>
      <w:outlineLvl w:val="0"/>
    </w:pPr>
    <w:rPr>
      <w:b/>
      <w:bCs/>
      <w:cap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73F52"/>
    <w:pPr>
      <w:keepNext/>
      <w:keepLines/>
      <w:spacing w:line="480" w:lineRule="exact"/>
      <w:outlineLvl w:val="1"/>
    </w:pPr>
    <w:rPr>
      <w:rFonts w:eastAsiaTheme="majorEastAsia" w:cstheme="majorBidi"/>
      <w:b/>
      <w:bCs/>
      <w:i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7992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7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A78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89A"/>
    <w:rPr>
      <w:sz w:val="18"/>
      <w:szCs w:val="18"/>
    </w:rPr>
  </w:style>
  <w:style w:type="paragraph" w:styleId="a5">
    <w:name w:val="List Paragraph"/>
    <w:basedOn w:val="a"/>
    <w:uiPriority w:val="34"/>
    <w:qFormat/>
    <w:rsid w:val="00DA789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677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77F2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6B1C46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C11EE"/>
    <w:rPr>
      <w:sz w:val="21"/>
      <w:szCs w:val="21"/>
    </w:rPr>
  </w:style>
  <w:style w:type="paragraph" w:styleId="a9">
    <w:name w:val="annotation text"/>
    <w:basedOn w:val="a"/>
    <w:link w:val="Char10"/>
    <w:uiPriority w:val="99"/>
    <w:semiHidden/>
    <w:unhideWhenUsed/>
    <w:rsid w:val="000C11EE"/>
    <w:pPr>
      <w:jc w:val="left"/>
    </w:pPr>
  </w:style>
  <w:style w:type="character" w:customStyle="1" w:styleId="Char10">
    <w:name w:val="批注文字 Char1"/>
    <w:basedOn w:val="a0"/>
    <w:link w:val="a9"/>
    <w:uiPriority w:val="99"/>
    <w:semiHidden/>
    <w:rsid w:val="000C11E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C11EE"/>
    <w:rPr>
      <w:b/>
      <w:bCs/>
    </w:rPr>
  </w:style>
  <w:style w:type="character" w:customStyle="1" w:styleId="Char2">
    <w:name w:val="批注主题 Char"/>
    <w:basedOn w:val="Char10"/>
    <w:link w:val="aa"/>
    <w:uiPriority w:val="99"/>
    <w:semiHidden/>
    <w:rsid w:val="000C11EE"/>
    <w:rPr>
      <w:b/>
      <w:bCs/>
      <w:kern w:val="2"/>
      <w:sz w:val="21"/>
      <w:szCs w:val="22"/>
    </w:rPr>
  </w:style>
  <w:style w:type="character" w:customStyle="1" w:styleId="Char3">
    <w:name w:val="批注文字 Char"/>
    <w:uiPriority w:val="99"/>
    <w:semiHidden/>
    <w:rsid w:val="00CB4B1B"/>
    <w:rPr>
      <w:kern w:val="2"/>
      <w:sz w:val="21"/>
      <w:szCs w:val="22"/>
    </w:rPr>
  </w:style>
  <w:style w:type="paragraph" w:customStyle="1" w:styleId="EndNoteBibliographyTitle">
    <w:name w:val="EndNote Bibliography Title"/>
    <w:basedOn w:val="a"/>
    <w:link w:val="EndNoteBibliographyTitleChar"/>
    <w:rsid w:val="00B9066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9066F"/>
    <w:rPr>
      <w:rFonts w:ascii="Calibri" w:hAnsi="Calibri" w:cs="Calibri"/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B9066F"/>
    <w:pPr>
      <w:spacing w:line="240" w:lineRule="auto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9066F"/>
    <w:rPr>
      <w:rFonts w:ascii="Calibri" w:hAnsi="Calibri" w:cs="Calibri"/>
      <w:noProof/>
      <w:kern w:val="2"/>
      <w:szCs w:val="22"/>
    </w:rPr>
  </w:style>
  <w:style w:type="character" w:customStyle="1" w:styleId="1Char">
    <w:name w:val="标题 1 Char"/>
    <w:basedOn w:val="a0"/>
    <w:link w:val="1"/>
    <w:uiPriority w:val="9"/>
    <w:rsid w:val="00BF2B1A"/>
    <w:rPr>
      <w:rFonts w:ascii="Book Antiqua" w:hAnsi="Book Antiqua"/>
      <w:b/>
      <w:bCs/>
      <w:cap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E73F52"/>
    <w:rPr>
      <w:rFonts w:ascii="Book Antiqua" w:eastAsiaTheme="majorEastAsia" w:hAnsi="Book Antiqua" w:cstheme="majorBidi"/>
      <w:b/>
      <w:bCs/>
      <w:i/>
      <w:kern w:val="2"/>
      <w:sz w:val="24"/>
      <w:szCs w:val="32"/>
    </w:rPr>
  </w:style>
  <w:style w:type="paragraph" w:customStyle="1" w:styleId="12ptBold">
    <w:name w:val="12pt+Bold"/>
    <w:basedOn w:val="a"/>
    <w:qFormat/>
    <w:rsid w:val="009C139A"/>
    <w:rPr>
      <w:b/>
      <w:szCs w:val="24"/>
    </w:rPr>
  </w:style>
  <w:style w:type="paragraph" w:customStyle="1" w:styleId="SmallcapsItalics">
    <w:name w:val="Small caps+Italics"/>
    <w:basedOn w:val="a"/>
    <w:qFormat/>
    <w:rsid w:val="00FC060E"/>
    <w:rPr>
      <w:b/>
      <w:i/>
      <w:caps/>
      <w:szCs w:val="24"/>
    </w:rPr>
  </w:style>
  <w:style w:type="paragraph" w:customStyle="1" w:styleId="Red">
    <w:name w:val="Red"/>
    <w:basedOn w:val="a"/>
    <w:qFormat/>
    <w:rsid w:val="00FC060E"/>
    <w:pPr>
      <w:snapToGrid w:val="0"/>
    </w:pPr>
    <w:rPr>
      <w:rFonts w:cs="Times New Roman"/>
      <w:color w:val="FF0000"/>
      <w:sz w:val="21"/>
      <w:szCs w:val="24"/>
    </w:rPr>
  </w:style>
  <w:style w:type="paragraph" w:customStyle="1" w:styleId="HighlightHeading">
    <w:name w:val="Highlight Heading"/>
    <w:basedOn w:val="a"/>
    <w:qFormat/>
    <w:rsid w:val="003901B4"/>
    <w:pPr>
      <w:snapToGrid w:val="0"/>
    </w:pPr>
    <w:rPr>
      <w:rFonts w:cs="Times New Roman"/>
      <w:b/>
      <w:i/>
      <w:szCs w:val="24"/>
    </w:rPr>
  </w:style>
  <w:style w:type="paragraph" w:customStyle="1" w:styleId="Smallcapsnormal">
    <w:name w:val="Small caps+normal"/>
    <w:qFormat/>
    <w:rsid w:val="003901B4"/>
    <w:rPr>
      <w:rFonts w:ascii="Book Antiqua" w:hAnsi="Book Antiqua"/>
      <w:b/>
      <w:caps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7C7992"/>
    <w:rPr>
      <w:rFonts w:ascii="Book Antiqua" w:hAnsi="Book Antiqua"/>
      <w:b/>
      <w:bCs/>
      <w:kern w:val="2"/>
      <w:sz w:val="24"/>
      <w:szCs w:val="32"/>
    </w:rPr>
  </w:style>
  <w:style w:type="character" w:customStyle="1" w:styleId="font11">
    <w:name w:val="font11"/>
    <w:rsid w:val="00483403"/>
    <w:rPr>
      <w:rFonts w:ascii="楷体" w:eastAsia="楷体" w:hAnsi="楷体" w:cs="楷体"/>
      <w:i w:val="0"/>
      <w:color w:val="000000"/>
      <w:sz w:val="18"/>
      <w:szCs w:val="18"/>
      <w:u w:val="none"/>
      <w:lang w:val="en-US" w:eastAsia="en-US"/>
    </w:rPr>
  </w:style>
  <w:style w:type="character" w:customStyle="1" w:styleId="font21">
    <w:name w:val="font21"/>
    <w:rsid w:val="00483403"/>
    <w:rPr>
      <w:rFonts w:ascii="Times New Roman" w:hAnsi="Times New Roman" w:cs="Times New Roman" w:hint="default"/>
      <w:i w:val="0"/>
      <w:color w:val="000000"/>
      <w:sz w:val="18"/>
      <w:szCs w:val="18"/>
      <w:u w:val="none"/>
      <w:lang w:val="en-US" w:eastAsia="en-US"/>
    </w:rPr>
  </w:style>
  <w:style w:type="paragraph" w:styleId="ab">
    <w:name w:val="Revision"/>
    <w:hidden/>
    <w:uiPriority w:val="99"/>
    <w:semiHidden/>
    <w:rsid w:val="00A21E34"/>
    <w:rPr>
      <w:rFonts w:ascii="Book Antiqua" w:hAnsi="Book Antiqua"/>
      <w:kern w:val="2"/>
      <w:sz w:val="24"/>
      <w:szCs w:val="22"/>
    </w:rPr>
  </w:style>
  <w:style w:type="character" w:customStyle="1" w:styleId="10">
    <w:name w:val="未处理的提及1"/>
    <w:basedOn w:val="a0"/>
    <w:uiPriority w:val="99"/>
    <w:semiHidden/>
    <w:unhideWhenUsed/>
    <w:rsid w:val="00FD26C1"/>
    <w:rPr>
      <w:color w:val="605E5C"/>
      <w:shd w:val="clear" w:color="auto" w:fill="E1DFDD"/>
    </w:rPr>
  </w:style>
  <w:style w:type="paragraph" w:styleId="ac">
    <w:name w:val="Title"/>
    <w:basedOn w:val="a"/>
    <w:next w:val="a"/>
    <w:link w:val="Char4"/>
    <w:uiPriority w:val="10"/>
    <w:qFormat/>
    <w:rsid w:val="00774B2C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ad">
    <w:name w:val="标题 字符"/>
    <w:basedOn w:val="a0"/>
    <w:uiPriority w:val="10"/>
    <w:rsid w:val="00774B2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4">
    <w:name w:val="标题 Char"/>
    <w:link w:val="ac"/>
    <w:uiPriority w:val="10"/>
    <w:rsid w:val="00774B2C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ae">
    <w:name w:val="Strong"/>
    <w:uiPriority w:val="22"/>
    <w:qFormat/>
    <w:rsid w:val="00381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nc/4.0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10" Type="http://schemas.openxmlformats.org/officeDocument/2006/relationships/hyperlink" Target="https://portal.gdc.cancer.gov/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AAA30-C642-4DEE-9777-A266597A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9022</Words>
  <Characters>51429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4</cp:revision>
  <dcterms:created xsi:type="dcterms:W3CDTF">2020-01-17T14:39:00Z</dcterms:created>
  <dcterms:modified xsi:type="dcterms:W3CDTF">2020-02-13T06:34:00Z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2052-11.1.0.8214</vt:lpwstr>
  </property>
</Properties>
</file>