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0B0EC" w14:textId="77777777" w:rsidR="00CC3708" w:rsidRPr="00BE2B81" w:rsidRDefault="00CC3708" w:rsidP="00CC3708">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Name of Journal: </w:t>
      </w:r>
      <w:r w:rsidRPr="00BE2B81">
        <w:rPr>
          <w:rFonts w:ascii="Book Antiqua" w:eastAsia="Book Antiqua" w:hAnsi="Book Antiqua" w:cs="Book Antiqua"/>
          <w:i/>
          <w:color w:val="000000"/>
        </w:rPr>
        <w:t>World Journal of Gastroenterology</w:t>
      </w:r>
    </w:p>
    <w:p w14:paraId="278FFF0B" w14:textId="77777777" w:rsidR="00CC3708" w:rsidRPr="00BE2B81" w:rsidRDefault="00CC3708" w:rsidP="00CC3708">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Manuscript NO: </w:t>
      </w:r>
      <w:r w:rsidRPr="00BE2B81">
        <w:rPr>
          <w:rFonts w:ascii="Book Antiqua" w:eastAsia="Book Antiqua" w:hAnsi="Book Antiqua" w:cs="Book Antiqua"/>
          <w:color w:val="000000"/>
        </w:rPr>
        <w:t>59954</w:t>
      </w:r>
    </w:p>
    <w:p w14:paraId="5A38010B" w14:textId="77777777" w:rsidR="00CC3708" w:rsidRPr="00BE2B81" w:rsidRDefault="00CC3708" w:rsidP="00CC3708">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Manuscript Type: </w:t>
      </w:r>
      <w:r w:rsidRPr="00BE2B81">
        <w:rPr>
          <w:rFonts w:ascii="Book Antiqua" w:eastAsia="Book Antiqua" w:hAnsi="Book Antiqua" w:cs="Book Antiqua"/>
          <w:color w:val="000000"/>
        </w:rPr>
        <w:t>ORIGINAL ARTICLE</w:t>
      </w:r>
    </w:p>
    <w:p w14:paraId="318CD7BE" w14:textId="77777777" w:rsidR="00CC3708" w:rsidRPr="00BE2B81" w:rsidRDefault="00CC3708" w:rsidP="00CC3708">
      <w:pPr>
        <w:snapToGrid w:val="0"/>
        <w:spacing w:line="360" w:lineRule="auto"/>
        <w:jc w:val="both"/>
        <w:rPr>
          <w:rFonts w:ascii="Book Antiqua" w:hAnsi="Book Antiqua"/>
        </w:rPr>
      </w:pPr>
    </w:p>
    <w:p w14:paraId="033D5836" w14:textId="77777777" w:rsidR="00CC3708" w:rsidRPr="00BE2B81" w:rsidRDefault="00CC3708" w:rsidP="00CC3708">
      <w:pPr>
        <w:snapToGrid w:val="0"/>
        <w:spacing w:line="360" w:lineRule="auto"/>
        <w:jc w:val="both"/>
        <w:rPr>
          <w:rFonts w:ascii="Book Antiqua" w:hAnsi="Book Antiqua"/>
        </w:rPr>
      </w:pPr>
      <w:r w:rsidRPr="00BE2B81">
        <w:rPr>
          <w:rFonts w:ascii="Book Antiqua" w:eastAsia="Book Antiqua" w:hAnsi="Book Antiqua" w:cs="Book Antiqua"/>
          <w:b/>
          <w:i/>
          <w:color w:val="000000"/>
        </w:rPr>
        <w:t>Clinical Trials Study</w:t>
      </w:r>
    </w:p>
    <w:p w14:paraId="636DCE55" w14:textId="77777777" w:rsidR="00CC3708" w:rsidRPr="00BE2B81" w:rsidRDefault="00CC3708" w:rsidP="00CC3708">
      <w:pPr>
        <w:snapToGrid w:val="0"/>
        <w:spacing w:line="360" w:lineRule="auto"/>
        <w:jc w:val="both"/>
        <w:rPr>
          <w:rFonts w:ascii="Book Antiqua" w:hAnsi="Book Antiqua"/>
        </w:rPr>
      </w:pPr>
      <w:bookmarkStart w:id="0" w:name="OLE_LINK58"/>
      <w:bookmarkStart w:id="1" w:name="OLE_LINK59"/>
      <w:bookmarkStart w:id="2" w:name="OLE_LINK18"/>
      <w:r w:rsidRPr="00BE2B81">
        <w:rPr>
          <w:rFonts w:ascii="Book Antiqua" w:eastAsia="Book Antiqua" w:hAnsi="Book Antiqua" w:cs="Book Antiqua"/>
          <w:b/>
          <w:bCs/>
          <w:color w:val="000000"/>
        </w:rPr>
        <w:t xml:space="preserve">Prospective single-blinded single-center randomized controlled trial of </w:t>
      </w:r>
      <w:bookmarkStart w:id="3" w:name="OLE_LINK5"/>
      <w:bookmarkStart w:id="4" w:name="OLE_LINK6"/>
      <w:r w:rsidRPr="00BE2B81">
        <w:rPr>
          <w:rFonts w:ascii="Book Antiqua" w:eastAsia="Book Antiqua" w:hAnsi="Book Antiqua" w:cs="Book Antiqua"/>
          <w:b/>
          <w:bCs/>
          <w:color w:val="000000"/>
        </w:rPr>
        <w:t xml:space="preserve">Prep Kit-C and </w:t>
      </w:r>
      <w:proofErr w:type="spellStart"/>
      <w:r w:rsidRPr="00BE2B81">
        <w:rPr>
          <w:rFonts w:ascii="Book Antiqua" w:eastAsia="Book Antiqua" w:hAnsi="Book Antiqua" w:cs="Book Antiqua"/>
          <w:b/>
          <w:bCs/>
          <w:color w:val="000000"/>
        </w:rPr>
        <w:t>Moviprep</w:t>
      </w:r>
      <w:bookmarkEnd w:id="3"/>
      <w:bookmarkEnd w:id="4"/>
      <w:proofErr w:type="spellEnd"/>
      <w:r w:rsidRPr="00BE2B81">
        <w:rPr>
          <w:rFonts w:ascii="Book Antiqua" w:eastAsia="Book Antiqua" w:hAnsi="Book Antiqua" w:cs="Book Antiqua"/>
          <w:b/>
          <w:bCs/>
          <w:color w:val="000000"/>
        </w:rPr>
        <w:t>: Does underlying inflammatory bowel disease impact tolerability and efficacy?</w:t>
      </w:r>
    </w:p>
    <w:bookmarkEnd w:id="0"/>
    <w:bookmarkEnd w:id="1"/>
    <w:bookmarkEnd w:id="2"/>
    <w:p w14:paraId="4C2D282F" w14:textId="77777777" w:rsidR="00A77B3E" w:rsidRPr="00BE2B81" w:rsidRDefault="00A77B3E" w:rsidP="00BE2B81">
      <w:pPr>
        <w:snapToGrid w:val="0"/>
        <w:spacing w:line="360" w:lineRule="auto"/>
        <w:jc w:val="both"/>
        <w:rPr>
          <w:rFonts w:ascii="Book Antiqua" w:hAnsi="Book Antiqua"/>
        </w:rPr>
      </w:pPr>
    </w:p>
    <w:p w14:paraId="7B6B6E8F" w14:textId="261AEFD6" w:rsidR="00A77B3E" w:rsidRPr="00BE2B81" w:rsidRDefault="006A2495"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Mohsen W </w:t>
      </w:r>
      <w:r w:rsidRPr="00BE2B81">
        <w:rPr>
          <w:rFonts w:ascii="Book Antiqua" w:eastAsia="Book Antiqua" w:hAnsi="Book Antiqua" w:cs="Book Antiqua"/>
          <w:i/>
          <w:iCs/>
          <w:color w:val="000000"/>
        </w:rPr>
        <w:t>et al</w:t>
      </w:r>
      <w:r w:rsidRPr="00BE2B81">
        <w:rPr>
          <w:rFonts w:ascii="Book Antiqua" w:eastAsia="Book Antiqua" w:hAnsi="Book Antiqua" w:cs="Book Antiqua"/>
          <w:color w:val="000000"/>
        </w:rPr>
        <w:t xml:space="preserve">. </w:t>
      </w:r>
      <w:bookmarkStart w:id="5" w:name="OLE_LINK19"/>
      <w:bookmarkStart w:id="6" w:name="OLE_LINK20"/>
      <w:proofErr w:type="spellStart"/>
      <w:r w:rsidR="005B2BA9" w:rsidRPr="00BE2B81">
        <w:rPr>
          <w:rFonts w:ascii="Book Antiqua" w:eastAsia="Book Antiqua" w:hAnsi="Book Antiqua" w:cs="Book Antiqua"/>
          <w:color w:val="000000"/>
        </w:rPr>
        <w:t>Tolelarability</w:t>
      </w:r>
      <w:proofErr w:type="spellEnd"/>
      <w:r w:rsidR="005B2BA9" w:rsidRPr="00BE2B81">
        <w:rPr>
          <w:rFonts w:ascii="Book Antiqua" w:eastAsia="Book Antiqua" w:hAnsi="Book Antiqua" w:cs="Book Antiqua"/>
          <w:color w:val="000000"/>
        </w:rPr>
        <w:t xml:space="preserve"> and efficacy of </w:t>
      </w:r>
      <w:r w:rsidR="00A13025">
        <w:rPr>
          <w:rFonts w:ascii="Book Antiqua" w:eastAsia="Book Antiqua" w:hAnsi="Book Antiqua" w:cs="Book Antiqua"/>
          <w:color w:val="000000"/>
        </w:rPr>
        <w:t>Pc</w:t>
      </w:r>
      <w:r w:rsidR="005B2BA9" w:rsidRPr="00BE2B81">
        <w:rPr>
          <w:rFonts w:ascii="Book Antiqua" w:eastAsia="Book Antiqua" w:hAnsi="Book Antiqua" w:cs="Book Antiqua"/>
          <w:color w:val="000000"/>
        </w:rPr>
        <w:t> compared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in patients with and without IBD</w:t>
      </w:r>
    </w:p>
    <w:bookmarkEnd w:id="5"/>
    <w:bookmarkEnd w:id="6"/>
    <w:p w14:paraId="4FB29737" w14:textId="77777777" w:rsidR="001D7E16" w:rsidRPr="00BE2B81" w:rsidRDefault="001D7E16" w:rsidP="00BE2B81">
      <w:pPr>
        <w:snapToGrid w:val="0"/>
        <w:spacing w:line="360" w:lineRule="auto"/>
        <w:jc w:val="both"/>
        <w:rPr>
          <w:rFonts w:ascii="Book Antiqua" w:eastAsia="Book Antiqua" w:hAnsi="Book Antiqua" w:cs="Book Antiqua"/>
          <w:color w:val="000000"/>
        </w:rPr>
      </w:pPr>
    </w:p>
    <w:p w14:paraId="5B38EC32" w14:textId="409C854C"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Waled Mohsen, Astrid-Jane Williams, Gabrielle </w:t>
      </w:r>
      <w:proofErr w:type="spellStart"/>
      <w:r w:rsidRPr="00BE2B81">
        <w:rPr>
          <w:rFonts w:ascii="Book Antiqua" w:eastAsia="Book Antiqua" w:hAnsi="Book Antiqua" w:cs="Book Antiqua"/>
          <w:color w:val="000000"/>
        </w:rPr>
        <w:t>Wark</w:t>
      </w:r>
      <w:proofErr w:type="spellEnd"/>
      <w:r w:rsidRPr="00BE2B81">
        <w:rPr>
          <w:rFonts w:ascii="Book Antiqua" w:eastAsia="Book Antiqua" w:hAnsi="Book Antiqua" w:cs="Book Antiqua"/>
          <w:color w:val="000000"/>
        </w:rPr>
        <w:t xml:space="preserve">, Alexandra </w:t>
      </w:r>
      <w:proofErr w:type="spellStart"/>
      <w:r w:rsidRPr="00BE2B81">
        <w:rPr>
          <w:rFonts w:ascii="Book Antiqua" w:eastAsia="Book Antiqua" w:hAnsi="Book Antiqua" w:cs="Book Antiqua"/>
          <w:color w:val="000000"/>
        </w:rPr>
        <w:t>Sechi</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Jenn-Hian</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koo</w:t>
      </w:r>
      <w:proofErr w:type="spellEnd"/>
      <w:r w:rsidRPr="00BE2B81">
        <w:rPr>
          <w:rFonts w:ascii="Book Antiqua" w:eastAsia="Book Antiqua" w:hAnsi="Book Antiqua" w:cs="Book Antiqua"/>
          <w:color w:val="000000"/>
        </w:rPr>
        <w:t xml:space="preserve">, Wei </w:t>
      </w:r>
      <w:proofErr w:type="spellStart"/>
      <w:r w:rsidRPr="00BE2B81">
        <w:rPr>
          <w:rFonts w:ascii="Book Antiqua" w:eastAsia="Book Antiqua" w:hAnsi="Book Antiqua" w:cs="Book Antiqua"/>
          <w:color w:val="000000"/>
        </w:rPr>
        <w:t>Xuan</w:t>
      </w:r>
      <w:proofErr w:type="spellEnd"/>
      <w:r w:rsidRPr="00BE2B81">
        <w:rPr>
          <w:rFonts w:ascii="Book Antiqua" w:eastAsia="Book Antiqua" w:hAnsi="Book Antiqua" w:cs="Book Antiqua"/>
          <w:color w:val="000000"/>
        </w:rPr>
        <w:t xml:space="preserve">, Milan </w:t>
      </w:r>
      <w:proofErr w:type="spellStart"/>
      <w:r w:rsidRPr="00BE2B81">
        <w:rPr>
          <w:rFonts w:ascii="Book Antiqua" w:eastAsia="Book Antiqua" w:hAnsi="Book Antiqua" w:cs="Book Antiqua"/>
          <w:color w:val="000000"/>
        </w:rPr>
        <w:t>Bassan</w:t>
      </w:r>
      <w:proofErr w:type="spellEnd"/>
      <w:r w:rsidRPr="00BE2B81">
        <w:rPr>
          <w:rFonts w:ascii="Book Antiqua" w:eastAsia="Book Antiqua" w:hAnsi="Book Antiqua" w:cs="Book Antiqua"/>
          <w:color w:val="000000"/>
        </w:rPr>
        <w:t>, Watson Ng, Susan Connor</w:t>
      </w:r>
    </w:p>
    <w:p w14:paraId="2DA16195" w14:textId="77777777" w:rsidR="00A77B3E" w:rsidRPr="00BE2B81" w:rsidRDefault="00A77B3E" w:rsidP="00BE2B81">
      <w:pPr>
        <w:snapToGrid w:val="0"/>
        <w:spacing w:line="360" w:lineRule="auto"/>
        <w:jc w:val="both"/>
        <w:rPr>
          <w:rFonts w:ascii="Book Antiqua" w:hAnsi="Book Antiqua"/>
          <w:lang w:eastAsia="zh-CN"/>
        </w:rPr>
      </w:pPr>
    </w:p>
    <w:p w14:paraId="23294E7F" w14:textId="6E9C923D" w:rsidR="00A77B3E" w:rsidRPr="00BE2B81" w:rsidRDefault="005B2BA9" w:rsidP="00BE2B81">
      <w:pPr>
        <w:snapToGrid w:val="0"/>
        <w:spacing w:line="360" w:lineRule="auto"/>
        <w:jc w:val="both"/>
        <w:rPr>
          <w:rFonts w:ascii="Book Antiqua" w:hAnsi="Book Antiqua"/>
        </w:rPr>
      </w:pPr>
      <w:proofErr w:type="spellStart"/>
      <w:r w:rsidRPr="00BE2B81">
        <w:rPr>
          <w:rFonts w:ascii="Book Antiqua" w:eastAsia="Book Antiqua" w:hAnsi="Book Antiqua" w:cs="Book Antiqua"/>
          <w:b/>
          <w:bCs/>
          <w:color w:val="000000"/>
        </w:rPr>
        <w:t>Waled</w:t>
      </w:r>
      <w:proofErr w:type="spellEnd"/>
      <w:r w:rsidRPr="00BE2B81">
        <w:rPr>
          <w:rFonts w:ascii="Book Antiqua" w:eastAsia="Book Antiqua" w:hAnsi="Book Antiqua" w:cs="Book Antiqua"/>
          <w:b/>
          <w:bCs/>
          <w:color w:val="000000"/>
        </w:rPr>
        <w:t xml:space="preserve"> Mohsen, </w:t>
      </w:r>
      <w:bookmarkStart w:id="7" w:name="OLE_LINK9"/>
      <w:bookmarkStart w:id="8" w:name="OLE_LINK10"/>
      <w:r w:rsidR="00E20B43" w:rsidRPr="00BE2B81">
        <w:rPr>
          <w:rFonts w:ascii="Book Antiqua" w:eastAsia="Book Antiqua" w:hAnsi="Book Antiqua" w:cs="Book Antiqua"/>
          <w:bCs/>
          <w:color w:val="000000"/>
        </w:rPr>
        <w:t>Department of</w:t>
      </w:r>
      <w:r w:rsidR="00E20B43"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Digestive Diseases</w:t>
      </w:r>
      <w:bookmarkEnd w:id="7"/>
      <w:bookmarkEnd w:id="8"/>
      <w:r w:rsidRPr="00BE2B81">
        <w:rPr>
          <w:rFonts w:ascii="Book Antiqua" w:eastAsia="Book Antiqua" w:hAnsi="Book Antiqua" w:cs="Book Antiqua"/>
          <w:color w:val="000000"/>
        </w:rPr>
        <w:t>, Gold Coast University Hospital, Gold Coast</w:t>
      </w:r>
      <w:r w:rsidR="004C5AA3">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r w:rsidR="00672143">
        <w:rPr>
          <w:rFonts w:ascii="Book Antiqua" w:eastAsia="Book Antiqua" w:hAnsi="Book Antiqua" w:cs="Book Antiqua"/>
          <w:color w:val="000000"/>
        </w:rPr>
        <w:t>4215,</w:t>
      </w:r>
      <w:r w:rsidR="00137971">
        <w:rPr>
          <w:rFonts w:ascii="Book Antiqua" w:eastAsia="Book Antiqua" w:hAnsi="Book Antiqua" w:cs="Book Antiqua"/>
          <w:color w:val="000000"/>
        </w:rPr>
        <w:t xml:space="preserve"> </w:t>
      </w:r>
      <w:r w:rsidR="00672143">
        <w:rPr>
          <w:rFonts w:ascii="Book Antiqua" w:eastAsia="Book Antiqua" w:hAnsi="Book Antiqua" w:cs="Book Antiqua"/>
          <w:color w:val="000000"/>
        </w:rPr>
        <w:t xml:space="preserve">Queensland, </w:t>
      </w:r>
      <w:r w:rsidRPr="00BE2B81">
        <w:rPr>
          <w:rFonts w:ascii="Book Antiqua" w:eastAsia="Book Antiqua" w:hAnsi="Book Antiqua" w:cs="Book Antiqua"/>
          <w:color w:val="000000"/>
        </w:rPr>
        <w:t>Australia</w:t>
      </w:r>
    </w:p>
    <w:p w14:paraId="02B52EEA" w14:textId="77777777" w:rsidR="00A77B3E" w:rsidRPr="00BE2B81" w:rsidRDefault="00A77B3E" w:rsidP="00BE2B81">
      <w:pPr>
        <w:snapToGrid w:val="0"/>
        <w:spacing w:line="360" w:lineRule="auto"/>
        <w:jc w:val="both"/>
        <w:rPr>
          <w:rFonts w:ascii="Book Antiqua" w:hAnsi="Book Antiqua"/>
        </w:rPr>
      </w:pPr>
    </w:p>
    <w:p w14:paraId="7BD57323" w14:textId="07A3157D" w:rsidR="00A77B3E" w:rsidRPr="00BE2B81" w:rsidRDefault="004C5AA3" w:rsidP="00BE2B81">
      <w:pPr>
        <w:snapToGrid w:val="0"/>
        <w:spacing w:line="360" w:lineRule="auto"/>
        <w:jc w:val="both"/>
        <w:rPr>
          <w:rFonts w:ascii="Book Antiqua" w:hAnsi="Book Antiqua"/>
        </w:rPr>
      </w:pPr>
      <w:r>
        <w:rPr>
          <w:rFonts w:ascii="Book Antiqua" w:eastAsia="Book Antiqua" w:hAnsi="Book Antiqua" w:cs="Book Antiqua"/>
          <w:b/>
          <w:bCs/>
          <w:color w:val="000000"/>
        </w:rPr>
        <w:t xml:space="preserve">Waled Mohsen, </w:t>
      </w:r>
      <w:r w:rsidR="005B2BA9" w:rsidRPr="00BE2B81">
        <w:rPr>
          <w:rFonts w:ascii="Book Antiqua" w:eastAsia="Book Antiqua" w:hAnsi="Book Antiqua" w:cs="Book Antiqua"/>
          <w:b/>
          <w:bCs/>
          <w:color w:val="000000"/>
        </w:rPr>
        <w:t xml:space="preserve">Astrid-Jane Williams, Gabrielle </w:t>
      </w:r>
      <w:proofErr w:type="spellStart"/>
      <w:r w:rsidR="005B2BA9" w:rsidRPr="00BE2B81">
        <w:rPr>
          <w:rFonts w:ascii="Book Antiqua" w:eastAsia="Book Antiqua" w:hAnsi="Book Antiqua" w:cs="Book Antiqua"/>
          <w:b/>
          <w:bCs/>
          <w:color w:val="000000"/>
        </w:rPr>
        <w:t>Wark</w:t>
      </w:r>
      <w:proofErr w:type="spellEnd"/>
      <w:r w:rsidR="005B2BA9" w:rsidRPr="00BE2B81">
        <w:rPr>
          <w:rFonts w:ascii="Book Antiqua" w:eastAsia="Book Antiqua" w:hAnsi="Book Antiqua" w:cs="Book Antiqua"/>
          <w:b/>
          <w:bCs/>
          <w:color w:val="000000"/>
        </w:rPr>
        <w:t xml:space="preserve">, Alexandra </w:t>
      </w:r>
      <w:proofErr w:type="spellStart"/>
      <w:r w:rsidR="005B2BA9" w:rsidRPr="00BE2B81">
        <w:rPr>
          <w:rFonts w:ascii="Book Antiqua" w:eastAsia="Book Antiqua" w:hAnsi="Book Antiqua" w:cs="Book Antiqua"/>
          <w:b/>
          <w:bCs/>
          <w:color w:val="000000"/>
        </w:rPr>
        <w:t>Sechi</w:t>
      </w:r>
      <w:proofErr w:type="spellEnd"/>
      <w:r w:rsidR="005B2BA9" w:rsidRPr="00BE2B81">
        <w:rPr>
          <w:rFonts w:ascii="Book Antiqua" w:eastAsia="Book Antiqua" w:hAnsi="Book Antiqua" w:cs="Book Antiqua"/>
          <w:b/>
          <w:bCs/>
          <w:color w:val="000000"/>
        </w:rPr>
        <w:t xml:space="preserve">, </w:t>
      </w:r>
      <w:proofErr w:type="spellStart"/>
      <w:r w:rsidR="005B2BA9" w:rsidRPr="00BE2B81">
        <w:rPr>
          <w:rFonts w:ascii="Book Antiqua" w:eastAsia="Book Antiqua" w:hAnsi="Book Antiqua" w:cs="Book Antiqua"/>
          <w:b/>
          <w:bCs/>
          <w:color w:val="000000"/>
        </w:rPr>
        <w:t>Jenn-Hian</w:t>
      </w:r>
      <w:proofErr w:type="spellEnd"/>
      <w:r w:rsidR="005B2BA9" w:rsidRPr="00BE2B81">
        <w:rPr>
          <w:rFonts w:ascii="Book Antiqua" w:eastAsia="Book Antiqua" w:hAnsi="Book Antiqua" w:cs="Book Antiqua"/>
          <w:b/>
          <w:bCs/>
          <w:color w:val="000000"/>
        </w:rPr>
        <w:t xml:space="preserve"> </w:t>
      </w:r>
      <w:r w:rsidR="00E20B43" w:rsidRPr="00BE2B81">
        <w:rPr>
          <w:rFonts w:ascii="Book Antiqua" w:eastAsia="Book Antiqua" w:hAnsi="Book Antiqua" w:cs="Book Antiqua"/>
          <w:b/>
          <w:bCs/>
          <w:color w:val="000000"/>
        </w:rPr>
        <w:t>Koo</w:t>
      </w:r>
      <w:r w:rsidR="005B2BA9" w:rsidRPr="00BE2B81">
        <w:rPr>
          <w:rFonts w:ascii="Book Antiqua" w:eastAsia="Book Antiqua" w:hAnsi="Book Antiqua" w:cs="Book Antiqua"/>
          <w:b/>
          <w:bCs/>
          <w:color w:val="000000"/>
        </w:rPr>
        <w:t xml:space="preserve">, </w:t>
      </w:r>
      <w:bookmarkStart w:id="9" w:name="OLE_LINK11"/>
      <w:bookmarkStart w:id="10" w:name="OLE_LINK12"/>
      <w:bookmarkStart w:id="11" w:name="OLE_LINK13"/>
      <w:r w:rsidR="00633486" w:rsidRPr="00BE2B81">
        <w:rPr>
          <w:rFonts w:ascii="Book Antiqua" w:eastAsia="Book Antiqua" w:hAnsi="Book Antiqua" w:cs="Book Antiqua"/>
          <w:b/>
          <w:bCs/>
          <w:color w:val="000000"/>
        </w:rPr>
        <w:t xml:space="preserve">Milan </w:t>
      </w:r>
      <w:proofErr w:type="spellStart"/>
      <w:r w:rsidR="00633486" w:rsidRPr="00BE2B81">
        <w:rPr>
          <w:rFonts w:ascii="Book Antiqua" w:eastAsia="Book Antiqua" w:hAnsi="Book Antiqua" w:cs="Book Antiqua"/>
          <w:b/>
          <w:bCs/>
          <w:color w:val="000000"/>
        </w:rPr>
        <w:t>Bassan</w:t>
      </w:r>
      <w:proofErr w:type="spellEnd"/>
      <w:r w:rsidR="00633486" w:rsidRPr="00BE2B81">
        <w:rPr>
          <w:rFonts w:ascii="Book Antiqua" w:eastAsia="Book Antiqua" w:hAnsi="Book Antiqua" w:cs="Book Antiqua"/>
          <w:b/>
          <w:bCs/>
          <w:color w:val="000000"/>
        </w:rPr>
        <w:t xml:space="preserve">, Watson Ng, </w:t>
      </w:r>
      <w:bookmarkStart w:id="12" w:name="OLE_LINK3"/>
      <w:bookmarkStart w:id="13" w:name="OLE_LINK4"/>
      <w:r w:rsidR="00672143">
        <w:rPr>
          <w:rFonts w:ascii="Book Antiqua" w:eastAsia="Book Antiqua" w:hAnsi="Book Antiqua" w:cs="Book Antiqua"/>
          <w:b/>
          <w:bCs/>
          <w:color w:val="000000"/>
        </w:rPr>
        <w:t>Susan Connor,</w:t>
      </w:r>
      <w:r>
        <w:rPr>
          <w:rFonts w:ascii="Book Antiqua" w:eastAsia="Book Antiqua" w:hAnsi="Book Antiqua" w:cs="Book Antiqua"/>
          <w:b/>
          <w:bCs/>
          <w:color w:val="000000"/>
        </w:rPr>
        <w:t xml:space="preserve"> </w:t>
      </w:r>
      <w:r w:rsidR="00E20B43" w:rsidRPr="00BE2B81">
        <w:rPr>
          <w:rFonts w:ascii="Book Antiqua" w:eastAsia="Book Antiqua" w:hAnsi="Book Antiqua" w:cs="Book Antiqua"/>
          <w:bCs/>
          <w:color w:val="000000"/>
        </w:rPr>
        <w:t xml:space="preserve">Department of </w:t>
      </w:r>
      <w:r w:rsidR="005B2BA9" w:rsidRPr="00BE2B81">
        <w:rPr>
          <w:rFonts w:ascii="Book Antiqua" w:eastAsia="Book Antiqua" w:hAnsi="Book Antiqua" w:cs="Book Antiqua"/>
          <w:color w:val="000000"/>
        </w:rPr>
        <w:t>Gastroenterology and Hepatology</w:t>
      </w:r>
      <w:bookmarkEnd w:id="9"/>
      <w:bookmarkEnd w:id="10"/>
      <w:bookmarkEnd w:id="11"/>
      <w:bookmarkEnd w:id="12"/>
      <w:bookmarkEnd w:id="13"/>
      <w:r w:rsidR="005B2BA9" w:rsidRPr="00BE2B81">
        <w:rPr>
          <w:rFonts w:ascii="Book Antiqua" w:eastAsia="Book Antiqua" w:hAnsi="Book Antiqua" w:cs="Book Antiqua"/>
          <w:color w:val="000000"/>
        </w:rPr>
        <w:t>, Liverpool Hospital, Sydney 2170</w:t>
      </w:r>
      <w:proofErr w:type="gramStart"/>
      <w:r w:rsidR="005B2BA9" w:rsidRPr="00BE2B81">
        <w:rPr>
          <w:rFonts w:ascii="Book Antiqua" w:eastAsia="Book Antiqua" w:hAnsi="Book Antiqua" w:cs="Book Antiqua"/>
          <w:color w:val="000000"/>
        </w:rPr>
        <w:t xml:space="preserve">, </w:t>
      </w:r>
      <w:r w:rsidR="00672143">
        <w:rPr>
          <w:rFonts w:ascii="Book Antiqua" w:eastAsia="Book Antiqua" w:hAnsi="Book Antiqua" w:cs="Book Antiqua"/>
          <w:color w:val="000000"/>
        </w:rPr>
        <w:t xml:space="preserve"> New</w:t>
      </w:r>
      <w:proofErr w:type="gramEnd"/>
      <w:r w:rsidR="00672143">
        <w:rPr>
          <w:rFonts w:ascii="Book Antiqua" w:eastAsia="Book Antiqua" w:hAnsi="Book Antiqua" w:cs="Book Antiqua"/>
          <w:color w:val="000000"/>
        </w:rPr>
        <w:t xml:space="preserve"> South Wales</w:t>
      </w:r>
      <w:r w:rsidR="005B2BA9" w:rsidRPr="00BE2B81">
        <w:rPr>
          <w:rFonts w:ascii="Book Antiqua" w:eastAsia="Book Antiqua" w:hAnsi="Book Antiqua" w:cs="Book Antiqua"/>
          <w:color w:val="000000"/>
        </w:rPr>
        <w:t>, Australia</w:t>
      </w:r>
    </w:p>
    <w:p w14:paraId="46AF0565" w14:textId="77777777" w:rsidR="00A77B3E" w:rsidRPr="00BE2B81" w:rsidRDefault="00A77B3E" w:rsidP="00BE2B81">
      <w:pPr>
        <w:snapToGrid w:val="0"/>
        <w:spacing w:line="360" w:lineRule="auto"/>
        <w:jc w:val="both"/>
        <w:rPr>
          <w:rFonts w:ascii="Book Antiqua" w:hAnsi="Book Antiqua"/>
        </w:rPr>
      </w:pPr>
    </w:p>
    <w:p w14:paraId="436ED207" w14:textId="76AD373F"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Astrid-Jane Williams, </w:t>
      </w:r>
      <w:bookmarkStart w:id="14" w:name="OLE_LINK16"/>
      <w:bookmarkStart w:id="15" w:name="OLE_LINK17"/>
      <w:r w:rsidR="00633486" w:rsidRPr="00BE2B81">
        <w:rPr>
          <w:rFonts w:ascii="Book Antiqua" w:eastAsia="Book Antiqua" w:hAnsi="Book Antiqua" w:cs="Book Antiqua"/>
          <w:b/>
          <w:bCs/>
          <w:color w:val="000000"/>
        </w:rPr>
        <w:t xml:space="preserve">Wei Xuan, Watson Ng, Susan Connor, </w:t>
      </w:r>
      <w:r w:rsidRPr="00BE2B81">
        <w:rPr>
          <w:rFonts w:ascii="Book Antiqua" w:eastAsia="Book Antiqua" w:hAnsi="Book Antiqua" w:cs="Book Antiqua"/>
          <w:color w:val="000000"/>
        </w:rPr>
        <w:t>South West Sydney</w:t>
      </w:r>
      <w:bookmarkEnd w:id="14"/>
      <w:bookmarkEnd w:id="15"/>
      <w:r w:rsidRPr="00BE2B81">
        <w:rPr>
          <w:rFonts w:ascii="Book Antiqua" w:eastAsia="Book Antiqua" w:hAnsi="Book Antiqua" w:cs="Book Antiqua"/>
          <w:color w:val="000000"/>
        </w:rPr>
        <w:t xml:space="preserve"> Clinical School, </w:t>
      </w:r>
      <w:bookmarkStart w:id="16" w:name="OLE_LINK14"/>
      <w:bookmarkStart w:id="17" w:name="OLE_LINK15"/>
      <w:r w:rsidRPr="00BE2B81">
        <w:rPr>
          <w:rFonts w:ascii="Book Antiqua" w:eastAsia="Book Antiqua" w:hAnsi="Book Antiqua" w:cs="Book Antiqua"/>
          <w:color w:val="000000"/>
        </w:rPr>
        <w:t xml:space="preserve">University of </w:t>
      </w:r>
      <w:r w:rsidR="00E20B43" w:rsidRPr="00BE2B81">
        <w:rPr>
          <w:rFonts w:ascii="Book Antiqua" w:eastAsia="Book Antiqua" w:hAnsi="Book Antiqua" w:cs="Book Antiqua"/>
          <w:color w:val="000000"/>
        </w:rPr>
        <w:t>New South Wales</w:t>
      </w:r>
      <w:bookmarkEnd w:id="16"/>
      <w:bookmarkEnd w:id="17"/>
      <w:r w:rsidRPr="00BE2B81">
        <w:rPr>
          <w:rFonts w:ascii="Book Antiqua" w:eastAsia="Book Antiqua" w:hAnsi="Book Antiqua" w:cs="Book Antiqua"/>
          <w:color w:val="000000"/>
        </w:rPr>
        <w:t xml:space="preserve">, Sydney 2170, </w:t>
      </w:r>
      <w:bookmarkStart w:id="18" w:name="OLE_LINK31"/>
      <w:bookmarkStart w:id="19" w:name="OLE_LINK32"/>
      <w:r w:rsidR="00633486" w:rsidRPr="00BE2B81">
        <w:rPr>
          <w:rFonts w:ascii="Book Antiqua" w:eastAsia="Book Antiqua" w:hAnsi="Book Antiqua" w:cs="Book Antiqua"/>
          <w:color w:val="000000"/>
        </w:rPr>
        <w:t>New South Wales</w:t>
      </w:r>
      <w:bookmarkEnd w:id="18"/>
      <w:bookmarkEnd w:id="19"/>
      <w:r w:rsidRPr="00BE2B81">
        <w:rPr>
          <w:rFonts w:ascii="Book Antiqua" w:eastAsia="Book Antiqua" w:hAnsi="Book Antiqua" w:cs="Book Antiqua"/>
          <w:color w:val="000000"/>
        </w:rPr>
        <w:t>, Australia</w:t>
      </w:r>
    </w:p>
    <w:p w14:paraId="44E44B6C" w14:textId="77777777" w:rsidR="00A77B3E" w:rsidRPr="00BE2B81" w:rsidRDefault="00A77B3E" w:rsidP="00BE2B81">
      <w:pPr>
        <w:snapToGrid w:val="0"/>
        <w:spacing w:line="360" w:lineRule="auto"/>
        <w:jc w:val="both"/>
        <w:rPr>
          <w:rFonts w:ascii="Book Antiqua" w:hAnsi="Book Antiqua"/>
        </w:rPr>
      </w:pPr>
    </w:p>
    <w:p w14:paraId="052E4CDF" w14:textId="345A6BC5"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Wei Xuan, </w:t>
      </w:r>
      <w:r w:rsidR="00633486" w:rsidRPr="00BE2B81">
        <w:rPr>
          <w:rFonts w:ascii="Book Antiqua" w:eastAsia="Book Antiqua" w:hAnsi="Book Antiqua" w:cs="Book Antiqua"/>
          <w:b/>
          <w:bCs/>
          <w:color w:val="000000"/>
        </w:rPr>
        <w:t xml:space="preserve">Susan Connor, </w:t>
      </w:r>
      <w:bookmarkStart w:id="20" w:name="OLE_LINK33"/>
      <w:bookmarkStart w:id="21" w:name="OLE_LINK34"/>
      <w:r w:rsidR="00633486" w:rsidRPr="00BE2B81">
        <w:rPr>
          <w:rFonts w:ascii="Book Antiqua" w:eastAsia="Book Antiqua" w:hAnsi="Book Antiqua" w:cs="Book Antiqua"/>
          <w:color w:val="000000"/>
        </w:rPr>
        <w:t>Ingham Institute Applied Medical Research</w:t>
      </w:r>
      <w:bookmarkEnd w:id="20"/>
      <w:bookmarkEnd w:id="21"/>
      <w:r w:rsidR="00633486" w:rsidRPr="00BE2B81">
        <w:rPr>
          <w:rFonts w:ascii="Book Antiqua" w:eastAsia="Book Antiqua" w:hAnsi="Book Antiqua" w:cs="Book Antiqua"/>
          <w:color w:val="000000"/>
        </w:rPr>
        <w:t>, Sydney 2170, New South Wales, Australia</w:t>
      </w:r>
    </w:p>
    <w:p w14:paraId="0F9D5C9C" w14:textId="77777777" w:rsidR="00A77B3E" w:rsidRPr="00BE2B81" w:rsidRDefault="00A77B3E" w:rsidP="00BE2B81">
      <w:pPr>
        <w:snapToGrid w:val="0"/>
        <w:spacing w:line="360" w:lineRule="auto"/>
        <w:jc w:val="both"/>
        <w:rPr>
          <w:rFonts w:ascii="Book Antiqua" w:hAnsi="Book Antiqua"/>
        </w:rPr>
      </w:pPr>
    </w:p>
    <w:p w14:paraId="13B1B0E7" w14:textId="7EB40CF4" w:rsidR="00A77B3E" w:rsidRPr="00E07F55" w:rsidRDefault="005B2BA9"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t xml:space="preserve">Author contributions: </w:t>
      </w:r>
      <w:bookmarkStart w:id="22" w:name="OLE_LINK21"/>
      <w:bookmarkStart w:id="23" w:name="OLE_LINK23"/>
      <w:r w:rsidR="001D7E16" w:rsidRPr="00BE2B81">
        <w:rPr>
          <w:rFonts w:ascii="Book Antiqua" w:eastAsia="Book Antiqua" w:hAnsi="Book Antiqua" w:cs="Book Antiqua"/>
          <w:color w:val="000000"/>
        </w:rPr>
        <w:t>Mohsen W</w:t>
      </w:r>
      <w:r w:rsidR="00684A55" w:rsidRPr="00BE2B81">
        <w:rPr>
          <w:rFonts w:ascii="Book Antiqua" w:eastAsia="Book Antiqua" w:hAnsi="Book Antiqua" w:cs="Book Antiqua"/>
          <w:color w:val="000000"/>
        </w:rPr>
        <w:t xml:space="preserve"> and Williams AJ</w:t>
      </w:r>
      <w:r w:rsidR="001D7E16" w:rsidRPr="00BE2B81">
        <w:rPr>
          <w:rFonts w:ascii="Book Antiqua" w:eastAsia="Book Antiqua" w:hAnsi="Book Antiqua" w:cs="Book Antiqua"/>
          <w:color w:val="000000"/>
        </w:rPr>
        <w:t xml:space="preserve"> </w:t>
      </w:r>
      <w:r w:rsidR="00684A55" w:rsidRPr="00BE2B81">
        <w:rPr>
          <w:rFonts w:ascii="Book Antiqua" w:eastAsia="Book Antiqua" w:hAnsi="Book Antiqua" w:cs="Book Antiqua"/>
          <w:color w:val="000000"/>
        </w:rPr>
        <w:t xml:space="preserve">collected </w:t>
      </w:r>
      <w:r w:rsidRPr="00BE2B81">
        <w:rPr>
          <w:rFonts w:ascii="Book Antiqua" w:eastAsia="Book Antiqua" w:hAnsi="Book Antiqua" w:cs="Book Antiqua"/>
          <w:color w:val="000000"/>
        </w:rPr>
        <w:t>data, compiled data, blinded endoscopist (fellow), recruited patients from clinic, organized spreadsheet, developed tables, liaised wrote the manuscript</w:t>
      </w:r>
      <w:r w:rsidR="001D7E16" w:rsidRPr="00BE2B81">
        <w:rPr>
          <w:rFonts w:ascii="Book Antiqua" w:eastAsia="Book Antiqua" w:hAnsi="Book Antiqua" w:cs="Book Antiqua"/>
          <w:color w:val="000000"/>
        </w:rPr>
        <w:t>;</w:t>
      </w:r>
      <w:r w:rsidR="001D7E16" w:rsidRPr="00BE2B81">
        <w:rPr>
          <w:rFonts w:ascii="Book Antiqua" w:hAnsi="Book Antiqua"/>
          <w:lang w:eastAsia="zh-CN"/>
        </w:rPr>
        <w:t xml:space="preserve"> </w:t>
      </w:r>
      <w:proofErr w:type="spellStart"/>
      <w:r w:rsidR="001D7E16" w:rsidRPr="00BE2B81">
        <w:rPr>
          <w:rFonts w:ascii="Book Antiqua" w:eastAsia="Book Antiqua" w:hAnsi="Book Antiqua" w:cs="Book Antiqua"/>
          <w:color w:val="000000"/>
        </w:rPr>
        <w:t>Wark</w:t>
      </w:r>
      <w:proofErr w:type="spellEnd"/>
      <w:r w:rsidR="001D7E16" w:rsidRPr="00BE2B81">
        <w:rPr>
          <w:rFonts w:ascii="Book Antiqua" w:eastAsia="Book Antiqua" w:hAnsi="Book Antiqua" w:cs="Book Antiqua"/>
          <w:color w:val="000000"/>
        </w:rPr>
        <w:t xml:space="preserve"> G</w:t>
      </w:r>
      <w:r w:rsidR="001D7E16" w:rsidRPr="00BE2B81">
        <w:rPr>
          <w:rFonts w:ascii="Book Antiqua" w:eastAsia="Book Antiqua" w:hAnsi="Book Antiqua" w:cs="Book Antiqua"/>
          <w:b/>
          <w:bCs/>
          <w:color w:val="000000"/>
        </w:rPr>
        <w:t xml:space="preserve"> </w:t>
      </w:r>
      <w:r w:rsidR="00684A55" w:rsidRPr="00BE2B81">
        <w:rPr>
          <w:rFonts w:ascii="Book Antiqua" w:eastAsia="Book Antiqua" w:hAnsi="Book Antiqua" w:cs="Book Antiqua"/>
          <w:color w:val="000000"/>
        </w:rPr>
        <w:t xml:space="preserve">collected </w:t>
      </w:r>
      <w:r w:rsidRPr="00BE2B81">
        <w:rPr>
          <w:rFonts w:ascii="Book Antiqua" w:eastAsia="Book Antiqua" w:hAnsi="Book Antiqua" w:cs="Book Antiqua"/>
          <w:color w:val="000000"/>
        </w:rPr>
        <w:t>data and developed the figures</w:t>
      </w:r>
      <w:r w:rsidR="001D7E16" w:rsidRPr="00BE2B81">
        <w:rPr>
          <w:rFonts w:ascii="Book Antiqua" w:hAnsi="Book Antiqua"/>
          <w:lang w:eastAsia="zh-CN"/>
        </w:rPr>
        <w:t xml:space="preserve">; </w:t>
      </w:r>
      <w:proofErr w:type="spellStart"/>
      <w:r w:rsidRPr="00BE2B81">
        <w:rPr>
          <w:rFonts w:ascii="Book Antiqua" w:eastAsia="Book Antiqua" w:hAnsi="Book Antiqua" w:cs="Book Antiqua"/>
          <w:color w:val="000000"/>
        </w:rPr>
        <w:t>Sechi</w:t>
      </w:r>
      <w:proofErr w:type="spellEnd"/>
      <w:r w:rsidR="0038781C" w:rsidRPr="00BE2B81">
        <w:rPr>
          <w:rFonts w:ascii="Book Antiqua" w:eastAsia="Book Antiqua" w:hAnsi="Book Antiqua" w:cs="Book Antiqua"/>
          <w:color w:val="000000"/>
        </w:rPr>
        <w:t xml:space="preserve"> A</w:t>
      </w:r>
      <w:r w:rsidR="0038781C" w:rsidRPr="00BE2B81">
        <w:rPr>
          <w:rFonts w:ascii="Book Antiqua" w:eastAsia="Book Antiqua" w:hAnsi="Book Antiqua" w:cs="Book Antiqua"/>
          <w:b/>
          <w:bCs/>
          <w:color w:val="000000"/>
        </w:rPr>
        <w:t xml:space="preserve"> </w:t>
      </w:r>
      <w:r w:rsidR="00362EEE"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nurse consultant who assisted with education, recruitment of patients and answering patient concerns during the trial process</w:t>
      </w:r>
      <w:r w:rsidR="009C1777" w:rsidRPr="00BE2B81">
        <w:rPr>
          <w:rFonts w:ascii="Book Antiqua" w:eastAsia="Book Antiqua" w:hAnsi="Book Antiqua" w:cs="Book Antiqua"/>
          <w:color w:val="000000"/>
        </w:rPr>
        <w:t xml:space="preserve">; </w:t>
      </w:r>
      <w:r w:rsidR="00684A55" w:rsidRPr="00BE2B81">
        <w:rPr>
          <w:rFonts w:ascii="Book Antiqua" w:eastAsia="Book Antiqua" w:hAnsi="Book Antiqua" w:cs="Book Antiqua"/>
          <w:color w:val="000000"/>
        </w:rPr>
        <w:t xml:space="preserve">Koo </w:t>
      </w:r>
      <w:r w:rsidR="0038781C" w:rsidRPr="00BE2B81">
        <w:rPr>
          <w:rFonts w:ascii="Book Antiqua" w:eastAsia="Book Antiqua" w:hAnsi="Book Antiqua" w:cs="Book Antiqua"/>
          <w:color w:val="000000"/>
        </w:rPr>
        <w:t>JH</w:t>
      </w:r>
      <w:r w:rsidR="0038781C" w:rsidRPr="00BE2B81">
        <w:rPr>
          <w:rFonts w:ascii="Book Antiqua" w:eastAsia="Book Antiqua" w:hAnsi="Book Antiqua" w:cs="Book Antiqua"/>
          <w:b/>
          <w:bCs/>
          <w:color w:val="000000"/>
        </w:rPr>
        <w:t xml:space="preserve"> </w:t>
      </w:r>
      <w:r w:rsidR="009C1777" w:rsidRPr="00BE2B81">
        <w:rPr>
          <w:rFonts w:ascii="Book Antiqua" w:eastAsia="Book Antiqua" w:hAnsi="Book Antiqua" w:cs="Book Antiqua"/>
          <w:color w:val="000000"/>
        </w:rPr>
        <w:t>bl</w:t>
      </w:r>
      <w:r w:rsidRPr="00BE2B81">
        <w:rPr>
          <w:rFonts w:ascii="Book Antiqua" w:eastAsia="Book Antiqua" w:hAnsi="Book Antiqua" w:cs="Book Antiqua"/>
          <w:color w:val="000000"/>
        </w:rPr>
        <w:t>inded assisted with manuscript review, study design and statistic</w:t>
      </w:r>
      <w:r w:rsidR="00B75306">
        <w:rPr>
          <w:rFonts w:ascii="Book Antiqua" w:eastAsia="Book Antiqua" w:hAnsi="Book Antiqua" w:cs="Book Antiqua"/>
          <w:color w:val="000000"/>
        </w:rPr>
        <w:t xml:space="preserve">al </w:t>
      </w:r>
      <w:proofErr w:type="spellStart"/>
      <w:r w:rsidR="00B75306">
        <w:rPr>
          <w:rFonts w:ascii="Book Antiqua" w:eastAsia="Book Antiqua" w:hAnsi="Book Antiqua" w:cs="Book Antiqua"/>
          <w:color w:val="000000"/>
        </w:rPr>
        <w:t>analysi</w:t>
      </w:r>
      <w:proofErr w:type="spellEnd"/>
      <w:r w:rsidR="0038781C" w:rsidRPr="00BE2B81">
        <w:rPr>
          <w:rFonts w:ascii="Book Antiqua" w:eastAsia="Book Antiqua" w:hAnsi="Book Antiqua" w:cs="Book Antiqua"/>
          <w:color w:val="000000"/>
        </w:rPr>
        <w:t xml:space="preserve">; </w:t>
      </w:r>
      <w:proofErr w:type="spellStart"/>
      <w:r w:rsidR="0038781C" w:rsidRPr="00BE2B81">
        <w:rPr>
          <w:rFonts w:ascii="Book Antiqua" w:eastAsia="Book Antiqua" w:hAnsi="Book Antiqua" w:cs="Book Antiqua"/>
          <w:color w:val="000000"/>
        </w:rPr>
        <w:t>Xuan</w:t>
      </w:r>
      <w:proofErr w:type="spellEnd"/>
      <w:r w:rsidR="0038781C" w:rsidRPr="00BE2B81">
        <w:rPr>
          <w:rFonts w:ascii="Book Antiqua" w:eastAsia="Book Antiqua" w:hAnsi="Book Antiqua" w:cs="Book Antiqua"/>
          <w:color w:val="000000"/>
        </w:rPr>
        <w:t xml:space="preserve"> W is s</w:t>
      </w:r>
      <w:r w:rsidRPr="00BE2B81">
        <w:rPr>
          <w:rFonts w:ascii="Book Antiqua" w:eastAsia="Book Antiqua" w:hAnsi="Book Antiqua" w:cs="Book Antiqua"/>
          <w:color w:val="000000"/>
        </w:rPr>
        <w:t>tatistician from the Ingham institute who assisted with the statistical analysis</w:t>
      </w:r>
      <w:r w:rsidR="0038781C" w:rsidRPr="00BE2B81">
        <w:rPr>
          <w:rFonts w:ascii="Book Antiqua" w:eastAsia="Book Antiqua" w:hAnsi="Book Antiqua" w:cs="Book Antiqua"/>
          <w:color w:val="000000"/>
        </w:rPr>
        <w:t xml:space="preserve">; </w:t>
      </w:r>
      <w:proofErr w:type="spellStart"/>
      <w:r w:rsidR="0038781C" w:rsidRPr="00BE2B81">
        <w:rPr>
          <w:rFonts w:ascii="Book Antiqua" w:eastAsia="Book Antiqua" w:hAnsi="Book Antiqua" w:cs="Book Antiqua"/>
          <w:color w:val="000000"/>
        </w:rPr>
        <w:t>Bassan</w:t>
      </w:r>
      <w:proofErr w:type="spellEnd"/>
      <w:r w:rsidR="0038781C" w:rsidRPr="00BE2B81">
        <w:rPr>
          <w:rFonts w:ascii="Book Antiqua" w:eastAsia="Book Antiqua" w:hAnsi="Book Antiqua" w:cs="Book Antiqua"/>
          <w:color w:val="000000"/>
        </w:rPr>
        <w:t xml:space="preserve"> M</w:t>
      </w:r>
      <w:r w:rsidRPr="00BE2B81">
        <w:rPr>
          <w:rFonts w:ascii="Book Antiqua" w:eastAsia="Book Antiqua" w:hAnsi="Book Antiqua" w:cs="Book Antiqua"/>
          <w:color w:val="000000"/>
        </w:rPr>
        <w:t xml:space="preserve"> </w:t>
      </w:r>
      <w:r w:rsidR="009C1777" w:rsidRPr="00BE2B81">
        <w:rPr>
          <w:rFonts w:ascii="Book Antiqua" w:eastAsia="Book Antiqua" w:hAnsi="Book Antiqua" w:cs="Book Antiqua"/>
          <w:color w:val="000000"/>
        </w:rPr>
        <w:t>a</w:t>
      </w:r>
      <w:r w:rsidRPr="00BE2B81">
        <w:rPr>
          <w:rFonts w:ascii="Book Antiqua" w:eastAsia="Book Antiqua" w:hAnsi="Book Antiqua" w:cs="Book Antiqua"/>
          <w:color w:val="000000"/>
        </w:rPr>
        <w:t>ssisted with the review of the manuscript</w:t>
      </w:r>
      <w:r w:rsidR="0038781C" w:rsidRPr="00BE2B81">
        <w:rPr>
          <w:rFonts w:ascii="Book Antiqua" w:hAnsi="Book Antiqua"/>
          <w:lang w:eastAsia="zh-CN"/>
        </w:rPr>
        <w:t xml:space="preserve">; </w:t>
      </w:r>
      <w:r w:rsidRPr="00BE2B81">
        <w:rPr>
          <w:rFonts w:ascii="Book Antiqua" w:eastAsia="Book Antiqua" w:hAnsi="Book Antiqua" w:cs="Book Antiqua"/>
          <w:color w:val="000000"/>
        </w:rPr>
        <w:t>Ng</w:t>
      </w:r>
      <w:r w:rsidR="00684A55" w:rsidRPr="00BE2B81">
        <w:rPr>
          <w:rFonts w:ascii="Book Antiqua" w:eastAsia="Book Antiqua" w:hAnsi="Book Antiqua" w:cs="Book Antiqua"/>
          <w:color w:val="000000"/>
        </w:rPr>
        <w:t xml:space="preserve"> W </w:t>
      </w:r>
      <w:r w:rsidRPr="00BE2B81">
        <w:rPr>
          <w:rFonts w:ascii="Book Antiqua" w:eastAsia="Book Antiqua" w:hAnsi="Book Antiqua" w:cs="Book Antiqua"/>
          <w:color w:val="000000"/>
        </w:rPr>
        <w:t>recruited patients, assisted with study design and assisted with review process and manuscript development</w:t>
      </w:r>
      <w:r w:rsidR="0038781C" w:rsidRPr="00BE2B81">
        <w:rPr>
          <w:rFonts w:ascii="Book Antiqua" w:eastAsia="Book Antiqua" w:hAnsi="Book Antiqua" w:cs="Book Antiqua"/>
          <w:color w:val="000000"/>
        </w:rPr>
        <w:t>;</w:t>
      </w:r>
      <w:r w:rsidR="0038781C" w:rsidRPr="00BE2B81">
        <w:rPr>
          <w:rFonts w:ascii="Book Antiqua" w:hAnsi="Book Antiqua"/>
          <w:lang w:eastAsia="zh-CN"/>
        </w:rPr>
        <w:t xml:space="preserve"> </w:t>
      </w:r>
      <w:r w:rsidRPr="00BE2B81">
        <w:rPr>
          <w:rFonts w:ascii="Book Antiqua" w:eastAsia="Book Antiqua" w:hAnsi="Book Antiqua" w:cs="Book Antiqua"/>
          <w:color w:val="000000"/>
        </w:rPr>
        <w:t>Connor</w:t>
      </w:r>
      <w:r w:rsidR="0038781C" w:rsidRPr="00BE2B81">
        <w:rPr>
          <w:rFonts w:ascii="Book Antiqua" w:eastAsia="Book Antiqua" w:hAnsi="Book Antiqua" w:cs="Book Antiqua"/>
          <w:color w:val="000000"/>
        </w:rPr>
        <w:t xml:space="preserve"> S</w:t>
      </w:r>
      <w:r w:rsidR="0038781C" w:rsidRPr="00BE2B81">
        <w:rPr>
          <w:rFonts w:ascii="Book Antiqua" w:eastAsia="Book Antiqua" w:hAnsi="Book Antiqua" w:cs="Book Antiqua"/>
          <w:b/>
          <w:bCs/>
          <w:color w:val="000000"/>
        </w:rPr>
        <w:t xml:space="preserve"> </w:t>
      </w:r>
      <w:r w:rsidR="0038781C" w:rsidRPr="00BE2B81">
        <w:rPr>
          <w:rFonts w:ascii="Book Antiqua" w:eastAsia="Book Antiqua" w:hAnsi="Book Antiqua" w:cs="Book Antiqua"/>
          <w:color w:val="000000"/>
        </w:rPr>
        <w:t>d</w:t>
      </w:r>
      <w:r w:rsidRPr="00BE2B81">
        <w:rPr>
          <w:rFonts w:ascii="Book Antiqua" w:eastAsia="Book Antiqua" w:hAnsi="Book Antiqua" w:cs="Book Antiqua"/>
          <w:color w:val="000000"/>
        </w:rPr>
        <w:t>eveloped study design and end points for the study</w:t>
      </w:r>
      <w:r w:rsidR="009C177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r w:rsidR="009C1777" w:rsidRPr="00BE2B81">
        <w:rPr>
          <w:rFonts w:ascii="Book Antiqua" w:eastAsia="Book Antiqua" w:hAnsi="Book Antiqua" w:cs="Book Antiqua"/>
          <w:color w:val="000000"/>
        </w:rPr>
        <w:t>applied for ethics approval, assisted with the</w:t>
      </w:r>
      <w:r w:rsidR="0009554E" w:rsidRPr="00BE2B81">
        <w:rPr>
          <w:rFonts w:ascii="Book Antiqua" w:eastAsia="Book Antiqua" w:hAnsi="Book Antiqua" w:cs="Book Antiqua"/>
          <w:color w:val="000000"/>
        </w:rPr>
        <w:t xml:space="preserve"> </w:t>
      </w:r>
      <w:r w:rsidR="009C1777" w:rsidRPr="00BE2B81">
        <w:rPr>
          <w:rFonts w:ascii="Book Antiqua" w:eastAsia="Book Antiqua" w:hAnsi="Book Antiqua" w:cs="Book Antiqua"/>
          <w:color w:val="000000"/>
        </w:rPr>
        <w:t>developm</w:t>
      </w:r>
      <w:r w:rsidRPr="00BE2B81">
        <w:rPr>
          <w:rFonts w:ascii="Book Antiqua" w:eastAsia="Book Antiqua" w:hAnsi="Book Antiqua" w:cs="Book Antiqua"/>
          <w:color w:val="000000"/>
        </w:rPr>
        <w:t>ent of the manuscript.</w:t>
      </w:r>
    </w:p>
    <w:bookmarkEnd w:id="22"/>
    <w:bookmarkEnd w:id="23"/>
    <w:p w14:paraId="22DC4644" w14:textId="77777777" w:rsidR="00A77B3E" w:rsidRPr="00BE2B81" w:rsidRDefault="00A77B3E" w:rsidP="00BE2B81">
      <w:pPr>
        <w:snapToGrid w:val="0"/>
        <w:spacing w:line="360" w:lineRule="auto"/>
        <w:jc w:val="both"/>
        <w:rPr>
          <w:rFonts w:ascii="Book Antiqua" w:hAnsi="Book Antiqua"/>
        </w:rPr>
      </w:pPr>
    </w:p>
    <w:p w14:paraId="57E01B79" w14:textId="41593634" w:rsidR="00D514E8" w:rsidRPr="001C51E0" w:rsidRDefault="005B2BA9" w:rsidP="00BE2B81">
      <w:pPr>
        <w:snapToGrid w:val="0"/>
        <w:spacing w:line="360" w:lineRule="auto"/>
        <w:jc w:val="both"/>
        <w:rPr>
          <w:rFonts w:ascii="Book Antiqua" w:eastAsia="Book Antiqua" w:hAnsi="Book Antiqua" w:cs="Book Antiqua"/>
          <w:color w:val="000000"/>
        </w:rPr>
      </w:pPr>
      <w:r w:rsidRPr="00BE2B81">
        <w:rPr>
          <w:rFonts w:ascii="Book Antiqua" w:eastAsia="Book Antiqua" w:hAnsi="Book Antiqua" w:cs="Book Antiqua"/>
          <w:b/>
          <w:bCs/>
          <w:color w:val="000000"/>
        </w:rPr>
        <w:t xml:space="preserve">Corresponding author: </w:t>
      </w:r>
      <w:proofErr w:type="spellStart"/>
      <w:r w:rsidRPr="00BE2B81">
        <w:rPr>
          <w:rFonts w:ascii="Book Antiqua" w:eastAsia="Book Antiqua" w:hAnsi="Book Antiqua" w:cs="Book Antiqua"/>
          <w:b/>
          <w:bCs/>
          <w:color w:val="000000"/>
        </w:rPr>
        <w:t>Waled</w:t>
      </w:r>
      <w:proofErr w:type="spellEnd"/>
      <w:r w:rsidRPr="00BE2B81">
        <w:rPr>
          <w:rFonts w:ascii="Book Antiqua" w:eastAsia="Book Antiqua" w:hAnsi="Book Antiqua" w:cs="Book Antiqua"/>
          <w:b/>
          <w:bCs/>
          <w:color w:val="000000"/>
        </w:rPr>
        <w:t xml:space="preserve"> Mohsen, F</w:t>
      </w:r>
      <w:r w:rsidR="00672143">
        <w:rPr>
          <w:rFonts w:ascii="Book Antiqua" w:eastAsia="Book Antiqua" w:hAnsi="Book Antiqua" w:cs="Book Antiqua"/>
          <w:b/>
          <w:bCs/>
          <w:color w:val="000000"/>
        </w:rPr>
        <w:t>R</w:t>
      </w:r>
      <w:r w:rsidR="00B75306">
        <w:rPr>
          <w:rFonts w:ascii="Book Antiqua" w:eastAsia="Book Antiqua" w:hAnsi="Book Antiqua" w:cs="Book Antiqua"/>
          <w:b/>
          <w:bCs/>
          <w:color w:val="000000"/>
        </w:rPr>
        <w:t>A</w:t>
      </w:r>
      <w:r w:rsidRPr="00BE2B81">
        <w:rPr>
          <w:rFonts w:ascii="Book Antiqua" w:eastAsia="Book Antiqua" w:hAnsi="Book Antiqua" w:cs="Book Antiqua"/>
          <w:b/>
          <w:bCs/>
          <w:color w:val="000000"/>
        </w:rPr>
        <w:t>CP,</w:t>
      </w:r>
      <w:r w:rsidR="00672143">
        <w:rPr>
          <w:rFonts w:ascii="Book Antiqua" w:eastAsia="Book Antiqua" w:hAnsi="Book Antiqua" w:cs="Book Antiqua"/>
          <w:b/>
          <w:bCs/>
          <w:color w:val="000000"/>
        </w:rPr>
        <w:t xml:space="preserve"> Gastroenterologist,</w:t>
      </w:r>
      <w:hyperlink r:id="rId7" w:history="1"/>
      <w:r w:rsidR="001C51E0">
        <w:rPr>
          <w:rFonts w:ascii="Book Antiqua" w:hAnsi="Book Antiqua" w:cs="Book Antiqua" w:hint="eastAsia"/>
          <w:color w:val="000000"/>
          <w:lang w:eastAsia="zh-CN"/>
        </w:rPr>
        <w:t xml:space="preserve"> </w:t>
      </w:r>
      <w:r w:rsidR="00D514E8" w:rsidRPr="00BE2B81">
        <w:rPr>
          <w:rFonts w:ascii="Book Antiqua" w:eastAsia="Book Antiqua" w:hAnsi="Book Antiqua" w:cs="Book Antiqua"/>
          <w:bCs/>
          <w:color w:val="000000"/>
        </w:rPr>
        <w:t>Department of</w:t>
      </w:r>
      <w:r w:rsidR="00D514E8" w:rsidRPr="00BE2B81">
        <w:rPr>
          <w:rFonts w:ascii="Book Antiqua" w:eastAsia="Book Antiqua" w:hAnsi="Book Antiqua" w:cs="Book Antiqua"/>
          <w:color w:val="000000"/>
        </w:rPr>
        <w:t xml:space="preserve"> Digestive Diseases, Gold Coast University Hospital, Gold Coast </w:t>
      </w:r>
      <w:r w:rsidR="00D514E8">
        <w:rPr>
          <w:rFonts w:ascii="Book Antiqua" w:eastAsia="Book Antiqua" w:hAnsi="Book Antiqua" w:cs="Book Antiqua"/>
          <w:color w:val="000000"/>
        </w:rPr>
        <w:t>4215,</w:t>
      </w:r>
      <w:r w:rsidR="004C5AA3">
        <w:rPr>
          <w:rFonts w:ascii="Book Antiqua" w:eastAsia="Book Antiqua" w:hAnsi="Book Antiqua" w:cs="Book Antiqua"/>
          <w:color w:val="000000"/>
        </w:rPr>
        <w:t xml:space="preserve"> </w:t>
      </w:r>
      <w:r w:rsidR="00D514E8">
        <w:rPr>
          <w:rFonts w:ascii="Book Antiqua" w:eastAsia="Book Antiqua" w:hAnsi="Book Antiqua" w:cs="Book Antiqua"/>
          <w:color w:val="000000"/>
        </w:rPr>
        <w:t xml:space="preserve">Queensland, </w:t>
      </w:r>
      <w:proofErr w:type="gramStart"/>
      <w:r w:rsidR="009A6692" w:rsidRPr="009A6692">
        <w:rPr>
          <w:rFonts w:ascii="Book Antiqua" w:eastAsia="Book Antiqua" w:hAnsi="Book Antiqua" w:cs="Book Antiqua"/>
          <w:color w:val="000000"/>
        </w:rPr>
        <w:t>Australia</w:t>
      </w:r>
      <w:proofErr w:type="gramEnd"/>
      <w:r w:rsidR="009A6692" w:rsidRPr="009A6692">
        <w:rPr>
          <w:rFonts w:ascii="Book Antiqua" w:eastAsia="Book Antiqua" w:hAnsi="Book Antiqua" w:cs="Book Antiqua"/>
          <w:color w:val="000000"/>
        </w:rPr>
        <w:t>. wmoh6298@uni.sydney.edu.au</w:t>
      </w:r>
      <w:bookmarkStart w:id="24" w:name="_GoBack"/>
      <w:bookmarkEnd w:id="24"/>
    </w:p>
    <w:p w14:paraId="14475912" w14:textId="77777777" w:rsidR="00A77B3E" w:rsidRPr="00BE2B81" w:rsidRDefault="00A77B3E" w:rsidP="00BE2B81">
      <w:pPr>
        <w:snapToGrid w:val="0"/>
        <w:spacing w:line="360" w:lineRule="auto"/>
        <w:jc w:val="both"/>
        <w:rPr>
          <w:rFonts w:ascii="Book Antiqua" w:hAnsi="Book Antiqua"/>
        </w:rPr>
      </w:pPr>
    </w:p>
    <w:p w14:paraId="1030C7E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Received: </w:t>
      </w:r>
      <w:r w:rsidRPr="00BE2B81">
        <w:rPr>
          <w:rFonts w:ascii="Book Antiqua" w:eastAsia="Book Antiqua" w:hAnsi="Book Antiqua" w:cs="Book Antiqua"/>
          <w:color w:val="000000"/>
        </w:rPr>
        <w:t>November 1, 2020</w:t>
      </w:r>
    </w:p>
    <w:p w14:paraId="3A71C3E2"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Revised: </w:t>
      </w:r>
      <w:r w:rsidRPr="00BE2B81">
        <w:rPr>
          <w:rFonts w:ascii="Book Antiqua" w:eastAsia="Book Antiqua" w:hAnsi="Book Antiqua" w:cs="Book Antiqua"/>
          <w:color w:val="000000"/>
        </w:rPr>
        <w:t>January 11, 2021</w:t>
      </w:r>
    </w:p>
    <w:p w14:paraId="39747C36" w14:textId="07A0FD93"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Accepted: </w:t>
      </w:r>
      <w:r w:rsidR="00876782" w:rsidRPr="00876782">
        <w:rPr>
          <w:rFonts w:ascii="Book Antiqua" w:eastAsia="Book Antiqua" w:hAnsi="Book Antiqua" w:cs="Book Antiqua"/>
          <w:color w:val="000000"/>
        </w:rPr>
        <w:t>March 7, 2021</w:t>
      </w:r>
    </w:p>
    <w:p w14:paraId="44CDE58E" w14:textId="14DA8AAE"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Published online:</w:t>
      </w:r>
      <w:r w:rsidR="00603F39" w:rsidRPr="00603F39">
        <w:rPr>
          <w:rFonts w:ascii="Book Antiqua" w:eastAsia="Book Antiqua" w:hAnsi="Book Antiqua" w:cs="Book Antiqua"/>
          <w:color w:val="000000"/>
        </w:rPr>
        <w:t xml:space="preserve"> </w:t>
      </w:r>
      <w:r w:rsidR="00603F39" w:rsidRPr="00876782">
        <w:rPr>
          <w:rFonts w:ascii="Book Antiqua" w:eastAsia="Book Antiqua" w:hAnsi="Book Antiqua" w:cs="Book Antiqua"/>
          <w:color w:val="000000"/>
        </w:rPr>
        <w:t xml:space="preserve">March </w:t>
      </w:r>
      <w:r w:rsidR="00603F39">
        <w:rPr>
          <w:rFonts w:ascii="Book Antiqua" w:hAnsi="Book Antiqua" w:cs="Book Antiqua" w:hint="eastAsia"/>
          <w:color w:val="000000"/>
          <w:lang w:eastAsia="zh-CN"/>
        </w:rPr>
        <w:t>21</w:t>
      </w:r>
      <w:r w:rsidR="00603F39" w:rsidRPr="00876782">
        <w:rPr>
          <w:rFonts w:ascii="Book Antiqua" w:eastAsia="Book Antiqua" w:hAnsi="Book Antiqua" w:cs="Book Antiqua"/>
          <w:color w:val="000000"/>
        </w:rPr>
        <w:t>, 2021</w:t>
      </w:r>
      <w:r w:rsidRPr="00BE2B81">
        <w:rPr>
          <w:rFonts w:ascii="Book Antiqua" w:eastAsia="Book Antiqua" w:hAnsi="Book Antiqua" w:cs="Book Antiqua"/>
          <w:b/>
          <w:bCs/>
          <w:color w:val="000000"/>
        </w:rPr>
        <w:t xml:space="preserve"> </w:t>
      </w:r>
    </w:p>
    <w:p w14:paraId="29EC4C6F" w14:textId="77777777" w:rsidR="00A77B3E" w:rsidRPr="00BE2B81" w:rsidRDefault="00A77B3E" w:rsidP="00BE2B81">
      <w:pPr>
        <w:snapToGrid w:val="0"/>
        <w:spacing w:line="360" w:lineRule="auto"/>
        <w:jc w:val="both"/>
        <w:rPr>
          <w:rFonts w:ascii="Book Antiqua" w:hAnsi="Book Antiqua"/>
        </w:rPr>
        <w:sectPr w:rsidR="00A77B3E" w:rsidRPr="00BE2B81" w:rsidSect="00A44321">
          <w:footerReference w:type="default" r:id="rId8"/>
          <w:pgSz w:w="12240" w:h="15840"/>
          <w:pgMar w:top="1440" w:right="1800" w:bottom="1440" w:left="1800" w:header="720" w:footer="720" w:gutter="0"/>
          <w:cols w:space="720"/>
          <w:docGrid w:linePitch="360"/>
        </w:sectPr>
      </w:pPr>
    </w:p>
    <w:p w14:paraId="693CFB9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lastRenderedPageBreak/>
        <w:t>Abstract</w:t>
      </w:r>
    </w:p>
    <w:p w14:paraId="638DA633"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BACKGROUND</w:t>
      </w:r>
    </w:p>
    <w:p w14:paraId="4C2DEF82" w14:textId="30B3EB8D" w:rsidR="00A77B3E" w:rsidRPr="00BE2B81" w:rsidRDefault="005B2BA9" w:rsidP="00BE2B81">
      <w:pPr>
        <w:snapToGrid w:val="0"/>
        <w:spacing w:line="360" w:lineRule="auto"/>
        <w:jc w:val="both"/>
        <w:rPr>
          <w:rFonts w:ascii="Book Antiqua" w:hAnsi="Book Antiqua"/>
        </w:rPr>
      </w:pPr>
      <w:bookmarkStart w:id="25" w:name="OLE_LINK30"/>
      <w:bookmarkStart w:id="26" w:name="OLE_LINK35"/>
      <w:r w:rsidRPr="00BE2B81">
        <w:rPr>
          <w:rFonts w:ascii="Book Antiqua" w:eastAsia="Book Antiqua" w:hAnsi="Book Antiqua" w:cs="Book Antiqua"/>
          <w:color w:val="000000"/>
        </w:rPr>
        <w:t xml:space="preserve">Colonoscopy remains the gold standard for detection of colonic disease. An optimal evaluation depends on adequate bowel cleansing. Patients with </w:t>
      </w:r>
      <w:bookmarkStart w:id="27" w:name="_Hlk64816304"/>
      <w:r w:rsidR="00937379" w:rsidRPr="00BE2B81">
        <w:rPr>
          <w:rFonts w:ascii="Book Antiqua" w:eastAsia="Book Antiqua" w:hAnsi="Book Antiqua" w:cs="Book Antiqua"/>
          <w:color w:val="000000"/>
        </w:rPr>
        <w:t>i</w:t>
      </w:r>
      <w:r w:rsidRPr="00BE2B81">
        <w:rPr>
          <w:rFonts w:ascii="Book Antiqua" w:eastAsia="Book Antiqua" w:hAnsi="Book Antiqua" w:cs="Book Antiqua"/>
          <w:color w:val="000000"/>
        </w:rPr>
        <w:t>nflammatory bowel disease</w:t>
      </w:r>
      <w:bookmarkEnd w:id="27"/>
      <w:r w:rsidRPr="00BE2B81">
        <w:rPr>
          <w:rFonts w:ascii="Book Antiqua" w:eastAsia="Book Antiqua" w:hAnsi="Book Antiqua" w:cs="Book Antiqua"/>
          <w:color w:val="000000"/>
        </w:rPr>
        <w:t xml:space="preserve"> (IBD), require frequent endoscopic assessment for both activity and dysplasia assessment. Two commonly used bowel preparations in Australia are </w:t>
      </w:r>
      <w:bookmarkStart w:id="28" w:name="_Hlk64832091"/>
      <w:r w:rsidRPr="00BE2B81">
        <w:rPr>
          <w:rFonts w:ascii="Book Antiqua" w:eastAsia="Book Antiqua" w:hAnsi="Book Antiqua" w:cs="Book Antiqua"/>
          <w:color w:val="000000"/>
        </w:rPr>
        <w:t>Prep Kit-C</w:t>
      </w:r>
      <w:bookmarkEnd w:id="28"/>
      <w:r w:rsidRPr="00BE2B81">
        <w:rPr>
          <w:rFonts w:ascii="Book Antiqua" w:eastAsia="Book Antiqua" w:hAnsi="Book Antiqua" w:cs="Book Antiqua"/>
          <w:color w:val="000000"/>
        </w:rPr>
        <w:t xml:space="preserve"> (Pc) and </w:t>
      </w:r>
      <w:proofErr w:type="spellStart"/>
      <w:r w:rsidR="00D514E8">
        <w:rPr>
          <w:rFonts w:ascii="Book Antiqua" w:eastAsia="Book Antiqua" w:hAnsi="Book Antiqua" w:cs="Book Antiqua"/>
          <w:color w:val="000000"/>
        </w:rPr>
        <w:t>M</w:t>
      </w:r>
      <w:r w:rsidRPr="00BE2B81">
        <w:rPr>
          <w:rFonts w:ascii="Book Antiqua" w:eastAsia="Book Antiqua" w:hAnsi="Book Antiqua" w:cs="Book Antiqua"/>
          <w:color w:val="000000"/>
        </w:rPr>
        <w:t>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Little is known about tolerability, efficacy and safety of split protocols of</w:t>
      </w:r>
      <w:r w:rsidR="00937379"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00937379"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and Pc in both</w:t>
      </w:r>
      <w:r w:rsidR="00937379"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IBD</w:t>
      </w:r>
      <w:r w:rsidR="00937379"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and non-IBD patients.</w:t>
      </w:r>
    </w:p>
    <w:bookmarkEnd w:id="25"/>
    <w:bookmarkEnd w:id="26"/>
    <w:p w14:paraId="194A272B" w14:textId="77777777" w:rsidR="00A77B3E" w:rsidRPr="00BE2B81" w:rsidRDefault="00A77B3E" w:rsidP="00BE2B81">
      <w:pPr>
        <w:snapToGrid w:val="0"/>
        <w:spacing w:line="360" w:lineRule="auto"/>
        <w:jc w:val="both"/>
        <w:rPr>
          <w:rFonts w:ascii="Book Antiqua" w:hAnsi="Book Antiqua"/>
        </w:rPr>
      </w:pPr>
    </w:p>
    <w:p w14:paraId="4CCD676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AIM</w:t>
      </w:r>
    </w:p>
    <w:p w14:paraId="7F049888" w14:textId="77777777" w:rsidR="00A77B3E" w:rsidRPr="00BE2B81" w:rsidRDefault="005B2BA9" w:rsidP="00BE2B81">
      <w:pPr>
        <w:snapToGrid w:val="0"/>
        <w:spacing w:line="360" w:lineRule="auto"/>
        <w:jc w:val="both"/>
        <w:rPr>
          <w:rFonts w:ascii="Book Antiqua" w:hAnsi="Book Antiqua"/>
        </w:rPr>
      </w:pPr>
      <w:bookmarkStart w:id="29" w:name="OLE_LINK36"/>
      <w:bookmarkStart w:id="30" w:name="OLE_LINK43"/>
      <w:r w:rsidRPr="00BE2B81">
        <w:rPr>
          <w:rFonts w:ascii="Book Antiqua" w:eastAsia="Book Antiqua" w:hAnsi="Book Antiqua" w:cs="Book Antiqua"/>
          <w:color w:val="000000"/>
        </w:rPr>
        <w:t xml:space="preserve">To primary aim was to compare the tolerability, efficacy and safety of split protocols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in patients having a colonoscopy. The secondary aim was to compare the efficacy, tolerability and safety of either preparation in patients with or without IBD.</w:t>
      </w:r>
    </w:p>
    <w:bookmarkEnd w:id="29"/>
    <w:bookmarkEnd w:id="30"/>
    <w:p w14:paraId="6E5C897F" w14:textId="77777777" w:rsidR="00A77B3E" w:rsidRPr="00BE2B81" w:rsidRDefault="00A77B3E" w:rsidP="00BE2B81">
      <w:pPr>
        <w:snapToGrid w:val="0"/>
        <w:spacing w:line="360" w:lineRule="auto"/>
        <w:jc w:val="both"/>
        <w:rPr>
          <w:rFonts w:ascii="Book Antiqua" w:hAnsi="Book Antiqua"/>
        </w:rPr>
      </w:pPr>
    </w:p>
    <w:p w14:paraId="6F13C325"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METHODS</w:t>
      </w:r>
    </w:p>
    <w:p w14:paraId="643265F0" w14:textId="46D59190" w:rsidR="00A77B3E" w:rsidRPr="00BE2B81" w:rsidRDefault="005B2BA9" w:rsidP="00BE2B81">
      <w:pPr>
        <w:snapToGrid w:val="0"/>
        <w:spacing w:line="360" w:lineRule="auto"/>
        <w:jc w:val="both"/>
        <w:rPr>
          <w:rFonts w:ascii="Book Antiqua" w:hAnsi="Book Antiqua"/>
        </w:rPr>
      </w:pPr>
      <w:bookmarkStart w:id="31" w:name="OLE_LINK44"/>
      <w:bookmarkStart w:id="32" w:name="OLE_LINK45"/>
      <w:r w:rsidRPr="00BE2B81">
        <w:rPr>
          <w:rFonts w:ascii="Book Antiqua" w:eastAsia="Book Antiqua" w:hAnsi="Book Antiqua" w:cs="Book Antiqua"/>
          <w:color w:val="000000"/>
        </w:rPr>
        <w:t xml:space="preserve">Patients were randomized to Pc or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bowel preparation. Patients completed a questionnaire to assess tolerability. Efficacy was assessed using the </w:t>
      </w:r>
      <w:bookmarkStart w:id="33" w:name="_Hlk64815300"/>
      <w:r w:rsidRPr="00BE2B81">
        <w:rPr>
          <w:rFonts w:ascii="Book Antiqua" w:eastAsia="Book Antiqua" w:hAnsi="Book Antiqua" w:cs="Book Antiqua"/>
          <w:color w:val="000000"/>
        </w:rPr>
        <w:t>Ottawa Bowel Preparation Score</w:t>
      </w:r>
      <w:bookmarkEnd w:id="33"/>
      <w:r w:rsidRPr="00BE2B81">
        <w:rPr>
          <w:rFonts w:ascii="Book Antiqua" w:eastAsia="Book Antiqua" w:hAnsi="Book Antiqua" w:cs="Book Antiqua"/>
          <w:color w:val="000000"/>
        </w:rPr>
        <w:t>. Serum electrolytes and renal function were collected one week prior to colonoscopy and on the day of colonoscopy.</w:t>
      </w:r>
    </w:p>
    <w:bookmarkEnd w:id="31"/>
    <w:bookmarkEnd w:id="32"/>
    <w:p w14:paraId="7C7D9FFF" w14:textId="77777777" w:rsidR="00A77B3E" w:rsidRPr="00BE2B81" w:rsidRDefault="00A77B3E" w:rsidP="00BE2B81">
      <w:pPr>
        <w:snapToGrid w:val="0"/>
        <w:spacing w:line="360" w:lineRule="auto"/>
        <w:jc w:val="both"/>
        <w:rPr>
          <w:rFonts w:ascii="Book Antiqua" w:hAnsi="Book Antiqua"/>
        </w:rPr>
      </w:pPr>
    </w:p>
    <w:p w14:paraId="7A6FE47B"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RESULTS</w:t>
      </w:r>
    </w:p>
    <w:p w14:paraId="319D43C9" w14:textId="2EC3201D" w:rsidR="00A77B3E" w:rsidRPr="00BE2B81" w:rsidRDefault="00A13025" w:rsidP="00BE2B81">
      <w:pPr>
        <w:snapToGrid w:val="0"/>
        <w:spacing w:line="360" w:lineRule="auto"/>
        <w:jc w:val="both"/>
        <w:rPr>
          <w:rFonts w:ascii="Book Antiqua" w:hAnsi="Book Antiqua"/>
        </w:rPr>
      </w:pPr>
      <w:bookmarkStart w:id="34" w:name="OLE_LINK46"/>
      <w:bookmarkStart w:id="35" w:name="OLE_LINK47"/>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338 patients met the inclusion criteria. </w:t>
      </w:r>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168 patients randomized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170 to Pc. The efficacy of bowel preparation (mean </w:t>
      </w:r>
      <w:r w:rsidR="004E4E8B" w:rsidRPr="00BE2B81">
        <w:rPr>
          <w:rFonts w:ascii="Book Antiqua" w:eastAsia="Book Antiqua" w:hAnsi="Book Antiqua" w:cs="Book Antiqua"/>
          <w:color w:val="000000"/>
        </w:rPr>
        <w:t>Ottawa Bowel Preparation Score</w:t>
      </w:r>
      <w:r w:rsidR="005B2BA9" w:rsidRPr="00BE2B81">
        <w:rPr>
          <w:rFonts w:ascii="Book Antiqua" w:eastAsia="Book Antiqua" w:hAnsi="Book Antiqua" w:cs="Book Antiqua"/>
          <w:color w:val="000000"/>
        </w:rPr>
        <w:t xml:space="preserve">) was similar between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(5.4 ± 2.4) and Pc (5.1 ± 2.1)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 0.3). Mean tolerability scores were similar in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(11.84 ±</w:t>
      </w:r>
      <w:r w:rsidR="004E4E8B" w:rsidRPr="00BE2B81">
        <w:rPr>
          <w:rFonts w:ascii="Book Antiqua" w:eastAsia="Book Antiqua" w:hAnsi="Book Antiqua" w:cs="Book Antiqua"/>
          <w:color w:val="000000"/>
        </w:rPr>
        <w:t xml:space="preserve"> </w:t>
      </w:r>
      <w:r w:rsidR="00684A55" w:rsidRPr="00BE2B81">
        <w:rPr>
          <w:rFonts w:ascii="Book Antiqua" w:eastAsia="Book Antiqua" w:hAnsi="Book Antiqua" w:cs="Book Antiqua"/>
          <w:color w:val="000000"/>
        </w:rPr>
        <w:t>5.4) and Pc (10.99</w:t>
      </w:r>
      <w:r w:rsidR="005B2BA9" w:rsidRPr="00BE2B81">
        <w:rPr>
          <w:rFonts w:ascii="Book Antiqua" w:eastAsia="Book Antiqua" w:hAnsi="Book Antiqua" w:cs="Book Antiqua"/>
          <w:color w:val="000000"/>
        </w:rPr>
        <w:t xml:space="preserve"> ±</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5.2;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 0.17). 125 patients had IBD (73 had Crohn’s Disease and 52 had Ulcerative colitis).</w:t>
      </w:r>
      <w:r w:rsidR="0009554E"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Sixty-four IBD patients were allocated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61 to Pc. In non-IBD patients, </w:t>
      </w:r>
      <w:r w:rsidR="005B2BA9" w:rsidRPr="00BE2B81">
        <w:rPr>
          <w:rFonts w:ascii="Book Antiqua" w:eastAsia="Book Antiqua" w:hAnsi="Book Antiqua" w:cs="Book Antiqua"/>
          <w:color w:val="000000"/>
        </w:rPr>
        <w:lastRenderedPageBreak/>
        <w:t xml:space="preserve">104 were allocated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109 to Pc. The mean tolerability score in the IBD group was lower than the non-IBD group (mean tolerability scores: IBD: 10.3 ±</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5.1 and non-IBD: 12.0</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5.3; </w:t>
      </w:r>
      <w:r w:rsidR="005B2BA9" w:rsidRPr="00BE2B81">
        <w:rPr>
          <w:rFonts w:ascii="Book Antiqua" w:eastAsia="Book Antiqua" w:hAnsi="Book Antiqua" w:cs="Book Antiqua"/>
          <w:i/>
          <w:iCs/>
          <w:color w:val="000000"/>
        </w:rPr>
        <w:t xml:space="preserve">P </w:t>
      </w:r>
      <w:r w:rsidR="005B2BA9" w:rsidRPr="00BE2B81">
        <w:rPr>
          <w:rFonts w:ascii="Book Antiqua" w:eastAsia="Book Antiqua" w:hAnsi="Book Antiqua" w:cs="Book Antiqua"/>
          <w:color w:val="000000"/>
        </w:rPr>
        <w:t xml:space="preserve">= 0.01). IBD patients described more abdominal pain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when compared with Pc; (</w:t>
      </w:r>
      <w:proofErr w:type="spellStart"/>
      <w:r w:rsidR="005B2BA9" w:rsidRPr="00BE2B81">
        <w:rPr>
          <w:rFonts w:ascii="Book Antiqua" w:eastAsia="Book Antiqua" w:hAnsi="Book Antiqua" w:cs="Book Antiqua"/>
          <w:color w:val="000000"/>
        </w:rPr>
        <w:t>Mp</w:t>
      </w:r>
      <w:proofErr w:type="spellEnd"/>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5.7 ±</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4.4 </w:t>
      </w:r>
      <w:r w:rsidR="005B2BA9" w:rsidRPr="00BE2B81">
        <w:rPr>
          <w:rFonts w:ascii="Book Antiqua" w:eastAsia="Book Antiqua" w:hAnsi="Book Antiqua" w:cs="Book Antiqua"/>
          <w:i/>
          <w:iCs/>
          <w:color w:val="000000"/>
        </w:rPr>
        <w:t>vs</w:t>
      </w:r>
      <w:r w:rsidR="005B2BA9" w:rsidRPr="00BE2B81">
        <w:rPr>
          <w:rFonts w:ascii="Book Antiqua" w:eastAsia="Book Antiqua" w:hAnsi="Book Antiqua" w:cs="Book Antiqua"/>
          <w:color w:val="000000"/>
        </w:rPr>
        <w:t xml:space="preserve"> Pc</w:t>
      </w:r>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3.6</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 xml:space="preserve">2.6,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 0.046). Serum magnesium level increased with Pc compared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in all patients (mean increase in </w:t>
      </w:r>
      <w:proofErr w:type="spellStart"/>
      <w:r w:rsidR="005B2BA9" w:rsidRPr="00BE2B81">
        <w:rPr>
          <w:rFonts w:ascii="Book Antiqua" w:eastAsia="Book Antiqua" w:hAnsi="Book Antiqua" w:cs="Book Antiqua"/>
          <w:color w:val="000000"/>
        </w:rPr>
        <w:t>mmol</w:t>
      </w:r>
      <w:proofErr w:type="spellEnd"/>
      <w:r w:rsidR="005B2BA9" w:rsidRPr="00BE2B81">
        <w:rPr>
          <w:rFonts w:ascii="Book Antiqua" w:eastAsia="Book Antiqua" w:hAnsi="Book Antiqua" w:cs="Book Antiqua"/>
          <w:color w:val="000000"/>
        </w:rPr>
        <w:t xml:space="preserve">/L: </w:t>
      </w:r>
      <w:proofErr w:type="spellStart"/>
      <w:r w:rsidR="005B2BA9" w:rsidRPr="00BE2B81">
        <w:rPr>
          <w:rFonts w:ascii="Book Antiqua" w:eastAsia="Book Antiqua" w:hAnsi="Book Antiqua" w:cs="Book Antiqua"/>
          <w:color w:val="000000"/>
        </w:rPr>
        <w:t>Mp</w:t>
      </w:r>
      <w:proofErr w:type="spellEnd"/>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0.03</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w:t>
      </w:r>
      <w:r w:rsidR="004E4E8B" w:rsidRPr="00BE2B81">
        <w:rPr>
          <w:rFonts w:ascii="Book Antiqua" w:eastAsia="Book Antiqua" w:hAnsi="Book Antiqua" w:cs="Book Antiqua"/>
          <w:color w:val="000000"/>
        </w:rPr>
        <w:t xml:space="preserve"> </w:t>
      </w:r>
      <w:r w:rsidR="005B2BA9" w:rsidRPr="00BE2B81">
        <w:rPr>
          <w:rFonts w:ascii="Book Antiqua" w:eastAsia="Book Antiqua" w:hAnsi="Book Antiqua" w:cs="Book Antiqua"/>
          <w:color w:val="000000"/>
        </w:rPr>
        <w:t>0.117 and Pc</w:t>
      </w:r>
      <w:r w:rsidR="000D0B72" w:rsidRPr="00BE2B81">
        <w:rPr>
          <w:rFonts w:ascii="Book Antiqua" w:eastAsia="Book Antiqua" w:hAnsi="Book Antiqua" w:cs="Book Antiqua"/>
          <w:color w:val="000000"/>
        </w:rPr>
        <w:t>:</w:t>
      </w:r>
      <w:r w:rsidR="005B2BA9" w:rsidRPr="00BE2B81">
        <w:rPr>
          <w:rFonts w:ascii="Book Antiqua" w:eastAsia="Book Antiqua" w:hAnsi="Book Antiqua" w:cs="Book Antiqua"/>
          <w:color w:val="000000"/>
        </w:rPr>
        <w:t xml:space="preserve"> 0.11 ± 0.106; </w:t>
      </w:r>
      <w:r w:rsidR="005B2BA9" w:rsidRPr="00BE2B81">
        <w:rPr>
          <w:rFonts w:ascii="Book Antiqua" w:eastAsia="Book Antiqua" w:hAnsi="Book Antiqua" w:cs="Book Antiqua"/>
          <w:i/>
          <w:iCs/>
          <w:color w:val="000000"/>
        </w:rPr>
        <w:t>P</w:t>
      </w:r>
      <w:r w:rsidR="005B2BA9" w:rsidRPr="00BE2B81">
        <w:rPr>
          <w:rFonts w:ascii="Book Antiqua" w:eastAsia="Book Antiqua" w:hAnsi="Book Antiqua" w:cs="Book Antiqua"/>
          <w:color w:val="000000"/>
        </w:rPr>
        <w:t xml:space="preserve"> &lt; 0.0001).</w:t>
      </w:r>
    </w:p>
    <w:p w14:paraId="793E4EA8" w14:textId="77777777" w:rsidR="00A77B3E" w:rsidRPr="00BE2B81" w:rsidRDefault="00A77B3E" w:rsidP="00BE2B81">
      <w:pPr>
        <w:snapToGrid w:val="0"/>
        <w:spacing w:line="360" w:lineRule="auto"/>
        <w:jc w:val="both"/>
        <w:rPr>
          <w:rFonts w:ascii="Book Antiqua" w:hAnsi="Book Antiqua"/>
        </w:rPr>
      </w:pPr>
    </w:p>
    <w:bookmarkEnd w:id="34"/>
    <w:bookmarkEnd w:id="35"/>
    <w:p w14:paraId="665C7EA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CONCLUSION</w:t>
      </w:r>
    </w:p>
    <w:p w14:paraId="05740E83" w14:textId="7469C3CB" w:rsidR="00A77B3E" w:rsidRPr="00BE2B81" w:rsidRDefault="005B2BA9" w:rsidP="00BE2B81">
      <w:pPr>
        <w:snapToGrid w:val="0"/>
        <w:spacing w:line="360" w:lineRule="auto"/>
        <w:jc w:val="both"/>
        <w:rPr>
          <w:rFonts w:ascii="Book Antiqua" w:hAnsi="Book Antiqua"/>
        </w:rPr>
      </w:pPr>
      <w:bookmarkStart w:id="36" w:name="OLE_LINK48"/>
      <w:bookmarkStart w:id="37" w:name="OLE_LINK49"/>
      <w:r w:rsidRPr="00BE2B81">
        <w:rPr>
          <w:rFonts w:ascii="Book Antiqua" w:eastAsia="Book Antiqua" w:hAnsi="Book Antiqua" w:cs="Book Antiqua"/>
          <w:color w:val="000000"/>
        </w:rPr>
        <w:t xml:space="preserve">In this study, the efficacy, tolerability and 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were similar in all patients.</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However, patients with IBD reported lower tolerability with both preparations. Specifically, IBD patients had more abdominal pain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These results should be considered when recommending bowel preparation especially to IBD patients.</w:t>
      </w:r>
    </w:p>
    <w:bookmarkEnd w:id="36"/>
    <w:bookmarkEnd w:id="37"/>
    <w:p w14:paraId="505D6765" w14:textId="77777777" w:rsidR="00A77B3E" w:rsidRPr="00BE2B81" w:rsidRDefault="00A77B3E" w:rsidP="00BE2B81">
      <w:pPr>
        <w:snapToGrid w:val="0"/>
        <w:spacing w:line="360" w:lineRule="auto"/>
        <w:jc w:val="both"/>
        <w:rPr>
          <w:rFonts w:ascii="Book Antiqua" w:hAnsi="Book Antiqua"/>
        </w:rPr>
      </w:pPr>
    </w:p>
    <w:p w14:paraId="2A546330" w14:textId="19DA2A5D"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Key Words: </w:t>
      </w:r>
      <w:r w:rsidRPr="00BE2B81">
        <w:rPr>
          <w:rFonts w:ascii="Book Antiqua" w:eastAsia="Book Antiqua" w:hAnsi="Book Antiqua" w:cs="Book Antiqua"/>
          <w:color w:val="000000"/>
        </w:rPr>
        <w:t xml:space="preserve">Bowel preparation; Inflammatory </w:t>
      </w:r>
      <w:r w:rsidR="000D0B72" w:rsidRPr="00BE2B81">
        <w:rPr>
          <w:rFonts w:ascii="Book Antiqua" w:eastAsia="Book Antiqua" w:hAnsi="Book Antiqua" w:cs="Book Antiqua"/>
          <w:color w:val="000000"/>
        </w:rPr>
        <w:t>bowel disease</w:t>
      </w:r>
      <w:r w:rsidRPr="00BE2B81">
        <w:rPr>
          <w:rFonts w:ascii="Book Antiqua" w:eastAsia="Book Antiqua" w:hAnsi="Book Antiqua" w:cs="Book Antiqua"/>
          <w:color w:val="000000"/>
        </w:rPr>
        <w:t xml:space="preserve">; Tolerability; Efficacy;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Prep</w:t>
      </w:r>
      <w:r w:rsidR="00ED14EA"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Kit-C</w:t>
      </w:r>
    </w:p>
    <w:p w14:paraId="026DE595" w14:textId="77777777" w:rsidR="00A77B3E" w:rsidRDefault="00A77B3E" w:rsidP="00BE2B81">
      <w:pPr>
        <w:snapToGrid w:val="0"/>
        <w:spacing w:line="360" w:lineRule="auto"/>
        <w:jc w:val="both"/>
        <w:rPr>
          <w:rFonts w:ascii="Book Antiqua" w:hAnsi="Book Antiqua"/>
          <w:lang w:eastAsia="zh-CN"/>
        </w:rPr>
      </w:pPr>
    </w:p>
    <w:p w14:paraId="1157BAA5" w14:textId="77777777" w:rsidR="003C28FD" w:rsidRPr="00026CB8" w:rsidRDefault="003C28FD" w:rsidP="003C28F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4CFC224" w14:textId="4DCE6FB2" w:rsidR="003C28FD" w:rsidRPr="00BE2B81" w:rsidRDefault="00320C44" w:rsidP="00BE2B81">
      <w:pPr>
        <w:snapToGrid w:val="0"/>
        <w:spacing w:line="360" w:lineRule="auto"/>
        <w:jc w:val="both"/>
        <w:rPr>
          <w:rFonts w:ascii="Book Antiqua" w:hAnsi="Book Antiqua"/>
          <w:lang w:eastAsia="zh-CN"/>
        </w:rPr>
      </w:pPr>
      <w:r>
        <w:rPr>
          <w:rFonts w:ascii="Book Antiqua" w:hAnsi="Book Antiqua" w:hint="eastAsia"/>
          <w:lang w:eastAsia="zh-CN"/>
        </w:rPr>
        <w:tab/>
      </w:r>
    </w:p>
    <w:p w14:paraId="54FDFB25" w14:textId="77777777" w:rsidR="00401E75" w:rsidRDefault="00401E75" w:rsidP="00401E75">
      <w:pPr>
        <w:snapToGrid w:val="0"/>
        <w:spacing w:line="360" w:lineRule="auto"/>
        <w:jc w:val="both"/>
        <w:rPr>
          <w:rFonts w:ascii="Book Antiqua" w:hAnsi="Book Antiqua" w:cs="Book Antiqua"/>
          <w:color w:val="000000"/>
          <w:lang w:eastAsia="zh-CN"/>
        </w:rPr>
      </w:pPr>
      <w:bookmarkStart w:id="38" w:name="OLE_LINK60"/>
      <w:bookmarkStart w:id="39" w:name="OLE_LINK61"/>
      <w:r w:rsidRPr="00841E0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Pr="00BE2B81">
        <w:rPr>
          <w:rFonts w:ascii="Book Antiqua" w:eastAsia="Book Antiqua" w:hAnsi="Book Antiqua" w:cs="Book Antiqua"/>
          <w:color w:val="000000"/>
        </w:rPr>
        <w:t xml:space="preserve">Mohsen W, Williams AJ, </w:t>
      </w:r>
      <w:proofErr w:type="spellStart"/>
      <w:r w:rsidRPr="00BE2B81">
        <w:rPr>
          <w:rFonts w:ascii="Book Antiqua" w:eastAsia="Book Antiqua" w:hAnsi="Book Antiqua" w:cs="Book Antiqua"/>
          <w:color w:val="000000"/>
        </w:rPr>
        <w:t>Wark</w:t>
      </w:r>
      <w:proofErr w:type="spellEnd"/>
      <w:r w:rsidRPr="00BE2B81">
        <w:rPr>
          <w:rFonts w:ascii="Book Antiqua" w:eastAsia="Book Antiqua" w:hAnsi="Book Antiqua" w:cs="Book Antiqua"/>
          <w:color w:val="000000"/>
        </w:rPr>
        <w:t xml:space="preserve"> G, </w:t>
      </w:r>
      <w:proofErr w:type="spellStart"/>
      <w:r w:rsidRPr="00BE2B81">
        <w:rPr>
          <w:rFonts w:ascii="Book Antiqua" w:eastAsia="Book Antiqua" w:hAnsi="Book Antiqua" w:cs="Book Antiqua"/>
          <w:color w:val="000000"/>
        </w:rPr>
        <w:t>Sechi</w:t>
      </w:r>
      <w:proofErr w:type="spellEnd"/>
      <w:r w:rsidRPr="00BE2B81">
        <w:rPr>
          <w:rFonts w:ascii="Book Antiqua" w:eastAsia="Book Antiqua" w:hAnsi="Book Antiqua" w:cs="Book Antiqua"/>
          <w:color w:val="000000"/>
        </w:rPr>
        <w:t xml:space="preserve"> A, Koo JH, </w:t>
      </w:r>
      <w:proofErr w:type="spellStart"/>
      <w:r w:rsidRPr="00BE2B81">
        <w:rPr>
          <w:rFonts w:ascii="Book Antiqua" w:eastAsia="Book Antiqua" w:hAnsi="Book Antiqua" w:cs="Book Antiqua"/>
          <w:color w:val="000000"/>
        </w:rPr>
        <w:t>Xuan</w:t>
      </w:r>
      <w:proofErr w:type="spellEnd"/>
      <w:r w:rsidRPr="00BE2B81">
        <w:rPr>
          <w:rFonts w:ascii="Book Antiqua" w:eastAsia="Book Antiqua" w:hAnsi="Book Antiqua" w:cs="Book Antiqua"/>
          <w:color w:val="000000"/>
        </w:rPr>
        <w:t xml:space="preserve"> W, </w:t>
      </w:r>
      <w:proofErr w:type="spellStart"/>
      <w:r w:rsidRPr="00BE2B81">
        <w:rPr>
          <w:rFonts w:ascii="Book Antiqua" w:eastAsia="Book Antiqua" w:hAnsi="Book Antiqua" w:cs="Book Antiqua"/>
          <w:color w:val="000000"/>
        </w:rPr>
        <w:t>Bassan</w:t>
      </w:r>
      <w:proofErr w:type="spellEnd"/>
      <w:r w:rsidRPr="00BE2B81">
        <w:rPr>
          <w:rFonts w:ascii="Book Antiqua" w:eastAsia="Book Antiqua" w:hAnsi="Book Antiqua" w:cs="Book Antiqua"/>
          <w:color w:val="000000"/>
        </w:rPr>
        <w:t xml:space="preserve"> M, Ng W, Connor S. Prospective single-blinded single-center randomized controlled trial of Prep Kit-C and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Does underlying inflammatory bowel disease impact tolerability and efficacy? </w:t>
      </w:r>
      <w:r w:rsidRPr="00BE2B81">
        <w:rPr>
          <w:rFonts w:ascii="Book Antiqua" w:eastAsia="Book Antiqua" w:hAnsi="Book Antiqua" w:cs="Book Antiqua"/>
          <w:i/>
          <w:iCs/>
          <w:color w:val="000000"/>
        </w:rPr>
        <w:t xml:space="preserve">World J </w:t>
      </w:r>
      <w:proofErr w:type="spellStart"/>
      <w:r w:rsidRPr="00BE2B81">
        <w:rPr>
          <w:rFonts w:ascii="Book Antiqua" w:eastAsia="Book Antiqua" w:hAnsi="Book Antiqua" w:cs="Book Antiqua"/>
          <w:i/>
          <w:iCs/>
          <w:color w:val="000000"/>
        </w:rPr>
        <w:t>Gastroenterol</w:t>
      </w:r>
      <w:proofErr w:type="spellEnd"/>
      <w:r w:rsidRPr="00BE2B81">
        <w:rPr>
          <w:rFonts w:ascii="Book Antiqua" w:eastAsia="Book Antiqua" w:hAnsi="Book Antiqua" w:cs="Book Antiqua"/>
          <w:color w:val="000000"/>
        </w:rPr>
        <w:t xml:space="preserve"> 2021; </w:t>
      </w:r>
      <w:r w:rsidRPr="00C43EE3">
        <w:rPr>
          <w:rFonts w:ascii="Book Antiqua" w:eastAsia="Book Antiqua" w:hAnsi="Book Antiqua" w:cs="Book Antiqua"/>
          <w:color w:val="000000"/>
        </w:rPr>
        <w:t xml:space="preserve">27(11): </w:t>
      </w:r>
      <w:r>
        <w:rPr>
          <w:rFonts w:ascii="Book Antiqua" w:hAnsi="Book Antiqua" w:hint="eastAsia"/>
        </w:rPr>
        <w:t>1090</w:t>
      </w:r>
      <w:r>
        <w:rPr>
          <w:rFonts w:ascii="Book Antiqua" w:hAnsi="Book Antiqua" w:hint="eastAsia"/>
          <w:lang w:eastAsia="zh-CN"/>
        </w:rPr>
        <w:t>-</w:t>
      </w:r>
      <w:proofErr w:type="gramStart"/>
      <w:r>
        <w:rPr>
          <w:rFonts w:ascii="Book Antiqua" w:hAnsi="Book Antiqua" w:hint="eastAsia"/>
        </w:rPr>
        <w:t>1100</w:t>
      </w:r>
      <w:r w:rsidRPr="00C43EE3">
        <w:rPr>
          <w:rFonts w:ascii="Book Antiqua" w:eastAsia="Book Antiqua" w:hAnsi="Book Antiqua" w:cs="Book Antiqua"/>
          <w:color w:val="000000"/>
        </w:rPr>
        <w:t xml:space="preserve">  </w:t>
      </w:r>
      <w:r w:rsidRPr="00841E02">
        <w:rPr>
          <w:rFonts w:ascii="Book Antiqua" w:eastAsia="Book Antiqua" w:hAnsi="Book Antiqua" w:cs="Book Antiqua"/>
          <w:b/>
          <w:color w:val="000000"/>
        </w:rPr>
        <w:t>URL</w:t>
      </w:r>
      <w:proofErr w:type="gramEnd"/>
      <w:r w:rsidRPr="00841E02">
        <w:rPr>
          <w:rFonts w:ascii="Book Antiqua" w:eastAsia="Book Antiqua" w:hAnsi="Book Antiqua" w:cs="Book Antiqua"/>
          <w:b/>
          <w:color w:val="000000"/>
        </w:rPr>
        <w:t>:</w:t>
      </w:r>
      <w:r w:rsidRPr="00C43EE3">
        <w:rPr>
          <w:rFonts w:ascii="Book Antiqua" w:eastAsia="Book Antiqua" w:hAnsi="Book Antiqua" w:cs="Book Antiqua"/>
          <w:color w:val="000000"/>
        </w:rPr>
        <w:t xml:space="preserve"> https://www.wjgnet.com/1007-9327/full/v27/i11/</w:t>
      </w:r>
      <w:r>
        <w:rPr>
          <w:rFonts w:ascii="Book Antiqua" w:hAnsi="Book Antiqua" w:cs="Book Antiqua" w:hint="eastAsia"/>
          <w:color w:val="000000"/>
          <w:lang w:eastAsia="zh-CN"/>
        </w:rPr>
        <w:t>1090</w:t>
      </w:r>
      <w:r w:rsidRPr="00C43EE3">
        <w:rPr>
          <w:rFonts w:ascii="Book Antiqua" w:eastAsia="Book Antiqua" w:hAnsi="Book Antiqua" w:cs="Book Antiqua"/>
          <w:color w:val="000000"/>
        </w:rPr>
        <w:t xml:space="preserve">.htm  </w:t>
      </w:r>
    </w:p>
    <w:p w14:paraId="2E989987" w14:textId="77777777" w:rsidR="00401E75" w:rsidRPr="00B617B0" w:rsidRDefault="00401E75" w:rsidP="00401E75">
      <w:pPr>
        <w:snapToGrid w:val="0"/>
        <w:spacing w:line="360" w:lineRule="auto"/>
        <w:jc w:val="both"/>
        <w:rPr>
          <w:rFonts w:ascii="Book Antiqua" w:hAnsi="Book Antiqua"/>
          <w:lang w:eastAsia="zh-CN"/>
        </w:rPr>
      </w:pPr>
      <w:r w:rsidRPr="00841E02">
        <w:rPr>
          <w:rFonts w:ascii="Book Antiqua" w:eastAsia="Book Antiqua" w:hAnsi="Book Antiqua" w:cs="Book Antiqua"/>
          <w:b/>
          <w:color w:val="000000"/>
        </w:rPr>
        <w:t xml:space="preserve">DOI: </w:t>
      </w:r>
      <w:r w:rsidRPr="00C43EE3">
        <w:rPr>
          <w:rFonts w:ascii="Book Antiqua" w:eastAsia="Book Antiqua" w:hAnsi="Book Antiqua" w:cs="Book Antiqua"/>
          <w:color w:val="000000"/>
        </w:rPr>
        <w:t>https://dx.doi.org/10.3748/wjg.v27.i11.</w:t>
      </w:r>
      <w:r>
        <w:rPr>
          <w:rFonts w:ascii="Book Antiqua" w:hAnsi="Book Antiqua" w:cs="Book Antiqua" w:hint="eastAsia"/>
          <w:color w:val="000000"/>
          <w:lang w:eastAsia="zh-CN"/>
        </w:rPr>
        <w:t>1090</w:t>
      </w:r>
    </w:p>
    <w:bookmarkEnd w:id="38"/>
    <w:bookmarkEnd w:id="39"/>
    <w:p w14:paraId="10835580" w14:textId="77777777" w:rsidR="00A77B3E" w:rsidRPr="00BE2B81" w:rsidRDefault="00A77B3E" w:rsidP="00BE2B81">
      <w:pPr>
        <w:snapToGrid w:val="0"/>
        <w:spacing w:line="360" w:lineRule="auto"/>
        <w:jc w:val="both"/>
        <w:rPr>
          <w:rFonts w:ascii="Book Antiqua" w:hAnsi="Book Antiqua"/>
        </w:rPr>
      </w:pPr>
    </w:p>
    <w:p w14:paraId="1973D855" w14:textId="158C2FE6"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Core Tip: </w:t>
      </w:r>
      <w:bookmarkStart w:id="40" w:name="OLE_LINK24"/>
      <w:bookmarkStart w:id="41" w:name="OLE_LINK29"/>
      <w:r w:rsidRPr="00BE2B81">
        <w:rPr>
          <w:rFonts w:ascii="Book Antiqua" w:eastAsia="Book Antiqua" w:hAnsi="Book Antiqua" w:cs="Book Antiqua"/>
          <w:color w:val="000000"/>
        </w:rPr>
        <w:t xml:space="preserve">When comparing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and Prep-Kit C</w:t>
      </w:r>
      <w:r w:rsidR="00A13025">
        <w:rPr>
          <w:rFonts w:ascii="Book Antiqua" w:eastAsia="Book Antiqua" w:hAnsi="Book Antiqua" w:cs="Book Antiqua"/>
          <w:color w:val="000000"/>
        </w:rPr>
        <w:t xml:space="preserve"> (</w:t>
      </w:r>
      <w:bookmarkStart w:id="42" w:name="OLE_LINK89"/>
      <w:r w:rsidR="00A13025">
        <w:rPr>
          <w:rFonts w:ascii="Book Antiqua" w:eastAsia="Book Antiqua" w:hAnsi="Book Antiqua" w:cs="Book Antiqua"/>
          <w:color w:val="000000"/>
        </w:rPr>
        <w:t>Pc</w:t>
      </w:r>
      <w:bookmarkEnd w:id="42"/>
      <w:r w:rsidR="00A13025">
        <w:rPr>
          <w:rFonts w:ascii="Book Antiqua" w:eastAsia="Book Antiqua" w:hAnsi="Book Antiqua" w:cs="Book Antiqua"/>
          <w:color w:val="000000"/>
        </w:rPr>
        <w:t>)</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in patients with and without </w:t>
      </w:r>
      <w:r w:rsidR="000D0B72" w:rsidRPr="00BE2B81">
        <w:rPr>
          <w:rFonts w:ascii="Book Antiqua" w:eastAsia="Book Antiqua" w:hAnsi="Book Antiqua" w:cs="Book Antiqua"/>
          <w:color w:val="000000"/>
        </w:rPr>
        <w:t xml:space="preserve">inflammatory bowel disease </w:t>
      </w:r>
      <w:r w:rsidRPr="00BE2B81">
        <w:rPr>
          <w:rFonts w:ascii="Book Antiqua" w:eastAsia="Book Antiqua" w:hAnsi="Book Antiqua" w:cs="Book Antiqua"/>
          <w:color w:val="000000"/>
        </w:rPr>
        <w:t xml:space="preserve">(IBD): </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1)</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Efficacy, tolerability and </w:t>
      </w:r>
      <w:r w:rsidRPr="00BE2B81">
        <w:rPr>
          <w:rFonts w:ascii="Book Antiqua" w:eastAsia="Book Antiqua" w:hAnsi="Book Antiqua" w:cs="Book Antiqua"/>
          <w:color w:val="000000"/>
        </w:rPr>
        <w:lastRenderedPageBreak/>
        <w:t xml:space="preserve">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w:t>
      </w:r>
      <w:r w:rsidR="00A13025">
        <w:rPr>
          <w:rFonts w:ascii="Book Antiqua" w:eastAsia="Book Antiqua" w:hAnsi="Book Antiqua" w:cs="Book Antiqua"/>
          <w:color w:val="000000"/>
        </w:rPr>
        <w:t>Pc</w:t>
      </w:r>
      <w:r w:rsidRPr="00BE2B81">
        <w:rPr>
          <w:rFonts w:ascii="Book Antiqua" w:eastAsia="Book Antiqua" w:hAnsi="Book Antiqua" w:cs="Book Antiqua"/>
          <w:color w:val="000000"/>
        </w:rPr>
        <w:t xml:space="preserve"> are similar</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2)</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Participants with IBD reported lower tolerability with both preparations</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w:t>
      </w:r>
      <w:r w:rsidR="004317B7" w:rsidRPr="00BE2B81">
        <w:rPr>
          <w:rFonts w:ascii="Book Antiqua" w:eastAsia="Book Antiqua" w:hAnsi="Book Antiqua" w:cs="Book Antiqua"/>
          <w:color w:val="000000"/>
        </w:rPr>
        <w:t>(</w:t>
      </w:r>
      <w:r w:rsidRPr="00BE2B81">
        <w:rPr>
          <w:rFonts w:ascii="Book Antiqua" w:eastAsia="Book Antiqua" w:hAnsi="Book Antiqua" w:cs="Book Antiqua"/>
          <w:color w:val="000000"/>
        </w:rPr>
        <w:t>3)</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IBD participants described more abdominal pain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Consideration of these results are important when discussing bowel preparation with IBD patients.</w:t>
      </w:r>
    </w:p>
    <w:bookmarkEnd w:id="40"/>
    <w:bookmarkEnd w:id="41"/>
    <w:p w14:paraId="0C3EFDA3" w14:textId="77777777" w:rsidR="00A77B3E" w:rsidRPr="00BE2B81" w:rsidRDefault="00A77B3E" w:rsidP="00BE2B81">
      <w:pPr>
        <w:snapToGrid w:val="0"/>
        <w:spacing w:line="360" w:lineRule="auto"/>
        <w:jc w:val="both"/>
        <w:rPr>
          <w:rFonts w:ascii="Book Antiqua" w:hAnsi="Book Antiqua"/>
        </w:rPr>
      </w:pPr>
    </w:p>
    <w:p w14:paraId="67951800" w14:textId="1806C9FE"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INTRODUCTION</w:t>
      </w:r>
    </w:p>
    <w:p w14:paraId="5DC6A445" w14:textId="2B2DCFF0" w:rsidR="00A77B3E" w:rsidRPr="00BE2B81" w:rsidRDefault="005B2BA9" w:rsidP="00BE2B81">
      <w:pPr>
        <w:snapToGrid w:val="0"/>
        <w:spacing w:line="360" w:lineRule="auto"/>
        <w:jc w:val="both"/>
        <w:rPr>
          <w:rFonts w:ascii="Book Antiqua" w:hAnsi="Book Antiqua"/>
        </w:rPr>
      </w:pPr>
      <w:bookmarkStart w:id="43" w:name="OLE_LINK50"/>
      <w:bookmarkStart w:id="44" w:name="OLE_LINK51"/>
      <w:r w:rsidRPr="00BE2B81">
        <w:rPr>
          <w:rFonts w:ascii="Book Antiqua" w:eastAsia="Book Antiqua" w:hAnsi="Book Antiqua" w:cs="Book Antiqua"/>
          <w:color w:val="000000"/>
        </w:rPr>
        <w:t xml:space="preserve">Colonoscopy remains the gold standard for detection of colonic disease. An optimal evaluation depends on adequate bowel cleansing. Suboptimal preparation occurs in up to 25% of colonoscopies and results in aborted or incomplete examinations in up to 7% of </w:t>
      </w:r>
      <w:proofErr w:type="gramStart"/>
      <w:r w:rsidRPr="00BE2B81">
        <w:rPr>
          <w:rFonts w:ascii="Book Antiqua" w:eastAsia="Book Antiqua" w:hAnsi="Book Antiqua" w:cs="Book Antiqua"/>
          <w:color w:val="000000"/>
        </w:rPr>
        <w:t>procedures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1,2]</w:t>
      </w:r>
      <w:r w:rsidRPr="00BE2B81">
        <w:rPr>
          <w:rFonts w:ascii="Book Antiqua" w:eastAsia="Book Antiqua" w:hAnsi="Book Antiqua" w:cs="Book Antiqua"/>
          <w:color w:val="000000"/>
        </w:rPr>
        <w:t>. Suboptimal preparation is associated with longer procedural time, increased need for repeat procedures, lower overall polyp detection rates, including detection of flat (non-polypoid) lesions, small polyps (&lt; 10</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mm) and large polyps (&gt;</w:t>
      </w:r>
      <w:r w:rsidR="004317B7"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10 mm)</w:t>
      </w:r>
      <w:r w:rsidRPr="00BE2B81">
        <w:rPr>
          <w:rFonts w:ascii="Book Antiqua" w:eastAsia="Book Antiqua" w:hAnsi="Book Antiqua" w:cs="Book Antiqua"/>
          <w:color w:val="000000"/>
          <w:vertAlign w:val="superscript"/>
        </w:rPr>
        <w:t>[1,3]</w:t>
      </w:r>
      <w:r w:rsidRPr="00BE2B81">
        <w:rPr>
          <w:rFonts w:ascii="Book Antiqua" w:eastAsia="Book Antiqua" w:hAnsi="Book Antiqua" w:cs="Book Antiqua"/>
          <w:color w:val="000000"/>
        </w:rPr>
        <w:t xml:space="preserve">. The </w:t>
      </w:r>
      <w:bookmarkStart w:id="45" w:name="_Hlk64815913"/>
      <w:r w:rsidRPr="00BE2B81">
        <w:rPr>
          <w:rFonts w:ascii="Book Antiqua" w:eastAsia="Book Antiqua" w:hAnsi="Book Antiqua" w:cs="Book Antiqua"/>
          <w:color w:val="000000"/>
        </w:rPr>
        <w:t>American Society for Gastrointestinal Endoscopy</w:t>
      </w:r>
      <w:bookmarkEnd w:id="45"/>
      <w:r w:rsidR="006E05D3"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recommends the rate of inadequate bowel preparation should not exceed 15</w:t>
      </w:r>
      <w:proofErr w:type="gramStart"/>
      <w:r w:rsidRPr="00BE2B81">
        <w:rPr>
          <w:rFonts w:ascii="Book Antiqua" w:eastAsia="Book Antiqua" w:hAnsi="Book Antiqua" w:cs="Book Antiqua"/>
          <w:color w:val="000000"/>
        </w:rPr>
        <w: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4]</w:t>
      </w:r>
      <w:r w:rsidRPr="00BE2B81">
        <w:rPr>
          <w:rFonts w:ascii="Book Antiqua" w:eastAsia="Book Antiqua" w:hAnsi="Book Antiqua" w:cs="Book Antiqua"/>
          <w:color w:val="000000"/>
        </w:rPr>
        <w:t>.</w:t>
      </w:r>
    </w:p>
    <w:p w14:paraId="0A7B8ACA" w14:textId="4BD08252" w:rsidR="00A77B3E" w:rsidRPr="00BE2B81" w:rsidRDefault="005B2BA9" w:rsidP="00BE2B81">
      <w:pPr>
        <w:snapToGrid w:val="0"/>
        <w:spacing w:line="360" w:lineRule="auto"/>
        <w:ind w:firstLineChars="100" w:firstLine="240"/>
        <w:jc w:val="both"/>
        <w:rPr>
          <w:rFonts w:ascii="Book Antiqua" w:eastAsia="Book Antiqua" w:hAnsi="Book Antiqua" w:cs="Book Antiqua"/>
          <w:color w:val="000000"/>
        </w:rPr>
      </w:pPr>
      <w:r w:rsidRPr="00BE2B81">
        <w:rPr>
          <w:rFonts w:ascii="Book Antiqua" w:eastAsia="Book Antiqua" w:hAnsi="Book Antiqua" w:cs="Book Antiqua"/>
          <w:color w:val="000000"/>
        </w:rPr>
        <w:t xml:space="preserve">Efficacious bowel preparation is not solely dependent on the type of preparation used. Preparation is enhanced when instructions regarding bowel preparation are explained thoroughly, interpreters are used (when required), a split regime is used and when the type of preparation is individualized to the patient’s age and </w:t>
      </w:r>
      <w:proofErr w:type="gramStart"/>
      <w:r w:rsidRPr="00BE2B81">
        <w:rPr>
          <w:rFonts w:ascii="Book Antiqua" w:eastAsia="Book Antiqua" w:hAnsi="Book Antiqua" w:cs="Book Antiqua"/>
          <w:color w:val="000000"/>
        </w:rPr>
        <w:t>comorbidities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5,6]</w:t>
      </w:r>
      <w:r w:rsidRPr="00BE2B81">
        <w:rPr>
          <w:rFonts w:ascii="Book Antiqua" w:eastAsia="Book Antiqua" w:hAnsi="Book Antiqua" w:cs="Book Antiqua"/>
          <w:color w:val="000000"/>
        </w:rPr>
        <w:t>.</w:t>
      </w:r>
    </w:p>
    <w:p w14:paraId="3EC631B7" w14:textId="77777777" w:rsidR="00E84DD5" w:rsidRPr="00BE2B81" w:rsidRDefault="00E84DD5"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Adequate bowel preparation is particularly important in patients with inflammatory bowel disease (IBD). These patients have an increased risk of developing colonic dysplasia and neoplasia. The increasingly adopted technique of chromoendoscopy is also highly dependent on excellent bowel </w:t>
      </w:r>
      <w:proofErr w:type="gramStart"/>
      <w:r w:rsidRPr="00BE2B81">
        <w:rPr>
          <w:rFonts w:ascii="Book Antiqua" w:eastAsia="Book Antiqua" w:hAnsi="Book Antiqua" w:cs="Book Antiqua"/>
          <w:color w:val="000000"/>
        </w:rPr>
        <w:t>cleansing</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7]</w:t>
      </w:r>
      <w:r w:rsidRPr="00BE2B81">
        <w:rPr>
          <w:rFonts w:ascii="Book Antiqua" w:eastAsia="Book Antiqua" w:hAnsi="Book Antiqua" w:cs="Book Antiqua"/>
          <w:color w:val="000000"/>
        </w:rPr>
        <w:t xml:space="preserve">. With the increasing annual incidence (24 per 100000) and prevalence (345 per 100000) of IBD in </w:t>
      </w:r>
      <w:proofErr w:type="gramStart"/>
      <w:r w:rsidRPr="00BE2B81">
        <w:rPr>
          <w:rFonts w:ascii="Book Antiqua" w:eastAsia="Book Antiqua" w:hAnsi="Book Antiqua" w:cs="Book Antiqua"/>
          <w:color w:val="000000"/>
        </w:rPr>
        <w:t>Australia</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8]</w:t>
      </w:r>
      <w:r w:rsidRPr="00BE2B81">
        <w:rPr>
          <w:rFonts w:ascii="Book Antiqua" w:eastAsia="Book Antiqua" w:hAnsi="Book Antiqua" w:cs="Book Antiqua"/>
          <w:color w:val="000000"/>
        </w:rPr>
        <w:t xml:space="preserve">, efficacious colonoscopy is crucial. Low tolerability of bowel preparation is reported in IBD patients, although this has not been prospectively </w:t>
      </w:r>
      <w:proofErr w:type="gramStart"/>
      <w:r w:rsidRPr="00BE2B81">
        <w:rPr>
          <w:rFonts w:ascii="Book Antiqua" w:eastAsia="Book Antiqua" w:hAnsi="Book Antiqua" w:cs="Book Antiqua"/>
          <w:color w:val="000000"/>
        </w:rPr>
        <w:t>validated</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9]</w:t>
      </w:r>
      <w:r w:rsidRPr="00BE2B81">
        <w:rPr>
          <w:rFonts w:ascii="Book Antiqua" w:eastAsia="Book Antiqua" w:hAnsi="Book Antiqua" w:cs="Book Antiqua"/>
          <w:color w:val="000000"/>
        </w:rPr>
        <w:t xml:space="preserve">. The exact mechanism driving such low tolerability is unclear. It may relate to abdominal pain, nausea and </w:t>
      </w:r>
      <w:proofErr w:type="gramStart"/>
      <w:r w:rsidRPr="00BE2B81">
        <w:rPr>
          <w:rFonts w:ascii="Book Antiqua" w:eastAsia="Book Antiqua" w:hAnsi="Book Antiqua" w:cs="Book Antiqua"/>
          <w:color w:val="000000"/>
        </w:rPr>
        <w:t>vomiting</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1,9]</w:t>
      </w:r>
      <w:r w:rsidRPr="00BE2B81">
        <w:rPr>
          <w:rFonts w:ascii="Book Antiqua" w:eastAsia="Book Antiqua" w:hAnsi="Book Antiqua" w:cs="Book Antiqua"/>
          <w:color w:val="000000"/>
        </w:rPr>
        <w:t xml:space="preserve">. Additional </w:t>
      </w:r>
      <w:r w:rsidRPr="00BE2B81">
        <w:rPr>
          <w:rFonts w:ascii="Book Antiqua" w:eastAsia="Book Antiqua" w:hAnsi="Book Antiqua" w:cs="Book Antiqua"/>
          <w:color w:val="000000"/>
        </w:rPr>
        <w:lastRenderedPageBreak/>
        <w:t xml:space="preserve">factors that have been reported include previous surgery, intestinal stenosis, altered motility, anxiety, or heightened visceral sensitivity and pre-procedure dietary </w:t>
      </w:r>
      <w:proofErr w:type="gramStart"/>
      <w:r w:rsidRPr="00BE2B81">
        <w:rPr>
          <w:rFonts w:ascii="Book Antiqua" w:eastAsia="Book Antiqua" w:hAnsi="Book Antiqua" w:cs="Book Antiqua"/>
          <w:color w:val="000000"/>
        </w:rPr>
        <w:t>recommendations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1,9]</w:t>
      </w:r>
      <w:r w:rsidRPr="00BE2B81">
        <w:rPr>
          <w:rFonts w:ascii="Book Antiqua" w:eastAsia="Book Antiqua" w:hAnsi="Book Antiqua" w:cs="Book Antiqua"/>
          <w:color w:val="000000"/>
        </w:rPr>
        <w:t>.</w:t>
      </w:r>
    </w:p>
    <w:p w14:paraId="51FF0095" w14:textId="77777777" w:rsidR="00E84DD5" w:rsidRPr="00BE2B81" w:rsidRDefault="00E84DD5" w:rsidP="00BE2B81">
      <w:pPr>
        <w:snapToGrid w:val="0"/>
        <w:spacing w:line="360" w:lineRule="auto"/>
        <w:ind w:firstLineChars="100" w:firstLine="240"/>
        <w:jc w:val="both"/>
        <w:rPr>
          <w:rFonts w:ascii="Book Antiqua" w:hAnsi="Book Antiqua"/>
        </w:rPr>
      </w:pPr>
    </w:p>
    <w:p w14:paraId="09599C3E" w14:textId="03B5D82D" w:rsidR="00A77B3E" w:rsidRPr="00BE2B81" w:rsidRDefault="005B2BA9" w:rsidP="00BE2B81">
      <w:pPr>
        <w:snapToGrid w:val="0"/>
        <w:spacing w:line="360" w:lineRule="auto"/>
        <w:ind w:firstLineChars="100" w:firstLine="240"/>
        <w:jc w:val="both"/>
        <w:rPr>
          <w:rFonts w:ascii="Book Antiqua" w:eastAsia="Book Antiqua" w:hAnsi="Book Antiqua" w:cs="Book Antiqua"/>
          <w:color w:val="000000"/>
        </w:rPr>
      </w:pPr>
      <w:r w:rsidRPr="00BE2B81">
        <w:rPr>
          <w:rFonts w:ascii="Book Antiqua" w:eastAsia="Book Antiqua" w:hAnsi="Book Antiqua" w:cs="Book Antiqua"/>
          <w:color w:val="000000"/>
        </w:rPr>
        <w:t>In the general population, poor bowel preparation is more commonly seen in males, smokers, the elderly, patients with a history of stroke, dementia, diabetes, previous colonic resection and in patients who take opioids, psychotropic drugs and calcium channel blockers</w:t>
      </w:r>
      <w:r w:rsidRPr="00BE2B81">
        <w:rPr>
          <w:rFonts w:ascii="Book Antiqua" w:eastAsia="Book Antiqua" w:hAnsi="Book Antiqua" w:cs="Book Antiqua"/>
          <w:color w:val="000000"/>
          <w:vertAlign w:val="superscript"/>
        </w:rPr>
        <w:t>[4,10</w:t>
      </w:r>
      <w:r w:rsidR="006E05D3" w:rsidRPr="00BE2B81">
        <w:rPr>
          <w:rFonts w:ascii="Book Antiqua" w:eastAsia="Book Antiqua" w:hAnsi="Book Antiqua" w:cs="Book Antiqua"/>
          <w:color w:val="000000"/>
          <w:vertAlign w:val="superscript"/>
        </w:rPr>
        <w:t>-</w:t>
      </w:r>
      <w:r w:rsidRPr="00BE2B81">
        <w:rPr>
          <w:rFonts w:ascii="Book Antiqua" w:eastAsia="Book Antiqua" w:hAnsi="Book Antiqua" w:cs="Book Antiqua"/>
          <w:color w:val="000000"/>
          <w:vertAlign w:val="superscript"/>
        </w:rPr>
        <w:t>12]</w:t>
      </w:r>
      <w:r w:rsidRPr="00BE2B81">
        <w:rPr>
          <w:rFonts w:ascii="Book Antiqua" w:eastAsia="Book Antiqua" w:hAnsi="Book Antiqua" w:cs="Book Antiqua"/>
          <w:color w:val="000000"/>
        </w:rPr>
        <w:t xml:space="preserve">. Tolerability is one of the most significant factors contributing to efficacy of preparation. Efficacy and tolerability are related, and synergistically both contribute to “effectiveness” of a </w:t>
      </w:r>
      <w:proofErr w:type="gramStart"/>
      <w:r w:rsidRPr="00BE2B81">
        <w:rPr>
          <w:rFonts w:ascii="Book Antiqua" w:eastAsia="Book Antiqua" w:hAnsi="Book Antiqua" w:cs="Book Antiqua"/>
          <w:color w:val="000000"/>
        </w:rPr>
        <w:t>preparation</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13]</w:t>
      </w:r>
      <w:r w:rsidRPr="00BE2B81">
        <w:rPr>
          <w:rFonts w:ascii="Book Antiqua" w:eastAsia="Book Antiqua" w:hAnsi="Book Antiqua" w:cs="Book Antiqua"/>
          <w:color w:val="000000"/>
        </w:rPr>
        <w:t>. If the preparation is not well tolerated, even if otherwise efficacious, it will not be consumed, leading to reduced effectiveness.</w:t>
      </w:r>
    </w:p>
    <w:p w14:paraId="1D276B21" w14:textId="6308AE9D" w:rsidR="00E84DD5" w:rsidRPr="00BE2B81" w:rsidRDefault="00E84DD5"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In Australia, several bowel cleansing agents are available. Bowel preparations are usually based on solutions of polyethylene glycol (PEG</w:t>
      </w:r>
      <w:proofErr w:type="gramStart"/>
      <w:r w:rsidRPr="00BE2B81">
        <w:rPr>
          <w:rFonts w:ascii="Book Antiqua" w:eastAsia="Book Antiqua" w:hAnsi="Book Antiqua" w:cs="Book Antiqua"/>
          <w:color w:val="000000"/>
        </w:rPr>
        <w: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14,15]</w:t>
      </w:r>
      <w:r w:rsidRPr="00BE2B81">
        <w:rPr>
          <w:rFonts w:ascii="Book Antiqua" w:eastAsia="Book Antiqua" w:hAnsi="Book Antiqua" w:cs="Book Antiqua"/>
          <w:color w:val="000000"/>
        </w:rPr>
        <w:t xml:space="preserve">. Prep Kit-C (Pc) is a combination of </w:t>
      </w:r>
      <w:proofErr w:type="spellStart"/>
      <w:r w:rsidRPr="00BE2B81">
        <w:rPr>
          <w:rFonts w:ascii="Book Antiqua" w:eastAsia="Book Antiqua" w:hAnsi="Book Antiqua" w:cs="Book Antiqua"/>
          <w:color w:val="000000"/>
        </w:rPr>
        <w:t>Picoprep</w:t>
      </w:r>
      <w:proofErr w:type="spellEnd"/>
      <w:r w:rsidRPr="00BE2B81">
        <w:rPr>
          <w:rFonts w:ascii="Book Antiqua" w:eastAsia="Book Antiqua" w:hAnsi="Book Antiqua" w:cs="Book Antiqua"/>
          <w:color w:val="000000"/>
        </w:rPr>
        <w:t xml:space="preserve"> (Sodium </w:t>
      </w:r>
      <w:proofErr w:type="spellStart"/>
      <w:r w:rsidRPr="00BE2B81">
        <w:rPr>
          <w:rFonts w:ascii="Book Antiqua" w:eastAsia="Book Antiqua" w:hAnsi="Book Antiqua" w:cs="Book Antiqua"/>
          <w:color w:val="000000"/>
        </w:rPr>
        <w:t>picosulphate⁄magnesium</w:t>
      </w:r>
      <w:proofErr w:type="spellEnd"/>
      <w:r w:rsidRPr="00BE2B81">
        <w:rPr>
          <w:rFonts w:ascii="Book Antiqua" w:eastAsia="Book Antiqua" w:hAnsi="Book Antiqua" w:cs="Book Antiqua"/>
          <w:color w:val="000000"/>
        </w:rPr>
        <w:t xml:space="preserve"> citrate) and </w:t>
      </w:r>
      <w:proofErr w:type="spellStart"/>
      <w:r w:rsidRPr="00BE2B81">
        <w:rPr>
          <w:rFonts w:ascii="Book Antiqua" w:eastAsia="Book Antiqua" w:hAnsi="Book Antiqua" w:cs="Book Antiqua"/>
          <w:color w:val="000000"/>
        </w:rPr>
        <w:t>glycoprep</w:t>
      </w:r>
      <w:proofErr w:type="spellEnd"/>
      <w:r w:rsidRPr="00BE2B81">
        <w:rPr>
          <w:rFonts w:ascii="Book Antiqua" w:eastAsia="Book Antiqua" w:hAnsi="Book Antiqua" w:cs="Book Antiqua"/>
          <w:color w:val="000000"/>
        </w:rPr>
        <w:t xml:space="preserve"> (PEG). </w:t>
      </w:r>
      <w:proofErr w:type="spellStart"/>
      <w:r w:rsidRPr="00BE2B81">
        <w:rPr>
          <w:rFonts w:ascii="Book Antiqua" w:eastAsia="Book Antiqua" w:hAnsi="Book Antiqua" w:cs="Book Antiqua"/>
          <w:color w:val="000000"/>
        </w:rPr>
        <w:t>Picoprep</w:t>
      </w:r>
      <w:proofErr w:type="spellEnd"/>
      <w:r w:rsidRPr="00BE2B81">
        <w:rPr>
          <w:rFonts w:ascii="Book Antiqua" w:eastAsia="Book Antiqua" w:hAnsi="Book Antiqua" w:cs="Book Antiqua"/>
          <w:color w:val="000000"/>
        </w:rPr>
        <w:t xml:space="preserve"> is a small volume, hyperosmotic solution, primarily exerting its action through osmotically drawing fluid into the intestinal lumen.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is a combination of low volume PEG solution with ascorbic acid. The ascorbic acid has osmotic laxative effects and a pleasant </w:t>
      </w:r>
      <w:proofErr w:type="gramStart"/>
      <w:r w:rsidRPr="00BE2B81">
        <w:rPr>
          <w:rFonts w:ascii="Book Antiqua" w:eastAsia="Book Antiqua" w:hAnsi="Book Antiqua" w:cs="Book Antiqua"/>
          <w:color w:val="000000"/>
        </w:rPr>
        <w:t>taste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14,16]</w:t>
      </w:r>
      <w:r w:rsidRPr="00BE2B81">
        <w:rPr>
          <w:rFonts w:ascii="Book Antiqua" w:eastAsia="Book Antiqua" w:hAnsi="Book Antiqua" w:cs="Book Antiqua"/>
          <w:color w:val="000000"/>
        </w:rPr>
        <w:t xml:space="preserve">. Both Pc and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are approved for use under the Australian therapeutic goods administration.</w:t>
      </w:r>
    </w:p>
    <w:p w14:paraId="4383B888" w14:textId="77777777"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At present, there are no prospective studies which examine tolerability, efficacy and safety of Pc when compared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in both the general and IBD populations. This study’s primary aim was to compare tolerability, efficacy and safety of split protocols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with Pc in participants having a colonoscopy. The secondary aim was to compare the efficacy and tolerability of either preparation in participants with or without IBD.</w:t>
      </w:r>
    </w:p>
    <w:bookmarkEnd w:id="43"/>
    <w:bookmarkEnd w:id="44"/>
    <w:p w14:paraId="2F4B1079" w14:textId="77777777" w:rsidR="00A77B3E" w:rsidRPr="00BE2B81" w:rsidRDefault="00A77B3E" w:rsidP="00BE2B81">
      <w:pPr>
        <w:snapToGrid w:val="0"/>
        <w:spacing w:line="360" w:lineRule="auto"/>
        <w:jc w:val="both"/>
        <w:rPr>
          <w:rFonts w:ascii="Book Antiqua" w:hAnsi="Book Antiqua"/>
        </w:rPr>
      </w:pPr>
    </w:p>
    <w:p w14:paraId="6DC3CE57"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MATERIALS AND METHODS</w:t>
      </w:r>
    </w:p>
    <w:p w14:paraId="0BCFDE63" w14:textId="77777777" w:rsidR="00A77B3E" w:rsidRPr="00BE2B81" w:rsidRDefault="005B2BA9" w:rsidP="00BE2B81">
      <w:pPr>
        <w:snapToGrid w:val="0"/>
        <w:spacing w:line="360" w:lineRule="auto"/>
        <w:jc w:val="both"/>
        <w:rPr>
          <w:rFonts w:ascii="Book Antiqua" w:hAnsi="Book Antiqua"/>
          <w:i/>
          <w:iCs/>
        </w:rPr>
      </w:pPr>
      <w:bookmarkStart w:id="46" w:name="OLE_LINK52"/>
      <w:bookmarkStart w:id="47" w:name="OLE_LINK53"/>
      <w:r w:rsidRPr="00BE2B81">
        <w:rPr>
          <w:rFonts w:ascii="Book Antiqua" w:eastAsia="Book Antiqua" w:hAnsi="Book Antiqua" w:cs="Book Antiqua"/>
          <w:b/>
          <w:bCs/>
          <w:i/>
          <w:iCs/>
          <w:color w:val="000000"/>
        </w:rPr>
        <w:lastRenderedPageBreak/>
        <w:t>Methods</w:t>
      </w:r>
    </w:p>
    <w:p w14:paraId="40933C54"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A prospective, randomized, single blinded trial was conducted at a single tertiary referral center. Recruitment of patients occurred from March 2013 to December 2016. Approval was obtained from the Institutional Human Ethics and Research Office (reference HREC/12/LPOOL/108). </w:t>
      </w:r>
    </w:p>
    <w:p w14:paraId="6B7E3D7A" w14:textId="77777777" w:rsidR="00A77B3E" w:rsidRPr="00BE2B81" w:rsidRDefault="00A77B3E" w:rsidP="00BE2B81">
      <w:pPr>
        <w:snapToGrid w:val="0"/>
        <w:spacing w:line="360" w:lineRule="auto"/>
        <w:jc w:val="both"/>
        <w:rPr>
          <w:rFonts w:ascii="Book Antiqua" w:hAnsi="Book Antiqua"/>
        </w:rPr>
      </w:pPr>
    </w:p>
    <w:p w14:paraId="65095ECA" w14:textId="1ADA9601"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 xml:space="preserve">Inclusion </w:t>
      </w:r>
      <w:r w:rsidR="00362EEE" w:rsidRPr="00BE2B81">
        <w:rPr>
          <w:rFonts w:ascii="Book Antiqua" w:eastAsia="Book Antiqua" w:hAnsi="Book Antiqua" w:cs="Book Antiqua"/>
          <w:b/>
          <w:bCs/>
          <w:i/>
          <w:iCs/>
          <w:color w:val="000000"/>
        </w:rPr>
        <w:t>c</w:t>
      </w:r>
      <w:r w:rsidRPr="00BE2B81">
        <w:rPr>
          <w:rFonts w:ascii="Book Antiqua" w:eastAsia="Book Antiqua" w:hAnsi="Book Antiqua" w:cs="Book Antiqua"/>
          <w:b/>
          <w:bCs/>
          <w:i/>
          <w:iCs/>
          <w:color w:val="000000"/>
        </w:rPr>
        <w:t>riteria</w:t>
      </w:r>
    </w:p>
    <w:p w14:paraId="338653C2" w14:textId="7D7983F3"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All patients aged between 18-75 years requiring an outpatient colonoscopy were invited to participate in this study. Patients identified as having IBD required histological evidence of Crohn’s disease</w:t>
      </w:r>
      <w:r w:rsidR="00362EE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or </w:t>
      </w:r>
      <w:bookmarkStart w:id="48" w:name="_Hlk64816553"/>
      <w:r w:rsidRPr="00BE2B81">
        <w:rPr>
          <w:rFonts w:ascii="Book Antiqua" w:eastAsia="Book Antiqua" w:hAnsi="Book Antiqua" w:cs="Book Antiqua"/>
          <w:color w:val="000000"/>
        </w:rPr>
        <w:t>ulcerative colitis</w:t>
      </w:r>
      <w:bookmarkEnd w:id="48"/>
      <w:r w:rsidR="00362EE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from a previous colonoscopy.</w:t>
      </w:r>
    </w:p>
    <w:p w14:paraId="4348144A" w14:textId="77777777" w:rsidR="00A77B3E" w:rsidRPr="00BE2B81" w:rsidRDefault="00A77B3E" w:rsidP="00BE2B81">
      <w:pPr>
        <w:snapToGrid w:val="0"/>
        <w:spacing w:line="360" w:lineRule="auto"/>
        <w:jc w:val="both"/>
        <w:rPr>
          <w:rFonts w:ascii="Book Antiqua" w:hAnsi="Book Antiqua"/>
        </w:rPr>
      </w:pPr>
    </w:p>
    <w:p w14:paraId="3F3F3A6B"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Exclusion criteria</w:t>
      </w:r>
    </w:p>
    <w:p w14:paraId="77B0E50C" w14:textId="3529F6F8"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The following were exclusion criteria: non–English speaking, renal insufficiency </w:t>
      </w:r>
      <w:r w:rsidR="00D7384B" w:rsidRPr="00BE2B81">
        <w:rPr>
          <w:rFonts w:ascii="Book Antiqua" w:eastAsia="Book Antiqua" w:hAnsi="Book Antiqua" w:cs="Book Antiqua"/>
          <w:color w:val="000000"/>
        </w:rPr>
        <w:t>(</w:t>
      </w:r>
      <w:r w:rsidRPr="00BE2B81">
        <w:rPr>
          <w:rFonts w:ascii="Book Antiqua" w:eastAsia="Book Antiqua" w:hAnsi="Book Antiqua" w:cs="Book Antiqua"/>
          <w:color w:val="000000"/>
        </w:rPr>
        <w:t>defined as an estimated Glomerular Filtration Ratio of less than 50 mL/min</w:t>
      </w:r>
      <w:r w:rsidR="00D7384B" w:rsidRPr="00BE2B81">
        <w:rPr>
          <w:rFonts w:ascii="Book Antiqua" w:eastAsia="Book Antiqua" w:hAnsi="Book Antiqua" w:cs="Book Antiqua"/>
          <w:color w:val="000000"/>
        </w:rPr>
        <w:t>)</w:t>
      </w:r>
      <w:r w:rsidRPr="00BE2B81">
        <w:rPr>
          <w:rFonts w:ascii="Book Antiqua" w:eastAsia="Book Antiqua" w:hAnsi="Book Antiqua" w:cs="Book Antiqua"/>
          <w:color w:val="000000"/>
        </w:rPr>
        <w:t>, cardiac failure (New York Heart Association Class greater than two), advanced liver disease (Child-Pugh B or C), poorly controlled diabetes mellitus (uninterrupted Hba1c &gt;</w:t>
      </w:r>
      <w:r w:rsidR="009231AC"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8.0% for greater than one year and/or end organ complications from diabetes mellitus), bowel obstruction, total or limited colonic resection, megacolon, dysphagia and pregnancy or planning to become pregnant during the trial period. Patients with IBD who had a preceding colectomy or ileocolonic resection (that involved or extended beyond the hepatic flexure) were also excluded from this study.</w:t>
      </w:r>
    </w:p>
    <w:p w14:paraId="584FF6D1" w14:textId="77777777" w:rsidR="00A77B3E" w:rsidRPr="00BE2B81" w:rsidRDefault="00A77B3E" w:rsidP="00BE2B81">
      <w:pPr>
        <w:snapToGrid w:val="0"/>
        <w:spacing w:line="360" w:lineRule="auto"/>
        <w:jc w:val="both"/>
        <w:rPr>
          <w:rFonts w:ascii="Book Antiqua" w:hAnsi="Book Antiqua"/>
        </w:rPr>
      </w:pPr>
    </w:p>
    <w:p w14:paraId="0EBC9AB4"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Randomization</w:t>
      </w:r>
    </w:p>
    <w:p w14:paraId="748798A5" w14:textId="580028F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All participants were randomly allocated to a bowel preparation regime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or Pc) at time of study recruitment in a 1:1 ratio. The allocation sequence was provided by the coordinating investigator. Th</w:t>
      </w:r>
      <w:r w:rsidR="000D0B72" w:rsidRPr="00BE2B81">
        <w:rPr>
          <w:rFonts w:ascii="Book Antiqua" w:eastAsia="Book Antiqua" w:hAnsi="Book Antiqua" w:cs="Book Antiqua"/>
          <w:color w:val="000000"/>
        </w:rPr>
        <w:t>e investigator drew the patient</w:t>
      </w:r>
      <w:r w:rsidRPr="00BE2B81">
        <w:rPr>
          <w:rFonts w:ascii="Book Antiqua" w:eastAsia="Book Antiqua" w:hAnsi="Book Antiqua" w:cs="Book Antiqua"/>
          <w:color w:val="000000"/>
        </w:rPr>
        <w:t xml:space="preserve"> allocated preparation out of an envelope which had equal numbers of both </w:t>
      </w:r>
      <w:r w:rsidRPr="00BE2B81">
        <w:rPr>
          <w:rFonts w:ascii="Book Antiqua" w:eastAsia="Book Antiqua" w:hAnsi="Book Antiqua" w:cs="Book Antiqua"/>
          <w:color w:val="000000"/>
        </w:rPr>
        <w:lastRenderedPageBreak/>
        <w:t>preparations. Patients were provided with their assigned bowel cleansing preparation at the time of randomization. The cohort was then stratified according to presence of IBD. Patients were unable to be blinded to their allocated preparation due to associated packaging and the differences in administration.</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Written information about the bowel preparation including appropriate diet and timing of consumption was provided and explained in detail at a clinic review prior to colonoscopy. These instructions are provided in </w:t>
      </w:r>
      <w:r w:rsidR="000D0B72" w:rsidRPr="00BE2B81">
        <w:rPr>
          <w:rFonts w:ascii="Book Antiqua" w:eastAsia="Book Antiqua" w:hAnsi="Book Antiqua" w:cs="Book Antiqua"/>
          <w:color w:val="000000"/>
        </w:rPr>
        <w:t xml:space="preserve">Supplementary </w:t>
      </w:r>
      <w:r w:rsidR="00A13025">
        <w:rPr>
          <w:rFonts w:ascii="Book Antiqua" w:eastAsia="Book Antiqua" w:hAnsi="Book Antiqua" w:cs="Book Antiqua"/>
          <w:color w:val="000000"/>
        </w:rPr>
        <w:t>m</w:t>
      </w:r>
      <w:r w:rsidR="000D0B72" w:rsidRPr="00BE2B81">
        <w:rPr>
          <w:rFonts w:ascii="Book Antiqua" w:eastAsia="Book Antiqua" w:hAnsi="Book Antiqua" w:cs="Book Antiqua"/>
          <w:color w:val="000000"/>
        </w:rPr>
        <w:t>aterial 1</w:t>
      </w:r>
      <w:r w:rsidRPr="00BE2B81">
        <w:rPr>
          <w:rFonts w:ascii="Book Antiqua" w:eastAsia="Book Antiqua" w:hAnsi="Book Antiqua" w:cs="Book Antiqua"/>
          <w:color w:val="000000"/>
        </w:rPr>
        <w:t>. All assessing endoscopists were blinded to the assigned bowel preparation.</w:t>
      </w:r>
    </w:p>
    <w:p w14:paraId="10F7E70F" w14:textId="77777777" w:rsidR="00A77B3E" w:rsidRPr="00BE2B81" w:rsidRDefault="00A77B3E" w:rsidP="00BE2B81">
      <w:pPr>
        <w:snapToGrid w:val="0"/>
        <w:spacing w:line="360" w:lineRule="auto"/>
        <w:jc w:val="both"/>
        <w:rPr>
          <w:rFonts w:ascii="Book Antiqua" w:hAnsi="Book Antiqua"/>
        </w:rPr>
      </w:pPr>
    </w:p>
    <w:p w14:paraId="1167DA55"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Outcomes</w:t>
      </w:r>
    </w:p>
    <w:p w14:paraId="582FA4FA"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The primary endpoint was the tolerability and efficacy of each bowel preparation in the entire cohort. The secondary endpoints were comparison of the tolerability and efficacy of the allocated bowel preparation in patients with and without IBD, as well as overall safety of bowel preparation.</w:t>
      </w:r>
    </w:p>
    <w:p w14:paraId="36D8EA34" w14:textId="77777777" w:rsidR="00A77B3E" w:rsidRPr="00BE2B81" w:rsidRDefault="00A77B3E" w:rsidP="00BE2B81">
      <w:pPr>
        <w:snapToGrid w:val="0"/>
        <w:spacing w:line="360" w:lineRule="auto"/>
        <w:jc w:val="both"/>
        <w:rPr>
          <w:rFonts w:ascii="Book Antiqua" w:hAnsi="Book Antiqua"/>
        </w:rPr>
      </w:pPr>
    </w:p>
    <w:p w14:paraId="3A9DAF7F" w14:textId="083B4998"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Tolerabilit</w:t>
      </w:r>
      <w:r w:rsidR="009231AC" w:rsidRPr="00BE2B81">
        <w:rPr>
          <w:rFonts w:ascii="Book Antiqua" w:eastAsia="Book Antiqua" w:hAnsi="Book Antiqua" w:cs="Book Antiqua"/>
          <w:b/>
          <w:bCs/>
          <w:i/>
          <w:iCs/>
          <w:color w:val="000000"/>
        </w:rPr>
        <w:t>y and side e</w:t>
      </w:r>
      <w:r w:rsidRPr="00BE2B81">
        <w:rPr>
          <w:rFonts w:ascii="Book Antiqua" w:eastAsia="Book Antiqua" w:hAnsi="Book Antiqua" w:cs="Book Antiqua"/>
          <w:b/>
          <w:bCs/>
          <w:i/>
          <w:iCs/>
          <w:color w:val="000000"/>
        </w:rPr>
        <w:t>ffects</w:t>
      </w:r>
    </w:p>
    <w:p w14:paraId="4E627679" w14:textId="13C916C0"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Tolerability was assessed using a Tolerability Questionnaire modified from </w:t>
      </w:r>
      <w:proofErr w:type="spellStart"/>
      <w:r w:rsidR="000D0B72" w:rsidRPr="00BE2B81">
        <w:rPr>
          <w:rFonts w:ascii="Book Antiqua" w:eastAsia="Book Antiqua" w:hAnsi="Book Antiqua" w:cs="Book Antiqua"/>
          <w:bCs/>
          <w:color w:val="000000"/>
        </w:rPr>
        <w:t>Lawrance</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 xml:space="preserve">et </w:t>
      </w:r>
      <w:proofErr w:type="gramStart"/>
      <w:r w:rsidRPr="00BE2B81">
        <w:rPr>
          <w:rFonts w:ascii="Book Antiqua" w:eastAsia="Book Antiqua" w:hAnsi="Book Antiqua" w:cs="Book Antiqua"/>
          <w:i/>
          <w:iCs/>
          <w:color w:val="000000"/>
        </w:rPr>
        <w:t>al</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w:t>
      </w:r>
      <w:r w:rsidRPr="00BE2B81">
        <w:rPr>
          <w:rFonts w:ascii="Book Antiqua" w:eastAsia="Book Antiqua" w:hAnsi="Book Antiqua" w:cs="Book Antiqua"/>
          <w:color w:val="000000"/>
        </w:rPr>
        <w:t xml:space="preserve"> (</w:t>
      </w:r>
      <w:r w:rsidR="000D0B72" w:rsidRPr="00BE2B81">
        <w:rPr>
          <w:rFonts w:ascii="Book Antiqua" w:eastAsia="Book Antiqua" w:hAnsi="Book Antiqua" w:cs="Book Antiqua"/>
          <w:color w:val="000000"/>
        </w:rPr>
        <w:t>Supplementary material 2</w:t>
      </w:r>
      <w:r w:rsidRPr="00BE2B81">
        <w:rPr>
          <w:rFonts w:ascii="Book Antiqua" w:eastAsia="Book Antiqua" w:hAnsi="Book Antiqua" w:cs="Book Antiqua"/>
          <w:color w:val="000000"/>
        </w:rPr>
        <w:t>). Patients received the questionnaire at their pre-assessment visit and completed it after finishing their bowel preparation on the day of their colonoscopy. The questionnaire included a five-point Likert scale to assess tolerability (ranging from 0 to 5) and palatability (ranging from 0 to 5) of the preparation. A lower score indicated poorer tolerance. Common side effects (abdominal discomfort, abdominal pain, nausea, vomiting, abdominal distension, dizziness and shortness of breath) were also measured on a five-point Likert scale (ranging from 0 to 5).</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 higher score indicated worse reported side effects.</w:t>
      </w:r>
    </w:p>
    <w:p w14:paraId="57853CFA" w14:textId="77777777" w:rsidR="00A77B3E" w:rsidRPr="00BE2B81" w:rsidRDefault="00A77B3E" w:rsidP="00BE2B81">
      <w:pPr>
        <w:snapToGrid w:val="0"/>
        <w:spacing w:line="360" w:lineRule="auto"/>
        <w:jc w:val="both"/>
        <w:rPr>
          <w:rFonts w:ascii="Book Antiqua" w:hAnsi="Book Antiqua"/>
        </w:rPr>
      </w:pPr>
    </w:p>
    <w:p w14:paraId="2D81188A"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Colonoscopy</w:t>
      </w:r>
    </w:p>
    <w:p w14:paraId="4C97382E" w14:textId="76440ABC"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lastRenderedPageBreak/>
        <w:t xml:space="preserve">Patients were provided with written instructions and the bowel preparation explained in detail by the recruiting investigator at the time of study recruitment (full preparation instructions are available in </w:t>
      </w:r>
      <w:r w:rsidR="000D0B72" w:rsidRPr="00BE2B81">
        <w:rPr>
          <w:rFonts w:ascii="Book Antiqua" w:eastAsia="Book Antiqua" w:hAnsi="Book Antiqua" w:cs="Book Antiqua"/>
          <w:color w:val="000000"/>
        </w:rPr>
        <w:t>Supplementary material 2</w:t>
      </w:r>
      <w:r w:rsidRPr="00BE2B81">
        <w:rPr>
          <w:rFonts w:ascii="Book Antiqua" w:eastAsia="Book Antiqua" w:hAnsi="Book Antiqua" w:cs="Book Antiqua"/>
          <w:color w:val="000000"/>
        </w:rPr>
        <w:t xml:space="preserve">). Apart from the preparation agent, preparation was standardized between the two groups including split dosing and 24 h of clear fluids. Colonoscopies were performed by experienced consultant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4) or advanced gastroenterology trainees under the direct supervision of one of the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All procedures were performed using intravenous sedation administered by an anesthetist.</w:t>
      </w:r>
    </w:p>
    <w:p w14:paraId="60531294" w14:textId="77777777" w:rsidR="00A77B3E" w:rsidRPr="00BE2B81" w:rsidRDefault="00A77B3E" w:rsidP="00BE2B81">
      <w:pPr>
        <w:snapToGrid w:val="0"/>
        <w:spacing w:line="360" w:lineRule="auto"/>
        <w:jc w:val="both"/>
        <w:rPr>
          <w:rFonts w:ascii="Book Antiqua" w:hAnsi="Book Antiqua"/>
        </w:rPr>
      </w:pPr>
    </w:p>
    <w:p w14:paraId="6DFC97BF" w14:textId="47E5FFEB"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Efficacy</w:t>
      </w:r>
    </w:p>
    <w:p w14:paraId="0E566E61" w14:textId="426D8309"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Efficacy of colon cleansing was assessed using the validated Ottawa Bowel Preparation Score (OBPS</w:t>
      </w:r>
      <w:proofErr w:type="gramStart"/>
      <w:r w:rsidRPr="00BE2B81">
        <w:rPr>
          <w:rFonts w:ascii="Book Antiqua" w:eastAsia="Book Antiqua" w:hAnsi="Book Antiqua" w:cs="Book Antiqua"/>
          <w:color w:val="000000"/>
        </w:rPr>
        <w: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18]</w:t>
      </w:r>
      <w:r w:rsidRPr="00BE2B81">
        <w:rPr>
          <w:rFonts w:ascii="Book Antiqua" w:eastAsia="Book Antiqua" w:hAnsi="Book Antiqua" w:cs="Book Antiqua"/>
          <w:color w:val="000000"/>
        </w:rPr>
        <w:t xml:space="preserve">. All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xml:space="preserve"> attended calibrating sessions prior to study commencement. Two </w:t>
      </w:r>
      <w:proofErr w:type="spellStart"/>
      <w:r w:rsidRPr="00BE2B81">
        <w:rPr>
          <w:rFonts w:ascii="Book Antiqua" w:eastAsia="Book Antiqua" w:hAnsi="Book Antiqua" w:cs="Book Antiqua"/>
          <w:color w:val="000000"/>
        </w:rPr>
        <w:t>colonoscopists</w:t>
      </w:r>
      <w:proofErr w:type="spellEnd"/>
      <w:r w:rsidRPr="00BE2B81">
        <w:rPr>
          <w:rFonts w:ascii="Book Antiqua" w:eastAsia="Book Antiqua" w:hAnsi="Book Antiqua" w:cs="Book Antiqua"/>
          <w:color w:val="000000"/>
        </w:rPr>
        <w:t xml:space="preserve"> were blinded to the allocated bowel preparation, independently assessed the efficacy of bowel cleansing regime during insertion of the colonoscope, prior to washing. The OBPS grades the quality of bowel preparation (0 to 4, with 0 being no fluid and 4 pertaining to fluid/fecal material unable to be cleared) in three colonic segments (right, left, recto-sigmoid) in addition to an overall fluid score. The total score out of 14 was provided for each patient and an average score calculated from both scores. A score of zero represents excellent preparation and 14 represents solid stool in each segment and excessive fluid. Inadequate bowel preparation is defined as an OBPS score equal to or greater than 8</w:t>
      </w:r>
      <w:r w:rsidRPr="00BE2B81">
        <w:rPr>
          <w:rFonts w:ascii="Book Antiqua" w:eastAsia="Book Antiqua" w:hAnsi="Book Antiqua" w:cs="Book Antiqua"/>
          <w:color w:val="000000"/>
          <w:vertAlign w:val="superscript"/>
        </w:rPr>
        <w:t>[19,20]</w:t>
      </w:r>
      <w:r w:rsidRPr="00BE2B81">
        <w:rPr>
          <w:rFonts w:ascii="Book Antiqua" w:eastAsia="Book Antiqua" w:hAnsi="Book Antiqua" w:cs="Book Antiqua"/>
          <w:color w:val="000000"/>
        </w:rPr>
        <w:t>.</w:t>
      </w:r>
    </w:p>
    <w:p w14:paraId="24D5399C" w14:textId="77777777" w:rsidR="00A77B3E" w:rsidRPr="00BE2B81" w:rsidRDefault="00A77B3E" w:rsidP="00BE2B81">
      <w:pPr>
        <w:snapToGrid w:val="0"/>
        <w:spacing w:line="360" w:lineRule="auto"/>
        <w:jc w:val="both"/>
        <w:rPr>
          <w:rFonts w:ascii="Book Antiqua" w:hAnsi="Book Antiqua"/>
        </w:rPr>
      </w:pPr>
    </w:p>
    <w:p w14:paraId="230FDC42"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Safety: Electrolyte analysis</w:t>
      </w:r>
    </w:p>
    <w:p w14:paraId="32818780" w14:textId="7E48D964"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Safety of each bowel preparation included determination of electrolyte alteration. Blood was collected from each patient within one week before bowel preparation and on the day of colonoscopy prior to the procedure for serum electrolytes. </w:t>
      </w:r>
      <w:r w:rsidRPr="00BE2B81">
        <w:rPr>
          <w:rFonts w:ascii="Book Antiqua" w:eastAsia="Book Antiqua" w:hAnsi="Book Antiqua" w:cs="Book Antiqua"/>
          <w:color w:val="000000"/>
        </w:rPr>
        <w:lastRenderedPageBreak/>
        <w:t>Changes in serum sodium, chloride, potassium, bicarbonate, urea, creatinine, magnesium, calcium and phosphate were measured.</w:t>
      </w:r>
    </w:p>
    <w:p w14:paraId="2E3803D5" w14:textId="77777777" w:rsidR="00A77B3E" w:rsidRPr="00BE2B81" w:rsidRDefault="00A77B3E" w:rsidP="00BE2B81">
      <w:pPr>
        <w:snapToGrid w:val="0"/>
        <w:spacing w:line="360" w:lineRule="auto"/>
        <w:jc w:val="both"/>
        <w:rPr>
          <w:rFonts w:ascii="Book Antiqua" w:hAnsi="Book Antiqua"/>
        </w:rPr>
      </w:pPr>
    </w:p>
    <w:p w14:paraId="35F7BD0C" w14:textId="71324AB3"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 xml:space="preserve">Statistical </w:t>
      </w:r>
      <w:r w:rsidR="00983EB3" w:rsidRPr="00BE2B81">
        <w:rPr>
          <w:rFonts w:ascii="Book Antiqua" w:eastAsia="Book Antiqua" w:hAnsi="Book Antiqua" w:cs="Book Antiqua"/>
          <w:b/>
          <w:bCs/>
          <w:i/>
          <w:iCs/>
          <w:color w:val="000000"/>
        </w:rPr>
        <w:t>a</w:t>
      </w:r>
      <w:r w:rsidRPr="00BE2B81">
        <w:rPr>
          <w:rFonts w:ascii="Book Antiqua" w:eastAsia="Book Antiqua" w:hAnsi="Book Antiqua" w:cs="Book Antiqua"/>
          <w:b/>
          <w:bCs/>
          <w:i/>
          <w:iCs/>
          <w:color w:val="000000"/>
        </w:rPr>
        <w:t>nalyses</w:t>
      </w:r>
    </w:p>
    <w:p w14:paraId="7C1C57D0" w14:textId="725ED091"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shd w:val="clear" w:color="auto" w:fill="FFFFFF"/>
        </w:rPr>
        <w:t xml:space="preserve">For the primary analysis in the entire cohort, an estimated sample size of 127 patients in each group was calculated to detect a 15% difference in the tolerability of bowel preparation between </w:t>
      </w:r>
      <w:proofErr w:type="spellStart"/>
      <w:r w:rsidRPr="00BE2B81">
        <w:rPr>
          <w:rFonts w:ascii="Book Antiqua" w:eastAsia="Book Antiqua" w:hAnsi="Book Antiqua" w:cs="Book Antiqua"/>
          <w:color w:val="000000"/>
          <w:shd w:val="clear" w:color="auto" w:fill="FFFFFF"/>
        </w:rPr>
        <w:t>Mp</w:t>
      </w:r>
      <w:proofErr w:type="spellEnd"/>
      <w:r w:rsidRPr="00BE2B81">
        <w:rPr>
          <w:rFonts w:ascii="Book Antiqua" w:eastAsia="Book Antiqua" w:hAnsi="Book Antiqua" w:cs="Book Antiqua"/>
          <w:color w:val="000000"/>
          <w:shd w:val="clear" w:color="auto" w:fill="FFFFFF"/>
        </w:rPr>
        <w:t xml:space="preserve"> and Pc, with 95% confidence and 90% power. Preliminary data using the same Tolerability Questionnaire which reported the</w:t>
      </w:r>
      <w:r w:rsidRPr="00BE2B81">
        <w:rPr>
          <w:rFonts w:ascii="Book Antiqua" w:eastAsia="Book Antiqua" w:hAnsi="Book Antiqua" w:cs="Book Antiqua"/>
          <w:color w:val="000000"/>
        </w:rPr>
        <w:t xml:space="preserve"> mean tolerability of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of 13.3 (standard deviation 4.9) in patients undergoing colonoscopy was used to guide the sample size </w:t>
      </w:r>
      <w:proofErr w:type="gramStart"/>
      <w:r w:rsidRPr="00BE2B81">
        <w:rPr>
          <w:rFonts w:ascii="Book Antiqua" w:eastAsia="Book Antiqua" w:hAnsi="Book Antiqua" w:cs="Book Antiqua"/>
          <w:color w:val="000000"/>
        </w:rPr>
        <w:t>calculation</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21]</w:t>
      </w:r>
      <w:r w:rsidRPr="00BE2B81">
        <w:rPr>
          <w:rFonts w:ascii="Book Antiqua" w:eastAsia="Book Antiqua" w:hAnsi="Book Antiqua" w:cs="Book Antiqua"/>
          <w:color w:val="000000"/>
        </w:rPr>
        <w:t xml:space="preserve">. The difference in tolerability of 15% between bowel preparation regimes was selected as this was also used in another study assessing tolerability of different bowel </w:t>
      </w:r>
      <w:proofErr w:type="gramStart"/>
      <w:r w:rsidRPr="00BE2B81">
        <w:rPr>
          <w:rFonts w:ascii="Book Antiqua" w:eastAsia="Book Antiqua" w:hAnsi="Book Antiqua" w:cs="Book Antiqua"/>
          <w:color w:val="000000"/>
        </w:rPr>
        <w:t>preparations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w:t>
      </w:r>
      <w:r w:rsidR="00983EB3"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shd w:val="clear" w:color="auto" w:fill="FFFFFF"/>
        </w:rPr>
        <w:t xml:space="preserve">Assuming a completion rate of 80%, a target of at least 159 participants for recruitment in each group was sought, giving a sample size of at least 318. The student </w:t>
      </w:r>
      <w:r w:rsidR="000D0B72" w:rsidRPr="00BE2B81">
        <w:rPr>
          <w:rFonts w:ascii="Book Antiqua" w:eastAsia="Book Antiqua" w:hAnsi="Book Antiqua" w:cs="Book Antiqua"/>
          <w:i/>
          <w:color w:val="000000"/>
          <w:shd w:val="clear" w:color="auto" w:fill="FFFFFF"/>
        </w:rPr>
        <w:t>t</w:t>
      </w:r>
      <w:r w:rsidRPr="00BE2B81">
        <w:rPr>
          <w:rFonts w:ascii="Book Antiqua" w:eastAsia="Book Antiqua" w:hAnsi="Book Antiqua" w:cs="Book Antiqua"/>
          <w:color w:val="000000"/>
          <w:shd w:val="clear" w:color="auto" w:fill="FFFFFF"/>
        </w:rPr>
        <w:t xml:space="preserve">-test was used to compare the differences in mean scores of tolerability and efficacy. Associations between categorical variables and outcomes were assessed using </w:t>
      </w:r>
      <w:r w:rsidR="00A13025" w:rsidRPr="00BE2B81">
        <w:rPr>
          <w:rFonts w:ascii="Book Antiqua" w:eastAsia="Book Antiqua" w:hAnsi="Book Antiqua" w:cs="Book Antiqua"/>
          <w:color w:val="000000"/>
          <w:shd w:val="clear" w:color="auto" w:fill="FFFFFF"/>
        </w:rPr>
        <w:t>C</w:t>
      </w:r>
      <w:r w:rsidRPr="00BE2B81">
        <w:rPr>
          <w:rFonts w:ascii="Book Antiqua" w:eastAsia="Book Antiqua" w:hAnsi="Book Antiqua" w:cs="Book Antiqua"/>
          <w:color w:val="000000"/>
          <w:shd w:val="clear" w:color="auto" w:fill="FFFFFF"/>
        </w:rPr>
        <w:t>hi-square test.</w:t>
      </w:r>
      <w:r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shd w:val="clear" w:color="auto" w:fill="FFFFFF"/>
        </w:rPr>
        <w:t xml:space="preserve">The IBM Statistical Package for the Social Sciences for Windows version 25.0 (IBM </w:t>
      </w:r>
      <w:r w:rsidR="00291A92" w:rsidRPr="00BE2B81">
        <w:rPr>
          <w:rFonts w:ascii="Book Antiqua" w:eastAsia="Book Antiqua" w:hAnsi="Book Antiqua" w:cs="Book Antiqua"/>
          <w:color w:val="000000"/>
          <w:shd w:val="clear" w:color="auto" w:fill="FFFFFF"/>
        </w:rPr>
        <w:t>corporation</w:t>
      </w:r>
      <w:r w:rsidRPr="00BE2B81">
        <w:rPr>
          <w:rFonts w:ascii="Book Antiqua" w:eastAsia="Book Antiqua" w:hAnsi="Book Antiqua" w:cs="Book Antiqua"/>
          <w:color w:val="000000"/>
          <w:shd w:val="clear" w:color="auto" w:fill="FFFFFF"/>
        </w:rPr>
        <w:t xml:space="preserve">, Armonk, NY, </w:t>
      </w:r>
      <w:r w:rsidR="00291A92" w:rsidRPr="00BE2B81">
        <w:rPr>
          <w:rFonts w:ascii="Book Antiqua" w:eastAsia="Book Antiqua" w:hAnsi="Book Antiqua" w:cs="Book Antiqua"/>
          <w:color w:val="000000"/>
          <w:shd w:val="clear" w:color="auto" w:fill="FFFFFF"/>
        </w:rPr>
        <w:t>United States</w:t>
      </w:r>
      <w:r w:rsidRPr="00BE2B81">
        <w:rPr>
          <w:rFonts w:ascii="Book Antiqua" w:eastAsia="Book Antiqua" w:hAnsi="Book Antiqua" w:cs="Book Antiqua"/>
          <w:color w:val="000000"/>
          <w:shd w:val="clear" w:color="auto" w:fill="FFFFFF"/>
        </w:rPr>
        <w:t>) was used to analyze the data.</w:t>
      </w:r>
    </w:p>
    <w:bookmarkEnd w:id="46"/>
    <w:bookmarkEnd w:id="47"/>
    <w:p w14:paraId="6661BA53" w14:textId="77777777" w:rsidR="00A77B3E" w:rsidRPr="00BE2B81" w:rsidRDefault="00A77B3E" w:rsidP="00BE2B81">
      <w:pPr>
        <w:snapToGrid w:val="0"/>
        <w:spacing w:line="360" w:lineRule="auto"/>
        <w:jc w:val="both"/>
        <w:rPr>
          <w:rFonts w:ascii="Book Antiqua" w:hAnsi="Book Antiqua"/>
        </w:rPr>
      </w:pPr>
    </w:p>
    <w:p w14:paraId="4E35F46B"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RESULTS</w:t>
      </w:r>
    </w:p>
    <w:p w14:paraId="06EE86CA" w14:textId="3F8D0782" w:rsidR="00A77B3E" w:rsidRPr="00BE2B81" w:rsidRDefault="005B2BA9" w:rsidP="00BE2B81">
      <w:pPr>
        <w:snapToGrid w:val="0"/>
        <w:spacing w:line="360" w:lineRule="auto"/>
        <w:jc w:val="both"/>
        <w:rPr>
          <w:rFonts w:ascii="Book Antiqua" w:hAnsi="Book Antiqua"/>
          <w:i/>
          <w:iCs/>
        </w:rPr>
      </w:pPr>
      <w:bookmarkStart w:id="49" w:name="OLE_LINK56"/>
      <w:bookmarkStart w:id="50" w:name="OLE_LINK57"/>
      <w:r w:rsidRPr="00BE2B81">
        <w:rPr>
          <w:rFonts w:ascii="Book Antiqua" w:eastAsia="Book Antiqua" w:hAnsi="Book Antiqua" w:cs="Book Antiqua"/>
          <w:b/>
          <w:bCs/>
          <w:i/>
          <w:iCs/>
          <w:color w:val="000000"/>
        </w:rPr>
        <w:t xml:space="preserve">Participant </w:t>
      </w:r>
      <w:r w:rsidR="00291A92" w:rsidRPr="00BE2B81">
        <w:rPr>
          <w:rFonts w:ascii="Book Antiqua" w:eastAsia="Book Antiqua" w:hAnsi="Book Antiqua" w:cs="Book Antiqua"/>
          <w:b/>
          <w:bCs/>
          <w:i/>
          <w:iCs/>
          <w:color w:val="000000"/>
        </w:rPr>
        <w:t>c</w:t>
      </w:r>
      <w:r w:rsidRPr="00BE2B81">
        <w:rPr>
          <w:rFonts w:ascii="Book Antiqua" w:eastAsia="Book Antiqua" w:hAnsi="Book Antiqua" w:cs="Book Antiqua"/>
          <w:b/>
          <w:bCs/>
          <w:i/>
          <w:iCs/>
          <w:color w:val="000000"/>
        </w:rPr>
        <w:t>haracteristics</w:t>
      </w:r>
    </w:p>
    <w:p w14:paraId="07B5A5AA" w14:textId="46E0074B"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From March 2013 to December 2016, 338 patients were enrolled in the study.</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168 patients were randomized to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170 to Pc (Figure 1).</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One hundred and twenty-five patients had a pre-existing diagnosis of IBD (58% patients with </w:t>
      </w:r>
      <w:r w:rsidR="00362EEE" w:rsidRPr="00BE2B81">
        <w:rPr>
          <w:rFonts w:ascii="Book Antiqua" w:eastAsia="Book Antiqua" w:hAnsi="Book Antiqua" w:cs="Book Antiqua"/>
          <w:color w:val="000000"/>
        </w:rPr>
        <w:t>Crohn’s disease</w:t>
      </w:r>
      <w:r w:rsidRPr="00BE2B81">
        <w:rPr>
          <w:rFonts w:ascii="Book Antiqua" w:eastAsia="Book Antiqua" w:hAnsi="Book Antiqua" w:cs="Book Antiqua"/>
          <w:color w:val="000000"/>
        </w:rPr>
        <w:t xml:space="preserve"> and 42% with </w:t>
      </w:r>
      <w:r w:rsidR="00362EEE" w:rsidRPr="00BE2B81">
        <w:rPr>
          <w:rFonts w:ascii="Book Antiqua" w:eastAsia="Book Antiqua" w:hAnsi="Book Antiqua" w:cs="Book Antiqua"/>
          <w:color w:val="000000"/>
        </w:rPr>
        <w:t>ulcerative colitis</w:t>
      </w:r>
      <w:r w:rsidRPr="00BE2B81">
        <w:rPr>
          <w:rFonts w:ascii="Book Antiqua" w:eastAsia="Book Antiqua" w:hAnsi="Book Antiqua" w:cs="Book Antiqua"/>
          <w:color w:val="000000"/>
        </w:rPr>
        <w:t>).</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In the IBD group, 64 patients had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61 had Pc. In the non-IBD group, 104 patients had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109 had Pc (Figure 1). Within both the IBD and non-IBD groups, there was no difference in age or gender distribution across the allocated bowel preparation groups </w:t>
      </w:r>
      <w:r w:rsidRPr="00BE2B81">
        <w:rPr>
          <w:rFonts w:ascii="Book Antiqua" w:eastAsia="Book Antiqua" w:hAnsi="Book Antiqua" w:cs="Book Antiqua"/>
          <w:color w:val="000000"/>
        </w:rPr>
        <w:lastRenderedPageBreak/>
        <w:t>(Table 1). Forty percent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86) of the non-IBD cohort were male, compared with 52%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65) in the IBD cohort. The mean ages of the IBD and non-IBD groups were 40.3 ± 14.7 and 50.3 ± 13.4 years respectively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0.65).</w:t>
      </w:r>
    </w:p>
    <w:p w14:paraId="5EA119A9" w14:textId="77777777" w:rsidR="00A77B3E" w:rsidRPr="00BE2B81" w:rsidRDefault="00A77B3E" w:rsidP="00BE2B81">
      <w:pPr>
        <w:snapToGrid w:val="0"/>
        <w:spacing w:line="360" w:lineRule="auto"/>
        <w:jc w:val="both"/>
        <w:rPr>
          <w:rFonts w:ascii="Book Antiqua" w:hAnsi="Book Antiqua"/>
        </w:rPr>
      </w:pPr>
    </w:p>
    <w:p w14:paraId="65625D5B" w14:textId="7F857B84"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 xml:space="preserve">Tolerability and </w:t>
      </w:r>
      <w:r w:rsidR="00291A92" w:rsidRPr="00BE2B81">
        <w:rPr>
          <w:rFonts w:ascii="Book Antiqua" w:eastAsia="Book Antiqua" w:hAnsi="Book Antiqua" w:cs="Book Antiqua"/>
          <w:b/>
          <w:bCs/>
          <w:i/>
          <w:iCs/>
          <w:color w:val="000000"/>
        </w:rPr>
        <w:t>side e</w:t>
      </w:r>
      <w:r w:rsidRPr="00BE2B81">
        <w:rPr>
          <w:rFonts w:ascii="Book Antiqua" w:eastAsia="Book Antiqua" w:hAnsi="Book Antiqua" w:cs="Book Antiqua"/>
          <w:b/>
          <w:bCs/>
          <w:i/>
          <w:iCs/>
          <w:color w:val="000000"/>
        </w:rPr>
        <w:t>ffects</w:t>
      </w:r>
    </w:p>
    <w:p w14:paraId="09A45AA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Of the 338 patients, 288 (85%) completed the questionnaire assessing tolerability (Figure 1), this proportion was similar in both the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groups. There were no significant differences in the mean scores for tolerability between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(11.84 ± 5.4) and Pc groups (10.99 ± 5.2;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0.17). Thirty and 20 patients from the IBD and non-IBD groups respectively did not complete the tolerability questionnaire. The tolerability score in the IBD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95) group was significantly lower than the non-IBD group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193) (10.3 ± 5.1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12.0 ± 5.3,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0.01) (Figure 2), indicating poorer tolerability in this group of patients.</w:t>
      </w:r>
    </w:p>
    <w:p w14:paraId="2081DC51" w14:textId="7A4023CC" w:rsidR="000C0B87"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The IBD group reported higher score (indicating worse) for abdominal pain (mean 4.78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3.39;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0.031) and lower mean score for dizziness (0.37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0.78;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0.03), and shortness of breath (mean 0.09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0.39;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0.042) compared with the non-IBD group.</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The mean scores for nausea/vomiting were similar in both groups (mean 1.15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1.65;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0.14) (Figure 3).</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Within the IBD group, patients who had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reported more abdominal pain when compared with Pc (mean 5.7 </w:t>
      </w:r>
      <w:r w:rsidRPr="00BE2B81">
        <w:rPr>
          <w:rFonts w:ascii="Book Antiqua" w:eastAsia="Book Antiqua" w:hAnsi="Book Antiqua" w:cs="Book Antiqua"/>
          <w:i/>
          <w:iCs/>
          <w:color w:val="000000"/>
        </w:rPr>
        <w:t>vs</w:t>
      </w:r>
      <w:r w:rsidRPr="00BE2B81">
        <w:rPr>
          <w:rFonts w:ascii="Book Antiqua" w:eastAsia="Book Antiqua" w:hAnsi="Book Antiqua" w:cs="Book Antiqua"/>
          <w:color w:val="000000"/>
        </w:rPr>
        <w:t xml:space="preserve"> 3.62;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0.046). There were no other significant differences in the mean scores for other symptoms within the non-IBD or IBD group.</w:t>
      </w:r>
    </w:p>
    <w:p w14:paraId="0359FE30" w14:textId="1533D718"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When comparing the overall tolerability of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145)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143) in both the IBD and non-IBD groups, there was no statistically significant difference in mean tolerability scores between the two bowel preparations, although the study may not have been powered to detect a significant difference (Table 2).</w:t>
      </w:r>
    </w:p>
    <w:p w14:paraId="2E793421" w14:textId="77777777" w:rsidR="00A77B3E" w:rsidRPr="00BE2B81" w:rsidRDefault="00A77B3E" w:rsidP="00BE2B81">
      <w:pPr>
        <w:snapToGrid w:val="0"/>
        <w:spacing w:line="360" w:lineRule="auto"/>
        <w:jc w:val="both"/>
        <w:rPr>
          <w:rFonts w:ascii="Book Antiqua" w:hAnsi="Book Antiqua"/>
        </w:rPr>
      </w:pPr>
    </w:p>
    <w:p w14:paraId="7AD1B4C5" w14:textId="30EDC5C0"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Efficacy</w:t>
      </w:r>
    </w:p>
    <w:p w14:paraId="5A10E127" w14:textId="62C02B58"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Data on efficacy of the bowel preparation was available in 320 patients (95%).</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There was no difference in the efficacy within the entire group when comparing </w:t>
      </w:r>
      <w:proofErr w:type="spellStart"/>
      <w:r w:rsidRPr="00BE2B81">
        <w:rPr>
          <w:rFonts w:ascii="Book Antiqua" w:eastAsia="Book Antiqua" w:hAnsi="Book Antiqua" w:cs="Book Antiqua"/>
          <w:color w:val="000000"/>
        </w:rPr>
        <w:lastRenderedPageBreak/>
        <w:t>Mp</w:t>
      </w:r>
      <w:proofErr w:type="spellEnd"/>
      <w:r w:rsidRPr="00BE2B81">
        <w:rPr>
          <w:rFonts w:ascii="Book Antiqua" w:eastAsia="Book Antiqua" w:hAnsi="Book Antiqua" w:cs="Book Antiqua"/>
          <w:color w:val="000000"/>
        </w:rPr>
        <w:t xml:space="preserve"> to Pc </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mean OBPS: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158; 5.4 ± 2.4) and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162; 5.1 ± 2.1;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 0.73)</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nor within both the IBD </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mean OBPS: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58; 4.8 ± 2.9) and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56; 5.2 ± 3.3; </w:t>
      </w:r>
      <w:r w:rsidRPr="00BE2B81">
        <w:rPr>
          <w:rFonts w:ascii="Book Antiqua" w:eastAsia="Book Antiqua" w:hAnsi="Book Antiqua" w:cs="Book Antiqua"/>
          <w:i/>
          <w:iCs/>
          <w:color w:val="000000"/>
        </w:rPr>
        <w:t xml:space="preserve">P </w:t>
      </w:r>
      <w:r w:rsidRPr="00BE2B81">
        <w:rPr>
          <w:rFonts w:ascii="Book Antiqua" w:eastAsia="Book Antiqua" w:hAnsi="Book Antiqua" w:cs="Book Antiqua"/>
          <w:color w:val="000000"/>
        </w:rPr>
        <w:t>= 0.53)</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and non-IBD </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mean OBPS: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100; 5.5 ± 2.4) and Pc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106; 5.4 ± 2.1; </w:t>
      </w:r>
      <w:r w:rsidRPr="00BE2B81">
        <w:rPr>
          <w:rFonts w:ascii="Book Antiqua" w:eastAsia="Book Antiqua" w:hAnsi="Book Antiqua" w:cs="Book Antiqua"/>
          <w:i/>
          <w:iCs/>
          <w:color w:val="000000"/>
        </w:rPr>
        <w:t xml:space="preserve">P </w:t>
      </w:r>
      <w:r w:rsidRPr="00BE2B81">
        <w:rPr>
          <w:rFonts w:ascii="Book Antiqua" w:eastAsia="Book Antiqua" w:hAnsi="Book Antiqua" w:cs="Book Antiqua"/>
          <w:color w:val="000000"/>
        </w:rPr>
        <w:t>= 0.84)</w:t>
      </w:r>
      <w:r w:rsidR="000C0B87" w:rsidRPr="00BE2B81">
        <w:rPr>
          <w:rFonts w:ascii="Book Antiqua" w:eastAsia="Book Antiqua" w:hAnsi="Book Antiqua" w:cs="Book Antiqua"/>
          <w:color w:val="000000"/>
        </w:rPr>
        <w:t>]</w:t>
      </w:r>
      <w:r w:rsidRPr="00BE2B81">
        <w:rPr>
          <w:rFonts w:ascii="Book Antiqua" w:eastAsia="Book Antiqua" w:hAnsi="Book Antiqua" w:cs="Book Antiqua"/>
          <w:color w:val="000000"/>
        </w:rPr>
        <w:t xml:space="preserve"> groups.</w:t>
      </w:r>
    </w:p>
    <w:p w14:paraId="430BF820" w14:textId="52BC8F26"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Efficacy of bowel preparation when comparing the IBD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114) to the non-IBD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206) group was not significantly different (</w:t>
      </w:r>
      <w:r w:rsidRPr="00BE2B81">
        <w:rPr>
          <w:rFonts w:ascii="Book Antiqua" w:eastAsia="Book Antiqua" w:hAnsi="Book Antiqua" w:cs="Book Antiqua"/>
          <w:i/>
          <w:iCs/>
          <w:color w:val="000000"/>
        </w:rPr>
        <w:t xml:space="preserve">P </w:t>
      </w:r>
      <w:r w:rsidRPr="00BE2B81">
        <w:rPr>
          <w:rFonts w:ascii="Book Antiqua" w:eastAsia="Book Antiqua" w:hAnsi="Book Antiqua" w:cs="Book Antiqua"/>
          <w:color w:val="000000"/>
        </w:rPr>
        <w:t>= 0.26).</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Inadequate bowel preparation (defined as an OBPS of greater than or equal to 8</w:t>
      </w:r>
      <w:proofErr w:type="gramStart"/>
      <w:r w:rsidRPr="00BE2B81">
        <w:rPr>
          <w:rFonts w:ascii="Book Antiqua" w:eastAsia="Book Antiqua" w:hAnsi="Book Antiqua" w:cs="Book Antiqua"/>
          <w:color w:val="000000"/>
        </w:rPr>
        <w: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17,19]</w:t>
      </w:r>
      <w:r w:rsidRPr="00BE2B81">
        <w:rPr>
          <w:rFonts w:ascii="Book Antiqua" w:eastAsia="Book Antiqua" w:hAnsi="Book Antiqua" w:cs="Book Antiqua"/>
          <w:color w:val="000000"/>
        </w:rPr>
        <w:t xml:space="preserve"> was present in 8.9%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29) of all patients: 10.5%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12) of the IBD group and 8% (</w:t>
      </w:r>
      <w:r w:rsidRPr="00BE2B81">
        <w:rPr>
          <w:rFonts w:ascii="Book Antiqua" w:eastAsia="Book Antiqua" w:hAnsi="Book Antiqua" w:cs="Book Antiqua"/>
          <w:i/>
          <w:iCs/>
          <w:color w:val="000000"/>
        </w:rPr>
        <w:t>n</w:t>
      </w:r>
      <w:r w:rsidRPr="00BE2B81">
        <w:rPr>
          <w:rFonts w:ascii="Book Antiqua" w:eastAsia="Book Antiqua" w:hAnsi="Book Antiqua" w:cs="Book Antiqua"/>
          <w:color w:val="000000"/>
        </w:rPr>
        <w:t xml:space="preserve"> = 17) of the non-IBD group.</w:t>
      </w:r>
    </w:p>
    <w:p w14:paraId="3D3AAD21" w14:textId="77777777" w:rsidR="00A77B3E" w:rsidRPr="00BE2B81" w:rsidRDefault="00A77B3E" w:rsidP="00BE2B81">
      <w:pPr>
        <w:snapToGrid w:val="0"/>
        <w:spacing w:line="360" w:lineRule="auto"/>
        <w:jc w:val="both"/>
        <w:rPr>
          <w:rFonts w:ascii="Book Antiqua" w:hAnsi="Book Antiqua"/>
        </w:rPr>
      </w:pPr>
    </w:p>
    <w:p w14:paraId="0F10AC19" w14:textId="77777777" w:rsidR="00A77B3E" w:rsidRPr="00BE2B81" w:rsidRDefault="005B2BA9" w:rsidP="00BE2B81">
      <w:pPr>
        <w:snapToGrid w:val="0"/>
        <w:spacing w:line="360" w:lineRule="auto"/>
        <w:jc w:val="both"/>
        <w:rPr>
          <w:rFonts w:ascii="Book Antiqua" w:hAnsi="Book Antiqua"/>
          <w:i/>
          <w:iCs/>
        </w:rPr>
      </w:pPr>
      <w:r w:rsidRPr="00BE2B81">
        <w:rPr>
          <w:rFonts w:ascii="Book Antiqua" w:eastAsia="Book Antiqua" w:hAnsi="Book Antiqua" w:cs="Book Antiqua"/>
          <w:b/>
          <w:bCs/>
          <w:i/>
          <w:iCs/>
          <w:color w:val="000000"/>
        </w:rPr>
        <w:t>Safety: Electrolyte analysis</w:t>
      </w:r>
    </w:p>
    <w:p w14:paraId="0DA6FE25" w14:textId="6881AA2B"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Electrolyte data was available for 256 patients (78%). There was a statistically significant increase in magnesium in patients who received Pc compared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(mean increase in </w:t>
      </w:r>
      <w:proofErr w:type="spellStart"/>
      <w:r w:rsidRPr="00BE2B81">
        <w:rPr>
          <w:rFonts w:ascii="Book Antiqua" w:eastAsia="Book Antiqua" w:hAnsi="Book Antiqua" w:cs="Book Antiqua"/>
          <w:color w:val="000000"/>
        </w:rPr>
        <w:t>mmol</w:t>
      </w:r>
      <w:proofErr w:type="spellEnd"/>
      <w:r w:rsidRPr="00BE2B81">
        <w:rPr>
          <w:rFonts w:ascii="Book Antiqua" w:eastAsia="Book Antiqua" w:hAnsi="Book Antiqua" w:cs="Book Antiqua"/>
          <w:color w:val="000000"/>
        </w:rPr>
        <w:t xml:space="preserve">/L: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0.03 ± 0.117 and Pc 0.11 ± 0.106; </w:t>
      </w:r>
      <w:r w:rsidRPr="00BE2B81">
        <w:rPr>
          <w:rFonts w:ascii="Book Antiqua" w:eastAsia="Book Antiqua" w:hAnsi="Book Antiqua" w:cs="Book Antiqua"/>
          <w:i/>
          <w:iCs/>
          <w:color w:val="000000"/>
        </w:rPr>
        <w:t>P</w:t>
      </w:r>
      <w:r w:rsidRPr="00BE2B81">
        <w:rPr>
          <w:rFonts w:ascii="Book Antiqua" w:eastAsia="Book Antiqua" w:hAnsi="Book Antiqua" w:cs="Book Antiqua"/>
          <w:color w:val="000000"/>
        </w:rPr>
        <w:t xml:space="preserve"> &lt; 0.0001) (Figure 4). There were no additional differences detected in the remaining electrolytes. There were no reported clinical concerns attributed to electrolyte abnormalities during the peri-procedural period, such as arrhythmias, exacerbation of congestive cardiac failure or acute pulmonary edema.</w:t>
      </w:r>
    </w:p>
    <w:bookmarkEnd w:id="49"/>
    <w:bookmarkEnd w:id="50"/>
    <w:p w14:paraId="5A709AB8" w14:textId="77777777" w:rsidR="00A77B3E" w:rsidRPr="00BE2B81" w:rsidRDefault="00A77B3E" w:rsidP="00BE2B81">
      <w:pPr>
        <w:snapToGrid w:val="0"/>
        <w:spacing w:line="360" w:lineRule="auto"/>
        <w:jc w:val="both"/>
        <w:rPr>
          <w:rFonts w:ascii="Book Antiqua" w:hAnsi="Book Antiqua"/>
        </w:rPr>
      </w:pPr>
    </w:p>
    <w:p w14:paraId="2CEC776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DISCUSSION</w:t>
      </w:r>
    </w:p>
    <w:p w14:paraId="06ADC693" w14:textId="165829C5" w:rsidR="00A77B3E" w:rsidRPr="00BE2B81" w:rsidRDefault="005B2BA9" w:rsidP="00BE2B81">
      <w:pPr>
        <w:snapToGrid w:val="0"/>
        <w:spacing w:line="360" w:lineRule="auto"/>
        <w:jc w:val="both"/>
        <w:rPr>
          <w:rFonts w:ascii="Book Antiqua" w:hAnsi="Book Antiqua"/>
        </w:rPr>
      </w:pPr>
      <w:bookmarkStart w:id="51" w:name="OLE_LINK62"/>
      <w:bookmarkStart w:id="52" w:name="OLE_LINK63"/>
      <w:r w:rsidRPr="00BE2B81">
        <w:rPr>
          <w:rFonts w:ascii="Book Antiqua" w:eastAsia="Book Antiqua" w:hAnsi="Book Antiqua" w:cs="Book Antiqua"/>
          <w:color w:val="000000"/>
        </w:rPr>
        <w:t xml:space="preserve">This study has demonstrated no significant differences in the tolerability and efficacy of bowel preparation when comparing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with P</w:t>
      </w:r>
      <w:r w:rsidR="00EB0B3B" w:rsidRPr="00BE2B81">
        <w:rPr>
          <w:rFonts w:ascii="Book Antiqua" w:eastAsia="Book Antiqua" w:hAnsi="Book Antiqua" w:cs="Book Antiqua"/>
          <w:color w:val="000000"/>
        </w:rPr>
        <w:t>c</w:t>
      </w:r>
      <w:r w:rsidRPr="00BE2B81">
        <w:rPr>
          <w:rFonts w:ascii="Book Antiqua" w:eastAsia="Book Antiqua" w:hAnsi="Book Antiqua" w:cs="Book Antiqua"/>
          <w:color w:val="000000"/>
        </w:rPr>
        <w:t>. However, subgroup analysis revealed IBD patients were less tolerant of bowel preparation when compared with patients without IBD. IBD patients reported more abdomen pain with both preparations when compared with the non-IBD group.</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Within the IBD group,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produced more abdomen pain compared with Pc.</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Safety was comparable for IBD and non-IBD patients, although Pc resulted in a higher magnesium level than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w:t>
      </w:r>
    </w:p>
    <w:p w14:paraId="5F602FEE" w14:textId="6EA83CCE"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lastRenderedPageBreak/>
        <w:t xml:space="preserve">The influence of effective bowel preparation on the quality of colonoscopy is substantial, as recently highlighted by the inclusion of bowel preparation adequacy and safety in the Australian Colonoscopy Care Standards formulated by the Commission on Safety and Quality in Health </w:t>
      </w:r>
      <w:proofErr w:type="gramStart"/>
      <w:r w:rsidRPr="00BE2B81">
        <w:rPr>
          <w:rFonts w:ascii="Book Antiqua" w:eastAsia="Book Antiqua" w:hAnsi="Book Antiqua" w:cs="Book Antiqua"/>
          <w:color w:val="000000"/>
        </w:rPr>
        <w:t>Care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22]</w:t>
      </w:r>
      <w:r w:rsidRPr="00BE2B81">
        <w:rPr>
          <w:rFonts w:ascii="Book Antiqua" w:eastAsia="Book Antiqua" w:hAnsi="Book Antiqua" w:cs="Book Antiqua"/>
          <w:color w:val="000000"/>
        </w:rPr>
        <w:t>.</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Systematic reviews have not demonstrated superiority of any specific bowel preparation regimes when assessing efficacy in both the non-IBD population as well as in those with </w:t>
      </w:r>
      <w:proofErr w:type="gramStart"/>
      <w:r w:rsidRPr="00BE2B81">
        <w:rPr>
          <w:rFonts w:ascii="Book Antiqua" w:eastAsia="Book Antiqua" w:hAnsi="Book Antiqua" w:cs="Book Antiqua"/>
          <w:color w:val="000000"/>
        </w:rPr>
        <w:t>IBD</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14,23,24]</w:t>
      </w:r>
      <w:r w:rsidRPr="00BE2B81">
        <w:rPr>
          <w:rFonts w:ascii="Book Antiqua" w:eastAsia="Book Antiqua" w:hAnsi="Book Antiqua" w:cs="Book Antiqua"/>
          <w:color w:val="000000"/>
        </w:rPr>
        <w:t xml:space="preserve">. At our center, as well as many in Australia,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are commonly recommended bowel preparations.</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Prior to this study, there have been no prospective studies which compare the efficacy of Pc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in non-IBD or IBD populations. Consistent with systematic reviews for other bowel preparations, our study demonstrated no significant difference in bowel preparation efficacy between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in both IBD and non-IBD populations. Our findings supported both Pc and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as suitable choices when considering efficacy of bowel preparation regimes in patients with and without </w:t>
      </w:r>
      <w:proofErr w:type="gramStart"/>
      <w:r w:rsidRPr="00BE2B81">
        <w:rPr>
          <w:rFonts w:ascii="Book Antiqua" w:eastAsia="Book Antiqua" w:hAnsi="Book Antiqua" w:cs="Book Antiqua"/>
          <w:color w:val="000000"/>
        </w:rPr>
        <w:t>IBD</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1,19,20]</w:t>
      </w:r>
      <w:r w:rsidRPr="00BE2B81">
        <w:rPr>
          <w:rFonts w:ascii="Book Antiqua" w:eastAsia="Book Antiqua" w:hAnsi="Book Antiqua" w:cs="Book Antiqua"/>
          <w:color w:val="000000"/>
        </w:rPr>
        <w:t>.</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xml:space="preserve">Nine percent of our overall study population had inadequate bowel preparation, which falls within the </w:t>
      </w:r>
      <w:r w:rsidR="006E05D3" w:rsidRPr="00BE2B81">
        <w:rPr>
          <w:rFonts w:ascii="Book Antiqua" w:eastAsia="Book Antiqua" w:hAnsi="Book Antiqua" w:cs="Book Antiqua"/>
          <w:color w:val="000000"/>
        </w:rPr>
        <w:t>American Society for Gastrointestinal Endoscopy</w:t>
      </w:r>
      <w:r w:rsidRPr="00BE2B81">
        <w:rPr>
          <w:rFonts w:ascii="Book Antiqua" w:eastAsia="Book Antiqua" w:hAnsi="Book Antiqua" w:cs="Book Antiqua"/>
          <w:color w:val="000000"/>
        </w:rPr>
        <w:t xml:space="preserve"> guidelines for adequate bowel preparation in at least 85% of </w:t>
      </w:r>
      <w:proofErr w:type="gramStart"/>
      <w:r w:rsidRPr="00BE2B81">
        <w:rPr>
          <w:rFonts w:ascii="Book Antiqua" w:eastAsia="Book Antiqua" w:hAnsi="Book Antiqua" w:cs="Book Antiqua"/>
          <w:color w:val="000000"/>
        </w:rPr>
        <w:t>patients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4]</w:t>
      </w:r>
      <w:r w:rsidRPr="00BE2B81">
        <w:rPr>
          <w:rFonts w:ascii="Book Antiqua" w:eastAsia="Book Antiqua" w:hAnsi="Book Antiqua" w:cs="Book Antiqua"/>
          <w:color w:val="000000"/>
        </w:rPr>
        <w:t>.</w:t>
      </w:r>
    </w:p>
    <w:p w14:paraId="277C6025" w14:textId="753F3A14"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Our study was unique in that both our IBD and non-IBD patients prospectively completed tolerability questionnaires at the time of bowel preparation ingestion. It was observed that IBD patients were less tolerant of bowel preparation when compared with patients without IBD, though the type of bowel preparation did not affect the total tolerability score when comparing IBD with the non-IBD groups. IBD patients also reported more abdominal pain when compared to non-IBD patients.</w:t>
      </w:r>
    </w:p>
    <w:p w14:paraId="1B40DB63" w14:textId="17A8476F"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Poorer tolerability of bowel preparation within IBD cohorts is consistent with previously published literature. </w:t>
      </w:r>
      <w:proofErr w:type="spellStart"/>
      <w:r w:rsidRPr="00BE2B81">
        <w:rPr>
          <w:rFonts w:ascii="Book Antiqua" w:eastAsia="Book Antiqua" w:hAnsi="Book Antiqua" w:cs="Book Antiqua"/>
          <w:color w:val="000000"/>
        </w:rPr>
        <w:t>Denters</w:t>
      </w:r>
      <w:proofErr w:type="spellEnd"/>
      <w:r w:rsidRPr="00BE2B81">
        <w:rPr>
          <w:rFonts w:ascii="Book Antiqua" w:eastAsia="Book Antiqua" w:hAnsi="Book Antiqua" w:cs="Book Antiqua"/>
          <w:color w:val="000000"/>
        </w:rPr>
        <w:t xml:space="preserve"> </w:t>
      </w:r>
      <w:r w:rsidRPr="00BE2B81">
        <w:rPr>
          <w:rFonts w:ascii="Book Antiqua" w:eastAsia="Book Antiqua" w:hAnsi="Book Antiqua" w:cs="Book Antiqua"/>
          <w:i/>
          <w:iCs/>
          <w:color w:val="000000"/>
        </w:rPr>
        <w:t xml:space="preserve">et </w:t>
      </w:r>
      <w:proofErr w:type="gramStart"/>
      <w:r w:rsidRPr="00BE2B81">
        <w:rPr>
          <w:rFonts w:ascii="Book Antiqua" w:eastAsia="Book Antiqua" w:hAnsi="Book Antiqua" w:cs="Book Antiqua"/>
          <w:i/>
          <w:iCs/>
          <w:color w:val="000000"/>
        </w:rPr>
        <w:t>al</w:t>
      </w:r>
      <w:r w:rsidR="008110E2" w:rsidRPr="00BE2B81">
        <w:rPr>
          <w:rFonts w:ascii="Book Antiqua" w:eastAsia="Book Antiqua" w:hAnsi="Book Antiqua" w:cs="Book Antiqua"/>
          <w:color w:val="000000"/>
          <w:vertAlign w:val="superscript"/>
        </w:rPr>
        <w:t>[</w:t>
      </w:r>
      <w:proofErr w:type="gramEnd"/>
      <w:r w:rsidR="008110E2" w:rsidRPr="00BE2B81">
        <w:rPr>
          <w:rFonts w:ascii="Book Antiqua" w:eastAsia="Book Antiqua" w:hAnsi="Book Antiqua" w:cs="Book Antiqua"/>
          <w:color w:val="000000"/>
          <w:vertAlign w:val="superscript"/>
        </w:rPr>
        <w:t>25]</w:t>
      </w:r>
      <w:r w:rsidRPr="00BE2B81">
        <w:rPr>
          <w:rFonts w:ascii="Book Antiqua" w:eastAsia="Book Antiqua" w:hAnsi="Book Antiqua" w:cs="Book Antiqua"/>
          <w:color w:val="000000"/>
        </w:rPr>
        <w:t xml:space="preserve"> reported significantly more psychological and physical burden from bowel preparation in patients with IBD when compared with other patient groups. In another study, IBD patients most commonly cited difficulty with bowel preparation as the most important reason </w:t>
      </w:r>
      <w:r w:rsidRPr="00BE2B81">
        <w:rPr>
          <w:rFonts w:ascii="Book Antiqua" w:eastAsia="Book Antiqua" w:hAnsi="Book Antiqua" w:cs="Book Antiqua"/>
          <w:color w:val="000000"/>
        </w:rPr>
        <w:lastRenderedPageBreak/>
        <w:t xml:space="preserve">for failed compliance with scheduled colonoscopies for colorectal cancer </w:t>
      </w:r>
      <w:proofErr w:type="gramStart"/>
      <w:r w:rsidRPr="00BE2B81">
        <w:rPr>
          <w:rFonts w:ascii="Book Antiqua" w:eastAsia="Book Antiqua" w:hAnsi="Book Antiqua" w:cs="Book Antiqua"/>
          <w:color w:val="000000"/>
        </w:rPr>
        <w:t>surveillance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9]</w:t>
      </w:r>
      <w:r w:rsidRPr="00BE2B81">
        <w:rPr>
          <w:rFonts w:ascii="Book Antiqua" w:eastAsia="Book Antiqua" w:hAnsi="Book Antiqua" w:cs="Book Antiqua"/>
          <w:color w:val="000000"/>
        </w:rPr>
        <w:t xml:space="preserve">. Tolerability of bowel preparation in IBD patients may not be entirely related to luminal pathology. In another study, tolerance of bowel preparation was similar when comparing IBD and non-IBD cohorts, however co-morbid anxiety played a role in symptom development during bowel preparation in IBD </w:t>
      </w:r>
      <w:proofErr w:type="gramStart"/>
      <w:r w:rsidRPr="00BE2B81">
        <w:rPr>
          <w:rFonts w:ascii="Book Antiqua" w:eastAsia="Book Antiqua" w:hAnsi="Book Antiqua" w:cs="Book Antiqua"/>
          <w:color w:val="000000"/>
        </w:rPr>
        <w:t>patients</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26]</w:t>
      </w:r>
      <w:r w:rsidRPr="00BE2B81">
        <w:rPr>
          <w:rFonts w:ascii="Book Antiqua" w:eastAsia="Book Antiqua" w:hAnsi="Book Antiqua" w:cs="Book Antiqua"/>
          <w:color w:val="000000"/>
        </w:rPr>
        <w:t>.</w:t>
      </w:r>
    </w:p>
    <w:p w14:paraId="3ADB0D03" w14:textId="4225BB39"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Our study provides further impetus to reinforce the importance of educating IBD patients about bowel preparation, including the possibility for reduced tolerance and more abdomen pain. IBD patient awareness about potentially poor tolerance prior to ingestion may positively impact on the bowel preparation quality and compliance with surveillance protocols. Dietary liberalization, specifically using the white or low residue diet has been shown to be better tolerated and as efficacious as a clear fluid </w:t>
      </w:r>
      <w:proofErr w:type="gramStart"/>
      <w:r w:rsidRPr="00BE2B81">
        <w:rPr>
          <w:rFonts w:ascii="Book Antiqua" w:eastAsia="Book Antiqua" w:hAnsi="Book Antiqua" w:cs="Book Antiqua"/>
          <w:color w:val="000000"/>
        </w:rPr>
        <w:t>diet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27]</w:t>
      </w:r>
      <w:r w:rsidRPr="00BE2B81">
        <w:rPr>
          <w:rFonts w:ascii="Book Antiqua" w:eastAsia="Book Antiqua" w:hAnsi="Book Antiqua" w:cs="Book Antiqua"/>
          <w:color w:val="000000"/>
        </w:rPr>
        <w:t>. Tolerability of the white diet in comparison with the clear fluid diet, prior to colonoscopy, within the IBD population is a future research area.</w:t>
      </w:r>
    </w:p>
    <w:p w14:paraId="080BE259" w14:textId="77357571"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Our study supports the safety of both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There were no reported adverse clinical outcomes. A statistically significant increase in serum magnesium level with the use of Pc when compared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was identified but it was of a small magnitude and unlikely to be clinically significant. Whilst there have been no prospective studies comparing electrolyte changes or adverse outcomes in patients taking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compared with Pc, our study is in line with other studies which have shown that Pc can cause electrolyte derangement</w:t>
      </w:r>
      <w:r w:rsidRPr="00BE2B81">
        <w:rPr>
          <w:rFonts w:ascii="Book Antiqua" w:eastAsia="Book Antiqua" w:hAnsi="Book Antiqua" w:cs="Book Antiqua"/>
          <w:color w:val="000000"/>
          <w:vertAlign w:val="superscript"/>
        </w:rPr>
        <w:t>[24]</w:t>
      </w:r>
      <w:r w:rsidRPr="00BE2B81">
        <w:rPr>
          <w:rFonts w:ascii="Book Antiqua" w:eastAsia="Book Antiqua" w:hAnsi="Book Antiqua" w:cs="Book Antiqua"/>
          <w:color w:val="000000"/>
        </w:rPr>
        <w:t xml:space="preserve">. Thus, Pc should be avoided in the elderly and patients with renal </w:t>
      </w:r>
      <w:proofErr w:type="gramStart"/>
      <w:r w:rsidRPr="00BE2B81">
        <w:rPr>
          <w:rFonts w:ascii="Book Antiqua" w:eastAsia="Book Antiqua" w:hAnsi="Book Antiqua" w:cs="Book Antiqua"/>
          <w:color w:val="000000"/>
        </w:rPr>
        <w:t>impairment</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24]</w:t>
      </w:r>
      <w:r w:rsidRPr="00BE2B81">
        <w:rPr>
          <w:rFonts w:ascii="Book Antiqua" w:eastAsia="Book Antiqua" w:hAnsi="Book Antiqua" w:cs="Book Antiqua"/>
          <w:color w:val="000000"/>
        </w:rPr>
        <w:t>.</w:t>
      </w:r>
    </w:p>
    <w:p w14:paraId="03E0F380" w14:textId="3A744E53" w:rsidR="00A77B3E" w:rsidRPr="00BE2B81" w:rsidRDefault="005B2BA9" w:rsidP="00BE2B81">
      <w:pPr>
        <w:snapToGrid w:val="0"/>
        <w:spacing w:line="360" w:lineRule="auto"/>
        <w:ind w:firstLineChars="100" w:firstLine="240"/>
        <w:jc w:val="both"/>
        <w:rPr>
          <w:rFonts w:ascii="Book Antiqua" w:hAnsi="Book Antiqua"/>
        </w:rPr>
      </w:pPr>
      <w:r w:rsidRPr="00BE2B81">
        <w:rPr>
          <w:rFonts w:ascii="Book Antiqua" w:eastAsia="Book Antiqua" w:hAnsi="Book Antiqua" w:cs="Book Antiqua"/>
          <w:color w:val="000000"/>
        </w:rPr>
        <w:t xml:space="preserve">Our study has several limitations. In relation to assessment of bowel preparation tolerability, our study utilized a modified, un-validated questionnaire developed by our study team based on an existing </w:t>
      </w:r>
      <w:proofErr w:type="gramStart"/>
      <w:r w:rsidRPr="00BE2B81">
        <w:rPr>
          <w:rFonts w:ascii="Book Antiqua" w:eastAsia="Book Antiqua" w:hAnsi="Book Antiqua" w:cs="Book Antiqua"/>
          <w:color w:val="000000"/>
        </w:rPr>
        <w:t>questionnaire</w:t>
      </w:r>
      <w:r w:rsidRPr="00BE2B81">
        <w:rPr>
          <w:rFonts w:ascii="Book Antiqua" w:eastAsia="Book Antiqua" w:hAnsi="Book Antiqua" w:cs="Book Antiqua"/>
          <w:color w:val="000000"/>
          <w:vertAlign w:val="superscript"/>
        </w:rPr>
        <w:t>[</w:t>
      </w:r>
      <w:proofErr w:type="gramEnd"/>
      <w:r w:rsidRPr="00BE2B81">
        <w:rPr>
          <w:rFonts w:ascii="Book Antiqua" w:eastAsia="Book Antiqua" w:hAnsi="Book Antiqua" w:cs="Book Antiqua"/>
          <w:color w:val="000000"/>
          <w:vertAlign w:val="superscript"/>
        </w:rPr>
        <w:t>17]</w:t>
      </w:r>
      <w:r w:rsidRPr="00BE2B81">
        <w:rPr>
          <w:rFonts w:ascii="Book Antiqua" w:eastAsia="Book Antiqua" w:hAnsi="Book Antiqua" w:cs="Book Antiqua"/>
          <w:color w:val="000000"/>
        </w:rPr>
        <w:t>. Whilst we acknowledge this limitation, the same questionnaire was used in all study arms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IBD and non-IBD), and the questionnaire completion rate was equivalent amongst all study arms. Furthermore, tolerability of bowel </w:t>
      </w:r>
      <w:r w:rsidRPr="00BE2B81">
        <w:rPr>
          <w:rFonts w:ascii="Book Antiqua" w:eastAsia="Book Antiqua" w:hAnsi="Book Antiqua" w:cs="Book Antiqua"/>
          <w:color w:val="000000"/>
        </w:rPr>
        <w:lastRenderedPageBreak/>
        <w:t>preparation may have been influenced by the volume of fluid (</w:t>
      </w:r>
      <w:r w:rsidRPr="00BE2B81">
        <w:rPr>
          <w:rFonts w:ascii="Book Antiqua" w:eastAsia="Book Antiqua" w:hAnsi="Book Antiqua" w:cs="Book Antiqua"/>
          <w:i/>
          <w:iCs/>
          <w:color w:val="000000"/>
        </w:rPr>
        <w:t>e.g</w:t>
      </w:r>
      <w:r w:rsidR="000D0B72" w:rsidRPr="00BE2B81">
        <w:rPr>
          <w:rFonts w:ascii="Book Antiqua" w:eastAsia="Book Antiqua" w:hAnsi="Book Antiqua" w:cs="Book Antiqua"/>
          <w:i/>
          <w:iCs/>
          <w:color w:val="000000"/>
        </w:rPr>
        <w:t>.</w:t>
      </w:r>
      <w:r w:rsidR="00A13025">
        <w:rPr>
          <w:rFonts w:ascii="Book Antiqua" w:eastAsia="Book Antiqua" w:hAnsi="Book Antiqua" w:cs="Book Antiqua"/>
          <w:i/>
          <w:iCs/>
          <w:color w:val="000000"/>
        </w:rPr>
        <w:t>,</w:t>
      </w:r>
      <w:r w:rsidRPr="00BE2B81">
        <w:rPr>
          <w:rFonts w:ascii="Book Antiqua" w:eastAsia="Book Antiqua" w:hAnsi="Book Antiqua" w:cs="Book Antiqua"/>
          <w:color w:val="000000"/>
        </w:rPr>
        <w:t xml:space="preserve"> water) replacement consumed by each participant in addition to the actual bowel preparation. This was not standardized between groups (</w:t>
      </w:r>
      <w:r w:rsidR="000D0B72" w:rsidRPr="00BE2B81">
        <w:rPr>
          <w:rFonts w:ascii="Book Antiqua" w:eastAsia="Book Antiqua" w:hAnsi="Book Antiqua" w:cs="Book Antiqua"/>
          <w:color w:val="000000"/>
        </w:rPr>
        <w:t>Supplementary material 1</w:t>
      </w:r>
      <w:r w:rsidRPr="00BE2B81">
        <w:rPr>
          <w:rFonts w:ascii="Book Antiqua" w:eastAsia="Book Antiqua" w:hAnsi="Book Antiqua" w:cs="Book Antiqua"/>
          <w:color w:val="000000"/>
        </w:rPr>
        <w:t>). The tolerability questionnaire was completed just prior to the colonoscopy. As a result, delayed tolerability side effects from the allocated preparation may have been missed. Lastly, we did not collect data about variables which may influence bowel preparation efficacy. These variables include smoking history, medication history, history of Diabetes Mellitus or disease activity in IBD.</w:t>
      </w:r>
    </w:p>
    <w:bookmarkEnd w:id="51"/>
    <w:bookmarkEnd w:id="52"/>
    <w:p w14:paraId="67EA2B99" w14:textId="77777777" w:rsidR="00A77B3E" w:rsidRPr="00BE2B81" w:rsidRDefault="00A77B3E" w:rsidP="00BE2B81">
      <w:pPr>
        <w:snapToGrid w:val="0"/>
        <w:spacing w:line="360" w:lineRule="auto"/>
        <w:jc w:val="both"/>
        <w:rPr>
          <w:rFonts w:ascii="Book Antiqua" w:hAnsi="Book Antiqua"/>
        </w:rPr>
      </w:pPr>
    </w:p>
    <w:p w14:paraId="1D976BF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CONCLUSION</w:t>
      </w:r>
    </w:p>
    <w:p w14:paraId="5515C556" w14:textId="325690D2" w:rsidR="00A77B3E" w:rsidRPr="00BE2B81" w:rsidRDefault="005B2BA9" w:rsidP="00BE2B81">
      <w:pPr>
        <w:snapToGrid w:val="0"/>
        <w:spacing w:line="360" w:lineRule="auto"/>
        <w:jc w:val="both"/>
        <w:rPr>
          <w:rFonts w:ascii="Book Antiqua" w:hAnsi="Book Antiqua"/>
        </w:rPr>
      </w:pPr>
      <w:bookmarkStart w:id="53" w:name="OLE_LINK64"/>
      <w:bookmarkStart w:id="54" w:name="OLE_LINK65"/>
      <w:r w:rsidRPr="00BE2B81">
        <w:rPr>
          <w:rFonts w:ascii="Book Antiqua" w:eastAsia="Book Antiqua" w:hAnsi="Book Antiqua" w:cs="Book Antiqua"/>
          <w:color w:val="000000"/>
        </w:rPr>
        <w:t xml:space="preserve">Our prospective, randomized controlled study has compared the tolerability, efficacy and 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w:t>
      </w:r>
      <w:r w:rsidR="00EB0B3B" w:rsidRPr="00BE2B81">
        <w:rPr>
          <w:rFonts w:ascii="Book Antiqua" w:eastAsia="Book Antiqua" w:hAnsi="Book Antiqua" w:cs="Book Antiqua"/>
          <w:color w:val="000000"/>
        </w:rPr>
        <w:t>c</w:t>
      </w:r>
      <w:r w:rsidRPr="00BE2B81">
        <w:rPr>
          <w:rFonts w:ascii="Book Antiqua" w:eastAsia="Book Antiqua" w:hAnsi="Book Antiqua" w:cs="Book Antiqua"/>
          <w:color w:val="000000"/>
        </w:rPr>
        <w:t xml:space="preserve"> in non-IBD and IBD patients. We demonstrated that both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had similar efficacy of bowel preparation in either the non-IBD or IBD cohorts. However, IBD patients were less tolerant of bowel preparation and reported more abdomen pain compared with patients without IBD. Furthermore, IBD patients reported more abdominal pain with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compared with Pc. Future research opportunities in this field include assessing factors contributing to poor bowel preparation tolerability in IBD patients is required.</w:t>
      </w:r>
    </w:p>
    <w:bookmarkEnd w:id="53"/>
    <w:bookmarkEnd w:id="54"/>
    <w:p w14:paraId="3F404F95" w14:textId="77777777" w:rsidR="00A77B3E" w:rsidRPr="00BE2B81" w:rsidRDefault="00A77B3E" w:rsidP="00BE2B81">
      <w:pPr>
        <w:snapToGrid w:val="0"/>
        <w:spacing w:line="360" w:lineRule="auto"/>
        <w:jc w:val="both"/>
        <w:rPr>
          <w:rFonts w:ascii="Book Antiqua" w:hAnsi="Book Antiqua"/>
        </w:rPr>
      </w:pPr>
    </w:p>
    <w:p w14:paraId="2139CAB7"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aps/>
          <w:color w:val="000000"/>
          <w:u w:val="single"/>
        </w:rPr>
        <w:t>ARTICLE HIGHLIGHTS</w:t>
      </w:r>
    </w:p>
    <w:p w14:paraId="4122A22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background</w:t>
      </w:r>
    </w:p>
    <w:p w14:paraId="270E5255" w14:textId="388CF9A7" w:rsidR="00A77B3E" w:rsidRPr="00BE2B81" w:rsidRDefault="005B2BA9" w:rsidP="00BE2B81">
      <w:pPr>
        <w:snapToGrid w:val="0"/>
        <w:spacing w:line="360" w:lineRule="auto"/>
        <w:jc w:val="both"/>
        <w:rPr>
          <w:rFonts w:ascii="Book Antiqua" w:hAnsi="Book Antiqua"/>
        </w:rPr>
      </w:pPr>
      <w:bookmarkStart w:id="55" w:name="OLE_LINK66"/>
      <w:bookmarkStart w:id="56" w:name="OLE_LINK67"/>
      <w:r w:rsidRPr="00BE2B81">
        <w:rPr>
          <w:rFonts w:ascii="Book Antiqua" w:eastAsia="Book Antiqua" w:hAnsi="Book Antiqua" w:cs="Book Antiqua"/>
          <w:color w:val="000000"/>
        </w:rPr>
        <w:t>Colonoscopy remains the gold standard for detection of colonic disease.</w:t>
      </w:r>
      <w:r w:rsidR="002D60D8" w:rsidRPr="00BE2B81">
        <w:rPr>
          <w:rFonts w:ascii="Book Antiqua" w:hAnsi="Book Antiqua"/>
          <w:lang w:eastAsia="zh-CN"/>
        </w:rPr>
        <w:t xml:space="preserve"> </w:t>
      </w:r>
      <w:r w:rsidRPr="00BE2B81">
        <w:rPr>
          <w:rFonts w:ascii="Book Antiqua" w:eastAsia="Book Antiqua" w:hAnsi="Book Antiqua" w:cs="Book Antiqua"/>
          <w:color w:val="000000"/>
        </w:rPr>
        <w:t>An optimal evaluation depends on adequate bowel cleansing.</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Patients with </w:t>
      </w:r>
      <w:r w:rsidR="00BB717C" w:rsidRPr="00BE2B81">
        <w:rPr>
          <w:rFonts w:ascii="Book Antiqua" w:eastAsia="Book Antiqua" w:hAnsi="Book Antiqua" w:cs="Book Antiqua"/>
          <w:color w:val="000000"/>
        </w:rPr>
        <w:t>in</w:t>
      </w:r>
      <w:r w:rsidRPr="00BE2B81">
        <w:rPr>
          <w:rFonts w:ascii="Book Antiqua" w:eastAsia="Book Antiqua" w:hAnsi="Book Antiqua" w:cs="Book Antiqua"/>
          <w:color w:val="000000"/>
        </w:rPr>
        <w:t>flammatory bowel disease (IBD), require frequent endoscopic assessment for both activity and dysplasia assessment.</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Two commonly used bowel preparations in Australia are Prep Kit-C (Pc) and </w:t>
      </w:r>
      <w:proofErr w:type="spellStart"/>
      <w:r w:rsidRPr="00BE2B81">
        <w:rPr>
          <w:rFonts w:ascii="Book Antiqua" w:eastAsia="Book Antiqua" w:hAnsi="Book Antiqua" w:cs="Book Antiqua"/>
          <w:color w:val="000000"/>
        </w:rPr>
        <w:t>Moviprep</w:t>
      </w:r>
      <w:proofErr w:type="spellEnd"/>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Little is known about </w:t>
      </w:r>
      <w:r w:rsidRPr="00BE2B81">
        <w:rPr>
          <w:rFonts w:ascii="Book Antiqua" w:eastAsia="Book Antiqua" w:hAnsi="Book Antiqua" w:cs="Book Antiqua"/>
          <w:color w:val="000000"/>
        </w:rPr>
        <w:lastRenderedPageBreak/>
        <w:t>tolerability, efficacy and safety of split protocols of</w:t>
      </w:r>
      <w:r w:rsidR="00BB717C"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in both</w:t>
      </w:r>
      <w:r w:rsidR="00BB717C"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IBD</w:t>
      </w:r>
      <w:r w:rsidR="00BB717C"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and non-IBD patients.</w:t>
      </w:r>
    </w:p>
    <w:bookmarkEnd w:id="55"/>
    <w:bookmarkEnd w:id="56"/>
    <w:p w14:paraId="6B795F5F" w14:textId="77777777" w:rsidR="00A77B3E" w:rsidRPr="00BE2B81" w:rsidRDefault="00A77B3E" w:rsidP="00BE2B81">
      <w:pPr>
        <w:snapToGrid w:val="0"/>
        <w:spacing w:line="360" w:lineRule="auto"/>
        <w:jc w:val="both"/>
        <w:rPr>
          <w:rFonts w:ascii="Book Antiqua" w:hAnsi="Book Antiqua"/>
        </w:rPr>
      </w:pPr>
    </w:p>
    <w:p w14:paraId="2A4C9DD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motivation</w:t>
      </w:r>
    </w:p>
    <w:p w14:paraId="52D1C06A" w14:textId="50D1EE3C" w:rsidR="00A77B3E" w:rsidRPr="00BE2B81" w:rsidRDefault="005B2BA9" w:rsidP="00BE2B81">
      <w:pPr>
        <w:snapToGrid w:val="0"/>
        <w:spacing w:line="360" w:lineRule="auto"/>
        <w:jc w:val="both"/>
        <w:rPr>
          <w:rFonts w:ascii="Book Antiqua" w:hAnsi="Book Antiqua"/>
        </w:rPr>
      </w:pPr>
      <w:bookmarkStart w:id="57" w:name="OLE_LINK68"/>
      <w:bookmarkStart w:id="58" w:name="OLE_LINK69"/>
      <w:r w:rsidRPr="00BE2B81">
        <w:rPr>
          <w:rFonts w:ascii="Book Antiqua" w:eastAsia="Book Antiqua" w:hAnsi="Book Antiqua" w:cs="Book Antiqua"/>
          <w:color w:val="000000"/>
        </w:rPr>
        <w:t>To determine which bowel preparation is</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tolerable and effective in both IBD and non-IBD patients.</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Efficacy and tolerability are related, and both contribute to </w:t>
      </w:r>
      <w:r w:rsidR="00507D36">
        <w:rPr>
          <w:rFonts w:ascii="Book Antiqua" w:eastAsia="Book Antiqua" w:hAnsi="Book Antiqua" w:cs="Book Antiqua"/>
          <w:color w:val="000000"/>
        </w:rPr>
        <w:t>effectiveness</w:t>
      </w:r>
      <w:r w:rsidRPr="00BE2B81">
        <w:rPr>
          <w:rFonts w:ascii="Book Antiqua" w:eastAsia="Book Antiqua" w:hAnsi="Book Antiqua" w:cs="Book Antiqua"/>
          <w:color w:val="000000"/>
        </w:rPr>
        <w:t>.</w:t>
      </w:r>
      <w:r w:rsidR="002D60D8" w:rsidRPr="00BE2B81">
        <w:rPr>
          <w:rFonts w:ascii="Book Antiqua" w:hAnsi="Book Antiqua"/>
          <w:lang w:eastAsia="zh-CN"/>
        </w:rPr>
        <w:t xml:space="preserve"> </w:t>
      </w:r>
      <w:r w:rsidRPr="00BE2B81">
        <w:rPr>
          <w:rFonts w:ascii="Book Antiqua" w:eastAsia="Book Antiqua" w:hAnsi="Book Antiqua" w:cs="Book Antiqua"/>
          <w:color w:val="000000"/>
        </w:rPr>
        <w:t xml:space="preserve">By maximizing effectiveness we </w:t>
      </w:r>
      <w:proofErr w:type="spellStart"/>
      <w:r w:rsidRPr="00BE2B81">
        <w:rPr>
          <w:rFonts w:ascii="Book Antiqua" w:eastAsia="Book Antiqua" w:hAnsi="Book Antiqua" w:cs="Book Antiqua"/>
          <w:color w:val="000000"/>
        </w:rPr>
        <w:t>minimise</w:t>
      </w:r>
      <w:proofErr w:type="spellEnd"/>
      <w:r w:rsidRPr="00BE2B81">
        <w:rPr>
          <w:rFonts w:ascii="Book Antiqua" w:eastAsia="Book Antiqua" w:hAnsi="Book Antiqua" w:cs="Book Antiqua"/>
          <w:color w:val="000000"/>
        </w:rPr>
        <w:t xml:space="preserve"> the chances of inadequate bowel cleansing and incomplete colonoscopy. This ensures that hospital and patient resources are not wasted.</w:t>
      </w:r>
    </w:p>
    <w:bookmarkEnd w:id="57"/>
    <w:bookmarkEnd w:id="58"/>
    <w:p w14:paraId="53CF8184" w14:textId="77777777" w:rsidR="00A77B3E" w:rsidRPr="00BE2B81" w:rsidRDefault="00A77B3E" w:rsidP="00BE2B81">
      <w:pPr>
        <w:snapToGrid w:val="0"/>
        <w:spacing w:line="360" w:lineRule="auto"/>
        <w:jc w:val="both"/>
        <w:rPr>
          <w:rFonts w:ascii="Book Antiqua" w:hAnsi="Book Antiqua"/>
        </w:rPr>
      </w:pPr>
    </w:p>
    <w:p w14:paraId="5AA88B14"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objectives</w:t>
      </w:r>
    </w:p>
    <w:p w14:paraId="1F4CCF55" w14:textId="6484F35C" w:rsidR="00A77B3E" w:rsidRPr="00BE2B81" w:rsidRDefault="005B2BA9" w:rsidP="00BE2B81">
      <w:pPr>
        <w:snapToGrid w:val="0"/>
        <w:spacing w:line="360" w:lineRule="auto"/>
        <w:jc w:val="both"/>
        <w:rPr>
          <w:rFonts w:ascii="Book Antiqua" w:hAnsi="Book Antiqua"/>
        </w:rPr>
      </w:pPr>
      <w:bookmarkStart w:id="59" w:name="OLE_LINK70"/>
      <w:bookmarkStart w:id="60" w:name="OLE_LINK71"/>
      <w:r w:rsidRPr="00BE2B81">
        <w:rPr>
          <w:rFonts w:ascii="Book Antiqua" w:eastAsia="Book Antiqua" w:hAnsi="Book Antiqua" w:cs="Book Antiqua"/>
          <w:color w:val="000000"/>
        </w:rPr>
        <w:t xml:space="preserve">This study’s primary aim was to compare tolerability, efficacy and safety of split protocols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with Pc in participants having a colonoscopy.</w:t>
      </w:r>
      <w:r w:rsidR="002D60D8" w:rsidRPr="00BE2B81">
        <w:rPr>
          <w:rFonts w:ascii="Book Antiqua" w:hAnsi="Book Antiqua"/>
          <w:lang w:eastAsia="zh-CN"/>
        </w:rPr>
        <w:t xml:space="preserve"> </w:t>
      </w:r>
      <w:r w:rsidRPr="00BE2B81">
        <w:rPr>
          <w:rFonts w:ascii="Book Antiqua" w:eastAsia="Book Antiqua" w:hAnsi="Book Antiqua" w:cs="Book Antiqua"/>
          <w:color w:val="000000"/>
        </w:rPr>
        <w:t>The secondary aim was to compare the efficacy and tolerability of either preparation in participants with or without IBD</w:t>
      </w:r>
      <w:r w:rsidR="00697EF1" w:rsidRPr="00BE2B81">
        <w:rPr>
          <w:rFonts w:ascii="Book Antiqua" w:eastAsia="Book Antiqua" w:hAnsi="Book Antiqua" w:cs="Book Antiqua"/>
          <w:color w:val="000000"/>
        </w:rPr>
        <w:t>.</w:t>
      </w:r>
    </w:p>
    <w:bookmarkEnd w:id="59"/>
    <w:bookmarkEnd w:id="60"/>
    <w:p w14:paraId="60BAAED1" w14:textId="77777777" w:rsidR="00A77B3E" w:rsidRPr="00BE2B81" w:rsidRDefault="00A77B3E" w:rsidP="00BE2B81">
      <w:pPr>
        <w:snapToGrid w:val="0"/>
        <w:spacing w:line="360" w:lineRule="auto"/>
        <w:jc w:val="both"/>
        <w:rPr>
          <w:rFonts w:ascii="Book Antiqua" w:hAnsi="Book Antiqua"/>
        </w:rPr>
      </w:pPr>
    </w:p>
    <w:p w14:paraId="74D177F1"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methods</w:t>
      </w:r>
    </w:p>
    <w:p w14:paraId="3EA0D4B8" w14:textId="2E44651B" w:rsidR="00A77B3E" w:rsidRPr="00BE2B81" w:rsidRDefault="005B2BA9" w:rsidP="00BE2B81">
      <w:pPr>
        <w:snapToGrid w:val="0"/>
        <w:spacing w:line="360" w:lineRule="auto"/>
        <w:jc w:val="both"/>
        <w:rPr>
          <w:rFonts w:ascii="Book Antiqua" w:hAnsi="Book Antiqua"/>
        </w:rPr>
      </w:pPr>
      <w:bookmarkStart w:id="61" w:name="OLE_LINK72"/>
      <w:bookmarkStart w:id="62" w:name="OLE_LINK73"/>
      <w:r w:rsidRPr="00BE2B81">
        <w:rPr>
          <w:rFonts w:ascii="Book Antiqua" w:eastAsia="Book Antiqua" w:hAnsi="Book Antiqua" w:cs="Book Antiqua"/>
          <w:color w:val="000000"/>
        </w:rPr>
        <w:t xml:space="preserve">Patients were randomized to Pc or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bowel preparation.</w:t>
      </w:r>
      <w:r w:rsidR="002D60D8" w:rsidRPr="00BE2B81">
        <w:rPr>
          <w:rFonts w:ascii="Book Antiqua" w:hAnsi="Book Antiqua"/>
          <w:lang w:eastAsia="zh-CN"/>
        </w:rPr>
        <w:t xml:space="preserve"> </w:t>
      </w:r>
      <w:r w:rsidRPr="00BE2B81">
        <w:rPr>
          <w:rFonts w:ascii="Book Antiqua" w:eastAsia="Book Antiqua" w:hAnsi="Book Antiqua" w:cs="Book Antiqua"/>
          <w:color w:val="000000"/>
        </w:rPr>
        <w:t>Patients completed a questionnaire to assess tolerability.</w:t>
      </w:r>
      <w:r w:rsidR="002D60D8" w:rsidRPr="00BE2B81">
        <w:rPr>
          <w:rFonts w:ascii="Book Antiqua" w:hAnsi="Book Antiqua"/>
          <w:lang w:eastAsia="zh-CN"/>
        </w:rPr>
        <w:t xml:space="preserve"> </w:t>
      </w:r>
      <w:r w:rsidRPr="00BE2B81">
        <w:rPr>
          <w:rFonts w:ascii="Book Antiqua" w:eastAsia="Book Antiqua" w:hAnsi="Book Antiqua" w:cs="Book Antiqua"/>
          <w:color w:val="000000"/>
        </w:rPr>
        <w:t>Efficacy was assessed using the Ottawa Bowel Preparation Score.</w:t>
      </w:r>
      <w:r w:rsidR="002D60D8" w:rsidRPr="00BE2B81">
        <w:rPr>
          <w:rFonts w:ascii="Book Antiqua" w:hAnsi="Book Antiqua"/>
          <w:lang w:eastAsia="zh-CN"/>
        </w:rPr>
        <w:t xml:space="preserve"> </w:t>
      </w:r>
      <w:r w:rsidRPr="00BE2B81">
        <w:rPr>
          <w:rFonts w:ascii="Book Antiqua" w:eastAsia="Book Antiqua" w:hAnsi="Book Antiqua" w:cs="Book Antiqua"/>
          <w:color w:val="000000"/>
        </w:rPr>
        <w:t>Serum electrolytes and renal function were collected one week prior to colonoscopy and on the day of colonoscopy.</w:t>
      </w:r>
    </w:p>
    <w:bookmarkEnd w:id="61"/>
    <w:bookmarkEnd w:id="62"/>
    <w:p w14:paraId="3B0D642C" w14:textId="77777777" w:rsidR="00A77B3E" w:rsidRPr="00BE2B81" w:rsidRDefault="00A77B3E" w:rsidP="00BE2B81">
      <w:pPr>
        <w:snapToGrid w:val="0"/>
        <w:spacing w:line="360" w:lineRule="auto"/>
        <w:jc w:val="both"/>
        <w:rPr>
          <w:rFonts w:ascii="Book Antiqua" w:hAnsi="Book Antiqua"/>
        </w:rPr>
      </w:pPr>
    </w:p>
    <w:p w14:paraId="0BC8B0D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results</w:t>
      </w:r>
    </w:p>
    <w:p w14:paraId="1012DF8B" w14:textId="45851C4B" w:rsidR="00A77B3E" w:rsidRPr="00BE2B81" w:rsidRDefault="00A13025" w:rsidP="00BE2B81">
      <w:pPr>
        <w:snapToGrid w:val="0"/>
        <w:spacing w:line="360" w:lineRule="auto"/>
        <w:jc w:val="both"/>
        <w:rPr>
          <w:rFonts w:ascii="Book Antiqua" w:hAnsi="Book Antiqua"/>
        </w:rPr>
      </w:pPr>
      <w:bookmarkStart w:id="63" w:name="OLE_LINK74"/>
      <w:bookmarkStart w:id="64" w:name="OLE_LINK75"/>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338 patients met the inclusion criteria. </w:t>
      </w:r>
      <w:r>
        <w:rPr>
          <w:rFonts w:ascii="Book Antiqua" w:eastAsia="Book Antiqua" w:hAnsi="Book Antiqua" w:cs="Book Antiqua"/>
          <w:color w:val="000000"/>
        </w:rPr>
        <w:t xml:space="preserve">Of </w:t>
      </w:r>
      <w:r w:rsidR="005B2BA9" w:rsidRPr="00BE2B81">
        <w:rPr>
          <w:rFonts w:ascii="Book Antiqua" w:eastAsia="Book Antiqua" w:hAnsi="Book Antiqua" w:cs="Book Antiqua"/>
          <w:color w:val="000000"/>
        </w:rPr>
        <w:t xml:space="preserve">168 patients randomized to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170 to Pc. The efficacy of bowel preparation (mean </w:t>
      </w:r>
      <w:r w:rsidR="00697EF1" w:rsidRPr="00BE2B81">
        <w:rPr>
          <w:rFonts w:ascii="Book Antiqua" w:eastAsia="Book Antiqua" w:hAnsi="Book Antiqua" w:cs="Book Antiqua"/>
          <w:color w:val="000000"/>
        </w:rPr>
        <w:t>Ottawa Bowel Preparation Score</w:t>
      </w:r>
      <w:r w:rsidR="005B2BA9" w:rsidRPr="00BE2B81">
        <w:rPr>
          <w:rFonts w:ascii="Book Antiqua" w:eastAsia="Book Antiqua" w:hAnsi="Book Antiqua" w:cs="Book Antiqua"/>
          <w:color w:val="000000"/>
        </w:rPr>
        <w:t xml:space="preserve">) was similar between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Pc.</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 xml:space="preserve">Mean tolerability scores were similar in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and Pc.</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The mean tolerability score in the IBD group was lower than the non-IBD group.</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 xml:space="preserve">IBD patients described more abdominal pain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when </w:t>
      </w:r>
      <w:r w:rsidR="005B2BA9" w:rsidRPr="00BE2B81">
        <w:rPr>
          <w:rFonts w:ascii="Book Antiqua" w:eastAsia="Book Antiqua" w:hAnsi="Book Antiqua" w:cs="Book Antiqua"/>
          <w:color w:val="000000"/>
        </w:rPr>
        <w:lastRenderedPageBreak/>
        <w:t>compared with Pc.</w:t>
      </w:r>
      <w:r w:rsidR="002D60D8" w:rsidRPr="00BE2B81">
        <w:rPr>
          <w:rFonts w:ascii="Book Antiqua" w:hAnsi="Book Antiqua"/>
          <w:lang w:eastAsia="zh-CN"/>
        </w:rPr>
        <w:t xml:space="preserve"> </w:t>
      </w:r>
      <w:r w:rsidR="005B2BA9" w:rsidRPr="00BE2B81">
        <w:rPr>
          <w:rFonts w:ascii="Book Antiqua" w:eastAsia="Book Antiqua" w:hAnsi="Book Antiqua" w:cs="Book Antiqua"/>
          <w:color w:val="000000"/>
        </w:rPr>
        <w:t xml:space="preserve">Serum magnesium level increased with Pc compared with </w:t>
      </w:r>
      <w:proofErr w:type="spellStart"/>
      <w:r w:rsidR="005B2BA9" w:rsidRPr="00BE2B81">
        <w:rPr>
          <w:rFonts w:ascii="Book Antiqua" w:eastAsia="Book Antiqua" w:hAnsi="Book Antiqua" w:cs="Book Antiqua"/>
          <w:color w:val="000000"/>
        </w:rPr>
        <w:t>Mp</w:t>
      </w:r>
      <w:proofErr w:type="spellEnd"/>
      <w:r w:rsidR="005B2BA9" w:rsidRPr="00BE2B81">
        <w:rPr>
          <w:rFonts w:ascii="Book Antiqua" w:eastAsia="Book Antiqua" w:hAnsi="Book Antiqua" w:cs="Book Antiqua"/>
          <w:color w:val="000000"/>
        </w:rPr>
        <w:t xml:space="preserve"> in all patients</w:t>
      </w:r>
      <w:r w:rsidR="00697EF1" w:rsidRPr="00BE2B81">
        <w:rPr>
          <w:rFonts w:ascii="Book Antiqua" w:eastAsia="Book Antiqua" w:hAnsi="Book Antiqua" w:cs="Book Antiqua"/>
          <w:color w:val="000000"/>
        </w:rPr>
        <w:t>.</w:t>
      </w:r>
    </w:p>
    <w:p w14:paraId="3F169E9A" w14:textId="77777777" w:rsidR="00A77B3E" w:rsidRPr="00BE2B81" w:rsidRDefault="00A77B3E" w:rsidP="00BE2B81">
      <w:pPr>
        <w:snapToGrid w:val="0"/>
        <w:spacing w:line="360" w:lineRule="auto"/>
        <w:jc w:val="both"/>
        <w:rPr>
          <w:rFonts w:ascii="Book Antiqua" w:hAnsi="Book Antiqua"/>
        </w:rPr>
      </w:pPr>
    </w:p>
    <w:bookmarkEnd w:id="63"/>
    <w:bookmarkEnd w:id="64"/>
    <w:p w14:paraId="61CF623E"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i/>
          <w:color w:val="000000"/>
        </w:rPr>
        <w:t>Research conclusions</w:t>
      </w:r>
    </w:p>
    <w:p w14:paraId="6BF8DEBB" w14:textId="3DC3DCCE" w:rsidR="00A77B3E" w:rsidRPr="005633D1" w:rsidRDefault="005B2BA9" w:rsidP="00BE2B81">
      <w:pPr>
        <w:snapToGrid w:val="0"/>
        <w:spacing w:line="360" w:lineRule="auto"/>
        <w:jc w:val="both"/>
        <w:rPr>
          <w:rFonts w:ascii="Book Antiqua" w:hAnsi="Book Antiqua"/>
        </w:rPr>
      </w:pPr>
      <w:bookmarkStart w:id="65" w:name="OLE_LINK76"/>
      <w:bookmarkStart w:id="66" w:name="OLE_LINK77"/>
      <w:r w:rsidRPr="00BE2B81">
        <w:rPr>
          <w:rFonts w:ascii="Book Antiqua" w:eastAsia="Book Antiqua" w:hAnsi="Book Antiqua" w:cs="Book Antiqua"/>
          <w:color w:val="000000"/>
        </w:rPr>
        <w:t xml:space="preserve">In this study, the efficacy, tolerability and safety of </w:t>
      </w:r>
      <w:proofErr w:type="spellStart"/>
      <w:r w:rsidRPr="00BE2B81">
        <w:rPr>
          <w:rFonts w:ascii="Book Antiqua" w:eastAsia="Book Antiqua" w:hAnsi="Book Antiqua" w:cs="Book Antiqua"/>
          <w:color w:val="000000"/>
        </w:rPr>
        <w:t>Mp</w:t>
      </w:r>
      <w:proofErr w:type="spellEnd"/>
      <w:r w:rsidRPr="00BE2B81">
        <w:rPr>
          <w:rFonts w:ascii="Book Antiqua" w:eastAsia="Book Antiqua" w:hAnsi="Book Antiqua" w:cs="Book Antiqua"/>
          <w:color w:val="000000"/>
        </w:rPr>
        <w:t xml:space="preserve"> and Pc were similar in all patients.</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However, patients with IBD reported lower tolerability with both </w:t>
      </w:r>
      <w:r w:rsidRPr="005633D1">
        <w:rPr>
          <w:rFonts w:ascii="Book Antiqua" w:eastAsia="Book Antiqua" w:hAnsi="Book Antiqua" w:cs="Book Antiqua"/>
          <w:color w:val="000000"/>
        </w:rPr>
        <w:t xml:space="preserve">preparations. Specifically, IBD patients had more abdominal pain with </w:t>
      </w:r>
      <w:proofErr w:type="spellStart"/>
      <w:r w:rsidRPr="005633D1">
        <w:rPr>
          <w:rFonts w:ascii="Book Antiqua" w:eastAsia="Book Antiqua" w:hAnsi="Book Antiqua" w:cs="Book Antiqua"/>
          <w:color w:val="000000"/>
        </w:rPr>
        <w:t>Mp</w:t>
      </w:r>
      <w:proofErr w:type="spellEnd"/>
      <w:r w:rsidRPr="005633D1">
        <w:rPr>
          <w:rFonts w:ascii="Book Antiqua" w:eastAsia="Book Antiqua" w:hAnsi="Book Antiqua" w:cs="Book Antiqua"/>
          <w:color w:val="000000"/>
        </w:rPr>
        <w:t>.</w:t>
      </w:r>
    </w:p>
    <w:bookmarkEnd w:id="65"/>
    <w:bookmarkEnd w:id="66"/>
    <w:p w14:paraId="45858F97" w14:textId="77777777" w:rsidR="00A77B3E" w:rsidRPr="005633D1" w:rsidRDefault="00A77B3E" w:rsidP="00BE2B81">
      <w:pPr>
        <w:snapToGrid w:val="0"/>
        <w:spacing w:line="360" w:lineRule="auto"/>
        <w:jc w:val="both"/>
        <w:rPr>
          <w:rFonts w:ascii="Book Antiqua" w:hAnsi="Book Antiqua"/>
        </w:rPr>
      </w:pPr>
    </w:p>
    <w:p w14:paraId="2FE25DD0"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b/>
          <w:i/>
          <w:color w:val="000000"/>
        </w:rPr>
        <w:t>Research perspectives</w:t>
      </w:r>
    </w:p>
    <w:p w14:paraId="191766D0" w14:textId="19164B92" w:rsidR="00A77B3E" w:rsidRPr="005633D1" w:rsidRDefault="005B2BA9" w:rsidP="00BE2B81">
      <w:pPr>
        <w:snapToGrid w:val="0"/>
        <w:spacing w:line="360" w:lineRule="auto"/>
        <w:jc w:val="both"/>
        <w:rPr>
          <w:rFonts w:ascii="Book Antiqua" w:hAnsi="Book Antiqua"/>
        </w:rPr>
      </w:pPr>
      <w:bookmarkStart w:id="67" w:name="OLE_LINK78"/>
      <w:bookmarkStart w:id="68" w:name="OLE_LINK79"/>
      <w:r w:rsidRPr="005633D1">
        <w:rPr>
          <w:rFonts w:ascii="Book Antiqua" w:eastAsia="Book Antiqua" w:hAnsi="Book Antiqua" w:cs="Book Antiqua"/>
          <w:color w:val="000000"/>
        </w:rPr>
        <w:t>These results should be considered when recommending bowel preparation especially to IBD patients.</w:t>
      </w:r>
      <w:r w:rsidR="002D60D8" w:rsidRPr="005633D1">
        <w:rPr>
          <w:rFonts w:ascii="Book Antiqua" w:hAnsi="Book Antiqua"/>
          <w:lang w:eastAsia="zh-CN"/>
        </w:rPr>
        <w:t xml:space="preserve"> </w:t>
      </w:r>
      <w:r w:rsidRPr="005633D1">
        <w:rPr>
          <w:rFonts w:ascii="Book Antiqua" w:eastAsia="Book Antiqua" w:hAnsi="Book Antiqua" w:cs="Book Antiqua"/>
          <w:color w:val="000000"/>
        </w:rPr>
        <w:t>More prospective studies are required in this field.</w:t>
      </w:r>
    </w:p>
    <w:bookmarkEnd w:id="67"/>
    <w:bookmarkEnd w:id="68"/>
    <w:p w14:paraId="31D00517" w14:textId="77777777" w:rsidR="00A77B3E" w:rsidRPr="005633D1" w:rsidRDefault="00A77B3E" w:rsidP="00BE2B81">
      <w:pPr>
        <w:snapToGrid w:val="0"/>
        <w:spacing w:line="360" w:lineRule="auto"/>
        <w:jc w:val="both"/>
        <w:rPr>
          <w:rFonts w:ascii="Book Antiqua" w:hAnsi="Book Antiqua"/>
        </w:rPr>
      </w:pPr>
    </w:p>
    <w:p w14:paraId="146020CB"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b/>
          <w:color w:val="000000"/>
        </w:rPr>
        <w:t>REFERENCES</w:t>
      </w:r>
    </w:p>
    <w:p w14:paraId="46D6D2A1" w14:textId="77777777" w:rsidR="00A77B3E" w:rsidRPr="005633D1" w:rsidRDefault="005B2BA9" w:rsidP="00BE2B81">
      <w:pPr>
        <w:snapToGrid w:val="0"/>
        <w:spacing w:line="360" w:lineRule="auto"/>
        <w:jc w:val="both"/>
        <w:rPr>
          <w:rFonts w:ascii="Book Antiqua" w:hAnsi="Book Antiqua"/>
        </w:rPr>
      </w:pPr>
      <w:bookmarkStart w:id="69" w:name="OLE_LINK88"/>
      <w:r w:rsidRPr="005633D1">
        <w:rPr>
          <w:rFonts w:ascii="Book Antiqua" w:eastAsia="Book Antiqua" w:hAnsi="Book Antiqua" w:cs="Book Antiqua"/>
          <w:color w:val="000000"/>
        </w:rPr>
        <w:t xml:space="preserve">1 </w:t>
      </w:r>
      <w:proofErr w:type="spellStart"/>
      <w:r w:rsidRPr="005633D1">
        <w:rPr>
          <w:rFonts w:ascii="Book Antiqua" w:eastAsia="Book Antiqua" w:hAnsi="Book Antiqua" w:cs="Book Antiqua"/>
          <w:b/>
          <w:bCs/>
          <w:color w:val="000000"/>
        </w:rPr>
        <w:t>Nett</w:t>
      </w:r>
      <w:proofErr w:type="spellEnd"/>
      <w:r w:rsidRPr="005633D1">
        <w:rPr>
          <w:rFonts w:ascii="Book Antiqua" w:eastAsia="Book Antiqua" w:hAnsi="Book Antiqua" w:cs="Book Antiqua"/>
          <w:b/>
          <w:bCs/>
          <w:color w:val="000000"/>
        </w:rPr>
        <w:t xml:space="preserve"> A</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Velayos</w:t>
      </w:r>
      <w:proofErr w:type="spellEnd"/>
      <w:r w:rsidRPr="005633D1">
        <w:rPr>
          <w:rFonts w:ascii="Book Antiqua" w:eastAsia="Book Antiqua" w:hAnsi="Book Antiqua" w:cs="Book Antiqua"/>
          <w:color w:val="000000"/>
        </w:rPr>
        <w:t xml:space="preserve"> F, McQuaid K. Quality bowel preparation for surveillance colonoscopy in patients with inflammatory bowel disease is a must. </w:t>
      </w:r>
      <w:proofErr w:type="spellStart"/>
      <w:r w:rsidRPr="005633D1">
        <w:rPr>
          <w:rFonts w:ascii="Book Antiqua" w:eastAsia="Book Antiqua" w:hAnsi="Book Antiqua" w:cs="Book Antiqua"/>
          <w:i/>
          <w:iCs/>
          <w:color w:val="000000"/>
        </w:rPr>
        <w:t>Gastrointest</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Endosc</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Clin</w:t>
      </w:r>
      <w:proofErr w:type="spellEnd"/>
      <w:r w:rsidRPr="005633D1">
        <w:rPr>
          <w:rFonts w:ascii="Book Antiqua" w:eastAsia="Book Antiqua" w:hAnsi="Book Antiqua" w:cs="Book Antiqua"/>
          <w:i/>
          <w:iCs/>
          <w:color w:val="000000"/>
        </w:rPr>
        <w:t xml:space="preserve"> N Am</w:t>
      </w:r>
      <w:r w:rsidRPr="005633D1">
        <w:rPr>
          <w:rFonts w:ascii="Book Antiqua" w:eastAsia="Book Antiqua" w:hAnsi="Book Antiqua" w:cs="Book Antiqua"/>
          <w:color w:val="000000"/>
        </w:rPr>
        <w:t xml:space="preserve"> 2014; </w:t>
      </w:r>
      <w:r w:rsidRPr="005633D1">
        <w:rPr>
          <w:rFonts w:ascii="Book Antiqua" w:eastAsia="Book Antiqua" w:hAnsi="Book Antiqua" w:cs="Book Antiqua"/>
          <w:b/>
          <w:bCs/>
          <w:color w:val="000000"/>
        </w:rPr>
        <w:t>24</w:t>
      </w:r>
      <w:r w:rsidRPr="005633D1">
        <w:rPr>
          <w:rFonts w:ascii="Book Antiqua" w:eastAsia="Book Antiqua" w:hAnsi="Book Antiqua" w:cs="Book Antiqua"/>
          <w:color w:val="000000"/>
        </w:rPr>
        <w:t>: 379-392 [PMID: 24975529 DOI: 10.1016/j.giec.2014.03.004]</w:t>
      </w:r>
    </w:p>
    <w:p w14:paraId="3A5B3DE2"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2 </w:t>
      </w:r>
      <w:r w:rsidRPr="005633D1">
        <w:rPr>
          <w:rFonts w:ascii="Book Antiqua" w:eastAsia="Book Antiqua" w:hAnsi="Book Antiqua" w:cs="Book Antiqua"/>
          <w:b/>
          <w:bCs/>
          <w:color w:val="000000"/>
        </w:rPr>
        <w:t>Harewood GC</w:t>
      </w:r>
      <w:r w:rsidRPr="005633D1">
        <w:rPr>
          <w:rFonts w:ascii="Book Antiqua" w:eastAsia="Book Antiqua" w:hAnsi="Book Antiqua" w:cs="Book Antiqua"/>
          <w:color w:val="000000"/>
        </w:rPr>
        <w:t xml:space="preserve">, Sharma VK, de </w:t>
      </w:r>
      <w:proofErr w:type="spellStart"/>
      <w:r w:rsidRPr="005633D1">
        <w:rPr>
          <w:rFonts w:ascii="Book Antiqua" w:eastAsia="Book Antiqua" w:hAnsi="Book Antiqua" w:cs="Book Antiqua"/>
          <w:color w:val="000000"/>
        </w:rPr>
        <w:t>Garmo</w:t>
      </w:r>
      <w:proofErr w:type="spellEnd"/>
      <w:r w:rsidRPr="005633D1">
        <w:rPr>
          <w:rFonts w:ascii="Book Antiqua" w:eastAsia="Book Antiqua" w:hAnsi="Book Antiqua" w:cs="Book Antiqua"/>
          <w:color w:val="000000"/>
        </w:rPr>
        <w:t xml:space="preserve"> P. Impact of colonoscopy preparation quality on detection of suspected colonic neoplasia. </w:t>
      </w:r>
      <w:proofErr w:type="spellStart"/>
      <w:r w:rsidRPr="005633D1">
        <w:rPr>
          <w:rFonts w:ascii="Book Antiqua" w:eastAsia="Book Antiqua" w:hAnsi="Book Antiqua" w:cs="Book Antiqua"/>
          <w:i/>
          <w:iCs/>
          <w:color w:val="000000"/>
        </w:rPr>
        <w:t>Gastrointest</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Endosc</w:t>
      </w:r>
      <w:proofErr w:type="spellEnd"/>
      <w:r w:rsidRPr="005633D1">
        <w:rPr>
          <w:rFonts w:ascii="Book Antiqua" w:eastAsia="Book Antiqua" w:hAnsi="Book Antiqua" w:cs="Book Antiqua"/>
          <w:color w:val="000000"/>
        </w:rPr>
        <w:t xml:space="preserve"> 2003; </w:t>
      </w:r>
      <w:r w:rsidRPr="005633D1">
        <w:rPr>
          <w:rFonts w:ascii="Book Antiqua" w:eastAsia="Book Antiqua" w:hAnsi="Book Antiqua" w:cs="Book Antiqua"/>
          <w:b/>
          <w:bCs/>
          <w:color w:val="000000"/>
        </w:rPr>
        <w:t>58</w:t>
      </w:r>
      <w:r w:rsidRPr="005633D1">
        <w:rPr>
          <w:rFonts w:ascii="Book Antiqua" w:eastAsia="Book Antiqua" w:hAnsi="Book Antiqua" w:cs="Book Antiqua"/>
          <w:color w:val="000000"/>
        </w:rPr>
        <w:t>: 76-79 [PMID: 12838225 DOI: 10.1067/mge.2003.294]</w:t>
      </w:r>
    </w:p>
    <w:p w14:paraId="5961E74F"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3 </w:t>
      </w:r>
      <w:r w:rsidRPr="005633D1">
        <w:rPr>
          <w:rFonts w:ascii="Book Antiqua" w:eastAsia="Book Antiqua" w:hAnsi="Book Antiqua" w:cs="Book Antiqua"/>
          <w:b/>
          <w:bCs/>
          <w:color w:val="000000"/>
        </w:rPr>
        <w:t>Heron V</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Parmar</w:t>
      </w:r>
      <w:proofErr w:type="spellEnd"/>
      <w:r w:rsidRPr="005633D1">
        <w:rPr>
          <w:rFonts w:ascii="Book Antiqua" w:eastAsia="Book Antiqua" w:hAnsi="Book Antiqua" w:cs="Book Antiqua"/>
          <w:color w:val="000000"/>
        </w:rPr>
        <w:t xml:space="preserve"> R, </w:t>
      </w:r>
      <w:proofErr w:type="spellStart"/>
      <w:r w:rsidRPr="005633D1">
        <w:rPr>
          <w:rFonts w:ascii="Book Antiqua" w:eastAsia="Book Antiqua" w:hAnsi="Book Antiqua" w:cs="Book Antiqua"/>
          <w:color w:val="000000"/>
        </w:rPr>
        <w:t>Ménard</w:t>
      </w:r>
      <w:proofErr w:type="spellEnd"/>
      <w:r w:rsidRPr="005633D1">
        <w:rPr>
          <w:rFonts w:ascii="Book Antiqua" w:eastAsia="Book Antiqua" w:hAnsi="Book Antiqua" w:cs="Book Antiqua"/>
          <w:color w:val="000000"/>
        </w:rPr>
        <w:t xml:space="preserve"> C, Martel M, </w:t>
      </w:r>
      <w:proofErr w:type="spellStart"/>
      <w:r w:rsidRPr="005633D1">
        <w:rPr>
          <w:rFonts w:ascii="Book Antiqua" w:eastAsia="Book Antiqua" w:hAnsi="Book Antiqua" w:cs="Book Antiqua"/>
          <w:color w:val="000000"/>
        </w:rPr>
        <w:t>Barkun</w:t>
      </w:r>
      <w:proofErr w:type="spellEnd"/>
      <w:r w:rsidRPr="005633D1">
        <w:rPr>
          <w:rFonts w:ascii="Book Antiqua" w:eastAsia="Book Antiqua" w:hAnsi="Book Antiqua" w:cs="Book Antiqua"/>
          <w:color w:val="000000"/>
        </w:rPr>
        <w:t xml:space="preserve"> AN. Validating bowel preparation scales. </w:t>
      </w:r>
      <w:proofErr w:type="spellStart"/>
      <w:r w:rsidRPr="005633D1">
        <w:rPr>
          <w:rFonts w:ascii="Book Antiqua" w:eastAsia="Book Antiqua" w:hAnsi="Book Antiqua" w:cs="Book Antiqua"/>
          <w:i/>
          <w:iCs/>
          <w:color w:val="000000"/>
        </w:rPr>
        <w:t>Endosc</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Int</w:t>
      </w:r>
      <w:proofErr w:type="spellEnd"/>
      <w:r w:rsidRPr="005633D1">
        <w:rPr>
          <w:rFonts w:ascii="Book Antiqua" w:eastAsia="Book Antiqua" w:hAnsi="Book Antiqua" w:cs="Book Antiqua"/>
          <w:i/>
          <w:iCs/>
          <w:color w:val="000000"/>
        </w:rPr>
        <w:t xml:space="preserve"> Open</w:t>
      </w:r>
      <w:r w:rsidRPr="005633D1">
        <w:rPr>
          <w:rFonts w:ascii="Book Antiqua" w:eastAsia="Book Antiqua" w:hAnsi="Book Antiqua" w:cs="Book Antiqua"/>
          <w:color w:val="000000"/>
        </w:rPr>
        <w:t xml:space="preserve"> 2017; </w:t>
      </w:r>
      <w:r w:rsidRPr="005633D1">
        <w:rPr>
          <w:rFonts w:ascii="Book Antiqua" w:eastAsia="Book Antiqua" w:hAnsi="Book Antiqua" w:cs="Book Antiqua"/>
          <w:b/>
          <w:bCs/>
          <w:color w:val="000000"/>
        </w:rPr>
        <w:t>5</w:t>
      </w:r>
      <w:r w:rsidRPr="005633D1">
        <w:rPr>
          <w:rFonts w:ascii="Book Antiqua" w:eastAsia="Book Antiqua" w:hAnsi="Book Antiqua" w:cs="Book Antiqua"/>
          <w:color w:val="000000"/>
        </w:rPr>
        <w:t>: E1179-E1188 [PMID: 29202001 DOI: 10.1055/s-0043-119749]</w:t>
      </w:r>
    </w:p>
    <w:p w14:paraId="1BF3A43C"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4 </w:t>
      </w:r>
      <w:r w:rsidRPr="005633D1">
        <w:rPr>
          <w:rFonts w:ascii="Book Antiqua" w:eastAsia="Book Antiqua" w:hAnsi="Book Antiqua" w:cs="Book Antiqua"/>
          <w:b/>
          <w:bCs/>
          <w:color w:val="000000"/>
        </w:rPr>
        <w:t>Rex DK</w:t>
      </w:r>
      <w:r w:rsidRPr="005633D1">
        <w:rPr>
          <w:rFonts w:ascii="Book Antiqua" w:eastAsia="Book Antiqua" w:hAnsi="Book Antiqua" w:cs="Book Antiqua"/>
          <w:color w:val="000000"/>
        </w:rPr>
        <w:t xml:space="preserve">, Schoenfeld PS, Cohen J, Pike IM, Adler DG, </w:t>
      </w:r>
      <w:proofErr w:type="spellStart"/>
      <w:r w:rsidRPr="005633D1">
        <w:rPr>
          <w:rFonts w:ascii="Book Antiqua" w:eastAsia="Book Antiqua" w:hAnsi="Book Antiqua" w:cs="Book Antiqua"/>
          <w:color w:val="000000"/>
        </w:rPr>
        <w:t>Fennerty</w:t>
      </w:r>
      <w:proofErr w:type="spellEnd"/>
      <w:r w:rsidRPr="005633D1">
        <w:rPr>
          <w:rFonts w:ascii="Book Antiqua" w:eastAsia="Book Antiqua" w:hAnsi="Book Antiqua" w:cs="Book Antiqua"/>
          <w:color w:val="000000"/>
        </w:rPr>
        <w:t xml:space="preserve"> MB, </w:t>
      </w:r>
      <w:proofErr w:type="spellStart"/>
      <w:r w:rsidRPr="005633D1">
        <w:rPr>
          <w:rFonts w:ascii="Book Antiqua" w:eastAsia="Book Antiqua" w:hAnsi="Book Antiqua" w:cs="Book Antiqua"/>
          <w:color w:val="000000"/>
        </w:rPr>
        <w:t>Lieb</w:t>
      </w:r>
      <w:proofErr w:type="spellEnd"/>
      <w:r w:rsidRPr="005633D1">
        <w:rPr>
          <w:rFonts w:ascii="Book Antiqua" w:eastAsia="Book Antiqua" w:hAnsi="Book Antiqua" w:cs="Book Antiqua"/>
          <w:color w:val="000000"/>
        </w:rPr>
        <w:t xml:space="preserve"> JG 2nd, Park WG, </w:t>
      </w:r>
      <w:proofErr w:type="spellStart"/>
      <w:r w:rsidRPr="005633D1">
        <w:rPr>
          <w:rFonts w:ascii="Book Antiqua" w:eastAsia="Book Antiqua" w:hAnsi="Book Antiqua" w:cs="Book Antiqua"/>
          <w:color w:val="000000"/>
        </w:rPr>
        <w:t>Rizk</w:t>
      </w:r>
      <w:proofErr w:type="spellEnd"/>
      <w:r w:rsidRPr="005633D1">
        <w:rPr>
          <w:rFonts w:ascii="Book Antiqua" w:eastAsia="Book Antiqua" w:hAnsi="Book Antiqua" w:cs="Book Antiqua"/>
          <w:color w:val="000000"/>
        </w:rPr>
        <w:t xml:space="preserve"> MK, </w:t>
      </w:r>
      <w:proofErr w:type="spellStart"/>
      <w:r w:rsidRPr="005633D1">
        <w:rPr>
          <w:rFonts w:ascii="Book Antiqua" w:eastAsia="Book Antiqua" w:hAnsi="Book Antiqua" w:cs="Book Antiqua"/>
          <w:color w:val="000000"/>
        </w:rPr>
        <w:t>Sawhney</w:t>
      </w:r>
      <w:proofErr w:type="spellEnd"/>
      <w:r w:rsidRPr="005633D1">
        <w:rPr>
          <w:rFonts w:ascii="Book Antiqua" w:eastAsia="Book Antiqua" w:hAnsi="Book Antiqua" w:cs="Book Antiqua"/>
          <w:color w:val="000000"/>
        </w:rPr>
        <w:t xml:space="preserve"> MS, </w:t>
      </w:r>
      <w:proofErr w:type="spellStart"/>
      <w:r w:rsidRPr="005633D1">
        <w:rPr>
          <w:rFonts w:ascii="Book Antiqua" w:eastAsia="Book Antiqua" w:hAnsi="Book Antiqua" w:cs="Book Antiqua"/>
          <w:color w:val="000000"/>
        </w:rPr>
        <w:t>Shaheen</w:t>
      </w:r>
      <w:proofErr w:type="spellEnd"/>
      <w:r w:rsidRPr="005633D1">
        <w:rPr>
          <w:rFonts w:ascii="Book Antiqua" w:eastAsia="Book Antiqua" w:hAnsi="Book Antiqua" w:cs="Book Antiqua"/>
          <w:color w:val="000000"/>
        </w:rPr>
        <w:t xml:space="preserve"> NJ, </w:t>
      </w:r>
      <w:proofErr w:type="spellStart"/>
      <w:r w:rsidRPr="005633D1">
        <w:rPr>
          <w:rFonts w:ascii="Book Antiqua" w:eastAsia="Book Antiqua" w:hAnsi="Book Antiqua" w:cs="Book Antiqua"/>
          <w:color w:val="000000"/>
        </w:rPr>
        <w:t>Wani</w:t>
      </w:r>
      <w:proofErr w:type="spellEnd"/>
      <w:r w:rsidRPr="005633D1">
        <w:rPr>
          <w:rFonts w:ascii="Book Antiqua" w:eastAsia="Book Antiqua" w:hAnsi="Book Antiqua" w:cs="Book Antiqua"/>
          <w:color w:val="000000"/>
        </w:rPr>
        <w:t xml:space="preserve"> S, Weinberg DS. Quality indicators for colonoscopy. </w:t>
      </w:r>
      <w:r w:rsidRPr="005633D1">
        <w:rPr>
          <w:rFonts w:ascii="Book Antiqua" w:eastAsia="Book Antiqua" w:hAnsi="Book Antiqua" w:cs="Book Antiqua"/>
          <w:i/>
          <w:iCs/>
          <w:color w:val="000000"/>
        </w:rPr>
        <w:t>Am J Gastroenterol</w:t>
      </w:r>
      <w:r w:rsidRPr="005633D1">
        <w:rPr>
          <w:rFonts w:ascii="Book Antiqua" w:eastAsia="Book Antiqua" w:hAnsi="Book Antiqua" w:cs="Book Antiqua"/>
          <w:color w:val="000000"/>
        </w:rPr>
        <w:t xml:space="preserve"> 2015; </w:t>
      </w:r>
      <w:r w:rsidRPr="005633D1">
        <w:rPr>
          <w:rFonts w:ascii="Book Antiqua" w:eastAsia="Book Antiqua" w:hAnsi="Book Antiqua" w:cs="Book Antiqua"/>
          <w:b/>
          <w:bCs/>
          <w:color w:val="000000"/>
        </w:rPr>
        <w:t>110</w:t>
      </w:r>
      <w:r w:rsidRPr="005633D1">
        <w:rPr>
          <w:rFonts w:ascii="Book Antiqua" w:eastAsia="Book Antiqua" w:hAnsi="Book Antiqua" w:cs="Book Antiqua"/>
          <w:color w:val="000000"/>
        </w:rPr>
        <w:t>: 72-90 [PMID: 25448873 DOI: 10.1038/ajg.2014.385]</w:t>
      </w:r>
    </w:p>
    <w:p w14:paraId="6CF03FCD"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lastRenderedPageBreak/>
        <w:t xml:space="preserve">5 </w:t>
      </w:r>
      <w:proofErr w:type="spellStart"/>
      <w:r w:rsidRPr="005633D1">
        <w:rPr>
          <w:rFonts w:ascii="Book Antiqua" w:eastAsia="Book Antiqua" w:hAnsi="Book Antiqua" w:cs="Book Antiqua"/>
          <w:b/>
          <w:bCs/>
          <w:color w:val="000000"/>
        </w:rPr>
        <w:t>Sharara</w:t>
      </w:r>
      <w:proofErr w:type="spellEnd"/>
      <w:r w:rsidRPr="005633D1">
        <w:rPr>
          <w:rFonts w:ascii="Book Antiqua" w:eastAsia="Book Antiqua" w:hAnsi="Book Antiqua" w:cs="Book Antiqua"/>
          <w:b/>
          <w:bCs/>
          <w:color w:val="000000"/>
        </w:rPr>
        <w:t xml:space="preserve"> AI</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Bou</w:t>
      </w:r>
      <w:proofErr w:type="spellEnd"/>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Daher</w:t>
      </w:r>
      <w:proofErr w:type="spellEnd"/>
      <w:r w:rsidRPr="005633D1">
        <w:rPr>
          <w:rFonts w:ascii="Book Antiqua" w:eastAsia="Book Antiqua" w:hAnsi="Book Antiqua" w:cs="Book Antiqua"/>
          <w:color w:val="000000"/>
        </w:rPr>
        <w:t xml:space="preserve"> H. Bowel Cleansing Strategies After Suboptimal Bowel Preparation. </w:t>
      </w:r>
      <w:r w:rsidRPr="005633D1">
        <w:rPr>
          <w:rFonts w:ascii="Book Antiqua" w:eastAsia="Book Antiqua" w:hAnsi="Book Antiqua" w:cs="Book Antiqua"/>
          <w:i/>
          <w:iCs/>
          <w:color w:val="000000"/>
        </w:rPr>
        <w:t>Clin Gastroenterol Hepatol</w:t>
      </w:r>
      <w:r w:rsidRPr="005633D1">
        <w:rPr>
          <w:rFonts w:ascii="Book Antiqua" w:eastAsia="Book Antiqua" w:hAnsi="Book Antiqua" w:cs="Book Antiqua"/>
          <w:color w:val="000000"/>
        </w:rPr>
        <w:t xml:space="preserve"> 2019; </w:t>
      </w:r>
      <w:r w:rsidRPr="005633D1">
        <w:rPr>
          <w:rFonts w:ascii="Book Antiqua" w:eastAsia="Book Antiqua" w:hAnsi="Book Antiqua" w:cs="Book Antiqua"/>
          <w:b/>
          <w:bCs/>
          <w:color w:val="000000"/>
        </w:rPr>
        <w:t>17</w:t>
      </w:r>
      <w:r w:rsidRPr="005633D1">
        <w:rPr>
          <w:rFonts w:ascii="Book Antiqua" w:eastAsia="Book Antiqua" w:hAnsi="Book Antiqua" w:cs="Book Antiqua"/>
          <w:color w:val="000000"/>
        </w:rPr>
        <w:t>: 1239-1241 [PMID: 30625406 DOI: 10.1016/j.cgh.2018.12.042]</w:t>
      </w:r>
    </w:p>
    <w:p w14:paraId="57CC898B" w14:textId="40CB7211"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6 </w:t>
      </w:r>
      <w:bookmarkStart w:id="70" w:name="OLE_LINK54"/>
      <w:bookmarkStart w:id="71" w:name="OLE_LINK55"/>
      <w:r w:rsidR="00B90179" w:rsidRPr="005633D1">
        <w:rPr>
          <w:rFonts w:ascii="Book Antiqua" w:eastAsia="Book Antiqua" w:hAnsi="Book Antiqua" w:cs="Book Antiqua"/>
          <w:b/>
          <w:color w:val="000000"/>
        </w:rPr>
        <w:t>Australian Commission on Safety and Quality in Health Care.</w:t>
      </w:r>
      <w:bookmarkEnd w:id="70"/>
      <w:bookmarkEnd w:id="71"/>
      <w:r w:rsidRPr="005633D1">
        <w:rPr>
          <w:rFonts w:ascii="Book Antiqua" w:eastAsia="Book Antiqua" w:hAnsi="Book Antiqua" w:cs="Book Antiqua"/>
          <w:color w:val="000000"/>
        </w:rPr>
        <w:t xml:space="preserve"> </w:t>
      </w:r>
      <w:bookmarkStart w:id="72" w:name="OLE_LINK39"/>
      <w:bookmarkStart w:id="73" w:name="OLE_LINK40"/>
      <w:r w:rsidRPr="005633D1">
        <w:rPr>
          <w:rFonts w:ascii="Book Antiqua" w:eastAsia="Book Antiqua" w:hAnsi="Book Antiqua" w:cs="Book Antiqua"/>
          <w:color w:val="000000"/>
        </w:rPr>
        <w:t>Colonoscopy Clinical Care Standard</w:t>
      </w:r>
      <w:r w:rsidR="00A13025" w:rsidRPr="005633D1">
        <w:rPr>
          <w:rFonts w:ascii="Book Antiqua" w:eastAsia="Book Antiqua" w:hAnsi="Book Antiqua" w:cs="Book Antiqua"/>
          <w:color w:val="000000"/>
        </w:rPr>
        <w:t>.</w:t>
      </w:r>
      <w:r w:rsidR="00B90179" w:rsidRPr="005633D1">
        <w:rPr>
          <w:rFonts w:ascii="Book Antiqua" w:eastAsia="Book Antiqua" w:hAnsi="Book Antiqua" w:cs="Book Antiqua"/>
          <w:color w:val="000000"/>
        </w:rPr>
        <w:t xml:space="preserve"> </w:t>
      </w:r>
      <w:r w:rsidR="00A13025" w:rsidRPr="005633D1">
        <w:rPr>
          <w:rFonts w:ascii="Book Antiqua" w:eastAsia="Book Antiqua" w:hAnsi="Book Antiqua" w:cs="Book Antiqua"/>
          <w:color w:val="000000"/>
        </w:rPr>
        <w:t>[</w:t>
      </w:r>
      <w:r w:rsidR="00B90179" w:rsidRPr="005633D1">
        <w:rPr>
          <w:rFonts w:ascii="Book Antiqua" w:eastAsia="Book Antiqua" w:hAnsi="Book Antiqua" w:cs="Book Antiqua"/>
          <w:color w:val="000000"/>
        </w:rPr>
        <w:t>cited 23 February 2021</w:t>
      </w:r>
      <w:r w:rsidR="00A13025" w:rsidRPr="005633D1">
        <w:rPr>
          <w:rFonts w:ascii="Book Antiqua" w:eastAsia="Book Antiqua" w:hAnsi="Book Antiqua" w:cs="Book Antiqua"/>
          <w:color w:val="000000"/>
        </w:rPr>
        <w:t>]</w:t>
      </w:r>
      <w:r w:rsidRPr="005633D1">
        <w:rPr>
          <w:rFonts w:ascii="Book Antiqua" w:eastAsia="Book Antiqua" w:hAnsi="Book Antiqua" w:cs="Book Antiqua"/>
          <w:color w:val="000000"/>
        </w:rPr>
        <w:t xml:space="preserve">. </w:t>
      </w:r>
      <w:bookmarkStart w:id="74" w:name="OLE_LINK41"/>
      <w:bookmarkStart w:id="75" w:name="OLE_LINK42"/>
      <w:r w:rsidR="008A49B6" w:rsidRPr="005633D1">
        <w:rPr>
          <w:rFonts w:ascii="Book Antiqua" w:eastAsia="Book Antiqua" w:hAnsi="Book Antiqua" w:cs="Book Antiqua"/>
          <w:color w:val="000000"/>
        </w:rPr>
        <w:t xml:space="preserve">In: </w:t>
      </w:r>
      <w:bookmarkEnd w:id="74"/>
      <w:bookmarkEnd w:id="75"/>
      <w:r w:rsidR="008A49B6" w:rsidRPr="005633D1">
        <w:rPr>
          <w:rFonts w:ascii="Book Antiqua" w:eastAsia="Book Antiqua" w:hAnsi="Book Antiqua" w:cs="Book Antiqua"/>
          <w:color w:val="000000"/>
        </w:rPr>
        <w:t>Clinical Care Standards,</w:t>
      </w:r>
      <w:r w:rsidR="002D60D8" w:rsidRPr="005633D1">
        <w:rPr>
          <w:rFonts w:ascii="Book Antiqua" w:eastAsia="Book Antiqua" w:hAnsi="Book Antiqua" w:cs="Book Antiqua"/>
          <w:color w:val="000000"/>
        </w:rPr>
        <w:t xml:space="preserve"> </w:t>
      </w:r>
      <w:r w:rsidRPr="005633D1">
        <w:rPr>
          <w:rFonts w:ascii="Book Antiqua" w:eastAsia="Book Antiqua" w:hAnsi="Book Antiqua" w:cs="Book Antiqua"/>
          <w:color w:val="000000"/>
        </w:rPr>
        <w:t>20</w:t>
      </w:r>
      <w:bookmarkEnd w:id="72"/>
      <w:bookmarkEnd w:id="73"/>
      <w:r w:rsidR="008A49B6" w:rsidRPr="005633D1">
        <w:rPr>
          <w:rFonts w:ascii="Book Antiqua" w:eastAsia="Book Antiqua" w:hAnsi="Book Antiqua" w:cs="Book Antiqua"/>
          <w:color w:val="000000"/>
        </w:rPr>
        <w:t>20</w:t>
      </w:r>
      <w:r w:rsidR="00A13025" w:rsidRPr="005633D1">
        <w:rPr>
          <w:rFonts w:ascii="Book Antiqua" w:eastAsia="Book Antiqua" w:hAnsi="Book Antiqua" w:cs="Book Antiqua"/>
          <w:color w:val="000000"/>
        </w:rPr>
        <w:t xml:space="preserve"> [Internet]</w:t>
      </w:r>
      <w:r w:rsidRPr="005633D1">
        <w:rPr>
          <w:rFonts w:ascii="Book Antiqua" w:eastAsia="Book Antiqua" w:hAnsi="Book Antiqua" w:cs="Book Antiqua"/>
          <w:color w:val="000000"/>
        </w:rPr>
        <w:t>.</w:t>
      </w:r>
      <w:r w:rsidR="008A49B6" w:rsidRPr="005633D1">
        <w:rPr>
          <w:rFonts w:ascii="Book Antiqua" w:eastAsia="Book Antiqua" w:hAnsi="Book Antiqua" w:cs="Book Antiqua"/>
          <w:color w:val="000000"/>
        </w:rPr>
        <w:t xml:space="preserve"> Available from: https://www.safetyandquality.gov.au/standards/clinical-care-standards/colonoscopy-clinical-care-standard</w:t>
      </w:r>
    </w:p>
    <w:p w14:paraId="5CC56CE4"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7 </w:t>
      </w:r>
      <w:proofErr w:type="spellStart"/>
      <w:r w:rsidRPr="005633D1">
        <w:rPr>
          <w:rFonts w:ascii="Book Antiqua" w:eastAsia="Book Antiqua" w:hAnsi="Book Antiqua" w:cs="Book Antiqua"/>
          <w:b/>
          <w:bCs/>
          <w:color w:val="000000"/>
        </w:rPr>
        <w:t>Kiesslich</w:t>
      </w:r>
      <w:proofErr w:type="spellEnd"/>
      <w:r w:rsidRPr="005633D1">
        <w:rPr>
          <w:rFonts w:ascii="Book Antiqua" w:eastAsia="Book Antiqua" w:hAnsi="Book Antiqua" w:cs="Book Antiqua"/>
          <w:b/>
          <w:bCs/>
          <w:color w:val="000000"/>
        </w:rPr>
        <w:t xml:space="preserve"> R</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Neurath</w:t>
      </w:r>
      <w:proofErr w:type="spellEnd"/>
      <w:r w:rsidRPr="005633D1">
        <w:rPr>
          <w:rFonts w:ascii="Book Antiqua" w:eastAsia="Book Antiqua" w:hAnsi="Book Antiqua" w:cs="Book Antiqua"/>
          <w:color w:val="000000"/>
        </w:rPr>
        <w:t xml:space="preserve"> MF. Surveillance colonoscopy in ulcerative colitis: magnifying chromoendoscopy in the spotlight. </w:t>
      </w:r>
      <w:r w:rsidRPr="005633D1">
        <w:rPr>
          <w:rFonts w:ascii="Book Antiqua" w:eastAsia="Book Antiqua" w:hAnsi="Book Antiqua" w:cs="Book Antiqua"/>
          <w:i/>
          <w:iCs/>
          <w:color w:val="000000"/>
        </w:rPr>
        <w:t>Gut</w:t>
      </w:r>
      <w:r w:rsidRPr="005633D1">
        <w:rPr>
          <w:rFonts w:ascii="Book Antiqua" w:eastAsia="Book Antiqua" w:hAnsi="Book Antiqua" w:cs="Book Antiqua"/>
          <w:color w:val="000000"/>
        </w:rPr>
        <w:t xml:space="preserve"> 2004; </w:t>
      </w:r>
      <w:r w:rsidRPr="005633D1">
        <w:rPr>
          <w:rFonts w:ascii="Book Antiqua" w:eastAsia="Book Antiqua" w:hAnsi="Book Antiqua" w:cs="Book Antiqua"/>
          <w:b/>
          <w:bCs/>
          <w:color w:val="000000"/>
        </w:rPr>
        <w:t>53</w:t>
      </w:r>
      <w:r w:rsidRPr="005633D1">
        <w:rPr>
          <w:rFonts w:ascii="Book Antiqua" w:eastAsia="Book Antiqua" w:hAnsi="Book Antiqua" w:cs="Book Antiqua"/>
          <w:color w:val="000000"/>
        </w:rPr>
        <w:t>: 165-167 [PMID: 14724144 DOI: 10.1136/gut.2003.026351]</w:t>
      </w:r>
    </w:p>
    <w:p w14:paraId="1CEF470A"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8 </w:t>
      </w:r>
      <w:proofErr w:type="spellStart"/>
      <w:r w:rsidRPr="005633D1">
        <w:rPr>
          <w:rFonts w:ascii="Book Antiqua" w:eastAsia="Book Antiqua" w:hAnsi="Book Antiqua" w:cs="Book Antiqua"/>
          <w:b/>
          <w:bCs/>
          <w:color w:val="000000"/>
        </w:rPr>
        <w:t>Studd</w:t>
      </w:r>
      <w:proofErr w:type="spellEnd"/>
      <w:r w:rsidRPr="005633D1">
        <w:rPr>
          <w:rFonts w:ascii="Book Antiqua" w:eastAsia="Book Antiqua" w:hAnsi="Book Antiqua" w:cs="Book Antiqua"/>
          <w:b/>
          <w:bCs/>
          <w:color w:val="000000"/>
        </w:rPr>
        <w:t xml:space="preserve"> C</w:t>
      </w:r>
      <w:r w:rsidRPr="005633D1">
        <w:rPr>
          <w:rFonts w:ascii="Book Antiqua" w:eastAsia="Book Antiqua" w:hAnsi="Book Antiqua" w:cs="Book Antiqua"/>
          <w:color w:val="000000"/>
        </w:rPr>
        <w:t xml:space="preserve">, Cameron G, Beswick L, Knight R, Hair C, McNeil J, Desmond P, Wilson J, Connell W, Bell S. Never underestimate inflammatory bowel disease: High prevalence rates and confirmation of high incidence rates in Australia. </w:t>
      </w:r>
      <w:r w:rsidRPr="005633D1">
        <w:rPr>
          <w:rFonts w:ascii="Book Antiqua" w:eastAsia="Book Antiqua" w:hAnsi="Book Antiqua" w:cs="Book Antiqua"/>
          <w:i/>
          <w:iCs/>
          <w:color w:val="000000"/>
        </w:rPr>
        <w:t>J Gastroenterol Hepatol</w:t>
      </w:r>
      <w:r w:rsidRPr="005633D1">
        <w:rPr>
          <w:rFonts w:ascii="Book Antiqua" w:eastAsia="Book Antiqua" w:hAnsi="Book Antiqua" w:cs="Book Antiqua"/>
          <w:color w:val="000000"/>
        </w:rPr>
        <w:t xml:space="preserve"> 2016; </w:t>
      </w:r>
      <w:r w:rsidRPr="005633D1">
        <w:rPr>
          <w:rFonts w:ascii="Book Antiqua" w:eastAsia="Book Antiqua" w:hAnsi="Book Antiqua" w:cs="Book Antiqua"/>
          <w:b/>
          <w:bCs/>
          <w:color w:val="000000"/>
        </w:rPr>
        <w:t>31</w:t>
      </w:r>
      <w:r w:rsidRPr="005633D1">
        <w:rPr>
          <w:rFonts w:ascii="Book Antiqua" w:eastAsia="Book Antiqua" w:hAnsi="Book Antiqua" w:cs="Book Antiqua"/>
          <w:color w:val="000000"/>
        </w:rPr>
        <w:t>: 81-86 [PMID: 26222770 DOI: 10.1111/jgh.13050]</w:t>
      </w:r>
    </w:p>
    <w:p w14:paraId="228506CD"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9 </w:t>
      </w:r>
      <w:r w:rsidRPr="005633D1">
        <w:rPr>
          <w:rFonts w:ascii="Book Antiqua" w:eastAsia="Book Antiqua" w:hAnsi="Book Antiqua" w:cs="Book Antiqua"/>
          <w:b/>
          <w:bCs/>
          <w:color w:val="000000"/>
        </w:rPr>
        <w:t>Friedman S</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Cheifetz</w:t>
      </w:r>
      <w:proofErr w:type="spellEnd"/>
      <w:r w:rsidRPr="005633D1">
        <w:rPr>
          <w:rFonts w:ascii="Book Antiqua" w:eastAsia="Book Antiqua" w:hAnsi="Book Antiqua" w:cs="Book Antiqua"/>
          <w:color w:val="000000"/>
        </w:rPr>
        <w:t xml:space="preserve"> AS, </w:t>
      </w:r>
      <w:proofErr w:type="spellStart"/>
      <w:r w:rsidRPr="005633D1">
        <w:rPr>
          <w:rFonts w:ascii="Book Antiqua" w:eastAsia="Book Antiqua" w:hAnsi="Book Antiqua" w:cs="Book Antiqua"/>
          <w:color w:val="000000"/>
        </w:rPr>
        <w:t>Farraye</w:t>
      </w:r>
      <w:proofErr w:type="spellEnd"/>
      <w:r w:rsidRPr="005633D1">
        <w:rPr>
          <w:rFonts w:ascii="Book Antiqua" w:eastAsia="Book Antiqua" w:hAnsi="Book Antiqua" w:cs="Book Antiqua"/>
          <w:color w:val="000000"/>
        </w:rPr>
        <w:t xml:space="preserve"> FA, Banks PA, </w:t>
      </w:r>
      <w:proofErr w:type="spellStart"/>
      <w:r w:rsidRPr="005633D1">
        <w:rPr>
          <w:rFonts w:ascii="Book Antiqua" w:eastAsia="Book Antiqua" w:hAnsi="Book Antiqua" w:cs="Book Antiqua"/>
          <w:color w:val="000000"/>
        </w:rPr>
        <w:t>Makrauer</w:t>
      </w:r>
      <w:proofErr w:type="spellEnd"/>
      <w:r w:rsidRPr="005633D1">
        <w:rPr>
          <w:rFonts w:ascii="Book Antiqua" w:eastAsia="Book Antiqua" w:hAnsi="Book Antiqua" w:cs="Book Antiqua"/>
          <w:color w:val="000000"/>
        </w:rPr>
        <w:t xml:space="preserve"> FL, </w:t>
      </w:r>
      <w:proofErr w:type="spellStart"/>
      <w:r w:rsidRPr="005633D1">
        <w:rPr>
          <w:rFonts w:ascii="Book Antiqua" w:eastAsia="Book Antiqua" w:hAnsi="Book Antiqua" w:cs="Book Antiqua"/>
          <w:color w:val="000000"/>
        </w:rPr>
        <w:t>Burakoff</w:t>
      </w:r>
      <w:proofErr w:type="spellEnd"/>
      <w:r w:rsidRPr="005633D1">
        <w:rPr>
          <w:rFonts w:ascii="Book Antiqua" w:eastAsia="Book Antiqua" w:hAnsi="Book Antiqua" w:cs="Book Antiqua"/>
          <w:color w:val="000000"/>
        </w:rPr>
        <w:t xml:space="preserve"> R, Farmer B, Torgersen LN, Wahl KE. Factors that affect adherence to surveillance colonoscopy in patients with inflammatory bowel disease. </w:t>
      </w:r>
      <w:proofErr w:type="spellStart"/>
      <w:r w:rsidRPr="005633D1">
        <w:rPr>
          <w:rFonts w:ascii="Book Antiqua" w:eastAsia="Book Antiqua" w:hAnsi="Book Antiqua" w:cs="Book Antiqua"/>
          <w:i/>
          <w:iCs/>
          <w:color w:val="000000"/>
        </w:rPr>
        <w:t>Inflamm</w:t>
      </w:r>
      <w:proofErr w:type="spellEnd"/>
      <w:r w:rsidRPr="005633D1">
        <w:rPr>
          <w:rFonts w:ascii="Book Antiqua" w:eastAsia="Book Antiqua" w:hAnsi="Book Antiqua" w:cs="Book Antiqua"/>
          <w:i/>
          <w:iCs/>
          <w:color w:val="000000"/>
        </w:rPr>
        <w:t xml:space="preserve"> Bowel Dis</w:t>
      </w:r>
      <w:r w:rsidRPr="005633D1">
        <w:rPr>
          <w:rFonts w:ascii="Book Antiqua" w:eastAsia="Book Antiqua" w:hAnsi="Book Antiqua" w:cs="Book Antiqua"/>
          <w:color w:val="000000"/>
        </w:rPr>
        <w:t xml:space="preserve"> 2013; </w:t>
      </w:r>
      <w:r w:rsidRPr="005633D1">
        <w:rPr>
          <w:rFonts w:ascii="Book Antiqua" w:eastAsia="Book Antiqua" w:hAnsi="Book Antiqua" w:cs="Book Antiqua"/>
          <w:b/>
          <w:bCs/>
          <w:color w:val="000000"/>
        </w:rPr>
        <w:t>19</w:t>
      </w:r>
      <w:r w:rsidRPr="005633D1">
        <w:rPr>
          <w:rFonts w:ascii="Book Antiqua" w:eastAsia="Book Antiqua" w:hAnsi="Book Antiqua" w:cs="Book Antiqua"/>
          <w:color w:val="000000"/>
        </w:rPr>
        <w:t>: 534-539 [PMID: 23429444 DOI: 10.1097/MIB.0b013e3182802a3c]</w:t>
      </w:r>
    </w:p>
    <w:p w14:paraId="6462BAD7"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10 </w:t>
      </w:r>
      <w:r w:rsidRPr="005633D1">
        <w:rPr>
          <w:rFonts w:ascii="Book Antiqua" w:eastAsia="Book Antiqua" w:hAnsi="Book Antiqua" w:cs="Book Antiqua"/>
          <w:b/>
          <w:bCs/>
          <w:color w:val="000000"/>
        </w:rPr>
        <w:t>Yee R</w:t>
      </w:r>
      <w:r w:rsidRPr="005633D1">
        <w:rPr>
          <w:rFonts w:ascii="Book Antiqua" w:eastAsia="Book Antiqua" w:hAnsi="Book Antiqua" w:cs="Book Antiqua"/>
          <w:color w:val="000000"/>
        </w:rPr>
        <w:t xml:space="preserve">, Manoharan S, Hall C, Hayashi A. Optimizing bowel preparation for colonoscopy: what are the predictors of an inadequate preparation? </w:t>
      </w:r>
      <w:r w:rsidRPr="005633D1">
        <w:rPr>
          <w:rFonts w:ascii="Book Antiqua" w:eastAsia="Book Antiqua" w:hAnsi="Book Antiqua" w:cs="Book Antiqua"/>
          <w:i/>
          <w:iCs/>
          <w:color w:val="000000"/>
        </w:rPr>
        <w:t>Am J Surg</w:t>
      </w:r>
      <w:r w:rsidRPr="005633D1">
        <w:rPr>
          <w:rFonts w:ascii="Book Antiqua" w:eastAsia="Book Antiqua" w:hAnsi="Book Antiqua" w:cs="Book Antiqua"/>
          <w:color w:val="000000"/>
        </w:rPr>
        <w:t xml:space="preserve"> 2015; </w:t>
      </w:r>
      <w:r w:rsidRPr="005633D1">
        <w:rPr>
          <w:rFonts w:ascii="Book Antiqua" w:eastAsia="Book Antiqua" w:hAnsi="Book Antiqua" w:cs="Book Antiqua"/>
          <w:b/>
          <w:bCs/>
          <w:color w:val="000000"/>
        </w:rPr>
        <w:t>209</w:t>
      </w:r>
      <w:r w:rsidRPr="005633D1">
        <w:rPr>
          <w:rFonts w:ascii="Book Antiqua" w:eastAsia="Book Antiqua" w:hAnsi="Book Antiqua" w:cs="Book Antiqua"/>
          <w:color w:val="000000"/>
        </w:rPr>
        <w:t>: 787-92; discussion 792 [PMID: 25796095 DOI: 10.1016/j.amjsurg.2014.12.018]</w:t>
      </w:r>
    </w:p>
    <w:p w14:paraId="3AA6B82D"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11 </w:t>
      </w:r>
      <w:r w:rsidRPr="005633D1">
        <w:rPr>
          <w:rFonts w:ascii="Book Antiqua" w:eastAsia="Book Antiqua" w:hAnsi="Book Antiqua" w:cs="Book Antiqua"/>
          <w:b/>
          <w:bCs/>
          <w:color w:val="000000"/>
        </w:rPr>
        <w:t>Chung YW</w:t>
      </w:r>
      <w:r w:rsidRPr="005633D1">
        <w:rPr>
          <w:rFonts w:ascii="Book Antiqua" w:eastAsia="Book Antiqua" w:hAnsi="Book Antiqua" w:cs="Book Antiqua"/>
          <w:color w:val="000000"/>
        </w:rPr>
        <w:t xml:space="preserve">, Han DS, Park KH, Kim KO, Park CH, Hahn T, </w:t>
      </w:r>
      <w:proofErr w:type="spellStart"/>
      <w:r w:rsidRPr="005633D1">
        <w:rPr>
          <w:rFonts w:ascii="Book Antiqua" w:eastAsia="Book Antiqua" w:hAnsi="Book Antiqua" w:cs="Book Antiqua"/>
          <w:color w:val="000000"/>
        </w:rPr>
        <w:t>Yoo</w:t>
      </w:r>
      <w:proofErr w:type="spellEnd"/>
      <w:r w:rsidRPr="005633D1">
        <w:rPr>
          <w:rFonts w:ascii="Book Antiqua" w:eastAsia="Book Antiqua" w:hAnsi="Book Antiqua" w:cs="Book Antiqua"/>
          <w:color w:val="000000"/>
        </w:rPr>
        <w:t xml:space="preserve"> KS, Park SH, Kim JH, Park CK. Patient factors predictive of inadequate bowel preparation using polyethylene glycol: a prospective study in Korea. </w:t>
      </w:r>
      <w:r w:rsidRPr="005633D1">
        <w:rPr>
          <w:rFonts w:ascii="Book Antiqua" w:eastAsia="Book Antiqua" w:hAnsi="Book Antiqua" w:cs="Book Antiqua"/>
          <w:i/>
          <w:iCs/>
          <w:color w:val="000000"/>
        </w:rPr>
        <w:t>J Clin Gastroenterol</w:t>
      </w:r>
      <w:r w:rsidRPr="005633D1">
        <w:rPr>
          <w:rFonts w:ascii="Book Antiqua" w:eastAsia="Book Antiqua" w:hAnsi="Book Antiqua" w:cs="Book Antiqua"/>
          <w:color w:val="000000"/>
        </w:rPr>
        <w:t xml:space="preserve"> 2009; </w:t>
      </w:r>
      <w:r w:rsidRPr="005633D1">
        <w:rPr>
          <w:rFonts w:ascii="Book Antiqua" w:eastAsia="Book Antiqua" w:hAnsi="Book Antiqua" w:cs="Book Antiqua"/>
          <w:b/>
          <w:bCs/>
          <w:color w:val="000000"/>
        </w:rPr>
        <w:t>43</w:t>
      </w:r>
      <w:r w:rsidRPr="005633D1">
        <w:rPr>
          <w:rFonts w:ascii="Book Antiqua" w:eastAsia="Book Antiqua" w:hAnsi="Book Antiqua" w:cs="Book Antiqua"/>
          <w:color w:val="000000"/>
        </w:rPr>
        <w:t>: 448-452 [PMID: 18978506 DOI: 10.1097/MCG.0b013e3181662442]</w:t>
      </w:r>
    </w:p>
    <w:p w14:paraId="28F469AB"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12 </w:t>
      </w:r>
      <w:r w:rsidRPr="005633D1">
        <w:rPr>
          <w:rFonts w:ascii="Book Antiqua" w:eastAsia="Book Antiqua" w:hAnsi="Book Antiqua" w:cs="Book Antiqua"/>
          <w:b/>
          <w:bCs/>
          <w:color w:val="000000"/>
        </w:rPr>
        <w:t>Lim SW</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Seo</w:t>
      </w:r>
      <w:proofErr w:type="spellEnd"/>
      <w:r w:rsidRPr="005633D1">
        <w:rPr>
          <w:rFonts w:ascii="Book Antiqua" w:eastAsia="Book Antiqua" w:hAnsi="Book Antiqua" w:cs="Book Antiqua"/>
          <w:color w:val="000000"/>
        </w:rPr>
        <w:t xml:space="preserve"> YW, Sinn DH, Kim JY, Chang DK, Kim JJ, Rhee JC, Shim SG, Kim YH. Impact of previous gastric or colonic resection on polyethylene glycol </w:t>
      </w:r>
      <w:r w:rsidRPr="005633D1">
        <w:rPr>
          <w:rFonts w:ascii="Book Antiqua" w:eastAsia="Book Antiqua" w:hAnsi="Book Antiqua" w:cs="Book Antiqua"/>
          <w:color w:val="000000"/>
        </w:rPr>
        <w:lastRenderedPageBreak/>
        <w:t xml:space="preserve">bowel preparation for colonoscopy. </w:t>
      </w:r>
      <w:proofErr w:type="spellStart"/>
      <w:r w:rsidRPr="005633D1">
        <w:rPr>
          <w:rFonts w:ascii="Book Antiqua" w:eastAsia="Book Antiqua" w:hAnsi="Book Antiqua" w:cs="Book Antiqua"/>
          <w:i/>
          <w:iCs/>
          <w:color w:val="000000"/>
        </w:rPr>
        <w:t>Surg</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Endosc</w:t>
      </w:r>
      <w:proofErr w:type="spellEnd"/>
      <w:r w:rsidRPr="005633D1">
        <w:rPr>
          <w:rFonts w:ascii="Book Antiqua" w:eastAsia="Book Antiqua" w:hAnsi="Book Antiqua" w:cs="Book Antiqua"/>
          <w:color w:val="000000"/>
        </w:rPr>
        <w:t xml:space="preserve"> 2012; </w:t>
      </w:r>
      <w:r w:rsidRPr="005633D1">
        <w:rPr>
          <w:rFonts w:ascii="Book Antiqua" w:eastAsia="Book Antiqua" w:hAnsi="Book Antiqua" w:cs="Book Antiqua"/>
          <w:b/>
          <w:bCs/>
          <w:color w:val="000000"/>
        </w:rPr>
        <w:t>26</w:t>
      </w:r>
      <w:r w:rsidRPr="005633D1">
        <w:rPr>
          <w:rFonts w:ascii="Book Antiqua" w:eastAsia="Book Antiqua" w:hAnsi="Book Antiqua" w:cs="Book Antiqua"/>
          <w:color w:val="000000"/>
        </w:rPr>
        <w:t>: 1554-1559 [PMID: 22170320 DOI: 10.1007/s00464-011-2068-4]</w:t>
      </w:r>
    </w:p>
    <w:p w14:paraId="43869E5C"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13 </w:t>
      </w:r>
      <w:r w:rsidRPr="005633D1">
        <w:rPr>
          <w:rFonts w:ascii="Book Antiqua" w:eastAsia="Book Antiqua" w:hAnsi="Book Antiqua" w:cs="Book Antiqua"/>
          <w:b/>
          <w:bCs/>
          <w:color w:val="000000"/>
        </w:rPr>
        <w:t>Rex DK</w:t>
      </w:r>
      <w:r w:rsidRPr="005633D1">
        <w:rPr>
          <w:rFonts w:ascii="Book Antiqua" w:eastAsia="Book Antiqua" w:hAnsi="Book Antiqua" w:cs="Book Antiqua"/>
          <w:color w:val="000000"/>
        </w:rPr>
        <w:t xml:space="preserve">. Bowel preparation for colonoscopy: entering an era of increased expectations for efficacy. </w:t>
      </w:r>
      <w:r w:rsidRPr="005633D1">
        <w:rPr>
          <w:rFonts w:ascii="Book Antiqua" w:eastAsia="Book Antiqua" w:hAnsi="Book Antiqua" w:cs="Book Antiqua"/>
          <w:i/>
          <w:iCs/>
          <w:color w:val="000000"/>
        </w:rPr>
        <w:t>Clin Gastroenterol Hepatol</w:t>
      </w:r>
      <w:r w:rsidRPr="005633D1">
        <w:rPr>
          <w:rFonts w:ascii="Book Antiqua" w:eastAsia="Book Antiqua" w:hAnsi="Book Antiqua" w:cs="Book Antiqua"/>
          <w:color w:val="000000"/>
        </w:rPr>
        <w:t xml:space="preserve"> 2014; </w:t>
      </w:r>
      <w:r w:rsidRPr="005633D1">
        <w:rPr>
          <w:rFonts w:ascii="Book Antiqua" w:eastAsia="Book Antiqua" w:hAnsi="Book Antiqua" w:cs="Book Antiqua"/>
          <w:b/>
          <w:bCs/>
          <w:color w:val="000000"/>
        </w:rPr>
        <w:t>12</w:t>
      </w:r>
      <w:r w:rsidRPr="005633D1">
        <w:rPr>
          <w:rFonts w:ascii="Book Antiqua" w:eastAsia="Book Antiqua" w:hAnsi="Book Antiqua" w:cs="Book Antiqua"/>
          <w:color w:val="000000"/>
        </w:rPr>
        <w:t>: 458-462 [PMID: 24239858 DOI: 10.1016/j.cgh.2013.11.003]</w:t>
      </w:r>
    </w:p>
    <w:p w14:paraId="1E761613"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14 </w:t>
      </w:r>
      <w:proofErr w:type="spellStart"/>
      <w:r w:rsidRPr="005633D1">
        <w:rPr>
          <w:rFonts w:ascii="Book Antiqua" w:eastAsia="Book Antiqua" w:hAnsi="Book Antiqua" w:cs="Book Antiqua"/>
          <w:b/>
          <w:bCs/>
          <w:color w:val="000000"/>
        </w:rPr>
        <w:t>Barkun</w:t>
      </w:r>
      <w:proofErr w:type="spellEnd"/>
      <w:r w:rsidRPr="005633D1">
        <w:rPr>
          <w:rFonts w:ascii="Book Antiqua" w:eastAsia="Book Antiqua" w:hAnsi="Book Antiqua" w:cs="Book Antiqua"/>
          <w:b/>
          <w:bCs/>
          <w:color w:val="000000"/>
        </w:rPr>
        <w:t xml:space="preserve"> A</w:t>
      </w:r>
      <w:r w:rsidRPr="005633D1">
        <w:rPr>
          <w:rFonts w:ascii="Book Antiqua" w:eastAsia="Book Antiqua" w:hAnsi="Book Antiqua" w:cs="Book Antiqua"/>
          <w:color w:val="000000"/>
        </w:rPr>
        <w:t xml:space="preserve">, Chiba N, </w:t>
      </w:r>
      <w:proofErr w:type="spellStart"/>
      <w:r w:rsidRPr="005633D1">
        <w:rPr>
          <w:rFonts w:ascii="Book Antiqua" w:eastAsia="Book Antiqua" w:hAnsi="Book Antiqua" w:cs="Book Antiqua"/>
          <w:color w:val="000000"/>
        </w:rPr>
        <w:t>Enns</w:t>
      </w:r>
      <w:proofErr w:type="spellEnd"/>
      <w:r w:rsidRPr="005633D1">
        <w:rPr>
          <w:rFonts w:ascii="Book Antiqua" w:eastAsia="Book Antiqua" w:hAnsi="Book Antiqua" w:cs="Book Antiqua"/>
          <w:color w:val="000000"/>
        </w:rPr>
        <w:t xml:space="preserve"> R, </w:t>
      </w:r>
      <w:proofErr w:type="spellStart"/>
      <w:r w:rsidRPr="005633D1">
        <w:rPr>
          <w:rFonts w:ascii="Book Antiqua" w:eastAsia="Book Antiqua" w:hAnsi="Book Antiqua" w:cs="Book Antiqua"/>
          <w:color w:val="000000"/>
        </w:rPr>
        <w:t>Marcon</w:t>
      </w:r>
      <w:proofErr w:type="spellEnd"/>
      <w:r w:rsidRPr="005633D1">
        <w:rPr>
          <w:rFonts w:ascii="Book Antiqua" w:eastAsia="Book Antiqua" w:hAnsi="Book Antiqua" w:cs="Book Antiqua"/>
          <w:color w:val="000000"/>
        </w:rPr>
        <w:t xml:space="preserve"> M, </w:t>
      </w:r>
      <w:proofErr w:type="spellStart"/>
      <w:r w:rsidRPr="005633D1">
        <w:rPr>
          <w:rFonts w:ascii="Book Antiqua" w:eastAsia="Book Antiqua" w:hAnsi="Book Antiqua" w:cs="Book Antiqua"/>
          <w:color w:val="000000"/>
        </w:rPr>
        <w:t>Natsheh</w:t>
      </w:r>
      <w:proofErr w:type="spellEnd"/>
      <w:r w:rsidRPr="005633D1">
        <w:rPr>
          <w:rFonts w:ascii="Book Antiqua" w:eastAsia="Book Antiqua" w:hAnsi="Book Antiqua" w:cs="Book Antiqua"/>
          <w:color w:val="000000"/>
        </w:rPr>
        <w:t xml:space="preserve"> S, Pham C, </w:t>
      </w:r>
      <w:proofErr w:type="spellStart"/>
      <w:r w:rsidRPr="005633D1">
        <w:rPr>
          <w:rFonts w:ascii="Book Antiqua" w:eastAsia="Book Antiqua" w:hAnsi="Book Antiqua" w:cs="Book Antiqua"/>
          <w:color w:val="000000"/>
        </w:rPr>
        <w:t>Sadowski</w:t>
      </w:r>
      <w:proofErr w:type="spellEnd"/>
      <w:r w:rsidRPr="005633D1">
        <w:rPr>
          <w:rFonts w:ascii="Book Antiqua" w:eastAsia="Book Antiqua" w:hAnsi="Book Antiqua" w:cs="Book Antiqua"/>
          <w:color w:val="000000"/>
        </w:rPr>
        <w:t xml:space="preserve"> D, </w:t>
      </w:r>
      <w:proofErr w:type="spellStart"/>
      <w:r w:rsidRPr="005633D1">
        <w:rPr>
          <w:rFonts w:ascii="Book Antiqua" w:eastAsia="Book Antiqua" w:hAnsi="Book Antiqua" w:cs="Book Antiqua"/>
          <w:color w:val="000000"/>
        </w:rPr>
        <w:t>Vanner</w:t>
      </w:r>
      <w:proofErr w:type="spellEnd"/>
      <w:r w:rsidRPr="005633D1">
        <w:rPr>
          <w:rFonts w:ascii="Book Antiqua" w:eastAsia="Book Antiqua" w:hAnsi="Book Antiqua" w:cs="Book Antiqua"/>
          <w:color w:val="000000"/>
        </w:rPr>
        <w:t xml:space="preserve"> S. Commonly used preparations for colonoscopy: efficacy, tolerability, and safety--a Canadian Association of Gastroenterology position paper. </w:t>
      </w:r>
      <w:r w:rsidRPr="005633D1">
        <w:rPr>
          <w:rFonts w:ascii="Book Antiqua" w:eastAsia="Book Antiqua" w:hAnsi="Book Antiqua" w:cs="Book Antiqua"/>
          <w:i/>
          <w:iCs/>
          <w:color w:val="000000"/>
        </w:rPr>
        <w:t>Can J Gastroenterol</w:t>
      </w:r>
      <w:r w:rsidRPr="005633D1">
        <w:rPr>
          <w:rFonts w:ascii="Book Antiqua" w:eastAsia="Book Antiqua" w:hAnsi="Book Antiqua" w:cs="Book Antiqua"/>
          <w:color w:val="000000"/>
        </w:rPr>
        <w:t xml:space="preserve"> 2006; </w:t>
      </w:r>
      <w:r w:rsidRPr="005633D1">
        <w:rPr>
          <w:rFonts w:ascii="Book Antiqua" w:eastAsia="Book Antiqua" w:hAnsi="Book Antiqua" w:cs="Book Antiqua"/>
          <w:b/>
          <w:bCs/>
          <w:color w:val="000000"/>
        </w:rPr>
        <w:t>20</w:t>
      </w:r>
      <w:r w:rsidRPr="005633D1">
        <w:rPr>
          <w:rFonts w:ascii="Book Antiqua" w:eastAsia="Book Antiqua" w:hAnsi="Book Antiqua" w:cs="Book Antiqua"/>
          <w:color w:val="000000"/>
        </w:rPr>
        <w:t>: 699-710 [PMID: 17111052 DOI: 10.1155/2006/915368]</w:t>
      </w:r>
    </w:p>
    <w:p w14:paraId="3339AAE6"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15 </w:t>
      </w:r>
      <w:proofErr w:type="spellStart"/>
      <w:r w:rsidRPr="005633D1">
        <w:rPr>
          <w:rFonts w:ascii="Book Antiqua" w:eastAsia="Book Antiqua" w:hAnsi="Book Antiqua" w:cs="Book Antiqua"/>
          <w:b/>
          <w:bCs/>
          <w:color w:val="000000"/>
        </w:rPr>
        <w:t>Munsterman</w:t>
      </w:r>
      <w:proofErr w:type="spellEnd"/>
      <w:r w:rsidRPr="005633D1">
        <w:rPr>
          <w:rFonts w:ascii="Book Antiqua" w:eastAsia="Book Antiqua" w:hAnsi="Book Antiqua" w:cs="Book Antiqua"/>
          <w:b/>
          <w:bCs/>
          <w:color w:val="000000"/>
        </w:rPr>
        <w:t xml:space="preserve"> ID</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Cleeren</w:t>
      </w:r>
      <w:proofErr w:type="spellEnd"/>
      <w:r w:rsidRPr="005633D1">
        <w:rPr>
          <w:rFonts w:ascii="Book Antiqua" w:eastAsia="Book Antiqua" w:hAnsi="Book Antiqua" w:cs="Book Antiqua"/>
          <w:color w:val="000000"/>
        </w:rPr>
        <w:t xml:space="preserve"> E, van der </w:t>
      </w:r>
      <w:proofErr w:type="spellStart"/>
      <w:r w:rsidRPr="005633D1">
        <w:rPr>
          <w:rFonts w:ascii="Book Antiqua" w:eastAsia="Book Antiqua" w:hAnsi="Book Antiqua" w:cs="Book Antiqua"/>
          <w:color w:val="000000"/>
        </w:rPr>
        <w:t>Ploeg</w:t>
      </w:r>
      <w:proofErr w:type="spellEnd"/>
      <w:r w:rsidRPr="005633D1">
        <w:rPr>
          <w:rFonts w:ascii="Book Antiqua" w:eastAsia="Book Antiqua" w:hAnsi="Book Antiqua" w:cs="Book Antiqua"/>
          <w:color w:val="000000"/>
        </w:rPr>
        <w:t xml:space="preserve"> T, </w:t>
      </w:r>
      <w:proofErr w:type="spellStart"/>
      <w:r w:rsidRPr="005633D1">
        <w:rPr>
          <w:rFonts w:ascii="Book Antiqua" w:eastAsia="Book Antiqua" w:hAnsi="Book Antiqua" w:cs="Book Antiqua"/>
          <w:color w:val="000000"/>
        </w:rPr>
        <w:t>Brohet</w:t>
      </w:r>
      <w:proofErr w:type="spellEnd"/>
      <w:r w:rsidRPr="005633D1">
        <w:rPr>
          <w:rFonts w:ascii="Book Antiqua" w:eastAsia="Book Antiqua" w:hAnsi="Book Antiqua" w:cs="Book Antiqua"/>
          <w:color w:val="000000"/>
        </w:rPr>
        <w:t xml:space="preserve"> R, van der Hulst R. 'Pico-Bello-</w:t>
      </w:r>
      <w:proofErr w:type="spellStart"/>
      <w:r w:rsidRPr="005633D1">
        <w:rPr>
          <w:rFonts w:ascii="Book Antiqua" w:eastAsia="Book Antiqua" w:hAnsi="Book Antiqua" w:cs="Book Antiqua"/>
          <w:color w:val="000000"/>
        </w:rPr>
        <w:t>Klean</w:t>
      </w:r>
      <w:proofErr w:type="spellEnd"/>
      <w:r w:rsidRPr="005633D1">
        <w:rPr>
          <w:rFonts w:ascii="Book Antiqua" w:eastAsia="Book Antiqua" w:hAnsi="Book Antiqua" w:cs="Book Antiqua"/>
          <w:color w:val="000000"/>
        </w:rPr>
        <w:t xml:space="preserve"> study': effectiveness and patient tolerability of bowel preparation agents sodium </w:t>
      </w:r>
      <w:proofErr w:type="spellStart"/>
      <w:r w:rsidRPr="005633D1">
        <w:rPr>
          <w:rFonts w:ascii="Book Antiqua" w:eastAsia="Book Antiqua" w:hAnsi="Book Antiqua" w:cs="Book Antiqua"/>
          <w:color w:val="000000"/>
        </w:rPr>
        <w:t>picosulphate</w:t>
      </w:r>
      <w:proofErr w:type="spellEnd"/>
      <w:r w:rsidRPr="005633D1">
        <w:rPr>
          <w:rFonts w:ascii="Book Antiqua" w:eastAsia="Book Antiqua" w:hAnsi="Book Antiqua" w:cs="Book Antiqua"/>
          <w:color w:val="000000"/>
        </w:rPr>
        <w:t xml:space="preserve">-magnesium citrate and polyethylene glycol before colonoscopy. A single-blinded randomized trial. </w:t>
      </w:r>
      <w:r w:rsidRPr="005633D1">
        <w:rPr>
          <w:rFonts w:ascii="Book Antiqua" w:eastAsia="Book Antiqua" w:hAnsi="Book Antiqua" w:cs="Book Antiqua"/>
          <w:i/>
          <w:iCs/>
          <w:color w:val="000000"/>
        </w:rPr>
        <w:t>Eur J Gastroenterol Hepatol</w:t>
      </w:r>
      <w:r w:rsidRPr="005633D1">
        <w:rPr>
          <w:rFonts w:ascii="Book Antiqua" w:eastAsia="Book Antiqua" w:hAnsi="Book Antiqua" w:cs="Book Antiqua"/>
          <w:color w:val="000000"/>
        </w:rPr>
        <w:t xml:space="preserve"> 2015; </w:t>
      </w:r>
      <w:r w:rsidRPr="005633D1">
        <w:rPr>
          <w:rFonts w:ascii="Book Antiqua" w:eastAsia="Book Antiqua" w:hAnsi="Book Antiqua" w:cs="Book Antiqua"/>
          <w:b/>
          <w:bCs/>
          <w:color w:val="000000"/>
        </w:rPr>
        <w:t>27</w:t>
      </w:r>
      <w:r w:rsidRPr="005633D1">
        <w:rPr>
          <w:rFonts w:ascii="Book Antiqua" w:eastAsia="Book Antiqua" w:hAnsi="Book Antiqua" w:cs="Book Antiqua"/>
          <w:color w:val="000000"/>
        </w:rPr>
        <w:t>: 29-38 [PMID: 25426978 DOI: 10.1097/MEG.0000000000000192]</w:t>
      </w:r>
    </w:p>
    <w:p w14:paraId="465E04C8"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16 </w:t>
      </w:r>
      <w:proofErr w:type="spellStart"/>
      <w:r w:rsidRPr="005633D1">
        <w:rPr>
          <w:rFonts w:ascii="Book Antiqua" w:eastAsia="Book Antiqua" w:hAnsi="Book Antiqua" w:cs="Book Antiqua"/>
          <w:b/>
          <w:bCs/>
          <w:color w:val="000000"/>
        </w:rPr>
        <w:t>Bitoun</w:t>
      </w:r>
      <w:proofErr w:type="spellEnd"/>
      <w:r w:rsidRPr="005633D1">
        <w:rPr>
          <w:rFonts w:ascii="Book Antiqua" w:eastAsia="Book Antiqua" w:hAnsi="Book Antiqua" w:cs="Book Antiqua"/>
          <w:b/>
          <w:bCs/>
          <w:color w:val="000000"/>
        </w:rPr>
        <w:t xml:space="preserve"> A</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Ponchon</w:t>
      </w:r>
      <w:proofErr w:type="spellEnd"/>
      <w:r w:rsidRPr="005633D1">
        <w:rPr>
          <w:rFonts w:ascii="Book Antiqua" w:eastAsia="Book Antiqua" w:hAnsi="Book Antiqua" w:cs="Book Antiqua"/>
          <w:color w:val="000000"/>
        </w:rPr>
        <w:t xml:space="preserve"> T, </w:t>
      </w:r>
      <w:proofErr w:type="spellStart"/>
      <w:r w:rsidRPr="005633D1">
        <w:rPr>
          <w:rFonts w:ascii="Book Antiqua" w:eastAsia="Book Antiqua" w:hAnsi="Book Antiqua" w:cs="Book Antiqua"/>
          <w:color w:val="000000"/>
        </w:rPr>
        <w:t>Barthet</w:t>
      </w:r>
      <w:proofErr w:type="spellEnd"/>
      <w:r w:rsidRPr="005633D1">
        <w:rPr>
          <w:rFonts w:ascii="Book Antiqua" w:eastAsia="Book Antiqua" w:hAnsi="Book Antiqua" w:cs="Book Antiqua"/>
          <w:color w:val="000000"/>
        </w:rPr>
        <w:t xml:space="preserve"> M, Coffin B, </w:t>
      </w:r>
      <w:proofErr w:type="spellStart"/>
      <w:r w:rsidRPr="005633D1">
        <w:rPr>
          <w:rFonts w:ascii="Book Antiqua" w:eastAsia="Book Antiqua" w:hAnsi="Book Antiqua" w:cs="Book Antiqua"/>
          <w:color w:val="000000"/>
        </w:rPr>
        <w:t>Dugué</w:t>
      </w:r>
      <w:proofErr w:type="spellEnd"/>
      <w:r w:rsidRPr="005633D1">
        <w:rPr>
          <w:rFonts w:ascii="Book Antiqua" w:eastAsia="Book Antiqua" w:hAnsi="Book Antiqua" w:cs="Book Antiqua"/>
          <w:color w:val="000000"/>
        </w:rPr>
        <w:t xml:space="preserve"> C, </w:t>
      </w:r>
      <w:proofErr w:type="spellStart"/>
      <w:r w:rsidRPr="005633D1">
        <w:rPr>
          <w:rFonts w:ascii="Book Antiqua" w:eastAsia="Book Antiqua" w:hAnsi="Book Antiqua" w:cs="Book Antiqua"/>
          <w:color w:val="000000"/>
        </w:rPr>
        <w:t>Halphen</w:t>
      </w:r>
      <w:proofErr w:type="spellEnd"/>
      <w:r w:rsidRPr="005633D1">
        <w:rPr>
          <w:rFonts w:ascii="Book Antiqua" w:eastAsia="Book Antiqua" w:hAnsi="Book Antiqua" w:cs="Book Antiqua"/>
          <w:color w:val="000000"/>
        </w:rPr>
        <w:t xml:space="preserve"> M; </w:t>
      </w:r>
      <w:proofErr w:type="spellStart"/>
      <w:r w:rsidRPr="005633D1">
        <w:rPr>
          <w:rFonts w:ascii="Book Antiqua" w:eastAsia="Book Antiqua" w:hAnsi="Book Antiqua" w:cs="Book Antiqua"/>
          <w:color w:val="000000"/>
        </w:rPr>
        <w:t>Norcol</w:t>
      </w:r>
      <w:proofErr w:type="spellEnd"/>
      <w:r w:rsidRPr="005633D1">
        <w:rPr>
          <w:rFonts w:ascii="Book Antiqua" w:eastAsia="Book Antiqua" w:hAnsi="Book Antiqua" w:cs="Book Antiqua"/>
          <w:color w:val="000000"/>
        </w:rPr>
        <w:t xml:space="preserve"> Group. Results of a prospective </w:t>
      </w:r>
      <w:proofErr w:type="spellStart"/>
      <w:r w:rsidRPr="005633D1">
        <w:rPr>
          <w:rFonts w:ascii="Book Antiqua" w:eastAsia="Book Antiqua" w:hAnsi="Book Antiqua" w:cs="Book Antiqua"/>
          <w:color w:val="000000"/>
        </w:rPr>
        <w:t>randomised</w:t>
      </w:r>
      <w:proofErr w:type="spellEnd"/>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multicentre</w:t>
      </w:r>
      <w:proofErr w:type="spellEnd"/>
      <w:r w:rsidRPr="005633D1">
        <w:rPr>
          <w:rFonts w:ascii="Book Antiqua" w:eastAsia="Book Antiqua" w:hAnsi="Book Antiqua" w:cs="Book Antiqua"/>
          <w:color w:val="000000"/>
        </w:rPr>
        <w:t xml:space="preserve"> controlled trial comparing a new 2-L ascorbic acid plus polyethylene glycol and electrolyte solution vs. sodium phosphate solution in patients undergoing elective colonoscopy. </w:t>
      </w:r>
      <w:r w:rsidRPr="005633D1">
        <w:rPr>
          <w:rFonts w:ascii="Book Antiqua" w:eastAsia="Book Antiqua" w:hAnsi="Book Antiqua" w:cs="Book Antiqua"/>
          <w:i/>
          <w:iCs/>
          <w:color w:val="000000"/>
        </w:rPr>
        <w:t xml:space="preserve">Aliment </w:t>
      </w:r>
      <w:proofErr w:type="spellStart"/>
      <w:r w:rsidRPr="005633D1">
        <w:rPr>
          <w:rFonts w:ascii="Book Antiqua" w:eastAsia="Book Antiqua" w:hAnsi="Book Antiqua" w:cs="Book Antiqua"/>
          <w:i/>
          <w:iCs/>
          <w:color w:val="000000"/>
        </w:rPr>
        <w:t>Pharmacol</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Ther</w:t>
      </w:r>
      <w:proofErr w:type="spellEnd"/>
      <w:r w:rsidRPr="005633D1">
        <w:rPr>
          <w:rFonts w:ascii="Book Antiqua" w:eastAsia="Book Antiqua" w:hAnsi="Book Antiqua" w:cs="Book Antiqua"/>
          <w:color w:val="000000"/>
        </w:rPr>
        <w:t xml:space="preserve"> 2006; </w:t>
      </w:r>
      <w:r w:rsidRPr="005633D1">
        <w:rPr>
          <w:rFonts w:ascii="Book Antiqua" w:eastAsia="Book Antiqua" w:hAnsi="Book Antiqua" w:cs="Book Antiqua"/>
          <w:b/>
          <w:bCs/>
          <w:color w:val="000000"/>
        </w:rPr>
        <w:t>24</w:t>
      </w:r>
      <w:r w:rsidRPr="005633D1">
        <w:rPr>
          <w:rFonts w:ascii="Book Antiqua" w:eastAsia="Book Antiqua" w:hAnsi="Book Antiqua" w:cs="Book Antiqua"/>
          <w:color w:val="000000"/>
        </w:rPr>
        <w:t>: 1631-1642 [PMID: 17094774 DOI: 10.1111/j.1365-2036.2006.03167.x]</w:t>
      </w:r>
    </w:p>
    <w:p w14:paraId="1FEA5496"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17 </w:t>
      </w:r>
      <w:proofErr w:type="spellStart"/>
      <w:r w:rsidRPr="005633D1">
        <w:rPr>
          <w:rFonts w:ascii="Book Antiqua" w:eastAsia="Book Antiqua" w:hAnsi="Book Antiqua" w:cs="Book Antiqua"/>
          <w:b/>
          <w:bCs/>
          <w:color w:val="000000"/>
        </w:rPr>
        <w:t>Lawrance</w:t>
      </w:r>
      <w:proofErr w:type="spellEnd"/>
      <w:r w:rsidRPr="005633D1">
        <w:rPr>
          <w:rFonts w:ascii="Book Antiqua" w:eastAsia="Book Antiqua" w:hAnsi="Book Antiqua" w:cs="Book Antiqua"/>
          <w:b/>
          <w:bCs/>
          <w:color w:val="000000"/>
        </w:rPr>
        <w:t xml:space="preserve"> IC</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Willert</w:t>
      </w:r>
      <w:proofErr w:type="spellEnd"/>
      <w:r w:rsidRPr="005633D1">
        <w:rPr>
          <w:rFonts w:ascii="Book Antiqua" w:eastAsia="Book Antiqua" w:hAnsi="Book Antiqua" w:cs="Book Antiqua"/>
          <w:color w:val="000000"/>
        </w:rPr>
        <w:t xml:space="preserve"> RP, Murray K. A validated bowel-preparation tolerability questionnaire and assessment of three commonly used bowel-cleansing agents. </w:t>
      </w:r>
      <w:r w:rsidRPr="005633D1">
        <w:rPr>
          <w:rFonts w:ascii="Book Antiqua" w:eastAsia="Book Antiqua" w:hAnsi="Book Antiqua" w:cs="Book Antiqua"/>
          <w:i/>
          <w:iCs/>
          <w:color w:val="000000"/>
        </w:rPr>
        <w:t>Dig Dis Sci</w:t>
      </w:r>
      <w:r w:rsidRPr="005633D1">
        <w:rPr>
          <w:rFonts w:ascii="Book Antiqua" w:eastAsia="Book Antiqua" w:hAnsi="Book Antiqua" w:cs="Book Antiqua"/>
          <w:color w:val="000000"/>
        </w:rPr>
        <w:t xml:space="preserve"> 2013; </w:t>
      </w:r>
      <w:r w:rsidRPr="005633D1">
        <w:rPr>
          <w:rFonts w:ascii="Book Antiqua" w:eastAsia="Book Antiqua" w:hAnsi="Book Antiqua" w:cs="Book Antiqua"/>
          <w:b/>
          <w:bCs/>
          <w:color w:val="000000"/>
        </w:rPr>
        <w:t>58</w:t>
      </w:r>
      <w:r w:rsidRPr="005633D1">
        <w:rPr>
          <w:rFonts w:ascii="Book Antiqua" w:eastAsia="Book Antiqua" w:hAnsi="Book Antiqua" w:cs="Book Antiqua"/>
          <w:color w:val="000000"/>
        </w:rPr>
        <w:t>: 926-935 [PMID: 23095990 DOI: 10.1007/s10620-012-2449-0]</w:t>
      </w:r>
    </w:p>
    <w:p w14:paraId="7BBBAF7E"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18 </w:t>
      </w:r>
      <w:proofErr w:type="spellStart"/>
      <w:r w:rsidRPr="005633D1">
        <w:rPr>
          <w:rFonts w:ascii="Book Antiqua" w:eastAsia="Book Antiqua" w:hAnsi="Book Antiqua" w:cs="Book Antiqua"/>
          <w:b/>
          <w:bCs/>
          <w:color w:val="000000"/>
        </w:rPr>
        <w:t>Rostom</w:t>
      </w:r>
      <w:proofErr w:type="spellEnd"/>
      <w:r w:rsidRPr="005633D1">
        <w:rPr>
          <w:rFonts w:ascii="Book Antiqua" w:eastAsia="Book Antiqua" w:hAnsi="Book Antiqua" w:cs="Book Antiqua"/>
          <w:b/>
          <w:bCs/>
          <w:color w:val="000000"/>
        </w:rPr>
        <w:t xml:space="preserve"> A</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Jolicoeur</w:t>
      </w:r>
      <w:proofErr w:type="spellEnd"/>
      <w:r w:rsidRPr="005633D1">
        <w:rPr>
          <w:rFonts w:ascii="Book Antiqua" w:eastAsia="Book Antiqua" w:hAnsi="Book Antiqua" w:cs="Book Antiqua"/>
          <w:color w:val="000000"/>
        </w:rPr>
        <w:t xml:space="preserve"> E. Validation of a new scale for the assessment of bowel preparation quality. </w:t>
      </w:r>
      <w:proofErr w:type="spellStart"/>
      <w:r w:rsidRPr="005633D1">
        <w:rPr>
          <w:rFonts w:ascii="Book Antiqua" w:eastAsia="Book Antiqua" w:hAnsi="Book Antiqua" w:cs="Book Antiqua"/>
          <w:i/>
          <w:iCs/>
          <w:color w:val="000000"/>
        </w:rPr>
        <w:t>Gastrointest</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Endosc</w:t>
      </w:r>
      <w:proofErr w:type="spellEnd"/>
      <w:r w:rsidRPr="005633D1">
        <w:rPr>
          <w:rFonts w:ascii="Book Antiqua" w:eastAsia="Book Antiqua" w:hAnsi="Book Antiqua" w:cs="Book Antiqua"/>
          <w:color w:val="000000"/>
        </w:rPr>
        <w:t xml:space="preserve"> 2004; </w:t>
      </w:r>
      <w:r w:rsidRPr="005633D1">
        <w:rPr>
          <w:rFonts w:ascii="Book Antiqua" w:eastAsia="Book Antiqua" w:hAnsi="Book Antiqua" w:cs="Book Antiqua"/>
          <w:b/>
          <w:bCs/>
          <w:color w:val="000000"/>
        </w:rPr>
        <w:t>59</w:t>
      </w:r>
      <w:r w:rsidRPr="005633D1">
        <w:rPr>
          <w:rFonts w:ascii="Book Antiqua" w:eastAsia="Book Antiqua" w:hAnsi="Book Antiqua" w:cs="Book Antiqua"/>
          <w:color w:val="000000"/>
        </w:rPr>
        <w:t>: 482-486 [PMID: 15044882 DOI: 10.1016/s0016-5107(03)02875-x]</w:t>
      </w:r>
    </w:p>
    <w:p w14:paraId="6A486D08" w14:textId="34C947C8" w:rsidR="00A77B3E" w:rsidRPr="005633D1" w:rsidRDefault="005B2BA9" w:rsidP="00BE2B81">
      <w:pPr>
        <w:snapToGrid w:val="0"/>
        <w:spacing w:line="360" w:lineRule="auto"/>
        <w:jc w:val="both"/>
        <w:rPr>
          <w:rFonts w:ascii="Book Antiqua" w:eastAsia="宋体" w:hAnsi="Book Antiqua" w:cs="宋体"/>
          <w:color w:val="000000"/>
        </w:rPr>
      </w:pPr>
      <w:r w:rsidRPr="005633D1">
        <w:rPr>
          <w:rFonts w:ascii="Book Antiqua" w:eastAsia="Book Antiqua" w:hAnsi="Book Antiqua" w:cs="Book Antiqua"/>
          <w:color w:val="000000"/>
        </w:rPr>
        <w:lastRenderedPageBreak/>
        <w:t xml:space="preserve">19 </w:t>
      </w:r>
      <w:r w:rsidRPr="005633D1">
        <w:rPr>
          <w:rFonts w:ascii="Book Antiqua" w:eastAsia="Book Antiqua" w:hAnsi="Book Antiqua" w:cs="Book Antiqua"/>
          <w:b/>
          <w:bCs/>
          <w:color w:val="000000"/>
        </w:rPr>
        <w:t>Chan M</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Birnstein</w:t>
      </w:r>
      <w:proofErr w:type="spellEnd"/>
      <w:r w:rsidRPr="005633D1">
        <w:rPr>
          <w:rFonts w:ascii="Book Antiqua" w:eastAsia="Book Antiqua" w:hAnsi="Book Antiqua" w:cs="Book Antiqua"/>
          <w:color w:val="000000"/>
        </w:rPr>
        <w:t xml:space="preserve"> E, Patel N, </w:t>
      </w:r>
      <w:r w:rsidR="008A49B6" w:rsidRPr="005633D1">
        <w:rPr>
          <w:rFonts w:ascii="Book Antiqua" w:eastAsia="Book Antiqua" w:hAnsi="Book Antiqua" w:cs="Book Antiqua"/>
          <w:iCs/>
          <w:color w:val="000000"/>
        </w:rPr>
        <w:t>Chan L, Kline M</w:t>
      </w:r>
      <w:r w:rsidR="000F5A69" w:rsidRPr="005633D1">
        <w:rPr>
          <w:rFonts w:ascii="Book Antiqua" w:eastAsia="Book Antiqua" w:hAnsi="Book Antiqua" w:cs="Book Antiqua"/>
          <w:iCs/>
          <w:color w:val="000000"/>
        </w:rPr>
        <w:t>.</w:t>
      </w:r>
      <w:r w:rsidRPr="005633D1">
        <w:rPr>
          <w:rFonts w:ascii="Book Antiqua" w:eastAsia="Book Antiqua" w:hAnsi="Book Antiqua" w:cs="Book Antiqua"/>
          <w:color w:val="000000"/>
        </w:rPr>
        <w:t xml:space="preserve"> </w:t>
      </w:r>
      <w:r w:rsidR="008A49B6" w:rsidRPr="005633D1">
        <w:rPr>
          <w:rFonts w:ascii="Book Antiqua" w:eastAsia="Book Antiqua" w:hAnsi="Book Antiqua" w:cs="Book Antiqua"/>
          <w:color w:val="000000"/>
        </w:rPr>
        <w:t>Ottawa Score of 8 or Greater Is an Optimal Cut-off Point for Inadequate Bowel Preparation: 1156</w:t>
      </w:r>
      <w:r w:rsidRPr="005633D1">
        <w:rPr>
          <w:rFonts w:ascii="Book Antiqua" w:eastAsia="Book Antiqua" w:hAnsi="Book Antiqua" w:cs="Book Antiqua"/>
          <w:color w:val="000000"/>
        </w:rPr>
        <w:t xml:space="preserve">. </w:t>
      </w:r>
      <w:r w:rsidR="008A49B6" w:rsidRPr="005633D1">
        <w:rPr>
          <w:rFonts w:ascii="Book Antiqua" w:eastAsia="Book Antiqua" w:hAnsi="Book Antiqua" w:cs="Book Antiqua"/>
          <w:i/>
          <w:color w:val="000000"/>
        </w:rPr>
        <w:t>Am J Gastroenterol</w:t>
      </w:r>
      <w:r w:rsidR="008A49B6" w:rsidRPr="005633D1">
        <w:rPr>
          <w:rFonts w:ascii="Book Antiqua" w:eastAsia="Book Antiqua" w:hAnsi="Book Antiqua" w:cs="Book Antiqua"/>
          <w:color w:val="000000"/>
        </w:rPr>
        <w:t xml:space="preserve"> 2011; </w:t>
      </w:r>
      <w:r w:rsidR="008A49B6" w:rsidRPr="005633D1">
        <w:rPr>
          <w:rFonts w:ascii="Book Antiqua" w:eastAsia="Book Antiqua" w:hAnsi="Book Antiqua" w:cs="Book Antiqua"/>
          <w:b/>
          <w:color w:val="000000"/>
        </w:rPr>
        <w:t>106</w:t>
      </w:r>
      <w:r w:rsidR="008A49B6" w:rsidRPr="005633D1">
        <w:rPr>
          <w:rFonts w:ascii="Book Antiqua" w:eastAsia="Book Antiqua" w:hAnsi="Book Antiqua" w:cs="Book Antiqua"/>
          <w:bCs/>
          <w:color w:val="000000"/>
        </w:rPr>
        <w:t>:</w:t>
      </w:r>
      <w:r w:rsidRPr="005633D1">
        <w:rPr>
          <w:rFonts w:ascii="Book Antiqua" w:eastAsia="Book Antiqua" w:hAnsi="Book Antiqua" w:cs="Book Antiqua"/>
          <w:color w:val="000000"/>
        </w:rPr>
        <w:t xml:space="preserve"> </w:t>
      </w:r>
      <w:r w:rsidR="008A49B6" w:rsidRPr="005633D1">
        <w:rPr>
          <w:rFonts w:ascii="Book Antiqua" w:eastAsia="Book Antiqua" w:hAnsi="Book Antiqua" w:cs="Book Antiqua"/>
          <w:color w:val="000000"/>
        </w:rPr>
        <w:t xml:space="preserve">S431-S432 </w:t>
      </w:r>
      <w:r w:rsidR="000F5A69" w:rsidRPr="005633D1">
        <w:rPr>
          <w:rFonts w:ascii="Book Antiqua" w:hAnsi="Book Antiqua" w:cs="Book Antiqua"/>
          <w:color w:val="000000"/>
          <w:lang w:eastAsia="zh-CN"/>
        </w:rPr>
        <w:t>[</w:t>
      </w:r>
      <w:r w:rsidR="000F5A69" w:rsidRPr="005633D1">
        <w:rPr>
          <w:rFonts w:ascii="Book Antiqua" w:eastAsia="Book Antiqua" w:hAnsi="Book Antiqua" w:cs="Book Antiqua"/>
          <w:color w:val="000000"/>
        </w:rPr>
        <w:t>DOI</w:t>
      </w:r>
      <w:r w:rsidR="008A49B6" w:rsidRPr="005633D1">
        <w:rPr>
          <w:rFonts w:ascii="Book Antiqua" w:hAnsi="Book Antiqua"/>
        </w:rPr>
        <w:t xml:space="preserve">: </w:t>
      </w:r>
      <w:r w:rsidR="008A49B6" w:rsidRPr="005633D1">
        <w:rPr>
          <w:rFonts w:ascii="Book Antiqua" w:eastAsia="宋体" w:hAnsi="Book Antiqua" w:cs="宋体"/>
          <w:color w:val="000000"/>
        </w:rPr>
        <w:t>10.14309/00000434-201110002-01156</w:t>
      </w:r>
      <w:r w:rsidR="000F5A69" w:rsidRPr="005633D1">
        <w:rPr>
          <w:rFonts w:ascii="Book Antiqua" w:eastAsia="Book Antiqua" w:hAnsi="Book Antiqua" w:cs="Book Antiqua"/>
          <w:color w:val="000000"/>
        </w:rPr>
        <w:t>]</w:t>
      </w:r>
    </w:p>
    <w:p w14:paraId="778BBA46"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20 </w:t>
      </w:r>
      <w:r w:rsidRPr="005633D1">
        <w:rPr>
          <w:rFonts w:ascii="Book Antiqua" w:eastAsia="Book Antiqua" w:hAnsi="Book Antiqua" w:cs="Book Antiqua"/>
          <w:b/>
          <w:bCs/>
          <w:color w:val="000000"/>
        </w:rPr>
        <w:t>Parmar R</w:t>
      </w:r>
      <w:r w:rsidRPr="005633D1">
        <w:rPr>
          <w:rFonts w:ascii="Book Antiqua" w:eastAsia="Book Antiqua" w:hAnsi="Book Antiqua" w:cs="Book Antiqua"/>
          <w:color w:val="000000"/>
        </w:rPr>
        <w:t xml:space="preserve">, Martel M, </w:t>
      </w:r>
      <w:proofErr w:type="spellStart"/>
      <w:r w:rsidRPr="005633D1">
        <w:rPr>
          <w:rFonts w:ascii="Book Antiqua" w:eastAsia="Book Antiqua" w:hAnsi="Book Antiqua" w:cs="Book Antiqua"/>
          <w:color w:val="000000"/>
        </w:rPr>
        <w:t>Rostom</w:t>
      </w:r>
      <w:proofErr w:type="spellEnd"/>
      <w:r w:rsidRPr="005633D1">
        <w:rPr>
          <w:rFonts w:ascii="Book Antiqua" w:eastAsia="Book Antiqua" w:hAnsi="Book Antiqua" w:cs="Book Antiqua"/>
          <w:color w:val="000000"/>
        </w:rPr>
        <w:t xml:space="preserve"> A, </w:t>
      </w:r>
      <w:proofErr w:type="spellStart"/>
      <w:r w:rsidRPr="005633D1">
        <w:rPr>
          <w:rFonts w:ascii="Book Antiqua" w:eastAsia="Book Antiqua" w:hAnsi="Book Antiqua" w:cs="Book Antiqua"/>
          <w:color w:val="000000"/>
        </w:rPr>
        <w:t>Barkun</w:t>
      </w:r>
      <w:proofErr w:type="spellEnd"/>
      <w:r w:rsidRPr="005633D1">
        <w:rPr>
          <w:rFonts w:ascii="Book Antiqua" w:eastAsia="Book Antiqua" w:hAnsi="Book Antiqua" w:cs="Book Antiqua"/>
          <w:color w:val="000000"/>
        </w:rPr>
        <w:t xml:space="preserve"> AN. Validated Scales for Colon Cleansing: A Systematic Review. </w:t>
      </w:r>
      <w:r w:rsidRPr="005633D1">
        <w:rPr>
          <w:rFonts w:ascii="Book Antiqua" w:eastAsia="Book Antiqua" w:hAnsi="Book Antiqua" w:cs="Book Antiqua"/>
          <w:i/>
          <w:iCs/>
          <w:color w:val="000000"/>
        </w:rPr>
        <w:t>Am J Gastroenterol</w:t>
      </w:r>
      <w:r w:rsidRPr="005633D1">
        <w:rPr>
          <w:rFonts w:ascii="Book Antiqua" w:eastAsia="Book Antiqua" w:hAnsi="Book Antiqua" w:cs="Book Antiqua"/>
          <w:color w:val="000000"/>
        </w:rPr>
        <w:t xml:space="preserve"> 2016; </w:t>
      </w:r>
      <w:r w:rsidRPr="005633D1">
        <w:rPr>
          <w:rFonts w:ascii="Book Antiqua" w:eastAsia="Book Antiqua" w:hAnsi="Book Antiqua" w:cs="Book Antiqua"/>
          <w:b/>
          <w:bCs/>
          <w:color w:val="000000"/>
        </w:rPr>
        <w:t>111</w:t>
      </w:r>
      <w:r w:rsidRPr="005633D1">
        <w:rPr>
          <w:rFonts w:ascii="Book Antiqua" w:eastAsia="Book Antiqua" w:hAnsi="Book Antiqua" w:cs="Book Antiqua"/>
          <w:color w:val="000000"/>
        </w:rPr>
        <w:t>: 197-204; quiz 205 [PMID: 26782820 DOI: 10.1038/ajg.2015.417]</w:t>
      </w:r>
    </w:p>
    <w:p w14:paraId="4675FEA0" w14:textId="3D4A03B1"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21 </w:t>
      </w:r>
      <w:r w:rsidR="0019103B" w:rsidRPr="005633D1">
        <w:rPr>
          <w:rFonts w:ascii="Book Antiqua" w:eastAsia="Book Antiqua" w:hAnsi="Book Antiqua" w:cs="Book Antiqua"/>
          <w:b/>
          <w:bCs/>
          <w:color w:val="000000"/>
        </w:rPr>
        <w:t>Lee SH</w:t>
      </w:r>
      <w:r w:rsidR="0019103B" w:rsidRPr="005633D1">
        <w:rPr>
          <w:rFonts w:ascii="Book Antiqua" w:eastAsia="Book Antiqua" w:hAnsi="Book Antiqua" w:cs="Book Antiqua"/>
          <w:color w:val="000000"/>
        </w:rPr>
        <w:t>,</w:t>
      </w:r>
      <w:r w:rsidR="0019103B" w:rsidRPr="005633D1">
        <w:rPr>
          <w:rFonts w:ascii="Book Antiqua" w:eastAsia="Book Antiqua" w:hAnsi="Book Antiqua" w:cs="Book Antiqua"/>
          <w:b/>
          <w:bCs/>
          <w:color w:val="000000"/>
        </w:rPr>
        <w:t xml:space="preserve"> </w:t>
      </w:r>
      <w:r w:rsidR="0019103B" w:rsidRPr="005633D1">
        <w:rPr>
          <w:rFonts w:ascii="Book Antiqua" w:eastAsia="Book Antiqua" w:hAnsi="Book Antiqua" w:cs="Book Antiqua"/>
          <w:bCs/>
          <w:color w:val="000000"/>
        </w:rPr>
        <w:t xml:space="preserve">Lee DJ, Kang JK. A randomized controlled trial of comparison on time and rate of cecal and terminal ileal intubation according to adult-colonoscope length: intermediate versus long. </w:t>
      </w:r>
      <w:r w:rsidR="0019103B" w:rsidRPr="005633D1">
        <w:rPr>
          <w:rFonts w:ascii="Book Antiqua" w:eastAsia="Book Antiqua" w:hAnsi="Book Antiqua" w:cs="Book Antiqua"/>
          <w:bCs/>
          <w:i/>
          <w:color w:val="000000"/>
        </w:rPr>
        <w:t>J Gastroenterol Hepatol</w:t>
      </w:r>
      <w:r w:rsidR="0019103B" w:rsidRPr="005633D1">
        <w:rPr>
          <w:rFonts w:ascii="Book Antiqua" w:eastAsia="Book Antiqua" w:hAnsi="Book Antiqua" w:cs="Book Antiqua"/>
          <w:bCs/>
          <w:color w:val="000000"/>
        </w:rPr>
        <w:t xml:space="preserve"> 2014</w:t>
      </w:r>
      <w:r w:rsidR="00A13025" w:rsidRPr="005633D1">
        <w:rPr>
          <w:rFonts w:ascii="Book Antiqua" w:eastAsia="Book Antiqua" w:hAnsi="Book Antiqua" w:cs="Book Antiqua"/>
          <w:bCs/>
          <w:color w:val="000000"/>
        </w:rPr>
        <w:t>;</w:t>
      </w:r>
      <w:r w:rsidR="0019103B" w:rsidRPr="005633D1">
        <w:rPr>
          <w:rFonts w:ascii="Book Antiqua" w:eastAsia="Book Antiqua" w:hAnsi="Book Antiqua" w:cs="Book Antiqua"/>
          <w:b/>
          <w:bCs/>
          <w:color w:val="000000"/>
        </w:rPr>
        <w:t xml:space="preserve"> 29</w:t>
      </w:r>
      <w:r w:rsidR="0019103B" w:rsidRPr="005633D1">
        <w:rPr>
          <w:rFonts w:ascii="Book Antiqua" w:eastAsia="Book Antiqua" w:hAnsi="Book Antiqua" w:cs="Book Antiqua"/>
          <w:color w:val="000000"/>
        </w:rPr>
        <w:t>:</w:t>
      </w:r>
      <w:r w:rsidR="0019103B" w:rsidRPr="005633D1">
        <w:rPr>
          <w:rFonts w:ascii="Book Antiqua" w:eastAsia="Book Antiqua" w:hAnsi="Book Antiqua" w:cs="Book Antiqua"/>
          <w:bCs/>
          <w:color w:val="000000"/>
        </w:rPr>
        <w:t xml:space="preserve"> 44-46</w:t>
      </w:r>
    </w:p>
    <w:p w14:paraId="37B608E2" w14:textId="5B7C763D"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22 </w:t>
      </w:r>
      <w:r w:rsidR="0019103B" w:rsidRPr="005633D1">
        <w:rPr>
          <w:rFonts w:ascii="Book Antiqua" w:eastAsia="Book Antiqua" w:hAnsi="Book Antiqua" w:cs="Book Antiqua"/>
          <w:b/>
          <w:color w:val="000000"/>
        </w:rPr>
        <w:t xml:space="preserve">Australian Commission on Safety and Quality in Health Care. </w:t>
      </w:r>
      <w:r w:rsidRPr="005633D1">
        <w:rPr>
          <w:rFonts w:ascii="Book Antiqua" w:eastAsia="Book Antiqua" w:hAnsi="Book Antiqua" w:cs="Book Antiqua"/>
          <w:color w:val="000000"/>
        </w:rPr>
        <w:t>Colonoscopy Clinical Care Standard 2017</w:t>
      </w:r>
      <w:r w:rsidR="00A13025" w:rsidRPr="005633D1">
        <w:rPr>
          <w:rFonts w:ascii="Book Antiqua" w:eastAsia="Book Antiqua" w:hAnsi="Book Antiqua" w:cs="Book Antiqua"/>
          <w:color w:val="000000"/>
        </w:rPr>
        <w:t>.</w:t>
      </w:r>
      <w:r w:rsidR="0019103B" w:rsidRPr="005633D1">
        <w:rPr>
          <w:rFonts w:ascii="Book Antiqua" w:eastAsia="Book Antiqua" w:hAnsi="Book Antiqua" w:cs="Book Antiqua"/>
          <w:color w:val="000000"/>
        </w:rPr>
        <w:t xml:space="preserve"> [cited 23 February 2021]</w:t>
      </w:r>
      <w:r w:rsidR="00914F86" w:rsidRPr="005633D1">
        <w:rPr>
          <w:rFonts w:ascii="Book Antiqua" w:eastAsia="Book Antiqua" w:hAnsi="Book Antiqua" w:cs="Book Antiqua"/>
          <w:color w:val="000000"/>
        </w:rPr>
        <w:t>.</w:t>
      </w:r>
      <w:r w:rsidRPr="005633D1">
        <w:rPr>
          <w:rFonts w:ascii="Book Antiqua" w:eastAsia="Book Antiqua" w:hAnsi="Book Antiqua" w:cs="Book Antiqua"/>
          <w:color w:val="000000"/>
        </w:rPr>
        <w:t xml:space="preserve"> Available from: https://www.safetyandquality.gov.au/standards/clinical-care</w:t>
      </w:r>
      <w:r w:rsidR="00914F86" w:rsidRPr="005633D1">
        <w:rPr>
          <w:rFonts w:ascii="Book Antiqua" w:eastAsia="Book Antiqua" w:hAnsi="Book Antiqua" w:cs="Book Antiqua"/>
          <w:color w:val="000000"/>
        </w:rPr>
        <w:t>-</w:t>
      </w:r>
      <w:r w:rsidRPr="005633D1">
        <w:rPr>
          <w:rFonts w:ascii="Book Antiqua" w:eastAsia="Book Antiqua" w:hAnsi="Book Antiqua" w:cs="Book Antiqua"/>
          <w:color w:val="000000"/>
        </w:rPr>
        <w:t>standards/colonoscopy-clinical-care-standard</w:t>
      </w:r>
    </w:p>
    <w:p w14:paraId="5D7F87E3" w14:textId="77777777" w:rsidR="00A77B3E" w:rsidRPr="005633D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23 </w:t>
      </w:r>
      <w:proofErr w:type="spellStart"/>
      <w:r w:rsidRPr="005633D1">
        <w:rPr>
          <w:rFonts w:ascii="Book Antiqua" w:eastAsia="Book Antiqua" w:hAnsi="Book Antiqua" w:cs="Book Antiqua"/>
          <w:b/>
          <w:bCs/>
          <w:color w:val="000000"/>
        </w:rPr>
        <w:t>Restellini</w:t>
      </w:r>
      <w:proofErr w:type="spellEnd"/>
      <w:r w:rsidRPr="005633D1">
        <w:rPr>
          <w:rFonts w:ascii="Book Antiqua" w:eastAsia="Book Antiqua" w:hAnsi="Book Antiqua" w:cs="Book Antiqua"/>
          <w:b/>
          <w:bCs/>
          <w:color w:val="000000"/>
        </w:rPr>
        <w:t xml:space="preserve"> S</w:t>
      </w:r>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Kherad</w:t>
      </w:r>
      <w:proofErr w:type="spellEnd"/>
      <w:r w:rsidRPr="005633D1">
        <w:rPr>
          <w:rFonts w:ascii="Book Antiqua" w:eastAsia="Book Antiqua" w:hAnsi="Book Antiqua" w:cs="Book Antiqua"/>
          <w:color w:val="000000"/>
        </w:rPr>
        <w:t xml:space="preserve"> O, </w:t>
      </w:r>
      <w:proofErr w:type="spellStart"/>
      <w:r w:rsidRPr="005633D1">
        <w:rPr>
          <w:rFonts w:ascii="Book Antiqua" w:eastAsia="Book Antiqua" w:hAnsi="Book Antiqua" w:cs="Book Antiqua"/>
          <w:color w:val="000000"/>
        </w:rPr>
        <w:t>Bessissow</w:t>
      </w:r>
      <w:proofErr w:type="spellEnd"/>
      <w:r w:rsidRPr="005633D1">
        <w:rPr>
          <w:rFonts w:ascii="Book Antiqua" w:eastAsia="Book Antiqua" w:hAnsi="Book Antiqua" w:cs="Book Antiqua"/>
          <w:color w:val="000000"/>
        </w:rPr>
        <w:t xml:space="preserve"> T, </w:t>
      </w:r>
      <w:proofErr w:type="spellStart"/>
      <w:r w:rsidRPr="005633D1">
        <w:rPr>
          <w:rFonts w:ascii="Book Antiqua" w:eastAsia="Book Antiqua" w:hAnsi="Book Antiqua" w:cs="Book Antiqua"/>
          <w:color w:val="000000"/>
        </w:rPr>
        <w:t>Ménard</w:t>
      </w:r>
      <w:proofErr w:type="spellEnd"/>
      <w:r w:rsidRPr="005633D1">
        <w:rPr>
          <w:rFonts w:ascii="Book Antiqua" w:eastAsia="Book Antiqua" w:hAnsi="Book Antiqua" w:cs="Book Antiqua"/>
          <w:color w:val="000000"/>
        </w:rPr>
        <w:t xml:space="preserve"> C, Martel M, </w:t>
      </w:r>
      <w:proofErr w:type="spellStart"/>
      <w:r w:rsidRPr="005633D1">
        <w:rPr>
          <w:rFonts w:ascii="Book Antiqua" w:eastAsia="Book Antiqua" w:hAnsi="Book Antiqua" w:cs="Book Antiqua"/>
          <w:color w:val="000000"/>
        </w:rPr>
        <w:t>Taheri</w:t>
      </w:r>
      <w:proofErr w:type="spellEnd"/>
      <w:r w:rsidRPr="005633D1">
        <w:rPr>
          <w:rFonts w:ascii="Book Antiqua" w:eastAsia="Book Antiqua" w:hAnsi="Book Antiqua" w:cs="Book Antiqua"/>
          <w:color w:val="000000"/>
        </w:rPr>
        <w:t xml:space="preserve"> </w:t>
      </w:r>
      <w:proofErr w:type="spellStart"/>
      <w:r w:rsidRPr="005633D1">
        <w:rPr>
          <w:rFonts w:ascii="Book Antiqua" w:eastAsia="Book Antiqua" w:hAnsi="Book Antiqua" w:cs="Book Antiqua"/>
          <w:color w:val="000000"/>
        </w:rPr>
        <w:t>Tanjani</w:t>
      </w:r>
      <w:proofErr w:type="spellEnd"/>
      <w:r w:rsidRPr="005633D1">
        <w:rPr>
          <w:rFonts w:ascii="Book Antiqua" w:eastAsia="Book Antiqua" w:hAnsi="Book Antiqua" w:cs="Book Antiqua"/>
          <w:color w:val="000000"/>
        </w:rPr>
        <w:t xml:space="preserve"> M, </w:t>
      </w:r>
      <w:proofErr w:type="spellStart"/>
      <w:r w:rsidRPr="005633D1">
        <w:rPr>
          <w:rFonts w:ascii="Book Antiqua" w:eastAsia="Book Antiqua" w:hAnsi="Book Antiqua" w:cs="Book Antiqua"/>
          <w:color w:val="000000"/>
        </w:rPr>
        <w:t>Lakatos</w:t>
      </w:r>
      <w:proofErr w:type="spellEnd"/>
      <w:r w:rsidRPr="005633D1">
        <w:rPr>
          <w:rFonts w:ascii="Book Antiqua" w:eastAsia="Book Antiqua" w:hAnsi="Book Antiqua" w:cs="Book Antiqua"/>
          <w:color w:val="000000"/>
        </w:rPr>
        <w:t xml:space="preserve"> PL, </w:t>
      </w:r>
      <w:proofErr w:type="spellStart"/>
      <w:r w:rsidRPr="005633D1">
        <w:rPr>
          <w:rFonts w:ascii="Book Antiqua" w:eastAsia="Book Antiqua" w:hAnsi="Book Antiqua" w:cs="Book Antiqua"/>
          <w:color w:val="000000"/>
        </w:rPr>
        <w:t>Barkun</w:t>
      </w:r>
      <w:proofErr w:type="spellEnd"/>
      <w:r w:rsidRPr="005633D1">
        <w:rPr>
          <w:rFonts w:ascii="Book Antiqua" w:eastAsia="Book Antiqua" w:hAnsi="Book Antiqua" w:cs="Book Antiqua"/>
          <w:color w:val="000000"/>
        </w:rPr>
        <w:t xml:space="preserve"> AN. Systematic review and meta-analysis of colon cleansing preparations in patients with inflammatory bowel disease. </w:t>
      </w:r>
      <w:r w:rsidRPr="005633D1">
        <w:rPr>
          <w:rFonts w:ascii="Book Antiqua" w:eastAsia="Book Antiqua" w:hAnsi="Book Antiqua" w:cs="Book Antiqua"/>
          <w:i/>
          <w:iCs/>
          <w:color w:val="000000"/>
        </w:rPr>
        <w:t>World J Gastroenterol</w:t>
      </w:r>
      <w:r w:rsidRPr="005633D1">
        <w:rPr>
          <w:rFonts w:ascii="Book Antiqua" w:eastAsia="Book Antiqua" w:hAnsi="Book Antiqua" w:cs="Book Antiqua"/>
          <w:color w:val="000000"/>
        </w:rPr>
        <w:t xml:space="preserve"> 2017; </w:t>
      </w:r>
      <w:r w:rsidRPr="005633D1">
        <w:rPr>
          <w:rFonts w:ascii="Book Antiqua" w:eastAsia="Book Antiqua" w:hAnsi="Book Antiqua" w:cs="Book Antiqua"/>
          <w:b/>
          <w:bCs/>
          <w:color w:val="000000"/>
        </w:rPr>
        <w:t>23</w:t>
      </w:r>
      <w:r w:rsidRPr="005633D1">
        <w:rPr>
          <w:rFonts w:ascii="Book Antiqua" w:eastAsia="Book Antiqua" w:hAnsi="Book Antiqua" w:cs="Book Antiqua"/>
          <w:color w:val="000000"/>
        </w:rPr>
        <w:t>: 5994-6002 [PMID: 28932092 DOI: 10.3748/wjg.v23.i32.5994]</w:t>
      </w:r>
    </w:p>
    <w:p w14:paraId="008CFBBE" w14:textId="77777777" w:rsidR="00A77B3E" w:rsidRPr="00BE2B81" w:rsidRDefault="005B2BA9" w:rsidP="00BE2B81">
      <w:pPr>
        <w:snapToGrid w:val="0"/>
        <w:spacing w:line="360" w:lineRule="auto"/>
        <w:jc w:val="both"/>
        <w:rPr>
          <w:rFonts w:ascii="Book Antiqua" w:hAnsi="Book Antiqua"/>
        </w:rPr>
      </w:pPr>
      <w:r w:rsidRPr="005633D1">
        <w:rPr>
          <w:rFonts w:ascii="Book Antiqua" w:eastAsia="Book Antiqua" w:hAnsi="Book Antiqua" w:cs="Book Antiqua"/>
          <w:color w:val="000000"/>
        </w:rPr>
        <w:t xml:space="preserve">24 </w:t>
      </w:r>
      <w:proofErr w:type="spellStart"/>
      <w:r w:rsidRPr="005633D1">
        <w:rPr>
          <w:rFonts w:ascii="Book Antiqua" w:eastAsia="Book Antiqua" w:hAnsi="Book Antiqua" w:cs="Book Antiqua"/>
          <w:b/>
          <w:bCs/>
          <w:color w:val="000000"/>
        </w:rPr>
        <w:t>Belsey</w:t>
      </w:r>
      <w:proofErr w:type="spellEnd"/>
      <w:r w:rsidRPr="005633D1">
        <w:rPr>
          <w:rFonts w:ascii="Book Antiqua" w:eastAsia="Book Antiqua" w:hAnsi="Book Antiqua" w:cs="Book Antiqua"/>
          <w:b/>
          <w:bCs/>
          <w:color w:val="000000"/>
        </w:rPr>
        <w:t xml:space="preserve"> J</w:t>
      </w:r>
      <w:r w:rsidRPr="005633D1">
        <w:rPr>
          <w:rFonts w:ascii="Book Antiqua" w:eastAsia="Book Antiqua" w:hAnsi="Book Antiqua" w:cs="Book Antiqua"/>
          <w:color w:val="000000"/>
        </w:rPr>
        <w:t xml:space="preserve">, Epstein O, </w:t>
      </w:r>
      <w:proofErr w:type="spellStart"/>
      <w:r w:rsidRPr="005633D1">
        <w:rPr>
          <w:rFonts w:ascii="Book Antiqua" w:eastAsia="Book Antiqua" w:hAnsi="Book Antiqua" w:cs="Book Antiqua"/>
          <w:color w:val="000000"/>
        </w:rPr>
        <w:t>Heresbach</w:t>
      </w:r>
      <w:proofErr w:type="spellEnd"/>
      <w:r w:rsidRPr="005633D1">
        <w:rPr>
          <w:rFonts w:ascii="Book Antiqua" w:eastAsia="Book Antiqua" w:hAnsi="Book Antiqua" w:cs="Book Antiqua"/>
          <w:color w:val="000000"/>
        </w:rPr>
        <w:t xml:space="preserve"> D. Systematic review: oral bowel preparation for colonoscopy. </w:t>
      </w:r>
      <w:r w:rsidRPr="005633D1">
        <w:rPr>
          <w:rFonts w:ascii="Book Antiqua" w:eastAsia="Book Antiqua" w:hAnsi="Book Antiqua" w:cs="Book Antiqua"/>
          <w:i/>
          <w:iCs/>
          <w:color w:val="000000"/>
        </w:rPr>
        <w:t xml:space="preserve">Aliment </w:t>
      </w:r>
      <w:proofErr w:type="spellStart"/>
      <w:r w:rsidRPr="005633D1">
        <w:rPr>
          <w:rFonts w:ascii="Book Antiqua" w:eastAsia="Book Antiqua" w:hAnsi="Book Antiqua" w:cs="Book Antiqua"/>
          <w:i/>
          <w:iCs/>
          <w:color w:val="000000"/>
        </w:rPr>
        <w:t>Pharmacol</w:t>
      </w:r>
      <w:proofErr w:type="spellEnd"/>
      <w:r w:rsidRPr="005633D1">
        <w:rPr>
          <w:rFonts w:ascii="Book Antiqua" w:eastAsia="Book Antiqua" w:hAnsi="Book Antiqua" w:cs="Book Antiqua"/>
          <w:i/>
          <w:iCs/>
          <w:color w:val="000000"/>
        </w:rPr>
        <w:t xml:space="preserve"> </w:t>
      </w:r>
      <w:proofErr w:type="spellStart"/>
      <w:r w:rsidRPr="005633D1">
        <w:rPr>
          <w:rFonts w:ascii="Book Antiqua" w:eastAsia="Book Antiqua" w:hAnsi="Book Antiqua" w:cs="Book Antiqua"/>
          <w:i/>
          <w:iCs/>
          <w:color w:val="000000"/>
        </w:rPr>
        <w:t>Ther</w:t>
      </w:r>
      <w:proofErr w:type="spellEnd"/>
      <w:r w:rsidRPr="005633D1">
        <w:rPr>
          <w:rFonts w:ascii="Book Antiqua" w:eastAsia="Book Antiqua" w:hAnsi="Book Antiqua" w:cs="Book Antiqua"/>
          <w:color w:val="000000"/>
        </w:rPr>
        <w:t xml:space="preserve"> 2007; </w:t>
      </w:r>
      <w:r w:rsidRPr="005633D1">
        <w:rPr>
          <w:rFonts w:ascii="Book Antiqua" w:eastAsia="Book Antiqua" w:hAnsi="Book Antiqua" w:cs="Book Antiqua"/>
          <w:b/>
          <w:bCs/>
          <w:color w:val="000000"/>
        </w:rPr>
        <w:t>25</w:t>
      </w:r>
      <w:r w:rsidRPr="005633D1">
        <w:rPr>
          <w:rFonts w:ascii="Book Antiqua" w:eastAsia="Book Antiqua" w:hAnsi="Book Antiqua" w:cs="Book Antiqua"/>
          <w:color w:val="000000"/>
        </w:rPr>
        <w:t>: 373-3</w:t>
      </w:r>
      <w:r w:rsidRPr="00BE2B81">
        <w:rPr>
          <w:rFonts w:ascii="Book Antiqua" w:eastAsia="Book Antiqua" w:hAnsi="Book Antiqua" w:cs="Book Antiqua"/>
          <w:color w:val="000000"/>
        </w:rPr>
        <w:t>84 [PMID: 17269992 DOI: 10.1111/j.1365-2036.2006.03212.x]</w:t>
      </w:r>
    </w:p>
    <w:p w14:paraId="3BA24732"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25 </w:t>
      </w:r>
      <w:proofErr w:type="spellStart"/>
      <w:r w:rsidRPr="00BE2B81">
        <w:rPr>
          <w:rFonts w:ascii="Book Antiqua" w:eastAsia="Book Antiqua" w:hAnsi="Book Antiqua" w:cs="Book Antiqua"/>
          <w:b/>
          <w:bCs/>
          <w:color w:val="000000"/>
        </w:rPr>
        <w:t>Denters</w:t>
      </w:r>
      <w:proofErr w:type="spellEnd"/>
      <w:r w:rsidRPr="00BE2B81">
        <w:rPr>
          <w:rFonts w:ascii="Book Antiqua" w:eastAsia="Book Antiqua" w:hAnsi="Book Antiqua" w:cs="Book Antiqua"/>
          <w:b/>
          <w:bCs/>
          <w:color w:val="000000"/>
        </w:rPr>
        <w:t xml:space="preserve"> MJ</w:t>
      </w:r>
      <w:r w:rsidRPr="00BE2B81">
        <w:rPr>
          <w:rFonts w:ascii="Book Antiqua" w:eastAsia="Book Antiqua" w:hAnsi="Book Antiqua" w:cs="Book Antiqua"/>
          <w:color w:val="000000"/>
        </w:rPr>
        <w:t xml:space="preserve">, </w:t>
      </w:r>
      <w:proofErr w:type="spellStart"/>
      <w:r w:rsidRPr="00BE2B81">
        <w:rPr>
          <w:rFonts w:ascii="Book Antiqua" w:eastAsia="Book Antiqua" w:hAnsi="Book Antiqua" w:cs="Book Antiqua"/>
          <w:color w:val="000000"/>
        </w:rPr>
        <w:t>Schreuder</w:t>
      </w:r>
      <w:proofErr w:type="spellEnd"/>
      <w:r w:rsidRPr="00BE2B81">
        <w:rPr>
          <w:rFonts w:ascii="Book Antiqua" w:eastAsia="Book Antiqua" w:hAnsi="Book Antiqua" w:cs="Book Antiqua"/>
          <w:color w:val="000000"/>
        </w:rPr>
        <w:t xml:space="preserve"> M, </w:t>
      </w:r>
      <w:proofErr w:type="spellStart"/>
      <w:r w:rsidRPr="00BE2B81">
        <w:rPr>
          <w:rFonts w:ascii="Book Antiqua" w:eastAsia="Book Antiqua" w:hAnsi="Book Antiqua" w:cs="Book Antiqua"/>
          <w:color w:val="000000"/>
        </w:rPr>
        <w:t>Depla</w:t>
      </w:r>
      <w:proofErr w:type="spellEnd"/>
      <w:r w:rsidRPr="00BE2B81">
        <w:rPr>
          <w:rFonts w:ascii="Book Antiqua" w:eastAsia="Book Antiqua" w:hAnsi="Book Antiqua" w:cs="Book Antiqua"/>
          <w:color w:val="000000"/>
        </w:rPr>
        <w:t xml:space="preserve"> AC, </w:t>
      </w:r>
      <w:proofErr w:type="spellStart"/>
      <w:r w:rsidRPr="00BE2B81">
        <w:rPr>
          <w:rFonts w:ascii="Book Antiqua" w:eastAsia="Book Antiqua" w:hAnsi="Book Antiqua" w:cs="Book Antiqua"/>
          <w:color w:val="000000"/>
        </w:rPr>
        <w:t>Mallant-Hent</w:t>
      </w:r>
      <w:proofErr w:type="spellEnd"/>
      <w:r w:rsidRPr="00BE2B81">
        <w:rPr>
          <w:rFonts w:ascii="Book Antiqua" w:eastAsia="Book Antiqua" w:hAnsi="Book Antiqua" w:cs="Book Antiqua"/>
          <w:color w:val="000000"/>
        </w:rPr>
        <w:t xml:space="preserve"> RC, van </w:t>
      </w:r>
      <w:proofErr w:type="spellStart"/>
      <w:r w:rsidRPr="00BE2B81">
        <w:rPr>
          <w:rFonts w:ascii="Book Antiqua" w:eastAsia="Book Antiqua" w:hAnsi="Book Antiqua" w:cs="Book Antiqua"/>
          <w:color w:val="000000"/>
        </w:rPr>
        <w:t>Kouwen</w:t>
      </w:r>
      <w:proofErr w:type="spellEnd"/>
      <w:r w:rsidRPr="00BE2B81">
        <w:rPr>
          <w:rFonts w:ascii="Book Antiqua" w:eastAsia="Book Antiqua" w:hAnsi="Book Antiqua" w:cs="Book Antiqua"/>
          <w:color w:val="000000"/>
        </w:rPr>
        <w:t xml:space="preserve"> MC, </w:t>
      </w:r>
      <w:proofErr w:type="spellStart"/>
      <w:r w:rsidRPr="00BE2B81">
        <w:rPr>
          <w:rFonts w:ascii="Book Antiqua" w:eastAsia="Book Antiqua" w:hAnsi="Book Antiqua" w:cs="Book Antiqua"/>
          <w:color w:val="000000"/>
        </w:rPr>
        <w:t>Deutekom</w:t>
      </w:r>
      <w:proofErr w:type="spellEnd"/>
      <w:r w:rsidRPr="00BE2B81">
        <w:rPr>
          <w:rFonts w:ascii="Book Antiqua" w:eastAsia="Book Antiqua" w:hAnsi="Book Antiqua" w:cs="Book Antiqua"/>
          <w:color w:val="000000"/>
        </w:rPr>
        <w:t xml:space="preserve"> M, </w:t>
      </w:r>
      <w:proofErr w:type="spellStart"/>
      <w:r w:rsidRPr="00BE2B81">
        <w:rPr>
          <w:rFonts w:ascii="Book Antiqua" w:eastAsia="Book Antiqua" w:hAnsi="Book Antiqua" w:cs="Book Antiqua"/>
          <w:color w:val="000000"/>
        </w:rPr>
        <w:t>Bossuyt</w:t>
      </w:r>
      <w:proofErr w:type="spellEnd"/>
      <w:r w:rsidRPr="00BE2B81">
        <w:rPr>
          <w:rFonts w:ascii="Book Antiqua" w:eastAsia="Book Antiqua" w:hAnsi="Book Antiqua" w:cs="Book Antiqua"/>
          <w:color w:val="000000"/>
        </w:rPr>
        <w:t xml:space="preserve"> PM, </w:t>
      </w:r>
      <w:proofErr w:type="spellStart"/>
      <w:r w:rsidRPr="00BE2B81">
        <w:rPr>
          <w:rFonts w:ascii="Book Antiqua" w:eastAsia="Book Antiqua" w:hAnsi="Book Antiqua" w:cs="Book Antiqua"/>
          <w:color w:val="000000"/>
        </w:rPr>
        <w:t>Fockens</w:t>
      </w:r>
      <w:proofErr w:type="spellEnd"/>
      <w:r w:rsidRPr="00BE2B81">
        <w:rPr>
          <w:rFonts w:ascii="Book Antiqua" w:eastAsia="Book Antiqua" w:hAnsi="Book Antiqua" w:cs="Book Antiqua"/>
          <w:color w:val="000000"/>
        </w:rPr>
        <w:t xml:space="preserve"> P, Dekker E. Patients' perception of colonoscopy: patients with inflammatory bowel disease and irritable bowel syndrome experience the largest burden. </w:t>
      </w:r>
      <w:r w:rsidRPr="00BE2B81">
        <w:rPr>
          <w:rFonts w:ascii="Book Antiqua" w:eastAsia="Book Antiqua" w:hAnsi="Book Antiqua" w:cs="Book Antiqua"/>
          <w:i/>
          <w:iCs/>
          <w:color w:val="000000"/>
        </w:rPr>
        <w:t>Eur J Gastroenterol Hepatol</w:t>
      </w:r>
      <w:r w:rsidRPr="00BE2B81">
        <w:rPr>
          <w:rFonts w:ascii="Book Antiqua" w:eastAsia="Book Antiqua" w:hAnsi="Book Antiqua" w:cs="Book Antiqua"/>
          <w:color w:val="000000"/>
        </w:rPr>
        <w:t xml:space="preserve"> 2013; </w:t>
      </w:r>
      <w:r w:rsidRPr="00BE2B81">
        <w:rPr>
          <w:rFonts w:ascii="Book Antiqua" w:eastAsia="Book Antiqua" w:hAnsi="Book Antiqua" w:cs="Book Antiqua"/>
          <w:b/>
          <w:bCs/>
          <w:color w:val="000000"/>
        </w:rPr>
        <w:t>25</w:t>
      </w:r>
      <w:r w:rsidRPr="00BE2B81">
        <w:rPr>
          <w:rFonts w:ascii="Book Antiqua" w:eastAsia="Book Antiqua" w:hAnsi="Book Antiqua" w:cs="Book Antiqua"/>
          <w:color w:val="000000"/>
        </w:rPr>
        <w:t>: 964-972 [PMID: 23660935 DOI: 10.1097/MEG.0b013e328361dcd3]</w:t>
      </w:r>
    </w:p>
    <w:p w14:paraId="5B921238"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26 </w:t>
      </w:r>
      <w:proofErr w:type="spellStart"/>
      <w:r w:rsidRPr="00BE2B81">
        <w:rPr>
          <w:rFonts w:ascii="Book Antiqua" w:eastAsia="Book Antiqua" w:hAnsi="Book Antiqua" w:cs="Book Antiqua"/>
          <w:b/>
          <w:bCs/>
          <w:color w:val="000000"/>
        </w:rPr>
        <w:t>Bessissow</w:t>
      </w:r>
      <w:proofErr w:type="spellEnd"/>
      <w:r w:rsidRPr="00BE2B81">
        <w:rPr>
          <w:rFonts w:ascii="Book Antiqua" w:eastAsia="Book Antiqua" w:hAnsi="Book Antiqua" w:cs="Book Antiqua"/>
          <w:b/>
          <w:bCs/>
          <w:color w:val="000000"/>
        </w:rPr>
        <w:t xml:space="preserve"> T</w:t>
      </w:r>
      <w:r w:rsidRPr="00BE2B81">
        <w:rPr>
          <w:rFonts w:ascii="Book Antiqua" w:eastAsia="Book Antiqua" w:hAnsi="Book Antiqua" w:cs="Book Antiqua"/>
          <w:color w:val="000000"/>
        </w:rPr>
        <w:t xml:space="preserve">, Van </w:t>
      </w:r>
      <w:proofErr w:type="spellStart"/>
      <w:r w:rsidRPr="00BE2B81">
        <w:rPr>
          <w:rFonts w:ascii="Book Antiqua" w:eastAsia="Book Antiqua" w:hAnsi="Book Antiqua" w:cs="Book Antiqua"/>
          <w:color w:val="000000"/>
        </w:rPr>
        <w:t>Keerberghen</w:t>
      </w:r>
      <w:proofErr w:type="spellEnd"/>
      <w:r w:rsidRPr="00BE2B81">
        <w:rPr>
          <w:rFonts w:ascii="Book Antiqua" w:eastAsia="Book Antiqua" w:hAnsi="Book Antiqua" w:cs="Book Antiqua"/>
          <w:color w:val="000000"/>
        </w:rPr>
        <w:t xml:space="preserve"> CA, Van </w:t>
      </w:r>
      <w:proofErr w:type="spellStart"/>
      <w:r w:rsidRPr="00BE2B81">
        <w:rPr>
          <w:rFonts w:ascii="Book Antiqua" w:eastAsia="Book Antiqua" w:hAnsi="Book Antiqua" w:cs="Book Antiqua"/>
          <w:color w:val="000000"/>
        </w:rPr>
        <w:t>Oudenhove</w:t>
      </w:r>
      <w:proofErr w:type="spellEnd"/>
      <w:r w:rsidRPr="00BE2B81">
        <w:rPr>
          <w:rFonts w:ascii="Book Antiqua" w:eastAsia="Book Antiqua" w:hAnsi="Book Antiqua" w:cs="Book Antiqua"/>
          <w:color w:val="000000"/>
        </w:rPr>
        <w:t xml:space="preserve"> L, </w:t>
      </w:r>
      <w:proofErr w:type="spellStart"/>
      <w:r w:rsidRPr="00BE2B81">
        <w:rPr>
          <w:rFonts w:ascii="Book Antiqua" w:eastAsia="Book Antiqua" w:hAnsi="Book Antiqua" w:cs="Book Antiqua"/>
          <w:color w:val="000000"/>
        </w:rPr>
        <w:t>Ferrante</w:t>
      </w:r>
      <w:proofErr w:type="spellEnd"/>
      <w:r w:rsidRPr="00BE2B81">
        <w:rPr>
          <w:rFonts w:ascii="Book Antiqua" w:eastAsia="Book Antiqua" w:hAnsi="Book Antiqua" w:cs="Book Antiqua"/>
          <w:color w:val="000000"/>
        </w:rPr>
        <w:t xml:space="preserve"> M, </w:t>
      </w:r>
      <w:proofErr w:type="spellStart"/>
      <w:r w:rsidRPr="00BE2B81">
        <w:rPr>
          <w:rFonts w:ascii="Book Antiqua" w:eastAsia="Book Antiqua" w:hAnsi="Book Antiqua" w:cs="Book Antiqua"/>
          <w:color w:val="000000"/>
        </w:rPr>
        <w:t>Vermeire</w:t>
      </w:r>
      <w:proofErr w:type="spellEnd"/>
      <w:r w:rsidRPr="00BE2B81">
        <w:rPr>
          <w:rFonts w:ascii="Book Antiqua" w:eastAsia="Book Antiqua" w:hAnsi="Book Antiqua" w:cs="Book Antiqua"/>
          <w:color w:val="000000"/>
        </w:rPr>
        <w:t xml:space="preserve"> S, </w:t>
      </w:r>
      <w:proofErr w:type="spellStart"/>
      <w:r w:rsidRPr="00BE2B81">
        <w:rPr>
          <w:rFonts w:ascii="Book Antiqua" w:eastAsia="Book Antiqua" w:hAnsi="Book Antiqua" w:cs="Book Antiqua"/>
          <w:color w:val="000000"/>
        </w:rPr>
        <w:t>Rutgeerts</w:t>
      </w:r>
      <w:proofErr w:type="spellEnd"/>
      <w:r w:rsidRPr="00BE2B81">
        <w:rPr>
          <w:rFonts w:ascii="Book Antiqua" w:eastAsia="Book Antiqua" w:hAnsi="Book Antiqua" w:cs="Book Antiqua"/>
          <w:color w:val="000000"/>
        </w:rPr>
        <w:t xml:space="preserve"> P, Van </w:t>
      </w:r>
      <w:proofErr w:type="spellStart"/>
      <w:r w:rsidRPr="00BE2B81">
        <w:rPr>
          <w:rFonts w:ascii="Book Antiqua" w:eastAsia="Book Antiqua" w:hAnsi="Book Antiqua" w:cs="Book Antiqua"/>
          <w:color w:val="000000"/>
        </w:rPr>
        <w:t>Assche</w:t>
      </w:r>
      <w:proofErr w:type="spellEnd"/>
      <w:r w:rsidRPr="00BE2B81">
        <w:rPr>
          <w:rFonts w:ascii="Book Antiqua" w:eastAsia="Book Antiqua" w:hAnsi="Book Antiqua" w:cs="Book Antiqua"/>
          <w:color w:val="000000"/>
        </w:rPr>
        <w:t xml:space="preserve"> G. Anxiety is associated with impaired tolerance of </w:t>
      </w:r>
      <w:r w:rsidRPr="00BE2B81">
        <w:rPr>
          <w:rFonts w:ascii="Book Antiqua" w:eastAsia="Book Antiqua" w:hAnsi="Book Antiqua" w:cs="Book Antiqua"/>
          <w:color w:val="000000"/>
        </w:rPr>
        <w:lastRenderedPageBreak/>
        <w:t xml:space="preserve">colonoscopy preparation in inflammatory bowel disease and controls. </w:t>
      </w:r>
      <w:r w:rsidRPr="00BE2B81">
        <w:rPr>
          <w:rFonts w:ascii="Book Antiqua" w:eastAsia="Book Antiqua" w:hAnsi="Book Antiqua" w:cs="Book Antiqua"/>
          <w:i/>
          <w:iCs/>
          <w:color w:val="000000"/>
        </w:rPr>
        <w:t xml:space="preserve">J </w:t>
      </w:r>
      <w:proofErr w:type="spellStart"/>
      <w:r w:rsidRPr="00BE2B81">
        <w:rPr>
          <w:rFonts w:ascii="Book Antiqua" w:eastAsia="Book Antiqua" w:hAnsi="Book Antiqua" w:cs="Book Antiqua"/>
          <w:i/>
          <w:iCs/>
          <w:color w:val="000000"/>
        </w:rPr>
        <w:t>Crohns</w:t>
      </w:r>
      <w:proofErr w:type="spellEnd"/>
      <w:r w:rsidRPr="00BE2B81">
        <w:rPr>
          <w:rFonts w:ascii="Book Antiqua" w:eastAsia="Book Antiqua" w:hAnsi="Book Antiqua" w:cs="Book Antiqua"/>
          <w:i/>
          <w:iCs/>
          <w:color w:val="000000"/>
        </w:rPr>
        <w:t xml:space="preserve"> Colitis</w:t>
      </w:r>
      <w:r w:rsidRPr="00BE2B81">
        <w:rPr>
          <w:rFonts w:ascii="Book Antiqua" w:eastAsia="Book Antiqua" w:hAnsi="Book Antiqua" w:cs="Book Antiqua"/>
          <w:color w:val="000000"/>
        </w:rPr>
        <w:t xml:space="preserve"> 2013; </w:t>
      </w:r>
      <w:r w:rsidRPr="00BE2B81">
        <w:rPr>
          <w:rFonts w:ascii="Book Antiqua" w:eastAsia="Book Antiqua" w:hAnsi="Book Antiqua" w:cs="Book Antiqua"/>
          <w:b/>
          <w:bCs/>
          <w:color w:val="000000"/>
        </w:rPr>
        <w:t>7</w:t>
      </w:r>
      <w:r w:rsidRPr="00BE2B81">
        <w:rPr>
          <w:rFonts w:ascii="Book Antiqua" w:eastAsia="Book Antiqua" w:hAnsi="Book Antiqua" w:cs="Book Antiqua"/>
          <w:color w:val="000000"/>
        </w:rPr>
        <w:t>: e580-e587 [PMID: 23664621 DOI: 10.1016/j.crohns.2013.04.011]</w:t>
      </w:r>
    </w:p>
    <w:p w14:paraId="0DD1D77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 xml:space="preserve">27 </w:t>
      </w:r>
      <w:r w:rsidRPr="00BE2B81">
        <w:rPr>
          <w:rFonts w:ascii="Book Antiqua" w:eastAsia="Book Antiqua" w:hAnsi="Book Antiqua" w:cs="Book Antiqua"/>
          <w:b/>
          <w:bCs/>
          <w:color w:val="000000"/>
        </w:rPr>
        <w:t>Butt J</w:t>
      </w:r>
      <w:r w:rsidRPr="00BE2B81">
        <w:rPr>
          <w:rFonts w:ascii="Book Antiqua" w:eastAsia="Book Antiqua" w:hAnsi="Book Antiqua" w:cs="Book Antiqua"/>
          <w:color w:val="000000"/>
        </w:rPr>
        <w:t xml:space="preserve">, Bunn C, Paul E, Gibson P, Brown G. The White Diet is preferred, better tolerated, and non-inferior to a clear-fluid diet for bowel preparation: A randomized controlled trial. </w:t>
      </w:r>
      <w:r w:rsidRPr="00BE2B81">
        <w:rPr>
          <w:rFonts w:ascii="Book Antiqua" w:eastAsia="Book Antiqua" w:hAnsi="Book Antiqua" w:cs="Book Antiqua"/>
          <w:i/>
          <w:iCs/>
          <w:color w:val="000000"/>
        </w:rPr>
        <w:t>J Gastroenterol Hepatol</w:t>
      </w:r>
      <w:r w:rsidRPr="00BE2B81">
        <w:rPr>
          <w:rFonts w:ascii="Book Antiqua" w:eastAsia="Book Antiqua" w:hAnsi="Book Antiqua" w:cs="Book Antiqua"/>
          <w:color w:val="000000"/>
        </w:rPr>
        <w:t xml:space="preserve"> 2016; </w:t>
      </w:r>
      <w:r w:rsidRPr="00BE2B81">
        <w:rPr>
          <w:rFonts w:ascii="Book Antiqua" w:eastAsia="Book Antiqua" w:hAnsi="Book Antiqua" w:cs="Book Antiqua"/>
          <w:b/>
          <w:bCs/>
          <w:color w:val="000000"/>
        </w:rPr>
        <w:t>31</w:t>
      </w:r>
      <w:r w:rsidRPr="00BE2B81">
        <w:rPr>
          <w:rFonts w:ascii="Book Antiqua" w:eastAsia="Book Antiqua" w:hAnsi="Book Antiqua" w:cs="Book Antiqua"/>
          <w:color w:val="000000"/>
        </w:rPr>
        <w:t>: 355-363 [PMID: 26250786 DOI: 10.1111/jgh.13078]</w:t>
      </w:r>
    </w:p>
    <w:bookmarkEnd w:id="69"/>
    <w:p w14:paraId="4643EA5D" w14:textId="77777777" w:rsidR="00A77B3E" w:rsidRPr="00BE2B81" w:rsidRDefault="00A77B3E" w:rsidP="00BE2B81">
      <w:pPr>
        <w:snapToGrid w:val="0"/>
        <w:spacing w:line="360" w:lineRule="auto"/>
        <w:jc w:val="both"/>
        <w:rPr>
          <w:rFonts w:ascii="Book Antiqua" w:hAnsi="Book Antiqua"/>
        </w:rPr>
        <w:sectPr w:rsidR="00A77B3E" w:rsidRPr="00BE2B81" w:rsidSect="00A44321">
          <w:pgSz w:w="12240" w:h="15840"/>
          <w:pgMar w:top="1440" w:right="1800" w:bottom="1440" w:left="1800" w:header="720" w:footer="720" w:gutter="0"/>
          <w:cols w:space="720"/>
          <w:docGrid w:linePitch="360"/>
        </w:sectPr>
      </w:pPr>
    </w:p>
    <w:p w14:paraId="3682CE79"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lastRenderedPageBreak/>
        <w:t>Footnotes</w:t>
      </w:r>
    </w:p>
    <w:p w14:paraId="5337C5E2" w14:textId="2E8C3092"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Institutional review board statement: </w:t>
      </w:r>
      <w:bookmarkStart w:id="76" w:name="OLE_LINK80"/>
      <w:bookmarkStart w:id="77" w:name="OLE_LINK81"/>
      <w:r w:rsidRPr="00BE2B81">
        <w:rPr>
          <w:rFonts w:ascii="Book Antiqua" w:eastAsia="Book Antiqua" w:hAnsi="Book Antiqua" w:cs="Book Antiqua"/>
          <w:color w:val="000000"/>
        </w:rPr>
        <w:t>Approval was obtained from the Institutional Human Ethics and Research Office (reference HREC/12/LPOOL/108).</w:t>
      </w:r>
    </w:p>
    <w:bookmarkEnd w:id="76"/>
    <w:bookmarkEnd w:id="77"/>
    <w:p w14:paraId="1DAF4559" w14:textId="77777777" w:rsidR="00A77B3E" w:rsidRPr="00BE2B81" w:rsidRDefault="00A77B3E" w:rsidP="00BE2B81">
      <w:pPr>
        <w:snapToGrid w:val="0"/>
        <w:spacing w:line="360" w:lineRule="auto"/>
        <w:jc w:val="both"/>
        <w:rPr>
          <w:rFonts w:ascii="Book Antiqua" w:hAnsi="Book Antiqua"/>
        </w:rPr>
      </w:pPr>
    </w:p>
    <w:p w14:paraId="70AF8433" w14:textId="24E000E5" w:rsidR="00E60E9D" w:rsidRPr="00853B85" w:rsidRDefault="00E60E9D" w:rsidP="00BE2B81">
      <w:pPr>
        <w:snapToGrid w:val="0"/>
        <w:spacing w:line="360" w:lineRule="auto"/>
        <w:jc w:val="both"/>
        <w:rPr>
          <w:rFonts w:ascii="Book Antiqua" w:hAnsi="Book Antiqua"/>
          <w:bCs/>
          <w:iCs/>
          <w:color w:val="000000" w:themeColor="text1"/>
        </w:rPr>
      </w:pPr>
      <w:r w:rsidRPr="00BE2B81">
        <w:rPr>
          <w:rFonts w:ascii="Book Antiqua" w:hAnsi="Book Antiqua"/>
          <w:b/>
          <w:color w:val="000000" w:themeColor="text1"/>
        </w:rPr>
        <w:t>Clinical trial registration statement</w:t>
      </w:r>
      <w:r w:rsidRPr="00BE2B81">
        <w:rPr>
          <w:rFonts w:ascii="Book Antiqua" w:hAnsi="Book Antiqua"/>
          <w:b/>
          <w:bCs/>
          <w:iCs/>
          <w:color w:val="000000" w:themeColor="text1"/>
        </w:rPr>
        <w:t>:</w:t>
      </w:r>
      <w:r w:rsidR="00853B85">
        <w:rPr>
          <w:rFonts w:ascii="Book Antiqua" w:hAnsi="Book Antiqua"/>
          <w:b/>
          <w:bCs/>
          <w:iCs/>
          <w:color w:val="000000" w:themeColor="text1"/>
        </w:rPr>
        <w:t xml:space="preserve"> </w:t>
      </w:r>
      <w:r w:rsidR="00853B85" w:rsidRPr="00853B85">
        <w:rPr>
          <w:rFonts w:ascii="Book Antiqua" w:hAnsi="Book Antiqua"/>
          <w:bCs/>
          <w:iCs/>
          <w:color w:val="000000" w:themeColor="text1"/>
        </w:rPr>
        <w:t xml:space="preserve">There was no </w:t>
      </w:r>
      <w:r w:rsidR="00853B85" w:rsidRPr="00853B85">
        <w:rPr>
          <w:rFonts w:ascii="Book Antiqua" w:hAnsi="Book Antiqua"/>
          <w:color w:val="000000" w:themeColor="text1"/>
        </w:rPr>
        <w:t>clinical trial registration</w:t>
      </w:r>
      <w:r w:rsidR="00853B85" w:rsidRPr="00853B85">
        <w:rPr>
          <w:rFonts w:ascii="Book Antiqua" w:hAnsi="Book Antiqua"/>
          <w:bCs/>
          <w:iCs/>
          <w:color w:val="000000" w:themeColor="text1"/>
        </w:rPr>
        <w:t xml:space="preserve"> for this study.</w:t>
      </w:r>
    </w:p>
    <w:p w14:paraId="16A94DC1" w14:textId="77777777" w:rsidR="00E60E9D" w:rsidRPr="00BE2B81" w:rsidRDefault="00E60E9D" w:rsidP="00BE2B81">
      <w:pPr>
        <w:snapToGrid w:val="0"/>
        <w:spacing w:line="360" w:lineRule="auto"/>
        <w:jc w:val="both"/>
        <w:rPr>
          <w:rFonts w:ascii="Book Antiqua" w:hAnsi="Book Antiqua"/>
          <w:b/>
          <w:bCs/>
          <w:iCs/>
          <w:color w:val="000000"/>
        </w:rPr>
      </w:pPr>
    </w:p>
    <w:p w14:paraId="07E37205" w14:textId="56518D0D" w:rsidR="00E60E9D" w:rsidRPr="00BE2B81" w:rsidRDefault="00E60E9D" w:rsidP="00BE2B81">
      <w:pPr>
        <w:snapToGrid w:val="0"/>
        <w:spacing w:line="360" w:lineRule="auto"/>
        <w:jc w:val="both"/>
        <w:rPr>
          <w:rFonts w:ascii="Book Antiqua" w:hAnsi="Book Antiqua"/>
          <w:b/>
          <w:bCs/>
          <w:iCs/>
          <w:color w:val="000000" w:themeColor="text1"/>
        </w:rPr>
      </w:pPr>
      <w:r w:rsidRPr="00BE2B81">
        <w:rPr>
          <w:rFonts w:ascii="Book Antiqua" w:hAnsi="Book Antiqua"/>
          <w:b/>
          <w:bCs/>
          <w:iCs/>
          <w:color w:val="000000"/>
        </w:rPr>
        <w:t>Informed consent statement</w:t>
      </w:r>
      <w:r w:rsidRPr="00BE2B81">
        <w:rPr>
          <w:rFonts w:ascii="Book Antiqua" w:hAnsi="Book Antiqua"/>
          <w:b/>
          <w:bCs/>
          <w:iCs/>
          <w:color w:val="000000" w:themeColor="text1"/>
        </w:rPr>
        <w:t xml:space="preserve">: </w:t>
      </w:r>
      <w:r w:rsidR="00370E8E" w:rsidRPr="00370E8E">
        <w:rPr>
          <w:rFonts w:ascii="Book Antiqua" w:eastAsia="Book Antiqua" w:hAnsi="Book Antiqua" w:cs="Book Antiqua"/>
          <w:color w:val="000000"/>
        </w:rPr>
        <w:t>Informed consent form was not required for this study as this was a prospective sin</w:t>
      </w:r>
      <w:r w:rsidR="00370E8E">
        <w:rPr>
          <w:rFonts w:ascii="Book Antiqua" w:eastAsia="Book Antiqua" w:hAnsi="Book Antiqua" w:cs="Book Antiqua"/>
          <w:color w:val="000000"/>
        </w:rPr>
        <w:t xml:space="preserve">gle blinded single </w:t>
      </w:r>
      <w:proofErr w:type="spellStart"/>
      <w:r w:rsidR="00370E8E">
        <w:rPr>
          <w:rFonts w:ascii="Book Antiqua" w:eastAsia="Book Antiqua" w:hAnsi="Book Antiqua" w:cs="Book Antiqua"/>
          <w:color w:val="000000"/>
        </w:rPr>
        <w:t>centre</w:t>
      </w:r>
      <w:proofErr w:type="spellEnd"/>
      <w:r w:rsidR="00370E8E">
        <w:rPr>
          <w:rFonts w:ascii="Book Antiqua" w:eastAsia="Book Antiqua" w:hAnsi="Book Antiqua" w:cs="Book Antiqua"/>
          <w:color w:val="000000"/>
        </w:rPr>
        <w:t xml:space="preserve"> study</w:t>
      </w:r>
      <w:r w:rsidR="00370E8E" w:rsidRPr="00BE2B81">
        <w:rPr>
          <w:rFonts w:ascii="Book Antiqua" w:eastAsia="Book Antiqua" w:hAnsi="Book Antiqua" w:cs="Book Antiqua"/>
          <w:color w:val="000000"/>
        </w:rPr>
        <w:t>.</w:t>
      </w:r>
    </w:p>
    <w:p w14:paraId="7818A7CC" w14:textId="77777777" w:rsidR="00E60E9D" w:rsidRPr="00BE2B81" w:rsidRDefault="00E60E9D" w:rsidP="00BE2B81">
      <w:pPr>
        <w:snapToGrid w:val="0"/>
        <w:spacing w:line="360" w:lineRule="auto"/>
        <w:jc w:val="both"/>
        <w:rPr>
          <w:rFonts w:ascii="Book Antiqua" w:hAnsi="Book Antiqua"/>
        </w:rPr>
      </w:pPr>
    </w:p>
    <w:p w14:paraId="68041D6E"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Conflict-of-interest statement: </w:t>
      </w:r>
      <w:bookmarkStart w:id="78" w:name="OLE_LINK82"/>
      <w:bookmarkStart w:id="79" w:name="OLE_LINK83"/>
      <w:r w:rsidRPr="00BE2B81">
        <w:rPr>
          <w:rFonts w:ascii="Book Antiqua" w:eastAsia="Book Antiqua" w:hAnsi="Book Antiqua" w:cs="Book Antiqua"/>
          <w:color w:val="000000"/>
        </w:rPr>
        <w:t>All of the authors have no conflict of interest to disclose. We did not receive commercial or government funding for this article.</w:t>
      </w:r>
    </w:p>
    <w:bookmarkEnd w:id="78"/>
    <w:bookmarkEnd w:id="79"/>
    <w:p w14:paraId="00E9E459" w14:textId="77777777" w:rsidR="00A77B3E" w:rsidRPr="00BE2B81" w:rsidRDefault="00A77B3E" w:rsidP="00BE2B81">
      <w:pPr>
        <w:snapToGrid w:val="0"/>
        <w:spacing w:line="360" w:lineRule="auto"/>
        <w:jc w:val="both"/>
        <w:rPr>
          <w:rFonts w:ascii="Book Antiqua" w:hAnsi="Book Antiqua"/>
        </w:rPr>
      </w:pPr>
    </w:p>
    <w:p w14:paraId="27E9E694" w14:textId="5BD9A795"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Data sharing statement: </w:t>
      </w:r>
      <w:bookmarkStart w:id="80" w:name="OLE_LINK84"/>
      <w:bookmarkStart w:id="81" w:name="OLE_LINK85"/>
      <w:r w:rsidRPr="00BE2B81">
        <w:rPr>
          <w:rFonts w:ascii="Book Antiqua" w:eastAsia="Book Antiqua" w:hAnsi="Book Antiqua" w:cs="Book Antiqua"/>
          <w:color w:val="000000"/>
        </w:rPr>
        <w:t>All data included in this study is deidentified.</w:t>
      </w:r>
    </w:p>
    <w:bookmarkEnd w:id="80"/>
    <w:bookmarkEnd w:id="81"/>
    <w:p w14:paraId="533F70BE" w14:textId="77777777" w:rsidR="00A77B3E" w:rsidRPr="00BE2B81" w:rsidRDefault="00A77B3E" w:rsidP="00BE2B81">
      <w:pPr>
        <w:snapToGrid w:val="0"/>
        <w:spacing w:line="360" w:lineRule="auto"/>
        <w:jc w:val="both"/>
        <w:rPr>
          <w:rFonts w:ascii="Book Antiqua" w:hAnsi="Book Antiqua"/>
        </w:rPr>
      </w:pPr>
    </w:p>
    <w:p w14:paraId="45D24FD6" w14:textId="19EDA321" w:rsidR="00E60E9D" w:rsidRPr="00BE2B81" w:rsidRDefault="00E60E9D" w:rsidP="00BE2B81">
      <w:pPr>
        <w:snapToGrid w:val="0"/>
        <w:spacing w:line="360" w:lineRule="auto"/>
        <w:jc w:val="both"/>
        <w:rPr>
          <w:rFonts w:ascii="Book Antiqua" w:hAnsi="Book Antiqua"/>
        </w:rPr>
      </w:pPr>
      <w:r w:rsidRPr="00BE2B81">
        <w:rPr>
          <w:rFonts w:ascii="Book Antiqua" w:hAnsi="Book Antiqua"/>
          <w:b/>
        </w:rPr>
        <w:t xml:space="preserve">CONSORT 2010 statement: </w:t>
      </w:r>
      <w:r w:rsidRPr="00BE2B81">
        <w:rPr>
          <w:rFonts w:ascii="Book Antiqua" w:hAnsi="Book Antiqua"/>
        </w:rPr>
        <w:t>The authors have read the CONSORT 2010 statement of items, and the manuscript was prepared and revised according to the CONSORT 2010 statement of items.</w:t>
      </w:r>
    </w:p>
    <w:p w14:paraId="58801C80" w14:textId="77777777" w:rsidR="00E60E9D" w:rsidRPr="00BE2B81" w:rsidRDefault="00E60E9D" w:rsidP="00BE2B81">
      <w:pPr>
        <w:snapToGrid w:val="0"/>
        <w:spacing w:line="360" w:lineRule="auto"/>
        <w:jc w:val="both"/>
        <w:rPr>
          <w:rFonts w:ascii="Book Antiqua" w:hAnsi="Book Antiqua"/>
        </w:rPr>
      </w:pPr>
    </w:p>
    <w:p w14:paraId="43D4F81C"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 xml:space="preserve">Open-Access: </w:t>
      </w:r>
      <w:r w:rsidRPr="00BE2B8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2B81">
        <w:rPr>
          <w:rFonts w:ascii="Book Antiqua" w:eastAsia="Book Antiqua" w:hAnsi="Book Antiqua" w:cs="Book Antiqua"/>
          <w:color w:val="000000"/>
        </w:rPr>
        <w:t>NonCommercial</w:t>
      </w:r>
      <w:proofErr w:type="spellEnd"/>
      <w:r w:rsidRPr="00BE2B8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3F2C7A" w14:textId="77777777" w:rsidR="00A77B3E" w:rsidRPr="00BE2B81" w:rsidRDefault="00A77B3E" w:rsidP="00BE2B81">
      <w:pPr>
        <w:snapToGrid w:val="0"/>
        <w:spacing w:line="360" w:lineRule="auto"/>
        <w:jc w:val="both"/>
        <w:rPr>
          <w:rFonts w:ascii="Book Antiqua" w:hAnsi="Book Antiqua"/>
        </w:rPr>
      </w:pPr>
    </w:p>
    <w:p w14:paraId="7E9A2A25" w14:textId="726C8DE3" w:rsidR="00A77B3E" w:rsidRPr="00BE2B81" w:rsidRDefault="005B2BA9" w:rsidP="00BE2B81">
      <w:pPr>
        <w:snapToGrid w:val="0"/>
        <w:spacing w:line="360" w:lineRule="auto"/>
        <w:jc w:val="both"/>
        <w:rPr>
          <w:rFonts w:ascii="Book Antiqua" w:eastAsia="Book Antiqua" w:hAnsi="Book Antiqua" w:cs="Book Antiqua"/>
          <w:color w:val="000000"/>
        </w:rPr>
      </w:pPr>
      <w:r w:rsidRPr="00BE2B81">
        <w:rPr>
          <w:rFonts w:ascii="Book Antiqua" w:eastAsia="Book Antiqua" w:hAnsi="Book Antiqua" w:cs="Book Antiqua"/>
          <w:b/>
          <w:color w:val="000000"/>
        </w:rPr>
        <w:t xml:space="preserve">Manuscript source: </w:t>
      </w:r>
      <w:r w:rsidRPr="00BE2B81">
        <w:rPr>
          <w:rFonts w:ascii="Book Antiqua" w:eastAsia="Book Antiqua" w:hAnsi="Book Antiqua" w:cs="Book Antiqua"/>
          <w:color w:val="000000"/>
        </w:rPr>
        <w:t xml:space="preserve">Unsolicited </w:t>
      </w:r>
      <w:r w:rsidR="00914F86" w:rsidRPr="00BE2B81">
        <w:rPr>
          <w:rFonts w:ascii="Book Antiqua" w:eastAsia="Book Antiqua" w:hAnsi="Book Antiqua" w:cs="Book Antiqua"/>
          <w:color w:val="000000"/>
        </w:rPr>
        <w:t>manuscript</w:t>
      </w:r>
    </w:p>
    <w:p w14:paraId="3EB3AEB9" w14:textId="77777777" w:rsidR="00A77B3E" w:rsidRPr="00BE2B81" w:rsidRDefault="00A77B3E" w:rsidP="00BE2B81">
      <w:pPr>
        <w:snapToGrid w:val="0"/>
        <w:spacing w:line="360" w:lineRule="auto"/>
        <w:jc w:val="both"/>
        <w:rPr>
          <w:rFonts w:ascii="Book Antiqua" w:hAnsi="Book Antiqua"/>
        </w:rPr>
      </w:pPr>
    </w:p>
    <w:p w14:paraId="0E42BAAA"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Peer-review started: </w:t>
      </w:r>
      <w:r w:rsidRPr="00BE2B81">
        <w:rPr>
          <w:rFonts w:ascii="Book Antiqua" w:eastAsia="Book Antiqua" w:hAnsi="Book Antiqua" w:cs="Book Antiqua"/>
          <w:color w:val="000000"/>
        </w:rPr>
        <w:t>November 1, 2020</w:t>
      </w:r>
    </w:p>
    <w:p w14:paraId="30FFBBDD"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First decision: </w:t>
      </w:r>
      <w:r w:rsidRPr="00BE2B81">
        <w:rPr>
          <w:rFonts w:ascii="Book Antiqua" w:eastAsia="Book Antiqua" w:hAnsi="Book Antiqua" w:cs="Book Antiqua"/>
          <w:color w:val="000000"/>
        </w:rPr>
        <w:t>November 30, 2020</w:t>
      </w:r>
    </w:p>
    <w:p w14:paraId="5DD6D849" w14:textId="3813224B"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Article in press: </w:t>
      </w:r>
      <w:r w:rsidR="00603F39" w:rsidRPr="00876782">
        <w:rPr>
          <w:rFonts w:ascii="Book Antiqua" w:eastAsia="Book Antiqua" w:hAnsi="Book Antiqua" w:cs="Book Antiqua"/>
          <w:color w:val="000000"/>
        </w:rPr>
        <w:t>March 7, 2021</w:t>
      </w:r>
    </w:p>
    <w:p w14:paraId="163461E8" w14:textId="77777777" w:rsidR="00A77B3E" w:rsidRPr="00BE2B81" w:rsidRDefault="00A77B3E" w:rsidP="00BE2B81">
      <w:pPr>
        <w:snapToGrid w:val="0"/>
        <w:spacing w:line="360" w:lineRule="auto"/>
        <w:jc w:val="both"/>
        <w:rPr>
          <w:rFonts w:ascii="Book Antiqua" w:hAnsi="Book Antiqua"/>
        </w:rPr>
      </w:pPr>
    </w:p>
    <w:p w14:paraId="729CBEA5" w14:textId="64A9E4B6"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Specialty type: </w:t>
      </w:r>
      <w:r w:rsidRPr="00BE2B81">
        <w:rPr>
          <w:rFonts w:ascii="Book Antiqua" w:eastAsia="Book Antiqua" w:hAnsi="Book Antiqua" w:cs="Book Antiqua"/>
          <w:color w:val="000000"/>
        </w:rPr>
        <w:t xml:space="preserve">Gastroenterology and </w:t>
      </w:r>
      <w:r w:rsidR="002D60D8" w:rsidRPr="00BE2B81">
        <w:rPr>
          <w:rFonts w:ascii="Book Antiqua" w:eastAsia="Book Antiqua" w:hAnsi="Book Antiqua" w:cs="Book Antiqua"/>
          <w:color w:val="000000"/>
        </w:rPr>
        <w:t>hepatology</w:t>
      </w:r>
    </w:p>
    <w:p w14:paraId="024AB715"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 xml:space="preserve">Country/Territory of origin: </w:t>
      </w:r>
      <w:r w:rsidRPr="00BE2B81">
        <w:rPr>
          <w:rFonts w:ascii="Book Antiqua" w:eastAsia="Book Antiqua" w:hAnsi="Book Antiqua" w:cs="Book Antiqua"/>
          <w:color w:val="000000"/>
        </w:rPr>
        <w:t>Australia</w:t>
      </w:r>
    </w:p>
    <w:p w14:paraId="075E4CEA"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color w:val="000000"/>
        </w:rPr>
        <w:t>Peer-review report’s scientific quality classification</w:t>
      </w:r>
    </w:p>
    <w:p w14:paraId="47B96DE6"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A (Excellent): 0</w:t>
      </w:r>
    </w:p>
    <w:p w14:paraId="2FB9E690"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B (Very good): 0</w:t>
      </w:r>
    </w:p>
    <w:p w14:paraId="09CF00F3"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C (Good): C</w:t>
      </w:r>
    </w:p>
    <w:p w14:paraId="65642D90"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D (Fair): 0</w:t>
      </w:r>
    </w:p>
    <w:p w14:paraId="4F34CB7F" w14:textId="77777777"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color w:val="000000"/>
        </w:rPr>
        <w:t>Grade E (Poor): 0</w:t>
      </w:r>
    </w:p>
    <w:p w14:paraId="376FAD57" w14:textId="77777777" w:rsidR="00A77B3E" w:rsidRPr="00BE2B81" w:rsidRDefault="00A77B3E" w:rsidP="00BE2B81">
      <w:pPr>
        <w:snapToGrid w:val="0"/>
        <w:spacing w:line="360" w:lineRule="auto"/>
        <w:jc w:val="both"/>
        <w:rPr>
          <w:rFonts w:ascii="Book Antiqua" w:hAnsi="Book Antiqua"/>
        </w:rPr>
      </w:pPr>
    </w:p>
    <w:p w14:paraId="5259B327" w14:textId="16F1B0D2" w:rsidR="00A77B3E" w:rsidRPr="00BE2B81" w:rsidRDefault="005B2BA9" w:rsidP="00BE2B81">
      <w:pPr>
        <w:snapToGrid w:val="0"/>
        <w:spacing w:line="360" w:lineRule="auto"/>
        <w:jc w:val="both"/>
        <w:rPr>
          <w:rFonts w:ascii="Book Antiqua" w:eastAsia="Book Antiqua" w:hAnsi="Book Antiqua" w:cs="Book Antiqua"/>
          <w:b/>
          <w:color w:val="000000"/>
        </w:rPr>
      </w:pPr>
      <w:r w:rsidRPr="00BE2B81">
        <w:rPr>
          <w:rFonts w:ascii="Book Antiqua" w:eastAsia="Book Antiqua" w:hAnsi="Book Antiqua" w:cs="Book Antiqua"/>
          <w:b/>
          <w:color w:val="000000"/>
        </w:rPr>
        <w:t xml:space="preserve">P-Reviewer: </w:t>
      </w:r>
      <w:r w:rsidRPr="00BE2B81">
        <w:rPr>
          <w:rFonts w:ascii="Book Antiqua" w:eastAsia="Book Antiqua" w:hAnsi="Book Antiqua" w:cs="Book Antiqua"/>
          <w:color w:val="000000"/>
        </w:rPr>
        <w:t>Sha WH</w:t>
      </w:r>
      <w:r w:rsidRPr="00BE2B81">
        <w:rPr>
          <w:rFonts w:ascii="Book Antiqua" w:eastAsia="Book Antiqua" w:hAnsi="Book Antiqua" w:cs="Book Antiqua"/>
          <w:b/>
          <w:color w:val="000000"/>
        </w:rPr>
        <w:t xml:space="preserve"> S-Editor: </w:t>
      </w:r>
      <w:r w:rsidRPr="00BE2B81">
        <w:rPr>
          <w:rFonts w:ascii="Book Antiqua" w:eastAsia="Book Antiqua" w:hAnsi="Book Antiqua" w:cs="Book Antiqua"/>
          <w:color w:val="000000"/>
        </w:rPr>
        <w:t>Zhang L</w:t>
      </w:r>
      <w:r w:rsidRPr="00BE2B81">
        <w:rPr>
          <w:rFonts w:ascii="Book Antiqua" w:eastAsia="Book Antiqua" w:hAnsi="Book Antiqua" w:cs="Book Antiqua"/>
          <w:b/>
          <w:color w:val="000000"/>
        </w:rPr>
        <w:t xml:space="preserve"> L-Editor:</w:t>
      </w:r>
      <w:r w:rsidR="00603F39">
        <w:rPr>
          <w:rFonts w:ascii="Book Antiqua" w:hAnsi="Book Antiqua" w:cs="Book Antiqua" w:hint="eastAsia"/>
          <w:b/>
          <w:color w:val="000000"/>
          <w:lang w:eastAsia="zh-CN"/>
        </w:rPr>
        <w:t xml:space="preserve"> </w:t>
      </w:r>
      <w:proofErr w:type="gramStart"/>
      <w:r w:rsidR="00603F39">
        <w:rPr>
          <w:rFonts w:ascii="Book Antiqua" w:hAnsi="Book Antiqua" w:cs="Book Antiqua" w:hint="eastAsia"/>
          <w:b/>
          <w:color w:val="000000"/>
          <w:lang w:eastAsia="zh-CN"/>
        </w:rPr>
        <w:t xml:space="preserve">A </w:t>
      </w:r>
      <w:r w:rsidR="0009554E" w:rsidRPr="00BE2B81">
        <w:rPr>
          <w:rFonts w:ascii="Book Antiqua" w:eastAsia="Book Antiqua" w:hAnsi="Book Antiqua" w:cs="Book Antiqua"/>
          <w:b/>
          <w:color w:val="000000"/>
        </w:rPr>
        <w:t xml:space="preserve"> </w:t>
      </w:r>
      <w:r w:rsidRPr="00BE2B81">
        <w:rPr>
          <w:rFonts w:ascii="Book Antiqua" w:eastAsia="Book Antiqua" w:hAnsi="Book Antiqua" w:cs="Book Antiqua"/>
          <w:b/>
          <w:color w:val="000000"/>
        </w:rPr>
        <w:t>P</w:t>
      </w:r>
      <w:proofErr w:type="gramEnd"/>
      <w:r w:rsidRPr="00BE2B81">
        <w:rPr>
          <w:rFonts w:ascii="Book Antiqua" w:eastAsia="Book Antiqua" w:hAnsi="Book Antiqua" w:cs="Book Antiqua"/>
          <w:b/>
          <w:color w:val="000000"/>
        </w:rPr>
        <w:t>-Editor:</w:t>
      </w:r>
      <w:r w:rsidR="00603F39">
        <w:rPr>
          <w:rFonts w:ascii="Book Antiqua" w:hAnsi="Book Antiqua" w:cs="Book Antiqua" w:hint="eastAsia"/>
          <w:b/>
          <w:color w:val="000000"/>
          <w:lang w:eastAsia="zh-CN"/>
        </w:rPr>
        <w:t xml:space="preserve"> </w:t>
      </w:r>
      <w:r w:rsidR="00603F39" w:rsidRPr="00603F39">
        <w:rPr>
          <w:rFonts w:ascii="Book Antiqua" w:hAnsi="Book Antiqua" w:cs="Book Antiqua" w:hint="eastAsia"/>
          <w:color w:val="000000"/>
          <w:lang w:eastAsia="zh-CN"/>
        </w:rPr>
        <w:t>Ma YJ</w:t>
      </w:r>
      <w:r w:rsidRPr="00BE2B81">
        <w:rPr>
          <w:rFonts w:ascii="Book Antiqua" w:eastAsia="Book Antiqua" w:hAnsi="Book Antiqua" w:cs="Book Antiqua"/>
          <w:b/>
          <w:color w:val="000000"/>
        </w:rPr>
        <w:t xml:space="preserve"> </w:t>
      </w:r>
    </w:p>
    <w:p w14:paraId="64B8099C" w14:textId="77777777" w:rsidR="002D60D8" w:rsidRPr="00BE2B81" w:rsidRDefault="002D60D8" w:rsidP="00BE2B81">
      <w:pPr>
        <w:snapToGrid w:val="0"/>
        <w:spacing w:line="360" w:lineRule="auto"/>
        <w:jc w:val="both"/>
        <w:rPr>
          <w:rFonts w:ascii="Book Antiqua" w:hAnsi="Book Antiqua"/>
        </w:rPr>
        <w:sectPr w:rsidR="002D60D8" w:rsidRPr="00BE2B81" w:rsidSect="00A44321">
          <w:pgSz w:w="12240" w:h="15840"/>
          <w:pgMar w:top="1440" w:right="1800" w:bottom="1440" w:left="1800" w:header="720" w:footer="720" w:gutter="0"/>
          <w:cols w:space="720"/>
          <w:docGrid w:linePitch="360"/>
        </w:sectPr>
      </w:pPr>
    </w:p>
    <w:p w14:paraId="563AC31F" w14:textId="4B8B4B5C" w:rsidR="00A77B3E" w:rsidRPr="00BE2B81" w:rsidRDefault="005B2BA9" w:rsidP="00BE2B81">
      <w:pPr>
        <w:snapToGrid w:val="0"/>
        <w:spacing w:line="360" w:lineRule="auto"/>
        <w:jc w:val="both"/>
        <w:rPr>
          <w:rFonts w:ascii="Book Antiqua" w:eastAsia="Book Antiqua" w:hAnsi="Book Antiqua" w:cs="Book Antiqua"/>
          <w:b/>
          <w:color w:val="000000"/>
        </w:rPr>
      </w:pPr>
      <w:r w:rsidRPr="00BE2B81">
        <w:rPr>
          <w:rFonts w:ascii="Book Antiqua" w:eastAsia="Book Antiqua" w:hAnsi="Book Antiqua" w:cs="Book Antiqua"/>
          <w:b/>
          <w:color w:val="000000"/>
        </w:rPr>
        <w:lastRenderedPageBreak/>
        <w:t>Figure Legends</w:t>
      </w:r>
    </w:p>
    <w:p w14:paraId="39D6D4C6" w14:textId="24E113DF" w:rsidR="00E87B6F" w:rsidRPr="00BE2B81" w:rsidRDefault="005F25A8" w:rsidP="00BE2B81">
      <w:pPr>
        <w:snapToGrid w:val="0"/>
        <w:spacing w:line="360" w:lineRule="auto"/>
        <w:jc w:val="both"/>
        <w:rPr>
          <w:rFonts w:ascii="Book Antiqua" w:eastAsia="Book Antiqua" w:hAnsi="Book Antiqua" w:cs="Book Antiqua"/>
          <w:b/>
          <w:color w:val="000000"/>
        </w:rPr>
      </w:pPr>
      <w:r w:rsidRPr="00BE2B81">
        <w:rPr>
          <w:rFonts w:ascii="Book Antiqua" w:eastAsia="Book Antiqua" w:hAnsi="Book Antiqua" w:cs="Book Antiqua"/>
          <w:b/>
          <w:noProof/>
          <w:color w:val="000000"/>
          <w:lang w:eastAsia="zh-CN"/>
        </w:rPr>
        <w:drawing>
          <wp:inline distT="0" distB="0" distL="0" distR="0" wp14:anchorId="69C41273" wp14:editId="27A2B41B">
            <wp:extent cx="5054022" cy="273734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extLst>
                        <a:ext uri="{28A0092B-C50C-407E-A947-70E740481C1C}">
                          <a14:useLocalDpi xmlns:a14="http://schemas.microsoft.com/office/drawing/2010/main" val="0"/>
                        </a:ext>
                      </a:extLst>
                    </a:blip>
                    <a:stretch>
                      <a:fillRect/>
                    </a:stretch>
                  </pic:blipFill>
                  <pic:spPr>
                    <a:xfrm>
                      <a:off x="0" y="0"/>
                      <a:ext cx="5054022" cy="2737341"/>
                    </a:xfrm>
                    <a:prstGeom prst="rect">
                      <a:avLst/>
                    </a:prstGeom>
                  </pic:spPr>
                </pic:pic>
              </a:graphicData>
            </a:graphic>
          </wp:inline>
        </w:drawing>
      </w:r>
    </w:p>
    <w:p w14:paraId="1952C58E" w14:textId="0EF86787" w:rsidR="00AB3A6F" w:rsidRPr="00BE2B81" w:rsidRDefault="00E87B6F" w:rsidP="00BE2B81">
      <w:pPr>
        <w:snapToGrid w:val="0"/>
        <w:spacing w:line="360" w:lineRule="auto"/>
        <w:jc w:val="both"/>
        <w:rPr>
          <w:rFonts w:ascii="Book Antiqua" w:hAnsi="Book Antiqua"/>
        </w:rPr>
      </w:pPr>
      <w:bookmarkStart w:id="82" w:name="OLE_LINK86"/>
      <w:bookmarkStart w:id="83" w:name="OLE_LINK87"/>
      <w:r w:rsidRPr="00BE2B81">
        <w:rPr>
          <w:rFonts w:ascii="Book Antiqua" w:hAnsi="Book Antiqua"/>
          <w:b/>
          <w:bCs/>
        </w:rPr>
        <w:t>Figure 1 Randomization of bowel preparation.</w:t>
      </w:r>
      <w:r w:rsidR="00F7000B" w:rsidRPr="00BE2B81">
        <w:rPr>
          <w:rFonts w:ascii="Book Antiqua" w:hAnsi="Book Antiqua"/>
        </w:rPr>
        <w:t xml:space="preserve"> a: Number of patients who completed tolerability questionnaire;</w:t>
      </w:r>
      <w:r w:rsidR="00F7000B" w:rsidRPr="00BE2B81">
        <w:rPr>
          <w:rFonts w:ascii="Book Antiqua" w:hAnsi="Book Antiqua"/>
          <w:lang w:eastAsia="zh-CN"/>
        </w:rPr>
        <w:t xml:space="preserve"> </w:t>
      </w:r>
      <w:r w:rsidR="00F7000B" w:rsidRPr="00BE2B81">
        <w:rPr>
          <w:rFonts w:ascii="Book Antiqua" w:hAnsi="Book Antiqua"/>
        </w:rPr>
        <w:t xml:space="preserve">b: Number of patients with validated Ottawa Bowel Preparation Scores; </w:t>
      </w:r>
      <w:proofErr w:type="spellStart"/>
      <w:r w:rsidR="00F7000B" w:rsidRPr="00BE2B81">
        <w:rPr>
          <w:rFonts w:ascii="Book Antiqua" w:hAnsi="Book Antiqua"/>
        </w:rPr>
        <w:t>Mp</w:t>
      </w:r>
      <w:proofErr w:type="spellEnd"/>
      <w:r w:rsidR="00F7000B" w:rsidRPr="00BE2B81">
        <w:rPr>
          <w:rFonts w:ascii="Book Antiqua" w:hAnsi="Book Antiqua"/>
        </w:rPr>
        <w:t xml:space="preserve">: </w:t>
      </w:r>
      <w:proofErr w:type="spellStart"/>
      <w:r w:rsidR="00F7000B" w:rsidRPr="00BE2B81">
        <w:rPr>
          <w:rFonts w:ascii="Book Antiqua" w:hAnsi="Book Antiqua"/>
        </w:rPr>
        <w:t>Moviprep</w:t>
      </w:r>
      <w:proofErr w:type="spellEnd"/>
      <w:r w:rsidR="00F7000B" w:rsidRPr="00BE2B81">
        <w:rPr>
          <w:rFonts w:ascii="Book Antiqua" w:hAnsi="Book Antiqua"/>
        </w:rPr>
        <w:t xml:space="preserve">; Pc: </w:t>
      </w:r>
      <w:r w:rsidR="002A2273" w:rsidRPr="00BE2B81">
        <w:rPr>
          <w:rFonts w:ascii="Book Antiqua" w:hAnsi="Book Antiqua"/>
        </w:rPr>
        <w:t>Prep Kit-C</w:t>
      </w:r>
      <w:r w:rsidR="00F7000B" w:rsidRPr="00BE2B81">
        <w:rPr>
          <w:rFonts w:ascii="Book Antiqua" w:hAnsi="Book Antiqua"/>
        </w:rPr>
        <w:t xml:space="preserve">; </w:t>
      </w:r>
      <w:bookmarkStart w:id="84" w:name="_Hlk64832614"/>
      <w:r w:rsidR="00F7000B" w:rsidRPr="00BE2B81">
        <w:rPr>
          <w:rFonts w:ascii="Book Antiqua" w:hAnsi="Book Antiqua"/>
        </w:rPr>
        <w:t xml:space="preserve">IBD: </w:t>
      </w:r>
      <w:r w:rsidR="002A2273" w:rsidRPr="00BE2B81">
        <w:rPr>
          <w:rFonts w:ascii="Book Antiqua" w:hAnsi="Book Antiqua"/>
        </w:rPr>
        <w:t>Inflammatory bowel disease</w:t>
      </w:r>
      <w:r w:rsidR="00F7000B" w:rsidRPr="00BE2B81">
        <w:rPr>
          <w:rFonts w:ascii="Book Antiqua" w:hAnsi="Book Antiqua"/>
        </w:rPr>
        <w:t>.</w:t>
      </w:r>
      <w:bookmarkEnd w:id="84"/>
    </w:p>
    <w:bookmarkEnd w:id="82"/>
    <w:bookmarkEnd w:id="83"/>
    <w:p w14:paraId="7225969A" w14:textId="0984DADD" w:rsidR="00AB3A6F" w:rsidRPr="00BE2B81" w:rsidRDefault="00AB3A6F"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br w:type="page"/>
      </w:r>
      <w:r w:rsidR="005F25A8" w:rsidRPr="00BE2B81">
        <w:rPr>
          <w:rFonts w:ascii="Book Antiqua" w:eastAsia="Book Antiqua" w:hAnsi="Book Antiqua" w:cs="Book Antiqua"/>
          <w:b/>
          <w:bCs/>
          <w:noProof/>
          <w:color w:val="000000"/>
          <w:lang w:eastAsia="zh-CN"/>
        </w:rPr>
        <w:lastRenderedPageBreak/>
        <w:drawing>
          <wp:inline distT="0" distB="0" distL="0" distR="0" wp14:anchorId="48CCFDFE" wp14:editId="2CE386CC">
            <wp:extent cx="5486400" cy="35496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549650"/>
                    </a:xfrm>
                    <a:prstGeom prst="rect">
                      <a:avLst/>
                    </a:prstGeom>
                  </pic:spPr>
                </pic:pic>
              </a:graphicData>
            </a:graphic>
          </wp:inline>
        </w:drawing>
      </w:r>
    </w:p>
    <w:p w14:paraId="275C61F1" w14:textId="30C18E75"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Fig</w:t>
      </w:r>
      <w:r w:rsidR="00914F86" w:rsidRPr="00BE2B81">
        <w:rPr>
          <w:rFonts w:ascii="Book Antiqua" w:eastAsia="Book Antiqua" w:hAnsi="Book Antiqua" w:cs="Book Antiqua"/>
          <w:b/>
          <w:bCs/>
          <w:color w:val="000000"/>
        </w:rPr>
        <w:t>ure</w:t>
      </w:r>
      <w:r w:rsidRPr="00BE2B81">
        <w:rPr>
          <w:rFonts w:ascii="Book Antiqua" w:eastAsia="Book Antiqua" w:hAnsi="Book Antiqua" w:cs="Book Antiqua"/>
          <w:b/>
          <w:bCs/>
          <w:color w:val="000000"/>
        </w:rPr>
        <w:t xml:space="preserve"> 2</w:t>
      </w:r>
      <w:r w:rsidR="00AB3A6F" w:rsidRPr="00BE2B81">
        <w:rPr>
          <w:rFonts w:ascii="Book Antiqua" w:eastAsia="Book Antiqua" w:hAnsi="Book Antiqua" w:cs="Book Antiqua"/>
          <w:b/>
          <w:bCs/>
          <w:color w:val="000000"/>
        </w:rPr>
        <w:t xml:space="preserve"> </w:t>
      </w:r>
      <w:r w:rsidRPr="00BE2B81">
        <w:rPr>
          <w:rFonts w:ascii="Book Antiqua" w:eastAsia="Book Antiqua" w:hAnsi="Book Antiqua" w:cs="Book Antiqua"/>
          <w:b/>
          <w:bCs/>
          <w:color w:val="000000"/>
        </w:rPr>
        <w:t>Total tolerability scores when comparing</w:t>
      </w:r>
      <w:r w:rsidR="00236768" w:rsidRPr="00BE2B81">
        <w:rPr>
          <w:rFonts w:ascii="Book Antiqua" w:eastAsia="Book Antiqua" w:hAnsi="Book Antiqua" w:cs="Book Antiqua"/>
          <w:b/>
          <w:bCs/>
          <w:color w:val="000000"/>
        </w:rPr>
        <w:t xml:space="preserve"> </w:t>
      </w:r>
      <w:bookmarkStart w:id="85" w:name="_Hlk64832426"/>
      <w:bookmarkStart w:id="86" w:name="OLE_LINK1"/>
      <w:bookmarkStart w:id="87" w:name="OLE_LINK2"/>
      <w:r w:rsidR="00236768" w:rsidRPr="00BE2B81">
        <w:rPr>
          <w:rFonts w:ascii="Book Antiqua" w:eastAsia="Book Antiqua" w:hAnsi="Book Antiqua" w:cs="Book Antiqua"/>
          <w:b/>
          <w:bCs/>
          <w:color w:val="000000"/>
        </w:rPr>
        <w:t>inflammatory bowel disease</w:t>
      </w:r>
      <w:bookmarkEnd w:id="85"/>
      <w:bookmarkEnd w:id="86"/>
      <w:bookmarkEnd w:id="87"/>
      <w:r w:rsidR="00236768" w:rsidRPr="00BE2B81">
        <w:rPr>
          <w:rFonts w:ascii="Book Antiqua" w:eastAsia="Book Antiqua" w:hAnsi="Book Antiqua" w:cs="Book Antiqua"/>
          <w:b/>
          <w:bCs/>
          <w:color w:val="000000"/>
        </w:rPr>
        <w:t xml:space="preserve"> and non</w:t>
      </w:r>
      <w:r w:rsidR="00146A98" w:rsidRPr="00BE2B81">
        <w:rPr>
          <w:rFonts w:ascii="Book Antiqua" w:eastAsia="Book Antiqua" w:hAnsi="Book Antiqua" w:cs="Book Antiqua"/>
          <w:b/>
          <w:bCs/>
          <w:color w:val="000000"/>
        </w:rPr>
        <w:t>-</w:t>
      </w:r>
      <w:r w:rsidR="00236768" w:rsidRPr="00BE2B81">
        <w:rPr>
          <w:rFonts w:ascii="Book Antiqua" w:eastAsia="Book Antiqua" w:hAnsi="Book Antiqua" w:cs="Book Antiqua"/>
          <w:b/>
          <w:bCs/>
          <w:color w:val="000000"/>
        </w:rPr>
        <w:t>inflammatory bowel disease</w:t>
      </w:r>
      <w:r w:rsidRPr="00BE2B81">
        <w:rPr>
          <w:rFonts w:ascii="Book Antiqua" w:eastAsia="Book Antiqua" w:hAnsi="Book Antiqua" w:cs="Book Antiqua"/>
          <w:b/>
          <w:bCs/>
          <w:color w:val="000000"/>
        </w:rPr>
        <w:t xml:space="preserve"> cohorts.</w:t>
      </w:r>
      <w:r w:rsidRPr="00BE2B81">
        <w:rPr>
          <w:rFonts w:ascii="Book Antiqua" w:eastAsia="Book Antiqua" w:hAnsi="Book Antiqua" w:cs="Book Antiqua"/>
          <w:color w:val="000000"/>
        </w:rPr>
        <w:t xml:space="preserve"> </w:t>
      </w:r>
      <w:r w:rsidR="00A13025">
        <w:rPr>
          <w:rFonts w:ascii="Book Antiqua" w:eastAsia="Book Antiqua" w:hAnsi="Book Antiqua" w:cs="Book Antiqua"/>
          <w:color w:val="000000"/>
        </w:rPr>
        <w:t xml:space="preserve">Of </w:t>
      </w:r>
      <w:r w:rsidRPr="00BE2B81">
        <w:rPr>
          <w:rFonts w:ascii="Book Antiqua" w:eastAsia="Book Antiqua" w:hAnsi="Book Antiqua" w:cs="Book Antiqua"/>
          <w:color w:val="000000"/>
        </w:rPr>
        <w:t xml:space="preserve">95 </w:t>
      </w:r>
      <w:r w:rsidR="0023676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and 193 non-</w:t>
      </w:r>
      <w:r w:rsidR="00236768" w:rsidRPr="00BE2B81">
        <w:rPr>
          <w:rFonts w:ascii="Book Antiqua" w:hAnsi="Book Antiqua"/>
        </w:rPr>
        <w:t xml:space="preserve"> </w:t>
      </w:r>
      <w:r w:rsidR="0023676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participants included. Higher score indicates better tolerability where</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0</w:t>
      </w:r>
      <w:r w:rsidR="00236768"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poorly tolerated and 5 = well tolerated</w:t>
      </w:r>
      <w:r w:rsidRPr="00BE2B81">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Total score is out of 20 (0-5 for taste; 0-5 ease of ingestion; 0-5 for palatability; 0-5 for amount).</w:t>
      </w:r>
      <w:r w:rsidR="0072721A" w:rsidRPr="00BE2B81">
        <w:rPr>
          <w:rFonts w:ascii="Book Antiqua" w:hAnsi="Book Antiqua"/>
        </w:rPr>
        <w:t xml:space="preserve"> </w:t>
      </w:r>
      <w:bookmarkStart w:id="88" w:name="_Hlk64833104"/>
      <w:r w:rsidR="0072721A" w:rsidRPr="00BE2B81">
        <w:rPr>
          <w:rFonts w:ascii="Book Antiqua" w:eastAsia="Book Antiqua" w:hAnsi="Book Antiqua" w:cs="Book Antiqua"/>
          <w:color w:val="000000"/>
        </w:rPr>
        <w:t>IBD: Inflammatory bowel disease.</w:t>
      </w:r>
      <w:bookmarkEnd w:id="88"/>
    </w:p>
    <w:p w14:paraId="1E2620B0" w14:textId="77777777" w:rsidR="00A77B3E" w:rsidRPr="00BE2B81" w:rsidRDefault="00A77B3E" w:rsidP="00BE2B81">
      <w:pPr>
        <w:snapToGrid w:val="0"/>
        <w:spacing w:line="360" w:lineRule="auto"/>
        <w:jc w:val="both"/>
        <w:rPr>
          <w:rFonts w:ascii="Book Antiqua" w:hAnsi="Book Antiqua"/>
        </w:rPr>
      </w:pPr>
    </w:p>
    <w:p w14:paraId="726F7898" w14:textId="6DFC77D9" w:rsidR="00AB3A6F" w:rsidRPr="00BE2B81" w:rsidRDefault="00AB3A6F"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br w:type="page"/>
      </w:r>
      <w:r w:rsidR="00705DBE" w:rsidRPr="001C51E0">
        <w:rPr>
          <w:rFonts w:ascii="Book Antiqua" w:eastAsia="Book Antiqua" w:hAnsi="Book Antiqua" w:cs="Book Antiqua"/>
          <w:b/>
          <w:bCs/>
          <w:noProof/>
          <w:color w:val="000000"/>
          <w:lang w:eastAsia="zh-CN"/>
        </w:rPr>
        <w:lastRenderedPageBreak/>
        <mc:AlternateContent>
          <mc:Choice Requires="wps">
            <w:drawing>
              <wp:anchor distT="0" distB="0" distL="114300" distR="114300" simplePos="0" relativeHeight="251659264" behindDoc="0" locked="0" layoutInCell="1" allowOverlap="1" wp14:anchorId="098EA31E" wp14:editId="6C433CC9">
                <wp:simplePos x="0" y="0"/>
                <wp:positionH relativeFrom="column">
                  <wp:posOffset>-19050</wp:posOffset>
                </wp:positionH>
                <wp:positionV relativeFrom="paragraph">
                  <wp:posOffset>3721100</wp:posOffset>
                </wp:positionV>
                <wp:extent cx="4394200" cy="457200"/>
                <wp:effectExtent l="0" t="0" r="0" b="0"/>
                <wp:wrapNone/>
                <wp:docPr id="3" name="Rectangle 3"/>
                <wp:cNvGraphicFramePr/>
                <a:graphic xmlns:a="http://schemas.openxmlformats.org/drawingml/2006/main">
                  <a:graphicData uri="http://schemas.microsoft.com/office/word/2010/wordprocessingShape">
                    <wps:wsp>
                      <wps:cNvSpPr/>
                      <wps:spPr>
                        <a:xfrm>
                          <a:off x="0" y="0"/>
                          <a:ext cx="43942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C7626A" w14:textId="296A537F" w:rsidR="00705DBE" w:rsidRPr="001C51E0" w:rsidRDefault="00705DBE" w:rsidP="00705DBE">
                            <w:pPr>
                              <w:rPr>
                                <w:sz w:val="16"/>
                                <w:szCs w:val="16"/>
                              </w:rPr>
                            </w:pPr>
                            <w:r w:rsidRPr="001C51E0">
                              <w:rPr>
                                <w:sz w:val="16"/>
                                <w:szCs w:val="16"/>
                              </w:rPr>
                              <w:t xml:space="preserve">1= statistically significant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5pt;margin-top:293pt;width:34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" filled="f" stroked="f" strokeweight="2pt">
                <v:textbox>
                  <w:txbxContent>
                    <w:p w14:paraId="64C7626A" w14:textId="296A537F" w:rsidR="00705DBE" w:rsidRPr="001C51E0" w:rsidRDefault="00705DBE" w:rsidP="00705DBE">
                      <w:pPr>
                        <w:rPr>
                          <w:sz w:val="16"/>
                          <w:szCs w:val="16"/>
                        </w:rPr>
                      </w:pPr>
                      <w:r w:rsidRPr="001C51E0">
                        <w:rPr>
                          <w:sz w:val="16"/>
                          <w:szCs w:val="16"/>
                        </w:rPr>
                        <w:t xml:space="preserve">1= statistically significant  </w:t>
                      </w:r>
                    </w:p>
                  </w:txbxContent>
                </v:textbox>
              </v:rect>
            </w:pict>
          </mc:Fallback>
        </mc:AlternateContent>
      </w:r>
      <w:r w:rsidR="005F25A8" w:rsidRPr="00BE2B81">
        <w:rPr>
          <w:rFonts w:ascii="Book Antiqua" w:eastAsia="Book Antiqua" w:hAnsi="Book Antiqua" w:cs="Book Antiqua"/>
          <w:b/>
          <w:bCs/>
          <w:noProof/>
          <w:color w:val="000000"/>
          <w:lang w:eastAsia="zh-CN"/>
        </w:rPr>
        <w:drawing>
          <wp:inline distT="0" distB="0" distL="0" distR="0" wp14:anchorId="1FB3A653" wp14:editId="11F9724A">
            <wp:extent cx="5316173" cy="4072481"/>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1.png"/>
                    <pic:cNvPicPr/>
                  </pic:nvPicPr>
                  <pic:blipFill>
                    <a:blip r:embed="rId11">
                      <a:extLst>
                        <a:ext uri="{28A0092B-C50C-407E-A947-70E740481C1C}">
                          <a14:useLocalDpi xmlns:a14="http://schemas.microsoft.com/office/drawing/2010/main" val="0"/>
                        </a:ext>
                      </a:extLst>
                    </a:blip>
                    <a:stretch>
                      <a:fillRect/>
                    </a:stretch>
                  </pic:blipFill>
                  <pic:spPr>
                    <a:xfrm>
                      <a:off x="0" y="0"/>
                      <a:ext cx="5316173" cy="4072481"/>
                    </a:xfrm>
                    <a:prstGeom prst="rect">
                      <a:avLst/>
                    </a:prstGeom>
                  </pic:spPr>
                </pic:pic>
              </a:graphicData>
            </a:graphic>
          </wp:inline>
        </w:drawing>
      </w:r>
    </w:p>
    <w:p w14:paraId="37C0B403" w14:textId="13F1F35A" w:rsidR="00A77B3E" w:rsidRPr="00BE2B81" w:rsidRDefault="005B2BA9" w:rsidP="00BE2B81">
      <w:pPr>
        <w:snapToGrid w:val="0"/>
        <w:spacing w:line="360" w:lineRule="auto"/>
        <w:jc w:val="both"/>
        <w:rPr>
          <w:rFonts w:ascii="Book Antiqua" w:hAnsi="Book Antiqua"/>
        </w:rPr>
      </w:pPr>
      <w:r w:rsidRPr="00BE2B81">
        <w:rPr>
          <w:rFonts w:ascii="Book Antiqua" w:eastAsia="Book Antiqua" w:hAnsi="Book Antiqua" w:cs="Book Antiqua"/>
          <w:b/>
          <w:bCs/>
          <w:color w:val="000000"/>
        </w:rPr>
        <w:t>Fig</w:t>
      </w:r>
      <w:r w:rsidR="00AB3A6F" w:rsidRPr="00BE2B81">
        <w:rPr>
          <w:rFonts w:ascii="Book Antiqua" w:eastAsia="Book Antiqua" w:hAnsi="Book Antiqua" w:cs="Book Antiqua"/>
          <w:b/>
          <w:bCs/>
          <w:color w:val="000000"/>
        </w:rPr>
        <w:t>ure</w:t>
      </w:r>
      <w:r w:rsidRPr="00BE2B81">
        <w:rPr>
          <w:rFonts w:ascii="Book Antiqua" w:eastAsia="Book Antiqua" w:hAnsi="Book Antiqua" w:cs="Book Antiqua"/>
          <w:b/>
          <w:bCs/>
          <w:color w:val="000000"/>
        </w:rPr>
        <w:t xml:space="preserve"> 3</w:t>
      </w:r>
      <w:r w:rsidR="00AB3A6F" w:rsidRPr="00BE2B81">
        <w:rPr>
          <w:rFonts w:ascii="Book Antiqua" w:eastAsia="Book Antiqua" w:hAnsi="Book Antiqua" w:cs="Book Antiqua"/>
          <w:b/>
          <w:bCs/>
          <w:color w:val="000000"/>
        </w:rPr>
        <w:t xml:space="preserve"> </w:t>
      </w:r>
      <w:r w:rsidRPr="00BE2B81">
        <w:rPr>
          <w:rFonts w:ascii="Book Antiqua" w:eastAsia="Book Antiqua" w:hAnsi="Book Antiqua" w:cs="Book Antiqua"/>
          <w:b/>
          <w:bCs/>
          <w:color w:val="000000"/>
        </w:rPr>
        <w:t xml:space="preserve">Tolerability scores according to specified symptom. </w:t>
      </w:r>
      <w:r w:rsidR="00A13025" w:rsidRPr="00A13025">
        <w:rPr>
          <w:rFonts w:ascii="Book Antiqua" w:eastAsia="Book Antiqua" w:hAnsi="Book Antiqua" w:cs="Book Antiqua"/>
          <w:color w:val="000000"/>
        </w:rPr>
        <w:t>Of</w:t>
      </w:r>
      <w:r w:rsidR="00A13025">
        <w:rPr>
          <w:rFonts w:ascii="Book Antiqua" w:eastAsia="Book Antiqua" w:hAnsi="Book Antiqua" w:cs="Book Antiqua"/>
          <w:b/>
          <w:bCs/>
          <w:color w:val="000000"/>
        </w:rPr>
        <w:t xml:space="preserve"> </w:t>
      </w:r>
      <w:r w:rsidRPr="00BE2B81">
        <w:rPr>
          <w:rFonts w:ascii="Book Antiqua" w:eastAsia="Book Antiqua" w:hAnsi="Book Antiqua" w:cs="Book Antiqua"/>
          <w:color w:val="000000"/>
        </w:rPr>
        <w:t xml:space="preserve">56 </w:t>
      </w:r>
      <w:r w:rsidR="00146A9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and 93 non-</w:t>
      </w:r>
      <w:r w:rsidR="00146A98" w:rsidRPr="00BE2B81">
        <w:rPr>
          <w:rFonts w:ascii="Book Antiqua" w:eastAsia="Book Antiqua" w:hAnsi="Book Antiqua" w:cs="Book Antiqua"/>
          <w:color w:val="000000"/>
        </w:rPr>
        <w:t>inflammatory bowel disease</w:t>
      </w:r>
      <w:r w:rsidRPr="00BE2B81">
        <w:rPr>
          <w:rFonts w:ascii="Book Antiqua" w:eastAsia="Book Antiqua" w:hAnsi="Book Antiqua" w:cs="Book Antiqua"/>
          <w:color w:val="000000"/>
        </w:rPr>
        <w:t xml:space="preserve"> participants compared.</w:t>
      </w:r>
      <w:r w:rsidR="0009554E"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0</w:t>
      </w:r>
      <w:r w:rsidR="00146A98"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well tolerated and 5</w:t>
      </w:r>
      <w:r w:rsidR="00146A98" w:rsidRPr="00BE2B81">
        <w:rPr>
          <w:rFonts w:ascii="Book Antiqua" w:eastAsia="Book Antiqua" w:hAnsi="Book Antiqua" w:cs="Book Antiqua"/>
          <w:color w:val="000000"/>
        </w:rPr>
        <w:t xml:space="preserve"> </w:t>
      </w:r>
      <w:r w:rsidRPr="00BE2B81">
        <w:rPr>
          <w:rFonts w:ascii="Book Antiqua" w:eastAsia="Book Antiqua" w:hAnsi="Book Antiqua" w:cs="Book Antiqua"/>
          <w:color w:val="000000"/>
        </w:rPr>
        <w:t>= poorly tolerated. Maximum score for abdominal pain is 15 (0-5 points abdominal discomfort; 0-5 points for abdominal pain; 0-5 points for abdominal distension)</w:t>
      </w:r>
      <w:r w:rsidR="00A13025">
        <w:rPr>
          <w:rFonts w:ascii="Book Antiqua" w:eastAsia="Book Antiqua" w:hAnsi="Book Antiqua" w:cs="Book Antiqua"/>
          <w:color w:val="000000"/>
        </w:rPr>
        <w:t>.</w:t>
      </w:r>
      <w:r w:rsidRPr="00BE2B81">
        <w:rPr>
          <w:rFonts w:ascii="Book Antiqua" w:eastAsia="Book Antiqua" w:hAnsi="Book Antiqua" w:cs="Book Antiqua"/>
          <w:color w:val="000000"/>
        </w:rPr>
        <w:t xml:space="preserve"> Maximum score for nausea and vomiting is ten (0-5 points for nausea; 0-5 points for vomiting). The maximum points for dizziness or shortness of breath </w:t>
      </w:r>
      <w:r w:rsidR="00A13025">
        <w:rPr>
          <w:rFonts w:ascii="Book Antiqua" w:eastAsia="Book Antiqua" w:hAnsi="Book Antiqua" w:cs="Book Antiqua"/>
          <w:color w:val="000000"/>
        </w:rPr>
        <w:t>are</w:t>
      </w:r>
      <w:r w:rsidRPr="00BE2B81">
        <w:rPr>
          <w:rFonts w:ascii="Book Antiqua" w:eastAsia="Book Antiqua" w:hAnsi="Book Antiqua" w:cs="Book Antiqua"/>
          <w:color w:val="000000"/>
        </w:rPr>
        <w:t xml:space="preserve"> 5 points.</w:t>
      </w:r>
      <w:r w:rsidR="00844173" w:rsidRPr="00BE2B81">
        <w:rPr>
          <w:rFonts w:ascii="Book Antiqua" w:hAnsi="Book Antiqua"/>
        </w:rPr>
        <w:t xml:space="preserve"> </w:t>
      </w:r>
      <w:r w:rsidR="00844173" w:rsidRPr="00BE2B81">
        <w:rPr>
          <w:rFonts w:ascii="Book Antiqua" w:eastAsia="Book Antiqua" w:hAnsi="Book Antiqua" w:cs="Book Antiqua"/>
          <w:color w:val="000000"/>
        </w:rPr>
        <w:t>IBD: Inflammatory bowel disease.</w:t>
      </w:r>
    </w:p>
    <w:p w14:paraId="76C6BA24" w14:textId="77777777" w:rsidR="00A77B3E" w:rsidRPr="00BE2B81" w:rsidRDefault="00A77B3E" w:rsidP="00BE2B81">
      <w:pPr>
        <w:snapToGrid w:val="0"/>
        <w:spacing w:line="360" w:lineRule="auto"/>
        <w:jc w:val="both"/>
        <w:rPr>
          <w:rFonts w:ascii="Book Antiqua" w:hAnsi="Book Antiqua"/>
        </w:rPr>
      </w:pPr>
    </w:p>
    <w:p w14:paraId="22990A86" w14:textId="510CC72E" w:rsidR="00AB3A6F" w:rsidRPr="00BE2B81" w:rsidRDefault="00AB3A6F"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br w:type="page"/>
      </w:r>
      <w:r w:rsidR="005F25A8" w:rsidRPr="00BE2B81">
        <w:rPr>
          <w:rFonts w:ascii="Book Antiqua" w:eastAsia="Book Antiqua" w:hAnsi="Book Antiqua" w:cs="Book Antiqua"/>
          <w:b/>
          <w:bCs/>
          <w:noProof/>
          <w:color w:val="000000"/>
          <w:lang w:eastAsia="zh-CN"/>
        </w:rPr>
        <w:lastRenderedPageBreak/>
        <w:drawing>
          <wp:inline distT="0" distB="0" distL="0" distR="0" wp14:anchorId="72421396" wp14:editId="5E168E99">
            <wp:extent cx="5486400" cy="3117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2.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117850"/>
                    </a:xfrm>
                    <a:prstGeom prst="rect">
                      <a:avLst/>
                    </a:prstGeom>
                  </pic:spPr>
                </pic:pic>
              </a:graphicData>
            </a:graphic>
          </wp:inline>
        </w:drawing>
      </w:r>
    </w:p>
    <w:p w14:paraId="40DFFC3A" w14:textId="1D28F32A" w:rsidR="00D97893" w:rsidRPr="00BE2B81" w:rsidRDefault="005B2BA9" w:rsidP="00BE2B81">
      <w:pPr>
        <w:snapToGrid w:val="0"/>
        <w:spacing w:line="360" w:lineRule="auto"/>
        <w:jc w:val="both"/>
        <w:rPr>
          <w:rFonts w:ascii="Book Antiqua" w:eastAsia="Book Antiqua" w:hAnsi="Book Antiqua" w:cs="Book Antiqua"/>
          <w:b/>
          <w:bCs/>
          <w:color w:val="000000"/>
        </w:rPr>
      </w:pPr>
      <w:r w:rsidRPr="00BE2B81">
        <w:rPr>
          <w:rFonts w:ascii="Book Antiqua" w:eastAsia="Book Antiqua" w:hAnsi="Book Antiqua" w:cs="Book Antiqua"/>
          <w:b/>
          <w:bCs/>
          <w:color w:val="000000"/>
        </w:rPr>
        <w:t>Fig</w:t>
      </w:r>
      <w:r w:rsidR="00AB3A6F" w:rsidRPr="00BE2B81">
        <w:rPr>
          <w:rFonts w:ascii="Book Antiqua" w:eastAsia="Book Antiqua" w:hAnsi="Book Antiqua" w:cs="Book Antiqua"/>
          <w:b/>
          <w:bCs/>
          <w:color w:val="000000"/>
        </w:rPr>
        <w:t>ure</w:t>
      </w:r>
      <w:r w:rsidRPr="00BE2B81">
        <w:rPr>
          <w:rFonts w:ascii="Book Antiqua" w:eastAsia="Book Antiqua" w:hAnsi="Book Antiqua" w:cs="Book Antiqua"/>
          <w:b/>
          <w:bCs/>
          <w:color w:val="000000"/>
        </w:rPr>
        <w:t xml:space="preserve"> 4</w:t>
      </w:r>
      <w:r w:rsidR="00AB3A6F" w:rsidRPr="00BE2B81">
        <w:rPr>
          <w:rFonts w:ascii="Book Antiqua" w:eastAsia="Book Antiqua" w:hAnsi="Book Antiqua" w:cs="Book Antiqua"/>
          <w:b/>
          <w:bCs/>
          <w:color w:val="000000"/>
        </w:rPr>
        <w:t xml:space="preserve"> </w:t>
      </w:r>
      <w:r w:rsidRPr="00BE2B81">
        <w:rPr>
          <w:rFonts w:ascii="Book Antiqua" w:eastAsia="Book Antiqua" w:hAnsi="Book Antiqua" w:cs="Book Antiqua"/>
          <w:b/>
          <w:color w:val="000000"/>
        </w:rPr>
        <w:t>Changes in electrolyte levels (</w:t>
      </w:r>
      <w:r w:rsidRPr="00BE2B81">
        <w:rPr>
          <w:rFonts w:ascii="Book Antiqua" w:eastAsia="Book Antiqua" w:hAnsi="Book Antiqua" w:cs="Book Antiqua"/>
          <w:b/>
          <w:i/>
          <w:iCs/>
          <w:color w:val="000000"/>
        </w:rPr>
        <w:t>n</w:t>
      </w:r>
      <w:r w:rsidRPr="00BE2B81">
        <w:rPr>
          <w:rFonts w:ascii="Book Antiqua" w:eastAsia="Book Antiqua" w:hAnsi="Book Antiqua" w:cs="Book Antiqua"/>
          <w:b/>
          <w:color w:val="000000"/>
        </w:rPr>
        <w:t xml:space="preserve"> = 256) measured in mmol/L. </w:t>
      </w:r>
      <w:r w:rsidRPr="00A13025">
        <w:rPr>
          <w:rFonts w:ascii="Book Antiqua" w:eastAsia="Book Antiqua" w:hAnsi="Book Antiqua" w:cs="Book Antiqua"/>
          <w:bCs/>
          <w:color w:val="000000"/>
        </w:rPr>
        <w:t>Levels compared between one week prior to procedure and day of the procedure.</w:t>
      </w:r>
    </w:p>
    <w:p w14:paraId="69C81676" w14:textId="77777777" w:rsidR="00D97893" w:rsidRPr="00BE2B81" w:rsidRDefault="00D97893" w:rsidP="00BE2B81">
      <w:pPr>
        <w:snapToGrid w:val="0"/>
        <w:spacing w:line="360" w:lineRule="auto"/>
        <w:jc w:val="both"/>
        <w:rPr>
          <w:rFonts w:ascii="Book Antiqua" w:hAnsi="Book Antiqua" w:cs="Arial"/>
          <w:b/>
          <w:color w:val="FF0000"/>
        </w:rPr>
      </w:pPr>
      <w:r w:rsidRPr="00BE2B81">
        <w:rPr>
          <w:rFonts w:ascii="Book Antiqua" w:eastAsia="Book Antiqua" w:hAnsi="Book Antiqua" w:cs="Book Antiqua"/>
          <w:b/>
          <w:bCs/>
          <w:color w:val="000000"/>
        </w:rPr>
        <w:br w:type="page"/>
      </w:r>
      <w:r w:rsidRPr="00BE2B81">
        <w:rPr>
          <w:rFonts w:ascii="Book Antiqua" w:hAnsi="Book Antiqua" w:cs="Arial"/>
          <w:b/>
        </w:rPr>
        <w:lastRenderedPageBreak/>
        <w:t>Table 1 Baseline characteristics</w:t>
      </w:r>
    </w:p>
    <w:tbl>
      <w:tblPr>
        <w:tblStyle w:val="a3"/>
        <w:tblW w:w="92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276"/>
        <w:gridCol w:w="992"/>
        <w:gridCol w:w="851"/>
        <w:gridCol w:w="1276"/>
        <w:gridCol w:w="1196"/>
        <w:gridCol w:w="930"/>
        <w:gridCol w:w="916"/>
      </w:tblGrid>
      <w:tr w:rsidR="00D97893" w:rsidRPr="00BE2B81" w14:paraId="1B0D5964" w14:textId="77777777" w:rsidTr="00CD4421">
        <w:tc>
          <w:tcPr>
            <w:tcW w:w="1809" w:type="dxa"/>
            <w:tcBorders>
              <w:top w:val="single" w:sz="4" w:space="0" w:color="auto"/>
              <w:bottom w:val="single" w:sz="4" w:space="0" w:color="auto"/>
            </w:tcBorders>
            <w:vAlign w:val="center"/>
          </w:tcPr>
          <w:p w14:paraId="3C12AC8C" w14:textId="77777777" w:rsidR="00D97893" w:rsidRPr="00BE2B81" w:rsidRDefault="00D97893" w:rsidP="00BE2B81">
            <w:pPr>
              <w:snapToGrid w:val="0"/>
              <w:spacing w:line="360" w:lineRule="auto"/>
              <w:jc w:val="both"/>
              <w:rPr>
                <w:rFonts w:ascii="Book Antiqua" w:hAnsi="Book Antiqua" w:cs="Arial"/>
                <w:b/>
              </w:rPr>
            </w:pPr>
          </w:p>
        </w:tc>
        <w:tc>
          <w:tcPr>
            <w:tcW w:w="3119" w:type="dxa"/>
            <w:gridSpan w:val="3"/>
            <w:tcBorders>
              <w:top w:val="single" w:sz="4" w:space="0" w:color="auto"/>
              <w:bottom w:val="single" w:sz="4" w:space="0" w:color="auto"/>
            </w:tcBorders>
            <w:vAlign w:val="center"/>
          </w:tcPr>
          <w:p w14:paraId="40C5D4C6" w14:textId="59F7220A"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rPr>
              <w:t>IBD cohort</w:t>
            </w:r>
            <w:r w:rsidR="00CD4421" w:rsidRPr="00BE2B81">
              <w:rPr>
                <w:rFonts w:ascii="Book Antiqua" w:hAnsi="Book Antiqua" w:cs="Arial"/>
                <w:b/>
                <w:lang w:eastAsia="zh-CN"/>
              </w:rPr>
              <w:t xml:space="preserve"> </w:t>
            </w:r>
            <w:r w:rsidRPr="00BE2B81">
              <w:rPr>
                <w:rFonts w:ascii="Book Antiqua" w:hAnsi="Book Antiqua" w:cs="Arial"/>
                <w:b/>
              </w:rPr>
              <w:t>(</w:t>
            </w:r>
            <w:r w:rsidRPr="00BE2B81">
              <w:rPr>
                <w:rFonts w:ascii="Book Antiqua" w:hAnsi="Book Antiqua" w:cs="Arial"/>
                <w:b/>
                <w:i/>
                <w:iCs/>
              </w:rPr>
              <w:t xml:space="preserve">n </w:t>
            </w:r>
            <w:r w:rsidRPr="00BE2B81">
              <w:rPr>
                <w:rFonts w:ascii="Book Antiqua" w:hAnsi="Book Antiqua" w:cs="Arial"/>
                <w:b/>
              </w:rPr>
              <w:t>= 125)</w:t>
            </w:r>
          </w:p>
        </w:tc>
        <w:tc>
          <w:tcPr>
            <w:tcW w:w="3402" w:type="dxa"/>
            <w:gridSpan w:val="3"/>
            <w:tcBorders>
              <w:top w:val="single" w:sz="4" w:space="0" w:color="auto"/>
              <w:bottom w:val="single" w:sz="4" w:space="0" w:color="auto"/>
            </w:tcBorders>
            <w:vAlign w:val="center"/>
          </w:tcPr>
          <w:p w14:paraId="5C0FF4CF" w14:textId="0915F372"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rPr>
              <w:t>Non-IBD cohort</w:t>
            </w:r>
            <w:r w:rsidR="00CD4421" w:rsidRPr="00BE2B81">
              <w:rPr>
                <w:rFonts w:ascii="Book Antiqua" w:hAnsi="Book Antiqua" w:cs="Arial"/>
                <w:b/>
                <w:lang w:eastAsia="zh-CN"/>
              </w:rPr>
              <w:t xml:space="preserve"> </w:t>
            </w:r>
            <w:r w:rsidRPr="00BE2B81">
              <w:rPr>
                <w:rFonts w:ascii="Book Antiqua" w:hAnsi="Book Antiqua" w:cs="Arial"/>
                <w:b/>
              </w:rPr>
              <w:t>(</w:t>
            </w:r>
            <w:r w:rsidRPr="00BE2B81">
              <w:rPr>
                <w:rFonts w:ascii="Book Antiqua" w:hAnsi="Book Antiqua" w:cs="Arial"/>
                <w:b/>
                <w:i/>
                <w:iCs/>
              </w:rPr>
              <w:t>n</w:t>
            </w:r>
            <w:r w:rsidRPr="00BE2B81">
              <w:rPr>
                <w:rFonts w:ascii="Book Antiqua" w:hAnsi="Book Antiqua" w:cs="Arial"/>
                <w:b/>
              </w:rPr>
              <w:t xml:space="preserve"> = 213)</w:t>
            </w:r>
          </w:p>
        </w:tc>
        <w:tc>
          <w:tcPr>
            <w:tcW w:w="916" w:type="dxa"/>
            <w:tcBorders>
              <w:top w:val="single" w:sz="4" w:space="0" w:color="auto"/>
              <w:bottom w:val="single" w:sz="4" w:space="0" w:color="auto"/>
            </w:tcBorders>
            <w:vAlign w:val="center"/>
          </w:tcPr>
          <w:p w14:paraId="6B2F9253"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i/>
                <w:iCs/>
              </w:rPr>
              <w:t xml:space="preserve">P </w:t>
            </w:r>
            <w:r w:rsidRPr="00BE2B81">
              <w:rPr>
                <w:rFonts w:ascii="Book Antiqua" w:hAnsi="Book Antiqua" w:cs="Arial"/>
                <w:b/>
              </w:rPr>
              <w:t>value</w:t>
            </w:r>
          </w:p>
        </w:tc>
      </w:tr>
      <w:tr w:rsidR="00D97893" w:rsidRPr="00BE2B81" w14:paraId="2A68E7CA" w14:textId="77777777" w:rsidTr="00CD4421">
        <w:trPr>
          <w:trHeight w:val="311"/>
        </w:trPr>
        <w:tc>
          <w:tcPr>
            <w:tcW w:w="1809" w:type="dxa"/>
            <w:tcBorders>
              <w:top w:val="single" w:sz="4" w:space="0" w:color="auto"/>
            </w:tcBorders>
            <w:vAlign w:val="center"/>
          </w:tcPr>
          <w:p w14:paraId="6A2AFFB5" w14:textId="3E287BF0" w:rsidR="00D97893" w:rsidRPr="00BE2B81" w:rsidRDefault="001C51E0" w:rsidP="00BE2B81">
            <w:pPr>
              <w:snapToGrid w:val="0"/>
              <w:spacing w:line="360" w:lineRule="auto"/>
              <w:jc w:val="both"/>
              <w:rPr>
                <w:rFonts w:ascii="Book Antiqua" w:hAnsi="Book Antiqua" w:cs="Arial"/>
                <w:bCs/>
              </w:rPr>
            </w:pPr>
            <w:r>
              <w:rPr>
                <w:rFonts w:ascii="Book Antiqua" w:hAnsi="Book Antiqua" w:cs="Arial" w:hint="eastAsia"/>
                <w:bCs/>
                <w:lang w:eastAsia="zh-CN"/>
              </w:rPr>
              <w:t>m</w:t>
            </w:r>
            <w:r w:rsidR="00D97893" w:rsidRPr="00BE2B81">
              <w:rPr>
                <w:rFonts w:ascii="Book Antiqua" w:hAnsi="Book Antiqua" w:cs="Arial"/>
                <w:bCs/>
              </w:rPr>
              <w:t>ean age +/- SD (</w:t>
            </w:r>
            <w:proofErr w:type="spellStart"/>
            <w:r w:rsidR="00D97893" w:rsidRPr="00BE2B81">
              <w:rPr>
                <w:rFonts w:ascii="Book Antiqua" w:hAnsi="Book Antiqua" w:cs="Arial"/>
                <w:bCs/>
              </w:rPr>
              <w:t>yr</w:t>
            </w:r>
            <w:proofErr w:type="spellEnd"/>
            <w:r w:rsidR="00D97893" w:rsidRPr="00BE2B81">
              <w:rPr>
                <w:rFonts w:ascii="Book Antiqua" w:hAnsi="Book Antiqua" w:cs="Arial"/>
                <w:bCs/>
              </w:rPr>
              <w:t>)</w:t>
            </w:r>
          </w:p>
        </w:tc>
        <w:tc>
          <w:tcPr>
            <w:tcW w:w="3119" w:type="dxa"/>
            <w:gridSpan w:val="3"/>
            <w:tcBorders>
              <w:top w:val="single" w:sz="4" w:space="0" w:color="auto"/>
            </w:tcBorders>
          </w:tcPr>
          <w:p w14:paraId="0EA0AD4E"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40.3 ± 14.7</w:t>
            </w:r>
          </w:p>
        </w:tc>
        <w:tc>
          <w:tcPr>
            <w:tcW w:w="3402" w:type="dxa"/>
            <w:gridSpan w:val="3"/>
            <w:tcBorders>
              <w:top w:val="single" w:sz="4" w:space="0" w:color="auto"/>
            </w:tcBorders>
          </w:tcPr>
          <w:p w14:paraId="4525480D"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50.3 ± 13.4</w:t>
            </w:r>
          </w:p>
        </w:tc>
        <w:tc>
          <w:tcPr>
            <w:tcW w:w="916" w:type="dxa"/>
            <w:tcBorders>
              <w:top w:val="single" w:sz="4" w:space="0" w:color="auto"/>
            </w:tcBorders>
          </w:tcPr>
          <w:p w14:paraId="4249F5D6" w14:textId="2DF71639"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0.65</w:t>
            </w:r>
          </w:p>
        </w:tc>
      </w:tr>
      <w:tr w:rsidR="00D97893" w:rsidRPr="00BE2B81" w14:paraId="00063302" w14:textId="77777777" w:rsidTr="00CD4421">
        <w:trPr>
          <w:trHeight w:val="297"/>
        </w:trPr>
        <w:tc>
          <w:tcPr>
            <w:tcW w:w="1809" w:type="dxa"/>
          </w:tcPr>
          <w:p w14:paraId="1590EA15" w14:textId="77777777" w:rsidR="00D97893" w:rsidRPr="00BE2B81" w:rsidRDefault="00D97893" w:rsidP="00BE2B81">
            <w:pPr>
              <w:snapToGrid w:val="0"/>
              <w:spacing w:line="360" w:lineRule="auto"/>
              <w:jc w:val="both"/>
              <w:rPr>
                <w:rFonts w:ascii="Book Antiqua" w:hAnsi="Book Antiqua" w:cs="Arial"/>
                <w:bCs/>
              </w:rPr>
            </w:pPr>
          </w:p>
        </w:tc>
        <w:tc>
          <w:tcPr>
            <w:tcW w:w="1276" w:type="dxa"/>
          </w:tcPr>
          <w:p w14:paraId="7370D5DB"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Prep Kit -C</w:t>
            </w:r>
          </w:p>
        </w:tc>
        <w:tc>
          <w:tcPr>
            <w:tcW w:w="992" w:type="dxa"/>
          </w:tcPr>
          <w:p w14:paraId="4AC93588" w14:textId="77777777" w:rsidR="00D97893" w:rsidRPr="00BE2B81" w:rsidRDefault="00D97893" w:rsidP="00BE2B81">
            <w:pPr>
              <w:snapToGrid w:val="0"/>
              <w:spacing w:line="360" w:lineRule="auto"/>
              <w:jc w:val="both"/>
              <w:rPr>
                <w:rFonts w:ascii="Book Antiqua" w:hAnsi="Book Antiqua" w:cs="Arial"/>
                <w:bCs/>
              </w:rPr>
            </w:pPr>
            <w:proofErr w:type="spellStart"/>
            <w:r w:rsidRPr="00BE2B81">
              <w:rPr>
                <w:rFonts w:ascii="Book Antiqua" w:hAnsi="Book Antiqua" w:cs="Arial"/>
                <w:bCs/>
              </w:rPr>
              <w:t>Moviprep</w:t>
            </w:r>
            <w:proofErr w:type="spellEnd"/>
          </w:p>
        </w:tc>
        <w:tc>
          <w:tcPr>
            <w:tcW w:w="851" w:type="dxa"/>
          </w:tcPr>
          <w:p w14:paraId="24178FBB"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i/>
                <w:iCs/>
              </w:rPr>
              <w:t xml:space="preserve">P </w:t>
            </w:r>
            <w:r w:rsidRPr="00BE2B81">
              <w:rPr>
                <w:rFonts w:ascii="Book Antiqua" w:hAnsi="Book Antiqua" w:cs="Arial"/>
                <w:bCs/>
              </w:rPr>
              <w:t>value</w:t>
            </w:r>
          </w:p>
        </w:tc>
        <w:tc>
          <w:tcPr>
            <w:tcW w:w="1276" w:type="dxa"/>
          </w:tcPr>
          <w:p w14:paraId="36F1ACEF"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Prep Kit -C</w:t>
            </w:r>
          </w:p>
        </w:tc>
        <w:tc>
          <w:tcPr>
            <w:tcW w:w="1196" w:type="dxa"/>
          </w:tcPr>
          <w:p w14:paraId="708428E9" w14:textId="77777777" w:rsidR="00D97893" w:rsidRPr="00BE2B81" w:rsidRDefault="00D97893" w:rsidP="00BE2B81">
            <w:pPr>
              <w:snapToGrid w:val="0"/>
              <w:spacing w:line="360" w:lineRule="auto"/>
              <w:jc w:val="both"/>
              <w:rPr>
                <w:rFonts w:ascii="Book Antiqua" w:hAnsi="Book Antiqua" w:cs="Arial"/>
                <w:bCs/>
              </w:rPr>
            </w:pPr>
            <w:proofErr w:type="spellStart"/>
            <w:r w:rsidRPr="00BE2B81">
              <w:rPr>
                <w:rFonts w:ascii="Book Antiqua" w:hAnsi="Book Antiqua" w:cs="Arial"/>
                <w:bCs/>
              </w:rPr>
              <w:t>Moviprep</w:t>
            </w:r>
            <w:proofErr w:type="spellEnd"/>
          </w:p>
        </w:tc>
        <w:tc>
          <w:tcPr>
            <w:tcW w:w="930" w:type="dxa"/>
          </w:tcPr>
          <w:p w14:paraId="1922558D" w14:textId="5197EF33"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i/>
                <w:iCs/>
              </w:rPr>
              <w:t>P</w:t>
            </w:r>
            <w:r w:rsidRPr="00BE2B81">
              <w:rPr>
                <w:rFonts w:ascii="Book Antiqua" w:hAnsi="Book Antiqua" w:cs="Arial"/>
                <w:bCs/>
              </w:rPr>
              <w:t xml:space="preserve"> </w:t>
            </w:r>
            <w:r w:rsidR="00CD4421" w:rsidRPr="00BE2B81">
              <w:rPr>
                <w:rFonts w:ascii="Book Antiqua" w:hAnsi="Book Antiqua" w:cs="Arial"/>
                <w:bCs/>
              </w:rPr>
              <w:t>value</w:t>
            </w:r>
          </w:p>
        </w:tc>
        <w:tc>
          <w:tcPr>
            <w:tcW w:w="916" w:type="dxa"/>
          </w:tcPr>
          <w:p w14:paraId="5538D312" w14:textId="77777777" w:rsidR="00D97893" w:rsidRPr="00BE2B81" w:rsidRDefault="00D97893" w:rsidP="00BE2B81">
            <w:pPr>
              <w:snapToGrid w:val="0"/>
              <w:spacing w:line="360" w:lineRule="auto"/>
              <w:jc w:val="both"/>
              <w:rPr>
                <w:rFonts w:ascii="Book Antiqua" w:hAnsi="Book Antiqua" w:cs="Arial"/>
                <w:bCs/>
              </w:rPr>
            </w:pPr>
          </w:p>
        </w:tc>
      </w:tr>
      <w:tr w:rsidR="00D97893" w:rsidRPr="00BE2B81" w14:paraId="488CD9C1" w14:textId="77777777" w:rsidTr="00CD4421">
        <w:trPr>
          <w:trHeight w:val="241"/>
        </w:trPr>
        <w:tc>
          <w:tcPr>
            <w:tcW w:w="1809" w:type="dxa"/>
            <w:vAlign w:val="center"/>
          </w:tcPr>
          <w:p w14:paraId="08DF828F" w14:textId="3089DCAA" w:rsidR="00D97893" w:rsidRPr="00BE2B81" w:rsidRDefault="001C51E0" w:rsidP="00BE2B81">
            <w:pPr>
              <w:snapToGrid w:val="0"/>
              <w:spacing w:line="360" w:lineRule="auto"/>
              <w:jc w:val="both"/>
              <w:rPr>
                <w:rFonts w:ascii="Book Antiqua" w:hAnsi="Book Antiqua" w:cs="Arial"/>
                <w:bCs/>
              </w:rPr>
            </w:pPr>
            <w:r>
              <w:rPr>
                <w:rFonts w:ascii="Book Antiqua" w:hAnsi="Book Antiqua" w:cs="Arial" w:hint="eastAsia"/>
                <w:bCs/>
                <w:lang w:eastAsia="zh-CN"/>
              </w:rPr>
              <w:t>m</w:t>
            </w:r>
            <w:r w:rsidR="00D97893" w:rsidRPr="00BE2B81">
              <w:rPr>
                <w:rFonts w:ascii="Book Antiqua" w:hAnsi="Book Antiqua" w:cs="Arial"/>
                <w:bCs/>
              </w:rPr>
              <w:t>ean</w:t>
            </w:r>
            <w:r w:rsidR="00A13025">
              <w:rPr>
                <w:rFonts w:ascii="Book Antiqua" w:hAnsi="Book Antiqua" w:cs="Arial"/>
                <w:bCs/>
              </w:rPr>
              <w:t xml:space="preserve"> </w:t>
            </w:r>
            <w:r w:rsidR="00A13025" w:rsidRPr="00A13025">
              <w:rPr>
                <w:rFonts w:ascii="Book Antiqua" w:hAnsi="Book Antiqua" w:cs="Arial"/>
                <w:bCs/>
                <w:lang w:val="en-US"/>
              </w:rPr>
              <w:t>±</w:t>
            </w:r>
            <w:r w:rsidR="00A13025">
              <w:rPr>
                <w:rFonts w:ascii="Book Antiqua" w:hAnsi="Book Antiqua" w:cs="Arial"/>
                <w:bCs/>
                <w:lang w:val="en-US"/>
              </w:rPr>
              <w:t xml:space="preserve"> SD, </w:t>
            </w:r>
            <w:r w:rsidR="00D97893" w:rsidRPr="00BE2B81">
              <w:rPr>
                <w:rFonts w:ascii="Book Antiqua" w:hAnsi="Book Antiqua" w:cs="Arial"/>
                <w:bCs/>
              </w:rPr>
              <w:t>age (</w:t>
            </w:r>
            <w:proofErr w:type="spellStart"/>
            <w:r w:rsidR="00D97893" w:rsidRPr="00BE2B81">
              <w:rPr>
                <w:rFonts w:ascii="Book Antiqua" w:hAnsi="Book Antiqua" w:cs="Arial"/>
                <w:bCs/>
              </w:rPr>
              <w:t>yr</w:t>
            </w:r>
            <w:proofErr w:type="spellEnd"/>
            <w:r w:rsidR="00D97893" w:rsidRPr="00BE2B81">
              <w:rPr>
                <w:rFonts w:ascii="Book Antiqua" w:hAnsi="Book Antiqua" w:cs="Arial"/>
                <w:bCs/>
              </w:rPr>
              <w:t>)</w:t>
            </w:r>
          </w:p>
        </w:tc>
        <w:tc>
          <w:tcPr>
            <w:tcW w:w="1276" w:type="dxa"/>
            <w:vAlign w:val="center"/>
          </w:tcPr>
          <w:p w14:paraId="01A06F96"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39.7 ± 14.27</w:t>
            </w:r>
          </w:p>
        </w:tc>
        <w:tc>
          <w:tcPr>
            <w:tcW w:w="992" w:type="dxa"/>
            <w:vAlign w:val="center"/>
          </w:tcPr>
          <w:p w14:paraId="02E58124"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40.9 ± 15.1</w:t>
            </w:r>
          </w:p>
        </w:tc>
        <w:tc>
          <w:tcPr>
            <w:tcW w:w="851" w:type="dxa"/>
            <w:vAlign w:val="center"/>
          </w:tcPr>
          <w:p w14:paraId="3997F37A" w14:textId="328580D2"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0.65</w:t>
            </w:r>
          </w:p>
        </w:tc>
        <w:tc>
          <w:tcPr>
            <w:tcW w:w="1276" w:type="dxa"/>
            <w:vAlign w:val="center"/>
          </w:tcPr>
          <w:p w14:paraId="15646159"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52.98 ± 12.97</w:t>
            </w:r>
          </w:p>
        </w:tc>
        <w:tc>
          <w:tcPr>
            <w:tcW w:w="1196" w:type="dxa"/>
            <w:vAlign w:val="center"/>
          </w:tcPr>
          <w:p w14:paraId="46F75A10"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53.65 ± 13.98</w:t>
            </w:r>
          </w:p>
        </w:tc>
        <w:tc>
          <w:tcPr>
            <w:tcW w:w="930" w:type="dxa"/>
            <w:vAlign w:val="center"/>
          </w:tcPr>
          <w:p w14:paraId="1A4703A3" w14:textId="7B1C5D26"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0.72</w:t>
            </w:r>
          </w:p>
        </w:tc>
        <w:tc>
          <w:tcPr>
            <w:tcW w:w="916" w:type="dxa"/>
          </w:tcPr>
          <w:p w14:paraId="3163464E" w14:textId="77777777" w:rsidR="00D97893" w:rsidRPr="00BE2B81" w:rsidRDefault="00D97893" w:rsidP="00BE2B81">
            <w:pPr>
              <w:snapToGrid w:val="0"/>
              <w:spacing w:line="360" w:lineRule="auto"/>
              <w:jc w:val="both"/>
              <w:rPr>
                <w:rFonts w:ascii="Book Antiqua" w:hAnsi="Book Antiqua" w:cs="Arial"/>
                <w:bCs/>
              </w:rPr>
            </w:pPr>
          </w:p>
        </w:tc>
      </w:tr>
      <w:tr w:rsidR="00D97893" w:rsidRPr="00BE2B81" w14:paraId="4066F1A2" w14:textId="77777777" w:rsidTr="00CD4421">
        <w:trPr>
          <w:trHeight w:val="241"/>
        </w:trPr>
        <w:tc>
          <w:tcPr>
            <w:tcW w:w="1809" w:type="dxa"/>
            <w:vAlign w:val="center"/>
          </w:tcPr>
          <w:p w14:paraId="5E8A9C86"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Male (</w:t>
            </w:r>
            <w:r w:rsidRPr="00BE2B81">
              <w:rPr>
                <w:rFonts w:ascii="Book Antiqua" w:hAnsi="Book Antiqua" w:cs="Arial"/>
                <w:bCs/>
                <w:i/>
                <w:iCs/>
              </w:rPr>
              <w:t>n</w:t>
            </w:r>
            <w:r w:rsidRPr="00BE2B81">
              <w:rPr>
                <w:rFonts w:ascii="Book Antiqua" w:hAnsi="Book Antiqua" w:cs="Arial"/>
                <w:bCs/>
              </w:rPr>
              <w:t>)</w:t>
            </w:r>
          </w:p>
        </w:tc>
        <w:tc>
          <w:tcPr>
            <w:tcW w:w="1276" w:type="dxa"/>
            <w:vAlign w:val="center"/>
          </w:tcPr>
          <w:p w14:paraId="06A3B19A"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35</w:t>
            </w:r>
          </w:p>
        </w:tc>
        <w:tc>
          <w:tcPr>
            <w:tcW w:w="992" w:type="dxa"/>
            <w:vAlign w:val="center"/>
          </w:tcPr>
          <w:p w14:paraId="50E10A28"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30</w:t>
            </w:r>
          </w:p>
        </w:tc>
        <w:tc>
          <w:tcPr>
            <w:tcW w:w="851" w:type="dxa"/>
            <w:vAlign w:val="center"/>
          </w:tcPr>
          <w:p w14:paraId="644F769F" w14:textId="46ABB97A"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0.13</w:t>
            </w:r>
          </w:p>
        </w:tc>
        <w:tc>
          <w:tcPr>
            <w:tcW w:w="1276" w:type="dxa"/>
            <w:vAlign w:val="center"/>
          </w:tcPr>
          <w:p w14:paraId="5786A6A6"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39</w:t>
            </w:r>
          </w:p>
        </w:tc>
        <w:tc>
          <w:tcPr>
            <w:tcW w:w="1196" w:type="dxa"/>
            <w:vAlign w:val="center"/>
          </w:tcPr>
          <w:p w14:paraId="63B415EE" w14:textId="7777777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47</w:t>
            </w:r>
          </w:p>
        </w:tc>
        <w:tc>
          <w:tcPr>
            <w:tcW w:w="930" w:type="dxa"/>
            <w:vAlign w:val="center"/>
          </w:tcPr>
          <w:p w14:paraId="0EBA2D52" w14:textId="0A2E6FD9"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0.93</w:t>
            </w:r>
          </w:p>
        </w:tc>
        <w:tc>
          <w:tcPr>
            <w:tcW w:w="916" w:type="dxa"/>
          </w:tcPr>
          <w:p w14:paraId="17695ECF" w14:textId="77777777" w:rsidR="00D97893" w:rsidRPr="00BE2B81" w:rsidRDefault="00D97893" w:rsidP="00BE2B81">
            <w:pPr>
              <w:snapToGrid w:val="0"/>
              <w:spacing w:line="360" w:lineRule="auto"/>
              <w:jc w:val="both"/>
              <w:rPr>
                <w:rFonts w:ascii="Book Antiqua" w:hAnsi="Book Antiqua" w:cs="Arial"/>
                <w:bCs/>
              </w:rPr>
            </w:pPr>
          </w:p>
        </w:tc>
      </w:tr>
    </w:tbl>
    <w:p w14:paraId="4850A3CD" w14:textId="109274CC" w:rsidR="00D97893" w:rsidRPr="00BE2B81" w:rsidRDefault="00D97893" w:rsidP="00BE2B81">
      <w:pPr>
        <w:snapToGrid w:val="0"/>
        <w:spacing w:line="360" w:lineRule="auto"/>
        <w:jc w:val="both"/>
        <w:rPr>
          <w:rFonts w:ascii="Book Antiqua" w:hAnsi="Book Antiqua" w:cs="Arial"/>
        </w:rPr>
      </w:pPr>
      <w:r w:rsidRPr="00BE2B81">
        <w:rPr>
          <w:rFonts w:ascii="Book Antiqua" w:hAnsi="Book Antiqua" w:cs="Arial"/>
        </w:rPr>
        <w:t>SD: Standard deviation</w:t>
      </w:r>
      <w:r w:rsidR="00A13025">
        <w:rPr>
          <w:rFonts w:ascii="Book Antiqua" w:hAnsi="Book Antiqua" w:cs="Arial"/>
        </w:rPr>
        <w:t xml:space="preserve">; IBD: </w:t>
      </w:r>
      <w:r w:rsidR="00A13025" w:rsidRPr="00BE2B81">
        <w:rPr>
          <w:rFonts w:ascii="Book Antiqua" w:eastAsia="Book Antiqua" w:hAnsi="Book Antiqua" w:cs="Book Antiqua"/>
          <w:color w:val="000000"/>
        </w:rPr>
        <w:t>Inflammatory bowel disease.</w:t>
      </w:r>
    </w:p>
    <w:p w14:paraId="62F8F317"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rPr>
        <w:br w:type="page"/>
      </w:r>
      <w:bookmarkStart w:id="89" w:name="_Hlk30143978"/>
      <w:r w:rsidRPr="00BE2B81">
        <w:rPr>
          <w:rFonts w:ascii="Book Antiqua" w:hAnsi="Book Antiqua" w:cs="Arial"/>
          <w:b/>
        </w:rPr>
        <w:lastRenderedPageBreak/>
        <w:t xml:space="preserve">Table 2 Tolerability Scores in the </w:t>
      </w:r>
      <w:bookmarkStart w:id="90" w:name="_Hlk64833450"/>
      <w:r w:rsidRPr="00BE2B81">
        <w:rPr>
          <w:rFonts w:ascii="Book Antiqua" w:hAnsi="Book Antiqua" w:cs="Arial"/>
          <w:b/>
        </w:rPr>
        <w:t>inflammatory bowel disease</w:t>
      </w:r>
      <w:bookmarkEnd w:id="90"/>
      <w:r w:rsidRPr="00BE2B81">
        <w:rPr>
          <w:rFonts w:ascii="Book Antiqua" w:hAnsi="Book Antiqua" w:cs="Arial"/>
          <w:b/>
        </w:rPr>
        <w:t xml:space="preserve"> and non-inflammatory bowel disease cohorts</w:t>
      </w:r>
    </w:p>
    <w:tbl>
      <w:tblPr>
        <w:tblStyle w:val="a3"/>
        <w:tblW w:w="92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D97893" w:rsidRPr="00BE2B81" w14:paraId="125363C0" w14:textId="77777777" w:rsidTr="00CD4421">
        <w:trPr>
          <w:trHeight w:val="730"/>
        </w:trPr>
        <w:tc>
          <w:tcPr>
            <w:tcW w:w="2310" w:type="dxa"/>
            <w:tcBorders>
              <w:top w:val="single" w:sz="4" w:space="0" w:color="auto"/>
              <w:bottom w:val="single" w:sz="4" w:space="0" w:color="auto"/>
            </w:tcBorders>
            <w:vAlign w:val="center"/>
          </w:tcPr>
          <w:p w14:paraId="039292D3" w14:textId="77777777" w:rsidR="00D97893" w:rsidRPr="00BE2B81" w:rsidRDefault="00D97893" w:rsidP="00BE2B81">
            <w:pPr>
              <w:snapToGrid w:val="0"/>
              <w:spacing w:line="360" w:lineRule="auto"/>
              <w:jc w:val="both"/>
              <w:rPr>
                <w:rFonts w:ascii="Book Antiqua" w:hAnsi="Book Antiqua" w:cs="Arial"/>
              </w:rPr>
            </w:pPr>
          </w:p>
        </w:tc>
        <w:tc>
          <w:tcPr>
            <w:tcW w:w="2310" w:type="dxa"/>
            <w:tcBorders>
              <w:top w:val="single" w:sz="4" w:space="0" w:color="auto"/>
              <w:bottom w:val="single" w:sz="4" w:space="0" w:color="auto"/>
            </w:tcBorders>
            <w:vAlign w:val="center"/>
          </w:tcPr>
          <w:p w14:paraId="2917577C"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rPr>
              <w:t>Prep Kit-C (</w:t>
            </w:r>
            <w:r w:rsidRPr="00BE2B81">
              <w:rPr>
                <w:rFonts w:ascii="Book Antiqua" w:hAnsi="Book Antiqua" w:cs="Arial"/>
                <w:b/>
                <w:i/>
                <w:iCs/>
              </w:rPr>
              <w:t>n</w:t>
            </w:r>
            <w:r w:rsidRPr="00BE2B81">
              <w:rPr>
                <w:rFonts w:ascii="Book Antiqua" w:hAnsi="Book Antiqua" w:cs="Arial"/>
                <w:b/>
              </w:rPr>
              <w:t xml:space="preserve"> = 145)</w:t>
            </w:r>
          </w:p>
        </w:tc>
        <w:tc>
          <w:tcPr>
            <w:tcW w:w="2311" w:type="dxa"/>
            <w:tcBorders>
              <w:top w:val="single" w:sz="4" w:space="0" w:color="auto"/>
              <w:bottom w:val="single" w:sz="4" w:space="0" w:color="auto"/>
            </w:tcBorders>
            <w:vAlign w:val="center"/>
          </w:tcPr>
          <w:p w14:paraId="7F83F7AD" w14:textId="77777777" w:rsidR="00D97893" w:rsidRPr="00BE2B81" w:rsidRDefault="00D97893" w:rsidP="00BE2B81">
            <w:pPr>
              <w:snapToGrid w:val="0"/>
              <w:spacing w:line="360" w:lineRule="auto"/>
              <w:jc w:val="both"/>
              <w:rPr>
                <w:rFonts w:ascii="Book Antiqua" w:hAnsi="Book Antiqua" w:cs="Arial"/>
                <w:b/>
              </w:rPr>
            </w:pPr>
            <w:proofErr w:type="spellStart"/>
            <w:r w:rsidRPr="00BE2B81">
              <w:rPr>
                <w:rFonts w:ascii="Book Antiqua" w:hAnsi="Book Antiqua" w:cs="Arial"/>
                <w:b/>
              </w:rPr>
              <w:t>Moviprep</w:t>
            </w:r>
            <w:proofErr w:type="spellEnd"/>
            <w:r w:rsidRPr="00BE2B81">
              <w:rPr>
                <w:rFonts w:ascii="Book Antiqua" w:hAnsi="Book Antiqua" w:cs="Arial"/>
                <w:b/>
              </w:rPr>
              <w:t xml:space="preserve"> (</w:t>
            </w:r>
            <w:r w:rsidRPr="00BE2B81">
              <w:rPr>
                <w:rFonts w:ascii="Book Antiqua" w:hAnsi="Book Antiqua" w:cs="Arial"/>
                <w:b/>
                <w:i/>
                <w:iCs/>
              </w:rPr>
              <w:t>n</w:t>
            </w:r>
            <w:r w:rsidRPr="00BE2B81">
              <w:rPr>
                <w:rFonts w:ascii="Book Antiqua" w:hAnsi="Book Antiqua" w:cs="Arial"/>
                <w:b/>
              </w:rPr>
              <w:t xml:space="preserve"> = 143)</w:t>
            </w:r>
          </w:p>
        </w:tc>
        <w:tc>
          <w:tcPr>
            <w:tcW w:w="2311" w:type="dxa"/>
            <w:tcBorders>
              <w:top w:val="single" w:sz="4" w:space="0" w:color="auto"/>
              <w:bottom w:val="single" w:sz="4" w:space="0" w:color="auto"/>
            </w:tcBorders>
            <w:vAlign w:val="center"/>
          </w:tcPr>
          <w:p w14:paraId="04C19A91" w14:textId="77777777" w:rsidR="00D97893" w:rsidRPr="00BE2B81" w:rsidRDefault="00D97893" w:rsidP="00BE2B81">
            <w:pPr>
              <w:snapToGrid w:val="0"/>
              <w:spacing w:line="360" w:lineRule="auto"/>
              <w:jc w:val="both"/>
              <w:rPr>
                <w:rFonts w:ascii="Book Antiqua" w:hAnsi="Book Antiqua" w:cs="Arial"/>
                <w:b/>
              </w:rPr>
            </w:pPr>
            <w:r w:rsidRPr="00BE2B81">
              <w:rPr>
                <w:rFonts w:ascii="Book Antiqua" w:hAnsi="Book Antiqua" w:cs="Arial"/>
                <w:b/>
                <w:i/>
                <w:iCs/>
              </w:rPr>
              <w:t>P</w:t>
            </w:r>
            <w:r w:rsidRPr="00BE2B81">
              <w:rPr>
                <w:rFonts w:ascii="Book Antiqua" w:hAnsi="Book Antiqua" w:cs="Arial"/>
                <w:b/>
              </w:rPr>
              <w:t xml:space="preserve"> value</w:t>
            </w:r>
          </w:p>
        </w:tc>
      </w:tr>
      <w:tr w:rsidR="00D97893" w:rsidRPr="00BE2B81" w14:paraId="05953B40" w14:textId="77777777" w:rsidTr="00CD4421">
        <w:trPr>
          <w:trHeight w:val="828"/>
        </w:trPr>
        <w:tc>
          <w:tcPr>
            <w:tcW w:w="2310" w:type="dxa"/>
            <w:tcBorders>
              <w:top w:val="single" w:sz="4" w:space="0" w:color="auto"/>
            </w:tcBorders>
            <w:vAlign w:val="center"/>
          </w:tcPr>
          <w:p w14:paraId="7494B13E" w14:textId="1091AF93"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IBD</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95</w:t>
            </w:r>
          </w:p>
        </w:tc>
        <w:tc>
          <w:tcPr>
            <w:tcW w:w="2310" w:type="dxa"/>
            <w:tcBorders>
              <w:top w:val="single" w:sz="4" w:space="0" w:color="auto"/>
            </w:tcBorders>
            <w:vAlign w:val="center"/>
          </w:tcPr>
          <w:p w14:paraId="209DE140" w14:textId="6F51BAFE"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9.67 ± 4.87</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 xml:space="preserve">n </w:t>
            </w:r>
            <w:r w:rsidRPr="00BE2B81">
              <w:rPr>
                <w:rFonts w:ascii="Book Antiqua" w:hAnsi="Book Antiqua" w:cs="Arial"/>
                <w:bCs/>
              </w:rPr>
              <w:t>= 47</w:t>
            </w:r>
          </w:p>
        </w:tc>
        <w:tc>
          <w:tcPr>
            <w:tcW w:w="2311" w:type="dxa"/>
            <w:tcBorders>
              <w:top w:val="single" w:sz="4" w:space="0" w:color="auto"/>
            </w:tcBorders>
            <w:vAlign w:val="center"/>
          </w:tcPr>
          <w:p w14:paraId="503E2378" w14:textId="6A95E691"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10.89 ± 5.21</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48</w:t>
            </w:r>
          </w:p>
        </w:tc>
        <w:tc>
          <w:tcPr>
            <w:tcW w:w="2311" w:type="dxa"/>
            <w:tcBorders>
              <w:top w:val="single" w:sz="4" w:space="0" w:color="auto"/>
            </w:tcBorders>
            <w:vAlign w:val="center"/>
          </w:tcPr>
          <w:p w14:paraId="7AE385E9" w14:textId="49E39B1F"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0.25</w:t>
            </w:r>
          </w:p>
        </w:tc>
      </w:tr>
      <w:tr w:rsidR="00D97893" w:rsidRPr="00BE2B81" w14:paraId="78FDFE82" w14:textId="77777777" w:rsidTr="00CD4421">
        <w:trPr>
          <w:trHeight w:val="898"/>
        </w:trPr>
        <w:tc>
          <w:tcPr>
            <w:tcW w:w="2310" w:type="dxa"/>
            <w:vAlign w:val="center"/>
          </w:tcPr>
          <w:p w14:paraId="56E64FFF" w14:textId="5647C7F7" w:rsidR="00D97893" w:rsidRPr="00BE2B81" w:rsidRDefault="00A13025" w:rsidP="00BE2B81">
            <w:pPr>
              <w:snapToGrid w:val="0"/>
              <w:spacing w:line="360" w:lineRule="auto"/>
              <w:jc w:val="both"/>
              <w:rPr>
                <w:rFonts w:ascii="Book Antiqua" w:hAnsi="Book Antiqua" w:cs="Arial"/>
                <w:bCs/>
              </w:rPr>
            </w:pPr>
            <w:r>
              <w:rPr>
                <w:rFonts w:ascii="Book Antiqua" w:hAnsi="Book Antiqua" w:cs="Arial"/>
                <w:bCs/>
              </w:rPr>
              <w:t>N</w:t>
            </w:r>
            <w:r w:rsidR="00D97893" w:rsidRPr="00BE2B81">
              <w:rPr>
                <w:rFonts w:ascii="Book Antiqua" w:hAnsi="Book Antiqua" w:cs="Arial"/>
                <w:bCs/>
              </w:rPr>
              <w:t>on-IBD</w:t>
            </w:r>
            <w:r w:rsidR="00CD4421" w:rsidRPr="00BE2B81">
              <w:rPr>
                <w:rFonts w:ascii="Book Antiqua" w:hAnsi="Book Antiqua" w:cs="Arial"/>
                <w:bCs/>
              </w:rPr>
              <w:t>,</w:t>
            </w:r>
            <w:r w:rsidR="00CD4421" w:rsidRPr="00BE2B81">
              <w:rPr>
                <w:rFonts w:ascii="Book Antiqua" w:hAnsi="Book Antiqua" w:cs="Arial"/>
                <w:bCs/>
                <w:lang w:eastAsia="zh-CN"/>
              </w:rPr>
              <w:t xml:space="preserve"> </w:t>
            </w:r>
            <w:r w:rsidR="00D97893" w:rsidRPr="00BE2B81">
              <w:rPr>
                <w:rFonts w:ascii="Book Antiqua" w:hAnsi="Book Antiqua" w:cs="Arial"/>
                <w:bCs/>
                <w:i/>
                <w:iCs/>
              </w:rPr>
              <w:t>n</w:t>
            </w:r>
            <w:r w:rsidR="00D97893" w:rsidRPr="00BE2B81">
              <w:rPr>
                <w:rFonts w:ascii="Book Antiqua" w:hAnsi="Book Antiqua" w:cs="Arial"/>
                <w:bCs/>
              </w:rPr>
              <w:t xml:space="preserve"> = 193</w:t>
            </w:r>
          </w:p>
        </w:tc>
        <w:tc>
          <w:tcPr>
            <w:tcW w:w="2310" w:type="dxa"/>
            <w:vAlign w:val="center"/>
          </w:tcPr>
          <w:p w14:paraId="48240F1C" w14:textId="65E263D8"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11.61 ± 5.32</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98</w:t>
            </w:r>
          </w:p>
        </w:tc>
        <w:tc>
          <w:tcPr>
            <w:tcW w:w="2311" w:type="dxa"/>
            <w:vAlign w:val="center"/>
          </w:tcPr>
          <w:p w14:paraId="6B83721B" w14:textId="34C8A087"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12.32 ± 5.35</w:t>
            </w:r>
            <w:r w:rsidR="00CD4421" w:rsidRPr="00BE2B81">
              <w:rPr>
                <w:rFonts w:ascii="Book Antiqua" w:hAnsi="Book Antiqua" w:cs="Arial"/>
                <w:bCs/>
              </w:rPr>
              <w:t>;</w:t>
            </w:r>
            <w:r w:rsidR="00CD4421" w:rsidRPr="00BE2B81">
              <w:rPr>
                <w:rFonts w:ascii="Book Antiqua" w:hAnsi="Book Antiqua" w:cs="Arial"/>
                <w:bCs/>
                <w:lang w:eastAsia="zh-CN"/>
              </w:rPr>
              <w:t xml:space="preserve"> </w:t>
            </w:r>
            <w:r w:rsidRPr="00BE2B81">
              <w:rPr>
                <w:rFonts w:ascii="Book Antiqua" w:hAnsi="Book Antiqua" w:cs="Arial"/>
                <w:bCs/>
                <w:i/>
                <w:iCs/>
              </w:rPr>
              <w:t>n</w:t>
            </w:r>
            <w:r w:rsidRPr="00BE2B81">
              <w:rPr>
                <w:rFonts w:ascii="Book Antiqua" w:hAnsi="Book Antiqua" w:cs="Arial"/>
                <w:bCs/>
              </w:rPr>
              <w:t xml:space="preserve"> = 95</w:t>
            </w:r>
          </w:p>
        </w:tc>
        <w:tc>
          <w:tcPr>
            <w:tcW w:w="2311" w:type="dxa"/>
            <w:vAlign w:val="center"/>
          </w:tcPr>
          <w:p w14:paraId="2CBD65FA" w14:textId="62379B7B" w:rsidR="00D97893" w:rsidRPr="00BE2B81" w:rsidRDefault="00D97893" w:rsidP="00BE2B81">
            <w:pPr>
              <w:snapToGrid w:val="0"/>
              <w:spacing w:line="360" w:lineRule="auto"/>
              <w:jc w:val="both"/>
              <w:rPr>
                <w:rFonts w:ascii="Book Antiqua" w:hAnsi="Book Antiqua" w:cs="Arial"/>
                <w:bCs/>
              </w:rPr>
            </w:pPr>
            <w:r w:rsidRPr="00BE2B81">
              <w:rPr>
                <w:rFonts w:ascii="Book Antiqua" w:hAnsi="Book Antiqua" w:cs="Arial"/>
                <w:bCs/>
              </w:rPr>
              <w:t>0.36</w:t>
            </w:r>
          </w:p>
        </w:tc>
      </w:tr>
    </w:tbl>
    <w:bookmarkEnd w:id="89"/>
    <w:p w14:paraId="63F7313E" w14:textId="7BBE637F" w:rsidR="00320C44" w:rsidRDefault="00A13025" w:rsidP="00BE2B81">
      <w:pPr>
        <w:snapToGrid w:val="0"/>
        <w:spacing w:line="360" w:lineRule="auto"/>
        <w:jc w:val="both"/>
        <w:rPr>
          <w:rFonts w:ascii="Book Antiqua" w:eastAsia="Book Antiqua" w:hAnsi="Book Antiqua" w:cs="Book Antiqua"/>
          <w:color w:val="000000"/>
        </w:rPr>
      </w:pPr>
      <w:r>
        <w:rPr>
          <w:rFonts w:ascii="Book Antiqua" w:hAnsi="Book Antiqua" w:cs="Arial"/>
        </w:rPr>
        <w:t xml:space="preserve">IBD: </w:t>
      </w:r>
      <w:r w:rsidRPr="00BE2B81">
        <w:rPr>
          <w:rFonts w:ascii="Book Antiqua" w:eastAsia="Book Antiqua" w:hAnsi="Book Antiqua" w:cs="Book Antiqua"/>
          <w:color w:val="000000"/>
        </w:rPr>
        <w:t>Inflammatory bowel disease.</w:t>
      </w:r>
    </w:p>
    <w:p w14:paraId="51FC0376" w14:textId="77777777" w:rsidR="00320C44" w:rsidRDefault="00320C44">
      <w:pPr>
        <w:rPr>
          <w:rFonts w:ascii="Book Antiqua" w:eastAsia="Book Antiqua" w:hAnsi="Book Antiqua" w:cs="Book Antiqua"/>
          <w:color w:val="000000"/>
        </w:rPr>
      </w:pPr>
      <w:r>
        <w:rPr>
          <w:rFonts w:ascii="Book Antiqua" w:eastAsia="Book Antiqua" w:hAnsi="Book Antiqua" w:cs="Book Antiqua"/>
          <w:color w:val="000000"/>
        </w:rPr>
        <w:br w:type="page"/>
      </w:r>
    </w:p>
    <w:p w14:paraId="4C1D9750" w14:textId="77777777" w:rsidR="00320C44" w:rsidRDefault="00320C44" w:rsidP="00320C44">
      <w:pPr>
        <w:ind w:leftChars="100" w:left="240"/>
        <w:jc w:val="center"/>
        <w:rPr>
          <w:rFonts w:ascii="Book Antiqua" w:hAnsi="Book Antiqua"/>
          <w:lang w:eastAsia="zh-CN"/>
        </w:rPr>
      </w:pPr>
    </w:p>
    <w:p w14:paraId="2642C2EA" w14:textId="77777777" w:rsidR="00320C44" w:rsidRDefault="00320C44" w:rsidP="00320C44">
      <w:pPr>
        <w:ind w:leftChars="100" w:left="240"/>
        <w:jc w:val="center"/>
        <w:rPr>
          <w:rFonts w:ascii="Book Antiqua" w:hAnsi="Book Antiqua"/>
          <w:lang w:eastAsia="zh-CN"/>
        </w:rPr>
      </w:pPr>
    </w:p>
    <w:p w14:paraId="6A3C3F3B" w14:textId="77777777" w:rsidR="00320C44" w:rsidRDefault="00320C44" w:rsidP="00320C44">
      <w:pPr>
        <w:ind w:leftChars="100" w:left="240"/>
        <w:jc w:val="center"/>
        <w:rPr>
          <w:rFonts w:ascii="Book Antiqua" w:hAnsi="Book Antiqua"/>
          <w:lang w:eastAsia="zh-CN"/>
        </w:rPr>
      </w:pPr>
    </w:p>
    <w:p w14:paraId="2452AB6D" w14:textId="77777777" w:rsidR="00320C44" w:rsidRDefault="00320C44" w:rsidP="00320C44">
      <w:pPr>
        <w:ind w:leftChars="100" w:left="240"/>
        <w:jc w:val="center"/>
        <w:rPr>
          <w:rFonts w:ascii="Book Antiqua" w:hAnsi="Book Antiqua"/>
          <w:lang w:eastAsia="zh-CN"/>
        </w:rPr>
      </w:pPr>
    </w:p>
    <w:p w14:paraId="12874B25" w14:textId="77777777" w:rsidR="00320C44" w:rsidRDefault="00320C44" w:rsidP="00320C44">
      <w:pPr>
        <w:ind w:leftChars="100" w:left="240"/>
        <w:jc w:val="center"/>
        <w:rPr>
          <w:rFonts w:ascii="Book Antiqua" w:hAnsi="Book Antiqua"/>
          <w:lang w:eastAsia="zh-CN"/>
        </w:rPr>
      </w:pPr>
      <w:r>
        <w:rPr>
          <w:rFonts w:ascii="Book Antiqua" w:hAnsi="Book Antiqua"/>
          <w:noProof/>
          <w:lang w:eastAsia="zh-CN"/>
        </w:rPr>
        <w:drawing>
          <wp:inline distT="0" distB="0" distL="0" distR="0" wp14:anchorId="3D9D9AB8" wp14:editId="6245576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5A760C" w14:textId="77777777" w:rsidR="00320C44" w:rsidRDefault="00320C44" w:rsidP="00320C44">
      <w:pPr>
        <w:ind w:leftChars="100" w:left="240"/>
        <w:jc w:val="center"/>
        <w:rPr>
          <w:rFonts w:ascii="Book Antiqua" w:hAnsi="Book Antiqua"/>
          <w:lang w:eastAsia="zh-CN"/>
        </w:rPr>
      </w:pPr>
    </w:p>
    <w:p w14:paraId="086F9FA0" w14:textId="77777777" w:rsidR="00320C44" w:rsidRPr="00763D22" w:rsidRDefault="00320C44" w:rsidP="00320C4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D4B7AF1" w14:textId="77777777" w:rsidR="00320C44" w:rsidRPr="00763D22" w:rsidRDefault="00320C44" w:rsidP="00320C4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B843C6" w14:textId="77777777" w:rsidR="00320C44" w:rsidRPr="00763D22" w:rsidRDefault="00320C44" w:rsidP="00320C4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0CBCB4" w14:textId="77777777" w:rsidR="00320C44" w:rsidRPr="00763D22" w:rsidRDefault="00320C44" w:rsidP="00320C4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6AFFA97" w14:textId="77777777" w:rsidR="00320C44" w:rsidRPr="00763D22" w:rsidRDefault="00320C44" w:rsidP="00320C4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82D4B58" w14:textId="77777777" w:rsidR="00320C44" w:rsidRPr="00763D22" w:rsidRDefault="00320C44" w:rsidP="00320C4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CB05CAA" w14:textId="77777777" w:rsidR="00320C44" w:rsidRDefault="00320C44" w:rsidP="00320C44">
      <w:pPr>
        <w:ind w:leftChars="100" w:left="240"/>
        <w:jc w:val="center"/>
        <w:rPr>
          <w:rFonts w:ascii="Book Antiqua" w:hAnsi="Book Antiqua"/>
          <w:lang w:eastAsia="zh-CN"/>
        </w:rPr>
      </w:pPr>
    </w:p>
    <w:p w14:paraId="04DFBC9B" w14:textId="77777777" w:rsidR="00320C44" w:rsidRDefault="00320C44" w:rsidP="00320C44">
      <w:pPr>
        <w:ind w:leftChars="100" w:left="240"/>
        <w:jc w:val="center"/>
        <w:rPr>
          <w:rFonts w:ascii="Book Antiqua" w:hAnsi="Book Antiqua"/>
          <w:lang w:eastAsia="zh-CN"/>
        </w:rPr>
      </w:pPr>
    </w:p>
    <w:p w14:paraId="1653276E" w14:textId="77777777" w:rsidR="00320C44" w:rsidRDefault="00320C44" w:rsidP="00320C44">
      <w:pPr>
        <w:ind w:leftChars="100" w:left="240"/>
        <w:jc w:val="center"/>
        <w:rPr>
          <w:rFonts w:ascii="Book Antiqua" w:hAnsi="Book Antiqua"/>
          <w:lang w:eastAsia="zh-CN"/>
        </w:rPr>
      </w:pPr>
    </w:p>
    <w:p w14:paraId="0F1C6561" w14:textId="77777777" w:rsidR="00320C44" w:rsidRDefault="00320C44" w:rsidP="00320C44">
      <w:pPr>
        <w:ind w:leftChars="100" w:left="240"/>
        <w:jc w:val="center"/>
        <w:rPr>
          <w:rFonts w:ascii="Book Antiqua" w:hAnsi="Book Antiqua"/>
          <w:lang w:eastAsia="zh-CN"/>
        </w:rPr>
      </w:pPr>
      <w:r>
        <w:rPr>
          <w:rFonts w:ascii="Book Antiqua" w:hAnsi="Book Antiqua"/>
          <w:noProof/>
          <w:lang w:eastAsia="zh-CN"/>
        </w:rPr>
        <w:drawing>
          <wp:inline distT="0" distB="0" distL="0" distR="0" wp14:anchorId="19375DCB" wp14:editId="7C15F7E1">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69F97A" w14:textId="77777777" w:rsidR="00320C44" w:rsidRDefault="00320C44" w:rsidP="00320C44">
      <w:pPr>
        <w:ind w:leftChars="100" w:left="240"/>
        <w:jc w:val="center"/>
        <w:rPr>
          <w:rFonts w:ascii="Book Antiqua" w:hAnsi="Book Antiqua"/>
          <w:lang w:eastAsia="zh-CN"/>
        </w:rPr>
      </w:pPr>
    </w:p>
    <w:p w14:paraId="2F94A2D9" w14:textId="77777777" w:rsidR="00320C44" w:rsidRDefault="00320C44" w:rsidP="00320C44">
      <w:pPr>
        <w:ind w:leftChars="100" w:left="240"/>
        <w:jc w:val="center"/>
        <w:rPr>
          <w:rFonts w:ascii="Book Antiqua" w:hAnsi="Book Antiqua"/>
          <w:lang w:eastAsia="zh-CN"/>
        </w:rPr>
      </w:pPr>
    </w:p>
    <w:p w14:paraId="74383D64" w14:textId="77777777" w:rsidR="00320C44" w:rsidRDefault="00320C44" w:rsidP="00320C44">
      <w:pPr>
        <w:ind w:leftChars="100" w:left="240"/>
        <w:jc w:val="center"/>
        <w:rPr>
          <w:rFonts w:ascii="Book Antiqua" w:hAnsi="Book Antiqua"/>
          <w:lang w:eastAsia="zh-CN"/>
        </w:rPr>
      </w:pPr>
    </w:p>
    <w:p w14:paraId="2C980803" w14:textId="77777777" w:rsidR="00320C44" w:rsidRDefault="00320C44" w:rsidP="00320C44">
      <w:pPr>
        <w:ind w:leftChars="100" w:left="240"/>
        <w:jc w:val="center"/>
        <w:rPr>
          <w:rFonts w:ascii="Book Antiqua" w:hAnsi="Book Antiqua"/>
          <w:lang w:eastAsia="zh-CN"/>
        </w:rPr>
      </w:pPr>
    </w:p>
    <w:p w14:paraId="5F78171B" w14:textId="77777777" w:rsidR="00320C44" w:rsidRDefault="00320C44" w:rsidP="00320C44">
      <w:pPr>
        <w:ind w:leftChars="100" w:left="240"/>
        <w:jc w:val="center"/>
        <w:rPr>
          <w:rFonts w:ascii="Book Antiqua" w:hAnsi="Book Antiqua"/>
          <w:lang w:eastAsia="zh-CN"/>
        </w:rPr>
      </w:pPr>
    </w:p>
    <w:p w14:paraId="1D1B539B" w14:textId="77777777" w:rsidR="00320C44" w:rsidRDefault="00320C44" w:rsidP="00320C44">
      <w:pPr>
        <w:ind w:leftChars="100" w:left="240"/>
        <w:jc w:val="center"/>
        <w:rPr>
          <w:rFonts w:ascii="Book Antiqua" w:hAnsi="Book Antiqua"/>
          <w:lang w:eastAsia="zh-CN"/>
        </w:rPr>
      </w:pPr>
    </w:p>
    <w:p w14:paraId="3C633142" w14:textId="77777777" w:rsidR="00320C44" w:rsidRDefault="00320C44" w:rsidP="00320C44">
      <w:pPr>
        <w:ind w:leftChars="100" w:left="240"/>
        <w:jc w:val="center"/>
        <w:rPr>
          <w:rFonts w:ascii="Book Antiqua" w:hAnsi="Book Antiqua"/>
          <w:lang w:eastAsia="zh-CN"/>
        </w:rPr>
      </w:pPr>
    </w:p>
    <w:p w14:paraId="4465838C" w14:textId="77777777" w:rsidR="00320C44" w:rsidRDefault="00320C44" w:rsidP="00320C44">
      <w:pPr>
        <w:ind w:leftChars="100" w:left="240"/>
        <w:jc w:val="center"/>
        <w:rPr>
          <w:rFonts w:ascii="Book Antiqua" w:hAnsi="Book Antiqua"/>
          <w:lang w:eastAsia="zh-CN"/>
        </w:rPr>
      </w:pPr>
    </w:p>
    <w:p w14:paraId="05747225" w14:textId="77777777" w:rsidR="00320C44" w:rsidRDefault="00320C44" w:rsidP="00320C44">
      <w:pPr>
        <w:ind w:leftChars="100" w:left="240"/>
        <w:jc w:val="center"/>
        <w:rPr>
          <w:rFonts w:ascii="Book Antiqua" w:hAnsi="Book Antiqua"/>
          <w:lang w:eastAsia="zh-CN"/>
        </w:rPr>
      </w:pPr>
    </w:p>
    <w:p w14:paraId="5F4BB893" w14:textId="77777777" w:rsidR="00320C44" w:rsidRPr="00763D22" w:rsidRDefault="00320C44" w:rsidP="00320C44">
      <w:pPr>
        <w:ind w:leftChars="100" w:left="240"/>
        <w:jc w:val="right"/>
        <w:rPr>
          <w:rFonts w:ascii="Book Antiqua" w:hAnsi="Book Antiqua"/>
          <w:color w:val="000000" w:themeColor="text1"/>
          <w:lang w:eastAsia="zh-CN"/>
        </w:rPr>
      </w:pPr>
    </w:p>
    <w:p w14:paraId="76F4D603" w14:textId="77777777" w:rsidR="00320C44" w:rsidRPr="00763D22" w:rsidRDefault="00320C44" w:rsidP="00320C4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D26FCD6" w14:textId="77777777" w:rsidR="00A77B3E" w:rsidRPr="00BE2B81" w:rsidRDefault="00A77B3E" w:rsidP="00BE2B81">
      <w:pPr>
        <w:snapToGrid w:val="0"/>
        <w:spacing w:line="360" w:lineRule="auto"/>
        <w:jc w:val="both"/>
        <w:rPr>
          <w:rFonts w:ascii="Book Antiqua" w:hAnsi="Book Antiqua"/>
          <w:lang w:eastAsia="zh-CN"/>
        </w:rPr>
      </w:pPr>
    </w:p>
    <w:sectPr w:rsidR="00A77B3E" w:rsidRPr="00BE2B81" w:rsidSect="00A443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E7871" w14:textId="77777777" w:rsidR="001D2452" w:rsidRDefault="001D2452" w:rsidP="009A12D2">
      <w:r>
        <w:separator/>
      </w:r>
    </w:p>
  </w:endnote>
  <w:endnote w:type="continuationSeparator" w:id="0">
    <w:p w14:paraId="071501DD" w14:textId="77777777" w:rsidR="001D2452" w:rsidRDefault="001D2452" w:rsidP="009A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646539"/>
      <w:docPartObj>
        <w:docPartGallery w:val="Page Numbers (Bottom of Page)"/>
        <w:docPartUnique/>
      </w:docPartObj>
    </w:sdtPr>
    <w:sdtEndPr/>
    <w:sdtContent>
      <w:sdt>
        <w:sdtPr>
          <w:id w:val="-1769616900"/>
          <w:docPartObj>
            <w:docPartGallery w:val="Page Numbers (Top of Page)"/>
            <w:docPartUnique/>
          </w:docPartObj>
        </w:sdtPr>
        <w:sdtEndPr/>
        <w:sdtContent>
          <w:p w14:paraId="7B66E473" w14:textId="673DEB3D" w:rsidR="009A12D2" w:rsidRDefault="009A12D2">
            <w:pPr>
              <w:pStyle w:val="a5"/>
              <w:jc w:val="right"/>
            </w:pPr>
            <w:r>
              <w:rPr>
                <w:lang w:val="zh-CN" w:eastAsia="zh-CN"/>
              </w:rPr>
              <w:t xml:space="preserve"> </w:t>
            </w:r>
            <w:r w:rsidR="005633D1">
              <w:rPr>
                <w:b/>
                <w:bCs/>
                <w:noProof/>
              </w:rPr>
              <w:t>29</w:t>
            </w:r>
            <w:r>
              <w:rPr>
                <w:lang w:val="zh-CN" w:eastAsia="zh-CN"/>
              </w:rPr>
              <w:t xml:space="preserve"> / </w:t>
            </w:r>
            <w:r w:rsidR="005633D1">
              <w:rPr>
                <w:b/>
                <w:bCs/>
                <w:noProof/>
              </w:rPr>
              <w:t>29</w:t>
            </w:r>
          </w:p>
        </w:sdtContent>
      </w:sdt>
    </w:sdtContent>
  </w:sdt>
  <w:p w14:paraId="23BA1E0A" w14:textId="77777777" w:rsidR="009A12D2" w:rsidRDefault="009A12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E56D" w14:textId="77777777" w:rsidR="001D2452" w:rsidRDefault="001D2452" w:rsidP="009A12D2">
      <w:r>
        <w:separator/>
      </w:r>
    </w:p>
  </w:footnote>
  <w:footnote w:type="continuationSeparator" w:id="0">
    <w:p w14:paraId="001C6698" w14:textId="77777777" w:rsidR="001D2452" w:rsidRDefault="001D2452" w:rsidP="009A12D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led Mohsen">
    <w15:presenceInfo w15:providerId="None" w15:userId="Waled Moh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8AC"/>
    <w:rsid w:val="0009554E"/>
    <w:rsid w:val="000C0B87"/>
    <w:rsid w:val="000D0B72"/>
    <w:rsid w:val="000F5A69"/>
    <w:rsid w:val="00125BB4"/>
    <w:rsid w:val="00131177"/>
    <w:rsid w:val="00137971"/>
    <w:rsid w:val="00146A98"/>
    <w:rsid w:val="0019103B"/>
    <w:rsid w:val="001C51E0"/>
    <w:rsid w:val="001D2452"/>
    <w:rsid w:val="001D7E16"/>
    <w:rsid w:val="001E20F3"/>
    <w:rsid w:val="00236768"/>
    <w:rsid w:val="00291A92"/>
    <w:rsid w:val="002A1E73"/>
    <w:rsid w:val="002A2273"/>
    <w:rsid w:val="002D60D8"/>
    <w:rsid w:val="002F5F5E"/>
    <w:rsid w:val="00320C44"/>
    <w:rsid w:val="00343093"/>
    <w:rsid w:val="00362EEE"/>
    <w:rsid w:val="00370E8E"/>
    <w:rsid w:val="0038781C"/>
    <w:rsid w:val="00397327"/>
    <w:rsid w:val="003C28FD"/>
    <w:rsid w:val="003D3F5A"/>
    <w:rsid w:val="003E0A49"/>
    <w:rsid w:val="003E1591"/>
    <w:rsid w:val="00401E75"/>
    <w:rsid w:val="00431700"/>
    <w:rsid w:val="004317B7"/>
    <w:rsid w:val="00443CC8"/>
    <w:rsid w:val="004473D7"/>
    <w:rsid w:val="004C5AA3"/>
    <w:rsid w:val="004E4E8B"/>
    <w:rsid w:val="00504EF1"/>
    <w:rsid w:val="00507D36"/>
    <w:rsid w:val="005257AF"/>
    <w:rsid w:val="00551C93"/>
    <w:rsid w:val="005633D1"/>
    <w:rsid w:val="005B2BA9"/>
    <w:rsid w:val="005D6413"/>
    <w:rsid w:val="005F25A8"/>
    <w:rsid w:val="00603F39"/>
    <w:rsid w:val="00624550"/>
    <w:rsid w:val="00633486"/>
    <w:rsid w:val="00652323"/>
    <w:rsid w:val="00672143"/>
    <w:rsid w:val="00684A55"/>
    <w:rsid w:val="006859E8"/>
    <w:rsid w:val="00697EF1"/>
    <w:rsid w:val="006A2495"/>
    <w:rsid w:val="006E05D3"/>
    <w:rsid w:val="00700510"/>
    <w:rsid w:val="00705DBE"/>
    <w:rsid w:val="0072721A"/>
    <w:rsid w:val="00737CAC"/>
    <w:rsid w:val="008110E2"/>
    <w:rsid w:val="00844173"/>
    <w:rsid w:val="00853B85"/>
    <w:rsid w:val="00876782"/>
    <w:rsid w:val="008A49B6"/>
    <w:rsid w:val="00914F86"/>
    <w:rsid w:val="009231AC"/>
    <w:rsid w:val="00937379"/>
    <w:rsid w:val="00944AAB"/>
    <w:rsid w:val="00983EB3"/>
    <w:rsid w:val="009A12D2"/>
    <w:rsid w:val="009A6692"/>
    <w:rsid w:val="009C1777"/>
    <w:rsid w:val="00A13025"/>
    <w:rsid w:val="00A44321"/>
    <w:rsid w:val="00A77B3E"/>
    <w:rsid w:val="00AB3A6F"/>
    <w:rsid w:val="00B368E7"/>
    <w:rsid w:val="00B75306"/>
    <w:rsid w:val="00B85D79"/>
    <w:rsid w:val="00B90179"/>
    <w:rsid w:val="00BA5A9A"/>
    <w:rsid w:val="00BB717C"/>
    <w:rsid w:val="00BE2B81"/>
    <w:rsid w:val="00BF6972"/>
    <w:rsid w:val="00C20868"/>
    <w:rsid w:val="00C43EE3"/>
    <w:rsid w:val="00C567DF"/>
    <w:rsid w:val="00C912D8"/>
    <w:rsid w:val="00CA2A55"/>
    <w:rsid w:val="00CB4967"/>
    <w:rsid w:val="00CC001E"/>
    <w:rsid w:val="00CC3708"/>
    <w:rsid w:val="00CD4421"/>
    <w:rsid w:val="00D21457"/>
    <w:rsid w:val="00D514E8"/>
    <w:rsid w:val="00D7384B"/>
    <w:rsid w:val="00D96978"/>
    <w:rsid w:val="00D97893"/>
    <w:rsid w:val="00E07F55"/>
    <w:rsid w:val="00E20B43"/>
    <w:rsid w:val="00E60E9D"/>
    <w:rsid w:val="00E84DD5"/>
    <w:rsid w:val="00E87B6F"/>
    <w:rsid w:val="00EB0B3B"/>
    <w:rsid w:val="00EB6ECE"/>
    <w:rsid w:val="00ED14EA"/>
    <w:rsid w:val="00EF0856"/>
    <w:rsid w:val="00F24D32"/>
    <w:rsid w:val="00F539E5"/>
    <w:rsid w:val="00F7000B"/>
    <w:rsid w:val="00FD3E92"/>
    <w:rsid w:val="00FD764E"/>
    <w:rsid w:val="00FE1C91"/>
    <w:rsid w:val="00FE3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200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893"/>
    <w:rPr>
      <w:rFonts w:ascii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9A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A12D2"/>
    <w:rPr>
      <w:sz w:val="18"/>
      <w:szCs w:val="18"/>
    </w:rPr>
  </w:style>
  <w:style w:type="paragraph" w:styleId="a5">
    <w:name w:val="footer"/>
    <w:basedOn w:val="a"/>
    <w:link w:val="Char0"/>
    <w:uiPriority w:val="99"/>
    <w:unhideWhenUsed/>
    <w:rsid w:val="009A12D2"/>
    <w:pPr>
      <w:tabs>
        <w:tab w:val="center" w:pos="4153"/>
        <w:tab w:val="right" w:pos="8306"/>
      </w:tabs>
      <w:snapToGrid w:val="0"/>
    </w:pPr>
    <w:rPr>
      <w:sz w:val="18"/>
      <w:szCs w:val="18"/>
    </w:rPr>
  </w:style>
  <w:style w:type="character" w:customStyle="1" w:styleId="Char0">
    <w:name w:val="页脚 Char"/>
    <w:basedOn w:val="a0"/>
    <w:link w:val="a5"/>
    <w:uiPriority w:val="99"/>
    <w:rsid w:val="009A12D2"/>
    <w:rPr>
      <w:sz w:val="18"/>
      <w:szCs w:val="18"/>
    </w:rPr>
  </w:style>
  <w:style w:type="paragraph" w:styleId="a6">
    <w:name w:val="Balloon Text"/>
    <w:basedOn w:val="a"/>
    <w:link w:val="Char1"/>
    <w:semiHidden/>
    <w:unhideWhenUsed/>
    <w:rsid w:val="00603F39"/>
    <w:rPr>
      <w:sz w:val="18"/>
      <w:szCs w:val="18"/>
    </w:rPr>
  </w:style>
  <w:style w:type="character" w:customStyle="1" w:styleId="Char1">
    <w:name w:val="批注框文本 Char"/>
    <w:basedOn w:val="a0"/>
    <w:link w:val="a6"/>
    <w:semiHidden/>
    <w:rsid w:val="00603F39"/>
    <w:rPr>
      <w:sz w:val="18"/>
      <w:szCs w:val="18"/>
    </w:rPr>
  </w:style>
  <w:style w:type="character" w:styleId="a7">
    <w:name w:val="Hyperlink"/>
    <w:basedOn w:val="a0"/>
    <w:unhideWhenUsed/>
    <w:rsid w:val="00D514E8"/>
    <w:rPr>
      <w:color w:val="0000FF" w:themeColor="hyperlink"/>
      <w:u w:val="single"/>
    </w:rPr>
  </w:style>
  <w:style w:type="character" w:customStyle="1" w:styleId="UnresolvedMention">
    <w:name w:val="Unresolved Mention"/>
    <w:basedOn w:val="a0"/>
    <w:uiPriority w:val="99"/>
    <w:semiHidden/>
    <w:unhideWhenUsed/>
    <w:rsid w:val="00D514E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7893"/>
    <w:rPr>
      <w:rFonts w:ascii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9A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A12D2"/>
    <w:rPr>
      <w:sz w:val="18"/>
      <w:szCs w:val="18"/>
    </w:rPr>
  </w:style>
  <w:style w:type="paragraph" w:styleId="a5">
    <w:name w:val="footer"/>
    <w:basedOn w:val="a"/>
    <w:link w:val="Char0"/>
    <w:uiPriority w:val="99"/>
    <w:unhideWhenUsed/>
    <w:rsid w:val="009A12D2"/>
    <w:pPr>
      <w:tabs>
        <w:tab w:val="center" w:pos="4153"/>
        <w:tab w:val="right" w:pos="8306"/>
      </w:tabs>
      <w:snapToGrid w:val="0"/>
    </w:pPr>
    <w:rPr>
      <w:sz w:val="18"/>
      <w:szCs w:val="18"/>
    </w:rPr>
  </w:style>
  <w:style w:type="character" w:customStyle="1" w:styleId="Char0">
    <w:name w:val="页脚 Char"/>
    <w:basedOn w:val="a0"/>
    <w:link w:val="a5"/>
    <w:uiPriority w:val="99"/>
    <w:rsid w:val="009A12D2"/>
    <w:rPr>
      <w:sz w:val="18"/>
      <w:szCs w:val="18"/>
    </w:rPr>
  </w:style>
  <w:style w:type="paragraph" w:styleId="a6">
    <w:name w:val="Balloon Text"/>
    <w:basedOn w:val="a"/>
    <w:link w:val="Char1"/>
    <w:semiHidden/>
    <w:unhideWhenUsed/>
    <w:rsid w:val="00603F39"/>
    <w:rPr>
      <w:sz w:val="18"/>
      <w:szCs w:val="18"/>
    </w:rPr>
  </w:style>
  <w:style w:type="character" w:customStyle="1" w:styleId="Char1">
    <w:name w:val="批注框文本 Char"/>
    <w:basedOn w:val="a0"/>
    <w:link w:val="a6"/>
    <w:semiHidden/>
    <w:rsid w:val="00603F39"/>
    <w:rPr>
      <w:sz w:val="18"/>
      <w:szCs w:val="18"/>
    </w:rPr>
  </w:style>
  <w:style w:type="character" w:styleId="a7">
    <w:name w:val="Hyperlink"/>
    <w:basedOn w:val="a0"/>
    <w:unhideWhenUsed/>
    <w:rsid w:val="00D514E8"/>
    <w:rPr>
      <w:color w:val="0000FF" w:themeColor="hyperlink"/>
      <w:u w:val="single"/>
    </w:rPr>
  </w:style>
  <w:style w:type="character" w:customStyle="1" w:styleId="UnresolvedMention">
    <w:name w:val="Unresolved Mention"/>
    <w:basedOn w:val="a0"/>
    <w:uiPriority w:val="99"/>
    <w:semiHidden/>
    <w:unhideWhenUsed/>
    <w:rsid w:val="00D51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257317">
      <w:bodyDiv w:val="1"/>
      <w:marLeft w:val="0"/>
      <w:marRight w:val="0"/>
      <w:marTop w:val="0"/>
      <w:marBottom w:val="0"/>
      <w:divBdr>
        <w:top w:val="none" w:sz="0" w:space="0" w:color="auto"/>
        <w:left w:val="none" w:sz="0" w:space="0" w:color="auto"/>
        <w:bottom w:val="none" w:sz="0" w:space="0" w:color="auto"/>
        <w:right w:val="none" w:sz="0" w:space="0" w:color="auto"/>
      </w:divBdr>
      <w:divsChild>
        <w:div w:id="745146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image" Target="media/image4.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5863</Words>
  <Characters>33423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Wally-Computer</dc:creator>
  <cp:lastModifiedBy>Lenovo</cp:lastModifiedBy>
  <cp:revision>9</cp:revision>
  <dcterms:created xsi:type="dcterms:W3CDTF">2021-03-22T02:16:00Z</dcterms:created>
  <dcterms:modified xsi:type="dcterms:W3CDTF">2021-03-22T02:55:00Z</dcterms:modified>
</cp:coreProperties>
</file>