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9C56"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Name of Journal: </w:t>
      </w:r>
      <w:r w:rsidRPr="00460721">
        <w:rPr>
          <w:rFonts w:ascii="Book Antiqua" w:eastAsia="Book Antiqua" w:hAnsi="Book Antiqua" w:cs="Book Antiqua"/>
          <w:i/>
          <w:color w:val="000000"/>
        </w:rPr>
        <w:t>World Journal of Gastroenterology</w:t>
      </w:r>
    </w:p>
    <w:p w14:paraId="2FBF9404"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Manuscript NO: </w:t>
      </w:r>
      <w:r w:rsidRPr="00460721">
        <w:rPr>
          <w:rFonts w:ascii="Book Antiqua" w:eastAsia="Book Antiqua" w:hAnsi="Book Antiqua" w:cs="Book Antiqua"/>
          <w:color w:val="000000"/>
        </w:rPr>
        <w:t>63190</w:t>
      </w:r>
    </w:p>
    <w:p w14:paraId="639E3232" w14:textId="39F3C8D3"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Manuscript Type: </w:t>
      </w:r>
      <w:r w:rsidR="00776276" w:rsidRPr="00776276">
        <w:rPr>
          <w:rFonts w:ascii="Book Antiqua" w:eastAsia="Book Antiqua" w:hAnsi="Book Antiqua" w:cs="Book Antiqua"/>
          <w:bCs/>
          <w:color w:val="000000"/>
        </w:rPr>
        <w:t>MINI</w:t>
      </w:r>
      <w:r w:rsidRPr="00460721">
        <w:rPr>
          <w:rFonts w:ascii="Book Antiqua" w:eastAsia="Book Antiqua" w:hAnsi="Book Antiqua" w:cs="Book Antiqua"/>
          <w:color w:val="000000"/>
        </w:rPr>
        <w:t>REVIEW</w:t>
      </w:r>
      <w:r w:rsidR="00776276">
        <w:rPr>
          <w:rFonts w:ascii="Book Antiqua" w:eastAsia="Book Antiqua" w:hAnsi="Book Antiqua" w:cs="Book Antiqua"/>
          <w:color w:val="000000"/>
        </w:rPr>
        <w:t>S</w:t>
      </w:r>
    </w:p>
    <w:p w14:paraId="46F892B6" w14:textId="77777777" w:rsidR="00A77B3E" w:rsidRPr="00460721" w:rsidRDefault="00A77B3E" w:rsidP="00460721">
      <w:pPr>
        <w:spacing w:line="360" w:lineRule="auto"/>
        <w:jc w:val="both"/>
        <w:rPr>
          <w:rFonts w:ascii="Book Antiqua" w:hAnsi="Book Antiqua"/>
        </w:rPr>
      </w:pPr>
    </w:p>
    <w:p w14:paraId="49213532" w14:textId="41D92584"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Metabolic and cardiovascular complications after virological cure in hepatitis C: </w:t>
      </w:r>
      <w:r w:rsidR="00B74C7C" w:rsidRPr="00460721">
        <w:rPr>
          <w:rFonts w:ascii="Book Antiqua" w:eastAsia="Book Antiqua" w:hAnsi="Book Antiqua" w:cs="Book Antiqua"/>
          <w:b/>
          <w:bCs/>
          <w:color w:val="000000"/>
        </w:rPr>
        <w:t>W</w:t>
      </w:r>
      <w:r w:rsidRPr="00460721">
        <w:rPr>
          <w:rFonts w:ascii="Book Antiqua" w:eastAsia="Book Antiqua" w:hAnsi="Book Antiqua" w:cs="Book Antiqua"/>
          <w:b/>
          <w:bCs/>
          <w:color w:val="000000"/>
        </w:rPr>
        <w:t>hat awaits beyond</w:t>
      </w:r>
    </w:p>
    <w:p w14:paraId="1A029A48" w14:textId="77777777" w:rsidR="00A77B3E" w:rsidRPr="00460721" w:rsidRDefault="00A77B3E" w:rsidP="00460721">
      <w:pPr>
        <w:spacing w:line="360" w:lineRule="auto"/>
        <w:jc w:val="both"/>
        <w:rPr>
          <w:rFonts w:ascii="Book Antiqua" w:hAnsi="Book Antiqua"/>
        </w:rPr>
      </w:pPr>
    </w:p>
    <w:p w14:paraId="70E56AD5" w14:textId="1B035C13" w:rsidR="00A77B3E" w:rsidRPr="00460721" w:rsidRDefault="00595FB1" w:rsidP="00460721">
      <w:pPr>
        <w:spacing w:line="360" w:lineRule="auto"/>
        <w:jc w:val="both"/>
        <w:rPr>
          <w:rFonts w:ascii="Book Antiqua" w:hAnsi="Book Antiqua"/>
        </w:rPr>
      </w:pPr>
      <w:r w:rsidRPr="00460721">
        <w:rPr>
          <w:rFonts w:ascii="Book Antiqua" w:eastAsia="Book Antiqua" w:hAnsi="Book Antiqua" w:cs="Book Antiqua"/>
          <w:color w:val="000000"/>
        </w:rPr>
        <w:t xml:space="preserve">Shengir </w:t>
      </w:r>
      <w:r>
        <w:rPr>
          <w:rFonts w:ascii="Book Antiqua" w:eastAsia="Book Antiqua" w:hAnsi="Book Antiqua" w:cs="Book Antiqua"/>
          <w:color w:val="000000"/>
        </w:rPr>
        <w:t xml:space="preserve">M </w:t>
      </w:r>
      <w:r w:rsidRPr="00595FB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6035" w:rsidRPr="00460721">
        <w:rPr>
          <w:rFonts w:ascii="Book Antiqua" w:eastAsia="Book Antiqua" w:hAnsi="Book Antiqua" w:cs="Book Antiqua"/>
          <w:color w:val="000000"/>
        </w:rPr>
        <w:t>Cardiometabolic complications</w:t>
      </w:r>
    </w:p>
    <w:p w14:paraId="2C4073CD" w14:textId="77777777" w:rsidR="00A77B3E" w:rsidRPr="00460721" w:rsidRDefault="00A77B3E" w:rsidP="00460721">
      <w:pPr>
        <w:spacing w:line="360" w:lineRule="auto"/>
        <w:jc w:val="both"/>
        <w:rPr>
          <w:rFonts w:ascii="Book Antiqua" w:hAnsi="Book Antiqua"/>
        </w:rPr>
      </w:pPr>
    </w:p>
    <w:p w14:paraId="3FA75438" w14:textId="77777777" w:rsidR="00A77B3E" w:rsidRPr="00CE18BA" w:rsidRDefault="00776035" w:rsidP="00460721">
      <w:pPr>
        <w:spacing w:line="360" w:lineRule="auto"/>
        <w:jc w:val="both"/>
        <w:rPr>
          <w:rFonts w:ascii="Book Antiqua" w:hAnsi="Book Antiqua"/>
          <w:lang w:val="pt-BR"/>
        </w:rPr>
      </w:pPr>
      <w:r w:rsidRPr="00CE18BA">
        <w:rPr>
          <w:rFonts w:ascii="Book Antiqua" w:eastAsia="Book Antiqua" w:hAnsi="Book Antiqua" w:cs="Book Antiqua"/>
          <w:color w:val="000000"/>
          <w:lang w:val="pt-BR"/>
        </w:rPr>
        <w:t>Mohamed Shengir, Mohamed Elgara, Giada Sebastiani</w:t>
      </w:r>
    </w:p>
    <w:p w14:paraId="1156AC88" w14:textId="77777777" w:rsidR="00A77B3E" w:rsidRPr="00CE18BA" w:rsidRDefault="00A77B3E" w:rsidP="00460721">
      <w:pPr>
        <w:spacing w:line="360" w:lineRule="auto"/>
        <w:jc w:val="both"/>
        <w:rPr>
          <w:rFonts w:ascii="Book Antiqua" w:hAnsi="Book Antiqua"/>
          <w:lang w:val="pt-BR"/>
        </w:rPr>
      </w:pPr>
    </w:p>
    <w:p w14:paraId="45259C1F" w14:textId="73B3FFF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Mohamed Shengir, </w:t>
      </w:r>
      <w:r w:rsidR="00EB401F" w:rsidRPr="00460721">
        <w:rPr>
          <w:rFonts w:ascii="Book Antiqua" w:hAnsi="Book Antiqua" w:cstheme="majorBidi"/>
        </w:rPr>
        <w:t xml:space="preserve">Department of </w:t>
      </w:r>
      <w:r w:rsidRPr="00460721">
        <w:rPr>
          <w:rFonts w:ascii="Book Antiqua" w:eastAsia="Book Antiqua" w:hAnsi="Book Antiqua" w:cs="Book Antiqua"/>
          <w:color w:val="000000"/>
        </w:rPr>
        <w:t>Medicine, McGill University, Montreal, Quebec</w:t>
      </w:r>
      <w:r w:rsidR="00EB401F" w:rsidRPr="00460721">
        <w:rPr>
          <w:rFonts w:ascii="Book Antiqua" w:eastAsia="Book Antiqua" w:hAnsi="Book Antiqua" w:cs="Book Antiqua"/>
          <w:color w:val="000000"/>
        </w:rPr>
        <w:t xml:space="preserve"> H3A0G4</w:t>
      </w:r>
      <w:r w:rsidRPr="00460721">
        <w:rPr>
          <w:rFonts w:ascii="Book Antiqua" w:eastAsia="Book Antiqua" w:hAnsi="Book Antiqua" w:cs="Book Antiqua"/>
          <w:color w:val="000000"/>
        </w:rPr>
        <w:t>, Canada</w:t>
      </w:r>
    </w:p>
    <w:p w14:paraId="4EE32C60" w14:textId="77777777" w:rsidR="00A77B3E" w:rsidRPr="00460721" w:rsidRDefault="00A77B3E" w:rsidP="00460721">
      <w:pPr>
        <w:spacing w:line="360" w:lineRule="auto"/>
        <w:jc w:val="both"/>
        <w:rPr>
          <w:rFonts w:ascii="Book Antiqua" w:hAnsi="Book Antiqua"/>
        </w:rPr>
      </w:pPr>
    </w:p>
    <w:p w14:paraId="7C2A33EA" w14:textId="125D0FB1"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Mohamed Elgara, </w:t>
      </w:r>
      <w:r w:rsidR="00EB401F" w:rsidRPr="00460721">
        <w:rPr>
          <w:rFonts w:ascii="Book Antiqua" w:hAnsi="Book Antiqua" w:cstheme="majorBidi"/>
        </w:rPr>
        <w:t xml:space="preserve">Department of </w:t>
      </w:r>
      <w:r w:rsidRPr="00460721">
        <w:rPr>
          <w:rFonts w:ascii="Book Antiqua" w:eastAsia="Book Antiqua" w:hAnsi="Book Antiqua" w:cs="Book Antiqua"/>
          <w:color w:val="000000"/>
        </w:rPr>
        <w:t>Internal Medicine, Hamad Medical Corporation, Doha 3050, Qatar</w:t>
      </w:r>
    </w:p>
    <w:p w14:paraId="7A169E6D" w14:textId="77777777" w:rsidR="00A77B3E" w:rsidRPr="00460721" w:rsidRDefault="00A77B3E" w:rsidP="00460721">
      <w:pPr>
        <w:spacing w:line="360" w:lineRule="auto"/>
        <w:jc w:val="both"/>
        <w:rPr>
          <w:rFonts w:ascii="Book Antiqua" w:hAnsi="Book Antiqua"/>
        </w:rPr>
      </w:pPr>
    </w:p>
    <w:p w14:paraId="50C8B6B4" w14:textId="5E2B8FD8"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Giada Sebastiani, </w:t>
      </w:r>
      <w:r w:rsidR="00EB401F" w:rsidRPr="00460721">
        <w:rPr>
          <w:rFonts w:ascii="Book Antiqua" w:hAnsi="Book Antiqua" w:cstheme="majorBidi"/>
        </w:rPr>
        <w:t xml:space="preserve">Department of </w:t>
      </w:r>
      <w:r w:rsidRPr="00460721">
        <w:rPr>
          <w:rFonts w:ascii="Book Antiqua" w:eastAsia="Book Antiqua" w:hAnsi="Book Antiqua" w:cs="Book Antiqua"/>
          <w:color w:val="000000"/>
        </w:rPr>
        <w:t>Medicine, McGill University Health Center, Montreal, Quebec</w:t>
      </w:r>
      <w:r w:rsidR="00EB401F" w:rsidRPr="00460721">
        <w:rPr>
          <w:rFonts w:ascii="Book Antiqua" w:eastAsia="Book Antiqua" w:hAnsi="Book Antiqua" w:cs="Book Antiqua"/>
          <w:color w:val="000000"/>
        </w:rPr>
        <w:t xml:space="preserve"> H4A3J1</w:t>
      </w:r>
      <w:r w:rsidRPr="00460721">
        <w:rPr>
          <w:rFonts w:ascii="Book Antiqua" w:eastAsia="Book Antiqua" w:hAnsi="Book Antiqua" w:cs="Book Antiqua"/>
          <w:color w:val="000000"/>
        </w:rPr>
        <w:t>, Canada</w:t>
      </w:r>
    </w:p>
    <w:p w14:paraId="3F160204" w14:textId="77777777" w:rsidR="00A77B3E" w:rsidRPr="00460721" w:rsidRDefault="00A77B3E" w:rsidP="00460721">
      <w:pPr>
        <w:spacing w:line="360" w:lineRule="auto"/>
        <w:jc w:val="both"/>
        <w:rPr>
          <w:rFonts w:ascii="Book Antiqua" w:hAnsi="Book Antiqua"/>
        </w:rPr>
      </w:pPr>
    </w:p>
    <w:p w14:paraId="4A581923" w14:textId="7021519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Author contributions: </w:t>
      </w:r>
      <w:r w:rsidRPr="00460721">
        <w:rPr>
          <w:rFonts w:ascii="Book Antiqua" w:eastAsia="Book Antiqua" w:hAnsi="Book Antiqua" w:cs="Book Antiqua"/>
          <w:color w:val="000000"/>
        </w:rPr>
        <w:t>Shengir M wrote the paper</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Elgara M participated in writing the paper</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Sebastiani G reviewed and critically revised the manuscript.</w:t>
      </w:r>
    </w:p>
    <w:p w14:paraId="30C92AB5" w14:textId="77777777" w:rsidR="00A77B3E" w:rsidRPr="00460721" w:rsidRDefault="00A77B3E" w:rsidP="00460721">
      <w:pPr>
        <w:spacing w:line="360" w:lineRule="auto"/>
        <w:jc w:val="both"/>
        <w:rPr>
          <w:rFonts w:ascii="Book Antiqua" w:hAnsi="Book Antiqua"/>
        </w:rPr>
      </w:pPr>
    </w:p>
    <w:p w14:paraId="3078372C" w14:textId="36B1C3F2"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Supported by </w:t>
      </w:r>
      <w:r w:rsidRPr="00460721">
        <w:rPr>
          <w:rFonts w:ascii="Book Antiqua" w:eastAsia="Book Antiqua" w:hAnsi="Book Antiqua" w:cs="Book Antiqua"/>
          <w:color w:val="000000"/>
        </w:rPr>
        <w:t>Junior 1 and 2 Salary Award from Fonds de la Recherche en Santé du Québec</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 xml:space="preserve">No. </w:t>
      </w:r>
      <w:r w:rsidRPr="00460721">
        <w:rPr>
          <w:rFonts w:ascii="Book Antiqua" w:eastAsia="Book Antiqua" w:hAnsi="Book Antiqua" w:cs="Book Antiqua"/>
          <w:color w:val="000000"/>
        </w:rPr>
        <w:t>27127</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595FB1" w:rsidRPr="00460721">
        <w:rPr>
          <w:rFonts w:ascii="Book Antiqua" w:eastAsia="Book Antiqua" w:hAnsi="Book Antiqua" w:cs="Book Antiqua"/>
          <w:color w:val="000000"/>
        </w:rPr>
        <w:t>Junior 1 and 2 Salary Award from Fonds de la Recherche en Santé du Québec</w:t>
      </w:r>
      <w:r w:rsidR="00595FB1">
        <w:rPr>
          <w:rFonts w:ascii="Book Antiqua" w:eastAsia="Book Antiqua" w:hAnsi="Book Antiqua" w:cs="Book Antiqua"/>
          <w:color w:val="000000"/>
        </w:rPr>
        <w:t>,</w:t>
      </w:r>
      <w:r w:rsidR="00595FB1"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 xml:space="preserve">No. </w:t>
      </w:r>
      <w:r w:rsidRPr="00460721">
        <w:rPr>
          <w:rFonts w:ascii="Book Antiqua" w:eastAsia="Book Antiqua" w:hAnsi="Book Antiqua" w:cs="Book Antiqua"/>
          <w:color w:val="000000"/>
        </w:rPr>
        <w:t>267806</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R</w:t>
      </w:r>
      <w:r w:rsidRPr="00460721">
        <w:rPr>
          <w:rFonts w:ascii="Book Antiqua" w:eastAsia="Book Antiqua" w:hAnsi="Book Antiqua" w:cs="Book Antiqua"/>
          <w:color w:val="000000"/>
        </w:rPr>
        <w:t xml:space="preserve">esearch </w:t>
      </w:r>
      <w:r w:rsidR="00595FB1">
        <w:rPr>
          <w:rFonts w:ascii="Book Antiqua" w:eastAsia="Book Antiqua" w:hAnsi="Book Antiqua" w:cs="Book Antiqua"/>
          <w:color w:val="000000"/>
        </w:rPr>
        <w:t>S</w:t>
      </w:r>
      <w:r w:rsidRPr="00460721">
        <w:rPr>
          <w:rFonts w:ascii="Book Antiqua" w:eastAsia="Book Antiqua" w:hAnsi="Book Antiqua" w:cs="Book Antiqua"/>
          <w:color w:val="000000"/>
        </w:rPr>
        <w:t>alary from the Department of Medicine of McGill University</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4F0843">
        <w:rPr>
          <w:rFonts w:ascii="Book Antiqua" w:eastAsia="Book Antiqua" w:hAnsi="Book Antiqua" w:cs="Book Antiqua"/>
          <w:color w:val="000000"/>
        </w:rPr>
        <w:t xml:space="preserve">and </w:t>
      </w:r>
      <w:r w:rsidRPr="00460721">
        <w:rPr>
          <w:rFonts w:ascii="Book Antiqua" w:eastAsia="Book Antiqua" w:hAnsi="Book Antiqua" w:cs="Book Antiqua"/>
          <w:color w:val="000000"/>
        </w:rPr>
        <w:t xml:space="preserve">Pfizer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U</w:t>
      </w:r>
      <w:r w:rsidRPr="00460721">
        <w:rPr>
          <w:rFonts w:ascii="Book Antiqua" w:eastAsia="Book Antiqua" w:hAnsi="Book Antiqua" w:cs="Book Antiqua"/>
          <w:color w:val="000000"/>
        </w:rPr>
        <w:t xml:space="preserve">nrestricted </w:t>
      </w:r>
      <w:r w:rsidR="00595FB1">
        <w:rPr>
          <w:rFonts w:ascii="Book Antiqua" w:eastAsia="Book Antiqua" w:hAnsi="Book Antiqua" w:cs="Book Antiqua"/>
          <w:color w:val="000000"/>
        </w:rPr>
        <w:t>E</w:t>
      </w:r>
      <w:r w:rsidRPr="00460721">
        <w:rPr>
          <w:rFonts w:ascii="Book Antiqua" w:eastAsia="Book Antiqua" w:hAnsi="Book Antiqua" w:cs="Book Antiqua"/>
          <w:color w:val="000000"/>
        </w:rPr>
        <w:t xml:space="preserve">ducational </w:t>
      </w:r>
      <w:r w:rsidR="00595FB1">
        <w:rPr>
          <w:rFonts w:ascii="Book Antiqua" w:eastAsia="Book Antiqua" w:hAnsi="Book Antiqua" w:cs="Book Antiqua"/>
          <w:color w:val="000000"/>
        </w:rPr>
        <w:t>G</w:t>
      </w:r>
      <w:r w:rsidRPr="00460721">
        <w:rPr>
          <w:rFonts w:ascii="Book Antiqua" w:eastAsia="Book Antiqua" w:hAnsi="Book Antiqua" w:cs="Book Antiqua"/>
          <w:color w:val="000000"/>
        </w:rPr>
        <w:t>rant.</w:t>
      </w:r>
    </w:p>
    <w:p w14:paraId="0EE96F86" w14:textId="77777777" w:rsidR="00A77B3E" w:rsidRPr="00460721" w:rsidRDefault="00A77B3E" w:rsidP="00460721">
      <w:pPr>
        <w:spacing w:line="360" w:lineRule="auto"/>
        <w:jc w:val="both"/>
        <w:rPr>
          <w:rFonts w:ascii="Book Antiqua" w:hAnsi="Book Antiqua"/>
        </w:rPr>
      </w:pPr>
    </w:p>
    <w:p w14:paraId="2C6827AC" w14:textId="784674EF" w:rsidR="00A77B3E" w:rsidRPr="00460721" w:rsidRDefault="00776035" w:rsidP="00460721">
      <w:pPr>
        <w:spacing w:line="360" w:lineRule="auto"/>
        <w:jc w:val="both"/>
        <w:rPr>
          <w:rFonts w:ascii="Book Antiqua" w:hAnsi="Book Antiqua"/>
          <w:lang w:val="pt-BR"/>
        </w:rPr>
      </w:pPr>
      <w:r w:rsidRPr="00460721">
        <w:rPr>
          <w:rFonts w:ascii="Book Antiqua" w:eastAsia="Book Antiqua" w:hAnsi="Book Antiqua" w:cs="Book Antiqua"/>
          <w:b/>
          <w:bCs/>
          <w:color w:val="000000"/>
        </w:rPr>
        <w:lastRenderedPageBreak/>
        <w:t xml:space="preserve">Corresponding author: Giada Sebastiani, MD, Associate Professor, </w:t>
      </w:r>
      <w:r w:rsidR="00547838" w:rsidRPr="00460721">
        <w:rPr>
          <w:rFonts w:ascii="Book Antiqua" w:hAnsi="Book Antiqua" w:cstheme="majorBidi"/>
        </w:rPr>
        <w:t xml:space="preserve">Department of </w:t>
      </w:r>
      <w:r w:rsidR="00547838" w:rsidRPr="00460721">
        <w:rPr>
          <w:rFonts w:ascii="Book Antiqua" w:eastAsia="Book Antiqua" w:hAnsi="Book Antiqua" w:cs="Book Antiqua"/>
          <w:color w:val="000000"/>
        </w:rPr>
        <w:t>Medicine, McGill University Health Center</w:t>
      </w:r>
      <w:r w:rsidRPr="00460721">
        <w:rPr>
          <w:rFonts w:ascii="Book Antiqua" w:eastAsia="Book Antiqua" w:hAnsi="Book Antiqua" w:cs="Book Antiqua"/>
          <w:color w:val="000000"/>
        </w:rPr>
        <w:t xml:space="preserve">, 1001 Blvd. </w:t>
      </w:r>
      <w:r w:rsidRPr="00460721">
        <w:rPr>
          <w:rFonts w:ascii="Book Antiqua" w:eastAsia="Book Antiqua" w:hAnsi="Book Antiqua" w:cs="Book Antiqua"/>
          <w:color w:val="000000"/>
          <w:lang w:val="pt-BR"/>
        </w:rPr>
        <w:t>Decarie, Montreal, Quebec</w:t>
      </w:r>
      <w:r w:rsidR="00547838" w:rsidRPr="00547838">
        <w:rPr>
          <w:rFonts w:ascii="Book Antiqua" w:eastAsia="Book Antiqua" w:hAnsi="Book Antiqua" w:cs="Book Antiqua"/>
          <w:color w:val="000000"/>
          <w:lang w:val="pt-BR"/>
        </w:rPr>
        <w:t xml:space="preserve"> </w:t>
      </w:r>
      <w:r w:rsidR="00547838" w:rsidRPr="00460721">
        <w:rPr>
          <w:rFonts w:ascii="Book Antiqua" w:eastAsia="Book Antiqua" w:hAnsi="Book Antiqua" w:cs="Book Antiqua"/>
          <w:color w:val="000000"/>
          <w:lang w:val="pt-BR"/>
        </w:rPr>
        <w:t>H4A3J1</w:t>
      </w:r>
      <w:r w:rsidRPr="00460721">
        <w:rPr>
          <w:rFonts w:ascii="Book Antiqua" w:eastAsia="Book Antiqua" w:hAnsi="Book Antiqua" w:cs="Book Antiqua"/>
          <w:color w:val="000000"/>
          <w:lang w:val="pt-BR"/>
        </w:rPr>
        <w:t>, Canada. giada.sebastiani@mcgill.ca</w:t>
      </w:r>
    </w:p>
    <w:p w14:paraId="32C6A99B" w14:textId="77777777" w:rsidR="00A77B3E" w:rsidRPr="00460721" w:rsidRDefault="00A77B3E" w:rsidP="00460721">
      <w:pPr>
        <w:spacing w:line="360" w:lineRule="auto"/>
        <w:jc w:val="both"/>
        <w:rPr>
          <w:rFonts w:ascii="Book Antiqua" w:hAnsi="Book Antiqua"/>
          <w:lang w:val="pt-BR"/>
        </w:rPr>
      </w:pPr>
    </w:p>
    <w:p w14:paraId="0A657B06" w14:textId="48D2C397" w:rsidR="00A77B3E" w:rsidRPr="00D127DD" w:rsidRDefault="00D127DD" w:rsidP="00460721">
      <w:pPr>
        <w:spacing w:line="360" w:lineRule="auto"/>
        <w:jc w:val="both"/>
        <w:rPr>
          <w:rFonts w:ascii="宋体" w:eastAsia="宋体" w:hAnsi="宋体" w:cs="宋体"/>
          <w:lang w:eastAsia="zh-CN"/>
        </w:rPr>
      </w:pPr>
      <w:r w:rsidRPr="00D127DD">
        <w:rPr>
          <w:rFonts w:ascii="Book Antiqua" w:eastAsia="宋体" w:hAnsi="Book Antiqua" w:cs="宋体"/>
          <w:b/>
          <w:bCs/>
          <w:lang w:eastAsia="zh-CN"/>
        </w:rPr>
        <w:t xml:space="preserve">Received: </w:t>
      </w:r>
      <w:r w:rsidRPr="00D127DD">
        <w:rPr>
          <w:rFonts w:ascii="Book Antiqua" w:eastAsia="宋体" w:hAnsi="Book Antiqua" w:cs="宋体"/>
          <w:lang w:eastAsia="zh-CN"/>
        </w:rPr>
        <w:t>January 25, 2021</w:t>
      </w:r>
    </w:p>
    <w:p w14:paraId="722D553E"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Revised: </w:t>
      </w:r>
      <w:r w:rsidRPr="00460721">
        <w:rPr>
          <w:rFonts w:ascii="Book Antiqua" w:eastAsia="Book Antiqua" w:hAnsi="Book Antiqua" w:cs="Book Antiqua"/>
          <w:color w:val="000000"/>
        </w:rPr>
        <w:t>March 6, 2021</w:t>
      </w:r>
    </w:p>
    <w:p w14:paraId="502C10FA" w14:textId="03224BE6"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Accepted: </w:t>
      </w:r>
      <w:r w:rsidR="006A0AE1" w:rsidRPr="006A0AE1">
        <w:rPr>
          <w:rFonts w:ascii="Book Antiqua" w:eastAsia="Book Antiqua" w:hAnsi="Book Antiqua" w:cs="Book Antiqua"/>
          <w:color w:val="000000"/>
        </w:rPr>
        <w:t>April 12, 2021</w:t>
      </w:r>
    </w:p>
    <w:p w14:paraId="45941E90" w14:textId="6B27EFD6"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Published online: </w:t>
      </w:r>
      <w:r w:rsidR="0071501D" w:rsidRPr="00AE11C5">
        <w:rPr>
          <w:rFonts w:ascii="Book Antiqua" w:eastAsia="Book Antiqua" w:hAnsi="Book Antiqua" w:cs="Book Antiqua"/>
          <w:bCs/>
          <w:color w:val="000000"/>
        </w:rPr>
        <w:t>May</w:t>
      </w:r>
      <w:r w:rsidR="0071501D">
        <w:rPr>
          <w:rFonts w:ascii="Book Antiqua" w:hAnsi="Book Antiqua" w:cs="Book Antiqua" w:hint="eastAsia"/>
          <w:bCs/>
          <w:color w:val="000000"/>
          <w:lang w:eastAsia="zh-CN"/>
        </w:rPr>
        <w:t xml:space="preserve"> 7</w:t>
      </w:r>
      <w:r w:rsidR="0071501D" w:rsidRPr="002D5D30">
        <w:rPr>
          <w:rFonts w:ascii="Book Antiqua" w:eastAsia="Book Antiqua" w:hAnsi="Book Antiqua" w:cs="Book Antiqua"/>
          <w:color w:val="000000"/>
        </w:rPr>
        <w:t>, 2021</w:t>
      </w:r>
    </w:p>
    <w:p w14:paraId="5E6548B0" w14:textId="77777777" w:rsidR="00A77B3E" w:rsidRPr="00460721" w:rsidRDefault="00A77B3E" w:rsidP="00460721">
      <w:pPr>
        <w:spacing w:line="360" w:lineRule="auto"/>
        <w:jc w:val="both"/>
        <w:rPr>
          <w:rFonts w:ascii="Book Antiqua" w:hAnsi="Book Antiqua"/>
        </w:rPr>
        <w:sectPr w:rsidR="00A77B3E" w:rsidRPr="00460721">
          <w:footerReference w:type="default" r:id="rId8"/>
          <w:pgSz w:w="12240" w:h="15840"/>
          <w:pgMar w:top="1440" w:right="1440" w:bottom="1440" w:left="1440" w:header="720" w:footer="720" w:gutter="0"/>
          <w:cols w:space="720"/>
          <w:docGrid w:linePitch="360"/>
        </w:sectPr>
      </w:pPr>
    </w:p>
    <w:p w14:paraId="6EA261A0"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Abstract</w:t>
      </w:r>
    </w:p>
    <w:p w14:paraId="66882139" w14:textId="7807FD29"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The association between chronic hepatitis C (CHC) infection and extrahepatic manifestations (EHMs), particularly cardiometabolic diseases, has been extensively examined. However, there has still been insufficient evaluation for these EHMs after virological cure. Several multidirectional mechanisms have been proposed explaining the ability of hepatitis C virus (HCV) developing EHMs, cardiometabolic </w:t>
      </w:r>
      <w:r w:rsidR="0063091B" w:rsidRPr="00460721">
        <w:rPr>
          <w:rFonts w:ascii="Book Antiqua" w:eastAsia="Book Antiqua" w:hAnsi="Book Antiqua" w:cs="Book Antiqua"/>
          <w:color w:val="000000"/>
        </w:rPr>
        <w:t>ones, as well as</w:t>
      </w:r>
      <w:r w:rsidRPr="00460721">
        <w:rPr>
          <w:rFonts w:ascii="Book Antiqua" w:eastAsia="Book Antiqua" w:hAnsi="Book Antiqua" w:cs="Book Antiqua"/>
          <w:color w:val="000000"/>
        </w:rPr>
        <w:t xml:space="preserve"> the effect of antiviral therapy to resolve these EHMs. Data on these manifestations after achieving sustained virologic response (SVR) are still conflicting. However, current evidence suggests that reversal of hepatic steatosis and its coexistent hypocholesterolemia after successful viral eradication led to unfavorable lipid profile, which increases cardiovascular disease (CVD) risk. Additionally, most observations showed that metabolic alterations, such as insulin resistance and diabetes mellitus (DM), undergo some degree of reduction after viral clearance. These changes seem HCV-genotype dependent. Interferon-based antiviral therapy and direct acting antiviral drugs were shown to minimize incidence of DM. Large epidemiological studies that investigated the effect of SVR on CVD showed great discrepancies in terms of results, with predominant findings indicating that CVD events decreased in patients with SVR compared to non-responders or untreated ones. In this review, we present a summary of the current knowledge regarding extrahepatic sequelae of CHC following SVR, which may have an impact on healthcare providers’ clinical practice.</w:t>
      </w:r>
    </w:p>
    <w:p w14:paraId="0F6F6958" w14:textId="77777777" w:rsidR="00A77B3E" w:rsidRPr="00460721" w:rsidRDefault="00A77B3E" w:rsidP="00460721">
      <w:pPr>
        <w:spacing w:line="360" w:lineRule="auto"/>
        <w:jc w:val="both"/>
        <w:rPr>
          <w:rFonts w:ascii="Book Antiqua" w:hAnsi="Book Antiqua"/>
        </w:rPr>
      </w:pPr>
    </w:p>
    <w:p w14:paraId="4028FC15" w14:textId="53ABE63A"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Key Words: </w:t>
      </w:r>
      <w:r w:rsidRPr="00460721">
        <w:rPr>
          <w:rFonts w:ascii="Book Antiqua" w:eastAsia="Book Antiqua" w:hAnsi="Book Antiqua" w:cs="Book Antiqua"/>
          <w:color w:val="000000"/>
        </w:rPr>
        <w:t>Chronic hepatitis C</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S</w:t>
      </w:r>
      <w:r w:rsidRPr="00460721">
        <w:rPr>
          <w:rFonts w:ascii="Book Antiqua" w:eastAsia="Book Antiqua" w:hAnsi="Book Antiqua" w:cs="Book Antiqua"/>
          <w:color w:val="000000"/>
        </w:rPr>
        <w:t>ustained virologic response</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H</w:t>
      </w:r>
      <w:r w:rsidRPr="00460721">
        <w:rPr>
          <w:rFonts w:ascii="Book Antiqua" w:eastAsia="Book Antiqua" w:hAnsi="Book Antiqua" w:cs="Book Antiqua"/>
          <w:color w:val="000000"/>
        </w:rPr>
        <w:t>epatic steatosis</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D</w:t>
      </w:r>
      <w:r w:rsidRPr="00460721">
        <w:rPr>
          <w:rFonts w:ascii="Book Antiqua" w:eastAsia="Book Antiqua" w:hAnsi="Book Antiqua" w:cs="Book Antiqua"/>
          <w:color w:val="000000"/>
        </w:rPr>
        <w:t>iabetes mellitus</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C</w:t>
      </w:r>
      <w:r w:rsidRPr="00460721">
        <w:rPr>
          <w:rFonts w:ascii="Book Antiqua" w:eastAsia="Book Antiqua" w:hAnsi="Book Antiqua" w:cs="Book Antiqua"/>
          <w:color w:val="000000"/>
        </w:rPr>
        <w:t>ardiovascular disease</w:t>
      </w:r>
    </w:p>
    <w:p w14:paraId="3275F37C" w14:textId="77777777" w:rsidR="008B72B3" w:rsidRDefault="008B72B3" w:rsidP="008B72B3">
      <w:pPr>
        <w:spacing w:line="360" w:lineRule="auto"/>
        <w:jc w:val="both"/>
        <w:rPr>
          <w:lang w:eastAsia="zh-CN"/>
        </w:rPr>
      </w:pPr>
    </w:p>
    <w:p w14:paraId="720AB462" w14:textId="77777777" w:rsidR="008B72B3" w:rsidRPr="00026CB8" w:rsidRDefault="008B72B3" w:rsidP="008B72B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5B846C" w14:textId="77777777" w:rsidR="00A77B3E" w:rsidRPr="00460721" w:rsidRDefault="00A77B3E" w:rsidP="00460721">
      <w:pPr>
        <w:spacing w:line="360" w:lineRule="auto"/>
        <w:jc w:val="both"/>
        <w:rPr>
          <w:rFonts w:ascii="Book Antiqua" w:hAnsi="Book Antiqua"/>
        </w:rPr>
      </w:pPr>
    </w:p>
    <w:p w14:paraId="13CA7BFA" w14:textId="0F10787C" w:rsidR="008B72B3" w:rsidRDefault="008B72B3" w:rsidP="00460721">
      <w:pPr>
        <w:spacing w:line="360" w:lineRule="auto"/>
        <w:jc w:val="both"/>
        <w:rPr>
          <w:rFonts w:ascii="Book Antiqua" w:hAnsi="Book Antiqua" w:cs="Book Antiqua" w:hint="eastAsia"/>
          <w:color w:val="000000"/>
          <w:lang w:eastAsia="zh-CN"/>
        </w:rPr>
      </w:pPr>
      <w:r w:rsidRPr="008B72B3">
        <w:rPr>
          <w:rFonts w:ascii="Book Antiqua" w:hAnsi="Book Antiqua" w:cs="Book Antiqua" w:hint="eastAsia"/>
          <w:b/>
          <w:color w:val="000000"/>
          <w:lang w:eastAsia="zh-CN"/>
        </w:rPr>
        <w:t xml:space="preserve">Citation: </w:t>
      </w:r>
      <w:r w:rsidR="00776035" w:rsidRPr="00460721">
        <w:rPr>
          <w:rFonts w:ascii="Book Antiqua" w:eastAsia="Book Antiqua" w:hAnsi="Book Antiqua" w:cs="Book Antiqua"/>
          <w:color w:val="000000"/>
        </w:rPr>
        <w:t xml:space="preserve">Shengir M, Elgara M, Sebastiani G. Metabolic and cardiovascular complications after virological cure in hepatitis C: </w:t>
      </w:r>
      <w:r w:rsidR="009E331B">
        <w:rPr>
          <w:rFonts w:ascii="Book Antiqua" w:eastAsia="Book Antiqua" w:hAnsi="Book Antiqua" w:cs="Book Antiqua"/>
          <w:color w:val="000000"/>
        </w:rPr>
        <w:t>W</w:t>
      </w:r>
      <w:r w:rsidR="00776035" w:rsidRPr="00460721">
        <w:rPr>
          <w:rFonts w:ascii="Book Antiqua" w:eastAsia="Book Antiqua" w:hAnsi="Book Antiqua" w:cs="Book Antiqua"/>
          <w:color w:val="000000"/>
        </w:rPr>
        <w:t xml:space="preserve">hat awaits beyond. </w:t>
      </w:r>
      <w:r w:rsidR="00776035" w:rsidRPr="00460721">
        <w:rPr>
          <w:rFonts w:ascii="Book Antiqua" w:eastAsia="Book Antiqua" w:hAnsi="Book Antiqua" w:cs="Book Antiqua"/>
          <w:i/>
          <w:iCs/>
          <w:color w:val="000000"/>
        </w:rPr>
        <w:t>World J Gastroenterol</w:t>
      </w:r>
      <w:r w:rsidR="00776035" w:rsidRPr="00460721">
        <w:rPr>
          <w:rFonts w:ascii="Book Antiqua" w:eastAsia="Book Antiqua" w:hAnsi="Book Antiqua" w:cs="Book Antiqua"/>
          <w:color w:val="000000"/>
        </w:rPr>
        <w:t xml:space="preserve"> </w:t>
      </w:r>
      <w:r w:rsidR="00A56EC2" w:rsidRPr="0032360E">
        <w:rPr>
          <w:rFonts w:ascii="Book Antiqua" w:eastAsia="Book Antiqua" w:hAnsi="Book Antiqua" w:cs="Book Antiqua"/>
          <w:color w:val="000000"/>
        </w:rPr>
        <w:t>202</w:t>
      </w:r>
      <w:r w:rsidR="00A56EC2">
        <w:rPr>
          <w:rFonts w:ascii="Book Antiqua" w:hAnsi="Book Antiqua" w:cs="Book Antiqua" w:hint="eastAsia"/>
          <w:color w:val="000000"/>
          <w:lang w:eastAsia="zh-CN"/>
        </w:rPr>
        <w:t>1</w:t>
      </w:r>
      <w:r w:rsidR="00A56EC2" w:rsidRPr="0032360E">
        <w:rPr>
          <w:rFonts w:ascii="Book Antiqua" w:eastAsia="Book Antiqua" w:hAnsi="Book Antiqua" w:cs="Book Antiqua"/>
          <w:color w:val="000000"/>
        </w:rPr>
        <w:t>; 2</w:t>
      </w:r>
      <w:r w:rsidR="00A56EC2">
        <w:rPr>
          <w:rFonts w:ascii="Book Antiqua" w:hAnsi="Book Antiqua" w:cs="Book Antiqua" w:hint="eastAsia"/>
          <w:color w:val="000000"/>
          <w:lang w:eastAsia="zh-CN"/>
        </w:rPr>
        <w:t>7</w:t>
      </w:r>
      <w:r w:rsidR="00A56EC2" w:rsidRPr="0032360E">
        <w:rPr>
          <w:rFonts w:ascii="Book Antiqua" w:eastAsia="Book Antiqua" w:hAnsi="Book Antiqua" w:cs="Book Antiqua"/>
          <w:color w:val="000000"/>
        </w:rPr>
        <w:t>(</w:t>
      </w:r>
      <w:r w:rsidR="00A56EC2">
        <w:rPr>
          <w:rFonts w:ascii="Book Antiqua" w:hAnsi="Book Antiqua" w:cs="Book Antiqua" w:hint="eastAsia"/>
          <w:color w:val="000000"/>
          <w:lang w:eastAsia="zh-CN"/>
        </w:rPr>
        <w:t>17</w:t>
      </w:r>
      <w:r w:rsidR="00A56EC2" w:rsidRPr="0032360E">
        <w:rPr>
          <w:rFonts w:ascii="Book Antiqua" w:eastAsia="Book Antiqua" w:hAnsi="Book Antiqua" w:cs="Book Antiqua"/>
          <w:color w:val="000000"/>
        </w:rPr>
        <w:t xml:space="preserve">): </w:t>
      </w:r>
      <w:r w:rsidR="00B5648A" w:rsidRPr="00B5648A">
        <w:rPr>
          <w:rFonts w:ascii="Book Antiqua" w:hAnsi="Book Antiqua" w:cs="Book Antiqua"/>
          <w:color w:val="000000"/>
          <w:lang w:eastAsia="zh-CN"/>
        </w:rPr>
        <w:t>1959</w:t>
      </w:r>
      <w:r w:rsidR="00A56EC2" w:rsidRPr="0032360E">
        <w:rPr>
          <w:rFonts w:ascii="Book Antiqua" w:eastAsia="Book Antiqua" w:hAnsi="Book Antiqua" w:cs="Book Antiqua"/>
          <w:color w:val="000000"/>
        </w:rPr>
        <w:t>-</w:t>
      </w:r>
      <w:r w:rsidR="00B5648A" w:rsidRPr="00B5648A">
        <w:rPr>
          <w:rFonts w:ascii="Book Antiqua" w:hAnsi="Book Antiqua" w:cs="Book Antiqua"/>
          <w:color w:val="000000"/>
          <w:lang w:eastAsia="zh-CN"/>
        </w:rPr>
        <w:t>1972</w:t>
      </w:r>
    </w:p>
    <w:p w14:paraId="3B1A817D" w14:textId="77777777" w:rsidR="008B72B3" w:rsidRDefault="00A56EC2" w:rsidP="00460721">
      <w:pPr>
        <w:spacing w:line="360" w:lineRule="auto"/>
        <w:jc w:val="both"/>
        <w:rPr>
          <w:rFonts w:ascii="Book Antiqua" w:hAnsi="Book Antiqua" w:cs="Book Antiqua" w:hint="eastAsia"/>
          <w:color w:val="000000"/>
          <w:lang w:eastAsia="zh-CN"/>
        </w:rPr>
      </w:pPr>
      <w:r w:rsidRPr="008B72B3">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17</w:t>
      </w:r>
      <w:r w:rsidRPr="0032360E">
        <w:rPr>
          <w:rFonts w:ascii="Book Antiqua" w:eastAsia="Book Antiqua" w:hAnsi="Book Antiqua" w:cs="Book Antiqua"/>
          <w:color w:val="000000"/>
        </w:rPr>
        <w:t>/</w:t>
      </w:r>
      <w:r w:rsidR="00B5648A">
        <w:rPr>
          <w:rFonts w:ascii="Book Antiqua" w:hAnsi="Book Antiqua" w:cs="Book Antiqua" w:hint="eastAsia"/>
          <w:color w:val="000000"/>
          <w:lang w:eastAsia="zh-CN"/>
        </w:rPr>
        <w:t>1959</w:t>
      </w:r>
      <w:r w:rsidRPr="0032360E">
        <w:rPr>
          <w:rFonts w:ascii="Book Antiqua" w:eastAsia="Book Antiqua" w:hAnsi="Book Antiqua" w:cs="Book Antiqua"/>
          <w:color w:val="000000"/>
        </w:rPr>
        <w:t xml:space="preserve">.htm </w:t>
      </w:r>
    </w:p>
    <w:p w14:paraId="74F4186B" w14:textId="02E6661D" w:rsidR="00A77B3E" w:rsidRPr="00460721" w:rsidRDefault="00A56EC2" w:rsidP="00460721">
      <w:pPr>
        <w:spacing w:line="360" w:lineRule="auto"/>
        <w:jc w:val="both"/>
        <w:rPr>
          <w:rFonts w:ascii="Book Antiqua" w:hAnsi="Book Antiqua"/>
        </w:rPr>
      </w:pPr>
      <w:r w:rsidRPr="008B72B3">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17</w:t>
      </w:r>
      <w:r w:rsidRPr="0032360E">
        <w:rPr>
          <w:rFonts w:ascii="Book Antiqua" w:eastAsia="Book Antiqua" w:hAnsi="Book Antiqua" w:cs="Book Antiqua"/>
          <w:color w:val="000000"/>
        </w:rPr>
        <w:t>.</w:t>
      </w:r>
      <w:r w:rsidR="00B5648A">
        <w:rPr>
          <w:rFonts w:ascii="Book Antiqua" w:hAnsi="Book Antiqua" w:cs="Book Antiqua" w:hint="eastAsia"/>
          <w:color w:val="000000"/>
          <w:lang w:eastAsia="zh-CN"/>
        </w:rPr>
        <w:t>1959</w:t>
      </w:r>
    </w:p>
    <w:p w14:paraId="5359C45F" w14:textId="77777777" w:rsidR="00A77B3E" w:rsidRPr="00460721" w:rsidRDefault="00A77B3E" w:rsidP="00460721">
      <w:pPr>
        <w:spacing w:line="360" w:lineRule="auto"/>
        <w:jc w:val="both"/>
        <w:rPr>
          <w:rFonts w:ascii="Book Antiqua" w:hAnsi="Book Antiqua"/>
        </w:rPr>
      </w:pPr>
    </w:p>
    <w:p w14:paraId="35CF41F6" w14:textId="2FEB7738"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Core Tip: </w:t>
      </w:r>
      <w:r w:rsidRPr="00460721">
        <w:rPr>
          <w:rFonts w:ascii="Book Antiqua" w:eastAsia="Book Antiqua" w:hAnsi="Book Antiqua" w:cs="Book Antiqua"/>
          <w:color w:val="000000"/>
        </w:rPr>
        <w:t>The</w:t>
      </w:r>
      <w:r w:rsidRPr="00460721">
        <w:rPr>
          <w:rFonts w:ascii="Book Antiqua" w:eastAsia="Book Antiqua" w:hAnsi="Book Antiqua" w:cs="Book Antiqua"/>
          <w:b/>
          <w:bCs/>
          <w:color w:val="000000"/>
        </w:rPr>
        <w:t xml:space="preserve"> </w:t>
      </w:r>
      <w:r w:rsidRPr="00460721">
        <w:rPr>
          <w:rFonts w:ascii="Book Antiqua" w:eastAsia="Book Antiqua" w:hAnsi="Book Antiqua" w:cs="Book Antiqua"/>
          <w:color w:val="000000"/>
        </w:rPr>
        <w:t xml:space="preserve">implementation of </w:t>
      </w:r>
      <w:r w:rsidR="00C97CAF" w:rsidRPr="00460721">
        <w:rPr>
          <w:rFonts w:ascii="Book Antiqua" w:eastAsia="Book Antiqua" w:hAnsi="Book Antiqua" w:cs="Book Antiqua"/>
          <w:color w:val="000000"/>
        </w:rPr>
        <w:t>direct acting antiviral drugs</w:t>
      </w:r>
      <w:r w:rsidRPr="00460721">
        <w:rPr>
          <w:rFonts w:ascii="Book Antiqua" w:eastAsia="Book Antiqua" w:hAnsi="Book Antiqua" w:cs="Book Antiqua"/>
          <w:color w:val="000000"/>
        </w:rPr>
        <w:t xml:space="preserve"> has dramatically changed the landscape of </w:t>
      </w:r>
      <w:r w:rsidR="007B67B8" w:rsidRPr="00460721">
        <w:rPr>
          <w:rFonts w:ascii="Book Antiqua" w:eastAsia="Book Antiqua" w:hAnsi="Book Antiqua" w:cs="Book Antiqua"/>
          <w:color w:val="000000"/>
        </w:rPr>
        <w:t>hepatitis C virus (HCV)</w:t>
      </w:r>
      <w:r w:rsidRPr="00460721">
        <w:rPr>
          <w:rFonts w:ascii="Book Antiqua" w:eastAsia="Book Antiqua" w:hAnsi="Book Antiqua" w:cs="Book Antiqua"/>
          <w:color w:val="000000"/>
        </w:rPr>
        <w:t xml:space="preserve"> treatment, with over 95% of patients achieving </w:t>
      </w:r>
      <w:r w:rsidR="007B67B8" w:rsidRPr="00460721">
        <w:rPr>
          <w:rFonts w:ascii="Book Antiqua" w:eastAsia="Book Antiqua" w:hAnsi="Book Antiqua" w:cs="Book Antiqua"/>
          <w:color w:val="000000"/>
        </w:rPr>
        <w:t>sustained virologic response (SVR)</w:t>
      </w:r>
      <w:r w:rsidRPr="00460721">
        <w:rPr>
          <w:rFonts w:ascii="Book Antiqua" w:eastAsia="Book Antiqua" w:hAnsi="Book Antiqua" w:cs="Book Antiqua"/>
          <w:color w:val="000000"/>
        </w:rPr>
        <w:t xml:space="preserve">. Although consistent evidence demonstrated better outcomes for both hepatic and extrahepatic complications after viral clearance, data on cardiometabolic manifestation showed inconsistent results. In this review, we are shading light on the latest findings about cardiometabolic </w:t>
      </w:r>
      <w:r w:rsidR="007B67B8" w:rsidRPr="00460721">
        <w:rPr>
          <w:rFonts w:ascii="Book Antiqua" w:eastAsia="Book Antiqua" w:hAnsi="Book Antiqua" w:cs="Book Antiqua"/>
          <w:color w:val="000000"/>
        </w:rPr>
        <w:t>extrahepatic manifestations</w:t>
      </w:r>
      <w:r w:rsidRPr="00460721">
        <w:rPr>
          <w:rFonts w:ascii="Book Antiqua" w:eastAsia="Book Antiqua" w:hAnsi="Book Antiqua" w:cs="Book Antiqua"/>
          <w:color w:val="000000"/>
        </w:rPr>
        <w:t xml:space="preserve"> post-SVR. These updates may guide clinicians engaged in HCV care to integrate in their management post-viral eradication risks and subsequent long-term care.</w:t>
      </w:r>
    </w:p>
    <w:p w14:paraId="6B223ED9" w14:textId="77777777" w:rsidR="00A77B3E" w:rsidRPr="00460721" w:rsidRDefault="00A77B3E" w:rsidP="00460721">
      <w:pPr>
        <w:spacing w:line="360" w:lineRule="auto"/>
        <w:jc w:val="both"/>
        <w:rPr>
          <w:rFonts w:ascii="Book Antiqua" w:hAnsi="Book Antiqua"/>
        </w:rPr>
      </w:pPr>
    </w:p>
    <w:p w14:paraId="1BD20BC9" w14:textId="2F6B4D43" w:rsidR="00A77B3E" w:rsidRPr="00460721" w:rsidRDefault="00911D06" w:rsidP="00460721">
      <w:pPr>
        <w:spacing w:line="360" w:lineRule="auto"/>
        <w:jc w:val="both"/>
        <w:rPr>
          <w:rFonts w:ascii="Book Antiqua" w:hAnsi="Book Antiqua"/>
        </w:rPr>
      </w:pPr>
      <w:r>
        <w:rPr>
          <w:rFonts w:ascii="Book Antiqua" w:eastAsia="Book Antiqua" w:hAnsi="Book Antiqua" w:cs="Book Antiqua"/>
          <w:b/>
          <w:caps/>
          <w:color w:val="000000"/>
          <w:u w:val="single"/>
        </w:rPr>
        <w:br w:type="page"/>
      </w:r>
      <w:r w:rsidR="00776035" w:rsidRPr="00460721">
        <w:rPr>
          <w:rFonts w:ascii="Book Antiqua" w:eastAsia="Book Antiqua" w:hAnsi="Book Antiqua" w:cs="Book Antiqua"/>
          <w:b/>
          <w:caps/>
          <w:color w:val="000000"/>
          <w:u w:val="single"/>
        </w:rPr>
        <w:t>INTRODUCTION</w:t>
      </w:r>
    </w:p>
    <w:p w14:paraId="641AE8B9" w14:textId="53438740"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Chronic hepatitis C (CHC) infection caused by hepatitis C virus (HCV) is associated with substantial morbidity and mortality globally, affecting </w:t>
      </w:r>
      <w:r w:rsidR="00911D06" w:rsidRPr="00911D06">
        <w:rPr>
          <w:rFonts w:ascii="Book Antiqua" w:eastAsia="Book Antiqua" w:hAnsi="Book Antiqua" w:cs="Book Antiqua"/>
          <w:color w:val="000000"/>
        </w:rPr>
        <w:t>approximately</w:t>
      </w:r>
      <w:r w:rsidR="00911D06">
        <w:rPr>
          <w:rFonts w:ascii="Book Antiqua" w:eastAsia="Book Antiqua" w:hAnsi="Book Antiqua" w:cs="Book Antiqua"/>
          <w:color w:val="000000"/>
        </w:rPr>
        <w:t xml:space="preserve"> </w:t>
      </w:r>
      <w:r w:rsidRPr="00460721">
        <w:rPr>
          <w:rFonts w:ascii="Book Antiqua" w:eastAsia="Book Antiqua" w:hAnsi="Book Antiqua" w:cs="Book Antiqua"/>
          <w:color w:val="000000"/>
        </w:rPr>
        <w:t>2.5% individuals (equivalent to 177.5 million) worldwide</w:t>
      </w:r>
      <w:r w:rsidR="00911D06" w:rsidRPr="00460721">
        <w:rPr>
          <w:rFonts w:ascii="Book Antiqua" w:eastAsia="Book Antiqua" w:hAnsi="Book Antiqua" w:cs="Book Antiqua"/>
          <w:color w:val="000000"/>
          <w:vertAlign w:val="superscript"/>
        </w:rPr>
        <w:t>[1]</w:t>
      </w:r>
      <w:r w:rsidRPr="00460721">
        <w:rPr>
          <w:rFonts w:ascii="Book Antiqua" w:eastAsia="Book Antiqua" w:hAnsi="Book Antiqua" w:cs="Book Antiqua"/>
          <w:color w:val="000000"/>
        </w:rPr>
        <w:t>. It is currently one of the leading etiologies for hepatocellular carcinoma (HCC) and decompensated cirrhosis requiring liver transplantation in Western countries</w:t>
      </w:r>
      <w:r w:rsidR="00911D06" w:rsidRPr="00460721">
        <w:rPr>
          <w:rFonts w:ascii="Book Antiqua" w:eastAsia="Book Antiqua" w:hAnsi="Book Antiqua" w:cs="Book Antiqua"/>
          <w:color w:val="000000"/>
          <w:vertAlign w:val="superscript"/>
        </w:rPr>
        <w:t>[2,3]</w:t>
      </w:r>
      <w:r w:rsidRPr="00460721">
        <w:rPr>
          <w:rFonts w:ascii="Book Antiqua" w:eastAsia="Book Antiqua" w:hAnsi="Book Antiqua" w:cs="Book Antiqua"/>
          <w:color w:val="000000"/>
        </w:rPr>
        <w:t xml:space="preserve">. </w:t>
      </w:r>
      <w:r w:rsidRPr="00460721">
        <w:rPr>
          <w:rFonts w:ascii="Book Antiqua" w:eastAsia="Book Antiqua" w:hAnsi="Book Antiqua" w:cs="Book Antiqua"/>
          <w:color w:val="000000"/>
          <w:shd w:val="clear" w:color="auto" w:fill="FFFFFF"/>
        </w:rPr>
        <w:t>The primary goal of treatment is to achieve the cure of the infection or sustained virologic response (SVR), defined as undetectable HCV RNA in the serum 12 or 24 wk after the end of treatment</w:t>
      </w:r>
      <w:r w:rsidR="00911D06" w:rsidRPr="00460721">
        <w:rPr>
          <w:rFonts w:ascii="Book Antiqua" w:eastAsia="Book Antiqua" w:hAnsi="Book Antiqua" w:cs="Book Antiqua"/>
          <w:color w:val="000000"/>
          <w:shd w:val="clear" w:color="auto" w:fill="FFFFFF"/>
          <w:vertAlign w:val="superscript"/>
        </w:rPr>
        <w:t>[4,5]</w:t>
      </w:r>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rPr>
        <w:t xml:space="preserve"> Since the introduction of first</w:t>
      </w:r>
      <w:r w:rsidR="00911D06">
        <w:rPr>
          <w:rFonts w:ascii="宋体" w:eastAsia="宋体" w:hAnsi="宋体" w:cs="宋体" w:hint="eastAsia"/>
          <w:color w:val="000000"/>
          <w:lang w:eastAsia="zh-CN"/>
        </w:rPr>
        <w:t>-</w:t>
      </w:r>
      <w:r w:rsidRPr="00460721">
        <w:rPr>
          <w:rFonts w:ascii="Book Antiqua" w:eastAsia="Book Antiqua" w:hAnsi="Book Antiqua" w:cs="Book Antiqua"/>
          <w:color w:val="000000"/>
        </w:rPr>
        <w:t>generation direct acting antiviral agents (DAAs), boceprevir and telaprevir, in 2011, there has been a rapidly expanding population of CHC patients achieving SVR</w:t>
      </w:r>
      <w:r w:rsidR="00911D06" w:rsidRPr="00460721">
        <w:rPr>
          <w:rFonts w:ascii="Book Antiqua" w:eastAsia="Book Antiqua" w:hAnsi="Book Antiqua" w:cs="Book Antiqua"/>
          <w:color w:val="000000"/>
          <w:vertAlign w:val="superscript"/>
        </w:rPr>
        <w:t>[6]</w:t>
      </w:r>
      <w:r w:rsidRPr="00460721">
        <w:rPr>
          <w:rFonts w:ascii="Book Antiqua" w:eastAsia="Book Antiqua" w:hAnsi="Book Antiqua" w:cs="Book Antiqua"/>
          <w:color w:val="000000"/>
        </w:rPr>
        <w:t>.</w:t>
      </w:r>
      <w:r w:rsidRPr="00460721">
        <w:rPr>
          <w:rFonts w:ascii="Book Antiqua" w:eastAsia="Book Antiqua" w:hAnsi="Book Antiqua" w:cs="Book Antiqua"/>
          <w:color w:val="000000"/>
          <w:shd w:val="clear" w:color="auto" w:fill="FFFFFF"/>
        </w:rPr>
        <w:t xml:space="preserve"> Viral eradication has been associated with marked reduction in the risk of end-stage liver disease, need for liver transplantation, and decrease in both liver</w:t>
      </w:r>
      <w:r w:rsidR="00911D06">
        <w:rPr>
          <w:rFonts w:ascii="宋体" w:eastAsia="宋体" w:hAnsi="宋体" w:cs="宋体" w:hint="eastAsia"/>
          <w:color w:val="000000"/>
          <w:shd w:val="clear" w:color="auto" w:fill="FFFFFF"/>
          <w:lang w:eastAsia="zh-CN"/>
        </w:rPr>
        <w:t>-</w:t>
      </w:r>
      <w:r w:rsidRPr="00460721">
        <w:rPr>
          <w:rFonts w:ascii="Book Antiqua" w:eastAsia="Book Antiqua" w:hAnsi="Book Antiqua" w:cs="Book Antiqua"/>
          <w:color w:val="000000"/>
          <w:shd w:val="clear" w:color="auto" w:fill="FFFFFF"/>
        </w:rPr>
        <w:t>related and overall mortality</w:t>
      </w:r>
      <w:r w:rsidR="00911D06" w:rsidRPr="00460721">
        <w:rPr>
          <w:rFonts w:ascii="Book Antiqua" w:eastAsia="Book Antiqua" w:hAnsi="Book Antiqua" w:cs="Book Antiqua"/>
          <w:color w:val="000000"/>
          <w:shd w:val="clear" w:color="auto" w:fill="FFFFFF"/>
          <w:vertAlign w:val="superscript"/>
        </w:rPr>
        <w:t>[7]</w:t>
      </w:r>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rPr>
        <w:t xml:space="preserve"> </w:t>
      </w:r>
    </w:p>
    <w:p w14:paraId="0D9306B3" w14:textId="7613D66F" w:rsidR="00A77B3E" w:rsidRPr="00460721" w:rsidRDefault="00776035" w:rsidP="00911D06">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Although HCV is a hepatotropic virus, </w:t>
      </w:r>
      <w:r w:rsidRPr="00460721">
        <w:rPr>
          <w:rFonts w:ascii="Book Antiqua" w:eastAsia="Book Antiqua" w:hAnsi="Book Antiqua" w:cs="Book Antiqua"/>
          <w:color w:val="000000"/>
          <w:shd w:val="clear" w:color="auto" w:fill="FFFFFF"/>
        </w:rPr>
        <w:t>for two decades several studies described the association between HCV and a heterogeneous array of extrahepatic manifestations (EHMs)</w:t>
      </w:r>
      <w:r w:rsidRPr="00460721">
        <w:rPr>
          <w:rFonts w:ascii="Book Antiqua" w:eastAsia="Book Antiqua" w:hAnsi="Book Antiqua" w:cs="Book Antiqua"/>
          <w:color w:val="000000"/>
          <w:shd w:val="clear" w:color="auto" w:fill="FFFFFF"/>
          <w:vertAlign w:val="superscript"/>
        </w:rPr>
        <w:t>[8-10]</w:t>
      </w:r>
      <w:r w:rsidRPr="00460721">
        <w:rPr>
          <w:rFonts w:ascii="Book Antiqua" w:eastAsia="Book Antiqua" w:hAnsi="Book Antiqua" w:cs="Book Antiqua"/>
          <w:color w:val="000000"/>
          <w:shd w:val="clear" w:color="auto" w:fill="FFFFFF"/>
        </w:rPr>
        <w:t xml:space="preserve"> (Figure 1)</w:t>
      </w:r>
      <w:r w:rsidRPr="00460721">
        <w:rPr>
          <w:rFonts w:ascii="Book Antiqua" w:eastAsia="Book Antiqua" w:hAnsi="Book Antiqua" w:cs="Book Antiqua"/>
          <w:color w:val="000000"/>
        </w:rPr>
        <w:t xml:space="preserve">. </w:t>
      </w:r>
      <w:r w:rsidRPr="00460721">
        <w:rPr>
          <w:rFonts w:ascii="Book Antiqua" w:eastAsia="Book Antiqua" w:hAnsi="Book Antiqua" w:cs="Book Antiqua"/>
          <w:color w:val="000000"/>
          <w:shd w:val="clear" w:color="auto" w:fill="FFFFFF"/>
        </w:rPr>
        <w:t>Yet, the mechanism by which the virus evokes the systemic diseases remain to be elucidated. Endocrine-metabolic alterations, which are most frequently found</w:t>
      </w:r>
      <w:r w:rsidRPr="00460721">
        <w:rPr>
          <w:rFonts w:ascii="Book Antiqua" w:eastAsia="Book Antiqua" w:hAnsi="Book Antiqua" w:cs="Book Antiqua"/>
          <w:color w:val="000000"/>
        </w:rPr>
        <w:t xml:space="preserve"> in CHC patients, are thought to be caused by direct and indirect effects of disturbing host lipid and glucose metabolism</w:t>
      </w:r>
      <w:r w:rsidRPr="00460721">
        <w:rPr>
          <w:rFonts w:ascii="Book Antiqua" w:eastAsia="Book Antiqua" w:hAnsi="Book Antiqua" w:cs="Book Antiqua"/>
          <w:color w:val="000000"/>
          <w:vertAlign w:val="superscript"/>
        </w:rPr>
        <w:t>[11,12]</w:t>
      </w:r>
      <w:r w:rsidRPr="00460721">
        <w:rPr>
          <w:rFonts w:ascii="Book Antiqua" w:eastAsia="Book Antiqua" w:hAnsi="Book Antiqua" w:cs="Book Antiqua"/>
          <w:color w:val="000000"/>
        </w:rPr>
        <w:t>, as well as alteration in adipocytokines released from adipose tissue</w:t>
      </w:r>
      <w:r w:rsidR="00911D06" w:rsidRPr="00460721">
        <w:rPr>
          <w:rFonts w:ascii="Book Antiqua" w:eastAsia="Book Antiqua" w:hAnsi="Book Antiqua" w:cs="Book Antiqua"/>
          <w:color w:val="000000"/>
          <w:vertAlign w:val="superscript"/>
        </w:rPr>
        <w:t>[13,14]</w:t>
      </w:r>
      <w:r w:rsidRPr="00460721">
        <w:rPr>
          <w:rFonts w:ascii="Book Antiqua" w:eastAsia="Book Antiqua" w:hAnsi="Book Antiqua" w:cs="Book Antiqua"/>
          <w:color w:val="000000"/>
        </w:rPr>
        <w:t xml:space="preserve">. Likewise, </w:t>
      </w:r>
      <w:r w:rsidRPr="00460721">
        <w:rPr>
          <w:rFonts w:ascii="Book Antiqua" w:eastAsia="Book Antiqua" w:hAnsi="Book Antiqua" w:cs="Book Antiqua"/>
          <w:color w:val="000000"/>
          <w:shd w:val="clear" w:color="auto" w:fill="FFFFFF"/>
        </w:rPr>
        <w:t>CHC infection has also been identified as an independent predictor for cardiovascular events such as carotid artery atherosclerosis, stroke, myocardial ischemia and heart failure, all of which are linked with poor outcomes</w:t>
      </w:r>
      <w:r w:rsidR="00911D06" w:rsidRPr="00460721">
        <w:rPr>
          <w:rFonts w:ascii="Book Antiqua" w:eastAsia="Book Antiqua" w:hAnsi="Book Antiqua" w:cs="Book Antiqua"/>
          <w:color w:val="000000"/>
          <w:shd w:val="clear" w:color="auto" w:fill="FFFFFF"/>
          <w:vertAlign w:val="superscript"/>
        </w:rPr>
        <w:t>[12]</w:t>
      </w:r>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rPr>
        <w:t xml:space="preserve"> Nevertheless, the impact on cardiovascular disease (CVD) is not fully established</w:t>
      </w:r>
      <w:r w:rsidR="00911D06" w:rsidRPr="00460721">
        <w:rPr>
          <w:rFonts w:ascii="Book Antiqua" w:eastAsia="Book Antiqua" w:hAnsi="Book Antiqua" w:cs="Book Antiqua"/>
          <w:color w:val="000000"/>
          <w:vertAlign w:val="superscript"/>
        </w:rPr>
        <w:t>[15]</w:t>
      </w:r>
      <w:r w:rsidRPr="00460721">
        <w:rPr>
          <w:rFonts w:ascii="Book Antiqua" w:eastAsia="Book Antiqua" w:hAnsi="Book Antiqua" w:cs="Book Antiqua"/>
          <w:color w:val="000000"/>
        </w:rPr>
        <w:t xml:space="preserve">. In clinical settings, the prognosis of CHC is not only depending on liver-related outcomes but also on extrahepatic sequelae. </w:t>
      </w:r>
    </w:p>
    <w:p w14:paraId="02AB1CA5" w14:textId="60A87532" w:rsidR="00A77B3E" w:rsidRPr="00460721" w:rsidRDefault="00776035" w:rsidP="00911D06">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Recently, much attention is drawn toward EHMs that occur following viral cure. Nonetheless, whether the development of such manifestations is a long-term consequence of the viral infection itself or an effect of HCV medications remains unknown. In this context, various reports have shown ample evidence for high prevalence of CVD and metabolic alterations such as dyslipidemia, hepatic steatosis, insulin resistance (IR), obesity </w:t>
      </w:r>
      <w:r w:rsidR="00183FE1">
        <w:rPr>
          <w:rFonts w:ascii="Book Antiqua" w:eastAsia="Book Antiqua" w:hAnsi="Book Antiqua" w:cs="Book Antiqua"/>
          <w:color w:val="000000"/>
        </w:rPr>
        <w:t xml:space="preserve">and </w:t>
      </w:r>
      <w:r w:rsidRPr="00460721">
        <w:rPr>
          <w:rFonts w:ascii="Book Antiqua" w:eastAsia="Book Antiqua" w:hAnsi="Book Antiqua" w:cs="Book Antiqua"/>
          <w:color w:val="000000"/>
        </w:rPr>
        <w:t>diabetes mellitus (DM)</w:t>
      </w:r>
      <w:r w:rsidRPr="00460721">
        <w:rPr>
          <w:rFonts w:ascii="Book Antiqua" w:eastAsia="Book Antiqua" w:hAnsi="Book Antiqua" w:cs="Book Antiqua"/>
          <w:color w:val="000000"/>
          <w:vertAlign w:val="superscript"/>
        </w:rPr>
        <w:t>[16-19]</w:t>
      </w:r>
      <w:r w:rsidRPr="00460721">
        <w:rPr>
          <w:rFonts w:ascii="Book Antiqua" w:eastAsia="Book Antiqua" w:hAnsi="Book Antiqua" w:cs="Book Antiqua"/>
          <w:color w:val="000000"/>
        </w:rPr>
        <w:t xml:space="preserve"> (Table 1). </w:t>
      </w:r>
      <w:r w:rsidRPr="00460721">
        <w:rPr>
          <w:rFonts w:ascii="Book Antiqua" w:eastAsia="Book Antiqua" w:hAnsi="Book Antiqua" w:cs="Book Antiqua"/>
          <w:color w:val="000000"/>
          <w:shd w:val="clear" w:color="auto" w:fill="FFFFFF"/>
        </w:rPr>
        <w:t xml:space="preserve">While the impact of CHC infection on liver-related outcomes pre- and post-treatment has been well studied, extrahepatic sequelae, especially in post-SVR setting, are less well known. This review article highlights the current knowledge regarding the effect of SVR on EHMs. </w:t>
      </w:r>
    </w:p>
    <w:p w14:paraId="79769A77" w14:textId="77777777" w:rsidR="00A77B3E" w:rsidRPr="00460721" w:rsidRDefault="00A77B3E" w:rsidP="00460721">
      <w:pPr>
        <w:spacing w:line="360" w:lineRule="auto"/>
        <w:jc w:val="both"/>
        <w:rPr>
          <w:rFonts w:ascii="Book Antiqua" w:hAnsi="Book Antiqua"/>
        </w:rPr>
      </w:pPr>
    </w:p>
    <w:p w14:paraId="5610ADBC" w14:textId="77777777" w:rsidR="00A77B3E" w:rsidRPr="00911D06" w:rsidRDefault="00776035" w:rsidP="00460721">
      <w:pPr>
        <w:spacing w:line="360" w:lineRule="auto"/>
        <w:jc w:val="both"/>
        <w:rPr>
          <w:rFonts w:ascii="Book Antiqua" w:eastAsia="Book Antiqua" w:hAnsi="Book Antiqua" w:cs="Book Antiqua"/>
          <w:b/>
          <w:caps/>
          <w:color w:val="000000"/>
          <w:u w:val="single"/>
        </w:rPr>
      </w:pPr>
      <w:r w:rsidRPr="00911D06">
        <w:rPr>
          <w:rFonts w:ascii="Book Antiqua" w:eastAsia="Book Antiqua" w:hAnsi="Book Antiqua" w:cs="Book Antiqua"/>
          <w:b/>
          <w:caps/>
          <w:color w:val="000000"/>
          <w:u w:val="single"/>
        </w:rPr>
        <w:t>Dyslipidemia</w:t>
      </w:r>
    </w:p>
    <w:p w14:paraId="58E5E26E" w14:textId="12A4BED2"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It has been known that HCV possesses a mutual relationship with host lipids and lipoproteins metabolisms, which the virus uses for multiple key steps in its life cycle</w:t>
      </w:r>
      <w:r w:rsidR="00911D06" w:rsidRPr="00460721">
        <w:rPr>
          <w:rFonts w:ascii="Book Antiqua" w:eastAsia="Book Antiqua" w:hAnsi="Book Antiqua" w:cs="Book Antiqua"/>
          <w:color w:val="000000"/>
          <w:vertAlign w:val="superscript"/>
        </w:rPr>
        <w:t>[20,21]</w:t>
      </w:r>
      <w:r w:rsidRPr="00460721">
        <w:rPr>
          <w:rFonts w:ascii="Book Antiqua" w:eastAsia="Book Antiqua" w:hAnsi="Book Antiqua" w:cs="Book Antiqua"/>
          <w:color w:val="000000"/>
        </w:rPr>
        <w:t>. HCV circulates as a lipid-rich particle, utilizing lipoprotein cell receptors to gain entry into the hepatocyte</w:t>
      </w:r>
      <w:r w:rsidR="00911D06" w:rsidRPr="00460721">
        <w:rPr>
          <w:rFonts w:ascii="Book Antiqua" w:eastAsia="Book Antiqua" w:hAnsi="Book Antiqua" w:cs="Book Antiqua"/>
          <w:color w:val="000000"/>
          <w:vertAlign w:val="superscript"/>
        </w:rPr>
        <w:t>[22,23]</w:t>
      </w:r>
      <w:r w:rsidRPr="00460721">
        <w:rPr>
          <w:rFonts w:ascii="Book Antiqua" w:eastAsia="Book Antiqua" w:hAnsi="Book Antiqua" w:cs="Book Antiqua"/>
          <w:color w:val="000000"/>
        </w:rPr>
        <w:t>. Within hepatocytes, it influences three mechanisms in lipid metabolism: it upregulates lipid biosynthesis, impairs mitochondrial β-oxidation and thus lipid degradation, and reduces apolipoprotein exportation, in particular very low-density lipoprotein cholesterol (LDL), resulting in significant intracellular lipid accumulation and circulating hypocholesterolemia and hypolipoproteinemia</w:t>
      </w:r>
      <w:r w:rsidR="00911D06" w:rsidRPr="00460721">
        <w:rPr>
          <w:rFonts w:ascii="Book Antiqua" w:eastAsia="Book Antiqua" w:hAnsi="Book Antiqua" w:cs="Book Antiqua"/>
          <w:color w:val="000000"/>
          <w:vertAlign w:val="superscript"/>
        </w:rPr>
        <w:t>[13]</w:t>
      </w:r>
      <w:r w:rsidRPr="00460721">
        <w:rPr>
          <w:rFonts w:ascii="Book Antiqua" w:eastAsia="Book Antiqua" w:hAnsi="Book Antiqua" w:cs="Book Antiqua"/>
          <w:color w:val="000000"/>
        </w:rPr>
        <w:t>.</w:t>
      </w:r>
    </w:p>
    <w:p w14:paraId="7644C98A" w14:textId="1E282B0C" w:rsidR="00A77B3E" w:rsidRPr="00460721" w:rsidRDefault="00776035" w:rsidP="00911D06">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Several studies have linked successful HCV eradication with rebound rise in lipid levels. Meissner </w:t>
      </w:r>
      <w:r w:rsidRPr="00460721">
        <w:rPr>
          <w:rFonts w:ascii="Book Antiqua" w:eastAsia="Book Antiqua" w:hAnsi="Book Antiqua" w:cs="Book Antiqua"/>
          <w:i/>
          <w:iCs/>
          <w:color w:val="000000"/>
        </w:rPr>
        <w:t>et al</w:t>
      </w:r>
      <w:r w:rsidR="00911D06" w:rsidRPr="00460721">
        <w:rPr>
          <w:rFonts w:ascii="Book Antiqua" w:eastAsia="Book Antiqua" w:hAnsi="Book Antiqua" w:cs="Book Antiqua"/>
          <w:color w:val="000000"/>
          <w:vertAlign w:val="superscript"/>
        </w:rPr>
        <w:t>[24]</w:t>
      </w:r>
      <w:r w:rsidRPr="00460721">
        <w:rPr>
          <w:rFonts w:ascii="Book Antiqua" w:eastAsia="Book Antiqua" w:hAnsi="Book Antiqua" w:cs="Book Antiqua"/>
          <w:color w:val="000000"/>
        </w:rPr>
        <w:t xml:space="preserve">, who investigated the influence of DAAs, sofosbuvir and ribavirin, on serum lipid profiles and intrahepatic lipid-related genes expression in patients with genotype 1 CHC, reported that serum LDL level and molecular size increased early in therapy, whereas triglycerides concentration and </w:t>
      </w:r>
      <w:r w:rsidR="00911D06" w:rsidRPr="00460721">
        <w:rPr>
          <w:rFonts w:ascii="Book Antiqua" w:eastAsia="Book Antiqua" w:hAnsi="Book Antiqua" w:cs="Book Antiqua"/>
          <w:color w:val="000000"/>
        </w:rPr>
        <w:t>very low-density lipoprotein cholesterol (</w:t>
      </w:r>
      <w:r w:rsidR="00911D06">
        <w:rPr>
          <w:rFonts w:ascii="Book Antiqua" w:eastAsia="Book Antiqua" w:hAnsi="Book Antiqua" w:cs="Book Antiqua"/>
          <w:color w:val="000000"/>
        </w:rPr>
        <w:t>V</w:t>
      </w:r>
      <w:r w:rsidR="00911D06" w:rsidRPr="00460721">
        <w:rPr>
          <w:rFonts w:ascii="Book Antiqua" w:eastAsia="Book Antiqua" w:hAnsi="Book Antiqua" w:cs="Book Antiqua"/>
          <w:color w:val="000000"/>
        </w:rPr>
        <w:t>LDL)</w:t>
      </w:r>
      <w:r w:rsidRPr="00460721">
        <w:rPr>
          <w:rFonts w:ascii="Book Antiqua" w:eastAsia="Book Antiqua" w:hAnsi="Book Antiqua" w:cs="Book Antiqua"/>
          <w:color w:val="000000"/>
        </w:rPr>
        <w:t xml:space="preserve"> particle size decreased concomitantly, irrespective of treatment outcome. This observation likely reflects a direct effect on lipid metabolism associated with the inhibition of HCV replication</w:t>
      </w:r>
      <w:r w:rsidR="00911D06" w:rsidRPr="00460721">
        <w:rPr>
          <w:rFonts w:ascii="Book Antiqua" w:eastAsia="Book Antiqua" w:hAnsi="Book Antiqua" w:cs="Book Antiqua"/>
          <w:color w:val="000000"/>
          <w:vertAlign w:val="superscript"/>
        </w:rPr>
        <w:t>[24]</w:t>
      </w:r>
      <w:r w:rsidRPr="00460721">
        <w:rPr>
          <w:rFonts w:ascii="Book Antiqua" w:eastAsia="Book Antiqua" w:hAnsi="Book Antiqua" w:cs="Book Antiqua"/>
          <w:color w:val="000000"/>
        </w:rPr>
        <w:t xml:space="preserve">. This notion was further supported in several reports. Clark </w:t>
      </w:r>
      <w:r w:rsidRPr="00460721">
        <w:rPr>
          <w:rFonts w:ascii="Book Antiqua" w:eastAsia="Book Antiqua" w:hAnsi="Book Antiqua" w:cs="Book Antiqua"/>
          <w:i/>
          <w:iCs/>
          <w:color w:val="000000"/>
        </w:rPr>
        <w:t>et al</w:t>
      </w:r>
      <w:r w:rsidR="00911D06" w:rsidRPr="00460721">
        <w:rPr>
          <w:rFonts w:ascii="Book Antiqua" w:eastAsia="Book Antiqua" w:hAnsi="Book Antiqua" w:cs="Book Antiqua"/>
          <w:color w:val="000000"/>
          <w:vertAlign w:val="superscript"/>
        </w:rPr>
        <w:t>[25]</w:t>
      </w:r>
      <w:r w:rsidRPr="00460721">
        <w:rPr>
          <w:rFonts w:ascii="Book Antiqua" w:eastAsia="Book Antiqua" w:hAnsi="Book Antiqua" w:cs="Book Antiqua"/>
          <w:color w:val="000000"/>
        </w:rPr>
        <w:t>, used cholesterol metabolites as an indicator to evaluate the impact of HCV on lipid metabolism. In this study, genotype 3 but not genotype 2 showed a selected interference with late cholesterol synthesis pathway, resulting in hypocholesterolemia. However, this interference was resolved after SVR. Another Japanese study that included 100 subjects showed early rebound (within 28 d) in LDL level in CHC patients who underwent interferon-free DAA treatment. However, the elevation was regimen-specific, more prominent in the group who received daclatasvir and asunaprevir for 24 wk than in those received ledipasvir and sofosbuvir for 12 wk</w:t>
      </w:r>
      <w:r w:rsidR="00911D06" w:rsidRPr="00460721">
        <w:rPr>
          <w:rFonts w:ascii="Book Antiqua" w:eastAsia="Book Antiqua" w:hAnsi="Book Antiqua" w:cs="Book Antiqua"/>
          <w:color w:val="000000"/>
          <w:vertAlign w:val="superscript"/>
        </w:rPr>
        <w:t>[26]</w:t>
      </w:r>
      <w:r w:rsidRPr="00460721">
        <w:rPr>
          <w:rFonts w:ascii="Book Antiqua" w:eastAsia="Book Antiqua" w:hAnsi="Book Antiqua" w:cs="Book Antiqua"/>
          <w:color w:val="000000"/>
        </w:rPr>
        <w:t>. In addition, many reports correlated the rebound in lipid profile with treatment response status</w:t>
      </w:r>
      <w:r w:rsidR="00911D06" w:rsidRPr="00460721">
        <w:rPr>
          <w:rFonts w:ascii="Book Antiqua" w:eastAsia="Book Antiqua" w:hAnsi="Book Antiqua" w:cs="Book Antiqua"/>
          <w:color w:val="000000"/>
          <w:vertAlign w:val="superscript"/>
        </w:rPr>
        <w:t>[27-29]</w:t>
      </w:r>
      <w:r w:rsidRPr="00460721">
        <w:rPr>
          <w:rFonts w:ascii="Book Antiqua" w:eastAsia="Book Antiqua" w:hAnsi="Book Antiqua" w:cs="Book Antiqua"/>
          <w:color w:val="000000"/>
        </w:rPr>
        <w:t xml:space="preserve">. This was clearly demonstrated by Corey </w:t>
      </w:r>
      <w:r w:rsidRPr="00460721">
        <w:rPr>
          <w:rFonts w:ascii="Book Antiqua" w:eastAsia="Book Antiqua" w:hAnsi="Book Antiqua" w:cs="Book Antiqua"/>
          <w:i/>
          <w:iCs/>
          <w:color w:val="000000"/>
        </w:rPr>
        <w:t>et al</w:t>
      </w:r>
      <w:r w:rsidR="00911D06" w:rsidRPr="00460721">
        <w:rPr>
          <w:rFonts w:ascii="Book Antiqua" w:eastAsia="Book Antiqua" w:hAnsi="Book Antiqua" w:cs="Book Antiqua"/>
          <w:color w:val="000000"/>
          <w:vertAlign w:val="superscript"/>
        </w:rPr>
        <w:t>[18]</w:t>
      </w:r>
      <w:r w:rsidRPr="00460721">
        <w:rPr>
          <w:rFonts w:ascii="Book Antiqua" w:eastAsia="Book Antiqua" w:hAnsi="Book Antiqua" w:cs="Book Antiqua"/>
          <w:color w:val="000000"/>
        </w:rPr>
        <w:t>,</w:t>
      </w:r>
      <w:r w:rsidRPr="00460721">
        <w:rPr>
          <w:rFonts w:ascii="Book Antiqua" w:eastAsia="Book Antiqua" w:hAnsi="Book Antiqua" w:cs="Book Antiqua"/>
          <w:i/>
          <w:iCs/>
          <w:color w:val="000000"/>
        </w:rPr>
        <w:t xml:space="preserve"> </w:t>
      </w:r>
      <w:r w:rsidRPr="00460721">
        <w:rPr>
          <w:rFonts w:ascii="Book Antiqua" w:eastAsia="Book Antiqua" w:hAnsi="Book Antiqua" w:cs="Book Antiqua"/>
          <w:color w:val="000000"/>
        </w:rPr>
        <w:t xml:space="preserve">which conducted a 2 steps study to evaluate the relationship between CHC infection and its treatment with lipid levels. After confirming that HCV infection is associated with significantly lower LDL concentrations in the first step, they found that remarkable hyperlipidemia was developed in patients who achieved viral clearance, compared to non-responders or those who relapsed. In the same context, some studies have further investigated the role HCV genotype on post-SVR hypercholesterolemia. In a study that included 215 patients, </w:t>
      </w:r>
      <w:r w:rsidR="00911D06" w:rsidRPr="00911D06">
        <w:rPr>
          <w:rFonts w:ascii="Book Antiqua" w:hAnsi="Book Antiqua"/>
        </w:rPr>
        <w:t>Fernández-Rodríguez</w:t>
      </w:r>
      <w:r w:rsidRPr="00911D06">
        <w:rPr>
          <w:rFonts w:ascii="Book Antiqua" w:eastAsia="Book Antiqua" w:hAnsi="Book Antiqua" w:cs="Book Antiqua"/>
          <w:i/>
          <w:iCs/>
          <w:color w:val="000000"/>
        </w:rPr>
        <w:t xml:space="preserve"> </w:t>
      </w:r>
      <w:r w:rsidR="00911D06" w:rsidRPr="00911D06">
        <w:rPr>
          <w:rFonts w:ascii="Book Antiqua" w:eastAsia="Book Antiqua" w:hAnsi="Book Antiqua" w:cs="Book Antiqua"/>
          <w:i/>
          <w:iCs/>
          <w:color w:val="000000"/>
        </w:rPr>
        <w:t>et al</w:t>
      </w:r>
      <w:r w:rsidR="00911D06" w:rsidRPr="00911D06">
        <w:rPr>
          <w:rFonts w:ascii="Book Antiqua" w:eastAsia="Book Antiqua" w:hAnsi="Book Antiqua" w:cs="Book Antiqua"/>
          <w:color w:val="000000"/>
          <w:vertAlign w:val="superscript"/>
        </w:rPr>
        <w:t>[28]</w:t>
      </w:r>
      <w:r w:rsidRPr="00460721">
        <w:rPr>
          <w:rFonts w:ascii="Book Antiqua" w:eastAsia="Book Antiqua" w:hAnsi="Book Antiqua" w:cs="Book Antiqua"/>
          <w:color w:val="000000"/>
        </w:rPr>
        <w:t xml:space="preserve"> observed that increased serum cholesterol levels were associated with genotype 3 in patients who achieved SVR. In contrast, unchanged serum cholesterol figures were noted in genotype 3 non-responders and genotype 1 regardless of response</w:t>
      </w:r>
      <w:r w:rsidR="00911D06" w:rsidRPr="00460721">
        <w:rPr>
          <w:rFonts w:ascii="Book Antiqua" w:eastAsia="Book Antiqua" w:hAnsi="Book Antiqua" w:cs="Book Antiqua"/>
          <w:color w:val="000000"/>
          <w:vertAlign w:val="superscript"/>
        </w:rPr>
        <w:t>[28]</w:t>
      </w:r>
      <w:r w:rsidRPr="00460721">
        <w:rPr>
          <w:rFonts w:ascii="Book Antiqua" w:eastAsia="Book Antiqua" w:hAnsi="Book Antiqua" w:cs="Book Antiqua"/>
          <w:color w:val="000000"/>
        </w:rPr>
        <w:t>. Although the reversal of both hepatic steatosis and hypolipidemia has been reported only in genotype 3 in this study, there is accumulating evidence demonstrating that the reversal of hypolipidemia is not HCV-genotype specific</w:t>
      </w:r>
      <w:r w:rsidR="00911D06" w:rsidRPr="00460721">
        <w:rPr>
          <w:rFonts w:ascii="Book Antiqua" w:eastAsia="Book Antiqua" w:hAnsi="Book Antiqua" w:cs="Book Antiqua"/>
          <w:color w:val="000000"/>
          <w:vertAlign w:val="superscript"/>
        </w:rPr>
        <w:t>[29,30]</w:t>
      </w:r>
      <w:r w:rsidRPr="00460721">
        <w:rPr>
          <w:rFonts w:ascii="Book Antiqua" w:eastAsia="Book Antiqua" w:hAnsi="Book Antiqua" w:cs="Book Antiqua"/>
          <w:color w:val="000000"/>
        </w:rPr>
        <w:t xml:space="preserve">. </w:t>
      </w:r>
    </w:p>
    <w:p w14:paraId="124B9383" w14:textId="47CDDEDC" w:rsidR="00A77B3E" w:rsidRPr="00460721" w:rsidRDefault="00776035" w:rsidP="00776035">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Many reports proposed that atherosclerotic CVD risk increases after successful eradication of HCV due to the unfavorable lipid profile</w:t>
      </w:r>
      <w:r w:rsidR="009D1314">
        <w:rPr>
          <w:rFonts w:ascii="Book Antiqua" w:eastAsia="Book Antiqua" w:hAnsi="Book Antiqua" w:cs="Book Antiqua"/>
          <w:color w:val="000000"/>
        </w:rPr>
        <w:t>, which is a</w:t>
      </w:r>
      <w:r w:rsidRPr="00460721">
        <w:rPr>
          <w:rFonts w:ascii="Book Antiqua" w:eastAsia="Book Antiqua" w:hAnsi="Book Antiqua" w:cs="Book Antiqua"/>
          <w:color w:val="000000"/>
        </w:rPr>
        <w:t xml:space="preserve"> </w:t>
      </w:r>
      <w:r w:rsidR="00684036">
        <w:rPr>
          <w:rFonts w:ascii="Book Antiqua" w:eastAsia="Book Antiqua" w:hAnsi="Book Antiqua" w:cs="Book Antiqua"/>
          <w:color w:val="000000"/>
        </w:rPr>
        <w:t>result</w:t>
      </w:r>
      <w:r w:rsidRPr="00460721">
        <w:rPr>
          <w:rFonts w:ascii="Book Antiqua" w:eastAsia="Book Antiqua" w:hAnsi="Book Antiqua" w:cs="Book Antiqua"/>
          <w:color w:val="000000"/>
        </w:rPr>
        <w:t xml:space="preserve"> </w:t>
      </w:r>
      <w:r w:rsidR="009D1314">
        <w:rPr>
          <w:rFonts w:ascii="Book Antiqua" w:eastAsia="Book Antiqua" w:hAnsi="Book Antiqua" w:cs="Book Antiqua"/>
          <w:color w:val="000000"/>
        </w:rPr>
        <w:t>of</w:t>
      </w:r>
      <w:r w:rsidRPr="00460721">
        <w:rPr>
          <w:rFonts w:ascii="Book Antiqua" w:eastAsia="Book Antiqua" w:hAnsi="Book Antiqua" w:cs="Book Antiqua"/>
          <w:color w:val="000000"/>
        </w:rPr>
        <w:t xml:space="preserve"> reversed hypolipidemia, represented in high serum LDL and small dense LDL. The latter has greater atherogenic potential and is a better marker for prediction of CVD than LDL</w:t>
      </w:r>
      <w:r w:rsidRPr="00460721">
        <w:rPr>
          <w:rFonts w:ascii="Book Antiqua" w:eastAsia="Book Antiqua" w:hAnsi="Book Antiqua" w:cs="Book Antiqua"/>
          <w:color w:val="000000"/>
          <w:vertAlign w:val="superscript"/>
        </w:rPr>
        <w:t>[31,32]</w:t>
      </w:r>
      <w:r w:rsidRPr="00460721">
        <w:rPr>
          <w:rFonts w:ascii="Book Antiqua" w:eastAsia="Book Antiqua" w:hAnsi="Book Antiqua" w:cs="Book Antiqua"/>
          <w:color w:val="000000"/>
        </w:rPr>
        <w:t xml:space="preserve">. The important question at this point is whether these patients require lipid-lowering treatment. According to the National Cholesterol Education Program Adult Treatment Plan Guideline III, patients should be put on lipid lowering agents for: </w:t>
      </w:r>
      <w:r>
        <w:rPr>
          <w:rFonts w:ascii="Book Antiqua" w:eastAsia="Book Antiqua" w:hAnsi="Book Antiqua" w:cs="Book Antiqua"/>
          <w:color w:val="000000"/>
        </w:rPr>
        <w:t>(</w:t>
      </w:r>
      <w:r w:rsidRPr="00460721">
        <w:rPr>
          <w:rFonts w:ascii="Book Antiqua" w:eastAsia="Book Antiqua" w:hAnsi="Book Antiqua" w:cs="Book Antiqua"/>
          <w:color w:val="000000"/>
        </w:rPr>
        <w:t>1) an LDL &gt;100</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mg/dL, if they have coronary heart disease or </w:t>
      </w:r>
      <w:r w:rsidR="006132B8">
        <w:rPr>
          <w:rFonts w:ascii="Book Antiqua" w:eastAsia="Book Antiqua" w:hAnsi="Book Antiqua" w:cs="Book Antiqua"/>
          <w:color w:val="000000"/>
        </w:rPr>
        <w:t>its</w:t>
      </w:r>
      <w:r w:rsidRPr="00460721">
        <w:rPr>
          <w:rFonts w:ascii="Book Antiqua" w:eastAsia="Book Antiqua" w:hAnsi="Book Antiqua" w:cs="Book Antiqua"/>
          <w:color w:val="000000"/>
        </w:rPr>
        <w:t xml:space="preserve"> equivalents</w:t>
      </w:r>
      <w:hyperlink w:anchor="_ftn1" w:history="1">
        <w:bookmarkStart w:id="0" w:name="_ftnref1"/>
        <w:r w:rsidRPr="00460721">
          <w:rPr>
            <w:rFonts w:ascii="Book Antiqua" w:eastAsia="Book Antiqua" w:hAnsi="Book Antiqua" w:cs="Book Antiqua"/>
            <w:color w:val="000000"/>
            <w:u w:val="single" w:color="0000FF"/>
            <w:vertAlign w:val="superscript"/>
          </w:rPr>
          <w:t>[1]</w:t>
        </w:r>
      </w:hyperlink>
      <w:bookmarkEnd w:id="0"/>
      <w:r w:rsidRPr="00460721">
        <w:rPr>
          <w:rFonts w:ascii="Book Antiqua" w:eastAsia="Book Antiqua" w:hAnsi="Book Antiqua" w:cs="Book Antiqua"/>
          <w:color w:val="000000"/>
        </w:rPr>
        <w:t xml:space="preserve">; </w:t>
      </w:r>
      <w:r>
        <w:rPr>
          <w:rFonts w:ascii="Book Antiqua" w:eastAsia="Book Antiqua" w:hAnsi="Book Antiqua" w:cs="Book Antiqua"/>
          <w:color w:val="000000"/>
        </w:rPr>
        <w:t>(</w:t>
      </w:r>
      <w:r w:rsidRPr="00460721">
        <w:rPr>
          <w:rFonts w:ascii="Book Antiqua" w:eastAsia="Book Antiqua" w:hAnsi="Book Antiqua" w:cs="Book Antiqua"/>
          <w:color w:val="000000"/>
        </w:rPr>
        <w:t xml:space="preserve">2) an LDL &gt;130 mg/dL, if they have two or more major </w:t>
      </w:r>
      <w:r w:rsidR="006132B8" w:rsidRPr="00460721">
        <w:rPr>
          <w:rFonts w:ascii="Book Antiqua" w:eastAsia="Book Antiqua" w:hAnsi="Book Antiqua" w:cs="Book Antiqua"/>
          <w:color w:val="000000"/>
        </w:rPr>
        <w:t>coronary heart disease</w:t>
      </w:r>
      <w:r w:rsidRPr="00460721">
        <w:rPr>
          <w:rFonts w:ascii="Book Antiqua" w:eastAsia="Book Antiqua" w:hAnsi="Book Antiqua" w:cs="Book Antiqua"/>
          <w:color w:val="000000"/>
        </w:rPr>
        <w:t xml:space="preserve"> risk factors</w:t>
      </w:r>
      <w:hyperlink w:anchor="_ftn2" w:history="1">
        <w:bookmarkStart w:id="1" w:name="_ftnref2"/>
        <w:r w:rsidRPr="00460721">
          <w:rPr>
            <w:rFonts w:ascii="Book Antiqua" w:eastAsia="Book Antiqua" w:hAnsi="Book Antiqua" w:cs="Book Antiqua"/>
            <w:color w:val="000000"/>
            <w:u w:val="single" w:color="0000FF"/>
            <w:vertAlign w:val="superscript"/>
          </w:rPr>
          <w:t>[2]</w:t>
        </w:r>
      </w:hyperlink>
      <w:bookmarkEnd w:id="1"/>
      <w:r w:rsidRPr="00460721">
        <w:rPr>
          <w:rFonts w:ascii="Book Antiqua" w:eastAsia="Book Antiqua" w:hAnsi="Book Antiqua" w:cs="Book Antiqua"/>
          <w:color w:val="000000"/>
        </w:rPr>
        <w:t xml:space="preserve"> </w:t>
      </w:r>
      <w:r>
        <w:rPr>
          <w:rFonts w:ascii="Book Antiqua" w:eastAsia="Book Antiqua" w:hAnsi="Book Antiqua" w:cs="Book Antiqua"/>
          <w:color w:val="000000"/>
        </w:rPr>
        <w:t>and</w:t>
      </w:r>
      <w:r w:rsidR="00B97086">
        <w:rPr>
          <w:rFonts w:ascii="Book Antiqua" w:eastAsia="Book Antiqua" w:hAnsi="Book Antiqua" w:cs="Book Antiqua"/>
          <w:color w:val="000000"/>
        </w:rPr>
        <w:t>;</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3) an LDL &gt;190</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mg/dL, with none or one major risk factor</w:t>
      </w:r>
      <w:r w:rsidRPr="00460721">
        <w:rPr>
          <w:rFonts w:ascii="Book Antiqua" w:eastAsia="Book Antiqua" w:hAnsi="Book Antiqua" w:cs="Book Antiqua"/>
          <w:color w:val="000000"/>
          <w:vertAlign w:val="superscript"/>
        </w:rPr>
        <w:t>[33]</w:t>
      </w:r>
      <w:r w:rsidRPr="00460721">
        <w:rPr>
          <w:rFonts w:ascii="Book Antiqua" w:eastAsia="Book Antiqua" w:hAnsi="Book Antiqua" w:cs="Book Antiqua"/>
          <w:color w:val="000000"/>
        </w:rPr>
        <w:t xml:space="preserve">. Corey and </w:t>
      </w:r>
      <w:r w:rsidR="00B97086">
        <w:rPr>
          <w:rFonts w:ascii="Book Antiqua" w:eastAsia="Book Antiqua" w:hAnsi="Book Antiqua" w:cs="Book Antiqua"/>
          <w:color w:val="000000"/>
        </w:rPr>
        <w:t xml:space="preserve">his </w:t>
      </w:r>
      <w:r w:rsidRPr="00460721">
        <w:rPr>
          <w:rFonts w:ascii="Book Antiqua" w:eastAsia="Book Antiqua" w:hAnsi="Book Antiqua" w:cs="Book Antiqua"/>
          <w:color w:val="000000"/>
        </w:rPr>
        <w:t xml:space="preserve">colleagues have found that 13% of their studied cohort had post-SVR LDL levels requiring lipid lowering therapy as these patients had values &gt;130 mg/dL plus </w:t>
      </w:r>
      <w:r w:rsidR="00B97086">
        <w:rPr>
          <w:rFonts w:ascii="Book Antiqua" w:eastAsia="Book Antiqua" w:hAnsi="Book Antiqua" w:cs="Book Antiqua"/>
          <w:color w:val="000000"/>
        </w:rPr>
        <w:t xml:space="preserve">presence of </w:t>
      </w:r>
      <w:r w:rsidRPr="00460721">
        <w:rPr>
          <w:rFonts w:ascii="Book Antiqua" w:eastAsia="Book Antiqua" w:hAnsi="Book Antiqua" w:cs="Book Antiqua"/>
          <w:color w:val="000000"/>
        </w:rPr>
        <w:t xml:space="preserve">two or more major </w:t>
      </w:r>
      <w:r w:rsidR="006132B8" w:rsidRPr="00460721">
        <w:rPr>
          <w:rFonts w:ascii="Book Antiqua" w:eastAsia="Book Antiqua" w:hAnsi="Book Antiqua" w:cs="Book Antiqua"/>
          <w:color w:val="000000"/>
        </w:rPr>
        <w:t xml:space="preserve">coronary heart disease </w:t>
      </w:r>
      <w:r w:rsidRPr="00460721">
        <w:rPr>
          <w:rFonts w:ascii="Book Antiqua" w:eastAsia="Book Antiqua" w:hAnsi="Book Antiqua" w:cs="Book Antiqua"/>
          <w:color w:val="000000"/>
        </w:rPr>
        <w:t>risk factors. Nonetheless, before antiviral therapy, none of these patients had LDL readings requiring medications. Post-treatment lipid profile deterioration may reach clinically meaningful level requiring the consideration for cholesterol lowering therapy.</w:t>
      </w:r>
    </w:p>
    <w:p w14:paraId="7866BC4A" w14:textId="77777777" w:rsidR="00A77B3E" w:rsidRPr="00460721" w:rsidRDefault="00A77B3E" w:rsidP="00460721">
      <w:pPr>
        <w:spacing w:line="360" w:lineRule="auto"/>
        <w:jc w:val="both"/>
        <w:rPr>
          <w:rFonts w:ascii="Book Antiqua" w:hAnsi="Book Antiqua"/>
        </w:rPr>
      </w:pPr>
    </w:p>
    <w:p w14:paraId="18524976" w14:textId="3E59AEE8" w:rsidR="00A77B3E" w:rsidRPr="00CE18BA" w:rsidRDefault="00776035" w:rsidP="006132B8">
      <w:pPr>
        <w:spacing w:line="360" w:lineRule="auto"/>
        <w:jc w:val="both"/>
        <w:rPr>
          <w:rFonts w:ascii="Book Antiqua" w:hAnsi="Book Antiqua"/>
          <w:u w:val="single"/>
        </w:rPr>
      </w:pPr>
      <w:r w:rsidRPr="00CE18BA">
        <w:rPr>
          <w:rFonts w:ascii="Book Antiqua" w:eastAsia="Book Antiqua" w:hAnsi="Book Antiqua" w:cs="Book Antiqua"/>
          <w:b/>
          <w:bCs/>
          <w:color w:val="000000"/>
          <w:u w:val="single"/>
        </w:rPr>
        <w:t>H</w:t>
      </w:r>
      <w:r w:rsidR="006132B8">
        <w:rPr>
          <w:rFonts w:ascii="Book Antiqua" w:eastAsia="Book Antiqua" w:hAnsi="Book Antiqua" w:cs="Book Antiqua"/>
          <w:b/>
          <w:bCs/>
          <w:color w:val="000000"/>
          <w:u w:val="single"/>
        </w:rPr>
        <w:t>EPATIC STEATOSIS</w:t>
      </w:r>
    </w:p>
    <w:p w14:paraId="27D900F8" w14:textId="3FEB7C8E"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Hepatic steatosis is a frequent histological liver finding in patients with CHC</w:t>
      </w:r>
      <w:r w:rsidR="00CB07C4" w:rsidRPr="00460721">
        <w:rPr>
          <w:rFonts w:ascii="Book Antiqua" w:eastAsia="Book Antiqua" w:hAnsi="Book Antiqua" w:cs="Book Antiqua"/>
          <w:color w:val="000000"/>
          <w:vertAlign w:val="superscript"/>
        </w:rPr>
        <w:t>[34]</w:t>
      </w:r>
      <w:r w:rsidRPr="00460721">
        <w:rPr>
          <w:rFonts w:ascii="Book Antiqua" w:eastAsia="Book Antiqua" w:hAnsi="Book Antiqua" w:cs="Book Antiqua"/>
          <w:color w:val="000000"/>
        </w:rPr>
        <w:t>. Since HCV is known to hijack lipid metabolic pathways for virion maturation and secretion, several possible mechanisms of HCV-induced liver steatosis have been suggested. HCV induces lipogenesis by increasing intrahepatic fat milieu through sterol regulatory element binding protein 1c, which is a protein that overexpresses LDL receptors which in turn facilitates fatty acid uptake by hepatocytes, leading to higher intrahepatic fat content</w:t>
      </w:r>
      <w:r w:rsidR="00CB07C4" w:rsidRPr="00460721">
        <w:rPr>
          <w:rFonts w:ascii="Book Antiqua" w:eastAsia="Book Antiqua" w:hAnsi="Book Antiqua" w:cs="Book Antiqua"/>
          <w:color w:val="000000"/>
          <w:vertAlign w:val="superscript"/>
        </w:rPr>
        <w:t>[35]</w:t>
      </w:r>
      <w:r w:rsidRPr="00460721">
        <w:rPr>
          <w:rFonts w:ascii="Book Antiqua" w:eastAsia="Book Antiqua" w:hAnsi="Book Antiqua" w:cs="Book Antiqua"/>
          <w:color w:val="000000"/>
        </w:rPr>
        <w:t>. In contrast, HCV inhibits lipolysis by disturbing mitochondrial β-oxidation</w:t>
      </w:r>
      <w:r w:rsidRPr="00460721">
        <w:rPr>
          <w:rFonts w:ascii="Book Antiqua" w:eastAsia="Book Antiqua" w:hAnsi="Book Antiqua" w:cs="Book Antiqua"/>
          <w:color w:val="000000"/>
          <w:vertAlign w:val="superscript"/>
        </w:rPr>
        <w:t>[36]</w:t>
      </w:r>
      <w:r w:rsidRPr="00460721">
        <w:rPr>
          <w:rFonts w:ascii="Book Antiqua" w:eastAsia="Book Antiqua" w:hAnsi="Book Antiqua" w:cs="Book Antiqua"/>
          <w:color w:val="000000"/>
        </w:rPr>
        <w:t xml:space="preserve">, either directly by the virus itself or indirectly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downregulation of the enzyme carnitine palmitoyltransferase-1, which regulates fatty acids oxidation</w:t>
      </w:r>
      <w:r w:rsidR="00CB07C4" w:rsidRPr="00460721">
        <w:rPr>
          <w:rFonts w:ascii="Book Antiqua" w:eastAsia="Book Antiqua" w:hAnsi="Book Antiqua" w:cs="Book Antiqua"/>
          <w:color w:val="000000"/>
          <w:vertAlign w:val="superscript"/>
        </w:rPr>
        <w:t>[37,38]</w:t>
      </w:r>
      <w:r w:rsidRPr="00460721">
        <w:rPr>
          <w:rFonts w:ascii="Book Antiqua" w:eastAsia="Book Antiqua" w:hAnsi="Book Antiqua" w:cs="Book Antiqua"/>
          <w:color w:val="000000"/>
        </w:rPr>
        <w:t>. These two mechanisms further potentiated by HCV-induced IR</w:t>
      </w:r>
      <w:r w:rsidR="00CB07C4" w:rsidRPr="00460721">
        <w:rPr>
          <w:rFonts w:ascii="Book Antiqua" w:eastAsia="Book Antiqua" w:hAnsi="Book Antiqua" w:cs="Book Antiqua"/>
          <w:color w:val="000000"/>
          <w:vertAlign w:val="superscript"/>
        </w:rPr>
        <w:t>[39]</w:t>
      </w:r>
      <w:r w:rsidRPr="00460721">
        <w:rPr>
          <w:rFonts w:ascii="Book Antiqua" w:eastAsia="Book Antiqua" w:hAnsi="Book Antiqua" w:cs="Book Antiqua"/>
          <w:color w:val="000000"/>
        </w:rPr>
        <w:t>. Moreover, HCV core protein suppresses the activity of microsomal triacylglycerol transfer protein, which is used for the assembly and secretion of VLDL, resulting in increased intracytoplasmic lipid droplets and therefore steatosis</w:t>
      </w:r>
      <w:r w:rsidR="00CB07C4" w:rsidRPr="00460721">
        <w:rPr>
          <w:rFonts w:ascii="Book Antiqua" w:eastAsia="Book Antiqua" w:hAnsi="Book Antiqua" w:cs="Book Antiqua"/>
          <w:color w:val="000000"/>
          <w:vertAlign w:val="superscript"/>
        </w:rPr>
        <w:t>[40]</w:t>
      </w:r>
      <w:r w:rsidRPr="00460721">
        <w:rPr>
          <w:rFonts w:ascii="Book Antiqua" w:eastAsia="Book Antiqua" w:hAnsi="Book Antiqua" w:cs="Book Antiqua"/>
          <w:color w:val="000000"/>
        </w:rPr>
        <w:t xml:space="preserve">. Miyoshi </w:t>
      </w:r>
      <w:r w:rsidRPr="00460721">
        <w:rPr>
          <w:rFonts w:ascii="Book Antiqua" w:eastAsia="Book Antiqua" w:hAnsi="Book Antiqua" w:cs="Book Antiqua"/>
          <w:i/>
          <w:iCs/>
          <w:color w:val="000000"/>
        </w:rPr>
        <w:t>et al</w:t>
      </w:r>
      <w:r w:rsidR="00CB07C4" w:rsidRPr="00460721">
        <w:rPr>
          <w:rFonts w:ascii="Book Antiqua" w:eastAsia="Book Antiqua" w:hAnsi="Book Antiqua" w:cs="Book Antiqua"/>
          <w:color w:val="000000"/>
          <w:vertAlign w:val="superscript"/>
        </w:rPr>
        <w:t>[41]</w:t>
      </w:r>
      <w:r w:rsidRPr="00460721">
        <w:rPr>
          <w:rFonts w:ascii="Book Antiqua" w:eastAsia="Book Antiqua" w:hAnsi="Book Antiqua" w:cs="Book Antiqua"/>
          <w:color w:val="000000"/>
        </w:rPr>
        <w:t>, who studied the role of HCV core protein in development of steatosis in HCV genotype 2, revealed that core protein activates the enzyme δ-9 desaturase, fatty acid metabolizing enzyme, and therefore leads to accumulation of triglycerides. This lipid metabolism disorder was also associated with mitochondrial dysfunction</w:t>
      </w:r>
      <w:r w:rsidR="00CB07C4" w:rsidRPr="00460721">
        <w:rPr>
          <w:rFonts w:ascii="Book Antiqua" w:eastAsia="Book Antiqua" w:hAnsi="Book Antiqua" w:cs="Book Antiqua"/>
          <w:color w:val="000000"/>
          <w:vertAlign w:val="superscript"/>
        </w:rPr>
        <w:t>[41]</w:t>
      </w:r>
      <w:r w:rsidRPr="00460721">
        <w:rPr>
          <w:rFonts w:ascii="Book Antiqua" w:eastAsia="Book Antiqua" w:hAnsi="Book Antiqua" w:cs="Book Antiqua"/>
          <w:color w:val="000000"/>
        </w:rPr>
        <w:t xml:space="preserve">. </w:t>
      </w:r>
    </w:p>
    <w:p w14:paraId="66A79F93" w14:textId="22A1688F"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Hepatic steatosis is commonly reported among patients with HCV genotype 1 and genotype 3. Its occurrence in the latter has been correlated mainly to the previously mentioned mechanisms. Therefore, resolution of steatosis observed after successful viral eradication suggests a direct steatogenic pathway for HCV genotype 3</w:t>
      </w:r>
      <w:r w:rsidR="00CB07C4" w:rsidRPr="00460721">
        <w:rPr>
          <w:rFonts w:ascii="Book Antiqua" w:eastAsia="Book Antiqua" w:hAnsi="Book Antiqua" w:cs="Book Antiqua"/>
          <w:color w:val="000000"/>
          <w:vertAlign w:val="superscript"/>
        </w:rPr>
        <w:t>[42]</w:t>
      </w:r>
      <w:r w:rsidRPr="00460721">
        <w:rPr>
          <w:rFonts w:ascii="Book Antiqua" w:eastAsia="Book Antiqua" w:hAnsi="Book Antiqua" w:cs="Book Antiqua"/>
          <w:color w:val="000000"/>
        </w:rPr>
        <w:t>. This hypothesis was backed in a study of patients treated with interferon-based regimen, in which 91% of genotype 3 patients and only 43% of other genotypes have had their steatosis improved after viral cure</w:t>
      </w:r>
      <w:r w:rsidR="00CB07C4" w:rsidRPr="00460721">
        <w:rPr>
          <w:rFonts w:ascii="Book Antiqua" w:eastAsia="Book Antiqua" w:hAnsi="Book Antiqua" w:cs="Book Antiqua"/>
          <w:color w:val="000000"/>
          <w:vertAlign w:val="superscript"/>
        </w:rPr>
        <w:t>[43]</w:t>
      </w:r>
      <w:r w:rsidRPr="00460721">
        <w:rPr>
          <w:rFonts w:ascii="Book Antiqua" w:eastAsia="Book Antiqua" w:hAnsi="Book Antiqua" w:cs="Book Antiqua"/>
          <w:color w:val="000000"/>
        </w:rPr>
        <w:t xml:space="preserve">. Kumar </w:t>
      </w:r>
      <w:r w:rsidRPr="00460721">
        <w:rPr>
          <w:rFonts w:ascii="Book Antiqua" w:eastAsia="Book Antiqua" w:hAnsi="Book Antiqua" w:cs="Book Antiqua"/>
          <w:i/>
          <w:iCs/>
          <w:color w:val="000000"/>
        </w:rPr>
        <w:t>et al</w:t>
      </w:r>
      <w:r w:rsidR="00CB07C4" w:rsidRPr="00460721">
        <w:rPr>
          <w:rFonts w:ascii="Book Antiqua" w:eastAsia="Book Antiqua" w:hAnsi="Book Antiqua" w:cs="Book Antiqua"/>
          <w:color w:val="000000"/>
          <w:vertAlign w:val="superscript"/>
        </w:rPr>
        <w:t>[44]</w:t>
      </w:r>
      <w:r w:rsidRPr="00460721">
        <w:rPr>
          <w:rFonts w:ascii="Book Antiqua" w:eastAsia="Book Antiqua" w:hAnsi="Book Antiqua" w:cs="Book Antiqua"/>
          <w:color w:val="000000"/>
        </w:rPr>
        <w:t>, have also observed similar findings when steatosis was profoundly reduced in genotype 3 patients post-SVR, while no change irrespective of the treatment response occur</w:t>
      </w:r>
      <w:r w:rsidR="00302E2E">
        <w:rPr>
          <w:rFonts w:ascii="Book Antiqua" w:eastAsia="Book Antiqua" w:hAnsi="Book Antiqua" w:cs="Book Antiqua"/>
          <w:color w:val="000000"/>
        </w:rPr>
        <w:t>red</w:t>
      </w:r>
      <w:r w:rsidRPr="00460721">
        <w:rPr>
          <w:rFonts w:ascii="Book Antiqua" w:eastAsia="Book Antiqua" w:hAnsi="Book Antiqua" w:cs="Book Antiqua"/>
          <w:color w:val="000000"/>
        </w:rPr>
        <w:t xml:space="preserve"> in genotype 1. Although development of fatty liver was associated with viral characteristics in genotype 3</w:t>
      </w:r>
      <w:r w:rsidR="00D168D1">
        <w:rPr>
          <w:rFonts w:ascii="Book Antiqua" w:eastAsia="Book Antiqua" w:hAnsi="Book Antiqua" w:cs="Book Antiqua"/>
          <w:color w:val="000000"/>
        </w:rPr>
        <w:t xml:space="preserve"> (</w:t>
      </w:r>
      <w:r w:rsidRPr="00460721">
        <w:rPr>
          <w:rFonts w:ascii="Book Antiqua" w:eastAsia="Book Antiqua" w:hAnsi="Book Antiqua" w:cs="Book Antiqua"/>
          <w:color w:val="000000"/>
        </w:rPr>
        <w:t>viral steatosis</w:t>
      </w:r>
      <w:r w:rsidR="00D168D1">
        <w:rPr>
          <w:rFonts w:ascii="Book Antiqua" w:eastAsia="Book Antiqua" w:hAnsi="Book Antiqua" w:cs="Book Antiqua"/>
          <w:color w:val="000000"/>
        </w:rPr>
        <w:t>)</w:t>
      </w:r>
      <w:r w:rsidRPr="00460721">
        <w:rPr>
          <w:rFonts w:ascii="Book Antiqua" w:eastAsia="Book Antiqua" w:hAnsi="Book Antiqua" w:cs="Book Antiqua"/>
          <w:color w:val="000000"/>
        </w:rPr>
        <w:t xml:space="preserve">, the condition in genotype 1 corresponded to metabolic features such as glucose level and IR </w:t>
      </w:r>
      <w:r w:rsidR="00D168D1">
        <w:rPr>
          <w:rFonts w:ascii="Book Antiqua" w:eastAsia="Book Antiqua" w:hAnsi="Book Antiqua" w:cs="Book Antiqua"/>
          <w:color w:val="000000"/>
        </w:rPr>
        <w:t>(</w:t>
      </w:r>
      <w:r w:rsidRPr="00460721">
        <w:rPr>
          <w:rFonts w:ascii="Book Antiqua" w:eastAsia="Book Antiqua" w:hAnsi="Book Antiqua" w:cs="Book Antiqua"/>
          <w:color w:val="000000"/>
        </w:rPr>
        <w:t>metabolic steatosis</w:t>
      </w:r>
      <w:r w:rsidR="00D168D1">
        <w:rPr>
          <w:rFonts w:ascii="Book Antiqua" w:eastAsia="Book Antiqua" w:hAnsi="Book Antiqua" w:cs="Book Antiqua"/>
          <w:color w:val="000000"/>
        </w:rPr>
        <w:t>)</w:t>
      </w:r>
      <w:r w:rsidRPr="00460721">
        <w:rPr>
          <w:rFonts w:ascii="Book Antiqua" w:eastAsia="Book Antiqua" w:hAnsi="Book Antiqua" w:cs="Book Antiqua"/>
          <w:color w:val="000000"/>
        </w:rPr>
        <w:t>. This observation suggests that in patients with genotype 1, factors other than the viral features play an essential role in the development of hepatic steatosis</w:t>
      </w:r>
      <w:r w:rsidR="00CB07C4" w:rsidRPr="00460721">
        <w:rPr>
          <w:rFonts w:ascii="Book Antiqua" w:eastAsia="Book Antiqua" w:hAnsi="Book Antiqua" w:cs="Book Antiqua"/>
          <w:color w:val="000000"/>
          <w:vertAlign w:val="superscript"/>
        </w:rPr>
        <w:t>[28]</w:t>
      </w:r>
      <w:r w:rsidRPr="00460721">
        <w:rPr>
          <w:rFonts w:ascii="Book Antiqua" w:eastAsia="Book Antiqua" w:hAnsi="Book Antiqua" w:cs="Book Antiqua"/>
          <w:color w:val="000000"/>
        </w:rPr>
        <w:t xml:space="preserve">. </w:t>
      </w:r>
    </w:p>
    <w:p w14:paraId="1F5D4DBE" w14:textId="7C77337D"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After achieving SVR with antiviral therapy, reversal of steatosis is the most common reported outcome, which was seen in several studies</w:t>
      </w:r>
      <w:r w:rsidR="00CB07C4" w:rsidRPr="00460721">
        <w:rPr>
          <w:rFonts w:ascii="Book Antiqua" w:eastAsia="Book Antiqua" w:hAnsi="Book Antiqua" w:cs="Book Antiqua"/>
          <w:color w:val="000000"/>
          <w:vertAlign w:val="superscript"/>
        </w:rPr>
        <w:t>[17,27,28,39]</w:t>
      </w:r>
      <w:r w:rsidRPr="00460721">
        <w:rPr>
          <w:rFonts w:ascii="Book Antiqua" w:eastAsia="Book Antiqua" w:hAnsi="Book Antiqua" w:cs="Book Antiqua"/>
          <w:color w:val="000000"/>
        </w:rPr>
        <w:t>. However, recent reviews showed contradictory findings</w:t>
      </w:r>
      <w:r w:rsidR="00CB07C4" w:rsidRPr="00460721">
        <w:rPr>
          <w:rFonts w:ascii="Book Antiqua" w:eastAsia="Book Antiqua" w:hAnsi="Book Antiqua" w:cs="Book Antiqua"/>
          <w:color w:val="000000"/>
          <w:vertAlign w:val="superscript"/>
        </w:rPr>
        <w:t>[45,46]</w:t>
      </w:r>
      <w:r w:rsidRPr="00460721">
        <w:rPr>
          <w:rFonts w:ascii="Book Antiqua" w:eastAsia="Book Antiqua" w:hAnsi="Book Antiqua" w:cs="Book Antiqua"/>
          <w:color w:val="000000"/>
        </w:rPr>
        <w:t>. In a prospective study that investigated the prevalence of hepatic steatosis and fibrosis in patients with CHC post-SVR, steatosis prevalence found to be 47.5%, almost as same as the pre-treatment figure (50%). Besides, overall average fibrosis score was reduced after viral clearance. Nevertheless, patients who had steatosis have maintained clinically significant fibrosis scores, compared to those without fatty liver</w:t>
      </w:r>
      <w:r w:rsidR="00CB07C4" w:rsidRPr="00460721">
        <w:rPr>
          <w:rFonts w:ascii="Book Antiqua" w:eastAsia="Book Antiqua" w:hAnsi="Book Antiqua" w:cs="Book Antiqua"/>
          <w:color w:val="000000"/>
          <w:vertAlign w:val="superscript"/>
        </w:rPr>
        <w:t>[46]</w:t>
      </w:r>
      <w:r w:rsidRPr="00460721">
        <w:rPr>
          <w:rFonts w:ascii="Book Antiqua" w:eastAsia="Book Antiqua" w:hAnsi="Book Antiqua" w:cs="Book Antiqua"/>
          <w:color w:val="000000"/>
        </w:rPr>
        <w:t>. In another study includ</w:t>
      </w:r>
      <w:r w:rsidR="00E65FDB">
        <w:rPr>
          <w:rFonts w:ascii="Book Antiqua" w:eastAsia="Book Antiqua" w:hAnsi="Book Antiqua" w:cs="Book Antiqua"/>
          <w:color w:val="000000"/>
        </w:rPr>
        <w:t>ed</w:t>
      </w:r>
      <w:r w:rsidRPr="00460721">
        <w:rPr>
          <w:rFonts w:ascii="Book Antiqua" w:eastAsia="Book Antiqua" w:hAnsi="Book Antiqua" w:cs="Book Antiqua"/>
          <w:color w:val="000000"/>
        </w:rPr>
        <w:t xml:space="preserve"> 49 patients </w:t>
      </w:r>
      <w:r w:rsidR="00E65FDB">
        <w:rPr>
          <w:rFonts w:ascii="Book Antiqua" w:eastAsia="Book Antiqua" w:hAnsi="Book Antiqua" w:cs="Book Antiqua"/>
          <w:color w:val="000000"/>
        </w:rPr>
        <w:t xml:space="preserve">aimed to </w:t>
      </w:r>
      <w:r w:rsidRPr="00460721">
        <w:rPr>
          <w:rFonts w:ascii="Book Antiqua" w:eastAsia="Book Antiqua" w:hAnsi="Book Antiqua" w:cs="Book Antiqua"/>
          <w:color w:val="000000"/>
        </w:rPr>
        <w:t>evaluat</w:t>
      </w:r>
      <w:r w:rsidR="00E65FDB">
        <w:rPr>
          <w:rFonts w:ascii="Book Antiqua" w:eastAsia="Book Antiqua" w:hAnsi="Book Antiqua" w:cs="Book Antiqua"/>
          <w:color w:val="000000"/>
        </w:rPr>
        <w:t>e</w:t>
      </w:r>
      <w:r w:rsidRPr="00460721">
        <w:rPr>
          <w:rFonts w:ascii="Book Antiqua" w:eastAsia="Book Antiqua" w:hAnsi="Book Antiqua" w:cs="Book Antiqua"/>
          <w:color w:val="000000"/>
        </w:rPr>
        <w:t xml:space="preserve"> the impact of DAAs on glucose and lipid homeostasis, controlled attenuation parameter values were markedly increased at the end of follow up </w:t>
      </w:r>
      <w:r w:rsidR="00401C07">
        <w:rPr>
          <w:rFonts w:ascii="Book Antiqua" w:eastAsia="Book Antiqua" w:hAnsi="Book Antiqua" w:cs="Book Antiqua"/>
          <w:color w:val="000000"/>
        </w:rPr>
        <w:t>compared</w:t>
      </w:r>
      <w:r w:rsidRPr="00460721">
        <w:rPr>
          <w:rFonts w:ascii="Book Antiqua" w:eastAsia="Book Antiqua" w:hAnsi="Book Antiqua" w:cs="Book Antiqua"/>
          <w:color w:val="000000"/>
        </w:rPr>
        <w:t xml:space="preserve"> to baseline. More importantly, this finding was independent of weight gain, since no change in body mass index (BMI) was observed over time</w:t>
      </w:r>
      <w:r w:rsidR="00CB07C4" w:rsidRPr="00460721">
        <w:rPr>
          <w:rFonts w:ascii="Book Antiqua" w:eastAsia="Book Antiqua" w:hAnsi="Book Antiqua" w:cs="Book Antiqua"/>
          <w:color w:val="000000"/>
          <w:vertAlign w:val="superscript"/>
        </w:rPr>
        <w:t>[45]</w:t>
      </w:r>
      <w:r w:rsidRPr="00460721">
        <w:rPr>
          <w:rFonts w:ascii="Book Antiqua" w:eastAsia="Book Antiqua" w:hAnsi="Book Antiqua" w:cs="Book Antiqua"/>
          <w:color w:val="000000"/>
        </w:rPr>
        <w:t xml:space="preserve">. </w:t>
      </w:r>
    </w:p>
    <w:p w14:paraId="0A69D4AB" w14:textId="03FF2F96"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Patients with CHC and viral-induced hepatic steatosis have been shown to have worse hepatic outcomes in pre-treatment setting</w:t>
      </w:r>
      <w:r w:rsidR="00CB07C4" w:rsidRPr="00460721">
        <w:rPr>
          <w:rFonts w:ascii="Book Antiqua" w:eastAsia="Book Antiqua" w:hAnsi="Book Antiqua" w:cs="Book Antiqua"/>
          <w:color w:val="000000"/>
          <w:vertAlign w:val="superscript"/>
        </w:rPr>
        <w:t>[47]</w:t>
      </w:r>
      <w:r w:rsidRPr="00460721">
        <w:rPr>
          <w:rFonts w:ascii="Book Antiqua" w:eastAsia="Book Antiqua" w:hAnsi="Book Antiqua" w:cs="Book Antiqua"/>
          <w:color w:val="000000"/>
        </w:rPr>
        <w:t>. Nonetheless, a recent study depicts that presence of post-SVR steatosis does not carry a better risk profile</w:t>
      </w:r>
      <w:r w:rsidR="00CB07C4" w:rsidRPr="00460721">
        <w:rPr>
          <w:rFonts w:ascii="Book Antiqua" w:eastAsia="Book Antiqua" w:hAnsi="Book Antiqua" w:cs="Book Antiqua"/>
          <w:color w:val="000000"/>
          <w:vertAlign w:val="superscript"/>
        </w:rPr>
        <w:t>[48]</w:t>
      </w:r>
      <w:r w:rsidRPr="00460721">
        <w:rPr>
          <w:rFonts w:ascii="Book Antiqua" w:eastAsia="Book Antiqua" w:hAnsi="Book Antiqua" w:cs="Book Antiqua"/>
          <w:color w:val="000000"/>
        </w:rPr>
        <w:t>. In this study, which aimed to assess the effect of steatosis on HCC and all-cause mortality in CHC patients post-SVR, presence of fatty liver was associated with a considerable 7.5-fold increase in both primary endpoints</w:t>
      </w:r>
      <w:r w:rsidR="00CB07C4" w:rsidRPr="00460721">
        <w:rPr>
          <w:rFonts w:ascii="Book Antiqua" w:eastAsia="Book Antiqua" w:hAnsi="Book Antiqua" w:cs="Book Antiqua"/>
          <w:color w:val="000000"/>
          <w:vertAlign w:val="superscript"/>
        </w:rPr>
        <w:t>[48]</w:t>
      </w:r>
      <w:r w:rsidRPr="00460721">
        <w:rPr>
          <w:rFonts w:ascii="Book Antiqua" w:eastAsia="Book Antiqua" w:hAnsi="Book Antiqua" w:cs="Book Antiqua"/>
          <w:color w:val="000000"/>
        </w:rPr>
        <w:t>. Furthermore, there is also a substantially higher risk of EHMs, particularly CVD, after amelioration of steatosis post</w:t>
      </w:r>
      <w:r w:rsidR="00CB07C4">
        <w:rPr>
          <w:rFonts w:ascii="Book Antiqua" w:eastAsia="Book Antiqua" w:hAnsi="Book Antiqua" w:cs="Book Antiqua"/>
          <w:color w:val="000000"/>
        </w:rPr>
        <w:t>-</w:t>
      </w:r>
      <w:r w:rsidRPr="00460721">
        <w:rPr>
          <w:rFonts w:ascii="Book Antiqua" w:eastAsia="Book Antiqua" w:hAnsi="Book Antiqua" w:cs="Book Antiqua"/>
          <w:color w:val="000000"/>
        </w:rPr>
        <w:t>SVR</w:t>
      </w:r>
      <w:r w:rsidR="00CB07C4" w:rsidRPr="00460721">
        <w:rPr>
          <w:rFonts w:ascii="Book Antiqua" w:eastAsia="Book Antiqua" w:hAnsi="Book Antiqua" w:cs="Book Antiqua"/>
          <w:color w:val="000000"/>
          <w:vertAlign w:val="superscript"/>
        </w:rPr>
        <w:t>[17]</w:t>
      </w:r>
      <w:r w:rsidRPr="00460721">
        <w:rPr>
          <w:rFonts w:ascii="Book Antiqua" w:eastAsia="Book Antiqua" w:hAnsi="Book Antiqua" w:cs="Book Antiqua"/>
          <w:color w:val="000000"/>
        </w:rPr>
        <w:t>. These findings combined highlight the importance of hepatic steatosis as a major risk factor for poor outcome and warrant a special consideration of screening and follow</w:t>
      </w:r>
      <w:r w:rsidR="00CB07C4">
        <w:rPr>
          <w:rFonts w:ascii="宋体" w:eastAsia="宋体" w:hAnsi="宋体" w:cs="宋体" w:hint="eastAsia"/>
          <w:color w:val="000000"/>
          <w:lang w:eastAsia="zh-CN"/>
        </w:rPr>
        <w:t>-</w:t>
      </w:r>
      <w:r w:rsidRPr="00460721">
        <w:rPr>
          <w:rFonts w:ascii="Book Antiqua" w:eastAsia="Book Antiqua" w:hAnsi="Book Antiqua" w:cs="Book Antiqua"/>
          <w:color w:val="000000"/>
        </w:rPr>
        <w:t>up in this population.</w:t>
      </w:r>
    </w:p>
    <w:p w14:paraId="19105354" w14:textId="77777777" w:rsidR="00A77B3E" w:rsidRPr="00460721" w:rsidRDefault="00A77B3E" w:rsidP="00460721">
      <w:pPr>
        <w:spacing w:line="360" w:lineRule="auto"/>
        <w:jc w:val="both"/>
        <w:rPr>
          <w:rFonts w:ascii="Book Antiqua" w:hAnsi="Book Antiqua"/>
        </w:rPr>
      </w:pPr>
    </w:p>
    <w:p w14:paraId="225981A1" w14:textId="47B692C9" w:rsidR="00A77B3E" w:rsidRPr="00CE18BA" w:rsidRDefault="00776035" w:rsidP="00460721">
      <w:pPr>
        <w:spacing w:line="360" w:lineRule="auto"/>
        <w:jc w:val="both"/>
        <w:rPr>
          <w:rFonts w:ascii="Book Antiqua" w:hAnsi="Book Antiqua"/>
          <w:u w:val="single"/>
        </w:rPr>
      </w:pPr>
      <w:r w:rsidRPr="00CE18BA">
        <w:rPr>
          <w:rFonts w:ascii="Book Antiqua" w:eastAsia="Book Antiqua" w:hAnsi="Book Antiqua" w:cs="Book Antiqua"/>
          <w:b/>
          <w:bCs/>
          <w:color w:val="000000"/>
          <w:u w:val="single"/>
        </w:rPr>
        <w:t>I</w:t>
      </w:r>
      <w:r w:rsidR="00057113">
        <w:rPr>
          <w:rFonts w:ascii="Book Antiqua" w:eastAsia="Book Antiqua" w:hAnsi="Book Antiqua" w:cs="Book Antiqua"/>
          <w:b/>
          <w:bCs/>
          <w:color w:val="000000"/>
          <w:u w:val="single"/>
        </w:rPr>
        <w:t xml:space="preserve">NSULIN </w:t>
      </w:r>
      <w:r w:rsidR="00911D06" w:rsidRPr="00CE18BA">
        <w:rPr>
          <w:rFonts w:ascii="Book Antiqua" w:eastAsia="Book Antiqua" w:hAnsi="Book Antiqua" w:cs="Book Antiqua"/>
          <w:b/>
          <w:bCs/>
          <w:color w:val="000000"/>
          <w:u w:val="single"/>
        </w:rPr>
        <w:t>R</w:t>
      </w:r>
      <w:r w:rsidR="00057113">
        <w:rPr>
          <w:rFonts w:ascii="Book Antiqua" w:eastAsia="Book Antiqua" w:hAnsi="Book Antiqua" w:cs="Book Antiqua"/>
          <w:b/>
          <w:bCs/>
          <w:color w:val="000000"/>
          <w:u w:val="single"/>
        </w:rPr>
        <w:t>ESISTANCE</w:t>
      </w:r>
      <w:r w:rsidRPr="00CE18BA">
        <w:rPr>
          <w:rFonts w:ascii="Book Antiqua" w:eastAsia="Book Antiqua" w:hAnsi="Book Antiqua" w:cs="Book Antiqua"/>
          <w:b/>
          <w:bCs/>
          <w:color w:val="000000"/>
          <w:u w:val="single"/>
        </w:rPr>
        <w:t xml:space="preserve"> </w:t>
      </w:r>
      <w:r w:rsidR="00057113">
        <w:rPr>
          <w:rFonts w:ascii="Book Antiqua" w:eastAsia="Book Antiqua" w:hAnsi="Book Antiqua" w:cs="Book Antiqua"/>
          <w:b/>
          <w:bCs/>
          <w:color w:val="000000"/>
          <w:u w:val="single"/>
        </w:rPr>
        <w:t>&amp;</w:t>
      </w:r>
      <w:r w:rsidRPr="00CE18BA">
        <w:rPr>
          <w:rFonts w:ascii="Book Antiqua" w:eastAsia="Book Antiqua" w:hAnsi="Book Antiqua" w:cs="Book Antiqua"/>
          <w:b/>
          <w:bCs/>
          <w:color w:val="000000"/>
          <w:u w:val="single"/>
        </w:rPr>
        <w:t xml:space="preserve"> </w:t>
      </w:r>
      <w:r w:rsidR="00911D06" w:rsidRPr="00CE18BA">
        <w:rPr>
          <w:rFonts w:ascii="Book Antiqua" w:eastAsia="Book Antiqua" w:hAnsi="Book Antiqua" w:cs="Book Antiqua"/>
          <w:b/>
          <w:bCs/>
          <w:color w:val="000000"/>
          <w:u w:val="single"/>
        </w:rPr>
        <w:t>D</w:t>
      </w:r>
      <w:r w:rsidR="00057113">
        <w:rPr>
          <w:rFonts w:ascii="Book Antiqua" w:eastAsia="Book Antiqua" w:hAnsi="Book Antiqua" w:cs="Book Antiqua"/>
          <w:b/>
          <w:bCs/>
          <w:color w:val="000000"/>
          <w:u w:val="single"/>
        </w:rPr>
        <w:t xml:space="preserve">IABETES </w:t>
      </w:r>
      <w:r w:rsidR="00911D06" w:rsidRPr="00CE18BA">
        <w:rPr>
          <w:rFonts w:ascii="Book Antiqua" w:eastAsia="Book Antiqua" w:hAnsi="Book Antiqua" w:cs="Book Antiqua"/>
          <w:b/>
          <w:bCs/>
          <w:color w:val="000000"/>
          <w:u w:val="single"/>
        </w:rPr>
        <w:t>M</w:t>
      </w:r>
      <w:r w:rsidR="00057113">
        <w:rPr>
          <w:rFonts w:ascii="Book Antiqua" w:eastAsia="Book Antiqua" w:hAnsi="Book Antiqua" w:cs="Book Antiqua"/>
          <w:b/>
          <w:bCs/>
          <w:color w:val="000000"/>
          <w:u w:val="single"/>
        </w:rPr>
        <w:t>ELLITUS</w:t>
      </w:r>
    </w:p>
    <w:p w14:paraId="5ECEB53C" w14:textId="4527AE79"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Based on multiple epidemiological studies, metabolic alterations such as IR, DM, and metabolic syndrome are frequent comorbidities in patients with CHC, as opposed to controls</w:t>
      </w:r>
      <w:r w:rsidR="00CB07C4" w:rsidRPr="00460721">
        <w:rPr>
          <w:rFonts w:ascii="Book Antiqua" w:eastAsia="Book Antiqua" w:hAnsi="Book Antiqua" w:cs="Book Antiqua"/>
          <w:color w:val="000000"/>
          <w:vertAlign w:val="superscript"/>
        </w:rPr>
        <w:t>[19,49]</w:t>
      </w:r>
      <w:r w:rsidRPr="00460721">
        <w:rPr>
          <w:rFonts w:ascii="Book Antiqua" w:eastAsia="Book Antiqua" w:hAnsi="Book Antiqua" w:cs="Book Antiqua"/>
          <w:color w:val="000000"/>
        </w:rPr>
        <w:t>. The rationale behind this association is still not completely understood but it could be attributed to the presence of liver disease, metabolic characteristics such as obesity, or the inflammatory process induced by HCV infection. HCV has been found to modulate insulin signaling pathways although the precise molecular mechanism of HCV-mediated IR is not fully understood. In two mouse-model experimental studies, HCV core protein was found to play a major role in the development of IR</w:t>
      </w:r>
      <w:r w:rsidRPr="00460721">
        <w:rPr>
          <w:rFonts w:ascii="Book Antiqua" w:eastAsia="Book Antiqua" w:hAnsi="Book Antiqua" w:cs="Book Antiqua"/>
          <w:color w:val="000000"/>
          <w:vertAlign w:val="superscript"/>
        </w:rPr>
        <w:t>[50,51]</w:t>
      </w:r>
      <w:r w:rsidRPr="00460721">
        <w:rPr>
          <w:rFonts w:ascii="Book Antiqua" w:eastAsia="Book Antiqua" w:hAnsi="Book Antiqua" w:cs="Book Antiqua"/>
          <w:color w:val="000000"/>
        </w:rPr>
        <w:t xml:space="preserve"> particularly through </w:t>
      </w:r>
      <w:r w:rsidRPr="00CB07C4">
        <w:rPr>
          <w:rFonts w:ascii="Book Antiqua" w:eastAsia="Book Antiqua" w:hAnsi="Book Antiqua" w:cs="Book Antiqua"/>
          <w:i/>
          <w:iCs/>
          <w:color w:val="000000"/>
        </w:rPr>
        <w:t xml:space="preserve">PA28γ </w:t>
      </w:r>
      <w:r w:rsidRPr="00460721">
        <w:rPr>
          <w:rFonts w:ascii="Book Antiqua" w:eastAsia="Book Antiqua" w:hAnsi="Book Antiqua" w:cs="Book Antiqua"/>
          <w:color w:val="000000"/>
        </w:rPr>
        <w:t>gene-dependent pathway</w:t>
      </w:r>
      <w:r w:rsidR="00CB07C4" w:rsidRPr="00460721">
        <w:rPr>
          <w:rFonts w:ascii="Book Antiqua" w:eastAsia="Book Antiqua" w:hAnsi="Book Antiqua" w:cs="Book Antiqua"/>
          <w:color w:val="000000"/>
          <w:vertAlign w:val="superscript"/>
        </w:rPr>
        <w:t>[50]</w:t>
      </w:r>
      <w:r w:rsidRPr="00460721">
        <w:rPr>
          <w:rFonts w:ascii="Book Antiqua" w:eastAsia="Book Antiqua" w:hAnsi="Book Antiqua" w:cs="Book Antiqua"/>
          <w:color w:val="000000"/>
        </w:rPr>
        <w:t>. HCV genotypes 1, 2 and 4</w:t>
      </w:r>
      <w:r w:rsidRPr="00460721">
        <w:rPr>
          <w:rFonts w:ascii="Book Antiqua" w:eastAsia="Book Antiqua" w:hAnsi="Book Antiqua" w:cs="Book Antiqua"/>
          <w:color w:val="000000"/>
          <w:vertAlign w:val="superscript"/>
        </w:rPr>
        <w:t>[52]</w:t>
      </w:r>
      <w:r w:rsidR="00CB07C4">
        <w:rPr>
          <w:rFonts w:ascii="Book Antiqua" w:eastAsia="Book Antiqua" w:hAnsi="Book Antiqua" w:cs="Book Antiqua"/>
          <w:color w:val="000000"/>
          <w:vertAlign w:val="superscript"/>
        </w:rPr>
        <w:t xml:space="preserve"> </w:t>
      </w:r>
      <w:r w:rsidRPr="00460721">
        <w:rPr>
          <w:rFonts w:ascii="Book Antiqua" w:eastAsia="Book Antiqua" w:hAnsi="Book Antiqua" w:cs="Book Antiqua"/>
          <w:color w:val="000000"/>
        </w:rPr>
        <w:t>and genotypes 1 and 4</w:t>
      </w:r>
      <w:r w:rsidRPr="00460721">
        <w:rPr>
          <w:rFonts w:ascii="Book Antiqua" w:eastAsia="Book Antiqua" w:hAnsi="Book Antiqua" w:cs="Book Antiqua"/>
          <w:color w:val="000000"/>
          <w:vertAlign w:val="superscript"/>
        </w:rPr>
        <w:t>[53]</w:t>
      </w:r>
      <w:r w:rsidRPr="00460721">
        <w:rPr>
          <w:rFonts w:ascii="Book Antiqua" w:eastAsia="Book Antiqua" w:hAnsi="Book Antiqua" w:cs="Book Antiqua"/>
          <w:color w:val="000000"/>
        </w:rPr>
        <w:t xml:space="preserve"> were noticed to have higher IR compared to genotype 3</w:t>
      </w:r>
      <w:r w:rsidRPr="00460721">
        <w:rPr>
          <w:rFonts w:ascii="Book Antiqua" w:eastAsia="Book Antiqua" w:hAnsi="Book Antiqua" w:cs="Book Antiqua"/>
          <w:color w:val="000000"/>
          <w:vertAlign w:val="superscript"/>
        </w:rPr>
        <w:t>[52]</w:t>
      </w:r>
      <w:r w:rsidRPr="00460721">
        <w:rPr>
          <w:rFonts w:ascii="Book Antiqua" w:eastAsia="Book Antiqua" w:hAnsi="Book Antiqua" w:cs="Book Antiqua"/>
          <w:color w:val="000000"/>
        </w:rPr>
        <w:t xml:space="preserve"> and genotypes 2 and 3</w:t>
      </w:r>
      <w:r w:rsidR="00CB07C4" w:rsidRPr="00460721">
        <w:rPr>
          <w:rFonts w:ascii="Book Antiqua" w:eastAsia="Book Antiqua" w:hAnsi="Book Antiqua" w:cs="Book Antiqua"/>
          <w:color w:val="000000"/>
          <w:vertAlign w:val="superscript"/>
        </w:rPr>
        <w:t>[53]</w:t>
      </w:r>
      <w:r w:rsidRPr="00460721">
        <w:rPr>
          <w:rFonts w:ascii="Book Antiqua" w:eastAsia="Book Antiqua" w:hAnsi="Book Antiqua" w:cs="Book Antiqua"/>
          <w:color w:val="000000"/>
        </w:rPr>
        <w:t xml:space="preserve">, respectively. Oxidative stress and proinflammatory cytokines were also found to play a role in </w:t>
      </w:r>
      <w:r w:rsidRPr="00460721">
        <w:rPr>
          <w:rFonts w:ascii="Book Antiqua" w:eastAsia="Book Antiqua" w:hAnsi="Book Antiqua" w:cs="Book Antiqua"/>
          <w:i/>
          <w:iCs/>
          <w:color w:val="000000"/>
        </w:rPr>
        <w:t>de novo</w:t>
      </w:r>
      <w:r w:rsidRPr="00460721">
        <w:rPr>
          <w:rFonts w:ascii="Book Antiqua" w:eastAsia="Book Antiqua" w:hAnsi="Book Antiqua" w:cs="Book Antiqua"/>
          <w:color w:val="000000"/>
        </w:rPr>
        <w:t xml:space="preserve"> IR</w:t>
      </w:r>
      <w:r w:rsidRPr="00460721">
        <w:rPr>
          <w:rFonts w:ascii="Book Antiqua" w:eastAsia="Book Antiqua" w:hAnsi="Book Antiqua" w:cs="Book Antiqua"/>
          <w:color w:val="000000"/>
          <w:vertAlign w:val="superscript"/>
        </w:rPr>
        <w:t>[54,55]</w:t>
      </w:r>
      <w:r w:rsidRPr="00460721">
        <w:rPr>
          <w:rFonts w:ascii="Book Antiqua" w:eastAsia="Book Antiqua" w:hAnsi="Book Antiqua" w:cs="Book Antiqua"/>
          <w:color w:val="000000"/>
        </w:rPr>
        <w:t>. The disruption in glucose and lipid metabolism associated with IR</w:t>
      </w:r>
      <w:r w:rsidRPr="00460721">
        <w:rPr>
          <w:rFonts w:ascii="Book Antiqua" w:eastAsia="Book Antiqua" w:hAnsi="Book Antiqua" w:cs="Book Antiqua"/>
          <w:color w:val="000000"/>
          <w:vertAlign w:val="superscript"/>
        </w:rPr>
        <w:t>[56]</w:t>
      </w:r>
      <w:r w:rsidRPr="00460721">
        <w:rPr>
          <w:rFonts w:ascii="Book Antiqua" w:eastAsia="Book Antiqua" w:hAnsi="Book Antiqua" w:cs="Book Antiqua"/>
          <w:color w:val="000000"/>
        </w:rPr>
        <w:t xml:space="preserve"> leads to evolution of hepatic steatosis and development of DM. Among subjects with chronic liver disease, the prevalence of DM in CHC patients prior to treatment varies from 13.6% to 67.4%, which is higher than that reported in individuals with other etiologies, such as chronic hepatitis B</w:t>
      </w:r>
      <w:r w:rsidR="00CB07C4" w:rsidRPr="00460721">
        <w:rPr>
          <w:rFonts w:ascii="Book Antiqua" w:eastAsia="Book Antiqua" w:hAnsi="Book Antiqua" w:cs="Book Antiqua"/>
          <w:color w:val="000000"/>
          <w:vertAlign w:val="superscript"/>
        </w:rPr>
        <w:t>[57]</w:t>
      </w:r>
      <w:r w:rsidRPr="00460721">
        <w:rPr>
          <w:rFonts w:ascii="Book Antiqua" w:eastAsia="Book Antiqua" w:hAnsi="Book Antiqua" w:cs="Book Antiqua"/>
          <w:color w:val="000000"/>
        </w:rPr>
        <w:t>. Furthermore, a case-control study demonstrated that the presence of CHC was associated with an over 11-fold increase in risk of developing DM over a follow-up period of 9 years</w:t>
      </w:r>
      <w:r w:rsidR="00CB07C4" w:rsidRPr="00460721">
        <w:rPr>
          <w:rFonts w:ascii="Book Antiqua" w:eastAsia="Book Antiqua" w:hAnsi="Book Antiqua" w:cs="Book Antiqua"/>
          <w:color w:val="000000"/>
          <w:vertAlign w:val="superscript"/>
        </w:rPr>
        <w:t>[58]</w:t>
      </w:r>
      <w:r w:rsidRPr="00460721">
        <w:rPr>
          <w:rFonts w:ascii="Book Antiqua" w:eastAsia="Book Antiqua" w:hAnsi="Book Antiqua" w:cs="Book Antiqua"/>
          <w:color w:val="000000"/>
        </w:rPr>
        <w:t>. DM seems to have a bidirectional relationship with HCV, in which the latter causes IR while DM is linked with more aggressive course of HCV-related outcomes such as progressive fibrosis</w:t>
      </w:r>
      <w:r w:rsidR="00CB07C4" w:rsidRPr="00460721">
        <w:rPr>
          <w:rFonts w:ascii="Book Antiqua" w:eastAsia="Book Antiqua" w:hAnsi="Book Antiqua" w:cs="Book Antiqua"/>
          <w:color w:val="000000"/>
          <w:vertAlign w:val="superscript"/>
        </w:rPr>
        <w:t>[49,59,60]</w:t>
      </w:r>
      <w:r w:rsidRPr="00460721">
        <w:rPr>
          <w:rFonts w:ascii="Book Antiqua" w:eastAsia="Book Antiqua" w:hAnsi="Book Antiqua" w:cs="Book Antiqua"/>
          <w:color w:val="000000"/>
        </w:rPr>
        <w:t>, and increased risk of cirrhosis and HCC</w:t>
      </w:r>
      <w:r w:rsidR="00CB07C4" w:rsidRPr="00460721">
        <w:rPr>
          <w:rFonts w:ascii="Book Antiqua" w:eastAsia="Book Antiqua" w:hAnsi="Book Antiqua" w:cs="Book Antiqua"/>
          <w:color w:val="000000"/>
          <w:vertAlign w:val="superscript"/>
        </w:rPr>
        <w:t>[61,62]</w:t>
      </w:r>
      <w:r w:rsidRPr="00460721">
        <w:rPr>
          <w:rFonts w:ascii="Book Antiqua" w:eastAsia="Book Antiqua" w:hAnsi="Book Antiqua" w:cs="Book Antiqua"/>
          <w:color w:val="000000"/>
        </w:rPr>
        <w:t>. All the above conditions make patients with CHC more susceptible to have metabolic syndrome</w:t>
      </w:r>
      <w:r w:rsidRPr="00460721">
        <w:rPr>
          <w:rFonts w:ascii="Book Antiqua" w:eastAsia="Book Antiqua" w:hAnsi="Book Antiqua" w:cs="Book Antiqua"/>
          <w:color w:val="000000"/>
          <w:vertAlign w:val="superscript"/>
        </w:rPr>
        <w:t>[63]</w:t>
      </w:r>
      <w:r w:rsidRPr="00460721">
        <w:rPr>
          <w:rFonts w:ascii="Book Antiqua" w:eastAsia="Book Antiqua" w:hAnsi="Book Antiqua" w:cs="Book Antiqua"/>
          <w:color w:val="000000"/>
        </w:rPr>
        <w:t>. However, due to the hypolipidemia caused by HCV infection</w:t>
      </w:r>
      <w:r w:rsidR="00CB07C4" w:rsidRPr="00460721">
        <w:rPr>
          <w:rFonts w:ascii="Book Antiqua" w:eastAsia="Book Antiqua" w:hAnsi="Book Antiqua" w:cs="Book Antiqua"/>
          <w:color w:val="000000"/>
          <w:vertAlign w:val="superscript"/>
        </w:rPr>
        <w:t>[64]</w:t>
      </w:r>
      <w:r w:rsidRPr="00460721">
        <w:rPr>
          <w:rFonts w:ascii="Book Antiqua" w:eastAsia="Book Antiqua" w:hAnsi="Book Antiqua" w:cs="Book Antiqua"/>
          <w:color w:val="000000"/>
        </w:rPr>
        <w:t>,</w:t>
      </w:r>
      <w:r w:rsidRPr="00460721">
        <w:rPr>
          <w:rFonts w:ascii="Book Antiqua" w:eastAsia="Book Antiqua" w:hAnsi="Book Antiqua" w:cs="Book Antiqua"/>
          <w:color w:val="000000"/>
          <w:shd w:val="clear" w:color="auto" w:fill="FFFFFF"/>
        </w:rPr>
        <w:t xml:space="preserve"> which does not fit the traditional diagnostic criteria, a peculiar type of metabolic syndrome known as hepatitis C-associated dysmetabolic syndrome has been defined</w:t>
      </w:r>
      <w:r w:rsidR="00CB07C4" w:rsidRPr="00460721">
        <w:rPr>
          <w:rFonts w:ascii="Book Antiqua" w:eastAsia="Book Antiqua" w:hAnsi="Book Antiqua" w:cs="Book Antiqua"/>
          <w:color w:val="000000"/>
          <w:shd w:val="clear" w:color="auto" w:fill="FFFFFF"/>
          <w:vertAlign w:val="superscript"/>
        </w:rPr>
        <w:t>[63,65]</w:t>
      </w:r>
      <w:r w:rsidRPr="00460721">
        <w:rPr>
          <w:rFonts w:ascii="Book Antiqua" w:eastAsia="Book Antiqua" w:hAnsi="Book Antiqua" w:cs="Book Antiqua"/>
          <w:color w:val="000000"/>
          <w:shd w:val="clear" w:color="auto" w:fill="FFFFFF"/>
        </w:rPr>
        <w:t>.</w:t>
      </w:r>
    </w:p>
    <w:p w14:paraId="3B0B9E08" w14:textId="422A070E"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There is frequent evidence that have showed a beneficial effect of antiviral therapy using interferon-based regimens on IR in long-term HCV responders. Thompson </w:t>
      </w:r>
      <w:r w:rsidRPr="00460721">
        <w:rPr>
          <w:rFonts w:ascii="Book Antiqua" w:eastAsia="Book Antiqua" w:hAnsi="Book Antiqua" w:cs="Book Antiqua"/>
          <w:i/>
          <w:iCs/>
          <w:color w:val="000000"/>
        </w:rPr>
        <w:t>et al</w:t>
      </w:r>
      <w:r w:rsidR="00CB07C4" w:rsidRPr="00460721">
        <w:rPr>
          <w:rFonts w:ascii="Book Antiqua" w:eastAsia="Book Antiqua" w:hAnsi="Book Antiqua" w:cs="Book Antiqua"/>
          <w:color w:val="000000"/>
          <w:vertAlign w:val="superscript"/>
        </w:rPr>
        <w:t>[66]</w:t>
      </w:r>
      <w:r w:rsidRPr="00460721">
        <w:rPr>
          <w:rFonts w:ascii="Book Antiqua" w:eastAsia="Book Antiqua" w:hAnsi="Book Antiqua" w:cs="Book Antiqua"/>
          <w:color w:val="000000"/>
        </w:rPr>
        <w:t>, who studied 1038 non-diabetic patients, concluded that IR was substantially decreased in HCV-genotype 1 responders but not in genotype 1 non-responders or those with genotype 2 or 3 irrespective of treatment outcome. This finding was independent of any changes in BMI. Similar findings were also reported in a prospective study</w:t>
      </w:r>
      <w:r w:rsidR="00CB07C4" w:rsidRPr="00460721">
        <w:rPr>
          <w:rFonts w:ascii="Book Antiqua" w:eastAsia="Book Antiqua" w:hAnsi="Book Antiqua" w:cs="Book Antiqua"/>
          <w:color w:val="000000"/>
          <w:vertAlign w:val="superscript"/>
        </w:rPr>
        <w:t>[29]</w:t>
      </w:r>
      <w:r w:rsidRPr="00460721">
        <w:rPr>
          <w:rFonts w:ascii="Book Antiqua" w:eastAsia="Book Antiqua" w:hAnsi="Book Antiqua" w:cs="Book Antiqua"/>
          <w:color w:val="000000"/>
        </w:rPr>
        <w:t>. In the Virahep-C, a prospective multicenter study, an improvement in the homeostatic model assessment for IR (HOMA-IR) was observed 24 wk after treatment completion among HCV genotype 1 patients who had IR prior to therapy</w:t>
      </w:r>
      <w:r w:rsidR="00CB07C4" w:rsidRPr="00460721">
        <w:rPr>
          <w:rFonts w:ascii="Book Antiqua" w:eastAsia="Book Antiqua" w:hAnsi="Book Antiqua" w:cs="Book Antiqua"/>
          <w:color w:val="000000"/>
          <w:vertAlign w:val="superscript"/>
        </w:rPr>
        <w:t>[67]</w:t>
      </w:r>
      <w:r w:rsidRPr="00460721">
        <w:rPr>
          <w:rFonts w:ascii="Book Antiqua" w:eastAsia="Book Antiqua" w:hAnsi="Book Antiqua" w:cs="Book Antiqua"/>
          <w:color w:val="000000"/>
        </w:rPr>
        <w:t xml:space="preserve">. Nonetheless, Aghemo </w:t>
      </w:r>
      <w:r w:rsidRPr="00460721">
        <w:rPr>
          <w:rFonts w:ascii="Book Antiqua" w:eastAsia="Book Antiqua" w:hAnsi="Book Antiqua" w:cs="Book Antiqua"/>
          <w:i/>
          <w:iCs/>
          <w:color w:val="000000"/>
        </w:rPr>
        <w:t>et al</w:t>
      </w:r>
      <w:r w:rsidR="00CB07C4" w:rsidRPr="00460721">
        <w:rPr>
          <w:rFonts w:ascii="Book Antiqua" w:eastAsia="Book Antiqua" w:hAnsi="Book Antiqua" w:cs="Book Antiqua"/>
          <w:color w:val="000000"/>
          <w:vertAlign w:val="superscript"/>
        </w:rPr>
        <w:t>[68]</w:t>
      </w:r>
      <w:r w:rsidRPr="00460721">
        <w:rPr>
          <w:rFonts w:ascii="Book Antiqua" w:eastAsia="Book Antiqua" w:hAnsi="Book Antiqua" w:cs="Book Antiqua"/>
          <w:color w:val="000000"/>
        </w:rPr>
        <w:t>, who enrolled 384 non-diabetic patients with HCV genotypes 1 and 4</w:t>
      </w:r>
      <w:r w:rsidR="00F92C3D">
        <w:rPr>
          <w:rFonts w:ascii="Book Antiqua" w:eastAsia="Book Antiqua" w:hAnsi="Book Antiqua" w:cs="Book Antiqua"/>
          <w:color w:val="000000"/>
        </w:rPr>
        <w:t>,</w:t>
      </w:r>
      <w:r w:rsidRPr="00460721">
        <w:rPr>
          <w:rFonts w:ascii="Book Antiqua" w:eastAsia="Book Antiqua" w:hAnsi="Book Antiqua" w:cs="Book Antiqua"/>
          <w:color w:val="000000"/>
        </w:rPr>
        <w:t xml:space="preserve"> failed to display any differences in HOMA-IR values between baseline and 24 wk post-SVR. </w:t>
      </w:r>
      <w:r w:rsidR="0063091B" w:rsidRPr="00460721">
        <w:rPr>
          <w:rFonts w:ascii="Book Antiqua" w:eastAsia="Book Antiqua" w:hAnsi="Book Antiqua" w:cs="Book Antiqua"/>
          <w:color w:val="000000"/>
        </w:rPr>
        <w:t>All</w:t>
      </w:r>
      <w:r w:rsidRPr="00460721">
        <w:rPr>
          <w:rFonts w:ascii="Book Antiqua" w:eastAsia="Book Antiqua" w:hAnsi="Book Antiqua" w:cs="Book Antiqua"/>
          <w:color w:val="000000"/>
        </w:rPr>
        <w:t xml:space="preserve"> the above findings indicate that longer follow-up may be needed to better assess glucose metabolism disturbances after HCV viral clearance with interferon-based regimens, especially in HCV genotype 1 patients. Paradoxically, in a head-to-head comparison of 178 subjects with HCV genotype 1 and 4 between interferon-based antiviral therapy and DAAs to assess metabolic outcomes, there was a significant elevation in HOMA-IR in those who have taken interferon-based regimen</w:t>
      </w:r>
      <w:r w:rsidR="00CB07C4" w:rsidRPr="00460721">
        <w:rPr>
          <w:rFonts w:ascii="Book Antiqua" w:eastAsia="Book Antiqua" w:hAnsi="Book Antiqua" w:cs="Book Antiqua"/>
          <w:color w:val="000000"/>
          <w:vertAlign w:val="superscript"/>
        </w:rPr>
        <w:t>[11]</w:t>
      </w:r>
      <w:r w:rsidRPr="00460721">
        <w:rPr>
          <w:rFonts w:ascii="Book Antiqua" w:eastAsia="Book Antiqua" w:hAnsi="Book Antiqua" w:cs="Book Antiqua"/>
          <w:color w:val="000000"/>
        </w:rPr>
        <w:t>.</w:t>
      </w:r>
    </w:p>
    <w:p w14:paraId="560A83FB" w14:textId="3C50A755"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In addition to its effect on IR, antiviral therapy has been thought to decrease incidence of post-SVR hyperglycemia and DM. Interferon-based regimens have been studied extensively and they are usually associated with a decreased incidence of DM in non-diabetic patients with CHC after elimination of HCV</w:t>
      </w:r>
      <w:r w:rsidR="00CB07C4" w:rsidRPr="00460721">
        <w:rPr>
          <w:rFonts w:ascii="Book Antiqua" w:eastAsia="Book Antiqua" w:hAnsi="Book Antiqua" w:cs="Book Antiqua"/>
          <w:color w:val="000000"/>
          <w:vertAlign w:val="superscript"/>
        </w:rPr>
        <w:t>[69]</w:t>
      </w:r>
      <w:r w:rsidRPr="00460721">
        <w:rPr>
          <w:rFonts w:ascii="Book Antiqua" w:eastAsia="Book Antiqua" w:hAnsi="Book Antiqua" w:cs="Book Antiqua"/>
          <w:color w:val="000000"/>
        </w:rPr>
        <w:t>. However, several studies have emphasized the beneficial role of attaining SVR, which lessens glucose metabolism abnormalities induced by HCV infection</w:t>
      </w:r>
      <w:r w:rsidR="00CB07C4" w:rsidRPr="00460721">
        <w:rPr>
          <w:rFonts w:ascii="Book Antiqua" w:eastAsia="Book Antiqua" w:hAnsi="Book Antiqua" w:cs="Book Antiqua"/>
          <w:color w:val="000000"/>
          <w:vertAlign w:val="superscript"/>
        </w:rPr>
        <w:t>[10,39,70]</w:t>
      </w:r>
      <w:r w:rsidRPr="00460721">
        <w:rPr>
          <w:rFonts w:ascii="Book Antiqua" w:eastAsia="Book Antiqua" w:hAnsi="Book Antiqua" w:cs="Book Antiqua"/>
          <w:color w:val="000000"/>
        </w:rPr>
        <w:t>. Other studies could not detect any significant differences between treatment responders and non-responders</w:t>
      </w:r>
      <w:r w:rsidR="00CB07C4" w:rsidRPr="00460721">
        <w:rPr>
          <w:rFonts w:ascii="Book Antiqua" w:eastAsia="Book Antiqua" w:hAnsi="Book Antiqua" w:cs="Book Antiqua"/>
          <w:color w:val="000000"/>
          <w:vertAlign w:val="superscript"/>
        </w:rPr>
        <w:t>[71,72]</w:t>
      </w:r>
      <w:r w:rsidRPr="00460721">
        <w:rPr>
          <w:rFonts w:ascii="Book Antiqua" w:eastAsia="Book Antiqua" w:hAnsi="Book Antiqua" w:cs="Book Antiqua"/>
          <w:color w:val="000000"/>
        </w:rPr>
        <w:t xml:space="preserve">. Despite these conflicting results, a meta-analysis that included seven studies aiming to investigate the correlation between HCV clearance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interferon-based regimens and the incidence of hyperglycemia demonstrated that SVR is associated with lower risk of hyperglycemia </w:t>
      </w:r>
      <w:r w:rsidR="00CB07C4">
        <w:rPr>
          <w:rFonts w:ascii="Book Antiqua" w:eastAsia="Book Antiqua" w:hAnsi="Book Antiqua" w:cs="Book Antiqua"/>
          <w:color w:val="000000"/>
        </w:rPr>
        <w:t>[</w:t>
      </w:r>
      <w:r w:rsidRPr="00460721">
        <w:rPr>
          <w:rFonts w:ascii="Book Antiqua" w:eastAsia="Book Antiqua" w:hAnsi="Book Antiqua" w:cs="Book Antiqua"/>
          <w:color w:val="000000"/>
        </w:rPr>
        <w:t xml:space="preserve">odds ratio 0.49, 95% confidence interval </w:t>
      </w:r>
      <w:r w:rsidR="00CB07C4">
        <w:rPr>
          <w:rFonts w:ascii="Book Antiqua" w:eastAsia="Book Antiqua" w:hAnsi="Book Antiqua" w:cs="Book Antiqua"/>
          <w:color w:val="000000"/>
        </w:rPr>
        <w:t>(</w:t>
      </w:r>
      <w:r w:rsidRPr="00460721">
        <w:rPr>
          <w:rFonts w:ascii="Book Antiqua" w:eastAsia="Book Antiqua" w:hAnsi="Book Antiqua" w:cs="Book Antiqua"/>
          <w:color w:val="000000"/>
        </w:rPr>
        <w:t>CI</w:t>
      </w:r>
      <w:r w:rsidR="00CB07C4">
        <w:rPr>
          <w:rFonts w:ascii="Book Antiqua" w:eastAsia="Book Antiqua" w:hAnsi="Book Antiqua" w:cs="Book Antiqua"/>
          <w:color w:val="000000"/>
        </w:rPr>
        <w:t>)</w:t>
      </w:r>
      <w:r w:rsidR="000A7DF7">
        <w:rPr>
          <w:rFonts w:ascii="Book Antiqua" w:eastAsia="Book Antiqua" w:hAnsi="Book Antiqua" w:cs="Book Antiqua"/>
          <w:color w:val="000000"/>
        </w:rPr>
        <w:t>:</w:t>
      </w:r>
      <w:r w:rsidRPr="00460721">
        <w:rPr>
          <w:rFonts w:ascii="Book Antiqua" w:eastAsia="Book Antiqua" w:hAnsi="Book Antiqua" w:cs="Book Antiqua"/>
          <w:color w:val="000000"/>
        </w:rPr>
        <w:t xml:space="preserve"> 0.42-0.58</w:t>
      </w:r>
      <w:r w:rsidR="00CB07C4">
        <w:rPr>
          <w:rFonts w:ascii="Book Antiqua" w:eastAsia="Book Antiqua" w:hAnsi="Book Antiqua" w:cs="Book Antiqua"/>
          <w:color w:val="000000"/>
        </w:rPr>
        <w:t>]</w:t>
      </w:r>
      <w:r w:rsidRPr="00460721">
        <w:rPr>
          <w:rFonts w:ascii="Book Antiqua" w:eastAsia="Book Antiqua" w:hAnsi="Book Antiqua" w:cs="Book Antiqua"/>
          <w:color w:val="000000"/>
        </w:rPr>
        <w:t xml:space="preserve">. Heterogeneity between studies was minimal, indicating a reliable result. On the other hand, the use of DAAs for viral eradication was not investigated thoroughly. </w:t>
      </w:r>
      <w:r w:rsidR="00E65F61">
        <w:rPr>
          <w:rFonts w:ascii="Book Antiqua" w:eastAsia="Book Antiqua" w:hAnsi="Book Antiqua" w:cs="Book Antiqua"/>
          <w:color w:val="000000"/>
        </w:rPr>
        <w:t>Studies on incidence of DM in non-diabetic</w:t>
      </w:r>
      <w:r w:rsidR="00A161B9">
        <w:rPr>
          <w:rFonts w:ascii="Book Antiqua" w:eastAsia="Book Antiqua" w:hAnsi="Book Antiqua" w:cs="Book Antiqua"/>
          <w:color w:val="000000"/>
        </w:rPr>
        <w:t xml:space="preserve"> patients</w:t>
      </w:r>
      <w:r w:rsidR="00E65F61">
        <w:rPr>
          <w:rFonts w:ascii="Book Antiqua" w:eastAsia="Book Antiqua" w:hAnsi="Book Antiqua" w:cs="Book Antiqua"/>
          <w:color w:val="000000"/>
        </w:rPr>
        <w:t xml:space="preserve"> demonstrated less glucose disturbance in</w:t>
      </w:r>
      <w:r w:rsidR="00A161B9">
        <w:rPr>
          <w:rFonts w:ascii="Book Antiqua" w:eastAsia="Book Antiqua" w:hAnsi="Book Antiqua" w:cs="Book Antiqua"/>
          <w:color w:val="000000"/>
        </w:rPr>
        <w:t xml:space="preserve"> long-term responders</w:t>
      </w:r>
      <w:r w:rsidR="00A161B9" w:rsidRPr="00CE18BA">
        <w:rPr>
          <w:rFonts w:ascii="Book Antiqua" w:eastAsia="Book Antiqua" w:hAnsi="Book Antiqua" w:cs="Book Antiqua"/>
          <w:color w:val="000000"/>
          <w:vertAlign w:val="superscript"/>
        </w:rPr>
        <w:t>[10,73]</w:t>
      </w:r>
      <w:r w:rsidR="00A161B9">
        <w:rPr>
          <w:rFonts w:ascii="Book Antiqua" w:eastAsia="Book Antiqua" w:hAnsi="Book Antiqua" w:cs="Book Antiqua"/>
          <w:color w:val="000000"/>
        </w:rPr>
        <w:t>.</w:t>
      </w:r>
      <w:r w:rsidR="00E65F61">
        <w:rPr>
          <w:rFonts w:ascii="Book Antiqua" w:eastAsia="Book Antiqua" w:hAnsi="Book Antiqua" w:cs="Book Antiqua"/>
          <w:color w:val="000000"/>
        </w:rPr>
        <w:t xml:space="preserve"> </w:t>
      </w:r>
      <w:r w:rsidRPr="00460721">
        <w:rPr>
          <w:rFonts w:ascii="Book Antiqua" w:eastAsia="Book Antiqua" w:hAnsi="Book Antiqua" w:cs="Book Antiqua"/>
          <w:color w:val="000000"/>
        </w:rPr>
        <w:t>In a retrospective study conducted in U</w:t>
      </w:r>
      <w:r w:rsidR="00C94E3D">
        <w:rPr>
          <w:rFonts w:ascii="Book Antiqua" w:eastAsia="Book Antiqua" w:hAnsi="Book Antiqua" w:cs="Book Antiqua"/>
          <w:color w:val="000000"/>
        </w:rPr>
        <w:t>nited States</w:t>
      </w:r>
      <w:r w:rsidRPr="00460721">
        <w:rPr>
          <w:rFonts w:ascii="Book Antiqua" w:eastAsia="Book Antiqua" w:hAnsi="Book Antiqua" w:cs="Book Antiqua"/>
          <w:color w:val="000000"/>
        </w:rPr>
        <w:t>, 5127 non-diabetic subjects with HCV were enrolled to investigate how the response to HCV treatment impacted the risk of subsequent DM. The authors found that those who achieved SVR had markedly lower risk of developing DM, compared to those with treatment failure</w:t>
      </w:r>
      <w:r w:rsidR="00C9235B" w:rsidRPr="00460721">
        <w:rPr>
          <w:rFonts w:ascii="Book Antiqua" w:eastAsia="Book Antiqua" w:hAnsi="Book Antiqua" w:cs="Book Antiqua"/>
          <w:color w:val="000000"/>
          <w:vertAlign w:val="superscript"/>
        </w:rPr>
        <w:t>[10]</w:t>
      </w:r>
      <w:r w:rsidRPr="00460721">
        <w:rPr>
          <w:rFonts w:ascii="Book Antiqua" w:eastAsia="Book Antiqua" w:hAnsi="Book Antiqua" w:cs="Book Antiqua"/>
          <w:color w:val="000000"/>
        </w:rPr>
        <w:t>. Two studies investigated the effect of DAAs on previously known diabetic patients</w:t>
      </w:r>
      <w:r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4</w:t>
      </w:r>
      <w:r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5</w:t>
      </w:r>
      <w:r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One illustrated an improvement in glycemic status after viral cure while in the other there was no difference in glycosylated hemoglobin between pretreatment and post-treatment values. Importantly, one-third of patients in the latter study required escalation of anti-diabetic therapy during antiviral treatment. Further long-term prospective studies are still needed to resolve the current dilemma of changes on IR related to antiviral treatment.</w:t>
      </w:r>
    </w:p>
    <w:p w14:paraId="6C761D61" w14:textId="77777777" w:rsidR="00A77B3E" w:rsidRPr="00460721" w:rsidRDefault="00A77B3E" w:rsidP="00460721">
      <w:pPr>
        <w:spacing w:line="360" w:lineRule="auto"/>
        <w:jc w:val="both"/>
        <w:rPr>
          <w:rFonts w:ascii="Book Antiqua" w:hAnsi="Book Antiqua"/>
        </w:rPr>
      </w:pPr>
    </w:p>
    <w:p w14:paraId="0A521358" w14:textId="48ADA6B2" w:rsidR="00A77B3E" w:rsidRPr="00CE18BA" w:rsidRDefault="00776035" w:rsidP="00460721">
      <w:pPr>
        <w:spacing w:line="360" w:lineRule="auto"/>
        <w:jc w:val="both"/>
        <w:rPr>
          <w:rFonts w:ascii="Book Antiqua" w:hAnsi="Book Antiqua"/>
          <w:u w:val="single"/>
        </w:rPr>
      </w:pPr>
      <w:r w:rsidRPr="00CE18BA">
        <w:rPr>
          <w:rFonts w:ascii="Book Antiqua" w:eastAsia="Book Antiqua" w:hAnsi="Book Antiqua" w:cs="Book Antiqua"/>
          <w:b/>
          <w:bCs/>
          <w:color w:val="000000"/>
          <w:u w:val="single"/>
          <w:shd w:val="clear" w:color="auto" w:fill="FFFFFF"/>
        </w:rPr>
        <w:t>C</w:t>
      </w:r>
      <w:r w:rsidR="00057113">
        <w:rPr>
          <w:rFonts w:ascii="Book Antiqua" w:eastAsia="Book Antiqua" w:hAnsi="Book Antiqua" w:cs="Book Antiqua"/>
          <w:b/>
          <w:bCs/>
          <w:color w:val="000000"/>
          <w:u w:val="single"/>
          <w:shd w:val="clear" w:color="auto" w:fill="FFFFFF"/>
        </w:rPr>
        <w:t>ARDIO</w:t>
      </w:r>
      <w:r w:rsidR="00911D06" w:rsidRPr="00CE18BA">
        <w:rPr>
          <w:rFonts w:ascii="Book Antiqua" w:eastAsia="Book Antiqua" w:hAnsi="Book Antiqua" w:cs="Book Antiqua"/>
          <w:b/>
          <w:bCs/>
          <w:color w:val="000000"/>
          <w:u w:val="single"/>
          <w:shd w:val="clear" w:color="auto" w:fill="FFFFFF"/>
        </w:rPr>
        <w:t>V</w:t>
      </w:r>
      <w:r w:rsidR="00057113">
        <w:rPr>
          <w:rFonts w:ascii="Book Antiqua" w:eastAsia="Book Antiqua" w:hAnsi="Book Antiqua" w:cs="Book Antiqua"/>
          <w:b/>
          <w:bCs/>
          <w:color w:val="000000"/>
          <w:u w:val="single"/>
          <w:shd w:val="clear" w:color="auto" w:fill="FFFFFF"/>
        </w:rPr>
        <w:t xml:space="preserve">ASCULAR </w:t>
      </w:r>
      <w:r w:rsidR="00911D06" w:rsidRPr="00CE18BA">
        <w:rPr>
          <w:rFonts w:ascii="Book Antiqua" w:eastAsia="Book Antiqua" w:hAnsi="Book Antiqua" w:cs="Book Antiqua"/>
          <w:b/>
          <w:bCs/>
          <w:color w:val="000000"/>
          <w:u w:val="single"/>
          <w:shd w:val="clear" w:color="auto" w:fill="FFFFFF"/>
        </w:rPr>
        <w:t>D</w:t>
      </w:r>
      <w:r w:rsidR="00057113">
        <w:rPr>
          <w:rFonts w:ascii="Book Antiqua" w:eastAsia="Book Antiqua" w:hAnsi="Book Antiqua" w:cs="Book Antiqua"/>
          <w:b/>
          <w:bCs/>
          <w:color w:val="000000"/>
          <w:u w:val="single"/>
          <w:shd w:val="clear" w:color="auto" w:fill="FFFFFF"/>
        </w:rPr>
        <w:t>ISEASE</w:t>
      </w:r>
    </w:p>
    <w:p w14:paraId="09BCC940" w14:textId="408C8472"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CHC infection has been linked to an array of EHMs, including an increased risk of CVD</w:t>
      </w:r>
      <w:r w:rsidR="00C9235B"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6</w:t>
      </w:r>
      <w:r w:rsidR="00C9235B"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9</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Several direct and indirect HCV pro-atherogenic mechanisms have been postulated.</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HCV is assumed to play a direct role in the development of arterial atherosclerosis by inducing endothelial dysfunction, likely</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through</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interleukin 1β</w:t>
      </w:r>
      <w:r w:rsidR="00C9235B" w:rsidRPr="00460721">
        <w:rPr>
          <w:rFonts w:ascii="Book Antiqua" w:eastAsia="Book Antiqua" w:hAnsi="Book Antiqua" w:cs="Book Antiqua"/>
          <w:color w:val="000000"/>
          <w:vertAlign w:val="superscript"/>
        </w:rPr>
        <w:t>[</w:t>
      </w:r>
      <w:r w:rsidR="00754A90">
        <w:rPr>
          <w:rFonts w:ascii="Book Antiqua" w:eastAsia="Book Antiqua" w:hAnsi="Book Antiqua" w:cs="Book Antiqua"/>
          <w:color w:val="000000"/>
          <w:vertAlign w:val="superscript"/>
        </w:rPr>
        <w:t>80</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a pro-inflammatory cytokine. Likewise, it has been observed that HCV has the ability to live and replicate inside carotid plaques</w:t>
      </w:r>
      <w:r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1</w:t>
      </w:r>
      <w:r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which further supports an immediate pro-atherogenic effect. Moreover, chronic inflammation and oxidative stress that are caused by structural and non-structural viral proteins have also been shown to trigger plaque formation</w:t>
      </w:r>
      <w:r w:rsidR="00C9235B" w:rsidRPr="00460721">
        <w:rPr>
          <w:rFonts w:ascii="Book Antiqua" w:eastAsia="Book Antiqua" w:hAnsi="Book Antiqua" w:cs="Book Antiqua"/>
          <w:color w:val="000000"/>
          <w:vertAlign w:val="superscript"/>
        </w:rPr>
        <w:t>[</w:t>
      </w:r>
      <w:r w:rsidR="00754A90">
        <w:rPr>
          <w:rFonts w:ascii="Book Antiqua" w:eastAsia="Book Antiqua" w:hAnsi="Book Antiqua" w:cs="Book Antiqua"/>
          <w:color w:val="000000"/>
          <w:vertAlign w:val="superscript"/>
        </w:rPr>
        <w:t>80</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In a multicenter Italian study that evaluated the effect of attaining SVR using DAAs on subclinical carotid arteriosclerosis compared to</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an untreated cohort, ultrasonographic carotid measurements showed a significant reduction in mean carotid intima-media thickness in treatment group at the end of follow-up compared to baseline (from 0.94 mm to 0.81 mm,</w:t>
      </w:r>
      <w:r w:rsidR="00C9235B">
        <w:rPr>
          <w:rFonts w:ascii="Book Antiqua" w:eastAsia="Book Antiqua" w:hAnsi="Book Antiqua" w:cs="Book Antiqua"/>
          <w:color w:val="000000"/>
        </w:rPr>
        <w:t xml:space="preserve"> </w:t>
      </w:r>
      <w:r w:rsidRPr="00460721">
        <w:rPr>
          <w:rFonts w:ascii="Book Antiqua" w:eastAsia="Book Antiqua" w:hAnsi="Book Antiqua" w:cs="Book Antiqua"/>
          <w:i/>
          <w:iCs/>
          <w:color w:val="000000"/>
        </w:rPr>
        <w:t>P</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&lt; 0.001). No significant changes in the </w:t>
      </w:r>
      <w:r w:rsidR="006132B8" w:rsidRPr="00460721">
        <w:rPr>
          <w:rFonts w:ascii="Book Antiqua" w:eastAsia="Book Antiqua" w:hAnsi="Book Antiqua" w:cs="Book Antiqua"/>
          <w:color w:val="000000"/>
        </w:rPr>
        <w:t xml:space="preserve">intima-media thickness </w:t>
      </w:r>
      <w:r w:rsidRPr="00460721">
        <w:rPr>
          <w:rFonts w:ascii="Book Antiqua" w:eastAsia="Book Antiqua" w:hAnsi="Book Antiqua" w:cs="Book Antiqua"/>
          <w:color w:val="000000"/>
        </w:rPr>
        <w:t xml:space="preserve">were found in the control group. The BMI of these patients did not change during follow-up, while a significant increase in serum cholesterol levels was observed. The study concluded that eradication of HCV by DAAs led to an amelioration in carotid atherosclerosis, particularly </w:t>
      </w:r>
      <w:r w:rsidR="006132B8" w:rsidRPr="00460721">
        <w:rPr>
          <w:rFonts w:ascii="Book Antiqua" w:eastAsia="Book Antiqua" w:hAnsi="Book Antiqua" w:cs="Book Antiqua"/>
          <w:color w:val="000000"/>
        </w:rPr>
        <w:t>intima-media thickness</w:t>
      </w:r>
      <w:r w:rsidRPr="00460721">
        <w:rPr>
          <w:rFonts w:ascii="Book Antiqua" w:eastAsia="Book Antiqua" w:hAnsi="Book Antiqua" w:cs="Book Antiqua"/>
          <w:color w:val="000000"/>
        </w:rPr>
        <w:t>. Furthermore, HCV can also induce atherosclerosis indirectly since it is associated with an increased risk of metabolic syndrome components, including IR, DM, and hepatic steatosis, which are well-known predisposing factors for CVD</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2</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4</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On the other hand, some studies have failed to show any significant association between HCV and cardiovascular events</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5</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6</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w:t>
      </w:r>
    </w:p>
    <w:p w14:paraId="3D2D0C22" w14:textId="5740B540" w:rsidR="00A77B3E" w:rsidRPr="00460721" w:rsidRDefault="00776035" w:rsidP="00C9235B">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Several studies have shown that either antiviral therapy or the attainment of SVR minimize CVD risk</w:t>
      </w:r>
      <w:r w:rsidR="000C5A21" w:rsidRPr="00EB12FF">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7</w:t>
      </w:r>
      <w:r w:rsidR="000C5A21" w:rsidRPr="00EB12FF">
        <w:rPr>
          <w:rFonts w:ascii="Book Antiqua" w:eastAsia="Book Antiqua" w:hAnsi="Book Antiqua" w:cs="Book Antiqua"/>
          <w:color w:val="000000"/>
          <w:vertAlign w:val="superscript"/>
        </w:rPr>
        <w:t>-</w:t>
      </w:r>
      <w:r w:rsidR="00754A90">
        <w:rPr>
          <w:rFonts w:ascii="Book Antiqua" w:eastAsia="Book Antiqua" w:hAnsi="Book Antiqua" w:cs="Book Antiqua"/>
          <w:color w:val="000000"/>
          <w:vertAlign w:val="superscript"/>
        </w:rPr>
        <w:t>90</w:t>
      </w:r>
      <w:r w:rsidR="000C5A21" w:rsidRPr="00EB12FF">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However, the results are rather controversial. Butt </w:t>
      </w:r>
      <w:r w:rsidRPr="00C9235B">
        <w:rPr>
          <w:rFonts w:ascii="Book Antiqua" w:eastAsia="Book Antiqua" w:hAnsi="Book Antiqua" w:cs="Book Antiqua"/>
          <w:i/>
          <w:iCs/>
          <w:color w:val="000000"/>
        </w:rPr>
        <w:t>et al</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7</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who studied the effect of antiviral therapy, interferon- or DAAs-based regimens on CVD risk</w:t>
      </w:r>
      <w:r w:rsidR="00BF43DB">
        <w:rPr>
          <w:rFonts w:ascii="Book Antiqua" w:eastAsia="Book Antiqua" w:hAnsi="Book Antiqua" w:cs="Book Antiqua"/>
          <w:color w:val="000000"/>
        </w:rPr>
        <w:t>,</w:t>
      </w:r>
      <w:r w:rsidRPr="00460721">
        <w:rPr>
          <w:rFonts w:ascii="Book Antiqua" w:eastAsia="Book Antiqua" w:hAnsi="Book Antiqua" w:cs="Book Antiqua"/>
          <w:color w:val="000000"/>
        </w:rPr>
        <w:t xml:space="preserve"> found that the incidence of CVD in treatment arm was 7.2% in comparison with 13% in control group, regardless of the antiviral regimen. Treatment with DAAs was superior to interferon-based regimen, with a hazard ratio (HR) of 0.57 (95%CI</w:t>
      </w:r>
      <w:r w:rsidR="00C9235B">
        <w:rPr>
          <w:rFonts w:ascii="Book Antiqua" w:eastAsia="Book Antiqua" w:hAnsi="Book Antiqua" w:cs="Book Antiqua"/>
          <w:color w:val="000000"/>
        </w:rPr>
        <w:t>:</w:t>
      </w:r>
      <w:r w:rsidRPr="00460721">
        <w:rPr>
          <w:rFonts w:ascii="Book Antiqua" w:eastAsia="Book Antiqua" w:hAnsi="Book Antiqua" w:cs="Book Antiqua"/>
          <w:color w:val="000000"/>
        </w:rPr>
        <w:t xml:space="preserve"> 0.51</w:t>
      </w:r>
      <w:r w:rsidR="005C3B6F">
        <w:rPr>
          <w:rFonts w:ascii="Book Antiqua" w:eastAsia="Book Antiqua" w:hAnsi="Book Antiqua" w:cs="Book Antiqua"/>
          <w:color w:val="000000"/>
        </w:rPr>
        <w:t>-</w:t>
      </w:r>
      <w:r w:rsidRPr="00460721">
        <w:rPr>
          <w:rFonts w:ascii="Book Antiqua" w:eastAsia="Book Antiqua" w:hAnsi="Book Antiqua" w:cs="Book Antiqua"/>
          <w:color w:val="000000"/>
        </w:rPr>
        <w:t>0.65) and HR 0.78 (95%CI</w:t>
      </w:r>
      <w:r w:rsidR="00C9235B">
        <w:rPr>
          <w:rFonts w:ascii="Book Antiqua" w:eastAsia="Book Antiqua" w:hAnsi="Book Antiqua" w:cs="Book Antiqua"/>
          <w:color w:val="000000"/>
        </w:rPr>
        <w:t>:</w:t>
      </w:r>
      <w:r w:rsidRPr="00460721">
        <w:rPr>
          <w:rFonts w:ascii="Book Antiqua" w:eastAsia="Book Antiqua" w:hAnsi="Book Antiqua" w:cs="Book Antiqua"/>
          <w:color w:val="000000"/>
        </w:rPr>
        <w:t xml:space="preserve"> 0.71</w:t>
      </w:r>
      <w:r w:rsidR="005C3B6F">
        <w:rPr>
          <w:rFonts w:ascii="Book Antiqua" w:eastAsia="Book Antiqua" w:hAnsi="Book Antiqua" w:cs="Book Antiqua"/>
          <w:color w:val="000000"/>
        </w:rPr>
        <w:t>-</w:t>
      </w:r>
      <w:r w:rsidRPr="00460721">
        <w:rPr>
          <w:rFonts w:ascii="Book Antiqua" w:eastAsia="Book Antiqua" w:hAnsi="Book Antiqua" w:cs="Book Antiqua"/>
          <w:color w:val="000000"/>
        </w:rPr>
        <w:t>0.85), respectively. SVR was also associated with lower risk of incident CVD events HR 0.87 (95%CI</w:t>
      </w:r>
      <w:r w:rsidR="00C9235B">
        <w:rPr>
          <w:rFonts w:ascii="Book Antiqua" w:eastAsia="Book Antiqua" w:hAnsi="Book Antiqua" w:cs="Book Antiqua"/>
          <w:color w:val="000000"/>
        </w:rPr>
        <w:t>:</w:t>
      </w:r>
      <w:r w:rsidRPr="00460721">
        <w:rPr>
          <w:rFonts w:ascii="Book Antiqua" w:eastAsia="Book Antiqua" w:hAnsi="Book Antiqua" w:cs="Book Antiqua"/>
          <w:color w:val="000000"/>
        </w:rPr>
        <w:t xml:space="preserve"> 0.77</w:t>
      </w:r>
      <w:r w:rsidR="005C3B6F">
        <w:rPr>
          <w:rFonts w:ascii="Book Antiqua" w:eastAsia="Book Antiqua" w:hAnsi="Book Antiqua" w:cs="Book Antiqua"/>
          <w:color w:val="000000"/>
        </w:rPr>
        <w:t>-</w:t>
      </w:r>
      <w:r w:rsidRPr="00460721">
        <w:rPr>
          <w:rFonts w:ascii="Book Antiqua" w:eastAsia="Book Antiqua" w:hAnsi="Book Antiqua" w:cs="Book Antiqua"/>
          <w:color w:val="000000"/>
        </w:rPr>
        <w:t xml:space="preserve">0.98). In a nation-wide cohort study on Taiwanese residents with HCV who had received interferon-based regimens compared to an untreated cohort, antiviral therapy was associated with lower risks of acute coronary syndrome and </w:t>
      </w:r>
      <w:r w:rsidR="0063091B" w:rsidRPr="00460721">
        <w:rPr>
          <w:rFonts w:ascii="Book Antiqua" w:eastAsia="Book Antiqua" w:hAnsi="Book Antiqua" w:cs="Book Antiqua"/>
          <w:color w:val="000000"/>
        </w:rPr>
        <w:t>ischemic</w:t>
      </w:r>
      <w:r w:rsidRPr="00460721">
        <w:rPr>
          <w:rFonts w:ascii="Book Antiqua" w:eastAsia="Book Antiqua" w:hAnsi="Book Antiqua" w:cs="Book Antiqua"/>
          <w:color w:val="000000"/>
        </w:rPr>
        <w:t xml:space="preserve"> stroke, with HR 0.77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0.62</w:t>
      </w:r>
      <w:r w:rsidR="005C3B6F">
        <w:rPr>
          <w:rFonts w:ascii="Book Antiqua" w:eastAsia="Book Antiqua" w:hAnsi="Book Antiqua" w:cs="Book Antiqua"/>
          <w:color w:val="000000"/>
        </w:rPr>
        <w:t>-</w:t>
      </w:r>
      <w:r w:rsidRPr="00460721">
        <w:rPr>
          <w:rFonts w:ascii="Book Antiqua" w:eastAsia="Book Antiqua" w:hAnsi="Book Antiqua" w:cs="Book Antiqua"/>
          <w:color w:val="000000"/>
        </w:rPr>
        <w:t>0.97) and HR 0.62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0.46</w:t>
      </w:r>
      <w:r w:rsidR="005C3B6F">
        <w:rPr>
          <w:rFonts w:ascii="Book Antiqua" w:eastAsia="Book Antiqua" w:hAnsi="Book Antiqua" w:cs="Book Antiqua"/>
          <w:color w:val="000000"/>
        </w:rPr>
        <w:t>-</w:t>
      </w:r>
      <w:r w:rsidRPr="00460721">
        <w:rPr>
          <w:rFonts w:ascii="Book Antiqua" w:eastAsia="Book Antiqua" w:hAnsi="Book Antiqua" w:cs="Book Antiqua"/>
          <w:color w:val="000000"/>
        </w:rPr>
        <w:t>0.83), respectively. This risk reduction was not observed in subject who had insufficient treatment course (&lt;</w:t>
      </w:r>
      <w:r w:rsidR="008F47A6">
        <w:rPr>
          <w:rFonts w:ascii="Book Antiqua" w:eastAsia="Book Antiqua" w:hAnsi="Book Antiqua" w:cs="Book Antiqua"/>
          <w:color w:val="000000"/>
        </w:rPr>
        <w:t xml:space="preserve"> </w:t>
      </w:r>
      <w:r w:rsidRPr="00460721">
        <w:rPr>
          <w:rFonts w:ascii="Book Antiqua" w:eastAsia="Book Antiqua" w:hAnsi="Book Antiqua" w:cs="Book Antiqua"/>
          <w:color w:val="000000"/>
        </w:rPr>
        <w:t>16 wk)</w:t>
      </w:r>
      <w:r w:rsidR="008F47A6"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8</w:t>
      </w:r>
      <w:r w:rsidR="008F47A6"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Further supporting data was observed in a study comprising 3385 HCV patients, which found that SVR was associated with a lower relative hazard reduction and absolute risk reduction </w:t>
      </w:r>
      <w:r w:rsidRPr="00EB12FF">
        <w:rPr>
          <w:rFonts w:ascii="Book Antiqua" w:eastAsia="Book Antiqua" w:hAnsi="Book Antiqua" w:cs="Book Antiqua"/>
          <w:color w:val="000000"/>
        </w:rPr>
        <w:t>for CVD</w:t>
      </w:r>
      <w:r w:rsidR="00EB12FF" w:rsidRPr="00EB12FF">
        <w:rPr>
          <w:rFonts w:ascii="Book Antiqua" w:eastAsia="Book Antiqua" w:hAnsi="Book Antiqua" w:cs="Book Antiqua"/>
          <w:color w:val="000000"/>
          <w:vertAlign w:val="superscript"/>
        </w:rPr>
        <w:t>[89]</w:t>
      </w:r>
      <w:r w:rsidRPr="00460721">
        <w:rPr>
          <w:rFonts w:ascii="Book Antiqua" w:eastAsia="Book Antiqua" w:hAnsi="Book Antiqua" w:cs="Book Antiqua"/>
          <w:color w:val="000000"/>
        </w:rPr>
        <w:t xml:space="preserve">. However, some epidemiological studies have found contradictory findings. </w:t>
      </w:r>
      <w:r w:rsidR="00BF43DB">
        <w:rPr>
          <w:rFonts w:ascii="Book Antiqua" w:eastAsia="Book Antiqua" w:hAnsi="Book Antiqua" w:cs="Book Antiqua"/>
          <w:color w:val="000000"/>
        </w:rPr>
        <w:t>A</w:t>
      </w:r>
      <w:r w:rsidRPr="00460721">
        <w:rPr>
          <w:rFonts w:ascii="Book Antiqua" w:eastAsia="Book Antiqua" w:hAnsi="Book Antiqua" w:cs="Book Antiqua"/>
          <w:color w:val="000000"/>
        </w:rPr>
        <w:t xml:space="preserve"> large retrospective cohort study which enrolled 160875 subjects </w:t>
      </w:r>
      <w:r w:rsidR="00BF43DB">
        <w:rPr>
          <w:rFonts w:ascii="Book Antiqua" w:eastAsia="Book Antiqua" w:hAnsi="Book Antiqua" w:cs="Book Antiqua"/>
          <w:color w:val="000000"/>
        </w:rPr>
        <w:t xml:space="preserve">was </w:t>
      </w:r>
      <w:r w:rsidRPr="00460721">
        <w:rPr>
          <w:rFonts w:ascii="Book Antiqua" w:eastAsia="Book Antiqua" w:hAnsi="Book Antiqua" w:cs="Book Antiqua"/>
          <w:color w:val="000000"/>
        </w:rPr>
        <w:t>aimed to investigate the impact of successful viral eradication on a variety of EHMs. In terms of CVD risk, the study concluded that SVR was associated with a diminished risk for stroke HR 0.84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0.74</w:t>
      </w:r>
      <w:r w:rsidR="005C3B6F">
        <w:rPr>
          <w:rFonts w:ascii="Book Antiqua" w:eastAsia="Book Antiqua" w:hAnsi="Book Antiqua" w:cs="Book Antiqua"/>
          <w:color w:val="000000"/>
        </w:rPr>
        <w:t>-</w:t>
      </w:r>
      <w:r w:rsidRPr="00460721">
        <w:rPr>
          <w:rFonts w:ascii="Book Antiqua" w:eastAsia="Book Antiqua" w:hAnsi="Book Antiqua" w:cs="Book Antiqua"/>
          <w:color w:val="000000"/>
        </w:rPr>
        <w:t>0.94), but not for CVD aHR 1.12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0.81</w:t>
      </w:r>
      <w:r w:rsidR="005C3B6F">
        <w:rPr>
          <w:rFonts w:ascii="Book Antiqua" w:eastAsia="Book Antiqua" w:hAnsi="Book Antiqua" w:cs="Book Antiqua"/>
          <w:color w:val="000000"/>
        </w:rPr>
        <w:t>-</w:t>
      </w:r>
      <w:r w:rsidRPr="00460721">
        <w:rPr>
          <w:rFonts w:ascii="Book Antiqua" w:eastAsia="Book Antiqua" w:hAnsi="Book Antiqua" w:cs="Book Antiqua"/>
          <w:color w:val="000000"/>
        </w:rPr>
        <w:t>1.56), when compared to the untreated cohort</w:t>
      </w:r>
      <w:r w:rsidR="001C272E" w:rsidRPr="00460721">
        <w:rPr>
          <w:rFonts w:ascii="Book Antiqua" w:eastAsia="Book Antiqua" w:hAnsi="Book Antiqua" w:cs="Book Antiqua"/>
          <w:color w:val="000000"/>
          <w:vertAlign w:val="superscript"/>
        </w:rPr>
        <w:t>[69]</w:t>
      </w:r>
      <w:r w:rsidRPr="00460721">
        <w:rPr>
          <w:rFonts w:ascii="Book Antiqua" w:eastAsia="Book Antiqua" w:hAnsi="Book Antiqua" w:cs="Book Antiqua"/>
          <w:color w:val="000000"/>
        </w:rPr>
        <w:t xml:space="preserve">. From the same perspective, a negative result was also reported by Leone </w:t>
      </w:r>
      <w:r w:rsidRPr="00460721">
        <w:rPr>
          <w:rFonts w:ascii="Book Antiqua" w:eastAsia="Book Antiqua" w:hAnsi="Book Antiqua" w:cs="Book Antiqua"/>
          <w:i/>
          <w:iCs/>
          <w:color w:val="000000"/>
        </w:rPr>
        <w:t>et al</w:t>
      </w:r>
      <w:r w:rsidR="001C272E" w:rsidRPr="00460721">
        <w:rPr>
          <w:rFonts w:ascii="Book Antiqua" w:eastAsia="Book Antiqua" w:hAnsi="Book Antiqua" w:cs="Book Antiqua"/>
          <w:color w:val="000000"/>
          <w:vertAlign w:val="superscript"/>
        </w:rPr>
        <w:t>[7</w:t>
      </w:r>
      <w:r w:rsidR="001C272E">
        <w:rPr>
          <w:rFonts w:ascii="Book Antiqua" w:eastAsia="Book Antiqua" w:hAnsi="Book Antiqua" w:cs="Book Antiqua"/>
          <w:color w:val="000000"/>
          <w:vertAlign w:val="superscript"/>
        </w:rPr>
        <w:t>2</w:t>
      </w:r>
      <w:r w:rsidR="001C272E"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who studied the influence of SVR on EHMs. The researchers did not find any significant cardiovascular risk reduction in SVR group compared to non-SVR, with HR 1.14 (95%CI</w:t>
      </w:r>
      <w:r w:rsidR="001C272E">
        <w:rPr>
          <w:rFonts w:ascii="Book Antiqua" w:eastAsia="Book Antiqua" w:hAnsi="Book Antiqua" w:cs="Book Antiqua"/>
          <w:color w:val="000000"/>
        </w:rPr>
        <w:t>:</w:t>
      </w:r>
      <w:r w:rsidRPr="00460721">
        <w:rPr>
          <w:rFonts w:ascii="Book Antiqua" w:eastAsia="Book Antiqua" w:hAnsi="Book Antiqua" w:cs="Book Antiqua"/>
          <w:color w:val="000000"/>
        </w:rPr>
        <w:t xml:space="preserve"> 0.57</w:t>
      </w:r>
      <w:r w:rsidR="005C3B6F">
        <w:rPr>
          <w:rFonts w:ascii="Book Antiqua" w:eastAsia="Book Antiqua" w:hAnsi="Book Antiqua" w:cs="Book Antiqua"/>
          <w:color w:val="000000"/>
        </w:rPr>
        <w:t>-</w:t>
      </w:r>
      <w:r w:rsidRPr="00460721">
        <w:rPr>
          <w:rFonts w:ascii="Book Antiqua" w:eastAsia="Book Antiqua" w:hAnsi="Book Antiqua" w:cs="Book Antiqua"/>
          <w:color w:val="000000"/>
        </w:rPr>
        <w:t>2.3). Despite disparities in the findings across individual studies, a meta-analysis including 53841 patients demonstrated that SVR significantly reduces CVD risk, with a pooled of HR 0.76 (95%CI</w:t>
      </w:r>
      <w:r w:rsidR="001C272E">
        <w:rPr>
          <w:rFonts w:ascii="Book Antiqua" w:eastAsia="Book Antiqua" w:hAnsi="Book Antiqua" w:cs="Book Antiqua"/>
          <w:color w:val="000000"/>
        </w:rPr>
        <w:t>:</w:t>
      </w:r>
      <w:r w:rsidRPr="00460721">
        <w:rPr>
          <w:rFonts w:ascii="Book Antiqua" w:eastAsia="Book Antiqua" w:hAnsi="Book Antiqua" w:cs="Book Antiqua"/>
          <w:color w:val="000000"/>
        </w:rPr>
        <w:t xml:space="preserve"> 0.61</w:t>
      </w:r>
      <w:r w:rsidR="005C3B6F">
        <w:rPr>
          <w:rFonts w:ascii="Book Antiqua" w:eastAsia="Book Antiqua" w:hAnsi="Book Antiqua" w:cs="Book Antiqua"/>
          <w:color w:val="000000"/>
        </w:rPr>
        <w:t>-</w:t>
      </w:r>
      <w:r w:rsidRPr="00460721">
        <w:rPr>
          <w:rFonts w:ascii="Book Antiqua" w:eastAsia="Book Antiqua" w:hAnsi="Book Antiqua" w:cs="Book Antiqua"/>
          <w:color w:val="000000"/>
        </w:rPr>
        <w:t>0.94)</w:t>
      </w:r>
      <w:r w:rsidR="001C272E" w:rsidRPr="00460721">
        <w:rPr>
          <w:rFonts w:ascii="Book Antiqua" w:eastAsia="Book Antiqua" w:hAnsi="Book Antiqua" w:cs="Book Antiqua"/>
          <w:color w:val="000000"/>
          <w:vertAlign w:val="superscript"/>
        </w:rPr>
        <w:t>[</w:t>
      </w:r>
      <w:r w:rsidR="00EB12FF">
        <w:rPr>
          <w:rFonts w:ascii="Book Antiqua" w:eastAsia="Book Antiqua" w:hAnsi="Book Antiqua" w:cs="Book Antiqua"/>
          <w:color w:val="000000"/>
          <w:vertAlign w:val="superscript"/>
        </w:rPr>
        <w:t>91</w:t>
      </w:r>
      <w:r w:rsidR="001C272E"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w:t>
      </w:r>
    </w:p>
    <w:p w14:paraId="561BFDDD" w14:textId="1C40CD71" w:rsidR="00A77B3E" w:rsidRPr="00460721" w:rsidRDefault="00776035" w:rsidP="00A962A9">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Apart from the direct treatment effect on CVD risk, therapeutic changes on other EHMs may also play role in the development of atherosclerotic events. Deteriorated lipid profile after HCV clearance has been shown to predispose patients to an elevated risk of CVD</w:t>
      </w:r>
      <w:r w:rsidR="00A962A9" w:rsidRPr="00460721">
        <w:rPr>
          <w:rFonts w:ascii="Book Antiqua" w:eastAsia="Book Antiqua" w:hAnsi="Book Antiqua" w:cs="Book Antiqua"/>
          <w:color w:val="000000"/>
          <w:vertAlign w:val="superscript"/>
        </w:rPr>
        <w:t>[31]</w:t>
      </w:r>
      <w:r w:rsidRPr="00460721">
        <w:rPr>
          <w:rFonts w:ascii="Book Antiqua" w:eastAsia="Book Antiqua" w:hAnsi="Book Antiqua" w:cs="Book Antiqua"/>
          <w:color w:val="000000"/>
        </w:rPr>
        <w:t xml:space="preserve">. In a study of 617 patients with a mean follow-up of 26.8 mo, Huang </w:t>
      </w:r>
      <w:r w:rsidRPr="00460721">
        <w:rPr>
          <w:rFonts w:ascii="Book Antiqua" w:eastAsia="Book Antiqua" w:hAnsi="Book Antiqua" w:cs="Book Antiqua"/>
          <w:i/>
          <w:iCs/>
          <w:color w:val="000000"/>
        </w:rPr>
        <w:t>et al</w:t>
      </w:r>
      <w:r w:rsidR="00A962A9" w:rsidRPr="00460721">
        <w:rPr>
          <w:rFonts w:ascii="Book Antiqua" w:eastAsia="Book Antiqua" w:hAnsi="Book Antiqua" w:cs="Book Antiqua"/>
          <w:color w:val="000000"/>
          <w:vertAlign w:val="superscript"/>
        </w:rPr>
        <w:t>[31]</w:t>
      </w:r>
      <w:r w:rsidRPr="00460721">
        <w:rPr>
          <w:rFonts w:ascii="Book Antiqua" w:eastAsia="Book Antiqua" w:hAnsi="Book Antiqua" w:cs="Book Antiqua"/>
          <w:color w:val="000000"/>
        </w:rPr>
        <w:t xml:space="preserve"> investigated whether deterioration of lipid profile post-SVR increased the risk of cardio-cerebral disease. Five patients developed cardio-cerebrovascular events (3 CVD and 2 cerebrovascular disease) over 1376 person-years. An LDL surge &gt;40% </w:t>
      </w:r>
      <w:r w:rsidR="00DF3ADC">
        <w:rPr>
          <w:rFonts w:ascii="Book Antiqua" w:eastAsia="Book Antiqua" w:hAnsi="Book Antiqua" w:cs="Book Antiqua"/>
          <w:color w:val="000000"/>
        </w:rPr>
        <w:t xml:space="preserve">was </w:t>
      </w:r>
      <w:r w:rsidRPr="00460721">
        <w:rPr>
          <w:rFonts w:ascii="Book Antiqua" w:eastAsia="Book Antiqua" w:hAnsi="Book Antiqua" w:cs="Book Antiqua"/>
          <w:color w:val="000000"/>
        </w:rPr>
        <w:t>found to be the only predictor of these vascular events, with a HR of 15.44 (95%CI</w:t>
      </w:r>
      <w:r w:rsidR="00A962A9">
        <w:rPr>
          <w:rFonts w:ascii="Book Antiqua" w:eastAsia="Book Antiqua" w:hAnsi="Book Antiqua" w:cs="Book Antiqua"/>
          <w:color w:val="000000"/>
        </w:rPr>
        <w:t>:</w:t>
      </w:r>
      <w:r w:rsidRPr="00460721">
        <w:rPr>
          <w:rFonts w:ascii="Book Antiqua" w:eastAsia="Book Antiqua" w:hAnsi="Book Antiqua" w:cs="Book Antiqua"/>
          <w:color w:val="000000"/>
        </w:rPr>
        <w:t xml:space="preserve"> 1.73</w:t>
      </w:r>
      <w:r w:rsidR="005C3B6F">
        <w:rPr>
          <w:rFonts w:ascii="Book Antiqua" w:eastAsia="Book Antiqua" w:hAnsi="Book Antiqua" w:cs="Book Antiqua"/>
          <w:color w:val="000000"/>
        </w:rPr>
        <w:t>-</w:t>
      </w:r>
      <w:r w:rsidRPr="00460721">
        <w:rPr>
          <w:rFonts w:ascii="Book Antiqua" w:eastAsia="Book Antiqua" w:hAnsi="Book Antiqua" w:cs="Book Antiqua"/>
          <w:color w:val="000000"/>
        </w:rPr>
        <w:t>138.20)</w:t>
      </w:r>
      <w:r w:rsidR="00A962A9" w:rsidRPr="00460721">
        <w:rPr>
          <w:rFonts w:ascii="Book Antiqua" w:eastAsia="Book Antiqua" w:hAnsi="Book Antiqua" w:cs="Book Antiqua"/>
          <w:color w:val="000000"/>
          <w:vertAlign w:val="superscript"/>
        </w:rPr>
        <w:t>[31]</w:t>
      </w:r>
      <w:r w:rsidRPr="00460721">
        <w:rPr>
          <w:rFonts w:ascii="Book Antiqua" w:eastAsia="Book Antiqua" w:hAnsi="Book Antiqua" w:cs="Book Antiqua"/>
          <w:color w:val="000000"/>
        </w:rPr>
        <w:t xml:space="preserve">. Evidence on risk of CVD in CHC pre- or post-treatment remains controversial. Nonetheless, </w:t>
      </w:r>
      <w:r w:rsidR="0063091B" w:rsidRPr="00460721">
        <w:rPr>
          <w:rFonts w:ascii="Book Antiqua" w:eastAsia="Book Antiqua" w:hAnsi="Book Antiqua" w:cs="Book Antiqua"/>
          <w:color w:val="000000"/>
        </w:rPr>
        <w:t>most of the</w:t>
      </w:r>
      <w:r w:rsidRPr="00460721">
        <w:rPr>
          <w:rFonts w:ascii="Book Antiqua" w:eastAsia="Book Antiqua" w:hAnsi="Book Antiqua" w:cs="Book Antiqua"/>
          <w:color w:val="000000"/>
        </w:rPr>
        <w:t xml:space="preserve"> literature indicates that achieving SVR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antiviral therapy is associated with a significant risk reduction.</w:t>
      </w:r>
    </w:p>
    <w:p w14:paraId="0AE6EA0B" w14:textId="77777777" w:rsidR="00A77B3E" w:rsidRPr="00460721" w:rsidRDefault="00A77B3E" w:rsidP="00460721">
      <w:pPr>
        <w:spacing w:line="360" w:lineRule="auto"/>
        <w:jc w:val="both"/>
        <w:rPr>
          <w:rFonts w:ascii="Book Antiqua" w:hAnsi="Book Antiqua"/>
        </w:rPr>
      </w:pPr>
    </w:p>
    <w:p w14:paraId="57AD6AE8"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aps/>
          <w:color w:val="000000"/>
          <w:u w:val="single"/>
        </w:rPr>
        <w:t>CONCLUSION</w:t>
      </w:r>
    </w:p>
    <w:p w14:paraId="32EB27FD" w14:textId="73AE7576"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EHMs including cardiometabolic conditions are commonly seen among patients with CHC infection. Data on these conditions after elimination of HCV is inconsistent. However, the predominant evidence in the literature suggests that viral clearance using antiviral therapy leads to deterioration in lipid profile, reduction in the incidence of metabolic alteration such as IR, DM, and hepatic steatosis, and improvement in CVD risk. </w:t>
      </w:r>
      <w:r w:rsidR="0063091B" w:rsidRPr="00460721">
        <w:rPr>
          <w:rFonts w:ascii="Book Antiqua" w:eastAsia="Book Antiqua" w:hAnsi="Book Antiqua" w:cs="Book Antiqua"/>
          <w:color w:val="000000"/>
        </w:rPr>
        <w:t>To</w:t>
      </w:r>
      <w:r w:rsidRPr="00460721">
        <w:rPr>
          <w:rFonts w:ascii="Book Antiqua" w:eastAsia="Book Antiqua" w:hAnsi="Book Antiqua" w:cs="Book Antiqua"/>
          <w:color w:val="000000"/>
        </w:rPr>
        <w:t xml:space="preserve"> determine </w:t>
      </w:r>
      <w:r w:rsidR="00A73B3D">
        <w:rPr>
          <w:rFonts w:ascii="Book Antiqua" w:eastAsia="Book Antiqua" w:hAnsi="Book Antiqua" w:cs="Book Antiqua"/>
          <w:color w:val="000000"/>
        </w:rPr>
        <w:t>more robust</w:t>
      </w:r>
      <w:r w:rsidRPr="00460721">
        <w:rPr>
          <w:rFonts w:ascii="Book Antiqua" w:eastAsia="Book Antiqua" w:hAnsi="Book Antiqua" w:cs="Book Antiqua"/>
          <w:color w:val="000000"/>
        </w:rPr>
        <w:t xml:space="preserve"> level of association between SVR and EHMs and to understand the exact mechanisms of how antiviral therapies act on these EHMs, large prospective studies with long-term follow-up are needed. </w:t>
      </w:r>
    </w:p>
    <w:p w14:paraId="0269E95C" w14:textId="77777777" w:rsidR="00A77B3E" w:rsidRPr="00460721" w:rsidRDefault="00A77B3E" w:rsidP="00460721">
      <w:pPr>
        <w:spacing w:line="360" w:lineRule="auto"/>
        <w:jc w:val="both"/>
        <w:rPr>
          <w:rFonts w:ascii="Book Antiqua" w:hAnsi="Book Antiqua"/>
        </w:rPr>
      </w:pPr>
    </w:p>
    <w:p w14:paraId="342A16BC"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REFERENCES</w:t>
      </w:r>
    </w:p>
    <w:p w14:paraId="132E75E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 </w:t>
      </w:r>
      <w:r w:rsidRPr="00460721">
        <w:rPr>
          <w:rFonts w:ascii="Book Antiqua" w:hAnsi="Book Antiqua"/>
          <w:b/>
          <w:bCs/>
        </w:rPr>
        <w:t>Petruzziello A</w:t>
      </w:r>
      <w:r w:rsidRPr="00460721">
        <w:rPr>
          <w:rFonts w:ascii="Book Antiqua" w:hAnsi="Book Antiqua"/>
        </w:rPr>
        <w:t xml:space="preserve">, Marigliano S, Loquercio G, Cozzolino A, Cacciapuoti C. Global epidemiology of hepatitis C virus infection: An up-date of the distribution and circulation of hepatitis C virus genotypes. </w:t>
      </w:r>
      <w:r w:rsidRPr="00460721">
        <w:rPr>
          <w:rFonts w:ascii="Book Antiqua" w:hAnsi="Book Antiqua"/>
          <w:i/>
          <w:iCs/>
        </w:rPr>
        <w:t>World J Gastroenterol</w:t>
      </w:r>
      <w:r w:rsidRPr="00460721">
        <w:rPr>
          <w:rFonts w:ascii="Book Antiqua" w:hAnsi="Book Antiqua"/>
        </w:rPr>
        <w:t xml:space="preserve"> 2016; </w:t>
      </w:r>
      <w:r w:rsidRPr="00460721">
        <w:rPr>
          <w:rFonts w:ascii="Book Antiqua" w:hAnsi="Book Antiqua"/>
          <w:b/>
          <w:bCs/>
        </w:rPr>
        <w:t>22</w:t>
      </w:r>
      <w:r w:rsidRPr="00460721">
        <w:rPr>
          <w:rFonts w:ascii="Book Antiqua" w:hAnsi="Book Antiqua"/>
        </w:rPr>
        <w:t>: 7824-7840 [PMID: 27678366 DOI: 10.3748/wjg.v22.i34.7824]</w:t>
      </w:r>
    </w:p>
    <w:p w14:paraId="786D159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 </w:t>
      </w:r>
      <w:r w:rsidRPr="00460721">
        <w:rPr>
          <w:rFonts w:ascii="Book Antiqua" w:hAnsi="Book Antiqua"/>
          <w:b/>
          <w:bCs/>
        </w:rPr>
        <w:t>Perz JF</w:t>
      </w:r>
      <w:r w:rsidRPr="00460721">
        <w:rPr>
          <w:rFonts w:ascii="Book Antiqua" w:hAnsi="Book Antiqua"/>
        </w:rPr>
        <w:t xml:space="preserve">, Armstrong GL, Farrington LA, Hutin YJ, Bell BP. The contributions of hepatitis B virus and hepatitis C virus infections to cirrhosis and primary liver cancer worldwide. </w:t>
      </w:r>
      <w:r w:rsidRPr="00460721">
        <w:rPr>
          <w:rFonts w:ascii="Book Antiqua" w:hAnsi="Book Antiqua"/>
          <w:i/>
          <w:iCs/>
        </w:rPr>
        <w:t>J Hepatol</w:t>
      </w:r>
      <w:r w:rsidRPr="00460721">
        <w:rPr>
          <w:rFonts w:ascii="Book Antiqua" w:hAnsi="Book Antiqua"/>
        </w:rPr>
        <w:t xml:space="preserve"> 2006; </w:t>
      </w:r>
      <w:r w:rsidRPr="00460721">
        <w:rPr>
          <w:rFonts w:ascii="Book Antiqua" w:hAnsi="Book Antiqua"/>
          <w:b/>
          <w:bCs/>
        </w:rPr>
        <w:t>45</w:t>
      </w:r>
      <w:r w:rsidRPr="00460721">
        <w:rPr>
          <w:rFonts w:ascii="Book Antiqua" w:hAnsi="Book Antiqua"/>
        </w:rPr>
        <w:t>: 529-538 [PMID: 16879891 DOI: 10.1016/j.jhep.2006.05.013]</w:t>
      </w:r>
    </w:p>
    <w:p w14:paraId="0BE1844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 </w:t>
      </w:r>
      <w:r w:rsidRPr="00460721">
        <w:rPr>
          <w:rFonts w:ascii="Book Antiqua" w:hAnsi="Book Antiqua"/>
          <w:b/>
          <w:bCs/>
        </w:rPr>
        <w:t>Chayama K</w:t>
      </w:r>
      <w:r w:rsidRPr="00460721">
        <w:rPr>
          <w:rFonts w:ascii="Book Antiqua" w:hAnsi="Book Antiqua"/>
        </w:rPr>
        <w:t xml:space="preserve">, Takahashi S, Toyota J, Karino Y, Ikeda K, Ishikawa H, Watanabe H, McPhee F, Hughes E, Kumada H. Dual therapy with the nonstructural protein 5A inhibitor, daclatasvir, and the nonstructural protein 3 protease inhibitor, asunaprevir, in hepatitis C virus genotype 1b-infected null responders. </w:t>
      </w:r>
      <w:r w:rsidRPr="00460721">
        <w:rPr>
          <w:rFonts w:ascii="Book Antiqua" w:hAnsi="Book Antiqua"/>
          <w:i/>
          <w:iCs/>
        </w:rPr>
        <w:t>Hepatology</w:t>
      </w:r>
      <w:r w:rsidRPr="00460721">
        <w:rPr>
          <w:rFonts w:ascii="Book Antiqua" w:hAnsi="Book Antiqua"/>
        </w:rPr>
        <w:t xml:space="preserve"> 2012; </w:t>
      </w:r>
      <w:r w:rsidRPr="00460721">
        <w:rPr>
          <w:rFonts w:ascii="Book Antiqua" w:hAnsi="Book Antiqua"/>
          <w:b/>
          <w:bCs/>
        </w:rPr>
        <w:t>55</w:t>
      </w:r>
      <w:r w:rsidRPr="00460721">
        <w:rPr>
          <w:rFonts w:ascii="Book Antiqua" w:hAnsi="Book Antiqua"/>
        </w:rPr>
        <w:t>: 742-748 [PMID: 21987462 DOI: 10.1002/hep.24724]</w:t>
      </w:r>
    </w:p>
    <w:p w14:paraId="659BF2D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 </w:t>
      </w:r>
      <w:r w:rsidRPr="00460721">
        <w:rPr>
          <w:rFonts w:ascii="Book Antiqua" w:hAnsi="Book Antiqua"/>
          <w:b/>
          <w:bCs/>
        </w:rPr>
        <w:t>Osinubi A</w:t>
      </w:r>
      <w:r w:rsidRPr="00460721">
        <w:rPr>
          <w:rFonts w:ascii="Book Antiqua" w:hAnsi="Book Antiqua"/>
        </w:rPr>
        <w:t xml:space="preserve">, Harris AM, Vellozzi C, Lom J, Miller L, Millman AJ. Evaluation of the Performance of Algorithms That Use Serial Hepatitis C RNA Tests to Predict Treatment Initiation and Sustained Virological Response Among Patients Infected With Hepatitis C Virus. </w:t>
      </w:r>
      <w:r w:rsidRPr="00460721">
        <w:rPr>
          <w:rFonts w:ascii="Book Antiqua" w:hAnsi="Book Antiqua"/>
          <w:i/>
          <w:iCs/>
        </w:rPr>
        <w:t>Am J Epidemiol</w:t>
      </w:r>
      <w:r w:rsidRPr="00460721">
        <w:rPr>
          <w:rFonts w:ascii="Book Antiqua" w:hAnsi="Book Antiqua"/>
        </w:rPr>
        <w:t xml:space="preserve"> 2019; </w:t>
      </w:r>
      <w:r w:rsidRPr="00460721">
        <w:rPr>
          <w:rFonts w:ascii="Book Antiqua" w:hAnsi="Book Antiqua"/>
          <w:b/>
          <w:bCs/>
        </w:rPr>
        <w:t>188</w:t>
      </w:r>
      <w:r w:rsidRPr="00460721">
        <w:rPr>
          <w:rFonts w:ascii="Book Antiqua" w:hAnsi="Book Antiqua"/>
        </w:rPr>
        <w:t>: 555-561 [PMID: 30535062 DOI: 10.1093/aje/kwy270]</w:t>
      </w:r>
    </w:p>
    <w:p w14:paraId="2AC0805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 </w:t>
      </w:r>
      <w:r w:rsidRPr="00460721">
        <w:rPr>
          <w:rFonts w:ascii="Book Antiqua" w:hAnsi="Book Antiqua"/>
          <w:b/>
          <w:bCs/>
        </w:rPr>
        <w:t>Swain MG</w:t>
      </w:r>
      <w:r w:rsidRPr="00460721">
        <w:rPr>
          <w:rFonts w:ascii="Book Antiqua" w:hAnsi="Book Antiqua"/>
        </w:rPr>
        <w:t xml:space="preserve">, Lai MY, Shiffman ML, Cooksley WG, Zeuzem S, Dieterich DT, Abergel A, Pessôa MG, Lin A, Tietz A, Connell EV, Diago M. A sustained virologic response is durable in patients with chronic hepatitis C treated with peginterferon alfa-2a and ribavirin. </w:t>
      </w:r>
      <w:r w:rsidRPr="00460721">
        <w:rPr>
          <w:rFonts w:ascii="Book Antiqua" w:hAnsi="Book Antiqua"/>
          <w:i/>
          <w:iCs/>
        </w:rPr>
        <w:t>Gastroenterology</w:t>
      </w:r>
      <w:r w:rsidRPr="00460721">
        <w:rPr>
          <w:rFonts w:ascii="Book Antiqua" w:hAnsi="Book Antiqua"/>
        </w:rPr>
        <w:t xml:space="preserve"> 2010; </w:t>
      </w:r>
      <w:r w:rsidRPr="00460721">
        <w:rPr>
          <w:rFonts w:ascii="Book Antiqua" w:hAnsi="Book Antiqua"/>
          <w:b/>
          <w:bCs/>
        </w:rPr>
        <w:t>139</w:t>
      </w:r>
      <w:r w:rsidRPr="00460721">
        <w:rPr>
          <w:rFonts w:ascii="Book Antiqua" w:hAnsi="Book Antiqua"/>
        </w:rPr>
        <w:t>: 1593-1601 [PMID: 20637202 DOI: 10.1053/j.gastro.2010.07.009]</w:t>
      </w:r>
    </w:p>
    <w:p w14:paraId="3608801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 </w:t>
      </w:r>
      <w:r w:rsidRPr="00460721">
        <w:rPr>
          <w:rFonts w:ascii="Book Antiqua" w:hAnsi="Book Antiqua"/>
          <w:b/>
          <w:bCs/>
        </w:rPr>
        <w:t>Sáez-González E</w:t>
      </w:r>
      <w:r w:rsidRPr="00460721">
        <w:rPr>
          <w:rFonts w:ascii="Book Antiqua" w:hAnsi="Book Antiqua"/>
        </w:rPr>
        <w:t xml:space="preserve">, Vinaixa C, San Juan F, Hontangas V, Benlloch S, Aguilera V, Rubín A, García M, Prieto M, López-Andujar R, Berenguer M. Impact of hepatitis C virus (HCV) antiviral treatment on the need for liver transplantation (LT). </w:t>
      </w:r>
      <w:r w:rsidRPr="00460721">
        <w:rPr>
          <w:rFonts w:ascii="Book Antiqua" w:hAnsi="Book Antiqua"/>
          <w:i/>
          <w:iCs/>
        </w:rPr>
        <w:t>Liver Int</w:t>
      </w:r>
      <w:r w:rsidRPr="00460721">
        <w:rPr>
          <w:rFonts w:ascii="Book Antiqua" w:hAnsi="Book Antiqua"/>
        </w:rPr>
        <w:t xml:space="preserve"> 2018; </w:t>
      </w:r>
      <w:r w:rsidRPr="00460721">
        <w:rPr>
          <w:rFonts w:ascii="Book Antiqua" w:hAnsi="Book Antiqua"/>
          <w:b/>
          <w:bCs/>
        </w:rPr>
        <w:t>38</w:t>
      </w:r>
      <w:r w:rsidRPr="00460721">
        <w:rPr>
          <w:rFonts w:ascii="Book Antiqua" w:hAnsi="Book Antiqua"/>
        </w:rPr>
        <w:t>: 1022-1027 [PMID: 29105320 DOI: 10.1111/liv.13618]</w:t>
      </w:r>
    </w:p>
    <w:p w14:paraId="7F25ECA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7 </w:t>
      </w:r>
      <w:r w:rsidRPr="00460721">
        <w:rPr>
          <w:rFonts w:ascii="Book Antiqua" w:hAnsi="Book Antiqua"/>
          <w:b/>
          <w:bCs/>
        </w:rPr>
        <w:t>Durand F</w:t>
      </w:r>
      <w:r w:rsidRPr="00460721">
        <w:rPr>
          <w:rFonts w:ascii="Book Antiqua" w:hAnsi="Book Antiqua"/>
        </w:rPr>
        <w:t xml:space="preserve">, Francoz C. The future of liver transplantation for viral hepatitis. </w:t>
      </w:r>
      <w:r w:rsidRPr="00460721">
        <w:rPr>
          <w:rFonts w:ascii="Book Antiqua" w:hAnsi="Book Antiqua"/>
          <w:i/>
          <w:iCs/>
        </w:rPr>
        <w:t>Liver Int</w:t>
      </w:r>
      <w:r w:rsidRPr="00460721">
        <w:rPr>
          <w:rFonts w:ascii="Book Antiqua" w:hAnsi="Book Antiqua"/>
        </w:rPr>
        <w:t xml:space="preserve"> 2017; </w:t>
      </w:r>
      <w:r w:rsidRPr="00460721">
        <w:rPr>
          <w:rFonts w:ascii="Book Antiqua" w:hAnsi="Book Antiqua"/>
          <w:b/>
          <w:bCs/>
        </w:rPr>
        <w:t>37 Suppl 1</w:t>
      </w:r>
      <w:r w:rsidRPr="00460721">
        <w:rPr>
          <w:rFonts w:ascii="Book Antiqua" w:hAnsi="Book Antiqua"/>
        </w:rPr>
        <w:t>: 130-135 [PMID: 28052618 DOI: 10.1111/liv.13310]</w:t>
      </w:r>
    </w:p>
    <w:p w14:paraId="6CF5CD9D"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8 </w:t>
      </w:r>
      <w:r w:rsidRPr="00460721">
        <w:rPr>
          <w:rFonts w:ascii="Book Antiqua" w:hAnsi="Book Antiqua"/>
          <w:b/>
          <w:bCs/>
        </w:rPr>
        <w:t>Sherman AC</w:t>
      </w:r>
      <w:r w:rsidRPr="00460721">
        <w:rPr>
          <w:rFonts w:ascii="Book Antiqua" w:hAnsi="Book Antiqua"/>
        </w:rPr>
        <w:t xml:space="preserve">, Sherman KE. Extrahepatic manifestations of hepatitis C infection: navigating CHASM. </w:t>
      </w:r>
      <w:r w:rsidRPr="00460721">
        <w:rPr>
          <w:rFonts w:ascii="Book Antiqua" w:hAnsi="Book Antiqua"/>
          <w:i/>
          <w:iCs/>
        </w:rPr>
        <w:t>Curr HIV/AIDS Rep</w:t>
      </w:r>
      <w:r w:rsidRPr="00460721">
        <w:rPr>
          <w:rFonts w:ascii="Book Antiqua" w:hAnsi="Book Antiqua"/>
        </w:rPr>
        <w:t xml:space="preserve"> 2015; </w:t>
      </w:r>
      <w:r w:rsidRPr="00460721">
        <w:rPr>
          <w:rFonts w:ascii="Book Antiqua" w:hAnsi="Book Antiqua"/>
          <w:b/>
          <w:bCs/>
        </w:rPr>
        <w:t>12</w:t>
      </w:r>
      <w:r w:rsidRPr="00460721">
        <w:rPr>
          <w:rFonts w:ascii="Book Antiqua" w:hAnsi="Book Antiqua"/>
        </w:rPr>
        <w:t>: 353-361 [PMID: 26208812 DOI: 10.1007/s11904-015-0274-8]</w:t>
      </w:r>
    </w:p>
    <w:p w14:paraId="2CDDEA5C"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9 </w:t>
      </w:r>
      <w:r w:rsidRPr="00460721">
        <w:rPr>
          <w:rFonts w:ascii="Book Antiqua" w:hAnsi="Book Antiqua"/>
          <w:b/>
          <w:bCs/>
        </w:rPr>
        <w:t>Wu ZY</w:t>
      </w:r>
      <w:r w:rsidRPr="00460721">
        <w:rPr>
          <w:rFonts w:ascii="Book Antiqua" w:hAnsi="Book Antiqua"/>
        </w:rPr>
        <w:t xml:space="preserve">, Li JR, Huang MH, Cheng JJ, Li H, Chen JH, Lv XQ, Peng ZG, Jiang JD. Internal driving factors leading to extrahepatic manifestation of the hepatitis C virus infection. </w:t>
      </w:r>
      <w:r w:rsidRPr="00460721">
        <w:rPr>
          <w:rFonts w:ascii="Book Antiqua" w:hAnsi="Book Antiqua"/>
          <w:i/>
          <w:iCs/>
        </w:rPr>
        <w:t>Int J Mol Med</w:t>
      </w:r>
      <w:r w:rsidRPr="00460721">
        <w:rPr>
          <w:rFonts w:ascii="Book Antiqua" w:hAnsi="Book Antiqua"/>
        </w:rPr>
        <w:t xml:space="preserve"> 2017; </w:t>
      </w:r>
      <w:r w:rsidRPr="00460721">
        <w:rPr>
          <w:rFonts w:ascii="Book Antiqua" w:hAnsi="Book Antiqua"/>
          <w:b/>
          <w:bCs/>
        </w:rPr>
        <w:t>40</w:t>
      </w:r>
      <w:r w:rsidRPr="00460721">
        <w:rPr>
          <w:rFonts w:ascii="Book Antiqua" w:hAnsi="Book Antiqua"/>
        </w:rPr>
        <w:t>: 1792-1802 [PMID: 29039494 DOI: 10.3892/ijmm.2017.3175]</w:t>
      </w:r>
    </w:p>
    <w:p w14:paraId="58749BA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10 </w:t>
      </w:r>
      <w:r w:rsidRPr="00460721">
        <w:rPr>
          <w:rFonts w:ascii="Book Antiqua" w:hAnsi="Book Antiqua"/>
          <w:b/>
          <w:bCs/>
        </w:rPr>
        <w:t>Li Y</w:t>
      </w:r>
      <w:r w:rsidRPr="00460721">
        <w:rPr>
          <w:rFonts w:ascii="Book Antiqua" w:hAnsi="Book Antiqua"/>
        </w:rPr>
        <w:t xml:space="preserve">, Wang X, Yu G, Sun H, Lv J, Chi X, Wu R, Gao X, Niu J. The association of hepatitis c virus infection status with serum glucose levels. </w:t>
      </w:r>
      <w:r w:rsidRPr="00460721">
        <w:rPr>
          <w:rFonts w:ascii="Book Antiqua" w:hAnsi="Book Antiqua"/>
          <w:i/>
          <w:iCs/>
        </w:rPr>
        <w:t>BMC Gastroenterol</w:t>
      </w:r>
      <w:r w:rsidRPr="00460721">
        <w:rPr>
          <w:rFonts w:ascii="Book Antiqua" w:hAnsi="Book Antiqua"/>
        </w:rPr>
        <w:t xml:space="preserve"> 2019; </w:t>
      </w:r>
      <w:r w:rsidRPr="00460721">
        <w:rPr>
          <w:rFonts w:ascii="Book Antiqua" w:hAnsi="Book Antiqua"/>
          <w:b/>
          <w:bCs/>
        </w:rPr>
        <w:t>19</w:t>
      </w:r>
      <w:r w:rsidRPr="00460721">
        <w:rPr>
          <w:rFonts w:ascii="Book Antiqua" w:hAnsi="Book Antiqua"/>
        </w:rPr>
        <w:t>: 86 [PMID: 31195990 DOI: 10.1186/s12876-019-1003-3]</w:t>
      </w:r>
    </w:p>
    <w:p w14:paraId="0C84DD9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11 </w:t>
      </w:r>
      <w:r w:rsidRPr="00460721">
        <w:rPr>
          <w:rFonts w:ascii="Book Antiqua" w:hAnsi="Book Antiqua"/>
          <w:b/>
          <w:bCs/>
        </w:rPr>
        <w:t>Carvalho JR</w:t>
      </w:r>
      <w:r w:rsidRPr="00460721">
        <w:rPr>
          <w:rFonts w:ascii="Book Antiqua" w:hAnsi="Book Antiqua"/>
        </w:rPr>
        <w:t xml:space="preserve">, Velosa J, Serejo F. Lipids, glucose and iron metabolic alterations in chronic hepatitis C after viral eradication - comparison of the new direct-acting antiviral agents with the old regimens. </w:t>
      </w:r>
      <w:r w:rsidRPr="00460721">
        <w:rPr>
          <w:rFonts w:ascii="Book Antiqua" w:hAnsi="Book Antiqua"/>
          <w:i/>
          <w:iCs/>
        </w:rPr>
        <w:t>Scand J Gastroenterol</w:t>
      </w:r>
      <w:r w:rsidRPr="00460721">
        <w:rPr>
          <w:rFonts w:ascii="Book Antiqua" w:hAnsi="Book Antiqua"/>
        </w:rPr>
        <w:t xml:space="preserve"> 2018; </w:t>
      </w:r>
      <w:r w:rsidRPr="00460721">
        <w:rPr>
          <w:rFonts w:ascii="Book Antiqua" w:hAnsi="Book Antiqua"/>
          <w:b/>
          <w:bCs/>
        </w:rPr>
        <w:t>53</w:t>
      </w:r>
      <w:r w:rsidRPr="00460721">
        <w:rPr>
          <w:rFonts w:ascii="Book Antiqua" w:hAnsi="Book Antiqua"/>
        </w:rPr>
        <w:t>: 857-863 [PMID: 29779403 DOI: 10.1080/00365521.2018.1473486]</w:t>
      </w:r>
    </w:p>
    <w:p w14:paraId="6034D379" w14:textId="5433F8C7" w:rsidR="00460721" w:rsidRPr="00460721" w:rsidRDefault="00460721" w:rsidP="00460721">
      <w:pPr>
        <w:spacing w:line="360" w:lineRule="auto"/>
        <w:jc w:val="both"/>
        <w:rPr>
          <w:rFonts w:ascii="Book Antiqua" w:hAnsi="Book Antiqua"/>
        </w:rPr>
      </w:pPr>
      <w:r w:rsidRPr="00460721">
        <w:rPr>
          <w:rFonts w:ascii="Book Antiqua" w:hAnsi="Book Antiqua"/>
        </w:rPr>
        <w:t xml:space="preserve">12 </w:t>
      </w:r>
      <w:r w:rsidRPr="00460721">
        <w:rPr>
          <w:rFonts w:ascii="Book Antiqua" w:hAnsi="Book Antiqua"/>
          <w:b/>
          <w:bCs/>
        </w:rPr>
        <w:t>Flores-Chávez A</w:t>
      </w:r>
      <w:r w:rsidRPr="00460721">
        <w:rPr>
          <w:rFonts w:ascii="Book Antiqua" w:hAnsi="Book Antiqua"/>
        </w:rPr>
        <w:t xml:space="preserve">, Carrion JA, Forns X, Ramos-Casals M. Extrahepatic manifestations associated with Chronic Hepatitis C Virus Infection. </w:t>
      </w:r>
      <w:r w:rsidRPr="00460721">
        <w:rPr>
          <w:rFonts w:ascii="Book Antiqua" w:hAnsi="Book Antiqua"/>
          <w:i/>
          <w:iCs/>
        </w:rPr>
        <w:t>Rev Esp Sanid Penit</w:t>
      </w:r>
      <w:r w:rsidRPr="00460721">
        <w:rPr>
          <w:rFonts w:ascii="Book Antiqua" w:hAnsi="Book Antiqua"/>
        </w:rPr>
        <w:t xml:space="preserve"> 2017; </w:t>
      </w:r>
      <w:r w:rsidRPr="00460721">
        <w:rPr>
          <w:rFonts w:ascii="Book Antiqua" w:hAnsi="Book Antiqua"/>
          <w:b/>
          <w:bCs/>
        </w:rPr>
        <w:t>19</w:t>
      </w:r>
      <w:r w:rsidRPr="00460721">
        <w:rPr>
          <w:rFonts w:ascii="Book Antiqua" w:hAnsi="Book Antiqua"/>
        </w:rPr>
        <w:t xml:space="preserve">: 87-97 [PMID: 29364334 DOI: </w:t>
      </w:r>
      <w:r w:rsidR="00E44939" w:rsidRPr="00E44939">
        <w:rPr>
          <w:rFonts w:ascii="Book Antiqua" w:hAnsi="Book Antiqua"/>
        </w:rPr>
        <w:t>10.4321/S1575-06202017000300004</w:t>
      </w:r>
      <w:r w:rsidRPr="00460721">
        <w:rPr>
          <w:rFonts w:ascii="Book Antiqua" w:hAnsi="Book Antiqua"/>
        </w:rPr>
        <w:t>]</w:t>
      </w:r>
    </w:p>
    <w:p w14:paraId="65A1B3F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13 </w:t>
      </w:r>
      <w:r w:rsidRPr="00460721">
        <w:rPr>
          <w:rFonts w:ascii="Book Antiqua" w:hAnsi="Book Antiqua"/>
          <w:b/>
          <w:bCs/>
        </w:rPr>
        <w:t>Chang ML</w:t>
      </w:r>
      <w:r w:rsidRPr="00460721">
        <w:rPr>
          <w:rFonts w:ascii="Book Antiqua" w:hAnsi="Book Antiqua"/>
        </w:rPr>
        <w:t xml:space="preserve">. Metabolic alterations and hepatitis C: From bench to bedside. </w:t>
      </w:r>
      <w:r w:rsidRPr="00460721">
        <w:rPr>
          <w:rFonts w:ascii="Book Antiqua" w:hAnsi="Book Antiqua"/>
          <w:i/>
          <w:iCs/>
        </w:rPr>
        <w:t>World J Gastroenterol</w:t>
      </w:r>
      <w:r w:rsidRPr="00460721">
        <w:rPr>
          <w:rFonts w:ascii="Book Antiqua" w:hAnsi="Book Antiqua"/>
        </w:rPr>
        <w:t xml:space="preserve"> 2016; </w:t>
      </w:r>
      <w:r w:rsidRPr="00460721">
        <w:rPr>
          <w:rFonts w:ascii="Book Antiqua" w:hAnsi="Book Antiqua"/>
          <w:b/>
          <w:bCs/>
        </w:rPr>
        <w:t>22</w:t>
      </w:r>
      <w:r w:rsidRPr="00460721">
        <w:rPr>
          <w:rFonts w:ascii="Book Antiqua" w:hAnsi="Book Antiqua"/>
        </w:rPr>
        <w:t>: 1461-1476 [PMID: 26819514 DOI: 10.3748/wjg.v22.i4.1461]</w:t>
      </w:r>
    </w:p>
    <w:p w14:paraId="0781802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14 </w:t>
      </w:r>
      <w:r w:rsidRPr="00460721">
        <w:rPr>
          <w:rFonts w:ascii="Book Antiqua" w:hAnsi="Book Antiqua"/>
          <w:b/>
          <w:bCs/>
        </w:rPr>
        <w:t>Chang ML</w:t>
      </w:r>
      <w:r w:rsidRPr="00460721">
        <w:rPr>
          <w:rFonts w:ascii="Book Antiqua" w:hAnsi="Book Antiqua"/>
        </w:rPr>
        <w:t xml:space="preserve">, Hsu CM, Lin CH, Lin CY, Kuo CJ, Huang SW, Chen CW, Cheng HT, Yeh CT, Chiu CT. The Evolving Interplay among Abundant Adipokines in Patients with Hepatitis C during Viral Clearance. </w:t>
      </w:r>
      <w:r w:rsidRPr="00460721">
        <w:rPr>
          <w:rFonts w:ascii="Book Antiqua" w:hAnsi="Book Antiqua"/>
          <w:i/>
          <w:iCs/>
        </w:rPr>
        <w:t>Nutrients</w:t>
      </w:r>
      <w:r w:rsidRPr="00460721">
        <w:rPr>
          <w:rFonts w:ascii="Book Antiqua" w:hAnsi="Book Antiqua"/>
        </w:rPr>
        <w:t xml:space="preserve"> 2017; </w:t>
      </w:r>
      <w:r w:rsidRPr="00460721">
        <w:rPr>
          <w:rFonts w:ascii="Book Antiqua" w:hAnsi="Book Antiqua"/>
          <w:b/>
          <w:bCs/>
        </w:rPr>
        <w:t>9</w:t>
      </w:r>
      <w:r w:rsidRPr="00460721">
        <w:rPr>
          <w:rFonts w:ascii="Book Antiqua" w:hAnsi="Book Antiqua"/>
        </w:rPr>
        <w:t xml:space="preserve"> [PMID: 28574439 DOI: 10.3390/nu9060570]</w:t>
      </w:r>
    </w:p>
    <w:p w14:paraId="0E1EB403"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15 </w:t>
      </w:r>
      <w:r w:rsidRPr="00460721">
        <w:rPr>
          <w:rFonts w:ascii="Book Antiqua" w:hAnsi="Book Antiqua"/>
          <w:b/>
          <w:bCs/>
        </w:rPr>
        <w:t>Forde KA</w:t>
      </w:r>
      <w:r w:rsidRPr="00460721">
        <w:rPr>
          <w:rFonts w:ascii="Book Antiqua" w:hAnsi="Book Antiqua"/>
        </w:rPr>
        <w:t xml:space="preserve">, Haynes K, Troxel AB, Trooskin S, Osterman MT, Kimmel SE, Lewis JD, Lo Re V 3rd. Risk of myocardial infarction associated with chronic hepatitis C virus infection: a population-based cohort study. </w:t>
      </w:r>
      <w:r w:rsidRPr="00460721">
        <w:rPr>
          <w:rFonts w:ascii="Book Antiqua" w:hAnsi="Book Antiqua"/>
          <w:i/>
          <w:iCs/>
        </w:rPr>
        <w:t>J Viral Hepat</w:t>
      </w:r>
      <w:r w:rsidRPr="00460721">
        <w:rPr>
          <w:rFonts w:ascii="Book Antiqua" w:hAnsi="Book Antiqua"/>
        </w:rPr>
        <w:t xml:space="preserve"> 2012; </w:t>
      </w:r>
      <w:r w:rsidRPr="00460721">
        <w:rPr>
          <w:rFonts w:ascii="Book Antiqua" w:hAnsi="Book Antiqua"/>
          <w:b/>
          <w:bCs/>
        </w:rPr>
        <w:t>19</w:t>
      </w:r>
      <w:r w:rsidRPr="00460721">
        <w:rPr>
          <w:rFonts w:ascii="Book Antiqua" w:hAnsi="Book Antiqua"/>
        </w:rPr>
        <w:t>: 271-277 [PMID: 22404725 DOI: 10.1111/j.1365-2893.2011.01545.x]</w:t>
      </w:r>
    </w:p>
    <w:p w14:paraId="4AEC880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16 </w:t>
      </w:r>
      <w:r w:rsidRPr="00460721">
        <w:rPr>
          <w:rFonts w:ascii="Book Antiqua" w:hAnsi="Book Antiqua"/>
          <w:b/>
          <w:bCs/>
        </w:rPr>
        <w:t>Chang ML</w:t>
      </w:r>
      <w:r w:rsidRPr="00460721">
        <w:rPr>
          <w:rFonts w:ascii="Book Antiqua" w:hAnsi="Book Antiqua"/>
        </w:rPr>
        <w:t xml:space="preserve">, Lin YS, Pao LH, Huang HC, Chiu CT. Link between plasminogen activator inhibitor-1 and cardiovascular risk in chronic hepatitis C after viral clearance. </w:t>
      </w:r>
      <w:r w:rsidRPr="00460721">
        <w:rPr>
          <w:rFonts w:ascii="Book Antiqua" w:hAnsi="Book Antiqua"/>
          <w:i/>
          <w:iCs/>
        </w:rPr>
        <w:t>Sci Rep</w:t>
      </w:r>
      <w:r w:rsidRPr="00460721">
        <w:rPr>
          <w:rFonts w:ascii="Book Antiqua" w:hAnsi="Book Antiqua"/>
        </w:rPr>
        <w:t xml:space="preserve"> 2017; </w:t>
      </w:r>
      <w:r w:rsidRPr="00460721">
        <w:rPr>
          <w:rFonts w:ascii="Book Antiqua" w:hAnsi="Book Antiqua"/>
          <w:b/>
          <w:bCs/>
        </w:rPr>
        <w:t>7</w:t>
      </w:r>
      <w:r w:rsidRPr="00460721">
        <w:rPr>
          <w:rFonts w:ascii="Book Antiqua" w:hAnsi="Book Antiqua"/>
        </w:rPr>
        <w:t>: 42503 [PMID: 28211910 DOI: 10.1038/srep42503]</w:t>
      </w:r>
    </w:p>
    <w:p w14:paraId="6F2AF2B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17 </w:t>
      </w:r>
      <w:r w:rsidRPr="00460721">
        <w:rPr>
          <w:rFonts w:ascii="Book Antiqua" w:hAnsi="Book Antiqua"/>
          <w:b/>
          <w:bCs/>
        </w:rPr>
        <w:t>Kawagishi N</w:t>
      </w:r>
      <w:r w:rsidRPr="00460721">
        <w:rPr>
          <w:rFonts w:ascii="Book Antiqua" w:hAnsi="Book Antiqua"/>
        </w:rPr>
        <w:t xml:space="preserve">, Suda G, Nakamura A, Kimura M, Maehara O, Suzuki K, Nakamura A, Ohara M, Izumi T, Umemura M, Nakai M, Sho T, Natsuizaka M, Morikawa K, Ogawa K, Kudo Y, Nishida M, Miyoshi H, Sakamoto N. Liver steatosis and dyslipidemia after HCV eradication by direct acting antiviral agents are synergistic risks of atherosclerosis. </w:t>
      </w:r>
      <w:r w:rsidRPr="00460721">
        <w:rPr>
          <w:rFonts w:ascii="Book Antiqua" w:hAnsi="Book Antiqua"/>
          <w:i/>
          <w:iCs/>
        </w:rPr>
        <w:t>PLoS One</w:t>
      </w:r>
      <w:r w:rsidRPr="00460721">
        <w:rPr>
          <w:rFonts w:ascii="Book Antiqua" w:hAnsi="Book Antiqua"/>
        </w:rPr>
        <w:t xml:space="preserve"> 2018; </w:t>
      </w:r>
      <w:r w:rsidRPr="00460721">
        <w:rPr>
          <w:rFonts w:ascii="Book Antiqua" w:hAnsi="Book Antiqua"/>
          <w:b/>
          <w:bCs/>
        </w:rPr>
        <w:t>13</w:t>
      </w:r>
      <w:r w:rsidRPr="00460721">
        <w:rPr>
          <w:rFonts w:ascii="Book Antiqua" w:hAnsi="Book Antiqua"/>
        </w:rPr>
        <w:t>: e0209615 [PMID: 30576386 DOI: 10.1371/journal.pone.0209615]</w:t>
      </w:r>
    </w:p>
    <w:p w14:paraId="5DAF557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18 </w:t>
      </w:r>
      <w:r w:rsidRPr="00460721">
        <w:rPr>
          <w:rFonts w:ascii="Book Antiqua" w:hAnsi="Book Antiqua"/>
          <w:b/>
          <w:bCs/>
        </w:rPr>
        <w:t>Corey KE</w:t>
      </w:r>
      <w:r w:rsidRPr="00460721">
        <w:rPr>
          <w:rFonts w:ascii="Book Antiqua" w:hAnsi="Book Antiqua"/>
        </w:rPr>
        <w:t xml:space="preserve">, Kane E, Munroe C, Barlow LL, Zheng H, Chung RT. Hepatitis C virus infection and its clearance alter circulating lipids: implications for long-term follow-up. </w:t>
      </w:r>
      <w:r w:rsidRPr="00460721">
        <w:rPr>
          <w:rFonts w:ascii="Book Antiqua" w:hAnsi="Book Antiqua"/>
          <w:i/>
          <w:iCs/>
        </w:rPr>
        <w:t>Hepatology</w:t>
      </w:r>
      <w:r w:rsidRPr="00460721">
        <w:rPr>
          <w:rFonts w:ascii="Book Antiqua" w:hAnsi="Book Antiqua"/>
        </w:rPr>
        <w:t xml:space="preserve"> 2009; </w:t>
      </w:r>
      <w:r w:rsidRPr="00460721">
        <w:rPr>
          <w:rFonts w:ascii="Book Antiqua" w:hAnsi="Book Antiqua"/>
          <w:b/>
          <w:bCs/>
        </w:rPr>
        <w:t>50</w:t>
      </w:r>
      <w:r w:rsidRPr="00460721">
        <w:rPr>
          <w:rFonts w:ascii="Book Antiqua" w:hAnsi="Book Antiqua"/>
        </w:rPr>
        <w:t>: 1030-1037 [PMID: 19787818 DOI: 10.1002/hep.23219]</w:t>
      </w:r>
    </w:p>
    <w:p w14:paraId="2A6D919D"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19 </w:t>
      </w:r>
      <w:r w:rsidRPr="00460721">
        <w:rPr>
          <w:rFonts w:ascii="Book Antiqua" w:hAnsi="Book Antiqua"/>
          <w:b/>
          <w:bCs/>
        </w:rPr>
        <w:t>Mostafa A</w:t>
      </w:r>
      <w:r w:rsidRPr="00460721">
        <w:rPr>
          <w:rFonts w:ascii="Book Antiqua" w:hAnsi="Book Antiqua"/>
        </w:rPr>
        <w:t xml:space="preserve">, Mohamed MK, Saeed M, Hasan A, Fontanet A, Godsland I, Coady E, Esmat G, El-Hoseiny M, Abdul-Hamid M, Hughes A, Chaturvedi N. Hepatitis C infection and clearance: impact on atherosclerosis and cardiometabolic risk factors. </w:t>
      </w:r>
      <w:r w:rsidRPr="00460721">
        <w:rPr>
          <w:rFonts w:ascii="Book Antiqua" w:hAnsi="Book Antiqua"/>
          <w:i/>
          <w:iCs/>
        </w:rPr>
        <w:t>Gut</w:t>
      </w:r>
      <w:r w:rsidRPr="00460721">
        <w:rPr>
          <w:rFonts w:ascii="Book Antiqua" w:hAnsi="Book Antiqua"/>
        </w:rPr>
        <w:t xml:space="preserve"> 2010; </w:t>
      </w:r>
      <w:r w:rsidRPr="00460721">
        <w:rPr>
          <w:rFonts w:ascii="Book Antiqua" w:hAnsi="Book Antiqua"/>
          <w:b/>
          <w:bCs/>
        </w:rPr>
        <w:t>59</w:t>
      </w:r>
      <w:r w:rsidRPr="00460721">
        <w:rPr>
          <w:rFonts w:ascii="Book Antiqua" w:hAnsi="Book Antiqua"/>
        </w:rPr>
        <w:t>: 1135-1140 [PMID: 20584782 DOI: 10.1136/gut.2009.202317]</w:t>
      </w:r>
    </w:p>
    <w:p w14:paraId="48780B6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20 </w:t>
      </w:r>
      <w:r w:rsidRPr="00460721">
        <w:rPr>
          <w:rFonts w:ascii="Book Antiqua" w:hAnsi="Book Antiqua"/>
          <w:b/>
          <w:bCs/>
        </w:rPr>
        <w:t>Wakita T</w:t>
      </w:r>
      <w:r w:rsidRPr="00460721">
        <w:rPr>
          <w:rFonts w:ascii="Book Antiqua" w:hAnsi="Book Antiqua"/>
        </w:rPr>
        <w:t xml:space="preserve">, Pietschmann T, Kato T, Date T, Miyamoto M, Zhao Z, Murthy K, Habermann A, Kräusslich HG, Mizokami M, Bartenschlager R, Liang TJ. Production of infectious hepatitis C virus in tissue culture from a cloned viral genome. </w:t>
      </w:r>
      <w:r w:rsidRPr="00460721">
        <w:rPr>
          <w:rFonts w:ascii="Book Antiqua" w:hAnsi="Book Antiqua"/>
          <w:i/>
          <w:iCs/>
        </w:rPr>
        <w:t>Nat Med</w:t>
      </w:r>
      <w:r w:rsidRPr="00460721">
        <w:rPr>
          <w:rFonts w:ascii="Book Antiqua" w:hAnsi="Book Antiqua"/>
        </w:rPr>
        <w:t xml:space="preserve"> 2005; </w:t>
      </w:r>
      <w:r w:rsidRPr="00460721">
        <w:rPr>
          <w:rFonts w:ascii="Book Antiqua" w:hAnsi="Book Antiqua"/>
          <w:b/>
          <w:bCs/>
        </w:rPr>
        <w:t>11</w:t>
      </w:r>
      <w:r w:rsidRPr="00460721">
        <w:rPr>
          <w:rFonts w:ascii="Book Antiqua" w:hAnsi="Book Antiqua"/>
        </w:rPr>
        <w:t>: 791-796 [PMID: 15951748 DOI: 10.1038/nm1268]</w:t>
      </w:r>
    </w:p>
    <w:p w14:paraId="405A405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21 </w:t>
      </w:r>
      <w:r w:rsidRPr="00460721">
        <w:rPr>
          <w:rFonts w:ascii="Book Antiqua" w:hAnsi="Book Antiqua"/>
          <w:b/>
          <w:bCs/>
        </w:rPr>
        <w:t>Lindenbach BD</w:t>
      </w:r>
      <w:r w:rsidRPr="00460721">
        <w:rPr>
          <w:rFonts w:ascii="Book Antiqua" w:hAnsi="Book Antiqua"/>
        </w:rPr>
        <w:t xml:space="preserve">. Measuring HCV infectivity produced in cell culture and in vivo. </w:t>
      </w:r>
      <w:r w:rsidRPr="00460721">
        <w:rPr>
          <w:rFonts w:ascii="Book Antiqua" w:hAnsi="Book Antiqua"/>
          <w:i/>
          <w:iCs/>
        </w:rPr>
        <w:t>Methods Mol Biol</w:t>
      </w:r>
      <w:r w:rsidRPr="00460721">
        <w:rPr>
          <w:rFonts w:ascii="Book Antiqua" w:hAnsi="Book Antiqua"/>
        </w:rPr>
        <w:t xml:space="preserve"> 2009; </w:t>
      </w:r>
      <w:r w:rsidRPr="00460721">
        <w:rPr>
          <w:rFonts w:ascii="Book Antiqua" w:hAnsi="Book Antiqua"/>
          <w:b/>
          <w:bCs/>
        </w:rPr>
        <w:t>510</w:t>
      </w:r>
      <w:r w:rsidRPr="00460721">
        <w:rPr>
          <w:rFonts w:ascii="Book Antiqua" w:hAnsi="Book Antiqua"/>
        </w:rPr>
        <w:t>: 329-336 [PMID: 19009272 DOI: 10.1007/978-1-59745-394-3_24]</w:t>
      </w:r>
    </w:p>
    <w:p w14:paraId="61622B5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22 </w:t>
      </w:r>
      <w:r w:rsidRPr="00460721">
        <w:rPr>
          <w:rFonts w:ascii="Book Antiqua" w:hAnsi="Book Antiqua"/>
          <w:b/>
          <w:bCs/>
        </w:rPr>
        <w:t>Aizawa Y</w:t>
      </w:r>
      <w:r w:rsidRPr="00460721">
        <w:rPr>
          <w:rFonts w:ascii="Book Antiqua" w:hAnsi="Book Antiqua"/>
        </w:rPr>
        <w:t xml:space="preserve">, Seki N, Nagano T, Abe H. Chronic hepatitis C virus infection and lipoprotein metabolism. </w:t>
      </w:r>
      <w:r w:rsidRPr="00460721">
        <w:rPr>
          <w:rFonts w:ascii="Book Antiqua" w:hAnsi="Book Antiqua"/>
          <w:i/>
          <w:iCs/>
        </w:rPr>
        <w:t>World J Gastroenterol</w:t>
      </w:r>
      <w:r w:rsidRPr="00460721">
        <w:rPr>
          <w:rFonts w:ascii="Book Antiqua" w:hAnsi="Book Antiqua"/>
        </w:rPr>
        <w:t xml:space="preserve"> 2015; </w:t>
      </w:r>
      <w:r w:rsidRPr="00460721">
        <w:rPr>
          <w:rFonts w:ascii="Book Antiqua" w:hAnsi="Book Antiqua"/>
          <w:b/>
          <w:bCs/>
        </w:rPr>
        <w:t>21</w:t>
      </w:r>
      <w:r w:rsidRPr="00460721">
        <w:rPr>
          <w:rFonts w:ascii="Book Antiqua" w:hAnsi="Book Antiqua"/>
        </w:rPr>
        <w:t>: 10299-10313 [PMID: 26420957 DOI: 10.3748/wjg.v21.i36.10299]</w:t>
      </w:r>
    </w:p>
    <w:p w14:paraId="0E262A4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23 </w:t>
      </w:r>
      <w:r w:rsidRPr="00460721">
        <w:rPr>
          <w:rFonts w:ascii="Book Antiqua" w:hAnsi="Book Antiqua"/>
          <w:b/>
          <w:bCs/>
        </w:rPr>
        <w:t>Ploss A</w:t>
      </w:r>
      <w:r w:rsidRPr="00460721">
        <w:rPr>
          <w:rFonts w:ascii="Book Antiqua" w:hAnsi="Book Antiqua"/>
        </w:rPr>
        <w:t xml:space="preserve">, Dubuisson J. New advances in the molecular biology of hepatitis C virus infection: towards the identification of new treatment targets. </w:t>
      </w:r>
      <w:r w:rsidRPr="00460721">
        <w:rPr>
          <w:rFonts w:ascii="Book Antiqua" w:hAnsi="Book Antiqua"/>
          <w:i/>
          <w:iCs/>
        </w:rPr>
        <w:t>Gut</w:t>
      </w:r>
      <w:r w:rsidRPr="00460721">
        <w:rPr>
          <w:rFonts w:ascii="Book Antiqua" w:hAnsi="Book Antiqua"/>
        </w:rPr>
        <w:t xml:space="preserve"> 2012; </w:t>
      </w:r>
      <w:r w:rsidRPr="00460721">
        <w:rPr>
          <w:rFonts w:ascii="Book Antiqua" w:hAnsi="Book Antiqua"/>
          <w:b/>
          <w:bCs/>
        </w:rPr>
        <w:t>61 Suppl 1</w:t>
      </w:r>
      <w:r w:rsidRPr="00460721">
        <w:rPr>
          <w:rFonts w:ascii="Book Antiqua" w:hAnsi="Book Antiqua"/>
        </w:rPr>
        <w:t>: i25-i35 [PMID: 22504917 DOI: 10.1136/gutjnl-2012-302048]</w:t>
      </w:r>
    </w:p>
    <w:p w14:paraId="6930FF6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24 </w:t>
      </w:r>
      <w:r w:rsidRPr="00460721">
        <w:rPr>
          <w:rFonts w:ascii="Book Antiqua" w:hAnsi="Book Antiqua"/>
          <w:b/>
          <w:bCs/>
        </w:rPr>
        <w:t>Meissner EG</w:t>
      </w:r>
      <w:r w:rsidRPr="00460721">
        <w:rPr>
          <w:rFonts w:ascii="Book Antiqua" w:hAnsi="Book Antiqua"/>
        </w:rPr>
        <w:t xml:space="preserve">, Lee YJ, Osinusi A, Sims Z, Qin J, Sturdevant D, McHutchison J, Subramanian M, Sampson M, Naggie S, Patel K, Remaley AT, Masur H, Kottilil S. Effect of sofosbuvir and ribavirin treatment on peripheral and hepatic lipid metabolism in chronic hepatitis C virus, genotype 1-infected patients. </w:t>
      </w:r>
      <w:r w:rsidRPr="00460721">
        <w:rPr>
          <w:rFonts w:ascii="Book Antiqua" w:hAnsi="Book Antiqua"/>
          <w:i/>
          <w:iCs/>
        </w:rPr>
        <w:t>Hepatology</w:t>
      </w:r>
      <w:r w:rsidRPr="00460721">
        <w:rPr>
          <w:rFonts w:ascii="Book Antiqua" w:hAnsi="Book Antiqua"/>
        </w:rPr>
        <w:t xml:space="preserve"> 2015; </w:t>
      </w:r>
      <w:r w:rsidRPr="00460721">
        <w:rPr>
          <w:rFonts w:ascii="Book Antiqua" w:hAnsi="Book Antiqua"/>
          <w:b/>
          <w:bCs/>
        </w:rPr>
        <w:t>61</w:t>
      </w:r>
      <w:r w:rsidRPr="00460721">
        <w:rPr>
          <w:rFonts w:ascii="Book Antiqua" w:hAnsi="Book Antiqua"/>
        </w:rPr>
        <w:t>: 790-801 [PMID: 25203718 DOI: 10.1002/hep.27424]</w:t>
      </w:r>
    </w:p>
    <w:p w14:paraId="17C2AD7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25 </w:t>
      </w:r>
      <w:r w:rsidRPr="00460721">
        <w:rPr>
          <w:rFonts w:ascii="Book Antiqua" w:hAnsi="Book Antiqua"/>
          <w:b/>
          <w:bCs/>
        </w:rPr>
        <w:t>Clark PJ</w:t>
      </w:r>
      <w:r w:rsidRPr="00460721">
        <w:rPr>
          <w:rFonts w:ascii="Book Antiqua" w:hAnsi="Book Antiqua"/>
        </w:rPr>
        <w:t xml:space="preserve">, Thompson AJ, Vock DM, Kratz LE, Tolun AA, Muir AJ, McHutchison JG, Subramanian M, Millington DM, Kelley RI, Patel K. Hepatitis C virus selectively perturbs the distal cholesterol synthesis pathway in a genotype-specific manner. </w:t>
      </w:r>
      <w:r w:rsidRPr="00460721">
        <w:rPr>
          <w:rFonts w:ascii="Book Antiqua" w:hAnsi="Book Antiqua"/>
          <w:i/>
          <w:iCs/>
        </w:rPr>
        <w:t>Hepatology</w:t>
      </w:r>
      <w:r w:rsidRPr="00460721">
        <w:rPr>
          <w:rFonts w:ascii="Book Antiqua" w:hAnsi="Book Antiqua"/>
        </w:rPr>
        <w:t xml:space="preserve"> 2012; </w:t>
      </w:r>
      <w:r w:rsidRPr="00460721">
        <w:rPr>
          <w:rFonts w:ascii="Book Antiqua" w:hAnsi="Book Antiqua"/>
          <w:b/>
          <w:bCs/>
        </w:rPr>
        <w:t>56</w:t>
      </w:r>
      <w:r w:rsidRPr="00460721">
        <w:rPr>
          <w:rFonts w:ascii="Book Antiqua" w:hAnsi="Book Antiqua"/>
        </w:rPr>
        <w:t>: 49-56 [PMID: 22318926 DOI: 10.1002/hep.25631]</w:t>
      </w:r>
    </w:p>
    <w:p w14:paraId="22859E0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26 </w:t>
      </w:r>
      <w:r w:rsidRPr="00460721">
        <w:rPr>
          <w:rFonts w:ascii="Book Antiqua" w:hAnsi="Book Antiqua"/>
          <w:b/>
          <w:bCs/>
        </w:rPr>
        <w:t>Hashimoto S</w:t>
      </w:r>
      <w:r w:rsidRPr="00460721">
        <w:rPr>
          <w:rFonts w:ascii="Book Antiqua" w:hAnsi="Book Antiqua"/>
        </w:rPr>
        <w:t xml:space="preserve">, Yatsuhashi H, Abiru S, Yamasaki K, Komori A, Nagaoka S, Saeki A, Uchida S, Bekki S, Kugiyama Y, Nagata K, Nakamura M, Migita K, Nakao K. Rapid Increase in Serum Low-Density Lipoprotein Cholesterol Concentration during Hepatitis C Interferon-Free Treatment. </w:t>
      </w:r>
      <w:r w:rsidRPr="00460721">
        <w:rPr>
          <w:rFonts w:ascii="Book Antiqua" w:hAnsi="Book Antiqua"/>
          <w:i/>
          <w:iCs/>
        </w:rPr>
        <w:t>PLoS One</w:t>
      </w:r>
      <w:r w:rsidRPr="00460721">
        <w:rPr>
          <w:rFonts w:ascii="Book Antiqua" w:hAnsi="Book Antiqua"/>
        </w:rPr>
        <w:t xml:space="preserve"> 2016; </w:t>
      </w:r>
      <w:r w:rsidRPr="00460721">
        <w:rPr>
          <w:rFonts w:ascii="Book Antiqua" w:hAnsi="Book Antiqua"/>
          <w:b/>
          <w:bCs/>
        </w:rPr>
        <w:t>11</w:t>
      </w:r>
      <w:r w:rsidRPr="00460721">
        <w:rPr>
          <w:rFonts w:ascii="Book Antiqua" w:hAnsi="Book Antiqua"/>
        </w:rPr>
        <w:t>: e0163644 [PMID: 27680885 DOI: 10.1371/journal.pone.0163644]</w:t>
      </w:r>
    </w:p>
    <w:p w14:paraId="7B0C265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27 </w:t>
      </w:r>
      <w:r w:rsidRPr="00460721">
        <w:rPr>
          <w:rFonts w:ascii="Book Antiqua" w:hAnsi="Book Antiqua"/>
          <w:b/>
          <w:bCs/>
        </w:rPr>
        <w:t>Kuo YH</w:t>
      </w:r>
      <w:r w:rsidRPr="00460721">
        <w:rPr>
          <w:rFonts w:ascii="Book Antiqua" w:hAnsi="Book Antiqua"/>
        </w:rPr>
        <w:t xml:space="preserve">, Chuang TW, Hung CH, Chen CH, Wang JH, Hu TH, Lu SN, Lee CM. Reversal of hypolipidemia in chronic hepatitis C patients after successful antiviral therapy. </w:t>
      </w:r>
      <w:r w:rsidRPr="00460721">
        <w:rPr>
          <w:rFonts w:ascii="Book Antiqua" w:hAnsi="Book Antiqua"/>
          <w:i/>
          <w:iCs/>
        </w:rPr>
        <w:t>J Formos Med Assoc</w:t>
      </w:r>
      <w:r w:rsidRPr="00460721">
        <w:rPr>
          <w:rFonts w:ascii="Book Antiqua" w:hAnsi="Book Antiqua"/>
        </w:rPr>
        <w:t xml:space="preserve"> 2011; </w:t>
      </w:r>
      <w:r w:rsidRPr="00460721">
        <w:rPr>
          <w:rFonts w:ascii="Book Antiqua" w:hAnsi="Book Antiqua"/>
          <w:b/>
          <w:bCs/>
        </w:rPr>
        <w:t>110</w:t>
      </w:r>
      <w:r w:rsidRPr="00460721">
        <w:rPr>
          <w:rFonts w:ascii="Book Antiqua" w:hAnsi="Book Antiqua"/>
        </w:rPr>
        <w:t>: 363-371 [PMID: 21741004 DOI: 10.1016/S0929-6646(11)60054-5]</w:t>
      </w:r>
    </w:p>
    <w:p w14:paraId="1C26DEF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28 </w:t>
      </w:r>
      <w:r w:rsidRPr="00460721">
        <w:rPr>
          <w:rFonts w:ascii="Book Antiqua" w:hAnsi="Book Antiqua"/>
          <w:b/>
          <w:bCs/>
        </w:rPr>
        <w:t>Fernández-Rodríguez CM</w:t>
      </w:r>
      <w:r w:rsidRPr="00460721">
        <w:rPr>
          <w:rFonts w:ascii="Book Antiqua" w:hAnsi="Book Antiqua"/>
        </w:rPr>
        <w:t xml:space="preserve">, López-Serrano P, Alonso S, Gutiérrez ML, Lledó JL, Pérez-Calle JL, Temiño R, Cacho G, Nevado M, Casas ML, Gasalla JM, Bonet B. Long-term reversal of hypocholesterolaemia in patients with chronic hepatitis C is related to sustained viral response and viral genotype. </w:t>
      </w:r>
      <w:r w:rsidRPr="00460721">
        <w:rPr>
          <w:rFonts w:ascii="Book Antiqua" w:hAnsi="Book Antiqua"/>
          <w:i/>
          <w:iCs/>
        </w:rPr>
        <w:t>Aliment Pharmacol Ther</w:t>
      </w:r>
      <w:r w:rsidRPr="00460721">
        <w:rPr>
          <w:rFonts w:ascii="Book Antiqua" w:hAnsi="Book Antiqua"/>
        </w:rPr>
        <w:t xml:space="preserve"> 2006; </w:t>
      </w:r>
      <w:r w:rsidRPr="00460721">
        <w:rPr>
          <w:rFonts w:ascii="Book Antiqua" w:hAnsi="Book Antiqua"/>
          <w:b/>
          <w:bCs/>
        </w:rPr>
        <w:t>24</w:t>
      </w:r>
      <w:r w:rsidRPr="00460721">
        <w:rPr>
          <w:rFonts w:ascii="Book Antiqua" w:hAnsi="Book Antiqua"/>
        </w:rPr>
        <w:t>: 507-512 [PMID: 16886916 DOI: 10.1111/j.1365-2036.2006.03000.x]</w:t>
      </w:r>
    </w:p>
    <w:p w14:paraId="1A44BF8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29 </w:t>
      </w:r>
      <w:r w:rsidRPr="00460721">
        <w:rPr>
          <w:rFonts w:ascii="Book Antiqua" w:hAnsi="Book Antiqua"/>
          <w:b/>
          <w:bCs/>
        </w:rPr>
        <w:t>Chang ML</w:t>
      </w:r>
      <w:r w:rsidRPr="00460721">
        <w:rPr>
          <w:rFonts w:ascii="Book Antiqua" w:hAnsi="Book Antiqua"/>
        </w:rPr>
        <w:t xml:space="preserve">, Tsou YK, Hu TH, Lin CH, Lin WR, Sung CM, Chen TH, Cheng ML, Chang KC, Chiu CT, Yeh CT, Pang JH, Shiao MS. Distinct patterns of the lipid alterations between genotype 1 and 2 chronic hepatitis C patients after viral clearance. </w:t>
      </w:r>
      <w:r w:rsidRPr="00460721">
        <w:rPr>
          <w:rFonts w:ascii="Book Antiqua" w:hAnsi="Book Antiqua"/>
          <w:i/>
          <w:iCs/>
        </w:rPr>
        <w:t>PLoS One</w:t>
      </w:r>
      <w:r w:rsidRPr="00460721">
        <w:rPr>
          <w:rFonts w:ascii="Book Antiqua" w:hAnsi="Book Antiqua"/>
        </w:rPr>
        <w:t xml:space="preserve"> 2014; </w:t>
      </w:r>
      <w:r w:rsidRPr="00460721">
        <w:rPr>
          <w:rFonts w:ascii="Book Antiqua" w:hAnsi="Book Antiqua"/>
          <w:b/>
          <w:bCs/>
        </w:rPr>
        <w:t>9</w:t>
      </w:r>
      <w:r w:rsidRPr="00460721">
        <w:rPr>
          <w:rFonts w:ascii="Book Antiqua" w:hAnsi="Book Antiqua"/>
        </w:rPr>
        <w:t>: e104783 [PMID: 25122116 DOI: 10.1371/journal.pone.0104783]</w:t>
      </w:r>
    </w:p>
    <w:p w14:paraId="5A73E24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30 </w:t>
      </w:r>
      <w:r w:rsidRPr="00460721">
        <w:rPr>
          <w:rFonts w:ascii="Book Antiqua" w:hAnsi="Book Antiqua"/>
          <w:b/>
          <w:bCs/>
        </w:rPr>
        <w:t>Ramcharran D</w:t>
      </w:r>
      <w:r w:rsidRPr="00460721">
        <w:rPr>
          <w:rFonts w:ascii="Book Antiqua" w:hAnsi="Book Antiqua"/>
        </w:rPr>
        <w:t xml:space="preserve">, Wahed AS, Conjeevaram HS, Evans RW, Wang T, Belle SH, Yee LJ; Virahep-C Study Group. Associations between serum lipids and hepatitis C antiviral treatment efficacy. </w:t>
      </w:r>
      <w:r w:rsidRPr="00460721">
        <w:rPr>
          <w:rFonts w:ascii="Book Antiqua" w:hAnsi="Book Antiqua"/>
          <w:i/>
          <w:iCs/>
        </w:rPr>
        <w:t>Hepatology</w:t>
      </w:r>
      <w:r w:rsidRPr="00460721">
        <w:rPr>
          <w:rFonts w:ascii="Book Antiqua" w:hAnsi="Book Antiqua"/>
        </w:rPr>
        <w:t xml:space="preserve"> 2010; </w:t>
      </w:r>
      <w:r w:rsidRPr="00460721">
        <w:rPr>
          <w:rFonts w:ascii="Book Antiqua" w:hAnsi="Book Antiqua"/>
          <w:b/>
          <w:bCs/>
        </w:rPr>
        <w:t>52</w:t>
      </w:r>
      <w:r w:rsidRPr="00460721">
        <w:rPr>
          <w:rFonts w:ascii="Book Antiqua" w:hAnsi="Book Antiqua"/>
        </w:rPr>
        <w:t>: 854-863 [PMID: 20690192 DOI: 10.1002/hep.23796]</w:t>
      </w:r>
    </w:p>
    <w:p w14:paraId="2ABB8D0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31 </w:t>
      </w:r>
      <w:r w:rsidRPr="00460721">
        <w:rPr>
          <w:rFonts w:ascii="Book Antiqua" w:hAnsi="Book Antiqua"/>
          <w:b/>
          <w:bCs/>
        </w:rPr>
        <w:t>Huang CF</w:t>
      </w:r>
      <w:r w:rsidRPr="00460721">
        <w:rPr>
          <w:rFonts w:ascii="Book Antiqua" w:hAnsi="Book Antiqua"/>
        </w:rPr>
        <w:t xml:space="preserve">, Dai CY, Yeh ML, Huang CI, Lee HC, Lai WT, Liang PC, Lin YH, Hsieh MY, Hou NJ, Lin ZY, Chen SC, Huang JF, Chuang WL, Yu ML. Cure or curd: Modification of lipid profiles and cardio-cerebrovascular events after hepatitis C virus eradication. </w:t>
      </w:r>
      <w:r w:rsidRPr="00460721">
        <w:rPr>
          <w:rFonts w:ascii="Book Antiqua" w:hAnsi="Book Antiqua"/>
          <w:i/>
          <w:iCs/>
        </w:rPr>
        <w:t>Kaohsiung J Med Sci</w:t>
      </w:r>
      <w:r w:rsidRPr="00460721">
        <w:rPr>
          <w:rFonts w:ascii="Book Antiqua" w:hAnsi="Book Antiqua"/>
        </w:rPr>
        <w:t xml:space="preserve"> 2020; </w:t>
      </w:r>
      <w:r w:rsidRPr="00460721">
        <w:rPr>
          <w:rFonts w:ascii="Book Antiqua" w:hAnsi="Book Antiqua"/>
          <w:b/>
          <w:bCs/>
        </w:rPr>
        <w:t>36</w:t>
      </w:r>
      <w:r w:rsidRPr="00460721">
        <w:rPr>
          <w:rFonts w:ascii="Book Antiqua" w:hAnsi="Book Antiqua"/>
        </w:rPr>
        <w:t>: 920-928 [PMID: 32643842 DOI: 10.1002/kjm2.12275]</w:t>
      </w:r>
    </w:p>
    <w:p w14:paraId="781E7FA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32 </w:t>
      </w:r>
      <w:r w:rsidRPr="00460721">
        <w:rPr>
          <w:rFonts w:ascii="Book Antiqua" w:hAnsi="Book Antiqua"/>
          <w:b/>
          <w:bCs/>
        </w:rPr>
        <w:t>Hoogeveen RC</w:t>
      </w:r>
      <w:r w:rsidRPr="00460721">
        <w:rPr>
          <w:rFonts w:ascii="Book Antiqua" w:hAnsi="Book Antiqua"/>
        </w:rPr>
        <w:t xml:space="preserve">, Gaubatz JW, Sun W, Dodge RC, Crosby JR, Jiang J, Couper D, Virani SS, Kathiresan S, Boerwinkle E, Ballantyne CM. Small dense low-density lipoprotein-cholesterol concentrations predict risk for coronary heart disease: the Atherosclerosis Risk In Communities (ARIC) study. </w:t>
      </w:r>
      <w:r w:rsidRPr="00460721">
        <w:rPr>
          <w:rFonts w:ascii="Book Antiqua" w:hAnsi="Book Antiqua"/>
          <w:i/>
          <w:iCs/>
        </w:rPr>
        <w:t>Arterioscler Thromb Vasc Biol</w:t>
      </w:r>
      <w:r w:rsidRPr="00460721">
        <w:rPr>
          <w:rFonts w:ascii="Book Antiqua" w:hAnsi="Book Antiqua"/>
        </w:rPr>
        <w:t xml:space="preserve"> 2014; </w:t>
      </w:r>
      <w:r w:rsidRPr="00460721">
        <w:rPr>
          <w:rFonts w:ascii="Book Antiqua" w:hAnsi="Book Antiqua"/>
          <w:b/>
          <w:bCs/>
        </w:rPr>
        <w:t>34</w:t>
      </w:r>
      <w:r w:rsidRPr="00460721">
        <w:rPr>
          <w:rFonts w:ascii="Book Antiqua" w:hAnsi="Book Antiqua"/>
        </w:rPr>
        <w:t>: 1069-1077 [PMID: 24558110 DOI: 10.1161/ATVBAHA.114.303284]</w:t>
      </w:r>
    </w:p>
    <w:p w14:paraId="45147E1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33 </w:t>
      </w:r>
      <w:r w:rsidRPr="00460721">
        <w:rPr>
          <w:rFonts w:ascii="Book Antiqua" w:hAnsi="Book Antiqua"/>
          <w:b/>
          <w:bCs/>
        </w:rPr>
        <w:t>Grundy SM</w:t>
      </w:r>
      <w:r w:rsidRPr="00460721">
        <w:rPr>
          <w:rFonts w:ascii="Book Antiqua" w:hAnsi="Book Antiqua"/>
        </w:rPr>
        <w:t xml:space="preserve">, Cleeman JI, Merz CN, Brewer HB Jr, Clark LT, Hunninghake DB, Pasternak RC, Smith SC Jr, Stone NJ; National Heart, Lung, and Blood Institute; American College of Cardiology Foundation; American Heart Association. Implications of recent clinical trials for the National Cholesterol Education Program Adult Treatment Panel III guidelines. </w:t>
      </w:r>
      <w:r w:rsidRPr="00460721">
        <w:rPr>
          <w:rFonts w:ascii="Book Antiqua" w:hAnsi="Book Antiqua"/>
          <w:i/>
          <w:iCs/>
        </w:rPr>
        <w:t>Circulation</w:t>
      </w:r>
      <w:r w:rsidRPr="00460721">
        <w:rPr>
          <w:rFonts w:ascii="Book Antiqua" w:hAnsi="Book Antiqua"/>
        </w:rPr>
        <w:t xml:space="preserve"> 2004; </w:t>
      </w:r>
      <w:r w:rsidRPr="00460721">
        <w:rPr>
          <w:rFonts w:ascii="Book Antiqua" w:hAnsi="Book Antiqua"/>
          <w:b/>
          <w:bCs/>
        </w:rPr>
        <w:t>110</w:t>
      </w:r>
      <w:r w:rsidRPr="00460721">
        <w:rPr>
          <w:rFonts w:ascii="Book Antiqua" w:hAnsi="Book Antiqua"/>
        </w:rPr>
        <w:t>: 227-239 [PMID: 15249516 DOI: 10.1161/01.Cir.0000133317.49796.0e]</w:t>
      </w:r>
    </w:p>
    <w:p w14:paraId="3E36106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34 </w:t>
      </w:r>
      <w:r w:rsidRPr="00460721">
        <w:rPr>
          <w:rFonts w:ascii="Book Antiqua" w:hAnsi="Book Antiqua"/>
          <w:b/>
          <w:bCs/>
        </w:rPr>
        <w:t>Czaja AJ</w:t>
      </w:r>
      <w:r w:rsidRPr="00460721">
        <w:rPr>
          <w:rFonts w:ascii="Book Antiqua" w:hAnsi="Book Antiqua"/>
        </w:rPr>
        <w:t xml:space="preserve">, Carpenter HA, Santrach PJ, Moore SB. Host- and disease-specific factors affecting steatosis in chronic hepatitis C. </w:t>
      </w:r>
      <w:r w:rsidRPr="00460721">
        <w:rPr>
          <w:rFonts w:ascii="Book Antiqua" w:hAnsi="Book Antiqua"/>
          <w:i/>
          <w:iCs/>
        </w:rPr>
        <w:t>J Hepatol</w:t>
      </w:r>
      <w:r w:rsidRPr="00460721">
        <w:rPr>
          <w:rFonts w:ascii="Book Antiqua" w:hAnsi="Book Antiqua"/>
        </w:rPr>
        <w:t xml:space="preserve"> 1998; </w:t>
      </w:r>
      <w:r w:rsidRPr="00460721">
        <w:rPr>
          <w:rFonts w:ascii="Book Antiqua" w:hAnsi="Book Antiqua"/>
          <w:b/>
          <w:bCs/>
        </w:rPr>
        <w:t>29</w:t>
      </w:r>
      <w:r w:rsidRPr="00460721">
        <w:rPr>
          <w:rFonts w:ascii="Book Antiqua" w:hAnsi="Book Antiqua"/>
        </w:rPr>
        <w:t>: 198-206 [PMID: 9722200 DOI: 10.1016/s0168-8278(98)80004-4]</w:t>
      </w:r>
    </w:p>
    <w:p w14:paraId="3B1FDCF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35 </w:t>
      </w:r>
      <w:r w:rsidRPr="00460721">
        <w:rPr>
          <w:rFonts w:ascii="Book Antiqua" w:hAnsi="Book Antiqua"/>
          <w:b/>
          <w:bCs/>
        </w:rPr>
        <w:t>Syed GH</w:t>
      </w:r>
      <w:r w:rsidRPr="00460721">
        <w:rPr>
          <w:rFonts w:ascii="Book Antiqua" w:hAnsi="Book Antiqua"/>
        </w:rPr>
        <w:t xml:space="preserve">, Tang H, Khan M, Hassanein T, Liu J, Siddiqui A. Hepatitis C virus stimulates low-density lipoprotein receptor expression to facilitate viral propagation. </w:t>
      </w:r>
      <w:r w:rsidRPr="00460721">
        <w:rPr>
          <w:rFonts w:ascii="Book Antiqua" w:hAnsi="Book Antiqua"/>
          <w:i/>
          <w:iCs/>
        </w:rPr>
        <w:t>J Virol</w:t>
      </w:r>
      <w:r w:rsidRPr="00460721">
        <w:rPr>
          <w:rFonts w:ascii="Book Antiqua" w:hAnsi="Book Antiqua"/>
        </w:rPr>
        <w:t xml:space="preserve"> 2014; </w:t>
      </w:r>
      <w:r w:rsidRPr="00460721">
        <w:rPr>
          <w:rFonts w:ascii="Book Antiqua" w:hAnsi="Book Antiqua"/>
          <w:b/>
          <w:bCs/>
        </w:rPr>
        <w:t>88</w:t>
      </w:r>
      <w:r w:rsidRPr="00460721">
        <w:rPr>
          <w:rFonts w:ascii="Book Antiqua" w:hAnsi="Book Antiqua"/>
        </w:rPr>
        <w:t>: 2519-2529 [PMID: 24352472 DOI: 10.1128/JVI.02727-13]</w:t>
      </w:r>
    </w:p>
    <w:p w14:paraId="506BD2C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36 </w:t>
      </w:r>
      <w:r w:rsidRPr="00460721">
        <w:rPr>
          <w:rFonts w:ascii="Book Antiqua" w:hAnsi="Book Antiqua"/>
          <w:b/>
          <w:bCs/>
        </w:rPr>
        <w:t>Korenaga M</w:t>
      </w:r>
      <w:r w:rsidRPr="00460721">
        <w:rPr>
          <w:rFonts w:ascii="Book Antiqua" w:hAnsi="Book Antiqua"/>
        </w:rPr>
        <w:t xml:space="preserve">, Wang T, Li Y, Showalter LA, Chan T, Sun J, Weinman SA. Hepatitis C virus core protein inhibits mitochondrial electron transport and increases reactive oxygen species (ROS) production. </w:t>
      </w:r>
      <w:r w:rsidRPr="00460721">
        <w:rPr>
          <w:rFonts w:ascii="Book Antiqua" w:hAnsi="Book Antiqua"/>
          <w:i/>
          <w:iCs/>
        </w:rPr>
        <w:t>J Biol Chem</w:t>
      </w:r>
      <w:r w:rsidRPr="00460721">
        <w:rPr>
          <w:rFonts w:ascii="Book Antiqua" w:hAnsi="Book Antiqua"/>
        </w:rPr>
        <w:t xml:space="preserve"> 2005; </w:t>
      </w:r>
      <w:r w:rsidRPr="00460721">
        <w:rPr>
          <w:rFonts w:ascii="Book Antiqua" w:hAnsi="Book Antiqua"/>
          <w:b/>
          <w:bCs/>
        </w:rPr>
        <w:t>280</w:t>
      </w:r>
      <w:r w:rsidRPr="00460721">
        <w:rPr>
          <w:rFonts w:ascii="Book Antiqua" w:hAnsi="Book Antiqua"/>
        </w:rPr>
        <w:t>: 37481-37488 [PMID: 16150732 DOI: 10.1074/jbc.M506412200]</w:t>
      </w:r>
    </w:p>
    <w:p w14:paraId="538121B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37 </w:t>
      </w:r>
      <w:r w:rsidRPr="00460721">
        <w:rPr>
          <w:rFonts w:ascii="Book Antiqua" w:hAnsi="Book Antiqua"/>
          <w:b/>
          <w:bCs/>
        </w:rPr>
        <w:t>Cheng Y</w:t>
      </w:r>
      <w:r w:rsidRPr="00460721">
        <w:rPr>
          <w:rFonts w:ascii="Book Antiqua" w:hAnsi="Book Antiqua"/>
        </w:rPr>
        <w:t xml:space="preserve">, Dharancy S, Malapel M, Desreumaux P. Hepatitis C virus infection down-regulates the expression of peroxisome proliferator-activated receptor alpha and carnitine palmitoyl acyl-CoA transferase 1A. </w:t>
      </w:r>
      <w:r w:rsidRPr="00460721">
        <w:rPr>
          <w:rFonts w:ascii="Book Antiqua" w:hAnsi="Book Antiqua"/>
          <w:i/>
          <w:iCs/>
        </w:rPr>
        <w:t>World J Gastroenterol</w:t>
      </w:r>
      <w:r w:rsidRPr="00460721">
        <w:rPr>
          <w:rFonts w:ascii="Book Antiqua" w:hAnsi="Book Antiqua"/>
        </w:rPr>
        <w:t xml:space="preserve"> 2005; </w:t>
      </w:r>
      <w:r w:rsidRPr="00460721">
        <w:rPr>
          <w:rFonts w:ascii="Book Antiqua" w:hAnsi="Book Antiqua"/>
          <w:b/>
          <w:bCs/>
        </w:rPr>
        <w:t>11</w:t>
      </w:r>
      <w:r w:rsidRPr="00460721">
        <w:rPr>
          <w:rFonts w:ascii="Book Antiqua" w:hAnsi="Book Antiqua"/>
        </w:rPr>
        <w:t>: 7591-7596 [PMID: 16437683 DOI: 10.3748/wjg.v11.i48.7591]</w:t>
      </w:r>
    </w:p>
    <w:p w14:paraId="1BF716A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38 </w:t>
      </w:r>
      <w:r w:rsidRPr="00460721">
        <w:rPr>
          <w:rFonts w:ascii="Book Antiqua" w:hAnsi="Book Antiqua"/>
          <w:b/>
          <w:bCs/>
        </w:rPr>
        <w:t>Tsukuda Y</w:t>
      </w:r>
      <w:r w:rsidRPr="00460721">
        <w:rPr>
          <w:rFonts w:ascii="Book Antiqua" w:hAnsi="Book Antiqua"/>
        </w:rPr>
        <w:t xml:space="preserve">, Suda G, Tsunematsu S, Ito J, Sato F, Terashita K, Nakai M, Sho T, Maehara O, Shimazaki T, Kimura M, Morikawa K, Natsuizaka M, Ogawa K, Ohnishi S, Chuma M, Sakamoto N. Anti-adipogenic and antiviral effects of l-carnitine on hepatitis C virus infection. </w:t>
      </w:r>
      <w:r w:rsidRPr="00460721">
        <w:rPr>
          <w:rFonts w:ascii="Book Antiqua" w:hAnsi="Book Antiqua"/>
          <w:i/>
          <w:iCs/>
        </w:rPr>
        <w:t>J Med Virol</w:t>
      </w:r>
      <w:r w:rsidRPr="00460721">
        <w:rPr>
          <w:rFonts w:ascii="Book Antiqua" w:hAnsi="Book Antiqua"/>
        </w:rPr>
        <w:t xml:space="preserve"> 2017; </w:t>
      </w:r>
      <w:r w:rsidRPr="00460721">
        <w:rPr>
          <w:rFonts w:ascii="Book Antiqua" w:hAnsi="Book Antiqua"/>
          <w:b/>
          <w:bCs/>
        </w:rPr>
        <w:t>89</w:t>
      </w:r>
      <w:r w:rsidRPr="00460721">
        <w:rPr>
          <w:rFonts w:ascii="Book Antiqua" w:hAnsi="Book Antiqua"/>
        </w:rPr>
        <w:t>: 857-866 [PMID: 27664407 DOI: 10.1002/jmv.24692]</w:t>
      </w:r>
    </w:p>
    <w:p w14:paraId="712D3F8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39 </w:t>
      </w:r>
      <w:r w:rsidRPr="00460721">
        <w:rPr>
          <w:rFonts w:ascii="Book Antiqua" w:hAnsi="Book Antiqua"/>
          <w:b/>
          <w:bCs/>
        </w:rPr>
        <w:t>Yair-Sabag S</w:t>
      </w:r>
      <w:r w:rsidRPr="00460721">
        <w:rPr>
          <w:rFonts w:ascii="Book Antiqua" w:hAnsi="Book Antiqua"/>
        </w:rPr>
        <w:t xml:space="preserve">, Nussinson E, Ben-Assuli O, Shibli F, Shahbari A, Zelber-Sagi S. Retrospective study of the associations between hepatitis C virus infection and metabolic factors. </w:t>
      </w:r>
      <w:r w:rsidRPr="00460721">
        <w:rPr>
          <w:rFonts w:ascii="Book Antiqua" w:hAnsi="Book Antiqua"/>
          <w:i/>
          <w:iCs/>
        </w:rPr>
        <w:t>World J Hepatol</w:t>
      </w:r>
      <w:r w:rsidRPr="00460721">
        <w:rPr>
          <w:rFonts w:ascii="Book Antiqua" w:hAnsi="Book Antiqua"/>
        </w:rPr>
        <w:t xml:space="preserve"> 2016; </w:t>
      </w:r>
      <w:r w:rsidRPr="00460721">
        <w:rPr>
          <w:rFonts w:ascii="Book Antiqua" w:hAnsi="Book Antiqua"/>
          <w:b/>
          <w:bCs/>
        </w:rPr>
        <w:t>8</w:t>
      </w:r>
      <w:r w:rsidRPr="00460721">
        <w:rPr>
          <w:rFonts w:ascii="Book Antiqua" w:hAnsi="Book Antiqua"/>
        </w:rPr>
        <w:t>: 1269-1278 [PMID: 27843537 DOI: 10.4254/wjh.v8.i30.1269]</w:t>
      </w:r>
    </w:p>
    <w:p w14:paraId="6FEB6B6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40 </w:t>
      </w:r>
      <w:r w:rsidRPr="00460721">
        <w:rPr>
          <w:rFonts w:ascii="Book Antiqua" w:hAnsi="Book Antiqua"/>
          <w:b/>
          <w:bCs/>
        </w:rPr>
        <w:t>Perlemuter G</w:t>
      </w:r>
      <w:r w:rsidRPr="00460721">
        <w:rPr>
          <w:rFonts w:ascii="Book Antiqua" w:hAnsi="Book Antiqua"/>
        </w:rPr>
        <w:t xml:space="preserve">,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460721">
        <w:rPr>
          <w:rFonts w:ascii="Book Antiqua" w:hAnsi="Book Antiqua"/>
          <w:i/>
          <w:iCs/>
        </w:rPr>
        <w:t>FASEB J</w:t>
      </w:r>
      <w:r w:rsidRPr="00460721">
        <w:rPr>
          <w:rFonts w:ascii="Book Antiqua" w:hAnsi="Book Antiqua"/>
        </w:rPr>
        <w:t xml:space="preserve"> 2002; </w:t>
      </w:r>
      <w:r w:rsidRPr="00460721">
        <w:rPr>
          <w:rFonts w:ascii="Book Antiqua" w:hAnsi="Book Antiqua"/>
          <w:b/>
          <w:bCs/>
        </w:rPr>
        <w:t>16</w:t>
      </w:r>
      <w:r w:rsidRPr="00460721">
        <w:rPr>
          <w:rFonts w:ascii="Book Antiqua" w:hAnsi="Book Antiqua"/>
        </w:rPr>
        <w:t>: 185-194 [PMID: 11818366 DOI: 10.1096/fj.01-0396com]</w:t>
      </w:r>
    </w:p>
    <w:p w14:paraId="3584E36E" w14:textId="77777777" w:rsidR="00460721" w:rsidRPr="00776276" w:rsidRDefault="00460721" w:rsidP="00460721">
      <w:pPr>
        <w:spacing w:line="360" w:lineRule="auto"/>
        <w:jc w:val="both"/>
        <w:rPr>
          <w:rFonts w:ascii="Book Antiqua" w:hAnsi="Book Antiqua"/>
          <w:lang w:val="pt-BR"/>
        </w:rPr>
      </w:pPr>
      <w:r w:rsidRPr="00460721">
        <w:rPr>
          <w:rFonts w:ascii="Book Antiqua" w:hAnsi="Book Antiqua"/>
        </w:rPr>
        <w:t xml:space="preserve">41 </w:t>
      </w:r>
      <w:r w:rsidRPr="00460721">
        <w:rPr>
          <w:rFonts w:ascii="Book Antiqua" w:hAnsi="Book Antiqua"/>
          <w:b/>
          <w:bCs/>
        </w:rPr>
        <w:t>Miyoshi H</w:t>
      </w:r>
      <w:r w:rsidRPr="00460721">
        <w:rPr>
          <w:rFonts w:ascii="Book Antiqua" w:hAnsi="Book Antiqua"/>
        </w:rPr>
        <w:t xml:space="preserve">, Moriya K, Tsutsumi T, Shinzawa S, Fujie H, Shintani Y, Fujinaga H, Goto K, Todoroki T, Suzuki T, Miyamura T, Matsuura Y, Yotsuyanagi H, Koike K. Pathogenesis of lipid metabolism disorder in hepatitis C: polyunsaturated fatty acids counteract lipid alterations induced by the core protein. </w:t>
      </w:r>
      <w:r w:rsidRPr="00776276">
        <w:rPr>
          <w:rFonts w:ascii="Book Antiqua" w:hAnsi="Book Antiqua"/>
          <w:i/>
          <w:iCs/>
          <w:lang w:val="pt-BR"/>
        </w:rPr>
        <w:t>J Hepatol</w:t>
      </w:r>
      <w:r w:rsidRPr="00776276">
        <w:rPr>
          <w:rFonts w:ascii="Book Antiqua" w:hAnsi="Book Antiqua"/>
          <w:lang w:val="pt-BR"/>
        </w:rPr>
        <w:t xml:space="preserve"> 2011; </w:t>
      </w:r>
      <w:r w:rsidRPr="00776276">
        <w:rPr>
          <w:rFonts w:ascii="Book Antiqua" w:hAnsi="Book Antiqua"/>
          <w:b/>
          <w:bCs/>
          <w:lang w:val="pt-BR"/>
        </w:rPr>
        <w:t>54</w:t>
      </w:r>
      <w:r w:rsidRPr="00776276">
        <w:rPr>
          <w:rFonts w:ascii="Book Antiqua" w:hAnsi="Book Antiqua"/>
          <w:lang w:val="pt-BR"/>
        </w:rPr>
        <w:t>: 432-438 [PMID: 21093950 DOI: 10.1016/j.jhep.2010.07.039]</w:t>
      </w:r>
    </w:p>
    <w:p w14:paraId="4615BAAB" w14:textId="77777777" w:rsidR="00460721" w:rsidRPr="00460721" w:rsidRDefault="00460721" w:rsidP="00460721">
      <w:pPr>
        <w:spacing w:line="360" w:lineRule="auto"/>
        <w:jc w:val="both"/>
        <w:rPr>
          <w:rFonts w:ascii="Book Antiqua" w:hAnsi="Book Antiqua"/>
        </w:rPr>
      </w:pPr>
      <w:r w:rsidRPr="00776276">
        <w:rPr>
          <w:rFonts w:ascii="Book Antiqua" w:hAnsi="Book Antiqua"/>
          <w:lang w:val="pt-BR"/>
        </w:rPr>
        <w:t xml:space="preserve">42 </w:t>
      </w:r>
      <w:r w:rsidRPr="00776276">
        <w:rPr>
          <w:rFonts w:ascii="Book Antiqua" w:hAnsi="Book Antiqua"/>
          <w:b/>
          <w:bCs/>
          <w:lang w:val="pt-BR"/>
        </w:rPr>
        <w:t>Lonardo A</w:t>
      </w:r>
      <w:r w:rsidRPr="00776276">
        <w:rPr>
          <w:rFonts w:ascii="Book Antiqua" w:hAnsi="Book Antiqua"/>
          <w:lang w:val="pt-BR"/>
        </w:rPr>
        <w:t xml:space="preserve">, Adinolfi LE, Loria P, Carulli N, Ruggiero G, Day CP. </w:t>
      </w:r>
      <w:r w:rsidRPr="00460721">
        <w:rPr>
          <w:rFonts w:ascii="Book Antiqua" w:hAnsi="Book Antiqua"/>
        </w:rPr>
        <w:t xml:space="preserve">Steatosis and hepatitis C virus: mechanisms and significance for hepatic and extrahepatic disease. </w:t>
      </w:r>
      <w:r w:rsidRPr="00460721">
        <w:rPr>
          <w:rFonts w:ascii="Book Antiqua" w:hAnsi="Book Antiqua"/>
          <w:i/>
          <w:iCs/>
        </w:rPr>
        <w:t>Gastroenterology</w:t>
      </w:r>
      <w:r w:rsidRPr="00460721">
        <w:rPr>
          <w:rFonts w:ascii="Book Antiqua" w:hAnsi="Book Antiqua"/>
        </w:rPr>
        <w:t xml:space="preserve"> 2004; </w:t>
      </w:r>
      <w:r w:rsidRPr="00460721">
        <w:rPr>
          <w:rFonts w:ascii="Book Antiqua" w:hAnsi="Book Antiqua"/>
          <w:b/>
          <w:bCs/>
        </w:rPr>
        <w:t>126</w:t>
      </w:r>
      <w:r w:rsidRPr="00460721">
        <w:rPr>
          <w:rFonts w:ascii="Book Antiqua" w:hAnsi="Book Antiqua"/>
        </w:rPr>
        <w:t>: 586-597 [PMID: 14762795 DOI: 10.1053/j.gastro.2003.11.020]</w:t>
      </w:r>
    </w:p>
    <w:p w14:paraId="4AA7057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43 </w:t>
      </w:r>
      <w:r w:rsidRPr="00460721">
        <w:rPr>
          <w:rFonts w:ascii="Book Antiqua" w:hAnsi="Book Antiqua"/>
          <w:b/>
          <w:bCs/>
        </w:rPr>
        <w:t>Castéra L</w:t>
      </w:r>
      <w:r w:rsidRPr="00460721">
        <w:rPr>
          <w:rFonts w:ascii="Book Antiqua" w:hAnsi="Book Antiqua"/>
        </w:rPr>
        <w:t xml:space="preserve">, Hézode C, Roudot-Thoraval F, Lonjon I, Zafrani ES, Pawlotsky JM, Dhumeaux D. Effect of antiviral treatment on evolution of liver steatosis in patients with chronic hepatitis C: indirect evidence of a role of hepatitis C virus genotype 3 in steatosis. </w:t>
      </w:r>
      <w:r w:rsidRPr="00460721">
        <w:rPr>
          <w:rFonts w:ascii="Book Antiqua" w:hAnsi="Book Antiqua"/>
          <w:i/>
          <w:iCs/>
        </w:rPr>
        <w:t>Gut</w:t>
      </w:r>
      <w:r w:rsidRPr="00460721">
        <w:rPr>
          <w:rFonts w:ascii="Book Antiqua" w:hAnsi="Book Antiqua"/>
        </w:rPr>
        <w:t xml:space="preserve"> 2004; </w:t>
      </w:r>
      <w:r w:rsidRPr="00460721">
        <w:rPr>
          <w:rFonts w:ascii="Book Antiqua" w:hAnsi="Book Antiqua"/>
          <w:b/>
          <w:bCs/>
        </w:rPr>
        <w:t>53</w:t>
      </w:r>
      <w:r w:rsidRPr="00460721">
        <w:rPr>
          <w:rFonts w:ascii="Book Antiqua" w:hAnsi="Book Antiqua"/>
        </w:rPr>
        <w:t>: 420-424 [PMID: 14960527 DOI: 10.1136/gut.2002.009936]</w:t>
      </w:r>
    </w:p>
    <w:p w14:paraId="0488994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44 </w:t>
      </w:r>
      <w:r w:rsidRPr="00460721">
        <w:rPr>
          <w:rFonts w:ascii="Book Antiqua" w:hAnsi="Book Antiqua"/>
          <w:b/>
          <w:bCs/>
        </w:rPr>
        <w:t>Kumar D</w:t>
      </w:r>
      <w:r w:rsidRPr="00460721">
        <w:rPr>
          <w:rFonts w:ascii="Book Antiqua" w:hAnsi="Book Antiqua"/>
        </w:rPr>
        <w:t xml:space="preserve">, Farrell GC, Fung C, George J. Hepatitis C virus genotype 3 is cytopathic to hepatocytes: Reversal of hepatic steatosis after sustained therapeutic response. </w:t>
      </w:r>
      <w:r w:rsidRPr="00460721">
        <w:rPr>
          <w:rFonts w:ascii="Book Antiqua" w:hAnsi="Book Antiqua"/>
          <w:i/>
          <w:iCs/>
        </w:rPr>
        <w:t>Hepatology</w:t>
      </w:r>
      <w:r w:rsidRPr="00460721">
        <w:rPr>
          <w:rFonts w:ascii="Book Antiqua" w:hAnsi="Book Antiqua"/>
        </w:rPr>
        <w:t xml:space="preserve"> 2002; </w:t>
      </w:r>
      <w:r w:rsidRPr="00460721">
        <w:rPr>
          <w:rFonts w:ascii="Book Antiqua" w:hAnsi="Book Antiqua"/>
          <w:b/>
          <w:bCs/>
        </w:rPr>
        <w:t>36</w:t>
      </w:r>
      <w:r w:rsidRPr="00460721">
        <w:rPr>
          <w:rFonts w:ascii="Book Antiqua" w:hAnsi="Book Antiqua"/>
        </w:rPr>
        <w:t>: 1266-1272 [PMID: 12395339 DOI: 10.1053/jhep.2002.36370]</w:t>
      </w:r>
    </w:p>
    <w:p w14:paraId="076D928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45 </w:t>
      </w:r>
      <w:r w:rsidRPr="00460721">
        <w:rPr>
          <w:rFonts w:ascii="Book Antiqua" w:hAnsi="Book Antiqua"/>
          <w:b/>
          <w:bCs/>
        </w:rPr>
        <w:t>Graf C</w:t>
      </w:r>
      <w:r w:rsidRPr="00460721">
        <w:rPr>
          <w:rFonts w:ascii="Book Antiqua" w:hAnsi="Book Antiqua"/>
        </w:rPr>
        <w:t xml:space="preserve">, Welzel T, Bogdanou D, Vermehren J, Beckel A, Bojunga J, Friedrich-Rust M, Dietz J, Kubesch A, Mondorf A, Fischer S, Lutz T, Stoffers P, Herrmann E, Poynard T, Zeuzem S, Dultz G, Mihm U. Hepatitis C Clearance by Direct-Acting Antivirals Impacts Glucose and Lipid Homeostasis. </w:t>
      </w:r>
      <w:r w:rsidRPr="00460721">
        <w:rPr>
          <w:rFonts w:ascii="Book Antiqua" w:hAnsi="Book Antiqua"/>
          <w:i/>
          <w:iCs/>
        </w:rPr>
        <w:t>J Clin Med</w:t>
      </w:r>
      <w:r w:rsidRPr="00460721">
        <w:rPr>
          <w:rFonts w:ascii="Book Antiqua" w:hAnsi="Book Antiqua"/>
        </w:rPr>
        <w:t xml:space="preserve"> 2020; </w:t>
      </w:r>
      <w:r w:rsidRPr="00460721">
        <w:rPr>
          <w:rFonts w:ascii="Book Antiqua" w:hAnsi="Book Antiqua"/>
          <w:b/>
          <w:bCs/>
        </w:rPr>
        <w:t>9</w:t>
      </w:r>
      <w:r w:rsidRPr="00460721">
        <w:rPr>
          <w:rFonts w:ascii="Book Antiqua" w:hAnsi="Book Antiqua"/>
        </w:rPr>
        <w:t xml:space="preserve"> [PMID: 32825571 DOI: 10.3390/jcm9092702]</w:t>
      </w:r>
    </w:p>
    <w:p w14:paraId="119B65C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46 </w:t>
      </w:r>
      <w:r w:rsidRPr="00460721">
        <w:rPr>
          <w:rFonts w:ascii="Book Antiqua" w:hAnsi="Book Antiqua"/>
          <w:b/>
          <w:bCs/>
        </w:rPr>
        <w:t>Noureddin M</w:t>
      </w:r>
      <w:r w:rsidRPr="00460721">
        <w:rPr>
          <w:rFonts w:ascii="Book Antiqua" w:hAnsi="Book Antiqua"/>
        </w:rPr>
        <w:t xml:space="preserve">, Wong MM, Todo T, Lu SC, Sanyal AJ, Mena EA. Fatty liver in hepatitis C patients post-sustained virological response with direct-acting antivirals. </w:t>
      </w:r>
      <w:r w:rsidRPr="00460721">
        <w:rPr>
          <w:rFonts w:ascii="Book Antiqua" w:hAnsi="Book Antiqua"/>
          <w:i/>
          <w:iCs/>
        </w:rPr>
        <w:t>World J Gastroenterol</w:t>
      </w:r>
      <w:r w:rsidRPr="00460721">
        <w:rPr>
          <w:rFonts w:ascii="Book Antiqua" w:hAnsi="Book Antiqua"/>
        </w:rPr>
        <w:t xml:space="preserve"> 2018; </w:t>
      </w:r>
      <w:r w:rsidRPr="00460721">
        <w:rPr>
          <w:rFonts w:ascii="Book Antiqua" w:hAnsi="Book Antiqua"/>
          <w:b/>
          <w:bCs/>
        </w:rPr>
        <w:t>24</w:t>
      </w:r>
      <w:r w:rsidRPr="00460721">
        <w:rPr>
          <w:rFonts w:ascii="Book Antiqua" w:hAnsi="Book Antiqua"/>
        </w:rPr>
        <w:t>: 1269-1277 [PMID: 29568207 DOI: 10.3748/wjg.v24.i11.1269]</w:t>
      </w:r>
    </w:p>
    <w:p w14:paraId="119BDB6F"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47 </w:t>
      </w:r>
      <w:r w:rsidRPr="00460721">
        <w:rPr>
          <w:rFonts w:ascii="Book Antiqua" w:hAnsi="Book Antiqua"/>
          <w:b/>
          <w:bCs/>
        </w:rPr>
        <w:t>Leandro G</w:t>
      </w:r>
      <w:r w:rsidRPr="00460721">
        <w:rPr>
          <w:rFonts w:ascii="Book Antiqua" w:hAnsi="Book Antiqua"/>
        </w:rPr>
        <w:t xml:space="preserve">, Mangia A, Hui J, Fabris P, Rubbia-Brandt L, Colloredo G, Adinolfi LE, Asselah T, Jonsson JR, Smedile A, Terrault N, Pazienza V, Giordani MT, Giostra E, Sonzogni A, Ruggiero G, Marcellin P, Powell EE, George J, Negro F; HCV Meta-Analysis (on) Individual Patients' Data Study Group. Relationship between steatosis, inflammation, and fibrosis in chronic hepatitis C: a meta-analysis of individual patient data. </w:t>
      </w:r>
      <w:r w:rsidRPr="00460721">
        <w:rPr>
          <w:rFonts w:ascii="Book Antiqua" w:hAnsi="Book Antiqua"/>
          <w:i/>
          <w:iCs/>
        </w:rPr>
        <w:t>Gastroenterology</w:t>
      </w:r>
      <w:r w:rsidRPr="00460721">
        <w:rPr>
          <w:rFonts w:ascii="Book Antiqua" w:hAnsi="Book Antiqua"/>
        </w:rPr>
        <w:t xml:space="preserve"> 2006; </w:t>
      </w:r>
      <w:r w:rsidRPr="00460721">
        <w:rPr>
          <w:rFonts w:ascii="Book Antiqua" w:hAnsi="Book Antiqua"/>
          <w:b/>
          <w:bCs/>
        </w:rPr>
        <w:t>130</w:t>
      </w:r>
      <w:r w:rsidRPr="00460721">
        <w:rPr>
          <w:rFonts w:ascii="Book Antiqua" w:hAnsi="Book Antiqua"/>
        </w:rPr>
        <w:t>: 1636-1642 [PMID: 16697727 DOI: 10.1053/j.gastro.2006.03.014]</w:t>
      </w:r>
    </w:p>
    <w:p w14:paraId="233DF2E3"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48 </w:t>
      </w:r>
      <w:r w:rsidRPr="00460721">
        <w:rPr>
          <w:rFonts w:ascii="Book Antiqua" w:hAnsi="Book Antiqua"/>
          <w:b/>
          <w:bCs/>
        </w:rPr>
        <w:t>Peleg N</w:t>
      </w:r>
      <w:r w:rsidRPr="00460721">
        <w:rPr>
          <w:rFonts w:ascii="Book Antiqua" w:hAnsi="Book Antiqua"/>
        </w:rPr>
        <w:t xml:space="preserve">, Issachar A, Sneh Arbib O, Cohen-Naftaly M, Harif Y, Oxtrud E, Braun M, Leshno M, Barsheshet A, Shlomai A. Liver steatosis is a major predictor of poor outcomes in chronic hepatitis C patients with sustained virological response. </w:t>
      </w:r>
      <w:r w:rsidRPr="00460721">
        <w:rPr>
          <w:rFonts w:ascii="Book Antiqua" w:hAnsi="Book Antiqua"/>
          <w:i/>
          <w:iCs/>
        </w:rPr>
        <w:t>J Viral Hepat</w:t>
      </w:r>
      <w:r w:rsidRPr="00460721">
        <w:rPr>
          <w:rFonts w:ascii="Book Antiqua" w:hAnsi="Book Antiqua"/>
        </w:rPr>
        <w:t xml:space="preserve"> 2019; </w:t>
      </w:r>
      <w:r w:rsidRPr="00460721">
        <w:rPr>
          <w:rFonts w:ascii="Book Antiqua" w:hAnsi="Book Antiqua"/>
          <w:b/>
          <w:bCs/>
        </w:rPr>
        <w:t>26</w:t>
      </w:r>
      <w:r w:rsidRPr="00460721">
        <w:rPr>
          <w:rFonts w:ascii="Book Antiqua" w:hAnsi="Book Antiqua"/>
        </w:rPr>
        <w:t>: 1257-1265 [PMID: 31243878 DOI: 10.1111/jvh.13167]</w:t>
      </w:r>
    </w:p>
    <w:p w14:paraId="1A9BC5D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49 </w:t>
      </w:r>
      <w:r w:rsidRPr="00460721">
        <w:rPr>
          <w:rFonts w:ascii="Book Antiqua" w:hAnsi="Book Antiqua"/>
          <w:b/>
          <w:bCs/>
        </w:rPr>
        <w:t>Moucari R</w:t>
      </w:r>
      <w:r w:rsidRPr="00460721">
        <w:rPr>
          <w:rFonts w:ascii="Book Antiqua" w:hAnsi="Book Antiqua"/>
        </w:rPr>
        <w:t xml:space="preserve">, Asselah T, Cazals-Hatem D, Voitot H, Boyer N, Ripault MP, Sobesky R, Martinot-Peignoux M, Maylin S, Nicolas-Chanoine MH, Paradis V, Vidaud M, Valla D, Bedossa P, Marcellin P. Insulin resistance in chronic hepatitis C: association with genotypes 1 and 4, serum HCV RNA level, and liver fibrosis. </w:t>
      </w:r>
      <w:r w:rsidRPr="00460721">
        <w:rPr>
          <w:rFonts w:ascii="Book Antiqua" w:hAnsi="Book Antiqua"/>
          <w:i/>
          <w:iCs/>
        </w:rPr>
        <w:t>Gastroenterology</w:t>
      </w:r>
      <w:r w:rsidRPr="00460721">
        <w:rPr>
          <w:rFonts w:ascii="Book Antiqua" w:hAnsi="Book Antiqua"/>
        </w:rPr>
        <w:t xml:space="preserve"> 2008; </w:t>
      </w:r>
      <w:r w:rsidRPr="00460721">
        <w:rPr>
          <w:rFonts w:ascii="Book Antiqua" w:hAnsi="Book Antiqua"/>
          <w:b/>
          <w:bCs/>
        </w:rPr>
        <w:t>134</w:t>
      </w:r>
      <w:r w:rsidRPr="00460721">
        <w:rPr>
          <w:rFonts w:ascii="Book Antiqua" w:hAnsi="Book Antiqua"/>
        </w:rPr>
        <w:t>: 416-423 [PMID: 18164296 DOI: 10.1053/j.gastro.2007.11.010]</w:t>
      </w:r>
    </w:p>
    <w:p w14:paraId="65014E4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50 </w:t>
      </w:r>
      <w:r w:rsidRPr="00460721">
        <w:rPr>
          <w:rFonts w:ascii="Book Antiqua" w:hAnsi="Book Antiqua"/>
          <w:b/>
          <w:bCs/>
        </w:rPr>
        <w:t>Miyamoto H</w:t>
      </w:r>
      <w:r w:rsidRPr="00460721">
        <w:rPr>
          <w:rFonts w:ascii="Book Antiqua" w:hAnsi="Book Antiqua"/>
        </w:rPr>
        <w:t xml:space="preserve">, Moriishi K, Moriya K, Murata S, Tanaka K, Suzuki T, Miyamura T, Koike K, Matsuura Y. Involvement of the PA28gamma-dependent pathway in insulin resistance induced by hepatitis C virus core protein. </w:t>
      </w:r>
      <w:r w:rsidRPr="00460721">
        <w:rPr>
          <w:rFonts w:ascii="Book Antiqua" w:hAnsi="Book Antiqua"/>
          <w:i/>
          <w:iCs/>
        </w:rPr>
        <w:t>J Virol</w:t>
      </w:r>
      <w:r w:rsidRPr="00460721">
        <w:rPr>
          <w:rFonts w:ascii="Book Antiqua" w:hAnsi="Book Antiqua"/>
        </w:rPr>
        <w:t xml:space="preserve"> 2007; </w:t>
      </w:r>
      <w:r w:rsidRPr="00460721">
        <w:rPr>
          <w:rFonts w:ascii="Book Antiqua" w:hAnsi="Book Antiqua"/>
          <w:b/>
          <w:bCs/>
        </w:rPr>
        <w:t>81</w:t>
      </w:r>
      <w:r w:rsidRPr="00460721">
        <w:rPr>
          <w:rFonts w:ascii="Book Antiqua" w:hAnsi="Book Antiqua"/>
        </w:rPr>
        <w:t>: 1727-1735 [PMID: 17135326 DOI: 10.1128/jvi.01683-06]</w:t>
      </w:r>
    </w:p>
    <w:p w14:paraId="7E24C1B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51 </w:t>
      </w:r>
      <w:r w:rsidRPr="00460721">
        <w:rPr>
          <w:rFonts w:ascii="Book Antiqua" w:hAnsi="Book Antiqua"/>
          <w:b/>
          <w:bCs/>
        </w:rPr>
        <w:t>Shintani Y</w:t>
      </w:r>
      <w:r w:rsidRPr="00460721">
        <w:rPr>
          <w:rFonts w:ascii="Book Antiqua" w:hAnsi="Book Antiqua"/>
        </w:rPr>
        <w:t xml:space="preserve">, Fujie H, Miyoshi H, Tsutsumi T, Tsukamoto K, Kimura S, Moriya K, Koike K. Hepatitis C virus infection and diabetes: direct involvement of the virus in the development of insulin resistance. </w:t>
      </w:r>
      <w:r w:rsidRPr="00460721">
        <w:rPr>
          <w:rFonts w:ascii="Book Antiqua" w:hAnsi="Book Antiqua"/>
          <w:i/>
          <w:iCs/>
        </w:rPr>
        <w:t>Gastroenterology</w:t>
      </w:r>
      <w:r w:rsidRPr="00460721">
        <w:rPr>
          <w:rFonts w:ascii="Book Antiqua" w:hAnsi="Book Antiqua"/>
        </w:rPr>
        <w:t xml:space="preserve"> 2004; </w:t>
      </w:r>
      <w:r w:rsidRPr="00460721">
        <w:rPr>
          <w:rFonts w:ascii="Book Antiqua" w:hAnsi="Book Antiqua"/>
          <w:b/>
          <w:bCs/>
        </w:rPr>
        <w:t>126</w:t>
      </w:r>
      <w:r w:rsidRPr="00460721">
        <w:rPr>
          <w:rFonts w:ascii="Book Antiqua" w:hAnsi="Book Antiqua"/>
        </w:rPr>
        <w:t>: 840-848 [PMID: 14988838 DOI: 10.1053/j.gastro.2003.11.056]</w:t>
      </w:r>
    </w:p>
    <w:p w14:paraId="6328BE6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52 </w:t>
      </w:r>
      <w:r w:rsidRPr="00460721">
        <w:rPr>
          <w:rFonts w:ascii="Book Antiqua" w:hAnsi="Book Antiqua"/>
          <w:b/>
          <w:bCs/>
        </w:rPr>
        <w:t>Mihm S</w:t>
      </w:r>
      <w:r w:rsidRPr="00460721">
        <w:rPr>
          <w:rFonts w:ascii="Book Antiqua" w:hAnsi="Book Antiqua"/>
        </w:rPr>
        <w:t xml:space="preserve">. Hepatitis C virus, diabetes and steatosis: clinical evidence in favor of a linkage and role of genotypes. </w:t>
      </w:r>
      <w:r w:rsidRPr="00460721">
        <w:rPr>
          <w:rFonts w:ascii="Book Antiqua" w:hAnsi="Book Antiqua"/>
          <w:i/>
          <w:iCs/>
        </w:rPr>
        <w:t>Dig Dis</w:t>
      </w:r>
      <w:r w:rsidRPr="00460721">
        <w:rPr>
          <w:rFonts w:ascii="Book Antiqua" w:hAnsi="Book Antiqua"/>
        </w:rPr>
        <w:t xml:space="preserve"> 2010; </w:t>
      </w:r>
      <w:r w:rsidRPr="00460721">
        <w:rPr>
          <w:rFonts w:ascii="Book Antiqua" w:hAnsi="Book Antiqua"/>
          <w:b/>
          <w:bCs/>
        </w:rPr>
        <w:t>28</w:t>
      </w:r>
      <w:r w:rsidRPr="00460721">
        <w:rPr>
          <w:rFonts w:ascii="Book Antiqua" w:hAnsi="Book Antiqua"/>
        </w:rPr>
        <w:t>: 280-284 [PMID: 20460924 DOI: 10.1159/000282103]</w:t>
      </w:r>
    </w:p>
    <w:p w14:paraId="2D1E754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53 </w:t>
      </w:r>
      <w:r w:rsidRPr="00460721">
        <w:rPr>
          <w:rFonts w:ascii="Book Antiqua" w:hAnsi="Book Antiqua"/>
          <w:b/>
          <w:bCs/>
        </w:rPr>
        <w:t>Sersté T</w:t>
      </w:r>
      <w:r w:rsidRPr="00460721">
        <w:rPr>
          <w:rFonts w:ascii="Book Antiqua" w:hAnsi="Book Antiqua"/>
        </w:rPr>
        <w:t xml:space="preserve">, Nkuize M, Moucari R, Van Gossum M, Reynders M, Scheen R, Vertongen F, Buset M, Mulkay JP, Marcellin P. Metabolic disorders associated with chronic hepatitis C: impact of genotype and ethnicity. </w:t>
      </w:r>
      <w:r w:rsidRPr="00460721">
        <w:rPr>
          <w:rFonts w:ascii="Book Antiqua" w:hAnsi="Book Antiqua"/>
          <w:i/>
          <w:iCs/>
        </w:rPr>
        <w:t>Liver Int</w:t>
      </w:r>
      <w:r w:rsidRPr="00460721">
        <w:rPr>
          <w:rFonts w:ascii="Book Antiqua" w:hAnsi="Book Antiqua"/>
        </w:rPr>
        <w:t xml:space="preserve"> 2010; </w:t>
      </w:r>
      <w:r w:rsidRPr="00460721">
        <w:rPr>
          <w:rFonts w:ascii="Book Antiqua" w:hAnsi="Book Antiqua"/>
          <w:b/>
          <w:bCs/>
        </w:rPr>
        <w:t>30</w:t>
      </w:r>
      <w:r w:rsidRPr="00460721">
        <w:rPr>
          <w:rFonts w:ascii="Book Antiqua" w:hAnsi="Book Antiqua"/>
        </w:rPr>
        <w:t>: 1131-1136 [PMID: 20536721 DOI: 10.1111/j.1478-3231.2010.02291.x]</w:t>
      </w:r>
    </w:p>
    <w:p w14:paraId="0485ED2D"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54 </w:t>
      </w:r>
      <w:r w:rsidRPr="00460721">
        <w:rPr>
          <w:rFonts w:ascii="Book Antiqua" w:hAnsi="Book Antiqua"/>
          <w:b/>
          <w:bCs/>
        </w:rPr>
        <w:t>Sheikh MY</w:t>
      </w:r>
      <w:r w:rsidRPr="00460721">
        <w:rPr>
          <w:rFonts w:ascii="Book Antiqua" w:hAnsi="Book Antiqua"/>
        </w:rPr>
        <w:t xml:space="preserve">, Choi J, Qadri I, Friedman JE, Sanyal AJ. Hepatitis C virus infection: molecular pathways to metabolic syndrome. </w:t>
      </w:r>
      <w:r w:rsidRPr="00460721">
        <w:rPr>
          <w:rFonts w:ascii="Book Antiqua" w:hAnsi="Book Antiqua"/>
          <w:i/>
          <w:iCs/>
        </w:rPr>
        <w:t>Hepatology</w:t>
      </w:r>
      <w:r w:rsidRPr="00460721">
        <w:rPr>
          <w:rFonts w:ascii="Book Antiqua" w:hAnsi="Book Antiqua"/>
        </w:rPr>
        <w:t xml:space="preserve"> 2008; </w:t>
      </w:r>
      <w:r w:rsidRPr="00460721">
        <w:rPr>
          <w:rFonts w:ascii="Book Antiqua" w:hAnsi="Book Antiqua"/>
          <w:b/>
          <w:bCs/>
        </w:rPr>
        <w:t>47</w:t>
      </w:r>
      <w:r w:rsidRPr="00460721">
        <w:rPr>
          <w:rFonts w:ascii="Book Antiqua" w:hAnsi="Book Antiqua"/>
        </w:rPr>
        <w:t>: 2127-2133 [PMID: 18446789 DOI: 10.1002/hep.22269]</w:t>
      </w:r>
    </w:p>
    <w:p w14:paraId="20E89CA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55 </w:t>
      </w:r>
      <w:r w:rsidRPr="00460721">
        <w:rPr>
          <w:rFonts w:ascii="Book Antiqua" w:hAnsi="Book Antiqua"/>
          <w:b/>
          <w:bCs/>
        </w:rPr>
        <w:t>Kawaguchi T</w:t>
      </w:r>
      <w:r w:rsidRPr="00460721">
        <w:rPr>
          <w:rFonts w:ascii="Book Antiqua" w:hAnsi="Book Antiqua"/>
        </w:rPr>
        <w:t xml:space="preserve">, Yoshida T, Harada M, Hisamoto T, Nagao Y, Ide T, Taniguchi E, Kumemura H, Hanada S, Maeyama M, Baba S, Koga H, Kumashiro R, Ueno T, Ogata H, Yoshimura A, Sata M. Hepatitis C virus down-regulates insulin receptor substrates 1 and 2 through up-regulation of suppressor of cytokine signaling 3. </w:t>
      </w:r>
      <w:r w:rsidRPr="00460721">
        <w:rPr>
          <w:rFonts w:ascii="Book Antiqua" w:hAnsi="Book Antiqua"/>
          <w:i/>
          <w:iCs/>
        </w:rPr>
        <w:t>Am J Pathol</w:t>
      </w:r>
      <w:r w:rsidRPr="00460721">
        <w:rPr>
          <w:rFonts w:ascii="Book Antiqua" w:hAnsi="Book Antiqua"/>
        </w:rPr>
        <w:t xml:space="preserve"> 2004; </w:t>
      </w:r>
      <w:r w:rsidRPr="00460721">
        <w:rPr>
          <w:rFonts w:ascii="Book Antiqua" w:hAnsi="Book Antiqua"/>
          <w:b/>
          <w:bCs/>
        </w:rPr>
        <w:t>165</w:t>
      </w:r>
      <w:r w:rsidRPr="00460721">
        <w:rPr>
          <w:rFonts w:ascii="Book Antiqua" w:hAnsi="Book Antiqua"/>
        </w:rPr>
        <w:t>: 1499-1508 [PMID: 15509521 DOI: 10.1016/s0002-9440(10)63408-6]</w:t>
      </w:r>
    </w:p>
    <w:p w14:paraId="16CEB38C"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56 </w:t>
      </w:r>
      <w:r w:rsidRPr="00460721">
        <w:rPr>
          <w:rFonts w:ascii="Book Antiqua" w:hAnsi="Book Antiqua"/>
          <w:b/>
          <w:bCs/>
        </w:rPr>
        <w:t>Kawaguchi Y</w:t>
      </w:r>
      <w:r w:rsidRPr="00460721">
        <w:rPr>
          <w:rFonts w:ascii="Book Antiqua" w:hAnsi="Book Antiqua"/>
        </w:rPr>
        <w:t xml:space="preserve">, Mizuta T. Interaction between hepatitis C virus and metabolic factors. </w:t>
      </w:r>
      <w:r w:rsidRPr="00460721">
        <w:rPr>
          <w:rFonts w:ascii="Book Antiqua" w:hAnsi="Book Antiqua"/>
          <w:i/>
          <w:iCs/>
        </w:rPr>
        <w:t>World J Gastroenterol</w:t>
      </w:r>
      <w:r w:rsidRPr="00460721">
        <w:rPr>
          <w:rFonts w:ascii="Book Antiqua" w:hAnsi="Book Antiqua"/>
        </w:rPr>
        <w:t xml:space="preserve"> 2014; </w:t>
      </w:r>
      <w:r w:rsidRPr="00460721">
        <w:rPr>
          <w:rFonts w:ascii="Book Antiqua" w:hAnsi="Book Antiqua"/>
          <w:b/>
          <w:bCs/>
        </w:rPr>
        <w:t>20</w:t>
      </w:r>
      <w:r w:rsidRPr="00460721">
        <w:rPr>
          <w:rFonts w:ascii="Book Antiqua" w:hAnsi="Book Antiqua"/>
        </w:rPr>
        <w:t>: 2888-2901 [PMID: 24659880 DOI: 10.3748/wjg.v20.i11.2888]</w:t>
      </w:r>
    </w:p>
    <w:p w14:paraId="12CAC58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57 </w:t>
      </w:r>
      <w:r w:rsidRPr="00460721">
        <w:rPr>
          <w:rFonts w:ascii="Book Antiqua" w:hAnsi="Book Antiqua"/>
          <w:b/>
          <w:bCs/>
        </w:rPr>
        <w:t>Serfaty L</w:t>
      </w:r>
      <w:r w:rsidRPr="00460721">
        <w:rPr>
          <w:rFonts w:ascii="Book Antiqua" w:hAnsi="Book Antiqua"/>
        </w:rPr>
        <w:t xml:space="preserve">. Metabolic Manifestations of Hepatitis C Virus: Diabetes Mellitus, Dyslipidemia. </w:t>
      </w:r>
      <w:r w:rsidRPr="00460721">
        <w:rPr>
          <w:rFonts w:ascii="Book Antiqua" w:hAnsi="Book Antiqua"/>
          <w:i/>
          <w:iCs/>
        </w:rPr>
        <w:t>Clin Liver Dis</w:t>
      </w:r>
      <w:r w:rsidRPr="00460721">
        <w:rPr>
          <w:rFonts w:ascii="Book Antiqua" w:hAnsi="Book Antiqua"/>
        </w:rPr>
        <w:t xml:space="preserve"> 2017; </w:t>
      </w:r>
      <w:r w:rsidRPr="00460721">
        <w:rPr>
          <w:rFonts w:ascii="Book Antiqua" w:hAnsi="Book Antiqua"/>
          <w:b/>
          <w:bCs/>
        </w:rPr>
        <w:t>21</w:t>
      </w:r>
      <w:r w:rsidRPr="00460721">
        <w:rPr>
          <w:rFonts w:ascii="Book Antiqua" w:hAnsi="Book Antiqua"/>
        </w:rPr>
        <w:t>: 475-486 [PMID: 28689587 DOI: 10.1016/j.cld.2017.03.004]</w:t>
      </w:r>
    </w:p>
    <w:p w14:paraId="080859FC"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58 </w:t>
      </w:r>
      <w:r w:rsidRPr="00460721">
        <w:rPr>
          <w:rFonts w:ascii="Book Antiqua" w:hAnsi="Book Antiqua"/>
          <w:b/>
          <w:bCs/>
        </w:rPr>
        <w:t>Mehta SH</w:t>
      </w:r>
      <w:r w:rsidRPr="00460721">
        <w:rPr>
          <w:rFonts w:ascii="Book Antiqua" w:hAnsi="Book Antiqua"/>
        </w:rPr>
        <w:t xml:space="preserve">, Brancati FL, Strathdee SA, Pankow JS, Netski D, Coresh J, Szklo M, Thomas DL. Hepatitis C virus infection and incident type 2 diabetes. </w:t>
      </w:r>
      <w:r w:rsidRPr="00460721">
        <w:rPr>
          <w:rFonts w:ascii="Book Antiqua" w:hAnsi="Book Antiqua"/>
          <w:i/>
          <w:iCs/>
        </w:rPr>
        <w:t>Hepatology</w:t>
      </w:r>
      <w:r w:rsidRPr="00460721">
        <w:rPr>
          <w:rFonts w:ascii="Book Antiqua" w:hAnsi="Book Antiqua"/>
        </w:rPr>
        <w:t xml:space="preserve"> 2003; </w:t>
      </w:r>
      <w:r w:rsidRPr="00460721">
        <w:rPr>
          <w:rFonts w:ascii="Book Antiqua" w:hAnsi="Book Antiqua"/>
          <w:b/>
          <w:bCs/>
        </w:rPr>
        <w:t>38</w:t>
      </w:r>
      <w:r w:rsidRPr="00460721">
        <w:rPr>
          <w:rFonts w:ascii="Book Antiqua" w:hAnsi="Book Antiqua"/>
        </w:rPr>
        <w:t>: 50-56 [PMID: 12829986 DOI: 10.1053/jhep.2003.50291]</w:t>
      </w:r>
    </w:p>
    <w:p w14:paraId="4370C3C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59 </w:t>
      </w:r>
      <w:r w:rsidRPr="00460721">
        <w:rPr>
          <w:rFonts w:ascii="Book Antiqua" w:hAnsi="Book Antiqua"/>
          <w:b/>
          <w:bCs/>
        </w:rPr>
        <w:t>Hui JM</w:t>
      </w:r>
      <w:r w:rsidRPr="00460721">
        <w:rPr>
          <w:rFonts w:ascii="Book Antiqua" w:hAnsi="Book Antiqua"/>
        </w:rPr>
        <w:t xml:space="preserve">, Sud A, Farrell GC, Bandara P, Byth K, Kench JG, McCaughan GW, George J. Insulin resistance is associated with chronic hepatitis C virus infection and fibrosis progression [corrected]. </w:t>
      </w:r>
      <w:r w:rsidRPr="00460721">
        <w:rPr>
          <w:rFonts w:ascii="Book Antiqua" w:hAnsi="Book Antiqua"/>
          <w:i/>
          <w:iCs/>
        </w:rPr>
        <w:t>Gastroenterology</w:t>
      </w:r>
      <w:r w:rsidRPr="00460721">
        <w:rPr>
          <w:rFonts w:ascii="Book Antiqua" w:hAnsi="Book Antiqua"/>
        </w:rPr>
        <w:t xml:space="preserve"> 2003; </w:t>
      </w:r>
      <w:r w:rsidRPr="00460721">
        <w:rPr>
          <w:rFonts w:ascii="Book Antiqua" w:hAnsi="Book Antiqua"/>
          <w:b/>
          <w:bCs/>
        </w:rPr>
        <w:t>125</w:t>
      </w:r>
      <w:r w:rsidRPr="00460721">
        <w:rPr>
          <w:rFonts w:ascii="Book Antiqua" w:hAnsi="Book Antiqua"/>
        </w:rPr>
        <w:t>: 1695-1704 [PMID: 14724822 DOI: 10.1053/j.gastro.2003.08.032]</w:t>
      </w:r>
    </w:p>
    <w:p w14:paraId="5813A21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60 </w:t>
      </w:r>
      <w:r w:rsidRPr="00460721">
        <w:rPr>
          <w:rFonts w:ascii="Book Antiqua" w:hAnsi="Book Antiqua"/>
          <w:b/>
          <w:bCs/>
        </w:rPr>
        <w:t>Cua IH</w:t>
      </w:r>
      <w:r w:rsidRPr="00460721">
        <w:rPr>
          <w:rFonts w:ascii="Book Antiqua" w:hAnsi="Book Antiqua"/>
        </w:rPr>
        <w:t xml:space="preserve">, Hui JM, Bandara P, Kench JG, Farrell GC, McCaughan GW, George J. Insulin resistance and liver injury in hepatitis C is not associated with virus-specific changes in adipocytokines. </w:t>
      </w:r>
      <w:r w:rsidRPr="00460721">
        <w:rPr>
          <w:rFonts w:ascii="Book Antiqua" w:hAnsi="Book Antiqua"/>
          <w:i/>
          <w:iCs/>
        </w:rPr>
        <w:t>Hepatology</w:t>
      </w:r>
      <w:r w:rsidRPr="00460721">
        <w:rPr>
          <w:rFonts w:ascii="Book Antiqua" w:hAnsi="Book Antiqua"/>
        </w:rPr>
        <w:t xml:space="preserve"> 2007; </w:t>
      </w:r>
      <w:r w:rsidRPr="00460721">
        <w:rPr>
          <w:rFonts w:ascii="Book Antiqua" w:hAnsi="Book Antiqua"/>
          <w:b/>
          <w:bCs/>
        </w:rPr>
        <w:t>46</w:t>
      </w:r>
      <w:r w:rsidRPr="00460721">
        <w:rPr>
          <w:rFonts w:ascii="Book Antiqua" w:hAnsi="Book Antiqua"/>
        </w:rPr>
        <w:t>: 66-73 [PMID: 17596870 DOI: 10.1002/hep.21703]</w:t>
      </w:r>
    </w:p>
    <w:p w14:paraId="043DAB9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61 </w:t>
      </w:r>
      <w:r w:rsidRPr="00460721">
        <w:rPr>
          <w:rFonts w:ascii="Book Antiqua" w:hAnsi="Book Antiqua"/>
          <w:b/>
          <w:bCs/>
        </w:rPr>
        <w:t>Veldt BJ</w:t>
      </w:r>
      <w:r w:rsidRPr="00460721">
        <w:rPr>
          <w:rFonts w:ascii="Book Antiqua" w:hAnsi="Book Antiqua"/>
        </w:rPr>
        <w:t xml:space="preserve">, Chen W, Heathcote EJ, Wedemeyer H, Reichen J, Hofmann WP, de Knegt RJ, Zeuzem S, Manns MP, Hansen BE, Schalm SW, Janssen HL. Increased risk of hepatocellular carcinoma among patients with hepatitis C cirrhosis and diabetes mellitus. </w:t>
      </w:r>
      <w:r w:rsidRPr="00460721">
        <w:rPr>
          <w:rFonts w:ascii="Book Antiqua" w:hAnsi="Book Antiqua"/>
          <w:i/>
          <w:iCs/>
        </w:rPr>
        <w:t>Hepatology</w:t>
      </w:r>
      <w:r w:rsidRPr="00460721">
        <w:rPr>
          <w:rFonts w:ascii="Book Antiqua" w:hAnsi="Book Antiqua"/>
        </w:rPr>
        <w:t xml:space="preserve"> 2008; </w:t>
      </w:r>
      <w:r w:rsidRPr="00460721">
        <w:rPr>
          <w:rFonts w:ascii="Book Antiqua" w:hAnsi="Book Antiqua"/>
          <w:b/>
          <w:bCs/>
        </w:rPr>
        <w:t>47</w:t>
      </w:r>
      <w:r w:rsidRPr="00460721">
        <w:rPr>
          <w:rFonts w:ascii="Book Antiqua" w:hAnsi="Book Antiqua"/>
        </w:rPr>
        <w:t>: 1856-1862 [PMID: 18506898 DOI: 10.1002/hep.22251]</w:t>
      </w:r>
    </w:p>
    <w:p w14:paraId="4CED716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62 </w:t>
      </w:r>
      <w:r w:rsidRPr="00460721">
        <w:rPr>
          <w:rFonts w:ascii="Book Antiqua" w:hAnsi="Book Antiqua"/>
          <w:b/>
          <w:bCs/>
        </w:rPr>
        <w:t>Chen CL</w:t>
      </w:r>
      <w:r w:rsidRPr="00460721">
        <w:rPr>
          <w:rFonts w:ascii="Book Antiqua" w:hAnsi="Book Antiqua"/>
        </w:rPr>
        <w:t xml:space="preserve">, Yang HI, Yang WS, Liu CJ, Chen PJ, You SL, Wang LY, Sun CA, Lu SN, Chen DS, Chen CJ. Metabolic factors and risk of hepatocellular carcinoma by chronic hepatitis B/C infection: a follow-up study in Taiwan. </w:t>
      </w:r>
      <w:r w:rsidRPr="00460721">
        <w:rPr>
          <w:rFonts w:ascii="Book Antiqua" w:hAnsi="Book Antiqua"/>
          <w:i/>
          <w:iCs/>
        </w:rPr>
        <w:t>Gastroenterology</w:t>
      </w:r>
      <w:r w:rsidRPr="00460721">
        <w:rPr>
          <w:rFonts w:ascii="Book Antiqua" w:hAnsi="Book Antiqua"/>
        </w:rPr>
        <w:t xml:space="preserve"> 2008; </w:t>
      </w:r>
      <w:r w:rsidRPr="00460721">
        <w:rPr>
          <w:rFonts w:ascii="Book Antiqua" w:hAnsi="Book Antiqua"/>
          <w:b/>
          <w:bCs/>
        </w:rPr>
        <w:t>135</w:t>
      </w:r>
      <w:r w:rsidRPr="00460721">
        <w:rPr>
          <w:rFonts w:ascii="Book Antiqua" w:hAnsi="Book Antiqua"/>
        </w:rPr>
        <w:t>: 111-121 [PMID: 18505690 DOI: 10.1053/j.gastro.2008.03.073]</w:t>
      </w:r>
    </w:p>
    <w:p w14:paraId="4C24BF0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63 </w:t>
      </w:r>
      <w:r w:rsidRPr="00460721">
        <w:rPr>
          <w:rFonts w:ascii="Book Antiqua" w:hAnsi="Book Antiqua"/>
          <w:b/>
          <w:bCs/>
        </w:rPr>
        <w:t>Adinolfi LE</w:t>
      </w:r>
      <w:r w:rsidRPr="00460721">
        <w:rPr>
          <w:rFonts w:ascii="Book Antiqua" w:hAnsi="Book Antiqua"/>
        </w:rPr>
        <w:t xml:space="preserve">, Restivo L, Zampino R, Lonardo A, Loria P. Metabolic alterations and chronic hepatitis C: treatment strategies. </w:t>
      </w:r>
      <w:r w:rsidRPr="00460721">
        <w:rPr>
          <w:rFonts w:ascii="Book Antiqua" w:hAnsi="Book Antiqua"/>
          <w:i/>
          <w:iCs/>
        </w:rPr>
        <w:t>Expert Opin Pharmacother</w:t>
      </w:r>
      <w:r w:rsidRPr="00460721">
        <w:rPr>
          <w:rFonts w:ascii="Book Antiqua" w:hAnsi="Book Antiqua"/>
        </w:rPr>
        <w:t xml:space="preserve"> 2011; </w:t>
      </w:r>
      <w:r w:rsidRPr="00460721">
        <w:rPr>
          <w:rFonts w:ascii="Book Antiqua" w:hAnsi="Book Antiqua"/>
          <w:b/>
          <w:bCs/>
        </w:rPr>
        <w:t>12</w:t>
      </w:r>
      <w:r w:rsidRPr="00460721">
        <w:rPr>
          <w:rFonts w:ascii="Book Antiqua" w:hAnsi="Book Antiqua"/>
        </w:rPr>
        <w:t>: 2215-2234 [PMID: 21883025 DOI: 10.1517/14656566.2011.597742]</w:t>
      </w:r>
    </w:p>
    <w:p w14:paraId="38C07ED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64 </w:t>
      </w:r>
      <w:r w:rsidRPr="00460721">
        <w:rPr>
          <w:rFonts w:ascii="Book Antiqua" w:hAnsi="Book Antiqua"/>
          <w:b/>
          <w:bCs/>
        </w:rPr>
        <w:t>Negro F</w:t>
      </w:r>
      <w:r w:rsidRPr="00460721">
        <w:rPr>
          <w:rFonts w:ascii="Book Antiqua" w:hAnsi="Book Antiqua"/>
        </w:rPr>
        <w:t xml:space="preserve">. HCV infection and metabolic syndrome: which is the chicken and which is the egg? </w:t>
      </w:r>
      <w:r w:rsidRPr="00460721">
        <w:rPr>
          <w:rFonts w:ascii="Book Antiqua" w:hAnsi="Book Antiqua"/>
          <w:i/>
          <w:iCs/>
        </w:rPr>
        <w:t>Gastroenterology</w:t>
      </w:r>
      <w:r w:rsidRPr="00460721">
        <w:rPr>
          <w:rFonts w:ascii="Book Antiqua" w:hAnsi="Book Antiqua"/>
        </w:rPr>
        <w:t xml:space="preserve"> 2012; </w:t>
      </w:r>
      <w:r w:rsidRPr="00460721">
        <w:rPr>
          <w:rFonts w:ascii="Book Antiqua" w:hAnsi="Book Antiqua"/>
          <w:b/>
          <w:bCs/>
        </w:rPr>
        <w:t>142</w:t>
      </w:r>
      <w:r w:rsidRPr="00460721">
        <w:rPr>
          <w:rFonts w:ascii="Book Antiqua" w:hAnsi="Book Antiqua"/>
        </w:rPr>
        <w:t>: 1288-1292 [PMID: 22537435 DOI: 10.1053/j.gastro.2011.12.063]</w:t>
      </w:r>
    </w:p>
    <w:p w14:paraId="4BCF43D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65 </w:t>
      </w:r>
      <w:r w:rsidRPr="00460721">
        <w:rPr>
          <w:rFonts w:ascii="Book Antiqua" w:hAnsi="Book Antiqua"/>
          <w:b/>
          <w:bCs/>
        </w:rPr>
        <w:t>Adinolfi LE</w:t>
      </w:r>
      <w:r w:rsidRPr="00460721">
        <w:rPr>
          <w:rFonts w:ascii="Book Antiqua" w:hAnsi="Book Antiqua"/>
        </w:rPr>
        <w:t xml:space="preserve">, Restivo L, Marrone A. The predictive value of steatosis in hepatitis C virus infection. </w:t>
      </w:r>
      <w:r w:rsidRPr="00460721">
        <w:rPr>
          <w:rFonts w:ascii="Book Antiqua" w:hAnsi="Book Antiqua"/>
          <w:i/>
          <w:iCs/>
        </w:rPr>
        <w:t>Expert Rev Gastroenterol Hepatol</w:t>
      </w:r>
      <w:r w:rsidRPr="00460721">
        <w:rPr>
          <w:rFonts w:ascii="Book Antiqua" w:hAnsi="Book Antiqua"/>
        </w:rPr>
        <w:t xml:space="preserve"> 2013; </w:t>
      </w:r>
      <w:r w:rsidRPr="00460721">
        <w:rPr>
          <w:rFonts w:ascii="Book Antiqua" w:hAnsi="Book Antiqua"/>
          <w:b/>
          <w:bCs/>
        </w:rPr>
        <w:t>7</w:t>
      </w:r>
      <w:r w:rsidRPr="00460721">
        <w:rPr>
          <w:rFonts w:ascii="Book Antiqua" w:hAnsi="Book Antiqua"/>
        </w:rPr>
        <w:t>: 205-213 [PMID: 23445230 DOI: 10.1586/egh.13.7]</w:t>
      </w:r>
    </w:p>
    <w:p w14:paraId="696A765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66 </w:t>
      </w:r>
      <w:r w:rsidRPr="00460721">
        <w:rPr>
          <w:rFonts w:ascii="Book Antiqua" w:hAnsi="Book Antiqua"/>
          <w:b/>
          <w:bCs/>
        </w:rPr>
        <w:t>Thompson AJ</w:t>
      </w:r>
      <w:r w:rsidRPr="00460721">
        <w:rPr>
          <w:rFonts w:ascii="Book Antiqua" w:hAnsi="Book Antiqua"/>
        </w:rPr>
        <w:t xml:space="preserve">, Patel K, Chuang WL, Lawitz EJ, Rodriguez-Torres M, Rustgi VK, Flisiak R, Pianko S, Diago M, Arora S, Foster GR, Torbenson M, Benhamou Y, Nelson DR, Sulkowski MS, Zeuzem S, Pulkstenis E, Subramanian GM, McHutchison JG; ACHIEVE-1 and ACHIEVE-2/3 Study Teams. Viral clearance is associated with improved insulin resistance in genotype 1 chronic hepatitis C but not genotype 2/3. </w:t>
      </w:r>
      <w:r w:rsidRPr="00460721">
        <w:rPr>
          <w:rFonts w:ascii="Book Antiqua" w:hAnsi="Book Antiqua"/>
          <w:i/>
          <w:iCs/>
        </w:rPr>
        <w:t>Gut</w:t>
      </w:r>
      <w:r w:rsidRPr="00460721">
        <w:rPr>
          <w:rFonts w:ascii="Book Antiqua" w:hAnsi="Book Antiqua"/>
        </w:rPr>
        <w:t xml:space="preserve"> 2012; </w:t>
      </w:r>
      <w:r w:rsidRPr="00460721">
        <w:rPr>
          <w:rFonts w:ascii="Book Antiqua" w:hAnsi="Book Antiqua"/>
          <w:b/>
          <w:bCs/>
        </w:rPr>
        <w:t>61</w:t>
      </w:r>
      <w:r w:rsidRPr="00460721">
        <w:rPr>
          <w:rFonts w:ascii="Book Antiqua" w:hAnsi="Book Antiqua"/>
        </w:rPr>
        <w:t>: 128-134 [PMID: 21873466 DOI: 10.1136/gut.2010.236158]</w:t>
      </w:r>
    </w:p>
    <w:p w14:paraId="344B667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67 </w:t>
      </w:r>
      <w:r w:rsidRPr="00460721">
        <w:rPr>
          <w:rFonts w:ascii="Book Antiqua" w:hAnsi="Book Antiqua"/>
          <w:b/>
          <w:bCs/>
        </w:rPr>
        <w:t>Conjeevaram HS</w:t>
      </w:r>
      <w:r w:rsidRPr="00460721">
        <w:rPr>
          <w:rFonts w:ascii="Book Antiqua" w:hAnsi="Book Antiqua"/>
        </w:rPr>
        <w:t xml:space="preserve">, Wahed AS, Afdhal N, Howell CD, Everhart JE, Hoofnagle JH; Virahep-C Study Group. Changes in insulin sensitivity and body weight during and after peginterferon and ribavirin therapy for hepatitis C. </w:t>
      </w:r>
      <w:r w:rsidRPr="00460721">
        <w:rPr>
          <w:rFonts w:ascii="Book Antiqua" w:hAnsi="Book Antiqua"/>
          <w:i/>
          <w:iCs/>
        </w:rPr>
        <w:t>Gastroenterology</w:t>
      </w:r>
      <w:r w:rsidRPr="00460721">
        <w:rPr>
          <w:rFonts w:ascii="Book Antiqua" w:hAnsi="Book Antiqua"/>
        </w:rPr>
        <w:t xml:space="preserve"> 2011; </w:t>
      </w:r>
      <w:r w:rsidRPr="00460721">
        <w:rPr>
          <w:rFonts w:ascii="Book Antiqua" w:hAnsi="Book Antiqua"/>
          <w:b/>
          <w:bCs/>
        </w:rPr>
        <w:t>140</w:t>
      </w:r>
      <w:r w:rsidRPr="00460721">
        <w:rPr>
          <w:rFonts w:ascii="Book Antiqua" w:hAnsi="Book Antiqua"/>
        </w:rPr>
        <w:t>: 469-477 [PMID: 21070775 DOI: 10.1053/j.gastro.2010.11.002]</w:t>
      </w:r>
    </w:p>
    <w:p w14:paraId="4BA5A74F"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68 </w:t>
      </w:r>
      <w:r w:rsidRPr="00460721">
        <w:rPr>
          <w:rFonts w:ascii="Book Antiqua" w:hAnsi="Book Antiqua"/>
          <w:b/>
          <w:bCs/>
        </w:rPr>
        <w:t>Aghemo A</w:t>
      </w:r>
      <w:r w:rsidRPr="00460721">
        <w:rPr>
          <w:rFonts w:ascii="Book Antiqua" w:hAnsi="Book Antiqua"/>
        </w:rPr>
        <w:t xml:space="preserve">, Prati GM, Rumi MG, Soffredini R, D'Ambrosio R, Orsi E, De Nicola S, Degasperi E, Grancini V, Colombo M. Sustained virological response prevents the development of insulin resistance in patients with chronic hepatitis C. </w:t>
      </w:r>
      <w:r w:rsidRPr="00460721">
        <w:rPr>
          <w:rFonts w:ascii="Book Antiqua" w:hAnsi="Book Antiqua"/>
          <w:i/>
          <w:iCs/>
        </w:rPr>
        <w:t>Hepatology</w:t>
      </w:r>
      <w:r w:rsidRPr="00460721">
        <w:rPr>
          <w:rFonts w:ascii="Book Antiqua" w:hAnsi="Book Antiqua"/>
        </w:rPr>
        <w:t xml:space="preserve"> 2012; </w:t>
      </w:r>
      <w:r w:rsidRPr="00460721">
        <w:rPr>
          <w:rFonts w:ascii="Book Antiqua" w:hAnsi="Book Antiqua"/>
          <w:b/>
          <w:bCs/>
        </w:rPr>
        <w:t>56</w:t>
      </w:r>
      <w:r w:rsidRPr="00460721">
        <w:rPr>
          <w:rFonts w:ascii="Book Antiqua" w:hAnsi="Book Antiqua"/>
        </w:rPr>
        <w:t>: 1681-1687 [PMID: 22619107 DOI: 10.1002/hep.25867]</w:t>
      </w:r>
    </w:p>
    <w:p w14:paraId="2D106CA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69 </w:t>
      </w:r>
      <w:r w:rsidRPr="00460721">
        <w:rPr>
          <w:rFonts w:ascii="Book Antiqua" w:hAnsi="Book Antiqua"/>
          <w:b/>
          <w:bCs/>
        </w:rPr>
        <w:t>Mahale P</w:t>
      </w:r>
      <w:r w:rsidRPr="00460721">
        <w:rPr>
          <w:rFonts w:ascii="Book Antiqua" w:hAnsi="Book Antiqua"/>
        </w:rPr>
        <w:t xml:space="preserve">, Engels EA, Li R, Torres HA, Hwang LY, Brown EL, Kramer JR. The effect of sustained virological response on the risk of extrahepatic manifestations of hepatitis C virus infection. </w:t>
      </w:r>
      <w:r w:rsidRPr="00460721">
        <w:rPr>
          <w:rFonts w:ascii="Book Antiqua" w:hAnsi="Book Antiqua"/>
          <w:i/>
          <w:iCs/>
        </w:rPr>
        <w:t>Gut</w:t>
      </w:r>
      <w:r w:rsidRPr="00460721">
        <w:rPr>
          <w:rFonts w:ascii="Book Antiqua" w:hAnsi="Book Antiqua"/>
        </w:rPr>
        <w:t xml:space="preserve"> 2018; </w:t>
      </w:r>
      <w:r w:rsidRPr="00460721">
        <w:rPr>
          <w:rFonts w:ascii="Book Antiqua" w:hAnsi="Book Antiqua"/>
          <w:b/>
          <w:bCs/>
        </w:rPr>
        <w:t>67</w:t>
      </w:r>
      <w:r w:rsidRPr="00460721">
        <w:rPr>
          <w:rFonts w:ascii="Book Antiqua" w:hAnsi="Book Antiqua"/>
        </w:rPr>
        <w:t>: 553-561 [PMID: 28634198 DOI: 10.1136/gutjnl-2017-313983]</w:t>
      </w:r>
    </w:p>
    <w:p w14:paraId="6A23F15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70 </w:t>
      </w:r>
      <w:r w:rsidRPr="00460721">
        <w:rPr>
          <w:rFonts w:ascii="Book Antiqua" w:hAnsi="Book Antiqua"/>
          <w:b/>
          <w:bCs/>
        </w:rPr>
        <w:t>Arase Y</w:t>
      </w:r>
      <w:r w:rsidRPr="00460721">
        <w:rPr>
          <w:rFonts w:ascii="Book Antiqua" w:hAnsi="Book Antiqua"/>
        </w:rPr>
        <w:t xml:space="preserve">, Suzuki F, Suzuki Y, Akuta N, Kobayashi M, Kawamura Y, Yatsuji H, Sezaki H, Hosaka T, Hirakawa M, Ikeda K, Kumada H. Sustained virological response reduces incidence of onset of type 2 diabetes in chronic hepatitis C. </w:t>
      </w:r>
      <w:r w:rsidRPr="00460721">
        <w:rPr>
          <w:rFonts w:ascii="Book Antiqua" w:hAnsi="Book Antiqua"/>
          <w:i/>
          <w:iCs/>
        </w:rPr>
        <w:t>Hepatology</w:t>
      </w:r>
      <w:r w:rsidRPr="00460721">
        <w:rPr>
          <w:rFonts w:ascii="Book Antiqua" w:hAnsi="Book Antiqua"/>
        </w:rPr>
        <w:t xml:space="preserve"> 2009; </w:t>
      </w:r>
      <w:r w:rsidRPr="00460721">
        <w:rPr>
          <w:rFonts w:ascii="Book Antiqua" w:hAnsi="Book Antiqua"/>
          <w:b/>
          <w:bCs/>
        </w:rPr>
        <w:t>49</w:t>
      </w:r>
      <w:r w:rsidRPr="00460721">
        <w:rPr>
          <w:rFonts w:ascii="Book Antiqua" w:hAnsi="Book Antiqua"/>
        </w:rPr>
        <w:t>: 739-744 [PMID: 19127513 DOI: 10.1002/hep.22703]</w:t>
      </w:r>
    </w:p>
    <w:p w14:paraId="7FED9D4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71 </w:t>
      </w:r>
      <w:r w:rsidRPr="00460721">
        <w:rPr>
          <w:rFonts w:ascii="Book Antiqua" w:hAnsi="Book Antiqua"/>
          <w:b/>
          <w:bCs/>
        </w:rPr>
        <w:t>Giordanino C</w:t>
      </w:r>
      <w:r w:rsidRPr="00460721">
        <w:rPr>
          <w:rFonts w:ascii="Book Antiqua" w:hAnsi="Book Antiqua"/>
        </w:rPr>
        <w:t xml:space="preserve">, Bugianesi E, Smedile A, Ciancio A, Abate ML, Olivero A, Pellicano R, Cassader M, Gambino R, Bo S, Ciccone G, Rizzetto M, Saracco G. Incidence of type 2 diabetes mellitus and glucose abnormalities in patients with chronic hepatitis C infection by response to treatment: results of a cohort study. </w:t>
      </w:r>
      <w:r w:rsidRPr="00460721">
        <w:rPr>
          <w:rFonts w:ascii="Book Antiqua" w:hAnsi="Book Antiqua"/>
          <w:i/>
          <w:iCs/>
        </w:rPr>
        <w:t>Am J Gastroenterol</w:t>
      </w:r>
      <w:r w:rsidRPr="00460721">
        <w:rPr>
          <w:rFonts w:ascii="Book Antiqua" w:hAnsi="Book Antiqua"/>
        </w:rPr>
        <w:t xml:space="preserve"> 2008; </w:t>
      </w:r>
      <w:r w:rsidRPr="00460721">
        <w:rPr>
          <w:rFonts w:ascii="Book Antiqua" w:hAnsi="Book Antiqua"/>
          <w:b/>
          <w:bCs/>
        </w:rPr>
        <w:t>103</w:t>
      </w:r>
      <w:r w:rsidRPr="00460721">
        <w:rPr>
          <w:rFonts w:ascii="Book Antiqua" w:hAnsi="Book Antiqua"/>
        </w:rPr>
        <w:t>: 2481-2487 [PMID: 18702647 DOI: 10.1111/j.1572-0241.2008.02002.x]</w:t>
      </w:r>
    </w:p>
    <w:p w14:paraId="75C86095" w14:textId="77777777" w:rsidR="00754A90" w:rsidRDefault="00460721" w:rsidP="00754A90">
      <w:pPr>
        <w:spacing w:line="360" w:lineRule="auto"/>
        <w:jc w:val="both"/>
        <w:rPr>
          <w:rFonts w:ascii="Book Antiqua" w:hAnsi="Book Antiqua"/>
        </w:rPr>
      </w:pPr>
      <w:r w:rsidRPr="00460721">
        <w:rPr>
          <w:rFonts w:ascii="Book Antiqua" w:hAnsi="Book Antiqua"/>
        </w:rPr>
        <w:t xml:space="preserve">72 </w:t>
      </w:r>
      <w:r w:rsidRPr="00460721">
        <w:rPr>
          <w:rFonts w:ascii="Book Antiqua" w:hAnsi="Book Antiqua"/>
          <w:b/>
          <w:bCs/>
        </w:rPr>
        <w:t>Leone S</w:t>
      </w:r>
      <w:r w:rsidRPr="00460721">
        <w:rPr>
          <w:rFonts w:ascii="Book Antiqua" w:hAnsi="Book Antiqua"/>
        </w:rPr>
        <w:t xml:space="preserve">, Prosperi M, Costarelli S, Nasta P, Maggiolo F, Di Giambenedetto S, Saracino A, Di Pietro M, Gori A. Incidence and predictors of cardiovascular disease, chronic kidney disease, and diabetes in HIV/HCV-coinfected patients who achieved sustained virological response. </w:t>
      </w:r>
      <w:r w:rsidRPr="00460721">
        <w:rPr>
          <w:rFonts w:ascii="Book Antiqua" w:hAnsi="Book Antiqua"/>
          <w:i/>
          <w:iCs/>
        </w:rPr>
        <w:t>Eur J Clin Microbiol Infect Dis</w:t>
      </w:r>
      <w:r w:rsidRPr="00460721">
        <w:rPr>
          <w:rFonts w:ascii="Book Antiqua" w:hAnsi="Book Antiqua"/>
        </w:rPr>
        <w:t xml:space="preserve"> 2016; </w:t>
      </w:r>
      <w:r w:rsidRPr="00460721">
        <w:rPr>
          <w:rFonts w:ascii="Book Antiqua" w:hAnsi="Book Antiqua"/>
          <w:b/>
          <w:bCs/>
        </w:rPr>
        <w:t>35</w:t>
      </w:r>
      <w:r w:rsidRPr="00460721">
        <w:rPr>
          <w:rFonts w:ascii="Book Antiqua" w:hAnsi="Book Antiqua"/>
        </w:rPr>
        <w:t>: 1511-1520 [PMID: 27272121 DOI: 10.1007/s10096-016-2692-y]</w:t>
      </w:r>
    </w:p>
    <w:p w14:paraId="574367D0" w14:textId="44156D1E" w:rsidR="00A161B9" w:rsidRPr="00754A90" w:rsidRDefault="00A161B9" w:rsidP="00754A90">
      <w:pPr>
        <w:spacing w:line="360" w:lineRule="auto"/>
        <w:jc w:val="both"/>
        <w:rPr>
          <w:rFonts w:ascii="Book Antiqua" w:hAnsi="Book Antiqua"/>
        </w:rPr>
      </w:pPr>
      <w:r w:rsidRPr="00A161B9">
        <w:rPr>
          <w:rFonts w:ascii="Book Antiqua" w:hAnsi="Book Antiqua"/>
        </w:rPr>
        <w:t xml:space="preserve">73 </w:t>
      </w:r>
      <w:r w:rsidR="00804C53" w:rsidRPr="00D2149B">
        <w:rPr>
          <w:rFonts w:ascii="Book Antiqua" w:hAnsi="Book Antiqua"/>
          <w:b/>
          <w:bCs/>
        </w:rPr>
        <w:t>Li J,</w:t>
      </w:r>
      <w:r w:rsidR="00804C53" w:rsidRPr="00804C53">
        <w:rPr>
          <w:rFonts w:ascii="Book Antiqua" w:hAnsi="Book Antiqua"/>
        </w:rPr>
        <w:t xml:space="preserve"> Zhang T, Gordon SC, Rupp LB, Trudeau S, Holmberg SD, Moorman AC, Spradling PR, Teshale EH, Boscarino JA, Schmidt MA, Daida YG, Lu M; CHeCS Investigators.</w:t>
      </w:r>
      <w:r w:rsidRPr="00A161B9">
        <w:rPr>
          <w:rFonts w:ascii="Book Antiqua" w:hAnsi="Book Antiqua"/>
        </w:rPr>
        <w:t xml:space="preserve"> Impact of sustained virologic response on risk of type 2 diabetes among hepatitis C patients in the United States. </w:t>
      </w:r>
      <w:r w:rsidRPr="00754A90">
        <w:rPr>
          <w:rFonts w:ascii="Book Antiqua" w:hAnsi="Book Antiqua"/>
          <w:i/>
          <w:iCs/>
        </w:rPr>
        <w:t>J Viral Hepat</w:t>
      </w:r>
      <w:r w:rsidRPr="00A161B9">
        <w:rPr>
          <w:rFonts w:ascii="Book Antiqua" w:hAnsi="Book Antiqua"/>
        </w:rPr>
        <w:t xml:space="preserve"> 2018;</w:t>
      </w:r>
      <w:r w:rsidR="005A05FB">
        <w:rPr>
          <w:rFonts w:ascii="Book Antiqua" w:hAnsi="Book Antiqua"/>
        </w:rPr>
        <w:t xml:space="preserve"> </w:t>
      </w:r>
      <w:r w:rsidRPr="00754A90">
        <w:rPr>
          <w:rFonts w:ascii="Book Antiqua" w:hAnsi="Book Antiqua"/>
          <w:b/>
          <w:bCs/>
        </w:rPr>
        <w:t>25</w:t>
      </w:r>
      <w:r w:rsidRPr="00A161B9">
        <w:rPr>
          <w:rFonts w:ascii="Book Antiqua" w:hAnsi="Book Antiqua"/>
        </w:rPr>
        <w:t>:</w:t>
      </w:r>
      <w:r w:rsidR="005A05FB">
        <w:rPr>
          <w:rFonts w:ascii="Book Antiqua" w:hAnsi="Book Antiqua"/>
        </w:rPr>
        <w:t xml:space="preserve"> </w:t>
      </w:r>
      <w:r w:rsidRPr="00A161B9">
        <w:rPr>
          <w:rFonts w:ascii="Book Antiqua" w:hAnsi="Book Antiqua"/>
        </w:rPr>
        <w:t>952-</w:t>
      </w:r>
      <w:r w:rsidR="00D2149B">
        <w:rPr>
          <w:rFonts w:ascii="Book Antiqua" w:hAnsi="Book Antiqua"/>
        </w:rPr>
        <w:t>95</w:t>
      </w:r>
      <w:r w:rsidRPr="00A161B9">
        <w:rPr>
          <w:rFonts w:ascii="Book Antiqua" w:hAnsi="Book Antiqua"/>
        </w:rPr>
        <w:t>8 [</w:t>
      </w:r>
      <w:r w:rsidR="00754A90">
        <w:rPr>
          <w:rFonts w:ascii="Book Antiqua" w:hAnsi="Book Antiqua"/>
        </w:rPr>
        <w:t xml:space="preserve">PMID: </w:t>
      </w:r>
      <w:r w:rsidR="00754A90" w:rsidRPr="00754A90">
        <w:rPr>
          <w:rFonts w:ascii="Book Antiqua" w:hAnsi="Book Antiqua"/>
        </w:rPr>
        <w:t xml:space="preserve">29478263 </w:t>
      </w:r>
      <w:r w:rsidRPr="00754A90">
        <w:rPr>
          <w:rFonts w:ascii="Book Antiqua" w:hAnsi="Book Antiqua"/>
        </w:rPr>
        <w:t>DOI</w:t>
      </w:r>
      <w:r w:rsidR="00754A90" w:rsidRPr="00754A90">
        <w:rPr>
          <w:rFonts w:ascii="Book Antiqua" w:hAnsi="Book Antiqua"/>
        </w:rPr>
        <w:t>:</w:t>
      </w:r>
      <w:r w:rsidRPr="00754A90">
        <w:rPr>
          <w:rFonts w:ascii="Book Antiqua" w:hAnsi="Book Antiqua"/>
        </w:rPr>
        <w:t xml:space="preserve"> 10.1111/jvh.12887]</w:t>
      </w:r>
    </w:p>
    <w:p w14:paraId="0D03607F" w14:textId="2FE29816" w:rsidR="00460721" w:rsidRPr="00460721" w:rsidRDefault="00754A90" w:rsidP="00460721">
      <w:pPr>
        <w:spacing w:line="360" w:lineRule="auto"/>
        <w:jc w:val="both"/>
        <w:rPr>
          <w:rFonts w:ascii="Book Antiqua" w:hAnsi="Book Antiqua"/>
        </w:rPr>
      </w:pPr>
      <w:r>
        <w:rPr>
          <w:rFonts w:ascii="Book Antiqua" w:hAnsi="Book Antiqua"/>
        </w:rPr>
        <w:t>74</w:t>
      </w:r>
      <w:r w:rsidR="00460721" w:rsidRPr="00460721">
        <w:rPr>
          <w:rFonts w:ascii="Book Antiqua" w:hAnsi="Book Antiqua"/>
        </w:rPr>
        <w:t xml:space="preserve"> </w:t>
      </w:r>
      <w:r w:rsidR="00460721" w:rsidRPr="00460721">
        <w:rPr>
          <w:rFonts w:ascii="Book Antiqua" w:hAnsi="Book Antiqua"/>
          <w:b/>
          <w:bCs/>
        </w:rPr>
        <w:t>Stine JG</w:t>
      </w:r>
      <w:r w:rsidR="00460721" w:rsidRPr="00460721">
        <w:rPr>
          <w:rFonts w:ascii="Book Antiqua" w:hAnsi="Book Antiqua"/>
        </w:rPr>
        <w:t xml:space="preserve">, Wynter JA, Niccum B, Kelly V, Caldwell SH, Shah NL. Effect of Treatment with Direct Acting Antiviral on Glycemic Control in Patients with Diabetes Mellitus and Chronic Hepatitis C. </w:t>
      </w:r>
      <w:r w:rsidR="00460721" w:rsidRPr="00460721">
        <w:rPr>
          <w:rFonts w:ascii="Book Antiqua" w:hAnsi="Book Antiqua"/>
          <w:i/>
          <w:iCs/>
        </w:rPr>
        <w:t>Ann Hepatol</w:t>
      </w:r>
      <w:r w:rsidR="00460721" w:rsidRPr="00460721">
        <w:rPr>
          <w:rFonts w:ascii="Book Antiqua" w:hAnsi="Book Antiqua"/>
        </w:rPr>
        <w:t xml:space="preserve"> 2017; </w:t>
      </w:r>
      <w:r w:rsidR="00460721" w:rsidRPr="00460721">
        <w:rPr>
          <w:rFonts w:ascii="Book Antiqua" w:hAnsi="Book Antiqua"/>
          <w:b/>
          <w:bCs/>
        </w:rPr>
        <w:t>16</w:t>
      </w:r>
      <w:r w:rsidR="00460721" w:rsidRPr="00460721">
        <w:rPr>
          <w:rFonts w:ascii="Book Antiqua" w:hAnsi="Book Antiqua"/>
        </w:rPr>
        <w:t>: 215-220 [PMID: 31153414 DOI: 10.5604/16652681.1231581]</w:t>
      </w:r>
    </w:p>
    <w:p w14:paraId="5599A26E" w14:textId="63DC2575" w:rsidR="00460721" w:rsidRPr="00776276" w:rsidRDefault="00460721" w:rsidP="00460721">
      <w:pPr>
        <w:spacing w:line="360" w:lineRule="auto"/>
        <w:jc w:val="both"/>
        <w:rPr>
          <w:rFonts w:ascii="Book Antiqua" w:hAnsi="Book Antiqua"/>
          <w:lang w:val="pt-BR"/>
        </w:rPr>
      </w:pPr>
      <w:r w:rsidRPr="00460721">
        <w:rPr>
          <w:rFonts w:ascii="Book Antiqua" w:hAnsi="Book Antiqua"/>
        </w:rPr>
        <w:t>7</w:t>
      </w:r>
      <w:r w:rsidR="00754A90">
        <w:rPr>
          <w:rFonts w:ascii="Book Antiqua" w:hAnsi="Book Antiqua"/>
        </w:rPr>
        <w:t>5</w:t>
      </w:r>
      <w:r w:rsidRPr="00460721">
        <w:rPr>
          <w:rFonts w:ascii="Book Antiqua" w:hAnsi="Book Antiqua"/>
        </w:rPr>
        <w:t xml:space="preserve"> </w:t>
      </w:r>
      <w:r w:rsidRPr="00460721">
        <w:rPr>
          <w:rFonts w:ascii="Book Antiqua" w:hAnsi="Book Antiqua"/>
          <w:b/>
          <w:bCs/>
        </w:rPr>
        <w:t>Abdo M</w:t>
      </w:r>
      <w:r w:rsidRPr="00460721">
        <w:rPr>
          <w:rFonts w:ascii="Book Antiqua" w:hAnsi="Book Antiqua"/>
        </w:rPr>
        <w:t xml:space="preserve">, Rabiee A, Abdellatif Z, Abdel Alem S, Moustafa A. Impact of sustained virological response on metabolic disorders in diabetic chronic hepatitis C virus patients after treatment with generic sofosbuvir and daclatasvir. </w:t>
      </w:r>
      <w:r w:rsidRPr="00776276">
        <w:rPr>
          <w:rFonts w:ascii="Book Antiqua" w:hAnsi="Book Antiqua"/>
          <w:i/>
          <w:iCs/>
          <w:lang w:val="pt-BR"/>
        </w:rPr>
        <w:t>Eur J Gastroenterol Hepatol</w:t>
      </w:r>
      <w:r w:rsidRPr="00776276">
        <w:rPr>
          <w:rFonts w:ascii="Book Antiqua" w:hAnsi="Book Antiqua"/>
          <w:lang w:val="pt-BR"/>
        </w:rPr>
        <w:t xml:space="preserve"> 2020 [PMID: 32804853 DOI: 10.1097/MEG.0000000000001903]</w:t>
      </w:r>
    </w:p>
    <w:p w14:paraId="01F93BF1" w14:textId="7B205A07" w:rsidR="00460721" w:rsidRPr="00460721" w:rsidRDefault="00460721" w:rsidP="00460721">
      <w:pPr>
        <w:spacing w:line="360" w:lineRule="auto"/>
        <w:jc w:val="both"/>
        <w:rPr>
          <w:rFonts w:ascii="Book Antiqua" w:hAnsi="Book Antiqua"/>
        </w:rPr>
      </w:pPr>
      <w:r w:rsidRPr="00776276">
        <w:rPr>
          <w:rFonts w:ascii="Book Antiqua" w:hAnsi="Book Antiqua"/>
          <w:lang w:val="pt-BR"/>
        </w:rPr>
        <w:t>7</w:t>
      </w:r>
      <w:r w:rsidR="00754A90">
        <w:rPr>
          <w:rFonts w:ascii="Book Antiqua" w:hAnsi="Book Antiqua"/>
          <w:lang w:val="pt-BR"/>
        </w:rPr>
        <w:t>6</w:t>
      </w:r>
      <w:r w:rsidRPr="00776276">
        <w:rPr>
          <w:rFonts w:ascii="Book Antiqua" w:hAnsi="Book Antiqua"/>
          <w:lang w:val="pt-BR"/>
        </w:rPr>
        <w:t xml:space="preserve"> </w:t>
      </w:r>
      <w:r w:rsidRPr="00776276">
        <w:rPr>
          <w:rFonts w:ascii="Book Antiqua" w:hAnsi="Book Antiqua"/>
          <w:b/>
          <w:bCs/>
          <w:lang w:val="pt-BR"/>
        </w:rPr>
        <w:t>Ambrosino P</w:t>
      </w:r>
      <w:r w:rsidRPr="00776276">
        <w:rPr>
          <w:rFonts w:ascii="Book Antiqua" w:hAnsi="Book Antiqua"/>
          <w:lang w:val="pt-BR"/>
        </w:rPr>
        <w:t xml:space="preserve">, Lupoli R, Di Minno A, Tarantino L, Spadarella G, Tarantino P, Nasto A, Celentano A, Di Minno MN. </w:t>
      </w:r>
      <w:r w:rsidRPr="00460721">
        <w:rPr>
          <w:rFonts w:ascii="Book Antiqua" w:hAnsi="Book Antiqua"/>
        </w:rPr>
        <w:t xml:space="preserve">The risk of coronary artery disease and cerebrovascular disease in patients with hepatitis C: A systematic review and meta-analysis. </w:t>
      </w:r>
      <w:r w:rsidRPr="00460721">
        <w:rPr>
          <w:rFonts w:ascii="Book Antiqua" w:hAnsi="Book Antiqua"/>
          <w:i/>
          <w:iCs/>
        </w:rPr>
        <w:t>Int J Cardiol</w:t>
      </w:r>
      <w:r w:rsidRPr="00460721">
        <w:rPr>
          <w:rFonts w:ascii="Book Antiqua" w:hAnsi="Book Antiqua"/>
        </w:rPr>
        <w:t xml:space="preserve"> 2016; </w:t>
      </w:r>
      <w:r w:rsidRPr="00460721">
        <w:rPr>
          <w:rFonts w:ascii="Book Antiqua" w:hAnsi="Book Antiqua"/>
          <w:b/>
          <w:bCs/>
        </w:rPr>
        <w:t>221</w:t>
      </w:r>
      <w:r w:rsidRPr="00460721">
        <w:rPr>
          <w:rFonts w:ascii="Book Antiqua" w:hAnsi="Book Antiqua"/>
        </w:rPr>
        <w:t>: 746-754 [PMID: 27428315 DOI: 10.1016/j.ijcard.2016.06.337]</w:t>
      </w:r>
    </w:p>
    <w:p w14:paraId="517D4831" w14:textId="0CE3904E" w:rsidR="00460721" w:rsidRPr="00776276" w:rsidRDefault="00460721" w:rsidP="00460721">
      <w:pPr>
        <w:spacing w:line="360" w:lineRule="auto"/>
        <w:jc w:val="both"/>
        <w:rPr>
          <w:rFonts w:ascii="Book Antiqua" w:hAnsi="Book Antiqua"/>
          <w:lang w:val="pt-BR"/>
        </w:rPr>
      </w:pPr>
      <w:r w:rsidRPr="00460721">
        <w:rPr>
          <w:rFonts w:ascii="Book Antiqua" w:hAnsi="Book Antiqua"/>
        </w:rPr>
        <w:t>7</w:t>
      </w:r>
      <w:r w:rsidR="00754A90">
        <w:rPr>
          <w:rFonts w:ascii="Book Antiqua" w:hAnsi="Book Antiqua"/>
        </w:rPr>
        <w:t>7</w:t>
      </w:r>
      <w:r w:rsidRPr="00460721">
        <w:rPr>
          <w:rFonts w:ascii="Book Antiqua" w:hAnsi="Book Antiqua"/>
        </w:rPr>
        <w:t xml:space="preserve"> </w:t>
      </w:r>
      <w:r w:rsidRPr="00460721">
        <w:rPr>
          <w:rFonts w:ascii="Book Antiqua" w:hAnsi="Book Antiqua"/>
          <w:b/>
          <w:bCs/>
        </w:rPr>
        <w:t>Petta S</w:t>
      </w:r>
      <w:r w:rsidRPr="00460721">
        <w:rPr>
          <w:rFonts w:ascii="Book Antiqua" w:hAnsi="Book Antiqua"/>
        </w:rPr>
        <w:t xml:space="preserve">, Maida M, Macaluso FS, Barbara M, Licata A, Craxì A, Cammà C. Hepatitis C Virus Infection Is Associated With Increased Cardiovascular Mortality: A Meta-Analysis of Observational Studies. </w:t>
      </w:r>
      <w:r w:rsidRPr="00776276">
        <w:rPr>
          <w:rFonts w:ascii="Book Antiqua" w:hAnsi="Book Antiqua"/>
          <w:i/>
          <w:iCs/>
          <w:lang w:val="pt-BR"/>
        </w:rPr>
        <w:t>Gastroenterology</w:t>
      </w:r>
      <w:r w:rsidRPr="00776276">
        <w:rPr>
          <w:rFonts w:ascii="Book Antiqua" w:hAnsi="Book Antiqua"/>
          <w:lang w:val="pt-BR"/>
        </w:rPr>
        <w:t xml:space="preserve"> 2016; </w:t>
      </w:r>
      <w:r w:rsidRPr="00776276">
        <w:rPr>
          <w:rFonts w:ascii="Book Antiqua" w:hAnsi="Book Antiqua"/>
          <w:b/>
          <w:bCs/>
          <w:lang w:val="pt-BR"/>
        </w:rPr>
        <w:t>150</w:t>
      </w:r>
      <w:r w:rsidRPr="00776276">
        <w:rPr>
          <w:rFonts w:ascii="Book Antiqua" w:hAnsi="Book Antiqua"/>
          <w:lang w:val="pt-BR"/>
        </w:rPr>
        <w:t>: 145-155.e4; quiz e15-6 [PMID: 26386298 DOI: 10.1053/j.gastro.2015.09.007]</w:t>
      </w:r>
    </w:p>
    <w:p w14:paraId="4E47701F" w14:textId="6C6494D5" w:rsidR="00460721" w:rsidRPr="00460721" w:rsidRDefault="00460721" w:rsidP="00460721">
      <w:pPr>
        <w:spacing w:line="360" w:lineRule="auto"/>
        <w:jc w:val="both"/>
        <w:rPr>
          <w:rFonts w:ascii="Book Antiqua" w:hAnsi="Book Antiqua"/>
        </w:rPr>
      </w:pPr>
      <w:r w:rsidRPr="00776276">
        <w:rPr>
          <w:rFonts w:ascii="Book Antiqua" w:hAnsi="Book Antiqua"/>
          <w:lang w:val="pt-BR"/>
        </w:rPr>
        <w:t>7</w:t>
      </w:r>
      <w:r w:rsidR="00754A90">
        <w:rPr>
          <w:rFonts w:ascii="Book Antiqua" w:hAnsi="Book Antiqua"/>
          <w:lang w:val="pt-BR"/>
        </w:rPr>
        <w:t>8</w:t>
      </w:r>
      <w:r w:rsidRPr="00776276">
        <w:rPr>
          <w:rFonts w:ascii="Book Antiqua" w:hAnsi="Book Antiqua"/>
          <w:lang w:val="pt-BR"/>
        </w:rPr>
        <w:t xml:space="preserve"> </w:t>
      </w:r>
      <w:r w:rsidRPr="00776276">
        <w:rPr>
          <w:rFonts w:ascii="Book Antiqua" w:hAnsi="Book Antiqua"/>
          <w:b/>
          <w:bCs/>
          <w:lang w:val="pt-BR"/>
        </w:rPr>
        <w:t>Vassalle C</w:t>
      </w:r>
      <w:r w:rsidRPr="00776276">
        <w:rPr>
          <w:rFonts w:ascii="Book Antiqua" w:hAnsi="Book Antiqua"/>
          <w:lang w:val="pt-BR"/>
        </w:rPr>
        <w:t xml:space="preserve">, Masini S, Bianchi F, Zucchelli GC. </w:t>
      </w:r>
      <w:r w:rsidRPr="00460721">
        <w:rPr>
          <w:rFonts w:ascii="Book Antiqua" w:hAnsi="Book Antiqua"/>
        </w:rPr>
        <w:t xml:space="preserve">Evidence for association between hepatitis C virus seropositivity and coronary artery disease. </w:t>
      </w:r>
      <w:r w:rsidRPr="00460721">
        <w:rPr>
          <w:rFonts w:ascii="Book Antiqua" w:hAnsi="Book Antiqua"/>
          <w:i/>
          <w:iCs/>
        </w:rPr>
        <w:t>Heart</w:t>
      </w:r>
      <w:r w:rsidRPr="00460721">
        <w:rPr>
          <w:rFonts w:ascii="Book Antiqua" w:hAnsi="Book Antiqua"/>
        </w:rPr>
        <w:t xml:space="preserve"> 2004; </w:t>
      </w:r>
      <w:r w:rsidRPr="00460721">
        <w:rPr>
          <w:rFonts w:ascii="Book Antiqua" w:hAnsi="Book Antiqua"/>
          <w:b/>
          <w:bCs/>
        </w:rPr>
        <w:t>90</w:t>
      </w:r>
      <w:r w:rsidRPr="00460721">
        <w:rPr>
          <w:rFonts w:ascii="Book Antiqua" w:hAnsi="Book Antiqua"/>
        </w:rPr>
        <w:t>: 565-566 [PMID: 15084562 DOI: 10.1136/hrt.2003.018937]</w:t>
      </w:r>
    </w:p>
    <w:p w14:paraId="25A52A75" w14:textId="54CDBF51" w:rsidR="00460721" w:rsidRPr="00460721" w:rsidRDefault="00460721" w:rsidP="00460721">
      <w:pPr>
        <w:spacing w:line="360" w:lineRule="auto"/>
        <w:jc w:val="both"/>
        <w:rPr>
          <w:rFonts w:ascii="Book Antiqua" w:hAnsi="Book Antiqua"/>
        </w:rPr>
      </w:pPr>
      <w:r w:rsidRPr="00460721">
        <w:rPr>
          <w:rFonts w:ascii="Book Antiqua" w:hAnsi="Book Antiqua"/>
        </w:rPr>
        <w:t>7</w:t>
      </w:r>
      <w:r w:rsidR="00754A90">
        <w:rPr>
          <w:rFonts w:ascii="Book Antiqua" w:hAnsi="Book Antiqua"/>
        </w:rPr>
        <w:t>9</w:t>
      </w:r>
      <w:r w:rsidRPr="00460721">
        <w:rPr>
          <w:rFonts w:ascii="Book Antiqua" w:hAnsi="Book Antiqua"/>
        </w:rPr>
        <w:t xml:space="preserve"> </w:t>
      </w:r>
      <w:r w:rsidRPr="00460721">
        <w:rPr>
          <w:rFonts w:ascii="Book Antiqua" w:hAnsi="Book Antiqua"/>
          <w:b/>
          <w:bCs/>
        </w:rPr>
        <w:t>Sawayama Y</w:t>
      </w:r>
      <w:r w:rsidRPr="00460721">
        <w:rPr>
          <w:rFonts w:ascii="Book Antiqua" w:hAnsi="Book Antiqua"/>
        </w:rPr>
        <w:t xml:space="preserve">, Okada K, Maeda S, Ohnishi H, Furusyo N, Hayashi J. Both hepatitis C virus and Chlamydia pneumoniae infection are related to the progression of carotid atherosclerosis in patients undergoing lipid lowering therapy. </w:t>
      </w:r>
      <w:r w:rsidRPr="00460721">
        <w:rPr>
          <w:rFonts w:ascii="Book Antiqua" w:hAnsi="Book Antiqua"/>
          <w:i/>
          <w:iCs/>
        </w:rPr>
        <w:t>Fukuoka Igaku Zasshi</w:t>
      </w:r>
      <w:r w:rsidRPr="00460721">
        <w:rPr>
          <w:rFonts w:ascii="Book Antiqua" w:hAnsi="Book Antiqua"/>
        </w:rPr>
        <w:t xml:space="preserve"> 2006; </w:t>
      </w:r>
      <w:r w:rsidRPr="00460721">
        <w:rPr>
          <w:rFonts w:ascii="Book Antiqua" w:hAnsi="Book Antiqua"/>
          <w:b/>
          <w:bCs/>
        </w:rPr>
        <w:t>97</w:t>
      </w:r>
      <w:r w:rsidRPr="00460721">
        <w:rPr>
          <w:rFonts w:ascii="Book Antiqua" w:hAnsi="Book Antiqua"/>
        </w:rPr>
        <w:t>: 245-255 [PMID: 17087362]</w:t>
      </w:r>
    </w:p>
    <w:p w14:paraId="4C5A9223" w14:textId="7D73CB9F" w:rsidR="00460721" w:rsidRPr="00F11748" w:rsidRDefault="00754A90" w:rsidP="00460721">
      <w:pPr>
        <w:spacing w:line="360" w:lineRule="auto"/>
        <w:jc w:val="both"/>
        <w:rPr>
          <w:rFonts w:ascii="Book Antiqua" w:hAnsi="Book Antiqua"/>
          <w:lang w:val="it-IT"/>
        </w:rPr>
      </w:pPr>
      <w:r>
        <w:rPr>
          <w:rFonts w:ascii="Book Antiqua" w:hAnsi="Book Antiqua"/>
        </w:rPr>
        <w:t>80</w:t>
      </w:r>
      <w:r w:rsidR="00460721" w:rsidRPr="00460721">
        <w:rPr>
          <w:rFonts w:ascii="Book Antiqua" w:hAnsi="Book Antiqua"/>
        </w:rPr>
        <w:t xml:space="preserve"> </w:t>
      </w:r>
      <w:r w:rsidR="00460721" w:rsidRPr="00460721">
        <w:rPr>
          <w:rFonts w:ascii="Book Antiqua" w:hAnsi="Book Antiqua"/>
          <w:b/>
          <w:bCs/>
        </w:rPr>
        <w:t>Adinolfi LE</w:t>
      </w:r>
      <w:r w:rsidR="00460721" w:rsidRPr="00460721">
        <w:rPr>
          <w:rFonts w:ascii="Book Antiqua" w:hAnsi="Book Antiqua"/>
        </w:rPr>
        <w:t xml:space="preserve">, Zampino R, Restivo L, Lonardo A, Guerrera B, Marrone A, Nascimbeni F, Florio A, Loria P. Chronic hepatitis C virus infection and atherosclerosis: clinical impact and mechanisms. </w:t>
      </w:r>
      <w:r w:rsidR="00460721" w:rsidRPr="00F11748">
        <w:rPr>
          <w:rFonts w:ascii="Book Antiqua" w:hAnsi="Book Antiqua"/>
          <w:i/>
          <w:iCs/>
          <w:lang w:val="it-IT"/>
        </w:rPr>
        <w:t>World J Gastroenterol</w:t>
      </w:r>
      <w:r w:rsidR="00460721" w:rsidRPr="00F11748">
        <w:rPr>
          <w:rFonts w:ascii="Book Antiqua" w:hAnsi="Book Antiqua"/>
          <w:lang w:val="it-IT"/>
        </w:rPr>
        <w:t xml:space="preserve"> 2014; </w:t>
      </w:r>
      <w:r w:rsidR="00460721" w:rsidRPr="00F11748">
        <w:rPr>
          <w:rFonts w:ascii="Book Antiqua" w:hAnsi="Book Antiqua"/>
          <w:b/>
          <w:bCs/>
          <w:lang w:val="it-IT"/>
        </w:rPr>
        <w:t>20</w:t>
      </w:r>
      <w:r w:rsidR="00460721" w:rsidRPr="00F11748">
        <w:rPr>
          <w:rFonts w:ascii="Book Antiqua" w:hAnsi="Book Antiqua"/>
          <w:lang w:val="it-IT"/>
        </w:rPr>
        <w:t>: 3410-3417 [PMID: 24707124 DOI: 10.3748/wjg.v20.i13.3410]</w:t>
      </w:r>
    </w:p>
    <w:p w14:paraId="49A51511" w14:textId="124508AE" w:rsidR="00460721" w:rsidRPr="00460721" w:rsidRDefault="00460721" w:rsidP="00460721">
      <w:pPr>
        <w:spacing w:line="360" w:lineRule="auto"/>
        <w:jc w:val="both"/>
        <w:rPr>
          <w:rFonts w:ascii="Book Antiqua" w:hAnsi="Book Antiqua"/>
        </w:rPr>
      </w:pPr>
      <w:r w:rsidRPr="00F11748">
        <w:rPr>
          <w:rFonts w:ascii="Book Antiqua" w:hAnsi="Book Antiqua"/>
          <w:lang w:val="it-IT"/>
        </w:rPr>
        <w:t>8</w:t>
      </w:r>
      <w:r w:rsidR="00754A90" w:rsidRPr="00F11748">
        <w:rPr>
          <w:rFonts w:ascii="Book Antiqua" w:hAnsi="Book Antiqua"/>
          <w:lang w:val="it-IT"/>
        </w:rPr>
        <w:t>1</w:t>
      </w:r>
      <w:r w:rsidRPr="00F11748">
        <w:rPr>
          <w:rFonts w:ascii="Book Antiqua" w:hAnsi="Book Antiqua"/>
          <w:lang w:val="it-IT"/>
        </w:rPr>
        <w:t xml:space="preserve"> </w:t>
      </w:r>
      <w:r w:rsidRPr="00F11748">
        <w:rPr>
          <w:rFonts w:ascii="Book Antiqua" w:hAnsi="Book Antiqua"/>
          <w:b/>
          <w:bCs/>
          <w:lang w:val="it-IT"/>
        </w:rPr>
        <w:t>Boddi M</w:t>
      </w:r>
      <w:r w:rsidRPr="00F11748">
        <w:rPr>
          <w:rFonts w:ascii="Book Antiqua" w:hAnsi="Book Antiqua"/>
          <w:lang w:val="it-IT"/>
        </w:rPr>
        <w:t xml:space="preserve">, Abbate R, Chellini B, Giusti B, Giannini C, Pratesi G, Rossi L, Pratesi C, Gensini GF, Paperetti L, Zignego AL. </w:t>
      </w:r>
      <w:r w:rsidRPr="00460721">
        <w:rPr>
          <w:rFonts w:ascii="Book Antiqua" w:hAnsi="Book Antiqua"/>
        </w:rPr>
        <w:t xml:space="preserve">Hepatitis C virus RNA localization in human carotid plaques. </w:t>
      </w:r>
      <w:r w:rsidRPr="00460721">
        <w:rPr>
          <w:rFonts w:ascii="Book Antiqua" w:hAnsi="Book Antiqua"/>
          <w:i/>
          <w:iCs/>
        </w:rPr>
        <w:t>J Clin Virol</w:t>
      </w:r>
      <w:r w:rsidRPr="00460721">
        <w:rPr>
          <w:rFonts w:ascii="Book Antiqua" w:hAnsi="Book Antiqua"/>
        </w:rPr>
        <w:t xml:space="preserve"> 2010; </w:t>
      </w:r>
      <w:r w:rsidRPr="00460721">
        <w:rPr>
          <w:rFonts w:ascii="Book Antiqua" w:hAnsi="Book Antiqua"/>
          <w:b/>
          <w:bCs/>
        </w:rPr>
        <w:t>47</w:t>
      </w:r>
      <w:r w:rsidRPr="00460721">
        <w:rPr>
          <w:rFonts w:ascii="Book Antiqua" w:hAnsi="Book Antiqua"/>
        </w:rPr>
        <w:t>: 72-75 [PMID: 19896417 DOI: 10.1016/j.jcv.2009.10.005]</w:t>
      </w:r>
    </w:p>
    <w:p w14:paraId="5D260A89" w14:textId="4D6F5039" w:rsidR="00460721" w:rsidRPr="00460721" w:rsidRDefault="00460721" w:rsidP="00460721">
      <w:pPr>
        <w:spacing w:line="360" w:lineRule="auto"/>
        <w:jc w:val="both"/>
        <w:rPr>
          <w:rFonts w:ascii="Book Antiqua" w:hAnsi="Book Antiqua"/>
        </w:rPr>
      </w:pPr>
      <w:r w:rsidRPr="00460721">
        <w:rPr>
          <w:rFonts w:ascii="Book Antiqua" w:hAnsi="Book Antiqua"/>
        </w:rPr>
        <w:t>8</w:t>
      </w:r>
      <w:r w:rsidR="00754A90">
        <w:rPr>
          <w:rFonts w:ascii="Book Antiqua" w:hAnsi="Book Antiqua"/>
        </w:rPr>
        <w:t>2</w:t>
      </w:r>
      <w:r w:rsidRPr="00460721">
        <w:rPr>
          <w:rFonts w:ascii="Book Antiqua" w:hAnsi="Book Antiqua"/>
        </w:rPr>
        <w:t xml:space="preserve"> </w:t>
      </w:r>
      <w:r w:rsidRPr="00460721">
        <w:rPr>
          <w:rFonts w:ascii="Book Antiqua" w:hAnsi="Book Antiqua"/>
          <w:b/>
          <w:bCs/>
        </w:rPr>
        <w:t>Mehta SH</w:t>
      </w:r>
      <w:r w:rsidRPr="00460721">
        <w:rPr>
          <w:rFonts w:ascii="Book Antiqua" w:hAnsi="Book Antiqua"/>
        </w:rPr>
        <w:t xml:space="preserve">, Brancati FL, Sulkowski MS, Strathdee SA, Szklo M, Thomas DL. Prevalence of type 2 diabetes mellitus among persons with hepatitis C virus infection in the United States. </w:t>
      </w:r>
      <w:r w:rsidRPr="00460721">
        <w:rPr>
          <w:rFonts w:ascii="Book Antiqua" w:hAnsi="Book Antiqua"/>
          <w:i/>
          <w:iCs/>
        </w:rPr>
        <w:t>Ann Intern Med</w:t>
      </w:r>
      <w:r w:rsidRPr="00460721">
        <w:rPr>
          <w:rFonts w:ascii="Book Antiqua" w:hAnsi="Book Antiqua"/>
        </w:rPr>
        <w:t xml:space="preserve"> 2000; </w:t>
      </w:r>
      <w:r w:rsidRPr="00460721">
        <w:rPr>
          <w:rFonts w:ascii="Book Antiqua" w:hAnsi="Book Antiqua"/>
          <w:b/>
          <w:bCs/>
        </w:rPr>
        <w:t>133</w:t>
      </w:r>
      <w:r w:rsidRPr="00460721">
        <w:rPr>
          <w:rFonts w:ascii="Book Antiqua" w:hAnsi="Book Antiqua"/>
        </w:rPr>
        <w:t>: 592-599 [PMID: 11033586 DOI: 10.7326/0003-4819-133-8-200010170-00009]</w:t>
      </w:r>
    </w:p>
    <w:p w14:paraId="176F100D" w14:textId="60F8ABD5" w:rsidR="00460721" w:rsidRPr="00460721" w:rsidRDefault="00460721" w:rsidP="00460721">
      <w:pPr>
        <w:spacing w:line="360" w:lineRule="auto"/>
        <w:jc w:val="both"/>
        <w:rPr>
          <w:rFonts w:ascii="Book Antiqua" w:hAnsi="Book Antiqua"/>
        </w:rPr>
      </w:pPr>
      <w:r w:rsidRPr="00460721">
        <w:rPr>
          <w:rFonts w:ascii="Book Antiqua" w:hAnsi="Book Antiqua"/>
        </w:rPr>
        <w:t>8</w:t>
      </w:r>
      <w:r w:rsidR="00754A90">
        <w:rPr>
          <w:rFonts w:ascii="Book Antiqua" w:hAnsi="Book Antiqua"/>
        </w:rPr>
        <w:t>3</w:t>
      </w:r>
      <w:r w:rsidRPr="00460721">
        <w:rPr>
          <w:rFonts w:ascii="Book Antiqua" w:hAnsi="Book Antiqua"/>
        </w:rPr>
        <w:t xml:space="preserve"> </w:t>
      </w:r>
      <w:r w:rsidRPr="00460721">
        <w:rPr>
          <w:rFonts w:ascii="Book Antiqua" w:hAnsi="Book Antiqua"/>
          <w:b/>
          <w:bCs/>
        </w:rPr>
        <w:t>Butt AA</w:t>
      </w:r>
      <w:r w:rsidRPr="00460721">
        <w:rPr>
          <w:rFonts w:ascii="Book Antiqua" w:hAnsi="Book Antiqua"/>
        </w:rPr>
        <w:t xml:space="preserve">, Fultz SL, Kwoh CK, Kelley D, Skanderson M, Justice AC. Risk of diabetes in HIV infected veterans pre- and post-HAART and the role of HCV coinfection. </w:t>
      </w:r>
      <w:r w:rsidRPr="00460721">
        <w:rPr>
          <w:rFonts w:ascii="Book Antiqua" w:hAnsi="Book Antiqua"/>
          <w:i/>
          <w:iCs/>
        </w:rPr>
        <w:t>Hepatology</w:t>
      </w:r>
      <w:r w:rsidRPr="00460721">
        <w:rPr>
          <w:rFonts w:ascii="Book Antiqua" w:hAnsi="Book Antiqua"/>
        </w:rPr>
        <w:t xml:space="preserve"> 2004; </w:t>
      </w:r>
      <w:r w:rsidRPr="00460721">
        <w:rPr>
          <w:rFonts w:ascii="Book Antiqua" w:hAnsi="Book Antiqua"/>
          <w:b/>
          <w:bCs/>
        </w:rPr>
        <w:t>40</w:t>
      </w:r>
      <w:r w:rsidRPr="00460721">
        <w:rPr>
          <w:rFonts w:ascii="Book Antiqua" w:hAnsi="Book Antiqua"/>
        </w:rPr>
        <w:t>: 115-119 [PMID: 15239093 DOI: 10.1002/hep.20289]</w:t>
      </w:r>
    </w:p>
    <w:p w14:paraId="1AC773E1" w14:textId="26F9A247" w:rsidR="00460721" w:rsidRPr="00776276" w:rsidRDefault="00460721" w:rsidP="00460721">
      <w:pPr>
        <w:spacing w:line="360" w:lineRule="auto"/>
        <w:jc w:val="both"/>
        <w:rPr>
          <w:rFonts w:ascii="Book Antiqua" w:hAnsi="Book Antiqua"/>
          <w:lang w:val="pt-BR"/>
        </w:rPr>
      </w:pPr>
      <w:r w:rsidRPr="00460721">
        <w:rPr>
          <w:rFonts w:ascii="Book Antiqua" w:hAnsi="Book Antiqua"/>
        </w:rPr>
        <w:t>8</w:t>
      </w:r>
      <w:r w:rsidR="00754A90">
        <w:rPr>
          <w:rFonts w:ascii="Book Antiqua" w:hAnsi="Book Antiqua"/>
        </w:rPr>
        <w:t>4</w:t>
      </w:r>
      <w:r w:rsidRPr="00460721">
        <w:rPr>
          <w:rFonts w:ascii="Book Antiqua" w:hAnsi="Book Antiqua"/>
        </w:rPr>
        <w:t xml:space="preserve"> </w:t>
      </w:r>
      <w:r w:rsidRPr="00460721">
        <w:rPr>
          <w:rFonts w:ascii="Book Antiqua" w:hAnsi="Book Antiqua"/>
          <w:b/>
          <w:bCs/>
        </w:rPr>
        <w:t>Shaheen M</w:t>
      </w:r>
      <w:r w:rsidRPr="00460721">
        <w:rPr>
          <w:rFonts w:ascii="Book Antiqua" w:hAnsi="Book Antiqua"/>
        </w:rPr>
        <w:t xml:space="preserve">, Echeverry D, Oblad MG, Montoya MI, Teklehaimanot S, Akhtar AJ. Hepatitis C, metabolic syndrome, and inflammatory markers: results from the Third National Health and Nutrition Examination Survey [NHANES III]. </w:t>
      </w:r>
      <w:r w:rsidRPr="00776276">
        <w:rPr>
          <w:rFonts w:ascii="Book Antiqua" w:hAnsi="Book Antiqua"/>
          <w:i/>
          <w:iCs/>
          <w:lang w:val="pt-BR"/>
        </w:rPr>
        <w:t>Diabetes Res Clin Pract</w:t>
      </w:r>
      <w:r w:rsidRPr="00776276">
        <w:rPr>
          <w:rFonts w:ascii="Book Antiqua" w:hAnsi="Book Antiqua"/>
          <w:lang w:val="pt-BR"/>
        </w:rPr>
        <w:t xml:space="preserve"> 2007; </w:t>
      </w:r>
      <w:r w:rsidRPr="00776276">
        <w:rPr>
          <w:rFonts w:ascii="Book Antiqua" w:hAnsi="Book Antiqua"/>
          <w:b/>
          <w:bCs/>
          <w:lang w:val="pt-BR"/>
        </w:rPr>
        <w:t>75</w:t>
      </w:r>
      <w:r w:rsidRPr="00776276">
        <w:rPr>
          <w:rFonts w:ascii="Book Antiqua" w:hAnsi="Book Antiqua"/>
          <w:lang w:val="pt-BR"/>
        </w:rPr>
        <w:t>: 320-326 [PMID: 16919355 DOI: 10.1016/j.diabres.2006.07.008]</w:t>
      </w:r>
    </w:p>
    <w:p w14:paraId="70B53835" w14:textId="24FDF602" w:rsidR="00460721" w:rsidRPr="00460721" w:rsidRDefault="00460721" w:rsidP="00460721">
      <w:pPr>
        <w:spacing w:line="360" w:lineRule="auto"/>
        <w:jc w:val="both"/>
        <w:rPr>
          <w:rFonts w:ascii="Book Antiqua" w:hAnsi="Book Antiqua"/>
        </w:rPr>
      </w:pPr>
      <w:r w:rsidRPr="00776276">
        <w:rPr>
          <w:rFonts w:ascii="Book Antiqua" w:hAnsi="Book Antiqua"/>
          <w:lang w:val="pt-BR"/>
        </w:rPr>
        <w:t>8</w:t>
      </w:r>
      <w:r w:rsidR="00754A90">
        <w:rPr>
          <w:rFonts w:ascii="Book Antiqua" w:hAnsi="Book Antiqua"/>
          <w:lang w:val="pt-BR"/>
        </w:rPr>
        <w:t>5</w:t>
      </w:r>
      <w:r w:rsidRPr="00776276">
        <w:rPr>
          <w:rFonts w:ascii="Book Antiqua" w:hAnsi="Book Antiqua"/>
          <w:lang w:val="pt-BR"/>
        </w:rPr>
        <w:t xml:space="preserve"> </w:t>
      </w:r>
      <w:r w:rsidRPr="00776276">
        <w:rPr>
          <w:rFonts w:ascii="Book Antiqua" w:hAnsi="Book Antiqua"/>
          <w:b/>
          <w:bCs/>
          <w:lang w:val="pt-BR"/>
        </w:rPr>
        <w:t>Arcari CM</w:t>
      </w:r>
      <w:r w:rsidRPr="00776276">
        <w:rPr>
          <w:rFonts w:ascii="Book Antiqua" w:hAnsi="Book Antiqua"/>
          <w:lang w:val="pt-BR"/>
        </w:rPr>
        <w:t xml:space="preserve">, Nelson KE, Netski DM, Nieto FJ, Gaydos CA. </w:t>
      </w:r>
      <w:r w:rsidRPr="00460721">
        <w:rPr>
          <w:rFonts w:ascii="Book Antiqua" w:hAnsi="Book Antiqua"/>
        </w:rPr>
        <w:t xml:space="preserve">No association between hepatitis C virus seropositivity and acute myocardial infarction. </w:t>
      </w:r>
      <w:r w:rsidRPr="00460721">
        <w:rPr>
          <w:rFonts w:ascii="Book Antiqua" w:hAnsi="Book Antiqua"/>
          <w:i/>
          <w:iCs/>
        </w:rPr>
        <w:t>Clin Infect Dis</w:t>
      </w:r>
      <w:r w:rsidRPr="00460721">
        <w:rPr>
          <w:rFonts w:ascii="Book Antiqua" w:hAnsi="Book Antiqua"/>
        </w:rPr>
        <w:t xml:space="preserve"> 2006; </w:t>
      </w:r>
      <w:r w:rsidRPr="00460721">
        <w:rPr>
          <w:rFonts w:ascii="Book Antiqua" w:hAnsi="Book Antiqua"/>
          <w:b/>
          <w:bCs/>
        </w:rPr>
        <w:t>43</w:t>
      </w:r>
      <w:r w:rsidRPr="00460721">
        <w:rPr>
          <w:rFonts w:ascii="Book Antiqua" w:hAnsi="Book Antiqua"/>
        </w:rPr>
        <w:t>: e53-e56 [PMID: 16912934 DOI: 10.1086/507031]</w:t>
      </w:r>
    </w:p>
    <w:p w14:paraId="733A2F4E" w14:textId="1755E85A" w:rsidR="00460721" w:rsidRPr="00460721" w:rsidRDefault="00460721" w:rsidP="00460721">
      <w:pPr>
        <w:spacing w:line="360" w:lineRule="auto"/>
        <w:jc w:val="both"/>
        <w:rPr>
          <w:rFonts w:ascii="Book Antiqua" w:hAnsi="Book Antiqua"/>
        </w:rPr>
      </w:pPr>
      <w:r w:rsidRPr="00460721">
        <w:rPr>
          <w:rFonts w:ascii="Book Antiqua" w:hAnsi="Book Antiqua"/>
        </w:rPr>
        <w:t>8</w:t>
      </w:r>
      <w:r w:rsidR="00754A90">
        <w:rPr>
          <w:rFonts w:ascii="Book Antiqua" w:hAnsi="Book Antiqua"/>
        </w:rPr>
        <w:t>6</w:t>
      </w:r>
      <w:r w:rsidRPr="00460721">
        <w:rPr>
          <w:rFonts w:ascii="Book Antiqua" w:hAnsi="Book Antiqua"/>
        </w:rPr>
        <w:t xml:space="preserve"> </w:t>
      </w:r>
      <w:r w:rsidRPr="00460721">
        <w:rPr>
          <w:rFonts w:ascii="Book Antiqua" w:hAnsi="Book Antiqua"/>
          <w:b/>
          <w:bCs/>
        </w:rPr>
        <w:t>Völzke H</w:t>
      </w:r>
      <w:r w:rsidRPr="00460721">
        <w:rPr>
          <w:rFonts w:ascii="Book Antiqua" w:hAnsi="Book Antiqua"/>
        </w:rPr>
        <w:t xml:space="preserve">, Schwahn C, Wolff B, Mentel R, Robinson DM, Kleine V, Felix SB, John U. Hepatitis B and C virus infection and the risk of atherosclerosis in a general population. </w:t>
      </w:r>
      <w:r w:rsidRPr="00460721">
        <w:rPr>
          <w:rFonts w:ascii="Book Antiqua" w:hAnsi="Book Antiqua"/>
          <w:i/>
          <w:iCs/>
        </w:rPr>
        <w:t>Atherosclerosis</w:t>
      </w:r>
      <w:r w:rsidRPr="00460721">
        <w:rPr>
          <w:rFonts w:ascii="Book Antiqua" w:hAnsi="Book Antiqua"/>
        </w:rPr>
        <w:t xml:space="preserve"> 2004; </w:t>
      </w:r>
      <w:r w:rsidRPr="00460721">
        <w:rPr>
          <w:rFonts w:ascii="Book Antiqua" w:hAnsi="Book Antiqua"/>
          <w:b/>
          <w:bCs/>
        </w:rPr>
        <w:t>174</w:t>
      </w:r>
      <w:r w:rsidRPr="00460721">
        <w:rPr>
          <w:rFonts w:ascii="Book Antiqua" w:hAnsi="Book Antiqua"/>
        </w:rPr>
        <w:t>: 99-103 [PMID: 15135257 DOI: 10.1016/j.atherosclerosis.2004.01.010]</w:t>
      </w:r>
    </w:p>
    <w:p w14:paraId="1A35AC77" w14:textId="61409C80" w:rsidR="00460721" w:rsidRPr="00460721" w:rsidRDefault="00460721" w:rsidP="00460721">
      <w:pPr>
        <w:spacing w:line="360" w:lineRule="auto"/>
        <w:jc w:val="both"/>
        <w:rPr>
          <w:rFonts w:ascii="Book Antiqua" w:hAnsi="Book Antiqua"/>
        </w:rPr>
      </w:pPr>
      <w:r w:rsidRPr="00460721">
        <w:rPr>
          <w:rFonts w:ascii="Book Antiqua" w:hAnsi="Book Antiqua"/>
        </w:rPr>
        <w:t>8</w:t>
      </w:r>
      <w:r w:rsidR="009F3645">
        <w:rPr>
          <w:rFonts w:ascii="Book Antiqua" w:hAnsi="Book Antiqua"/>
        </w:rPr>
        <w:t>7</w:t>
      </w:r>
      <w:r w:rsidRPr="00460721">
        <w:rPr>
          <w:rFonts w:ascii="Book Antiqua" w:hAnsi="Book Antiqua"/>
        </w:rPr>
        <w:t xml:space="preserve"> </w:t>
      </w:r>
      <w:r w:rsidRPr="00460721">
        <w:rPr>
          <w:rFonts w:ascii="Book Antiqua" w:hAnsi="Book Antiqua"/>
          <w:b/>
          <w:bCs/>
        </w:rPr>
        <w:t>Butt AA</w:t>
      </w:r>
      <w:r w:rsidRPr="00460721">
        <w:rPr>
          <w:rFonts w:ascii="Book Antiqua" w:hAnsi="Book Antiqua"/>
        </w:rPr>
        <w:t xml:space="preserve">, Yan P, Shuaib A, Abou-Samra AB, Shaikh OS, Freiberg MS. Direct-Acting Antiviral Therapy for HCV Infection Is Associated With a Reduced Risk of Cardiovascular Disease Events. </w:t>
      </w:r>
      <w:r w:rsidRPr="00460721">
        <w:rPr>
          <w:rFonts w:ascii="Book Antiqua" w:hAnsi="Book Antiqua"/>
          <w:i/>
          <w:iCs/>
        </w:rPr>
        <w:t>Gastroenterology</w:t>
      </w:r>
      <w:r w:rsidRPr="00460721">
        <w:rPr>
          <w:rFonts w:ascii="Book Antiqua" w:hAnsi="Book Antiqua"/>
        </w:rPr>
        <w:t xml:space="preserve"> 2019; </w:t>
      </w:r>
      <w:r w:rsidRPr="00460721">
        <w:rPr>
          <w:rFonts w:ascii="Book Antiqua" w:hAnsi="Book Antiqua"/>
          <w:b/>
          <w:bCs/>
        </w:rPr>
        <w:t>156</w:t>
      </w:r>
      <w:r w:rsidRPr="00460721">
        <w:rPr>
          <w:rFonts w:ascii="Book Antiqua" w:hAnsi="Book Antiqua"/>
        </w:rPr>
        <w:t>: 987-996.e8 [PMID: 30445009 DOI: 10.1053/j.gastro.2018.11.022]</w:t>
      </w:r>
    </w:p>
    <w:p w14:paraId="003263BD" w14:textId="77777777" w:rsidR="009F3645" w:rsidRDefault="00460721" w:rsidP="009F3645">
      <w:pPr>
        <w:spacing w:line="360" w:lineRule="auto"/>
        <w:jc w:val="both"/>
        <w:rPr>
          <w:rFonts w:ascii="Book Antiqua" w:hAnsi="Book Antiqua"/>
        </w:rPr>
      </w:pPr>
      <w:r w:rsidRPr="00460721">
        <w:rPr>
          <w:rFonts w:ascii="Book Antiqua" w:hAnsi="Book Antiqua"/>
        </w:rPr>
        <w:t>8</w:t>
      </w:r>
      <w:r w:rsidR="009F3645">
        <w:rPr>
          <w:rFonts w:ascii="Book Antiqua" w:hAnsi="Book Antiqua"/>
        </w:rPr>
        <w:t>8</w:t>
      </w:r>
      <w:r w:rsidRPr="00460721">
        <w:rPr>
          <w:rFonts w:ascii="Book Antiqua" w:hAnsi="Book Antiqua"/>
        </w:rPr>
        <w:t xml:space="preserve"> </w:t>
      </w:r>
      <w:r w:rsidRPr="00460721">
        <w:rPr>
          <w:rFonts w:ascii="Book Antiqua" w:hAnsi="Book Antiqua"/>
          <w:b/>
          <w:bCs/>
        </w:rPr>
        <w:t>Hsu YC</w:t>
      </w:r>
      <w:r w:rsidRPr="00460721">
        <w:rPr>
          <w:rFonts w:ascii="Book Antiqua" w:hAnsi="Book Antiqua"/>
        </w:rPr>
        <w:t xml:space="preserve">, Ho HJ, Huang YT, Wang HH, Wu MS, Lin JT, Wu CY. Association between antiviral treatment and extrahepatic outcomes in patients with hepatitis C virus infection. </w:t>
      </w:r>
      <w:r w:rsidRPr="00460721">
        <w:rPr>
          <w:rFonts w:ascii="Book Antiqua" w:hAnsi="Book Antiqua"/>
          <w:i/>
          <w:iCs/>
        </w:rPr>
        <w:t>Gut</w:t>
      </w:r>
      <w:r w:rsidRPr="00460721">
        <w:rPr>
          <w:rFonts w:ascii="Book Antiqua" w:hAnsi="Book Antiqua"/>
        </w:rPr>
        <w:t xml:space="preserve"> 2015; </w:t>
      </w:r>
      <w:r w:rsidRPr="00460721">
        <w:rPr>
          <w:rFonts w:ascii="Book Antiqua" w:hAnsi="Book Antiqua"/>
          <w:b/>
          <w:bCs/>
        </w:rPr>
        <w:t>64</w:t>
      </w:r>
      <w:r w:rsidRPr="00460721">
        <w:rPr>
          <w:rFonts w:ascii="Book Antiqua" w:hAnsi="Book Antiqua"/>
        </w:rPr>
        <w:t>: 495-503 [PMID: 25398770 DOI: 10.1136/gutjnl-2014-308163]</w:t>
      </w:r>
    </w:p>
    <w:p w14:paraId="58C3B497" w14:textId="7E550AD5" w:rsidR="009F3645" w:rsidRDefault="009F3645" w:rsidP="009F3645">
      <w:pPr>
        <w:spacing w:line="360" w:lineRule="auto"/>
        <w:jc w:val="both"/>
        <w:rPr>
          <w:rFonts w:ascii="Book Antiqua" w:hAnsi="Book Antiqua"/>
        </w:rPr>
      </w:pPr>
      <w:r w:rsidRPr="009F3645">
        <w:rPr>
          <w:rFonts w:ascii="Book Antiqua" w:hAnsi="Book Antiqua"/>
        </w:rPr>
        <w:t>89</w:t>
      </w:r>
      <w:r w:rsidRPr="0066588C">
        <w:rPr>
          <w:rFonts w:ascii="Book Antiqua" w:hAnsi="Book Antiqua"/>
        </w:rPr>
        <w:t xml:space="preserve"> </w:t>
      </w:r>
      <w:r w:rsidR="0066588C" w:rsidRPr="0066588C">
        <w:rPr>
          <w:rFonts w:ascii="Book Antiqua" w:hAnsi="Book Antiqua"/>
          <w:b/>
          <w:bCs/>
        </w:rPr>
        <w:t xml:space="preserve">Innes HA, </w:t>
      </w:r>
      <w:r w:rsidR="0066588C" w:rsidRPr="0066588C">
        <w:rPr>
          <w:rFonts w:ascii="Book Antiqua" w:hAnsi="Book Antiqua"/>
        </w:rPr>
        <w:t xml:space="preserve">McDonald SA, Dillon JF, Allen S, Hayes PC, Goldberg D, Mills PR, Barclay ST, Wilks D, Valerio H, Fox R, Bhattacharyya D, Kennedy N, Morris J, Fraser A, Stanley AJ, Bramley P, Hutchinson SJ. </w:t>
      </w:r>
      <w:r w:rsidRPr="009F3645">
        <w:rPr>
          <w:rFonts w:ascii="Book Antiqua" w:hAnsi="Book Antiqua"/>
        </w:rPr>
        <w:t xml:space="preserve">Toward a more complete understanding of the association between a hepatitis C sustained viral response and cause-specific outcomes. </w:t>
      </w:r>
      <w:r w:rsidRPr="00CE18BA">
        <w:rPr>
          <w:rFonts w:ascii="Book Antiqua" w:hAnsi="Book Antiqua"/>
          <w:i/>
          <w:iCs/>
        </w:rPr>
        <w:t>Hepatology</w:t>
      </w:r>
      <w:r w:rsidRPr="009F3645">
        <w:rPr>
          <w:rFonts w:ascii="Book Antiqua" w:hAnsi="Book Antiqua"/>
        </w:rPr>
        <w:t xml:space="preserve"> 2015;</w:t>
      </w:r>
      <w:r w:rsidR="005A05FB">
        <w:rPr>
          <w:rFonts w:ascii="Book Antiqua" w:hAnsi="Book Antiqua"/>
        </w:rPr>
        <w:t xml:space="preserve"> </w:t>
      </w:r>
      <w:r w:rsidRPr="009F3645">
        <w:rPr>
          <w:rFonts w:ascii="Book Antiqua" w:hAnsi="Book Antiqua"/>
          <w:b/>
          <w:bCs/>
        </w:rPr>
        <w:t>62</w:t>
      </w:r>
      <w:r w:rsidRPr="009F3645">
        <w:rPr>
          <w:rFonts w:ascii="Book Antiqua" w:hAnsi="Book Antiqua"/>
        </w:rPr>
        <w:t>:</w:t>
      </w:r>
      <w:r w:rsidR="005A05FB">
        <w:rPr>
          <w:rFonts w:ascii="Book Antiqua" w:hAnsi="Book Antiqua"/>
        </w:rPr>
        <w:t xml:space="preserve"> </w:t>
      </w:r>
      <w:r w:rsidRPr="009F3645">
        <w:rPr>
          <w:rFonts w:ascii="Book Antiqua" w:hAnsi="Book Antiqua"/>
        </w:rPr>
        <w:t>355-</w:t>
      </w:r>
      <w:r w:rsidR="00E44939">
        <w:rPr>
          <w:rFonts w:ascii="Book Antiqua" w:hAnsi="Book Antiqua"/>
        </w:rPr>
        <w:t>3</w:t>
      </w:r>
      <w:r w:rsidRPr="009F3645">
        <w:rPr>
          <w:rFonts w:ascii="Book Antiqua" w:hAnsi="Book Antiqua"/>
        </w:rPr>
        <w:t>64 [</w:t>
      </w:r>
      <w:r>
        <w:rPr>
          <w:rFonts w:ascii="Book Antiqua" w:hAnsi="Book Antiqua"/>
        </w:rPr>
        <w:t xml:space="preserve">PMID: </w:t>
      </w:r>
      <w:r w:rsidRPr="009F3645">
        <w:rPr>
          <w:rFonts w:ascii="Book Antiqua" w:hAnsi="Book Antiqua"/>
        </w:rPr>
        <w:t>25716707</w:t>
      </w:r>
      <w:r>
        <w:rPr>
          <w:rFonts w:ascii="Segoe UI" w:eastAsia="Times New Roman" w:hAnsi="Segoe UI" w:cs="Segoe UI"/>
          <w:color w:val="212121"/>
          <w:lang w:val="en-CA"/>
        </w:rPr>
        <w:t xml:space="preserve"> </w:t>
      </w:r>
      <w:r w:rsidRPr="009F3645">
        <w:rPr>
          <w:rFonts w:ascii="Book Antiqua" w:hAnsi="Book Antiqua"/>
        </w:rPr>
        <w:t>DOI: 10.1002/hep.27766]</w:t>
      </w:r>
    </w:p>
    <w:p w14:paraId="772CCD31" w14:textId="08597DEE" w:rsidR="009F3645" w:rsidRPr="009F3645" w:rsidRDefault="009F3645" w:rsidP="009F3645">
      <w:pPr>
        <w:spacing w:line="360" w:lineRule="auto"/>
        <w:jc w:val="both"/>
        <w:rPr>
          <w:rFonts w:ascii="Book Antiqua" w:hAnsi="Book Antiqua"/>
        </w:rPr>
      </w:pPr>
      <w:r w:rsidRPr="009F3645">
        <w:rPr>
          <w:rFonts w:ascii="Book Antiqua" w:hAnsi="Book Antiqua"/>
        </w:rPr>
        <w:t>90</w:t>
      </w:r>
      <w:r>
        <w:rPr>
          <w:rFonts w:ascii="Book Antiqua" w:hAnsi="Book Antiqua"/>
        </w:rPr>
        <w:t xml:space="preserve"> </w:t>
      </w:r>
      <w:r w:rsidR="0066588C" w:rsidRPr="0066588C">
        <w:rPr>
          <w:rFonts w:ascii="Book Antiqua" w:hAnsi="Book Antiqua"/>
          <w:b/>
          <w:bCs/>
        </w:rPr>
        <w:t>Nahon P,</w:t>
      </w:r>
      <w:r w:rsidR="0066588C" w:rsidRPr="0066588C">
        <w:rPr>
          <w:rFonts w:ascii="Book Antiqua" w:hAnsi="Book Antiqua"/>
        </w:rPr>
        <w:t xml:space="preserve">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w:t>
      </w:r>
      <w:r w:rsidRPr="009F3645">
        <w:rPr>
          <w:rFonts w:ascii="Book Antiqua" w:hAnsi="Book Antiqua"/>
        </w:rPr>
        <w:t xml:space="preserve">Eradication of Hepatitis C Virus Infection in Patients With Cirrhosis Reduces Risk of Liver and Non-Liver Complications. </w:t>
      </w:r>
      <w:r w:rsidRPr="00CE18BA">
        <w:rPr>
          <w:rFonts w:ascii="Book Antiqua" w:hAnsi="Book Antiqua"/>
          <w:i/>
          <w:iCs/>
        </w:rPr>
        <w:t>Gastroenterology</w:t>
      </w:r>
      <w:r w:rsidRPr="009F3645">
        <w:rPr>
          <w:rFonts w:ascii="Book Antiqua" w:hAnsi="Book Antiqua"/>
        </w:rPr>
        <w:t xml:space="preserve"> 2017;</w:t>
      </w:r>
      <w:r w:rsidR="005A05FB">
        <w:rPr>
          <w:rFonts w:ascii="Book Antiqua" w:hAnsi="Book Antiqua"/>
        </w:rPr>
        <w:t xml:space="preserve"> </w:t>
      </w:r>
      <w:r w:rsidRPr="009F3645">
        <w:rPr>
          <w:rFonts w:ascii="Book Antiqua" w:hAnsi="Book Antiqua"/>
          <w:b/>
          <w:bCs/>
        </w:rPr>
        <w:t>152</w:t>
      </w:r>
      <w:r w:rsidRPr="009F3645">
        <w:rPr>
          <w:rFonts w:ascii="Book Antiqua" w:hAnsi="Book Antiqua"/>
        </w:rPr>
        <w:t>:</w:t>
      </w:r>
      <w:r w:rsidR="005A05FB">
        <w:rPr>
          <w:rFonts w:ascii="Book Antiqua" w:hAnsi="Book Antiqua"/>
        </w:rPr>
        <w:t xml:space="preserve"> </w:t>
      </w:r>
      <w:r w:rsidRPr="009F3645">
        <w:rPr>
          <w:rFonts w:ascii="Book Antiqua" w:hAnsi="Book Antiqua"/>
        </w:rPr>
        <w:t>142-</w:t>
      </w:r>
      <w:r w:rsidR="00A5084D">
        <w:rPr>
          <w:rFonts w:ascii="Book Antiqua" w:hAnsi="Book Antiqua"/>
        </w:rPr>
        <w:t>1</w:t>
      </w:r>
      <w:r w:rsidRPr="009F3645">
        <w:rPr>
          <w:rFonts w:ascii="Book Antiqua" w:hAnsi="Book Antiqua"/>
        </w:rPr>
        <w:t>56.e2 [</w:t>
      </w:r>
      <w:r>
        <w:rPr>
          <w:rFonts w:ascii="Book Antiqua" w:hAnsi="Book Antiqua"/>
        </w:rPr>
        <w:t xml:space="preserve">PMID: </w:t>
      </w:r>
      <w:r w:rsidRPr="009F3645">
        <w:rPr>
          <w:rFonts w:ascii="Book Antiqua" w:hAnsi="Book Antiqua"/>
        </w:rPr>
        <w:t xml:space="preserve">27641509 DOI: </w:t>
      </w:r>
      <w:r w:rsidR="00E44939" w:rsidRPr="00E44939">
        <w:rPr>
          <w:rFonts w:ascii="Book Antiqua" w:hAnsi="Book Antiqua"/>
        </w:rPr>
        <w:t>10.1053/j.gastro.2016.09.009</w:t>
      </w:r>
      <w:r w:rsidRPr="009F3645">
        <w:rPr>
          <w:rFonts w:ascii="Book Antiqua" w:hAnsi="Book Antiqua"/>
        </w:rPr>
        <w:t>]</w:t>
      </w:r>
    </w:p>
    <w:p w14:paraId="04A96FC7" w14:textId="37EE5A4E" w:rsidR="00460721" w:rsidRPr="00460721" w:rsidRDefault="009F3645" w:rsidP="00460721">
      <w:pPr>
        <w:spacing w:line="360" w:lineRule="auto"/>
        <w:jc w:val="both"/>
        <w:rPr>
          <w:rFonts w:ascii="Book Antiqua" w:hAnsi="Book Antiqua"/>
        </w:rPr>
      </w:pPr>
      <w:r>
        <w:rPr>
          <w:rFonts w:ascii="Book Antiqua" w:hAnsi="Book Antiqua"/>
        </w:rPr>
        <w:t>91</w:t>
      </w:r>
      <w:r w:rsidR="00460721" w:rsidRPr="00460721">
        <w:rPr>
          <w:rFonts w:ascii="Book Antiqua" w:hAnsi="Book Antiqua"/>
        </w:rPr>
        <w:t xml:space="preserve"> </w:t>
      </w:r>
      <w:r w:rsidR="00460721" w:rsidRPr="00460721">
        <w:rPr>
          <w:rFonts w:ascii="Book Antiqua" w:hAnsi="Book Antiqua"/>
          <w:b/>
          <w:bCs/>
        </w:rPr>
        <w:t>Lapumnuaypol K</w:t>
      </w:r>
      <w:r w:rsidR="00460721" w:rsidRPr="00460721">
        <w:rPr>
          <w:rFonts w:ascii="Book Antiqua" w:hAnsi="Book Antiqua"/>
        </w:rPr>
        <w:t xml:space="preserve">, Thongprayoon C, Wijarnpreecha K, Cheungpasitporn W. Impact of hepatitis C sustained viral response on cardiovascular diseases: a meta-analysis. </w:t>
      </w:r>
      <w:r w:rsidR="00460721" w:rsidRPr="00460721">
        <w:rPr>
          <w:rFonts w:ascii="Book Antiqua" w:hAnsi="Book Antiqua"/>
          <w:i/>
          <w:iCs/>
        </w:rPr>
        <w:t>Hosp Pract (1995)</w:t>
      </w:r>
      <w:r w:rsidR="00460721" w:rsidRPr="00460721">
        <w:rPr>
          <w:rFonts w:ascii="Book Antiqua" w:hAnsi="Book Antiqua"/>
        </w:rPr>
        <w:t xml:space="preserve"> 2019; </w:t>
      </w:r>
      <w:r w:rsidR="00460721" w:rsidRPr="00460721">
        <w:rPr>
          <w:rFonts w:ascii="Book Antiqua" w:hAnsi="Book Antiqua"/>
          <w:b/>
          <w:bCs/>
        </w:rPr>
        <w:t>47</w:t>
      </w:r>
      <w:r w:rsidR="00460721" w:rsidRPr="00460721">
        <w:rPr>
          <w:rFonts w:ascii="Book Antiqua" w:hAnsi="Book Antiqua"/>
        </w:rPr>
        <w:t>: 105-110 [PMID: 31018721 DOI: 10.1080/21548331.2019.1612066]</w:t>
      </w:r>
    </w:p>
    <w:p w14:paraId="0452D98C" w14:textId="77777777" w:rsidR="00A77B3E" w:rsidRPr="00460721" w:rsidRDefault="00A77B3E" w:rsidP="00460721">
      <w:pPr>
        <w:spacing w:line="360" w:lineRule="auto"/>
        <w:jc w:val="both"/>
        <w:rPr>
          <w:rFonts w:ascii="Book Antiqua" w:hAnsi="Book Antiqua"/>
        </w:rPr>
        <w:sectPr w:rsidR="00A77B3E" w:rsidRPr="00460721">
          <w:pgSz w:w="12240" w:h="15840"/>
          <w:pgMar w:top="1440" w:right="1440" w:bottom="1440" w:left="1440" w:header="720" w:footer="720" w:gutter="0"/>
          <w:cols w:space="720"/>
          <w:docGrid w:linePitch="360"/>
        </w:sectPr>
      </w:pPr>
    </w:p>
    <w:p w14:paraId="79708A13"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Footnotes</w:t>
      </w:r>
    </w:p>
    <w:p w14:paraId="6D6E0046"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Conflict-of-interest statement: </w:t>
      </w:r>
      <w:r w:rsidRPr="00460721">
        <w:rPr>
          <w:rFonts w:ascii="Book Antiqua" w:eastAsia="Book Antiqua" w:hAnsi="Book Antiqua" w:cs="Book Antiqua"/>
          <w:color w:val="000000"/>
        </w:rPr>
        <w:t>Sebastiani G has acted as speaker for Merck, Gilead, Abbvie, Novonordisk, Novartis, Pfizer, served as an advisory board member for Merck, Intercept, Novartis, Gilead, Allergan, Pfizer and has received research funding from Merck and Theratec Inc. Shengir M has received honoraria from Gilead. Elgara M has nothing to declare.</w:t>
      </w:r>
    </w:p>
    <w:p w14:paraId="300D638F" w14:textId="77777777" w:rsidR="00A77B3E" w:rsidRPr="00460721" w:rsidRDefault="00A77B3E" w:rsidP="00460721">
      <w:pPr>
        <w:spacing w:line="360" w:lineRule="auto"/>
        <w:jc w:val="both"/>
        <w:rPr>
          <w:rFonts w:ascii="Book Antiqua" w:hAnsi="Book Antiqua"/>
        </w:rPr>
      </w:pPr>
    </w:p>
    <w:p w14:paraId="0CB12E9B"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Open-Access: </w:t>
      </w:r>
      <w:r w:rsidRPr="004607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55B8FE" w14:textId="77777777" w:rsidR="00A77B3E" w:rsidRPr="00460721" w:rsidRDefault="00A77B3E" w:rsidP="00460721">
      <w:pPr>
        <w:spacing w:line="360" w:lineRule="auto"/>
        <w:jc w:val="both"/>
        <w:rPr>
          <w:rFonts w:ascii="Book Antiqua" w:hAnsi="Book Antiqua"/>
        </w:rPr>
      </w:pPr>
    </w:p>
    <w:p w14:paraId="67A6A317" w14:textId="06E6B08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Manuscript source: </w:t>
      </w:r>
      <w:r w:rsidRPr="00460721">
        <w:rPr>
          <w:rFonts w:ascii="Book Antiqua" w:eastAsia="Book Antiqua" w:hAnsi="Book Antiqua" w:cs="Book Antiqua"/>
          <w:color w:val="000000"/>
        </w:rPr>
        <w:t xml:space="preserve">Invited </w:t>
      </w:r>
      <w:r w:rsidR="004B1C50" w:rsidRPr="00460721">
        <w:rPr>
          <w:rFonts w:ascii="Book Antiqua" w:eastAsia="Book Antiqua" w:hAnsi="Book Antiqua" w:cs="Book Antiqua"/>
          <w:color w:val="000000"/>
        </w:rPr>
        <w:t>m</w:t>
      </w:r>
      <w:r w:rsidRPr="00460721">
        <w:rPr>
          <w:rFonts w:ascii="Book Antiqua" w:eastAsia="Book Antiqua" w:hAnsi="Book Antiqua" w:cs="Book Antiqua"/>
          <w:color w:val="000000"/>
        </w:rPr>
        <w:t>anuscript</w:t>
      </w:r>
    </w:p>
    <w:p w14:paraId="7ECB99BF" w14:textId="77777777" w:rsidR="00A77B3E" w:rsidRPr="00460721" w:rsidRDefault="00A77B3E" w:rsidP="00460721">
      <w:pPr>
        <w:spacing w:line="360" w:lineRule="auto"/>
        <w:jc w:val="both"/>
        <w:rPr>
          <w:rFonts w:ascii="Book Antiqua" w:hAnsi="Book Antiqua"/>
        </w:rPr>
      </w:pPr>
    </w:p>
    <w:p w14:paraId="63D61FE8"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Peer-review started: </w:t>
      </w:r>
      <w:r w:rsidRPr="00460721">
        <w:rPr>
          <w:rFonts w:ascii="Book Antiqua" w:eastAsia="Book Antiqua" w:hAnsi="Book Antiqua" w:cs="Book Antiqua"/>
          <w:color w:val="000000"/>
        </w:rPr>
        <w:t>January 25, 2021</w:t>
      </w:r>
    </w:p>
    <w:p w14:paraId="2892FA4C"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First decision: </w:t>
      </w:r>
      <w:r w:rsidRPr="00460721">
        <w:rPr>
          <w:rFonts w:ascii="Book Antiqua" w:eastAsia="Book Antiqua" w:hAnsi="Book Antiqua" w:cs="Book Antiqua"/>
          <w:color w:val="000000"/>
        </w:rPr>
        <w:t>February 27, 2021</w:t>
      </w:r>
    </w:p>
    <w:p w14:paraId="2999087B" w14:textId="1B1CDD91"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Article in press: </w:t>
      </w:r>
      <w:r w:rsidR="0071501D" w:rsidRPr="006A0AE1">
        <w:rPr>
          <w:rFonts w:ascii="Book Antiqua" w:eastAsia="Book Antiqua" w:hAnsi="Book Antiqua" w:cs="Book Antiqua"/>
          <w:color w:val="000000"/>
        </w:rPr>
        <w:t>April 12, 2021</w:t>
      </w:r>
    </w:p>
    <w:p w14:paraId="6EE72C79" w14:textId="77777777" w:rsidR="00A77B3E" w:rsidRPr="00460721" w:rsidRDefault="00A77B3E" w:rsidP="00460721">
      <w:pPr>
        <w:spacing w:line="360" w:lineRule="auto"/>
        <w:jc w:val="both"/>
        <w:rPr>
          <w:rFonts w:ascii="Book Antiqua" w:hAnsi="Book Antiqua"/>
        </w:rPr>
      </w:pPr>
    </w:p>
    <w:p w14:paraId="35A21D56" w14:textId="6FC85B1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Specialty type: </w:t>
      </w:r>
      <w:r w:rsidRPr="00460721">
        <w:rPr>
          <w:rFonts w:ascii="Book Antiqua" w:eastAsia="Book Antiqua" w:hAnsi="Book Antiqua" w:cs="Book Antiqua"/>
          <w:color w:val="000000"/>
        </w:rPr>
        <w:t xml:space="preserve">Gastroenterology and </w:t>
      </w:r>
      <w:r w:rsidR="00221E47" w:rsidRPr="00460721">
        <w:rPr>
          <w:rFonts w:ascii="Book Antiqua" w:eastAsia="Book Antiqua" w:hAnsi="Book Antiqua" w:cs="Book Antiqua"/>
          <w:color w:val="000000"/>
        </w:rPr>
        <w:t>h</w:t>
      </w:r>
      <w:r w:rsidRPr="00460721">
        <w:rPr>
          <w:rFonts w:ascii="Book Antiqua" w:eastAsia="Book Antiqua" w:hAnsi="Book Antiqua" w:cs="Book Antiqua"/>
          <w:color w:val="000000"/>
        </w:rPr>
        <w:t>epatology</w:t>
      </w:r>
    </w:p>
    <w:p w14:paraId="274C3DFE"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Country/Territory of origin: </w:t>
      </w:r>
      <w:r w:rsidRPr="00460721">
        <w:rPr>
          <w:rFonts w:ascii="Book Antiqua" w:eastAsia="Book Antiqua" w:hAnsi="Book Antiqua" w:cs="Book Antiqua"/>
          <w:color w:val="000000"/>
        </w:rPr>
        <w:t>Canada</w:t>
      </w:r>
    </w:p>
    <w:p w14:paraId="32F2F345"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Peer-review report’s scientific quality classification</w:t>
      </w:r>
    </w:p>
    <w:p w14:paraId="2D6B682C"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A (Excellent): A</w:t>
      </w:r>
    </w:p>
    <w:p w14:paraId="0C882C1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B (Very good): 0</w:t>
      </w:r>
    </w:p>
    <w:p w14:paraId="5F111CF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C (Good): 0</w:t>
      </w:r>
    </w:p>
    <w:p w14:paraId="2E92088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D (Fair): 0</w:t>
      </w:r>
    </w:p>
    <w:p w14:paraId="335EDF9E"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E (Poor): 0</w:t>
      </w:r>
    </w:p>
    <w:p w14:paraId="59B5746F" w14:textId="77777777" w:rsidR="00A77B3E" w:rsidRPr="00460721" w:rsidRDefault="00A77B3E" w:rsidP="00460721">
      <w:pPr>
        <w:spacing w:line="360" w:lineRule="auto"/>
        <w:jc w:val="both"/>
        <w:rPr>
          <w:rFonts w:ascii="Book Antiqua" w:hAnsi="Book Antiqua"/>
        </w:rPr>
      </w:pPr>
    </w:p>
    <w:p w14:paraId="21409D78" w14:textId="63DDAF0F" w:rsidR="00A77B3E" w:rsidRPr="00A13C5C" w:rsidRDefault="00776035" w:rsidP="00CE18BA">
      <w:pPr>
        <w:spacing w:line="360" w:lineRule="auto"/>
        <w:rPr>
          <w:rFonts w:ascii="Book Antiqua" w:hAnsi="Book Antiqua" w:cs="Book Antiqua"/>
          <w:b/>
          <w:color w:val="000000"/>
          <w:lang w:eastAsia="zh-CN"/>
        </w:rPr>
      </w:pPr>
      <w:r w:rsidRPr="00460721">
        <w:rPr>
          <w:rFonts w:ascii="Book Antiqua" w:eastAsia="Book Antiqua" w:hAnsi="Book Antiqua" w:cs="Book Antiqua"/>
          <w:b/>
          <w:color w:val="000000"/>
        </w:rPr>
        <w:t xml:space="preserve">P-Reviewer: </w:t>
      </w:r>
      <w:r w:rsidRPr="00460721">
        <w:rPr>
          <w:rFonts w:ascii="Book Antiqua" w:eastAsia="Book Antiqua" w:hAnsi="Book Antiqua" w:cs="Book Antiqua"/>
          <w:color w:val="000000"/>
        </w:rPr>
        <w:t>Masaki N</w:t>
      </w:r>
      <w:r w:rsidRPr="00460721">
        <w:rPr>
          <w:rFonts w:ascii="Book Antiqua" w:eastAsia="Book Antiqua" w:hAnsi="Book Antiqua" w:cs="Book Antiqua"/>
          <w:b/>
          <w:color w:val="000000"/>
        </w:rPr>
        <w:t xml:space="preserve"> S-Editor: </w:t>
      </w:r>
      <w:r w:rsidRPr="00460721">
        <w:rPr>
          <w:rFonts w:ascii="Book Antiqua" w:eastAsia="Book Antiqua" w:hAnsi="Book Antiqua" w:cs="Book Antiqua"/>
          <w:color w:val="000000"/>
        </w:rPr>
        <w:t>Fan JR</w:t>
      </w:r>
      <w:r w:rsidRPr="00460721">
        <w:rPr>
          <w:rFonts w:ascii="Book Antiqua" w:eastAsia="Book Antiqua" w:hAnsi="Book Antiqua" w:cs="Book Antiqua"/>
          <w:b/>
          <w:color w:val="000000"/>
        </w:rPr>
        <w:t xml:space="preserve"> L-Editor: </w:t>
      </w:r>
      <w:r w:rsidR="00A13C5C" w:rsidRPr="00A13C5C">
        <w:rPr>
          <w:rFonts w:ascii="Book Antiqua" w:hAnsi="Book Antiqua" w:cs="Book Antiqua" w:hint="eastAsia"/>
          <w:color w:val="000000"/>
          <w:lang w:eastAsia="zh-CN"/>
        </w:rPr>
        <w:t>A</w:t>
      </w:r>
      <w:r w:rsidRPr="00460721">
        <w:rPr>
          <w:rFonts w:ascii="Book Antiqua" w:eastAsia="Book Antiqua" w:hAnsi="Book Antiqua" w:cs="Book Antiqua"/>
          <w:b/>
          <w:color w:val="000000"/>
        </w:rPr>
        <w:t xml:space="preserve"> P-Editor:</w:t>
      </w:r>
      <w:r w:rsidRPr="00A13C5C">
        <w:rPr>
          <w:rFonts w:ascii="Book Antiqua" w:eastAsia="Book Antiqua" w:hAnsi="Book Antiqua" w:cs="Book Antiqua"/>
          <w:color w:val="000000"/>
        </w:rPr>
        <w:t xml:space="preserve"> </w:t>
      </w:r>
      <w:r w:rsidR="00A13C5C" w:rsidRPr="00A13C5C">
        <w:rPr>
          <w:rFonts w:ascii="Book Antiqua" w:hAnsi="Book Antiqua" w:cs="Book Antiqua" w:hint="eastAsia"/>
          <w:color w:val="000000"/>
          <w:lang w:eastAsia="zh-CN"/>
        </w:rPr>
        <w:t>Liu JH</w:t>
      </w:r>
    </w:p>
    <w:p w14:paraId="395840B9" w14:textId="77777777" w:rsidR="00A13C5C" w:rsidRPr="00A13C5C" w:rsidRDefault="00A13C5C" w:rsidP="00CE18BA">
      <w:pPr>
        <w:spacing w:line="360" w:lineRule="auto"/>
        <w:rPr>
          <w:rFonts w:ascii="Book Antiqua" w:hAnsi="Book Antiqua"/>
          <w:lang w:eastAsia="zh-CN"/>
        </w:rPr>
        <w:sectPr w:rsidR="00A13C5C" w:rsidRPr="00A13C5C">
          <w:pgSz w:w="12240" w:h="15840"/>
          <w:pgMar w:top="1440" w:right="1440" w:bottom="1440" w:left="1440" w:header="720" w:footer="720" w:gutter="0"/>
          <w:cols w:space="720"/>
          <w:docGrid w:linePitch="360"/>
        </w:sectPr>
      </w:pPr>
    </w:p>
    <w:p w14:paraId="46E5C196"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Figure Legends</w:t>
      </w:r>
    </w:p>
    <w:p w14:paraId="7126963D" w14:textId="3967B0BA" w:rsidR="005E76B6" w:rsidRPr="00460721" w:rsidRDefault="005E76B6" w:rsidP="00460721">
      <w:pPr>
        <w:spacing w:line="360" w:lineRule="auto"/>
        <w:jc w:val="both"/>
        <w:rPr>
          <w:rFonts w:ascii="Book Antiqua" w:eastAsia="Book Antiqua" w:hAnsi="Book Antiqua" w:cs="Book Antiqua"/>
          <w:b/>
          <w:bCs/>
          <w:color w:val="000000"/>
        </w:rPr>
      </w:pPr>
      <w:r w:rsidRPr="00460721">
        <w:rPr>
          <w:rFonts w:ascii="Book Antiqua" w:hAnsi="Book Antiqua"/>
          <w:noProof/>
          <w:lang w:eastAsia="zh-CN"/>
        </w:rPr>
        <w:drawing>
          <wp:inline distT="0" distB="0" distL="0" distR="0" wp14:anchorId="59F39FD1" wp14:editId="7247035E">
            <wp:extent cx="5400000" cy="5333333"/>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5333333"/>
                    </a:xfrm>
                    <a:prstGeom prst="rect">
                      <a:avLst/>
                    </a:prstGeom>
                  </pic:spPr>
                </pic:pic>
              </a:graphicData>
            </a:graphic>
          </wp:inline>
        </w:drawing>
      </w:r>
    </w:p>
    <w:p w14:paraId="77406BC9" w14:textId="06DD14B9" w:rsidR="00A77B3E" w:rsidRPr="00460721" w:rsidRDefault="00776035" w:rsidP="00460721">
      <w:pPr>
        <w:spacing w:line="360" w:lineRule="auto"/>
        <w:jc w:val="both"/>
        <w:rPr>
          <w:rFonts w:ascii="Book Antiqua" w:eastAsia="Book Antiqua" w:hAnsi="Book Antiqua" w:cs="Book Antiqua"/>
          <w:b/>
          <w:bCs/>
          <w:color w:val="000000"/>
        </w:rPr>
      </w:pPr>
      <w:r w:rsidRPr="00460721">
        <w:rPr>
          <w:rFonts w:ascii="Book Antiqua" w:eastAsia="Book Antiqua" w:hAnsi="Book Antiqua" w:cs="Book Antiqua"/>
          <w:b/>
          <w:bCs/>
          <w:color w:val="000000"/>
        </w:rPr>
        <w:t xml:space="preserve">Figure 1 Hepatic and extrahepatic (cardiometabolic) manifestations associated with </w:t>
      </w:r>
      <w:r w:rsidR="00097AF3" w:rsidRPr="00460721">
        <w:rPr>
          <w:rFonts w:ascii="Book Antiqua" w:eastAsia="Book Antiqua" w:hAnsi="Book Antiqua" w:cs="Book Antiqua"/>
          <w:b/>
          <w:bCs/>
          <w:color w:val="000000"/>
        </w:rPr>
        <w:t>hepatitis C virus</w:t>
      </w:r>
      <w:r w:rsidRPr="00460721">
        <w:rPr>
          <w:rFonts w:ascii="Book Antiqua" w:eastAsia="Book Antiqua" w:hAnsi="Book Antiqua" w:cs="Book Antiqua"/>
          <w:b/>
          <w:bCs/>
          <w:color w:val="000000"/>
        </w:rPr>
        <w:t xml:space="preserve"> infection and the effect of </w:t>
      </w:r>
      <w:r w:rsidR="00097AF3" w:rsidRPr="00460721">
        <w:rPr>
          <w:rFonts w:ascii="Book Antiqua" w:eastAsia="Book Antiqua" w:hAnsi="Book Antiqua" w:cs="Book Antiqua"/>
          <w:b/>
          <w:bCs/>
          <w:color w:val="000000"/>
        </w:rPr>
        <w:t>sustained virologic response</w:t>
      </w:r>
      <w:r w:rsidRPr="00460721">
        <w:rPr>
          <w:rFonts w:ascii="Book Antiqua" w:eastAsia="Book Antiqua" w:hAnsi="Book Antiqua" w:cs="Book Antiqua"/>
          <w:b/>
          <w:bCs/>
          <w:color w:val="000000"/>
        </w:rPr>
        <w:t xml:space="preserve"> on the cardiometabolic manifestations based on </w:t>
      </w:r>
      <w:r w:rsidR="0063091B" w:rsidRPr="00460721">
        <w:rPr>
          <w:rFonts w:ascii="Book Antiqua" w:eastAsia="Book Antiqua" w:hAnsi="Book Antiqua" w:cs="Book Antiqua"/>
          <w:b/>
          <w:bCs/>
          <w:color w:val="000000"/>
        </w:rPr>
        <w:t>most of the</w:t>
      </w:r>
      <w:r w:rsidRPr="00460721">
        <w:rPr>
          <w:rFonts w:ascii="Book Antiqua" w:eastAsia="Book Antiqua" w:hAnsi="Book Antiqua" w:cs="Book Antiqua"/>
          <w:b/>
          <w:bCs/>
          <w:color w:val="000000"/>
        </w:rPr>
        <w:t xml:space="preserve"> evidence.</w:t>
      </w:r>
      <w:r w:rsidR="004C429A" w:rsidRPr="00460721">
        <w:rPr>
          <w:rFonts w:ascii="Book Antiqua" w:eastAsia="Book Antiqua" w:hAnsi="Book Antiqua" w:cs="Book Antiqua"/>
          <w:b/>
          <w:bCs/>
          <w:color w:val="000000"/>
        </w:rPr>
        <w:t xml:space="preserve"> </w:t>
      </w:r>
      <w:r w:rsidR="004C429A" w:rsidRPr="00460721">
        <w:rPr>
          <w:rFonts w:ascii="Book Antiqua" w:eastAsia="Book Antiqua" w:hAnsi="Book Antiqua" w:cs="Book Antiqua"/>
          <w:color w:val="000000"/>
        </w:rPr>
        <w:t>HCV: Hepatitis C virus; SVR: Sustained virologic response.</w:t>
      </w:r>
    </w:p>
    <w:p w14:paraId="0CA18EA9" w14:textId="10D5BA9F" w:rsidR="005E76B6" w:rsidRPr="00460721" w:rsidRDefault="005E76B6" w:rsidP="00460721">
      <w:pPr>
        <w:spacing w:line="360" w:lineRule="auto"/>
        <w:jc w:val="both"/>
        <w:rPr>
          <w:rFonts w:ascii="Book Antiqua" w:hAnsi="Book Antiqua"/>
          <w:b/>
          <w:bCs/>
        </w:rPr>
      </w:pPr>
      <w:r w:rsidRPr="00460721">
        <w:rPr>
          <w:rFonts w:ascii="Book Antiqua" w:eastAsia="Book Antiqua" w:hAnsi="Book Antiqua" w:cs="Book Antiqua"/>
          <w:color w:val="000000"/>
        </w:rPr>
        <w:br w:type="page"/>
      </w:r>
      <w:r w:rsidRPr="00CE18BA">
        <w:rPr>
          <w:rFonts w:ascii="Book Antiqua" w:hAnsi="Book Antiqua"/>
          <w:b/>
          <w:bCs/>
        </w:rPr>
        <w:t>Table 1 Summary of studies investigated cardiometabolic manifestations of chronic hepatitis C after viral cure</w:t>
      </w:r>
    </w:p>
    <w:tbl>
      <w:tblPr>
        <w:tblStyle w:val="a6"/>
        <w:tblW w:w="50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889"/>
        <w:gridCol w:w="2021"/>
        <w:gridCol w:w="3792"/>
      </w:tblGrid>
      <w:tr w:rsidR="00B63145" w:rsidRPr="00460721" w14:paraId="1AED9C9E" w14:textId="77777777" w:rsidTr="0065128F">
        <w:trPr>
          <w:trHeight w:val="551"/>
        </w:trPr>
        <w:tc>
          <w:tcPr>
            <w:tcW w:w="1037" w:type="pct"/>
            <w:tcBorders>
              <w:top w:val="single" w:sz="4" w:space="0" w:color="auto"/>
              <w:bottom w:val="single" w:sz="4" w:space="0" w:color="auto"/>
            </w:tcBorders>
          </w:tcPr>
          <w:p w14:paraId="2CEAACAE" w14:textId="2A68E673"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Ref</w:t>
            </w:r>
            <w:r w:rsidR="00831B4A" w:rsidRPr="00460721">
              <w:rPr>
                <w:rFonts w:ascii="Book Antiqua" w:hAnsi="Book Antiqua"/>
                <w:b/>
                <w:bCs/>
                <w:lang w:val="en-US"/>
              </w:rPr>
              <w:t>.</w:t>
            </w:r>
          </w:p>
        </w:tc>
        <w:tc>
          <w:tcPr>
            <w:tcW w:w="972" w:type="pct"/>
            <w:tcBorders>
              <w:top w:val="single" w:sz="4" w:space="0" w:color="auto"/>
              <w:bottom w:val="single" w:sz="4" w:space="0" w:color="auto"/>
            </w:tcBorders>
          </w:tcPr>
          <w:p w14:paraId="41EF6D65" w14:textId="77777777"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Antiviral regimen</w:t>
            </w:r>
          </w:p>
        </w:tc>
        <w:tc>
          <w:tcPr>
            <w:tcW w:w="1040" w:type="pct"/>
            <w:tcBorders>
              <w:top w:val="single" w:sz="4" w:space="0" w:color="auto"/>
              <w:bottom w:val="single" w:sz="4" w:space="0" w:color="auto"/>
            </w:tcBorders>
          </w:tcPr>
          <w:p w14:paraId="1944A1E5" w14:textId="77777777"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The studied HCV-associated cardiometabolic manifestations</w:t>
            </w:r>
          </w:p>
        </w:tc>
        <w:tc>
          <w:tcPr>
            <w:tcW w:w="1951" w:type="pct"/>
            <w:tcBorders>
              <w:top w:val="single" w:sz="4" w:space="0" w:color="auto"/>
              <w:bottom w:val="single" w:sz="4" w:space="0" w:color="auto"/>
            </w:tcBorders>
          </w:tcPr>
          <w:p w14:paraId="79039EBC" w14:textId="77777777"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Post SVR outcomes</w:t>
            </w:r>
          </w:p>
        </w:tc>
      </w:tr>
      <w:tr w:rsidR="004D0486" w:rsidRPr="00460721" w14:paraId="2EAC6F7B" w14:textId="77777777" w:rsidTr="0065128F">
        <w:trPr>
          <w:trHeight w:val="920"/>
        </w:trPr>
        <w:tc>
          <w:tcPr>
            <w:tcW w:w="1037" w:type="pct"/>
            <w:vMerge w:val="restart"/>
            <w:tcBorders>
              <w:top w:val="single" w:sz="4" w:space="0" w:color="auto"/>
            </w:tcBorders>
          </w:tcPr>
          <w:p w14:paraId="289E18DD" w14:textId="155EF97F" w:rsidR="004D0486" w:rsidRPr="00460721" w:rsidRDefault="004D0486" w:rsidP="007C0E4B">
            <w:pPr>
              <w:spacing w:line="360" w:lineRule="auto"/>
              <w:jc w:val="both"/>
              <w:rPr>
                <w:rFonts w:ascii="Book Antiqua" w:hAnsi="Book Antiqua"/>
                <w:b/>
                <w:bCs/>
                <w:lang w:val="pt-BR"/>
              </w:rPr>
            </w:pPr>
            <w:r w:rsidRPr="00460721">
              <w:rPr>
                <w:rFonts w:ascii="Book Antiqua" w:eastAsiaTheme="minorHAnsi" w:hAnsi="Book Antiqua"/>
                <w:color w:val="000000" w:themeColor="text1"/>
                <w:lang w:val="pt-BR"/>
              </w:rPr>
              <w:t xml:space="preserve">Fernández-Rodríguez </w:t>
            </w:r>
            <w:r w:rsidRPr="00460721">
              <w:rPr>
                <w:rFonts w:ascii="Book Antiqua" w:eastAsiaTheme="minorHAnsi" w:hAnsi="Book Antiqua"/>
                <w:i/>
                <w:iCs/>
                <w:color w:val="000000" w:themeColor="text1"/>
                <w:lang w:val="pt-BR"/>
              </w:rPr>
              <w:t>et al</w:t>
            </w:r>
            <w:r w:rsidR="00345825" w:rsidRPr="00460721">
              <w:rPr>
                <w:rFonts w:ascii="Book Antiqua" w:eastAsiaTheme="minorHAnsi" w:hAnsi="Book Antiqua"/>
                <w:color w:val="000000" w:themeColor="text1"/>
                <w:vertAlign w:val="superscript"/>
                <w:lang w:val="pt-BR"/>
              </w:rPr>
              <w:t>[28]</w:t>
            </w:r>
            <w:r w:rsidRPr="00460721">
              <w:rPr>
                <w:rFonts w:ascii="Book Antiqua" w:eastAsiaTheme="minorHAnsi" w:hAnsi="Book Antiqua"/>
                <w:color w:val="000000" w:themeColor="text1"/>
                <w:lang w:val="pt-BR"/>
              </w:rPr>
              <w:t>, 2006</w:t>
            </w:r>
          </w:p>
        </w:tc>
        <w:tc>
          <w:tcPr>
            <w:tcW w:w="972" w:type="pct"/>
            <w:vMerge w:val="restart"/>
            <w:tcBorders>
              <w:top w:val="single" w:sz="4" w:space="0" w:color="auto"/>
            </w:tcBorders>
          </w:tcPr>
          <w:p w14:paraId="542CAA5B" w14:textId="77777777" w:rsidR="004D0486" w:rsidRPr="00460721" w:rsidRDefault="004D0486" w:rsidP="007C0E4B">
            <w:pPr>
              <w:spacing w:line="360" w:lineRule="auto"/>
              <w:jc w:val="both"/>
              <w:rPr>
                <w:rFonts w:ascii="Book Antiqua" w:hAnsi="Book Antiqua"/>
                <w:lang w:val="en-US"/>
              </w:rPr>
            </w:pPr>
            <w:r w:rsidRPr="00460721">
              <w:rPr>
                <w:rFonts w:ascii="Book Antiqua" w:hAnsi="Book Antiqua"/>
                <w:lang w:val="en-US"/>
              </w:rPr>
              <w:t>NA</w:t>
            </w:r>
            <w:r w:rsidRPr="00460721">
              <w:rPr>
                <w:rFonts w:ascii="Book Antiqua" w:hAnsi="Book Antiqua"/>
                <w:vertAlign w:val="superscript"/>
                <w:lang w:val="en-US"/>
              </w:rPr>
              <w:t>1</w:t>
            </w:r>
          </w:p>
        </w:tc>
        <w:tc>
          <w:tcPr>
            <w:tcW w:w="1040" w:type="pct"/>
            <w:vMerge w:val="restart"/>
            <w:tcBorders>
              <w:top w:val="single" w:sz="4" w:space="0" w:color="auto"/>
            </w:tcBorders>
          </w:tcPr>
          <w:p w14:paraId="47A49C6B" w14:textId="4A94547A" w:rsidR="004D0486" w:rsidRPr="00460721" w:rsidRDefault="004D0486" w:rsidP="007C0E4B">
            <w:pPr>
              <w:spacing w:line="360" w:lineRule="auto"/>
              <w:jc w:val="both"/>
              <w:rPr>
                <w:rFonts w:ascii="Book Antiqua" w:hAnsi="Book Antiqua"/>
                <w:lang w:val="en-US"/>
              </w:rPr>
            </w:pPr>
            <w:r w:rsidRPr="00460721">
              <w:rPr>
                <w:rFonts w:ascii="Book Antiqua" w:hAnsi="Book Antiqua"/>
                <w:lang w:val="en-US"/>
              </w:rPr>
              <w:t>Lipid disturbances</w:t>
            </w:r>
            <w:r w:rsidR="00083A19" w:rsidRPr="00460721">
              <w:rPr>
                <w:rFonts w:ascii="Book Antiqua" w:hAnsi="Book Antiqua"/>
                <w:lang w:val="en-US"/>
              </w:rPr>
              <w:t>.</w:t>
            </w:r>
            <w:r w:rsidR="00083A19" w:rsidRPr="00460721">
              <w:rPr>
                <w:rFonts w:ascii="Book Antiqua" w:hAnsi="Book Antiqua"/>
                <w:lang w:val="en-US" w:eastAsia="zh-CN"/>
              </w:rPr>
              <w:t xml:space="preserve"> </w:t>
            </w:r>
            <w:r w:rsidRPr="00460721">
              <w:rPr>
                <w:rFonts w:ascii="Book Antiqua" w:hAnsi="Book Antiqua"/>
                <w:lang w:val="en-US"/>
              </w:rPr>
              <w:t>Hepatic steatosis</w:t>
            </w:r>
          </w:p>
        </w:tc>
        <w:tc>
          <w:tcPr>
            <w:tcW w:w="1951" w:type="pct"/>
            <w:tcBorders>
              <w:top w:val="single" w:sz="4" w:space="0" w:color="auto"/>
            </w:tcBorders>
          </w:tcPr>
          <w:p w14:paraId="2B1062D6" w14:textId="4743CDF9" w:rsidR="004D0486" w:rsidRPr="00460721" w:rsidRDefault="004D0486" w:rsidP="007C0E4B">
            <w:pPr>
              <w:pStyle w:val="a7"/>
              <w:spacing w:line="360" w:lineRule="auto"/>
              <w:ind w:left="0"/>
              <w:jc w:val="both"/>
              <w:rPr>
                <w:rFonts w:ascii="Book Antiqua" w:hAnsi="Book Antiqua"/>
                <w:lang w:val="en-US"/>
              </w:rPr>
            </w:pPr>
            <w:r w:rsidRPr="00460721">
              <w:rPr>
                <w:rFonts w:ascii="Book Antiqua" w:hAnsi="Book Antiqua"/>
                <w:lang w:val="en-US"/>
              </w:rPr>
              <w:t>Hypercholesterolemia in patients with genotype 3</w:t>
            </w:r>
          </w:p>
        </w:tc>
      </w:tr>
      <w:tr w:rsidR="004D0486" w:rsidRPr="00460721" w14:paraId="61F90750" w14:textId="77777777" w:rsidTr="0065128F">
        <w:trPr>
          <w:trHeight w:val="1557"/>
        </w:trPr>
        <w:tc>
          <w:tcPr>
            <w:tcW w:w="1037" w:type="pct"/>
            <w:vMerge/>
          </w:tcPr>
          <w:p w14:paraId="0A174D08" w14:textId="77777777" w:rsidR="004D0486" w:rsidRPr="00460721" w:rsidRDefault="004D0486" w:rsidP="007C0E4B">
            <w:pPr>
              <w:spacing w:line="360" w:lineRule="auto"/>
              <w:jc w:val="both"/>
              <w:rPr>
                <w:rFonts w:ascii="Book Antiqua" w:eastAsiaTheme="minorHAnsi" w:hAnsi="Book Antiqua"/>
                <w:color w:val="000000" w:themeColor="text1"/>
                <w:lang w:val="en-US"/>
              </w:rPr>
            </w:pPr>
          </w:p>
        </w:tc>
        <w:tc>
          <w:tcPr>
            <w:tcW w:w="972" w:type="pct"/>
            <w:vMerge/>
          </w:tcPr>
          <w:p w14:paraId="3AF2E4DA" w14:textId="77777777" w:rsidR="004D0486" w:rsidRPr="00460721" w:rsidRDefault="004D0486" w:rsidP="007C0E4B">
            <w:pPr>
              <w:spacing w:line="360" w:lineRule="auto"/>
              <w:jc w:val="both"/>
              <w:rPr>
                <w:rFonts w:ascii="Book Antiqua" w:hAnsi="Book Antiqua"/>
              </w:rPr>
            </w:pPr>
          </w:p>
        </w:tc>
        <w:tc>
          <w:tcPr>
            <w:tcW w:w="1040" w:type="pct"/>
            <w:vMerge/>
          </w:tcPr>
          <w:p w14:paraId="13425AD6" w14:textId="77777777" w:rsidR="004D0486" w:rsidRPr="00460721" w:rsidRDefault="004D0486" w:rsidP="007C0E4B">
            <w:pPr>
              <w:spacing w:line="360" w:lineRule="auto"/>
              <w:jc w:val="both"/>
              <w:rPr>
                <w:rFonts w:ascii="Book Antiqua" w:hAnsi="Book Antiqua"/>
              </w:rPr>
            </w:pPr>
          </w:p>
        </w:tc>
        <w:tc>
          <w:tcPr>
            <w:tcW w:w="1951" w:type="pct"/>
          </w:tcPr>
          <w:p w14:paraId="73A37CD6" w14:textId="1B3ACAB1" w:rsidR="004D0486" w:rsidRPr="00460721" w:rsidRDefault="004D0486" w:rsidP="007C0E4B">
            <w:pPr>
              <w:pStyle w:val="a7"/>
              <w:spacing w:line="360" w:lineRule="auto"/>
              <w:ind w:left="0"/>
              <w:jc w:val="both"/>
              <w:rPr>
                <w:rFonts w:ascii="Book Antiqua" w:hAnsi="Book Antiqua"/>
                <w:lang w:val="en-US"/>
              </w:rPr>
            </w:pPr>
            <w:r w:rsidRPr="00460721">
              <w:rPr>
                <w:rFonts w:ascii="Book Antiqua" w:hAnsi="Book Antiqua"/>
                <w:lang w:val="en-US"/>
              </w:rPr>
              <w:t xml:space="preserve">No change in genotype 3 non-responders </w:t>
            </w:r>
            <w:r w:rsidR="005C3B6F">
              <w:rPr>
                <w:rFonts w:ascii="Book Antiqua" w:hAnsi="Book Antiqua" w:cs="Times New Roman"/>
              </w:rPr>
              <w:t>and</w:t>
            </w:r>
            <w:r w:rsidRPr="00460721">
              <w:rPr>
                <w:rFonts w:ascii="Book Antiqua" w:hAnsi="Book Antiqua"/>
                <w:lang w:val="en-US"/>
              </w:rPr>
              <w:t xml:space="preserve"> in patients with genotype 1 regardless of response</w:t>
            </w:r>
          </w:p>
        </w:tc>
      </w:tr>
      <w:tr w:rsidR="004D0486" w:rsidRPr="00460721" w14:paraId="323E40D5" w14:textId="77777777" w:rsidTr="0065128F">
        <w:trPr>
          <w:trHeight w:val="421"/>
        </w:trPr>
        <w:tc>
          <w:tcPr>
            <w:tcW w:w="1037" w:type="pct"/>
            <w:vMerge/>
          </w:tcPr>
          <w:p w14:paraId="4043B043" w14:textId="77777777" w:rsidR="004D0486" w:rsidRPr="00460721" w:rsidRDefault="004D0486" w:rsidP="007C0E4B">
            <w:pPr>
              <w:spacing w:line="360" w:lineRule="auto"/>
              <w:jc w:val="both"/>
              <w:rPr>
                <w:rFonts w:ascii="Book Antiqua" w:eastAsiaTheme="minorHAnsi" w:hAnsi="Book Antiqua"/>
                <w:color w:val="000000" w:themeColor="text1"/>
                <w:lang w:val="en-US"/>
              </w:rPr>
            </w:pPr>
          </w:p>
        </w:tc>
        <w:tc>
          <w:tcPr>
            <w:tcW w:w="972" w:type="pct"/>
            <w:vMerge/>
          </w:tcPr>
          <w:p w14:paraId="7FCDCE7B" w14:textId="77777777" w:rsidR="004D0486" w:rsidRPr="00460721" w:rsidRDefault="004D0486" w:rsidP="007C0E4B">
            <w:pPr>
              <w:spacing w:line="360" w:lineRule="auto"/>
              <w:jc w:val="both"/>
              <w:rPr>
                <w:rFonts w:ascii="Book Antiqua" w:hAnsi="Book Antiqua"/>
              </w:rPr>
            </w:pPr>
          </w:p>
        </w:tc>
        <w:tc>
          <w:tcPr>
            <w:tcW w:w="1040" w:type="pct"/>
            <w:vMerge/>
          </w:tcPr>
          <w:p w14:paraId="15774437" w14:textId="77777777" w:rsidR="004D0486" w:rsidRPr="00460721" w:rsidRDefault="004D0486" w:rsidP="007C0E4B">
            <w:pPr>
              <w:spacing w:line="360" w:lineRule="auto"/>
              <w:jc w:val="both"/>
              <w:rPr>
                <w:rFonts w:ascii="Book Antiqua" w:hAnsi="Book Antiqua"/>
              </w:rPr>
            </w:pPr>
          </w:p>
        </w:tc>
        <w:tc>
          <w:tcPr>
            <w:tcW w:w="1951" w:type="pct"/>
          </w:tcPr>
          <w:p w14:paraId="1B80AB74" w14:textId="70905E08" w:rsidR="004D0486" w:rsidRPr="00460721" w:rsidRDefault="004D0486" w:rsidP="007C0E4B">
            <w:pPr>
              <w:pStyle w:val="a7"/>
              <w:spacing w:line="360" w:lineRule="auto"/>
              <w:ind w:left="0"/>
              <w:jc w:val="both"/>
              <w:rPr>
                <w:rFonts w:ascii="Book Antiqua" w:hAnsi="Book Antiqua"/>
                <w:lang w:val="en-US"/>
              </w:rPr>
            </w:pPr>
            <w:r w:rsidRPr="00460721">
              <w:rPr>
                <w:rFonts w:ascii="Book Antiqua" w:hAnsi="Book Antiqua"/>
                <w:lang w:val="en-US"/>
              </w:rPr>
              <w:t>Decrease in steatosis</w:t>
            </w:r>
          </w:p>
        </w:tc>
      </w:tr>
      <w:tr w:rsidR="00B63145" w:rsidRPr="00460721" w14:paraId="779BF28B" w14:textId="77777777" w:rsidTr="0065128F">
        <w:trPr>
          <w:trHeight w:val="912"/>
        </w:trPr>
        <w:tc>
          <w:tcPr>
            <w:tcW w:w="1037" w:type="pct"/>
          </w:tcPr>
          <w:p w14:paraId="283D7CF4" w14:textId="61B8B8A7"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Giordanino </w:t>
            </w:r>
            <w:r w:rsidRPr="00CE18BA">
              <w:rPr>
                <w:rFonts w:ascii="Book Antiqua" w:eastAsiaTheme="minorHAnsi" w:hAnsi="Book Antiqua"/>
                <w:i/>
                <w:iCs/>
                <w:color w:val="000000" w:themeColor="text1"/>
                <w:lang w:val="en-US"/>
              </w:rPr>
              <w:t>et al</w:t>
            </w:r>
            <w:r w:rsidR="00017418" w:rsidRPr="00CE18BA">
              <w:rPr>
                <w:rFonts w:ascii="Book Antiqua" w:eastAsiaTheme="minorHAnsi" w:hAnsi="Book Antiqua"/>
                <w:color w:val="000000" w:themeColor="text1"/>
                <w:vertAlign w:val="superscript"/>
                <w:lang w:val="en-US"/>
              </w:rPr>
              <w:t>[71]</w:t>
            </w:r>
            <w:r w:rsidRPr="00CE18BA">
              <w:rPr>
                <w:rFonts w:ascii="Book Antiqua" w:eastAsiaTheme="minorHAnsi" w:hAnsi="Book Antiqua"/>
                <w:color w:val="000000" w:themeColor="text1"/>
                <w:lang w:val="en-US"/>
              </w:rPr>
              <w:t>, 2008</w:t>
            </w:r>
          </w:p>
        </w:tc>
        <w:tc>
          <w:tcPr>
            <w:tcW w:w="972" w:type="pct"/>
          </w:tcPr>
          <w:p w14:paraId="59EF6A1D" w14:textId="209EB271"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 monotherapy or Peg-IFN + RBV (24-48 wk)</w:t>
            </w:r>
          </w:p>
        </w:tc>
        <w:tc>
          <w:tcPr>
            <w:tcW w:w="1040" w:type="pct"/>
          </w:tcPr>
          <w:p w14:paraId="50C6D3B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Glucose abnormalities (IFG or DM)</w:t>
            </w:r>
          </w:p>
        </w:tc>
        <w:tc>
          <w:tcPr>
            <w:tcW w:w="1951" w:type="pct"/>
          </w:tcPr>
          <w:p w14:paraId="76B4227C" w14:textId="07AAC320" w:rsidR="005E76B6" w:rsidRPr="00CE18BA" w:rsidRDefault="005E76B6" w:rsidP="007C0E4B">
            <w:pPr>
              <w:spacing w:line="360" w:lineRule="auto"/>
              <w:jc w:val="both"/>
              <w:rPr>
                <w:rFonts w:ascii="Book Antiqua" w:eastAsiaTheme="minorHAnsi" w:hAnsi="Book Antiqua"/>
                <w:lang w:val="en-US"/>
              </w:rPr>
            </w:pPr>
            <w:r w:rsidRPr="00CE18BA">
              <w:rPr>
                <w:rFonts w:ascii="Book Antiqua" w:hAnsi="Book Antiqua"/>
                <w:lang w:val="en-US"/>
              </w:rPr>
              <w:t xml:space="preserve">No significant reduction in the risk of glucose intolerance in long-term responders </w:t>
            </w:r>
            <w:r w:rsidR="006F59ED">
              <w:rPr>
                <w:rFonts w:ascii="Book Antiqua" w:eastAsia="Times New Roman" w:hAnsi="Book Antiqua" w:cs="Times New Roman"/>
              </w:rPr>
              <w:t>and</w:t>
            </w:r>
            <w:r w:rsidRPr="00CE18BA">
              <w:rPr>
                <w:rFonts w:ascii="Book Antiqua" w:hAnsi="Book Antiqua"/>
                <w:lang w:val="en-US"/>
              </w:rPr>
              <w:t xml:space="preserve"> non-responders</w:t>
            </w:r>
          </w:p>
        </w:tc>
      </w:tr>
      <w:tr w:rsidR="00B63145" w:rsidRPr="00460721" w14:paraId="756C1AB5" w14:textId="77777777" w:rsidTr="0065128F">
        <w:trPr>
          <w:trHeight w:val="852"/>
        </w:trPr>
        <w:tc>
          <w:tcPr>
            <w:tcW w:w="1037" w:type="pct"/>
          </w:tcPr>
          <w:p w14:paraId="34B4B64F" w14:textId="5A082827"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Arase </w:t>
            </w:r>
            <w:r w:rsidRPr="00CE18BA">
              <w:rPr>
                <w:rFonts w:ascii="Book Antiqua" w:eastAsiaTheme="minorHAnsi" w:hAnsi="Book Antiqua"/>
                <w:i/>
                <w:iCs/>
                <w:color w:val="000000" w:themeColor="text1"/>
                <w:lang w:val="en-US"/>
              </w:rPr>
              <w:t>et al</w:t>
            </w:r>
            <w:r w:rsidR="00D7698D" w:rsidRPr="00CE18BA">
              <w:rPr>
                <w:rFonts w:ascii="Book Antiqua" w:eastAsiaTheme="minorHAnsi" w:hAnsi="Book Antiqua"/>
                <w:color w:val="000000" w:themeColor="text1"/>
                <w:vertAlign w:val="superscript"/>
                <w:lang w:val="en-US"/>
              </w:rPr>
              <w:t>[70]</w:t>
            </w:r>
            <w:r w:rsidRPr="00CE18BA">
              <w:rPr>
                <w:rFonts w:ascii="Book Antiqua" w:eastAsiaTheme="minorHAnsi" w:hAnsi="Book Antiqua"/>
                <w:color w:val="000000" w:themeColor="text1"/>
                <w:lang w:val="en-US"/>
              </w:rPr>
              <w:t>, 2009</w:t>
            </w:r>
          </w:p>
        </w:tc>
        <w:tc>
          <w:tcPr>
            <w:tcW w:w="972" w:type="pct"/>
          </w:tcPr>
          <w:p w14:paraId="13C2B943"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 monotherapy or IFN + RBV</w:t>
            </w:r>
            <w:r w:rsidRPr="00CE18BA">
              <w:rPr>
                <w:rFonts w:ascii="Book Antiqua" w:hAnsi="Book Antiqua"/>
                <w:vertAlign w:val="superscript"/>
                <w:lang w:val="en-US"/>
              </w:rPr>
              <w:t>2</w:t>
            </w:r>
          </w:p>
        </w:tc>
        <w:tc>
          <w:tcPr>
            <w:tcW w:w="1040" w:type="pct"/>
          </w:tcPr>
          <w:p w14:paraId="3049FA89"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DM </w:t>
            </w:r>
          </w:p>
        </w:tc>
        <w:tc>
          <w:tcPr>
            <w:tcW w:w="1951" w:type="pct"/>
          </w:tcPr>
          <w:p w14:paraId="211D2047"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Decreased incidence of DM in sustained responders. However, its development is associated with advanced liver disease </w:t>
            </w:r>
          </w:p>
        </w:tc>
      </w:tr>
      <w:tr w:rsidR="00D94DBD" w:rsidRPr="00460721" w14:paraId="74F68499" w14:textId="77777777" w:rsidTr="0065128F">
        <w:trPr>
          <w:trHeight w:val="1357"/>
        </w:trPr>
        <w:tc>
          <w:tcPr>
            <w:tcW w:w="1037" w:type="pct"/>
            <w:vMerge w:val="restart"/>
          </w:tcPr>
          <w:p w14:paraId="4F498691" w14:textId="79BB32D4" w:rsidR="00D94DBD" w:rsidRPr="00CE18BA" w:rsidRDefault="00D94DBD" w:rsidP="007C0E4B">
            <w:pPr>
              <w:spacing w:line="360" w:lineRule="auto"/>
              <w:jc w:val="both"/>
              <w:rPr>
                <w:rFonts w:ascii="Book Antiqua" w:eastAsiaTheme="minorHAnsi" w:hAnsi="Book Antiqua"/>
                <w:color w:val="000000" w:themeColor="text1"/>
                <w:lang w:val="en-US"/>
              </w:rPr>
            </w:pPr>
            <w:r w:rsidRPr="00CE18BA">
              <w:rPr>
                <w:rFonts w:ascii="Book Antiqua" w:hAnsi="Book Antiqua"/>
                <w:lang w:val="en-US"/>
              </w:rPr>
              <w:t xml:space="preserve">Corey </w:t>
            </w:r>
            <w:r w:rsidRPr="00CE18BA">
              <w:rPr>
                <w:rFonts w:ascii="Book Antiqua" w:hAnsi="Book Antiqua"/>
                <w:i/>
                <w:iCs/>
                <w:lang w:val="en-US"/>
              </w:rPr>
              <w:t>et al</w:t>
            </w:r>
            <w:r w:rsidRPr="00CE18BA">
              <w:rPr>
                <w:rFonts w:ascii="Book Antiqua" w:hAnsi="Book Antiqua"/>
                <w:vertAlign w:val="superscript"/>
                <w:lang w:val="en-US"/>
              </w:rPr>
              <w:t>[18]</w:t>
            </w:r>
            <w:r w:rsidRPr="00CE18BA">
              <w:rPr>
                <w:rFonts w:ascii="Book Antiqua" w:hAnsi="Book Antiqua"/>
                <w:lang w:val="en-US"/>
              </w:rPr>
              <w:t>, 2009</w:t>
            </w:r>
          </w:p>
        </w:tc>
        <w:tc>
          <w:tcPr>
            <w:tcW w:w="972" w:type="pct"/>
            <w:vMerge w:val="restart"/>
          </w:tcPr>
          <w:p w14:paraId="52BC4968" w14:textId="77777777"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NA</w:t>
            </w:r>
            <w:r w:rsidRPr="00CE18BA">
              <w:rPr>
                <w:rFonts w:ascii="Book Antiqua" w:hAnsi="Book Antiqua"/>
                <w:vertAlign w:val="superscript"/>
                <w:lang w:val="en-US"/>
              </w:rPr>
              <w:t>1</w:t>
            </w:r>
          </w:p>
        </w:tc>
        <w:tc>
          <w:tcPr>
            <w:tcW w:w="1040" w:type="pct"/>
          </w:tcPr>
          <w:p w14:paraId="1E8A4875" w14:textId="28AC47FA"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Lipid abnormalities</w:t>
            </w:r>
          </w:p>
        </w:tc>
        <w:tc>
          <w:tcPr>
            <w:tcW w:w="1951" w:type="pct"/>
          </w:tcPr>
          <w:p w14:paraId="3F171E69" w14:textId="64D17105" w:rsidR="00D94DBD" w:rsidRPr="00CE18BA" w:rsidRDefault="00D94DBD" w:rsidP="005C3B6F">
            <w:pPr>
              <w:pStyle w:val="Default"/>
              <w:spacing w:line="360" w:lineRule="auto"/>
              <w:jc w:val="both"/>
              <w:rPr>
                <w:rFonts w:ascii="Book Antiqua" w:hAnsi="Book Antiqua"/>
              </w:rPr>
            </w:pPr>
            <w:r w:rsidRPr="00CE18BA">
              <w:rPr>
                <w:rFonts w:ascii="Book Antiqua" w:eastAsia="Times New Roman" w:hAnsi="Book Antiqua" w:cs="Times New Roman"/>
                <w:color w:val="auto"/>
              </w:rPr>
              <w:t xml:space="preserve">Increased LDL </w:t>
            </w:r>
            <w:r w:rsidR="005C3B6F">
              <w:rPr>
                <w:rFonts w:ascii="Book Antiqua" w:eastAsia="Times New Roman" w:hAnsi="Book Antiqua" w:cs="Times New Roman"/>
                <w:color w:val="auto"/>
              </w:rPr>
              <w:t>and</w:t>
            </w:r>
            <w:r w:rsidRPr="00CE18BA">
              <w:rPr>
                <w:rFonts w:ascii="Book Antiqua" w:eastAsia="Times New Roman" w:hAnsi="Book Antiqua" w:cs="Times New Roman"/>
                <w:color w:val="auto"/>
              </w:rPr>
              <w:t xml:space="preserve"> total cholesterol from baseline compared to non-responders</w:t>
            </w:r>
          </w:p>
        </w:tc>
      </w:tr>
      <w:tr w:rsidR="00D94DBD" w:rsidRPr="00460721" w14:paraId="495419B8" w14:textId="77777777" w:rsidTr="0065128F">
        <w:trPr>
          <w:trHeight w:val="554"/>
        </w:trPr>
        <w:tc>
          <w:tcPr>
            <w:tcW w:w="1037" w:type="pct"/>
            <w:vMerge/>
          </w:tcPr>
          <w:p w14:paraId="4A09DE22" w14:textId="77777777" w:rsidR="00D94DBD" w:rsidRPr="00CE18BA" w:rsidRDefault="00D94DBD" w:rsidP="007C0E4B">
            <w:pPr>
              <w:spacing w:line="360" w:lineRule="auto"/>
              <w:jc w:val="both"/>
              <w:rPr>
                <w:rFonts w:ascii="Book Antiqua" w:hAnsi="Book Antiqua"/>
              </w:rPr>
            </w:pPr>
          </w:p>
        </w:tc>
        <w:tc>
          <w:tcPr>
            <w:tcW w:w="972" w:type="pct"/>
            <w:vMerge/>
          </w:tcPr>
          <w:p w14:paraId="779B9723" w14:textId="77777777" w:rsidR="00D94DBD" w:rsidRPr="00CE18BA" w:rsidRDefault="00D94DBD" w:rsidP="007C0E4B">
            <w:pPr>
              <w:spacing w:line="360" w:lineRule="auto"/>
              <w:jc w:val="both"/>
              <w:rPr>
                <w:rFonts w:ascii="Book Antiqua" w:hAnsi="Book Antiqua"/>
              </w:rPr>
            </w:pPr>
          </w:p>
        </w:tc>
        <w:tc>
          <w:tcPr>
            <w:tcW w:w="1040" w:type="pct"/>
          </w:tcPr>
          <w:p w14:paraId="27022349" w14:textId="0C7A8520" w:rsidR="00D94DBD" w:rsidRPr="00CE18BA" w:rsidRDefault="00D94DBD" w:rsidP="007C0E4B">
            <w:pPr>
              <w:spacing w:line="360" w:lineRule="auto"/>
              <w:jc w:val="both"/>
              <w:rPr>
                <w:rFonts w:ascii="Book Antiqua" w:hAnsi="Book Antiqua"/>
              </w:rPr>
            </w:pPr>
            <w:r w:rsidRPr="00CE18BA">
              <w:rPr>
                <w:rFonts w:ascii="Book Antiqua" w:hAnsi="Book Antiqua"/>
                <w:lang w:val="en-US"/>
              </w:rPr>
              <w:t>Risk of CVD</w:t>
            </w:r>
          </w:p>
        </w:tc>
        <w:tc>
          <w:tcPr>
            <w:tcW w:w="1951" w:type="pct"/>
          </w:tcPr>
          <w:p w14:paraId="18106DE1" w14:textId="72434211" w:rsidR="00D94DBD" w:rsidRPr="00CE18BA" w:rsidRDefault="00D94DBD" w:rsidP="007C0E4B">
            <w:pPr>
              <w:pStyle w:val="Default"/>
              <w:spacing w:line="360" w:lineRule="auto"/>
              <w:jc w:val="both"/>
              <w:rPr>
                <w:rFonts w:ascii="Book Antiqua" w:eastAsia="Times New Roman" w:hAnsi="Book Antiqua" w:cs="Times New Roman"/>
                <w:color w:val="auto"/>
              </w:rPr>
            </w:pPr>
            <w:r w:rsidRPr="00CE18BA">
              <w:rPr>
                <w:rFonts w:ascii="Book Antiqua" w:eastAsia="Times New Roman" w:hAnsi="Book Antiqua" w:cs="Times New Roman"/>
                <w:color w:val="auto"/>
              </w:rPr>
              <w:t>Increased CVD risk profile</w:t>
            </w:r>
          </w:p>
        </w:tc>
      </w:tr>
      <w:tr w:rsidR="00D94DBD" w:rsidRPr="00460721" w14:paraId="5CDC0E37" w14:textId="77777777" w:rsidTr="0065128F">
        <w:trPr>
          <w:trHeight w:val="618"/>
        </w:trPr>
        <w:tc>
          <w:tcPr>
            <w:tcW w:w="1037" w:type="pct"/>
            <w:vMerge w:val="restart"/>
          </w:tcPr>
          <w:p w14:paraId="3049D559" w14:textId="367388D2" w:rsidR="00D94DBD" w:rsidRPr="00CE18BA" w:rsidRDefault="00D94DBD"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Conjeevaram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[67]</w:t>
            </w:r>
            <w:r w:rsidRPr="00CE18BA">
              <w:rPr>
                <w:rFonts w:ascii="Book Antiqua" w:eastAsiaTheme="minorHAnsi" w:hAnsi="Book Antiqua"/>
                <w:color w:val="000000" w:themeColor="text1"/>
                <w:lang w:val="en-US"/>
              </w:rPr>
              <w:t>, 2011</w:t>
            </w:r>
          </w:p>
        </w:tc>
        <w:tc>
          <w:tcPr>
            <w:tcW w:w="972" w:type="pct"/>
            <w:vMerge w:val="restart"/>
          </w:tcPr>
          <w:p w14:paraId="1B8A833D" w14:textId="6AE30497"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Peg-IFN + RBV (24-48 wk)</w:t>
            </w:r>
          </w:p>
        </w:tc>
        <w:tc>
          <w:tcPr>
            <w:tcW w:w="1040" w:type="pct"/>
          </w:tcPr>
          <w:p w14:paraId="4F7914C2" w14:textId="5351E4B5"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IR</w:t>
            </w:r>
          </w:p>
        </w:tc>
        <w:tc>
          <w:tcPr>
            <w:tcW w:w="1951" w:type="pct"/>
          </w:tcPr>
          <w:p w14:paraId="67810CFC" w14:textId="5376AC6F" w:rsidR="00D94DBD" w:rsidRPr="00CE18BA" w:rsidRDefault="00D94DBD"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Decreased IR</w:t>
            </w:r>
          </w:p>
        </w:tc>
      </w:tr>
      <w:tr w:rsidR="00D94DBD" w:rsidRPr="00460721" w14:paraId="6EA70E7F" w14:textId="77777777" w:rsidTr="0065128F">
        <w:trPr>
          <w:trHeight w:val="618"/>
        </w:trPr>
        <w:tc>
          <w:tcPr>
            <w:tcW w:w="1037" w:type="pct"/>
            <w:vMerge/>
          </w:tcPr>
          <w:p w14:paraId="5A2A36A5" w14:textId="77777777" w:rsidR="00D94DBD" w:rsidRPr="00CE18BA" w:rsidRDefault="00D94DBD" w:rsidP="0065128F">
            <w:pPr>
              <w:spacing w:line="360" w:lineRule="auto"/>
              <w:jc w:val="both"/>
              <w:rPr>
                <w:rFonts w:ascii="Book Antiqua" w:eastAsiaTheme="minorHAnsi" w:hAnsi="Book Antiqua"/>
                <w:color w:val="000000" w:themeColor="text1"/>
              </w:rPr>
            </w:pPr>
          </w:p>
        </w:tc>
        <w:tc>
          <w:tcPr>
            <w:tcW w:w="972" w:type="pct"/>
            <w:vMerge/>
          </w:tcPr>
          <w:p w14:paraId="207F4736" w14:textId="77777777" w:rsidR="00D94DBD" w:rsidRPr="00CE18BA" w:rsidRDefault="00D94DBD" w:rsidP="007C0E4B">
            <w:pPr>
              <w:spacing w:line="360" w:lineRule="auto"/>
              <w:jc w:val="both"/>
              <w:rPr>
                <w:rFonts w:ascii="Book Antiqua" w:hAnsi="Book Antiqua"/>
              </w:rPr>
            </w:pPr>
          </w:p>
        </w:tc>
        <w:tc>
          <w:tcPr>
            <w:tcW w:w="1040" w:type="pct"/>
          </w:tcPr>
          <w:p w14:paraId="4DDBB257" w14:textId="7BF3D6BC" w:rsidR="00D94DBD" w:rsidRPr="00CE18BA" w:rsidRDefault="00D94DBD" w:rsidP="007C0E4B">
            <w:pPr>
              <w:spacing w:line="360" w:lineRule="auto"/>
              <w:jc w:val="both"/>
              <w:rPr>
                <w:rFonts w:ascii="Book Antiqua" w:hAnsi="Book Antiqua"/>
              </w:rPr>
            </w:pPr>
            <w:r w:rsidRPr="00CE18BA">
              <w:rPr>
                <w:rFonts w:ascii="Book Antiqua" w:hAnsi="Book Antiqua"/>
                <w:lang w:val="en-US"/>
              </w:rPr>
              <w:t>Obesity</w:t>
            </w:r>
          </w:p>
        </w:tc>
        <w:tc>
          <w:tcPr>
            <w:tcW w:w="1951" w:type="pct"/>
          </w:tcPr>
          <w:p w14:paraId="005597A4" w14:textId="3ABFEC6E" w:rsidR="00D94DBD" w:rsidRPr="00CE18BA" w:rsidRDefault="00D94DBD"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Decreased in BMI</w:t>
            </w:r>
          </w:p>
        </w:tc>
      </w:tr>
      <w:tr w:rsidR="00BC3601" w:rsidRPr="00460721" w14:paraId="7CFBC71F" w14:textId="77777777" w:rsidTr="0065128F">
        <w:trPr>
          <w:trHeight w:val="993"/>
        </w:trPr>
        <w:tc>
          <w:tcPr>
            <w:tcW w:w="1037" w:type="pct"/>
            <w:vMerge w:val="restart"/>
          </w:tcPr>
          <w:p w14:paraId="011A38B0" w14:textId="53B8BC27" w:rsidR="00BC3601" w:rsidRPr="00CE18BA" w:rsidRDefault="00BC3601"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Kuo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[27]</w:t>
            </w:r>
            <w:r w:rsidRPr="00CE18BA">
              <w:rPr>
                <w:rFonts w:ascii="Book Antiqua" w:eastAsiaTheme="minorHAnsi" w:hAnsi="Book Antiqua"/>
                <w:color w:val="000000" w:themeColor="text1"/>
                <w:lang w:val="en-US"/>
              </w:rPr>
              <w:t>, 2011</w:t>
            </w:r>
          </w:p>
        </w:tc>
        <w:tc>
          <w:tcPr>
            <w:tcW w:w="972" w:type="pct"/>
            <w:vMerge w:val="restart"/>
          </w:tcPr>
          <w:p w14:paraId="65FD7035" w14:textId="12CC6E86" w:rsidR="00BC3601" w:rsidRPr="00CE18BA" w:rsidRDefault="00BC3601" w:rsidP="007C0E4B">
            <w:pPr>
              <w:spacing w:line="360" w:lineRule="auto"/>
              <w:jc w:val="both"/>
              <w:rPr>
                <w:rFonts w:ascii="Book Antiqua" w:hAnsi="Book Antiqua"/>
                <w:lang w:val="en-US"/>
              </w:rPr>
            </w:pPr>
            <w:r w:rsidRPr="00CE18BA">
              <w:rPr>
                <w:rFonts w:ascii="Book Antiqua" w:hAnsi="Book Antiqua"/>
                <w:lang w:val="en-US"/>
              </w:rPr>
              <w:t>Peg-IFN + RBV (24 wk)</w:t>
            </w:r>
          </w:p>
        </w:tc>
        <w:tc>
          <w:tcPr>
            <w:tcW w:w="1040" w:type="pct"/>
            <w:vMerge w:val="restart"/>
          </w:tcPr>
          <w:p w14:paraId="46C68AE7" w14:textId="77777777" w:rsidR="00BC3601" w:rsidRPr="00CE18BA" w:rsidRDefault="00BC3601" w:rsidP="007C0E4B">
            <w:pPr>
              <w:spacing w:line="360" w:lineRule="auto"/>
              <w:jc w:val="both"/>
              <w:rPr>
                <w:rFonts w:ascii="Book Antiqua" w:hAnsi="Book Antiqua"/>
                <w:lang w:val="en-US"/>
              </w:rPr>
            </w:pPr>
            <w:r w:rsidRPr="00CE18BA">
              <w:rPr>
                <w:rFonts w:ascii="Book Antiqua" w:hAnsi="Book Antiqua"/>
                <w:lang w:val="en-US"/>
              </w:rPr>
              <w:t>Change in serum lipid</w:t>
            </w:r>
          </w:p>
        </w:tc>
        <w:tc>
          <w:tcPr>
            <w:tcW w:w="1951" w:type="pct"/>
          </w:tcPr>
          <w:p w14:paraId="2534FDDD" w14:textId="1CE879C6" w:rsidR="00BC3601" w:rsidRPr="00CE18BA" w:rsidRDefault="00BC3601" w:rsidP="007C0E4B">
            <w:pPr>
              <w:pStyle w:val="a7"/>
              <w:spacing w:line="360" w:lineRule="auto"/>
              <w:ind w:left="0"/>
              <w:jc w:val="both"/>
              <w:rPr>
                <w:rFonts w:ascii="Book Antiqua" w:hAnsi="Book Antiqua"/>
                <w:lang w:val="en-US"/>
              </w:rPr>
            </w:pPr>
            <w:r w:rsidRPr="00CE18BA">
              <w:rPr>
                <w:rFonts w:ascii="Book Antiqua" w:hAnsi="Book Antiqua"/>
                <w:lang w:val="en-US"/>
              </w:rPr>
              <w:t xml:space="preserve">Total cholesterol </w:t>
            </w:r>
            <w:r w:rsidR="006F59ED">
              <w:rPr>
                <w:rFonts w:ascii="Book Antiqua" w:hAnsi="Book Antiqua" w:cs="Times New Roman"/>
              </w:rPr>
              <w:t>and</w:t>
            </w:r>
            <w:r w:rsidRPr="00CE18BA">
              <w:rPr>
                <w:rFonts w:ascii="Book Antiqua" w:hAnsi="Book Antiqua"/>
                <w:lang w:val="en-US"/>
              </w:rPr>
              <w:t xml:space="preserve"> triglycerides levels significantly increased</w:t>
            </w:r>
          </w:p>
        </w:tc>
      </w:tr>
      <w:tr w:rsidR="00BC3601" w:rsidRPr="00460721" w14:paraId="297F9FFB" w14:textId="77777777" w:rsidTr="0065128F">
        <w:trPr>
          <w:trHeight w:val="1062"/>
        </w:trPr>
        <w:tc>
          <w:tcPr>
            <w:tcW w:w="1037" w:type="pct"/>
            <w:vMerge/>
          </w:tcPr>
          <w:p w14:paraId="33E1CC58" w14:textId="77777777" w:rsidR="00BC3601" w:rsidRPr="00CE18BA" w:rsidRDefault="00BC3601" w:rsidP="007C0E4B">
            <w:pPr>
              <w:spacing w:line="360" w:lineRule="auto"/>
              <w:jc w:val="both"/>
              <w:rPr>
                <w:rFonts w:ascii="Book Antiqua" w:eastAsiaTheme="minorHAnsi" w:hAnsi="Book Antiqua"/>
                <w:color w:val="000000" w:themeColor="text1"/>
              </w:rPr>
            </w:pPr>
          </w:p>
        </w:tc>
        <w:tc>
          <w:tcPr>
            <w:tcW w:w="972" w:type="pct"/>
            <w:vMerge/>
          </w:tcPr>
          <w:p w14:paraId="78692594" w14:textId="77777777" w:rsidR="00BC3601" w:rsidRPr="00CE18BA" w:rsidRDefault="00BC3601" w:rsidP="007C0E4B">
            <w:pPr>
              <w:spacing w:line="360" w:lineRule="auto"/>
              <w:jc w:val="both"/>
              <w:rPr>
                <w:rFonts w:ascii="Book Antiqua" w:hAnsi="Book Antiqua"/>
              </w:rPr>
            </w:pPr>
          </w:p>
        </w:tc>
        <w:tc>
          <w:tcPr>
            <w:tcW w:w="1040" w:type="pct"/>
            <w:vMerge/>
          </w:tcPr>
          <w:p w14:paraId="74D3A842" w14:textId="77777777" w:rsidR="00BC3601" w:rsidRPr="00CE18BA" w:rsidRDefault="00BC3601" w:rsidP="007C0E4B">
            <w:pPr>
              <w:spacing w:line="360" w:lineRule="auto"/>
              <w:jc w:val="both"/>
              <w:rPr>
                <w:rFonts w:ascii="Book Antiqua" w:hAnsi="Book Antiqua"/>
              </w:rPr>
            </w:pPr>
          </w:p>
        </w:tc>
        <w:tc>
          <w:tcPr>
            <w:tcW w:w="1951" w:type="pct"/>
          </w:tcPr>
          <w:p w14:paraId="76EAD1CD" w14:textId="36CEB2F8" w:rsidR="00BC3601" w:rsidRPr="00CE18BA" w:rsidRDefault="00BC3601" w:rsidP="007C0E4B">
            <w:pPr>
              <w:pStyle w:val="a7"/>
              <w:spacing w:line="360" w:lineRule="auto"/>
              <w:ind w:left="0"/>
              <w:jc w:val="both"/>
              <w:rPr>
                <w:rFonts w:ascii="Book Antiqua" w:hAnsi="Book Antiqua"/>
                <w:lang w:val="en-US"/>
              </w:rPr>
            </w:pPr>
            <w:r w:rsidRPr="00CE18BA">
              <w:rPr>
                <w:rFonts w:ascii="Book Antiqua" w:hAnsi="Book Antiqua"/>
                <w:lang w:val="en-US"/>
              </w:rPr>
              <w:t>No evident change in lipid profile occurred in non-SVR group</w:t>
            </w:r>
          </w:p>
        </w:tc>
      </w:tr>
      <w:tr w:rsidR="00CE0BCD" w:rsidRPr="00460721" w14:paraId="2E766625" w14:textId="77777777" w:rsidTr="0065128F">
        <w:trPr>
          <w:trHeight w:val="1153"/>
        </w:trPr>
        <w:tc>
          <w:tcPr>
            <w:tcW w:w="1037" w:type="pct"/>
            <w:vMerge w:val="restart"/>
          </w:tcPr>
          <w:p w14:paraId="6212E72C" w14:textId="497CE33B" w:rsidR="00CE0BCD" w:rsidRPr="00CE18BA" w:rsidRDefault="00CE0BCD"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Aghemo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[68]</w:t>
            </w:r>
            <w:r w:rsidRPr="00CE18BA">
              <w:rPr>
                <w:rFonts w:ascii="Book Antiqua" w:eastAsiaTheme="minorHAnsi" w:hAnsi="Book Antiqua"/>
                <w:color w:val="000000" w:themeColor="text1"/>
                <w:lang w:val="en-US"/>
              </w:rPr>
              <w:t>, 2012</w:t>
            </w:r>
          </w:p>
        </w:tc>
        <w:tc>
          <w:tcPr>
            <w:tcW w:w="972" w:type="pct"/>
            <w:vMerge w:val="restart"/>
          </w:tcPr>
          <w:p w14:paraId="0A3B6704" w14:textId="77777777" w:rsidR="00CE0BCD" w:rsidRPr="00CE18BA" w:rsidRDefault="00CE0BCD" w:rsidP="007C0E4B">
            <w:pPr>
              <w:spacing w:line="360" w:lineRule="auto"/>
              <w:jc w:val="both"/>
              <w:rPr>
                <w:rFonts w:ascii="Book Antiqua" w:hAnsi="Book Antiqua"/>
                <w:lang w:val="en-US"/>
              </w:rPr>
            </w:pPr>
            <w:r w:rsidRPr="00CE18BA">
              <w:rPr>
                <w:rFonts w:ascii="Book Antiqua" w:hAnsi="Book Antiqua"/>
                <w:lang w:val="en-US"/>
              </w:rPr>
              <w:t>Peg-IFN + RBV</w:t>
            </w:r>
            <w:r w:rsidRPr="00CE18BA">
              <w:rPr>
                <w:rFonts w:ascii="Book Antiqua" w:hAnsi="Book Antiqua"/>
                <w:vertAlign w:val="superscript"/>
                <w:lang w:val="en-US"/>
              </w:rPr>
              <w:t>2</w:t>
            </w:r>
          </w:p>
        </w:tc>
        <w:tc>
          <w:tcPr>
            <w:tcW w:w="1040" w:type="pct"/>
            <w:vMerge w:val="restart"/>
          </w:tcPr>
          <w:p w14:paraId="23EBCABD" w14:textId="77777777" w:rsidR="00CE0BCD" w:rsidRPr="00CE18BA" w:rsidRDefault="00CE0BCD" w:rsidP="007C0E4B">
            <w:pPr>
              <w:spacing w:line="360" w:lineRule="auto"/>
              <w:jc w:val="both"/>
              <w:rPr>
                <w:rFonts w:ascii="Book Antiqua" w:hAnsi="Book Antiqua"/>
                <w:lang w:val="en-US"/>
              </w:rPr>
            </w:pPr>
            <w:r w:rsidRPr="00CE18BA">
              <w:rPr>
                <w:rFonts w:ascii="Book Antiqua" w:hAnsi="Book Antiqua"/>
                <w:lang w:val="en-US"/>
              </w:rPr>
              <w:t xml:space="preserve">IR in non-diabetic CHC patients </w:t>
            </w:r>
          </w:p>
        </w:tc>
        <w:tc>
          <w:tcPr>
            <w:tcW w:w="1951" w:type="pct"/>
          </w:tcPr>
          <w:p w14:paraId="104E7F4D" w14:textId="036A7DFB" w:rsidR="00CE0BCD" w:rsidRPr="00CE18BA" w:rsidRDefault="00CE0BCD"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Baseline </w:t>
            </w:r>
            <w:r w:rsidR="00174A7E">
              <w:rPr>
                <w:rFonts w:ascii="Book Antiqua" w:hAnsi="Book Antiqua" w:cs="Times New Roman"/>
              </w:rPr>
              <w:t>and</w:t>
            </w:r>
            <w:r w:rsidRPr="00CE18BA">
              <w:rPr>
                <w:rFonts w:ascii="Book Antiqua" w:hAnsi="Book Antiqua"/>
                <w:lang w:val="en-US"/>
              </w:rPr>
              <w:t xml:space="preserve"> posttreatment HOMA-IR values were similar in SVR patients</w:t>
            </w:r>
          </w:p>
        </w:tc>
      </w:tr>
      <w:tr w:rsidR="00CE0BCD" w:rsidRPr="00460721" w14:paraId="27BC6071" w14:textId="77777777" w:rsidTr="0065128F">
        <w:trPr>
          <w:trHeight w:val="1153"/>
        </w:trPr>
        <w:tc>
          <w:tcPr>
            <w:tcW w:w="1037" w:type="pct"/>
            <w:vMerge/>
          </w:tcPr>
          <w:p w14:paraId="7BCCD2EC" w14:textId="77777777" w:rsidR="00CE0BCD" w:rsidRPr="00CE18BA" w:rsidRDefault="00CE0BCD" w:rsidP="007C0E4B">
            <w:pPr>
              <w:spacing w:line="360" w:lineRule="auto"/>
              <w:jc w:val="both"/>
              <w:rPr>
                <w:rFonts w:ascii="Book Antiqua" w:eastAsiaTheme="minorHAnsi" w:hAnsi="Book Antiqua"/>
                <w:color w:val="000000" w:themeColor="text1"/>
              </w:rPr>
            </w:pPr>
          </w:p>
        </w:tc>
        <w:tc>
          <w:tcPr>
            <w:tcW w:w="972" w:type="pct"/>
            <w:vMerge/>
          </w:tcPr>
          <w:p w14:paraId="7BC49773" w14:textId="77777777" w:rsidR="00CE0BCD" w:rsidRPr="00CE18BA" w:rsidRDefault="00CE0BCD" w:rsidP="007C0E4B">
            <w:pPr>
              <w:spacing w:line="360" w:lineRule="auto"/>
              <w:jc w:val="both"/>
              <w:rPr>
                <w:rFonts w:ascii="Book Antiqua" w:hAnsi="Book Antiqua"/>
              </w:rPr>
            </w:pPr>
          </w:p>
        </w:tc>
        <w:tc>
          <w:tcPr>
            <w:tcW w:w="1040" w:type="pct"/>
            <w:vMerge/>
          </w:tcPr>
          <w:p w14:paraId="3FF31063" w14:textId="77777777" w:rsidR="00CE0BCD" w:rsidRPr="00CE18BA" w:rsidRDefault="00CE0BCD" w:rsidP="007C0E4B">
            <w:pPr>
              <w:spacing w:line="360" w:lineRule="auto"/>
              <w:jc w:val="both"/>
              <w:rPr>
                <w:rFonts w:ascii="Book Antiqua" w:hAnsi="Book Antiqua"/>
              </w:rPr>
            </w:pPr>
          </w:p>
        </w:tc>
        <w:tc>
          <w:tcPr>
            <w:tcW w:w="1951" w:type="pct"/>
          </w:tcPr>
          <w:p w14:paraId="6AC8784F" w14:textId="618017F0" w:rsidR="00CE0BCD" w:rsidRPr="00CE18BA" w:rsidRDefault="00CE0BCD"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Significant increase in HOMA-IR was noted in non-SVR patients</w:t>
            </w:r>
          </w:p>
        </w:tc>
      </w:tr>
      <w:tr w:rsidR="00B63145" w:rsidRPr="00460721" w14:paraId="0F4D905D" w14:textId="77777777" w:rsidTr="0065128F">
        <w:trPr>
          <w:trHeight w:val="594"/>
        </w:trPr>
        <w:tc>
          <w:tcPr>
            <w:tcW w:w="1037" w:type="pct"/>
          </w:tcPr>
          <w:p w14:paraId="0F3963A0" w14:textId="7FA2ECDC"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Clark </w:t>
            </w:r>
            <w:r w:rsidRPr="00CE18BA">
              <w:rPr>
                <w:rFonts w:ascii="Book Antiqua" w:eastAsiaTheme="minorHAnsi" w:hAnsi="Book Antiqua"/>
                <w:i/>
                <w:iCs/>
                <w:color w:val="000000" w:themeColor="text1"/>
                <w:lang w:val="en-US"/>
              </w:rPr>
              <w:t>et al</w:t>
            </w:r>
            <w:r w:rsidR="000E0907" w:rsidRPr="00CE18BA">
              <w:rPr>
                <w:rFonts w:ascii="Book Antiqua" w:eastAsiaTheme="minorHAnsi" w:hAnsi="Book Antiqua"/>
                <w:color w:val="000000" w:themeColor="text1"/>
                <w:vertAlign w:val="superscript"/>
                <w:lang w:val="en-US"/>
              </w:rPr>
              <w:t>[25]</w:t>
            </w:r>
            <w:r w:rsidRPr="00CE18BA">
              <w:rPr>
                <w:rFonts w:ascii="Book Antiqua" w:eastAsiaTheme="minorHAnsi" w:hAnsi="Book Antiqua"/>
                <w:color w:val="000000" w:themeColor="text1"/>
                <w:lang w:val="en-US"/>
              </w:rPr>
              <w:t xml:space="preserve">, 2012 </w:t>
            </w:r>
          </w:p>
        </w:tc>
        <w:tc>
          <w:tcPr>
            <w:tcW w:w="972" w:type="pct"/>
          </w:tcPr>
          <w:p w14:paraId="27AF9DDC" w14:textId="77777777" w:rsidR="005E76B6" w:rsidRPr="00CE18BA" w:rsidRDefault="005E76B6" w:rsidP="007C0E4B">
            <w:pPr>
              <w:autoSpaceDE w:val="0"/>
              <w:autoSpaceDN w:val="0"/>
              <w:adjustRightInd w:val="0"/>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Albinterferon </w:t>
            </w:r>
            <w:r w:rsidRPr="00CE18BA">
              <w:rPr>
                <w:rFonts w:ascii="Book Antiqua" w:eastAsiaTheme="minorHAnsi" w:hAnsi="Book Antiqua"/>
                <w:lang w:val="en-US"/>
              </w:rPr>
              <w:t>α-2b + RBV</w:t>
            </w:r>
          </w:p>
        </w:tc>
        <w:tc>
          <w:tcPr>
            <w:tcW w:w="1040" w:type="pct"/>
          </w:tcPr>
          <w:p w14:paraId="1747C54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Lipid abnormalities in genotypes 2,3</w:t>
            </w:r>
          </w:p>
        </w:tc>
        <w:tc>
          <w:tcPr>
            <w:tcW w:w="1951" w:type="pct"/>
          </w:tcPr>
          <w:p w14:paraId="376741A1" w14:textId="77777777" w:rsidR="005E76B6" w:rsidRPr="00CE18BA" w:rsidRDefault="005E76B6" w:rsidP="007C0E4B">
            <w:pPr>
              <w:pStyle w:val="a7"/>
              <w:spacing w:line="360" w:lineRule="auto"/>
              <w:ind w:left="0"/>
              <w:jc w:val="both"/>
              <w:rPr>
                <w:rFonts w:ascii="Book Antiqua" w:hAnsi="Book Antiqua"/>
                <w:lang w:val="en-US"/>
              </w:rPr>
            </w:pPr>
            <w:r w:rsidRPr="00CE18BA">
              <w:rPr>
                <w:rFonts w:ascii="Book Antiqua" w:hAnsi="Book Antiqua"/>
                <w:lang w:val="en-US"/>
              </w:rPr>
              <w:t xml:space="preserve">Hypercholesterolemia </w:t>
            </w:r>
          </w:p>
        </w:tc>
      </w:tr>
      <w:tr w:rsidR="000E0907" w:rsidRPr="00460721" w14:paraId="0D754116" w14:textId="77777777" w:rsidTr="0065128F">
        <w:trPr>
          <w:trHeight w:val="875"/>
        </w:trPr>
        <w:tc>
          <w:tcPr>
            <w:tcW w:w="1037" w:type="pct"/>
            <w:vMerge w:val="restart"/>
          </w:tcPr>
          <w:p w14:paraId="2DA7EF37" w14:textId="33C9C2CA" w:rsidR="000E0907" w:rsidRPr="00CE18BA" w:rsidRDefault="000E0907"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Thompson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[66]</w:t>
            </w:r>
            <w:r w:rsidRPr="00CE18BA">
              <w:rPr>
                <w:rFonts w:ascii="Book Antiqua" w:eastAsiaTheme="minorHAnsi" w:hAnsi="Book Antiqua"/>
                <w:color w:val="000000" w:themeColor="text1"/>
                <w:lang w:val="en-US"/>
              </w:rPr>
              <w:t>, 2012</w:t>
            </w:r>
          </w:p>
        </w:tc>
        <w:tc>
          <w:tcPr>
            <w:tcW w:w="972" w:type="pct"/>
            <w:vMerge w:val="restart"/>
          </w:tcPr>
          <w:p w14:paraId="1E90E9FF" w14:textId="2AE3079A" w:rsidR="000E0907" w:rsidRPr="00CE18BA" w:rsidRDefault="000E0907" w:rsidP="007C0E4B">
            <w:pPr>
              <w:autoSpaceDE w:val="0"/>
              <w:autoSpaceDN w:val="0"/>
              <w:adjustRightInd w:val="0"/>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Albinterferon </w:t>
            </w:r>
            <w:r w:rsidRPr="00CE18BA">
              <w:rPr>
                <w:rFonts w:ascii="Book Antiqua" w:eastAsiaTheme="minorHAnsi" w:hAnsi="Book Antiqua"/>
                <w:lang w:val="en-US"/>
              </w:rPr>
              <w:t>α-2b</w:t>
            </w:r>
            <w:r w:rsidRPr="00CE18BA">
              <w:rPr>
                <w:rFonts w:ascii="Book Antiqua" w:eastAsiaTheme="minorHAnsi" w:hAnsi="Book Antiqua"/>
                <w:color w:val="000000" w:themeColor="text1"/>
                <w:lang w:val="en-US"/>
              </w:rPr>
              <w:t xml:space="preserve"> </w:t>
            </w:r>
            <w:r w:rsidR="007B58A8" w:rsidRPr="00CE18BA">
              <w:rPr>
                <w:rFonts w:ascii="Book Antiqua" w:eastAsiaTheme="minorHAnsi" w:hAnsi="Book Antiqua"/>
                <w:i/>
                <w:iCs/>
                <w:color w:val="000000" w:themeColor="text1"/>
                <w:lang w:val="en-US"/>
              </w:rPr>
              <w:t>v</w:t>
            </w:r>
            <w:r w:rsidRPr="00CE18BA">
              <w:rPr>
                <w:rFonts w:ascii="Book Antiqua" w:eastAsiaTheme="minorHAnsi" w:hAnsi="Book Antiqua"/>
                <w:i/>
                <w:iCs/>
                <w:color w:val="000000" w:themeColor="text1"/>
                <w:lang w:val="en-US"/>
              </w:rPr>
              <w:t>s</w:t>
            </w:r>
            <w:r w:rsidRPr="00CE18BA">
              <w:rPr>
                <w:rFonts w:ascii="Book Antiqua" w:eastAsiaTheme="minorHAnsi" w:hAnsi="Book Antiqua"/>
                <w:color w:val="000000" w:themeColor="text1"/>
                <w:lang w:val="en-US"/>
              </w:rPr>
              <w:t xml:space="preserve"> Peg-IFN + RBV (24-48 wk)</w:t>
            </w:r>
          </w:p>
        </w:tc>
        <w:tc>
          <w:tcPr>
            <w:tcW w:w="1040" w:type="pct"/>
            <w:vMerge w:val="restart"/>
          </w:tcPr>
          <w:p w14:paraId="386DAD62" w14:textId="77777777" w:rsidR="000E0907" w:rsidRPr="00CE18BA" w:rsidRDefault="000E0907" w:rsidP="007C0E4B">
            <w:pPr>
              <w:spacing w:line="360" w:lineRule="auto"/>
              <w:jc w:val="both"/>
              <w:rPr>
                <w:rFonts w:ascii="Book Antiqua" w:hAnsi="Book Antiqua"/>
                <w:lang w:val="en-US"/>
              </w:rPr>
            </w:pPr>
            <w:r w:rsidRPr="00CE18BA">
              <w:rPr>
                <w:rFonts w:ascii="Book Antiqua" w:hAnsi="Book Antiqua"/>
                <w:lang w:val="en-US"/>
              </w:rPr>
              <w:t>IR in genotypes 1,2,3</w:t>
            </w:r>
          </w:p>
        </w:tc>
        <w:tc>
          <w:tcPr>
            <w:tcW w:w="1951" w:type="pct"/>
          </w:tcPr>
          <w:p w14:paraId="65446F78" w14:textId="6A945665" w:rsidR="000E0907" w:rsidRPr="00CE18BA" w:rsidRDefault="000E0907" w:rsidP="007C0E4B">
            <w:pPr>
              <w:pStyle w:val="a7"/>
              <w:spacing w:line="360" w:lineRule="auto"/>
              <w:ind w:left="0"/>
              <w:jc w:val="both"/>
              <w:rPr>
                <w:rFonts w:ascii="Book Antiqua" w:hAnsi="Book Antiqua"/>
                <w:lang w:val="en-US"/>
              </w:rPr>
            </w:pPr>
            <w:r w:rsidRPr="00CE18BA">
              <w:rPr>
                <w:rFonts w:ascii="Book Antiqua" w:hAnsi="Book Antiqua"/>
                <w:lang w:val="en-US"/>
              </w:rPr>
              <w:t>Reduced IR in genotype 1 responders</w:t>
            </w:r>
          </w:p>
        </w:tc>
      </w:tr>
      <w:tr w:rsidR="000E0907" w:rsidRPr="00460721" w14:paraId="3A17F3A9" w14:textId="77777777" w:rsidTr="0065128F">
        <w:trPr>
          <w:trHeight w:val="1127"/>
        </w:trPr>
        <w:tc>
          <w:tcPr>
            <w:tcW w:w="1037" w:type="pct"/>
            <w:vMerge/>
          </w:tcPr>
          <w:p w14:paraId="4302DD7A" w14:textId="77777777" w:rsidR="000E0907" w:rsidRPr="00CE18BA" w:rsidRDefault="000E0907" w:rsidP="007C0E4B">
            <w:pPr>
              <w:spacing w:line="360" w:lineRule="auto"/>
              <w:jc w:val="both"/>
              <w:rPr>
                <w:rFonts w:ascii="Book Antiqua" w:eastAsiaTheme="minorHAnsi" w:hAnsi="Book Antiqua"/>
                <w:color w:val="000000" w:themeColor="text1"/>
              </w:rPr>
            </w:pPr>
          </w:p>
        </w:tc>
        <w:tc>
          <w:tcPr>
            <w:tcW w:w="972" w:type="pct"/>
            <w:vMerge/>
          </w:tcPr>
          <w:p w14:paraId="5FF75C79" w14:textId="77777777" w:rsidR="000E0907" w:rsidRPr="00CE18BA" w:rsidRDefault="000E0907" w:rsidP="007C0E4B">
            <w:pPr>
              <w:autoSpaceDE w:val="0"/>
              <w:autoSpaceDN w:val="0"/>
              <w:adjustRightInd w:val="0"/>
              <w:spacing w:line="360" w:lineRule="auto"/>
              <w:jc w:val="both"/>
              <w:rPr>
                <w:rFonts w:ascii="Book Antiqua" w:eastAsiaTheme="minorHAnsi" w:hAnsi="Book Antiqua"/>
                <w:color w:val="000000" w:themeColor="text1"/>
              </w:rPr>
            </w:pPr>
          </w:p>
        </w:tc>
        <w:tc>
          <w:tcPr>
            <w:tcW w:w="1040" w:type="pct"/>
            <w:vMerge/>
          </w:tcPr>
          <w:p w14:paraId="2FA36EEA" w14:textId="77777777" w:rsidR="000E0907" w:rsidRPr="00CE18BA" w:rsidRDefault="000E0907" w:rsidP="007C0E4B">
            <w:pPr>
              <w:spacing w:line="360" w:lineRule="auto"/>
              <w:jc w:val="both"/>
              <w:rPr>
                <w:rFonts w:ascii="Book Antiqua" w:hAnsi="Book Antiqua"/>
              </w:rPr>
            </w:pPr>
          </w:p>
        </w:tc>
        <w:tc>
          <w:tcPr>
            <w:tcW w:w="1951" w:type="pct"/>
          </w:tcPr>
          <w:p w14:paraId="2BE2E27F" w14:textId="417E80E1" w:rsidR="000E0907" w:rsidRPr="00CE18BA" w:rsidRDefault="000E0907" w:rsidP="00352C50">
            <w:pPr>
              <w:pStyle w:val="a7"/>
              <w:spacing w:line="360" w:lineRule="auto"/>
              <w:ind w:left="0"/>
              <w:jc w:val="both"/>
              <w:rPr>
                <w:rFonts w:ascii="Book Antiqua" w:hAnsi="Book Antiqua"/>
                <w:lang w:val="en-US"/>
              </w:rPr>
            </w:pPr>
            <w:r w:rsidRPr="00CE18BA">
              <w:rPr>
                <w:rFonts w:ascii="Book Antiqua" w:hAnsi="Book Antiqua"/>
                <w:lang w:val="en-US"/>
              </w:rPr>
              <w:t xml:space="preserve">No change in genotype 1 non-responders and genotype 2 </w:t>
            </w:r>
            <w:r w:rsidR="00174A7E">
              <w:rPr>
                <w:rFonts w:ascii="Book Antiqua" w:hAnsi="Book Antiqua" w:cs="Times New Roman"/>
              </w:rPr>
              <w:t>and</w:t>
            </w:r>
            <w:r w:rsidR="00352C50">
              <w:rPr>
                <w:rFonts w:ascii="Book Antiqua" w:hAnsi="Book Antiqua"/>
                <w:lang w:val="en-US"/>
              </w:rPr>
              <w:t xml:space="preserve"> </w:t>
            </w:r>
            <w:r w:rsidRPr="00CE18BA">
              <w:rPr>
                <w:rFonts w:ascii="Book Antiqua" w:hAnsi="Book Antiqua"/>
                <w:lang w:val="en-US"/>
              </w:rPr>
              <w:t>3 regardless of the response</w:t>
            </w:r>
          </w:p>
        </w:tc>
      </w:tr>
      <w:tr w:rsidR="00F726C2" w:rsidRPr="00460721" w14:paraId="14F84B6B" w14:textId="77777777" w:rsidTr="0065128F">
        <w:trPr>
          <w:trHeight w:val="1319"/>
        </w:trPr>
        <w:tc>
          <w:tcPr>
            <w:tcW w:w="1037" w:type="pct"/>
            <w:vMerge w:val="restart"/>
          </w:tcPr>
          <w:p w14:paraId="664EB172" w14:textId="0A800DD9" w:rsidR="00F726C2" w:rsidRPr="00CE18BA" w:rsidRDefault="00F726C2"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Chang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[29]</w:t>
            </w:r>
            <w:r w:rsidRPr="00CE18BA">
              <w:rPr>
                <w:rFonts w:ascii="Book Antiqua" w:eastAsiaTheme="minorHAnsi" w:hAnsi="Book Antiqua"/>
                <w:color w:val="000000" w:themeColor="text1"/>
                <w:lang w:val="en-US"/>
              </w:rPr>
              <w:t>, 2014</w:t>
            </w:r>
          </w:p>
        </w:tc>
        <w:tc>
          <w:tcPr>
            <w:tcW w:w="972" w:type="pct"/>
            <w:vMerge w:val="restart"/>
          </w:tcPr>
          <w:p w14:paraId="73FA550D" w14:textId="62BDE338" w:rsidR="00F726C2" w:rsidRPr="00CE18BA" w:rsidRDefault="00F726C2" w:rsidP="007C0E4B">
            <w:pPr>
              <w:spacing w:line="360" w:lineRule="auto"/>
              <w:jc w:val="both"/>
              <w:rPr>
                <w:rFonts w:ascii="Book Antiqua" w:hAnsi="Book Antiqua"/>
                <w:lang w:val="en-US"/>
              </w:rPr>
            </w:pPr>
            <w:r w:rsidRPr="00CE18BA">
              <w:rPr>
                <w:rFonts w:ascii="Book Antiqua" w:hAnsi="Book Antiqua"/>
                <w:lang w:val="en-US"/>
              </w:rPr>
              <w:t>eg-IFN + RBV (24/48 wk)</w:t>
            </w:r>
          </w:p>
        </w:tc>
        <w:tc>
          <w:tcPr>
            <w:tcW w:w="1040" w:type="pct"/>
            <w:vMerge w:val="restart"/>
          </w:tcPr>
          <w:p w14:paraId="659DD07A" w14:textId="6361F2CE" w:rsidR="00F726C2" w:rsidRPr="00CE18BA" w:rsidRDefault="00F726C2" w:rsidP="007C0E4B">
            <w:pPr>
              <w:spacing w:line="360" w:lineRule="auto"/>
              <w:jc w:val="both"/>
              <w:rPr>
                <w:rFonts w:ascii="Book Antiqua" w:hAnsi="Book Antiqua"/>
                <w:lang w:val="en-US"/>
              </w:rPr>
            </w:pPr>
            <w:r w:rsidRPr="00CE18BA">
              <w:rPr>
                <w:rFonts w:ascii="Book Antiqua" w:hAnsi="Book Antiqua"/>
                <w:lang w:val="en-US"/>
              </w:rPr>
              <w:t xml:space="preserve">Lipids </w:t>
            </w:r>
            <w:r w:rsidR="006F59ED">
              <w:rPr>
                <w:rFonts w:ascii="Book Antiqua" w:eastAsia="Times New Roman" w:hAnsi="Book Antiqua" w:cs="Times New Roman"/>
              </w:rPr>
              <w:t>and</w:t>
            </w:r>
            <w:r w:rsidRPr="00CE18BA">
              <w:rPr>
                <w:rFonts w:ascii="Book Antiqua" w:hAnsi="Book Antiqua"/>
                <w:lang w:val="en-US"/>
              </w:rPr>
              <w:t xml:space="preserve"> IR in genotypes 2,</w:t>
            </w:r>
            <w:r w:rsidR="00A073CC">
              <w:rPr>
                <w:rFonts w:ascii="Book Antiqua" w:hAnsi="Book Antiqua"/>
                <w:lang w:val="en-US"/>
              </w:rPr>
              <w:t xml:space="preserve"> </w:t>
            </w:r>
            <w:r w:rsidRPr="00CE18BA">
              <w:rPr>
                <w:rFonts w:ascii="Book Antiqua" w:hAnsi="Book Antiqua"/>
                <w:lang w:val="en-US"/>
              </w:rPr>
              <w:t>3</w:t>
            </w:r>
          </w:p>
        </w:tc>
        <w:tc>
          <w:tcPr>
            <w:tcW w:w="1951" w:type="pct"/>
          </w:tcPr>
          <w:p w14:paraId="3EBA87CB" w14:textId="4B8EF66E" w:rsidR="00F726C2" w:rsidRPr="00CE18BA" w:rsidRDefault="00F726C2" w:rsidP="007C0E4B">
            <w:pPr>
              <w:pStyle w:val="a7"/>
              <w:spacing w:line="360" w:lineRule="auto"/>
              <w:ind w:left="0"/>
              <w:jc w:val="both"/>
              <w:rPr>
                <w:rFonts w:ascii="Book Antiqua" w:hAnsi="Book Antiqua"/>
                <w:lang w:val="en-US"/>
              </w:rPr>
            </w:pPr>
            <w:r w:rsidRPr="00CE18BA">
              <w:rPr>
                <w:rFonts w:ascii="Book Antiqua" w:hAnsi="Book Antiqua"/>
                <w:lang w:val="en-US"/>
              </w:rPr>
              <w:t xml:space="preserve">Increased total cholesterol </w:t>
            </w:r>
            <w:r w:rsidR="00352C50">
              <w:rPr>
                <w:rFonts w:ascii="Book Antiqua" w:hAnsi="Book Antiqua" w:cs="Times New Roman"/>
              </w:rPr>
              <w:t>and</w:t>
            </w:r>
            <w:r w:rsidRPr="00CE18BA">
              <w:rPr>
                <w:rFonts w:ascii="Book Antiqua" w:hAnsi="Book Antiqua"/>
                <w:lang w:val="en-US"/>
              </w:rPr>
              <w:t xml:space="preserve"> triglycerides in sustained responders</w:t>
            </w:r>
          </w:p>
        </w:tc>
      </w:tr>
      <w:tr w:rsidR="00F726C2" w:rsidRPr="00460721" w14:paraId="78CC7FA6" w14:textId="77777777" w:rsidTr="0065128F">
        <w:trPr>
          <w:trHeight w:val="814"/>
        </w:trPr>
        <w:tc>
          <w:tcPr>
            <w:tcW w:w="1037" w:type="pct"/>
            <w:vMerge/>
          </w:tcPr>
          <w:p w14:paraId="6E978B30" w14:textId="77777777" w:rsidR="00F726C2" w:rsidRPr="00CE18BA" w:rsidRDefault="00F726C2" w:rsidP="007C0E4B">
            <w:pPr>
              <w:spacing w:line="360" w:lineRule="auto"/>
              <w:jc w:val="both"/>
              <w:rPr>
                <w:rFonts w:ascii="Book Antiqua" w:eastAsiaTheme="minorHAnsi" w:hAnsi="Book Antiqua"/>
                <w:color w:val="000000" w:themeColor="text1"/>
              </w:rPr>
            </w:pPr>
          </w:p>
        </w:tc>
        <w:tc>
          <w:tcPr>
            <w:tcW w:w="972" w:type="pct"/>
            <w:vMerge/>
          </w:tcPr>
          <w:p w14:paraId="46C391FE" w14:textId="77777777" w:rsidR="00F726C2" w:rsidRPr="00CE18BA" w:rsidRDefault="00F726C2" w:rsidP="007C0E4B">
            <w:pPr>
              <w:spacing w:line="360" w:lineRule="auto"/>
              <w:jc w:val="both"/>
              <w:rPr>
                <w:rFonts w:ascii="Book Antiqua" w:hAnsi="Book Antiqua"/>
              </w:rPr>
            </w:pPr>
          </w:p>
        </w:tc>
        <w:tc>
          <w:tcPr>
            <w:tcW w:w="1040" w:type="pct"/>
            <w:vMerge/>
          </w:tcPr>
          <w:p w14:paraId="57C4AA4B" w14:textId="77777777" w:rsidR="00F726C2" w:rsidRPr="00CE18BA" w:rsidRDefault="00F726C2" w:rsidP="007C0E4B">
            <w:pPr>
              <w:spacing w:line="360" w:lineRule="auto"/>
              <w:jc w:val="both"/>
              <w:rPr>
                <w:rFonts w:ascii="Book Antiqua" w:hAnsi="Book Antiqua"/>
              </w:rPr>
            </w:pPr>
          </w:p>
        </w:tc>
        <w:tc>
          <w:tcPr>
            <w:tcW w:w="1951" w:type="pct"/>
          </w:tcPr>
          <w:p w14:paraId="2EC5E41A" w14:textId="7ED696B0" w:rsidR="00F726C2" w:rsidRPr="00CE18BA" w:rsidRDefault="00F726C2" w:rsidP="007C0E4B">
            <w:pPr>
              <w:pStyle w:val="a7"/>
              <w:spacing w:line="360" w:lineRule="auto"/>
              <w:ind w:left="0"/>
              <w:jc w:val="both"/>
              <w:rPr>
                <w:rFonts w:ascii="Book Antiqua" w:hAnsi="Book Antiqua"/>
                <w:lang w:val="en-US"/>
              </w:rPr>
            </w:pPr>
            <w:r w:rsidRPr="00CE18BA">
              <w:rPr>
                <w:rFonts w:ascii="Book Antiqua" w:hAnsi="Book Antiqua"/>
                <w:lang w:val="en-US"/>
              </w:rPr>
              <w:t xml:space="preserve">Decreased HOMA-IR in patients with SVR </w:t>
            </w:r>
            <w:r w:rsidR="008E1CF5">
              <w:rPr>
                <w:rFonts w:ascii="Book Antiqua" w:hAnsi="Book Antiqua" w:cs="Times New Roman"/>
              </w:rPr>
              <w:t>and</w:t>
            </w:r>
            <w:r w:rsidRPr="00CE18BA">
              <w:rPr>
                <w:rFonts w:ascii="Book Antiqua" w:hAnsi="Book Antiqua"/>
                <w:lang w:val="en-US"/>
              </w:rPr>
              <w:t xml:space="preserve"> baseline IR</w:t>
            </w:r>
          </w:p>
        </w:tc>
      </w:tr>
      <w:tr w:rsidR="00F726C2" w:rsidRPr="00460721" w14:paraId="6A6D9399" w14:textId="77777777" w:rsidTr="0065128F">
        <w:trPr>
          <w:trHeight w:val="814"/>
        </w:trPr>
        <w:tc>
          <w:tcPr>
            <w:tcW w:w="1037" w:type="pct"/>
            <w:vMerge/>
          </w:tcPr>
          <w:p w14:paraId="74512FFE" w14:textId="77777777" w:rsidR="00F726C2" w:rsidRPr="00CE18BA" w:rsidRDefault="00F726C2" w:rsidP="007C0E4B">
            <w:pPr>
              <w:spacing w:line="360" w:lineRule="auto"/>
              <w:jc w:val="both"/>
              <w:rPr>
                <w:rFonts w:ascii="Book Antiqua" w:eastAsiaTheme="minorHAnsi" w:hAnsi="Book Antiqua"/>
                <w:color w:val="000000" w:themeColor="text1"/>
              </w:rPr>
            </w:pPr>
          </w:p>
        </w:tc>
        <w:tc>
          <w:tcPr>
            <w:tcW w:w="972" w:type="pct"/>
            <w:vMerge/>
          </w:tcPr>
          <w:p w14:paraId="69AB0E45" w14:textId="77777777" w:rsidR="00F726C2" w:rsidRPr="00CE18BA" w:rsidRDefault="00F726C2" w:rsidP="007C0E4B">
            <w:pPr>
              <w:spacing w:line="360" w:lineRule="auto"/>
              <w:jc w:val="both"/>
              <w:rPr>
                <w:rFonts w:ascii="Book Antiqua" w:hAnsi="Book Antiqua"/>
              </w:rPr>
            </w:pPr>
          </w:p>
        </w:tc>
        <w:tc>
          <w:tcPr>
            <w:tcW w:w="1040" w:type="pct"/>
            <w:vMerge/>
          </w:tcPr>
          <w:p w14:paraId="624F5597" w14:textId="77777777" w:rsidR="00F726C2" w:rsidRPr="00CE18BA" w:rsidRDefault="00F726C2" w:rsidP="007C0E4B">
            <w:pPr>
              <w:spacing w:line="360" w:lineRule="auto"/>
              <w:jc w:val="both"/>
              <w:rPr>
                <w:rFonts w:ascii="Book Antiqua" w:hAnsi="Book Antiqua"/>
              </w:rPr>
            </w:pPr>
          </w:p>
        </w:tc>
        <w:tc>
          <w:tcPr>
            <w:tcW w:w="1951" w:type="pct"/>
          </w:tcPr>
          <w:p w14:paraId="18936A9C" w14:textId="6CB96E6D" w:rsidR="00F726C2" w:rsidRPr="00CE18BA" w:rsidRDefault="00F726C2" w:rsidP="007C0E4B">
            <w:pPr>
              <w:pStyle w:val="a7"/>
              <w:spacing w:line="360" w:lineRule="auto"/>
              <w:ind w:left="0"/>
              <w:jc w:val="both"/>
              <w:rPr>
                <w:rFonts w:ascii="Book Antiqua" w:hAnsi="Book Antiqua"/>
                <w:lang w:val="en-US"/>
              </w:rPr>
            </w:pPr>
            <w:r w:rsidRPr="00CE18BA">
              <w:rPr>
                <w:rFonts w:ascii="Book Antiqua" w:hAnsi="Book Antiqua"/>
                <w:lang w:val="en-US"/>
              </w:rPr>
              <w:t>High HOMA-IR was found in patients without baseline IR (only in genotype 1)</w:t>
            </w:r>
          </w:p>
        </w:tc>
      </w:tr>
      <w:tr w:rsidR="00B63145" w:rsidRPr="00460721" w14:paraId="7AD38F32" w14:textId="77777777" w:rsidTr="0065128F">
        <w:trPr>
          <w:trHeight w:val="472"/>
        </w:trPr>
        <w:tc>
          <w:tcPr>
            <w:tcW w:w="1037" w:type="pct"/>
          </w:tcPr>
          <w:p w14:paraId="14720517" w14:textId="29C2C3DF"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Hsu </w:t>
            </w:r>
            <w:r w:rsidRPr="00CE18BA">
              <w:rPr>
                <w:rFonts w:ascii="Book Antiqua" w:eastAsiaTheme="minorHAnsi" w:hAnsi="Book Antiqua"/>
                <w:i/>
                <w:iCs/>
                <w:color w:val="000000" w:themeColor="text1"/>
                <w:lang w:val="en-US"/>
              </w:rPr>
              <w:t>et al</w:t>
            </w:r>
            <w:r w:rsidR="002B37DD" w:rsidRPr="00CE18BA">
              <w:rPr>
                <w:rFonts w:ascii="Book Antiqua" w:eastAsiaTheme="minorHAnsi" w:hAnsi="Book Antiqua"/>
                <w:color w:val="000000" w:themeColor="text1"/>
                <w:vertAlign w:val="superscript"/>
                <w:lang w:val="en-US"/>
              </w:rPr>
              <w:t>[8</w:t>
            </w:r>
            <w:r w:rsidR="00A872AE" w:rsidRPr="00CE18BA">
              <w:rPr>
                <w:rFonts w:ascii="Book Antiqua" w:eastAsiaTheme="minorHAnsi" w:hAnsi="Book Antiqua"/>
                <w:color w:val="000000" w:themeColor="text1"/>
                <w:vertAlign w:val="superscript"/>
                <w:lang w:val="en-US"/>
              </w:rPr>
              <w:t>8</w:t>
            </w:r>
            <w:r w:rsidR="002B37DD"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2015</w:t>
            </w:r>
          </w:p>
        </w:tc>
        <w:tc>
          <w:tcPr>
            <w:tcW w:w="972" w:type="pct"/>
          </w:tcPr>
          <w:p w14:paraId="753A0630" w14:textId="76DBA84D" w:rsidR="005E76B6" w:rsidRPr="00CE18BA" w:rsidRDefault="00BB7DEE" w:rsidP="007C0E4B">
            <w:pPr>
              <w:spacing w:line="360" w:lineRule="auto"/>
              <w:jc w:val="both"/>
              <w:rPr>
                <w:rFonts w:ascii="Book Antiqua" w:hAnsi="Book Antiqua"/>
                <w:lang w:val="en-US"/>
              </w:rPr>
            </w:pPr>
            <w:r w:rsidRPr="00CE18BA">
              <w:rPr>
                <w:rFonts w:ascii="Book Antiqua" w:hAnsi="Book Antiqua"/>
                <w:lang w:val="en-US"/>
              </w:rPr>
              <w:t>P</w:t>
            </w:r>
            <w:r w:rsidR="005E76B6" w:rsidRPr="00CE18BA">
              <w:rPr>
                <w:rFonts w:ascii="Book Antiqua" w:hAnsi="Book Antiqua"/>
                <w:lang w:val="en-US"/>
              </w:rPr>
              <w:t>eg-IFN + RBV (16</w:t>
            </w:r>
            <w:r w:rsidR="005C3B6F">
              <w:rPr>
                <w:rFonts w:ascii="Book Antiqua" w:hAnsi="Book Antiqua"/>
                <w:lang w:val="en-US"/>
              </w:rPr>
              <w:t>-</w:t>
            </w:r>
            <w:r w:rsidR="005E76B6" w:rsidRPr="00CE18BA">
              <w:rPr>
                <w:rFonts w:ascii="Book Antiqua" w:hAnsi="Book Antiqua"/>
                <w:lang w:val="en-US"/>
              </w:rPr>
              <w:t>48 wk)</w:t>
            </w:r>
          </w:p>
        </w:tc>
        <w:tc>
          <w:tcPr>
            <w:tcW w:w="1040" w:type="pct"/>
          </w:tcPr>
          <w:p w14:paraId="4E0C608A" w14:textId="7787E1AB"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Acute coronary syndrome </w:t>
            </w:r>
            <w:r w:rsidR="008E1CF5">
              <w:rPr>
                <w:rFonts w:ascii="Book Antiqua" w:eastAsia="Times New Roman" w:hAnsi="Book Antiqua" w:cs="Times New Roman"/>
              </w:rPr>
              <w:t>and</w:t>
            </w:r>
            <w:r w:rsidR="008E1CF5" w:rsidRPr="00CE18BA">
              <w:rPr>
                <w:rFonts w:ascii="Book Antiqua" w:hAnsi="Book Antiqua"/>
                <w:lang w:val="en-US"/>
              </w:rPr>
              <w:t xml:space="preserve"> </w:t>
            </w:r>
            <w:r w:rsidRPr="00CE18BA">
              <w:rPr>
                <w:rFonts w:ascii="Book Antiqua" w:hAnsi="Book Antiqua"/>
                <w:lang w:val="en-US"/>
              </w:rPr>
              <w:t>ischemic stroke</w:t>
            </w:r>
          </w:p>
        </w:tc>
        <w:tc>
          <w:tcPr>
            <w:tcW w:w="1951" w:type="pct"/>
          </w:tcPr>
          <w:p w14:paraId="4BE066C6"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Improvement in both studied circulatory outcomes</w:t>
            </w:r>
          </w:p>
        </w:tc>
      </w:tr>
      <w:tr w:rsidR="00B63145" w:rsidRPr="00460721" w14:paraId="2B94CD4C" w14:textId="77777777" w:rsidTr="0065128F">
        <w:trPr>
          <w:trHeight w:val="631"/>
        </w:trPr>
        <w:tc>
          <w:tcPr>
            <w:tcW w:w="1037" w:type="pct"/>
          </w:tcPr>
          <w:p w14:paraId="21296621" w14:textId="2F15A02A"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Innes </w:t>
            </w:r>
            <w:r w:rsidRPr="00CE18BA">
              <w:rPr>
                <w:rFonts w:ascii="Book Antiqua" w:eastAsiaTheme="minorHAnsi" w:hAnsi="Book Antiqua"/>
                <w:i/>
                <w:iCs/>
                <w:color w:val="000000" w:themeColor="text1"/>
              </w:rPr>
              <w:t>et al</w:t>
            </w:r>
            <w:r w:rsidR="00A872AE" w:rsidRPr="00CE18BA">
              <w:rPr>
                <w:rFonts w:ascii="Book Antiqua" w:eastAsiaTheme="minorHAnsi" w:hAnsi="Book Antiqua"/>
                <w:color w:val="000000" w:themeColor="text1"/>
                <w:vertAlign w:val="superscript"/>
              </w:rPr>
              <w:t>[89]</w:t>
            </w:r>
            <w:r w:rsidRPr="00CE18BA">
              <w:rPr>
                <w:rFonts w:ascii="Book Antiqua" w:eastAsiaTheme="minorHAnsi" w:hAnsi="Book Antiqua"/>
                <w:color w:val="000000" w:themeColor="text1"/>
                <w:lang w:val="en-US"/>
              </w:rPr>
              <w:t>, 2015</w:t>
            </w:r>
          </w:p>
        </w:tc>
        <w:tc>
          <w:tcPr>
            <w:tcW w:w="972" w:type="pct"/>
          </w:tcPr>
          <w:p w14:paraId="4C3FC84B"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NA</w:t>
            </w:r>
            <w:r w:rsidRPr="00CE18BA">
              <w:rPr>
                <w:rFonts w:ascii="Book Antiqua" w:hAnsi="Book Antiqua"/>
                <w:vertAlign w:val="superscript"/>
                <w:lang w:val="en-US"/>
              </w:rPr>
              <w:t>1</w:t>
            </w:r>
          </w:p>
        </w:tc>
        <w:tc>
          <w:tcPr>
            <w:tcW w:w="1040" w:type="pct"/>
          </w:tcPr>
          <w:p w14:paraId="45F3C9F3"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CVD</w:t>
            </w:r>
          </w:p>
        </w:tc>
        <w:tc>
          <w:tcPr>
            <w:tcW w:w="1951" w:type="pct"/>
          </w:tcPr>
          <w:p w14:paraId="34974DEA" w14:textId="624D5A71"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Reduced hazard </w:t>
            </w:r>
            <w:r w:rsidR="006F59ED">
              <w:rPr>
                <w:rFonts w:ascii="Book Antiqua" w:eastAsia="Times New Roman" w:hAnsi="Book Antiqua" w:cs="Times New Roman"/>
              </w:rPr>
              <w:t>and</w:t>
            </w:r>
            <w:r w:rsidRPr="00CE18BA">
              <w:rPr>
                <w:rFonts w:ascii="Book Antiqua" w:hAnsi="Book Antiqua"/>
                <w:lang w:val="en-US"/>
              </w:rPr>
              <w:t xml:space="preserve"> absolute risk for CVD</w:t>
            </w:r>
          </w:p>
        </w:tc>
      </w:tr>
      <w:tr w:rsidR="00B60D11" w:rsidRPr="00460721" w14:paraId="7AD4A9F1" w14:textId="77777777" w:rsidTr="0065128F">
        <w:trPr>
          <w:trHeight w:val="1550"/>
        </w:trPr>
        <w:tc>
          <w:tcPr>
            <w:tcW w:w="1037" w:type="pct"/>
            <w:vMerge w:val="restart"/>
          </w:tcPr>
          <w:p w14:paraId="0694946F" w14:textId="1B072C3D" w:rsidR="00B60D11" w:rsidRPr="00CE18BA" w:rsidRDefault="00B60D11"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Meissner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[24]</w:t>
            </w:r>
            <w:r w:rsidRPr="00CE18BA">
              <w:rPr>
                <w:rFonts w:ascii="Book Antiqua" w:eastAsiaTheme="minorHAnsi" w:hAnsi="Book Antiqua"/>
                <w:color w:val="000000" w:themeColor="text1"/>
                <w:lang w:val="en-US"/>
              </w:rPr>
              <w:t>, 2015</w:t>
            </w:r>
          </w:p>
        </w:tc>
        <w:tc>
          <w:tcPr>
            <w:tcW w:w="972" w:type="pct"/>
            <w:vMerge w:val="restart"/>
          </w:tcPr>
          <w:p w14:paraId="0D0F262B" w14:textId="4B1DFD88" w:rsidR="00B60D11" w:rsidRPr="00CE18BA" w:rsidRDefault="00B60D11" w:rsidP="007C0E4B">
            <w:pPr>
              <w:spacing w:line="360" w:lineRule="auto"/>
              <w:jc w:val="both"/>
              <w:rPr>
                <w:rFonts w:ascii="Book Antiqua" w:hAnsi="Book Antiqua"/>
                <w:lang w:val="en-US"/>
              </w:rPr>
            </w:pPr>
            <w:r w:rsidRPr="00CE18BA">
              <w:rPr>
                <w:rFonts w:ascii="Book Antiqua" w:hAnsi="Book Antiqua"/>
                <w:lang w:val="en-US"/>
              </w:rPr>
              <w:t>SOF + RBV (24 wk)</w:t>
            </w:r>
          </w:p>
        </w:tc>
        <w:tc>
          <w:tcPr>
            <w:tcW w:w="1040" w:type="pct"/>
            <w:vMerge w:val="restart"/>
          </w:tcPr>
          <w:p w14:paraId="1937E9CF" w14:textId="77777777" w:rsidR="00B60D11" w:rsidRPr="00CE18BA" w:rsidRDefault="00B60D11" w:rsidP="007C0E4B">
            <w:pPr>
              <w:spacing w:line="360" w:lineRule="auto"/>
              <w:jc w:val="both"/>
              <w:rPr>
                <w:rFonts w:ascii="Book Antiqua" w:hAnsi="Book Antiqua"/>
                <w:lang w:val="en-US"/>
              </w:rPr>
            </w:pPr>
            <w:r w:rsidRPr="00CE18BA">
              <w:rPr>
                <w:rFonts w:ascii="Book Antiqua" w:hAnsi="Book Antiqua"/>
                <w:lang w:val="en-US"/>
              </w:rPr>
              <w:t>Lipid disturbances in genotype 1</w:t>
            </w:r>
          </w:p>
        </w:tc>
        <w:tc>
          <w:tcPr>
            <w:tcW w:w="1951" w:type="pct"/>
          </w:tcPr>
          <w:p w14:paraId="63C7960F" w14:textId="71F13966" w:rsidR="00B60D11" w:rsidRPr="00CE18BA" w:rsidRDefault="00B60D11" w:rsidP="007C0E4B">
            <w:pPr>
              <w:pStyle w:val="a7"/>
              <w:spacing w:line="360" w:lineRule="auto"/>
              <w:ind w:left="0"/>
              <w:jc w:val="both"/>
              <w:rPr>
                <w:rFonts w:ascii="Book Antiqua" w:hAnsi="Book Antiqua"/>
                <w:lang w:val="en-US"/>
              </w:rPr>
            </w:pPr>
            <w:r w:rsidRPr="00CE18BA">
              <w:rPr>
                <w:rFonts w:ascii="Book Antiqua" w:hAnsi="Book Antiqua"/>
                <w:lang w:val="en-US"/>
              </w:rPr>
              <w:t xml:space="preserve">Increased LDL level </w:t>
            </w:r>
            <w:r w:rsidR="008E1CF5">
              <w:rPr>
                <w:rFonts w:ascii="Book Antiqua" w:hAnsi="Book Antiqua" w:cs="Times New Roman"/>
              </w:rPr>
              <w:t>and</w:t>
            </w:r>
            <w:r w:rsidRPr="00CE18BA">
              <w:rPr>
                <w:rFonts w:ascii="Book Antiqua" w:hAnsi="Book Antiqua"/>
                <w:lang w:val="en-US"/>
              </w:rPr>
              <w:t xml:space="preserve"> particle size and decreased triglycerides concentration </w:t>
            </w:r>
            <w:r w:rsidR="008E1CF5">
              <w:rPr>
                <w:rFonts w:ascii="Book Antiqua" w:hAnsi="Book Antiqua" w:cs="Times New Roman"/>
              </w:rPr>
              <w:t>and</w:t>
            </w:r>
            <w:r w:rsidRPr="00CE18BA">
              <w:rPr>
                <w:rFonts w:ascii="Book Antiqua" w:hAnsi="Book Antiqua"/>
                <w:lang w:val="en-US"/>
              </w:rPr>
              <w:t xml:space="preserve"> VLDL particle size irrespective to treatment response</w:t>
            </w:r>
          </w:p>
        </w:tc>
      </w:tr>
      <w:tr w:rsidR="00B60D11" w:rsidRPr="00460721" w14:paraId="220D1919" w14:textId="77777777" w:rsidTr="0065128F">
        <w:trPr>
          <w:trHeight w:val="1323"/>
        </w:trPr>
        <w:tc>
          <w:tcPr>
            <w:tcW w:w="1037" w:type="pct"/>
            <w:vMerge/>
          </w:tcPr>
          <w:p w14:paraId="4B645065" w14:textId="77777777" w:rsidR="00B60D11" w:rsidRPr="00CE18BA" w:rsidRDefault="00B60D11" w:rsidP="007C0E4B">
            <w:pPr>
              <w:spacing w:line="360" w:lineRule="auto"/>
              <w:jc w:val="both"/>
              <w:rPr>
                <w:rFonts w:ascii="Book Antiqua" w:eastAsiaTheme="minorHAnsi" w:hAnsi="Book Antiqua"/>
                <w:color w:val="000000" w:themeColor="text1"/>
              </w:rPr>
            </w:pPr>
          </w:p>
        </w:tc>
        <w:tc>
          <w:tcPr>
            <w:tcW w:w="972" w:type="pct"/>
            <w:vMerge/>
          </w:tcPr>
          <w:p w14:paraId="626D1DD6" w14:textId="77777777" w:rsidR="00B60D11" w:rsidRPr="00CE18BA" w:rsidRDefault="00B60D11" w:rsidP="007C0E4B">
            <w:pPr>
              <w:spacing w:line="360" w:lineRule="auto"/>
              <w:jc w:val="both"/>
              <w:rPr>
                <w:rFonts w:ascii="Book Antiqua" w:hAnsi="Book Antiqua"/>
              </w:rPr>
            </w:pPr>
          </w:p>
        </w:tc>
        <w:tc>
          <w:tcPr>
            <w:tcW w:w="1040" w:type="pct"/>
            <w:vMerge/>
          </w:tcPr>
          <w:p w14:paraId="0F1E9135" w14:textId="77777777" w:rsidR="00B60D11" w:rsidRPr="00CE18BA" w:rsidRDefault="00B60D11" w:rsidP="007C0E4B">
            <w:pPr>
              <w:spacing w:line="360" w:lineRule="auto"/>
              <w:jc w:val="both"/>
              <w:rPr>
                <w:rFonts w:ascii="Book Antiqua" w:hAnsi="Book Antiqua"/>
              </w:rPr>
            </w:pPr>
          </w:p>
        </w:tc>
        <w:tc>
          <w:tcPr>
            <w:tcW w:w="1951" w:type="pct"/>
          </w:tcPr>
          <w:p w14:paraId="22B55866" w14:textId="52063757" w:rsidR="00B60D11" w:rsidRPr="00CE18BA" w:rsidRDefault="00B60D11" w:rsidP="007C0E4B">
            <w:pPr>
              <w:pStyle w:val="a7"/>
              <w:spacing w:line="360" w:lineRule="auto"/>
              <w:ind w:left="0"/>
              <w:jc w:val="both"/>
              <w:rPr>
                <w:rFonts w:ascii="Book Antiqua" w:hAnsi="Book Antiqua"/>
                <w:lang w:val="en-US"/>
              </w:rPr>
            </w:pPr>
            <w:r w:rsidRPr="00CE18BA">
              <w:rPr>
                <w:rFonts w:ascii="Book Antiqua" w:hAnsi="Book Antiqua"/>
                <w:lang w:val="en-US"/>
              </w:rPr>
              <w:t>Increased intrahepatic lipid-related genes in sustained responders</w:t>
            </w:r>
          </w:p>
        </w:tc>
      </w:tr>
      <w:tr w:rsidR="00B63145" w:rsidRPr="00460721" w14:paraId="34C3AC4D" w14:textId="77777777" w:rsidTr="0065128F">
        <w:trPr>
          <w:trHeight w:val="848"/>
        </w:trPr>
        <w:tc>
          <w:tcPr>
            <w:tcW w:w="1037" w:type="pct"/>
          </w:tcPr>
          <w:p w14:paraId="4B88835A" w14:textId="7C4F7D27"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Leone </w:t>
            </w:r>
            <w:r w:rsidRPr="00CE18BA">
              <w:rPr>
                <w:rFonts w:ascii="Book Antiqua" w:eastAsiaTheme="minorHAnsi" w:hAnsi="Book Antiqua"/>
                <w:i/>
                <w:iCs/>
                <w:color w:val="000000" w:themeColor="text1"/>
                <w:lang w:val="en-US"/>
              </w:rPr>
              <w:t>et al</w:t>
            </w:r>
            <w:r w:rsidR="00942B74" w:rsidRPr="00CE18BA">
              <w:rPr>
                <w:rFonts w:ascii="Book Antiqua" w:eastAsiaTheme="minorHAnsi" w:hAnsi="Book Antiqua"/>
                <w:color w:val="000000" w:themeColor="text1"/>
                <w:vertAlign w:val="superscript"/>
                <w:lang w:val="en-US"/>
              </w:rPr>
              <w:t>[72]</w:t>
            </w:r>
            <w:r w:rsidRPr="00CE18BA">
              <w:rPr>
                <w:rFonts w:ascii="Book Antiqua" w:eastAsiaTheme="minorHAnsi" w:hAnsi="Book Antiqua"/>
                <w:color w:val="000000" w:themeColor="text1"/>
                <w:lang w:val="en-US"/>
              </w:rPr>
              <w:t>, 2016</w:t>
            </w:r>
          </w:p>
        </w:tc>
        <w:tc>
          <w:tcPr>
            <w:tcW w:w="972" w:type="pct"/>
          </w:tcPr>
          <w:p w14:paraId="4F23F6D3"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IFN-based regimen</w:t>
            </w:r>
          </w:p>
        </w:tc>
        <w:tc>
          <w:tcPr>
            <w:tcW w:w="1040" w:type="pct"/>
          </w:tcPr>
          <w:p w14:paraId="4FBA7CE2" w14:textId="3AE05D2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DM</w:t>
            </w:r>
            <w:r w:rsidR="00A872AE" w:rsidRPr="00CE18BA">
              <w:rPr>
                <w:rFonts w:ascii="Book Antiqua" w:hAnsi="Book Antiqua"/>
                <w:lang w:val="en-US"/>
              </w:rPr>
              <w:t xml:space="preserve"> </w:t>
            </w:r>
            <w:r w:rsidR="00B05932">
              <w:rPr>
                <w:rFonts w:ascii="Book Antiqua" w:eastAsia="Times New Roman" w:hAnsi="Book Antiqua" w:cs="Times New Roman"/>
              </w:rPr>
              <w:t>and</w:t>
            </w:r>
            <w:r w:rsidR="00942B74" w:rsidRPr="00CE18BA">
              <w:rPr>
                <w:rFonts w:ascii="Book Antiqua" w:hAnsi="Book Antiqua"/>
                <w:lang w:val="en-US"/>
              </w:rPr>
              <w:t xml:space="preserve"> </w:t>
            </w:r>
            <w:r w:rsidRPr="00CE18BA">
              <w:rPr>
                <w:rFonts w:ascii="Book Antiqua" w:hAnsi="Book Antiqua"/>
                <w:lang w:val="en-US"/>
              </w:rPr>
              <w:t>CVD</w:t>
            </w:r>
          </w:p>
        </w:tc>
        <w:tc>
          <w:tcPr>
            <w:tcW w:w="1951" w:type="pct"/>
          </w:tcPr>
          <w:p w14:paraId="4055C06B" w14:textId="3D5A84DB" w:rsidR="005E76B6" w:rsidRPr="00CE18BA" w:rsidRDefault="005E76B6" w:rsidP="007C0E4B">
            <w:pPr>
              <w:pStyle w:val="a7"/>
              <w:spacing w:line="360" w:lineRule="auto"/>
              <w:ind w:left="0"/>
              <w:jc w:val="both"/>
              <w:rPr>
                <w:rFonts w:ascii="Book Antiqua" w:hAnsi="Book Antiqua"/>
                <w:lang w:val="en-US"/>
              </w:rPr>
            </w:pPr>
            <w:r w:rsidRPr="00CE18BA">
              <w:rPr>
                <w:rFonts w:ascii="Book Antiqua" w:hAnsi="Book Antiqua"/>
                <w:lang w:val="en-US"/>
              </w:rPr>
              <w:t xml:space="preserve">No significant risk reduction in DM </w:t>
            </w:r>
            <w:r w:rsidR="00B05932">
              <w:rPr>
                <w:rFonts w:ascii="Book Antiqua" w:hAnsi="Book Antiqua" w:cs="Times New Roman"/>
              </w:rPr>
              <w:t>and</w:t>
            </w:r>
            <w:r w:rsidRPr="00CE18BA">
              <w:rPr>
                <w:rFonts w:ascii="Book Antiqua" w:hAnsi="Book Antiqua"/>
                <w:lang w:val="en-US"/>
              </w:rPr>
              <w:t xml:space="preserve"> CVD in SVR group as opposed to non SVR</w:t>
            </w:r>
          </w:p>
        </w:tc>
      </w:tr>
      <w:tr w:rsidR="00051CC8" w:rsidRPr="00460721" w14:paraId="69A94919" w14:textId="77777777" w:rsidTr="0065128F">
        <w:trPr>
          <w:trHeight w:val="898"/>
        </w:trPr>
        <w:tc>
          <w:tcPr>
            <w:tcW w:w="1037" w:type="pct"/>
            <w:vMerge w:val="restart"/>
          </w:tcPr>
          <w:p w14:paraId="51B5E13C" w14:textId="1130D3DF" w:rsidR="00051CC8" w:rsidRPr="00CE18BA" w:rsidRDefault="00051CC8"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Yair-Sabag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[39]</w:t>
            </w:r>
            <w:r w:rsidRPr="00CE18BA">
              <w:rPr>
                <w:rFonts w:ascii="Book Antiqua" w:eastAsiaTheme="minorHAnsi" w:hAnsi="Book Antiqua"/>
                <w:color w:val="000000" w:themeColor="text1"/>
                <w:lang w:val="en-US"/>
              </w:rPr>
              <w:t>, 2016</w:t>
            </w:r>
          </w:p>
        </w:tc>
        <w:tc>
          <w:tcPr>
            <w:tcW w:w="972" w:type="pct"/>
            <w:vMerge w:val="restart"/>
          </w:tcPr>
          <w:p w14:paraId="498E9DC7" w14:textId="696C59E3" w:rsidR="00051CC8" w:rsidRPr="00CE18BA" w:rsidRDefault="00A872AE" w:rsidP="007C0E4B">
            <w:pPr>
              <w:spacing w:line="360" w:lineRule="auto"/>
              <w:jc w:val="both"/>
              <w:rPr>
                <w:rFonts w:ascii="Book Antiqua" w:hAnsi="Book Antiqua"/>
                <w:lang w:val="en-US"/>
              </w:rPr>
            </w:pPr>
            <w:r w:rsidRPr="00CE18BA">
              <w:rPr>
                <w:rFonts w:ascii="Book Antiqua" w:hAnsi="Book Antiqua"/>
                <w:lang w:val="en-US"/>
              </w:rPr>
              <w:t>P</w:t>
            </w:r>
            <w:r w:rsidR="00051CC8" w:rsidRPr="00CE18BA">
              <w:rPr>
                <w:rFonts w:ascii="Book Antiqua" w:hAnsi="Book Antiqua"/>
                <w:lang w:val="en-US"/>
              </w:rPr>
              <w:t>eg-IFN + RBV (24</w:t>
            </w:r>
            <w:r w:rsidR="005C3B6F">
              <w:rPr>
                <w:rFonts w:ascii="Book Antiqua" w:hAnsi="Book Antiqua"/>
                <w:lang w:val="en-US"/>
              </w:rPr>
              <w:t>-</w:t>
            </w:r>
            <w:r w:rsidR="00051CC8" w:rsidRPr="00CE18BA">
              <w:rPr>
                <w:rFonts w:ascii="Book Antiqua" w:hAnsi="Book Antiqua"/>
                <w:lang w:val="en-US"/>
              </w:rPr>
              <w:t>48 wk)</w:t>
            </w:r>
          </w:p>
        </w:tc>
        <w:tc>
          <w:tcPr>
            <w:tcW w:w="1040" w:type="pct"/>
            <w:vMerge w:val="restart"/>
          </w:tcPr>
          <w:p w14:paraId="62CCB398" w14:textId="799CE751" w:rsidR="00051CC8" w:rsidRPr="00CE18BA" w:rsidRDefault="00051CC8" w:rsidP="007C0E4B">
            <w:pPr>
              <w:spacing w:line="360" w:lineRule="auto"/>
              <w:jc w:val="both"/>
              <w:rPr>
                <w:rFonts w:ascii="Book Antiqua" w:hAnsi="Book Antiqua"/>
                <w:lang w:val="en-US"/>
              </w:rPr>
            </w:pPr>
            <w:r w:rsidRPr="00CE18BA">
              <w:rPr>
                <w:rFonts w:ascii="Book Antiqua" w:hAnsi="Book Antiqua"/>
                <w:lang w:val="en-US"/>
              </w:rPr>
              <w:t xml:space="preserve">IFG </w:t>
            </w:r>
            <w:r w:rsidR="00B05932">
              <w:rPr>
                <w:rFonts w:ascii="Book Antiqua" w:eastAsia="Times New Roman" w:hAnsi="Book Antiqua" w:cs="Times New Roman"/>
              </w:rPr>
              <w:t>and</w:t>
            </w:r>
            <w:r w:rsidRPr="00CE18BA">
              <w:rPr>
                <w:rFonts w:ascii="Book Antiqua" w:hAnsi="Book Antiqua"/>
                <w:lang w:val="en-US"/>
              </w:rPr>
              <w:t xml:space="preserve"> DM.</w:t>
            </w:r>
            <w:r w:rsidRPr="00CE18BA">
              <w:rPr>
                <w:rFonts w:ascii="Book Antiqua" w:hAnsi="Book Antiqua"/>
                <w:lang w:val="en-US" w:eastAsia="zh-CN"/>
              </w:rPr>
              <w:t xml:space="preserve"> </w:t>
            </w:r>
            <w:r w:rsidRPr="00CE18BA">
              <w:rPr>
                <w:rFonts w:ascii="Book Antiqua" w:hAnsi="Book Antiqua"/>
                <w:lang w:val="en-US"/>
              </w:rPr>
              <w:t>Triglycerides.</w:t>
            </w:r>
            <w:r w:rsidRPr="00CE18BA">
              <w:rPr>
                <w:rFonts w:ascii="Book Antiqua" w:hAnsi="Book Antiqua"/>
                <w:lang w:val="en-US" w:eastAsia="zh-CN"/>
              </w:rPr>
              <w:t xml:space="preserve"> </w:t>
            </w:r>
            <w:r w:rsidRPr="00CE18BA">
              <w:rPr>
                <w:rFonts w:ascii="Book Antiqua" w:hAnsi="Book Antiqua"/>
                <w:lang w:val="en-US"/>
              </w:rPr>
              <w:t>Hepatic steatosis</w:t>
            </w:r>
          </w:p>
        </w:tc>
        <w:tc>
          <w:tcPr>
            <w:tcW w:w="1951" w:type="pct"/>
          </w:tcPr>
          <w:p w14:paraId="04527042" w14:textId="59DBEC2B" w:rsidR="00051CC8" w:rsidRPr="00CE18BA" w:rsidRDefault="00051CC8" w:rsidP="007C0E4B">
            <w:pPr>
              <w:pStyle w:val="a7"/>
              <w:spacing w:line="360" w:lineRule="auto"/>
              <w:ind w:left="0"/>
              <w:jc w:val="both"/>
              <w:rPr>
                <w:rFonts w:ascii="Book Antiqua" w:hAnsi="Book Antiqua"/>
                <w:lang w:val="en-US"/>
              </w:rPr>
            </w:pPr>
            <w:r w:rsidRPr="00CE18BA">
              <w:rPr>
                <w:rFonts w:ascii="Book Antiqua" w:hAnsi="Book Antiqua"/>
                <w:lang w:val="en-US"/>
              </w:rPr>
              <w:t xml:space="preserve">Lower IFG </w:t>
            </w:r>
            <w:r w:rsidR="00B05932">
              <w:rPr>
                <w:rFonts w:ascii="Book Antiqua" w:hAnsi="Book Antiqua" w:cs="Times New Roman"/>
              </w:rPr>
              <w:t>and</w:t>
            </w:r>
            <w:r w:rsidRPr="00CE18BA">
              <w:rPr>
                <w:rFonts w:ascii="Book Antiqua" w:hAnsi="Book Antiqua"/>
                <w:lang w:val="en-US"/>
              </w:rPr>
              <w:t xml:space="preserve"> DM, and higher triglycerides in sustained responders</w:t>
            </w:r>
          </w:p>
        </w:tc>
      </w:tr>
      <w:tr w:rsidR="00051CC8" w:rsidRPr="00460721" w14:paraId="19E006CA" w14:textId="77777777" w:rsidTr="0065128F">
        <w:trPr>
          <w:trHeight w:val="898"/>
        </w:trPr>
        <w:tc>
          <w:tcPr>
            <w:tcW w:w="1037" w:type="pct"/>
            <w:vMerge/>
          </w:tcPr>
          <w:p w14:paraId="7A055370" w14:textId="77777777" w:rsidR="00051CC8" w:rsidRPr="00CE18BA" w:rsidRDefault="00051CC8" w:rsidP="007C0E4B">
            <w:pPr>
              <w:spacing w:line="360" w:lineRule="auto"/>
              <w:jc w:val="both"/>
              <w:rPr>
                <w:rFonts w:ascii="Book Antiqua" w:eastAsiaTheme="minorHAnsi" w:hAnsi="Book Antiqua"/>
                <w:color w:val="000000" w:themeColor="text1"/>
              </w:rPr>
            </w:pPr>
          </w:p>
        </w:tc>
        <w:tc>
          <w:tcPr>
            <w:tcW w:w="972" w:type="pct"/>
            <w:vMerge/>
          </w:tcPr>
          <w:p w14:paraId="395EF67C" w14:textId="77777777" w:rsidR="00051CC8" w:rsidRPr="00CE18BA" w:rsidRDefault="00051CC8" w:rsidP="007C0E4B">
            <w:pPr>
              <w:spacing w:line="360" w:lineRule="auto"/>
              <w:jc w:val="both"/>
              <w:rPr>
                <w:rFonts w:ascii="Book Antiqua" w:hAnsi="Book Antiqua"/>
              </w:rPr>
            </w:pPr>
          </w:p>
        </w:tc>
        <w:tc>
          <w:tcPr>
            <w:tcW w:w="1040" w:type="pct"/>
            <w:vMerge/>
          </w:tcPr>
          <w:p w14:paraId="0B22C433" w14:textId="77777777" w:rsidR="00051CC8" w:rsidRPr="00CE18BA" w:rsidRDefault="00051CC8" w:rsidP="007C0E4B">
            <w:pPr>
              <w:spacing w:line="360" w:lineRule="auto"/>
              <w:jc w:val="both"/>
              <w:rPr>
                <w:rFonts w:ascii="Book Antiqua" w:hAnsi="Book Antiqua"/>
              </w:rPr>
            </w:pPr>
          </w:p>
        </w:tc>
        <w:tc>
          <w:tcPr>
            <w:tcW w:w="1951" w:type="pct"/>
          </w:tcPr>
          <w:p w14:paraId="4FCD8123" w14:textId="16541005" w:rsidR="00051CC8" w:rsidRPr="00CE18BA" w:rsidRDefault="00051CC8" w:rsidP="007C0E4B">
            <w:pPr>
              <w:pStyle w:val="a7"/>
              <w:spacing w:line="360" w:lineRule="auto"/>
              <w:ind w:left="0"/>
              <w:jc w:val="both"/>
              <w:rPr>
                <w:rFonts w:ascii="Book Antiqua" w:hAnsi="Book Antiqua"/>
                <w:lang w:val="en-US"/>
              </w:rPr>
            </w:pPr>
            <w:r w:rsidRPr="00CE18BA">
              <w:rPr>
                <w:rFonts w:ascii="Book Antiqua" w:hAnsi="Book Antiqua"/>
                <w:lang w:val="en-US"/>
              </w:rPr>
              <w:t>Improvement in hepatic steatosis</w:t>
            </w:r>
          </w:p>
        </w:tc>
      </w:tr>
      <w:tr w:rsidR="00B63145" w:rsidRPr="00460721" w14:paraId="3D2E0B56" w14:textId="77777777" w:rsidTr="0065128F">
        <w:trPr>
          <w:trHeight w:val="840"/>
        </w:trPr>
        <w:tc>
          <w:tcPr>
            <w:tcW w:w="1037" w:type="pct"/>
          </w:tcPr>
          <w:p w14:paraId="1E663BF8" w14:textId="22E7AAC0"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Chang </w:t>
            </w:r>
            <w:r w:rsidRPr="00CE18BA">
              <w:rPr>
                <w:rFonts w:ascii="Book Antiqua" w:eastAsiaTheme="minorHAnsi" w:hAnsi="Book Antiqua"/>
                <w:i/>
                <w:iCs/>
                <w:color w:val="000000" w:themeColor="text1"/>
                <w:lang w:val="en-US"/>
              </w:rPr>
              <w:t>et al</w:t>
            </w:r>
            <w:r w:rsidR="008E5DE3" w:rsidRPr="00CE18BA">
              <w:rPr>
                <w:rFonts w:ascii="Book Antiqua" w:eastAsiaTheme="minorHAnsi" w:hAnsi="Book Antiqua"/>
                <w:color w:val="000000" w:themeColor="text1"/>
                <w:vertAlign w:val="superscript"/>
                <w:lang w:val="en-US"/>
              </w:rPr>
              <w:t>[16]</w:t>
            </w:r>
            <w:r w:rsidRPr="00CE18BA">
              <w:rPr>
                <w:rFonts w:ascii="Book Antiqua" w:eastAsiaTheme="minorHAnsi" w:hAnsi="Book Antiqua"/>
                <w:color w:val="000000" w:themeColor="text1"/>
                <w:lang w:val="en-US"/>
              </w:rPr>
              <w:t>, 2017</w:t>
            </w:r>
          </w:p>
        </w:tc>
        <w:tc>
          <w:tcPr>
            <w:tcW w:w="972" w:type="pct"/>
          </w:tcPr>
          <w:p w14:paraId="5317648C"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NA</w:t>
            </w:r>
            <w:r w:rsidRPr="00CE18BA">
              <w:rPr>
                <w:rFonts w:ascii="Book Antiqua" w:hAnsi="Book Antiqua"/>
                <w:vertAlign w:val="superscript"/>
                <w:lang w:val="en-US"/>
              </w:rPr>
              <w:t>1</w:t>
            </w:r>
          </w:p>
        </w:tc>
        <w:tc>
          <w:tcPr>
            <w:tcW w:w="1040" w:type="pct"/>
          </w:tcPr>
          <w:p w14:paraId="43792554"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Cardiovascular complications</w:t>
            </w:r>
          </w:p>
        </w:tc>
        <w:tc>
          <w:tcPr>
            <w:tcW w:w="1951" w:type="pct"/>
          </w:tcPr>
          <w:p w14:paraId="1999D286" w14:textId="6A70C36A" w:rsidR="005E76B6" w:rsidRPr="00CE18BA" w:rsidRDefault="005E76B6"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hAnsi="Book Antiqua"/>
                <w:lang w:val="en-US"/>
              </w:rPr>
              <w:t>An increased adipokine PAI-1 in SVR group, which accelerates cardiovascular risk, especially in vulnerable cases</w:t>
            </w:r>
          </w:p>
        </w:tc>
      </w:tr>
      <w:tr w:rsidR="00B63145" w:rsidRPr="00460721" w14:paraId="25ED7865" w14:textId="77777777" w:rsidTr="0065128F">
        <w:trPr>
          <w:trHeight w:val="766"/>
        </w:trPr>
        <w:tc>
          <w:tcPr>
            <w:tcW w:w="1037" w:type="pct"/>
          </w:tcPr>
          <w:p w14:paraId="2A75C5F9" w14:textId="40B9DC1B" w:rsidR="005E76B6" w:rsidRPr="00CE18BA" w:rsidRDefault="005E76B6" w:rsidP="007C0E4B">
            <w:pPr>
              <w:pStyle w:val="a5"/>
              <w:spacing w:before="0" w:beforeAutospacing="0" w:after="0" w:afterAutospacing="0" w:line="360" w:lineRule="auto"/>
              <w:jc w:val="both"/>
              <w:rPr>
                <w:rFonts w:ascii="Book Antiqua" w:hAnsi="Book Antiqua"/>
              </w:rPr>
            </w:pPr>
            <w:r w:rsidRPr="00CE18BA">
              <w:rPr>
                <w:rFonts w:ascii="Book Antiqua" w:eastAsiaTheme="minorHAnsi" w:hAnsi="Book Antiqua"/>
                <w:color w:val="000000" w:themeColor="text1"/>
                <w:lang w:val="en-US"/>
              </w:rPr>
              <w:t xml:space="preserve">Mahale </w:t>
            </w:r>
            <w:r w:rsidRPr="00CE18BA">
              <w:rPr>
                <w:rFonts w:ascii="Book Antiqua" w:eastAsiaTheme="minorHAnsi" w:hAnsi="Book Antiqua"/>
                <w:i/>
                <w:iCs/>
                <w:color w:val="000000" w:themeColor="text1"/>
                <w:lang w:val="en-US"/>
              </w:rPr>
              <w:t>et al</w:t>
            </w:r>
            <w:r w:rsidR="00D25CEE" w:rsidRPr="00CE18BA">
              <w:rPr>
                <w:rFonts w:ascii="Book Antiqua" w:eastAsiaTheme="minorHAnsi" w:hAnsi="Book Antiqua"/>
                <w:color w:val="000000" w:themeColor="text1"/>
                <w:vertAlign w:val="superscript"/>
                <w:lang w:val="en-US"/>
              </w:rPr>
              <w:t>[69]</w:t>
            </w:r>
            <w:r w:rsidRPr="00CE18BA">
              <w:rPr>
                <w:rFonts w:ascii="Book Antiqua" w:eastAsiaTheme="minorHAnsi" w:hAnsi="Book Antiqua"/>
                <w:color w:val="000000" w:themeColor="text1"/>
                <w:lang w:val="en-US"/>
              </w:rPr>
              <w:t>, 201</w:t>
            </w:r>
            <w:r w:rsidR="00D25CEE" w:rsidRPr="00CE18BA">
              <w:rPr>
                <w:rFonts w:ascii="Book Antiqua" w:eastAsiaTheme="minorHAnsi" w:hAnsi="Book Antiqua"/>
                <w:color w:val="000000" w:themeColor="text1"/>
                <w:lang w:val="en-US"/>
              </w:rPr>
              <w:t>8</w:t>
            </w:r>
          </w:p>
        </w:tc>
        <w:tc>
          <w:tcPr>
            <w:tcW w:w="972" w:type="pct"/>
          </w:tcPr>
          <w:p w14:paraId="0338B23C"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IFN-based regimen</w:t>
            </w:r>
            <w:r w:rsidRPr="00CE18BA">
              <w:rPr>
                <w:rFonts w:ascii="Book Antiqua" w:hAnsi="Book Antiqua"/>
                <w:vertAlign w:val="superscript"/>
                <w:lang w:val="en-US"/>
              </w:rPr>
              <w:t>2</w:t>
            </w:r>
          </w:p>
        </w:tc>
        <w:tc>
          <w:tcPr>
            <w:tcW w:w="1040" w:type="pct"/>
          </w:tcPr>
          <w:p w14:paraId="5A12AAC7" w14:textId="5350F24E"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DM</w:t>
            </w:r>
            <w:r w:rsidR="00A872AE" w:rsidRPr="00CE18BA">
              <w:rPr>
                <w:rFonts w:ascii="Book Antiqua" w:hAnsi="Book Antiqua"/>
                <w:lang w:val="en-US"/>
              </w:rPr>
              <w:t xml:space="preserve"> </w:t>
            </w:r>
            <w:r w:rsidR="006F59ED">
              <w:rPr>
                <w:rFonts w:ascii="Book Antiqua" w:eastAsia="Times New Roman" w:hAnsi="Book Antiqua" w:cs="Times New Roman"/>
              </w:rPr>
              <w:t>and</w:t>
            </w:r>
            <w:r w:rsidR="00D25CEE" w:rsidRPr="00CE18BA">
              <w:rPr>
                <w:rFonts w:ascii="Book Antiqua" w:hAnsi="Book Antiqua"/>
                <w:lang w:val="en-US" w:eastAsia="zh-CN"/>
              </w:rPr>
              <w:t xml:space="preserve"> </w:t>
            </w:r>
            <w:r w:rsidRPr="00CE18BA">
              <w:rPr>
                <w:rFonts w:ascii="Book Antiqua" w:hAnsi="Book Antiqua"/>
                <w:lang w:val="en-US"/>
              </w:rPr>
              <w:t>CVD</w:t>
            </w:r>
          </w:p>
        </w:tc>
        <w:tc>
          <w:tcPr>
            <w:tcW w:w="1951" w:type="pct"/>
          </w:tcPr>
          <w:p w14:paraId="192E728E" w14:textId="77777777" w:rsidR="005E76B6" w:rsidRPr="00CE18BA" w:rsidRDefault="005E76B6"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Antiviral therapy associated with lower risk of DM and stroke whereas no significant effect on CVD</w:t>
            </w:r>
          </w:p>
        </w:tc>
      </w:tr>
      <w:tr w:rsidR="00B63145" w:rsidRPr="00460721" w14:paraId="0849B2AF" w14:textId="77777777" w:rsidTr="0065128F">
        <w:trPr>
          <w:trHeight w:val="689"/>
        </w:trPr>
        <w:tc>
          <w:tcPr>
            <w:tcW w:w="1037" w:type="pct"/>
          </w:tcPr>
          <w:p w14:paraId="2230871F" w14:textId="36CE34DE" w:rsidR="005E76B6" w:rsidRPr="005036DA" w:rsidRDefault="005E76B6" w:rsidP="007C0E4B">
            <w:pPr>
              <w:spacing w:line="360" w:lineRule="auto"/>
              <w:jc w:val="both"/>
              <w:rPr>
                <w:rFonts w:ascii="Book Antiqua" w:eastAsiaTheme="minorHAnsi" w:hAnsi="Book Antiqua"/>
                <w:color w:val="000000" w:themeColor="text1"/>
                <w:lang w:val="en-US"/>
              </w:rPr>
            </w:pPr>
            <w:r w:rsidRPr="005036DA">
              <w:rPr>
                <w:rFonts w:ascii="Book Antiqua" w:eastAsiaTheme="minorHAnsi" w:hAnsi="Book Antiqua"/>
                <w:color w:val="000000" w:themeColor="text1"/>
                <w:lang w:val="en-US"/>
              </w:rPr>
              <w:t xml:space="preserve">Nahon </w:t>
            </w:r>
            <w:r w:rsidRPr="005036DA">
              <w:rPr>
                <w:rFonts w:ascii="Book Antiqua" w:eastAsiaTheme="minorHAnsi" w:hAnsi="Book Antiqua"/>
                <w:i/>
                <w:iCs/>
                <w:color w:val="000000" w:themeColor="text1"/>
              </w:rPr>
              <w:t>et al</w:t>
            </w:r>
            <w:r w:rsidR="00A872AE" w:rsidRPr="005036DA">
              <w:rPr>
                <w:rFonts w:ascii="Book Antiqua" w:eastAsiaTheme="minorHAnsi" w:hAnsi="Book Antiqua"/>
                <w:color w:val="000000" w:themeColor="text1"/>
                <w:vertAlign w:val="superscript"/>
              </w:rPr>
              <w:t>[90]</w:t>
            </w:r>
            <w:r w:rsidRPr="005036DA">
              <w:rPr>
                <w:rFonts w:ascii="Book Antiqua" w:eastAsiaTheme="minorHAnsi" w:hAnsi="Book Antiqua"/>
                <w:color w:val="000000" w:themeColor="text1"/>
                <w:lang w:val="en-US"/>
              </w:rPr>
              <w:t>, 2017</w:t>
            </w:r>
          </w:p>
        </w:tc>
        <w:tc>
          <w:tcPr>
            <w:tcW w:w="972" w:type="pct"/>
          </w:tcPr>
          <w:p w14:paraId="3ABC6E3A" w14:textId="1EDC3AD7" w:rsidR="005E76B6" w:rsidRPr="005036DA" w:rsidRDefault="005E76B6" w:rsidP="007C0E4B">
            <w:pPr>
              <w:spacing w:line="360" w:lineRule="auto"/>
              <w:jc w:val="both"/>
              <w:rPr>
                <w:rFonts w:ascii="Book Antiqua" w:hAnsi="Book Antiqua"/>
                <w:lang w:val="en-US"/>
              </w:rPr>
            </w:pPr>
            <w:r w:rsidRPr="005036DA">
              <w:rPr>
                <w:rFonts w:ascii="Book Antiqua" w:hAnsi="Book Antiqua"/>
                <w:lang w:val="en-US"/>
              </w:rPr>
              <w:t>Peg-IFN + RBV (16</w:t>
            </w:r>
            <w:r w:rsidR="005C3B6F">
              <w:rPr>
                <w:rFonts w:ascii="Book Antiqua" w:hAnsi="Book Antiqua"/>
                <w:lang w:val="en-US"/>
              </w:rPr>
              <w:t>-</w:t>
            </w:r>
            <w:r w:rsidRPr="005036DA">
              <w:rPr>
                <w:rFonts w:ascii="Book Antiqua" w:hAnsi="Book Antiqua"/>
                <w:lang w:val="en-US"/>
              </w:rPr>
              <w:t>48 wk) or combination therapies</w:t>
            </w:r>
            <w:r w:rsidRPr="005036DA">
              <w:rPr>
                <w:rFonts w:ascii="Book Antiqua" w:hAnsi="Book Antiqua"/>
                <w:vertAlign w:val="superscript"/>
                <w:lang w:val="en-US"/>
              </w:rPr>
              <w:t>3</w:t>
            </w:r>
          </w:p>
        </w:tc>
        <w:tc>
          <w:tcPr>
            <w:tcW w:w="1040" w:type="pct"/>
          </w:tcPr>
          <w:p w14:paraId="69DD8939" w14:textId="77777777" w:rsidR="005E76B6" w:rsidRPr="005036DA" w:rsidRDefault="005E76B6" w:rsidP="007C0E4B">
            <w:pPr>
              <w:spacing w:line="360" w:lineRule="auto"/>
              <w:jc w:val="both"/>
              <w:rPr>
                <w:rFonts w:ascii="Book Antiqua" w:hAnsi="Book Antiqua"/>
                <w:lang w:val="en-US"/>
              </w:rPr>
            </w:pPr>
            <w:r w:rsidRPr="005036DA">
              <w:rPr>
                <w:rFonts w:ascii="Book Antiqua" w:hAnsi="Book Antiqua"/>
                <w:lang w:val="en-US"/>
              </w:rPr>
              <w:t>CVD</w:t>
            </w:r>
          </w:p>
        </w:tc>
        <w:tc>
          <w:tcPr>
            <w:tcW w:w="1951" w:type="pct"/>
          </w:tcPr>
          <w:p w14:paraId="72E64DF5" w14:textId="77777777" w:rsidR="005E76B6" w:rsidRPr="005036DA" w:rsidRDefault="005E76B6" w:rsidP="007C0E4B">
            <w:pPr>
              <w:autoSpaceDE w:val="0"/>
              <w:autoSpaceDN w:val="0"/>
              <w:adjustRightInd w:val="0"/>
              <w:spacing w:line="360" w:lineRule="auto"/>
              <w:jc w:val="both"/>
              <w:rPr>
                <w:rFonts w:ascii="Book Antiqua" w:hAnsi="Book Antiqua"/>
                <w:lang w:val="en-US"/>
              </w:rPr>
            </w:pPr>
            <w:r w:rsidRPr="005036DA">
              <w:rPr>
                <w:rFonts w:ascii="Book Antiqua" w:hAnsi="Book Antiqua"/>
                <w:lang w:val="en-US"/>
              </w:rPr>
              <w:t>Lower risk of CVD in SVR subjects in comparison to non SVR</w:t>
            </w:r>
          </w:p>
        </w:tc>
      </w:tr>
      <w:tr w:rsidR="00383F88" w:rsidRPr="00460721" w14:paraId="6DAC7C68" w14:textId="77777777" w:rsidTr="0065128F">
        <w:trPr>
          <w:trHeight w:val="1291"/>
        </w:trPr>
        <w:tc>
          <w:tcPr>
            <w:tcW w:w="1037" w:type="pct"/>
            <w:vMerge w:val="restart"/>
          </w:tcPr>
          <w:p w14:paraId="0E588EA9" w14:textId="5F50A36E" w:rsidR="00383F88" w:rsidRPr="00CE18BA" w:rsidRDefault="00383F88"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Stine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[7</w:t>
            </w:r>
            <w:r w:rsidR="00611080">
              <w:rPr>
                <w:rFonts w:ascii="Book Antiqua" w:eastAsiaTheme="minorHAnsi" w:hAnsi="Book Antiqua"/>
                <w:color w:val="000000" w:themeColor="text1"/>
                <w:vertAlign w:val="superscript"/>
                <w:lang w:val="en-US"/>
              </w:rPr>
              <w:t>4</w:t>
            </w:r>
            <w:r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2017</w:t>
            </w:r>
          </w:p>
        </w:tc>
        <w:tc>
          <w:tcPr>
            <w:tcW w:w="972" w:type="pct"/>
            <w:vMerge w:val="restart"/>
          </w:tcPr>
          <w:p w14:paraId="7665ADE0" w14:textId="77777777" w:rsidR="00383F88" w:rsidRPr="00CE18BA" w:rsidRDefault="00383F88"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2,3</w:t>
            </w:r>
          </w:p>
        </w:tc>
        <w:tc>
          <w:tcPr>
            <w:tcW w:w="1040" w:type="pct"/>
            <w:vMerge w:val="restart"/>
          </w:tcPr>
          <w:p w14:paraId="35CC6B54" w14:textId="09FFA525" w:rsidR="00383F88" w:rsidRPr="00CE18BA" w:rsidRDefault="00383F88" w:rsidP="007C0E4B">
            <w:pPr>
              <w:spacing w:line="360" w:lineRule="auto"/>
              <w:jc w:val="both"/>
              <w:rPr>
                <w:rFonts w:ascii="Book Antiqua" w:hAnsi="Book Antiqua"/>
                <w:lang w:val="en-US"/>
              </w:rPr>
            </w:pPr>
            <w:r w:rsidRPr="00CE18BA">
              <w:rPr>
                <w:rFonts w:ascii="Book Antiqua" w:hAnsi="Book Antiqua"/>
                <w:lang w:val="en-US"/>
              </w:rPr>
              <w:t>DM in genotypes 1,</w:t>
            </w:r>
            <w:r w:rsidR="005036DA">
              <w:rPr>
                <w:rFonts w:ascii="Book Antiqua" w:hAnsi="Book Antiqua"/>
                <w:lang w:val="en-US"/>
              </w:rPr>
              <w:t xml:space="preserve"> </w:t>
            </w:r>
            <w:r w:rsidRPr="00CE18BA">
              <w:rPr>
                <w:rFonts w:ascii="Book Antiqua" w:hAnsi="Book Antiqua"/>
                <w:lang w:val="en-US"/>
              </w:rPr>
              <w:t>2,</w:t>
            </w:r>
            <w:r w:rsidR="005036DA">
              <w:rPr>
                <w:rFonts w:ascii="Book Antiqua" w:hAnsi="Book Antiqua"/>
                <w:lang w:val="en-US"/>
              </w:rPr>
              <w:t xml:space="preserve"> </w:t>
            </w:r>
            <w:r w:rsidRPr="00CE18BA">
              <w:rPr>
                <w:rFonts w:ascii="Book Antiqua" w:hAnsi="Book Antiqua"/>
                <w:lang w:val="en-US"/>
              </w:rPr>
              <w:t>3</w:t>
            </w:r>
          </w:p>
        </w:tc>
        <w:tc>
          <w:tcPr>
            <w:tcW w:w="1951" w:type="pct"/>
          </w:tcPr>
          <w:p w14:paraId="353281DB" w14:textId="221A4E20" w:rsidR="00383F88" w:rsidRPr="00CE18BA" w:rsidRDefault="00383F88"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Glycosylated hemoglobin was not affected in known diabetic patients</w:t>
            </w:r>
          </w:p>
        </w:tc>
      </w:tr>
      <w:tr w:rsidR="00383F88" w:rsidRPr="00460721" w14:paraId="2F1DC7B2" w14:textId="77777777" w:rsidTr="0065128F">
        <w:trPr>
          <w:trHeight w:val="1291"/>
        </w:trPr>
        <w:tc>
          <w:tcPr>
            <w:tcW w:w="1037" w:type="pct"/>
            <w:vMerge/>
          </w:tcPr>
          <w:p w14:paraId="4CFCFC95" w14:textId="77777777" w:rsidR="00383F88" w:rsidRPr="00CE18BA" w:rsidRDefault="00383F88" w:rsidP="007C0E4B">
            <w:pPr>
              <w:spacing w:line="360" w:lineRule="auto"/>
              <w:jc w:val="both"/>
              <w:rPr>
                <w:rFonts w:ascii="Book Antiqua" w:eastAsiaTheme="minorHAnsi" w:hAnsi="Book Antiqua"/>
                <w:color w:val="000000" w:themeColor="text1"/>
              </w:rPr>
            </w:pPr>
          </w:p>
        </w:tc>
        <w:tc>
          <w:tcPr>
            <w:tcW w:w="972" w:type="pct"/>
            <w:vMerge/>
          </w:tcPr>
          <w:p w14:paraId="2072C98E" w14:textId="77777777" w:rsidR="00383F88" w:rsidRPr="00CE18BA" w:rsidRDefault="00383F88" w:rsidP="007C0E4B">
            <w:pPr>
              <w:spacing w:line="360" w:lineRule="auto"/>
              <w:jc w:val="both"/>
              <w:rPr>
                <w:rFonts w:ascii="Book Antiqua" w:hAnsi="Book Antiqua"/>
              </w:rPr>
            </w:pPr>
          </w:p>
        </w:tc>
        <w:tc>
          <w:tcPr>
            <w:tcW w:w="1040" w:type="pct"/>
            <w:vMerge/>
          </w:tcPr>
          <w:p w14:paraId="6EAB15DD" w14:textId="77777777" w:rsidR="00383F88" w:rsidRPr="00CE18BA" w:rsidRDefault="00383F88" w:rsidP="007C0E4B">
            <w:pPr>
              <w:spacing w:line="360" w:lineRule="auto"/>
              <w:jc w:val="both"/>
              <w:rPr>
                <w:rFonts w:ascii="Book Antiqua" w:hAnsi="Book Antiqua"/>
              </w:rPr>
            </w:pPr>
          </w:p>
        </w:tc>
        <w:tc>
          <w:tcPr>
            <w:tcW w:w="1951" w:type="pct"/>
          </w:tcPr>
          <w:p w14:paraId="3472B1DA" w14:textId="6633F23F" w:rsidR="00383F88" w:rsidRPr="00CE18BA" w:rsidRDefault="00383F88"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1/3 of patients required escalation of anti-diabetic therapy during antiviral treatment</w:t>
            </w:r>
          </w:p>
        </w:tc>
      </w:tr>
      <w:tr w:rsidR="007737A2" w:rsidRPr="00460721" w14:paraId="385E8990" w14:textId="77777777" w:rsidTr="0065128F">
        <w:trPr>
          <w:trHeight w:val="1846"/>
        </w:trPr>
        <w:tc>
          <w:tcPr>
            <w:tcW w:w="1037" w:type="pct"/>
            <w:vMerge w:val="restart"/>
          </w:tcPr>
          <w:p w14:paraId="0D2D976C" w14:textId="550DC1AC" w:rsidR="007737A2" w:rsidRPr="00CE18BA" w:rsidRDefault="007737A2"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Carvalho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[11]</w:t>
            </w:r>
            <w:r w:rsidRPr="00CE18BA">
              <w:rPr>
                <w:rFonts w:ascii="Book Antiqua" w:eastAsiaTheme="minorHAnsi" w:hAnsi="Book Antiqua"/>
                <w:color w:val="000000" w:themeColor="text1"/>
                <w:lang w:val="en-US"/>
              </w:rPr>
              <w:t>, 2018</w:t>
            </w:r>
          </w:p>
        </w:tc>
        <w:tc>
          <w:tcPr>
            <w:tcW w:w="972" w:type="pct"/>
            <w:vMerge w:val="restart"/>
          </w:tcPr>
          <w:p w14:paraId="2916C49B" w14:textId="01C08DA2" w:rsidR="007737A2" w:rsidRPr="00CE18BA" w:rsidRDefault="007737A2" w:rsidP="007C0E4B">
            <w:pPr>
              <w:spacing w:line="360" w:lineRule="auto"/>
              <w:jc w:val="both"/>
              <w:rPr>
                <w:rFonts w:ascii="Book Antiqua" w:hAnsi="Book Antiqua"/>
                <w:lang w:val="en-US"/>
              </w:rPr>
            </w:pPr>
            <w:r w:rsidRPr="00CE18BA">
              <w:rPr>
                <w:rFonts w:ascii="Book Antiqua" w:eastAsiaTheme="minorHAnsi" w:hAnsi="Book Antiqua"/>
                <w:lang w:val="en-US"/>
              </w:rPr>
              <w:t>SOF + LDV ± RBV</w:t>
            </w:r>
            <w:r w:rsidRPr="00CE18BA">
              <w:rPr>
                <w:rFonts w:ascii="Book Antiqua" w:hAnsi="Book Antiqua"/>
                <w:lang w:val="en-US"/>
              </w:rPr>
              <w:t xml:space="preserve"> (group 1) </w:t>
            </w:r>
            <w:r w:rsidRPr="00CE18BA">
              <w:rPr>
                <w:rFonts w:ascii="Book Antiqua" w:hAnsi="Book Antiqua"/>
                <w:i/>
                <w:iCs/>
                <w:lang w:val="en-US"/>
              </w:rPr>
              <w:t>vs</w:t>
            </w:r>
            <w:r w:rsidRPr="00CE18BA">
              <w:rPr>
                <w:rFonts w:ascii="Book Antiqua" w:hAnsi="Book Antiqua"/>
                <w:lang w:val="en-US"/>
              </w:rPr>
              <w:t xml:space="preserve"> </w:t>
            </w:r>
            <w:r w:rsidR="00A872AE" w:rsidRPr="00CE18BA">
              <w:rPr>
                <w:rFonts w:ascii="Book Antiqua" w:hAnsi="Book Antiqua"/>
                <w:lang w:val="en-US"/>
              </w:rPr>
              <w:t>P</w:t>
            </w:r>
            <w:r w:rsidRPr="00CE18BA">
              <w:rPr>
                <w:rFonts w:ascii="Book Antiqua" w:hAnsi="Book Antiqua"/>
                <w:lang w:val="en-US"/>
              </w:rPr>
              <w:t>eg-IFN + RBV (group 2)</w:t>
            </w:r>
          </w:p>
        </w:tc>
        <w:tc>
          <w:tcPr>
            <w:tcW w:w="1040" w:type="pct"/>
            <w:vMerge w:val="restart"/>
          </w:tcPr>
          <w:p w14:paraId="7C43F2CE" w14:textId="1559E41E" w:rsidR="007737A2" w:rsidRPr="00CE18BA" w:rsidRDefault="007737A2" w:rsidP="007C0E4B">
            <w:pPr>
              <w:spacing w:line="360" w:lineRule="auto"/>
              <w:jc w:val="both"/>
              <w:rPr>
                <w:rFonts w:ascii="Book Antiqua" w:hAnsi="Book Antiqua"/>
                <w:lang w:val="pt-BR"/>
              </w:rPr>
            </w:pPr>
            <w:r w:rsidRPr="00CE18BA">
              <w:rPr>
                <w:rFonts w:ascii="Book Antiqua" w:hAnsi="Book Antiqua"/>
                <w:lang w:val="pt-BR"/>
              </w:rPr>
              <w:t>Lipid levels.</w:t>
            </w:r>
            <w:r w:rsidRPr="00CE18BA">
              <w:rPr>
                <w:rFonts w:ascii="Book Antiqua" w:hAnsi="Book Antiqua"/>
                <w:lang w:val="pt-BR" w:eastAsia="zh-CN"/>
              </w:rPr>
              <w:t xml:space="preserve"> </w:t>
            </w:r>
            <w:r w:rsidRPr="00CE18BA">
              <w:rPr>
                <w:rFonts w:ascii="Book Antiqua" w:hAnsi="Book Antiqua"/>
                <w:lang w:val="pt-BR"/>
              </w:rPr>
              <w:t>Serum glucose.</w:t>
            </w:r>
            <w:r w:rsidRPr="00CE18BA">
              <w:rPr>
                <w:rFonts w:ascii="Book Antiqua" w:hAnsi="Book Antiqua"/>
                <w:lang w:val="pt-BR" w:eastAsia="zh-CN"/>
              </w:rPr>
              <w:t xml:space="preserve"> </w:t>
            </w:r>
            <w:r w:rsidRPr="00CE18BA">
              <w:rPr>
                <w:rFonts w:ascii="Book Antiqua" w:hAnsi="Book Antiqua"/>
                <w:lang w:val="pt-BR"/>
              </w:rPr>
              <w:t>IR</w:t>
            </w:r>
          </w:p>
        </w:tc>
        <w:tc>
          <w:tcPr>
            <w:tcW w:w="1951" w:type="pct"/>
          </w:tcPr>
          <w:p w14:paraId="26417627" w14:textId="55F90E41" w:rsidR="007737A2" w:rsidRPr="00CE18BA" w:rsidRDefault="007737A2" w:rsidP="007C0E4B">
            <w:pPr>
              <w:pStyle w:val="a7"/>
              <w:spacing w:line="360" w:lineRule="auto"/>
              <w:ind w:left="0"/>
              <w:jc w:val="both"/>
              <w:rPr>
                <w:rFonts w:ascii="Book Antiqua" w:hAnsi="Book Antiqua"/>
                <w:lang w:val="en-US"/>
              </w:rPr>
            </w:pPr>
            <w:r w:rsidRPr="00CE18BA">
              <w:rPr>
                <w:rFonts w:ascii="Book Antiqua" w:hAnsi="Book Antiqua"/>
                <w:lang w:val="en-US"/>
              </w:rPr>
              <w:t xml:space="preserve">While total cholesterol increased in both groups, triglycerides levels decreased in group 1 </w:t>
            </w:r>
            <w:r w:rsidR="006F59ED">
              <w:rPr>
                <w:rFonts w:ascii="Book Antiqua" w:hAnsi="Book Antiqua" w:cs="Times New Roman"/>
              </w:rPr>
              <w:t>and</w:t>
            </w:r>
            <w:r w:rsidRPr="00CE18BA">
              <w:rPr>
                <w:rFonts w:ascii="Book Antiqua" w:hAnsi="Book Antiqua"/>
                <w:lang w:val="en-US"/>
              </w:rPr>
              <w:t xml:space="preserve"> increased in group 2 </w:t>
            </w:r>
          </w:p>
        </w:tc>
      </w:tr>
      <w:tr w:rsidR="007737A2" w:rsidRPr="00460721" w14:paraId="5FE02B6E" w14:textId="77777777" w:rsidTr="0065128F">
        <w:trPr>
          <w:trHeight w:val="838"/>
        </w:trPr>
        <w:tc>
          <w:tcPr>
            <w:tcW w:w="1037" w:type="pct"/>
            <w:vMerge/>
          </w:tcPr>
          <w:p w14:paraId="17D6AC45" w14:textId="77777777" w:rsidR="007737A2" w:rsidRPr="00CE18BA" w:rsidRDefault="007737A2" w:rsidP="007C0E4B">
            <w:pPr>
              <w:spacing w:line="360" w:lineRule="auto"/>
              <w:jc w:val="both"/>
              <w:rPr>
                <w:rFonts w:ascii="Book Antiqua" w:eastAsiaTheme="minorHAnsi" w:hAnsi="Book Antiqua"/>
                <w:color w:val="000000" w:themeColor="text1"/>
              </w:rPr>
            </w:pPr>
          </w:p>
        </w:tc>
        <w:tc>
          <w:tcPr>
            <w:tcW w:w="972" w:type="pct"/>
            <w:vMerge/>
          </w:tcPr>
          <w:p w14:paraId="219B8F16" w14:textId="77777777" w:rsidR="007737A2" w:rsidRPr="00CE18BA" w:rsidRDefault="007737A2" w:rsidP="007C0E4B">
            <w:pPr>
              <w:spacing w:line="360" w:lineRule="auto"/>
              <w:jc w:val="both"/>
              <w:rPr>
                <w:rFonts w:ascii="Book Antiqua" w:eastAsiaTheme="minorHAnsi" w:hAnsi="Book Antiqua"/>
              </w:rPr>
            </w:pPr>
          </w:p>
        </w:tc>
        <w:tc>
          <w:tcPr>
            <w:tcW w:w="1040" w:type="pct"/>
            <w:vMerge/>
          </w:tcPr>
          <w:p w14:paraId="67CD056C" w14:textId="77777777" w:rsidR="007737A2" w:rsidRPr="00CE18BA" w:rsidRDefault="007737A2" w:rsidP="007C0E4B">
            <w:pPr>
              <w:spacing w:line="360" w:lineRule="auto"/>
              <w:jc w:val="both"/>
              <w:rPr>
                <w:rFonts w:ascii="Book Antiqua" w:hAnsi="Book Antiqua"/>
                <w:lang w:val="en-US"/>
              </w:rPr>
            </w:pPr>
          </w:p>
        </w:tc>
        <w:tc>
          <w:tcPr>
            <w:tcW w:w="1951" w:type="pct"/>
          </w:tcPr>
          <w:p w14:paraId="3F55F68C" w14:textId="55EA32BA" w:rsidR="007737A2" w:rsidRPr="00CE18BA" w:rsidRDefault="007737A2" w:rsidP="007C0E4B">
            <w:pPr>
              <w:pStyle w:val="a7"/>
              <w:spacing w:line="360" w:lineRule="auto"/>
              <w:ind w:left="0"/>
              <w:jc w:val="both"/>
              <w:rPr>
                <w:rFonts w:ascii="Book Antiqua" w:hAnsi="Book Antiqua"/>
                <w:lang w:val="en-US"/>
              </w:rPr>
            </w:pPr>
            <w:r w:rsidRPr="00CE18BA">
              <w:rPr>
                <w:rFonts w:ascii="Book Antiqua" w:hAnsi="Book Antiqua"/>
                <w:lang w:val="en-US"/>
              </w:rPr>
              <w:t xml:space="preserve">LDL elevated in group 1 </w:t>
            </w:r>
            <w:r w:rsidR="00FF4550">
              <w:rPr>
                <w:rFonts w:ascii="Book Antiqua" w:hAnsi="Book Antiqua" w:cs="Times New Roman"/>
              </w:rPr>
              <w:t>and</w:t>
            </w:r>
            <w:r w:rsidRPr="00CE18BA">
              <w:rPr>
                <w:rFonts w:ascii="Book Antiqua" w:hAnsi="Book Antiqua"/>
                <w:lang w:val="en-US"/>
              </w:rPr>
              <w:t xml:space="preserve"> No change in group 2</w:t>
            </w:r>
          </w:p>
        </w:tc>
      </w:tr>
      <w:tr w:rsidR="007737A2" w:rsidRPr="00460721" w14:paraId="2BAE703E" w14:textId="77777777" w:rsidTr="0065128F">
        <w:trPr>
          <w:trHeight w:val="838"/>
        </w:trPr>
        <w:tc>
          <w:tcPr>
            <w:tcW w:w="1037" w:type="pct"/>
            <w:vMerge/>
          </w:tcPr>
          <w:p w14:paraId="71CFC31F" w14:textId="77777777" w:rsidR="007737A2" w:rsidRPr="00CE18BA" w:rsidRDefault="007737A2" w:rsidP="007C0E4B">
            <w:pPr>
              <w:spacing w:line="360" w:lineRule="auto"/>
              <w:jc w:val="both"/>
              <w:rPr>
                <w:rFonts w:ascii="Book Antiqua" w:eastAsiaTheme="minorHAnsi" w:hAnsi="Book Antiqua"/>
                <w:color w:val="000000" w:themeColor="text1"/>
              </w:rPr>
            </w:pPr>
          </w:p>
        </w:tc>
        <w:tc>
          <w:tcPr>
            <w:tcW w:w="972" w:type="pct"/>
            <w:vMerge/>
          </w:tcPr>
          <w:p w14:paraId="4A7D7246" w14:textId="77777777" w:rsidR="007737A2" w:rsidRPr="00CE18BA" w:rsidRDefault="007737A2" w:rsidP="007C0E4B">
            <w:pPr>
              <w:spacing w:line="360" w:lineRule="auto"/>
              <w:jc w:val="both"/>
              <w:rPr>
                <w:rFonts w:ascii="Book Antiqua" w:eastAsiaTheme="minorHAnsi" w:hAnsi="Book Antiqua"/>
              </w:rPr>
            </w:pPr>
          </w:p>
        </w:tc>
        <w:tc>
          <w:tcPr>
            <w:tcW w:w="1040" w:type="pct"/>
            <w:vMerge/>
          </w:tcPr>
          <w:p w14:paraId="4995C491" w14:textId="77777777" w:rsidR="007737A2" w:rsidRPr="00CE18BA" w:rsidRDefault="007737A2" w:rsidP="007C0E4B">
            <w:pPr>
              <w:spacing w:line="360" w:lineRule="auto"/>
              <w:jc w:val="both"/>
              <w:rPr>
                <w:rFonts w:ascii="Book Antiqua" w:hAnsi="Book Antiqua"/>
                <w:lang w:val="en-US"/>
              </w:rPr>
            </w:pPr>
          </w:p>
        </w:tc>
        <w:tc>
          <w:tcPr>
            <w:tcW w:w="1951" w:type="pct"/>
          </w:tcPr>
          <w:p w14:paraId="11A2C00D" w14:textId="4C4007EC" w:rsidR="007737A2" w:rsidRPr="00CE18BA" w:rsidRDefault="007737A2" w:rsidP="007C0E4B">
            <w:pPr>
              <w:pStyle w:val="a7"/>
              <w:spacing w:line="360" w:lineRule="auto"/>
              <w:ind w:left="0"/>
              <w:jc w:val="both"/>
              <w:rPr>
                <w:rFonts w:ascii="Book Antiqua" w:hAnsi="Book Antiqua"/>
                <w:lang w:val="en-US"/>
              </w:rPr>
            </w:pPr>
            <w:r w:rsidRPr="00CE18BA">
              <w:rPr>
                <w:rFonts w:ascii="Book Antiqua" w:hAnsi="Book Antiqua"/>
                <w:lang w:val="en-US"/>
              </w:rPr>
              <w:t>No significant variation in serum glucose</w:t>
            </w:r>
          </w:p>
        </w:tc>
      </w:tr>
      <w:tr w:rsidR="007737A2" w:rsidRPr="00460721" w14:paraId="025F065D" w14:textId="77777777" w:rsidTr="0065128F">
        <w:trPr>
          <w:trHeight w:val="838"/>
        </w:trPr>
        <w:tc>
          <w:tcPr>
            <w:tcW w:w="1037" w:type="pct"/>
            <w:vMerge/>
          </w:tcPr>
          <w:p w14:paraId="5852593D" w14:textId="77777777" w:rsidR="007737A2" w:rsidRPr="00CE18BA" w:rsidRDefault="007737A2" w:rsidP="007C0E4B">
            <w:pPr>
              <w:spacing w:line="360" w:lineRule="auto"/>
              <w:jc w:val="both"/>
              <w:rPr>
                <w:rFonts w:ascii="Book Antiqua" w:eastAsiaTheme="minorHAnsi" w:hAnsi="Book Antiqua"/>
                <w:color w:val="000000" w:themeColor="text1"/>
              </w:rPr>
            </w:pPr>
          </w:p>
        </w:tc>
        <w:tc>
          <w:tcPr>
            <w:tcW w:w="972" w:type="pct"/>
            <w:vMerge/>
          </w:tcPr>
          <w:p w14:paraId="6A365758" w14:textId="77777777" w:rsidR="007737A2" w:rsidRPr="00CE18BA" w:rsidRDefault="007737A2" w:rsidP="007C0E4B">
            <w:pPr>
              <w:spacing w:line="360" w:lineRule="auto"/>
              <w:jc w:val="both"/>
              <w:rPr>
                <w:rFonts w:ascii="Book Antiqua" w:eastAsiaTheme="minorHAnsi" w:hAnsi="Book Antiqua"/>
              </w:rPr>
            </w:pPr>
          </w:p>
        </w:tc>
        <w:tc>
          <w:tcPr>
            <w:tcW w:w="1040" w:type="pct"/>
            <w:vMerge/>
          </w:tcPr>
          <w:p w14:paraId="41C1B12C" w14:textId="77777777" w:rsidR="007737A2" w:rsidRPr="00CE18BA" w:rsidRDefault="007737A2" w:rsidP="007C0E4B">
            <w:pPr>
              <w:spacing w:line="360" w:lineRule="auto"/>
              <w:jc w:val="both"/>
              <w:rPr>
                <w:rFonts w:ascii="Book Antiqua" w:hAnsi="Book Antiqua"/>
                <w:lang w:val="en-US"/>
              </w:rPr>
            </w:pPr>
          </w:p>
        </w:tc>
        <w:tc>
          <w:tcPr>
            <w:tcW w:w="1951" w:type="pct"/>
          </w:tcPr>
          <w:p w14:paraId="3EB6B588" w14:textId="1283DD1A" w:rsidR="007737A2" w:rsidRPr="00CE18BA" w:rsidRDefault="007737A2" w:rsidP="007C0E4B">
            <w:pPr>
              <w:pStyle w:val="a7"/>
              <w:spacing w:line="360" w:lineRule="auto"/>
              <w:ind w:left="0"/>
              <w:jc w:val="both"/>
              <w:rPr>
                <w:rFonts w:ascii="Book Antiqua" w:hAnsi="Book Antiqua"/>
                <w:lang w:val="en-US"/>
              </w:rPr>
            </w:pPr>
            <w:r w:rsidRPr="00CE18BA">
              <w:rPr>
                <w:rFonts w:ascii="Book Antiqua" w:hAnsi="Book Antiqua"/>
                <w:lang w:val="en-US"/>
              </w:rPr>
              <w:t>Significant increase in HOMA-IR only in group 2</w:t>
            </w:r>
          </w:p>
        </w:tc>
      </w:tr>
      <w:tr w:rsidR="008C1D10" w:rsidRPr="00460721" w14:paraId="3224EE13" w14:textId="77777777" w:rsidTr="0065128F">
        <w:trPr>
          <w:trHeight w:val="510"/>
        </w:trPr>
        <w:tc>
          <w:tcPr>
            <w:tcW w:w="1037" w:type="pct"/>
            <w:vMerge w:val="restart"/>
          </w:tcPr>
          <w:p w14:paraId="1DD03986" w14:textId="4D9E6C4F" w:rsidR="008C1D10" w:rsidRPr="00CE18BA" w:rsidRDefault="008C1D10" w:rsidP="007C0E4B">
            <w:pPr>
              <w:spacing w:line="360" w:lineRule="auto"/>
              <w:jc w:val="both"/>
              <w:rPr>
                <w:rFonts w:ascii="Book Antiqua" w:hAnsi="Book Antiqua"/>
                <w:lang w:val="en-US"/>
              </w:rPr>
            </w:pPr>
            <w:r w:rsidRPr="00CE18BA">
              <w:rPr>
                <w:rFonts w:ascii="Book Antiqua" w:eastAsiaTheme="minorHAnsi" w:hAnsi="Book Antiqua"/>
                <w:color w:val="000000" w:themeColor="text1"/>
                <w:lang w:val="en-US"/>
              </w:rPr>
              <w:t xml:space="preserve">Kawagishi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[17]</w:t>
            </w:r>
            <w:r w:rsidRPr="00CE18BA">
              <w:rPr>
                <w:rFonts w:ascii="Book Antiqua" w:eastAsiaTheme="minorHAnsi" w:hAnsi="Book Antiqua"/>
                <w:color w:val="000000" w:themeColor="text1"/>
                <w:lang w:val="en-US"/>
              </w:rPr>
              <w:t>, 2018</w:t>
            </w:r>
          </w:p>
        </w:tc>
        <w:tc>
          <w:tcPr>
            <w:tcW w:w="972" w:type="pct"/>
            <w:vMerge w:val="restart"/>
          </w:tcPr>
          <w:p w14:paraId="583B85D9" w14:textId="77777777" w:rsidR="008C1D10" w:rsidRPr="00CE18BA" w:rsidRDefault="008C1D10"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3</w:t>
            </w:r>
          </w:p>
        </w:tc>
        <w:tc>
          <w:tcPr>
            <w:tcW w:w="1040" w:type="pct"/>
            <w:vMerge w:val="restart"/>
          </w:tcPr>
          <w:p w14:paraId="28B05499" w14:textId="48E296EA" w:rsidR="008C1D10" w:rsidRPr="00CE18BA" w:rsidRDefault="008C1D10" w:rsidP="007C0E4B">
            <w:pPr>
              <w:spacing w:line="360" w:lineRule="auto"/>
              <w:jc w:val="both"/>
              <w:rPr>
                <w:rFonts w:ascii="Book Antiqua" w:hAnsi="Book Antiqua"/>
                <w:lang w:val="en-US"/>
              </w:rPr>
            </w:pPr>
            <w:r w:rsidRPr="00CE18BA">
              <w:rPr>
                <w:rFonts w:ascii="Book Antiqua" w:hAnsi="Book Antiqua"/>
                <w:lang w:val="en-US"/>
              </w:rPr>
              <w:t>Hepatic steatosis.</w:t>
            </w:r>
            <w:r w:rsidRPr="00CE18BA">
              <w:rPr>
                <w:rFonts w:ascii="Book Antiqua" w:hAnsi="Book Antiqua"/>
                <w:lang w:val="en-US" w:eastAsia="zh-CN"/>
              </w:rPr>
              <w:t xml:space="preserve"> </w:t>
            </w:r>
            <w:r w:rsidRPr="00CE18BA">
              <w:rPr>
                <w:rFonts w:ascii="Book Antiqua" w:hAnsi="Book Antiqua"/>
                <w:lang w:val="en-US"/>
              </w:rPr>
              <w:t>Lipid abnormalities</w:t>
            </w:r>
          </w:p>
        </w:tc>
        <w:tc>
          <w:tcPr>
            <w:tcW w:w="1951" w:type="pct"/>
          </w:tcPr>
          <w:p w14:paraId="12250B08" w14:textId="326D53AC" w:rsidR="008C1D10" w:rsidRPr="00CE18BA" w:rsidRDefault="008C1D10"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Decrease in CAP </w:t>
            </w:r>
            <w:r w:rsidR="00FF4550">
              <w:rPr>
                <w:rFonts w:ascii="Book Antiqua" w:hAnsi="Book Antiqua" w:cs="Times New Roman"/>
              </w:rPr>
              <w:t>and</w:t>
            </w:r>
            <w:r w:rsidRPr="00CE18BA">
              <w:rPr>
                <w:rFonts w:ascii="Book Antiqua" w:hAnsi="Book Antiqua"/>
                <w:lang w:val="en-US"/>
              </w:rPr>
              <w:t xml:space="preserve"> LDL in patients with high baseline values</w:t>
            </w:r>
          </w:p>
        </w:tc>
      </w:tr>
      <w:tr w:rsidR="008C1D10" w:rsidRPr="00460721" w14:paraId="7588397E" w14:textId="77777777" w:rsidTr="0065128F">
        <w:trPr>
          <w:trHeight w:val="510"/>
        </w:trPr>
        <w:tc>
          <w:tcPr>
            <w:tcW w:w="1037" w:type="pct"/>
            <w:vMerge/>
          </w:tcPr>
          <w:p w14:paraId="3FBAFD8C" w14:textId="77777777" w:rsidR="008C1D10" w:rsidRPr="00CE18BA" w:rsidRDefault="008C1D10" w:rsidP="007C0E4B">
            <w:pPr>
              <w:spacing w:line="360" w:lineRule="auto"/>
              <w:jc w:val="both"/>
              <w:rPr>
                <w:rFonts w:ascii="Book Antiqua" w:eastAsiaTheme="minorHAnsi" w:hAnsi="Book Antiqua"/>
                <w:color w:val="000000" w:themeColor="text1"/>
              </w:rPr>
            </w:pPr>
          </w:p>
        </w:tc>
        <w:tc>
          <w:tcPr>
            <w:tcW w:w="972" w:type="pct"/>
            <w:vMerge/>
          </w:tcPr>
          <w:p w14:paraId="039DB84F" w14:textId="77777777" w:rsidR="008C1D10" w:rsidRPr="00CE18BA" w:rsidRDefault="008C1D10" w:rsidP="007C0E4B">
            <w:pPr>
              <w:spacing w:line="360" w:lineRule="auto"/>
              <w:jc w:val="both"/>
              <w:rPr>
                <w:rFonts w:ascii="Book Antiqua" w:hAnsi="Book Antiqua"/>
              </w:rPr>
            </w:pPr>
          </w:p>
        </w:tc>
        <w:tc>
          <w:tcPr>
            <w:tcW w:w="1040" w:type="pct"/>
            <w:vMerge/>
          </w:tcPr>
          <w:p w14:paraId="54B45702" w14:textId="77777777" w:rsidR="008C1D10" w:rsidRPr="00CE18BA" w:rsidRDefault="008C1D10" w:rsidP="007C0E4B">
            <w:pPr>
              <w:spacing w:line="360" w:lineRule="auto"/>
              <w:jc w:val="both"/>
              <w:rPr>
                <w:rFonts w:ascii="Book Antiqua" w:hAnsi="Book Antiqua"/>
              </w:rPr>
            </w:pPr>
          </w:p>
        </w:tc>
        <w:tc>
          <w:tcPr>
            <w:tcW w:w="1951" w:type="pct"/>
          </w:tcPr>
          <w:p w14:paraId="257ADD4A" w14:textId="0ACB4295" w:rsidR="008C1D10" w:rsidRPr="00CE18BA" w:rsidRDefault="008C1D10"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Elevated sdLDL in patients who had dyslipidemia </w:t>
            </w:r>
            <w:r w:rsidR="0059609D">
              <w:rPr>
                <w:rFonts w:ascii="Book Antiqua" w:hAnsi="Book Antiqua" w:cs="Times New Roman"/>
              </w:rPr>
              <w:t>and</w:t>
            </w:r>
            <w:r w:rsidRPr="00CE18BA">
              <w:rPr>
                <w:rFonts w:ascii="Book Antiqua" w:hAnsi="Book Antiqua"/>
                <w:lang w:val="en-US"/>
              </w:rPr>
              <w:t xml:space="preserve"> hepatic steatosis at 24 wk</w:t>
            </w:r>
          </w:p>
        </w:tc>
      </w:tr>
      <w:tr w:rsidR="00B63145" w:rsidRPr="00460721" w14:paraId="7AEA99E0" w14:textId="77777777" w:rsidTr="0065128F">
        <w:trPr>
          <w:trHeight w:val="590"/>
        </w:trPr>
        <w:tc>
          <w:tcPr>
            <w:tcW w:w="1037" w:type="pct"/>
          </w:tcPr>
          <w:p w14:paraId="4DCE2345" w14:textId="3BD82A5D"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Li </w:t>
            </w:r>
            <w:r w:rsidRPr="00CE18BA">
              <w:rPr>
                <w:rFonts w:ascii="Book Antiqua" w:eastAsiaTheme="minorHAnsi" w:hAnsi="Book Antiqua"/>
                <w:i/>
                <w:iCs/>
                <w:color w:val="000000" w:themeColor="text1"/>
              </w:rPr>
              <w:t>et al</w:t>
            </w:r>
            <w:r w:rsidR="00A872AE" w:rsidRPr="00CE18BA">
              <w:rPr>
                <w:rFonts w:ascii="Book Antiqua" w:eastAsiaTheme="minorHAnsi" w:hAnsi="Book Antiqua"/>
                <w:color w:val="000000" w:themeColor="text1"/>
                <w:vertAlign w:val="superscript"/>
              </w:rPr>
              <w:t>[73]</w:t>
            </w:r>
            <w:r w:rsidRPr="00CE18BA">
              <w:rPr>
                <w:rFonts w:ascii="Book Antiqua" w:eastAsiaTheme="minorHAnsi" w:hAnsi="Book Antiqua"/>
                <w:color w:val="000000" w:themeColor="text1"/>
                <w:lang w:val="en-US"/>
              </w:rPr>
              <w:t>, 2018</w:t>
            </w:r>
          </w:p>
        </w:tc>
        <w:tc>
          <w:tcPr>
            <w:tcW w:w="972" w:type="pct"/>
          </w:tcPr>
          <w:p w14:paraId="782BFC2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4</w:t>
            </w:r>
          </w:p>
        </w:tc>
        <w:tc>
          <w:tcPr>
            <w:tcW w:w="1040" w:type="pct"/>
          </w:tcPr>
          <w:p w14:paraId="4A749E09"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DM </w:t>
            </w:r>
          </w:p>
        </w:tc>
        <w:tc>
          <w:tcPr>
            <w:tcW w:w="1951" w:type="pct"/>
          </w:tcPr>
          <w:p w14:paraId="76DF988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Lower risk of DM in SVR patients than in treatment failure group</w:t>
            </w:r>
          </w:p>
        </w:tc>
      </w:tr>
      <w:tr w:rsidR="00EF6180" w:rsidRPr="00460721" w14:paraId="6377567F" w14:textId="77777777" w:rsidTr="0065128F">
        <w:trPr>
          <w:trHeight w:val="358"/>
        </w:trPr>
        <w:tc>
          <w:tcPr>
            <w:tcW w:w="1037" w:type="pct"/>
            <w:vMerge w:val="restart"/>
          </w:tcPr>
          <w:p w14:paraId="151E20E3" w14:textId="47A1A3BF" w:rsidR="00EF6180" w:rsidRPr="00CE18BA" w:rsidRDefault="00EF6180"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Noureddin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[46]</w:t>
            </w:r>
            <w:r w:rsidRPr="00CE18BA">
              <w:rPr>
                <w:rFonts w:ascii="Book Antiqua" w:eastAsiaTheme="minorHAnsi" w:hAnsi="Book Antiqua"/>
                <w:color w:val="000000" w:themeColor="text1"/>
                <w:lang w:val="en-US"/>
              </w:rPr>
              <w:t>, 2018</w:t>
            </w:r>
          </w:p>
        </w:tc>
        <w:tc>
          <w:tcPr>
            <w:tcW w:w="972" w:type="pct"/>
            <w:vMerge w:val="restart"/>
          </w:tcPr>
          <w:p w14:paraId="3FE05757" w14:textId="77777777" w:rsidR="00EF6180" w:rsidRPr="00CE18BA" w:rsidRDefault="00EF6180"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3</w:t>
            </w:r>
          </w:p>
        </w:tc>
        <w:tc>
          <w:tcPr>
            <w:tcW w:w="1040" w:type="pct"/>
            <w:vMerge w:val="restart"/>
          </w:tcPr>
          <w:p w14:paraId="1C838B42" w14:textId="727D3A5D" w:rsidR="00EF6180" w:rsidRPr="00CE18BA" w:rsidRDefault="00EF6180" w:rsidP="007C0E4B">
            <w:pPr>
              <w:spacing w:line="360" w:lineRule="auto"/>
              <w:jc w:val="both"/>
              <w:rPr>
                <w:rFonts w:ascii="Book Antiqua" w:hAnsi="Book Antiqua"/>
                <w:lang w:val="en-US"/>
              </w:rPr>
            </w:pPr>
            <w:r w:rsidRPr="00CE18BA">
              <w:rPr>
                <w:rFonts w:ascii="Book Antiqua" w:hAnsi="Book Antiqua"/>
                <w:lang w:val="en-US"/>
              </w:rPr>
              <w:t xml:space="preserve">Hepatic steatosis </w:t>
            </w:r>
            <w:r w:rsidR="0059609D">
              <w:rPr>
                <w:rFonts w:ascii="Book Antiqua" w:eastAsia="Times New Roman" w:hAnsi="Book Antiqua" w:cs="Times New Roman"/>
              </w:rPr>
              <w:t>and</w:t>
            </w:r>
            <w:r w:rsidRPr="00CE18BA">
              <w:rPr>
                <w:rFonts w:ascii="Book Antiqua" w:hAnsi="Book Antiqua"/>
                <w:lang w:val="en-US"/>
              </w:rPr>
              <w:t xml:space="preserve"> fibrosis</w:t>
            </w:r>
          </w:p>
        </w:tc>
        <w:tc>
          <w:tcPr>
            <w:tcW w:w="1951" w:type="pct"/>
          </w:tcPr>
          <w:p w14:paraId="0783B9B0" w14:textId="78BCC997" w:rsidR="00EF6180" w:rsidRPr="00CE18BA" w:rsidRDefault="00EF6180" w:rsidP="007C0E4B">
            <w:pPr>
              <w:pStyle w:val="a7"/>
              <w:spacing w:line="360" w:lineRule="auto"/>
              <w:ind w:left="0"/>
              <w:jc w:val="both"/>
              <w:rPr>
                <w:rFonts w:ascii="Book Antiqua" w:hAnsi="Book Antiqua"/>
                <w:lang w:val="en-US"/>
              </w:rPr>
            </w:pPr>
            <w:r w:rsidRPr="00CE18BA">
              <w:rPr>
                <w:rFonts w:ascii="Book Antiqua" w:hAnsi="Book Antiqua"/>
                <w:lang w:val="en-US"/>
              </w:rPr>
              <w:t xml:space="preserve">High prevalence of fatty liver </w:t>
            </w:r>
          </w:p>
        </w:tc>
      </w:tr>
      <w:tr w:rsidR="00EF6180" w:rsidRPr="00460721" w14:paraId="644EA92A" w14:textId="77777777" w:rsidTr="0065128F">
        <w:trPr>
          <w:trHeight w:val="510"/>
        </w:trPr>
        <w:tc>
          <w:tcPr>
            <w:tcW w:w="1037" w:type="pct"/>
            <w:vMerge/>
          </w:tcPr>
          <w:p w14:paraId="277DEBCD" w14:textId="77777777" w:rsidR="00EF6180" w:rsidRPr="00CE18BA" w:rsidRDefault="00EF6180" w:rsidP="007C0E4B">
            <w:pPr>
              <w:spacing w:line="360" w:lineRule="auto"/>
              <w:jc w:val="both"/>
              <w:rPr>
                <w:rFonts w:ascii="Book Antiqua" w:eastAsiaTheme="minorHAnsi" w:hAnsi="Book Antiqua"/>
                <w:color w:val="000000" w:themeColor="text1"/>
              </w:rPr>
            </w:pPr>
          </w:p>
        </w:tc>
        <w:tc>
          <w:tcPr>
            <w:tcW w:w="972" w:type="pct"/>
            <w:vMerge/>
          </w:tcPr>
          <w:p w14:paraId="24CBD657" w14:textId="77777777" w:rsidR="00EF6180" w:rsidRPr="00CE18BA" w:rsidRDefault="00EF6180" w:rsidP="007C0E4B">
            <w:pPr>
              <w:spacing w:line="360" w:lineRule="auto"/>
              <w:jc w:val="both"/>
              <w:rPr>
                <w:rFonts w:ascii="Book Antiqua" w:hAnsi="Book Antiqua"/>
              </w:rPr>
            </w:pPr>
          </w:p>
        </w:tc>
        <w:tc>
          <w:tcPr>
            <w:tcW w:w="1040" w:type="pct"/>
            <w:vMerge/>
          </w:tcPr>
          <w:p w14:paraId="3AEA8A4B" w14:textId="77777777" w:rsidR="00EF6180" w:rsidRPr="00CE18BA" w:rsidRDefault="00EF6180" w:rsidP="007C0E4B">
            <w:pPr>
              <w:spacing w:line="360" w:lineRule="auto"/>
              <w:jc w:val="both"/>
              <w:rPr>
                <w:rFonts w:ascii="Book Antiqua" w:hAnsi="Book Antiqua"/>
              </w:rPr>
            </w:pPr>
          </w:p>
        </w:tc>
        <w:tc>
          <w:tcPr>
            <w:tcW w:w="1951" w:type="pct"/>
          </w:tcPr>
          <w:p w14:paraId="52C82C0C" w14:textId="0B65581C" w:rsidR="00EF6180" w:rsidRPr="00CE18BA" w:rsidRDefault="00EF6180" w:rsidP="006F59ED">
            <w:pPr>
              <w:pStyle w:val="a7"/>
              <w:spacing w:line="360" w:lineRule="auto"/>
              <w:ind w:left="0"/>
              <w:jc w:val="both"/>
              <w:rPr>
                <w:rFonts w:ascii="Book Antiqua" w:hAnsi="Book Antiqua"/>
                <w:lang w:val="en-US"/>
              </w:rPr>
            </w:pPr>
            <w:r w:rsidRPr="00CE18BA">
              <w:rPr>
                <w:rFonts w:ascii="Book Antiqua" w:hAnsi="Book Antiqua"/>
                <w:lang w:val="en-US"/>
              </w:rPr>
              <w:t xml:space="preserve">Although fibrosis has been reduced in patients with </w:t>
            </w:r>
            <w:r w:rsidR="006F59ED">
              <w:rPr>
                <w:rFonts w:ascii="Book Antiqua" w:hAnsi="Book Antiqua"/>
                <w:lang w:val="en-US"/>
              </w:rPr>
              <w:t>and</w:t>
            </w:r>
            <w:r w:rsidRPr="00CE18BA">
              <w:rPr>
                <w:rFonts w:ascii="Book Antiqua" w:hAnsi="Book Antiqua"/>
                <w:lang w:val="en-US"/>
              </w:rPr>
              <w:t xml:space="preserve"> without steatosis compared to baseline, patients with steatosis continued to have clinically significant liver stiffness</w:t>
            </w:r>
          </w:p>
        </w:tc>
      </w:tr>
      <w:tr w:rsidR="00294C3B" w:rsidRPr="00460721" w14:paraId="4AEAA7D6" w14:textId="77777777" w:rsidTr="0065128F">
        <w:trPr>
          <w:trHeight w:val="473"/>
        </w:trPr>
        <w:tc>
          <w:tcPr>
            <w:tcW w:w="1037" w:type="pct"/>
            <w:vMerge w:val="restart"/>
          </w:tcPr>
          <w:p w14:paraId="743E43DD" w14:textId="2D1664B1" w:rsidR="00294C3B" w:rsidRPr="00CE18BA" w:rsidRDefault="00294C3B"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Li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[10]</w:t>
            </w:r>
            <w:r w:rsidRPr="00CE18BA">
              <w:rPr>
                <w:rFonts w:ascii="Book Antiqua" w:eastAsiaTheme="minorHAnsi" w:hAnsi="Book Antiqua"/>
                <w:color w:val="000000" w:themeColor="text1"/>
                <w:lang w:val="en-US"/>
              </w:rPr>
              <w:t>, 2019</w:t>
            </w:r>
          </w:p>
        </w:tc>
        <w:tc>
          <w:tcPr>
            <w:tcW w:w="972" w:type="pct"/>
            <w:vMerge w:val="restart"/>
          </w:tcPr>
          <w:p w14:paraId="13BE6D8C" w14:textId="00EC0F97" w:rsidR="00294C3B" w:rsidRPr="00CE18BA" w:rsidRDefault="00294C3B"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eastAsiaTheme="minorHAnsi" w:hAnsi="Book Antiqua"/>
                <w:lang w:val="en-US"/>
              </w:rPr>
              <w:t>IFN + RBV (48 wk)</w:t>
            </w:r>
          </w:p>
        </w:tc>
        <w:tc>
          <w:tcPr>
            <w:tcW w:w="1040" w:type="pct"/>
            <w:vMerge w:val="restart"/>
          </w:tcPr>
          <w:p w14:paraId="0B7D5BDE" w14:textId="10BCC2B1" w:rsidR="00294C3B" w:rsidRPr="00CE18BA" w:rsidRDefault="00294C3B" w:rsidP="007C0E4B">
            <w:pPr>
              <w:spacing w:line="360" w:lineRule="auto"/>
              <w:jc w:val="both"/>
              <w:rPr>
                <w:rFonts w:ascii="Book Antiqua" w:hAnsi="Book Antiqua"/>
                <w:lang w:val="en-US"/>
              </w:rPr>
            </w:pPr>
            <w:r w:rsidRPr="00CE18BA">
              <w:rPr>
                <w:rFonts w:ascii="Book Antiqua" w:hAnsi="Book Antiqua"/>
                <w:lang w:val="en-US"/>
              </w:rPr>
              <w:t xml:space="preserve">Serum glucose level </w:t>
            </w:r>
            <w:r w:rsidR="0059609D">
              <w:rPr>
                <w:rFonts w:ascii="Book Antiqua" w:eastAsia="Times New Roman" w:hAnsi="Book Antiqua" w:cs="Times New Roman"/>
              </w:rPr>
              <w:t>and</w:t>
            </w:r>
            <w:r w:rsidRPr="00CE18BA">
              <w:rPr>
                <w:rFonts w:ascii="Book Antiqua" w:hAnsi="Book Antiqua"/>
                <w:lang w:val="en-US"/>
              </w:rPr>
              <w:t xml:space="preserve"> IR</w:t>
            </w:r>
          </w:p>
        </w:tc>
        <w:tc>
          <w:tcPr>
            <w:tcW w:w="1951" w:type="pct"/>
          </w:tcPr>
          <w:p w14:paraId="47636370" w14:textId="0E2C9569" w:rsidR="00294C3B" w:rsidRPr="00CE18BA" w:rsidRDefault="00294C3B" w:rsidP="007C0E4B">
            <w:pPr>
              <w:pStyle w:val="a7"/>
              <w:autoSpaceDE w:val="0"/>
              <w:autoSpaceDN w:val="0"/>
              <w:adjustRightInd w:val="0"/>
              <w:spacing w:line="360" w:lineRule="auto"/>
              <w:ind w:left="0"/>
              <w:jc w:val="both"/>
              <w:rPr>
                <w:rFonts w:ascii="Book Antiqua" w:eastAsiaTheme="minorHAnsi" w:hAnsi="Book Antiqua"/>
                <w:color w:val="131413"/>
                <w:lang w:val="en-US"/>
              </w:rPr>
            </w:pPr>
            <w:r w:rsidRPr="00CE18BA">
              <w:rPr>
                <w:rFonts w:ascii="Book Antiqua" w:hAnsi="Book Antiqua"/>
                <w:lang w:val="en-US"/>
              </w:rPr>
              <w:t>Reduced glucose level</w:t>
            </w:r>
          </w:p>
        </w:tc>
      </w:tr>
      <w:tr w:rsidR="00294C3B" w:rsidRPr="00460721" w14:paraId="1C9AF200" w14:textId="77777777" w:rsidTr="0065128F">
        <w:trPr>
          <w:trHeight w:val="326"/>
        </w:trPr>
        <w:tc>
          <w:tcPr>
            <w:tcW w:w="1037" w:type="pct"/>
            <w:vMerge/>
          </w:tcPr>
          <w:p w14:paraId="0FEFF9C0" w14:textId="77777777" w:rsidR="00294C3B" w:rsidRPr="00CE18BA" w:rsidRDefault="00294C3B" w:rsidP="007C0E4B">
            <w:pPr>
              <w:spacing w:line="360" w:lineRule="auto"/>
              <w:jc w:val="both"/>
              <w:rPr>
                <w:rFonts w:ascii="Book Antiqua" w:eastAsiaTheme="minorHAnsi" w:hAnsi="Book Antiqua"/>
                <w:color w:val="000000" w:themeColor="text1"/>
              </w:rPr>
            </w:pPr>
          </w:p>
        </w:tc>
        <w:tc>
          <w:tcPr>
            <w:tcW w:w="972" w:type="pct"/>
            <w:vMerge/>
          </w:tcPr>
          <w:p w14:paraId="044D059B" w14:textId="77777777" w:rsidR="00294C3B" w:rsidRPr="00CE18BA" w:rsidRDefault="00294C3B" w:rsidP="007C0E4B">
            <w:pPr>
              <w:autoSpaceDE w:val="0"/>
              <w:autoSpaceDN w:val="0"/>
              <w:adjustRightInd w:val="0"/>
              <w:spacing w:line="360" w:lineRule="auto"/>
              <w:jc w:val="both"/>
              <w:rPr>
                <w:rFonts w:ascii="Book Antiqua" w:eastAsiaTheme="minorHAnsi" w:hAnsi="Book Antiqua"/>
              </w:rPr>
            </w:pPr>
          </w:p>
        </w:tc>
        <w:tc>
          <w:tcPr>
            <w:tcW w:w="1040" w:type="pct"/>
            <w:vMerge/>
          </w:tcPr>
          <w:p w14:paraId="19DCD065" w14:textId="77777777" w:rsidR="00294C3B" w:rsidRPr="00CE18BA" w:rsidRDefault="00294C3B" w:rsidP="007C0E4B">
            <w:pPr>
              <w:spacing w:line="360" w:lineRule="auto"/>
              <w:jc w:val="both"/>
              <w:rPr>
                <w:rFonts w:ascii="Book Antiqua" w:hAnsi="Book Antiqua"/>
              </w:rPr>
            </w:pPr>
          </w:p>
        </w:tc>
        <w:tc>
          <w:tcPr>
            <w:tcW w:w="1951" w:type="pct"/>
          </w:tcPr>
          <w:p w14:paraId="4733784D" w14:textId="728B5553" w:rsidR="00294C3B" w:rsidRPr="00CE18BA" w:rsidRDefault="00294C3B"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Improved IR</w:t>
            </w:r>
          </w:p>
        </w:tc>
      </w:tr>
      <w:tr w:rsidR="001A51E5" w:rsidRPr="00460721" w14:paraId="635DADB6" w14:textId="77777777" w:rsidTr="0065128F">
        <w:trPr>
          <w:trHeight w:val="798"/>
        </w:trPr>
        <w:tc>
          <w:tcPr>
            <w:tcW w:w="1037" w:type="pct"/>
            <w:vMerge w:val="restart"/>
          </w:tcPr>
          <w:p w14:paraId="2735A904" w14:textId="27EAB496" w:rsidR="001A51E5" w:rsidRPr="00CE18BA" w:rsidRDefault="001A51E5"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Butt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[8</w:t>
            </w:r>
            <w:r w:rsidR="00A872AE" w:rsidRPr="00CE18BA">
              <w:rPr>
                <w:rFonts w:ascii="Book Antiqua" w:eastAsiaTheme="minorHAnsi" w:hAnsi="Book Antiqua"/>
                <w:color w:val="000000" w:themeColor="text1"/>
                <w:vertAlign w:val="superscript"/>
                <w:lang w:val="en-US"/>
              </w:rPr>
              <w:t>7</w:t>
            </w:r>
            <w:r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2019</w:t>
            </w:r>
          </w:p>
        </w:tc>
        <w:tc>
          <w:tcPr>
            <w:tcW w:w="972" w:type="pct"/>
            <w:vMerge w:val="restart"/>
          </w:tcPr>
          <w:p w14:paraId="68E889F7" w14:textId="70E80069" w:rsidR="001A51E5" w:rsidRPr="00CE18BA" w:rsidRDefault="001A51E5"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eastAsiaTheme="minorHAnsi" w:hAnsi="Book Antiqua"/>
                <w:lang w:val="en-US"/>
              </w:rPr>
              <w:t>IFN + RBV</w:t>
            </w:r>
            <w:r w:rsidRPr="00CE18BA">
              <w:rPr>
                <w:rFonts w:ascii="Book Antiqua" w:eastAsiaTheme="minorHAnsi" w:hAnsi="Book Antiqua"/>
                <w:vertAlign w:val="superscript"/>
                <w:lang w:val="en-US"/>
              </w:rPr>
              <w:t>2,3</w:t>
            </w:r>
            <w:r w:rsidRPr="00CE18BA">
              <w:rPr>
                <w:rFonts w:ascii="Book Antiqua" w:eastAsiaTheme="minorHAnsi" w:hAnsi="Book Antiqua"/>
                <w:lang w:val="en-US"/>
              </w:rPr>
              <w:t>.</w:t>
            </w:r>
            <w:r w:rsidRPr="00CE18BA">
              <w:rPr>
                <w:rFonts w:ascii="Book Antiqua" w:hAnsi="Book Antiqua"/>
                <w:lang w:val="en-US" w:eastAsia="zh-CN"/>
              </w:rPr>
              <w:t xml:space="preserve"> </w:t>
            </w:r>
            <w:r w:rsidRPr="00CE18BA">
              <w:rPr>
                <w:rFonts w:ascii="Book Antiqua" w:eastAsiaTheme="minorHAnsi" w:hAnsi="Book Antiqua"/>
                <w:lang w:val="en-US"/>
              </w:rPr>
              <w:t>DAAs</w:t>
            </w:r>
            <w:r w:rsidRPr="00CE18BA">
              <w:rPr>
                <w:rFonts w:ascii="Book Antiqua" w:eastAsiaTheme="minorHAnsi" w:hAnsi="Book Antiqua"/>
                <w:vertAlign w:val="superscript"/>
                <w:lang w:val="en-US"/>
              </w:rPr>
              <w:t>2,3</w:t>
            </w:r>
          </w:p>
        </w:tc>
        <w:tc>
          <w:tcPr>
            <w:tcW w:w="1040" w:type="pct"/>
            <w:vMerge w:val="restart"/>
          </w:tcPr>
          <w:p w14:paraId="3C01A664" w14:textId="77777777" w:rsidR="001A51E5" w:rsidRPr="00CE18BA" w:rsidRDefault="001A51E5" w:rsidP="007C0E4B">
            <w:pPr>
              <w:spacing w:line="360" w:lineRule="auto"/>
              <w:jc w:val="both"/>
              <w:rPr>
                <w:rFonts w:ascii="Book Antiqua" w:hAnsi="Book Antiqua"/>
                <w:lang w:val="en-US"/>
              </w:rPr>
            </w:pPr>
            <w:r w:rsidRPr="00CE18BA">
              <w:rPr>
                <w:rFonts w:ascii="Book Antiqua" w:hAnsi="Book Antiqua"/>
                <w:lang w:val="en-US"/>
              </w:rPr>
              <w:t xml:space="preserve">CVD </w:t>
            </w:r>
          </w:p>
        </w:tc>
        <w:tc>
          <w:tcPr>
            <w:tcW w:w="1951" w:type="pct"/>
          </w:tcPr>
          <w:p w14:paraId="47C172CB" w14:textId="3D9184B5" w:rsidR="001A51E5" w:rsidRPr="00CE18BA" w:rsidRDefault="001A51E5"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Lower incidence in treatment group, compared to controls</w:t>
            </w:r>
          </w:p>
        </w:tc>
      </w:tr>
      <w:tr w:rsidR="001A51E5" w:rsidRPr="00460721" w14:paraId="2C3CB0F0" w14:textId="77777777" w:rsidTr="0065128F">
        <w:trPr>
          <w:trHeight w:val="1321"/>
        </w:trPr>
        <w:tc>
          <w:tcPr>
            <w:tcW w:w="1037" w:type="pct"/>
            <w:vMerge/>
          </w:tcPr>
          <w:p w14:paraId="748B934F" w14:textId="77777777" w:rsidR="001A51E5" w:rsidRPr="00CE18BA" w:rsidRDefault="001A51E5" w:rsidP="007C0E4B">
            <w:pPr>
              <w:spacing w:line="360" w:lineRule="auto"/>
              <w:jc w:val="both"/>
              <w:rPr>
                <w:rFonts w:ascii="Book Antiqua" w:eastAsiaTheme="minorHAnsi" w:hAnsi="Book Antiqua"/>
                <w:color w:val="000000" w:themeColor="text1"/>
              </w:rPr>
            </w:pPr>
          </w:p>
        </w:tc>
        <w:tc>
          <w:tcPr>
            <w:tcW w:w="972" w:type="pct"/>
            <w:vMerge/>
          </w:tcPr>
          <w:p w14:paraId="299F3151" w14:textId="7F224E68" w:rsidR="001A51E5" w:rsidRPr="00CE18BA" w:rsidRDefault="001A51E5" w:rsidP="007C0E4B">
            <w:pPr>
              <w:autoSpaceDE w:val="0"/>
              <w:autoSpaceDN w:val="0"/>
              <w:adjustRightInd w:val="0"/>
              <w:spacing w:line="360" w:lineRule="auto"/>
              <w:jc w:val="both"/>
              <w:rPr>
                <w:rFonts w:ascii="Book Antiqua" w:eastAsiaTheme="minorHAnsi" w:hAnsi="Book Antiqua"/>
              </w:rPr>
            </w:pPr>
          </w:p>
        </w:tc>
        <w:tc>
          <w:tcPr>
            <w:tcW w:w="1040" w:type="pct"/>
            <w:vMerge/>
          </w:tcPr>
          <w:p w14:paraId="5B33AE64" w14:textId="77777777" w:rsidR="001A51E5" w:rsidRPr="00CE18BA" w:rsidRDefault="001A51E5" w:rsidP="007C0E4B">
            <w:pPr>
              <w:spacing w:line="360" w:lineRule="auto"/>
              <w:jc w:val="both"/>
              <w:rPr>
                <w:rFonts w:ascii="Book Antiqua" w:hAnsi="Book Antiqua"/>
              </w:rPr>
            </w:pPr>
          </w:p>
        </w:tc>
        <w:tc>
          <w:tcPr>
            <w:tcW w:w="1951" w:type="pct"/>
          </w:tcPr>
          <w:p w14:paraId="68B6147B" w14:textId="706C4F70" w:rsidR="001A51E5" w:rsidRPr="00CE18BA" w:rsidRDefault="001A51E5"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DAAs showed greater risk reduction than interferon-based regimen</w:t>
            </w:r>
          </w:p>
        </w:tc>
      </w:tr>
      <w:tr w:rsidR="001A51E5" w:rsidRPr="00460721" w14:paraId="12A6B128" w14:textId="77777777" w:rsidTr="0065128F">
        <w:trPr>
          <w:trHeight w:val="816"/>
        </w:trPr>
        <w:tc>
          <w:tcPr>
            <w:tcW w:w="1037" w:type="pct"/>
            <w:vMerge/>
          </w:tcPr>
          <w:p w14:paraId="43D37997" w14:textId="77777777" w:rsidR="001A51E5" w:rsidRPr="00CE18BA" w:rsidRDefault="001A51E5" w:rsidP="007C0E4B">
            <w:pPr>
              <w:spacing w:line="360" w:lineRule="auto"/>
              <w:jc w:val="both"/>
              <w:rPr>
                <w:rFonts w:ascii="Book Antiqua" w:eastAsiaTheme="minorHAnsi" w:hAnsi="Book Antiqua"/>
                <w:color w:val="000000" w:themeColor="text1"/>
              </w:rPr>
            </w:pPr>
          </w:p>
        </w:tc>
        <w:tc>
          <w:tcPr>
            <w:tcW w:w="972" w:type="pct"/>
            <w:vMerge/>
          </w:tcPr>
          <w:p w14:paraId="22EC6C66" w14:textId="77777777" w:rsidR="001A51E5" w:rsidRPr="00CE18BA" w:rsidRDefault="001A51E5" w:rsidP="007C0E4B">
            <w:pPr>
              <w:autoSpaceDE w:val="0"/>
              <w:autoSpaceDN w:val="0"/>
              <w:adjustRightInd w:val="0"/>
              <w:spacing w:line="360" w:lineRule="auto"/>
              <w:jc w:val="both"/>
              <w:rPr>
                <w:rFonts w:ascii="Book Antiqua" w:eastAsiaTheme="minorHAnsi" w:hAnsi="Book Antiqua"/>
              </w:rPr>
            </w:pPr>
          </w:p>
        </w:tc>
        <w:tc>
          <w:tcPr>
            <w:tcW w:w="1040" w:type="pct"/>
            <w:vMerge/>
          </w:tcPr>
          <w:p w14:paraId="63075706" w14:textId="77777777" w:rsidR="001A51E5" w:rsidRPr="00CE18BA" w:rsidRDefault="001A51E5" w:rsidP="007C0E4B">
            <w:pPr>
              <w:spacing w:line="360" w:lineRule="auto"/>
              <w:jc w:val="both"/>
              <w:rPr>
                <w:rFonts w:ascii="Book Antiqua" w:hAnsi="Book Antiqua"/>
              </w:rPr>
            </w:pPr>
          </w:p>
        </w:tc>
        <w:tc>
          <w:tcPr>
            <w:tcW w:w="1951" w:type="pct"/>
          </w:tcPr>
          <w:p w14:paraId="2BA27672" w14:textId="3C5A6C4B" w:rsidR="001A51E5" w:rsidRPr="00CE18BA" w:rsidRDefault="001A51E5"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SVR associated with decreased CVD risk</w:t>
            </w:r>
          </w:p>
        </w:tc>
      </w:tr>
      <w:tr w:rsidR="00A23AD8" w:rsidRPr="00460721" w14:paraId="3A8A4A09" w14:textId="77777777" w:rsidTr="0065128F">
        <w:trPr>
          <w:trHeight w:val="704"/>
        </w:trPr>
        <w:tc>
          <w:tcPr>
            <w:tcW w:w="1037" w:type="pct"/>
            <w:vMerge w:val="restart"/>
          </w:tcPr>
          <w:p w14:paraId="1BDE0266" w14:textId="721E94BD" w:rsidR="00A23AD8" w:rsidRPr="00CE18BA" w:rsidRDefault="00A23AD8"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Abdo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[7</w:t>
            </w:r>
            <w:r w:rsidR="00A872AE" w:rsidRPr="00CE18BA">
              <w:rPr>
                <w:rFonts w:ascii="Book Antiqua" w:eastAsiaTheme="minorHAnsi" w:hAnsi="Book Antiqua"/>
                <w:color w:val="000000" w:themeColor="text1"/>
                <w:vertAlign w:val="superscript"/>
                <w:lang w:val="en-US"/>
              </w:rPr>
              <w:t>5</w:t>
            </w:r>
            <w:r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2020</w:t>
            </w:r>
          </w:p>
        </w:tc>
        <w:tc>
          <w:tcPr>
            <w:tcW w:w="972" w:type="pct"/>
            <w:vMerge w:val="restart"/>
          </w:tcPr>
          <w:p w14:paraId="2F0ED062" w14:textId="7DC92993" w:rsidR="00A23AD8" w:rsidRPr="00CE18BA" w:rsidRDefault="00A23AD8"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eastAsiaTheme="minorHAnsi" w:hAnsi="Book Antiqua"/>
                <w:lang w:val="en-US"/>
              </w:rPr>
              <w:t>SOF + DCV (12-24 wk)</w:t>
            </w:r>
          </w:p>
        </w:tc>
        <w:tc>
          <w:tcPr>
            <w:tcW w:w="1040" w:type="pct"/>
            <w:vMerge w:val="restart"/>
          </w:tcPr>
          <w:p w14:paraId="665D0475" w14:textId="77777777" w:rsidR="00A23AD8" w:rsidRPr="00CE18BA" w:rsidRDefault="00A23AD8" w:rsidP="007C0E4B">
            <w:pPr>
              <w:spacing w:line="360" w:lineRule="auto"/>
              <w:jc w:val="both"/>
              <w:rPr>
                <w:rFonts w:ascii="Book Antiqua" w:hAnsi="Book Antiqua"/>
                <w:lang w:val="en-US"/>
              </w:rPr>
            </w:pPr>
            <w:r w:rsidRPr="00CE18BA">
              <w:rPr>
                <w:rFonts w:ascii="Book Antiqua" w:hAnsi="Book Antiqua"/>
                <w:lang w:val="en-US"/>
              </w:rPr>
              <w:t>Glycemic status, IR, and lipid profile in CHC patients with DM</w:t>
            </w:r>
          </w:p>
        </w:tc>
        <w:tc>
          <w:tcPr>
            <w:tcW w:w="1951" w:type="pct"/>
          </w:tcPr>
          <w:p w14:paraId="04012237" w14:textId="5954EABC" w:rsidR="00A23AD8" w:rsidRPr="00CE18BA" w:rsidRDefault="00A23AD8"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Improvement of glycemic state </w:t>
            </w:r>
            <w:r w:rsidR="006F59ED">
              <w:rPr>
                <w:rFonts w:ascii="Book Antiqua" w:hAnsi="Book Antiqua"/>
                <w:lang w:val="en-US"/>
              </w:rPr>
              <w:t>and</w:t>
            </w:r>
            <w:r w:rsidRPr="00CE18BA">
              <w:rPr>
                <w:rFonts w:ascii="Book Antiqua" w:hAnsi="Book Antiqua"/>
                <w:lang w:val="en-US"/>
              </w:rPr>
              <w:t xml:space="preserve"> HOMA-IR</w:t>
            </w:r>
          </w:p>
        </w:tc>
      </w:tr>
      <w:tr w:rsidR="00A23AD8" w:rsidRPr="00460721" w14:paraId="5EA146A2" w14:textId="77777777" w:rsidTr="0065128F">
        <w:trPr>
          <w:trHeight w:val="704"/>
        </w:trPr>
        <w:tc>
          <w:tcPr>
            <w:tcW w:w="1037" w:type="pct"/>
            <w:vMerge/>
          </w:tcPr>
          <w:p w14:paraId="28971297" w14:textId="77777777" w:rsidR="00A23AD8" w:rsidRPr="00CE18BA" w:rsidRDefault="00A23AD8" w:rsidP="007C0E4B">
            <w:pPr>
              <w:spacing w:line="360" w:lineRule="auto"/>
              <w:jc w:val="both"/>
              <w:rPr>
                <w:rFonts w:ascii="Book Antiqua" w:eastAsiaTheme="minorHAnsi" w:hAnsi="Book Antiqua"/>
                <w:color w:val="000000" w:themeColor="text1"/>
              </w:rPr>
            </w:pPr>
          </w:p>
        </w:tc>
        <w:tc>
          <w:tcPr>
            <w:tcW w:w="972" w:type="pct"/>
            <w:vMerge/>
          </w:tcPr>
          <w:p w14:paraId="46B0E872" w14:textId="77777777" w:rsidR="00A23AD8" w:rsidRPr="00CE18BA" w:rsidRDefault="00A23AD8" w:rsidP="007C0E4B">
            <w:pPr>
              <w:autoSpaceDE w:val="0"/>
              <w:autoSpaceDN w:val="0"/>
              <w:adjustRightInd w:val="0"/>
              <w:spacing w:line="360" w:lineRule="auto"/>
              <w:jc w:val="both"/>
              <w:rPr>
                <w:rFonts w:ascii="Book Antiqua" w:eastAsiaTheme="minorHAnsi" w:hAnsi="Book Antiqua"/>
              </w:rPr>
            </w:pPr>
          </w:p>
        </w:tc>
        <w:tc>
          <w:tcPr>
            <w:tcW w:w="1040" w:type="pct"/>
            <w:vMerge/>
          </w:tcPr>
          <w:p w14:paraId="0BD24318" w14:textId="77777777" w:rsidR="00A23AD8" w:rsidRPr="00CE18BA" w:rsidRDefault="00A23AD8" w:rsidP="007C0E4B">
            <w:pPr>
              <w:spacing w:line="360" w:lineRule="auto"/>
              <w:jc w:val="both"/>
              <w:rPr>
                <w:rFonts w:ascii="Book Antiqua" w:hAnsi="Book Antiqua"/>
              </w:rPr>
            </w:pPr>
          </w:p>
        </w:tc>
        <w:tc>
          <w:tcPr>
            <w:tcW w:w="1951" w:type="pct"/>
          </w:tcPr>
          <w:p w14:paraId="1C64B5DB" w14:textId="24725EF9" w:rsidR="00A23AD8" w:rsidRPr="00CE18BA" w:rsidRDefault="00A23AD8"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Global worsening of lipid profile</w:t>
            </w:r>
          </w:p>
        </w:tc>
      </w:tr>
      <w:tr w:rsidR="00C00D4F" w:rsidRPr="00460721" w14:paraId="19E977C6" w14:textId="77777777" w:rsidTr="0065128F">
        <w:trPr>
          <w:trHeight w:val="983"/>
        </w:trPr>
        <w:tc>
          <w:tcPr>
            <w:tcW w:w="1037" w:type="pct"/>
            <w:vMerge w:val="restart"/>
          </w:tcPr>
          <w:p w14:paraId="6646FBA2" w14:textId="23FE0C1F" w:rsidR="00C00D4F" w:rsidRPr="00CE18BA" w:rsidRDefault="00C00D4F"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Graf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[45]</w:t>
            </w:r>
            <w:r w:rsidRPr="00CE18BA">
              <w:rPr>
                <w:rFonts w:ascii="Book Antiqua" w:eastAsiaTheme="minorHAnsi" w:hAnsi="Book Antiqua"/>
                <w:color w:val="000000" w:themeColor="text1"/>
                <w:lang w:val="en-US"/>
              </w:rPr>
              <w:t>, 2020</w:t>
            </w:r>
          </w:p>
        </w:tc>
        <w:tc>
          <w:tcPr>
            <w:tcW w:w="972" w:type="pct"/>
            <w:vMerge w:val="restart"/>
          </w:tcPr>
          <w:p w14:paraId="4C3050D0" w14:textId="77777777"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3</w:t>
            </w:r>
          </w:p>
        </w:tc>
        <w:tc>
          <w:tcPr>
            <w:tcW w:w="1040" w:type="pct"/>
            <w:vMerge w:val="restart"/>
          </w:tcPr>
          <w:p w14:paraId="32C80035" w14:textId="6650B4A8"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 xml:space="preserve">IR, lipid perturbations, body weight changes, and hepatic steatosis </w:t>
            </w:r>
          </w:p>
        </w:tc>
        <w:tc>
          <w:tcPr>
            <w:tcW w:w="1951" w:type="pct"/>
          </w:tcPr>
          <w:p w14:paraId="0676E2DA" w14:textId="6BA38F76" w:rsidR="00C00D4F" w:rsidRPr="00CE18BA" w:rsidRDefault="00C00D4F" w:rsidP="007C0E4B">
            <w:pPr>
              <w:pStyle w:val="a7"/>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Lower HOMA-IR compared to baseline</w:t>
            </w:r>
          </w:p>
        </w:tc>
      </w:tr>
      <w:tr w:rsidR="00C00D4F" w:rsidRPr="00460721" w14:paraId="3096EC7C" w14:textId="77777777" w:rsidTr="0065128F">
        <w:trPr>
          <w:trHeight w:val="577"/>
        </w:trPr>
        <w:tc>
          <w:tcPr>
            <w:tcW w:w="1037" w:type="pct"/>
            <w:vMerge/>
          </w:tcPr>
          <w:p w14:paraId="370BD9BE"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5CAD16B4" w14:textId="77777777" w:rsidR="00C00D4F" w:rsidRPr="00CE18BA" w:rsidRDefault="00C00D4F" w:rsidP="007C0E4B">
            <w:pPr>
              <w:spacing w:line="360" w:lineRule="auto"/>
              <w:jc w:val="both"/>
              <w:rPr>
                <w:rFonts w:ascii="Book Antiqua" w:hAnsi="Book Antiqua"/>
              </w:rPr>
            </w:pPr>
          </w:p>
        </w:tc>
        <w:tc>
          <w:tcPr>
            <w:tcW w:w="1040" w:type="pct"/>
            <w:vMerge/>
          </w:tcPr>
          <w:p w14:paraId="774CD892" w14:textId="77777777" w:rsidR="00C00D4F" w:rsidRPr="00CE18BA" w:rsidRDefault="00C00D4F" w:rsidP="007C0E4B">
            <w:pPr>
              <w:spacing w:line="360" w:lineRule="auto"/>
              <w:jc w:val="both"/>
              <w:rPr>
                <w:rFonts w:ascii="Book Antiqua" w:hAnsi="Book Antiqua"/>
              </w:rPr>
            </w:pPr>
          </w:p>
        </w:tc>
        <w:tc>
          <w:tcPr>
            <w:tcW w:w="1951" w:type="pct"/>
          </w:tcPr>
          <w:p w14:paraId="5A1D496E" w14:textId="28FB1DA0" w:rsidR="00C00D4F" w:rsidRPr="00CE18BA" w:rsidRDefault="00C00D4F" w:rsidP="007C0E4B">
            <w:pPr>
              <w:pStyle w:val="a7"/>
              <w:spacing w:line="360" w:lineRule="auto"/>
              <w:ind w:left="0"/>
              <w:jc w:val="both"/>
              <w:rPr>
                <w:rFonts w:ascii="Book Antiqua" w:hAnsi="Book Antiqua"/>
                <w:lang w:val="en-US"/>
              </w:rPr>
            </w:pPr>
            <w:r w:rsidRPr="00CE18BA">
              <w:rPr>
                <w:rFonts w:ascii="Book Antiqua" w:hAnsi="Book Antiqua"/>
                <w:lang w:val="en-US"/>
              </w:rPr>
              <w:t>Higher total cholesterol, LDL, and HDL</w:t>
            </w:r>
          </w:p>
        </w:tc>
      </w:tr>
      <w:tr w:rsidR="00C00D4F" w:rsidRPr="00460721" w14:paraId="6418D0E8" w14:textId="77777777" w:rsidTr="0065128F">
        <w:trPr>
          <w:trHeight w:val="577"/>
        </w:trPr>
        <w:tc>
          <w:tcPr>
            <w:tcW w:w="1037" w:type="pct"/>
            <w:vMerge/>
          </w:tcPr>
          <w:p w14:paraId="0463D3E6"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04C4D628" w14:textId="77777777" w:rsidR="00C00D4F" w:rsidRPr="00CE18BA" w:rsidRDefault="00C00D4F" w:rsidP="007C0E4B">
            <w:pPr>
              <w:spacing w:line="360" w:lineRule="auto"/>
              <w:jc w:val="both"/>
              <w:rPr>
                <w:rFonts w:ascii="Book Antiqua" w:hAnsi="Book Antiqua"/>
              </w:rPr>
            </w:pPr>
          </w:p>
        </w:tc>
        <w:tc>
          <w:tcPr>
            <w:tcW w:w="1040" w:type="pct"/>
            <w:vMerge/>
          </w:tcPr>
          <w:p w14:paraId="0E586778" w14:textId="77777777" w:rsidR="00C00D4F" w:rsidRPr="00CE18BA" w:rsidRDefault="00C00D4F" w:rsidP="007C0E4B">
            <w:pPr>
              <w:spacing w:line="360" w:lineRule="auto"/>
              <w:jc w:val="both"/>
              <w:rPr>
                <w:rFonts w:ascii="Book Antiqua" w:hAnsi="Book Antiqua"/>
              </w:rPr>
            </w:pPr>
          </w:p>
        </w:tc>
        <w:tc>
          <w:tcPr>
            <w:tcW w:w="1951" w:type="pct"/>
          </w:tcPr>
          <w:p w14:paraId="70861D24" w14:textId="6A905709" w:rsidR="00C00D4F" w:rsidRPr="00CE18BA" w:rsidRDefault="00C00D4F" w:rsidP="007C0E4B">
            <w:pPr>
              <w:pStyle w:val="a7"/>
              <w:spacing w:line="360" w:lineRule="auto"/>
              <w:ind w:left="0"/>
              <w:jc w:val="both"/>
              <w:rPr>
                <w:rFonts w:ascii="Book Antiqua" w:hAnsi="Book Antiqua"/>
                <w:lang w:val="en-US"/>
              </w:rPr>
            </w:pPr>
            <w:r w:rsidRPr="00CE18BA">
              <w:rPr>
                <w:rFonts w:ascii="Book Antiqua" w:hAnsi="Book Antiqua"/>
                <w:lang w:val="en-US"/>
              </w:rPr>
              <w:t>Higher CAP relative to baseline</w:t>
            </w:r>
          </w:p>
        </w:tc>
      </w:tr>
      <w:tr w:rsidR="00C00D4F" w:rsidRPr="00460721" w14:paraId="3007E8CC" w14:textId="77777777" w:rsidTr="0065128F">
        <w:trPr>
          <w:trHeight w:val="577"/>
        </w:trPr>
        <w:tc>
          <w:tcPr>
            <w:tcW w:w="1037" w:type="pct"/>
            <w:vMerge/>
          </w:tcPr>
          <w:p w14:paraId="0EF6E3AE"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30894CC0" w14:textId="77777777" w:rsidR="00C00D4F" w:rsidRPr="00CE18BA" w:rsidRDefault="00C00D4F" w:rsidP="007C0E4B">
            <w:pPr>
              <w:spacing w:line="360" w:lineRule="auto"/>
              <w:jc w:val="both"/>
              <w:rPr>
                <w:rFonts w:ascii="Book Antiqua" w:hAnsi="Book Antiqua"/>
              </w:rPr>
            </w:pPr>
          </w:p>
        </w:tc>
        <w:tc>
          <w:tcPr>
            <w:tcW w:w="1040" w:type="pct"/>
            <w:vMerge/>
          </w:tcPr>
          <w:p w14:paraId="1E52209E" w14:textId="77777777" w:rsidR="00C00D4F" w:rsidRPr="00CE18BA" w:rsidRDefault="00C00D4F" w:rsidP="007C0E4B">
            <w:pPr>
              <w:spacing w:line="360" w:lineRule="auto"/>
              <w:jc w:val="both"/>
              <w:rPr>
                <w:rFonts w:ascii="Book Antiqua" w:hAnsi="Book Antiqua"/>
              </w:rPr>
            </w:pPr>
          </w:p>
        </w:tc>
        <w:tc>
          <w:tcPr>
            <w:tcW w:w="1951" w:type="pct"/>
          </w:tcPr>
          <w:p w14:paraId="4FBA1016" w14:textId="268A5264" w:rsidR="00C00D4F" w:rsidRPr="00CE18BA" w:rsidRDefault="00C00D4F" w:rsidP="007C0E4B">
            <w:pPr>
              <w:pStyle w:val="a7"/>
              <w:spacing w:line="360" w:lineRule="auto"/>
              <w:ind w:left="0"/>
              <w:jc w:val="both"/>
              <w:rPr>
                <w:rFonts w:ascii="Book Antiqua" w:hAnsi="Book Antiqua"/>
                <w:lang w:val="en-US"/>
              </w:rPr>
            </w:pPr>
            <w:r w:rsidRPr="00CE18BA">
              <w:rPr>
                <w:rFonts w:ascii="Book Antiqua" w:hAnsi="Book Antiqua"/>
                <w:lang w:val="en-US"/>
              </w:rPr>
              <w:t>BMI did not significantly change over time</w:t>
            </w:r>
          </w:p>
        </w:tc>
      </w:tr>
      <w:tr w:rsidR="00C00D4F" w:rsidRPr="00460721" w14:paraId="620E8F56" w14:textId="77777777" w:rsidTr="0065128F">
        <w:trPr>
          <w:trHeight w:val="577"/>
        </w:trPr>
        <w:tc>
          <w:tcPr>
            <w:tcW w:w="1037" w:type="pct"/>
            <w:vMerge w:val="restart"/>
          </w:tcPr>
          <w:p w14:paraId="2CA4B1B6" w14:textId="0E1EFEF8" w:rsidR="00C00D4F" w:rsidRPr="00CE18BA" w:rsidRDefault="00C00D4F"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Huang </w:t>
            </w:r>
            <w:r w:rsidRPr="00CE18BA">
              <w:rPr>
                <w:rFonts w:ascii="Book Antiqua" w:eastAsiaTheme="minorHAnsi" w:hAnsi="Book Antiqua"/>
                <w:i/>
                <w:iCs/>
                <w:color w:val="000000" w:themeColor="text1"/>
                <w:lang w:val="en-US"/>
              </w:rPr>
              <w:t>et al</w:t>
            </w:r>
            <w:r w:rsidRPr="00CE18BA">
              <w:rPr>
                <w:rFonts w:ascii="Book Antiqua" w:eastAsiaTheme="minorHAnsi" w:hAnsi="Book Antiqua"/>
                <w:color w:val="000000" w:themeColor="text1"/>
                <w:vertAlign w:val="superscript"/>
                <w:lang w:val="en-US"/>
              </w:rPr>
              <w:t>[31]</w:t>
            </w:r>
            <w:r w:rsidRPr="00CE18BA">
              <w:rPr>
                <w:rFonts w:ascii="Book Antiqua" w:eastAsiaTheme="minorHAnsi" w:hAnsi="Book Antiqua"/>
                <w:color w:val="000000" w:themeColor="text1"/>
                <w:lang w:val="en-US"/>
              </w:rPr>
              <w:t>, 2020</w:t>
            </w:r>
          </w:p>
        </w:tc>
        <w:tc>
          <w:tcPr>
            <w:tcW w:w="972" w:type="pct"/>
            <w:vMerge w:val="restart"/>
          </w:tcPr>
          <w:p w14:paraId="4542513C" w14:textId="77777777"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4</w:t>
            </w:r>
          </w:p>
        </w:tc>
        <w:tc>
          <w:tcPr>
            <w:tcW w:w="1040" w:type="pct"/>
            <w:vMerge w:val="restart"/>
          </w:tcPr>
          <w:p w14:paraId="1C333487" w14:textId="05FEB55B"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 xml:space="preserve">Lipids </w:t>
            </w:r>
            <w:r w:rsidR="00524059">
              <w:rPr>
                <w:rFonts w:ascii="Book Antiqua" w:eastAsia="Times New Roman" w:hAnsi="Book Antiqua" w:cs="Times New Roman"/>
              </w:rPr>
              <w:t>and</w:t>
            </w:r>
            <w:r w:rsidRPr="00CE18BA">
              <w:rPr>
                <w:rFonts w:ascii="Book Antiqua" w:hAnsi="Book Antiqua"/>
                <w:lang w:val="en-US"/>
              </w:rPr>
              <w:t xml:space="preserve"> cardiovascular events</w:t>
            </w:r>
          </w:p>
        </w:tc>
        <w:tc>
          <w:tcPr>
            <w:tcW w:w="1951" w:type="pct"/>
          </w:tcPr>
          <w:p w14:paraId="1B3BD95D" w14:textId="007ABB99" w:rsidR="00C00D4F" w:rsidRPr="00CE18BA" w:rsidRDefault="00C00D4F" w:rsidP="007C0E4B">
            <w:pPr>
              <w:pStyle w:val="a7"/>
              <w:spacing w:line="360" w:lineRule="auto"/>
              <w:ind w:left="0"/>
              <w:jc w:val="both"/>
              <w:rPr>
                <w:rFonts w:ascii="Book Antiqua" w:hAnsi="Book Antiqua"/>
                <w:lang w:val="en-US"/>
              </w:rPr>
            </w:pPr>
            <w:r w:rsidRPr="00CE18BA">
              <w:rPr>
                <w:rFonts w:ascii="Book Antiqua" w:hAnsi="Book Antiqua"/>
                <w:lang w:val="en-US"/>
              </w:rPr>
              <w:t xml:space="preserve">Increased total cholesterol </w:t>
            </w:r>
            <w:r w:rsidR="00305A4C">
              <w:rPr>
                <w:rFonts w:ascii="Book Antiqua" w:hAnsi="Book Antiqua" w:cs="Times New Roman"/>
              </w:rPr>
              <w:t>and</w:t>
            </w:r>
            <w:r w:rsidRPr="00CE18BA">
              <w:rPr>
                <w:rFonts w:ascii="Book Antiqua" w:hAnsi="Book Antiqua"/>
                <w:lang w:val="en-US"/>
              </w:rPr>
              <w:t xml:space="preserve"> LDL</w:t>
            </w:r>
          </w:p>
        </w:tc>
      </w:tr>
      <w:tr w:rsidR="00C00D4F" w:rsidRPr="00460721" w14:paraId="4EB33546" w14:textId="77777777" w:rsidTr="0065128F">
        <w:trPr>
          <w:trHeight w:val="577"/>
        </w:trPr>
        <w:tc>
          <w:tcPr>
            <w:tcW w:w="1037" w:type="pct"/>
            <w:vMerge/>
          </w:tcPr>
          <w:p w14:paraId="1D93EA82"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4E984AA0" w14:textId="77777777" w:rsidR="00C00D4F" w:rsidRPr="00CE18BA" w:rsidRDefault="00C00D4F" w:rsidP="007C0E4B">
            <w:pPr>
              <w:spacing w:line="360" w:lineRule="auto"/>
              <w:jc w:val="both"/>
              <w:rPr>
                <w:rFonts w:ascii="Book Antiqua" w:hAnsi="Book Antiqua"/>
              </w:rPr>
            </w:pPr>
          </w:p>
        </w:tc>
        <w:tc>
          <w:tcPr>
            <w:tcW w:w="1040" w:type="pct"/>
            <w:vMerge/>
          </w:tcPr>
          <w:p w14:paraId="4373CE51" w14:textId="77777777" w:rsidR="00C00D4F" w:rsidRPr="00CE18BA" w:rsidRDefault="00C00D4F" w:rsidP="007C0E4B">
            <w:pPr>
              <w:spacing w:line="360" w:lineRule="auto"/>
              <w:jc w:val="both"/>
              <w:rPr>
                <w:rFonts w:ascii="Book Antiqua" w:hAnsi="Book Antiqua"/>
              </w:rPr>
            </w:pPr>
          </w:p>
        </w:tc>
        <w:tc>
          <w:tcPr>
            <w:tcW w:w="1951" w:type="pct"/>
          </w:tcPr>
          <w:p w14:paraId="4CBECC5F" w14:textId="64A36F90" w:rsidR="00C00D4F" w:rsidRPr="00CE18BA" w:rsidRDefault="00C00D4F" w:rsidP="007C0E4B">
            <w:pPr>
              <w:pStyle w:val="a7"/>
              <w:spacing w:line="360" w:lineRule="auto"/>
              <w:ind w:left="0"/>
              <w:jc w:val="both"/>
              <w:rPr>
                <w:rFonts w:ascii="Book Antiqua" w:hAnsi="Book Antiqua"/>
                <w:lang w:val="en-US"/>
              </w:rPr>
            </w:pPr>
            <w:r w:rsidRPr="00CE18BA">
              <w:rPr>
                <w:rFonts w:ascii="Book Antiqua" w:hAnsi="Book Antiqua"/>
                <w:lang w:val="en-US"/>
              </w:rPr>
              <w:t>Higher cardio-cerebral diseases</w:t>
            </w:r>
          </w:p>
        </w:tc>
      </w:tr>
    </w:tbl>
    <w:p w14:paraId="50464A56" w14:textId="77777777" w:rsidR="004A4C4C" w:rsidRDefault="009C0AD8" w:rsidP="00460721">
      <w:pPr>
        <w:spacing w:line="360" w:lineRule="auto"/>
        <w:jc w:val="both"/>
        <w:rPr>
          <w:rFonts w:ascii="Book Antiqua" w:hAnsi="Book Antiqua"/>
          <w:lang w:eastAsia="zh-CN"/>
        </w:rPr>
      </w:pPr>
      <w:r w:rsidRPr="00460721">
        <w:rPr>
          <w:rFonts w:ascii="Book Antiqua" w:hAnsi="Book Antiqua"/>
          <w:vertAlign w:val="superscript"/>
        </w:rPr>
        <w:t>1</w:t>
      </w:r>
      <w:r w:rsidRPr="00460721">
        <w:rPr>
          <w:rFonts w:ascii="Book Antiqua" w:hAnsi="Book Antiqua"/>
        </w:rPr>
        <w:t>No data available on antiviral therapy</w:t>
      </w:r>
      <w:r w:rsidR="004A4C4C">
        <w:rPr>
          <w:rFonts w:ascii="Book Antiqua" w:hAnsi="Book Antiqua" w:hint="eastAsia"/>
          <w:lang w:eastAsia="zh-CN"/>
        </w:rPr>
        <w:t>.</w:t>
      </w:r>
      <w:r w:rsidRPr="00460721">
        <w:rPr>
          <w:rFonts w:ascii="Book Antiqua" w:hAnsi="Book Antiqua"/>
          <w:lang w:eastAsia="zh-CN"/>
        </w:rPr>
        <w:t xml:space="preserve"> </w:t>
      </w:r>
    </w:p>
    <w:p w14:paraId="4AE8A521" w14:textId="77777777" w:rsidR="004A4C4C" w:rsidRDefault="009C0AD8" w:rsidP="00460721">
      <w:pPr>
        <w:spacing w:line="360" w:lineRule="auto"/>
        <w:jc w:val="both"/>
        <w:rPr>
          <w:rFonts w:ascii="Book Antiqua" w:hAnsi="Book Antiqua"/>
          <w:lang w:eastAsia="zh-CN"/>
        </w:rPr>
      </w:pPr>
      <w:r w:rsidRPr="00460721">
        <w:rPr>
          <w:rFonts w:ascii="Book Antiqua" w:hAnsi="Book Antiqua"/>
          <w:vertAlign w:val="superscript"/>
        </w:rPr>
        <w:t>2</w:t>
      </w:r>
      <w:r w:rsidRPr="00460721">
        <w:rPr>
          <w:rFonts w:ascii="Book Antiqua" w:hAnsi="Book Antiqua"/>
        </w:rPr>
        <w:t>Data on course of treatment is not available</w:t>
      </w:r>
      <w:r w:rsidR="004A4C4C">
        <w:rPr>
          <w:rFonts w:ascii="Book Antiqua" w:hAnsi="Book Antiqua" w:hint="eastAsia"/>
          <w:lang w:eastAsia="zh-CN"/>
        </w:rPr>
        <w:t>.</w:t>
      </w:r>
      <w:r w:rsidRPr="00460721">
        <w:rPr>
          <w:rFonts w:ascii="Book Antiqua" w:hAnsi="Book Antiqua"/>
          <w:lang w:eastAsia="zh-CN"/>
        </w:rPr>
        <w:t xml:space="preserve"> </w:t>
      </w:r>
    </w:p>
    <w:p w14:paraId="100DB2AD" w14:textId="77777777" w:rsidR="004A4C4C" w:rsidRDefault="009C0AD8" w:rsidP="00460721">
      <w:pPr>
        <w:spacing w:line="360" w:lineRule="auto"/>
        <w:jc w:val="both"/>
        <w:rPr>
          <w:rFonts w:ascii="Book Antiqua" w:hAnsi="Book Antiqua"/>
          <w:lang w:eastAsia="zh-CN"/>
        </w:rPr>
      </w:pPr>
      <w:r w:rsidRPr="00460721">
        <w:rPr>
          <w:rFonts w:ascii="Book Antiqua" w:hAnsi="Book Antiqua"/>
          <w:vertAlign w:val="superscript"/>
        </w:rPr>
        <w:t>3</w:t>
      </w:r>
      <w:r w:rsidRPr="00460721">
        <w:rPr>
          <w:rFonts w:ascii="Book Antiqua" w:hAnsi="Book Antiqua"/>
        </w:rPr>
        <w:t>Various regimens were used</w:t>
      </w:r>
      <w:r w:rsidR="004A4C4C">
        <w:rPr>
          <w:rFonts w:ascii="Book Antiqua" w:hAnsi="Book Antiqua" w:hint="eastAsia"/>
          <w:lang w:eastAsia="zh-CN"/>
        </w:rPr>
        <w:t>.</w:t>
      </w:r>
      <w:r w:rsidRPr="00460721">
        <w:rPr>
          <w:rFonts w:ascii="Book Antiqua" w:hAnsi="Book Antiqua"/>
          <w:lang w:eastAsia="zh-CN"/>
        </w:rPr>
        <w:t xml:space="preserve"> </w:t>
      </w:r>
    </w:p>
    <w:p w14:paraId="0F707B14" w14:textId="6FF0D30B" w:rsidR="007D5CFE" w:rsidRDefault="009C0AD8" w:rsidP="00460721">
      <w:pPr>
        <w:spacing w:line="360" w:lineRule="auto"/>
        <w:jc w:val="both"/>
        <w:rPr>
          <w:rFonts w:ascii="Book Antiqua" w:eastAsiaTheme="minorHAnsi" w:hAnsi="Book Antiqua"/>
        </w:rPr>
      </w:pPr>
      <w:r w:rsidRPr="00460721">
        <w:rPr>
          <w:rFonts w:ascii="Book Antiqua" w:hAnsi="Book Antiqua"/>
          <w:vertAlign w:val="superscript"/>
        </w:rPr>
        <w:t>4</w:t>
      </w:r>
      <w:r w:rsidRPr="00460721">
        <w:rPr>
          <w:rFonts w:ascii="Book Antiqua" w:hAnsi="Book Antiqua"/>
        </w:rPr>
        <w:t xml:space="preserve">No data available neither on types of </w:t>
      </w:r>
      <w:r w:rsidR="00083A19" w:rsidRPr="00460721">
        <w:rPr>
          <w:rFonts w:ascii="Book Antiqua" w:hAnsi="Book Antiqua"/>
        </w:rPr>
        <w:t>direct acting antiviral agents</w:t>
      </w:r>
      <w:r w:rsidRPr="00460721">
        <w:rPr>
          <w:rFonts w:ascii="Book Antiqua" w:hAnsi="Book Antiqua"/>
        </w:rPr>
        <w:t xml:space="preserve"> nor on treatment duration.</w:t>
      </w:r>
      <w:r w:rsidRPr="00460721">
        <w:rPr>
          <w:rFonts w:ascii="Book Antiqua" w:hAnsi="Book Antiqua"/>
          <w:lang w:eastAsia="zh-CN"/>
        </w:rPr>
        <w:t xml:space="preserve"> </w:t>
      </w:r>
      <w:r w:rsidR="005E76B6" w:rsidRPr="00460721">
        <w:rPr>
          <w:rFonts w:ascii="Book Antiqua" w:hAnsi="Book Antiqua"/>
        </w:rPr>
        <w:t>BMI</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B</w:t>
      </w:r>
      <w:r w:rsidR="005E76B6" w:rsidRPr="00460721">
        <w:rPr>
          <w:rFonts w:ascii="Book Antiqua" w:hAnsi="Book Antiqua"/>
        </w:rPr>
        <w:t>ody mass index; CAP</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C</w:t>
      </w:r>
      <w:r w:rsidR="005E76B6" w:rsidRPr="00460721">
        <w:rPr>
          <w:rFonts w:ascii="Book Antiqua" w:hAnsi="Book Antiqua"/>
        </w:rPr>
        <w:t>ontrolled attenuation parameter; CHC</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C</w:t>
      </w:r>
      <w:r w:rsidR="005E76B6" w:rsidRPr="00460721">
        <w:rPr>
          <w:rFonts w:ascii="Book Antiqua" w:hAnsi="Book Antiqua"/>
        </w:rPr>
        <w:t>hronic hepatitis C; CVD</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C</w:t>
      </w:r>
      <w:r w:rsidR="005E76B6" w:rsidRPr="00460721">
        <w:rPr>
          <w:rFonts w:ascii="Book Antiqua" w:hAnsi="Book Antiqua"/>
        </w:rPr>
        <w:t>ardiovascular disease; DAAs</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D</w:t>
      </w:r>
      <w:r w:rsidR="005E76B6" w:rsidRPr="00460721">
        <w:rPr>
          <w:rFonts w:ascii="Book Antiqua" w:hAnsi="Book Antiqua"/>
        </w:rPr>
        <w:t xml:space="preserve">irect acting antiviral agents; </w:t>
      </w:r>
      <w:r w:rsidR="005E76B6" w:rsidRPr="00460721">
        <w:rPr>
          <w:rFonts w:ascii="Book Antiqua" w:eastAsiaTheme="minorHAnsi" w:hAnsi="Book Antiqua"/>
        </w:rPr>
        <w:t>DCV</w:t>
      </w:r>
      <w:r w:rsidRPr="00460721">
        <w:rPr>
          <w:rFonts w:ascii="Book Antiqua" w:hAnsi="Book Antiqua"/>
        </w:rPr>
        <w:t>:</w:t>
      </w:r>
      <w:r w:rsidR="005E76B6" w:rsidRPr="00460721">
        <w:rPr>
          <w:rFonts w:ascii="Book Antiqua" w:hAnsi="Book Antiqua"/>
        </w:rPr>
        <w:t xml:space="preserve"> </w:t>
      </w:r>
      <w:r w:rsidR="005E76B6" w:rsidRPr="00460721">
        <w:rPr>
          <w:rFonts w:ascii="Book Antiqua" w:eastAsiaTheme="minorHAnsi" w:hAnsi="Book Antiqua"/>
        </w:rPr>
        <w:t>Daclatasvir</w:t>
      </w:r>
      <w:r w:rsidR="005E76B6" w:rsidRPr="00460721">
        <w:rPr>
          <w:rFonts w:ascii="Book Antiqua" w:hAnsi="Book Antiqua"/>
        </w:rPr>
        <w:t>; DM</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D</w:t>
      </w:r>
      <w:r w:rsidR="005E76B6" w:rsidRPr="00460721">
        <w:rPr>
          <w:rFonts w:ascii="Book Antiqua" w:hAnsi="Book Antiqua"/>
        </w:rPr>
        <w:t>iabetes mellitus; HDL</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H</w:t>
      </w:r>
      <w:r w:rsidR="005E76B6" w:rsidRPr="00460721">
        <w:rPr>
          <w:rFonts w:ascii="Book Antiqua" w:hAnsi="Book Antiqua"/>
        </w:rPr>
        <w:t>igh density lipoprotein cholesterol; HOMA-IR</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H</w:t>
      </w:r>
      <w:r w:rsidR="005E76B6" w:rsidRPr="00460721">
        <w:rPr>
          <w:rFonts w:ascii="Book Antiqua" w:hAnsi="Book Antiqua"/>
        </w:rPr>
        <w:t>omeostatic model assessment of insulin resistance; IFG</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I</w:t>
      </w:r>
      <w:r w:rsidR="005E76B6" w:rsidRPr="00460721">
        <w:rPr>
          <w:rFonts w:ascii="Book Antiqua" w:hAnsi="Book Antiqua"/>
        </w:rPr>
        <w:t>mpaired fasting glucose; IFN</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I</w:t>
      </w:r>
      <w:r w:rsidR="005E76B6" w:rsidRPr="00460721">
        <w:rPr>
          <w:rFonts w:ascii="Book Antiqua" w:hAnsi="Book Antiqua"/>
        </w:rPr>
        <w:t>nterferon; IR</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I</w:t>
      </w:r>
      <w:r w:rsidR="005E76B6" w:rsidRPr="00460721">
        <w:rPr>
          <w:rFonts w:ascii="Book Antiqua" w:hAnsi="Book Antiqua"/>
        </w:rPr>
        <w:t>nsulin resistance; LDL</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L</w:t>
      </w:r>
      <w:r w:rsidR="005E76B6" w:rsidRPr="00460721">
        <w:rPr>
          <w:rFonts w:ascii="Book Antiqua" w:hAnsi="Book Antiqua"/>
        </w:rPr>
        <w:t>ow-density lipoprotein cholesterol; LDV</w:t>
      </w:r>
      <w:r w:rsidRPr="00460721">
        <w:rPr>
          <w:rFonts w:ascii="Book Antiqua" w:hAnsi="Book Antiqua"/>
        </w:rPr>
        <w:t>:</w:t>
      </w:r>
      <w:r w:rsidR="005E76B6" w:rsidRPr="00460721">
        <w:rPr>
          <w:rFonts w:ascii="Book Antiqua" w:hAnsi="Book Antiqua"/>
        </w:rPr>
        <w:t xml:space="preserve"> </w:t>
      </w:r>
      <w:r w:rsidRPr="00460721">
        <w:rPr>
          <w:rFonts w:ascii="Book Antiqua" w:eastAsiaTheme="minorHAnsi" w:hAnsi="Book Antiqua"/>
        </w:rPr>
        <w:t>L</w:t>
      </w:r>
      <w:r w:rsidR="005E76B6" w:rsidRPr="00460721">
        <w:rPr>
          <w:rFonts w:ascii="Book Antiqua" w:eastAsiaTheme="minorHAnsi" w:hAnsi="Book Antiqua"/>
        </w:rPr>
        <w:t xml:space="preserve">edipasvir; </w:t>
      </w:r>
      <w:r w:rsidR="005E76B6" w:rsidRPr="00460721">
        <w:rPr>
          <w:rFonts w:ascii="Book Antiqua" w:hAnsi="Book Antiqua"/>
        </w:rPr>
        <w:t>NA</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N</w:t>
      </w:r>
      <w:r w:rsidR="005E76B6" w:rsidRPr="00460721">
        <w:rPr>
          <w:rFonts w:ascii="Book Antiqua" w:hAnsi="Book Antiqua"/>
        </w:rPr>
        <w:t>ot available; PAI-1</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P</w:t>
      </w:r>
      <w:r w:rsidR="005E76B6" w:rsidRPr="00460721">
        <w:rPr>
          <w:rFonts w:ascii="Book Antiqua" w:hAnsi="Book Antiqua"/>
        </w:rPr>
        <w:t>lasminogen activator inhibitor-1; Peg-IFN</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P</w:t>
      </w:r>
      <w:r w:rsidR="005E76B6" w:rsidRPr="00460721">
        <w:rPr>
          <w:rFonts w:ascii="Book Antiqua" w:hAnsi="Book Antiqua"/>
        </w:rPr>
        <w:t>egylated interferon; RBV</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R</w:t>
      </w:r>
      <w:r w:rsidR="005E76B6" w:rsidRPr="00460721">
        <w:rPr>
          <w:rFonts w:ascii="Book Antiqua" w:hAnsi="Book Antiqua"/>
        </w:rPr>
        <w:t>ibavirin; sdLDL</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S</w:t>
      </w:r>
      <w:r w:rsidR="005E76B6" w:rsidRPr="00460721">
        <w:rPr>
          <w:rFonts w:ascii="Book Antiqua" w:hAnsi="Book Antiqua"/>
        </w:rPr>
        <w:t>mall-dense low-density lipoprotein;</w:t>
      </w:r>
      <w:r w:rsidR="005E76B6" w:rsidRPr="00460721">
        <w:rPr>
          <w:rFonts w:ascii="Book Antiqua" w:eastAsiaTheme="minorHAnsi" w:hAnsi="Book Antiqua"/>
        </w:rPr>
        <w:t xml:space="preserve"> SOF</w:t>
      </w:r>
      <w:r w:rsidRPr="00460721">
        <w:rPr>
          <w:rFonts w:ascii="Book Antiqua" w:eastAsiaTheme="minorHAnsi" w:hAnsi="Book Antiqua"/>
        </w:rPr>
        <w:t>:</w:t>
      </w:r>
      <w:r w:rsidR="005E76B6" w:rsidRPr="00460721">
        <w:rPr>
          <w:rFonts w:ascii="Book Antiqua" w:eastAsiaTheme="minorHAnsi" w:hAnsi="Book Antiqua"/>
        </w:rPr>
        <w:t xml:space="preserve"> Sofosbuvir; SVR</w:t>
      </w:r>
      <w:r w:rsidRPr="00460721">
        <w:rPr>
          <w:rFonts w:ascii="Book Antiqua" w:eastAsiaTheme="minorHAnsi" w:hAnsi="Book Antiqua"/>
        </w:rPr>
        <w:t>:</w:t>
      </w:r>
      <w:r w:rsidR="005E76B6" w:rsidRPr="00460721">
        <w:rPr>
          <w:rFonts w:ascii="Book Antiqua" w:eastAsiaTheme="minorHAnsi" w:hAnsi="Book Antiqua"/>
        </w:rPr>
        <w:t xml:space="preserve"> </w:t>
      </w:r>
      <w:r w:rsidRPr="00460721">
        <w:rPr>
          <w:rFonts w:ascii="Book Antiqua" w:eastAsiaTheme="minorHAnsi" w:hAnsi="Book Antiqua"/>
        </w:rPr>
        <w:t>S</w:t>
      </w:r>
      <w:r w:rsidR="005E76B6" w:rsidRPr="00460721">
        <w:rPr>
          <w:rFonts w:ascii="Book Antiqua" w:eastAsiaTheme="minorHAnsi" w:hAnsi="Book Antiqua"/>
        </w:rPr>
        <w:t>ustained virologic response; VLDL</w:t>
      </w:r>
      <w:r w:rsidRPr="00460721">
        <w:rPr>
          <w:rFonts w:ascii="Book Antiqua" w:eastAsiaTheme="minorHAnsi" w:hAnsi="Book Antiqua"/>
        </w:rPr>
        <w:t>:</w:t>
      </w:r>
      <w:r w:rsidR="005E76B6" w:rsidRPr="00460721">
        <w:rPr>
          <w:rFonts w:ascii="Book Antiqua" w:eastAsiaTheme="minorHAnsi" w:hAnsi="Book Antiqua"/>
        </w:rPr>
        <w:t xml:space="preserve"> </w:t>
      </w:r>
      <w:r w:rsidRPr="00460721">
        <w:rPr>
          <w:rFonts w:ascii="Book Antiqua" w:eastAsiaTheme="minorHAnsi" w:hAnsi="Book Antiqua"/>
        </w:rPr>
        <w:t>V</w:t>
      </w:r>
      <w:r w:rsidR="005E76B6" w:rsidRPr="00460721">
        <w:rPr>
          <w:rFonts w:ascii="Book Antiqua" w:eastAsiaTheme="minorHAnsi" w:hAnsi="Book Antiqua"/>
        </w:rPr>
        <w:t xml:space="preserve">ery </w:t>
      </w:r>
      <w:r w:rsidR="005E76B6" w:rsidRPr="00460721">
        <w:rPr>
          <w:rFonts w:ascii="Book Antiqua" w:hAnsi="Book Antiqua"/>
        </w:rPr>
        <w:t>low-density lipoprotein cholesterol</w:t>
      </w:r>
      <w:r w:rsidR="00EF0AAC" w:rsidRPr="00460721">
        <w:rPr>
          <w:rFonts w:ascii="Book Antiqua" w:eastAsiaTheme="minorHAnsi" w:hAnsi="Book Antiqua"/>
        </w:rPr>
        <w:t xml:space="preserve">; HCV: </w:t>
      </w:r>
      <w:r w:rsidR="00EF0AAC" w:rsidRPr="00460721">
        <w:rPr>
          <w:rFonts w:ascii="Book Antiqua" w:eastAsia="Book Antiqua" w:hAnsi="Book Antiqua" w:cs="Book Antiqua"/>
          <w:color w:val="000000"/>
        </w:rPr>
        <w:t>Hepatitis C virus</w:t>
      </w:r>
      <w:r w:rsidR="00EF0AAC" w:rsidRPr="00460721">
        <w:rPr>
          <w:rFonts w:ascii="Book Antiqua" w:eastAsiaTheme="minorHAnsi" w:hAnsi="Book Antiqua"/>
        </w:rPr>
        <w:t>.</w:t>
      </w:r>
    </w:p>
    <w:p w14:paraId="04DD30A8" w14:textId="77777777" w:rsidR="007D5CFE" w:rsidRDefault="007D5CFE">
      <w:pPr>
        <w:rPr>
          <w:rFonts w:ascii="Book Antiqua" w:eastAsiaTheme="minorHAnsi" w:hAnsi="Book Antiqua"/>
        </w:rPr>
      </w:pPr>
      <w:r>
        <w:rPr>
          <w:rFonts w:ascii="Book Antiqua" w:eastAsiaTheme="minorHAnsi" w:hAnsi="Book Antiqua"/>
        </w:rPr>
        <w:br w:type="page"/>
      </w:r>
    </w:p>
    <w:p w14:paraId="4565CEA8" w14:textId="77777777" w:rsidR="007D5CFE" w:rsidRDefault="007D5CFE" w:rsidP="007D5CFE">
      <w:pPr>
        <w:jc w:val="center"/>
        <w:rPr>
          <w:rFonts w:ascii="Book Antiqua" w:hAnsi="Book Antiqua"/>
          <w:lang w:eastAsia="zh-CN"/>
        </w:rPr>
      </w:pPr>
    </w:p>
    <w:p w14:paraId="6DB5D6F3" w14:textId="77777777" w:rsidR="007D5CFE" w:rsidRDefault="007D5CFE" w:rsidP="007D5CFE">
      <w:pPr>
        <w:jc w:val="center"/>
        <w:rPr>
          <w:rFonts w:ascii="Book Antiqua" w:hAnsi="Book Antiqua"/>
          <w:lang w:eastAsia="zh-CN"/>
        </w:rPr>
      </w:pPr>
    </w:p>
    <w:p w14:paraId="740412E6" w14:textId="77777777" w:rsidR="007D5CFE" w:rsidRDefault="007D5CFE" w:rsidP="007D5CFE">
      <w:pPr>
        <w:jc w:val="center"/>
        <w:rPr>
          <w:rFonts w:ascii="Book Antiqua" w:hAnsi="Book Antiqua"/>
          <w:lang w:eastAsia="zh-CN"/>
        </w:rPr>
      </w:pPr>
    </w:p>
    <w:p w14:paraId="5B55EDAD" w14:textId="77777777" w:rsidR="007D5CFE" w:rsidRDefault="007D5CFE" w:rsidP="007D5CFE">
      <w:pPr>
        <w:jc w:val="center"/>
        <w:rPr>
          <w:rFonts w:ascii="Book Antiqua" w:hAnsi="Book Antiqua"/>
          <w:lang w:eastAsia="zh-CN"/>
        </w:rPr>
      </w:pPr>
    </w:p>
    <w:p w14:paraId="0A8BE3E3" w14:textId="77777777" w:rsidR="007D5CFE" w:rsidRDefault="007D5CFE" w:rsidP="007D5CFE">
      <w:pPr>
        <w:jc w:val="center"/>
        <w:rPr>
          <w:rFonts w:ascii="Book Antiqua" w:hAnsi="Book Antiqua"/>
          <w:lang w:eastAsia="zh-CN"/>
        </w:rPr>
      </w:pPr>
    </w:p>
    <w:p w14:paraId="33B22D5E" w14:textId="77777777" w:rsidR="007D5CFE" w:rsidRDefault="007D5CFE" w:rsidP="007D5CFE">
      <w:pPr>
        <w:jc w:val="center"/>
        <w:rPr>
          <w:rFonts w:ascii="Book Antiqua" w:hAnsi="Book Antiqua"/>
          <w:lang w:eastAsia="zh-CN"/>
        </w:rPr>
      </w:pPr>
      <w:r>
        <w:rPr>
          <w:rFonts w:ascii="Book Antiqua" w:hAnsi="Book Antiqua"/>
          <w:noProof/>
          <w:lang w:eastAsia="zh-CN"/>
        </w:rPr>
        <w:drawing>
          <wp:inline distT="0" distB="0" distL="0" distR="0" wp14:anchorId="6BD059A8" wp14:editId="330C6C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8347F0" w14:textId="77777777" w:rsidR="007D5CFE" w:rsidRDefault="007D5CFE" w:rsidP="007D5CFE">
      <w:pPr>
        <w:jc w:val="center"/>
        <w:rPr>
          <w:rFonts w:ascii="Book Antiqua" w:hAnsi="Book Antiqua"/>
          <w:lang w:eastAsia="zh-CN"/>
        </w:rPr>
      </w:pPr>
    </w:p>
    <w:p w14:paraId="286BA565" w14:textId="77777777" w:rsidR="007D5CFE" w:rsidRPr="00763D22" w:rsidRDefault="007D5CFE" w:rsidP="007D5CF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4B4DA0D" w14:textId="77777777" w:rsidR="007D5CFE" w:rsidRPr="00763D22" w:rsidRDefault="007D5CFE" w:rsidP="007D5C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1DEDB3" w14:textId="77777777" w:rsidR="007D5CFE" w:rsidRPr="00763D22" w:rsidRDefault="007D5CFE" w:rsidP="007D5C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34E915" w14:textId="77777777" w:rsidR="007D5CFE" w:rsidRPr="00763D22" w:rsidRDefault="007D5CFE" w:rsidP="007D5C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DEAA89" w14:textId="77777777" w:rsidR="007D5CFE" w:rsidRPr="00763D22" w:rsidRDefault="007D5CFE" w:rsidP="007D5C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4136C9" w14:textId="77777777" w:rsidR="007D5CFE" w:rsidRPr="00763D22" w:rsidRDefault="007D5CFE" w:rsidP="007D5CF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DFC83C" w14:textId="77777777" w:rsidR="007D5CFE" w:rsidRDefault="007D5CFE" w:rsidP="007D5CFE">
      <w:pPr>
        <w:jc w:val="center"/>
        <w:rPr>
          <w:rFonts w:ascii="Book Antiqua" w:hAnsi="Book Antiqua"/>
          <w:lang w:eastAsia="zh-CN"/>
        </w:rPr>
      </w:pPr>
    </w:p>
    <w:p w14:paraId="2911925F" w14:textId="77777777" w:rsidR="007D5CFE" w:rsidRDefault="007D5CFE" w:rsidP="007D5CFE">
      <w:pPr>
        <w:jc w:val="center"/>
        <w:rPr>
          <w:rFonts w:ascii="Book Antiqua" w:hAnsi="Book Antiqua"/>
          <w:lang w:eastAsia="zh-CN"/>
        </w:rPr>
      </w:pPr>
    </w:p>
    <w:p w14:paraId="2229018F" w14:textId="77777777" w:rsidR="007D5CFE" w:rsidRDefault="007D5CFE" w:rsidP="007D5CFE">
      <w:pPr>
        <w:jc w:val="center"/>
        <w:rPr>
          <w:rFonts w:ascii="Book Antiqua" w:hAnsi="Book Antiqua"/>
          <w:lang w:eastAsia="zh-CN"/>
        </w:rPr>
      </w:pPr>
    </w:p>
    <w:p w14:paraId="1A2D8386" w14:textId="77777777" w:rsidR="007D5CFE" w:rsidRDefault="007D5CFE" w:rsidP="007D5CFE">
      <w:pPr>
        <w:jc w:val="center"/>
        <w:rPr>
          <w:rFonts w:ascii="Book Antiqua" w:hAnsi="Book Antiqua"/>
          <w:lang w:eastAsia="zh-CN"/>
        </w:rPr>
      </w:pPr>
      <w:r>
        <w:rPr>
          <w:rFonts w:ascii="Book Antiqua" w:hAnsi="Book Antiqua"/>
          <w:noProof/>
          <w:lang w:eastAsia="zh-CN"/>
        </w:rPr>
        <w:drawing>
          <wp:inline distT="0" distB="0" distL="0" distR="0" wp14:anchorId="7EB9CE53" wp14:editId="392D37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1B6479" w14:textId="77777777" w:rsidR="007D5CFE" w:rsidRDefault="007D5CFE" w:rsidP="007D5CFE">
      <w:pPr>
        <w:jc w:val="center"/>
        <w:rPr>
          <w:rFonts w:ascii="Book Antiqua" w:hAnsi="Book Antiqua"/>
          <w:lang w:eastAsia="zh-CN"/>
        </w:rPr>
      </w:pPr>
    </w:p>
    <w:p w14:paraId="38EA6A06" w14:textId="77777777" w:rsidR="007D5CFE" w:rsidRDefault="007D5CFE" w:rsidP="007D5CFE">
      <w:pPr>
        <w:jc w:val="center"/>
        <w:rPr>
          <w:rFonts w:ascii="Book Antiqua" w:hAnsi="Book Antiqua"/>
          <w:lang w:eastAsia="zh-CN"/>
        </w:rPr>
      </w:pPr>
    </w:p>
    <w:p w14:paraId="13F22985" w14:textId="77777777" w:rsidR="007D5CFE" w:rsidRDefault="007D5CFE" w:rsidP="007D5CFE">
      <w:pPr>
        <w:jc w:val="center"/>
        <w:rPr>
          <w:rFonts w:ascii="Book Antiqua" w:hAnsi="Book Antiqua"/>
          <w:lang w:eastAsia="zh-CN"/>
        </w:rPr>
      </w:pPr>
    </w:p>
    <w:p w14:paraId="4C2F95C7" w14:textId="77777777" w:rsidR="007D5CFE" w:rsidRDefault="007D5CFE" w:rsidP="007D5CFE">
      <w:pPr>
        <w:jc w:val="center"/>
        <w:rPr>
          <w:rFonts w:ascii="Book Antiqua" w:hAnsi="Book Antiqua"/>
          <w:lang w:eastAsia="zh-CN"/>
        </w:rPr>
      </w:pPr>
    </w:p>
    <w:p w14:paraId="5891D18D" w14:textId="77777777" w:rsidR="007D5CFE" w:rsidRDefault="007D5CFE" w:rsidP="007D5CFE">
      <w:pPr>
        <w:jc w:val="center"/>
        <w:rPr>
          <w:rFonts w:ascii="Book Antiqua" w:hAnsi="Book Antiqua"/>
          <w:lang w:eastAsia="zh-CN"/>
        </w:rPr>
      </w:pPr>
    </w:p>
    <w:p w14:paraId="6D20FB64" w14:textId="77777777" w:rsidR="007D5CFE" w:rsidRDefault="007D5CFE" w:rsidP="007D5CFE">
      <w:pPr>
        <w:jc w:val="center"/>
        <w:rPr>
          <w:rFonts w:ascii="Book Antiqua" w:hAnsi="Book Antiqua"/>
          <w:lang w:eastAsia="zh-CN"/>
        </w:rPr>
      </w:pPr>
    </w:p>
    <w:p w14:paraId="25591E1F" w14:textId="77777777" w:rsidR="007D5CFE" w:rsidRDefault="007D5CFE" w:rsidP="007D5CFE">
      <w:pPr>
        <w:jc w:val="center"/>
        <w:rPr>
          <w:rFonts w:ascii="Book Antiqua" w:hAnsi="Book Antiqua"/>
          <w:lang w:eastAsia="zh-CN"/>
        </w:rPr>
      </w:pPr>
    </w:p>
    <w:p w14:paraId="66E5493A" w14:textId="77777777" w:rsidR="007D5CFE" w:rsidRDefault="007D5CFE" w:rsidP="007D5CFE">
      <w:pPr>
        <w:jc w:val="center"/>
        <w:rPr>
          <w:rFonts w:ascii="Book Antiqua" w:hAnsi="Book Antiqua"/>
          <w:lang w:eastAsia="zh-CN"/>
        </w:rPr>
      </w:pPr>
    </w:p>
    <w:p w14:paraId="0537183B" w14:textId="77777777" w:rsidR="007D5CFE" w:rsidRDefault="007D5CFE" w:rsidP="007D5CFE">
      <w:pPr>
        <w:jc w:val="center"/>
        <w:rPr>
          <w:rFonts w:ascii="Book Antiqua" w:hAnsi="Book Antiqua"/>
          <w:lang w:eastAsia="zh-CN"/>
        </w:rPr>
      </w:pPr>
    </w:p>
    <w:p w14:paraId="2DA940F6" w14:textId="77777777" w:rsidR="007D5CFE" w:rsidRPr="00763D22" w:rsidRDefault="007D5CFE" w:rsidP="007D5CFE">
      <w:pPr>
        <w:jc w:val="right"/>
        <w:rPr>
          <w:rFonts w:ascii="Book Antiqua" w:hAnsi="Book Antiqua"/>
          <w:color w:val="000000" w:themeColor="text1"/>
          <w:lang w:eastAsia="zh-CN"/>
        </w:rPr>
      </w:pPr>
    </w:p>
    <w:p w14:paraId="512DF9AE" w14:textId="77777777" w:rsidR="007D5CFE" w:rsidRPr="00763D22" w:rsidRDefault="007D5CFE" w:rsidP="007D5CF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65542CE" w14:textId="77777777" w:rsidR="005E76B6" w:rsidRPr="00460721" w:rsidRDefault="005E76B6" w:rsidP="00460721">
      <w:pPr>
        <w:spacing w:line="360" w:lineRule="auto"/>
        <w:jc w:val="both"/>
        <w:rPr>
          <w:rFonts w:ascii="Book Antiqua" w:hAnsi="Book Antiqua"/>
        </w:rPr>
      </w:pPr>
      <w:bookmarkStart w:id="2" w:name="_GoBack"/>
      <w:bookmarkEnd w:id="2"/>
    </w:p>
    <w:sectPr w:rsidR="005E76B6" w:rsidRPr="00460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D9161" w14:textId="77777777" w:rsidR="00B67083" w:rsidRDefault="00B67083" w:rsidP="003F2CEC">
      <w:r>
        <w:separator/>
      </w:r>
    </w:p>
  </w:endnote>
  <w:endnote w:type="continuationSeparator" w:id="0">
    <w:p w14:paraId="3931B287" w14:textId="77777777" w:rsidR="00B67083" w:rsidRDefault="00B67083" w:rsidP="003F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0E0D" w14:textId="77777777" w:rsidR="00776035" w:rsidRPr="003F2CEC" w:rsidRDefault="00776035" w:rsidP="003F2CEC">
    <w:pPr>
      <w:pStyle w:val="a4"/>
      <w:jc w:val="right"/>
      <w:rPr>
        <w:rFonts w:ascii="Book Antiqua" w:hAnsi="Book Antiqua"/>
        <w:sz w:val="24"/>
        <w:szCs w:val="24"/>
      </w:rPr>
    </w:pPr>
    <w:r w:rsidRPr="003F2CEC">
      <w:rPr>
        <w:rFonts w:ascii="Book Antiqua" w:hAnsi="Book Antiqua"/>
        <w:sz w:val="24"/>
        <w:szCs w:val="24"/>
        <w:lang w:val="zh-CN" w:eastAsia="zh-CN"/>
      </w:rPr>
      <w:t xml:space="preserve"> </w:t>
    </w:r>
    <w:r w:rsidRPr="003F2CEC">
      <w:rPr>
        <w:rFonts w:ascii="Book Antiqua" w:hAnsi="Book Antiqua"/>
        <w:sz w:val="24"/>
        <w:szCs w:val="24"/>
      </w:rPr>
      <w:fldChar w:fldCharType="begin"/>
    </w:r>
    <w:r w:rsidRPr="003F2CEC">
      <w:rPr>
        <w:rFonts w:ascii="Book Antiqua" w:hAnsi="Book Antiqua"/>
        <w:sz w:val="24"/>
        <w:szCs w:val="24"/>
      </w:rPr>
      <w:instrText>PAGE  \* Arabic  \* MERGEFORMAT</w:instrText>
    </w:r>
    <w:r w:rsidRPr="003F2CEC">
      <w:rPr>
        <w:rFonts w:ascii="Book Antiqua" w:hAnsi="Book Antiqua"/>
        <w:sz w:val="24"/>
        <w:szCs w:val="24"/>
      </w:rPr>
      <w:fldChar w:fldCharType="separate"/>
    </w:r>
    <w:r w:rsidR="00B67083" w:rsidRPr="00B67083">
      <w:rPr>
        <w:rFonts w:ascii="Book Antiqua" w:hAnsi="Book Antiqua"/>
        <w:noProof/>
        <w:sz w:val="24"/>
        <w:szCs w:val="24"/>
        <w:lang w:val="zh-CN" w:eastAsia="zh-CN"/>
      </w:rPr>
      <w:t>1</w:t>
    </w:r>
    <w:r w:rsidRPr="003F2CEC">
      <w:rPr>
        <w:rFonts w:ascii="Book Antiqua" w:hAnsi="Book Antiqua"/>
        <w:sz w:val="24"/>
        <w:szCs w:val="24"/>
      </w:rPr>
      <w:fldChar w:fldCharType="end"/>
    </w:r>
    <w:r w:rsidRPr="003F2CEC">
      <w:rPr>
        <w:rFonts w:ascii="Book Antiqua" w:hAnsi="Book Antiqua"/>
        <w:sz w:val="24"/>
        <w:szCs w:val="24"/>
        <w:lang w:val="zh-CN" w:eastAsia="zh-CN"/>
      </w:rPr>
      <w:t xml:space="preserve"> / </w:t>
    </w:r>
    <w:r w:rsidRPr="003F2CEC">
      <w:rPr>
        <w:rFonts w:ascii="Book Antiqua" w:hAnsi="Book Antiqua"/>
        <w:sz w:val="24"/>
        <w:szCs w:val="24"/>
      </w:rPr>
      <w:fldChar w:fldCharType="begin"/>
    </w:r>
    <w:r w:rsidRPr="003F2CEC">
      <w:rPr>
        <w:rFonts w:ascii="Book Antiqua" w:hAnsi="Book Antiqua"/>
        <w:sz w:val="24"/>
        <w:szCs w:val="24"/>
      </w:rPr>
      <w:instrText>NUMPAGES  \* Arabic  \* MERGEFORMAT</w:instrText>
    </w:r>
    <w:r w:rsidRPr="003F2CEC">
      <w:rPr>
        <w:rFonts w:ascii="Book Antiqua" w:hAnsi="Book Antiqua"/>
        <w:sz w:val="24"/>
        <w:szCs w:val="24"/>
      </w:rPr>
      <w:fldChar w:fldCharType="separate"/>
    </w:r>
    <w:r w:rsidR="00B67083" w:rsidRPr="00B67083">
      <w:rPr>
        <w:rFonts w:ascii="Book Antiqua" w:hAnsi="Book Antiqua"/>
        <w:noProof/>
        <w:sz w:val="24"/>
        <w:szCs w:val="24"/>
        <w:lang w:val="zh-CN" w:eastAsia="zh-CN"/>
      </w:rPr>
      <w:t>1</w:t>
    </w:r>
    <w:r w:rsidRPr="003F2CEC">
      <w:rPr>
        <w:rFonts w:ascii="Book Antiqua" w:hAnsi="Book Antiqua"/>
        <w:sz w:val="24"/>
        <w:szCs w:val="24"/>
      </w:rPr>
      <w:fldChar w:fldCharType="end"/>
    </w:r>
  </w:p>
  <w:p w14:paraId="423886B6" w14:textId="77777777" w:rsidR="00776035" w:rsidRDefault="007760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A293" w14:textId="77777777" w:rsidR="00B67083" w:rsidRDefault="00B67083" w:rsidP="003F2CEC">
      <w:r>
        <w:separator/>
      </w:r>
    </w:p>
  </w:footnote>
  <w:footnote w:type="continuationSeparator" w:id="0">
    <w:p w14:paraId="67E78CBF" w14:textId="77777777" w:rsidR="00B67083" w:rsidRDefault="00B67083" w:rsidP="003F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407"/>
    <w:multiLevelType w:val="hybridMultilevel"/>
    <w:tmpl w:val="C15C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27786"/>
    <w:multiLevelType w:val="hybridMultilevel"/>
    <w:tmpl w:val="4F72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45F7E"/>
    <w:multiLevelType w:val="hybridMultilevel"/>
    <w:tmpl w:val="E1E46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1E4FD1"/>
    <w:multiLevelType w:val="hybridMultilevel"/>
    <w:tmpl w:val="B70E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841531"/>
    <w:multiLevelType w:val="hybridMultilevel"/>
    <w:tmpl w:val="35EE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D47E62"/>
    <w:multiLevelType w:val="hybridMultilevel"/>
    <w:tmpl w:val="892C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B91F99"/>
    <w:multiLevelType w:val="hybridMultilevel"/>
    <w:tmpl w:val="C0E45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76C60"/>
    <w:multiLevelType w:val="hybridMultilevel"/>
    <w:tmpl w:val="D8280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115C2C"/>
    <w:multiLevelType w:val="multilevel"/>
    <w:tmpl w:val="B4C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708B3"/>
    <w:multiLevelType w:val="hybridMultilevel"/>
    <w:tmpl w:val="E466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833DAC"/>
    <w:multiLevelType w:val="hybridMultilevel"/>
    <w:tmpl w:val="83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56852"/>
    <w:multiLevelType w:val="multilevel"/>
    <w:tmpl w:val="A59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70AF0"/>
    <w:multiLevelType w:val="hybridMultilevel"/>
    <w:tmpl w:val="A742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5248E4"/>
    <w:multiLevelType w:val="hybridMultilevel"/>
    <w:tmpl w:val="AD0A02B4"/>
    <w:lvl w:ilvl="0" w:tplc="2488C38E">
      <w:start w:val="8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05DEB"/>
    <w:multiLevelType w:val="hybridMultilevel"/>
    <w:tmpl w:val="8F4491A0"/>
    <w:lvl w:ilvl="0" w:tplc="FFD89124">
      <w:start w:val="8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74AB4"/>
    <w:multiLevelType w:val="hybridMultilevel"/>
    <w:tmpl w:val="52FA9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ED51B1"/>
    <w:multiLevelType w:val="hybridMultilevel"/>
    <w:tmpl w:val="57EED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0210A7"/>
    <w:multiLevelType w:val="hybridMultilevel"/>
    <w:tmpl w:val="2A8C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677830"/>
    <w:multiLevelType w:val="multilevel"/>
    <w:tmpl w:val="277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94F1E"/>
    <w:multiLevelType w:val="hybridMultilevel"/>
    <w:tmpl w:val="07C8D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C1C46"/>
    <w:multiLevelType w:val="hybridMultilevel"/>
    <w:tmpl w:val="B4387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730F71"/>
    <w:multiLevelType w:val="hybridMultilevel"/>
    <w:tmpl w:val="0E2E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4817BF"/>
    <w:multiLevelType w:val="hybridMultilevel"/>
    <w:tmpl w:val="F8BE1DB0"/>
    <w:lvl w:ilvl="0" w:tplc="A6BCFF76">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6"/>
  </w:num>
  <w:num w:numId="5">
    <w:abstractNumId w:val="7"/>
  </w:num>
  <w:num w:numId="6">
    <w:abstractNumId w:val="1"/>
  </w:num>
  <w:num w:numId="7">
    <w:abstractNumId w:val="0"/>
  </w:num>
  <w:num w:numId="8">
    <w:abstractNumId w:val="21"/>
  </w:num>
  <w:num w:numId="9">
    <w:abstractNumId w:val="12"/>
  </w:num>
  <w:num w:numId="10">
    <w:abstractNumId w:val="9"/>
  </w:num>
  <w:num w:numId="11">
    <w:abstractNumId w:val="4"/>
  </w:num>
  <w:num w:numId="12">
    <w:abstractNumId w:val="17"/>
  </w:num>
  <w:num w:numId="13">
    <w:abstractNumId w:val="3"/>
  </w:num>
  <w:num w:numId="14">
    <w:abstractNumId w:val="2"/>
  </w:num>
  <w:num w:numId="15">
    <w:abstractNumId w:val="20"/>
  </w:num>
  <w:num w:numId="16">
    <w:abstractNumId w:val="6"/>
  </w:num>
  <w:num w:numId="17">
    <w:abstractNumId w:val="5"/>
  </w:num>
  <w:num w:numId="18">
    <w:abstractNumId w:val="11"/>
  </w:num>
  <w:num w:numId="19">
    <w:abstractNumId w:val="18"/>
  </w:num>
  <w:num w:numId="20">
    <w:abstractNumId w:val="8"/>
  </w:num>
  <w:num w:numId="21">
    <w:abstractNumId w:val="22"/>
  </w:num>
  <w:num w:numId="22">
    <w:abstractNumId w:val="13"/>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ed Shengir">
    <w15:presenceInfo w15:providerId="AD" w15:userId="S::mohamed.shengir@mail.mcgill.ca::6e5cc475-20f9-40c6-83a1-c9fdbc67876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v9x90zk2zf5peddz5vf5xl5avv90reztz9&quot;&gt;My EndNote Library-Saved-Converted&lt;record-ids&gt;&lt;item&gt;395&lt;/item&gt;&lt;/record-ids&gt;&lt;/item&gt;&lt;/Libraries&gt;"/>
  </w:docVars>
  <w:rsids>
    <w:rsidRoot w:val="00A77B3E"/>
    <w:rsid w:val="00017418"/>
    <w:rsid w:val="000353E3"/>
    <w:rsid w:val="000364BC"/>
    <w:rsid w:val="00051CC8"/>
    <w:rsid w:val="00057113"/>
    <w:rsid w:val="000816BB"/>
    <w:rsid w:val="00083A19"/>
    <w:rsid w:val="00095F2A"/>
    <w:rsid w:val="00097AF3"/>
    <w:rsid w:val="000A7DF7"/>
    <w:rsid w:val="000C5A21"/>
    <w:rsid w:val="000E0907"/>
    <w:rsid w:val="000F21DA"/>
    <w:rsid w:val="0011122C"/>
    <w:rsid w:val="00174A7E"/>
    <w:rsid w:val="00183FE1"/>
    <w:rsid w:val="001A51E5"/>
    <w:rsid w:val="001C272E"/>
    <w:rsid w:val="001E326B"/>
    <w:rsid w:val="00206D1C"/>
    <w:rsid w:val="00221E47"/>
    <w:rsid w:val="00266F64"/>
    <w:rsid w:val="00294C3B"/>
    <w:rsid w:val="002A6C5C"/>
    <w:rsid w:val="002A7569"/>
    <w:rsid w:val="002B37DD"/>
    <w:rsid w:val="002C2241"/>
    <w:rsid w:val="002C246E"/>
    <w:rsid w:val="00302E2E"/>
    <w:rsid w:val="00305A4C"/>
    <w:rsid w:val="003375DD"/>
    <w:rsid w:val="00345825"/>
    <w:rsid w:val="00352C50"/>
    <w:rsid w:val="00356846"/>
    <w:rsid w:val="00383F88"/>
    <w:rsid w:val="003F2CEC"/>
    <w:rsid w:val="00401C07"/>
    <w:rsid w:val="00431F72"/>
    <w:rsid w:val="00460721"/>
    <w:rsid w:val="00476C73"/>
    <w:rsid w:val="004A4C4C"/>
    <w:rsid w:val="004B1C50"/>
    <w:rsid w:val="004C429A"/>
    <w:rsid w:val="004D0486"/>
    <w:rsid w:val="004F0843"/>
    <w:rsid w:val="005036DA"/>
    <w:rsid w:val="00524059"/>
    <w:rsid w:val="00535356"/>
    <w:rsid w:val="00547838"/>
    <w:rsid w:val="005661E6"/>
    <w:rsid w:val="00595FB1"/>
    <w:rsid w:val="0059609D"/>
    <w:rsid w:val="0059707C"/>
    <w:rsid w:val="005A05FB"/>
    <w:rsid w:val="005C3B6F"/>
    <w:rsid w:val="005D6FC3"/>
    <w:rsid w:val="005E76B6"/>
    <w:rsid w:val="00611080"/>
    <w:rsid w:val="006132B8"/>
    <w:rsid w:val="0063091B"/>
    <w:rsid w:val="0065128F"/>
    <w:rsid w:val="0066588C"/>
    <w:rsid w:val="00676AA4"/>
    <w:rsid w:val="00684036"/>
    <w:rsid w:val="00686B82"/>
    <w:rsid w:val="006A0AE1"/>
    <w:rsid w:val="006F59ED"/>
    <w:rsid w:val="006F63DB"/>
    <w:rsid w:val="0071501D"/>
    <w:rsid w:val="007338E1"/>
    <w:rsid w:val="00754A90"/>
    <w:rsid w:val="007737A2"/>
    <w:rsid w:val="00776035"/>
    <w:rsid w:val="00776276"/>
    <w:rsid w:val="007B1AAA"/>
    <w:rsid w:val="007B58A8"/>
    <w:rsid w:val="007B67B8"/>
    <w:rsid w:val="007C0E4B"/>
    <w:rsid w:val="007D5CFE"/>
    <w:rsid w:val="007E57E1"/>
    <w:rsid w:val="00804C53"/>
    <w:rsid w:val="00831B4A"/>
    <w:rsid w:val="0086216C"/>
    <w:rsid w:val="00886AB0"/>
    <w:rsid w:val="008A2987"/>
    <w:rsid w:val="008B5DD2"/>
    <w:rsid w:val="008B72B3"/>
    <w:rsid w:val="008C1441"/>
    <w:rsid w:val="008C1D10"/>
    <w:rsid w:val="008D7B5D"/>
    <w:rsid w:val="008E1CF5"/>
    <w:rsid w:val="008E5DE3"/>
    <w:rsid w:val="008F47A6"/>
    <w:rsid w:val="00911D06"/>
    <w:rsid w:val="00915976"/>
    <w:rsid w:val="00932B42"/>
    <w:rsid w:val="00942B74"/>
    <w:rsid w:val="00984066"/>
    <w:rsid w:val="009A0F8D"/>
    <w:rsid w:val="009A7981"/>
    <w:rsid w:val="009C0AD8"/>
    <w:rsid w:val="009D1314"/>
    <w:rsid w:val="009E331B"/>
    <w:rsid w:val="009F3645"/>
    <w:rsid w:val="00A073CC"/>
    <w:rsid w:val="00A13C5C"/>
    <w:rsid w:val="00A161B9"/>
    <w:rsid w:val="00A23AD8"/>
    <w:rsid w:val="00A5084D"/>
    <w:rsid w:val="00A56EC2"/>
    <w:rsid w:val="00A73B3D"/>
    <w:rsid w:val="00A77B3E"/>
    <w:rsid w:val="00A872AE"/>
    <w:rsid w:val="00A962A9"/>
    <w:rsid w:val="00B04238"/>
    <w:rsid w:val="00B05932"/>
    <w:rsid w:val="00B2734F"/>
    <w:rsid w:val="00B5648A"/>
    <w:rsid w:val="00B57029"/>
    <w:rsid w:val="00B60D11"/>
    <w:rsid w:val="00B63145"/>
    <w:rsid w:val="00B64AB3"/>
    <w:rsid w:val="00B67083"/>
    <w:rsid w:val="00B74C7C"/>
    <w:rsid w:val="00B855F2"/>
    <w:rsid w:val="00B97086"/>
    <w:rsid w:val="00BA19FC"/>
    <w:rsid w:val="00BA4B0E"/>
    <w:rsid w:val="00BB7DEE"/>
    <w:rsid w:val="00BC3601"/>
    <w:rsid w:val="00BD0E44"/>
    <w:rsid w:val="00BD242A"/>
    <w:rsid w:val="00BD589F"/>
    <w:rsid w:val="00BF43DB"/>
    <w:rsid w:val="00C00D4F"/>
    <w:rsid w:val="00C62DD2"/>
    <w:rsid w:val="00C9235B"/>
    <w:rsid w:val="00C94E3D"/>
    <w:rsid w:val="00C97CAF"/>
    <w:rsid w:val="00CA2A55"/>
    <w:rsid w:val="00CB07C4"/>
    <w:rsid w:val="00CE0BCD"/>
    <w:rsid w:val="00CE18BA"/>
    <w:rsid w:val="00CE3692"/>
    <w:rsid w:val="00D127DD"/>
    <w:rsid w:val="00D168D1"/>
    <w:rsid w:val="00D2149B"/>
    <w:rsid w:val="00D25CEE"/>
    <w:rsid w:val="00D33553"/>
    <w:rsid w:val="00D41B5E"/>
    <w:rsid w:val="00D7698D"/>
    <w:rsid w:val="00D94DBD"/>
    <w:rsid w:val="00DA1340"/>
    <w:rsid w:val="00DC38F5"/>
    <w:rsid w:val="00DE4C8E"/>
    <w:rsid w:val="00DF1129"/>
    <w:rsid w:val="00DF3ADC"/>
    <w:rsid w:val="00E120AB"/>
    <w:rsid w:val="00E2526E"/>
    <w:rsid w:val="00E44939"/>
    <w:rsid w:val="00E65F61"/>
    <w:rsid w:val="00E65FDB"/>
    <w:rsid w:val="00E67953"/>
    <w:rsid w:val="00EB12FF"/>
    <w:rsid w:val="00EB401F"/>
    <w:rsid w:val="00EF0AAC"/>
    <w:rsid w:val="00EF6180"/>
    <w:rsid w:val="00F11748"/>
    <w:rsid w:val="00F6140C"/>
    <w:rsid w:val="00F726C2"/>
    <w:rsid w:val="00F92C3D"/>
    <w:rsid w:val="00FA2C9A"/>
    <w:rsid w:val="00FF4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CEC"/>
    <w:rPr>
      <w:sz w:val="18"/>
      <w:szCs w:val="18"/>
    </w:rPr>
  </w:style>
  <w:style w:type="paragraph" w:styleId="a4">
    <w:name w:val="footer"/>
    <w:basedOn w:val="a"/>
    <w:link w:val="Char0"/>
    <w:uiPriority w:val="99"/>
    <w:unhideWhenUsed/>
    <w:rsid w:val="003F2CEC"/>
    <w:pPr>
      <w:tabs>
        <w:tab w:val="center" w:pos="4153"/>
        <w:tab w:val="right" w:pos="8306"/>
      </w:tabs>
      <w:snapToGrid w:val="0"/>
    </w:pPr>
    <w:rPr>
      <w:sz w:val="18"/>
      <w:szCs w:val="18"/>
    </w:rPr>
  </w:style>
  <w:style w:type="character" w:customStyle="1" w:styleId="Char0">
    <w:name w:val="页脚 Char"/>
    <w:basedOn w:val="a0"/>
    <w:link w:val="a4"/>
    <w:uiPriority w:val="99"/>
    <w:rsid w:val="003F2CEC"/>
    <w:rPr>
      <w:sz w:val="18"/>
      <w:szCs w:val="18"/>
    </w:rPr>
  </w:style>
  <w:style w:type="paragraph" w:styleId="a5">
    <w:name w:val="Normal (Web)"/>
    <w:basedOn w:val="a"/>
    <w:uiPriority w:val="99"/>
    <w:unhideWhenUsed/>
    <w:rsid w:val="005E76B6"/>
    <w:pPr>
      <w:spacing w:before="100" w:beforeAutospacing="1" w:after="100" w:afterAutospacing="1"/>
    </w:pPr>
    <w:rPr>
      <w:rFonts w:eastAsia="Times New Roman"/>
      <w:lang w:val="en-CA"/>
    </w:rPr>
  </w:style>
  <w:style w:type="table" w:styleId="a6">
    <w:name w:val="Table Grid"/>
    <w:basedOn w:val="a1"/>
    <w:uiPriority w:val="39"/>
    <w:rsid w:val="005E76B6"/>
    <w:rPr>
      <w:rFonts w:ascii="Cambria" w:hAnsi="Cambria" w:cs="Times New Roman (Body CS)"/>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6B6"/>
    <w:pPr>
      <w:autoSpaceDE w:val="0"/>
      <w:autoSpaceDN w:val="0"/>
      <w:adjustRightInd w:val="0"/>
    </w:pPr>
    <w:rPr>
      <w:rFonts w:ascii="Arial" w:hAnsi="Arial" w:cs="Arial"/>
      <w:color w:val="000000"/>
      <w:sz w:val="24"/>
      <w:szCs w:val="24"/>
    </w:rPr>
  </w:style>
  <w:style w:type="paragraph" w:styleId="a7">
    <w:name w:val="List Paragraph"/>
    <w:basedOn w:val="a"/>
    <w:uiPriority w:val="34"/>
    <w:qFormat/>
    <w:rsid w:val="005E76B6"/>
    <w:pPr>
      <w:ind w:left="720"/>
      <w:contextualSpacing/>
    </w:pPr>
    <w:rPr>
      <w:rFonts w:eastAsia="Times New Roman"/>
      <w:lang w:val="en-CA"/>
    </w:rPr>
  </w:style>
  <w:style w:type="character" w:styleId="a8">
    <w:name w:val="annotation reference"/>
    <w:basedOn w:val="a0"/>
    <w:semiHidden/>
    <w:unhideWhenUsed/>
    <w:rsid w:val="00266F64"/>
    <w:rPr>
      <w:sz w:val="21"/>
      <w:szCs w:val="21"/>
    </w:rPr>
  </w:style>
  <w:style w:type="paragraph" w:styleId="a9">
    <w:name w:val="annotation text"/>
    <w:basedOn w:val="a"/>
    <w:link w:val="Char1"/>
    <w:semiHidden/>
    <w:unhideWhenUsed/>
    <w:rsid w:val="00266F64"/>
  </w:style>
  <w:style w:type="character" w:customStyle="1" w:styleId="Char1">
    <w:name w:val="批注文字 Char"/>
    <w:basedOn w:val="a0"/>
    <w:link w:val="a9"/>
    <w:semiHidden/>
    <w:rsid w:val="00266F64"/>
    <w:rPr>
      <w:sz w:val="24"/>
      <w:szCs w:val="24"/>
    </w:rPr>
  </w:style>
  <w:style w:type="paragraph" w:styleId="aa">
    <w:name w:val="annotation subject"/>
    <w:basedOn w:val="a9"/>
    <w:next w:val="a9"/>
    <w:link w:val="Char2"/>
    <w:semiHidden/>
    <w:unhideWhenUsed/>
    <w:rsid w:val="00266F64"/>
    <w:rPr>
      <w:b/>
      <w:bCs/>
    </w:rPr>
  </w:style>
  <w:style w:type="character" w:customStyle="1" w:styleId="Char2">
    <w:name w:val="批注主题 Char"/>
    <w:basedOn w:val="Char1"/>
    <w:link w:val="aa"/>
    <w:semiHidden/>
    <w:rsid w:val="00266F64"/>
    <w:rPr>
      <w:b/>
      <w:bCs/>
      <w:sz w:val="24"/>
      <w:szCs w:val="24"/>
    </w:rPr>
  </w:style>
  <w:style w:type="character" w:customStyle="1" w:styleId="jlqj4b">
    <w:name w:val="jlqj4b"/>
    <w:basedOn w:val="a0"/>
    <w:rsid w:val="002A6C5C"/>
  </w:style>
  <w:style w:type="paragraph" w:styleId="ab">
    <w:name w:val="Revision"/>
    <w:hidden/>
    <w:uiPriority w:val="99"/>
    <w:semiHidden/>
    <w:rsid w:val="00E2526E"/>
    <w:rPr>
      <w:sz w:val="24"/>
      <w:szCs w:val="24"/>
    </w:rPr>
  </w:style>
  <w:style w:type="paragraph" w:customStyle="1" w:styleId="EndNoteBibliography">
    <w:name w:val="EndNote Bibliography"/>
    <w:basedOn w:val="a"/>
    <w:link w:val="EndNoteBibliographyChar"/>
    <w:rsid w:val="00A161B9"/>
    <w:rPr>
      <w:rFonts w:eastAsia="Times New Roman"/>
    </w:rPr>
  </w:style>
  <w:style w:type="character" w:customStyle="1" w:styleId="EndNoteBibliographyChar">
    <w:name w:val="EndNote Bibliography Char"/>
    <w:basedOn w:val="a0"/>
    <w:link w:val="EndNoteBibliography"/>
    <w:rsid w:val="00A161B9"/>
    <w:rPr>
      <w:rFonts w:eastAsia="Times New Roman"/>
      <w:sz w:val="24"/>
      <w:szCs w:val="24"/>
    </w:rPr>
  </w:style>
  <w:style w:type="character" w:styleId="ac">
    <w:name w:val="Strong"/>
    <w:basedOn w:val="a0"/>
    <w:uiPriority w:val="22"/>
    <w:qFormat/>
    <w:rsid w:val="00754A90"/>
    <w:rPr>
      <w:b/>
      <w:bCs/>
    </w:rPr>
  </w:style>
  <w:style w:type="paragraph" w:styleId="ad">
    <w:name w:val="Balloon Text"/>
    <w:basedOn w:val="a"/>
    <w:link w:val="Char3"/>
    <w:semiHidden/>
    <w:unhideWhenUsed/>
    <w:rsid w:val="004A4C4C"/>
    <w:rPr>
      <w:sz w:val="18"/>
      <w:szCs w:val="18"/>
    </w:rPr>
  </w:style>
  <w:style w:type="character" w:customStyle="1" w:styleId="Char3">
    <w:name w:val="批注框文本 Char"/>
    <w:basedOn w:val="a0"/>
    <w:link w:val="ad"/>
    <w:semiHidden/>
    <w:rsid w:val="004A4C4C"/>
    <w:rPr>
      <w:sz w:val="18"/>
      <w:szCs w:val="18"/>
    </w:rPr>
  </w:style>
  <w:style w:type="character" w:styleId="ae">
    <w:name w:val="Hyperlink"/>
    <w:basedOn w:val="a0"/>
    <w:unhideWhenUsed/>
    <w:rsid w:val="008B7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CEC"/>
    <w:rPr>
      <w:sz w:val="18"/>
      <w:szCs w:val="18"/>
    </w:rPr>
  </w:style>
  <w:style w:type="paragraph" w:styleId="a4">
    <w:name w:val="footer"/>
    <w:basedOn w:val="a"/>
    <w:link w:val="Char0"/>
    <w:uiPriority w:val="99"/>
    <w:unhideWhenUsed/>
    <w:rsid w:val="003F2CEC"/>
    <w:pPr>
      <w:tabs>
        <w:tab w:val="center" w:pos="4153"/>
        <w:tab w:val="right" w:pos="8306"/>
      </w:tabs>
      <w:snapToGrid w:val="0"/>
    </w:pPr>
    <w:rPr>
      <w:sz w:val="18"/>
      <w:szCs w:val="18"/>
    </w:rPr>
  </w:style>
  <w:style w:type="character" w:customStyle="1" w:styleId="Char0">
    <w:name w:val="页脚 Char"/>
    <w:basedOn w:val="a0"/>
    <w:link w:val="a4"/>
    <w:uiPriority w:val="99"/>
    <w:rsid w:val="003F2CEC"/>
    <w:rPr>
      <w:sz w:val="18"/>
      <w:szCs w:val="18"/>
    </w:rPr>
  </w:style>
  <w:style w:type="paragraph" w:styleId="a5">
    <w:name w:val="Normal (Web)"/>
    <w:basedOn w:val="a"/>
    <w:uiPriority w:val="99"/>
    <w:unhideWhenUsed/>
    <w:rsid w:val="005E76B6"/>
    <w:pPr>
      <w:spacing w:before="100" w:beforeAutospacing="1" w:after="100" w:afterAutospacing="1"/>
    </w:pPr>
    <w:rPr>
      <w:rFonts w:eastAsia="Times New Roman"/>
      <w:lang w:val="en-CA"/>
    </w:rPr>
  </w:style>
  <w:style w:type="table" w:styleId="a6">
    <w:name w:val="Table Grid"/>
    <w:basedOn w:val="a1"/>
    <w:uiPriority w:val="39"/>
    <w:rsid w:val="005E76B6"/>
    <w:rPr>
      <w:rFonts w:ascii="Cambria" w:hAnsi="Cambria" w:cs="Times New Roman (Body CS)"/>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6B6"/>
    <w:pPr>
      <w:autoSpaceDE w:val="0"/>
      <w:autoSpaceDN w:val="0"/>
      <w:adjustRightInd w:val="0"/>
    </w:pPr>
    <w:rPr>
      <w:rFonts w:ascii="Arial" w:hAnsi="Arial" w:cs="Arial"/>
      <w:color w:val="000000"/>
      <w:sz w:val="24"/>
      <w:szCs w:val="24"/>
    </w:rPr>
  </w:style>
  <w:style w:type="paragraph" w:styleId="a7">
    <w:name w:val="List Paragraph"/>
    <w:basedOn w:val="a"/>
    <w:uiPriority w:val="34"/>
    <w:qFormat/>
    <w:rsid w:val="005E76B6"/>
    <w:pPr>
      <w:ind w:left="720"/>
      <w:contextualSpacing/>
    </w:pPr>
    <w:rPr>
      <w:rFonts w:eastAsia="Times New Roman"/>
      <w:lang w:val="en-CA"/>
    </w:rPr>
  </w:style>
  <w:style w:type="character" w:styleId="a8">
    <w:name w:val="annotation reference"/>
    <w:basedOn w:val="a0"/>
    <w:semiHidden/>
    <w:unhideWhenUsed/>
    <w:rsid w:val="00266F64"/>
    <w:rPr>
      <w:sz w:val="21"/>
      <w:szCs w:val="21"/>
    </w:rPr>
  </w:style>
  <w:style w:type="paragraph" w:styleId="a9">
    <w:name w:val="annotation text"/>
    <w:basedOn w:val="a"/>
    <w:link w:val="Char1"/>
    <w:semiHidden/>
    <w:unhideWhenUsed/>
    <w:rsid w:val="00266F64"/>
  </w:style>
  <w:style w:type="character" w:customStyle="1" w:styleId="Char1">
    <w:name w:val="批注文字 Char"/>
    <w:basedOn w:val="a0"/>
    <w:link w:val="a9"/>
    <w:semiHidden/>
    <w:rsid w:val="00266F64"/>
    <w:rPr>
      <w:sz w:val="24"/>
      <w:szCs w:val="24"/>
    </w:rPr>
  </w:style>
  <w:style w:type="paragraph" w:styleId="aa">
    <w:name w:val="annotation subject"/>
    <w:basedOn w:val="a9"/>
    <w:next w:val="a9"/>
    <w:link w:val="Char2"/>
    <w:semiHidden/>
    <w:unhideWhenUsed/>
    <w:rsid w:val="00266F64"/>
    <w:rPr>
      <w:b/>
      <w:bCs/>
    </w:rPr>
  </w:style>
  <w:style w:type="character" w:customStyle="1" w:styleId="Char2">
    <w:name w:val="批注主题 Char"/>
    <w:basedOn w:val="Char1"/>
    <w:link w:val="aa"/>
    <w:semiHidden/>
    <w:rsid w:val="00266F64"/>
    <w:rPr>
      <w:b/>
      <w:bCs/>
      <w:sz w:val="24"/>
      <w:szCs w:val="24"/>
    </w:rPr>
  </w:style>
  <w:style w:type="character" w:customStyle="1" w:styleId="jlqj4b">
    <w:name w:val="jlqj4b"/>
    <w:basedOn w:val="a0"/>
    <w:rsid w:val="002A6C5C"/>
  </w:style>
  <w:style w:type="paragraph" w:styleId="ab">
    <w:name w:val="Revision"/>
    <w:hidden/>
    <w:uiPriority w:val="99"/>
    <w:semiHidden/>
    <w:rsid w:val="00E2526E"/>
    <w:rPr>
      <w:sz w:val="24"/>
      <w:szCs w:val="24"/>
    </w:rPr>
  </w:style>
  <w:style w:type="paragraph" w:customStyle="1" w:styleId="EndNoteBibliography">
    <w:name w:val="EndNote Bibliography"/>
    <w:basedOn w:val="a"/>
    <w:link w:val="EndNoteBibliographyChar"/>
    <w:rsid w:val="00A161B9"/>
    <w:rPr>
      <w:rFonts w:eastAsia="Times New Roman"/>
    </w:rPr>
  </w:style>
  <w:style w:type="character" w:customStyle="1" w:styleId="EndNoteBibliographyChar">
    <w:name w:val="EndNote Bibliography Char"/>
    <w:basedOn w:val="a0"/>
    <w:link w:val="EndNoteBibliography"/>
    <w:rsid w:val="00A161B9"/>
    <w:rPr>
      <w:rFonts w:eastAsia="Times New Roman"/>
      <w:sz w:val="24"/>
      <w:szCs w:val="24"/>
    </w:rPr>
  </w:style>
  <w:style w:type="character" w:styleId="ac">
    <w:name w:val="Strong"/>
    <w:basedOn w:val="a0"/>
    <w:uiPriority w:val="22"/>
    <w:qFormat/>
    <w:rsid w:val="00754A90"/>
    <w:rPr>
      <w:b/>
      <w:bCs/>
    </w:rPr>
  </w:style>
  <w:style w:type="paragraph" w:styleId="ad">
    <w:name w:val="Balloon Text"/>
    <w:basedOn w:val="a"/>
    <w:link w:val="Char3"/>
    <w:semiHidden/>
    <w:unhideWhenUsed/>
    <w:rsid w:val="004A4C4C"/>
    <w:rPr>
      <w:sz w:val="18"/>
      <w:szCs w:val="18"/>
    </w:rPr>
  </w:style>
  <w:style w:type="character" w:customStyle="1" w:styleId="Char3">
    <w:name w:val="批注框文本 Char"/>
    <w:basedOn w:val="a0"/>
    <w:link w:val="ad"/>
    <w:semiHidden/>
    <w:rsid w:val="004A4C4C"/>
    <w:rPr>
      <w:sz w:val="18"/>
      <w:szCs w:val="18"/>
    </w:rPr>
  </w:style>
  <w:style w:type="character" w:styleId="ae">
    <w:name w:val="Hyperlink"/>
    <w:basedOn w:val="a0"/>
    <w:unhideWhenUsed/>
    <w:rsid w:val="008B7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4589">
      <w:bodyDiv w:val="1"/>
      <w:marLeft w:val="0"/>
      <w:marRight w:val="0"/>
      <w:marTop w:val="0"/>
      <w:marBottom w:val="0"/>
      <w:divBdr>
        <w:top w:val="none" w:sz="0" w:space="0" w:color="auto"/>
        <w:left w:val="none" w:sz="0" w:space="0" w:color="auto"/>
        <w:bottom w:val="none" w:sz="0" w:space="0" w:color="auto"/>
        <w:right w:val="none" w:sz="0" w:space="0" w:color="auto"/>
      </w:divBdr>
    </w:div>
    <w:div w:id="1009023870">
      <w:bodyDiv w:val="1"/>
      <w:marLeft w:val="0"/>
      <w:marRight w:val="0"/>
      <w:marTop w:val="0"/>
      <w:marBottom w:val="0"/>
      <w:divBdr>
        <w:top w:val="none" w:sz="0" w:space="0" w:color="auto"/>
        <w:left w:val="none" w:sz="0" w:space="0" w:color="auto"/>
        <w:bottom w:val="none" w:sz="0" w:space="0" w:color="auto"/>
        <w:right w:val="none" w:sz="0" w:space="0" w:color="auto"/>
      </w:divBdr>
    </w:div>
    <w:div w:id="1211071623">
      <w:bodyDiv w:val="1"/>
      <w:marLeft w:val="0"/>
      <w:marRight w:val="0"/>
      <w:marTop w:val="0"/>
      <w:marBottom w:val="0"/>
      <w:divBdr>
        <w:top w:val="none" w:sz="0" w:space="0" w:color="auto"/>
        <w:left w:val="none" w:sz="0" w:space="0" w:color="auto"/>
        <w:bottom w:val="none" w:sz="0" w:space="0" w:color="auto"/>
        <w:right w:val="none" w:sz="0" w:space="0" w:color="auto"/>
      </w:divBdr>
    </w:div>
    <w:div w:id="194067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9277</Words>
  <Characters>52882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liujihong2008@qq.con</cp:lastModifiedBy>
  <cp:revision>5</cp:revision>
  <dcterms:created xsi:type="dcterms:W3CDTF">2021-04-28T02:42:00Z</dcterms:created>
  <dcterms:modified xsi:type="dcterms:W3CDTF">2021-04-28T02:43:00Z</dcterms:modified>
</cp:coreProperties>
</file>