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9A6DD" w14:textId="7B169500"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Name of Journal: </w:t>
      </w:r>
      <w:r w:rsidRPr="00FF7E88">
        <w:rPr>
          <w:rFonts w:ascii="Book Antiqua" w:eastAsia="Book Antiqua" w:hAnsi="Book Antiqua" w:cs="Book Antiqua"/>
          <w:i/>
          <w:color w:val="000000"/>
        </w:rPr>
        <w:t>World Journal of Gastroenterology</w:t>
      </w:r>
    </w:p>
    <w:p w14:paraId="0D334442" w14:textId="180BB42A"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Manuscript NO: </w:t>
      </w:r>
      <w:r w:rsidRPr="00FF7E88">
        <w:rPr>
          <w:rFonts w:ascii="Book Antiqua" w:eastAsia="Book Antiqua" w:hAnsi="Book Antiqua" w:cs="Book Antiqua"/>
          <w:color w:val="000000"/>
        </w:rPr>
        <w:t>63286</w:t>
      </w:r>
    </w:p>
    <w:p w14:paraId="02CE4589" w14:textId="0543524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Manuscript Type: </w:t>
      </w:r>
      <w:r w:rsidRPr="00FF7E88">
        <w:rPr>
          <w:rFonts w:ascii="Book Antiqua" w:eastAsia="Book Antiqua" w:hAnsi="Book Antiqua" w:cs="Book Antiqua"/>
          <w:color w:val="000000"/>
        </w:rPr>
        <w:t>ORIGINAL ARTICLE</w:t>
      </w:r>
    </w:p>
    <w:p w14:paraId="3E4E5D08" w14:textId="77777777" w:rsidR="00A77B3E" w:rsidRPr="00FF7E88" w:rsidRDefault="00A77B3E" w:rsidP="00FF7E88">
      <w:pPr>
        <w:spacing w:line="360" w:lineRule="auto"/>
        <w:jc w:val="both"/>
        <w:rPr>
          <w:rFonts w:ascii="Book Antiqua" w:hAnsi="Book Antiqua"/>
        </w:rPr>
      </w:pPr>
    </w:p>
    <w:p w14:paraId="5F53C197" w14:textId="4D9E8DC8"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Observational Study</w:t>
      </w:r>
    </w:p>
    <w:p w14:paraId="2B36ABDA" w14:textId="3F3A1351" w:rsidR="00A77B3E" w:rsidRPr="00FF7E88" w:rsidRDefault="00BE4730" w:rsidP="00FF7E88">
      <w:pPr>
        <w:spacing w:line="360" w:lineRule="auto"/>
        <w:jc w:val="both"/>
        <w:rPr>
          <w:rFonts w:ascii="Book Antiqua" w:hAnsi="Book Antiqua"/>
        </w:rPr>
      </w:pPr>
      <w:bookmarkStart w:id="0" w:name="OLE_LINK10"/>
      <w:bookmarkStart w:id="1" w:name="OLE_LINK11"/>
      <w:bookmarkStart w:id="2" w:name="OLE_LINK68"/>
      <w:r w:rsidRPr="00FF7E88">
        <w:rPr>
          <w:rFonts w:ascii="Book Antiqua" w:eastAsia="Book Antiqua" w:hAnsi="Book Antiqua" w:cs="Book Antiqua"/>
          <w:b/>
          <w:color w:val="000000"/>
        </w:rPr>
        <w:t xml:space="preserve">Standard </w:t>
      </w:r>
      <w:r w:rsidRPr="00FF7E88">
        <w:rPr>
          <w:rFonts w:ascii="Book Antiqua" w:eastAsia="Book Antiqua" w:hAnsi="Book Antiqua" w:cs="Book Antiqua"/>
          <w:b/>
          <w:i/>
          <w:iCs/>
          <w:color w:val="000000"/>
        </w:rPr>
        <w:t>vs</w:t>
      </w:r>
      <w:r w:rsidRPr="00FF7E88">
        <w:rPr>
          <w:rFonts w:ascii="Book Antiqua" w:eastAsia="Book Antiqua" w:hAnsi="Book Antiqua" w:cs="Book Antiqua"/>
          <w:b/>
          <w:color w:val="000000"/>
        </w:rPr>
        <w:t xml:space="preserve"> magnifying narrow-band imaging endoscopy for diagnosis of </w:t>
      </w:r>
      <w:r w:rsidRPr="00FF7E88">
        <w:rPr>
          <w:rFonts w:ascii="Book Antiqua" w:eastAsia="Book Antiqua" w:hAnsi="Book Antiqua" w:cs="Book Antiqua"/>
          <w:b/>
          <w:i/>
          <w:iCs/>
          <w:color w:val="000000"/>
        </w:rPr>
        <w:t>Helicobacter pylori</w:t>
      </w:r>
      <w:r w:rsidRPr="00FF7E88">
        <w:rPr>
          <w:rFonts w:ascii="Book Antiqua" w:eastAsia="Book Antiqua" w:hAnsi="Book Antiqua" w:cs="Book Antiqua"/>
          <w:b/>
          <w:color w:val="000000"/>
        </w:rPr>
        <w:t xml:space="preserve"> infection and gastric precancerous conditions</w:t>
      </w:r>
    </w:p>
    <w:bookmarkEnd w:id="0"/>
    <w:bookmarkEnd w:id="1"/>
    <w:bookmarkEnd w:id="2"/>
    <w:p w14:paraId="6B6B968B" w14:textId="77777777" w:rsidR="00A77B3E" w:rsidRPr="00FF7E88" w:rsidRDefault="00A77B3E" w:rsidP="00FF7E88">
      <w:pPr>
        <w:spacing w:line="360" w:lineRule="auto"/>
        <w:jc w:val="both"/>
        <w:rPr>
          <w:rFonts w:ascii="Book Antiqua" w:hAnsi="Book Antiqua"/>
        </w:rPr>
      </w:pPr>
    </w:p>
    <w:p w14:paraId="197B5639" w14:textId="5715FBB5" w:rsidR="00A77B3E" w:rsidRPr="00FF7E88" w:rsidRDefault="00DD7393" w:rsidP="00FF7E88">
      <w:pPr>
        <w:spacing w:line="360" w:lineRule="auto"/>
        <w:jc w:val="both"/>
        <w:rPr>
          <w:rFonts w:ascii="Book Antiqua" w:hAnsi="Book Antiqua"/>
        </w:rPr>
      </w:pPr>
      <w:r w:rsidRPr="00FF7E88">
        <w:rPr>
          <w:rFonts w:ascii="Book Antiqua" w:eastAsia="Book Antiqua" w:hAnsi="Book Antiqua" w:cs="Book Antiqua"/>
          <w:color w:val="000000"/>
        </w:rPr>
        <w:t>Cho</w:t>
      </w:r>
      <w:r w:rsidR="00BE4730" w:rsidRPr="00FF7E88">
        <w:rPr>
          <w:rFonts w:ascii="Book Antiqua" w:eastAsia="Book Antiqua" w:hAnsi="Book Antiqua" w:cs="Book Antiqua"/>
          <w:color w:val="000000"/>
        </w:rPr>
        <w:t xml:space="preserve"> </w:t>
      </w:r>
      <w:r w:rsidRPr="00FF7E88">
        <w:rPr>
          <w:rFonts w:ascii="Book Antiqua" w:eastAsia="Book Antiqua" w:hAnsi="Book Antiqua" w:cs="Book Antiqua"/>
          <w:color w:val="000000"/>
        </w:rPr>
        <w:t>JH</w:t>
      </w:r>
      <w:r w:rsidR="00BE4730"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et</w:t>
      </w:r>
      <w:r w:rsidR="00BE4730" w:rsidRPr="00FF7E88">
        <w:rPr>
          <w:rFonts w:ascii="Book Antiqua" w:eastAsia="Book Antiqua" w:hAnsi="Book Antiqua" w:cs="Book Antiqua"/>
          <w:i/>
          <w:iCs/>
          <w:color w:val="000000"/>
        </w:rPr>
        <w:t xml:space="preserve"> </w:t>
      </w:r>
      <w:r w:rsidRPr="00FF7E88">
        <w:rPr>
          <w:rFonts w:ascii="Book Antiqua" w:eastAsia="Book Antiqua" w:hAnsi="Book Antiqua" w:cs="Book Antiqua"/>
          <w:i/>
          <w:iCs/>
          <w:color w:val="000000"/>
        </w:rPr>
        <w:t>al</w:t>
      </w:r>
      <w:r w:rsidRPr="00FF7E88">
        <w:rPr>
          <w:rFonts w:ascii="Book Antiqua" w:eastAsia="Book Antiqua" w:hAnsi="Book Antiqua" w:cs="Book Antiqua"/>
          <w:color w:val="000000"/>
        </w:rPr>
        <w:t>.</w:t>
      </w:r>
      <w:r w:rsidR="00BE4730" w:rsidRPr="00FF7E88">
        <w:rPr>
          <w:rFonts w:ascii="Book Antiqua" w:eastAsia="Book Antiqua" w:hAnsi="Book Antiqua" w:cs="Book Antiqua"/>
          <w:color w:val="000000"/>
        </w:rPr>
        <w:t xml:space="preserve"> </w:t>
      </w:r>
      <w:bookmarkStart w:id="3" w:name="OLE_LINK69"/>
      <w:bookmarkStart w:id="4" w:name="OLE_LINK70"/>
      <w:r w:rsidR="00BE4730" w:rsidRPr="00FF7E88">
        <w:rPr>
          <w:rFonts w:ascii="Book Antiqua" w:eastAsia="Book Antiqua" w:hAnsi="Book Antiqua" w:cs="Book Antiqua"/>
          <w:color w:val="000000"/>
        </w:rPr>
        <w:t xml:space="preserve">Standard </w:t>
      </w:r>
      <w:r w:rsidR="00BE4730" w:rsidRPr="00FF7E88">
        <w:rPr>
          <w:rFonts w:ascii="Book Antiqua" w:eastAsia="Book Antiqua" w:hAnsi="Book Antiqua" w:cs="Book Antiqua"/>
          <w:i/>
          <w:iCs/>
          <w:color w:val="000000"/>
        </w:rPr>
        <w:t>vs</w:t>
      </w:r>
      <w:r w:rsidR="00BE4730" w:rsidRPr="00FF7E88">
        <w:rPr>
          <w:rFonts w:ascii="Book Antiqua" w:eastAsia="Book Antiqua" w:hAnsi="Book Antiqua" w:cs="Book Antiqua"/>
          <w:color w:val="000000"/>
        </w:rPr>
        <w:t xml:space="preserve"> M-NBI gastroscopy</w:t>
      </w:r>
      <w:bookmarkEnd w:id="3"/>
      <w:bookmarkEnd w:id="4"/>
    </w:p>
    <w:p w14:paraId="2BA788C6" w14:textId="77777777" w:rsidR="00A77B3E" w:rsidRPr="00FF7E88" w:rsidRDefault="00A77B3E" w:rsidP="00FF7E88">
      <w:pPr>
        <w:spacing w:line="360" w:lineRule="auto"/>
        <w:jc w:val="both"/>
        <w:rPr>
          <w:rFonts w:ascii="Book Antiqua" w:hAnsi="Book Antiqua"/>
        </w:rPr>
      </w:pPr>
    </w:p>
    <w:p w14:paraId="5536D305" w14:textId="29269B2F"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Jun-Hyung Cho, Seong Ran Jeon, So-Young Jin, Suyeon Park</w:t>
      </w:r>
    </w:p>
    <w:p w14:paraId="334A3E69" w14:textId="77777777" w:rsidR="00A77B3E" w:rsidRPr="00FF7E88" w:rsidRDefault="00A77B3E" w:rsidP="00FF7E88">
      <w:pPr>
        <w:spacing w:line="360" w:lineRule="auto"/>
        <w:jc w:val="both"/>
        <w:rPr>
          <w:rFonts w:ascii="Book Antiqua" w:hAnsi="Book Antiqua"/>
        </w:rPr>
      </w:pPr>
    </w:p>
    <w:p w14:paraId="42490295" w14:textId="2B3C10CF"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Jun-Hyung Cho, </w:t>
      </w:r>
      <w:r w:rsidR="00DD7393" w:rsidRPr="00FF7E88">
        <w:rPr>
          <w:rFonts w:ascii="Book Antiqua" w:eastAsia="Book Antiqua" w:hAnsi="Book Antiqua" w:cs="Book Antiqua"/>
          <w:b/>
          <w:bCs/>
          <w:color w:val="000000"/>
        </w:rPr>
        <w:t>Seong</w:t>
      </w:r>
      <w:r w:rsidRPr="00FF7E88">
        <w:rPr>
          <w:rFonts w:ascii="Book Antiqua" w:eastAsia="Book Antiqua" w:hAnsi="Book Antiqua" w:cs="Book Antiqua"/>
          <w:b/>
          <w:bCs/>
          <w:color w:val="000000"/>
        </w:rPr>
        <w:t xml:space="preserve"> </w:t>
      </w:r>
      <w:r w:rsidR="00DD7393" w:rsidRPr="00FF7E88">
        <w:rPr>
          <w:rFonts w:ascii="Book Antiqua" w:eastAsia="Book Antiqua" w:hAnsi="Book Antiqua" w:cs="Book Antiqua"/>
          <w:b/>
          <w:bCs/>
          <w:color w:val="000000"/>
        </w:rPr>
        <w:t>Ran</w:t>
      </w:r>
      <w:r w:rsidRPr="00FF7E88">
        <w:rPr>
          <w:rFonts w:ascii="Book Antiqua" w:eastAsia="Book Antiqua" w:hAnsi="Book Antiqua" w:cs="Book Antiqua"/>
          <w:b/>
          <w:bCs/>
          <w:color w:val="000000"/>
        </w:rPr>
        <w:t xml:space="preserve"> </w:t>
      </w:r>
      <w:r w:rsidR="00DD7393" w:rsidRPr="00FF7E88">
        <w:rPr>
          <w:rFonts w:ascii="Book Antiqua" w:eastAsia="Book Antiqua" w:hAnsi="Book Antiqua" w:cs="Book Antiqua"/>
          <w:b/>
          <w:bCs/>
          <w:color w:val="000000"/>
        </w:rPr>
        <w:t>Jeon,</w:t>
      </w:r>
      <w:r w:rsidRPr="00FF7E88">
        <w:rPr>
          <w:rFonts w:ascii="Book Antiqua" w:eastAsia="Book Antiqua" w:hAnsi="Book Antiqua" w:cs="Book Antiqua"/>
          <w:b/>
          <w:bCs/>
          <w:color w:val="000000"/>
        </w:rPr>
        <w:t xml:space="preserve"> </w:t>
      </w:r>
      <w:bookmarkStart w:id="5" w:name="OLE_LINK58"/>
      <w:bookmarkStart w:id="6" w:name="OLE_LINK66"/>
      <w:r w:rsidRPr="00FF7E88">
        <w:rPr>
          <w:rFonts w:ascii="Book Antiqua" w:eastAsia="Book Antiqua" w:hAnsi="Book Antiqua" w:cs="Book Antiqua"/>
          <w:color w:val="000000"/>
        </w:rPr>
        <w:t>Digestive Disease Center</w:t>
      </w:r>
      <w:bookmarkEnd w:id="5"/>
      <w:bookmarkEnd w:id="6"/>
      <w:r w:rsidRPr="00FF7E88">
        <w:rPr>
          <w:rFonts w:ascii="Book Antiqua" w:eastAsia="Book Antiqua" w:hAnsi="Book Antiqua" w:cs="Book Antiqua"/>
          <w:color w:val="000000"/>
        </w:rPr>
        <w:t xml:space="preserve">, </w:t>
      </w:r>
      <w:bookmarkStart w:id="7" w:name="OLE_LINK59"/>
      <w:bookmarkStart w:id="8" w:name="OLE_LINK67"/>
      <w:r w:rsidRPr="00FF7E88">
        <w:rPr>
          <w:rFonts w:ascii="Book Antiqua" w:eastAsia="Book Antiqua" w:hAnsi="Book Antiqua" w:cs="Book Antiqua"/>
          <w:color w:val="000000"/>
        </w:rPr>
        <w:t>Soonchunhyang University Hospital</w:t>
      </w:r>
      <w:bookmarkEnd w:id="7"/>
      <w:bookmarkEnd w:id="8"/>
      <w:r w:rsidRPr="00FF7E88">
        <w:rPr>
          <w:rFonts w:ascii="Book Antiqua" w:eastAsia="Book Antiqua" w:hAnsi="Book Antiqua" w:cs="Book Antiqua"/>
          <w:color w:val="000000"/>
        </w:rPr>
        <w:t>, Seoul 04401, South Korea</w:t>
      </w:r>
    </w:p>
    <w:p w14:paraId="421D72C9" w14:textId="77777777" w:rsidR="00A77B3E" w:rsidRPr="00FF7E88" w:rsidRDefault="00A77B3E" w:rsidP="00FF7E88">
      <w:pPr>
        <w:spacing w:line="360" w:lineRule="auto"/>
        <w:jc w:val="both"/>
        <w:rPr>
          <w:rFonts w:ascii="Book Antiqua" w:hAnsi="Book Antiqua"/>
        </w:rPr>
      </w:pPr>
    </w:p>
    <w:p w14:paraId="7EC95957" w14:textId="545DF19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So-Young Jin, </w:t>
      </w:r>
      <w:bookmarkStart w:id="9" w:name="OLE_LINK62"/>
      <w:bookmarkStart w:id="10" w:name="OLE_LINK63"/>
      <w:r w:rsidRPr="00FF7E88">
        <w:rPr>
          <w:rFonts w:ascii="Book Antiqua" w:eastAsia="Book Antiqua" w:hAnsi="Book Antiqua" w:cs="Book Antiqua"/>
          <w:color w:val="000000"/>
        </w:rPr>
        <w:t>Department of Pathology</w:t>
      </w:r>
      <w:bookmarkEnd w:id="9"/>
      <w:bookmarkEnd w:id="10"/>
      <w:r w:rsidRPr="00FF7E88">
        <w:rPr>
          <w:rFonts w:ascii="Book Antiqua" w:eastAsia="Book Antiqua" w:hAnsi="Book Antiqua" w:cs="Book Antiqua"/>
          <w:color w:val="000000"/>
        </w:rPr>
        <w:t xml:space="preserve">, </w:t>
      </w:r>
      <w:bookmarkStart w:id="11" w:name="OLE_LINK64"/>
      <w:bookmarkStart w:id="12" w:name="OLE_LINK65"/>
      <w:r w:rsidRPr="00FF7E88">
        <w:rPr>
          <w:rFonts w:ascii="Book Antiqua" w:eastAsia="Book Antiqua" w:hAnsi="Book Antiqua" w:cs="Book Antiqua"/>
          <w:color w:val="000000"/>
        </w:rPr>
        <w:t>Soonchunhyang University Hospital</w:t>
      </w:r>
      <w:bookmarkEnd w:id="11"/>
      <w:bookmarkEnd w:id="12"/>
      <w:r w:rsidRPr="00FF7E88">
        <w:rPr>
          <w:rFonts w:ascii="Book Antiqua" w:eastAsia="Book Antiqua" w:hAnsi="Book Antiqua" w:cs="Book Antiqua"/>
          <w:color w:val="000000"/>
        </w:rPr>
        <w:t>, Seoul 04401, South Korea</w:t>
      </w:r>
    </w:p>
    <w:p w14:paraId="0D755406" w14:textId="77777777" w:rsidR="00A77B3E" w:rsidRPr="00FF7E88" w:rsidRDefault="00A77B3E" w:rsidP="00FF7E88">
      <w:pPr>
        <w:spacing w:line="360" w:lineRule="auto"/>
        <w:jc w:val="both"/>
        <w:rPr>
          <w:rFonts w:ascii="Book Antiqua" w:hAnsi="Book Antiqua"/>
        </w:rPr>
      </w:pPr>
    </w:p>
    <w:p w14:paraId="69250F91" w14:textId="46BC9555"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Suyeon Park, </w:t>
      </w:r>
      <w:r w:rsidRPr="00FF7E88">
        <w:rPr>
          <w:rFonts w:ascii="Book Antiqua" w:eastAsia="Book Antiqua" w:hAnsi="Book Antiqua" w:cs="Book Antiqua"/>
          <w:color w:val="000000"/>
        </w:rPr>
        <w:t>Department of Medical Biostatistics, Soonchunhyang University Hospital, Seoul 04401, South Korea</w:t>
      </w:r>
    </w:p>
    <w:p w14:paraId="4DD32004" w14:textId="77777777" w:rsidR="00A77B3E" w:rsidRPr="00FF7E88" w:rsidRDefault="00A77B3E" w:rsidP="00FF7E88">
      <w:pPr>
        <w:spacing w:line="360" w:lineRule="auto"/>
        <w:jc w:val="both"/>
        <w:rPr>
          <w:rFonts w:ascii="Book Antiqua" w:hAnsi="Book Antiqua"/>
        </w:rPr>
      </w:pPr>
    </w:p>
    <w:p w14:paraId="37801A56" w14:textId="4055800A"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Author contributions: </w:t>
      </w:r>
      <w:bookmarkStart w:id="13" w:name="OLE_LINK71"/>
      <w:r w:rsidRPr="00FF7E88">
        <w:rPr>
          <w:rFonts w:ascii="Book Antiqua" w:eastAsia="Book Antiqua" w:hAnsi="Book Antiqua" w:cs="Book Antiqua"/>
          <w:color w:val="000000"/>
        </w:rPr>
        <w:t xml:space="preserve">Cho </w:t>
      </w:r>
      <w:r w:rsidR="00DD7393" w:rsidRPr="00FF7E88">
        <w:rPr>
          <w:rFonts w:ascii="Book Antiqua" w:eastAsia="Book Antiqua" w:hAnsi="Book Antiqua" w:cs="Book Antiqua"/>
          <w:color w:val="000000"/>
        </w:rPr>
        <w:t>JH</w:t>
      </w:r>
      <w:r w:rsidRPr="00FF7E88">
        <w:rPr>
          <w:rFonts w:ascii="Book Antiqua" w:eastAsia="Book Antiqua" w:hAnsi="Book Antiqua" w:cs="Book Antiqua"/>
          <w:color w:val="000000"/>
        </w:rPr>
        <w:t xml:space="preserve"> was involved in the study design, performing the study, data collection and analyses, writing and revising the manuscript</w:t>
      </w:r>
      <w:r w:rsidR="00DD7393"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Jeon </w:t>
      </w:r>
      <w:r w:rsidR="00DD7393" w:rsidRPr="00FF7E88">
        <w:rPr>
          <w:rFonts w:ascii="Book Antiqua" w:eastAsia="Book Antiqua" w:hAnsi="Book Antiqua" w:cs="Book Antiqua"/>
          <w:color w:val="000000"/>
        </w:rPr>
        <w:t>SR</w:t>
      </w:r>
      <w:r w:rsidRPr="00FF7E88">
        <w:rPr>
          <w:rFonts w:ascii="Book Antiqua" w:eastAsia="Book Antiqua" w:hAnsi="Book Antiqua" w:cs="Book Antiqua"/>
          <w:color w:val="000000"/>
        </w:rPr>
        <w:t xml:space="preserve"> and Jin </w:t>
      </w:r>
      <w:r w:rsidR="00DD7393" w:rsidRPr="00FF7E88">
        <w:rPr>
          <w:rFonts w:ascii="Book Antiqua" w:eastAsia="Book Antiqua" w:hAnsi="Book Antiqua" w:cs="Book Antiqua"/>
          <w:color w:val="000000"/>
        </w:rPr>
        <w:t>SY</w:t>
      </w:r>
      <w:r w:rsidRPr="00FF7E88">
        <w:rPr>
          <w:rFonts w:ascii="Book Antiqua" w:eastAsia="Book Antiqua" w:hAnsi="Book Antiqua" w:cs="Book Antiqua"/>
          <w:color w:val="000000"/>
        </w:rPr>
        <w:t xml:space="preserve"> were involved in the study design and revising the manuscript</w:t>
      </w:r>
      <w:r w:rsidR="00DD7393"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Park </w:t>
      </w:r>
      <w:r w:rsidR="00DD7393" w:rsidRPr="00FF7E88">
        <w:rPr>
          <w:rFonts w:ascii="Book Antiqua" w:eastAsia="Book Antiqua" w:hAnsi="Book Antiqua" w:cs="Book Antiqua"/>
          <w:color w:val="000000"/>
        </w:rPr>
        <w:t>S</w:t>
      </w:r>
      <w:r w:rsidRPr="00FF7E88">
        <w:rPr>
          <w:rFonts w:ascii="Book Antiqua" w:eastAsia="Book Antiqua" w:hAnsi="Book Antiqua" w:cs="Book Antiqua"/>
          <w:color w:val="000000"/>
        </w:rPr>
        <w:t xml:space="preserve"> was involved in statistical analyses</w:t>
      </w:r>
      <w:r w:rsidR="00DD7393"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w:t>
      </w:r>
      <w:r w:rsidR="00DD7393" w:rsidRPr="00FF7E88">
        <w:rPr>
          <w:rFonts w:ascii="Book Antiqua" w:eastAsia="Book Antiqua" w:hAnsi="Book Antiqua" w:cs="Book Antiqua"/>
          <w:color w:val="000000"/>
        </w:rPr>
        <w:t>a</w:t>
      </w:r>
      <w:r w:rsidRPr="00FF7E88">
        <w:rPr>
          <w:rFonts w:ascii="Book Antiqua" w:eastAsia="Book Antiqua" w:hAnsi="Book Antiqua" w:cs="Book Antiqua"/>
          <w:color w:val="000000"/>
        </w:rPr>
        <w:t xml:space="preserve">ll of the authors approved the final version of the manuscript. </w:t>
      </w:r>
      <w:bookmarkEnd w:id="13"/>
    </w:p>
    <w:p w14:paraId="487F29C3" w14:textId="77777777" w:rsidR="00A77B3E" w:rsidRPr="00FF7E88" w:rsidRDefault="00A77B3E" w:rsidP="00FF7E88">
      <w:pPr>
        <w:spacing w:line="360" w:lineRule="auto"/>
        <w:jc w:val="both"/>
        <w:rPr>
          <w:rFonts w:ascii="Book Antiqua" w:hAnsi="Book Antiqua"/>
        </w:rPr>
      </w:pPr>
    </w:p>
    <w:p w14:paraId="5171F37B" w14:textId="4DB1F3D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Supported by </w:t>
      </w:r>
      <w:bookmarkStart w:id="14" w:name="OLE_LINK72"/>
      <w:bookmarkStart w:id="15" w:name="OLE_LINK73"/>
      <w:r w:rsidRPr="00FF7E88">
        <w:rPr>
          <w:rFonts w:ascii="Book Antiqua" w:eastAsia="Book Antiqua" w:hAnsi="Book Antiqua" w:cs="Book Antiqua"/>
          <w:color w:val="000000"/>
        </w:rPr>
        <w:t>the Soonchunhyang University Research Fund</w:t>
      </w:r>
      <w:r w:rsidR="00DD7393"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w:t>
      </w:r>
      <w:r w:rsidR="00DD7393" w:rsidRPr="00FF7E88">
        <w:rPr>
          <w:rFonts w:ascii="Book Antiqua" w:eastAsia="Book Antiqua" w:hAnsi="Book Antiqua" w:cs="Book Antiqua"/>
          <w:color w:val="000000"/>
        </w:rPr>
        <w:t>No.</w:t>
      </w:r>
      <w:r w:rsidRPr="00FF7E88">
        <w:rPr>
          <w:rFonts w:ascii="Book Antiqua" w:eastAsia="Book Antiqua" w:hAnsi="Book Antiqua" w:cs="Book Antiqua"/>
          <w:color w:val="000000"/>
        </w:rPr>
        <w:t xml:space="preserve"> 20200023. </w:t>
      </w:r>
      <w:bookmarkEnd w:id="14"/>
      <w:bookmarkEnd w:id="15"/>
    </w:p>
    <w:p w14:paraId="1B96A721" w14:textId="77777777" w:rsidR="00A77B3E" w:rsidRPr="00FF7E88" w:rsidRDefault="00A77B3E" w:rsidP="00FF7E88">
      <w:pPr>
        <w:spacing w:line="360" w:lineRule="auto"/>
        <w:jc w:val="both"/>
        <w:rPr>
          <w:rFonts w:ascii="Book Antiqua" w:hAnsi="Book Antiqua"/>
        </w:rPr>
      </w:pPr>
    </w:p>
    <w:p w14:paraId="7D96509C" w14:textId="0D930D1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lastRenderedPageBreak/>
        <w:t xml:space="preserve">Corresponding author: Jun-Hyung Cho, MD, PhD, Associate Professor, </w:t>
      </w:r>
      <w:r w:rsidRPr="00FF7E88">
        <w:rPr>
          <w:rFonts w:ascii="Book Antiqua" w:eastAsia="Book Antiqua" w:hAnsi="Book Antiqua" w:cs="Book Antiqua"/>
          <w:color w:val="000000"/>
        </w:rPr>
        <w:t xml:space="preserve">Digestive Disease Center, Soonchunhyang University Hospital, </w:t>
      </w:r>
      <w:bookmarkStart w:id="16" w:name="OLE_LINK60"/>
      <w:bookmarkStart w:id="17" w:name="OLE_LINK61"/>
      <w:r w:rsidRPr="00FF7E88">
        <w:rPr>
          <w:rFonts w:ascii="Book Antiqua" w:eastAsia="Book Antiqua" w:hAnsi="Book Antiqua" w:cs="Book Antiqua"/>
          <w:color w:val="000000"/>
        </w:rPr>
        <w:t>No. 59 Daesagwan-ro, Yongsan-gu</w:t>
      </w:r>
      <w:bookmarkEnd w:id="16"/>
      <w:bookmarkEnd w:id="17"/>
      <w:r w:rsidRPr="00FF7E88">
        <w:rPr>
          <w:rFonts w:ascii="Book Antiqua" w:eastAsia="Book Antiqua" w:hAnsi="Book Antiqua" w:cs="Book Antiqua"/>
          <w:color w:val="000000"/>
        </w:rPr>
        <w:t>, Seoul 04401, South Korea. chojhmd@naver.com</w:t>
      </w:r>
    </w:p>
    <w:p w14:paraId="0A9F76A6" w14:textId="77777777" w:rsidR="00A77B3E" w:rsidRPr="00FF7E88" w:rsidRDefault="00A77B3E" w:rsidP="00FF7E88">
      <w:pPr>
        <w:spacing w:line="360" w:lineRule="auto"/>
        <w:jc w:val="both"/>
        <w:rPr>
          <w:rFonts w:ascii="Book Antiqua" w:hAnsi="Book Antiqua"/>
        </w:rPr>
      </w:pPr>
    </w:p>
    <w:p w14:paraId="22976917" w14:textId="2641F54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Received: </w:t>
      </w:r>
      <w:r w:rsidRPr="00FF7E88">
        <w:rPr>
          <w:rFonts w:ascii="Book Antiqua" w:eastAsia="Book Antiqua" w:hAnsi="Book Antiqua" w:cs="Book Antiqua"/>
          <w:color w:val="000000"/>
        </w:rPr>
        <w:t>January 27, 2021</w:t>
      </w:r>
    </w:p>
    <w:p w14:paraId="25A76655" w14:textId="3FDB2D1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Revised: </w:t>
      </w:r>
      <w:r w:rsidRPr="00FF7E88">
        <w:rPr>
          <w:rFonts w:ascii="Book Antiqua" w:eastAsia="Book Antiqua" w:hAnsi="Book Antiqua" w:cs="Book Antiqua"/>
          <w:color w:val="000000"/>
        </w:rPr>
        <w:t>March 31, 2021</w:t>
      </w:r>
    </w:p>
    <w:p w14:paraId="220D8F97" w14:textId="0EEB90F8"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Accepted: </w:t>
      </w:r>
      <w:r w:rsidR="0085208D" w:rsidRPr="0085208D">
        <w:rPr>
          <w:rFonts w:ascii="Book Antiqua" w:eastAsia="Book Antiqua" w:hAnsi="Book Antiqua" w:cs="Book Antiqua"/>
          <w:bCs/>
          <w:color w:val="000000"/>
        </w:rPr>
        <w:t>April 23, 2021</w:t>
      </w:r>
    </w:p>
    <w:p w14:paraId="7D4A5CFB" w14:textId="4E6849A7" w:rsidR="00A77B3E" w:rsidRPr="00FF7E88" w:rsidRDefault="00BE4730" w:rsidP="00FF7E88">
      <w:pPr>
        <w:spacing w:line="360" w:lineRule="auto"/>
        <w:jc w:val="both"/>
        <w:rPr>
          <w:rFonts w:ascii="Book Antiqua" w:hAnsi="Book Antiqua"/>
          <w:lang w:eastAsia="zh-CN"/>
        </w:rPr>
      </w:pPr>
      <w:r w:rsidRPr="00FF7E88">
        <w:rPr>
          <w:rFonts w:ascii="Book Antiqua" w:eastAsia="Book Antiqua" w:hAnsi="Book Antiqua" w:cs="Book Antiqua"/>
          <w:b/>
          <w:bCs/>
          <w:color w:val="000000"/>
        </w:rPr>
        <w:t xml:space="preserve">Published online: </w:t>
      </w:r>
      <w:r w:rsidR="00A87762">
        <w:rPr>
          <w:rFonts w:ascii="Book Antiqua" w:hAnsi="Book Antiqua"/>
          <w:color w:val="000000"/>
          <w:shd w:val="clear" w:color="auto" w:fill="FFFFFF"/>
        </w:rPr>
        <w:t>May 14</w:t>
      </w:r>
      <w:r w:rsidR="00A87762">
        <w:rPr>
          <w:rFonts w:ascii="Book Antiqua" w:hAnsi="Book Antiqua" w:hint="eastAsia"/>
          <w:color w:val="000000"/>
          <w:shd w:val="clear" w:color="auto" w:fill="FFFFFF"/>
          <w:lang w:eastAsia="zh-CN"/>
        </w:rPr>
        <w:t>, 2021</w:t>
      </w:r>
    </w:p>
    <w:p w14:paraId="28DE142D" w14:textId="77777777" w:rsidR="00A77B3E" w:rsidRPr="00FF7E88" w:rsidRDefault="00A77B3E" w:rsidP="00FF7E88">
      <w:pPr>
        <w:spacing w:line="360" w:lineRule="auto"/>
        <w:jc w:val="both"/>
        <w:rPr>
          <w:rFonts w:ascii="Book Antiqua" w:hAnsi="Book Antiqua"/>
        </w:rPr>
        <w:sectPr w:rsidR="00A77B3E" w:rsidRPr="00FF7E88">
          <w:footerReference w:type="default" r:id="rId8"/>
          <w:pgSz w:w="12240" w:h="15840"/>
          <w:pgMar w:top="1440" w:right="1440" w:bottom="1440" w:left="1440" w:header="720" w:footer="720" w:gutter="0"/>
          <w:cols w:space="720"/>
          <w:docGrid w:linePitch="360"/>
        </w:sectPr>
      </w:pPr>
    </w:p>
    <w:p w14:paraId="6AB8DA16"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Abstract</w:t>
      </w:r>
    </w:p>
    <w:p w14:paraId="509372BB"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BACKGROUND</w:t>
      </w:r>
    </w:p>
    <w:p w14:paraId="43A5499F" w14:textId="420BFC08" w:rsidR="00A77B3E" w:rsidRPr="00FF7E88" w:rsidRDefault="00BE4730" w:rsidP="00FF7E88">
      <w:pPr>
        <w:spacing w:line="360" w:lineRule="auto"/>
        <w:jc w:val="both"/>
        <w:rPr>
          <w:rFonts w:ascii="Book Antiqua" w:hAnsi="Book Antiqua"/>
        </w:rPr>
      </w:pPr>
      <w:bookmarkStart w:id="18" w:name="OLE_LINK78"/>
      <w:bookmarkStart w:id="19" w:name="OLE_LINK79"/>
      <w:r w:rsidRPr="00FF7E88">
        <w:rPr>
          <w:rFonts w:ascii="Book Antiqua" w:eastAsia="Book Antiqua" w:hAnsi="Book Antiqua" w:cs="Book Antiqua"/>
          <w:color w:val="000000"/>
        </w:rPr>
        <w:t xml:space="preserve">Advances in endoscopic imaging enable the identification of patients at high risk of gastric cancer. However, there are no comparative data on the utility of standard and magnifying narrow-band imaging (M-NBI) endoscopy for diagnosing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gastric atrophy, and intestinal metaplasia. </w:t>
      </w:r>
    </w:p>
    <w:bookmarkEnd w:id="18"/>
    <w:bookmarkEnd w:id="19"/>
    <w:p w14:paraId="370642DC" w14:textId="77777777" w:rsidR="00A77B3E" w:rsidRPr="00FF7E88" w:rsidRDefault="00A77B3E" w:rsidP="00FF7E88">
      <w:pPr>
        <w:spacing w:line="360" w:lineRule="auto"/>
        <w:jc w:val="both"/>
        <w:rPr>
          <w:rFonts w:ascii="Book Antiqua" w:hAnsi="Book Antiqua"/>
        </w:rPr>
      </w:pPr>
    </w:p>
    <w:p w14:paraId="063FD38F"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AIM</w:t>
      </w:r>
    </w:p>
    <w:p w14:paraId="59A3BC10" w14:textId="211B7CAC" w:rsidR="00A77B3E" w:rsidRPr="00FF7E88" w:rsidRDefault="00BE4730" w:rsidP="00FF7E88">
      <w:pPr>
        <w:spacing w:line="360" w:lineRule="auto"/>
        <w:jc w:val="both"/>
        <w:rPr>
          <w:rFonts w:ascii="Book Antiqua" w:hAnsi="Book Antiqua"/>
        </w:rPr>
      </w:pPr>
      <w:bookmarkStart w:id="20" w:name="OLE_LINK80"/>
      <w:bookmarkStart w:id="21" w:name="OLE_LINK81"/>
      <w:r w:rsidRPr="00FF7E88">
        <w:rPr>
          <w:rFonts w:ascii="Book Antiqua" w:eastAsia="Book Antiqua" w:hAnsi="Book Antiqua" w:cs="Book Antiqua"/>
          <w:color w:val="000000"/>
        </w:rPr>
        <w:t xml:space="preserve">To compare the diagnostic performance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and precancerous conditions. </w:t>
      </w:r>
    </w:p>
    <w:bookmarkEnd w:id="20"/>
    <w:bookmarkEnd w:id="21"/>
    <w:p w14:paraId="7972849B" w14:textId="77777777" w:rsidR="00A77B3E" w:rsidRPr="00FF7E88" w:rsidRDefault="00A77B3E" w:rsidP="00FF7E88">
      <w:pPr>
        <w:spacing w:line="360" w:lineRule="auto"/>
        <w:jc w:val="both"/>
        <w:rPr>
          <w:rFonts w:ascii="Book Antiqua" w:hAnsi="Book Antiqua"/>
        </w:rPr>
      </w:pPr>
    </w:p>
    <w:p w14:paraId="3956237F"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METHODS</w:t>
      </w:r>
    </w:p>
    <w:p w14:paraId="389C9C46" w14:textId="4FFE6827" w:rsidR="00A77B3E" w:rsidRPr="00FF7E88" w:rsidRDefault="00BE4730" w:rsidP="00FF7E88">
      <w:pPr>
        <w:spacing w:line="360" w:lineRule="auto"/>
        <w:jc w:val="both"/>
        <w:rPr>
          <w:rFonts w:ascii="Book Antiqua" w:hAnsi="Book Antiqua"/>
        </w:rPr>
      </w:pPr>
      <w:bookmarkStart w:id="22" w:name="OLE_LINK82"/>
      <w:bookmarkStart w:id="23" w:name="OLE_LINK83"/>
      <w:r w:rsidRPr="00FF7E88">
        <w:rPr>
          <w:rFonts w:ascii="Book Antiqua" w:eastAsia="Book Antiqua" w:hAnsi="Book Antiqua" w:cs="Book Antiqua"/>
          <w:color w:val="000000"/>
        </w:rPr>
        <w:t xml:space="preserve">In 254 patients, standard endoscopy findings were classified into mosaic-like appearance (type A), diffuse homogenous redness (type B), and irregular redness with groove (type C). Gastric mucosal patterns visualized by M-NBI were classified as regular round pits with polygonal sulci (type Z-1), more dilated and linear pits without sulci (type Z-2), and loss of gastric pits with coiled vessels (type Z-3). </w:t>
      </w:r>
    </w:p>
    <w:bookmarkEnd w:id="22"/>
    <w:bookmarkEnd w:id="23"/>
    <w:p w14:paraId="6B23FACD" w14:textId="77777777" w:rsidR="00A77B3E" w:rsidRPr="00FF7E88" w:rsidRDefault="00A77B3E" w:rsidP="00FF7E88">
      <w:pPr>
        <w:spacing w:line="360" w:lineRule="auto"/>
        <w:jc w:val="both"/>
        <w:rPr>
          <w:rFonts w:ascii="Book Antiqua" w:hAnsi="Book Antiqua"/>
        </w:rPr>
      </w:pPr>
    </w:p>
    <w:p w14:paraId="5E596E5A"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RESULTS</w:t>
      </w:r>
    </w:p>
    <w:p w14:paraId="27EB517B" w14:textId="3C43308D" w:rsidR="00A77B3E" w:rsidRPr="00FF7E88" w:rsidRDefault="00BE4730" w:rsidP="00FF7E88">
      <w:pPr>
        <w:spacing w:line="360" w:lineRule="auto"/>
        <w:jc w:val="both"/>
        <w:rPr>
          <w:rFonts w:ascii="Book Antiqua" w:hAnsi="Book Antiqua"/>
        </w:rPr>
      </w:pPr>
      <w:bookmarkStart w:id="24" w:name="OLE_LINK84"/>
      <w:bookmarkStart w:id="25" w:name="OLE_LINK85"/>
      <w:r w:rsidRPr="00FF7E88">
        <w:rPr>
          <w:rFonts w:ascii="Book Antiqua" w:eastAsia="Book Antiqua" w:hAnsi="Book Antiqua" w:cs="Book Antiqua"/>
          <w:color w:val="000000"/>
        </w:rPr>
        <w:t xml:space="preserve">The diagnostic accuracy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was 93.3% and 96.1%, respectively. Regarding gastric precancerous conditions, the accuracy of standard and M-NBI endoscopy was 72.0%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72.6% for moderate to severe atrophy, and 61.7%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61.1% for intestinal metaplasia in the corpus, respectively. Compared to type A and Z-1, types B+C and Z-2+Z-3 were significantly associated with moderate to severe atrophy [odds ratio (OR) = 5.56 and 8.67] and serum pepsinogen I/II ratio of ≤ 3 (OR = 4.48 and 5.69). </w:t>
      </w:r>
    </w:p>
    <w:bookmarkEnd w:id="24"/>
    <w:bookmarkEnd w:id="25"/>
    <w:p w14:paraId="09A1ACE9" w14:textId="77777777" w:rsidR="00A77B3E" w:rsidRPr="00FF7E88" w:rsidRDefault="00A77B3E" w:rsidP="00FF7E88">
      <w:pPr>
        <w:spacing w:line="360" w:lineRule="auto"/>
        <w:jc w:val="both"/>
        <w:rPr>
          <w:rFonts w:ascii="Book Antiqua" w:hAnsi="Book Antiqua"/>
        </w:rPr>
      </w:pPr>
    </w:p>
    <w:p w14:paraId="1A73163A"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CONCLUSION</w:t>
      </w:r>
    </w:p>
    <w:p w14:paraId="4C286FA8" w14:textId="76D62088" w:rsidR="00A77B3E" w:rsidRPr="00FF7E88" w:rsidRDefault="00BE4730" w:rsidP="00FF7E88">
      <w:pPr>
        <w:spacing w:line="360" w:lineRule="auto"/>
        <w:jc w:val="both"/>
        <w:rPr>
          <w:rFonts w:ascii="Book Antiqua" w:hAnsi="Book Antiqua"/>
        </w:rPr>
      </w:pPr>
      <w:bookmarkStart w:id="26" w:name="OLE_LINK86"/>
      <w:bookmarkStart w:id="27" w:name="OLE_LINK87"/>
      <w:r w:rsidRPr="00FF7E88">
        <w:rPr>
          <w:rFonts w:ascii="Book Antiqua" w:eastAsia="Book Antiqua" w:hAnsi="Book Antiqua" w:cs="Book Antiqua"/>
          <w:color w:val="000000"/>
        </w:rPr>
        <w:t xml:space="preserve">Close observation of the gastric mucosa by standard and M-NBI endoscopy is useful for the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and precancerous conditions. </w:t>
      </w:r>
    </w:p>
    <w:bookmarkEnd w:id="26"/>
    <w:bookmarkEnd w:id="27"/>
    <w:p w14:paraId="46506FE6" w14:textId="77777777" w:rsidR="00A77B3E" w:rsidRPr="00FF7E88" w:rsidRDefault="00A77B3E" w:rsidP="00FF7E88">
      <w:pPr>
        <w:spacing w:line="360" w:lineRule="auto"/>
        <w:jc w:val="both"/>
        <w:rPr>
          <w:rFonts w:ascii="Book Antiqua" w:hAnsi="Book Antiqua"/>
        </w:rPr>
      </w:pPr>
    </w:p>
    <w:p w14:paraId="16E1ABAA" w14:textId="0961D5A9"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Key Words: </w:t>
      </w:r>
      <w:bookmarkStart w:id="28" w:name="OLE_LINK74"/>
      <w:bookmarkStart w:id="29" w:name="OLE_LINK75"/>
      <w:r w:rsidRPr="00FF7E88">
        <w:rPr>
          <w:rFonts w:ascii="Book Antiqua" w:eastAsia="Book Antiqua" w:hAnsi="Book Antiqua" w:cs="Book Antiqua"/>
          <w:color w:val="000000"/>
        </w:rPr>
        <w:t xml:space="preserve">Endoscopy; Magnifying narrow-band imaging;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Gastric atrophy; Intestinal metaplasia; Pepsinogen</w:t>
      </w:r>
      <w:bookmarkEnd w:id="28"/>
      <w:bookmarkEnd w:id="29"/>
    </w:p>
    <w:p w14:paraId="65D3C89E" w14:textId="77777777" w:rsidR="00AF4AC3" w:rsidRDefault="00AF4AC3" w:rsidP="00AF4AC3">
      <w:pPr>
        <w:spacing w:line="360" w:lineRule="auto"/>
        <w:jc w:val="both"/>
        <w:rPr>
          <w:lang w:eastAsia="zh-CN"/>
        </w:rPr>
      </w:pPr>
    </w:p>
    <w:p w14:paraId="08C451B5" w14:textId="77777777" w:rsidR="00AF4AC3" w:rsidRPr="00026CB8" w:rsidRDefault="00AF4AC3" w:rsidP="00AF4AC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A835BD1" w14:textId="77777777" w:rsidR="00A77B3E" w:rsidRPr="00FF7E88" w:rsidRDefault="00A77B3E" w:rsidP="00FF7E88">
      <w:pPr>
        <w:spacing w:line="360" w:lineRule="auto"/>
        <w:jc w:val="both"/>
        <w:rPr>
          <w:rFonts w:ascii="Book Antiqua" w:hAnsi="Book Antiqua"/>
        </w:rPr>
      </w:pPr>
    </w:p>
    <w:p w14:paraId="7D565D16" w14:textId="3D6CCDAE" w:rsidR="004F3739" w:rsidRDefault="004F3739" w:rsidP="00FF7E88">
      <w:pPr>
        <w:spacing w:line="360" w:lineRule="auto"/>
        <w:jc w:val="both"/>
        <w:rPr>
          <w:rFonts w:ascii="Book Antiqua" w:hAnsi="Book Antiqua" w:cs="Book Antiqua" w:hint="eastAsia"/>
          <w:color w:val="000000"/>
          <w:lang w:eastAsia="zh-CN"/>
        </w:rPr>
      </w:pPr>
      <w:r w:rsidRPr="004F3739">
        <w:rPr>
          <w:rFonts w:ascii="Book Antiqua" w:hAnsi="Book Antiqua" w:cs="Book Antiqua" w:hint="eastAsia"/>
          <w:b/>
          <w:color w:val="000000"/>
          <w:lang w:eastAsia="zh-CN"/>
        </w:rPr>
        <w:t xml:space="preserve">Citation: </w:t>
      </w:r>
      <w:r w:rsidR="00BE4730" w:rsidRPr="00FF7E88">
        <w:rPr>
          <w:rFonts w:ascii="Book Antiqua" w:eastAsia="Book Antiqua" w:hAnsi="Book Antiqua" w:cs="Book Antiqua"/>
          <w:color w:val="000000"/>
        </w:rPr>
        <w:t xml:space="preserve">Cho JH, Jeon SR, Jin SY, Park S. Standard </w:t>
      </w:r>
      <w:r w:rsidR="00BE4730" w:rsidRPr="00FF7E88">
        <w:rPr>
          <w:rFonts w:ascii="Book Antiqua" w:eastAsia="Book Antiqua" w:hAnsi="Book Antiqua" w:cs="Book Antiqua"/>
          <w:i/>
          <w:iCs/>
          <w:color w:val="000000"/>
        </w:rPr>
        <w:t>vs</w:t>
      </w:r>
      <w:r w:rsidR="00BE4730" w:rsidRPr="00FF7E88">
        <w:rPr>
          <w:rFonts w:ascii="Book Antiqua" w:eastAsia="Book Antiqua" w:hAnsi="Book Antiqua" w:cs="Book Antiqua"/>
          <w:color w:val="000000"/>
        </w:rPr>
        <w:t xml:space="preserve"> magnifying narrow-band imaging endoscopy for diagnosis of </w:t>
      </w:r>
      <w:r w:rsidR="00BE4730" w:rsidRPr="00FF7E88">
        <w:rPr>
          <w:rFonts w:ascii="Book Antiqua" w:eastAsia="Book Antiqua" w:hAnsi="Book Antiqua" w:cs="Book Antiqua"/>
          <w:i/>
          <w:iCs/>
          <w:color w:val="000000"/>
        </w:rPr>
        <w:t>Helicobacter pylori</w:t>
      </w:r>
      <w:r w:rsidR="00BE4730" w:rsidRPr="00FF7E88">
        <w:rPr>
          <w:rFonts w:ascii="Book Antiqua" w:eastAsia="Book Antiqua" w:hAnsi="Book Antiqua" w:cs="Book Antiqua"/>
          <w:color w:val="000000"/>
        </w:rPr>
        <w:t xml:space="preserve"> infection and gastric precancerous conditions. </w:t>
      </w:r>
      <w:r w:rsidR="00BE4730" w:rsidRPr="00FF7E88">
        <w:rPr>
          <w:rFonts w:ascii="Book Antiqua" w:eastAsia="Book Antiqua" w:hAnsi="Book Antiqua" w:cs="Book Antiqua"/>
          <w:i/>
          <w:iCs/>
          <w:color w:val="000000"/>
        </w:rPr>
        <w:t>World J Gastroenterol</w:t>
      </w:r>
      <w:r w:rsidR="00BE4730" w:rsidRPr="00FF7E88">
        <w:rPr>
          <w:rFonts w:ascii="Book Antiqua" w:eastAsia="Book Antiqua" w:hAnsi="Book Antiqua" w:cs="Book Antiqua"/>
          <w:color w:val="000000"/>
        </w:rPr>
        <w:t xml:space="preserve"> 2021; </w:t>
      </w:r>
      <w:r w:rsidR="008F5CE5" w:rsidRPr="00306166">
        <w:rPr>
          <w:rFonts w:ascii="Book Antiqua" w:eastAsia="Book Antiqua" w:hAnsi="Book Antiqua" w:cs="Book Antiqua"/>
          <w:color w:val="000000"/>
        </w:rPr>
        <w:t>2</w:t>
      </w:r>
      <w:r w:rsidR="008F5CE5">
        <w:rPr>
          <w:rFonts w:ascii="Book Antiqua" w:hAnsi="Book Antiqua" w:cs="Book Antiqua" w:hint="eastAsia"/>
          <w:color w:val="000000"/>
          <w:lang w:eastAsia="zh-CN"/>
        </w:rPr>
        <w:t>7</w:t>
      </w:r>
      <w:r w:rsidR="008F5CE5" w:rsidRPr="00306166">
        <w:rPr>
          <w:rFonts w:ascii="Book Antiqua" w:eastAsia="Book Antiqua" w:hAnsi="Book Antiqua" w:cs="Book Antiqua"/>
          <w:color w:val="000000"/>
        </w:rPr>
        <w:t>(</w:t>
      </w:r>
      <w:r w:rsidR="008F5CE5">
        <w:rPr>
          <w:rFonts w:ascii="Book Antiqua" w:hAnsi="Book Antiqua" w:cs="Book Antiqua" w:hint="eastAsia"/>
          <w:color w:val="000000"/>
          <w:lang w:eastAsia="zh-CN"/>
        </w:rPr>
        <w:t>18</w:t>
      </w:r>
      <w:r w:rsidR="008F5CE5" w:rsidRPr="00306166">
        <w:rPr>
          <w:rFonts w:ascii="Book Antiqua" w:eastAsia="Book Antiqua" w:hAnsi="Book Antiqua" w:cs="Book Antiqua"/>
          <w:color w:val="000000"/>
        </w:rPr>
        <w:t xml:space="preserve">): </w:t>
      </w:r>
      <w:r w:rsidRPr="004F3739">
        <w:rPr>
          <w:rFonts w:ascii="Book Antiqua" w:eastAsia="Book Antiqua" w:hAnsi="Book Antiqua" w:cs="Book Antiqua"/>
          <w:color w:val="000000"/>
        </w:rPr>
        <w:t>2238-2250</w:t>
      </w:r>
      <w:r w:rsidR="008F5CE5" w:rsidRPr="00306166">
        <w:rPr>
          <w:rFonts w:ascii="Book Antiqua" w:eastAsia="Book Antiqua" w:hAnsi="Book Antiqua" w:cs="Book Antiqua"/>
          <w:color w:val="000000"/>
        </w:rPr>
        <w:t xml:space="preserve"> </w:t>
      </w:r>
    </w:p>
    <w:p w14:paraId="67A948F7" w14:textId="77777777" w:rsidR="004F3739" w:rsidRDefault="008F5CE5" w:rsidP="00FF7E88">
      <w:pPr>
        <w:spacing w:line="360" w:lineRule="auto"/>
        <w:jc w:val="both"/>
        <w:rPr>
          <w:rFonts w:ascii="Book Antiqua" w:hAnsi="Book Antiqua" w:cs="Book Antiqua" w:hint="eastAsia"/>
          <w:color w:val="000000"/>
          <w:lang w:eastAsia="zh-CN"/>
        </w:rPr>
      </w:pPr>
      <w:r w:rsidRPr="004F3739">
        <w:rPr>
          <w:rFonts w:ascii="Book Antiqua" w:eastAsia="Book Antiqua" w:hAnsi="Book Antiqua" w:cs="Book Antiqua"/>
          <w:b/>
          <w:color w:val="000000"/>
        </w:rPr>
        <w:t>URL:</w:t>
      </w:r>
      <w:r w:rsidRPr="00306166">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18</w:t>
      </w:r>
      <w:r w:rsidRPr="00306166">
        <w:rPr>
          <w:rFonts w:ascii="Book Antiqua" w:eastAsia="Book Antiqua" w:hAnsi="Book Antiqua" w:cs="Book Antiqua"/>
          <w:color w:val="000000"/>
        </w:rPr>
        <w:t>/</w:t>
      </w:r>
      <w:r w:rsidR="004F3739" w:rsidRPr="004F3739">
        <w:rPr>
          <w:rFonts w:ascii="Book Antiqua" w:eastAsia="Book Antiqua" w:hAnsi="Book Antiqua" w:cs="Book Antiqua"/>
          <w:color w:val="000000"/>
        </w:rPr>
        <w:t>2238</w:t>
      </w:r>
      <w:r w:rsidRPr="00306166">
        <w:rPr>
          <w:rFonts w:ascii="Book Antiqua" w:eastAsia="Book Antiqua" w:hAnsi="Book Antiqua" w:cs="Book Antiqua"/>
          <w:color w:val="000000"/>
        </w:rPr>
        <w:t xml:space="preserve">.htm </w:t>
      </w:r>
    </w:p>
    <w:p w14:paraId="4C665092" w14:textId="64610B69" w:rsidR="00A77B3E" w:rsidRPr="00FF7E88" w:rsidRDefault="008F5CE5" w:rsidP="00FF7E88">
      <w:pPr>
        <w:spacing w:line="360" w:lineRule="auto"/>
        <w:jc w:val="both"/>
        <w:rPr>
          <w:rFonts w:ascii="Book Antiqua" w:hAnsi="Book Antiqua"/>
        </w:rPr>
      </w:pPr>
      <w:r w:rsidRPr="004F3739">
        <w:rPr>
          <w:rFonts w:ascii="Book Antiqua" w:eastAsia="Book Antiqua" w:hAnsi="Book Antiqua" w:cs="Book Antiqua"/>
          <w:b/>
          <w:color w:val="000000"/>
        </w:rPr>
        <w:t>DOI:</w:t>
      </w:r>
      <w:r w:rsidRPr="00306166">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18</w:t>
      </w:r>
      <w:r w:rsidRPr="00306166">
        <w:rPr>
          <w:rFonts w:ascii="Book Antiqua" w:eastAsia="Book Antiqua" w:hAnsi="Book Antiqua" w:cs="Book Antiqua"/>
          <w:color w:val="000000"/>
        </w:rPr>
        <w:t>.</w:t>
      </w:r>
      <w:r w:rsidR="004F3739" w:rsidRPr="004F3739">
        <w:rPr>
          <w:rFonts w:ascii="Book Antiqua" w:eastAsia="Book Antiqua" w:hAnsi="Book Antiqua" w:cs="Book Antiqua"/>
          <w:color w:val="000000"/>
        </w:rPr>
        <w:t>2238</w:t>
      </w:r>
    </w:p>
    <w:p w14:paraId="0C2DBD3F" w14:textId="77777777" w:rsidR="00A77B3E" w:rsidRPr="00FF7E88" w:rsidRDefault="00A77B3E" w:rsidP="00FF7E88">
      <w:pPr>
        <w:spacing w:line="360" w:lineRule="auto"/>
        <w:jc w:val="both"/>
        <w:rPr>
          <w:rFonts w:ascii="Book Antiqua" w:hAnsi="Book Antiqua"/>
        </w:rPr>
      </w:pPr>
    </w:p>
    <w:p w14:paraId="51C1C2F2" w14:textId="7D1B696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Core Tip: </w:t>
      </w:r>
      <w:bookmarkStart w:id="30" w:name="OLE_LINK76"/>
      <w:bookmarkStart w:id="31" w:name="OLE_LINK77"/>
      <w:r w:rsidRPr="00FF7E88">
        <w:rPr>
          <w:rFonts w:ascii="Book Antiqua" w:eastAsia="Book Antiqua" w:hAnsi="Book Antiqua" w:cs="Book Antiqua"/>
          <w:color w:val="000000"/>
        </w:rPr>
        <w:t xml:space="preserve">In Correa’s model of gastric carcinogenesis,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infection, gastric atrophy and intestinal metaplasia are linked to gastric cancer development. The low level of serum pepsinogens was known to be highly associated with extensive atrophic gastritis. High-resolution and magnifying narrow-band imaging (M-NBI) facilitate the detailed examination of gastrointestinal mucosa. However, there was no comparative data regarding the usefulness of standard and M-NBI endoscopy for H. pylori infection and gastric precancerous conditions. We found the significant relationship between endoscopic mucosal patterns and degree of gastric precancerous conditions (moderate to severe gastric atrophy and serum pepsinogen I/II ratio of ≤ 3). These results seem to be valuable for identifying a group at risk of gastric cancer using high quality endoscopy.</w:t>
      </w:r>
    </w:p>
    <w:bookmarkEnd w:id="30"/>
    <w:bookmarkEnd w:id="31"/>
    <w:p w14:paraId="3CDA167C" w14:textId="77777777" w:rsidR="00BE4730" w:rsidRPr="00FF7E88" w:rsidRDefault="00BE4730" w:rsidP="00FF7E88">
      <w:pPr>
        <w:spacing w:line="360" w:lineRule="auto"/>
        <w:jc w:val="both"/>
        <w:rPr>
          <w:rFonts w:ascii="Book Antiqua" w:hAnsi="Book Antiqua"/>
        </w:rPr>
        <w:sectPr w:rsidR="00BE4730" w:rsidRPr="00FF7E88">
          <w:pgSz w:w="12240" w:h="15840"/>
          <w:pgMar w:top="1440" w:right="1440" w:bottom="1440" w:left="1440" w:header="720" w:footer="720" w:gutter="0"/>
          <w:cols w:space="720"/>
          <w:docGrid w:linePitch="360"/>
        </w:sectPr>
      </w:pPr>
    </w:p>
    <w:p w14:paraId="44C3F517"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INTRODUCTION</w:t>
      </w:r>
    </w:p>
    <w:p w14:paraId="2C9E5A3C" w14:textId="6E139543" w:rsidR="00A77B3E" w:rsidRPr="00FF7E88" w:rsidRDefault="00BE4730" w:rsidP="00FF7E88">
      <w:pPr>
        <w:spacing w:line="360" w:lineRule="auto"/>
        <w:jc w:val="both"/>
        <w:rPr>
          <w:rFonts w:ascii="Book Antiqua" w:hAnsi="Book Antiqua"/>
        </w:rPr>
      </w:pPr>
      <w:bookmarkStart w:id="32" w:name="OLE_LINK88"/>
      <w:bookmarkStart w:id="33" w:name="OLE_LINK89"/>
      <w:r w:rsidRPr="00FF7E88">
        <w:rPr>
          <w:rFonts w:ascii="Book Antiqua" w:eastAsia="Book Antiqua" w:hAnsi="Book Antiqua" w:cs="Book Antiqua"/>
          <w:color w:val="000000"/>
        </w:rPr>
        <w:t xml:space="preserve">The global prevalence of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infection is reportedly &gt; 50%</w:t>
      </w:r>
      <w:r w:rsidRPr="00FF7E88">
        <w:rPr>
          <w:rFonts w:ascii="Book Antiqua" w:eastAsia="Book Antiqua" w:hAnsi="Book Antiqua" w:cs="Book Antiqua"/>
          <w:color w:val="000000"/>
          <w:vertAlign w:val="superscript"/>
        </w:rPr>
        <w:t>[1]</w:t>
      </w:r>
      <w:r w:rsidRPr="00FF7E88">
        <w:rPr>
          <w:rFonts w:ascii="Book Antiqua" w:eastAsia="Book Antiqua" w:hAnsi="Book Antiqua" w:cs="Book Antiqua"/>
          <w:color w:val="000000"/>
        </w:rPr>
        <w:t xml:space="preserve">. In the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–infected stomach, chronic active inflammation of the mucosa becomes persistent, leading to gastric atrophy and intestinal metaplasia (IM)</w:t>
      </w:r>
      <w:r w:rsidRPr="00FF7E88">
        <w:rPr>
          <w:rFonts w:ascii="Book Antiqua" w:eastAsia="Book Antiqua" w:hAnsi="Book Antiqua" w:cs="Book Antiqua"/>
          <w:color w:val="000000"/>
          <w:vertAlign w:val="superscript"/>
        </w:rPr>
        <w:t>[2]</w:t>
      </w:r>
      <w:r w:rsidRPr="00FF7E88">
        <w:rPr>
          <w:rFonts w:ascii="Book Antiqua" w:eastAsia="Book Antiqua" w:hAnsi="Book Antiqua" w:cs="Book Antiqua"/>
          <w:color w:val="000000"/>
        </w:rPr>
        <w:t>. According to Correa’s model of gastric carcinogenesis, gastric atrophy and IM are linked to progression to gastric cancer</w:t>
      </w:r>
      <w:r w:rsidRPr="00FF7E88">
        <w:rPr>
          <w:rFonts w:ascii="Book Antiqua" w:eastAsia="Book Antiqua" w:hAnsi="Book Antiqua" w:cs="Book Antiqua"/>
          <w:color w:val="000000"/>
          <w:vertAlign w:val="superscript"/>
        </w:rPr>
        <w:t>[3]</w:t>
      </w:r>
      <w:r w:rsidRPr="00FF7E88">
        <w:rPr>
          <w:rFonts w:ascii="Book Antiqua" w:eastAsia="Book Antiqua" w:hAnsi="Book Antiqua" w:cs="Book Antiqua"/>
          <w:color w:val="000000"/>
        </w:rPr>
        <w:t>. Advanced gastric atrophy and IM are considered to be precancerous conditions because they correlate with gastric carcinogenesis</w:t>
      </w:r>
      <w:r w:rsidRPr="00FF7E88">
        <w:rPr>
          <w:rFonts w:ascii="Book Antiqua" w:eastAsia="Book Antiqua" w:hAnsi="Book Antiqua" w:cs="Book Antiqua"/>
          <w:color w:val="000000"/>
          <w:vertAlign w:val="superscript"/>
        </w:rPr>
        <w:t>[4-6]</w:t>
      </w:r>
      <w:r w:rsidRPr="00FF7E88">
        <w:rPr>
          <w:rFonts w:ascii="Book Antiqua" w:eastAsia="Book Antiqua" w:hAnsi="Book Antiqua" w:cs="Book Antiqua"/>
          <w:color w:val="000000"/>
        </w:rPr>
        <w:t>. Accurate diagnosis of gastric precancerous conditions is essential for identifying patients at risk of gastric cancer</w:t>
      </w:r>
      <w:r w:rsidRPr="00FF7E88">
        <w:rPr>
          <w:rFonts w:ascii="Book Antiqua" w:eastAsia="Book Antiqua" w:hAnsi="Book Antiqua" w:cs="Book Antiqua"/>
          <w:color w:val="000000"/>
          <w:vertAlign w:val="superscript"/>
        </w:rPr>
        <w:t>[7]</w:t>
      </w:r>
      <w:r w:rsidRPr="00FF7E88">
        <w:rPr>
          <w:rFonts w:ascii="Book Antiqua" w:eastAsia="Book Antiqua" w:hAnsi="Book Antiqua" w:cs="Book Antiqua"/>
          <w:color w:val="000000"/>
        </w:rPr>
        <w:t xml:space="preserve">. </w:t>
      </w:r>
    </w:p>
    <w:p w14:paraId="371A0AE9" w14:textId="77777777" w:rsidR="00BE4730" w:rsidRPr="00FF7E88" w:rsidRDefault="00BE4730" w:rsidP="00FF7E88">
      <w:pPr>
        <w:spacing w:line="360" w:lineRule="auto"/>
        <w:ind w:firstLine="240"/>
        <w:jc w:val="both"/>
        <w:rPr>
          <w:rFonts w:ascii="Book Antiqua" w:hAnsi="Book Antiqua"/>
        </w:rPr>
      </w:pPr>
      <w:r w:rsidRPr="00FF7E88">
        <w:rPr>
          <w:rFonts w:ascii="Book Antiqua" w:eastAsia="Book Antiqua" w:hAnsi="Book Antiqua" w:cs="Book Antiqua"/>
          <w:color w:val="000000"/>
        </w:rPr>
        <w:t>Narrow-band imaging (NBI) is an innovative optical method that facilitates detailed examination of the gastric mucosa</w:t>
      </w:r>
      <w:r w:rsidRPr="00FF7E88">
        <w:rPr>
          <w:rFonts w:ascii="Book Antiqua" w:eastAsia="Book Antiqua" w:hAnsi="Book Antiqua" w:cs="Book Antiqua"/>
          <w:color w:val="000000"/>
          <w:vertAlign w:val="superscript"/>
        </w:rPr>
        <w:t>[8]</w:t>
      </w:r>
      <w:r w:rsidRPr="00FF7E88">
        <w:rPr>
          <w:rFonts w:ascii="Book Antiqua" w:eastAsia="Book Antiqua" w:hAnsi="Book Antiqua" w:cs="Book Antiqua"/>
          <w:color w:val="000000"/>
        </w:rPr>
        <w:t>. Furthermore, magnifying NBI (M-NBI) endoscopy with 80-fold magnification can visualize the fine mucosal structure and microvessels</w:t>
      </w:r>
      <w:r w:rsidRPr="00FF7E88">
        <w:rPr>
          <w:rFonts w:ascii="Book Antiqua" w:eastAsia="Book Antiqua" w:hAnsi="Book Antiqua" w:cs="Book Antiqua"/>
          <w:color w:val="000000"/>
          <w:vertAlign w:val="superscript"/>
        </w:rPr>
        <w:t>[9]</w:t>
      </w:r>
      <w:r w:rsidRPr="00FF7E88">
        <w:rPr>
          <w:rFonts w:ascii="Book Antiqua" w:eastAsia="Book Antiqua" w:hAnsi="Book Antiqua" w:cs="Book Antiqua"/>
          <w:color w:val="000000"/>
        </w:rPr>
        <w:t xml:space="preserve">. M-NBI endoscopy can be used to diagnose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classify gastritis by histological severity</w:t>
      </w:r>
      <w:r w:rsidRPr="00FF7E88">
        <w:rPr>
          <w:rFonts w:ascii="Book Antiqua" w:eastAsia="Book Antiqua" w:hAnsi="Book Antiqua" w:cs="Book Antiqua"/>
          <w:color w:val="000000"/>
          <w:vertAlign w:val="superscript"/>
        </w:rPr>
        <w:t>[10]</w:t>
      </w:r>
      <w:r w:rsidRPr="00FF7E88">
        <w:rPr>
          <w:rFonts w:ascii="Book Antiqua" w:eastAsia="Book Antiqua" w:hAnsi="Book Antiqua" w:cs="Book Antiqua"/>
          <w:color w:val="000000"/>
        </w:rPr>
        <w:t>. Recent improvements in the resolution (&gt; 1 million pixels) of gastrointestinal endoscopy have enhanced image quality, facilitating characterization of the gastric mucosal pattern</w:t>
      </w:r>
      <w:r w:rsidRPr="00FF7E88">
        <w:rPr>
          <w:rFonts w:ascii="Book Antiqua" w:eastAsia="Book Antiqua" w:hAnsi="Book Antiqua" w:cs="Book Antiqua"/>
          <w:color w:val="000000"/>
          <w:vertAlign w:val="superscript"/>
        </w:rPr>
        <w:t>[11]</w:t>
      </w:r>
      <w:r w:rsidRPr="00FF7E88">
        <w:rPr>
          <w:rFonts w:ascii="Book Antiqua" w:eastAsia="Book Antiqua" w:hAnsi="Book Antiqua" w:cs="Book Antiqua"/>
          <w:color w:val="000000"/>
        </w:rPr>
        <w:t xml:space="preserve">. Close observation of the gastric corpus mucosa by standard endoscopy without magnification enables prediction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w:t>
      </w:r>
      <w:r w:rsidRPr="00FF7E88">
        <w:rPr>
          <w:rFonts w:ascii="Book Antiqua" w:eastAsia="Book Antiqua" w:hAnsi="Book Antiqua" w:cs="Book Antiqua"/>
          <w:color w:val="000000"/>
          <w:vertAlign w:val="superscript"/>
        </w:rPr>
        <w:t>[12]</w:t>
      </w:r>
      <w:r w:rsidRPr="00FF7E88">
        <w:rPr>
          <w:rFonts w:ascii="Book Antiqua" w:eastAsia="Book Antiqua" w:hAnsi="Book Antiqua" w:cs="Book Antiqua"/>
          <w:color w:val="000000"/>
        </w:rPr>
        <w:t xml:space="preserve">. Moreover, the severity of gastric atrophy and IM differ according to the endoscopic mucosal pattern. In a systematic review, standard endoscopy was effective as an alternative method for diagnosing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w:t>
      </w:r>
      <w:r w:rsidRPr="00FF7E88">
        <w:rPr>
          <w:rFonts w:ascii="Book Antiqua" w:eastAsia="Book Antiqua" w:hAnsi="Book Antiqua" w:cs="Book Antiqua"/>
          <w:color w:val="000000"/>
          <w:vertAlign w:val="superscript"/>
        </w:rPr>
        <w:t>[13]</w:t>
      </w:r>
      <w:r w:rsidRPr="00FF7E88">
        <w:rPr>
          <w:rFonts w:ascii="Book Antiqua" w:eastAsia="Book Antiqua" w:hAnsi="Book Antiqua" w:cs="Book Antiqua"/>
          <w:color w:val="000000"/>
        </w:rPr>
        <w:t xml:space="preserve">. However, there are no comparative data on the utility of standard and M-NBI endoscopy for diagnosing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gastric atrophy, and IM.</w:t>
      </w:r>
    </w:p>
    <w:p w14:paraId="43470C1B" w14:textId="7A4EAB99" w:rsidR="00A77B3E" w:rsidRPr="00FF7E88" w:rsidRDefault="00BE4730" w:rsidP="00FF7E88">
      <w:pPr>
        <w:spacing w:line="360" w:lineRule="auto"/>
        <w:ind w:firstLine="240"/>
        <w:jc w:val="both"/>
        <w:rPr>
          <w:rFonts w:ascii="Book Antiqua" w:hAnsi="Book Antiqua"/>
        </w:rPr>
      </w:pPr>
      <w:r w:rsidRPr="00FF7E88">
        <w:rPr>
          <w:rFonts w:ascii="Book Antiqua" w:eastAsia="Book Antiqua" w:hAnsi="Book Antiqua" w:cs="Book Antiqua"/>
          <w:color w:val="000000"/>
        </w:rPr>
        <w:t xml:space="preserve">In this study, we evaluated the diagnostic performance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advanced gastritis, and investigated the association between the endoscopic mucosal pattern and gastric precancerous conditions. </w:t>
      </w:r>
    </w:p>
    <w:bookmarkEnd w:id="32"/>
    <w:bookmarkEnd w:id="33"/>
    <w:p w14:paraId="17A850DC" w14:textId="77777777" w:rsidR="00A77B3E" w:rsidRPr="00FF7E88" w:rsidRDefault="00A77B3E" w:rsidP="00FF7E88">
      <w:pPr>
        <w:spacing w:line="360" w:lineRule="auto"/>
        <w:ind w:firstLine="240"/>
        <w:jc w:val="both"/>
        <w:rPr>
          <w:rFonts w:ascii="Book Antiqua" w:hAnsi="Book Antiqua"/>
        </w:rPr>
      </w:pPr>
    </w:p>
    <w:p w14:paraId="2F32D4BA" w14:textId="59467AA9"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MATERIALS AND METHODS</w:t>
      </w:r>
    </w:p>
    <w:p w14:paraId="4C179E04" w14:textId="139F3AEC" w:rsidR="00A77B3E" w:rsidRPr="00FF7E88" w:rsidRDefault="00BE4730" w:rsidP="00FF7E88">
      <w:pPr>
        <w:spacing w:line="360" w:lineRule="auto"/>
        <w:jc w:val="both"/>
        <w:rPr>
          <w:rFonts w:ascii="Book Antiqua" w:hAnsi="Book Antiqua"/>
        </w:rPr>
      </w:pPr>
      <w:bookmarkStart w:id="34" w:name="OLE_LINK90"/>
      <w:bookmarkStart w:id="35" w:name="OLE_LINK91"/>
      <w:r w:rsidRPr="00FF7E88">
        <w:rPr>
          <w:rFonts w:ascii="Book Antiqua" w:eastAsia="Book Antiqua" w:hAnsi="Book Antiqua" w:cs="Book Antiqua"/>
          <w:b/>
          <w:bCs/>
          <w:i/>
          <w:iCs/>
          <w:color w:val="000000"/>
        </w:rPr>
        <w:t xml:space="preserve">Patients and study design </w:t>
      </w:r>
    </w:p>
    <w:p w14:paraId="7C667920" w14:textId="43708263"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From June 2016 to April 2020, we prospectively enrolled patients who underwent gastroscopy for epigastric symptoms, diagnostic work-up for gastric neoplasia, and gastric cancer screening. Before endoscopic examination, all patients had the informed consents about the evaluation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status and gastric precancerous conditions. We performed a complete blood cell count, blood chemistry assays, coagulation test, chest X-ray, and electrocardiogram. The exclusion criteria were: Age &lt; 20 or &gt; 80 years, anemia, severe systemic disease, current use of proton pump inhibitors, history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eradication, and history of gastric surgery. The study protocol was approved by the Institutional Review Board of our hospital (SCHUH 2016-05-001) and was registered at ClinicalTrials.gov (NCT04489030). </w:t>
      </w:r>
    </w:p>
    <w:p w14:paraId="0241B1B2" w14:textId="77777777" w:rsidR="00A77B3E" w:rsidRPr="00FF7E88" w:rsidRDefault="00A77B3E" w:rsidP="00FF7E88">
      <w:pPr>
        <w:spacing w:line="360" w:lineRule="auto"/>
        <w:jc w:val="both"/>
        <w:rPr>
          <w:rFonts w:ascii="Book Antiqua" w:hAnsi="Book Antiqua"/>
        </w:rPr>
      </w:pPr>
    </w:p>
    <w:p w14:paraId="2D4AB0E3" w14:textId="687C681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 xml:space="preserve">Endoscopic equipment and procedure </w:t>
      </w:r>
    </w:p>
    <w:p w14:paraId="2570C94A" w14:textId="2BA4541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Endoscopic procedures were performed using a high-resolution endoscope (GIF-H260Z, H290Z; Olympus, Tokyo, Japan). The whole stomach was examined in a routine manner by a single experienced endoscopist (Cho JH). First, we performed close-up observation of the mucosal patterns at the greater curvature of the middle or lower corpus </w:t>
      </w:r>
      <w:r w:rsidRPr="00FF7E88">
        <w:rPr>
          <w:rFonts w:ascii="Book Antiqua" w:eastAsia="Book Antiqua" w:hAnsi="Book Antiqua" w:cs="Book Antiqua"/>
          <w:i/>
          <w:iCs/>
          <w:color w:val="000000"/>
        </w:rPr>
        <w:t>via</w:t>
      </w:r>
      <w:r w:rsidRPr="00FF7E88">
        <w:rPr>
          <w:rFonts w:ascii="Book Antiqua" w:eastAsia="Book Antiqua" w:hAnsi="Book Antiqua" w:cs="Book Antiqua"/>
          <w:color w:val="000000"/>
        </w:rPr>
        <w:t xml:space="preserve"> non-magnified white-light imaging in structural enhancement mode A5. We captured endoscopic images while maintaining a distance of ≤ 10 mm between the endoscope tip and mucosal surface. We previously classified abnormal mucosal patterns using a simple standard endoscopy technique (Figure 1)</w:t>
      </w:r>
      <w:r w:rsidRPr="00FF7E88">
        <w:rPr>
          <w:rFonts w:ascii="Book Antiqua" w:eastAsia="Book Antiqua" w:hAnsi="Book Antiqua" w:cs="Book Antiqua"/>
          <w:color w:val="000000"/>
          <w:vertAlign w:val="superscript"/>
        </w:rPr>
        <w:t>[12]</w:t>
      </w:r>
      <w:r w:rsidRPr="00FF7E88">
        <w:rPr>
          <w:rFonts w:ascii="Book Antiqua" w:eastAsia="Book Antiqua" w:hAnsi="Book Antiqua" w:cs="Book Antiqua"/>
          <w:color w:val="000000"/>
        </w:rPr>
        <w:t>. When a regular arrangement of numerous minute red dots (normal pattern) was absent, abnormal patterns were categorized as mosaic-like appearance (type A), diffuse homogenous redness (type B), or irregular redness with groove (type C). After completing the mucosal examination by standard endoscopy, the greater curvature side of the gastric corpus was observed by M-NBI. Before the procedure, a soft black hood was attached to the endoscope tip to fix the distance between the endoscope tip and mucosal surface to about 2 mm. When white-light endoscopic image was magnified 80-fold (Supplementary Figure 1), we pressed the NBI button on the handle for the enhanced visualization of mucosal structures and microvessels</w:t>
      </w:r>
      <w:r w:rsidRPr="00FF7E88">
        <w:rPr>
          <w:rFonts w:ascii="Book Antiqua" w:eastAsia="Book Antiqua" w:hAnsi="Book Antiqua" w:cs="Book Antiqua"/>
          <w:color w:val="000000"/>
          <w:vertAlign w:val="superscript"/>
        </w:rPr>
        <w:t>[14]</w:t>
      </w:r>
      <w:r w:rsidRPr="00FF7E88">
        <w:rPr>
          <w:rFonts w:ascii="Book Antiqua" w:eastAsia="Book Antiqua" w:hAnsi="Book Antiqua" w:cs="Book Antiqua"/>
          <w:color w:val="000000"/>
        </w:rPr>
        <w:t>. NBI was set in enhancement mode A7 and color mode 2. Next, we classified the M-NBI still images as normal or one of three abnormal patterns according to Yagi’s classification (Figure 2)</w:t>
      </w:r>
      <w:r w:rsidRPr="00FF7E88">
        <w:rPr>
          <w:rFonts w:ascii="Book Antiqua" w:eastAsia="Book Antiqua" w:hAnsi="Book Antiqua" w:cs="Book Antiqua"/>
          <w:color w:val="000000"/>
          <w:vertAlign w:val="superscript"/>
        </w:rPr>
        <w:t>[15]</w:t>
      </w:r>
      <w:r w:rsidRPr="00FF7E88">
        <w:rPr>
          <w:rFonts w:ascii="Book Antiqua" w:eastAsia="Book Antiqua" w:hAnsi="Book Antiqua" w:cs="Book Antiqua"/>
          <w:color w:val="000000"/>
        </w:rPr>
        <w:t xml:space="preserve">. A regular arrangement of collecting venules (RAC) and honeycomb-like subepithelial capillary network was considered a normal pattern. If RAC was not visualized by M-NBI endoscopy, abnormal mucosal patterns were classified as regular round pits with polygonal sulci (type Z-1), more dilated and linear pits without sulci (type Z-2), or loss of gastric pits with coiled vessels (type Z-3). In cases of mixed mucosal patterns, the most prominent was reported after discussion with another expert endoscopist (Jeon SR). </w:t>
      </w:r>
    </w:p>
    <w:p w14:paraId="72E6D7AC" w14:textId="77777777" w:rsidR="00A77B3E" w:rsidRPr="00FF7E88" w:rsidRDefault="00A77B3E" w:rsidP="00FF7E88">
      <w:pPr>
        <w:spacing w:line="360" w:lineRule="auto"/>
        <w:jc w:val="both"/>
        <w:rPr>
          <w:rFonts w:ascii="Book Antiqua" w:hAnsi="Book Antiqua"/>
        </w:rPr>
      </w:pPr>
    </w:p>
    <w:p w14:paraId="4650320C" w14:textId="0B6ED95B"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Evaluation of H. pylori infection and gastric precancerous conditions</w:t>
      </w:r>
    </w:p>
    <w:p w14:paraId="0D9CCEC7" w14:textId="16F09506"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To increase the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 xml:space="preserve">detection rate, a biopsy was taken from the greater curvature of the gastric corpus.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infection status was confirmed by rapid urease test (Pronto Dry; Gastrex Sarl, Gilly les Citeaux, France) or molecular test (Seeplex</w:t>
      </w:r>
      <w:r w:rsidRPr="00FF7E88">
        <w:rPr>
          <w:rFonts w:ascii="Book Antiqua" w:eastAsia="Book Antiqua" w:hAnsi="Book Antiqua" w:cs="Book Antiqua"/>
          <w:color w:val="000000"/>
          <w:vertAlign w:val="superscript"/>
        </w:rPr>
        <w:t>®</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-ClaR ACE Detection; Seegene Inc., Seoul, South Korea). For the histological assessment of glandular atrophy and IM, biopsy specimens were obtained from the lesser curvature of the gastric antrum and corpus. The specimens were fixed in 10% formalin and embedded in paraffin wax, and 5-μm sections were stained with hematoxylin and eosin. The gastric atrophy was defined as loss of glandular tissue and scored on a four-point scale in accordance with the updated Sydney System</w:t>
      </w:r>
      <w:r w:rsidRPr="00FF7E88">
        <w:rPr>
          <w:rFonts w:ascii="Book Antiqua" w:eastAsia="Book Antiqua" w:hAnsi="Book Antiqua" w:cs="Book Antiqua"/>
          <w:color w:val="000000"/>
          <w:vertAlign w:val="superscript"/>
        </w:rPr>
        <w:t>[16]</w:t>
      </w:r>
      <w:r w:rsidRPr="00FF7E88">
        <w:rPr>
          <w:rFonts w:ascii="Book Antiqua" w:eastAsia="Book Antiqua" w:hAnsi="Book Antiqua" w:cs="Book Antiqua"/>
          <w:color w:val="000000"/>
        </w:rPr>
        <w:t>. The degree of atrophy was classified as mild (1-2), moderate (3-4), or severe (5-6) by summing the scores of the antrum (score 0-3) and corpus (score 0-3). IM was diagnosed by the presence of goblet cells in foveolar epithelium</w:t>
      </w:r>
      <w:r w:rsidRPr="00FF7E88">
        <w:rPr>
          <w:rFonts w:ascii="Book Antiqua" w:eastAsia="Book Antiqua" w:hAnsi="Book Antiqua" w:cs="Book Antiqua"/>
          <w:color w:val="000000"/>
          <w:vertAlign w:val="superscript"/>
        </w:rPr>
        <w:t>[17]</w:t>
      </w:r>
      <w:r w:rsidRPr="00FF7E88">
        <w:rPr>
          <w:rFonts w:ascii="Book Antiqua" w:eastAsia="Book Antiqua" w:hAnsi="Book Antiqua" w:cs="Book Antiqua"/>
          <w:color w:val="000000"/>
        </w:rPr>
        <w:t xml:space="preserve">. The pathological examination was performed by an expert pathologist (Jin SY), who was blinded to the patients’ data and endoscopic findings. </w:t>
      </w:r>
    </w:p>
    <w:p w14:paraId="53B568A8" w14:textId="3A75759F"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Before endoscopy, blood samples were collected during a 12-h fasting period. Blood samples were immediately centrifuged at 4 °C and stored at -70 °C until required. Serum pepsinogen (PG) I and PG II levels were measured by latex turbidimetric immunoassay (HiSens; HBI, Anyang, South Korea), and the PG I/II ratio was calculated</w:t>
      </w:r>
      <w:r w:rsidRPr="00FF7E88">
        <w:rPr>
          <w:rFonts w:ascii="Book Antiqua" w:eastAsia="Book Antiqua" w:hAnsi="Book Antiqua" w:cs="Book Antiqua"/>
          <w:color w:val="000000"/>
          <w:vertAlign w:val="superscript"/>
        </w:rPr>
        <w:t>[18]</w:t>
      </w:r>
      <w:r w:rsidRPr="00FF7E88">
        <w:rPr>
          <w:rFonts w:ascii="Book Antiqua" w:eastAsia="Book Antiqua" w:hAnsi="Book Antiqua" w:cs="Book Antiqua"/>
          <w:color w:val="000000"/>
        </w:rPr>
        <w:t>. A serum PG I level of ≤ 70 ng/mL and PG I/II ratio of ≤ 3 are highly associated with extensive atrophic gastritis</w:t>
      </w:r>
      <w:r w:rsidRPr="00FF7E88">
        <w:rPr>
          <w:rFonts w:ascii="Book Antiqua" w:eastAsia="Book Antiqua" w:hAnsi="Book Antiqua" w:cs="Book Antiqua"/>
          <w:color w:val="000000"/>
          <w:vertAlign w:val="superscript"/>
        </w:rPr>
        <w:t>[19]</w:t>
      </w:r>
      <w:r w:rsidRPr="00FF7E88">
        <w:rPr>
          <w:rFonts w:ascii="Book Antiqua" w:eastAsia="Book Antiqua" w:hAnsi="Book Antiqua" w:cs="Book Antiqua"/>
          <w:color w:val="000000"/>
        </w:rPr>
        <w:t xml:space="preserve">. A cutoff PG I/II ratio of ≤ 3 was used to assess the risk of gastric precancerous conditions. </w:t>
      </w:r>
    </w:p>
    <w:p w14:paraId="717CCFFE" w14:textId="77777777" w:rsidR="00A77B3E" w:rsidRPr="00FF7E88" w:rsidRDefault="00A77B3E" w:rsidP="00FF7E88">
      <w:pPr>
        <w:spacing w:line="360" w:lineRule="auto"/>
        <w:jc w:val="both"/>
        <w:rPr>
          <w:rFonts w:ascii="Book Antiqua" w:hAnsi="Book Antiqua"/>
        </w:rPr>
      </w:pPr>
    </w:p>
    <w:p w14:paraId="3F0ED166" w14:textId="472E3006"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 xml:space="preserve">Statistical analysis </w:t>
      </w:r>
    </w:p>
    <w:p w14:paraId="368410DE" w14:textId="58215CB1"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Continuous data are presented as means and standard deviations and categorical data as numbers and percentages. The Pearson chi-squared test or linear-by-linear association was used to analyze categorical data. The sensitivity, specificity, positive predictive value (PPV), negative predictive value (NPV), and accuracy of the two endoscopic classifications were compared by McNemar test. Diagnostic performance was assessed by computing area under the curve (AUC) values. The adjusted odds ratios (ORs) of endoscopic mucosal patterns for predicting gastric precancerous conditions were calculated by logistic regression analysis. Statistical analysis was conducted using SPSS software (version 19.0; IBM Corp., Armonk, NY, United States). A value of </w:t>
      </w:r>
      <w:r w:rsidRPr="00FF7E88">
        <w:rPr>
          <w:rFonts w:ascii="Book Antiqua" w:eastAsia="Book Antiqua" w:hAnsi="Book Antiqua" w:cs="Book Antiqua"/>
          <w:i/>
          <w:iCs/>
          <w:color w:val="000000"/>
        </w:rPr>
        <w:t xml:space="preserve">P </w:t>
      </w:r>
      <w:r w:rsidRPr="00FF7E88">
        <w:rPr>
          <w:rFonts w:ascii="Book Antiqua" w:eastAsia="Book Antiqua" w:hAnsi="Book Antiqua" w:cs="Book Antiqua"/>
          <w:color w:val="000000"/>
        </w:rPr>
        <w:t xml:space="preserve">&lt; 0.05 was considered indicative of statistical significance. </w:t>
      </w:r>
    </w:p>
    <w:bookmarkEnd w:id="34"/>
    <w:bookmarkEnd w:id="35"/>
    <w:p w14:paraId="0387F430" w14:textId="77777777" w:rsidR="00A77B3E" w:rsidRPr="00FF7E88" w:rsidRDefault="00A77B3E" w:rsidP="00FF7E88">
      <w:pPr>
        <w:spacing w:line="360" w:lineRule="auto"/>
        <w:jc w:val="both"/>
        <w:rPr>
          <w:rFonts w:ascii="Book Antiqua" w:hAnsi="Book Antiqua"/>
        </w:rPr>
      </w:pPr>
    </w:p>
    <w:p w14:paraId="11AF7942"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RESULTS</w:t>
      </w:r>
    </w:p>
    <w:p w14:paraId="01D55B75" w14:textId="12EDE88A" w:rsidR="00A77B3E" w:rsidRPr="00FF7E88" w:rsidRDefault="00BE4730" w:rsidP="00FF7E88">
      <w:pPr>
        <w:spacing w:line="360" w:lineRule="auto"/>
        <w:jc w:val="both"/>
        <w:rPr>
          <w:rFonts w:ascii="Book Antiqua" w:hAnsi="Book Antiqua"/>
        </w:rPr>
      </w:pPr>
      <w:bookmarkStart w:id="36" w:name="OLE_LINK92"/>
      <w:bookmarkStart w:id="37" w:name="OLE_LINK93"/>
      <w:r w:rsidRPr="00FF7E88">
        <w:rPr>
          <w:rFonts w:ascii="Book Antiqua" w:eastAsia="Book Antiqua" w:hAnsi="Book Antiqua" w:cs="Book Antiqua"/>
          <w:b/>
          <w:bCs/>
          <w:i/>
          <w:iCs/>
          <w:color w:val="000000"/>
        </w:rPr>
        <w:t xml:space="preserve">Characteristics of the study population </w:t>
      </w:r>
    </w:p>
    <w:p w14:paraId="71223DCA" w14:textId="14CB0B31"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A total of 254 patients was eligible for the study (Table 1). The mean age was 45.9 (± 14.6) years and the proportion of male patients was 46.9%. The most frequent endoscopic findings were chronic active gastritis (53.1%), peptic ulcer (4.3%), gastric neoplasia (9.8%), and non-neoplastic polyp (7.5%). Current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was confirmed in 64.2% of the patients. According to the degree of gastric atrophy, 117 patients (66.9%) were classified into the none/mild atrophy group, 37 (21.1%) into the moderate atrophy group, and 21 (12.0%) into the severe atrophy group. Regarding the extent of IM, 115 patients (65.7%) had no IM in the antrum or corpus, and 22 (12.6%) and 38 (21.7%) patients had IM in the antrum only and in both the antrum and the corpus, respectively. The mean serum PG I and PG II concentrations and PG I/II ratio were 64.4 ± 32.4 ng/mL, 20.5 ± 14.7 ng/mL, and 4.11 ± 2.2, respectively. The mean serum gastrin concentration was 123.1 ± 149.9 pg/mL. </w:t>
      </w:r>
    </w:p>
    <w:p w14:paraId="49A9679E" w14:textId="77777777" w:rsidR="00A77B3E" w:rsidRPr="00FF7E88" w:rsidRDefault="00A77B3E" w:rsidP="00FF7E88">
      <w:pPr>
        <w:spacing w:line="360" w:lineRule="auto"/>
        <w:jc w:val="both"/>
        <w:rPr>
          <w:rFonts w:ascii="Book Antiqua" w:hAnsi="Book Antiqua"/>
        </w:rPr>
      </w:pPr>
    </w:p>
    <w:p w14:paraId="264BFEFC" w14:textId="4BFEC1B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 xml:space="preserve">Diagnostic performance of standard and M-NBI endoscopy </w:t>
      </w:r>
    </w:p>
    <w:p w14:paraId="4C81D800" w14:textId="305E72AB"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By standard endoscopy, the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rate was 91.5%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43/47) for type A,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84/84) for type B, and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23/23) for type C (Table 2). By M-NBI endoscopy, the proportion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was 97.6%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124/127) for type Z-1, 96.3%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26/27) for type Z</w:t>
      </w:r>
      <w:r w:rsidRPr="00FF7E88">
        <w:rPr>
          <w:rFonts w:ascii="Book Antiqua" w:eastAsia="Book Antiqua" w:hAnsi="Book Antiqua" w:cs="Book Antiqua"/>
          <w:color w:val="000000"/>
        </w:rPr>
        <w:noBreakHyphen/>
        <w:t>2, and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7/7) for type Z-3. The rate of advanced gastritis was calculated according to the endoscopic mucosal pattern among 175 patients whose samples were subjected to pathologic examination. Moderate to severe gastric atrophy and the presence of IM in the corpus were considered to be advanced gastritis with a high risk of gastric cancer. By standard endoscopy, the proportions of patients with moderate to severe atrophy were 27.3%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9/33) for type A, 74.0%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37/50) for type B, and 50.0%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10/20) for type C. By M-NBI endoscopy, the proportions of patients with moderate to severe atrophy were 45.9%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39/85) for type Z-1, 88.2%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15/17) for type Z-2, and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4/4) for type Z-3. If the gastric mucosal pattern was normal, however, the rate of moderate to severe atrophy was 2.8%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2/72) by standard endoscopy and 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0/69) by M-NBI endoscopy. Similarly, the rate of IM in the corpus differed significantly between normal and abnormal mucosal patterns by both standard (types A+B+C, </w:t>
      </w:r>
      <w:r w:rsidRPr="00FF7E88">
        <w:rPr>
          <w:rFonts w:ascii="Book Antiqua" w:eastAsia="Book Antiqua" w:hAnsi="Book Antiqua" w:cs="Book Antiqua"/>
          <w:i/>
          <w:iCs/>
          <w:color w:val="000000"/>
        </w:rPr>
        <w:t xml:space="preserve">P </w:t>
      </w:r>
      <w:r w:rsidRPr="00FF7E88">
        <w:rPr>
          <w:rFonts w:ascii="Book Antiqua" w:eastAsia="Book Antiqua" w:hAnsi="Book Antiqua" w:cs="Book Antiqua"/>
          <w:color w:val="000000"/>
        </w:rPr>
        <w:t>&lt; 0.001) and M-NBI endoscopy (types Z-1+Z-2</w:t>
      </w:r>
      <w:r w:rsidR="00391949" w:rsidRPr="00FF7E88">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+Z-3, </w:t>
      </w:r>
      <w:r w:rsidRPr="00FF7E88">
        <w:rPr>
          <w:rFonts w:ascii="Book Antiqua" w:eastAsia="Book Antiqua" w:hAnsi="Book Antiqua" w:cs="Book Antiqua"/>
          <w:i/>
          <w:iCs/>
          <w:color w:val="000000"/>
        </w:rPr>
        <w:t xml:space="preserve">P </w:t>
      </w:r>
      <w:r w:rsidRPr="00FF7E88">
        <w:rPr>
          <w:rFonts w:ascii="Book Antiqua" w:eastAsia="Book Antiqua" w:hAnsi="Book Antiqua" w:cs="Book Antiqua"/>
          <w:color w:val="000000"/>
        </w:rPr>
        <w:t xml:space="preserve">&lt; 0.001). </w:t>
      </w:r>
    </w:p>
    <w:p w14:paraId="2C48494C" w14:textId="26AE0B0F"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For the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the sensitivity of standard endoscopy was 92.0%, while the specificity was 95.6%, the PPV was 97.4%, the NPV was 87.0%, and the accuracy was 93.3%. The sensitivity of M-NBI endoscopy was 96.3%, while the specificity was 95.6%, the PPV was 97.5%, the NPV was 93.5%, and the accuracy was 96.1%. The sensitivity of M-NBI endoscopy was significantly greater than that of standard endoscopy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 xml:space="preserve">0.016; Table 3). For the diagnosis of moderate to severe atrophy, the sensitivity of standard endoscopy was 96.6%, while the specificity was 59.8%, the PPV was 54.4%, the NPV was 97.2%, and the accuracy was 72.0%. The sensitivity of M-NBI endoscopy was 100%, while the specificity was 59.0%, the PPV was 54.7%, the NPV was 100%, and the accuracy was 72.6%. For diagnosis of IM in the corpus, the sensitivity of standard endoscopy was 97.4%, while the specificity was 51.8%, the PPV was 35.9%, the NPV was 98.6%, and the accuracy was 61.7%. The sensitivity of M-NBI endoscopy was 100%, while the specificity was 50.4%, the PPV was 35.8%, the NPV was 100%, and the accuracy was 61.1%. The diagnostic performance of standard and M-NBI endoscopy for moderate to severe atrophy and IM in the corpus was not significantly different. The AUC values of standard and M-NBI endoscopy were 0.93 and 0.96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0.78 and 0.79 for moderate to severe atrophy, and 0.74 and 0.75 for IM in the corpus, respectively. </w:t>
      </w:r>
    </w:p>
    <w:p w14:paraId="6C30C585" w14:textId="77777777" w:rsidR="00A77B3E" w:rsidRPr="00FF7E88" w:rsidRDefault="00A77B3E" w:rsidP="00FF7E88">
      <w:pPr>
        <w:spacing w:line="360" w:lineRule="auto"/>
        <w:jc w:val="both"/>
        <w:rPr>
          <w:rFonts w:ascii="Book Antiqua" w:hAnsi="Book Antiqua"/>
        </w:rPr>
      </w:pPr>
    </w:p>
    <w:p w14:paraId="43C015C2" w14:textId="15868AA1"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i/>
          <w:iCs/>
          <w:color w:val="000000"/>
        </w:rPr>
        <w:t xml:space="preserve">Association of endoscopic patterns with gastric precancerous conditions </w:t>
      </w:r>
    </w:p>
    <w:p w14:paraId="3B0F9808" w14:textId="074039F3"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Table 4 shows the relationships between endoscopic mucosal patterns and a serum PG I/II ratio of ≤ 3. Among 127 patients who underwent measurement of serum PG concentration, 44.1%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56) had a PG I/II ratio of ≤ 3. Of patients with a normal mucosal pattern, the rate of a PG I/II ratio of ≤ 3 was 2.6%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1/39) by standard endoscopy and 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0/36) by M-NBI endoscopy. By standard endoscopy, the rate of a PG I/II ratio of ≤ 3 was 36.0%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9/25) for type A, 71.7%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33/46) for type B, and 76.5%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13/17) for type C. By M-NBI endoscopy, the rate of a PG I/II ratio of ≤ 3 was 54.2%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39/72) for type Z-1, 86.7%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13/15) for type Z-2, and 100%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4/4) for type Z-3. The rate of a PG I/II ratio of ≤ 3 differed between normal and abnormal mucosal patterns according to two endoscopic classifications (</w:t>
      </w:r>
      <w:r w:rsidRPr="00FF7E88">
        <w:rPr>
          <w:rFonts w:ascii="Book Antiqua" w:eastAsia="Book Antiqua" w:hAnsi="Book Antiqua" w:cs="Book Antiqua"/>
          <w:i/>
          <w:iCs/>
          <w:color w:val="000000"/>
        </w:rPr>
        <w:t xml:space="preserve">P </w:t>
      </w:r>
      <w:r w:rsidRPr="00FF7E88">
        <w:rPr>
          <w:rFonts w:ascii="Book Antiqua" w:eastAsia="Book Antiqua" w:hAnsi="Book Antiqua" w:cs="Book Antiqua"/>
          <w:color w:val="000000"/>
        </w:rPr>
        <w:t xml:space="preserve">&lt; 0.001). </w:t>
      </w:r>
    </w:p>
    <w:p w14:paraId="60483B9A" w14:textId="4448CCA3"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The age- and sex-adjusted ORs of abnormal mucosal patterns for gastric precancerous conditions were calculated by logistic regression analyses (Table 5). Compared to type A, the OR for moderate to severe atrophy was 5.56 </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95% confidence interval </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CI</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2.07</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14.92,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0.001</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for types B+C. Compared to type Z-1, the OR for moderate to severe atrophy was 8.67 (95%CI</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1.82–41.30,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0.007) for types Z-2+Z-3. Compared to type A, the OR for a serum PG I/II ratio of ≤ 3 was 4.48 (95%CI</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1.60</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12.54,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0.004) for types B+C. Compared to type Z-1, the OR for a serum PG I/II ratio of ≤ 3 was 5.69 (95%CI</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1.19</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27.18,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 xml:space="preserve">0.029) for types Z-2+Z-3. For IM in the corpus, there was no significant difference in abnormal mucosal patterns according to two endoscopic classifications (type A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types B+C,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 xml:space="preserve">0.189; and type Z-1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types Z</w:t>
      </w:r>
      <w:r w:rsidRPr="00FF7E88">
        <w:rPr>
          <w:rFonts w:ascii="Book Antiqua" w:eastAsia="Book Antiqua" w:hAnsi="Book Antiqua" w:cs="Book Antiqua"/>
          <w:color w:val="000000"/>
        </w:rPr>
        <w:noBreakHyphen/>
        <w:t xml:space="preserve">2+Z-3, </w:t>
      </w:r>
      <w:r w:rsidRPr="00FF7E88">
        <w:rPr>
          <w:rFonts w:ascii="Book Antiqua" w:eastAsia="Book Antiqua" w:hAnsi="Book Antiqua" w:cs="Book Antiqua"/>
          <w:i/>
          <w:iCs/>
          <w:color w:val="000000"/>
        </w:rPr>
        <w:t xml:space="preserve">P = </w:t>
      </w:r>
      <w:r w:rsidRPr="00FF7E88">
        <w:rPr>
          <w:rFonts w:ascii="Book Antiqua" w:eastAsia="Book Antiqua" w:hAnsi="Book Antiqua" w:cs="Book Antiqua"/>
          <w:color w:val="000000"/>
        </w:rPr>
        <w:t xml:space="preserve">0.162, respectively). </w:t>
      </w:r>
    </w:p>
    <w:bookmarkEnd w:id="36"/>
    <w:bookmarkEnd w:id="37"/>
    <w:p w14:paraId="4E2374D6" w14:textId="77777777" w:rsidR="00A77B3E" w:rsidRPr="00FF7E88" w:rsidRDefault="00A77B3E" w:rsidP="00FF7E88">
      <w:pPr>
        <w:spacing w:line="360" w:lineRule="auto"/>
        <w:jc w:val="both"/>
        <w:rPr>
          <w:rFonts w:ascii="Book Antiqua" w:hAnsi="Book Antiqua"/>
        </w:rPr>
      </w:pPr>
    </w:p>
    <w:p w14:paraId="4146132E"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DISCUSSION</w:t>
      </w:r>
    </w:p>
    <w:p w14:paraId="385A9298" w14:textId="18FEE289" w:rsidR="00A77B3E" w:rsidRPr="00FF7E88" w:rsidRDefault="00BE4730" w:rsidP="00FF7E88">
      <w:pPr>
        <w:spacing w:line="360" w:lineRule="auto"/>
        <w:jc w:val="both"/>
        <w:rPr>
          <w:rFonts w:ascii="Book Antiqua" w:hAnsi="Book Antiqua"/>
        </w:rPr>
      </w:pPr>
      <w:bookmarkStart w:id="38" w:name="OLE_LINK94"/>
      <w:bookmarkStart w:id="39" w:name="OLE_LINK95"/>
      <w:r w:rsidRPr="00FF7E88">
        <w:rPr>
          <w:rFonts w:ascii="Book Antiqua" w:eastAsia="Book Antiqua" w:hAnsi="Book Antiqua" w:cs="Book Antiqua"/>
          <w:color w:val="000000"/>
        </w:rPr>
        <w:t>Pathological examination plays an important role in the diagnosis of gastrointestinal diseases by endoscopy</w:t>
      </w:r>
      <w:r w:rsidRPr="00FF7E88">
        <w:rPr>
          <w:rFonts w:ascii="Book Antiqua" w:eastAsia="Book Antiqua" w:hAnsi="Book Antiqua" w:cs="Book Antiqua"/>
          <w:color w:val="000000"/>
          <w:vertAlign w:val="superscript"/>
        </w:rPr>
        <w:t>[20]</w:t>
      </w:r>
      <w:r w:rsidRPr="00FF7E88">
        <w:rPr>
          <w:rFonts w:ascii="Book Antiqua" w:eastAsia="Book Antiqua" w:hAnsi="Book Antiqua" w:cs="Book Antiqua"/>
          <w:color w:val="000000"/>
        </w:rPr>
        <w:t>. Endoscopists tend to focus on detecting abnormal lesions, and macroscopic examination by conventional endoscopy has limitations for characterizing mucosal lesions. Therefore, the final diagnosis of detected lesions is dependent on the pathological report. To identify those at risk of gastric cancer, the presence of precancerous conditions is evaluated by non-targeted protocol-guided biopsies in different areas</w:t>
      </w:r>
      <w:r w:rsidRPr="00FF7E88">
        <w:rPr>
          <w:rFonts w:ascii="Book Antiqua" w:eastAsia="Book Antiqua" w:hAnsi="Book Antiqua" w:cs="Book Antiqua"/>
          <w:color w:val="000000"/>
          <w:vertAlign w:val="superscript"/>
        </w:rPr>
        <w:t>[21]</w:t>
      </w:r>
      <w:r w:rsidRPr="00FF7E88">
        <w:rPr>
          <w:rFonts w:ascii="Book Antiqua" w:eastAsia="Book Antiqua" w:hAnsi="Book Antiqua" w:cs="Book Antiqua"/>
          <w:color w:val="000000"/>
        </w:rPr>
        <w:t xml:space="preserve">. However, multiple mucosal biopsies increase medical costs and the procedure time. </w:t>
      </w:r>
    </w:p>
    <w:p w14:paraId="05B6A49E" w14:textId="1540E7D0"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High-resolution and high-magnification endoscopy facilitate detailed examination of the gastrointestinal mucosa</w:t>
      </w:r>
      <w:r w:rsidRPr="00FF7E88">
        <w:rPr>
          <w:rFonts w:ascii="Book Antiqua" w:eastAsia="Book Antiqua" w:hAnsi="Book Antiqua" w:cs="Book Antiqua"/>
          <w:color w:val="000000"/>
          <w:vertAlign w:val="superscript"/>
        </w:rPr>
        <w:t>[22]</w:t>
      </w:r>
      <w:r w:rsidRPr="00FF7E88">
        <w:rPr>
          <w:rFonts w:ascii="Book Antiqua" w:eastAsia="Book Antiqua" w:hAnsi="Book Antiqua" w:cs="Book Antiqua"/>
          <w:color w:val="000000"/>
        </w:rPr>
        <w:t xml:space="preserve">. In 2002, Yagi </w:t>
      </w:r>
      <w:r w:rsidRPr="00FF7E88">
        <w:rPr>
          <w:rFonts w:ascii="Book Antiqua" w:eastAsia="Book Antiqua" w:hAnsi="Book Antiqua" w:cs="Book Antiqua"/>
          <w:i/>
          <w:iCs/>
          <w:color w:val="000000"/>
        </w:rPr>
        <w:t>et al</w:t>
      </w:r>
      <w:r w:rsidRPr="00FF7E88">
        <w:rPr>
          <w:rFonts w:ascii="Book Antiqua" w:eastAsia="Book Antiqua" w:hAnsi="Book Antiqua" w:cs="Book Antiqua"/>
          <w:color w:val="000000"/>
          <w:vertAlign w:val="superscript"/>
        </w:rPr>
        <w:t>[23]</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used magnifying endoscopy to show that RAC was a characteristic finding in the normal stomach without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Abnormal mucosal patterns without RAC were classified as Z-1 to Z-3 in accordance with the degree of mucosal damage in the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–infected stomach</w:t>
      </w:r>
      <w:r w:rsidRPr="00FF7E88">
        <w:rPr>
          <w:rFonts w:ascii="Book Antiqua" w:eastAsia="Book Antiqua" w:hAnsi="Book Antiqua" w:cs="Book Antiqua"/>
          <w:color w:val="000000"/>
          <w:vertAlign w:val="superscript"/>
        </w:rPr>
        <w:t>[24]</w:t>
      </w:r>
      <w:r w:rsidRPr="00FF7E88">
        <w:rPr>
          <w:rFonts w:ascii="Book Antiqua" w:eastAsia="Book Antiqua" w:hAnsi="Book Antiqua" w:cs="Book Antiqua"/>
          <w:color w:val="000000"/>
        </w:rPr>
        <w:t xml:space="preserve">. Anagnostopoulos </w:t>
      </w:r>
      <w:r w:rsidRPr="00FF7E88">
        <w:rPr>
          <w:rFonts w:ascii="Book Antiqua" w:eastAsia="Book Antiqua" w:hAnsi="Book Antiqua" w:cs="Book Antiqua"/>
          <w:i/>
          <w:iCs/>
          <w:color w:val="000000"/>
        </w:rPr>
        <w:t>et al</w:t>
      </w:r>
      <w:r w:rsidRPr="00FF7E88">
        <w:rPr>
          <w:rFonts w:ascii="Book Antiqua" w:eastAsia="Book Antiqua" w:hAnsi="Book Antiqua" w:cs="Book Antiqua"/>
          <w:color w:val="000000"/>
          <w:vertAlign w:val="superscript"/>
        </w:rPr>
        <w:t>[25]</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demonstrated that magnifying endoscopic examination could identify normal gastric mucosa,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–related gastritis, and gastric atrophy in a Western population. The severity of chronic gastritis has been investigated based on the micro-mucosal patterns observed by M-NBI</w:t>
      </w:r>
      <w:r w:rsidRPr="00FF7E88">
        <w:rPr>
          <w:rFonts w:ascii="Book Antiqua" w:eastAsia="Book Antiqua" w:hAnsi="Book Antiqua" w:cs="Book Antiqua"/>
          <w:color w:val="000000"/>
          <w:vertAlign w:val="superscript"/>
        </w:rPr>
        <w:t>[26]</w:t>
      </w:r>
      <w:r w:rsidRPr="00FF7E88">
        <w:rPr>
          <w:rFonts w:ascii="Book Antiqua" w:eastAsia="Book Antiqua" w:hAnsi="Book Antiqua" w:cs="Book Antiqua"/>
          <w:color w:val="000000"/>
        </w:rPr>
        <w:t xml:space="preserve">. Kanzaki </w:t>
      </w:r>
      <w:r w:rsidRPr="00FF7E88">
        <w:rPr>
          <w:rFonts w:ascii="Book Antiqua" w:eastAsia="Book Antiqua" w:hAnsi="Book Antiqua" w:cs="Book Antiqua"/>
          <w:i/>
          <w:iCs/>
          <w:color w:val="000000"/>
        </w:rPr>
        <w:t>et al</w:t>
      </w:r>
      <w:r w:rsidRPr="00FF7E88">
        <w:rPr>
          <w:rFonts w:ascii="Book Antiqua" w:eastAsia="Book Antiqua" w:hAnsi="Book Antiqua" w:cs="Book Antiqua"/>
          <w:color w:val="000000"/>
          <w:vertAlign w:val="superscript"/>
        </w:rPr>
        <w:t>[27]</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reported that groove-type mucosa had a higher grade of atrophy and IM compared to foveolar-type mucosa. However, M-NBI endoscopy is not available in all endoscopy units and training program is required prior to its clinical application</w:t>
      </w:r>
      <w:r w:rsidRPr="00FF7E88">
        <w:rPr>
          <w:rFonts w:ascii="Book Antiqua" w:eastAsia="Book Antiqua" w:hAnsi="Book Antiqua" w:cs="Book Antiqua"/>
          <w:color w:val="000000"/>
          <w:vertAlign w:val="superscript"/>
        </w:rPr>
        <w:t>[28]</w:t>
      </w:r>
      <w:r w:rsidRPr="00FF7E88">
        <w:rPr>
          <w:rFonts w:ascii="Book Antiqua" w:eastAsia="Book Antiqua" w:hAnsi="Book Antiqua" w:cs="Book Antiqua"/>
          <w:color w:val="000000"/>
        </w:rPr>
        <w:t>.</w:t>
      </w:r>
      <w:r w:rsidRPr="00FF7E88">
        <w:rPr>
          <w:rFonts w:ascii="Book Antiqua" w:eastAsia="Book Antiqua" w:hAnsi="Book Antiqua" w:cs="Book Antiqua"/>
          <w:color w:val="000000"/>
          <w:vertAlign w:val="superscript"/>
        </w:rPr>
        <w:t xml:space="preserve"> </w:t>
      </w:r>
    </w:p>
    <w:p w14:paraId="4AD5FB3E" w14:textId="0CEEA611"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In a previous study, we determined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status by close observation of the gastric corpus mucosa by high-resolution endoscopy without magnification</w:t>
      </w:r>
      <w:r w:rsidRPr="00FF7E88">
        <w:rPr>
          <w:rFonts w:ascii="Book Antiqua" w:eastAsia="Book Antiqua" w:hAnsi="Book Antiqua" w:cs="Book Antiqua"/>
          <w:color w:val="000000"/>
          <w:vertAlign w:val="superscript"/>
        </w:rPr>
        <w:t>[12]</w:t>
      </w:r>
      <w:r w:rsidRPr="00FF7E88">
        <w:rPr>
          <w:rFonts w:ascii="Book Antiqua" w:eastAsia="Book Antiqua" w:hAnsi="Book Antiqua" w:cs="Book Antiqua"/>
          <w:color w:val="000000"/>
        </w:rPr>
        <w:t xml:space="preserve">. The sensitivity and specificity of all abnormal patterns for predicting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were 93.3% and 89.1%, respectively, and the overall diagnostic accuracy was 91.6%. The inter- and intra-observer agreement for the endoscopic mucosal patterns was 91.7% and 90.0%, respectively. This simplified endoscopic technique has enabled reliable prediction of gastric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in other countries</w:t>
      </w:r>
      <w:r w:rsidRPr="00FF7E88">
        <w:rPr>
          <w:rFonts w:ascii="Book Antiqua" w:eastAsia="Book Antiqua" w:hAnsi="Book Antiqua" w:cs="Book Antiqua"/>
          <w:color w:val="000000"/>
          <w:vertAlign w:val="superscript"/>
        </w:rPr>
        <w:t>[29,30]</w:t>
      </w:r>
      <w:r w:rsidRPr="00FF7E88">
        <w:rPr>
          <w:rFonts w:ascii="Book Antiqua" w:eastAsia="Book Antiqua" w:hAnsi="Book Antiqua" w:cs="Book Antiqua"/>
          <w:color w:val="000000"/>
        </w:rPr>
        <w:t>. Recent advances in endoscopic imaging technology have increased the diagnostic accuracy for</w:t>
      </w:r>
      <w:r w:rsidRPr="00FF7E88">
        <w:rPr>
          <w:rFonts w:ascii="Book Antiqua" w:eastAsia="Book Antiqua" w:hAnsi="Book Antiqua" w:cs="Book Antiqua"/>
          <w:i/>
          <w:iCs/>
          <w:color w:val="000000"/>
        </w:rPr>
        <w:t xml:space="preserve"> H. pylori</w:t>
      </w:r>
      <w:r w:rsidRPr="00FF7E88">
        <w:rPr>
          <w:rFonts w:ascii="Book Antiqua" w:eastAsia="Book Antiqua" w:hAnsi="Book Antiqua" w:cs="Book Antiqua"/>
          <w:color w:val="000000"/>
        </w:rPr>
        <w:t xml:space="preserve"> infection</w:t>
      </w:r>
      <w:r w:rsidRPr="00FF7E88">
        <w:rPr>
          <w:rFonts w:ascii="Book Antiqua" w:eastAsia="Book Antiqua" w:hAnsi="Book Antiqua" w:cs="Book Antiqua"/>
          <w:color w:val="000000"/>
          <w:vertAlign w:val="superscript"/>
        </w:rPr>
        <w:t>[13,31]</w:t>
      </w:r>
      <w:r w:rsidRPr="00FF7E88">
        <w:rPr>
          <w:rFonts w:ascii="Book Antiqua" w:eastAsia="Book Antiqua" w:hAnsi="Book Antiqua" w:cs="Book Antiqua"/>
          <w:color w:val="000000"/>
        </w:rPr>
        <w:t xml:space="preserve">. To our knowledge, this is the first study comparing diagnostic performance between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We also analyzed the degree of gastric atrophy, IM, and serum PG levels according to two endoscopic classifications. A decrease in the serum PG I/II ratio is reportedly a non-invasive marker for advanced corpus gastritis and gastric cancer</w:t>
      </w:r>
      <w:r w:rsidRPr="00FF7E88">
        <w:rPr>
          <w:rFonts w:ascii="Book Antiqua" w:eastAsia="Book Antiqua" w:hAnsi="Book Antiqua" w:cs="Book Antiqua"/>
          <w:color w:val="000000"/>
          <w:vertAlign w:val="superscript"/>
        </w:rPr>
        <w:t>[32,33]</w:t>
      </w:r>
      <w:r w:rsidRPr="00FF7E88">
        <w:rPr>
          <w:rFonts w:ascii="Book Antiqua" w:eastAsia="Book Antiqua" w:hAnsi="Book Antiqua" w:cs="Book Antiqua"/>
          <w:color w:val="000000"/>
        </w:rPr>
        <w:t xml:space="preserve">. Wang </w:t>
      </w:r>
      <w:r w:rsidRPr="00FF7E88">
        <w:rPr>
          <w:rFonts w:ascii="Book Antiqua" w:eastAsia="Book Antiqua" w:hAnsi="Book Antiqua" w:cs="Book Antiqua"/>
          <w:i/>
          <w:iCs/>
          <w:color w:val="000000"/>
        </w:rPr>
        <w:t>et al</w:t>
      </w:r>
      <w:r w:rsidRPr="00FF7E88">
        <w:rPr>
          <w:rFonts w:ascii="Book Antiqua" w:eastAsia="Book Antiqua" w:hAnsi="Book Antiqua" w:cs="Book Antiqua"/>
          <w:color w:val="000000"/>
          <w:vertAlign w:val="superscript"/>
        </w:rPr>
        <w:t>[34]</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reported that the serum PG level was strongly correlated with the Operative Link for Gastritis Assessment (OLGA) and Operative Link for Gastric Intestinal Metaplasia (OLGIM) stage. Therefore, a serum PG I/II ratio of ≤ 3 is a serologic marker of gastric precancerous conditions. </w:t>
      </w:r>
    </w:p>
    <w:p w14:paraId="0E145C0F" w14:textId="052F40D5"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Except for sensitivity, the diagnostic performance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was similar between standard and M-NBI endoscopy. Seven patients with a normal pattern by standard endoscopy had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In contrast, these patients were classified as type Z-1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4), type Z-2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2), and type Z-3 (</w:t>
      </w:r>
      <w:r w:rsidRPr="00FF7E88">
        <w:rPr>
          <w:rFonts w:ascii="Book Antiqua" w:eastAsia="Book Antiqua" w:hAnsi="Book Antiqua" w:cs="Book Antiqua"/>
          <w:i/>
          <w:iCs/>
          <w:color w:val="000000"/>
        </w:rPr>
        <w:t>n</w:t>
      </w:r>
      <w:r w:rsidRPr="00FF7E88">
        <w:rPr>
          <w:rFonts w:ascii="Book Antiqua" w:eastAsia="Book Antiqua" w:hAnsi="Book Antiqua" w:cs="Book Antiqua"/>
          <w:color w:val="000000"/>
        </w:rPr>
        <w:t xml:space="preserve"> = 1) by M-NBI endoscopy. This is likely because of the ability of M-NBI to examine the superficial microanatomy of the areae gastricae and the pit pattern, which is not possible with standard endoscopy. Nevertheless, standard endoscopy may enable detection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in routine clinical practice (diagnostic accuracy, 93.3%). </w:t>
      </w:r>
    </w:p>
    <w:p w14:paraId="3E1C5975" w14:textId="0CA48392"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For diagnosis of gastric atrophy and IM, standard and M-NBI endoscopy had excellent sensitivity, NPV (&gt; 95%), and AUC (&gt; 0.7) values; however, the specificity and PPV values were not acceptable. According to the Kimura–Takemoto classification, gastric atrophy progresses more frequently along the lesser curvature than the greater curvature of the corpus</w:t>
      </w:r>
      <w:r w:rsidRPr="00FF7E88">
        <w:rPr>
          <w:rFonts w:ascii="Book Antiqua" w:eastAsia="Book Antiqua" w:hAnsi="Book Antiqua" w:cs="Book Antiqua"/>
          <w:color w:val="000000"/>
          <w:vertAlign w:val="superscript"/>
        </w:rPr>
        <w:t>[35]</w:t>
      </w:r>
      <w:r w:rsidRPr="00FF7E88">
        <w:rPr>
          <w:rFonts w:ascii="Book Antiqua" w:eastAsia="Book Antiqua" w:hAnsi="Book Antiqua" w:cs="Book Antiqua"/>
          <w:color w:val="000000"/>
        </w:rPr>
        <w:t>. When atrophic change extends into the anterior and posterior mucosa of the corpus, the topographic pattern of IM becomes more diffuse throughout the stomach</w:t>
      </w:r>
      <w:r w:rsidRPr="00FF7E88">
        <w:rPr>
          <w:rFonts w:ascii="Book Antiqua" w:eastAsia="Book Antiqua" w:hAnsi="Book Antiqua" w:cs="Book Antiqua"/>
          <w:color w:val="000000"/>
          <w:vertAlign w:val="superscript"/>
        </w:rPr>
        <w:t>[36]</w:t>
      </w:r>
      <w:r w:rsidRPr="00FF7E88">
        <w:rPr>
          <w:rFonts w:ascii="Book Antiqua" w:eastAsia="Book Antiqua" w:hAnsi="Book Antiqua" w:cs="Book Antiqua"/>
          <w:color w:val="000000"/>
        </w:rPr>
        <w:t>. In this study, we focused on the mucosal pattern in the greater curvature of the gastric corpus. Atrophy of the gastric mucosa and transformation to IM occur last at the greater curvature of the corpus, hampering evaluation of gastric precancerous conditions. A systematic screening protocol for the stomach has been developed to ensure high-quality endoscopic evaluation</w:t>
      </w:r>
      <w:r w:rsidRPr="00FF7E88">
        <w:rPr>
          <w:rFonts w:ascii="Book Antiqua" w:eastAsia="Book Antiqua" w:hAnsi="Book Antiqua" w:cs="Book Antiqua"/>
          <w:color w:val="000000"/>
          <w:vertAlign w:val="superscript"/>
        </w:rPr>
        <w:t>[37]</w:t>
      </w:r>
      <w:r w:rsidRPr="00FF7E88">
        <w:rPr>
          <w:rFonts w:ascii="Book Antiqua" w:eastAsia="Book Antiqua" w:hAnsi="Book Antiqua" w:cs="Book Antiqua"/>
          <w:color w:val="000000"/>
        </w:rPr>
        <w:t>, and enables detection of gastric atrophy and IM in various areas of the stomach</w:t>
      </w:r>
      <w:r w:rsidRPr="00FF7E88">
        <w:rPr>
          <w:rFonts w:ascii="Book Antiqua" w:eastAsia="Book Antiqua" w:hAnsi="Book Antiqua" w:cs="Book Antiqua"/>
          <w:color w:val="000000"/>
          <w:vertAlign w:val="superscript"/>
        </w:rPr>
        <w:t>[38]</w:t>
      </w:r>
      <w:r w:rsidRPr="00FF7E88">
        <w:rPr>
          <w:rFonts w:ascii="Book Antiqua" w:eastAsia="Book Antiqua" w:hAnsi="Book Antiqua" w:cs="Book Antiqua"/>
          <w:color w:val="000000"/>
        </w:rPr>
        <w:t xml:space="preserve">. Using NBI without magnification, </w:t>
      </w:r>
      <w:r w:rsidR="00391949" w:rsidRPr="00FF7E88">
        <w:rPr>
          <w:rFonts w:ascii="Book Antiqua" w:eastAsia="Book Antiqua" w:hAnsi="Book Antiqua" w:cs="Book Antiqua"/>
          <w:color w:val="000000"/>
        </w:rPr>
        <w:t>Pimentel-Nunes</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et al</w:t>
      </w:r>
      <w:r w:rsidRPr="00FF7E88">
        <w:rPr>
          <w:rFonts w:ascii="Book Antiqua" w:eastAsia="Book Antiqua" w:hAnsi="Book Antiqua" w:cs="Book Antiqua"/>
          <w:color w:val="000000"/>
          <w:vertAlign w:val="superscript"/>
        </w:rPr>
        <w:t>[39]</w:t>
      </w:r>
      <w:r w:rsidRPr="00956A92">
        <w:rPr>
          <w:rFonts w:ascii="Book Antiqua" w:eastAsia="Book Antiqua" w:hAnsi="Book Antiqua" w:cs="Book Antiqua"/>
          <w:color w:val="000000"/>
        </w:rPr>
        <w:t xml:space="preserve"> </w:t>
      </w:r>
      <w:r w:rsidRPr="00FF7E88">
        <w:rPr>
          <w:rFonts w:ascii="Book Antiqua" w:eastAsia="Book Antiqua" w:hAnsi="Book Antiqua" w:cs="Book Antiqua"/>
          <w:color w:val="000000"/>
        </w:rPr>
        <w:t>created an endoscopic classification to grade gastric IM; a tubulovillous mucosal pattern was highly concordant with histological IM. However, image-enhanced endoscopic findings for diagnosing and grading gastric atrophy remain to be established</w:t>
      </w:r>
      <w:r w:rsidRPr="00FF7E88">
        <w:rPr>
          <w:rFonts w:ascii="Book Antiqua" w:eastAsia="Book Antiqua" w:hAnsi="Book Antiqua" w:cs="Book Antiqua"/>
          <w:color w:val="000000"/>
          <w:vertAlign w:val="superscript"/>
        </w:rPr>
        <w:t>[40]</w:t>
      </w:r>
      <w:r w:rsidRPr="00FF7E88">
        <w:rPr>
          <w:rFonts w:ascii="Book Antiqua" w:eastAsia="Book Antiqua" w:hAnsi="Book Antiqua" w:cs="Book Antiqua"/>
          <w:color w:val="000000"/>
        </w:rPr>
        <w:t>.</w:t>
      </w:r>
      <w:r w:rsidRPr="00FF7E88">
        <w:rPr>
          <w:rFonts w:ascii="Book Antiqua" w:eastAsia="Book Antiqua" w:hAnsi="Book Antiqua" w:cs="Book Antiqua"/>
          <w:color w:val="000000"/>
          <w:vertAlign w:val="superscript"/>
        </w:rPr>
        <w:t xml:space="preserve"> </w:t>
      </w:r>
    </w:p>
    <w:p w14:paraId="60A0A535" w14:textId="7B20C64D"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The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–infected stomach exhibits redness and swelling of the corpus mucosa</w:t>
      </w:r>
      <w:r w:rsidRPr="00FF7E88">
        <w:rPr>
          <w:rFonts w:ascii="Book Antiqua" w:eastAsia="Book Antiqua" w:hAnsi="Book Antiqua" w:cs="Book Antiqua"/>
          <w:color w:val="000000"/>
          <w:vertAlign w:val="superscript"/>
        </w:rPr>
        <w:t>[41,42]</w:t>
      </w:r>
      <w:r w:rsidRPr="00FF7E88">
        <w:rPr>
          <w:rFonts w:ascii="Book Antiqua" w:eastAsia="Book Antiqua" w:hAnsi="Book Antiqua" w:cs="Book Antiqua"/>
          <w:color w:val="000000"/>
        </w:rPr>
        <w:t xml:space="preserve">. Histologically,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causes infiltration of neutrophils and mononuclear cells in the gastric mucosa</w:t>
      </w:r>
      <w:r w:rsidRPr="00FF7E88">
        <w:rPr>
          <w:rFonts w:ascii="Book Antiqua" w:eastAsia="Book Antiqua" w:hAnsi="Book Antiqua" w:cs="Book Antiqua"/>
          <w:color w:val="000000"/>
          <w:vertAlign w:val="superscript"/>
        </w:rPr>
        <w:t>[43]</w:t>
      </w:r>
      <w:r w:rsidRPr="00FF7E88">
        <w:rPr>
          <w:rFonts w:ascii="Book Antiqua" w:eastAsia="Book Antiqua" w:hAnsi="Book Antiqua" w:cs="Book Antiqua"/>
          <w:color w:val="000000"/>
        </w:rPr>
        <w:t xml:space="preserve">. In biopsy specimens, lymphoid hyperplasia is a specific immunological reaction to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w:t>
      </w:r>
      <w:r w:rsidRPr="00FF7E88">
        <w:rPr>
          <w:rFonts w:ascii="Book Antiqua" w:eastAsia="Book Antiqua" w:hAnsi="Book Antiqua" w:cs="Book Antiqua"/>
          <w:color w:val="000000"/>
          <w:vertAlign w:val="superscript"/>
        </w:rPr>
        <w:t>[44]</w:t>
      </w:r>
      <w:r w:rsidRPr="00FF7E88">
        <w:rPr>
          <w:rFonts w:ascii="Book Antiqua" w:eastAsia="Book Antiqua" w:hAnsi="Book Antiqua" w:cs="Book Antiqua"/>
          <w:color w:val="000000"/>
        </w:rPr>
        <w:t xml:space="preserve">. During long-term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–induced inflammation, the presence of lymphoid hyperplasia decreased with increasing severity of gastric atrophy and IM. In young women, nodular gastritis is induced by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lymphoid follicles in nodular lesions can be detected histologically</w:t>
      </w:r>
      <w:r w:rsidRPr="00FF7E88">
        <w:rPr>
          <w:rFonts w:ascii="Book Antiqua" w:eastAsia="Book Antiqua" w:hAnsi="Book Antiqua" w:cs="Book Antiqua"/>
          <w:color w:val="000000"/>
          <w:vertAlign w:val="superscript"/>
        </w:rPr>
        <w:t>[45]</w:t>
      </w:r>
      <w:r w:rsidRPr="00FF7E88">
        <w:rPr>
          <w:rFonts w:ascii="Book Antiqua" w:eastAsia="Book Antiqua" w:hAnsi="Book Antiqua" w:cs="Book Antiqua"/>
          <w:color w:val="000000"/>
        </w:rPr>
        <w:t xml:space="preserve">. Miyamoto </w:t>
      </w:r>
      <w:r w:rsidRPr="00FF7E88">
        <w:rPr>
          <w:rFonts w:ascii="Book Antiqua" w:eastAsia="Book Antiqua" w:hAnsi="Book Antiqua" w:cs="Book Antiqua"/>
          <w:i/>
          <w:iCs/>
          <w:color w:val="000000"/>
        </w:rPr>
        <w:t>et al</w:t>
      </w:r>
      <w:r w:rsidRPr="00FF7E88">
        <w:rPr>
          <w:rFonts w:ascii="Book Antiqua" w:eastAsia="Book Antiqua" w:hAnsi="Book Antiqua" w:cs="Book Antiqua"/>
          <w:color w:val="000000"/>
          <w:vertAlign w:val="superscript"/>
        </w:rPr>
        <w:t>[46]</w:t>
      </w:r>
      <w:r w:rsidRPr="00FF7E88">
        <w:rPr>
          <w:rFonts w:ascii="Book Antiqua" w:eastAsia="Book Antiqua" w:hAnsi="Book Antiqua" w:cs="Book Antiqua"/>
          <w:color w:val="000000"/>
        </w:rPr>
        <w:t xml:space="preserve"> reported that nodular gastritis showed a lower atrophic score than other forms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–related gastritis. Similarly, we postulated that a swollen areae gastricae would be present in early</w:t>
      </w:r>
      <w:r w:rsidR="00391949" w:rsidRPr="00FF7E88">
        <w:rPr>
          <w:rFonts w:ascii="Book Antiqua" w:eastAsia="Book Antiqua" w:hAnsi="Book Antiqua" w:cs="Book Antiqua"/>
          <w:color w:val="000000"/>
        </w:rPr>
        <w:t xml:space="preserve"> </w:t>
      </w:r>
      <w:r w:rsidRPr="00FF7E88">
        <w:rPr>
          <w:rFonts w:ascii="Book Antiqua" w:eastAsia="Book Antiqua" w:hAnsi="Book Antiqua" w:cs="Book Antiqua"/>
          <w:color w:val="000000"/>
        </w:rPr>
        <w:t xml:space="preserve">stage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Therefore, type A was used as a reference for evaluating the risk of gastric cancer according to abnormal mucosal pattern by standard endoscopy. By M-NBI endoscopy, type Z-1 was reported to correlate with less severe gastric atrophy and IM compared to other types</w:t>
      </w:r>
      <w:r w:rsidRPr="00FF7E88">
        <w:rPr>
          <w:rFonts w:ascii="Book Antiqua" w:eastAsia="Book Antiqua" w:hAnsi="Book Antiqua" w:cs="Book Antiqua"/>
          <w:color w:val="000000"/>
          <w:vertAlign w:val="superscript"/>
        </w:rPr>
        <w:t>[27]</w:t>
      </w:r>
      <w:r w:rsidRPr="00FF7E88">
        <w:rPr>
          <w:rFonts w:ascii="Book Antiqua" w:eastAsia="Book Antiqua" w:hAnsi="Book Antiqua" w:cs="Book Antiqua"/>
          <w:color w:val="000000"/>
        </w:rPr>
        <w:t xml:space="preserve">. In this study, types A and B+C showed significantly different serum PG I/II ratios (3.82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2.74,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0.007), as did types Z-1 and Z-2+Z-3 (3.24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2.28,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0.005). However, there was no significant difference among abnormal mucosal patterns for IM in the corpus. Based on the multifocal patterns of IM, an endoscopic mucosal examination of the entire stomach is recommended</w:t>
      </w:r>
      <w:r w:rsidRPr="00FF7E88">
        <w:rPr>
          <w:rFonts w:ascii="Book Antiqua" w:eastAsia="Book Antiqua" w:hAnsi="Book Antiqua" w:cs="Book Antiqua"/>
          <w:color w:val="000000"/>
          <w:vertAlign w:val="superscript"/>
        </w:rPr>
        <w:t>[47]</w:t>
      </w:r>
      <w:r w:rsidRPr="00FF7E88">
        <w:rPr>
          <w:rFonts w:ascii="Book Antiqua" w:eastAsia="Book Antiqua" w:hAnsi="Book Antiqua" w:cs="Book Antiqua"/>
          <w:color w:val="000000"/>
        </w:rPr>
        <w:t xml:space="preserve">. Marcos </w:t>
      </w:r>
      <w:r w:rsidRPr="00FF7E88">
        <w:rPr>
          <w:rFonts w:ascii="Book Antiqua" w:eastAsia="Book Antiqua" w:hAnsi="Book Antiqua" w:cs="Book Antiqua"/>
          <w:i/>
          <w:iCs/>
          <w:color w:val="000000"/>
        </w:rPr>
        <w:t>et al</w:t>
      </w:r>
      <w:r w:rsidRPr="00FF7E88">
        <w:rPr>
          <w:rFonts w:ascii="Book Antiqua" w:eastAsia="Book Antiqua" w:hAnsi="Book Antiqua" w:cs="Book Antiqua"/>
          <w:color w:val="000000"/>
          <w:vertAlign w:val="superscript"/>
        </w:rPr>
        <w:t>[48]</w:t>
      </w:r>
      <w:r w:rsidRPr="00FF7E88">
        <w:rPr>
          <w:rFonts w:ascii="Book Antiqua" w:eastAsia="Book Antiqua" w:hAnsi="Book Antiqua" w:cs="Book Antiqua"/>
          <w:color w:val="000000"/>
        </w:rPr>
        <w:t xml:space="preserve"> reported that NBI endoscopic grading of IM was useful for risk assessment of early gastric neoplasia.</w:t>
      </w:r>
      <w:r w:rsidRPr="00FF7E88">
        <w:rPr>
          <w:rFonts w:ascii="Book Antiqua" w:eastAsia="Book Antiqua" w:hAnsi="Book Antiqua" w:cs="Book Antiqua"/>
          <w:color w:val="000000"/>
          <w:vertAlign w:val="superscript"/>
        </w:rPr>
        <w:t xml:space="preserve"> </w:t>
      </w:r>
    </w:p>
    <w:p w14:paraId="0DEEDBF1" w14:textId="13DE355F" w:rsidR="00A77B3E" w:rsidRPr="00FF7E88" w:rsidRDefault="00BE4730" w:rsidP="00FF7E88">
      <w:pPr>
        <w:spacing w:line="360" w:lineRule="auto"/>
        <w:ind w:firstLineChars="100" w:firstLine="240"/>
        <w:jc w:val="both"/>
        <w:rPr>
          <w:rFonts w:ascii="Book Antiqua" w:hAnsi="Book Antiqua"/>
        </w:rPr>
      </w:pPr>
      <w:r w:rsidRPr="00FF7E88">
        <w:rPr>
          <w:rFonts w:ascii="Book Antiqua" w:eastAsia="Book Antiqua" w:hAnsi="Book Antiqua" w:cs="Book Antiqua"/>
          <w:color w:val="000000"/>
        </w:rPr>
        <w:t xml:space="preserve">This study had several limitations. First, we did not evaluate the severity of gastric atrophy and IM using the OLGA and OLGIM staging systems. Second, only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 xml:space="preserve">treatment-naïve patients were enrolled. Therefore, the results may be not be applicable to endoscopic surveillance after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 xml:space="preserve">eradication. Finally, this study was conducted in a single center. A multicenter trial involving endoscopists with varying levels of experience is required to confirm the reliability of the results. </w:t>
      </w:r>
    </w:p>
    <w:bookmarkEnd w:id="38"/>
    <w:bookmarkEnd w:id="39"/>
    <w:p w14:paraId="1F785F6E" w14:textId="77777777" w:rsidR="00A77B3E" w:rsidRPr="00FF7E88" w:rsidRDefault="00A77B3E" w:rsidP="00FF7E88">
      <w:pPr>
        <w:spacing w:line="360" w:lineRule="auto"/>
        <w:jc w:val="both"/>
        <w:rPr>
          <w:rFonts w:ascii="Book Antiqua" w:hAnsi="Book Antiqua"/>
        </w:rPr>
      </w:pPr>
    </w:p>
    <w:p w14:paraId="67F1BF3F"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CONCLUSION</w:t>
      </w:r>
    </w:p>
    <w:p w14:paraId="4042CE3F" w14:textId="3225D887" w:rsidR="00A77B3E" w:rsidRPr="00FF7E88" w:rsidRDefault="00BE4730" w:rsidP="00FF7E88">
      <w:pPr>
        <w:spacing w:line="360" w:lineRule="auto"/>
        <w:jc w:val="both"/>
        <w:rPr>
          <w:rFonts w:ascii="Book Antiqua" w:hAnsi="Book Antiqua"/>
        </w:rPr>
      </w:pPr>
      <w:bookmarkStart w:id="40" w:name="OLE_LINK96"/>
      <w:bookmarkStart w:id="41" w:name="OLE_LINK97"/>
      <w:r w:rsidRPr="00FF7E88">
        <w:rPr>
          <w:rFonts w:ascii="Book Antiqua" w:eastAsia="Book Antiqua" w:hAnsi="Book Antiqua" w:cs="Book Antiqua"/>
          <w:color w:val="000000"/>
        </w:rPr>
        <w:t xml:space="preserve">In conclusion, close observation of the gastric corpus mucosa by standard and M-NBI endoscopy enables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gastric precancerous conditions. Furthermore, our results suggest an association of endoscopic mucosal patterns with moderate to severe atrophy and a serum PG I/II ratio of ≤ 3. </w:t>
      </w:r>
    </w:p>
    <w:bookmarkEnd w:id="40"/>
    <w:bookmarkEnd w:id="41"/>
    <w:p w14:paraId="5DEF121D" w14:textId="77777777" w:rsidR="00A77B3E" w:rsidRPr="00FF7E88" w:rsidRDefault="00A77B3E" w:rsidP="00FF7E88">
      <w:pPr>
        <w:spacing w:line="360" w:lineRule="auto"/>
        <w:jc w:val="both"/>
        <w:rPr>
          <w:rFonts w:ascii="Book Antiqua" w:hAnsi="Book Antiqua"/>
        </w:rPr>
      </w:pPr>
    </w:p>
    <w:p w14:paraId="3796CA76" w14:textId="56E690F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aps/>
          <w:color w:val="000000"/>
          <w:u w:val="single"/>
        </w:rPr>
        <w:t>ARTICLE HIGHLIGHTS</w:t>
      </w:r>
    </w:p>
    <w:p w14:paraId="2EE1E83C" w14:textId="2B4FC3A5"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background</w:t>
      </w:r>
    </w:p>
    <w:p w14:paraId="2B9717B2" w14:textId="21B8F8C0"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 xml:space="preserve">In Correa’s model of gastric carcinogenesis, </w:t>
      </w:r>
      <w:r w:rsidRPr="00FF7E88">
        <w:rPr>
          <w:rFonts w:ascii="Book Antiqua" w:eastAsia="Book Antiqua" w:hAnsi="Book Antiqua" w:cs="Book Antiqua"/>
          <w:i/>
          <w:iCs/>
          <w:color w:val="000000"/>
        </w:rPr>
        <w:t>Helicobacter pylori</w:t>
      </w:r>
      <w:r w:rsidRPr="00FF7E88">
        <w:rPr>
          <w:rFonts w:ascii="Book Antiqua" w:eastAsia="Book Antiqua" w:hAnsi="Book Antiqua" w:cs="Book Antiqua"/>
          <w:color w:val="000000"/>
        </w:rPr>
        <w:t xml:space="preserv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gastric atrophy and intestinal metaplasia (IM) are linked to gastric cancer development. The low level of serum pepsinogens (PG) was known to be highly associated with extensive atrophic gastritis. </w:t>
      </w:r>
    </w:p>
    <w:p w14:paraId="5E74CF98" w14:textId="77777777" w:rsidR="00A77B3E" w:rsidRPr="00FF7E88" w:rsidRDefault="00A77B3E" w:rsidP="00FF7E88">
      <w:pPr>
        <w:spacing w:line="360" w:lineRule="auto"/>
        <w:jc w:val="both"/>
        <w:rPr>
          <w:rFonts w:ascii="Book Antiqua" w:hAnsi="Book Antiqua"/>
        </w:rPr>
      </w:pPr>
    </w:p>
    <w:p w14:paraId="424CE272" w14:textId="10F21DE9"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motivation</w:t>
      </w:r>
    </w:p>
    <w:p w14:paraId="1A97FC4B" w14:textId="5584D626" w:rsidR="00A77B3E" w:rsidRPr="00FF7E88" w:rsidRDefault="00BE4730" w:rsidP="00FF7E88">
      <w:pPr>
        <w:spacing w:line="360" w:lineRule="auto"/>
        <w:jc w:val="both"/>
        <w:rPr>
          <w:rFonts w:ascii="Book Antiqua" w:hAnsi="Book Antiqua"/>
        </w:rPr>
      </w:pPr>
      <w:bookmarkStart w:id="42" w:name="OLE_LINK98"/>
      <w:bookmarkStart w:id="43" w:name="OLE_LINK99"/>
      <w:r w:rsidRPr="00FF7E88">
        <w:rPr>
          <w:rFonts w:ascii="Book Antiqua" w:eastAsia="Book Antiqua" w:hAnsi="Book Antiqua" w:cs="Book Antiqua"/>
          <w:color w:val="000000"/>
        </w:rPr>
        <w:t xml:space="preserve">High-resolution and magnifying narrow-band imaging (M-NBI) facilitate the detailed examination of gastrointestinal mucosa. M-NBI endoscopy can be used to diagnose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classify gastritis by histological severity. Moreover, recent improvements in the resolution (&gt; 1 million pixels) of gastrointestinal endoscopy have enhanced image quality, facilitating characterization of the gastric mucosal pattern. Close observation of the gastric corpus mucosa by standard endoscopy without magnification enables prediction of </w:t>
      </w:r>
      <w:r w:rsidRPr="00FF7E88">
        <w:rPr>
          <w:rFonts w:ascii="Book Antiqua" w:eastAsia="Book Antiqua" w:hAnsi="Book Antiqua" w:cs="Book Antiqua"/>
          <w:i/>
          <w:iCs/>
          <w:color w:val="000000"/>
        </w:rPr>
        <w:t xml:space="preserve">H. pylori </w:t>
      </w:r>
      <w:r w:rsidRPr="00FF7E88">
        <w:rPr>
          <w:rFonts w:ascii="Book Antiqua" w:eastAsia="Book Antiqua" w:hAnsi="Book Antiqua" w:cs="Book Antiqua"/>
          <w:color w:val="000000"/>
        </w:rPr>
        <w:t>gastritis and precancerous lesions.</w:t>
      </w:r>
    </w:p>
    <w:bookmarkEnd w:id="42"/>
    <w:bookmarkEnd w:id="43"/>
    <w:p w14:paraId="53B68AA8" w14:textId="77777777" w:rsidR="00A77B3E" w:rsidRPr="00FF7E88" w:rsidRDefault="00A77B3E" w:rsidP="00FF7E88">
      <w:pPr>
        <w:spacing w:line="360" w:lineRule="auto"/>
        <w:jc w:val="both"/>
        <w:rPr>
          <w:rFonts w:ascii="Book Antiqua" w:hAnsi="Book Antiqua"/>
        </w:rPr>
      </w:pPr>
    </w:p>
    <w:p w14:paraId="1CF23ED4" w14:textId="146BFDFE"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objectives</w:t>
      </w:r>
    </w:p>
    <w:p w14:paraId="1460FECB" w14:textId="4F5C5C1B" w:rsidR="00A77B3E" w:rsidRPr="00FF7E88" w:rsidRDefault="00BE4730" w:rsidP="00FF7E88">
      <w:pPr>
        <w:spacing w:line="360" w:lineRule="auto"/>
        <w:jc w:val="both"/>
        <w:rPr>
          <w:rFonts w:ascii="Book Antiqua" w:hAnsi="Book Antiqua"/>
        </w:rPr>
      </w:pPr>
      <w:bookmarkStart w:id="44" w:name="OLE_LINK100"/>
      <w:bookmarkStart w:id="45" w:name="OLE_LINK101"/>
      <w:r w:rsidRPr="00FF7E88">
        <w:rPr>
          <w:rFonts w:ascii="Book Antiqua" w:eastAsia="Book Antiqua" w:hAnsi="Book Antiqua" w:cs="Book Antiqua"/>
          <w:color w:val="000000"/>
        </w:rPr>
        <w:t xml:space="preserve">To date, there was no comparative data regarding the usefulness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gastric precancerous conditions. We compared the diagnostic performance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and precancerous conditions.</w:t>
      </w:r>
    </w:p>
    <w:bookmarkEnd w:id="44"/>
    <w:bookmarkEnd w:id="45"/>
    <w:p w14:paraId="681B78ED" w14:textId="77777777" w:rsidR="00A77B3E" w:rsidRPr="00FF7E88" w:rsidRDefault="00A77B3E" w:rsidP="00FF7E88">
      <w:pPr>
        <w:spacing w:line="360" w:lineRule="auto"/>
        <w:jc w:val="both"/>
        <w:rPr>
          <w:rFonts w:ascii="Book Antiqua" w:hAnsi="Book Antiqua"/>
        </w:rPr>
      </w:pPr>
    </w:p>
    <w:p w14:paraId="00FB0B5F" w14:textId="14472F89"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methods</w:t>
      </w:r>
    </w:p>
    <w:p w14:paraId="39EFE4DF" w14:textId="373D7864" w:rsidR="00A77B3E" w:rsidRPr="00FF7E88" w:rsidRDefault="00BE4730" w:rsidP="00FF7E88">
      <w:pPr>
        <w:spacing w:line="360" w:lineRule="auto"/>
        <w:jc w:val="both"/>
        <w:rPr>
          <w:rFonts w:ascii="Book Antiqua" w:hAnsi="Book Antiqua"/>
        </w:rPr>
      </w:pPr>
      <w:bookmarkStart w:id="46" w:name="OLE_LINK102"/>
      <w:bookmarkStart w:id="47" w:name="OLE_LINK103"/>
      <w:r w:rsidRPr="00FF7E88">
        <w:rPr>
          <w:rFonts w:ascii="Book Antiqua" w:eastAsia="Book Antiqua" w:hAnsi="Book Antiqua" w:cs="Book Antiqua"/>
          <w:color w:val="000000"/>
        </w:rPr>
        <w:t xml:space="preserve">In total, 254 patients who underwent gastroscopy were prospectively enrolled. Standard endoscopy findings of the gastric mucosal surface were classified into mosaic-like appearance (type A), diffuse homogenous redness (type B), and irregular redness with groove (type C). Gastric mucosal patterns visualized by M-NBI endoscopy were classified as regular round pits with polygonal sulci (type Z-1), more dilated and linear pits without sulci (type Z-2), and loss of gastric pits with coiled vessels (type Z-3). We evaluated the utility of the two endoscopic classifications for the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gastric atrophy, IM, and a serum PG I/II ratio of ≤ 3.  </w:t>
      </w:r>
    </w:p>
    <w:bookmarkEnd w:id="46"/>
    <w:bookmarkEnd w:id="47"/>
    <w:p w14:paraId="432C230B" w14:textId="77777777" w:rsidR="00A77B3E" w:rsidRPr="00FF7E88" w:rsidRDefault="00A77B3E" w:rsidP="00FF7E88">
      <w:pPr>
        <w:spacing w:line="360" w:lineRule="auto"/>
        <w:jc w:val="both"/>
        <w:rPr>
          <w:rFonts w:ascii="Book Antiqua" w:hAnsi="Book Antiqua"/>
        </w:rPr>
      </w:pPr>
    </w:p>
    <w:p w14:paraId="0F492EBF" w14:textId="6983BE25"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results</w:t>
      </w:r>
    </w:p>
    <w:p w14:paraId="05930F63" w14:textId="24A5BC9B" w:rsidR="00A77B3E" w:rsidRPr="00FF7E88" w:rsidRDefault="00BE4730" w:rsidP="00FF7E88">
      <w:pPr>
        <w:spacing w:line="360" w:lineRule="auto"/>
        <w:jc w:val="both"/>
        <w:rPr>
          <w:rFonts w:ascii="Book Antiqua" w:hAnsi="Book Antiqua"/>
        </w:rPr>
      </w:pPr>
      <w:bookmarkStart w:id="48" w:name="OLE_LINK104"/>
      <w:r w:rsidRPr="00FF7E88">
        <w:rPr>
          <w:rFonts w:ascii="Book Antiqua" w:eastAsia="Book Antiqua" w:hAnsi="Book Antiqua" w:cs="Book Antiqua"/>
          <w:color w:val="000000"/>
        </w:rPr>
        <w:t xml:space="preserve">The diagnostic accuracy of standard and M-NBI endoscopy for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gastritis was 93.3% and 96.1%, respectively. Regarding gastric precancerous conditions, the diagnostic accuracy of standard and M-NBI endoscopy was 72.0%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72.6% for moderate to severe atrophy, and 61.7% </w:t>
      </w:r>
      <w:r w:rsidRPr="00FF7E88">
        <w:rPr>
          <w:rFonts w:ascii="Book Antiqua" w:eastAsia="Book Antiqua" w:hAnsi="Book Antiqua" w:cs="Book Antiqua"/>
          <w:i/>
          <w:iCs/>
          <w:color w:val="000000"/>
        </w:rPr>
        <w:t>vs</w:t>
      </w:r>
      <w:r w:rsidRPr="00FF7E88">
        <w:rPr>
          <w:rFonts w:ascii="Book Antiqua" w:eastAsia="Book Antiqua" w:hAnsi="Book Antiqua" w:cs="Book Antiqua"/>
          <w:color w:val="000000"/>
        </w:rPr>
        <w:t xml:space="preserve"> 61.1% for IM in the corpus, respectively. Compared to type A and Z1, types B+C and Z-2+Z-3 were significantly associated with moderate to severe atrophy </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odds ratio </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OR</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 5.56,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0.001</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OR = 8.67,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0.007</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and a serum PG I/II ratio of ≤ 3 (OR = 4.48,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0.004</w:t>
      </w:r>
      <w:r w:rsidR="00391949" w:rsidRPr="00FF7E88">
        <w:rPr>
          <w:rFonts w:ascii="Book Antiqua" w:eastAsia="Book Antiqua" w:hAnsi="Book Antiqua" w:cs="Book Antiqua"/>
          <w:color w:val="000000"/>
        </w:rPr>
        <w:t>;</w:t>
      </w:r>
      <w:r w:rsidRPr="00FF7E88">
        <w:rPr>
          <w:rFonts w:ascii="Book Antiqua" w:eastAsia="Book Antiqua" w:hAnsi="Book Antiqua" w:cs="Book Antiqua"/>
          <w:color w:val="000000"/>
        </w:rPr>
        <w:t xml:space="preserve"> OR = 5.69, </w:t>
      </w:r>
      <w:r w:rsidRPr="00FF7E88">
        <w:rPr>
          <w:rFonts w:ascii="Book Antiqua" w:eastAsia="Book Antiqua" w:hAnsi="Book Antiqua" w:cs="Book Antiqua"/>
          <w:i/>
          <w:iCs/>
          <w:color w:val="000000"/>
        </w:rPr>
        <w:t>P</w:t>
      </w:r>
      <w:r w:rsidRPr="00FF7E88">
        <w:rPr>
          <w:rFonts w:ascii="Book Antiqua" w:eastAsia="Book Antiqua" w:hAnsi="Book Antiqua" w:cs="Book Antiqua"/>
          <w:color w:val="000000"/>
        </w:rPr>
        <w:t xml:space="preserve"> = 0.029).  </w:t>
      </w:r>
    </w:p>
    <w:bookmarkEnd w:id="48"/>
    <w:p w14:paraId="75C1ECB4" w14:textId="77777777" w:rsidR="00A77B3E" w:rsidRPr="00FF7E88" w:rsidRDefault="00A77B3E" w:rsidP="00FF7E88">
      <w:pPr>
        <w:spacing w:line="360" w:lineRule="auto"/>
        <w:jc w:val="both"/>
        <w:rPr>
          <w:rFonts w:ascii="Book Antiqua" w:hAnsi="Book Antiqua"/>
        </w:rPr>
      </w:pPr>
    </w:p>
    <w:p w14:paraId="2BA2A7E2" w14:textId="5CFDD008"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conclusions</w:t>
      </w:r>
    </w:p>
    <w:p w14:paraId="1A0F518F" w14:textId="5CA97F77" w:rsidR="00A77B3E" w:rsidRPr="00FF7E88" w:rsidRDefault="00BE4730" w:rsidP="00FF7E88">
      <w:pPr>
        <w:spacing w:line="360" w:lineRule="auto"/>
        <w:jc w:val="both"/>
        <w:rPr>
          <w:rFonts w:ascii="Book Antiqua" w:hAnsi="Book Antiqua"/>
        </w:rPr>
      </w:pPr>
      <w:bookmarkStart w:id="49" w:name="OLE_LINK105"/>
      <w:bookmarkStart w:id="50" w:name="OLE_LINK106"/>
      <w:r w:rsidRPr="00FF7E88">
        <w:rPr>
          <w:rFonts w:ascii="Book Antiqua" w:eastAsia="Book Antiqua" w:hAnsi="Book Antiqua" w:cs="Book Antiqua"/>
          <w:color w:val="000000"/>
        </w:rPr>
        <w:t xml:space="preserve">Close observation of the gastric corpus mucosa by standard and M-NBI endoscopy enables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 infection and gastric precancerous conditions. Furthermore, our results suggest an association of endoscopic mucosal patterns with moderate to severe atrophy and a serum PG I/II ratio of ≤ 3.  </w:t>
      </w:r>
    </w:p>
    <w:bookmarkEnd w:id="49"/>
    <w:bookmarkEnd w:id="50"/>
    <w:p w14:paraId="58B8A73A" w14:textId="77777777" w:rsidR="00A77B3E" w:rsidRPr="00FF7E88" w:rsidRDefault="00A77B3E" w:rsidP="00FF7E88">
      <w:pPr>
        <w:spacing w:line="360" w:lineRule="auto"/>
        <w:jc w:val="both"/>
        <w:rPr>
          <w:rFonts w:ascii="Book Antiqua" w:hAnsi="Book Antiqua"/>
        </w:rPr>
      </w:pPr>
    </w:p>
    <w:p w14:paraId="3EF43277" w14:textId="2B5F67A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i/>
          <w:color w:val="000000"/>
        </w:rPr>
        <w:t>Research perspectives</w:t>
      </w:r>
    </w:p>
    <w:p w14:paraId="3940C344" w14:textId="0A5ACB13" w:rsidR="00A77B3E" w:rsidRPr="00FF7E88" w:rsidRDefault="00BE4730" w:rsidP="00FF7E88">
      <w:pPr>
        <w:spacing w:line="360" w:lineRule="auto"/>
        <w:jc w:val="both"/>
        <w:rPr>
          <w:rFonts w:ascii="Book Antiqua" w:hAnsi="Book Antiqua"/>
        </w:rPr>
      </w:pPr>
      <w:bookmarkStart w:id="51" w:name="OLE_LINK107"/>
      <w:bookmarkStart w:id="52" w:name="OLE_LINK108"/>
      <w:r w:rsidRPr="00FF7E88">
        <w:rPr>
          <w:rFonts w:ascii="Book Antiqua" w:eastAsia="Book Antiqua" w:hAnsi="Book Antiqua" w:cs="Book Antiqua"/>
          <w:color w:val="000000"/>
        </w:rPr>
        <w:t xml:space="preserve">By gastric mucosal observation in detail, optical diagnosis of </w:t>
      </w:r>
      <w:r w:rsidRPr="00FF7E88">
        <w:rPr>
          <w:rFonts w:ascii="Book Antiqua" w:eastAsia="Book Antiqua" w:hAnsi="Book Antiqua" w:cs="Book Antiqua"/>
          <w:i/>
          <w:iCs/>
          <w:color w:val="000000"/>
        </w:rPr>
        <w:t>H. pylori</w:t>
      </w:r>
      <w:r w:rsidRPr="00FF7E88">
        <w:rPr>
          <w:rFonts w:ascii="Book Antiqua" w:eastAsia="Book Antiqua" w:hAnsi="Book Antiqua" w:cs="Book Antiqua"/>
          <w:color w:val="000000"/>
        </w:rPr>
        <w:t xml:space="preserve">–related gastritis may be achieved in real time. In the future, a multicenter trial is required to confirm the reliability of our results.  </w:t>
      </w:r>
    </w:p>
    <w:bookmarkEnd w:id="51"/>
    <w:bookmarkEnd w:id="52"/>
    <w:p w14:paraId="048FDED9" w14:textId="77777777" w:rsidR="00A77B3E" w:rsidRPr="00FF7E88" w:rsidRDefault="00A77B3E" w:rsidP="00FF7E88">
      <w:pPr>
        <w:spacing w:line="360" w:lineRule="auto"/>
        <w:jc w:val="both"/>
        <w:rPr>
          <w:rFonts w:ascii="Book Antiqua" w:hAnsi="Book Antiqua"/>
        </w:rPr>
      </w:pPr>
    </w:p>
    <w:p w14:paraId="1E64E7D3"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REFERENCES</w:t>
      </w:r>
    </w:p>
    <w:p w14:paraId="12F988B9"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 </w:t>
      </w:r>
      <w:r w:rsidRPr="00FF7E88">
        <w:rPr>
          <w:rFonts w:ascii="Book Antiqua" w:hAnsi="Book Antiqua"/>
          <w:b/>
          <w:bCs/>
        </w:rPr>
        <w:t>Hooi JKY</w:t>
      </w:r>
      <w:r w:rsidRPr="00FF7E88">
        <w:rPr>
          <w:rFonts w:ascii="Book Antiqua" w:hAnsi="Book Antiqua"/>
        </w:rPr>
        <w:t xml:space="preserve">, Lai WY, Ng WK, Suen MMY, Underwood FE, Tanyingoh D, Malfertheiner P, Graham DY, Wong VWS, Wu JCY, Chan FKL, Sung JJY, Kaplan GG, Ng SC. Global Prevalence of Helicobacter pylori Infection: Systematic Review and Meta-Analysis. </w:t>
      </w:r>
      <w:r w:rsidRPr="00FF7E88">
        <w:rPr>
          <w:rFonts w:ascii="Book Antiqua" w:hAnsi="Book Antiqua"/>
          <w:i/>
          <w:iCs/>
        </w:rPr>
        <w:t>Gastroenterology</w:t>
      </w:r>
      <w:r w:rsidRPr="00FF7E88">
        <w:rPr>
          <w:rFonts w:ascii="Book Antiqua" w:hAnsi="Book Antiqua"/>
        </w:rPr>
        <w:t xml:space="preserve"> 2017; </w:t>
      </w:r>
      <w:r w:rsidRPr="00FF7E88">
        <w:rPr>
          <w:rFonts w:ascii="Book Antiqua" w:hAnsi="Book Antiqua"/>
          <w:b/>
          <w:bCs/>
        </w:rPr>
        <w:t>153</w:t>
      </w:r>
      <w:r w:rsidRPr="00FF7E88">
        <w:rPr>
          <w:rFonts w:ascii="Book Antiqua" w:hAnsi="Book Antiqua"/>
        </w:rPr>
        <w:t>: 420-429 [PMID: 28456631 DOI: 10.1053/j.gastro.2017.04.022]</w:t>
      </w:r>
    </w:p>
    <w:p w14:paraId="09FEE971"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 </w:t>
      </w:r>
      <w:r w:rsidRPr="00FF7E88">
        <w:rPr>
          <w:rFonts w:ascii="Book Antiqua" w:hAnsi="Book Antiqua"/>
          <w:b/>
          <w:bCs/>
        </w:rPr>
        <w:t>Kuipers EJ</w:t>
      </w:r>
      <w:r w:rsidRPr="00FF7E88">
        <w:rPr>
          <w:rFonts w:ascii="Book Antiqua" w:hAnsi="Book Antiqua"/>
        </w:rPr>
        <w:t xml:space="preserve">, Uyterlinde AM, Peña AS, Roosendaal R, Pals G, Nelis GF, Festen HP, Meuwissen SG. Long-term sequelae of Helicobacter pylori gastritis. </w:t>
      </w:r>
      <w:r w:rsidRPr="00FF7E88">
        <w:rPr>
          <w:rFonts w:ascii="Book Antiqua" w:hAnsi="Book Antiqua"/>
          <w:i/>
          <w:iCs/>
        </w:rPr>
        <w:t>Lancet</w:t>
      </w:r>
      <w:r w:rsidRPr="00FF7E88">
        <w:rPr>
          <w:rFonts w:ascii="Book Antiqua" w:hAnsi="Book Antiqua"/>
        </w:rPr>
        <w:t xml:space="preserve"> 1995; </w:t>
      </w:r>
      <w:r w:rsidRPr="00FF7E88">
        <w:rPr>
          <w:rFonts w:ascii="Book Antiqua" w:hAnsi="Book Antiqua"/>
          <w:b/>
          <w:bCs/>
        </w:rPr>
        <w:t>345</w:t>
      </w:r>
      <w:r w:rsidRPr="00FF7E88">
        <w:rPr>
          <w:rFonts w:ascii="Book Antiqua" w:hAnsi="Book Antiqua"/>
        </w:rPr>
        <w:t>: 1525-1528 [PMID: 7791437 DOI: 10.1016/s0140-6736(95)91084-0]</w:t>
      </w:r>
    </w:p>
    <w:p w14:paraId="134E4B6D"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 </w:t>
      </w:r>
      <w:r w:rsidRPr="00FF7E88">
        <w:rPr>
          <w:rFonts w:ascii="Book Antiqua" w:hAnsi="Book Antiqua"/>
          <w:b/>
          <w:bCs/>
        </w:rPr>
        <w:t>Correa P</w:t>
      </w:r>
      <w:r w:rsidRPr="00FF7E88">
        <w:rPr>
          <w:rFonts w:ascii="Book Antiqua" w:hAnsi="Book Antiqua"/>
        </w:rPr>
        <w:t xml:space="preserve">, Piazuelo MB. The gastric precancerous cascade. </w:t>
      </w:r>
      <w:r w:rsidRPr="00FF7E88">
        <w:rPr>
          <w:rFonts w:ascii="Book Antiqua" w:hAnsi="Book Antiqua"/>
          <w:i/>
          <w:iCs/>
        </w:rPr>
        <w:t>J Dig Dis</w:t>
      </w:r>
      <w:r w:rsidRPr="00FF7E88">
        <w:rPr>
          <w:rFonts w:ascii="Book Antiqua" w:hAnsi="Book Antiqua"/>
        </w:rPr>
        <w:t xml:space="preserve"> 2012; </w:t>
      </w:r>
      <w:r w:rsidRPr="00FF7E88">
        <w:rPr>
          <w:rFonts w:ascii="Book Antiqua" w:hAnsi="Book Antiqua"/>
          <w:b/>
          <w:bCs/>
        </w:rPr>
        <w:t>13</w:t>
      </w:r>
      <w:r w:rsidRPr="00FF7E88">
        <w:rPr>
          <w:rFonts w:ascii="Book Antiqua" w:hAnsi="Book Antiqua"/>
        </w:rPr>
        <w:t>: 2-9 [PMID: 22188910 DOI: 10.1111/j.1751-2980.2011.00550.x]</w:t>
      </w:r>
    </w:p>
    <w:p w14:paraId="3DB050FE"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 </w:t>
      </w:r>
      <w:r w:rsidRPr="00FF7E88">
        <w:rPr>
          <w:rFonts w:ascii="Book Antiqua" w:hAnsi="Book Antiqua"/>
          <w:b/>
          <w:bCs/>
        </w:rPr>
        <w:t>Kaji K</w:t>
      </w:r>
      <w:r w:rsidRPr="00FF7E88">
        <w:rPr>
          <w:rFonts w:ascii="Book Antiqua" w:hAnsi="Book Antiqua"/>
        </w:rPr>
        <w:t xml:space="preserve">, Hashiba A, Uotani C, Yamaguchi Y, Ueno T, Ohno K, Takabatake I, Wakabayashi T, Doyama H, Ninomiya I, Kiriyama M, Ohyama S, Yoneshima M, Koyama N, Takeda Y, Yasuda K. Grading of Atrophic Gastritis is Useful for Risk Stratification in Endoscopic Screening for Gastric Cancer. </w:t>
      </w:r>
      <w:r w:rsidRPr="00FF7E88">
        <w:rPr>
          <w:rFonts w:ascii="Book Antiqua" w:hAnsi="Book Antiqua"/>
          <w:i/>
          <w:iCs/>
        </w:rPr>
        <w:t>Am J Gastroenterol</w:t>
      </w:r>
      <w:r w:rsidRPr="00FF7E88">
        <w:rPr>
          <w:rFonts w:ascii="Book Antiqua" w:hAnsi="Book Antiqua"/>
        </w:rPr>
        <w:t xml:space="preserve"> 2019; </w:t>
      </w:r>
      <w:r w:rsidRPr="00FF7E88">
        <w:rPr>
          <w:rFonts w:ascii="Book Antiqua" w:hAnsi="Book Antiqua"/>
          <w:b/>
          <w:bCs/>
        </w:rPr>
        <w:t>114</w:t>
      </w:r>
      <w:r w:rsidRPr="00FF7E88">
        <w:rPr>
          <w:rFonts w:ascii="Book Antiqua" w:hAnsi="Book Antiqua"/>
        </w:rPr>
        <w:t>: 71-79 [PMID: 30315306 DOI: 10.1038/s41395-018-0259-5]</w:t>
      </w:r>
    </w:p>
    <w:p w14:paraId="301FE330"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5 </w:t>
      </w:r>
      <w:r w:rsidRPr="00FF7E88">
        <w:rPr>
          <w:rFonts w:ascii="Book Antiqua" w:hAnsi="Book Antiqua"/>
          <w:b/>
          <w:bCs/>
        </w:rPr>
        <w:t>Shichijo S</w:t>
      </w:r>
      <w:r w:rsidRPr="00FF7E88">
        <w:rPr>
          <w:rFonts w:ascii="Book Antiqua" w:hAnsi="Book Antiqua"/>
        </w:rPr>
        <w:t xml:space="preserve">, Hirata Y, Sakitani K, Yamamoto S, Serizawa T, Niikura R, Watabe H, Yoshida S, Yamada A, Yamaji Y, Ushiku T, Fukayama M, Koike K. Distribution of intestinal metaplasia as a predictor of gastric cancer development. </w:t>
      </w:r>
      <w:r w:rsidRPr="00FF7E88">
        <w:rPr>
          <w:rFonts w:ascii="Book Antiqua" w:hAnsi="Book Antiqua"/>
          <w:i/>
          <w:iCs/>
        </w:rPr>
        <w:t>J Gastroenterol Hepatol</w:t>
      </w:r>
      <w:r w:rsidRPr="00FF7E88">
        <w:rPr>
          <w:rFonts w:ascii="Book Antiqua" w:hAnsi="Book Antiqua"/>
        </w:rPr>
        <w:t xml:space="preserve"> 2015; </w:t>
      </w:r>
      <w:r w:rsidRPr="00FF7E88">
        <w:rPr>
          <w:rFonts w:ascii="Book Antiqua" w:hAnsi="Book Antiqua"/>
          <w:b/>
          <w:bCs/>
        </w:rPr>
        <w:t>30</w:t>
      </w:r>
      <w:r w:rsidRPr="00FF7E88">
        <w:rPr>
          <w:rFonts w:ascii="Book Antiqua" w:hAnsi="Book Antiqua"/>
        </w:rPr>
        <w:t>: 1260-1264 [PMID: 25777777 DOI: 10.1111/jgh.12946]</w:t>
      </w:r>
    </w:p>
    <w:p w14:paraId="525B63C8"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6 </w:t>
      </w:r>
      <w:r w:rsidRPr="00FF7E88">
        <w:rPr>
          <w:rFonts w:ascii="Book Antiqua" w:hAnsi="Book Antiqua"/>
          <w:b/>
          <w:bCs/>
        </w:rPr>
        <w:t>Uemura N</w:t>
      </w:r>
      <w:r w:rsidRPr="00FF7E88">
        <w:rPr>
          <w:rFonts w:ascii="Book Antiqua" w:hAnsi="Book Antiqua"/>
        </w:rPr>
        <w:t xml:space="preserve">, Okamoto S, Yamamoto S, Matsumura N, Yamaguchi S, Yamakido M, Taniyama K, Sasaki N, Schlemper RJ. Helicobacter pylori infection and the development of gastric cancer. </w:t>
      </w:r>
      <w:r w:rsidRPr="00FF7E88">
        <w:rPr>
          <w:rFonts w:ascii="Book Antiqua" w:hAnsi="Book Antiqua"/>
          <w:i/>
          <w:iCs/>
        </w:rPr>
        <w:t>N Engl J Med</w:t>
      </w:r>
      <w:r w:rsidRPr="00FF7E88">
        <w:rPr>
          <w:rFonts w:ascii="Book Antiqua" w:hAnsi="Book Antiqua"/>
        </w:rPr>
        <w:t xml:space="preserve"> 2001; </w:t>
      </w:r>
      <w:r w:rsidRPr="00FF7E88">
        <w:rPr>
          <w:rFonts w:ascii="Book Antiqua" w:hAnsi="Book Antiqua"/>
          <w:b/>
          <w:bCs/>
        </w:rPr>
        <w:t>345</w:t>
      </w:r>
      <w:r w:rsidRPr="00FF7E88">
        <w:rPr>
          <w:rFonts w:ascii="Book Antiqua" w:hAnsi="Book Antiqua"/>
        </w:rPr>
        <w:t>: 784-789 [PMID: 11556297 DOI: 10.1056/NEJMoa001999]</w:t>
      </w:r>
    </w:p>
    <w:p w14:paraId="170FC41A"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7 </w:t>
      </w:r>
      <w:r w:rsidRPr="00FF7E88">
        <w:rPr>
          <w:rFonts w:ascii="Book Antiqua" w:hAnsi="Book Antiqua"/>
          <w:b/>
          <w:bCs/>
        </w:rPr>
        <w:t>Pimentel-Nunes P</w:t>
      </w:r>
      <w:r w:rsidRPr="00FF7E88">
        <w:rPr>
          <w:rFonts w:ascii="Book Antiqua" w:hAnsi="Book Antiqua"/>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sidRPr="00FF7E88">
        <w:rPr>
          <w:rFonts w:ascii="Book Antiqua" w:hAnsi="Book Antiqua"/>
          <w:i/>
          <w:iCs/>
        </w:rPr>
        <w:t>Endoscopy</w:t>
      </w:r>
      <w:r w:rsidRPr="00FF7E88">
        <w:rPr>
          <w:rFonts w:ascii="Book Antiqua" w:hAnsi="Book Antiqua"/>
        </w:rPr>
        <w:t xml:space="preserve"> 2019; </w:t>
      </w:r>
      <w:r w:rsidRPr="00FF7E88">
        <w:rPr>
          <w:rFonts w:ascii="Book Antiqua" w:hAnsi="Book Antiqua"/>
          <w:b/>
          <w:bCs/>
        </w:rPr>
        <w:t>51</w:t>
      </w:r>
      <w:r w:rsidRPr="00FF7E88">
        <w:rPr>
          <w:rFonts w:ascii="Book Antiqua" w:hAnsi="Book Antiqua"/>
        </w:rPr>
        <w:t>: 365-388 [PMID: 30841008 DOI: 10.1055/a-0859-1883]</w:t>
      </w:r>
    </w:p>
    <w:p w14:paraId="52E2E81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8 </w:t>
      </w:r>
      <w:r w:rsidRPr="00FF7E88">
        <w:rPr>
          <w:rFonts w:ascii="Book Antiqua" w:hAnsi="Book Antiqua"/>
          <w:b/>
          <w:bCs/>
        </w:rPr>
        <w:t>Gono K</w:t>
      </w:r>
      <w:r w:rsidRPr="00FF7E88">
        <w:rPr>
          <w:rFonts w:ascii="Book Antiqua" w:hAnsi="Book Antiqua"/>
        </w:rPr>
        <w:t xml:space="preserve">, Obi T, Yamaguchi M, Ohyama N, Machida H, Sano Y, Yoshida S, Hamamoto Y, Endo T. Appearance of enhanced tissue features in narrow-band endoscopic imaging. </w:t>
      </w:r>
      <w:r w:rsidRPr="00FF7E88">
        <w:rPr>
          <w:rFonts w:ascii="Book Antiqua" w:hAnsi="Book Antiqua"/>
          <w:i/>
          <w:iCs/>
        </w:rPr>
        <w:t>J Biomed Opt</w:t>
      </w:r>
      <w:r w:rsidRPr="00FF7E88">
        <w:rPr>
          <w:rFonts w:ascii="Book Antiqua" w:hAnsi="Book Antiqua"/>
        </w:rPr>
        <w:t xml:space="preserve"> 2004; </w:t>
      </w:r>
      <w:r w:rsidRPr="00FF7E88">
        <w:rPr>
          <w:rFonts w:ascii="Book Antiqua" w:hAnsi="Book Antiqua"/>
          <w:b/>
          <w:bCs/>
        </w:rPr>
        <w:t>9</w:t>
      </w:r>
      <w:r w:rsidRPr="00FF7E88">
        <w:rPr>
          <w:rFonts w:ascii="Book Antiqua" w:hAnsi="Book Antiqua"/>
        </w:rPr>
        <w:t>: 568-577 [PMID: 15189095 DOI: 10.1117/1.1695563]</w:t>
      </w:r>
    </w:p>
    <w:p w14:paraId="65EFBC7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9 </w:t>
      </w:r>
      <w:r w:rsidRPr="00FF7E88">
        <w:rPr>
          <w:rFonts w:ascii="Book Antiqua" w:hAnsi="Book Antiqua"/>
          <w:b/>
          <w:bCs/>
        </w:rPr>
        <w:t>Muto M</w:t>
      </w:r>
      <w:r w:rsidRPr="00FF7E88">
        <w:rPr>
          <w:rFonts w:ascii="Book Antiqua" w:hAnsi="Book Antiqua"/>
        </w:rPr>
        <w:t xml:space="preserve">, Horimatsu T, Ezoe Y, Morita S, Miyamoto S. Improving visualization techniques by narrow band imaging and magnification endoscopy. </w:t>
      </w:r>
      <w:r w:rsidRPr="00FF7E88">
        <w:rPr>
          <w:rFonts w:ascii="Book Antiqua" w:hAnsi="Book Antiqua"/>
          <w:i/>
          <w:iCs/>
        </w:rPr>
        <w:t>J Gastroenterol Hepatol</w:t>
      </w:r>
      <w:r w:rsidRPr="00FF7E88">
        <w:rPr>
          <w:rFonts w:ascii="Book Antiqua" w:hAnsi="Book Antiqua"/>
        </w:rPr>
        <w:t xml:space="preserve"> 2009; </w:t>
      </w:r>
      <w:r w:rsidRPr="00FF7E88">
        <w:rPr>
          <w:rFonts w:ascii="Book Antiqua" w:hAnsi="Book Antiqua"/>
          <w:b/>
          <w:bCs/>
        </w:rPr>
        <w:t>24</w:t>
      </w:r>
      <w:r w:rsidRPr="00FF7E88">
        <w:rPr>
          <w:rFonts w:ascii="Book Antiqua" w:hAnsi="Book Antiqua"/>
        </w:rPr>
        <w:t>: 1333-1346 [PMID: 19702901 DOI: 10.1111/j.1440-1746.2009.05925.x]</w:t>
      </w:r>
    </w:p>
    <w:p w14:paraId="391DD47B"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10 </w:t>
      </w:r>
      <w:r w:rsidRPr="00FF7E88">
        <w:rPr>
          <w:rFonts w:ascii="Book Antiqua" w:hAnsi="Book Antiqua"/>
          <w:b/>
          <w:bCs/>
        </w:rPr>
        <w:t>Tahara T</w:t>
      </w:r>
      <w:r w:rsidRPr="00FF7E88">
        <w:rPr>
          <w:rFonts w:ascii="Book Antiqua" w:hAnsi="Book Antiqua"/>
        </w:rPr>
        <w:t xml:space="preserve">, Shibata T, Nakamura M, Yoshioka D, Okubo M, Arisawa T, Hirata I. Gastric mucosal pattern by using magnifying narrow-band imaging endoscopy clearly distinguishes histological and serological severity of chronic gastritis. </w:t>
      </w:r>
      <w:r w:rsidRPr="00FF7E88">
        <w:rPr>
          <w:rFonts w:ascii="Book Antiqua" w:hAnsi="Book Antiqua"/>
          <w:i/>
          <w:iCs/>
        </w:rPr>
        <w:t>Gastrointest Endosc</w:t>
      </w:r>
      <w:r w:rsidRPr="00FF7E88">
        <w:rPr>
          <w:rFonts w:ascii="Book Antiqua" w:hAnsi="Book Antiqua"/>
        </w:rPr>
        <w:t xml:space="preserve"> 2009; </w:t>
      </w:r>
      <w:r w:rsidRPr="00FF7E88">
        <w:rPr>
          <w:rFonts w:ascii="Book Antiqua" w:hAnsi="Book Antiqua"/>
          <w:b/>
          <w:bCs/>
        </w:rPr>
        <w:t>70</w:t>
      </w:r>
      <w:r w:rsidRPr="00FF7E88">
        <w:rPr>
          <w:rFonts w:ascii="Book Antiqua" w:hAnsi="Book Antiqua"/>
        </w:rPr>
        <w:t>: 246-253 [PMID: 19386303 DOI: 10.1016/j.gie.2008.11.046]</w:t>
      </w:r>
    </w:p>
    <w:p w14:paraId="486D55D0"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11 </w:t>
      </w:r>
      <w:r w:rsidRPr="00FF7E88">
        <w:rPr>
          <w:rFonts w:ascii="Book Antiqua" w:hAnsi="Book Antiqua"/>
          <w:b/>
          <w:bCs/>
        </w:rPr>
        <w:t>ASGE Technology Committee.</w:t>
      </w:r>
      <w:r w:rsidRPr="00FF7E88">
        <w:rPr>
          <w:rFonts w:ascii="Book Antiqua" w:hAnsi="Book Antiqua"/>
        </w:rPr>
        <w:t xml:space="preserve">. High-definition and high-magnification endoscopes. </w:t>
      </w:r>
      <w:r w:rsidRPr="00FF7E88">
        <w:rPr>
          <w:rFonts w:ascii="Book Antiqua" w:hAnsi="Book Antiqua"/>
          <w:i/>
          <w:iCs/>
        </w:rPr>
        <w:t>Gastrointest Endosc</w:t>
      </w:r>
      <w:r w:rsidRPr="00FF7E88">
        <w:rPr>
          <w:rFonts w:ascii="Book Antiqua" w:hAnsi="Book Antiqua"/>
        </w:rPr>
        <w:t xml:space="preserve"> 2014; </w:t>
      </w:r>
      <w:r w:rsidRPr="00FF7E88">
        <w:rPr>
          <w:rFonts w:ascii="Book Antiqua" w:hAnsi="Book Antiqua"/>
          <w:b/>
          <w:bCs/>
        </w:rPr>
        <w:t>80</w:t>
      </w:r>
      <w:r w:rsidRPr="00FF7E88">
        <w:rPr>
          <w:rFonts w:ascii="Book Antiqua" w:hAnsi="Book Antiqua"/>
        </w:rPr>
        <w:t>: 919-927 [PMID: 25442091 DOI: 10.1016/j.gie.2014.06.019]</w:t>
      </w:r>
    </w:p>
    <w:p w14:paraId="2581F251"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12 </w:t>
      </w:r>
      <w:r w:rsidRPr="00FF7E88">
        <w:rPr>
          <w:rFonts w:ascii="Book Antiqua" w:hAnsi="Book Antiqua"/>
          <w:b/>
          <w:bCs/>
        </w:rPr>
        <w:t>Cho JH</w:t>
      </w:r>
      <w:r w:rsidRPr="00FF7E88">
        <w:rPr>
          <w:rFonts w:ascii="Book Antiqua" w:hAnsi="Book Antiqua"/>
        </w:rPr>
        <w:t xml:space="preserve">, Chang YW, Jang JY, Shim JJ, Lee CK, Dong SH, Kim HJ, Kim BH, Lee TH, Cho JY. Close observation of gastric mucosal pattern by standard endoscopy can predict Helicobacter pylori infection status. </w:t>
      </w:r>
      <w:r w:rsidRPr="00FF7E88">
        <w:rPr>
          <w:rFonts w:ascii="Book Antiqua" w:hAnsi="Book Antiqua"/>
          <w:i/>
          <w:iCs/>
        </w:rPr>
        <w:t>J Gastroenterol Hepatol</w:t>
      </w:r>
      <w:r w:rsidRPr="00FF7E88">
        <w:rPr>
          <w:rFonts w:ascii="Book Antiqua" w:hAnsi="Book Antiqua"/>
        </w:rPr>
        <w:t xml:space="preserve"> 2013; </w:t>
      </w:r>
      <w:r w:rsidRPr="00FF7E88">
        <w:rPr>
          <w:rFonts w:ascii="Book Antiqua" w:hAnsi="Book Antiqua"/>
          <w:b/>
          <w:bCs/>
        </w:rPr>
        <w:t>28</w:t>
      </w:r>
      <w:r w:rsidRPr="00FF7E88">
        <w:rPr>
          <w:rFonts w:ascii="Book Antiqua" w:hAnsi="Book Antiqua"/>
        </w:rPr>
        <w:t>: 279-284 [PMID: 23189930 DOI: 10.1111/jgh.12046]</w:t>
      </w:r>
    </w:p>
    <w:p w14:paraId="0539DA88"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13 </w:t>
      </w:r>
      <w:r w:rsidRPr="00FF7E88">
        <w:rPr>
          <w:rFonts w:ascii="Book Antiqua" w:hAnsi="Book Antiqua"/>
          <w:b/>
          <w:bCs/>
        </w:rPr>
        <w:t>Glover B</w:t>
      </w:r>
      <w:r w:rsidRPr="00FF7E88">
        <w:rPr>
          <w:rFonts w:ascii="Book Antiqua" w:hAnsi="Book Antiqua"/>
        </w:rPr>
        <w:t xml:space="preserve">, Teare J, Patel N. A systematic review of the role of non-magnified endoscopy for the assessment of </w:t>
      </w:r>
      <w:r w:rsidRPr="00FF7E88">
        <w:rPr>
          <w:rFonts w:ascii="Book Antiqua" w:hAnsi="Book Antiqua"/>
          <w:i/>
          <w:iCs/>
        </w:rPr>
        <w:t>H. pylori</w:t>
      </w:r>
      <w:r w:rsidRPr="00FF7E88">
        <w:rPr>
          <w:rFonts w:ascii="Book Antiqua" w:hAnsi="Book Antiqua"/>
        </w:rPr>
        <w:t xml:space="preserve"> infection. </w:t>
      </w:r>
      <w:r w:rsidRPr="00FF7E88">
        <w:rPr>
          <w:rFonts w:ascii="Book Antiqua" w:hAnsi="Book Antiqua"/>
          <w:i/>
          <w:iCs/>
        </w:rPr>
        <w:t>Endosc Int Open</w:t>
      </w:r>
      <w:r w:rsidRPr="00FF7E88">
        <w:rPr>
          <w:rFonts w:ascii="Book Antiqua" w:hAnsi="Book Antiqua"/>
        </w:rPr>
        <w:t xml:space="preserve"> 2020; </w:t>
      </w:r>
      <w:r w:rsidRPr="00FF7E88">
        <w:rPr>
          <w:rFonts w:ascii="Book Antiqua" w:hAnsi="Book Antiqua"/>
          <w:b/>
          <w:bCs/>
        </w:rPr>
        <w:t>8</w:t>
      </w:r>
      <w:r w:rsidRPr="00FF7E88">
        <w:rPr>
          <w:rFonts w:ascii="Book Antiqua" w:hAnsi="Book Antiqua"/>
        </w:rPr>
        <w:t>: E105-E114 [PMID: 32010741 DOI: 10.1055/a-0999-5252]</w:t>
      </w:r>
    </w:p>
    <w:p w14:paraId="1781435D"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14 </w:t>
      </w:r>
      <w:r w:rsidRPr="00FF7E88">
        <w:rPr>
          <w:rFonts w:ascii="Book Antiqua" w:hAnsi="Book Antiqua"/>
          <w:b/>
          <w:bCs/>
        </w:rPr>
        <w:t>Cho JH</w:t>
      </w:r>
      <w:r w:rsidRPr="00FF7E88">
        <w:rPr>
          <w:rFonts w:ascii="Book Antiqua" w:hAnsi="Book Antiqua"/>
        </w:rPr>
        <w:t xml:space="preserve">, Jeon SR, Jin SY. Clinical applicability of gastroscopy with narrow-band imaging for the diagnosis of </w:t>
      </w:r>
      <w:r w:rsidRPr="00FF7E88">
        <w:rPr>
          <w:rFonts w:ascii="Book Antiqua" w:hAnsi="Book Antiqua"/>
          <w:i/>
          <w:iCs/>
        </w:rPr>
        <w:t>Helicobacter pylori</w:t>
      </w:r>
      <w:r w:rsidRPr="00FF7E88">
        <w:rPr>
          <w:rFonts w:ascii="Book Antiqua" w:hAnsi="Book Antiqua"/>
        </w:rPr>
        <w:t xml:space="preserve"> gastritis, precancerous gastric lesion, and neoplasia. </w:t>
      </w:r>
      <w:r w:rsidRPr="00FF7E88">
        <w:rPr>
          <w:rFonts w:ascii="Book Antiqua" w:hAnsi="Book Antiqua"/>
          <w:i/>
          <w:iCs/>
        </w:rPr>
        <w:t>World J Clin Cases</w:t>
      </w:r>
      <w:r w:rsidRPr="00FF7E88">
        <w:rPr>
          <w:rFonts w:ascii="Book Antiqua" w:hAnsi="Book Antiqua"/>
        </w:rPr>
        <w:t xml:space="preserve"> 2020; </w:t>
      </w:r>
      <w:r w:rsidRPr="00FF7E88">
        <w:rPr>
          <w:rFonts w:ascii="Book Antiqua" w:hAnsi="Book Antiqua"/>
          <w:b/>
          <w:bCs/>
        </w:rPr>
        <w:t>8</w:t>
      </w:r>
      <w:r w:rsidRPr="00FF7E88">
        <w:rPr>
          <w:rFonts w:ascii="Book Antiqua" w:hAnsi="Book Antiqua"/>
        </w:rPr>
        <w:t>: 2902-2916 [PMID: 32775373 DOI: 10.12998/wjcc.v8.i14.2902]</w:t>
      </w:r>
    </w:p>
    <w:p w14:paraId="550203DA"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15 </w:t>
      </w:r>
      <w:r w:rsidRPr="00FF7E88">
        <w:rPr>
          <w:rFonts w:ascii="Book Antiqua" w:hAnsi="Book Antiqua"/>
          <w:b/>
          <w:bCs/>
        </w:rPr>
        <w:t>Yagi K</w:t>
      </w:r>
      <w:r w:rsidRPr="00FF7E88">
        <w:rPr>
          <w:rFonts w:ascii="Book Antiqua" w:hAnsi="Book Antiqua"/>
        </w:rPr>
        <w:t xml:space="preserve">, Nakamura A, Sekine A. Comparison between magnifying endoscopy and histological, culture and urease test findings from the gastric mucosa of the corpus. </w:t>
      </w:r>
      <w:r w:rsidRPr="00FF7E88">
        <w:rPr>
          <w:rFonts w:ascii="Book Antiqua" w:hAnsi="Book Antiqua"/>
          <w:i/>
          <w:iCs/>
        </w:rPr>
        <w:t>Endoscopy</w:t>
      </w:r>
      <w:r w:rsidRPr="00FF7E88">
        <w:rPr>
          <w:rFonts w:ascii="Book Antiqua" w:hAnsi="Book Antiqua"/>
        </w:rPr>
        <w:t xml:space="preserve"> 2002; </w:t>
      </w:r>
      <w:r w:rsidRPr="00FF7E88">
        <w:rPr>
          <w:rFonts w:ascii="Book Antiqua" w:hAnsi="Book Antiqua"/>
          <w:b/>
          <w:bCs/>
        </w:rPr>
        <w:t>34</w:t>
      </w:r>
      <w:r w:rsidRPr="00FF7E88">
        <w:rPr>
          <w:rFonts w:ascii="Book Antiqua" w:hAnsi="Book Antiqua"/>
        </w:rPr>
        <w:t>: 376-381 [PMID: 11972268 DOI: 10.1055/s-2002-25281]</w:t>
      </w:r>
    </w:p>
    <w:p w14:paraId="495A9D7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16 </w:t>
      </w:r>
      <w:r w:rsidRPr="00FF7E88">
        <w:rPr>
          <w:rFonts w:ascii="Book Antiqua" w:hAnsi="Book Antiqua"/>
          <w:b/>
          <w:bCs/>
        </w:rPr>
        <w:t>Dixon MF</w:t>
      </w:r>
      <w:r w:rsidRPr="00FF7E88">
        <w:rPr>
          <w:rFonts w:ascii="Book Antiqua" w:hAnsi="Book Antiqua"/>
        </w:rPr>
        <w:t xml:space="preserve">, Genta RM, Yardley JH, Correa P. Classification and grading of gastritis. The updated Sydney System. International Workshop on the Histopathology of Gastritis, Houston 1994. </w:t>
      </w:r>
      <w:r w:rsidRPr="00FF7E88">
        <w:rPr>
          <w:rFonts w:ascii="Book Antiqua" w:hAnsi="Book Antiqua"/>
          <w:i/>
          <w:iCs/>
        </w:rPr>
        <w:t>Am J Surg Pathol</w:t>
      </w:r>
      <w:r w:rsidRPr="00FF7E88">
        <w:rPr>
          <w:rFonts w:ascii="Book Antiqua" w:hAnsi="Book Antiqua"/>
        </w:rPr>
        <w:t xml:space="preserve"> 1996; </w:t>
      </w:r>
      <w:r w:rsidRPr="00FF7E88">
        <w:rPr>
          <w:rFonts w:ascii="Book Antiqua" w:hAnsi="Book Antiqua"/>
          <w:b/>
          <w:bCs/>
        </w:rPr>
        <w:t>20</w:t>
      </w:r>
      <w:r w:rsidRPr="00FF7E88">
        <w:rPr>
          <w:rFonts w:ascii="Book Antiqua" w:hAnsi="Book Antiqua"/>
        </w:rPr>
        <w:t>: 1161-1181 [PMID: 8827022 DOI: 10.1097/00000478-199610000-00001]</w:t>
      </w:r>
    </w:p>
    <w:p w14:paraId="3457747C"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17 </w:t>
      </w:r>
      <w:r w:rsidRPr="00FF7E88">
        <w:rPr>
          <w:rFonts w:ascii="Book Antiqua" w:hAnsi="Book Antiqua"/>
          <w:b/>
          <w:bCs/>
        </w:rPr>
        <w:t>Correa P</w:t>
      </w:r>
      <w:r w:rsidRPr="00FF7E88">
        <w:rPr>
          <w:rFonts w:ascii="Book Antiqua" w:hAnsi="Book Antiqua"/>
        </w:rPr>
        <w:t xml:space="preserve">, Piazuelo MB, Wilson KT. Pathology of gastric intestinal metaplasia: clinical implications. </w:t>
      </w:r>
      <w:r w:rsidRPr="00FF7E88">
        <w:rPr>
          <w:rFonts w:ascii="Book Antiqua" w:hAnsi="Book Antiqua"/>
          <w:i/>
          <w:iCs/>
        </w:rPr>
        <w:t>Am J Gastroenterol</w:t>
      </w:r>
      <w:r w:rsidRPr="00FF7E88">
        <w:rPr>
          <w:rFonts w:ascii="Book Antiqua" w:hAnsi="Book Antiqua"/>
        </w:rPr>
        <w:t xml:space="preserve"> 2010; </w:t>
      </w:r>
      <w:r w:rsidRPr="00FF7E88">
        <w:rPr>
          <w:rFonts w:ascii="Book Antiqua" w:hAnsi="Book Antiqua"/>
          <w:b/>
          <w:bCs/>
        </w:rPr>
        <w:t>105</w:t>
      </w:r>
      <w:r w:rsidRPr="00FF7E88">
        <w:rPr>
          <w:rFonts w:ascii="Book Antiqua" w:hAnsi="Book Antiqua"/>
        </w:rPr>
        <w:t>: 493-498 [PMID: 20203636 DOI: 10.1038/ajg.2009.728]</w:t>
      </w:r>
    </w:p>
    <w:p w14:paraId="1A1C90DE"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18 </w:t>
      </w:r>
      <w:r w:rsidRPr="00FF7E88">
        <w:rPr>
          <w:rFonts w:ascii="Book Antiqua" w:hAnsi="Book Antiqua"/>
          <w:b/>
          <w:bCs/>
        </w:rPr>
        <w:t>Cho JH</w:t>
      </w:r>
      <w:r w:rsidRPr="00FF7E88">
        <w:rPr>
          <w:rFonts w:ascii="Book Antiqua" w:hAnsi="Book Antiqua"/>
        </w:rPr>
        <w:t xml:space="preserve">, Jeon SR, Kim HG, Jin SY, Park S. The serum pepsinogen levels for risk assessment of gastric neoplasms: New proposal from a case-control study in Korea. </w:t>
      </w:r>
      <w:r w:rsidRPr="00FF7E88">
        <w:rPr>
          <w:rFonts w:ascii="Book Antiqua" w:hAnsi="Book Antiqua"/>
          <w:i/>
          <w:iCs/>
        </w:rPr>
        <w:t>Medicine (Baltimore)</w:t>
      </w:r>
      <w:r w:rsidRPr="00FF7E88">
        <w:rPr>
          <w:rFonts w:ascii="Book Antiqua" w:hAnsi="Book Antiqua"/>
        </w:rPr>
        <w:t xml:space="preserve"> 2017; </w:t>
      </w:r>
      <w:r w:rsidRPr="00FF7E88">
        <w:rPr>
          <w:rFonts w:ascii="Book Antiqua" w:hAnsi="Book Antiqua"/>
          <w:b/>
          <w:bCs/>
        </w:rPr>
        <w:t>96</w:t>
      </w:r>
      <w:r w:rsidRPr="00FF7E88">
        <w:rPr>
          <w:rFonts w:ascii="Book Antiqua" w:hAnsi="Book Antiqua"/>
        </w:rPr>
        <w:t>: e7603 [PMID: 28723806 DOI: 10.1097/MD.0000000000007603]</w:t>
      </w:r>
    </w:p>
    <w:p w14:paraId="54EE43A1"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19 </w:t>
      </w:r>
      <w:r w:rsidRPr="00FF7E88">
        <w:rPr>
          <w:rFonts w:ascii="Book Antiqua" w:hAnsi="Book Antiqua"/>
          <w:b/>
          <w:bCs/>
        </w:rPr>
        <w:t>Kodoi A</w:t>
      </w:r>
      <w:r w:rsidRPr="00FF7E88">
        <w:rPr>
          <w:rFonts w:ascii="Book Antiqua" w:hAnsi="Book Antiqua"/>
        </w:rPr>
        <w:t xml:space="preserve">, Yoshihara M, Sumii K, Haruma K, Kajiyama G. Serum pepsinogen in screening for gastric cancer. </w:t>
      </w:r>
      <w:r w:rsidRPr="00FF7E88">
        <w:rPr>
          <w:rFonts w:ascii="Book Antiqua" w:hAnsi="Book Antiqua"/>
          <w:i/>
          <w:iCs/>
        </w:rPr>
        <w:t>J Gastroenterol</w:t>
      </w:r>
      <w:r w:rsidRPr="00FF7E88">
        <w:rPr>
          <w:rFonts w:ascii="Book Antiqua" w:hAnsi="Book Antiqua"/>
        </w:rPr>
        <w:t xml:space="preserve"> 1995; </w:t>
      </w:r>
      <w:r w:rsidRPr="00FF7E88">
        <w:rPr>
          <w:rFonts w:ascii="Book Antiqua" w:hAnsi="Book Antiqua"/>
          <w:b/>
          <w:bCs/>
        </w:rPr>
        <w:t>30</w:t>
      </w:r>
      <w:r w:rsidRPr="00FF7E88">
        <w:rPr>
          <w:rFonts w:ascii="Book Antiqua" w:hAnsi="Book Antiqua"/>
        </w:rPr>
        <w:t>: 452-460 [PMID: 7550854 DOI: 10.1007/BF02347560]</w:t>
      </w:r>
    </w:p>
    <w:p w14:paraId="53A54D0E"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20 </w:t>
      </w:r>
      <w:r w:rsidRPr="00FF7E88">
        <w:rPr>
          <w:rFonts w:ascii="Book Antiqua" w:hAnsi="Book Antiqua"/>
          <w:b/>
          <w:bCs/>
        </w:rPr>
        <w:t>Carpenter HA</w:t>
      </w:r>
      <w:r w:rsidRPr="00FF7E88">
        <w:rPr>
          <w:rFonts w:ascii="Book Antiqua" w:hAnsi="Book Antiqua"/>
        </w:rPr>
        <w:t xml:space="preserve">, Talley NJ. Gastroscopy is incomplete without biopsy: clinical relevance of distinguishing gastropathy from gastritis. </w:t>
      </w:r>
      <w:r w:rsidRPr="00FF7E88">
        <w:rPr>
          <w:rFonts w:ascii="Book Antiqua" w:hAnsi="Book Antiqua"/>
          <w:i/>
          <w:iCs/>
        </w:rPr>
        <w:t>Gastroenterology</w:t>
      </w:r>
      <w:r w:rsidRPr="00FF7E88">
        <w:rPr>
          <w:rFonts w:ascii="Book Antiqua" w:hAnsi="Book Antiqua"/>
        </w:rPr>
        <w:t xml:space="preserve"> 1995; </w:t>
      </w:r>
      <w:r w:rsidRPr="00FF7E88">
        <w:rPr>
          <w:rFonts w:ascii="Book Antiqua" w:hAnsi="Book Antiqua"/>
          <w:b/>
          <w:bCs/>
        </w:rPr>
        <w:t>108</w:t>
      </w:r>
      <w:r w:rsidRPr="00FF7E88">
        <w:rPr>
          <w:rFonts w:ascii="Book Antiqua" w:hAnsi="Book Antiqua"/>
        </w:rPr>
        <w:t>: 917-924 [PMID: 7875496 DOI: 10.1016/0016-5085(95)90468-9]</w:t>
      </w:r>
    </w:p>
    <w:p w14:paraId="0789FC90"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21 </w:t>
      </w:r>
      <w:r w:rsidRPr="00FF7E88">
        <w:rPr>
          <w:rFonts w:ascii="Book Antiqua" w:hAnsi="Book Antiqua"/>
          <w:b/>
          <w:bCs/>
        </w:rPr>
        <w:t>El-Zimaity HM</w:t>
      </w:r>
      <w:r w:rsidRPr="00FF7E88">
        <w:rPr>
          <w:rFonts w:ascii="Book Antiqua" w:hAnsi="Book Antiqua"/>
        </w:rPr>
        <w:t xml:space="preserve">, Graham DY. Evaluation of gastric mucosal biopsy site and number for identification of Helicobacter pylori or intestinal metaplasia: role of the Sydney System. </w:t>
      </w:r>
      <w:r w:rsidRPr="00FF7E88">
        <w:rPr>
          <w:rFonts w:ascii="Book Antiqua" w:hAnsi="Book Antiqua"/>
          <w:i/>
          <w:iCs/>
        </w:rPr>
        <w:t>Hum Pathol</w:t>
      </w:r>
      <w:r w:rsidRPr="00FF7E88">
        <w:rPr>
          <w:rFonts w:ascii="Book Antiqua" w:hAnsi="Book Antiqua"/>
        </w:rPr>
        <w:t xml:space="preserve"> 1999; </w:t>
      </w:r>
      <w:r w:rsidRPr="00FF7E88">
        <w:rPr>
          <w:rFonts w:ascii="Book Antiqua" w:hAnsi="Book Antiqua"/>
          <w:b/>
          <w:bCs/>
        </w:rPr>
        <w:t>30</w:t>
      </w:r>
      <w:r w:rsidRPr="00FF7E88">
        <w:rPr>
          <w:rFonts w:ascii="Book Antiqua" w:hAnsi="Book Antiqua"/>
        </w:rPr>
        <w:t>: 72-77 [PMID: 9923930 DOI: 10.1016/s0046-8177(99)90303-9]</w:t>
      </w:r>
    </w:p>
    <w:p w14:paraId="53AAD80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22 </w:t>
      </w:r>
      <w:r w:rsidRPr="00FF7E88">
        <w:rPr>
          <w:rFonts w:ascii="Book Antiqua" w:hAnsi="Book Antiqua"/>
          <w:b/>
          <w:bCs/>
        </w:rPr>
        <w:t>Kiesslich R</w:t>
      </w:r>
      <w:r w:rsidRPr="00FF7E88">
        <w:rPr>
          <w:rFonts w:ascii="Book Antiqua" w:hAnsi="Book Antiqua"/>
        </w:rPr>
        <w:t xml:space="preserve">, Goetz M, Hoffman A, Galle PR. New imaging techniques and opportunities in endoscopy. </w:t>
      </w:r>
      <w:r w:rsidRPr="00FF7E88">
        <w:rPr>
          <w:rFonts w:ascii="Book Antiqua" w:hAnsi="Book Antiqua"/>
          <w:i/>
          <w:iCs/>
        </w:rPr>
        <w:t>Nat Rev Gastroenterol Hepatol</w:t>
      </w:r>
      <w:r w:rsidRPr="00FF7E88">
        <w:rPr>
          <w:rFonts w:ascii="Book Antiqua" w:hAnsi="Book Antiqua"/>
        </w:rPr>
        <w:t xml:space="preserve"> 2011; </w:t>
      </w:r>
      <w:r w:rsidRPr="00FF7E88">
        <w:rPr>
          <w:rFonts w:ascii="Book Antiqua" w:hAnsi="Book Antiqua"/>
          <w:b/>
          <w:bCs/>
        </w:rPr>
        <w:t>8</w:t>
      </w:r>
      <w:r w:rsidRPr="00FF7E88">
        <w:rPr>
          <w:rFonts w:ascii="Book Antiqua" w:hAnsi="Book Antiqua"/>
        </w:rPr>
        <w:t>: 547-553 [PMID: 21894196 DOI: 10.1038/nrgastro.2011.152]</w:t>
      </w:r>
    </w:p>
    <w:p w14:paraId="5C2F96A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23 </w:t>
      </w:r>
      <w:r w:rsidRPr="00FF7E88">
        <w:rPr>
          <w:rFonts w:ascii="Book Antiqua" w:hAnsi="Book Antiqua"/>
          <w:b/>
          <w:bCs/>
        </w:rPr>
        <w:t>Yagi K</w:t>
      </w:r>
      <w:r w:rsidRPr="00FF7E88">
        <w:rPr>
          <w:rFonts w:ascii="Book Antiqua" w:hAnsi="Book Antiqua"/>
        </w:rPr>
        <w:t xml:space="preserve">, Nakamura A, Sekine A. Characteristic endoscopic and magnified endoscopic findings in the normal stomach without Helicobacter pylori infection. </w:t>
      </w:r>
      <w:r w:rsidRPr="00FF7E88">
        <w:rPr>
          <w:rFonts w:ascii="Book Antiqua" w:hAnsi="Book Antiqua"/>
          <w:i/>
          <w:iCs/>
        </w:rPr>
        <w:t>J Gastroenterol Hepatol</w:t>
      </w:r>
      <w:r w:rsidRPr="00FF7E88">
        <w:rPr>
          <w:rFonts w:ascii="Book Antiqua" w:hAnsi="Book Antiqua"/>
        </w:rPr>
        <w:t xml:space="preserve"> 2002; </w:t>
      </w:r>
      <w:r w:rsidRPr="00FF7E88">
        <w:rPr>
          <w:rFonts w:ascii="Book Antiqua" w:hAnsi="Book Antiqua"/>
          <w:b/>
          <w:bCs/>
        </w:rPr>
        <w:t>17</w:t>
      </w:r>
      <w:r w:rsidRPr="00FF7E88">
        <w:rPr>
          <w:rFonts w:ascii="Book Antiqua" w:hAnsi="Book Antiqua"/>
        </w:rPr>
        <w:t>: 39-45 [PMID: 11895551 DOI: 10.1046/j.1440-1746.2002.02665.x]</w:t>
      </w:r>
    </w:p>
    <w:p w14:paraId="28B48C3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24 </w:t>
      </w:r>
      <w:r w:rsidRPr="00FF7E88">
        <w:rPr>
          <w:rFonts w:ascii="Book Antiqua" w:hAnsi="Book Antiqua"/>
          <w:b/>
          <w:bCs/>
        </w:rPr>
        <w:t>Yagi K</w:t>
      </w:r>
      <w:r w:rsidRPr="00FF7E88">
        <w:rPr>
          <w:rFonts w:ascii="Book Antiqua" w:hAnsi="Book Antiqua"/>
        </w:rPr>
        <w:t xml:space="preserve">, Honda H, Yang JM, Nakagawa S. Magnifying endoscopy in gastritis of the corpus. </w:t>
      </w:r>
      <w:r w:rsidRPr="00FF7E88">
        <w:rPr>
          <w:rFonts w:ascii="Book Antiqua" w:hAnsi="Book Antiqua"/>
          <w:i/>
          <w:iCs/>
        </w:rPr>
        <w:t>Endoscopy</w:t>
      </w:r>
      <w:r w:rsidRPr="00FF7E88">
        <w:rPr>
          <w:rFonts w:ascii="Book Antiqua" w:hAnsi="Book Antiqua"/>
        </w:rPr>
        <w:t xml:space="preserve"> 2005; </w:t>
      </w:r>
      <w:r w:rsidRPr="00FF7E88">
        <w:rPr>
          <w:rFonts w:ascii="Book Antiqua" w:hAnsi="Book Antiqua"/>
          <w:b/>
          <w:bCs/>
        </w:rPr>
        <w:t>37</w:t>
      </w:r>
      <w:r w:rsidRPr="00FF7E88">
        <w:rPr>
          <w:rFonts w:ascii="Book Antiqua" w:hAnsi="Book Antiqua"/>
        </w:rPr>
        <w:t>: 660-666 [PMID: 16010611 DOI: 10.1055/s-2005-861423]</w:t>
      </w:r>
    </w:p>
    <w:p w14:paraId="31750A1B"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25 </w:t>
      </w:r>
      <w:r w:rsidRPr="00FF7E88">
        <w:rPr>
          <w:rFonts w:ascii="Book Antiqua" w:hAnsi="Book Antiqua"/>
          <w:b/>
          <w:bCs/>
        </w:rPr>
        <w:t>Anagnostopoulos GK</w:t>
      </w:r>
      <w:r w:rsidRPr="00FF7E88">
        <w:rPr>
          <w:rFonts w:ascii="Book Antiqua" w:hAnsi="Book Antiqua"/>
        </w:rPr>
        <w:t xml:space="preserve">, Yao K, Kaye P, Fogden E, Fortun P, Shonde A, Foley S, Sunil S, Atherton JJ, Hawkey C, Ragunath K. High-resolution magnification endoscopy can reliably identify normal gastric mucosa, Helicobacter pylori-associated gastritis, and gastric atrophy. </w:t>
      </w:r>
      <w:r w:rsidRPr="00FF7E88">
        <w:rPr>
          <w:rFonts w:ascii="Book Antiqua" w:hAnsi="Book Antiqua"/>
          <w:i/>
          <w:iCs/>
        </w:rPr>
        <w:t>Endoscopy</w:t>
      </w:r>
      <w:r w:rsidRPr="00FF7E88">
        <w:rPr>
          <w:rFonts w:ascii="Book Antiqua" w:hAnsi="Book Antiqua"/>
        </w:rPr>
        <w:t xml:space="preserve"> 2007; </w:t>
      </w:r>
      <w:r w:rsidRPr="00FF7E88">
        <w:rPr>
          <w:rFonts w:ascii="Book Antiqua" w:hAnsi="Book Antiqua"/>
          <w:b/>
          <w:bCs/>
        </w:rPr>
        <w:t>39</w:t>
      </w:r>
      <w:r w:rsidRPr="00FF7E88">
        <w:rPr>
          <w:rFonts w:ascii="Book Antiqua" w:hAnsi="Book Antiqua"/>
        </w:rPr>
        <w:t>: 202-207 [PMID: 17273960 DOI: 10.1055/s-2006-945056]</w:t>
      </w:r>
    </w:p>
    <w:p w14:paraId="721170A4"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26 </w:t>
      </w:r>
      <w:r w:rsidRPr="00FF7E88">
        <w:rPr>
          <w:rFonts w:ascii="Book Antiqua" w:hAnsi="Book Antiqua"/>
          <w:b/>
          <w:bCs/>
        </w:rPr>
        <w:t>Kawamura M</w:t>
      </w:r>
      <w:r w:rsidRPr="00FF7E88">
        <w:rPr>
          <w:rFonts w:ascii="Book Antiqua" w:hAnsi="Book Antiqua"/>
        </w:rPr>
        <w:t xml:space="preserve">, Abe S, Oikawa K, Terai S, Saito M, Shibuya D, Kato K, Shimada T, Uedo N, Masuda T. Topographic differences in gastric micromucosal patterns observed by magnifying endoscopy with narrow band imaging. </w:t>
      </w:r>
      <w:r w:rsidRPr="00FF7E88">
        <w:rPr>
          <w:rFonts w:ascii="Book Antiqua" w:hAnsi="Book Antiqua"/>
          <w:i/>
          <w:iCs/>
        </w:rPr>
        <w:t>J Gastroenterol Hepatol</w:t>
      </w:r>
      <w:r w:rsidRPr="00FF7E88">
        <w:rPr>
          <w:rFonts w:ascii="Book Antiqua" w:hAnsi="Book Antiqua"/>
        </w:rPr>
        <w:t xml:space="preserve"> 2011; </w:t>
      </w:r>
      <w:r w:rsidRPr="00FF7E88">
        <w:rPr>
          <w:rFonts w:ascii="Book Antiqua" w:hAnsi="Book Antiqua"/>
          <w:b/>
          <w:bCs/>
        </w:rPr>
        <w:t>26</w:t>
      </w:r>
      <w:r w:rsidRPr="00FF7E88">
        <w:rPr>
          <w:rFonts w:ascii="Book Antiqua" w:hAnsi="Book Antiqua"/>
        </w:rPr>
        <w:t>: 477-483 [PMID: 21155881 DOI: 10.1111/j.1440-1746.2010.06527.x]</w:t>
      </w:r>
    </w:p>
    <w:p w14:paraId="221B44AF"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27 </w:t>
      </w:r>
      <w:r w:rsidRPr="00FF7E88">
        <w:rPr>
          <w:rFonts w:ascii="Book Antiqua" w:hAnsi="Book Antiqua"/>
          <w:b/>
          <w:bCs/>
        </w:rPr>
        <w:t>Kanzaki H</w:t>
      </w:r>
      <w:r w:rsidRPr="00FF7E88">
        <w:rPr>
          <w:rFonts w:ascii="Book Antiqua" w:hAnsi="Book Antiqua"/>
        </w:rPr>
        <w:t xml:space="preserve">, Uedo N, Ishihara R, Nagai K, Matsui F, Ohta T, Hanafusa M, Hanaoka N, Takeuchi Y, Higashino K, Iishi H, Tomita Y, Tatsuta M, Yamamoto K. Comprehensive investigation of areae gastricae pattern in gastric corpus using magnifying narrow band imaging endoscopy in patients with chronic atrophic fundic gastritis. </w:t>
      </w:r>
      <w:r w:rsidRPr="00FF7E88">
        <w:rPr>
          <w:rFonts w:ascii="Book Antiqua" w:hAnsi="Book Antiqua"/>
          <w:i/>
          <w:iCs/>
        </w:rPr>
        <w:t>Helicobacter</w:t>
      </w:r>
      <w:r w:rsidRPr="00FF7E88">
        <w:rPr>
          <w:rFonts w:ascii="Book Antiqua" w:hAnsi="Book Antiqua"/>
        </w:rPr>
        <w:t xml:space="preserve"> 2012; </w:t>
      </w:r>
      <w:r w:rsidRPr="00FF7E88">
        <w:rPr>
          <w:rFonts w:ascii="Book Antiqua" w:hAnsi="Book Antiqua"/>
          <w:b/>
          <w:bCs/>
        </w:rPr>
        <w:t>17</w:t>
      </w:r>
      <w:r w:rsidRPr="00FF7E88">
        <w:rPr>
          <w:rFonts w:ascii="Book Antiqua" w:hAnsi="Book Antiqua"/>
        </w:rPr>
        <w:t>: 224-231 [PMID: 22515361 DOI: 10.1111/j.1523-5378.2012.00938.x]</w:t>
      </w:r>
    </w:p>
    <w:p w14:paraId="0B269FDB"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28 </w:t>
      </w:r>
      <w:r w:rsidRPr="00FF7E88">
        <w:rPr>
          <w:rFonts w:ascii="Book Antiqua" w:hAnsi="Book Antiqua"/>
          <w:b/>
          <w:bCs/>
        </w:rPr>
        <w:t>Nakanishi H</w:t>
      </w:r>
      <w:r w:rsidRPr="00FF7E88">
        <w:rPr>
          <w:rFonts w:ascii="Book Antiqua" w:hAnsi="Book Antiqua"/>
        </w:rPr>
        <w:t xml:space="preserve">, Doyama H, Ishikawa H, Uedo N, Gotoda T, Kato M, Nagao S, Nagami Y, Aoyagi H, Imagawa A, Kodaira J, Mitsui S, Kobayashi N, Muto M, Takatori H, Abe T, Tsujii M, Watari J, Ishiyama S, Oda I, Ono H, Kaneko K, Yokoi C, Ueo T, Uchita K, Matsumoto K, Kanesaka T, Morita Y, Katsuki S, Nishikawa J, Inamura K, Kinjo T, Yamamoto K, Yoshimura D, Araki H, Kashida H, Hosokawa A, Mori H, Yamashita H, Motohashi O, Kobayashi K, Hirayama M, Kobayashi H, Endo M, Yamano H, Murakami K, Koike T, Hirasawa K, Miyaoka Y, Hamamoto H, Hikichi T, Hanabata N, Shimoda R, Hori S, Sato T, Kodashima S, Okada H, Mannami T, Yamamoto S, Niwa Y, Yashima K, Tanabe S, Satoh H, Sasaki F, Yamazato T, Ikeda Y, Nishisaki H, Nakagawa M, Matsuda A, Tamura F, Nishiyama H, Arita K, Kawasaki K, Hoppo K, Oka M, Ishihara S, Mukasa M, Minamino H, Yao K. Evaluation of an e-learning system for diagnosis of gastric lesions using magnifying narrow-band imaging: a multicenter randomized controlled study. </w:t>
      </w:r>
      <w:r w:rsidRPr="00FF7E88">
        <w:rPr>
          <w:rFonts w:ascii="Book Antiqua" w:hAnsi="Book Antiqua"/>
          <w:i/>
          <w:iCs/>
        </w:rPr>
        <w:t>Endoscopy</w:t>
      </w:r>
      <w:r w:rsidRPr="00FF7E88">
        <w:rPr>
          <w:rFonts w:ascii="Book Antiqua" w:hAnsi="Book Antiqua"/>
        </w:rPr>
        <w:t xml:space="preserve"> 2017; </w:t>
      </w:r>
      <w:r w:rsidRPr="00FF7E88">
        <w:rPr>
          <w:rFonts w:ascii="Book Antiqua" w:hAnsi="Book Antiqua"/>
          <w:b/>
          <w:bCs/>
        </w:rPr>
        <w:t>49</w:t>
      </w:r>
      <w:r w:rsidRPr="00FF7E88">
        <w:rPr>
          <w:rFonts w:ascii="Book Antiqua" w:hAnsi="Book Antiqua"/>
        </w:rPr>
        <w:t>: 957-967 [PMID: 28637065 DOI: 10.1055/s-0043-111888]</w:t>
      </w:r>
    </w:p>
    <w:p w14:paraId="63CF4376"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29 </w:t>
      </w:r>
      <w:r w:rsidRPr="00FF7E88">
        <w:rPr>
          <w:rFonts w:ascii="Book Antiqua" w:hAnsi="Book Antiqua"/>
          <w:b/>
          <w:bCs/>
        </w:rPr>
        <w:t>Yumang ZL</w:t>
      </w:r>
      <w:r w:rsidRPr="00FF7E88">
        <w:rPr>
          <w:rFonts w:ascii="Book Antiqua" w:hAnsi="Book Antiqua"/>
        </w:rPr>
        <w:t xml:space="preserve">, Pangilinan JA. Close observation endoscopy of gastric mucosal pattern in predicting Helicobacter pylori infection a single center cross-sectional study (a preliminary report). </w:t>
      </w:r>
      <w:r w:rsidRPr="00FF7E88">
        <w:rPr>
          <w:rFonts w:ascii="Book Antiqua" w:hAnsi="Book Antiqua"/>
          <w:i/>
          <w:iCs/>
        </w:rPr>
        <w:t>Gut Liver</w:t>
      </w:r>
      <w:r w:rsidRPr="00FF7E88">
        <w:rPr>
          <w:rFonts w:ascii="Book Antiqua" w:hAnsi="Book Antiqua"/>
        </w:rPr>
        <w:t xml:space="preserve"> 2018; </w:t>
      </w:r>
      <w:r w:rsidRPr="00FF7E88">
        <w:rPr>
          <w:rFonts w:ascii="Book Antiqua" w:hAnsi="Book Antiqua"/>
          <w:b/>
          <w:bCs/>
        </w:rPr>
        <w:t>12</w:t>
      </w:r>
      <w:r w:rsidRPr="00FF7E88">
        <w:rPr>
          <w:rFonts w:ascii="Book Antiqua" w:hAnsi="Book Antiqua"/>
        </w:rPr>
        <w:t>: S26</w:t>
      </w:r>
    </w:p>
    <w:p w14:paraId="215BFAD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30 </w:t>
      </w:r>
      <w:r w:rsidRPr="00FF7E88">
        <w:rPr>
          <w:rFonts w:ascii="Book Antiqua" w:hAnsi="Book Antiqua"/>
          <w:b/>
          <w:bCs/>
        </w:rPr>
        <w:t>Garcés-Durán R</w:t>
      </w:r>
      <w:r w:rsidRPr="00FF7E88">
        <w:rPr>
          <w:rFonts w:ascii="Book Antiqua" w:hAnsi="Book Antiqua"/>
        </w:rPr>
        <w:t xml:space="preserve">, García-Rodríguez A, Córdova H, Cuatrecasas M, Ginès À, González-Suárez B, Araujo I, Llach J, Fernández-Esparrach G. Association between a regular arrangement of collecting venules and absence of Helicobacter pylori infection in a European population. </w:t>
      </w:r>
      <w:r w:rsidRPr="00FF7E88">
        <w:rPr>
          <w:rFonts w:ascii="Book Antiqua" w:hAnsi="Book Antiqua"/>
          <w:i/>
          <w:iCs/>
        </w:rPr>
        <w:t>Gastrointest Endosc</w:t>
      </w:r>
      <w:r w:rsidRPr="00FF7E88">
        <w:rPr>
          <w:rFonts w:ascii="Book Antiqua" w:hAnsi="Book Antiqua"/>
        </w:rPr>
        <w:t xml:space="preserve"> 2019; </w:t>
      </w:r>
      <w:r w:rsidRPr="00FF7E88">
        <w:rPr>
          <w:rFonts w:ascii="Book Antiqua" w:hAnsi="Book Antiqua"/>
          <w:b/>
          <w:bCs/>
        </w:rPr>
        <w:t>90</w:t>
      </w:r>
      <w:r w:rsidRPr="00FF7E88">
        <w:rPr>
          <w:rFonts w:ascii="Book Antiqua" w:hAnsi="Book Antiqua"/>
        </w:rPr>
        <w:t>: 461-466 [PMID: 31108089 DOI: 10.1016/j.gie.2019.05.027]</w:t>
      </w:r>
    </w:p>
    <w:p w14:paraId="60B2859C"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31 </w:t>
      </w:r>
      <w:r w:rsidRPr="00FF7E88">
        <w:rPr>
          <w:rFonts w:ascii="Book Antiqua" w:hAnsi="Book Antiqua"/>
          <w:b/>
          <w:bCs/>
        </w:rPr>
        <w:t>Qi Q</w:t>
      </w:r>
      <w:r w:rsidRPr="00FF7E88">
        <w:rPr>
          <w:rFonts w:ascii="Book Antiqua" w:hAnsi="Book Antiqua"/>
        </w:rPr>
        <w:t xml:space="preserve">, Guo C, Ji R, Li Z, Zuo X, Li Y. Diagnostic Performance of Magnifying Endoscopy for Helicobacter pylori Infection: A Meta-Analysis. </w:t>
      </w:r>
      <w:r w:rsidRPr="00FF7E88">
        <w:rPr>
          <w:rFonts w:ascii="Book Antiqua" w:hAnsi="Book Antiqua"/>
          <w:i/>
          <w:iCs/>
        </w:rPr>
        <w:t>PLoS One</w:t>
      </w:r>
      <w:r w:rsidRPr="00FF7E88">
        <w:rPr>
          <w:rFonts w:ascii="Book Antiqua" w:hAnsi="Book Antiqua"/>
        </w:rPr>
        <w:t xml:space="preserve"> 2016; </w:t>
      </w:r>
      <w:r w:rsidRPr="00FF7E88">
        <w:rPr>
          <w:rFonts w:ascii="Book Antiqua" w:hAnsi="Book Antiqua"/>
          <w:b/>
          <w:bCs/>
        </w:rPr>
        <w:t>11</w:t>
      </w:r>
      <w:r w:rsidRPr="00FF7E88">
        <w:rPr>
          <w:rFonts w:ascii="Book Antiqua" w:hAnsi="Book Antiqua"/>
        </w:rPr>
        <w:t>: e0168201 [PMID: 27992489 DOI: 10.1371/journal.pone.0168201]</w:t>
      </w:r>
    </w:p>
    <w:p w14:paraId="3BBC8F68"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32 </w:t>
      </w:r>
      <w:r w:rsidRPr="00FF7E88">
        <w:rPr>
          <w:rFonts w:ascii="Book Antiqua" w:hAnsi="Book Antiqua"/>
          <w:b/>
          <w:bCs/>
        </w:rPr>
        <w:t>Gantuya B</w:t>
      </w:r>
      <w:r w:rsidRPr="00FF7E88">
        <w:rPr>
          <w:rFonts w:ascii="Book Antiqua" w:hAnsi="Book Antiqua"/>
        </w:rPr>
        <w:t xml:space="preserve">, Oyuntsetseg K, Bolor D, Erdene-Ochir Y, Sanduijav R, Davaadorj D, Tserentogtokh T, Uchida T, Yamaoka Y. Evaluation of serum markers for gastric cancer and its precursor diseases among high incidence and mortality rate of gastric cancer area. </w:t>
      </w:r>
      <w:r w:rsidRPr="00FF7E88">
        <w:rPr>
          <w:rFonts w:ascii="Book Antiqua" w:hAnsi="Book Antiqua"/>
          <w:i/>
          <w:iCs/>
        </w:rPr>
        <w:t>Gastric Cancer</w:t>
      </w:r>
      <w:r w:rsidRPr="00FF7E88">
        <w:rPr>
          <w:rFonts w:ascii="Book Antiqua" w:hAnsi="Book Antiqua"/>
        </w:rPr>
        <w:t xml:space="preserve"> 2019; </w:t>
      </w:r>
      <w:r w:rsidRPr="00FF7E88">
        <w:rPr>
          <w:rFonts w:ascii="Book Antiqua" w:hAnsi="Book Antiqua"/>
          <w:b/>
          <w:bCs/>
        </w:rPr>
        <w:t>22</w:t>
      </w:r>
      <w:r w:rsidRPr="00FF7E88">
        <w:rPr>
          <w:rFonts w:ascii="Book Antiqua" w:hAnsi="Book Antiqua"/>
        </w:rPr>
        <w:t>: 104-112 [PMID: 29934751 DOI: 10.1007/s10120-018-0844-8]</w:t>
      </w:r>
    </w:p>
    <w:p w14:paraId="4BD66B89"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33 </w:t>
      </w:r>
      <w:r w:rsidRPr="00FF7E88">
        <w:rPr>
          <w:rFonts w:ascii="Book Antiqua" w:hAnsi="Book Antiqua"/>
          <w:b/>
          <w:bCs/>
        </w:rPr>
        <w:t>Kang JM</w:t>
      </w:r>
      <w:r w:rsidRPr="00FF7E88">
        <w:rPr>
          <w:rFonts w:ascii="Book Antiqua" w:hAnsi="Book Antiqua"/>
        </w:rPr>
        <w:t xml:space="preserve">, Kim N, Yoo JY, Park YS, Lee DH, Kim HY, Lee HS, Choe G, Kim JS, Jung HC, Song IS. The role of serum pepsinogen and gastrin test for the detection of gastric cancer in Korea. </w:t>
      </w:r>
      <w:r w:rsidRPr="00FF7E88">
        <w:rPr>
          <w:rFonts w:ascii="Book Antiqua" w:hAnsi="Book Antiqua"/>
          <w:i/>
          <w:iCs/>
        </w:rPr>
        <w:t>Helicobacter</w:t>
      </w:r>
      <w:r w:rsidRPr="00FF7E88">
        <w:rPr>
          <w:rFonts w:ascii="Book Antiqua" w:hAnsi="Book Antiqua"/>
        </w:rPr>
        <w:t xml:space="preserve"> 2008; </w:t>
      </w:r>
      <w:r w:rsidRPr="00FF7E88">
        <w:rPr>
          <w:rFonts w:ascii="Book Antiqua" w:hAnsi="Book Antiqua"/>
          <w:b/>
          <w:bCs/>
        </w:rPr>
        <w:t>13</w:t>
      </w:r>
      <w:r w:rsidRPr="00FF7E88">
        <w:rPr>
          <w:rFonts w:ascii="Book Antiqua" w:hAnsi="Book Antiqua"/>
        </w:rPr>
        <w:t>: 146-156 [PMID: 18321304 DOI: 10.1111/j.1523-5378.2008.00592.x]</w:t>
      </w:r>
    </w:p>
    <w:p w14:paraId="7BE8500A"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34 </w:t>
      </w:r>
      <w:r w:rsidRPr="00FF7E88">
        <w:rPr>
          <w:rFonts w:ascii="Book Antiqua" w:hAnsi="Book Antiqua"/>
          <w:b/>
          <w:bCs/>
        </w:rPr>
        <w:t>Wang X</w:t>
      </w:r>
      <w:r w:rsidRPr="00FF7E88">
        <w:rPr>
          <w:rFonts w:ascii="Book Antiqua" w:hAnsi="Book Antiqua"/>
        </w:rPr>
        <w:t xml:space="preserve">, Lu B, Meng L, Fan Y, Zhang S, Li M. The correlation between histological gastritis staging- 'OLGA/OLGIM' and serum pepsinogen test in assessment of gastric atrophy/intestinal metaplasia in China. </w:t>
      </w:r>
      <w:r w:rsidRPr="00FF7E88">
        <w:rPr>
          <w:rFonts w:ascii="Book Antiqua" w:hAnsi="Book Antiqua"/>
          <w:i/>
          <w:iCs/>
        </w:rPr>
        <w:t>Scand J Gastroenterol</w:t>
      </w:r>
      <w:r w:rsidRPr="00FF7E88">
        <w:rPr>
          <w:rFonts w:ascii="Book Antiqua" w:hAnsi="Book Antiqua"/>
        </w:rPr>
        <w:t xml:space="preserve"> 2017; </w:t>
      </w:r>
      <w:r w:rsidRPr="00FF7E88">
        <w:rPr>
          <w:rFonts w:ascii="Book Antiqua" w:hAnsi="Book Antiqua"/>
          <w:b/>
          <w:bCs/>
        </w:rPr>
        <w:t>52</w:t>
      </w:r>
      <w:r w:rsidRPr="00FF7E88">
        <w:rPr>
          <w:rFonts w:ascii="Book Antiqua" w:hAnsi="Book Antiqua"/>
        </w:rPr>
        <w:t>: 822-827 [PMID: 28436254 DOI: 10.1080/00365521.2017.1315739]</w:t>
      </w:r>
    </w:p>
    <w:p w14:paraId="1A5397B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35 </w:t>
      </w:r>
      <w:r w:rsidRPr="00FF7E88">
        <w:rPr>
          <w:rFonts w:ascii="Book Antiqua" w:hAnsi="Book Antiqua"/>
          <w:b/>
          <w:bCs/>
        </w:rPr>
        <w:t>Kimura K</w:t>
      </w:r>
      <w:r w:rsidRPr="00FF7E88">
        <w:rPr>
          <w:rFonts w:ascii="Book Antiqua" w:hAnsi="Book Antiqua"/>
        </w:rPr>
        <w:t xml:space="preserve">. Chronological transition of the fundic-pyloric border determined by stepwise biopsy of the lesser and greater curvatures of the stomach. </w:t>
      </w:r>
      <w:r w:rsidRPr="00FF7E88">
        <w:rPr>
          <w:rFonts w:ascii="Book Antiqua" w:hAnsi="Book Antiqua"/>
          <w:i/>
          <w:iCs/>
        </w:rPr>
        <w:t>Gastroenterology</w:t>
      </w:r>
      <w:r w:rsidRPr="00FF7E88">
        <w:rPr>
          <w:rFonts w:ascii="Book Antiqua" w:hAnsi="Book Antiqua"/>
        </w:rPr>
        <w:t xml:space="preserve"> 1972; </w:t>
      </w:r>
      <w:r w:rsidRPr="00FF7E88">
        <w:rPr>
          <w:rFonts w:ascii="Book Antiqua" w:hAnsi="Book Antiqua"/>
          <w:b/>
          <w:bCs/>
        </w:rPr>
        <w:t>63</w:t>
      </w:r>
      <w:r w:rsidRPr="00FF7E88">
        <w:rPr>
          <w:rFonts w:ascii="Book Antiqua" w:hAnsi="Book Antiqua"/>
        </w:rPr>
        <w:t>: 584-592 [PMID: 5077145 DOI: 10.1016/S0016-5085(19)33241-X]</w:t>
      </w:r>
    </w:p>
    <w:p w14:paraId="13EFA8D6"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36 </w:t>
      </w:r>
      <w:r w:rsidRPr="00FF7E88">
        <w:rPr>
          <w:rFonts w:ascii="Book Antiqua" w:hAnsi="Book Antiqua"/>
          <w:b/>
          <w:bCs/>
        </w:rPr>
        <w:t>Cassaro M</w:t>
      </w:r>
      <w:r w:rsidRPr="00FF7E88">
        <w:rPr>
          <w:rFonts w:ascii="Book Antiqua" w:hAnsi="Book Antiqua"/>
        </w:rPr>
        <w:t xml:space="preserve">, Rugge M, Gutierrez O, Leandro G, Graham DY, Genta RM. Topographic patterns of intestinal metaplasia and gastric cancer. </w:t>
      </w:r>
      <w:r w:rsidRPr="00FF7E88">
        <w:rPr>
          <w:rFonts w:ascii="Book Antiqua" w:hAnsi="Book Antiqua"/>
          <w:i/>
          <w:iCs/>
        </w:rPr>
        <w:t>Am J Gastroenterol</w:t>
      </w:r>
      <w:r w:rsidRPr="00FF7E88">
        <w:rPr>
          <w:rFonts w:ascii="Book Antiqua" w:hAnsi="Book Antiqua"/>
        </w:rPr>
        <w:t xml:space="preserve"> 2000; </w:t>
      </w:r>
      <w:r w:rsidRPr="00FF7E88">
        <w:rPr>
          <w:rFonts w:ascii="Book Antiqua" w:hAnsi="Book Antiqua"/>
          <w:b/>
          <w:bCs/>
        </w:rPr>
        <w:t>95</w:t>
      </w:r>
      <w:r w:rsidRPr="00FF7E88">
        <w:rPr>
          <w:rFonts w:ascii="Book Antiqua" w:hAnsi="Book Antiqua"/>
        </w:rPr>
        <w:t>: 1431-1438 [PMID: 10894575 DOI: 10.1111/j.1572-0241.2000.02074.x]</w:t>
      </w:r>
    </w:p>
    <w:p w14:paraId="6C2CE86A"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37 </w:t>
      </w:r>
      <w:r w:rsidRPr="00FF7E88">
        <w:rPr>
          <w:rFonts w:ascii="Book Antiqua" w:hAnsi="Book Antiqua"/>
          <w:b/>
          <w:bCs/>
        </w:rPr>
        <w:t>Yao K</w:t>
      </w:r>
      <w:r w:rsidRPr="00FF7E88">
        <w:rPr>
          <w:rFonts w:ascii="Book Antiqua" w:hAnsi="Book Antiqua"/>
        </w:rPr>
        <w:t xml:space="preserve">. The endoscopic diagnosis of early gastric cancer. </w:t>
      </w:r>
      <w:r w:rsidRPr="00FF7E88">
        <w:rPr>
          <w:rFonts w:ascii="Book Antiqua" w:hAnsi="Book Antiqua"/>
          <w:i/>
          <w:iCs/>
        </w:rPr>
        <w:t>Ann Gastroenterol</w:t>
      </w:r>
      <w:r w:rsidRPr="00FF7E88">
        <w:rPr>
          <w:rFonts w:ascii="Book Antiqua" w:hAnsi="Book Antiqua"/>
        </w:rPr>
        <w:t xml:space="preserve"> 2013; </w:t>
      </w:r>
      <w:r w:rsidRPr="00FF7E88">
        <w:rPr>
          <w:rFonts w:ascii="Book Antiqua" w:hAnsi="Book Antiqua"/>
          <w:b/>
          <w:bCs/>
        </w:rPr>
        <w:t>26</w:t>
      </w:r>
      <w:r w:rsidRPr="00FF7E88">
        <w:rPr>
          <w:rFonts w:ascii="Book Antiqua" w:hAnsi="Book Antiqua"/>
        </w:rPr>
        <w:t>: 11-22 [PMID: 24714327 DOI: 10.1016/S0016-5107(79)73384-0]</w:t>
      </w:r>
    </w:p>
    <w:p w14:paraId="11DD2013"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38 </w:t>
      </w:r>
      <w:r w:rsidRPr="00FF7E88">
        <w:rPr>
          <w:rFonts w:ascii="Book Antiqua" w:hAnsi="Book Antiqua"/>
          <w:b/>
          <w:bCs/>
        </w:rPr>
        <w:t>Banks M</w:t>
      </w:r>
      <w:r w:rsidRPr="00FF7E88">
        <w:rPr>
          <w:rFonts w:ascii="Book Antiqua" w:hAnsi="Book Antiqua"/>
        </w:rPr>
        <w:t xml:space="preserve">, Graham D, Jansen M, Gotoda T, Coda S, di Pietro M, Uedo N, Bhandari P, Pritchard DM, Kuipers EJ, Rodriguez-Justo M, Novelli MR, Ragunath K, Shepherd N, Dinis-Ribeiro M. British Society of Gastroenterology guidelines on the diagnosis and management of patients at risk of gastric adenocarcinoma. </w:t>
      </w:r>
      <w:r w:rsidRPr="00FF7E88">
        <w:rPr>
          <w:rFonts w:ascii="Book Antiqua" w:hAnsi="Book Antiqua"/>
          <w:i/>
          <w:iCs/>
        </w:rPr>
        <w:t>Gut</w:t>
      </w:r>
      <w:r w:rsidRPr="00FF7E88">
        <w:rPr>
          <w:rFonts w:ascii="Book Antiqua" w:hAnsi="Book Antiqua"/>
        </w:rPr>
        <w:t xml:space="preserve"> 2019; </w:t>
      </w:r>
      <w:r w:rsidRPr="00FF7E88">
        <w:rPr>
          <w:rFonts w:ascii="Book Antiqua" w:hAnsi="Book Antiqua"/>
          <w:b/>
          <w:bCs/>
        </w:rPr>
        <w:t>68</w:t>
      </w:r>
      <w:r w:rsidRPr="00FF7E88">
        <w:rPr>
          <w:rFonts w:ascii="Book Antiqua" w:hAnsi="Book Antiqua"/>
        </w:rPr>
        <w:t>: 1545-1575 [PMID: 31278206 DOI: 10.1136/gutjnl-2018-318126]</w:t>
      </w:r>
    </w:p>
    <w:p w14:paraId="6B242C3A"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39 </w:t>
      </w:r>
      <w:r w:rsidRPr="00FF7E88">
        <w:rPr>
          <w:rFonts w:ascii="Book Antiqua" w:hAnsi="Book Antiqua"/>
          <w:b/>
          <w:bCs/>
        </w:rPr>
        <w:t>Pimentel-Nunes P</w:t>
      </w:r>
      <w:r w:rsidRPr="00FF7E88">
        <w:rPr>
          <w:rFonts w:ascii="Book Antiqua" w:hAnsi="Book Antiqua"/>
        </w:rPr>
        <w:t xml:space="preserve">, Libânio D, Lage J, Abrantes D, Coimbra M, Esposito G, Hormozdi D, Pepper M, Drasovean S, White JR, Dobru D, Buxbaum J, Ragunath K, Annibale B, Dinis-Ribeiro M. A multicenter prospective study of the real-time use of narrow-band imaging in the diagnosis of premalignant gastric conditions and lesions. </w:t>
      </w:r>
      <w:r w:rsidRPr="00FF7E88">
        <w:rPr>
          <w:rFonts w:ascii="Book Antiqua" w:hAnsi="Book Antiqua"/>
          <w:i/>
          <w:iCs/>
        </w:rPr>
        <w:t>Endoscopy</w:t>
      </w:r>
      <w:r w:rsidRPr="00FF7E88">
        <w:rPr>
          <w:rFonts w:ascii="Book Antiqua" w:hAnsi="Book Antiqua"/>
        </w:rPr>
        <w:t xml:space="preserve"> 2016; </w:t>
      </w:r>
      <w:r w:rsidRPr="00FF7E88">
        <w:rPr>
          <w:rFonts w:ascii="Book Antiqua" w:hAnsi="Book Antiqua"/>
          <w:b/>
          <w:bCs/>
        </w:rPr>
        <w:t>48</w:t>
      </w:r>
      <w:r w:rsidRPr="00FF7E88">
        <w:rPr>
          <w:rFonts w:ascii="Book Antiqua" w:hAnsi="Book Antiqua"/>
        </w:rPr>
        <w:t>: 723-730 [PMID: 27280384 DOI: 10.1055/s-0042-108435]</w:t>
      </w:r>
    </w:p>
    <w:p w14:paraId="65C1972B"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40 </w:t>
      </w:r>
      <w:r w:rsidRPr="00FF7E88">
        <w:rPr>
          <w:rFonts w:ascii="Book Antiqua" w:hAnsi="Book Antiqua"/>
          <w:b/>
          <w:bCs/>
        </w:rPr>
        <w:t>Rodríguez-Carrasco M</w:t>
      </w:r>
      <w:r w:rsidRPr="00FF7E88">
        <w:rPr>
          <w:rFonts w:ascii="Book Antiqua" w:hAnsi="Book Antiqua"/>
        </w:rPr>
        <w:t xml:space="preserve">, Esposito G, Libânio D, Pimentel-Nunes P, Dinis-Ribeiro M. Image-enhanced endoscopy for gastric preneoplastic conditions and neoplastic lesions: a systematic review and meta-analysis. </w:t>
      </w:r>
      <w:r w:rsidRPr="00FF7E88">
        <w:rPr>
          <w:rFonts w:ascii="Book Antiqua" w:hAnsi="Book Antiqua"/>
          <w:i/>
          <w:iCs/>
        </w:rPr>
        <w:t>Endoscopy</w:t>
      </w:r>
      <w:r w:rsidRPr="00FF7E88">
        <w:rPr>
          <w:rFonts w:ascii="Book Antiqua" w:hAnsi="Book Antiqua"/>
        </w:rPr>
        <w:t xml:space="preserve"> 2020; </w:t>
      </w:r>
      <w:r w:rsidRPr="00FF7E88">
        <w:rPr>
          <w:rFonts w:ascii="Book Antiqua" w:hAnsi="Book Antiqua"/>
          <w:b/>
          <w:bCs/>
        </w:rPr>
        <w:t>52</w:t>
      </w:r>
      <w:r w:rsidRPr="00FF7E88">
        <w:rPr>
          <w:rFonts w:ascii="Book Antiqua" w:hAnsi="Book Antiqua"/>
        </w:rPr>
        <w:t>: 1048-1065 [PMID: 32663879 DOI: 10.1055/a-1205-0570]</w:t>
      </w:r>
    </w:p>
    <w:p w14:paraId="4ED12E41"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41 </w:t>
      </w:r>
      <w:r w:rsidRPr="00FF7E88">
        <w:rPr>
          <w:rFonts w:ascii="Book Antiqua" w:hAnsi="Book Antiqua"/>
          <w:b/>
          <w:bCs/>
        </w:rPr>
        <w:t>Uchiyama K</w:t>
      </w:r>
      <w:r w:rsidRPr="00FF7E88">
        <w:rPr>
          <w:rFonts w:ascii="Book Antiqua" w:hAnsi="Book Antiqua"/>
        </w:rPr>
        <w:t xml:space="preserve">, Ida K, Okuda J, Asai Y, Ohyama Y, Kuroda M, Matsumoto N, Takami T, Ogawa T, Takaori K. Correlations of hemoglobin index (IHb) of gastric mucosa with Helicobacter pylori (H. pylori) infection and inflammation of gastric mucosa. </w:t>
      </w:r>
      <w:r w:rsidRPr="00FF7E88">
        <w:rPr>
          <w:rFonts w:ascii="Book Antiqua" w:hAnsi="Book Antiqua"/>
          <w:i/>
          <w:iCs/>
        </w:rPr>
        <w:t>Scand J Gastroenterol</w:t>
      </w:r>
      <w:r w:rsidRPr="00FF7E88">
        <w:rPr>
          <w:rFonts w:ascii="Book Antiqua" w:hAnsi="Book Antiqua"/>
        </w:rPr>
        <w:t xml:space="preserve"> 2004; </w:t>
      </w:r>
      <w:r w:rsidRPr="00FF7E88">
        <w:rPr>
          <w:rFonts w:ascii="Book Antiqua" w:hAnsi="Book Antiqua"/>
          <w:b/>
          <w:bCs/>
        </w:rPr>
        <w:t>39</w:t>
      </w:r>
      <w:r w:rsidRPr="00FF7E88">
        <w:rPr>
          <w:rFonts w:ascii="Book Antiqua" w:hAnsi="Book Antiqua"/>
        </w:rPr>
        <w:t>: 1054-1060 [PMID: 15545161 DOI: 10.1080/00365520410009645]</w:t>
      </w:r>
    </w:p>
    <w:p w14:paraId="49E84117"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42 </w:t>
      </w:r>
      <w:r w:rsidRPr="00FF7E88">
        <w:rPr>
          <w:rFonts w:ascii="Book Antiqua" w:hAnsi="Book Antiqua"/>
          <w:b/>
          <w:bCs/>
        </w:rPr>
        <w:t>Kato T</w:t>
      </w:r>
      <w:r w:rsidRPr="00FF7E88">
        <w:rPr>
          <w:rFonts w:ascii="Book Antiqua" w:hAnsi="Book Antiqua"/>
        </w:rPr>
        <w:t xml:space="preserve">, Yagi N, Kamada T, Shimbo T, Watanabe H, Ida K; Study Group for Establishing Endoscopic Diagnosis of Chronic Gastritis. Diagnosis of Helicobacter pylori infection in gastric mucosa by endoscopic features: a multicenter prospective study. </w:t>
      </w:r>
      <w:r w:rsidRPr="00FF7E88">
        <w:rPr>
          <w:rFonts w:ascii="Book Antiqua" w:hAnsi="Book Antiqua"/>
          <w:i/>
          <w:iCs/>
        </w:rPr>
        <w:t>Dig Endosc</w:t>
      </w:r>
      <w:r w:rsidRPr="00FF7E88">
        <w:rPr>
          <w:rFonts w:ascii="Book Antiqua" w:hAnsi="Book Antiqua"/>
        </w:rPr>
        <w:t xml:space="preserve"> 2013; </w:t>
      </w:r>
      <w:r w:rsidRPr="00FF7E88">
        <w:rPr>
          <w:rFonts w:ascii="Book Antiqua" w:hAnsi="Book Antiqua"/>
          <w:b/>
          <w:bCs/>
        </w:rPr>
        <w:t>25</w:t>
      </w:r>
      <w:r w:rsidRPr="00FF7E88">
        <w:rPr>
          <w:rFonts w:ascii="Book Antiqua" w:hAnsi="Book Antiqua"/>
        </w:rPr>
        <w:t>: 508-518 [PMID: 23369058 DOI: 10.1111/den.12031]</w:t>
      </w:r>
    </w:p>
    <w:p w14:paraId="6E15E226"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43 </w:t>
      </w:r>
      <w:r w:rsidRPr="00FF7E88">
        <w:rPr>
          <w:rFonts w:ascii="Book Antiqua" w:hAnsi="Book Antiqua"/>
          <w:b/>
          <w:bCs/>
        </w:rPr>
        <w:t>Wyatt JI</w:t>
      </w:r>
      <w:r w:rsidRPr="00FF7E88">
        <w:rPr>
          <w:rFonts w:ascii="Book Antiqua" w:hAnsi="Book Antiqua"/>
        </w:rPr>
        <w:t xml:space="preserve">. Histopathology of gastroduodenal inflammation: the impact of Helicobacter pylori. </w:t>
      </w:r>
      <w:r w:rsidRPr="00FF7E88">
        <w:rPr>
          <w:rFonts w:ascii="Book Antiqua" w:hAnsi="Book Antiqua"/>
          <w:i/>
          <w:iCs/>
        </w:rPr>
        <w:t>Histopathology</w:t>
      </w:r>
      <w:r w:rsidRPr="00FF7E88">
        <w:rPr>
          <w:rFonts w:ascii="Book Antiqua" w:hAnsi="Book Antiqua"/>
        </w:rPr>
        <w:t xml:space="preserve"> 1995; </w:t>
      </w:r>
      <w:r w:rsidRPr="00FF7E88">
        <w:rPr>
          <w:rFonts w:ascii="Book Antiqua" w:hAnsi="Book Antiqua"/>
          <w:b/>
          <w:bCs/>
        </w:rPr>
        <w:t>26</w:t>
      </w:r>
      <w:r w:rsidRPr="00FF7E88">
        <w:rPr>
          <w:rFonts w:ascii="Book Antiqua" w:hAnsi="Book Antiqua"/>
        </w:rPr>
        <w:t>: 1-15 [PMID: 7713479 DOI: 10.1111/j.1365-2559.1995.tb00614.x]</w:t>
      </w:r>
    </w:p>
    <w:p w14:paraId="5891C0FE"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44 </w:t>
      </w:r>
      <w:r w:rsidRPr="00FF7E88">
        <w:rPr>
          <w:rFonts w:ascii="Book Antiqua" w:hAnsi="Book Antiqua"/>
          <w:b/>
          <w:bCs/>
        </w:rPr>
        <w:t>Chen XY</w:t>
      </w:r>
      <w:r w:rsidRPr="00FF7E88">
        <w:rPr>
          <w:rFonts w:ascii="Book Antiqua" w:hAnsi="Book Antiqua"/>
        </w:rPr>
        <w:t xml:space="preserve">, Liu WZ, Shi Y, Zhang DZ, Xiao SD, Tytgat GN. Helicobacter pylori associated gastric diseases and lymphoid tissue hyperplasia in gastric antral mucosa. </w:t>
      </w:r>
      <w:r w:rsidRPr="00FF7E88">
        <w:rPr>
          <w:rFonts w:ascii="Book Antiqua" w:hAnsi="Book Antiqua"/>
          <w:i/>
          <w:iCs/>
        </w:rPr>
        <w:t>J Clin Pathol</w:t>
      </w:r>
      <w:r w:rsidRPr="00FF7E88">
        <w:rPr>
          <w:rFonts w:ascii="Book Antiqua" w:hAnsi="Book Antiqua"/>
        </w:rPr>
        <w:t xml:space="preserve"> 2002; </w:t>
      </w:r>
      <w:r w:rsidRPr="00FF7E88">
        <w:rPr>
          <w:rFonts w:ascii="Book Antiqua" w:hAnsi="Book Antiqua"/>
          <w:b/>
          <w:bCs/>
        </w:rPr>
        <w:t>55</w:t>
      </w:r>
      <w:r w:rsidRPr="00FF7E88">
        <w:rPr>
          <w:rFonts w:ascii="Book Antiqua" w:hAnsi="Book Antiqua"/>
        </w:rPr>
        <w:t>: 133-137 [PMID: 11865009 DOI: 10.1136/jcp.55.2.133]</w:t>
      </w:r>
    </w:p>
    <w:p w14:paraId="6AA5AD68"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45 </w:t>
      </w:r>
      <w:r w:rsidRPr="00FF7E88">
        <w:rPr>
          <w:rFonts w:ascii="Book Antiqua" w:hAnsi="Book Antiqua"/>
          <w:b/>
          <w:bCs/>
        </w:rPr>
        <w:t>Shiotani A</w:t>
      </w:r>
      <w:r w:rsidRPr="00FF7E88">
        <w:rPr>
          <w:rFonts w:ascii="Book Antiqua" w:hAnsi="Book Antiqua"/>
        </w:rPr>
        <w:t xml:space="preserve">, Kamada T, Kumamoto M, Nakae Y, Nakamura Y, Kakudo K, Haruma K. Nodular gastritis in Japanese young adults: endoscopic and histological observations. </w:t>
      </w:r>
      <w:r w:rsidRPr="00FF7E88">
        <w:rPr>
          <w:rFonts w:ascii="Book Antiqua" w:hAnsi="Book Antiqua"/>
          <w:i/>
          <w:iCs/>
        </w:rPr>
        <w:t>J Gastroenterol</w:t>
      </w:r>
      <w:r w:rsidRPr="00FF7E88">
        <w:rPr>
          <w:rFonts w:ascii="Book Antiqua" w:hAnsi="Book Antiqua"/>
        </w:rPr>
        <w:t xml:space="preserve"> 2007; </w:t>
      </w:r>
      <w:r w:rsidRPr="00FF7E88">
        <w:rPr>
          <w:rFonts w:ascii="Book Antiqua" w:hAnsi="Book Antiqua"/>
          <w:b/>
          <w:bCs/>
        </w:rPr>
        <w:t>42</w:t>
      </w:r>
      <w:r w:rsidRPr="00FF7E88">
        <w:rPr>
          <w:rFonts w:ascii="Book Antiqua" w:hAnsi="Book Antiqua"/>
        </w:rPr>
        <w:t>: 610-615 [PMID: 17701123 DOI: 10.1007/s00535-007-2073-5]</w:t>
      </w:r>
    </w:p>
    <w:p w14:paraId="70FA6684"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46 </w:t>
      </w:r>
      <w:r w:rsidRPr="00FF7E88">
        <w:rPr>
          <w:rFonts w:ascii="Book Antiqua" w:hAnsi="Book Antiqua"/>
          <w:b/>
          <w:bCs/>
        </w:rPr>
        <w:t>Miyamoto M</w:t>
      </w:r>
      <w:r w:rsidRPr="00FF7E88">
        <w:rPr>
          <w:rFonts w:ascii="Book Antiqua" w:hAnsi="Book Antiqua"/>
        </w:rPr>
        <w:t xml:space="preserve">, Haruma K, Yoshihara M, Hiyama T, Sumioka M, Nishisaka T, Tanaka S, Chayama K. Nodular gastritis in adults is caused by Helicobacter pylori infection. </w:t>
      </w:r>
      <w:r w:rsidRPr="00FF7E88">
        <w:rPr>
          <w:rFonts w:ascii="Book Antiqua" w:hAnsi="Book Antiqua"/>
          <w:i/>
          <w:iCs/>
        </w:rPr>
        <w:t>Dig Dis Sci</w:t>
      </w:r>
      <w:r w:rsidRPr="00FF7E88">
        <w:rPr>
          <w:rFonts w:ascii="Book Antiqua" w:hAnsi="Book Antiqua"/>
        </w:rPr>
        <w:t xml:space="preserve"> 2003; </w:t>
      </w:r>
      <w:r w:rsidRPr="00FF7E88">
        <w:rPr>
          <w:rFonts w:ascii="Book Antiqua" w:hAnsi="Book Antiqua"/>
          <w:b/>
          <w:bCs/>
        </w:rPr>
        <w:t>48</w:t>
      </w:r>
      <w:r w:rsidRPr="00FF7E88">
        <w:rPr>
          <w:rFonts w:ascii="Book Antiqua" w:hAnsi="Book Antiqua"/>
        </w:rPr>
        <w:t>: 968-975 [PMID: 12772798 DOI: 10.1023/a:1023016000096]</w:t>
      </w:r>
    </w:p>
    <w:p w14:paraId="513BB9D5"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47 </w:t>
      </w:r>
      <w:r w:rsidRPr="00FF7E88">
        <w:rPr>
          <w:rFonts w:ascii="Book Antiqua" w:hAnsi="Book Antiqua"/>
          <w:b/>
          <w:bCs/>
        </w:rPr>
        <w:t>Correa P</w:t>
      </w:r>
      <w:r w:rsidRPr="00FF7E88">
        <w:rPr>
          <w:rFonts w:ascii="Book Antiqua" w:hAnsi="Book Antiqua"/>
        </w:rPr>
        <w:t xml:space="preserve">, Haenszel W, Cuello C, Zavala D, Fontham E, Zarama G, Tannenbaum S, Collazos T, Ruiz B. Gastric precancerous process in a high risk population: cohort follow-up. </w:t>
      </w:r>
      <w:r w:rsidRPr="00FF7E88">
        <w:rPr>
          <w:rFonts w:ascii="Book Antiqua" w:hAnsi="Book Antiqua"/>
          <w:i/>
          <w:iCs/>
        </w:rPr>
        <w:t>Cancer Res</w:t>
      </w:r>
      <w:r w:rsidRPr="00FF7E88">
        <w:rPr>
          <w:rFonts w:ascii="Book Antiqua" w:hAnsi="Book Antiqua"/>
        </w:rPr>
        <w:t xml:space="preserve"> 1990; </w:t>
      </w:r>
      <w:r w:rsidRPr="00FF7E88">
        <w:rPr>
          <w:rFonts w:ascii="Book Antiqua" w:hAnsi="Book Antiqua"/>
          <w:b/>
          <w:bCs/>
        </w:rPr>
        <w:t>50</w:t>
      </w:r>
      <w:r w:rsidRPr="00FF7E88">
        <w:rPr>
          <w:rFonts w:ascii="Book Antiqua" w:hAnsi="Book Antiqua"/>
        </w:rPr>
        <w:t>: 4737-4740 [PMID: 2369748 DOI: 10.1097/00002820-199008000-00007]</w:t>
      </w:r>
    </w:p>
    <w:p w14:paraId="7B54FF29" w14:textId="77777777" w:rsidR="003345B4" w:rsidRPr="00FF7E88" w:rsidRDefault="003345B4" w:rsidP="00FF7E88">
      <w:pPr>
        <w:spacing w:line="360" w:lineRule="auto"/>
        <w:jc w:val="both"/>
        <w:rPr>
          <w:rFonts w:ascii="Book Antiqua" w:hAnsi="Book Antiqua"/>
        </w:rPr>
      </w:pPr>
      <w:r w:rsidRPr="00FF7E88">
        <w:rPr>
          <w:rFonts w:ascii="Book Antiqua" w:hAnsi="Book Antiqua"/>
        </w:rPr>
        <w:t xml:space="preserve">48 </w:t>
      </w:r>
      <w:r w:rsidRPr="00FF7E88">
        <w:rPr>
          <w:rFonts w:ascii="Book Antiqua" w:hAnsi="Book Antiqua"/>
          <w:b/>
          <w:bCs/>
        </w:rPr>
        <w:t>Marcos P</w:t>
      </w:r>
      <w:r w:rsidRPr="00FF7E88">
        <w:rPr>
          <w:rFonts w:ascii="Book Antiqua" w:hAnsi="Book Antiqua"/>
        </w:rPr>
        <w:t xml:space="preserve">, Brito-Gonçalves G, Libânio D, Pita I, Castro R, Sá I, Dinis-Ribeiro M, Pimentel-Nunes P. Endoscopic grading of gastric intestinal metaplasia on risk assessment for early gastric neoplasia: can we replace histology assessment also in the West? </w:t>
      </w:r>
      <w:r w:rsidRPr="00FF7E88">
        <w:rPr>
          <w:rFonts w:ascii="Book Antiqua" w:hAnsi="Book Antiqua"/>
          <w:i/>
          <w:iCs/>
        </w:rPr>
        <w:t>Gut</w:t>
      </w:r>
      <w:r w:rsidRPr="00FF7E88">
        <w:rPr>
          <w:rFonts w:ascii="Book Antiqua" w:hAnsi="Book Antiqua"/>
        </w:rPr>
        <w:t xml:space="preserve"> 2020; </w:t>
      </w:r>
      <w:r w:rsidRPr="00FF7E88">
        <w:rPr>
          <w:rFonts w:ascii="Book Antiqua" w:hAnsi="Book Antiqua"/>
          <w:b/>
          <w:bCs/>
        </w:rPr>
        <w:t>69</w:t>
      </w:r>
      <w:r w:rsidRPr="00FF7E88">
        <w:rPr>
          <w:rFonts w:ascii="Book Antiqua" w:hAnsi="Book Antiqua"/>
        </w:rPr>
        <w:t>: 1762-1768 [PMID: 32051208 DOI: 10.1136/gutjnl-2019-320091]</w:t>
      </w:r>
    </w:p>
    <w:p w14:paraId="4FA9B9DE" w14:textId="63347F18" w:rsidR="003345B4" w:rsidRPr="00FF7E88" w:rsidRDefault="003345B4" w:rsidP="00FF7E88">
      <w:pPr>
        <w:spacing w:line="360" w:lineRule="auto"/>
        <w:jc w:val="both"/>
        <w:rPr>
          <w:rFonts w:ascii="Book Antiqua" w:hAnsi="Book Antiqua"/>
        </w:rPr>
        <w:sectPr w:rsidR="003345B4" w:rsidRPr="00FF7E88">
          <w:pgSz w:w="12240" w:h="15840"/>
          <w:pgMar w:top="1440" w:right="1440" w:bottom="1440" w:left="1440" w:header="720" w:footer="720" w:gutter="0"/>
          <w:cols w:space="720"/>
          <w:docGrid w:linePitch="360"/>
        </w:sectPr>
      </w:pPr>
    </w:p>
    <w:p w14:paraId="3D4C6253" w14:textId="7777777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Footnotes</w:t>
      </w:r>
    </w:p>
    <w:p w14:paraId="3664DA7A" w14:textId="7C1C9F36" w:rsidR="00A77B3E" w:rsidRPr="00FF7E88" w:rsidRDefault="00BE4730" w:rsidP="00FF7E88">
      <w:pPr>
        <w:spacing w:line="360" w:lineRule="auto"/>
        <w:jc w:val="both"/>
        <w:rPr>
          <w:rFonts w:ascii="Book Antiqua" w:eastAsia="Book Antiqua" w:hAnsi="Book Antiqua" w:cs="Book Antiqua"/>
          <w:color w:val="000000"/>
          <w:shd w:val="clear" w:color="auto" w:fill="FFFFFF"/>
        </w:rPr>
      </w:pPr>
      <w:r w:rsidRPr="00FF7E88">
        <w:rPr>
          <w:rFonts w:ascii="Book Antiqua" w:eastAsia="Book Antiqua" w:hAnsi="Book Antiqua" w:cs="Book Antiqua"/>
          <w:b/>
          <w:bCs/>
          <w:color w:val="000000"/>
        </w:rPr>
        <w:t xml:space="preserve">Institutional review board statement: </w:t>
      </w:r>
      <w:bookmarkStart w:id="53" w:name="OLE_LINK109"/>
      <w:r w:rsidRPr="00FF7E88">
        <w:rPr>
          <w:rFonts w:ascii="Book Antiqua" w:eastAsia="Book Antiqua" w:hAnsi="Book Antiqua" w:cs="Book Antiqua"/>
          <w:color w:val="000000"/>
          <w:shd w:val="clear" w:color="auto" w:fill="FFFFFF"/>
        </w:rPr>
        <w:t>The study was reviewed and approved by the Institutional Review Board of Soonchunhyang University Hospital (</w:t>
      </w:r>
      <w:r w:rsidR="003345B4" w:rsidRPr="00FF7E88">
        <w:rPr>
          <w:rFonts w:ascii="Book Antiqua" w:eastAsia="Book Antiqua" w:hAnsi="Book Antiqua" w:cs="Book Antiqua"/>
          <w:color w:val="000000"/>
          <w:shd w:val="clear" w:color="auto" w:fill="FFFFFF"/>
        </w:rPr>
        <w:t xml:space="preserve">No. </w:t>
      </w:r>
      <w:r w:rsidRPr="00FF7E88">
        <w:rPr>
          <w:rFonts w:ascii="Book Antiqua" w:eastAsia="Book Antiqua" w:hAnsi="Book Antiqua" w:cs="Book Antiqua"/>
          <w:color w:val="000000"/>
          <w:shd w:val="clear" w:color="auto" w:fill="FFFFFF"/>
        </w:rPr>
        <w:t xml:space="preserve">SCHUH 2016-05-001). </w:t>
      </w:r>
    </w:p>
    <w:bookmarkEnd w:id="53"/>
    <w:p w14:paraId="7114C95C" w14:textId="457DBA3E" w:rsidR="003345B4" w:rsidRPr="00FF7E88" w:rsidRDefault="003345B4" w:rsidP="00FF7E88">
      <w:pPr>
        <w:spacing w:line="360" w:lineRule="auto"/>
        <w:jc w:val="both"/>
        <w:rPr>
          <w:rFonts w:ascii="Book Antiqua" w:eastAsia="Book Antiqua" w:hAnsi="Book Antiqua" w:cs="Book Antiqua"/>
          <w:color w:val="000000"/>
          <w:shd w:val="clear" w:color="auto" w:fill="FFFFFF"/>
        </w:rPr>
      </w:pPr>
    </w:p>
    <w:p w14:paraId="78A379D6" w14:textId="77777777" w:rsidR="003345B4" w:rsidRPr="00FF7E88" w:rsidRDefault="003345B4" w:rsidP="00FF7E88">
      <w:pPr>
        <w:adjustRightInd w:val="0"/>
        <w:snapToGrid w:val="0"/>
        <w:spacing w:line="360" w:lineRule="auto"/>
        <w:jc w:val="both"/>
        <w:rPr>
          <w:rFonts w:ascii="Book Antiqua" w:hAnsi="Book Antiqua"/>
          <w:b/>
          <w:color w:val="000000"/>
        </w:rPr>
      </w:pPr>
      <w:r w:rsidRPr="00FF7E88">
        <w:rPr>
          <w:rFonts w:ascii="Book Antiqua" w:hAnsi="Book Antiqua"/>
          <w:b/>
          <w:color w:val="000000"/>
        </w:rPr>
        <w:t>Informed consent statement</w:t>
      </w:r>
      <w:r w:rsidRPr="00FF7E88">
        <w:rPr>
          <w:rFonts w:ascii="Book Antiqua" w:hAnsi="Book Antiqua"/>
          <w:b/>
          <w:bCs/>
          <w:iCs/>
          <w:color w:val="000000"/>
        </w:rPr>
        <w:t xml:space="preserve">: </w:t>
      </w:r>
      <w:bookmarkStart w:id="54" w:name="OLE_LINK110"/>
      <w:bookmarkStart w:id="55" w:name="OLE_LINK111"/>
      <w:r w:rsidRPr="00FF7E88">
        <w:rPr>
          <w:rFonts w:ascii="Book Antiqua" w:hAnsi="Book Antiqua"/>
          <w:bCs/>
          <w:iCs/>
          <w:color w:val="000000"/>
        </w:rPr>
        <w:t>All study participants, or their legal guardian, provided informed written consent prior to study enrollment.</w:t>
      </w:r>
      <w:bookmarkEnd w:id="54"/>
      <w:bookmarkEnd w:id="55"/>
    </w:p>
    <w:p w14:paraId="67C255CF" w14:textId="77777777" w:rsidR="00A77B3E" w:rsidRPr="00FF7E88" w:rsidRDefault="00A77B3E" w:rsidP="00FF7E88">
      <w:pPr>
        <w:spacing w:line="360" w:lineRule="auto"/>
        <w:jc w:val="both"/>
        <w:rPr>
          <w:rFonts w:ascii="Book Antiqua" w:hAnsi="Book Antiqua"/>
        </w:rPr>
      </w:pPr>
    </w:p>
    <w:p w14:paraId="2562CB34" w14:textId="19D4A37D"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Conflict-of-interest statement: </w:t>
      </w:r>
      <w:bookmarkStart w:id="56" w:name="OLE_LINK112"/>
      <w:bookmarkStart w:id="57" w:name="OLE_LINK113"/>
      <w:r w:rsidRPr="00FF7E88">
        <w:rPr>
          <w:rFonts w:ascii="Book Antiqua" w:eastAsia="Book Antiqua" w:hAnsi="Book Antiqua" w:cs="Book Antiqua"/>
          <w:color w:val="000000"/>
        </w:rPr>
        <w:t xml:space="preserve">The authors declare that they have no competing interest. </w:t>
      </w:r>
    </w:p>
    <w:bookmarkEnd w:id="56"/>
    <w:bookmarkEnd w:id="57"/>
    <w:p w14:paraId="5A1A5E09" w14:textId="77777777" w:rsidR="00A77B3E" w:rsidRPr="00FF7E88" w:rsidRDefault="00A77B3E" w:rsidP="00FF7E88">
      <w:pPr>
        <w:spacing w:line="360" w:lineRule="auto"/>
        <w:jc w:val="both"/>
        <w:rPr>
          <w:rFonts w:ascii="Book Antiqua" w:hAnsi="Book Antiqua"/>
        </w:rPr>
      </w:pPr>
    </w:p>
    <w:p w14:paraId="4096586F" w14:textId="324CEE6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Data sharing statement: </w:t>
      </w:r>
      <w:bookmarkStart w:id="58" w:name="OLE_LINK114"/>
      <w:bookmarkStart w:id="59" w:name="OLE_LINK115"/>
      <w:r w:rsidRPr="00FF7E88">
        <w:rPr>
          <w:rFonts w:ascii="Book Antiqua" w:eastAsia="Book Antiqua" w:hAnsi="Book Antiqua" w:cs="Book Antiqua"/>
          <w:color w:val="000000"/>
        </w:rPr>
        <w:t>The datasets used and analyzed during the current study are available from the corresponding author on reasonable request.</w:t>
      </w:r>
      <w:bookmarkEnd w:id="58"/>
      <w:bookmarkEnd w:id="59"/>
    </w:p>
    <w:p w14:paraId="62CB7A01" w14:textId="77777777" w:rsidR="00A77B3E" w:rsidRPr="00FF7E88" w:rsidRDefault="00A77B3E" w:rsidP="00FF7E88">
      <w:pPr>
        <w:spacing w:line="360" w:lineRule="auto"/>
        <w:jc w:val="both"/>
        <w:rPr>
          <w:rFonts w:ascii="Book Antiqua" w:hAnsi="Book Antiqua"/>
        </w:rPr>
      </w:pPr>
    </w:p>
    <w:p w14:paraId="331476D8" w14:textId="5C1B1C4F"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STROBE statement: </w:t>
      </w:r>
      <w:bookmarkStart w:id="60" w:name="OLE_LINK116"/>
      <w:bookmarkStart w:id="61" w:name="OLE_LINK117"/>
      <w:r w:rsidRPr="00FF7E88">
        <w:rPr>
          <w:rFonts w:ascii="Book Antiqua" w:eastAsia="Book Antiqua" w:hAnsi="Book Antiqua" w:cs="Book Antiqua"/>
          <w:color w:val="000000"/>
        </w:rPr>
        <w:t>The authors have read the STROBE Statement checklist of items, and the manuscript was prepared and revised according to the STROBE Statement-checklist of items.</w:t>
      </w:r>
    </w:p>
    <w:bookmarkEnd w:id="60"/>
    <w:bookmarkEnd w:id="61"/>
    <w:p w14:paraId="33200753" w14:textId="77777777" w:rsidR="00A77B3E" w:rsidRPr="00FF7E88" w:rsidRDefault="00A77B3E" w:rsidP="00FF7E88">
      <w:pPr>
        <w:spacing w:line="360" w:lineRule="auto"/>
        <w:jc w:val="both"/>
        <w:rPr>
          <w:rFonts w:ascii="Book Antiqua" w:hAnsi="Book Antiqua"/>
        </w:rPr>
      </w:pPr>
    </w:p>
    <w:p w14:paraId="6EC5C03C" w14:textId="7DEA6FF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bCs/>
          <w:color w:val="000000"/>
        </w:rPr>
        <w:t xml:space="preserve">Open-Access: </w:t>
      </w:r>
      <w:r w:rsidRPr="00FF7E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6CA9C5" w14:textId="77777777" w:rsidR="00A77B3E" w:rsidRPr="00FF7E88" w:rsidRDefault="00A77B3E" w:rsidP="00FF7E88">
      <w:pPr>
        <w:spacing w:line="360" w:lineRule="auto"/>
        <w:jc w:val="both"/>
        <w:rPr>
          <w:rFonts w:ascii="Book Antiqua" w:hAnsi="Book Antiqua"/>
        </w:rPr>
      </w:pPr>
    </w:p>
    <w:p w14:paraId="6AB9BAAA" w14:textId="2D36726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Manuscript source: </w:t>
      </w:r>
      <w:r w:rsidRPr="00FF7E88">
        <w:rPr>
          <w:rFonts w:ascii="Book Antiqua" w:eastAsia="Book Antiqua" w:hAnsi="Book Antiqua" w:cs="Book Antiqua"/>
          <w:color w:val="000000"/>
        </w:rPr>
        <w:t xml:space="preserve">Invited </w:t>
      </w:r>
      <w:r w:rsidR="003345B4" w:rsidRPr="00FF7E88">
        <w:rPr>
          <w:rFonts w:ascii="Book Antiqua" w:eastAsia="Book Antiqua" w:hAnsi="Book Antiqua" w:cs="Book Antiqua"/>
          <w:color w:val="000000"/>
        </w:rPr>
        <w:t>m</w:t>
      </w:r>
      <w:r w:rsidRPr="00FF7E88">
        <w:rPr>
          <w:rFonts w:ascii="Book Antiqua" w:eastAsia="Book Antiqua" w:hAnsi="Book Antiqua" w:cs="Book Antiqua"/>
          <w:color w:val="000000"/>
        </w:rPr>
        <w:t>anuscript</w:t>
      </w:r>
    </w:p>
    <w:p w14:paraId="723AEC43" w14:textId="77777777" w:rsidR="00A77B3E" w:rsidRPr="00FF7E88" w:rsidRDefault="00A77B3E" w:rsidP="00FF7E88">
      <w:pPr>
        <w:spacing w:line="360" w:lineRule="auto"/>
        <w:jc w:val="both"/>
        <w:rPr>
          <w:rFonts w:ascii="Book Antiqua" w:hAnsi="Book Antiqua"/>
        </w:rPr>
      </w:pPr>
    </w:p>
    <w:p w14:paraId="5986C4BE" w14:textId="33F014FD"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Peer-review started: </w:t>
      </w:r>
      <w:r w:rsidRPr="00FF7E88">
        <w:rPr>
          <w:rFonts w:ascii="Book Antiqua" w:eastAsia="Book Antiqua" w:hAnsi="Book Antiqua" w:cs="Book Antiqua"/>
          <w:color w:val="000000"/>
        </w:rPr>
        <w:t>January 27, 2021</w:t>
      </w:r>
    </w:p>
    <w:p w14:paraId="22369759" w14:textId="5F5D902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First decision: </w:t>
      </w:r>
      <w:r w:rsidRPr="00FF7E88">
        <w:rPr>
          <w:rFonts w:ascii="Book Antiqua" w:eastAsia="Book Antiqua" w:hAnsi="Book Antiqua" w:cs="Book Antiqua"/>
          <w:color w:val="000000"/>
        </w:rPr>
        <w:t>March 29, 2021</w:t>
      </w:r>
    </w:p>
    <w:p w14:paraId="23590182" w14:textId="4034FB8B"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Article in press: </w:t>
      </w:r>
      <w:r w:rsidR="00D233EB" w:rsidRPr="0085208D">
        <w:rPr>
          <w:rFonts w:ascii="Book Antiqua" w:eastAsia="Book Antiqua" w:hAnsi="Book Antiqua" w:cs="Book Antiqua"/>
          <w:bCs/>
          <w:color w:val="000000"/>
        </w:rPr>
        <w:t>April 23, 2021</w:t>
      </w:r>
    </w:p>
    <w:p w14:paraId="289B9957" w14:textId="77777777" w:rsidR="00A77B3E" w:rsidRPr="00FF7E88" w:rsidRDefault="00A77B3E" w:rsidP="00FF7E88">
      <w:pPr>
        <w:spacing w:line="360" w:lineRule="auto"/>
        <w:jc w:val="both"/>
        <w:rPr>
          <w:rFonts w:ascii="Book Antiqua" w:hAnsi="Book Antiqua"/>
        </w:rPr>
      </w:pPr>
    </w:p>
    <w:p w14:paraId="74567286" w14:textId="29B00CDA"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Specialty type: </w:t>
      </w:r>
      <w:r w:rsidRPr="00FF7E88">
        <w:rPr>
          <w:rFonts w:ascii="Book Antiqua" w:eastAsia="Book Antiqua" w:hAnsi="Book Antiqua" w:cs="Book Antiqua"/>
          <w:color w:val="000000"/>
        </w:rPr>
        <w:t xml:space="preserve">Gastroenterology and </w:t>
      </w:r>
      <w:r w:rsidR="003345B4" w:rsidRPr="00FF7E88">
        <w:rPr>
          <w:rFonts w:ascii="Book Antiqua" w:eastAsia="Book Antiqua" w:hAnsi="Book Antiqua" w:cs="Book Antiqua"/>
          <w:color w:val="000000"/>
        </w:rPr>
        <w:t>h</w:t>
      </w:r>
      <w:r w:rsidRPr="00FF7E88">
        <w:rPr>
          <w:rFonts w:ascii="Book Antiqua" w:eastAsia="Book Antiqua" w:hAnsi="Book Antiqua" w:cs="Book Antiqua"/>
          <w:color w:val="000000"/>
        </w:rPr>
        <w:t>epatology</w:t>
      </w:r>
    </w:p>
    <w:p w14:paraId="3374694E" w14:textId="4ECD2717"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 xml:space="preserve">Country/Territory of origin: </w:t>
      </w:r>
      <w:r w:rsidRPr="00FF7E88">
        <w:rPr>
          <w:rFonts w:ascii="Book Antiqua" w:eastAsia="Book Antiqua" w:hAnsi="Book Antiqua" w:cs="Book Antiqua"/>
          <w:color w:val="000000"/>
        </w:rPr>
        <w:t>South Korea</w:t>
      </w:r>
    </w:p>
    <w:p w14:paraId="13F89B19" w14:textId="49CC0E3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b/>
          <w:color w:val="000000"/>
        </w:rPr>
        <w:t>Peer-review report’s scientific quality classification</w:t>
      </w:r>
    </w:p>
    <w:p w14:paraId="4362C5AE" w14:textId="44C2F6E2"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A (Excellent): 0</w:t>
      </w:r>
    </w:p>
    <w:p w14:paraId="3F467582" w14:textId="688A323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B (Very good): B, B</w:t>
      </w:r>
      <w:r w:rsidR="003345B4" w:rsidRPr="00FF7E88">
        <w:rPr>
          <w:rFonts w:ascii="Book Antiqua" w:eastAsia="Book Antiqua" w:hAnsi="Book Antiqua" w:cs="Book Antiqua"/>
          <w:color w:val="000000"/>
        </w:rPr>
        <w:t>, B</w:t>
      </w:r>
    </w:p>
    <w:p w14:paraId="0D16D924" w14:textId="576A326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C (Good): 0</w:t>
      </w:r>
    </w:p>
    <w:p w14:paraId="4094F68C" w14:textId="4CE1B3DC"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D (Fair): 0</w:t>
      </w:r>
    </w:p>
    <w:p w14:paraId="2DC322BD" w14:textId="36D63E24" w:rsidR="00A77B3E" w:rsidRPr="00FF7E88" w:rsidRDefault="00BE4730" w:rsidP="00FF7E88">
      <w:pPr>
        <w:spacing w:line="360" w:lineRule="auto"/>
        <w:jc w:val="both"/>
        <w:rPr>
          <w:rFonts w:ascii="Book Antiqua" w:hAnsi="Book Antiqua"/>
        </w:rPr>
      </w:pPr>
      <w:r w:rsidRPr="00FF7E88">
        <w:rPr>
          <w:rFonts w:ascii="Book Antiqua" w:eastAsia="Book Antiqua" w:hAnsi="Book Antiqua" w:cs="Book Antiqua"/>
          <w:color w:val="000000"/>
        </w:rPr>
        <w:t>Grade E (Poor): 0</w:t>
      </w:r>
    </w:p>
    <w:p w14:paraId="32188A3F" w14:textId="77777777" w:rsidR="00A77B3E" w:rsidRPr="00FF7E88" w:rsidRDefault="00A77B3E" w:rsidP="00FF7E88">
      <w:pPr>
        <w:spacing w:line="360" w:lineRule="auto"/>
        <w:jc w:val="both"/>
        <w:rPr>
          <w:rFonts w:ascii="Book Antiqua" w:hAnsi="Book Antiqua"/>
        </w:rPr>
      </w:pPr>
    </w:p>
    <w:p w14:paraId="727C67B4" w14:textId="6D3CAE96" w:rsidR="00A77B3E" w:rsidRPr="007009B1" w:rsidRDefault="00BE4730" w:rsidP="00FF7E88">
      <w:pPr>
        <w:spacing w:line="360" w:lineRule="auto"/>
        <w:jc w:val="both"/>
        <w:rPr>
          <w:rFonts w:ascii="Book Antiqua" w:eastAsia="Book Antiqua" w:hAnsi="Book Antiqua" w:cs="Book Antiqua"/>
          <w:color w:val="000000"/>
        </w:rPr>
      </w:pPr>
      <w:r w:rsidRPr="00FF7E88">
        <w:rPr>
          <w:rFonts w:ascii="Book Antiqua" w:eastAsia="Book Antiqua" w:hAnsi="Book Antiqua" w:cs="Book Antiqua"/>
          <w:b/>
          <w:color w:val="000000"/>
        </w:rPr>
        <w:t xml:space="preserve">P-Reviewer: </w:t>
      </w:r>
      <w:r w:rsidRPr="00FF7E88">
        <w:rPr>
          <w:rFonts w:ascii="Book Antiqua" w:eastAsia="Book Antiqua" w:hAnsi="Book Antiqua" w:cs="Book Antiqua"/>
          <w:color w:val="000000"/>
        </w:rPr>
        <w:t>Peruhova M, Ulaşoğlu C</w:t>
      </w:r>
      <w:r w:rsidRPr="00FF7E88">
        <w:rPr>
          <w:rFonts w:ascii="Book Antiqua" w:eastAsia="Book Antiqua" w:hAnsi="Book Antiqua" w:cs="Book Antiqua"/>
          <w:b/>
          <w:color w:val="000000"/>
        </w:rPr>
        <w:t xml:space="preserve"> S-Editor: </w:t>
      </w:r>
      <w:r w:rsidRPr="00FF7E88">
        <w:rPr>
          <w:rFonts w:ascii="Book Antiqua" w:eastAsia="Book Antiqua" w:hAnsi="Book Antiqua" w:cs="Book Antiqua"/>
          <w:color w:val="000000"/>
        </w:rPr>
        <w:t>Yan JP</w:t>
      </w:r>
      <w:r w:rsidRPr="00FF7E88">
        <w:rPr>
          <w:rFonts w:ascii="Book Antiqua" w:eastAsia="Book Antiqua" w:hAnsi="Book Antiqua" w:cs="Book Antiqua"/>
          <w:b/>
          <w:color w:val="000000"/>
        </w:rPr>
        <w:t xml:space="preserve"> L-Editor:</w:t>
      </w:r>
      <w:r w:rsidRPr="007009B1">
        <w:rPr>
          <w:rFonts w:ascii="Book Antiqua" w:eastAsia="Book Antiqua" w:hAnsi="Book Antiqua" w:cs="Book Antiqua"/>
          <w:color w:val="000000"/>
        </w:rPr>
        <w:t xml:space="preserve"> </w:t>
      </w:r>
      <w:r w:rsidR="007009B1" w:rsidRPr="007009B1">
        <w:rPr>
          <w:rFonts w:ascii="Book Antiqua" w:hAnsi="Book Antiqua" w:cs="Book Antiqua" w:hint="eastAsia"/>
          <w:color w:val="000000"/>
          <w:lang w:eastAsia="zh-CN"/>
        </w:rPr>
        <w:t>A</w:t>
      </w:r>
      <w:r w:rsidRPr="007009B1">
        <w:rPr>
          <w:rFonts w:ascii="Book Antiqua" w:eastAsia="Book Antiqua" w:hAnsi="Book Antiqua" w:cs="Book Antiqua"/>
          <w:color w:val="000000"/>
        </w:rPr>
        <w:t xml:space="preserve"> </w:t>
      </w:r>
      <w:r w:rsidRPr="00FF7E88">
        <w:rPr>
          <w:rFonts w:ascii="Book Antiqua" w:eastAsia="Book Antiqua" w:hAnsi="Book Antiqua" w:cs="Book Antiqua"/>
          <w:b/>
          <w:color w:val="000000"/>
        </w:rPr>
        <w:t>P-Editor:</w:t>
      </w:r>
      <w:r w:rsidRPr="007009B1">
        <w:rPr>
          <w:rFonts w:ascii="Book Antiqua" w:eastAsia="Book Antiqua" w:hAnsi="Book Antiqua" w:cs="Book Antiqua"/>
          <w:color w:val="000000"/>
        </w:rPr>
        <w:t xml:space="preserve"> </w:t>
      </w:r>
      <w:r w:rsidR="007009B1" w:rsidRPr="007009B1">
        <w:rPr>
          <w:rFonts w:ascii="Book Antiqua" w:eastAsia="Book Antiqua" w:hAnsi="Book Antiqua" w:cs="Book Antiqua" w:hint="eastAsia"/>
          <w:color w:val="000000"/>
        </w:rPr>
        <w:t>Wang LL</w:t>
      </w:r>
    </w:p>
    <w:p w14:paraId="0F1D315E" w14:textId="77777777" w:rsidR="00BE4730" w:rsidRPr="007009B1" w:rsidRDefault="00BE4730" w:rsidP="00FF7E88">
      <w:pPr>
        <w:spacing w:line="360" w:lineRule="auto"/>
        <w:jc w:val="both"/>
        <w:rPr>
          <w:rFonts w:ascii="Book Antiqua" w:eastAsia="Book Antiqua" w:hAnsi="Book Antiqua" w:cs="Book Antiqua"/>
          <w:color w:val="000000"/>
        </w:rPr>
        <w:sectPr w:rsidR="00BE4730" w:rsidRPr="007009B1">
          <w:pgSz w:w="12240" w:h="15840"/>
          <w:pgMar w:top="1440" w:right="1440" w:bottom="1440" w:left="1440" w:header="720" w:footer="720" w:gutter="0"/>
          <w:cols w:space="720"/>
          <w:docGrid w:linePitch="360"/>
        </w:sectPr>
      </w:pPr>
    </w:p>
    <w:p w14:paraId="3F7A8EE2" w14:textId="71FFF22B" w:rsidR="003345B4" w:rsidRPr="00FF7E88" w:rsidRDefault="003345B4" w:rsidP="00FF7E88">
      <w:pPr>
        <w:pStyle w:val="a5"/>
        <w:wordWrap/>
        <w:spacing w:after="0" w:line="360" w:lineRule="auto"/>
        <w:ind w:firstLineChars="0" w:firstLine="0"/>
        <w:rPr>
          <w:rFonts w:ascii="Book Antiqua" w:hAnsi="Book Antiqua" w:cs="Arial"/>
          <w:b/>
          <w:szCs w:val="24"/>
        </w:rPr>
      </w:pPr>
      <w:bookmarkStart w:id="62" w:name="OLE_LINK1867"/>
      <w:bookmarkStart w:id="63" w:name="OLE_LINK1868"/>
      <w:r w:rsidRPr="00FF7E88">
        <w:rPr>
          <w:rFonts w:ascii="Book Antiqua" w:hAnsi="Book Antiqua"/>
          <w:b/>
          <w:szCs w:val="24"/>
        </w:rPr>
        <w:t>Figure Legends</w:t>
      </w:r>
      <w:bookmarkEnd w:id="62"/>
      <w:bookmarkEnd w:id="63"/>
    </w:p>
    <w:p w14:paraId="3EB04C8E" w14:textId="346F23ED" w:rsidR="00806EBD" w:rsidRPr="00FF7E88" w:rsidRDefault="00806EBD" w:rsidP="00FF7E88">
      <w:pPr>
        <w:pStyle w:val="a5"/>
        <w:wordWrap/>
        <w:spacing w:after="0" w:line="360" w:lineRule="auto"/>
        <w:ind w:firstLineChars="0" w:firstLine="0"/>
        <w:rPr>
          <w:rFonts w:ascii="Book Antiqua" w:hAnsi="Book Antiqua" w:cs="Arial"/>
          <w:b/>
          <w:szCs w:val="24"/>
        </w:rPr>
      </w:pPr>
      <w:r w:rsidRPr="00FF7E88">
        <w:rPr>
          <w:rFonts w:ascii="Book Antiqua" w:hAnsi="Book Antiqua" w:cs="Arial"/>
          <w:b/>
          <w:noProof/>
          <w:szCs w:val="24"/>
          <w:lang w:val="en-US" w:eastAsia="zh-CN"/>
        </w:rPr>
        <w:drawing>
          <wp:inline distT="0" distB="0" distL="0" distR="0" wp14:anchorId="6D08C8F0" wp14:editId="5EA9D577">
            <wp:extent cx="5009515" cy="44316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515" cy="4431665"/>
                    </a:xfrm>
                    <a:prstGeom prst="rect">
                      <a:avLst/>
                    </a:prstGeom>
                    <a:noFill/>
                    <a:ln>
                      <a:noFill/>
                    </a:ln>
                  </pic:spPr>
                </pic:pic>
              </a:graphicData>
            </a:graphic>
          </wp:inline>
        </w:drawing>
      </w:r>
    </w:p>
    <w:p w14:paraId="6DFB8DA1" w14:textId="31CFD067" w:rsidR="00BE4730" w:rsidRPr="00FF7E88" w:rsidRDefault="00BE4730" w:rsidP="00FF7E88">
      <w:pPr>
        <w:pStyle w:val="a5"/>
        <w:wordWrap/>
        <w:spacing w:after="0" w:line="360" w:lineRule="auto"/>
        <w:ind w:firstLineChars="0" w:firstLine="0"/>
        <w:rPr>
          <w:rFonts w:ascii="Book Antiqua" w:hAnsi="Book Antiqua"/>
          <w:szCs w:val="24"/>
        </w:rPr>
      </w:pPr>
      <w:r w:rsidRPr="00FF7E88">
        <w:rPr>
          <w:rFonts w:ascii="Book Antiqua" w:hAnsi="Book Antiqua" w:cs="Arial"/>
          <w:b/>
          <w:szCs w:val="24"/>
        </w:rPr>
        <w:t xml:space="preserve">Figure 1 </w:t>
      </w:r>
      <w:r w:rsidRPr="00FF7E88">
        <w:rPr>
          <w:rFonts w:ascii="Book Antiqua" w:hAnsi="Book Antiqua"/>
          <w:b/>
          <w:szCs w:val="24"/>
          <w:lang w:val="en-US"/>
        </w:rPr>
        <w:t xml:space="preserve">Normal and three abnormal mucosal patterns in the gastric corpus by standard endoscopy. </w:t>
      </w:r>
      <w:r w:rsidRPr="00FF7E88">
        <w:rPr>
          <w:rFonts w:ascii="Book Antiqua" w:hAnsi="Book Antiqua"/>
          <w:szCs w:val="24"/>
          <w:lang w:val="en-US"/>
        </w:rPr>
        <w:t xml:space="preserve">A: Normal pattern, numerous minute red dots; B: </w:t>
      </w:r>
      <w:r w:rsidR="003345B4" w:rsidRPr="00FF7E88">
        <w:rPr>
          <w:rFonts w:ascii="Book Antiqua" w:hAnsi="Book Antiqua"/>
          <w:szCs w:val="24"/>
          <w:lang w:val="en-US"/>
        </w:rPr>
        <w:t>T</w:t>
      </w:r>
      <w:r w:rsidRPr="00FF7E88">
        <w:rPr>
          <w:rFonts w:ascii="Book Antiqua" w:hAnsi="Book Antiqua"/>
          <w:szCs w:val="24"/>
          <w:lang w:val="en-US"/>
        </w:rPr>
        <w:t xml:space="preserve">ype A, mosaic-like appearance; C: </w:t>
      </w:r>
      <w:r w:rsidR="003345B4" w:rsidRPr="00FF7E88">
        <w:rPr>
          <w:rFonts w:ascii="Book Antiqua" w:hAnsi="Book Antiqua"/>
          <w:szCs w:val="24"/>
          <w:lang w:val="en-US"/>
        </w:rPr>
        <w:t>T</w:t>
      </w:r>
      <w:r w:rsidRPr="00FF7E88">
        <w:rPr>
          <w:rFonts w:ascii="Book Antiqua" w:hAnsi="Book Antiqua"/>
          <w:szCs w:val="24"/>
          <w:lang w:val="en-US"/>
        </w:rPr>
        <w:t xml:space="preserve">ype B, diffuse homogenous redness; D: </w:t>
      </w:r>
      <w:r w:rsidR="003345B4" w:rsidRPr="00FF7E88">
        <w:rPr>
          <w:rFonts w:ascii="Book Antiqua" w:hAnsi="Book Antiqua"/>
          <w:szCs w:val="24"/>
          <w:lang w:val="en-US"/>
        </w:rPr>
        <w:t>T</w:t>
      </w:r>
      <w:r w:rsidRPr="00FF7E88">
        <w:rPr>
          <w:rFonts w:ascii="Book Antiqua" w:hAnsi="Book Antiqua"/>
          <w:szCs w:val="24"/>
          <w:lang w:val="en-US"/>
        </w:rPr>
        <w:t xml:space="preserve">ype C, irregular redness with grooves. </w:t>
      </w:r>
    </w:p>
    <w:p w14:paraId="04AAEE53" w14:textId="77777777" w:rsidR="00806EBD" w:rsidRPr="00FF7E88" w:rsidRDefault="00806EBD" w:rsidP="00FF7E88">
      <w:pPr>
        <w:pStyle w:val="a5"/>
        <w:wordWrap/>
        <w:spacing w:after="0" w:line="360" w:lineRule="auto"/>
        <w:ind w:firstLineChars="0" w:firstLine="0"/>
        <w:rPr>
          <w:rFonts w:ascii="Book Antiqua" w:hAnsi="Book Antiqua"/>
          <w:szCs w:val="24"/>
        </w:rPr>
        <w:sectPr w:rsidR="00806EBD" w:rsidRPr="00FF7E88">
          <w:pgSz w:w="12240" w:h="15840"/>
          <w:pgMar w:top="1440" w:right="1440" w:bottom="1440" w:left="1440" w:header="720" w:footer="720" w:gutter="0"/>
          <w:cols w:space="720"/>
          <w:docGrid w:linePitch="360"/>
        </w:sectPr>
      </w:pPr>
    </w:p>
    <w:p w14:paraId="66755950" w14:textId="06339A16" w:rsidR="00BE4730" w:rsidRPr="00FF7E88" w:rsidRDefault="00BE4730" w:rsidP="00FF7E88">
      <w:pPr>
        <w:pStyle w:val="a5"/>
        <w:wordWrap/>
        <w:spacing w:after="0" w:line="360" w:lineRule="auto"/>
        <w:ind w:firstLineChars="0" w:firstLine="0"/>
        <w:rPr>
          <w:rFonts w:ascii="Book Antiqua" w:hAnsi="Book Antiqua"/>
          <w:szCs w:val="24"/>
        </w:rPr>
      </w:pPr>
    </w:p>
    <w:p w14:paraId="44838FE2" w14:textId="33545A32" w:rsidR="00806EBD" w:rsidRPr="00FF7E88" w:rsidRDefault="00806EBD" w:rsidP="00FF7E88">
      <w:pPr>
        <w:pStyle w:val="a5"/>
        <w:wordWrap/>
        <w:spacing w:after="0" w:line="360" w:lineRule="auto"/>
        <w:ind w:firstLineChars="0" w:firstLine="0"/>
        <w:rPr>
          <w:rFonts w:ascii="Book Antiqua" w:hAnsi="Book Antiqua"/>
          <w:szCs w:val="24"/>
        </w:rPr>
      </w:pPr>
      <w:r w:rsidRPr="00FF7E88">
        <w:rPr>
          <w:rFonts w:ascii="Book Antiqua" w:hAnsi="Book Antiqua"/>
          <w:noProof/>
          <w:szCs w:val="24"/>
          <w:lang w:val="en-US" w:eastAsia="zh-CN"/>
        </w:rPr>
        <w:drawing>
          <wp:inline distT="0" distB="0" distL="0" distR="0" wp14:anchorId="4BA7642B" wp14:editId="14C70D42">
            <wp:extent cx="5116195" cy="4381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6195" cy="4381500"/>
                    </a:xfrm>
                    <a:prstGeom prst="rect">
                      <a:avLst/>
                    </a:prstGeom>
                    <a:noFill/>
                    <a:ln>
                      <a:noFill/>
                    </a:ln>
                  </pic:spPr>
                </pic:pic>
              </a:graphicData>
            </a:graphic>
          </wp:inline>
        </w:drawing>
      </w:r>
    </w:p>
    <w:p w14:paraId="7C25E1F7" w14:textId="77777777" w:rsidR="00F67B00" w:rsidRPr="00FF7E88" w:rsidRDefault="00BE4730" w:rsidP="00FF7E88">
      <w:pPr>
        <w:pStyle w:val="a5"/>
        <w:wordWrap/>
        <w:spacing w:after="0" w:line="360" w:lineRule="auto"/>
        <w:ind w:firstLineChars="0" w:firstLine="0"/>
        <w:rPr>
          <w:rFonts w:ascii="Book Antiqua" w:hAnsi="Book Antiqua"/>
          <w:szCs w:val="24"/>
          <w:lang w:val="en-US"/>
        </w:rPr>
      </w:pPr>
      <w:r w:rsidRPr="00FF7E88">
        <w:rPr>
          <w:rFonts w:ascii="Book Antiqua" w:hAnsi="Book Antiqua" w:cs="Arial"/>
          <w:b/>
          <w:szCs w:val="24"/>
        </w:rPr>
        <w:t>Figure 2</w:t>
      </w:r>
      <w:r w:rsidRPr="00FF7E88">
        <w:rPr>
          <w:rFonts w:ascii="Book Antiqua" w:hAnsi="Book Antiqua"/>
          <w:b/>
          <w:szCs w:val="24"/>
        </w:rPr>
        <w:t xml:space="preserve"> </w:t>
      </w:r>
      <w:r w:rsidRPr="00FF7E88">
        <w:rPr>
          <w:rFonts w:ascii="Book Antiqua" w:hAnsi="Book Antiqua"/>
          <w:b/>
          <w:szCs w:val="24"/>
          <w:lang w:val="en-US" w:eastAsia="ko-KR"/>
        </w:rPr>
        <w:t xml:space="preserve">Micromucosal </w:t>
      </w:r>
      <w:r w:rsidRPr="00FF7E88">
        <w:rPr>
          <w:rFonts w:ascii="Book Antiqua" w:hAnsi="Book Antiqua"/>
          <w:b/>
          <w:szCs w:val="24"/>
          <w:lang w:val="en-US"/>
        </w:rPr>
        <w:t xml:space="preserve">patterns in the gastric corpus observed by </w:t>
      </w:r>
      <w:r w:rsidR="003345B4" w:rsidRPr="00FF7E88">
        <w:rPr>
          <w:rFonts w:ascii="Book Antiqua" w:hAnsi="Book Antiqua"/>
          <w:b/>
          <w:szCs w:val="24"/>
          <w:lang w:val="en-US"/>
        </w:rPr>
        <w:t>magnifying narrow-band imaging</w:t>
      </w:r>
      <w:r w:rsidRPr="00FF7E88">
        <w:rPr>
          <w:rFonts w:ascii="Book Antiqua" w:hAnsi="Book Antiqua"/>
          <w:b/>
          <w:szCs w:val="24"/>
          <w:lang w:val="en-US"/>
        </w:rPr>
        <w:t xml:space="preserve"> endoscopy.</w:t>
      </w:r>
      <w:r w:rsidRPr="00FF7E88">
        <w:rPr>
          <w:rFonts w:ascii="Book Antiqua" w:hAnsi="Book Antiqua"/>
          <w:szCs w:val="24"/>
          <w:lang w:val="en-US"/>
        </w:rPr>
        <w:t xml:space="preserve"> A: Normal pattern characterized by </w:t>
      </w:r>
      <w:r w:rsidR="003345B4" w:rsidRPr="00FF7E88">
        <w:rPr>
          <w:rFonts w:ascii="Book Antiqua" w:hAnsi="Book Antiqua"/>
          <w:szCs w:val="24"/>
          <w:lang w:val="en-US"/>
        </w:rPr>
        <w:t>regular arrangement of collecting venules</w:t>
      </w:r>
      <w:r w:rsidRPr="00FF7E88">
        <w:rPr>
          <w:rFonts w:ascii="Book Antiqua" w:hAnsi="Book Antiqua"/>
          <w:szCs w:val="24"/>
          <w:lang w:val="en-US"/>
        </w:rPr>
        <w:t xml:space="preserve"> and honeycomb-like </w:t>
      </w:r>
      <w:r w:rsidR="003345B4" w:rsidRPr="00FF7E88">
        <w:rPr>
          <w:rFonts w:ascii="Book Antiqua" w:hAnsi="Book Antiqua"/>
          <w:szCs w:val="24"/>
          <w:lang w:val="en-US"/>
        </w:rPr>
        <w:t>subepithelial capillary network</w:t>
      </w:r>
      <w:r w:rsidRPr="00FF7E88">
        <w:rPr>
          <w:rFonts w:ascii="Book Antiqua" w:hAnsi="Book Antiqua"/>
          <w:szCs w:val="24"/>
          <w:lang w:val="en-US"/>
        </w:rPr>
        <w:t xml:space="preserve">; B: </w:t>
      </w:r>
      <w:r w:rsidR="00F67B00" w:rsidRPr="00FF7E88">
        <w:rPr>
          <w:rFonts w:ascii="Book Antiqua" w:hAnsi="Book Antiqua"/>
          <w:szCs w:val="24"/>
          <w:lang w:val="en-US"/>
        </w:rPr>
        <w:t>T</w:t>
      </w:r>
      <w:r w:rsidRPr="00FF7E88">
        <w:rPr>
          <w:rFonts w:ascii="Book Antiqua" w:hAnsi="Book Antiqua"/>
          <w:szCs w:val="24"/>
          <w:lang w:val="en-US"/>
        </w:rPr>
        <w:t xml:space="preserve">ype Z-1, regular round pits with polygonal sulci; C: </w:t>
      </w:r>
      <w:r w:rsidR="00F67B00" w:rsidRPr="00FF7E88">
        <w:rPr>
          <w:rFonts w:ascii="Book Antiqua" w:hAnsi="Book Antiqua"/>
          <w:szCs w:val="24"/>
          <w:lang w:val="en-US"/>
        </w:rPr>
        <w:t>T</w:t>
      </w:r>
      <w:r w:rsidRPr="00FF7E88">
        <w:rPr>
          <w:rFonts w:ascii="Book Antiqua" w:hAnsi="Book Antiqua"/>
          <w:szCs w:val="24"/>
          <w:lang w:val="en-US"/>
        </w:rPr>
        <w:t xml:space="preserve">ype Z-2, more dilated and linear pits without sulci; D: </w:t>
      </w:r>
      <w:r w:rsidR="00F67B00" w:rsidRPr="00FF7E88">
        <w:rPr>
          <w:rFonts w:ascii="Book Antiqua" w:hAnsi="Book Antiqua"/>
          <w:szCs w:val="24"/>
          <w:lang w:val="en-US"/>
        </w:rPr>
        <w:t>T</w:t>
      </w:r>
      <w:r w:rsidRPr="00FF7E88">
        <w:rPr>
          <w:rFonts w:ascii="Book Antiqua" w:hAnsi="Book Antiqua"/>
          <w:szCs w:val="24"/>
          <w:lang w:val="en-US"/>
        </w:rPr>
        <w:t xml:space="preserve">ype Z-3, loss of gastric pits with coiled microvessels. </w:t>
      </w:r>
    </w:p>
    <w:p w14:paraId="3C1530D0" w14:textId="77777777" w:rsidR="00806EBD" w:rsidRPr="00FF7E88" w:rsidRDefault="00806EBD" w:rsidP="00FF7E88">
      <w:pPr>
        <w:spacing w:line="360" w:lineRule="auto"/>
        <w:jc w:val="both"/>
        <w:rPr>
          <w:rFonts w:ascii="Book Antiqua" w:hAnsi="Book Antiqua"/>
        </w:rPr>
        <w:sectPr w:rsidR="00806EBD" w:rsidRPr="00FF7E88">
          <w:pgSz w:w="12240" w:h="15840"/>
          <w:pgMar w:top="1440" w:right="1440" w:bottom="1440" w:left="1440" w:header="720" w:footer="720" w:gutter="0"/>
          <w:cols w:space="720"/>
          <w:docGrid w:linePitch="360"/>
        </w:sectPr>
      </w:pPr>
    </w:p>
    <w:p w14:paraId="1F66531E" w14:textId="37B96257" w:rsidR="00FF7E88" w:rsidRPr="00FF7E88" w:rsidRDefault="00FF7E88" w:rsidP="00FF7E88">
      <w:pPr>
        <w:spacing w:line="360" w:lineRule="auto"/>
        <w:jc w:val="both"/>
        <w:rPr>
          <w:rFonts w:ascii="Book Antiqua" w:eastAsia="HYSinMyeongJo-Medium" w:hAnsi="Book Antiqua" w:cs="Arial"/>
          <w:b/>
          <w:color w:val="000000"/>
        </w:rPr>
      </w:pPr>
      <w:r w:rsidRPr="00FF7E88">
        <w:rPr>
          <w:rFonts w:ascii="Book Antiqua" w:eastAsia="HYSinMyeongJo-Medium" w:hAnsi="Book Antiqua" w:cs="Arial"/>
          <w:b/>
          <w:color w:val="000000"/>
        </w:rPr>
        <w:t>Table 1 Baseline characteristics of the study population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978"/>
        <w:gridCol w:w="1548"/>
      </w:tblGrid>
      <w:tr w:rsidR="00FF7E88" w:rsidRPr="00FF7E88" w14:paraId="771D40B3" w14:textId="77777777" w:rsidTr="00D23959">
        <w:trPr>
          <w:trHeight w:val="471"/>
        </w:trPr>
        <w:tc>
          <w:tcPr>
            <w:tcW w:w="0" w:type="auto"/>
            <w:tcBorders>
              <w:top w:val="single" w:sz="12" w:space="0" w:color="000000"/>
              <w:left w:val="nil"/>
              <w:bottom w:val="nil"/>
              <w:right w:val="nil"/>
            </w:tcBorders>
          </w:tcPr>
          <w:p w14:paraId="338F7AA5" w14:textId="77777777" w:rsidR="00FF7E88" w:rsidRPr="00FF7E88" w:rsidRDefault="00FF7E88" w:rsidP="00FF7E88">
            <w:pPr>
              <w:spacing w:line="360" w:lineRule="auto"/>
              <w:jc w:val="both"/>
              <w:rPr>
                <w:rFonts w:ascii="Book Antiqua" w:eastAsia="HYSinMyeongJo-Medium" w:hAnsi="Book Antiqua" w:cs="Arial"/>
                <w:b/>
                <w:bCs/>
                <w:color w:val="000000"/>
              </w:rPr>
            </w:pPr>
            <w:r w:rsidRPr="00FF7E88">
              <w:rPr>
                <w:rFonts w:ascii="Book Antiqua" w:eastAsia="HYSinMyeongJo-Medium" w:hAnsi="Book Antiqua" w:cs="Arial"/>
                <w:b/>
                <w:bCs/>
                <w:color w:val="000000"/>
              </w:rPr>
              <w:t xml:space="preserve">Characteristic </w:t>
            </w:r>
          </w:p>
        </w:tc>
        <w:tc>
          <w:tcPr>
            <w:tcW w:w="0" w:type="auto"/>
            <w:tcBorders>
              <w:top w:val="single" w:sz="12" w:space="0" w:color="000000"/>
              <w:left w:val="nil"/>
              <w:bottom w:val="nil"/>
              <w:right w:val="nil"/>
            </w:tcBorders>
          </w:tcPr>
          <w:p w14:paraId="2260D021" w14:textId="77777777" w:rsidR="00FF7E88" w:rsidRPr="00FF7E88" w:rsidRDefault="00FF7E88" w:rsidP="00FF7E88">
            <w:pPr>
              <w:spacing w:line="360" w:lineRule="auto"/>
              <w:ind w:firstLineChars="550" w:firstLine="1321"/>
              <w:jc w:val="both"/>
              <w:rPr>
                <w:rFonts w:ascii="Book Antiqua" w:eastAsia="HYSinMyeongJo-Medium" w:hAnsi="Book Antiqua" w:cs="Arial"/>
                <w:b/>
                <w:bCs/>
                <w:color w:val="000000"/>
              </w:rPr>
            </w:pPr>
            <w:r w:rsidRPr="00FF7E88">
              <w:rPr>
                <w:rFonts w:ascii="Book Antiqua" w:eastAsia="HYSinMyeongJo-Medium" w:hAnsi="Book Antiqua" w:cs="Arial"/>
                <w:b/>
                <w:bCs/>
                <w:i/>
                <w:color w:val="000000"/>
              </w:rPr>
              <w:t>n</w:t>
            </w:r>
            <w:r w:rsidRPr="00FF7E88">
              <w:rPr>
                <w:rFonts w:ascii="Book Antiqua" w:eastAsia="HYSinMyeongJo-Medium" w:hAnsi="Book Antiqua" w:cs="Arial"/>
                <w:b/>
                <w:bCs/>
                <w:color w:val="000000"/>
              </w:rPr>
              <w:t xml:space="preserve"> = 254</w:t>
            </w:r>
          </w:p>
        </w:tc>
      </w:tr>
      <w:tr w:rsidR="00FF7E88" w:rsidRPr="00FF7E88" w14:paraId="0F503D58" w14:textId="77777777" w:rsidTr="00D23959">
        <w:trPr>
          <w:trHeight w:val="340"/>
        </w:trPr>
        <w:tc>
          <w:tcPr>
            <w:tcW w:w="0" w:type="auto"/>
            <w:tcBorders>
              <w:top w:val="single" w:sz="4" w:space="0" w:color="000000"/>
              <w:left w:val="nil"/>
              <w:bottom w:val="nil"/>
              <w:right w:val="nil"/>
            </w:tcBorders>
          </w:tcPr>
          <w:p w14:paraId="38481481" w14:textId="1F40F7F2"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Age (yr, mean </w:t>
            </w:r>
            <w:r w:rsidRPr="00FF7E88">
              <w:rPr>
                <w:rFonts w:ascii="Book Antiqua" w:hAnsi="Book Antiqua" w:cs="Arial"/>
                <w:color w:val="000000"/>
              </w:rPr>
              <w:t xml:space="preserve">± </w:t>
            </w:r>
            <w:r w:rsidRPr="00FF7E88">
              <w:rPr>
                <w:rFonts w:ascii="Book Antiqua" w:eastAsia="HYSinMyeongJo-Medium" w:hAnsi="Book Antiqua" w:cs="Arial"/>
                <w:color w:val="000000"/>
              </w:rPr>
              <w:t xml:space="preserve">SD) </w:t>
            </w:r>
          </w:p>
        </w:tc>
        <w:tc>
          <w:tcPr>
            <w:tcW w:w="0" w:type="auto"/>
            <w:tcBorders>
              <w:top w:val="single" w:sz="4" w:space="0" w:color="000000"/>
              <w:left w:val="nil"/>
              <w:bottom w:val="nil"/>
              <w:right w:val="nil"/>
            </w:tcBorders>
          </w:tcPr>
          <w:p w14:paraId="40476DE8" w14:textId="77777777" w:rsidR="00FF7E88" w:rsidRPr="00FF7E88" w:rsidRDefault="00FF7E88" w:rsidP="00FF7E88">
            <w:pPr>
              <w:spacing w:line="360" w:lineRule="auto"/>
              <w:ind w:firstLineChars="450" w:firstLine="108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45.9 </w:t>
            </w:r>
            <w:r w:rsidRPr="00FF7E88">
              <w:rPr>
                <w:rFonts w:ascii="Book Antiqua" w:hAnsi="Book Antiqua" w:cs="Arial"/>
                <w:color w:val="000000"/>
              </w:rPr>
              <w:t>± 14</w:t>
            </w:r>
            <w:r w:rsidRPr="00FF7E88">
              <w:rPr>
                <w:rFonts w:ascii="Book Antiqua" w:eastAsia="HYSinMyeongJo-Medium" w:hAnsi="Book Antiqua" w:cs="Arial"/>
                <w:color w:val="000000"/>
              </w:rPr>
              <w:t>.6</w:t>
            </w:r>
          </w:p>
        </w:tc>
      </w:tr>
      <w:tr w:rsidR="00FF7E88" w:rsidRPr="00FF7E88" w14:paraId="42198809" w14:textId="77777777" w:rsidTr="00D23959">
        <w:trPr>
          <w:trHeight w:val="340"/>
        </w:trPr>
        <w:tc>
          <w:tcPr>
            <w:tcW w:w="0" w:type="auto"/>
            <w:tcBorders>
              <w:top w:val="nil"/>
              <w:left w:val="nil"/>
              <w:bottom w:val="nil"/>
              <w:right w:val="nil"/>
            </w:tcBorders>
          </w:tcPr>
          <w:p w14:paraId="144E0734" w14:textId="4D0619E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Sex, male</w:t>
            </w:r>
            <w:r w:rsidR="00747D96">
              <w:rPr>
                <w:rFonts w:ascii="Book Antiqua" w:eastAsia="HYSinMyeongJo-Medium" w:hAnsi="Book Antiqua" w:cs="Arial"/>
                <w:color w:val="000000"/>
              </w:rPr>
              <w:t xml:space="preserve">, </w:t>
            </w:r>
            <w:r w:rsidR="00747D96" w:rsidRPr="00747D96">
              <w:rPr>
                <w:rFonts w:ascii="Book Antiqua" w:eastAsia="HYSinMyeongJo-Medium" w:hAnsi="Book Antiqua" w:cs="Arial"/>
                <w:i/>
                <w:iCs/>
                <w:color w:val="000000"/>
              </w:rPr>
              <w:t>n</w:t>
            </w:r>
            <w:r w:rsidRPr="00FF7E88">
              <w:rPr>
                <w:rFonts w:ascii="Book Antiqua" w:eastAsia="HYSinMyeongJo-Medium" w:hAnsi="Book Antiqua" w:cs="Arial"/>
                <w:color w:val="000000"/>
              </w:rPr>
              <w:t xml:space="preserve"> (%) </w:t>
            </w:r>
          </w:p>
        </w:tc>
        <w:tc>
          <w:tcPr>
            <w:tcW w:w="0" w:type="auto"/>
            <w:tcBorders>
              <w:top w:val="nil"/>
              <w:left w:val="nil"/>
              <w:bottom w:val="nil"/>
              <w:right w:val="nil"/>
            </w:tcBorders>
          </w:tcPr>
          <w:p w14:paraId="10770C24"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119 (46.9)</w:t>
            </w:r>
          </w:p>
        </w:tc>
      </w:tr>
      <w:tr w:rsidR="00FF7E88" w:rsidRPr="00FF7E88" w14:paraId="1646E719" w14:textId="77777777" w:rsidTr="00D23959">
        <w:trPr>
          <w:trHeight w:val="340"/>
        </w:trPr>
        <w:tc>
          <w:tcPr>
            <w:tcW w:w="0" w:type="auto"/>
            <w:tcBorders>
              <w:top w:val="nil"/>
              <w:left w:val="nil"/>
              <w:bottom w:val="nil"/>
              <w:right w:val="nil"/>
            </w:tcBorders>
          </w:tcPr>
          <w:p w14:paraId="68849BA2" w14:textId="05C6D000" w:rsidR="00FF7E88" w:rsidRPr="00B34C94" w:rsidRDefault="00FF7E88"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Indication for endoscopy</w:t>
            </w:r>
            <w:r w:rsidR="00747D96" w:rsidRPr="00B34C94">
              <w:rPr>
                <w:rFonts w:ascii="Book Antiqua" w:eastAsia="HYSinMyeongJo-Medium" w:hAnsi="Book Antiqua" w:cs="Arial"/>
                <w:b/>
                <w:color w:val="000000"/>
              </w:rPr>
              <w:t>,</w:t>
            </w:r>
            <w:r w:rsidRPr="00B34C94">
              <w:rPr>
                <w:rFonts w:ascii="Book Antiqua" w:eastAsia="HYSinMyeongJo-Medium" w:hAnsi="Book Antiqua" w:cs="Arial"/>
                <w:b/>
                <w:color w:val="000000"/>
              </w:rPr>
              <w:t xml:space="preserve"> </w:t>
            </w:r>
            <w:r w:rsidR="00747D96" w:rsidRPr="00B34C94">
              <w:rPr>
                <w:rFonts w:ascii="Book Antiqua" w:eastAsia="HYSinMyeongJo-Medium" w:hAnsi="Book Antiqua" w:cs="Arial"/>
                <w:b/>
                <w:i/>
                <w:iCs/>
                <w:color w:val="000000"/>
              </w:rPr>
              <w:t>n</w:t>
            </w:r>
            <w:r w:rsidR="00747D96" w:rsidRPr="00B34C94">
              <w:rPr>
                <w:rFonts w:ascii="Book Antiqua" w:eastAsia="HYSinMyeongJo-Medium" w:hAnsi="Book Antiqua" w:cs="Arial"/>
                <w:b/>
                <w:color w:val="000000"/>
              </w:rPr>
              <w:t xml:space="preserve"> (%)</w:t>
            </w:r>
          </w:p>
        </w:tc>
        <w:tc>
          <w:tcPr>
            <w:tcW w:w="0" w:type="auto"/>
            <w:tcBorders>
              <w:top w:val="nil"/>
              <w:left w:val="nil"/>
              <w:bottom w:val="nil"/>
              <w:right w:val="nil"/>
            </w:tcBorders>
          </w:tcPr>
          <w:p w14:paraId="425371F0" w14:textId="77777777" w:rsidR="00FF7E88" w:rsidRPr="00FF7E88" w:rsidRDefault="00FF7E88" w:rsidP="00FF7E88">
            <w:pPr>
              <w:spacing w:line="360" w:lineRule="auto"/>
              <w:jc w:val="both"/>
              <w:rPr>
                <w:rFonts w:ascii="Book Antiqua" w:eastAsia="HYSinMyeongJo-Medium" w:hAnsi="Book Antiqua" w:cs="Arial"/>
                <w:color w:val="000000"/>
              </w:rPr>
            </w:pPr>
          </w:p>
        </w:tc>
      </w:tr>
      <w:tr w:rsidR="00FF7E88" w:rsidRPr="00FF7E88" w14:paraId="05DBF247" w14:textId="77777777" w:rsidTr="00D23959">
        <w:trPr>
          <w:trHeight w:val="340"/>
        </w:trPr>
        <w:tc>
          <w:tcPr>
            <w:tcW w:w="0" w:type="auto"/>
            <w:tcBorders>
              <w:top w:val="nil"/>
              <w:left w:val="nil"/>
              <w:bottom w:val="nil"/>
              <w:right w:val="nil"/>
            </w:tcBorders>
          </w:tcPr>
          <w:p w14:paraId="391C5491" w14:textId="77777777" w:rsidR="00FF7E88" w:rsidRPr="00FF7E88" w:rsidRDefault="00FF7E88"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Screening </w:t>
            </w:r>
          </w:p>
        </w:tc>
        <w:tc>
          <w:tcPr>
            <w:tcW w:w="0" w:type="auto"/>
            <w:tcBorders>
              <w:top w:val="nil"/>
              <w:left w:val="nil"/>
              <w:bottom w:val="nil"/>
              <w:right w:val="nil"/>
            </w:tcBorders>
          </w:tcPr>
          <w:p w14:paraId="0EE51825"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132 (52.0)</w:t>
            </w:r>
          </w:p>
        </w:tc>
      </w:tr>
      <w:tr w:rsidR="00FF7E88" w:rsidRPr="00FF7E88" w14:paraId="0796399F" w14:textId="77777777" w:rsidTr="00D23959">
        <w:trPr>
          <w:trHeight w:val="340"/>
        </w:trPr>
        <w:tc>
          <w:tcPr>
            <w:tcW w:w="0" w:type="auto"/>
            <w:tcBorders>
              <w:top w:val="nil"/>
              <w:left w:val="nil"/>
              <w:bottom w:val="nil"/>
              <w:right w:val="nil"/>
            </w:tcBorders>
          </w:tcPr>
          <w:p w14:paraId="61EA2F0F" w14:textId="77777777" w:rsidR="00FF7E88" w:rsidRPr="00FF7E88" w:rsidRDefault="00FF7E88"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Dyspepsia </w:t>
            </w:r>
          </w:p>
        </w:tc>
        <w:tc>
          <w:tcPr>
            <w:tcW w:w="0" w:type="auto"/>
            <w:tcBorders>
              <w:top w:val="nil"/>
              <w:left w:val="nil"/>
              <w:bottom w:val="nil"/>
              <w:right w:val="nil"/>
            </w:tcBorders>
          </w:tcPr>
          <w:p w14:paraId="701C4529"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42 (16.5)</w:t>
            </w:r>
          </w:p>
        </w:tc>
      </w:tr>
      <w:tr w:rsidR="00FF7E88" w:rsidRPr="00FF7E88" w14:paraId="108A5F67" w14:textId="77777777" w:rsidTr="00D23959">
        <w:trPr>
          <w:trHeight w:val="340"/>
        </w:trPr>
        <w:tc>
          <w:tcPr>
            <w:tcW w:w="0" w:type="auto"/>
            <w:tcBorders>
              <w:top w:val="nil"/>
              <w:left w:val="nil"/>
              <w:bottom w:val="nil"/>
              <w:right w:val="nil"/>
            </w:tcBorders>
          </w:tcPr>
          <w:p w14:paraId="292D48D4" w14:textId="516D1B3D" w:rsidR="00FF7E88" w:rsidRPr="00FF7E88" w:rsidRDefault="00FF7E88"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Abdominal pain</w:t>
            </w:r>
          </w:p>
        </w:tc>
        <w:tc>
          <w:tcPr>
            <w:tcW w:w="0" w:type="auto"/>
            <w:tcBorders>
              <w:top w:val="nil"/>
              <w:left w:val="nil"/>
              <w:bottom w:val="nil"/>
              <w:right w:val="nil"/>
            </w:tcBorders>
          </w:tcPr>
          <w:p w14:paraId="494FAC1B"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47 (18.5)</w:t>
            </w:r>
          </w:p>
        </w:tc>
      </w:tr>
      <w:tr w:rsidR="00FF7E88" w:rsidRPr="00FF7E88" w14:paraId="260B6DC3" w14:textId="77777777" w:rsidTr="00D23959">
        <w:trPr>
          <w:trHeight w:val="340"/>
        </w:trPr>
        <w:tc>
          <w:tcPr>
            <w:tcW w:w="0" w:type="auto"/>
            <w:tcBorders>
              <w:top w:val="nil"/>
              <w:left w:val="nil"/>
              <w:bottom w:val="nil"/>
              <w:right w:val="nil"/>
            </w:tcBorders>
          </w:tcPr>
          <w:p w14:paraId="277AB2DC" w14:textId="5CD7666C" w:rsidR="00FF7E88" w:rsidRPr="00FF7E88" w:rsidRDefault="00FF7E88"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Other</w:t>
            </w:r>
          </w:p>
        </w:tc>
        <w:tc>
          <w:tcPr>
            <w:tcW w:w="0" w:type="auto"/>
            <w:tcBorders>
              <w:top w:val="nil"/>
              <w:left w:val="nil"/>
              <w:bottom w:val="nil"/>
              <w:right w:val="nil"/>
            </w:tcBorders>
          </w:tcPr>
          <w:p w14:paraId="292C5D7E"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33 (13.0)</w:t>
            </w:r>
          </w:p>
        </w:tc>
      </w:tr>
      <w:tr w:rsidR="00FF7E88" w:rsidRPr="00FF7E88" w14:paraId="4F7CECD2" w14:textId="77777777" w:rsidTr="00D23959">
        <w:trPr>
          <w:trHeight w:val="340"/>
        </w:trPr>
        <w:tc>
          <w:tcPr>
            <w:tcW w:w="0" w:type="auto"/>
            <w:tcBorders>
              <w:top w:val="nil"/>
              <w:left w:val="nil"/>
              <w:bottom w:val="nil"/>
              <w:right w:val="nil"/>
            </w:tcBorders>
          </w:tcPr>
          <w:p w14:paraId="1F7E9427" w14:textId="0114060B" w:rsidR="00FF7E88" w:rsidRPr="00B34C94" w:rsidRDefault="00FF7E88"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Endoscopic diagnosis</w:t>
            </w:r>
            <w:r w:rsidR="00747D96" w:rsidRPr="00B34C94">
              <w:rPr>
                <w:rFonts w:ascii="Book Antiqua" w:eastAsia="HYSinMyeongJo-Medium" w:hAnsi="Book Antiqua" w:cs="Arial"/>
                <w:b/>
                <w:color w:val="000000"/>
              </w:rPr>
              <w:t>,</w:t>
            </w:r>
            <w:r w:rsidRPr="00B34C94">
              <w:rPr>
                <w:rFonts w:ascii="Book Antiqua" w:eastAsia="HYSinMyeongJo-Medium" w:hAnsi="Book Antiqua" w:cs="Arial"/>
                <w:b/>
                <w:color w:val="000000"/>
              </w:rPr>
              <w:t xml:space="preserve"> </w:t>
            </w:r>
            <w:r w:rsidR="00747D96" w:rsidRPr="00B34C94">
              <w:rPr>
                <w:rFonts w:ascii="Book Antiqua" w:eastAsia="HYSinMyeongJo-Medium" w:hAnsi="Book Antiqua" w:cs="Arial"/>
                <w:b/>
                <w:i/>
                <w:iCs/>
                <w:color w:val="000000"/>
              </w:rPr>
              <w:t>n</w:t>
            </w:r>
            <w:r w:rsidR="00747D96" w:rsidRPr="00B34C94">
              <w:rPr>
                <w:rFonts w:ascii="Book Antiqua" w:eastAsia="HYSinMyeongJo-Medium" w:hAnsi="Book Antiqua" w:cs="Arial"/>
                <w:b/>
                <w:color w:val="000000"/>
              </w:rPr>
              <w:t xml:space="preserve"> (%)</w:t>
            </w:r>
          </w:p>
        </w:tc>
        <w:tc>
          <w:tcPr>
            <w:tcW w:w="0" w:type="auto"/>
            <w:tcBorders>
              <w:top w:val="nil"/>
              <w:left w:val="nil"/>
              <w:bottom w:val="nil"/>
              <w:right w:val="nil"/>
            </w:tcBorders>
          </w:tcPr>
          <w:p w14:paraId="56066C7D" w14:textId="77777777" w:rsidR="00FF7E88" w:rsidRPr="00FF7E88" w:rsidRDefault="00FF7E88" w:rsidP="00FF7E88">
            <w:pPr>
              <w:spacing w:line="360" w:lineRule="auto"/>
              <w:jc w:val="both"/>
              <w:rPr>
                <w:rFonts w:ascii="Book Antiqua" w:eastAsia="HYSinMyeongJo-Medium" w:hAnsi="Book Antiqua" w:cs="Arial"/>
                <w:color w:val="000000"/>
              </w:rPr>
            </w:pPr>
          </w:p>
        </w:tc>
      </w:tr>
      <w:tr w:rsidR="00FF7E88" w:rsidRPr="00FF7E88" w14:paraId="1C8A9C78" w14:textId="77777777" w:rsidTr="00D23959">
        <w:trPr>
          <w:trHeight w:val="340"/>
        </w:trPr>
        <w:tc>
          <w:tcPr>
            <w:tcW w:w="0" w:type="auto"/>
            <w:tcBorders>
              <w:top w:val="nil"/>
              <w:left w:val="nil"/>
              <w:bottom w:val="nil"/>
              <w:right w:val="nil"/>
            </w:tcBorders>
          </w:tcPr>
          <w:p w14:paraId="06962655" w14:textId="3D3B55FA"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Peptic ulcer</w:t>
            </w:r>
          </w:p>
        </w:tc>
        <w:tc>
          <w:tcPr>
            <w:tcW w:w="0" w:type="auto"/>
            <w:tcBorders>
              <w:top w:val="nil"/>
              <w:left w:val="nil"/>
              <w:bottom w:val="nil"/>
              <w:right w:val="nil"/>
            </w:tcBorders>
          </w:tcPr>
          <w:p w14:paraId="49494FE3" w14:textId="77777777" w:rsidR="00FF7E88" w:rsidRPr="00FF7E88" w:rsidRDefault="00FF7E88" w:rsidP="00FF7E88">
            <w:pPr>
              <w:spacing w:line="360" w:lineRule="auto"/>
              <w:ind w:firstLineChars="600" w:firstLine="1440"/>
              <w:jc w:val="both"/>
              <w:rPr>
                <w:rFonts w:ascii="Book Antiqua" w:eastAsia="HYSinMyeongJo-Medium" w:hAnsi="Book Antiqua" w:cs="Arial"/>
                <w:color w:val="000000"/>
              </w:rPr>
            </w:pPr>
            <w:r w:rsidRPr="00FF7E88">
              <w:rPr>
                <w:rFonts w:ascii="Book Antiqua" w:eastAsia="HYSinMyeongJo-Medium" w:hAnsi="Book Antiqua" w:cs="Arial"/>
                <w:color w:val="000000"/>
              </w:rPr>
              <w:t>11 (4.3)</w:t>
            </w:r>
          </w:p>
        </w:tc>
      </w:tr>
      <w:tr w:rsidR="00FF7E88" w:rsidRPr="00FF7E88" w14:paraId="7D1BB055" w14:textId="77777777" w:rsidTr="00D23959">
        <w:trPr>
          <w:trHeight w:val="340"/>
        </w:trPr>
        <w:tc>
          <w:tcPr>
            <w:tcW w:w="0" w:type="auto"/>
            <w:tcBorders>
              <w:top w:val="nil"/>
              <w:left w:val="nil"/>
              <w:bottom w:val="nil"/>
              <w:right w:val="nil"/>
            </w:tcBorders>
          </w:tcPr>
          <w:p w14:paraId="0CA17BBE" w14:textId="6140144A"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Gastric neoplasia </w:t>
            </w:r>
          </w:p>
        </w:tc>
        <w:tc>
          <w:tcPr>
            <w:tcW w:w="0" w:type="auto"/>
            <w:tcBorders>
              <w:top w:val="nil"/>
              <w:left w:val="nil"/>
              <w:bottom w:val="nil"/>
              <w:right w:val="nil"/>
            </w:tcBorders>
          </w:tcPr>
          <w:p w14:paraId="2A14DAD4" w14:textId="77777777" w:rsidR="00FF7E88" w:rsidRPr="00FF7E88" w:rsidRDefault="00FF7E88" w:rsidP="00FF7E88">
            <w:pPr>
              <w:spacing w:line="360" w:lineRule="auto"/>
              <w:ind w:firstLineChars="600" w:firstLine="1440"/>
              <w:jc w:val="both"/>
              <w:rPr>
                <w:rFonts w:ascii="Book Antiqua" w:eastAsia="HYSinMyeongJo-Medium" w:hAnsi="Book Antiqua" w:cs="Arial"/>
                <w:color w:val="000000"/>
              </w:rPr>
            </w:pPr>
            <w:r w:rsidRPr="00FF7E88">
              <w:rPr>
                <w:rFonts w:ascii="Book Antiqua" w:eastAsia="HYSinMyeongJo-Medium" w:hAnsi="Book Antiqua" w:cs="Arial"/>
                <w:color w:val="000000"/>
              </w:rPr>
              <w:t>25 (9.8)</w:t>
            </w:r>
          </w:p>
        </w:tc>
      </w:tr>
      <w:tr w:rsidR="00FF7E88" w:rsidRPr="00FF7E88" w14:paraId="54046FE0" w14:textId="77777777" w:rsidTr="00D23959">
        <w:trPr>
          <w:trHeight w:val="340"/>
        </w:trPr>
        <w:tc>
          <w:tcPr>
            <w:tcW w:w="0" w:type="auto"/>
            <w:tcBorders>
              <w:top w:val="nil"/>
              <w:left w:val="nil"/>
              <w:bottom w:val="nil"/>
              <w:right w:val="nil"/>
            </w:tcBorders>
          </w:tcPr>
          <w:p w14:paraId="2A48AB5C" w14:textId="1AA699E7"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Non-neoplastic polyp </w:t>
            </w:r>
          </w:p>
        </w:tc>
        <w:tc>
          <w:tcPr>
            <w:tcW w:w="0" w:type="auto"/>
            <w:tcBorders>
              <w:top w:val="nil"/>
              <w:left w:val="nil"/>
              <w:bottom w:val="nil"/>
              <w:right w:val="nil"/>
            </w:tcBorders>
          </w:tcPr>
          <w:p w14:paraId="40E2B347" w14:textId="77777777" w:rsidR="00FF7E88" w:rsidRPr="00FF7E88" w:rsidRDefault="00FF7E88" w:rsidP="00FF7E88">
            <w:pPr>
              <w:spacing w:line="360" w:lineRule="auto"/>
              <w:ind w:firstLineChars="600" w:firstLine="1440"/>
              <w:jc w:val="both"/>
              <w:rPr>
                <w:rFonts w:ascii="Book Antiqua" w:eastAsia="HYSinMyeongJo-Medium" w:hAnsi="Book Antiqua" w:cs="Arial"/>
                <w:color w:val="000000"/>
              </w:rPr>
            </w:pPr>
            <w:r w:rsidRPr="00FF7E88">
              <w:rPr>
                <w:rFonts w:ascii="Book Antiqua" w:eastAsia="HYSinMyeongJo-Medium" w:hAnsi="Book Antiqua" w:cs="Arial"/>
                <w:color w:val="000000"/>
              </w:rPr>
              <w:t>19 (7.5)</w:t>
            </w:r>
          </w:p>
        </w:tc>
      </w:tr>
      <w:tr w:rsidR="00FF7E88" w:rsidRPr="00FF7E88" w14:paraId="59D59A99" w14:textId="77777777" w:rsidTr="00D23959">
        <w:trPr>
          <w:trHeight w:val="340"/>
        </w:trPr>
        <w:tc>
          <w:tcPr>
            <w:tcW w:w="0" w:type="auto"/>
            <w:tcBorders>
              <w:top w:val="nil"/>
              <w:left w:val="nil"/>
              <w:bottom w:val="nil"/>
              <w:right w:val="nil"/>
            </w:tcBorders>
          </w:tcPr>
          <w:p w14:paraId="4944D059" w14:textId="4E8FFAED"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Chronic active gastritis </w:t>
            </w:r>
          </w:p>
        </w:tc>
        <w:tc>
          <w:tcPr>
            <w:tcW w:w="0" w:type="auto"/>
            <w:tcBorders>
              <w:top w:val="nil"/>
              <w:left w:val="nil"/>
              <w:bottom w:val="nil"/>
              <w:right w:val="nil"/>
            </w:tcBorders>
          </w:tcPr>
          <w:p w14:paraId="6FF9B65A"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135 (53.1)</w:t>
            </w:r>
          </w:p>
        </w:tc>
      </w:tr>
      <w:tr w:rsidR="00FF7E88" w:rsidRPr="00FF7E88" w14:paraId="4D041B52" w14:textId="77777777" w:rsidTr="00D23959">
        <w:trPr>
          <w:trHeight w:val="340"/>
        </w:trPr>
        <w:tc>
          <w:tcPr>
            <w:tcW w:w="0" w:type="auto"/>
            <w:tcBorders>
              <w:top w:val="nil"/>
              <w:left w:val="nil"/>
              <w:bottom w:val="nil"/>
              <w:right w:val="nil"/>
            </w:tcBorders>
          </w:tcPr>
          <w:p w14:paraId="7298BBD1" w14:textId="5423F9EF"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i/>
                <w:color w:val="000000"/>
              </w:rPr>
              <w:t xml:space="preserve">Helicobacter pylori </w:t>
            </w:r>
            <w:r w:rsidRPr="00FF7E88">
              <w:rPr>
                <w:rFonts w:ascii="Book Antiqua" w:eastAsia="HYSinMyeongJo-Medium" w:hAnsi="Book Antiqua" w:cs="Arial"/>
                <w:color w:val="000000"/>
              </w:rPr>
              <w:t>infection</w:t>
            </w:r>
            <w:r w:rsidR="00747D96">
              <w:rPr>
                <w:rFonts w:ascii="Book Antiqua" w:eastAsia="HYSinMyeongJo-Medium" w:hAnsi="Book Antiqua" w:cs="Arial"/>
                <w:color w:val="000000"/>
              </w:rPr>
              <w:t>,</w:t>
            </w:r>
            <w:r w:rsidRPr="00FF7E88">
              <w:rPr>
                <w:rFonts w:ascii="Book Antiqua" w:eastAsia="HYSinMyeongJo-Medium" w:hAnsi="Book Antiqua" w:cs="Arial"/>
                <w:color w:val="000000"/>
              </w:rPr>
              <w:t xml:space="preserve"> </w:t>
            </w:r>
            <w:r w:rsidR="00747D96" w:rsidRPr="00747D96">
              <w:rPr>
                <w:rFonts w:ascii="Book Antiqua" w:eastAsia="HYSinMyeongJo-Medium" w:hAnsi="Book Antiqua" w:cs="Arial"/>
                <w:i/>
                <w:iCs/>
                <w:color w:val="000000"/>
              </w:rPr>
              <w:t>n</w:t>
            </w:r>
            <w:r w:rsidR="00747D96" w:rsidRPr="00FF7E88">
              <w:rPr>
                <w:rFonts w:ascii="Book Antiqua" w:eastAsia="HYSinMyeongJo-Medium" w:hAnsi="Book Antiqua" w:cs="Arial"/>
                <w:color w:val="000000"/>
              </w:rPr>
              <w:t xml:space="preserve"> (%)</w:t>
            </w:r>
          </w:p>
        </w:tc>
        <w:tc>
          <w:tcPr>
            <w:tcW w:w="0" w:type="auto"/>
            <w:tcBorders>
              <w:top w:val="nil"/>
              <w:left w:val="nil"/>
              <w:bottom w:val="nil"/>
              <w:right w:val="nil"/>
            </w:tcBorders>
          </w:tcPr>
          <w:p w14:paraId="686A31C4"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163 (64.2)</w:t>
            </w:r>
          </w:p>
        </w:tc>
      </w:tr>
      <w:tr w:rsidR="00FF7E88" w:rsidRPr="00FF7E88" w14:paraId="23B3EB67" w14:textId="77777777" w:rsidTr="00D23959">
        <w:trPr>
          <w:trHeight w:val="340"/>
        </w:trPr>
        <w:tc>
          <w:tcPr>
            <w:tcW w:w="0" w:type="auto"/>
            <w:tcBorders>
              <w:top w:val="nil"/>
              <w:left w:val="nil"/>
              <w:bottom w:val="nil"/>
              <w:right w:val="nil"/>
            </w:tcBorders>
          </w:tcPr>
          <w:p w14:paraId="319900F1" w14:textId="3E62C018" w:rsidR="00FF7E88" w:rsidRPr="00B34C94" w:rsidRDefault="00FF7E88"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Gastric atrophy</w:t>
            </w:r>
            <w:r w:rsidR="00747D96" w:rsidRPr="00B34C94">
              <w:rPr>
                <w:rFonts w:ascii="Book Antiqua" w:eastAsia="HYSinMyeongJo-Medium" w:hAnsi="Book Antiqua" w:cs="Arial"/>
                <w:b/>
                <w:color w:val="000000"/>
              </w:rPr>
              <w:t>,</w:t>
            </w:r>
            <w:r w:rsidR="00747D96" w:rsidRPr="00B34C94">
              <w:rPr>
                <w:rFonts w:ascii="Book Antiqua" w:eastAsia="HYSinMyeongJo-Medium" w:hAnsi="Book Antiqua" w:cs="Arial"/>
                <w:b/>
                <w:i/>
                <w:iCs/>
                <w:color w:val="000000"/>
              </w:rPr>
              <w:t xml:space="preserve"> n</w:t>
            </w:r>
            <w:r w:rsidR="00747D96" w:rsidRPr="00B34C94">
              <w:rPr>
                <w:rFonts w:ascii="Book Antiqua" w:eastAsia="HYSinMyeongJo-Medium" w:hAnsi="Book Antiqua" w:cs="Arial"/>
                <w:b/>
                <w:color w:val="000000"/>
              </w:rPr>
              <w:t xml:space="preserve"> (%)</w:t>
            </w:r>
          </w:p>
        </w:tc>
        <w:tc>
          <w:tcPr>
            <w:tcW w:w="0" w:type="auto"/>
            <w:tcBorders>
              <w:top w:val="nil"/>
              <w:left w:val="nil"/>
              <w:bottom w:val="nil"/>
              <w:right w:val="nil"/>
            </w:tcBorders>
          </w:tcPr>
          <w:p w14:paraId="55C5E375" w14:textId="77777777" w:rsidR="00FF7E88" w:rsidRPr="00FF7E88" w:rsidRDefault="00FF7E88" w:rsidP="00FF7E88">
            <w:pPr>
              <w:spacing w:line="360" w:lineRule="auto"/>
              <w:jc w:val="both"/>
              <w:rPr>
                <w:rFonts w:ascii="Book Antiqua" w:eastAsia="HYSinMyeongJo-Medium" w:hAnsi="Book Antiqua" w:cs="Arial"/>
                <w:color w:val="000000"/>
              </w:rPr>
            </w:pPr>
          </w:p>
        </w:tc>
      </w:tr>
      <w:tr w:rsidR="00FF7E88" w:rsidRPr="00FF7E88" w14:paraId="68DCBB2F" w14:textId="77777777" w:rsidTr="00D23959">
        <w:trPr>
          <w:trHeight w:val="340"/>
        </w:trPr>
        <w:tc>
          <w:tcPr>
            <w:tcW w:w="0" w:type="auto"/>
            <w:tcBorders>
              <w:top w:val="nil"/>
              <w:left w:val="nil"/>
              <w:bottom w:val="nil"/>
              <w:right w:val="nil"/>
            </w:tcBorders>
          </w:tcPr>
          <w:p w14:paraId="485A9779" w14:textId="230ED830"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None/mild </w:t>
            </w:r>
          </w:p>
        </w:tc>
        <w:tc>
          <w:tcPr>
            <w:tcW w:w="0" w:type="auto"/>
            <w:tcBorders>
              <w:top w:val="nil"/>
              <w:left w:val="nil"/>
              <w:bottom w:val="nil"/>
              <w:right w:val="nil"/>
            </w:tcBorders>
          </w:tcPr>
          <w:p w14:paraId="5671DA9E"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117 (66.9)</w:t>
            </w:r>
          </w:p>
        </w:tc>
      </w:tr>
      <w:tr w:rsidR="00FF7E88" w:rsidRPr="00FF7E88" w14:paraId="323BA724" w14:textId="77777777" w:rsidTr="00D23959">
        <w:trPr>
          <w:trHeight w:val="340"/>
        </w:trPr>
        <w:tc>
          <w:tcPr>
            <w:tcW w:w="0" w:type="auto"/>
            <w:tcBorders>
              <w:top w:val="nil"/>
              <w:left w:val="nil"/>
              <w:bottom w:val="nil"/>
              <w:right w:val="nil"/>
            </w:tcBorders>
          </w:tcPr>
          <w:p w14:paraId="7705E777" w14:textId="5F4EAA26"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Moderate</w:t>
            </w:r>
          </w:p>
        </w:tc>
        <w:tc>
          <w:tcPr>
            <w:tcW w:w="0" w:type="auto"/>
            <w:tcBorders>
              <w:top w:val="nil"/>
              <w:left w:val="nil"/>
              <w:bottom w:val="nil"/>
              <w:right w:val="nil"/>
            </w:tcBorders>
          </w:tcPr>
          <w:p w14:paraId="388DC7ED"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37 (21.1)</w:t>
            </w:r>
          </w:p>
        </w:tc>
      </w:tr>
      <w:tr w:rsidR="00FF7E88" w:rsidRPr="00FF7E88" w14:paraId="1BFB836C" w14:textId="77777777" w:rsidTr="00D23959">
        <w:trPr>
          <w:trHeight w:val="340"/>
        </w:trPr>
        <w:tc>
          <w:tcPr>
            <w:tcW w:w="0" w:type="auto"/>
            <w:tcBorders>
              <w:top w:val="nil"/>
              <w:left w:val="nil"/>
              <w:bottom w:val="nil"/>
              <w:right w:val="nil"/>
            </w:tcBorders>
          </w:tcPr>
          <w:p w14:paraId="3587D3F7" w14:textId="6F733D1D"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Severe </w:t>
            </w:r>
          </w:p>
        </w:tc>
        <w:tc>
          <w:tcPr>
            <w:tcW w:w="0" w:type="auto"/>
            <w:tcBorders>
              <w:top w:val="nil"/>
              <w:left w:val="nil"/>
              <w:bottom w:val="nil"/>
              <w:right w:val="nil"/>
            </w:tcBorders>
          </w:tcPr>
          <w:p w14:paraId="36DB73F0"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21 (12.0)</w:t>
            </w:r>
          </w:p>
        </w:tc>
      </w:tr>
      <w:tr w:rsidR="00FF7E88" w:rsidRPr="00FF7E88" w14:paraId="07A783FB" w14:textId="77777777" w:rsidTr="00D23959">
        <w:trPr>
          <w:trHeight w:val="340"/>
        </w:trPr>
        <w:tc>
          <w:tcPr>
            <w:tcW w:w="0" w:type="auto"/>
            <w:tcBorders>
              <w:top w:val="nil"/>
              <w:left w:val="nil"/>
              <w:bottom w:val="nil"/>
              <w:right w:val="nil"/>
            </w:tcBorders>
          </w:tcPr>
          <w:p w14:paraId="1AED99C8" w14:textId="1B2331C2" w:rsidR="00FF7E88" w:rsidRPr="00B34C94" w:rsidRDefault="00FF7E88"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Intestinal metaplasia</w:t>
            </w:r>
            <w:r w:rsidR="00747D96" w:rsidRPr="00B34C94">
              <w:rPr>
                <w:rFonts w:ascii="Book Antiqua" w:eastAsia="HYSinMyeongJo-Medium" w:hAnsi="Book Antiqua" w:cs="Arial"/>
                <w:b/>
                <w:color w:val="000000"/>
              </w:rPr>
              <w:t>,</w:t>
            </w:r>
            <w:r w:rsidR="00747D96" w:rsidRPr="00B34C94">
              <w:rPr>
                <w:rFonts w:ascii="Book Antiqua" w:eastAsia="HYSinMyeongJo-Medium" w:hAnsi="Book Antiqua" w:cs="Arial"/>
                <w:b/>
                <w:i/>
                <w:iCs/>
                <w:color w:val="000000"/>
              </w:rPr>
              <w:t xml:space="preserve"> n</w:t>
            </w:r>
            <w:r w:rsidR="00747D96" w:rsidRPr="00B34C94">
              <w:rPr>
                <w:rFonts w:ascii="Book Antiqua" w:eastAsia="HYSinMyeongJo-Medium" w:hAnsi="Book Antiqua" w:cs="Arial"/>
                <w:b/>
                <w:color w:val="000000"/>
              </w:rPr>
              <w:t xml:space="preserve"> (%)</w:t>
            </w:r>
          </w:p>
        </w:tc>
        <w:tc>
          <w:tcPr>
            <w:tcW w:w="0" w:type="auto"/>
            <w:tcBorders>
              <w:top w:val="nil"/>
              <w:left w:val="nil"/>
              <w:bottom w:val="nil"/>
              <w:right w:val="nil"/>
            </w:tcBorders>
          </w:tcPr>
          <w:p w14:paraId="28315570" w14:textId="77777777" w:rsidR="00FF7E88" w:rsidRPr="00FF7E88" w:rsidRDefault="00FF7E88" w:rsidP="00FF7E88">
            <w:pPr>
              <w:spacing w:line="360" w:lineRule="auto"/>
              <w:ind w:firstLineChars="600" w:firstLine="1440"/>
              <w:jc w:val="both"/>
              <w:rPr>
                <w:rFonts w:ascii="Book Antiqua" w:eastAsia="HYSinMyeongJo-Medium" w:hAnsi="Book Antiqua" w:cs="Arial"/>
                <w:color w:val="000000"/>
              </w:rPr>
            </w:pPr>
          </w:p>
        </w:tc>
      </w:tr>
      <w:tr w:rsidR="00FF7E88" w:rsidRPr="00FF7E88" w14:paraId="2B432674" w14:textId="77777777" w:rsidTr="00D23959">
        <w:trPr>
          <w:trHeight w:val="340"/>
        </w:trPr>
        <w:tc>
          <w:tcPr>
            <w:tcW w:w="0" w:type="auto"/>
            <w:tcBorders>
              <w:top w:val="nil"/>
              <w:left w:val="nil"/>
              <w:bottom w:val="nil"/>
              <w:right w:val="nil"/>
            </w:tcBorders>
          </w:tcPr>
          <w:p w14:paraId="407EE2F0" w14:textId="6C3EE36B"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None</w:t>
            </w:r>
          </w:p>
        </w:tc>
        <w:tc>
          <w:tcPr>
            <w:tcW w:w="0" w:type="auto"/>
            <w:tcBorders>
              <w:top w:val="nil"/>
              <w:left w:val="nil"/>
              <w:bottom w:val="nil"/>
              <w:right w:val="nil"/>
            </w:tcBorders>
          </w:tcPr>
          <w:p w14:paraId="5ED4F836"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115 (65.7)</w:t>
            </w:r>
          </w:p>
        </w:tc>
      </w:tr>
      <w:tr w:rsidR="00FF7E88" w:rsidRPr="00FF7E88" w14:paraId="51AC115B" w14:textId="77777777" w:rsidTr="00D23959">
        <w:trPr>
          <w:trHeight w:val="340"/>
        </w:trPr>
        <w:tc>
          <w:tcPr>
            <w:tcW w:w="0" w:type="auto"/>
            <w:tcBorders>
              <w:top w:val="nil"/>
              <w:left w:val="nil"/>
              <w:bottom w:val="nil"/>
              <w:right w:val="nil"/>
            </w:tcBorders>
          </w:tcPr>
          <w:p w14:paraId="4A270D20" w14:textId="50157709"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Antrum only</w:t>
            </w:r>
          </w:p>
        </w:tc>
        <w:tc>
          <w:tcPr>
            <w:tcW w:w="0" w:type="auto"/>
            <w:tcBorders>
              <w:top w:val="nil"/>
              <w:left w:val="nil"/>
              <w:bottom w:val="nil"/>
              <w:right w:val="nil"/>
            </w:tcBorders>
          </w:tcPr>
          <w:p w14:paraId="572F6E6C"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22 (12.6)</w:t>
            </w:r>
          </w:p>
        </w:tc>
      </w:tr>
      <w:tr w:rsidR="00FF7E88" w:rsidRPr="00FF7E88" w14:paraId="13358073" w14:textId="77777777" w:rsidTr="00D23959">
        <w:trPr>
          <w:trHeight w:val="340"/>
        </w:trPr>
        <w:tc>
          <w:tcPr>
            <w:tcW w:w="0" w:type="auto"/>
            <w:tcBorders>
              <w:top w:val="nil"/>
              <w:left w:val="nil"/>
              <w:bottom w:val="nil"/>
              <w:right w:val="nil"/>
            </w:tcBorders>
          </w:tcPr>
          <w:p w14:paraId="5122AE05" w14:textId="180BDDB5"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Corpus </w:t>
            </w:r>
          </w:p>
        </w:tc>
        <w:tc>
          <w:tcPr>
            <w:tcW w:w="0" w:type="auto"/>
            <w:tcBorders>
              <w:top w:val="nil"/>
              <w:left w:val="nil"/>
              <w:bottom w:val="nil"/>
              <w:right w:val="nil"/>
            </w:tcBorders>
          </w:tcPr>
          <w:p w14:paraId="3A7AC71D" w14:textId="77777777" w:rsidR="00FF7E88" w:rsidRPr="00FF7E88" w:rsidRDefault="00FF7E88" w:rsidP="00FF7E88">
            <w:pPr>
              <w:spacing w:line="360" w:lineRule="auto"/>
              <w:ind w:firstLineChars="550" w:firstLine="1320"/>
              <w:jc w:val="both"/>
              <w:rPr>
                <w:rFonts w:ascii="Book Antiqua" w:eastAsia="HYSinMyeongJo-Medium" w:hAnsi="Book Antiqua" w:cs="Arial"/>
                <w:color w:val="000000"/>
              </w:rPr>
            </w:pPr>
            <w:r w:rsidRPr="00FF7E88">
              <w:rPr>
                <w:rFonts w:ascii="Book Antiqua" w:eastAsia="HYSinMyeongJo-Medium" w:hAnsi="Book Antiqua" w:cs="Arial"/>
                <w:color w:val="000000"/>
              </w:rPr>
              <w:t>38 (21.7)</w:t>
            </w:r>
          </w:p>
        </w:tc>
      </w:tr>
      <w:tr w:rsidR="00FF7E88" w:rsidRPr="00FF7E88" w14:paraId="5D8486C9" w14:textId="77777777" w:rsidTr="00D23959">
        <w:trPr>
          <w:trHeight w:val="340"/>
        </w:trPr>
        <w:tc>
          <w:tcPr>
            <w:tcW w:w="0" w:type="auto"/>
            <w:tcBorders>
              <w:top w:val="nil"/>
              <w:left w:val="nil"/>
              <w:bottom w:val="nil"/>
              <w:right w:val="nil"/>
            </w:tcBorders>
          </w:tcPr>
          <w:p w14:paraId="068D7840" w14:textId="77777777" w:rsidR="00FF7E88" w:rsidRPr="00B34C94" w:rsidRDefault="00FF7E88"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 xml:space="preserve">Serum PG (ng/mL, mean </w:t>
            </w:r>
            <w:r w:rsidRPr="00B34C94">
              <w:rPr>
                <w:rFonts w:ascii="Book Antiqua" w:hAnsi="Book Antiqua" w:cs="Arial"/>
                <w:b/>
                <w:color w:val="000000"/>
              </w:rPr>
              <w:t xml:space="preserve">± </w:t>
            </w:r>
            <w:r w:rsidRPr="00B34C94">
              <w:rPr>
                <w:rFonts w:ascii="Book Antiqua" w:eastAsia="HYSinMyeongJo-Medium" w:hAnsi="Book Antiqua" w:cs="Arial"/>
                <w:b/>
                <w:color w:val="000000"/>
              </w:rPr>
              <w:t>SD)</w:t>
            </w:r>
          </w:p>
        </w:tc>
        <w:tc>
          <w:tcPr>
            <w:tcW w:w="0" w:type="auto"/>
            <w:tcBorders>
              <w:top w:val="nil"/>
              <w:left w:val="nil"/>
              <w:bottom w:val="nil"/>
              <w:right w:val="nil"/>
            </w:tcBorders>
          </w:tcPr>
          <w:p w14:paraId="7C4AD2C3" w14:textId="77777777" w:rsidR="00FF7E88" w:rsidRPr="00FF7E88" w:rsidRDefault="00FF7E88" w:rsidP="00FF7E88">
            <w:pPr>
              <w:spacing w:line="360" w:lineRule="auto"/>
              <w:jc w:val="both"/>
              <w:rPr>
                <w:rFonts w:ascii="Book Antiqua" w:eastAsia="HYSinMyeongJo-Medium" w:hAnsi="Book Antiqua" w:cs="Arial"/>
                <w:color w:val="000000"/>
              </w:rPr>
            </w:pPr>
          </w:p>
        </w:tc>
      </w:tr>
      <w:tr w:rsidR="00FF7E88" w:rsidRPr="00FF7E88" w14:paraId="496376D8" w14:textId="77777777" w:rsidTr="00D23959">
        <w:trPr>
          <w:trHeight w:val="340"/>
        </w:trPr>
        <w:tc>
          <w:tcPr>
            <w:tcW w:w="0" w:type="auto"/>
            <w:tcBorders>
              <w:top w:val="nil"/>
              <w:left w:val="nil"/>
              <w:bottom w:val="nil"/>
              <w:right w:val="nil"/>
            </w:tcBorders>
          </w:tcPr>
          <w:p w14:paraId="4033C847" w14:textId="1E991D63"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PG I</w:t>
            </w:r>
          </w:p>
        </w:tc>
        <w:tc>
          <w:tcPr>
            <w:tcW w:w="0" w:type="auto"/>
            <w:tcBorders>
              <w:top w:val="nil"/>
              <w:left w:val="nil"/>
              <w:bottom w:val="nil"/>
              <w:right w:val="nil"/>
            </w:tcBorders>
          </w:tcPr>
          <w:p w14:paraId="1D971DEB" w14:textId="77777777" w:rsidR="00FF7E88" w:rsidRPr="00FF7E88" w:rsidRDefault="00FF7E88" w:rsidP="00FF7E88">
            <w:pPr>
              <w:spacing w:line="360" w:lineRule="auto"/>
              <w:ind w:firstLineChars="450" w:firstLine="108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64.4 </w:t>
            </w:r>
            <w:r w:rsidRPr="00FF7E88">
              <w:rPr>
                <w:rFonts w:ascii="Book Antiqua" w:hAnsi="Book Antiqua" w:cs="Arial"/>
                <w:color w:val="000000"/>
              </w:rPr>
              <w:t>± 32</w:t>
            </w:r>
            <w:r w:rsidRPr="00FF7E88">
              <w:rPr>
                <w:rFonts w:ascii="Book Antiqua" w:eastAsia="HYSinMyeongJo-Medium" w:hAnsi="Book Antiqua" w:cs="Arial"/>
                <w:color w:val="000000"/>
              </w:rPr>
              <w:t>.4</w:t>
            </w:r>
          </w:p>
        </w:tc>
      </w:tr>
      <w:tr w:rsidR="00FF7E88" w:rsidRPr="00FF7E88" w14:paraId="23678EF3" w14:textId="77777777" w:rsidTr="00D23959">
        <w:trPr>
          <w:trHeight w:val="340"/>
        </w:trPr>
        <w:tc>
          <w:tcPr>
            <w:tcW w:w="0" w:type="auto"/>
            <w:tcBorders>
              <w:top w:val="nil"/>
              <w:left w:val="nil"/>
              <w:bottom w:val="nil"/>
              <w:right w:val="nil"/>
            </w:tcBorders>
          </w:tcPr>
          <w:p w14:paraId="07D31856" w14:textId="00FB3391"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PG II</w:t>
            </w:r>
          </w:p>
        </w:tc>
        <w:tc>
          <w:tcPr>
            <w:tcW w:w="0" w:type="auto"/>
            <w:tcBorders>
              <w:top w:val="nil"/>
              <w:left w:val="nil"/>
              <w:bottom w:val="nil"/>
              <w:right w:val="nil"/>
            </w:tcBorders>
          </w:tcPr>
          <w:p w14:paraId="485942E1" w14:textId="77777777" w:rsidR="00FF7E88" w:rsidRPr="00FF7E88" w:rsidRDefault="00FF7E88" w:rsidP="00FF7E88">
            <w:pPr>
              <w:spacing w:line="360" w:lineRule="auto"/>
              <w:ind w:firstLineChars="450" w:firstLine="108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20.5 </w:t>
            </w:r>
            <w:r w:rsidRPr="00FF7E88">
              <w:rPr>
                <w:rFonts w:ascii="Book Antiqua" w:hAnsi="Book Antiqua" w:cs="Arial"/>
                <w:color w:val="000000"/>
              </w:rPr>
              <w:t>± 14</w:t>
            </w:r>
            <w:r w:rsidRPr="00FF7E88">
              <w:rPr>
                <w:rFonts w:ascii="Book Antiqua" w:eastAsia="HYSinMyeongJo-Medium" w:hAnsi="Book Antiqua" w:cs="Arial"/>
                <w:color w:val="000000"/>
              </w:rPr>
              <w:t>.7</w:t>
            </w:r>
          </w:p>
        </w:tc>
      </w:tr>
      <w:tr w:rsidR="00FF7E88" w:rsidRPr="00FF7E88" w14:paraId="7BA4AE9D" w14:textId="77777777" w:rsidTr="00D23959">
        <w:trPr>
          <w:trHeight w:val="340"/>
        </w:trPr>
        <w:tc>
          <w:tcPr>
            <w:tcW w:w="0" w:type="auto"/>
            <w:tcBorders>
              <w:top w:val="nil"/>
              <w:left w:val="nil"/>
              <w:bottom w:val="nil"/>
              <w:right w:val="nil"/>
            </w:tcBorders>
          </w:tcPr>
          <w:p w14:paraId="56E3D89E" w14:textId="0841A3A2" w:rsidR="00FF7E88" w:rsidRPr="00FF7E88" w:rsidRDefault="00FF7E88"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PG I/II ratio </w:t>
            </w:r>
          </w:p>
        </w:tc>
        <w:tc>
          <w:tcPr>
            <w:tcW w:w="0" w:type="auto"/>
            <w:tcBorders>
              <w:top w:val="nil"/>
              <w:left w:val="nil"/>
              <w:bottom w:val="nil"/>
              <w:right w:val="nil"/>
            </w:tcBorders>
          </w:tcPr>
          <w:p w14:paraId="7DFA0527" w14:textId="77777777" w:rsidR="00FF7E88" w:rsidRPr="00FF7E88" w:rsidRDefault="00FF7E88" w:rsidP="00FF7E88">
            <w:pPr>
              <w:spacing w:line="360" w:lineRule="auto"/>
              <w:ind w:firstLineChars="500" w:firstLine="120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4.11 </w:t>
            </w:r>
            <w:r w:rsidRPr="00FF7E88">
              <w:rPr>
                <w:rFonts w:ascii="Book Antiqua" w:hAnsi="Book Antiqua" w:cs="Arial"/>
                <w:color w:val="000000"/>
              </w:rPr>
              <w:t>± 2.2</w:t>
            </w:r>
          </w:p>
        </w:tc>
      </w:tr>
      <w:tr w:rsidR="00FF7E88" w:rsidRPr="00FF7E88" w14:paraId="472AFA7C" w14:textId="77777777" w:rsidTr="00D23959">
        <w:trPr>
          <w:trHeight w:val="340"/>
        </w:trPr>
        <w:tc>
          <w:tcPr>
            <w:tcW w:w="0" w:type="auto"/>
            <w:tcBorders>
              <w:top w:val="nil"/>
              <w:left w:val="nil"/>
              <w:bottom w:val="single" w:sz="12" w:space="0" w:color="000000"/>
              <w:right w:val="nil"/>
            </w:tcBorders>
          </w:tcPr>
          <w:p w14:paraId="77CBAA34"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Serum gastrin (pg/mL, mean </w:t>
            </w:r>
            <w:r w:rsidRPr="00FF7E88">
              <w:rPr>
                <w:rFonts w:ascii="Book Antiqua" w:hAnsi="Book Antiqua" w:cs="Arial"/>
                <w:color w:val="000000"/>
              </w:rPr>
              <w:t xml:space="preserve">± </w:t>
            </w:r>
            <w:r w:rsidRPr="00FF7E88">
              <w:rPr>
                <w:rFonts w:ascii="Book Antiqua" w:eastAsia="HYSinMyeongJo-Medium" w:hAnsi="Book Antiqua" w:cs="Arial"/>
                <w:color w:val="000000"/>
              </w:rPr>
              <w:t>SD)</w:t>
            </w:r>
          </w:p>
        </w:tc>
        <w:tc>
          <w:tcPr>
            <w:tcW w:w="0" w:type="auto"/>
            <w:tcBorders>
              <w:top w:val="nil"/>
              <w:left w:val="nil"/>
              <w:bottom w:val="single" w:sz="12" w:space="0" w:color="000000"/>
              <w:right w:val="nil"/>
            </w:tcBorders>
          </w:tcPr>
          <w:p w14:paraId="5B4D7FC1" w14:textId="77777777" w:rsidR="00FF7E88" w:rsidRPr="00FF7E88" w:rsidRDefault="00FF7E88" w:rsidP="00FF7E88">
            <w:pPr>
              <w:spacing w:line="360" w:lineRule="auto"/>
              <w:ind w:firstLineChars="350" w:firstLine="8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123.1 </w:t>
            </w:r>
            <w:r w:rsidRPr="00FF7E88">
              <w:rPr>
                <w:rFonts w:ascii="Book Antiqua" w:hAnsi="Book Antiqua" w:cs="Arial"/>
                <w:color w:val="000000"/>
              </w:rPr>
              <w:t>± 149.9</w:t>
            </w:r>
          </w:p>
        </w:tc>
      </w:tr>
    </w:tbl>
    <w:p w14:paraId="08C96218" w14:textId="77777777" w:rsidR="00747D96" w:rsidRDefault="00FF7E88" w:rsidP="00FF7E88">
      <w:pPr>
        <w:pStyle w:val="a5"/>
        <w:spacing w:line="360" w:lineRule="auto"/>
        <w:ind w:firstLineChars="0" w:firstLine="0"/>
        <w:rPr>
          <w:rFonts w:ascii="Book Antiqua" w:hAnsi="Book Antiqua" w:cs="Arial"/>
          <w:color w:val="000000"/>
          <w:szCs w:val="24"/>
        </w:rPr>
      </w:pPr>
      <w:r w:rsidRPr="00FF7E88">
        <w:rPr>
          <w:rFonts w:ascii="Book Antiqua" w:hAnsi="Book Antiqua" w:cs="Arial"/>
          <w:color w:val="000000"/>
          <w:szCs w:val="24"/>
        </w:rPr>
        <w:t xml:space="preserve">SD: </w:t>
      </w:r>
      <w:r w:rsidR="00747D96" w:rsidRPr="00FF7E88">
        <w:rPr>
          <w:rFonts w:ascii="Book Antiqua" w:hAnsi="Book Antiqua" w:cs="Arial"/>
          <w:color w:val="000000"/>
          <w:szCs w:val="24"/>
        </w:rPr>
        <w:t>S</w:t>
      </w:r>
      <w:r w:rsidRPr="00FF7E88">
        <w:rPr>
          <w:rFonts w:ascii="Book Antiqua" w:hAnsi="Book Antiqua" w:cs="Arial"/>
          <w:color w:val="000000"/>
          <w:szCs w:val="24"/>
        </w:rPr>
        <w:t xml:space="preserve">tandard deviation; PG: </w:t>
      </w:r>
      <w:r w:rsidR="00747D96" w:rsidRPr="00FF7E88">
        <w:rPr>
          <w:rFonts w:ascii="Book Antiqua" w:hAnsi="Book Antiqua" w:cs="Arial"/>
          <w:color w:val="000000"/>
          <w:szCs w:val="24"/>
        </w:rPr>
        <w:t>P</w:t>
      </w:r>
      <w:r w:rsidRPr="00FF7E88">
        <w:rPr>
          <w:rFonts w:ascii="Book Antiqua" w:hAnsi="Book Antiqua" w:cs="Arial"/>
          <w:color w:val="000000"/>
          <w:szCs w:val="24"/>
        </w:rPr>
        <w:t>epsinogen.</w:t>
      </w:r>
    </w:p>
    <w:p w14:paraId="42EA62DE" w14:textId="2ED2DD7D" w:rsidR="00FF7E88" w:rsidRDefault="00FF7E88" w:rsidP="00FF7E88">
      <w:pPr>
        <w:pStyle w:val="a5"/>
        <w:spacing w:line="360" w:lineRule="auto"/>
        <w:ind w:firstLineChars="0" w:firstLine="0"/>
        <w:rPr>
          <w:rFonts w:ascii="Book Antiqua" w:eastAsiaTheme="minorEastAsia" w:hAnsi="Book Antiqua" w:cs="Arial"/>
          <w:color w:val="000000"/>
          <w:szCs w:val="24"/>
          <w:lang w:eastAsia="zh-CN"/>
        </w:rPr>
      </w:pPr>
    </w:p>
    <w:p w14:paraId="412E3DF4" w14:textId="77777777" w:rsidR="00D23959" w:rsidRDefault="00D23959" w:rsidP="00FF7E88">
      <w:pPr>
        <w:pStyle w:val="a5"/>
        <w:spacing w:line="360" w:lineRule="auto"/>
        <w:ind w:firstLineChars="0" w:firstLine="0"/>
        <w:rPr>
          <w:rFonts w:ascii="Book Antiqua" w:eastAsiaTheme="minorEastAsia" w:hAnsi="Book Antiqua" w:cs="Arial"/>
          <w:color w:val="000000"/>
          <w:szCs w:val="24"/>
          <w:lang w:eastAsia="zh-CN"/>
        </w:rPr>
      </w:pPr>
    </w:p>
    <w:p w14:paraId="260B9E32" w14:textId="77777777" w:rsidR="00D23959" w:rsidRPr="00D23959" w:rsidRDefault="00D23959" w:rsidP="00FF7E88">
      <w:pPr>
        <w:pStyle w:val="a5"/>
        <w:spacing w:line="360" w:lineRule="auto"/>
        <w:ind w:firstLineChars="0" w:firstLine="0"/>
        <w:rPr>
          <w:rFonts w:ascii="Book Antiqua" w:eastAsiaTheme="minorEastAsia" w:hAnsi="Book Antiqua" w:cs="Arial"/>
          <w:color w:val="000000"/>
          <w:szCs w:val="24"/>
          <w:lang w:eastAsia="zh-CN"/>
        </w:rPr>
      </w:pPr>
    </w:p>
    <w:p w14:paraId="325332B8" w14:textId="46CD99D4" w:rsidR="00FF7E88" w:rsidRPr="00747D96" w:rsidRDefault="00FF7E88" w:rsidP="00FF7E88">
      <w:pPr>
        <w:tabs>
          <w:tab w:val="left" w:pos="8329"/>
        </w:tabs>
        <w:adjustRightInd w:val="0"/>
        <w:spacing w:line="360" w:lineRule="auto"/>
        <w:jc w:val="both"/>
        <w:rPr>
          <w:rStyle w:val="ti2"/>
          <w:rFonts w:ascii="Book Antiqua" w:eastAsia="HYSinMyeongJo-Medium" w:hAnsi="Book Antiqua" w:cs="Arial"/>
          <w:b/>
          <w:color w:val="000000"/>
          <w:sz w:val="24"/>
          <w:szCs w:val="24"/>
        </w:rPr>
      </w:pPr>
      <w:r w:rsidRPr="00747D96">
        <w:rPr>
          <w:rFonts w:ascii="Book Antiqua" w:eastAsia="HYSinMyeongJo-Medium" w:hAnsi="Book Antiqua" w:cs="Arial"/>
          <w:b/>
          <w:color w:val="000000"/>
        </w:rPr>
        <w:t xml:space="preserve">Table 2 </w:t>
      </w:r>
      <w:r w:rsidRPr="00747D96">
        <w:rPr>
          <w:rFonts w:ascii="Book Antiqua" w:eastAsia="HYSinMyeongJo-Medium" w:hAnsi="Book Antiqua" w:cs="Arial"/>
          <w:b/>
          <w:i/>
          <w:color w:val="000000"/>
        </w:rPr>
        <w:t>Helicobacter pylori</w:t>
      </w:r>
      <w:r w:rsidRPr="00747D96">
        <w:rPr>
          <w:rFonts w:ascii="Book Antiqua" w:eastAsia="HYSinMyeongJo-Medium" w:hAnsi="Book Antiqua" w:cs="Arial"/>
          <w:b/>
          <w:color w:val="000000"/>
        </w:rPr>
        <w:t xml:space="preserve"> gastritis, gastric atrophy, and intestinal metaplasia observed by standard and magnifying narrow-band imaging endoscopy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16"/>
        <w:gridCol w:w="1203"/>
        <w:gridCol w:w="1096"/>
        <w:gridCol w:w="1407"/>
        <w:gridCol w:w="2034"/>
        <w:gridCol w:w="1687"/>
        <w:gridCol w:w="1016"/>
      </w:tblGrid>
      <w:tr w:rsidR="00A64EFC" w:rsidRPr="00FF7E88" w14:paraId="54B537E8" w14:textId="77777777" w:rsidTr="00B34C94">
        <w:trPr>
          <w:trHeight w:val="232"/>
        </w:trPr>
        <w:tc>
          <w:tcPr>
            <w:tcW w:w="0" w:type="auto"/>
            <w:tcBorders>
              <w:top w:val="single" w:sz="12" w:space="0" w:color="000000"/>
              <w:left w:val="nil"/>
              <w:bottom w:val="nil"/>
              <w:right w:val="nil"/>
            </w:tcBorders>
          </w:tcPr>
          <w:p w14:paraId="3CCD9ACE" w14:textId="77777777" w:rsidR="00A64EFC" w:rsidRPr="00747D96" w:rsidRDefault="00A64EFC"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Endoscopy</w:t>
            </w:r>
          </w:p>
        </w:tc>
        <w:tc>
          <w:tcPr>
            <w:tcW w:w="0" w:type="auto"/>
            <w:gridSpan w:val="2"/>
            <w:tcBorders>
              <w:top w:val="single" w:sz="12" w:space="0" w:color="000000"/>
              <w:left w:val="nil"/>
              <w:bottom w:val="single" w:sz="4" w:space="0" w:color="000000"/>
              <w:right w:val="nil"/>
            </w:tcBorders>
          </w:tcPr>
          <w:p w14:paraId="36B8A222" w14:textId="77777777" w:rsidR="00A64EFC" w:rsidRPr="00747D96" w:rsidRDefault="00A64EFC"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i/>
                <w:color w:val="000000"/>
              </w:rPr>
              <w:t>H. pylori</w:t>
            </w:r>
            <w:r w:rsidRPr="00747D96">
              <w:rPr>
                <w:rFonts w:ascii="Book Antiqua" w:eastAsia="HYSinMyeongJo-Medium" w:hAnsi="Book Antiqua" w:cs="Arial"/>
                <w:b/>
                <w:bCs/>
                <w:color w:val="000000"/>
              </w:rPr>
              <w:t xml:space="preserve"> gastritis</w:t>
            </w:r>
          </w:p>
        </w:tc>
        <w:tc>
          <w:tcPr>
            <w:tcW w:w="0" w:type="auto"/>
            <w:gridSpan w:val="2"/>
            <w:tcBorders>
              <w:top w:val="single" w:sz="12" w:space="0" w:color="000000"/>
              <w:left w:val="nil"/>
              <w:bottom w:val="single" w:sz="4" w:space="0" w:color="000000"/>
              <w:right w:val="nil"/>
            </w:tcBorders>
          </w:tcPr>
          <w:p w14:paraId="3F8C202C" w14:textId="77777777" w:rsidR="00A64EFC" w:rsidRPr="00747D96" w:rsidRDefault="00A64EFC"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Gastric atrophy</w:t>
            </w:r>
          </w:p>
        </w:tc>
        <w:tc>
          <w:tcPr>
            <w:tcW w:w="0" w:type="auto"/>
            <w:gridSpan w:val="2"/>
            <w:tcBorders>
              <w:top w:val="single" w:sz="12" w:space="0" w:color="000000"/>
              <w:left w:val="nil"/>
              <w:bottom w:val="single" w:sz="4" w:space="0" w:color="000000"/>
              <w:right w:val="nil"/>
            </w:tcBorders>
          </w:tcPr>
          <w:p w14:paraId="0A4358E0" w14:textId="77777777" w:rsidR="00A64EFC" w:rsidRPr="00747D96" w:rsidRDefault="00A64EFC"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Intestinal metaplasia</w:t>
            </w:r>
          </w:p>
        </w:tc>
      </w:tr>
      <w:tr w:rsidR="00A64EFC" w:rsidRPr="00FF7E88" w14:paraId="53D6CE9F" w14:textId="77777777" w:rsidTr="00B34C94">
        <w:trPr>
          <w:trHeight w:val="621"/>
        </w:trPr>
        <w:tc>
          <w:tcPr>
            <w:tcW w:w="0" w:type="auto"/>
            <w:tcBorders>
              <w:top w:val="nil"/>
              <w:left w:val="nil"/>
              <w:bottom w:val="nil"/>
              <w:right w:val="nil"/>
            </w:tcBorders>
          </w:tcPr>
          <w:p w14:paraId="472E9167" w14:textId="77777777" w:rsidR="00A64EFC" w:rsidRPr="00747D96" w:rsidRDefault="00A64EFC" w:rsidP="00FF7E88">
            <w:pPr>
              <w:spacing w:line="360" w:lineRule="auto"/>
              <w:jc w:val="both"/>
              <w:rPr>
                <w:rFonts w:ascii="Book Antiqua" w:eastAsia="HYSinMyeongJo-Medium" w:hAnsi="Book Antiqua" w:cs="Arial"/>
                <w:b/>
                <w:bCs/>
                <w:color w:val="000000"/>
              </w:rPr>
            </w:pPr>
          </w:p>
        </w:tc>
        <w:tc>
          <w:tcPr>
            <w:tcW w:w="0" w:type="auto"/>
            <w:tcBorders>
              <w:top w:val="single" w:sz="4" w:space="0" w:color="000000"/>
              <w:left w:val="nil"/>
              <w:bottom w:val="single" w:sz="4" w:space="0" w:color="000000"/>
              <w:right w:val="nil"/>
            </w:tcBorders>
          </w:tcPr>
          <w:p w14:paraId="1B430E7A" w14:textId="188C857F" w:rsidR="00A64EFC" w:rsidRPr="00747D96" w:rsidRDefault="00A64EFC" w:rsidP="00B34C94">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Negativ</w:t>
            </w:r>
            <w:r>
              <w:rPr>
                <w:rFonts w:ascii="Book Antiqua" w:eastAsia="HYSinMyeongJo-Medium" w:hAnsi="Book Antiqua" w:cs="Arial"/>
                <w:b/>
                <w:bCs/>
                <w:color w:val="000000"/>
              </w:rPr>
              <w:t xml:space="preserve">e </w:t>
            </w:r>
          </w:p>
        </w:tc>
        <w:tc>
          <w:tcPr>
            <w:tcW w:w="0" w:type="auto"/>
            <w:tcBorders>
              <w:top w:val="single" w:sz="4" w:space="0" w:color="000000"/>
              <w:left w:val="nil"/>
              <w:bottom w:val="single" w:sz="4" w:space="0" w:color="000000"/>
              <w:right w:val="nil"/>
            </w:tcBorders>
          </w:tcPr>
          <w:p w14:paraId="6DA422FF" w14:textId="0D8A20F3" w:rsidR="00A64EFC" w:rsidRPr="00747D96" w:rsidRDefault="00A64EFC" w:rsidP="00B34C94">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Positive</w:t>
            </w:r>
            <w:r>
              <w:rPr>
                <w:rFonts w:ascii="Book Antiqua" w:eastAsia="HYSinMyeongJo-Medium" w:hAnsi="Book Antiqua" w:cs="Arial"/>
                <w:b/>
                <w:bCs/>
                <w:color w:val="000000"/>
              </w:rPr>
              <w:t xml:space="preserve"> </w:t>
            </w:r>
          </w:p>
        </w:tc>
        <w:tc>
          <w:tcPr>
            <w:tcW w:w="0" w:type="auto"/>
            <w:tcBorders>
              <w:top w:val="single" w:sz="4" w:space="0" w:color="000000"/>
              <w:left w:val="nil"/>
              <w:bottom w:val="single" w:sz="4" w:space="0" w:color="000000"/>
              <w:right w:val="nil"/>
            </w:tcBorders>
          </w:tcPr>
          <w:p w14:paraId="65379ABD" w14:textId="308804D5" w:rsidR="00A64EFC" w:rsidRPr="00747D96" w:rsidRDefault="00A64EFC" w:rsidP="00B34C94">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None/mild</w:t>
            </w:r>
            <w:r>
              <w:rPr>
                <w:rFonts w:ascii="Book Antiqua" w:hAnsi="Book Antiqua" w:cs="Arial" w:hint="eastAsia"/>
                <w:b/>
                <w:bCs/>
                <w:color w:val="000000"/>
                <w:lang w:eastAsia="zh-CN"/>
              </w:rPr>
              <w:t xml:space="preserve"> </w:t>
            </w:r>
          </w:p>
        </w:tc>
        <w:tc>
          <w:tcPr>
            <w:tcW w:w="0" w:type="auto"/>
            <w:tcBorders>
              <w:top w:val="single" w:sz="4" w:space="0" w:color="000000"/>
              <w:left w:val="nil"/>
              <w:bottom w:val="single" w:sz="4" w:space="0" w:color="000000"/>
              <w:right w:val="nil"/>
            </w:tcBorders>
          </w:tcPr>
          <w:p w14:paraId="033B8C0D" w14:textId="0D502FFA" w:rsidR="00A64EFC" w:rsidRPr="00747D96" w:rsidRDefault="00A64EFC" w:rsidP="00B34C94">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Moderate/severe</w:t>
            </w:r>
            <w:r>
              <w:rPr>
                <w:rFonts w:ascii="Book Antiqua" w:hAnsi="Book Antiqua" w:cs="Arial" w:hint="eastAsia"/>
                <w:b/>
                <w:bCs/>
                <w:color w:val="000000"/>
                <w:lang w:eastAsia="zh-CN"/>
              </w:rPr>
              <w:t xml:space="preserve"> </w:t>
            </w:r>
          </w:p>
        </w:tc>
        <w:tc>
          <w:tcPr>
            <w:tcW w:w="0" w:type="auto"/>
            <w:tcBorders>
              <w:top w:val="single" w:sz="4" w:space="0" w:color="000000"/>
              <w:left w:val="nil"/>
              <w:bottom w:val="single" w:sz="4" w:space="0" w:color="000000"/>
              <w:right w:val="nil"/>
            </w:tcBorders>
          </w:tcPr>
          <w:p w14:paraId="1E54BCBE" w14:textId="28DE0337" w:rsidR="00A64EFC" w:rsidRPr="00747D96" w:rsidRDefault="00A64EFC" w:rsidP="00B34C94">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None/antrum</w:t>
            </w:r>
            <w:r>
              <w:rPr>
                <w:rFonts w:ascii="Book Antiqua" w:hAnsi="Book Antiqua" w:cs="Arial" w:hint="eastAsia"/>
                <w:b/>
                <w:bCs/>
                <w:color w:val="000000"/>
                <w:lang w:eastAsia="zh-CN"/>
              </w:rPr>
              <w:t xml:space="preserve"> </w:t>
            </w:r>
          </w:p>
        </w:tc>
        <w:tc>
          <w:tcPr>
            <w:tcW w:w="0" w:type="auto"/>
            <w:tcBorders>
              <w:top w:val="single" w:sz="4" w:space="0" w:color="000000"/>
              <w:left w:val="nil"/>
              <w:bottom w:val="single" w:sz="4" w:space="0" w:color="000000"/>
              <w:right w:val="nil"/>
            </w:tcBorders>
          </w:tcPr>
          <w:p w14:paraId="38669E61" w14:textId="65BBFFA9" w:rsidR="00A64EFC" w:rsidRPr="00747D96" w:rsidRDefault="00A64EFC" w:rsidP="00B34C94">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Corpus</w:t>
            </w:r>
            <w:r>
              <w:rPr>
                <w:rFonts w:ascii="Book Antiqua" w:hAnsi="Book Antiqua" w:cs="Arial" w:hint="eastAsia"/>
                <w:b/>
                <w:bCs/>
                <w:color w:val="000000"/>
                <w:lang w:eastAsia="zh-CN"/>
              </w:rPr>
              <w:t xml:space="preserve"> </w:t>
            </w:r>
          </w:p>
        </w:tc>
      </w:tr>
      <w:tr w:rsidR="00B34C94" w:rsidRPr="00FF7E88" w14:paraId="0840A339" w14:textId="77777777" w:rsidTr="00D23959">
        <w:trPr>
          <w:trHeight w:val="621"/>
        </w:trPr>
        <w:tc>
          <w:tcPr>
            <w:tcW w:w="0" w:type="auto"/>
            <w:tcBorders>
              <w:top w:val="nil"/>
              <w:left w:val="nil"/>
              <w:bottom w:val="single" w:sz="4" w:space="0" w:color="000000"/>
              <w:right w:val="nil"/>
            </w:tcBorders>
          </w:tcPr>
          <w:p w14:paraId="28763F59" w14:textId="77777777" w:rsidR="00B34C94" w:rsidRPr="00747D96" w:rsidRDefault="00B34C94" w:rsidP="00FF7E88">
            <w:pPr>
              <w:spacing w:line="360" w:lineRule="auto"/>
              <w:jc w:val="both"/>
              <w:rPr>
                <w:rFonts w:ascii="Book Antiqua" w:eastAsia="HYSinMyeongJo-Medium" w:hAnsi="Book Antiqua" w:cs="Arial"/>
                <w:b/>
                <w:bCs/>
                <w:color w:val="000000"/>
              </w:rPr>
            </w:pPr>
          </w:p>
        </w:tc>
        <w:tc>
          <w:tcPr>
            <w:tcW w:w="0" w:type="auto"/>
            <w:tcBorders>
              <w:top w:val="single" w:sz="4" w:space="0" w:color="000000"/>
              <w:left w:val="nil"/>
              <w:bottom w:val="single" w:sz="4" w:space="0" w:color="000000"/>
              <w:right w:val="nil"/>
            </w:tcBorders>
          </w:tcPr>
          <w:p w14:paraId="5B691112" w14:textId="61EA270F" w:rsidR="00B34C94" w:rsidRPr="00747D96" w:rsidRDefault="00B34C94"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91)</w:t>
            </w:r>
          </w:p>
        </w:tc>
        <w:tc>
          <w:tcPr>
            <w:tcW w:w="0" w:type="auto"/>
            <w:tcBorders>
              <w:top w:val="single" w:sz="4" w:space="0" w:color="000000"/>
              <w:left w:val="nil"/>
              <w:bottom w:val="single" w:sz="4" w:space="0" w:color="000000"/>
              <w:right w:val="nil"/>
            </w:tcBorders>
          </w:tcPr>
          <w:p w14:paraId="68C0D446" w14:textId="071EB36B" w:rsidR="00B34C94" w:rsidRPr="00747D96" w:rsidRDefault="00B34C94"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163)</w:t>
            </w:r>
          </w:p>
        </w:tc>
        <w:tc>
          <w:tcPr>
            <w:tcW w:w="0" w:type="auto"/>
            <w:tcBorders>
              <w:top w:val="single" w:sz="4" w:space="0" w:color="000000"/>
              <w:left w:val="nil"/>
              <w:bottom w:val="single" w:sz="4" w:space="0" w:color="000000"/>
              <w:right w:val="nil"/>
            </w:tcBorders>
          </w:tcPr>
          <w:p w14:paraId="489C817B" w14:textId="6D2E30D3" w:rsidR="00B34C94" w:rsidRPr="00747D96" w:rsidRDefault="00B34C94"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117)</w:t>
            </w:r>
          </w:p>
        </w:tc>
        <w:tc>
          <w:tcPr>
            <w:tcW w:w="0" w:type="auto"/>
            <w:tcBorders>
              <w:top w:val="single" w:sz="4" w:space="0" w:color="000000"/>
              <w:left w:val="nil"/>
              <w:bottom w:val="single" w:sz="4" w:space="0" w:color="000000"/>
              <w:right w:val="nil"/>
            </w:tcBorders>
          </w:tcPr>
          <w:p w14:paraId="372035C8" w14:textId="584D2FA8" w:rsidR="00B34C94" w:rsidRPr="00747D96" w:rsidRDefault="00B34C94"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58)</w:t>
            </w:r>
          </w:p>
        </w:tc>
        <w:tc>
          <w:tcPr>
            <w:tcW w:w="0" w:type="auto"/>
            <w:tcBorders>
              <w:top w:val="single" w:sz="4" w:space="0" w:color="000000"/>
              <w:left w:val="nil"/>
              <w:bottom w:val="single" w:sz="4" w:space="0" w:color="000000"/>
              <w:right w:val="nil"/>
            </w:tcBorders>
          </w:tcPr>
          <w:p w14:paraId="69BC1B49" w14:textId="682E1FAF" w:rsidR="00B34C94" w:rsidRPr="00747D96" w:rsidRDefault="00B34C94"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137)</w:t>
            </w:r>
          </w:p>
        </w:tc>
        <w:tc>
          <w:tcPr>
            <w:tcW w:w="0" w:type="auto"/>
            <w:tcBorders>
              <w:top w:val="single" w:sz="4" w:space="0" w:color="000000"/>
              <w:left w:val="nil"/>
              <w:bottom w:val="single" w:sz="4" w:space="0" w:color="000000"/>
              <w:right w:val="nil"/>
            </w:tcBorders>
          </w:tcPr>
          <w:p w14:paraId="706FB35B" w14:textId="784BF0D3" w:rsidR="00B34C94" w:rsidRPr="00747D96" w:rsidRDefault="00B34C94"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w:t>
            </w:r>
            <w:r w:rsidRPr="00747D96">
              <w:rPr>
                <w:rFonts w:ascii="Book Antiqua" w:eastAsia="HYSinMyeongJo-Medium" w:hAnsi="Book Antiqua" w:cs="Arial"/>
                <w:b/>
                <w:bCs/>
                <w:i/>
                <w:color w:val="000000"/>
              </w:rPr>
              <w:t>n</w:t>
            </w:r>
            <w:r w:rsidRPr="00747D96">
              <w:rPr>
                <w:rFonts w:ascii="Book Antiqua" w:eastAsia="HYSinMyeongJo-Medium" w:hAnsi="Book Antiqua" w:cs="Arial"/>
                <w:b/>
                <w:bCs/>
                <w:color w:val="000000"/>
              </w:rPr>
              <w:t xml:space="preserve"> = 38)</w:t>
            </w:r>
          </w:p>
        </w:tc>
      </w:tr>
      <w:tr w:rsidR="00A64EFC" w:rsidRPr="00FF7E88" w14:paraId="7704DEBB" w14:textId="77777777" w:rsidTr="00D23959">
        <w:trPr>
          <w:trHeight w:val="448"/>
        </w:trPr>
        <w:tc>
          <w:tcPr>
            <w:tcW w:w="0" w:type="auto"/>
            <w:tcBorders>
              <w:top w:val="single" w:sz="4" w:space="0" w:color="000000"/>
              <w:left w:val="nil"/>
              <w:bottom w:val="nil"/>
              <w:right w:val="nil"/>
            </w:tcBorders>
          </w:tcPr>
          <w:p w14:paraId="72C18C5D" w14:textId="77777777" w:rsidR="00A64EFC" w:rsidRPr="00B34C94" w:rsidRDefault="00A64EFC"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 xml:space="preserve">Standard </w:t>
            </w:r>
          </w:p>
        </w:tc>
        <w:tc>
          <w:tcPr>
            <w:tcW w:w="0" w:type="auto"/>
            <w:tcBorders>
              <w:top w:val="single" w:sz="4" w:space="0" w:color="000000"/>
              <w:left w:val="nil"/>
              <w:bottom w:val="nil"/>
              <w:right w:val="nil"/>
            </w:tcBorders>
          </w:tcPr>
          <w:p w14:paraId="0632CD7D"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single" w:sz="4" w:space="0" w:color="000000"/>
              <w:left w:val="nil"/>
              <w:bottom w:val="nil"/>
              <w:right w:val="nil"/>
            </w:tcBorders>
          </w:tcPr>
          <w:p w14:paraId="6601F812"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single" w:sz="4" w:space="0" w:color="000000"/>
              <w:left w:val="nil"/>
              <w:bottom w:val="nil"/>
              <w:right w:val="nil"/>
            </w:tcBorders>
          </w:tcPr>
          <w:p w14:paraId="524C8D7D"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single" w:sz="4" w:space="0" w:color="000000"/>
              <w:left w:val="nil"/>
              <w:bottom w:val="nil"/>
              <w:right w:val="nil"/>
            </w:tcBorders>
          </w:tcPr>
          <w:p w14:paraId="5DDCC6E8"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single" w:sz="4" w:space="0" w:color="000000"/>
              <w:left w:val="nil"/>
              <w:bottom w:val="nil"/>
              <w:right w:val="nil"/>
            </w:tcBorders>
          </w:tcPr>
          <w:p w14:paraId="774333D6"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single" w:sz="4" w:space="0" w:color="000000"/>
              <w:left w:val="nil"/>
              <w:bottom w:val="nil"/>
              <w:right w:val="nil"/>
            </w:tcBorders>
          </w:tcPr>
          <w:p w14:paraId="68288F0D" w14:textId="77777777" w:rsidR="00A64EFC" w:rsidRPr="00FF7E88" w:rsidRDefault="00A64EFC" w:rsidP="00FF7E88">
            <w:pPr>
              <w:spacing w:line="360" w:lineRule="auto"/>
              <w:jc w:val="both"/>
              <w:rPr>
                <w:rFonts w:ascii="Book Antiqua" w:eastAsia="HYSinMyeongJo-Medium" w:hAnsi="Book Antiqua" w:cs="Arial"/>
                <w:color w:val="000000"/>
              </w:rPr>
            </w:pPr>
          </w:p>
        </w:tc>
      </w:tr>
      <w:tr w:rsidR="00A64EFC" w:rsidRPr="00FF7E88" w14:paraId="32AB9504" w14:textId="77777777" w:rsidTr="00D23959">
        <w:trPr>
          <w:trHeight w:val="448"/>
        </w:trPr>
        <w:tc>
          <w:tcPr>
            <w:tcW w:w="0" w:type="auto"/>
            <w:tcBorders>
              <w:top w:val="nil"/>
              <w:left w:val="nil"/>
              <w:bottom w:val="nil"/>
              <w:right w:val="nil"/>
            </w:tcBorders>
          </w:tcPr>
          <w:p w14:paraId="10E19330" w14:textId="77777777" w:rsidR="00A64EFC" w:rsidRPr="00FF7E88" w:rsidRDefault="00A64EFC"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Normal</w:t>
            </w:r>
          </w:p>
        </w:tc>
        <w:tc>
          <w:tcPr>
            <w:tcW w:w="0" w:type="auto"/>
            <w:tcBorders>
              <w:top w:val="nil"/>
              <w:left w:val="nil"/>
              <w:bottom w:val="nil"/>
              <w:right w:val="nil"/>
            </w:tcBorders>
          </w:tcPr>
          <w:p w14:paraId="38D8579A" w14:textId="77777777" w:rsidR="00A64EFC" w:rsidRPr="00FF7E88" w:rsidRDefault="00A64EFC"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87/100 (87.0)</w:t>
            </w:r>
          </w:p>
        </w:tc>
        <w:tc>
          <w:tcPr>
            <w:tcW w:w="0" w:type="auto"/>
            <w:tcBorders>
              <w:top w:val="nil"/>
              <w:left w:val="nil"/>
              <w:bottom w:val="nil"/>
              <w:right w:val="nil"/>
            </w:tcBorders>
          </w:tcPr>
          <w:p w14:paraId="5EA58D81"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13/100 (13.0)</w:t>
            </w:r>
          </w:p>
        </w:tc>
        <w:tc>
          <w:tcPr>
            <w:tcW w:w="0" w:type="auto"/>
            <w:tcBorders>
              <w:top w:val="nil"/>
              <w:left w:val="nil"/>
              <w:bottom w:val="nil"/>
              <w:right w:val="nil"/>
            </w:tcBorders>
          </w:tcPr>
          <w:p w14:paraId="7A1466CC"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70/72 (97.2)</w:t>
            </w:r>
          </w:p>
        </w:tc>
        <w:tc>
          <w:tcPr>
            <w:tcW w:w="0" w:type="auto"/>
            <w:tcBorders>
              <w:top w:val="nil"/>
              <w:left w:val="nil"/>
              <w:bottom w:val="nil"/>
              <w:right w:val="nil"/>
            </w:tcBorders>
          </w:tcPr>
          <w:p w14:paraId="7BB8AC4C"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2/72 (2.8)</w:t>
            </w:r>
          </w:p>
        </w:tc>
        <w:tc>
          <w:tcPr>
            <w:tcW w:w="0" w:type="auto"/>
            <w:tcBorders>
              <w:top w:val="nil"/>
              <w:left w:val="nil"/>
              <w:bottom w:val="nil"/>
              <w:right w:val="nil"/>
            </w:tcBorders>
          </w:tcPr>
          <w:p w14:paraId="5FDA8A23"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71/72 (98.6)</w:t>
            </w:r>
          </w:p>
        </w:tc>
        <w:tc>
          <w:tcPr>
            <w:tcW w:w="0" w:type="auto"/>
            <w:tcBorders>
              <w:top w:val="nil"/>
              <w:left w:val="nil"/>
              <w:bottom w:val="nil"/>
              <w:right w:val="nil"/>
            </w:tcBorders>
          </w:tcPr>
          <w:p w14:paraId="5DF24771"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1/72 (1.4)</w:t>
            </w:r>
          </w:p>
        </w:tc>
      </w:tr>
      <w:tr w:rsidR="00A64EFC" w:rsidRPr="00FF7E88" w14:paraId="19C69672" w14:textId="77777777" w:rsidTr="00D23959">
        <w:trPr>
          <w:trHeight w:val="448"/>
        </w:trPr>
        <w:tc>
          <w:tcPr>
            <w:tcW w:w="0" w:type="auto"/>
            <w:tcBorders>
              <w:top w:val="nil"/>
              <w:left w:val="nil"/>
              <w:bottom w:val="nil"/>
              <w:right w:val="nil"/>
            </w:tcBorders>
          </w:tcPr>
          <w:p w14:paraId="7B80818F" w14:textId="77777777" w:rsidR="00A64EFC" w:rsidRPr="00FF7E88" w:rsidRDefault="00A64EFC"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A</w:t>
            </w:r>
          </w:p>
        </w:tc>
        <w:tc>
          <w:tcPr>
            <w:tcW w:w="0" w:type="auto"/>
            <w:tcBorders>
              <w:top w:val="nil"/>
              <w:left w:val="nil"/>
              <w:bottom w:val="nil"/>
              <w:right w:val="nil"/>
            </w:tcBorders>
          </w:tcPr>
          <w:p w14:paraId="0BF73341"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4/47 (8.5)</w:t>
            </w:r>
          </w:p>
        </w:tc>
        <w:tc>
          <w:tcPr>
            <w:tcW w:w="0" w:type="auto"/>
            <w:tcBorders>
              <w:top w:val="nil"/>
              <w:left w:val="nil"/>
              <w:bottom w:val="nil"/>
              <w:right w:val="nil"/>
            </w:tcBorders>
          </w:tcPr>
          <w:p w14:paraId="2575F219"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43/47 (91.5)</w:t>
            </w:r>
          </w:p>
        </w:tc>
        <w:tc>
          <w:tcPr>
            <w:tcW w:w="0" w:type="auto"/>
            <w:tcBorders>
              <w:top w:val="nil"/>
              <w:left w:val="nil"/>
              <w:bottom w:val="nil"/>
              <w:right w:val="nil"/>
            </w:tcBorders>
          </w:tcPr>
          <w:p w14:paraId="6DC53AAD"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24/33 (72.7)</w:t>
            </w:r>
          </w:p>
        </w:tc>
        <w:tc>
          <w:tcPr>
            <w:tcW w:w="0" w:type="auto"/>
            <w:tcBorders>
              <w:top w:val="nil"/>
              <w:left w:val="nil"/>
              <w:bottom w:val="nil"/>
              <w:right w:val="nil"/>
            </w:tcBorders>
          </w:tcPr>
          <w:p w14:paraId="4268FBD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9/33 (27.3)</w:t>
            </w:r>
          </w:p>
        </w:tc>
        <w:tc>
          <w:tcPr>
            <w:tcW w:w="0" w:type="auto"/>
            <w:tcBorders>
              <w:top w:val="nil"/>
              <w:left w:val="nil"/>
              <w:bottom w:val="nil"/>
              <w:right w:val="nil"/>
            </w:tcBorders>
          </w:tcPr>
          <w:p w14:paraId="04709DC9"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25/33 (75.8)</w:t>
            </w:r>
          </w:p>
        </w:tc>
        <w:tc>
          <w:tcPr>
            <w:tcW w:w="0" w:type="auto"/>
            <w:tcBorders>
              <w:top w:val="nil"/>
              <w:left w:val="nil"/>
              <w:bottom w:val="nil"/>
              <w:right w:val="nil"/>
            </w:tcBorders>
          </w:tcPr>
          <w:p w14:paraId="6F61E622"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8/33 (24.2)</w:t>
            </w:r>
          </w:p>
        </w:tc>
      </w:tr>
      <w:tr w:rsidR="00A64EFC" w:rsidRPr="00FF7E88" w14:paraId="07B99012" w14:textId="77777777" w:rsidTr="00D23959">
        <w:trPr>
          <w:trHeight w:val="448"/>
        </w:trPr>
        <w:tc>
          <w:tcPr>
            <w:tcW w:w="0" w:type="auto"/>
            <w:tcBorders>
              <w:top w:val="nil"/>
              <w:left w:val="nil"/>
              <w:bottom w:val="nil"/>
              <w:right w:val="nil"/>
            </w:tcBorders>
          </w:tcPr>
          <w:p w14:paraId="7286630F" w14:textId="77777777" w:rsidR="00A64EFC" w:rsidRPr="00FF7E88" w:rsidRDefault="00A64EFC"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B</w:t>
            </w:r>
          </w:p>
        </w:tc>
        <w:tc>
          <w:tcPr>
            <w:tcW w:w="0" w:type="auto"/>
            <w:tcBorders>
              <w:top w:val="nil"/>
              <w:left w:val="nil"/>
              <w:bottom w:val="nil"/>
              <w:right w:val="nil"/>
            </w:tcBorders>
          </w:tcPr>
          <w:p w14:paraId="289339E0"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0/84 (0)</w:t>
            </w:r>
          </w:p>
        </w:tc>
        <w:tc>
          <w:tcPr>
            <w:tcW w:w="0" w:type="auto"/>
            <w:tcBorders>
              <w:top w:val="nil"/>
              <w:left w:val="nil"/>
              <w:bottom w:val="nil"/>
              <w:right w:val="nil"/>
            </w:tcBorders>
          </w:tcPr>
          <w:p w14:paraId="332010EE"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84/84 (100)</w:t>
            </w:r>
          </w:p>
        </w:tc>
        <w:tc>
          <w:tcPr>
            <w:tcW w:w="0" w:type="auto"/>
            <w:tcBorders>
              <w:top w:val="nil"/>
              <w:left w:val="nil"/>
              <w:bottom w:val="nil"/>
              <w:right w:val="nil"/>
            </w:tcBorders>
          </w:tcPr>
          <w:p w14:paraId="6DC3115C"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13/50 (26.0)</w:t>
            </w:r>
          </w:p>
        </w:tc>
        <w:tc>
          <w:tcPr>
            <w:tcW w:w="0" w:type="auto"/>
            <w:tcBorders>
              <w:top w:val="nil"/>
              <w:left w:val="nil"/>
              <w:bottom w:val="nil"/>
              <w:right w:val="nil"/>
            </w:tcBorders>
          </w:tcPr>
          <w:p w14:paraId="6F7DEB62"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37/50 (74.0)</w:t>
            </w:r>
          </w:p>
        </w:tc>
        <w:tc>
          <w:tcPr>
            <w:tcW w:w="0" w:type="auto"/>
            <w:tcBorders>
              <w:top w:val="nil"/>
              <w:left w:val="nil"/>
              <w:bottom w:val="nil"/>
              <w:right w:val="nil"/>
            </w:tcBorders>
          </w:tcPr>
          <w:p w14:paraId="62F024D8"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24/50 (48.0)</w:t>
            </w:r>
          </w:p>
        </w:tc>
        <w:tc>
          <w:tcPr>
            <w:tcW w:w="0" w:type="auto"/>
            <w:tcBorders>
              <w:top w:val="nil"/>
              <w:left w:val="nil"/>
              <w:bottom w:val="nil"/>
              <w:right w:val="nil"/>
            </w:tcBorders>
          </w:tcPr>
          <w:p w14:paraId="31C25813"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26/50 (52.0)</w:t>
            </w:r>
          </w:p>
        </w:tc>
      </w:tr>
      <w:tr w:rsidR="00A64EFC" w:rsidRPr="00FF7E88" w14:paraId="45F56ADF" w14:textId="77777777" w:rsidTr="00D23959">
        <w:trPr>
          <w:trHeight w:val="448"/>
        </w:trPr>
        <w:tc>
          <w:tcPr>
            <w:tcW w:w="0" w:type="auto"/>
            <w:tcBorders>
              <w:top w:val="nil"/>
              <w:left w:val="nil"/>
              <w:bottom w:val="nil"/>
              <w:right w:val="nil"/>
            </w:tcBorders>
          </w:tcPr>
          <w:p w14:paraId="74D8BABB" w14:textId="77777777" w:rsidR="00A64EFC" w:rsidRPr="00FF7E88" w:rsidRDefault="00A64EFC"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C</w:t>
            </w:r>
          </w:p>
        </w:tc>
        <w:tc>
          <w:tcPr>
            <w:tcW w:w="0" w:type="auto"/>
            <w:tcBorders>
              <w:top w:val="nil"/>
              <w:left w:val="nil"/>
              <w:bottom w:val="nil"/>
              <w:right w:val="nil"/>
            </w:tcBorders>
          </w:tcPr>
          <w:p w14:paraId="3980A0FA"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0/23 (0)</w:t>
            </w:r>
          </w:p>
        </w:tc>
        <w:tc>
          <w:tcPr>
            <w:tcW w:w="0" w:type="auto"/>
            <w:tcBorders>
              <w:top w:val="nil"/>
              <w:left w:val="nil"/>
              <w:bottom w:val="nil"/>
              <w:right w:val="nil"/>
            </w:tcBorders>
          </w:tcPr>
          <w:p w14:paraId="16AC793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23/23 (100)</w:t>
            </w:r>
          </w:p>
        </w:tc>
        <w:tc>
          <w:tcPr>
            <w:tcW w:w="0" w:type="auto"/>
            <w:tcBorders>
              <w:top w:val="nil"/>
              <w:left w:val="nil"/>
              <w:bottom w:val="nil"/>
              <w:right w:val="nil"/>
            </w:tcBorders>
          </w:tcPr>
          <w:p w14:paraId="68D7EE19"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10/20 (50.0)</w:t>
            </w:r>
          </w:p>
        </w:tc>
        <w:tc>
          <w:tcPr>
            <w:tcW w:w="0" w:type="auto"/>
            <w:tcBorders>
              <w:top w:val="nil"/>
              <w:left w:val="nil"/>
              <w:bottom w:val="nil"/>
              <w:right w:val="nil"/>
            </w:tcBorders>
          </w:tcPr>
          <w:p w14:paraId="3ED62E1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10/20 (50.0)</w:t>
            </w:r>
          </w:p>
        </w:tc>
        <w:tc>
          <w:tcPr>
            <w:tcW w:w="0" w:type="auto"/>
            <w:tcBorders>
              <w:top w:val="nil"/>
              <w:left w:val="nil"/>
              <w:bottom w:val="nil"/>
              <w:right w:val="nil"/>
            </w:tcBorders>
          </w:tcPr>
          <w:p w14:paraId="256A92B0"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17/20 (85.0)</w:t>
            </w:r>
          </w:p>
        </w:tc>
        <w:tc>
          <w:tcPr>
            <w:tcW w:w="0" w:type="auto"/>
            <w:tcBorders>
              <w:top w:val="nil"/>
              <w:left w:val="nil"/>
              <w:bottom w:val="nil"/>
              <w:right w:val="nil"/>
            </w:tcBorders>
          </w:tcPr>
          <w:p w14:paraId="048A3A90"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3/20 (15.0)</w:t>
            </w:r>
          </w:p>
        </w:tc>
      </w:tr>
      <w:tr w:rsidR="00A64EFC" w:rsidRPr="00FF7E88" w14:paraId="5D3ACF03" w14:textId="77777777" w:rsidTr="00D23959">
        <w:trPr>
          <w:trHeight w:val="448"/>
        </w:trPr>
        <w:tc>
          <w:tcPr>
            <w:tcW w:w="0" w:type="auto"/>
            <w:tcBorders>
              <w:top w:val="nil"/>
              <w:left w:val="nil"/>
              <w:bottom w:val="nil"/>
              <w:right w:val="nil"/>
            </w:tcBorders>
          </w:tcPr>
          <w:p w14:paraId="7311CE91" w14:textId="77777777" w:rsidR="00A64EFC" w:rsidRPr="00B34C94" w:rsidRDefault="00A64EFC"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M-NBI</w:t>
            </w:r>
          </w:p>
        </w:tc>
        <w:tc>
          <w:tcPr>
            <w:tcW w:w="0" w:type="auto"/>
            <w:tcBorders>
              <w:top w:val="nil"/>
              <w:left w:val="nil"/>
              <w:bottom w:val="nil"/>
              <w:right w:val="nil"/>
            </w:tcBorders>
          </w:tcPr>
          <w:p w14:paraId="0D2E7D8D"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nil"/>
              <w:left w:val="nil"/>
              <w:bottom w:val="nil"/>
              <w:right w:val="nil"/>
            </w:tcBorders>
          </w:tcPr>
          <w:p w14:paraId="4B933ADA"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nil"/>
              <w:left w:val="nil"/>
              <w:bottom w:val="nil"/>
              <w:right w:val="nil"/>
            </w:tcBorders>
          </w:tcPr>
          <w:p w14:paraId="0A166D93"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nil"/>
              <w:left w:val="nil"/>
              <w:bottom w:val="nil"/>
              <w:right w:val="nil"/>
            </w:tcBorders>
          </w:tcPr>
          <w:p w14:paraId="19766065"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nil"/>
              <w:left w:val="nil"/>
              <w:bottom w:val="nil"/>
              <w:right w:val="nil"/>
            </w:tcBorders>
          </w:tcPr>
          <w:p w14:paraId="19779947" w14:textId="77777777" w:rsidR="00A64EFC" w:rsidRPr="00FF7E88" w:rsidRDefault="00A64EFC" w:rsidP="00FF7E88">
            <w:pPr>
              <w:spacing w:line="360" w:lineRule="auto"/>
              <w:jc w:val="both"/>
              <w:rPr>
                <w:rFonts w:ascii="Book Antiqua" w:eastAsia="HYSinMyeongJo-Medium" w:hAnsi="Book Antiqua" w:cs="Arial"/>
                <w:color w:val="000000"/>
              </w:rPr>
            </w:pPr>
          </w:p>
        </w:tc>
        <w:tc>
          <w:tcPr>
            <w:tcW w:w="0" w:type="auto"/>
            <w:tcBorders>
              <w:top w:val="nil"/>
              <w:left w:val="nil"/>
              <w:bottom w:val="nil"/>
              <w:right w:val="nil"/>
            </w:tcBorders>
          </w:tcPr>
          <w:p w14:paraId="1C3FF8DC" w14:textId="77777777" w:rsidR="00A64EFC" w:rsidRPr="00FF7E88" w:rsidRDefault="00A64EFC" w:rsidP="00FF7E88">
            <w:pPr>
              <w:spacing w:line="360" w:lineRule="auto"/>
              <w:jc w:val="both"/>
              <w:rPr>
                <w:rFonts w:ascii="Book Antiqua" w:eastAsia="HYSinMyeongJo-Medium" w:hAnsi="Book Antiqua" w:cs="Arial"/>
                <w:color w:val="000000"/>
              </w:rPr>
            </w:pPr>
          </w:p>
        </w:tc>
      </w:tr>
      <w:tr w:rsidR="00A64EFC" w:rsidRPr="00FF7E88" w14:paraId="06F2E5C8" w14:textId="77777777" w:rsidTr="00D23959">
        <w:trPr>
          <w:trHeight w:val="448"/>
        </w:trPr>
        <w:tc>
          <w:tcPr>
            <w:tcW w:w="0" w:type="auto"/>
            <w:tcBorders>
              <w:top w:val="nil"/>
              <w:left w:val="nil"/>
              <w:bottom w:val="nil"/>
              <w:right w:val="nil"/>
            </w:tcBorders>
          </w:tcPr>
          <w:p w14:paraId="34247DAF" w14:textId="00F6ED9D" w:rsidR="00A64EFC" w:rsidRPr="00FF7E88" w:rsidRDefault="00A64EFC"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Normal</w:t>
            </w:r>
          </w:p>
        </w:tc>
        <w:tc>
          <w:tcPr>
            <w:tcW w:w="0" w:type="auto"/>
            <w:tcBorders>
              <w:top w:val="nil"/>
              <w:left w:val="nil"/>
              <w:bottom w:val="nil"/>
              <w:right w:val="nil"/>
            </w:tcBorders>
          </w:tcPr>
          <w:p w14:paraId="76F66302"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87/93 (93.5)</w:t>
            </w:r>
          </w:p>
        </w:tc>
        <w:tc>
          <w:tcPr>
            <w:tcW w:w="0" w:type="auto"/>
            <w:tcBorders>
              <w:top w:val="nil"/>
              <w:left w:val="nil"/>
              <w:bottom w:val="nil"/>
              <w:right w:val="nil"/>
            </w:tcBorders>
          </w:tcPr>
          <w:p w14:paraId="65414C05"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6/93 (6.5)</w:t>
            </w:r>
          </w:p>
        </w:tc>
        <w:tc>
          <w:tcPr>
            <w:tcW w:w="0" w:type="auto"/>
            <w:tcBorders>
              <w:top w:val="nil"/>
              <w:left w:val="nil"/>
              <w:bottom w:val="nil"/>
              <w:right w:val="nil"/>
            </w:tcBorders>
          </w:tcPr>
          <w:p w14:paraId="5F8324CD"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69/69 (100)</w:t>
            </w:r>
          </w:p>
        </w:tc>
        <w:tc>
          <w:tcPr>
            <w:tcW w:w="0" w:type="auto"/>
            <w:tcBorders>
              <w:top w:val="nil"/>
              <w:left w:val="nil"/>
              <w:bottom w:val="nil"/>
              <w:right w:val="nil"/>
            </w:tcBorders>
          </w:tcPr>
          <w:p w14:paraId="4527BF0A"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0/69 (0)</w:t>
            </w:r>
          </w:p>
        </w:tc>
        <w:tc>
          <w:tcPr>
            <w:tcW w:w="0" w:type="auto"/>
            <w:tcBorders>
              <w:top w:val="nil"/>
              <w:left w:val="nil"/>
              <w:bottom w:val="nil"/>
              <w:right w:val="nil"/>
            </w:tcBorders>
          </w:tcPr>
          <w:p w14:paraId="3433B19B"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69/69 (100)</w:t>
            </w:r>
          </w:p>
        </w:tc>
        <w:tc>
          <w:tcPr>
            <w:tcW w:w="0" w:type="auto"/>
            <w:tcBorders>
              <w:top w:val="nil"/>
              <w:left w:val="nil"/>
              <w:bottom w:val="nil"/>
              <w:right w:val="nil"/>
            </w:tcBorders>
          </w:tcPr>
          <w:p w14:paraId="3E315E13"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0/69 (0)</w:t>
            </w:r>
          </w:p>
        </w:tc>
      </w:tr>
      <w:tr w:rsidR="00A64EFC" w:rsidRPr="00FF7E88" w14:paraId="2040CD0D" w14:textId="77777777" w:rsidTr="00D23959">
        <w:trPr>
          <w:trHeight w:val="448"/>
        </w:trPr>
        <w:tc>
          <w:tcPr>
            <w:tcW w:w="0" w:type="auto"/>
            <w:tcBorders>
              <w:top w:val="nil"/>
              <w:left w:val="nil"/>
              <w:bottom w:val="nil"/>
              <w:right w:val="nil"/>
            </w:tcBorders>
          </w:tcPr>
          <w:p w14:paraId="2F65EC32" w14:textId="379992F7" w:rsidR="00A64EFC" w:rsidRPr="00FF7E88" w:rsidRDefault="00A64EFC"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Z-1</w:t>
            </w:r>
          </w:p>
        </w:tc>
        <w:tc>
          <w:tcPr>
            <w:tcW w:w="0" w:type="auto"/>
            <w:tcBorders>
              <w:top w:val="nil"/>
              <w:left w:val="nil"/>
              <w:bottom w:val="nil"/>
              <w:right w:val="nil"/>
            </w:tcBorders>
          </w:tcPr>
          <w:p w14:paraId="7422F90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3/127 (2.4)</w:t>
            </w:r>
          </w:p>
        </w:tc>
        <w:tc>
          <w:tcPr>
            <w:tcW w:w="0" w:type="auto"/>
            <w:tcBorders>
              <w:top w:val="nil"/>
              <w:left w:val="nil"/>
              <w:bottom w:val="nil"/>
              <w:right w:val="nil"/>
            </w:tcBorders>
          </w:tcPr>
          <w:p w14:paraId="7CB86A97" w14:textId="77777777" w:rsidR="00A64EFC" w:rsidRPr="00FF7E88" w:rsidRDefault="00A64EFC"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124/127 (97.6)</w:t>
            </w:r>
          </w:p>
        </w:tc>
        <w:tc>
          <w:tcPr>
            <w:tcW w:w="0" w:type="auto"/>
            <w:tcBorders>
              <w:top w:val="nil"/>
              <w:left w:val="nil"/>
              <w:bottom w:val="nil"/>
              <w:right w:val="nil"/>
            </w:tcBorders>
          </w:tcPr>
          <w:p w14:paraId="68055E70"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46/85 (54.1)</w:t>
            </w:r>
          </w:p>
        </w:tc>
        <w:tc>
          <w:tcPr>
            <w:tcW w:w="0" w:type="auto"/>
            <w:tcBorders>
              <w:top w:val="nil"/>
              <w:left w:val="nil"/>
              <w:bottom w:val="nil"/>
              <w:right w:val="nil"/>
            </w:tcBorders>
          </w:tcPr>
          <w:p w14:paraId="3104E15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39/85 (45.9)</w:t>
            </w:r>
          </w:p>
        </w:tc>
        <w:tc>
          <w:tcPr>
            <w:tcW w:w="0" w:type="auto"/>
            <w:tcBorders>
              <w:top w:val="nil"/>
              <w:left w:val="nil"/>
              <w:bottom w:val="nil"/>
              <w:right w:val="nil"/>
            </w:tcBorders>
          </w:tcPr>
          <w:p w14:paraId="2F6593AE"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59/85 (69.4)</w:t>
            </w:r>
          </w:p>
        </w:tc>
        <w:tc>
          <w:tcPr>
            <w:tcW w:w="0" w:type="auto"/>
            <w:tcBorders>
              <w:top w:val="nil"/>
              <w:left w:val="nil"/>
              <w:bottom w:val="nil"/>
              <w:right w:val="nil"/>
            </w:tcBorders>
          </w:tcPr>
          <w:p w14:paraId="66DF515A"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26/85 (30.6)</w:t>
            </w:r>
          </w:p>
        </w:tc>
      </w:tr>
      <w:tr w:rsidR="00A64EFC" w:rsidRPr="00FF7E88" w14:paraId="0BA5708E" w14:textId="77777777" w:rsidTr="00D23959">
        <w:trPr>
          <w:trHeight w:val="448"/>
        </w:trPr>
        <w:tc>
          <w:tcPr>
            <w:tcW w:w="0" w:type="auto"/>
            <w:tcBorders>
              <w:top w:val="nil"/>
              <w:left w:val="nil"/>
              <w:bottom w:val="nil"/>
              <w:right w:val="nil"/>
            </w:tcBorders>
          </w:tcPr>
          <w:p w14:paraId="71074004" w14:textId="584D9A8A" w:rsidR="00A64EFC" w:rsidRPr="00FF7E88" w:rsidRDefault="00A64EFC"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Z-2 </w:t>
            </w:r>
          </w:p>
        </w:tc>
        <w:tc>
          <w:tcPr>
            <w:tcW w:w="0" w:type="auto"/>
            <w:tcBorders>
              <w:top w:val="nil"/>
              <w:left w:val="nil"/>
              <w:bottom w:val="nil"/>
              <w:right w:val="nil"/>
            </w:tcBorders>
          </w:tcPr>
          <w:p w14:paraId="3E2FC08E"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1/27 (3.7)</w:t>
            </w:r>
          </w:p>
        </w:tc>
        <w:tc>
          <w:tcPr>
            <w:tcW w:w="0" w:type="auto"/>
            <w:tcBorders>
              <w:top w:val="nil"/>
              <w:left w:val="nil"/>
              <w:bottom w:val="nil"/>
              <w:right w:val="nil"/>
            </w:tcBorders>
          </w:tcPr>
          <w:p w14:paraId="48FADF0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26/27 (96.3)</w:t>
            </w:r>
          </w:p>
        </w:tc>
        <w:tc>
          <w:tcPr>
            <w:tcW w:w="0" w:type="auto"/>
            <w:tcBorders>
              <w:top w:val="nil"/>
              <w:left w:val="nil"/>
              <w:bottom w:val="nil"/>
              <w:right w:val="nil"/>
            </w:tcBorders>
          </w:tcPr>
          <w:p w14:paraId="63C2C7F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2/17 (11.8)</w:t>
            </w:r>
          </w:p>
        </w:tc>
        <w:tc>
          <w:tcPr>
            <w:tcW w:w="0" w:type="auto"/>
            <w:tcBorders>
              <w:top w:val="nil"/>
              <w:left w:val="nil"/>
              <w:bottom w:val="nil"/>
              <w:right w:val="nil"/>
            </w:tcBorders>
          </w:tcPr>
          <w:p w14:paraId="427DC43E"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15/17 (88.2)</w:t>
            </w:r>
          </w:p>
        </w:tc>
        <w:tc>
          <w:tcPr>
            <w:tcW w:w="0" w:type="auto"/>
            <w:tcBorders>
              <w:top w:val="nil"/>
              <w:left w:val="nil"/>
              <w:bottom w:val="nil"/>
              <w:right w:val="nil"/>
            </w:tcBorders>
          </w:tcPr>
          <w:p w14:paraId="037855EA"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7/17 (41.2)</w:t>
            </w:r>
          </w:p>
        </w:tc>
        <w:tc>
          <w:tcPr>
            <w:tcW w:w="0" w:type="auto"/>
            <w:tcBorders>
              <w:top w:val="nil"/>
              <w:left w:val="nil"/>
              <w:bottom w:val="nil"/>
              <w:right w:val="nil"/>
            </w:tcBorders>
          </w:tcPr>
          <w:p w14:paraId="3A849719"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10/17 (58.8)</w:t>
            </w:r>
          </w:p>
        </w:tc>
      </w:tr>
      <w:tr w:rsidR="00A64EFC" w:rsidRPr="00FF7E88" w14:paraId="54A7F52C" w14:textId="77777777" w:rsidTr="00D23959">
        <w:trPr>
          <w:trHeight w:val="448"/>
        </w:trPr>
        <w:tc>
          <w:tcPr>
            <w:tcW w:w="0" w:type="auto"/>
            <w:tcBorders>
              <w:top w:val="nil"/>
              <w:left w:val="nil"/>
              <w:bottom w:val="single" w:sz="12" w:space="0" w:color="000000"/>
              <w:right w:val="nil"/>
            </w:tcBorders>
          </w:tcPr>
          <w:p w14:paraId="64DB9C39" w14:textId="342E9074" w:rsidR="00A64EFC" w:rsidRPr="00FF7E88" w:rsidRDefault="00A64EFC" w:rsidP="00747D96">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Type Z-3</w:t>
            </w:r>
          </w:p>
        </w:tc>
        <w:tc>
          <w:tcPr>
            <w:tcW w:w="0" w:type="auto"/>
            <w:tcBorders>
              <w:top w:val="nil"/>
              <w:left w:val="nil"/>
              <w:bottom w:val="single" w:sz="12" w:space="0" w:color="000000"/>
              <w:right w:val="nil"/>
            </w:tcBorders>
          </w:tcPr>
          <w:p w14:paraId="5805301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 (0)</w:t>
            </w:r>
          </w:p>
        </w:tc>
        <w:tc>
          <w:tcPr>
            <w:tcW w:w="0" w:type="auto"/>
            <w:tcBorders>
              <w:top w:val="nil"/>
              <w:left w:val="nil"/>
              <w:bottom w:val="single" w:sz="12" w:space="0" w:color="000000"/>
              <w:right w:val="nil"/>
            </w:tcBorders>
          </w:tcPr>
          <w:p w14:paraId="5A12C615"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7/7 (100)</w:t>
            </w:r>
          </w:p>
        </w:tc>
        <w:tc>
          <w:tcPr>
            <w:tcW w:w="0" w:type="auto"/>
            <w:tcBorders>
              <w:top w:val="nil"/>
              <w:left w:val="nil"/>
              <w:bottom w:val="single" w:sz="12" w:space="0" w:color="000000"/>
              <w:right w:val="nil"/>
            </w:tcBorders>
          </w:tcPr>
          <w:p w14:paraId="2317D3B4"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0/4 (0)</w:t>
            </w:r>
          </w:p>
        </w:tc>
        <w:tc>
          <w:tcPr>
            <w:tcW w:w="0" w:type="auto"/>
            <w:tcBorders>
              <w:top w:val="nil"/>
              <w:left w:val="nil"/>
              <w:bottom w:val="single" w:sz="12" w:space="0" w:color="000000"/>
              <w:right w:val="nil"/>
            </w:tcBorders>
          </w:tcPr>
          <w:p w14:paraId="64215357"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4/4 (100)</w:t>
            </w:r>
          </w:p>
        </w:tc>
        <w:tc>
          <w:tcPr>
            <w:tcW w:w="0" w:type="auto"/>
            <w:tcBorders>
              <w:top w:val="nil"/>
              <w:left w:val="nil"/>
              <w:bottom w:val="single" w:sz="12" w:space="0" w:color="000000"/>
              <w:right w:val="nil"/>
            </w:tcBorders>
          </w:tcPr>
          <w:p w14:paraId="739F66F1"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2/4 (50.0)</w:t>
            </w:r>
          </w:p>
        </w:tc>
        <w:tc>
          <w:tcPr>
            <w:tcW w:w="0" w:type="auto"/>
            <w:tcBorders>
              <w:top w:val="nil"/>
              <w:left w:val="nil"/>
              <w:bottom w:val="single" w:sz="12" w:space="0" w:color="000000"/>
              <w:right w:val="nil"/>
            </w:tcBorders>
          </w:tcPr>
          <w:p w14:paraId="453D1DAB" w14:textId="77777777" w:rsidR="00A64EFC" w:rsidRPr="00FF7E88" w:rsidRDefault="00A64EFC"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2/4 (50.0)</w:t>
            </w:r>
          </w:p>
        </w:tc>
      </w:tr>
    </w:tbl>
    <w:p w14:paraId="4A7580D6" w14:textId="10097A80" w:rsidR="00FF7E88" w:rsidRPr="00FF7E88" w:rsidRDefault="00FF7E88" w:rsidP="00747D96">
      <w:pPr>
        <w:pStyle w:val="a5"/>
        <w:spacing w:after="0" w:line="360" w:lineRule="auto"/>
        <w:ind w:firstLineChars="0" w:firstLine="0"/>
        <w:rPr>
          <w:rFonts w:ascii="Book Antiqua" w:eastAsia="HYSinMyeongJo-Medium" w:hAnsi="Book Antiqua"/>
          <w:color w:val="000000"/>
          <w:szCs w:val="24"/>
        </w:rPr>
      </w:pPr>
      <w:r w:rsidRPr="00FF7E88">
        <w:rPr>
          <w:rFonts w:ascii="Book Antiqua" w:eastAsia="HYSinMyeongJo-Medium" w:hAnsi="Book Antiqua"/>
          <w:color w:val="000000"/>
          <w:szCs w:val="24"/>
        </w:rPr>
        <w:t xml:space="preserve">M-NBI: </w:t>
      </w:r>
      <w:r w:rsidR="00747D96" w:rsidRPr="00FF7E88">
        <w:rPr>
          <w:rFonts w:ascii="Book Antiqua" w:eastAsia="HYSinMyeongJo-Medium" w:hAnsi="Book Antiqua"/>
          <w:color w:val="000000"/>
          <w:szCs w:val="24"/>
        </w:rPr>
        <w:t>M</w:t>
      </w:r>
      <w:r w:rsidRPr="00FF7E88">
        <w:rPr>
          <w:rFonts w:ascii="Book Antiqua" w:eastAsia="HYSinMyeongJo-Medium" w:hAnsi="Book Antiqua"/>
          <w:color w:val="000000"/>
          <w:szCs w:val="24"/>
        </w:rPr>
        <w:t>agnifying narrow-band imaging</w:t>
      </w:r>
      <w:r w:rsidR="00747D96">
        <w:rPr>
          <w:rFonts w:ascii="Book Antiqua" w:eastAsia="HYSinMyeongJo-Medium" w:hAnsi="Book Antiqua"/>
          <w:color w:val="000000"/>
          <w:szCs w:val="24"/>
        </w:rPr>
        <w:t xml:space="preserve">; </w:t>
      </w:r>
      <w:r w:rsidR="00747D96" w:rsidRPr="00747D96">
        <w:rPr>
          <w:rFonts w:ascii="Book Antiqua" w:eastAsia="HYSinMyeongJo-Medium" w:hAnsi="Book Antiqua" w:cs="Arial"/>
          <w:i/>
          <w:color w:val="000000"/>
          <w:szCs w:val="24"/>
        </w:rPr>
        <w:t>H. pylori</w:t>
      </w:r>
      <w:r w:rsidR="00747D96" w:rsidRPr="00747D96">
        <w:rPr>
          <w:rFonts w:ascii="Book Antiqua" w:eastAsia="HYSinMyeongJo-Medium" w:hAnsi="Book Antiqua" w:cs="Arial"/>
          <w:iCs/>
          <w:color w:val="000000"/>
          <w:szCs w:val="24"/>
        </w:rPr>
        <w:t>:</w:t>
      </w:r>
      <w:r w:rsidR="00747D96">
        <w:rPr>
          <w:rFonts w:ascii="Book Antiqua" w:eastAsia="HYSinMyeongJo-Medium" w:hAnsi="Book Antiqua" w:cs="Arial"/>
          <w:i/>
          <w:color w:val="000000"/>
          <w:szCs w:val="24"/>
        </w:rPr>
        <w:t xml:space="preserve"> </w:t>
      </w:r>
      <w:r w:rsidR="00747D96" w:rsidRPr="00747D96">
        <w:rPr>
          <w:rFonts w:ascii="Book Antiqua" w:eastAsia="HYSinMyeongJo-Medium" w:hAnsi="Book Antiqua" w:cs="Arial"/>
          <w:bCs/>
          <w:i/>
          <w:color w:val="000000"/>
          <w:szCs w:val="24"/>
        </w:rPr>
        <w:t>Helicobacter pylori.</w:t>
      </w:r>
    </w:p>
    <w:p w14:paraId="3015277D" w14:textId="5CCD8E10" w:rsidR="00747D96" w:rsidRPr="00747D96" w:rsidRDefault="00747D96" w:rsidP="00747D96">
      <w:pPr>
        <w:pStyle w:val="a"/>
        <w:numPr>
          <w:ilvl w:val="0"/>
          <w:numId w:val="0"/>
        </w:numPr>
        <w:spacing w:line="360" w:lineRule="auto"/>
        <w:rPr>
          <w:rStyle w:val="ti2"/>
          <w:rFonts w:ascii="Book Antiqua" w:eastAsiaTheme="minorEastAsia" w:hAnsi="Book Antiqua"/>
          <w:color w:val="FF0000"/>
          <w:sz w:val="24"/>
          <w:szCs w:val="24"/>
          <w:lang w:eastAsia="zh-CN"/>
        </w:rPr>
        <w:sectPr w:rsidR="00747D96" w:rsidRPr="00747D96" w:rsidSect="009F76DE">
          <w:pgSz w:w="11907" w:h="16840" w:code="9"/>
          <w:pgMar w:top="1418" w:right="1134" w:bottom="1418" w:left="1134" w:header="851" w:footer="992" w:gutter="0"/>
          <w:cols w:space="425"/>
          <w:docGrid w:linePitch="360"/>
        </w:sectPr>
      </w:pPr>
      <w:r>
        <w:rPr>
          <w:rStyle w:val="ti2"/>
          <w:rFonts w:ascii="Book Antiqua" w:eastAsiaTheme="minorEastAsia" w:hAnsi="Book Antiqua" w:hint="eastAsia"/>
          <w:color w:val="FF0000"/>
          <w:sz w:val="24"/>
          <w:szCs w:val="24"/>
          <w:lang w:eastAsia="zh-CN"/>
        </w:rPr>
        <w:t xml:space="preserve"> </w:t>
      </w:r>
    </w:p>
    <w:p w14:paraId="1BD1CE00" w14:textId="125427CC" w:rsidR="00FF7E88" w:rsidRPr="00747D96" w:rsidRDefault="00FF7E88" w:rsidP="00FF7E88">
      <w:pPr>
        <w:tabs>
          <w:tab w:val="left" w:pos="8329"/>
        </w:tabs>
        <w:adjustRightInd w:val="0"/>
        <w:spacing w:line="360" w:lineRule="auto"/>
        <w:jc w:val="both"/>
        <w:rPr>
          <w:rFonts w:ascii="Book Antiqua" w:eastAsia="HYSinMyeongJo-Medium" w:hAnsi="Book Antiqua" w:cs="Arial"/>
          <w:b/>
          <w:color w:val="000000"/>
        </w:rPr>
      </w:pPr>
      <w:r w:rsidRPr="00747D96">
        <w:rPr>
          <w:rFonts w:ascii="Book Antiqua" w:eastAsia="HYSinMyeongJo-Medium" w:hAnsi="Book Antiqua" w:cs="Arial"/>
          <w:b/>
          <w:color w:val="000000"/>
        </w:rPr>
        <w:t xml:space="preserve">Table 3 Diagnostic performance of standard and magnifying narrow-band imaging endoscopy for </w:t>
      </w:r>
      <w:r w:rsidRPr="00747D96">
        <w:rPr>
          <w:rFonts w:ascii="Book Antiqua" w:eastAsia="HYSinMyeongJo-Medium" w:hAnsi="Book Antiqua" w:cs="Arial"/>
          <w:b/>
          <w:i/>
          <w:color w:val="000000"/>
        </w:rPr>
        <w:t>Helicobacter pylori</w:t>
      </w:r>
      <w:r w:rsidRPr="00747D96">
        <w:rPr>
          <w:rFonts w:ascii="Book Antiqua" w:eastAsia="HYSinMyeongJo-Medium" w:hAnsi="Book Antiqua" w:cs="Arial"/>
          <w:b/>
          <w:color w:val="000000"/>
        </w:rPr>
        <w:t xml:space="preserve"> gastritis, gastric atrophy, and intestinal metaplasia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16"/>
        <w:gridCol w:w="1792"/>
        <w:gridCol w:w="1489"/>
        <w:gridCol w:w="1475"/>
        <w:gridCol w:w="782"/>
        <w:gridCol w:w="836"/>
        <w:gridCol w:w="1302"/>
        <w:gridCol w:w="763"/>
      </w:tblGrid>
      <w:tr w:rsidR="00FF7E88" w:rsidRPr="00FF7E88" w14:paraId="6964EBC0" w14:textId="77777777" w:rsidTr="00D23959">
        <w:trPr>
          <w:trHeight w:val="460"/>
        </w:trPr>
        <w:tc>
          <w:tcPr>
            <w:tcW w:w="0" w:type="auto"/>
            <w:tcBorders>
              <w:top w:val="single" w:sz="12" w:space="0" w:color="000000"/>
              <w:left w:val="nil"/>
              <w:bottom w:val="nil"/>
              <w:right w:val="nil"/>
            </w:tcBorders>
          </w:tcPr>
          <w:p w14:paraId="5AD89636" w14:textId="77777777" w:rsidR="00FF7E88" w:rsidRPr="00747D96" w:rsidRDefault="00FF7E88" w:rsidP="00747D96">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Endoscopy</w:t>
            </w:r>
          </w:p>
        </w:tc>
        <w:tc>
          <w:tcPr>
            <w:tcW w:w="0" w:type="auto"/>
            <w:tcBorders>
              <w:top w:val="single" w:sz="12" w:space="0" w:color="000000"/>
              <w:left w:val="nil"/>
              <w:right w:val="nil"/>
            </w:tcBorders>
          </w:tcPr>
          <w:p w14:paraId="42078902"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Diagnosis</w:t>
            </w:r>
          </w:p>
        </w:tc>
        <w:tc>
          <w:tcPr>
            <w:tcW w:w="0" w:type="auto"/>
            <w:tcBorders>
              <w:top w:val="single" w:sz="12" w:space="0" w:color="000000"/>
              <w:left w:val="nil"/>
              <w:right w:val="nil"/>
            </w:tcBorders>
          </w:tcPr>
          <w:p w14:paraId="361FE114"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Sensitivity (%)</w:t>
            </w:r>
          </w:p>
        </w:tc>
        <w:tc>
          <w:tcPr>
            <w:tcW w:w="0" w:type="auto"/>
            <w:tcBorders>
              <w:top w:val="single" w:sz="12" w:space="0" w:color="000000"/>
              <w:left w:val="nil"/>
              <w:right w:val="nil"/>
            </w:tcBorders>
          </w:tcPr>
          <w:p w14:paraId="000A7D75"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Specificity (%)</w:t>
            </w:r>
          </w:p>
        </w:tc>
        <w:tc>
          <w:tcPr>
            <w:tcW w:w="0" w:type="auto"/>
            <w:tcBorders>
              <w:top w:val="single" w:sz="12" w:space="0" w:color="000000"/>
              <w:left w:val="nil"/>
              <w:right w:val="nil"/>
            </w:tcBorders>
          </w:tcPr>
          <w:p w14:paraId="2D7BA608" w14:textId="77777777" w:rsidR="00FF7E88" w:rsidRPr="00747D96" w:rsidRDefault="00FF7E88" w:rsidP="00FF7E88">
            <w:pPr>
              <w:spacing w:line="360" w:lineRule="auto"/>
              <w:jc w:val="both"/>
              <w:rPr>
                <w:rFonts w:ascii="Book Antiqua" w:eastAsia="Batang" w:hAnsi="Book Antiqua" w:cs="Arial"/>
                <w:b/>
                <w:bCs/>
                <w:color w:val="000000"/>
              </w:rPr>
            </w:pPr>
            <w:r w:rsidRPr="00747D96">
              <w:rPr>
                <w:rFonts w:ascii="Book Antiqua" w:eastAsia="Batang" w:hAnsi="Book Antiqua" w:cs="Arial"/>
                <w:b/>
                <w:bCs/>
                <w:color w:val="000000"/>
              </w:rPr>
              <w:t>PPV (%)</w:t>
            </w:r>
          </w:p>
        </w:tc>
        <w:tc>
          <w:tcPr>
            <w:tcW w:w="0" w:type="auto"/>
            <w:tcBorders>
              <w:top w:val="single" w:sz="12" w:space="0" w:color="000000"/>
              <w:left w:val="nil"/>
              <w:right w:val="nil"/>
            </w:tcBorders>
          </w:tcPr>
          <w:p w14:paraId="7B9D410B"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Batang" w:hAnsi="Book Antiqua" w:cs="Arial"/>
                <w:b/>
                <w:bCs/>
                <w:color w:val="000000"/>
              </w:rPr>
              <w:t>NPV (%)</w:t>
            </w:r>
          </w:p>
        </w:tc>
        <w:tc>
          <w:tcPr>
            <w:tcW w:w="0" w:type="auto"/>
            <w:tcBorders>
              <w:top w:val="single" w:sz="12" w:space="0" w:color="000000"/>
              <w:left w:val="nil"/>
              <w:right w:val="nil"/>
            </w:tcBorders>
          </w:tcPr>
          <w:p w14:paraId="5AD53D0E"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Accuracy (%)</w:t>
            </w:r>
          </w:p>
        </w:tc>
        <w:tc>
          <w:tcPr>
            <w:tcW w:w="0" w:type="auto"/>
            <w:tcBorders>
              <w:top w:val="single" w:sz="12" w:space="0" w:color="000000"/>
              <w:left w:val="nil"/>
              <w:bottom w:val="nil"/>
              <w:right w:val="nil"/>
            </w:tcBorders>
          </w:tcPr>
          <w:p w14:paraId="419417E1" w14:textId="77777777" w:rsidR="00FF7E88" w:rsidRPr="00747D96" w:rsidRDefault="00FF7E88" w:rsidP="00FF7E88">
            <w:pPr>
              <w:spacing w:line="360" w:lineRule="auto"/>
              <w:jc w:val="both"/>
              <w:rPr>
                <w:rFonts w:ascii="Book Antiqua" w:eastAsia="HYSinMyeongJo-Medium" w:hAnsi="Book Antiqua" w:cs="Arial"/>
                <w:b/>
                <w:bCs/>
                <w:color w:val="000000"/>
              </w:rPr>
            </w:pPr>
            <w:r w:rsidRPr="00747D96">
              <w:rPr>
                <w:rFonts w:ascii="Book Antiqua" w:eastAsia="HYSinMyeongJo-Medium" w:hAnsi="Book Antiqua" w:cs="Arial"/>
                <w:b/>
                <w:bCs/>
                <w:color w:val="000000"/>
              </w:rPr>
              <w:t>AUC</w:t>
            </w:r>
          </w:p>
        </w:tc>
      </w:tr>
      <w:tr w:rsidR="00FF7E88" w:rsidRPr="00FF7E88" w14:paraId="13C7EFB7" w14:textId="77777777" w:rsidTr="00D23959">
        <w:trPr>
          <w:trHeight w:val="460"/>
        </w:trPr>
        <w:tc>
          <w:tcPr>
            <w:tcW w:w="0" w:type="auto"/>
            <w:tcBorders>
              <w:top w:val="single" w:sz="4" w:space="0" w:color="000000"/>
              <w:left w:val="nil"/>
              <w:bottom w:val="nil"/>
              <w:right w:val="nil"/>
            </w:tcBorders>
          </w:tcPr>
          <w:p w14:paraId="5FB51CDC"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Standard</w:t>
            </w:r>
          </w:p>
        </w:tc>
        <w:tc>
          <w:tcPr>
            <w:tcW w:w="0" w:type="auto"/>
            <w:tcBorders>
              <w:left w:val="nil"/>
              <w:bottom w:val="nil"/>
              <w:right w:val="nil"/>
            </w:tcBorders>
          </w:tcPr>
          <w:p w14:paraId="4221044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i/>
                <w:color w:val="000000"/>
              </w:rPr>
              <w:t>H. pylori</w:t>
            </w:r>
            <w:r w:rsidRPr="00FF7E88">
              <w:rPr>
                <w:rFonts w:ascii="Book Antiqua" w:eastAsia="HYSinMyeongJo-Medium" w:hAnsi="Book Antiqua" w:cs="Arial"/>
                <w:color w:val="000000"/>
              </w:rPr>
              <w:t xml:space="preserve"> gastritis</w:t>
            </w:r>
          </w:p>
        </w:tc>
        <w:tc>
          <w:tcPr>
            <w:tcW w:w="0" w:type="auto"/>
            <w:tcBorders>
              <w:left w:val="nil"/>
              <w:bottom w:val="nil"/>
              <w:right w:val="nil"/>
            </w:tcBorders>
          </w:tcPr>
          <w:p w14:paraId="07AE0844" w14:textId="59CFC414"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92.0</w:t>
            </w:r>
            <w:r w:rsidR="00747D96">
              <w:rPr>
                <w:rFonts w:ascii="Book Antiqua" w:eastAsia="HYSinMyeongJo-Medium" w:hAnsi="Book Antiqua" w:cs="Arial"/>
                <w:color w:val="000000"/>
                <w:vertAlign w:val="superscript"/>
              </w:rPr>
              <w:t>a</w:t>
            </w:r>
          </w:p>
        </w:tc>
        <w:tc>
          <w:tcPr>
            <w:tcW w:w="0" w:type="auto"/>
            <w:tcBorders>
              <w:left w:val="nil"/>
              <w:bottom w:val="nil"/>
              <w:right w:val="nil"/>
            </w:tcBorders>
          </w:tcPr>
          <w:p w14:paraId="3A7FBE78" w14:textId="77777777" w:rsidR="00FF7E88" w:rsidRPr="00FF7E88" w:rsidRDefault="00FF7E88" w:rsidP="00FF7E88">
            <w:pPr>
              <w:spacing w:line="360" w:lineRule="auto"/>
              <w:jc w:val="both"/>
              <w:rPr>
                <w:rFonts w:ascii="Book Antiqua" w:eastAsia="HYSinMyeongJo-Medium" w:hAnsi="Book Antiqua" w:cs="Arial"/>
                <w:color w:val="000000"/>
                <w:vertAlign w:val="superscript"/>
              </w:rPr>
            </w:pPr>
            <w:r w:rsidRPr="00FF7E88">
              <w:rPr>
                <w:rFonts w:ascii="Book Antiqua" w:eastAsia="HYSinMyeongJo-Medium" w:hAnsi="Book Antiqua" w:cs="Arial"/>
                <w:color w:val="000000"/>
              </w:rPr>
              <w:t>95.6</w:t>
            </w:r>
          </w:p>
        </w:tc>
        <w:tc>
          <w:tcPr>
            <w:tcW w:w="0" w:type="auto"/>
            <w:tcBorders>
              <w:left w:val="nil"/>
              <w:bottom w:val="nil"/>
              <w:right w:val="nil"/>
            </w:tcBorders>
          </w:tcPr>
          <w:p w14:paraId="51BACA0C"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97.4</w:t>
            </w:r>
          </w:p>
        </w:tc>
        <w:tc>
          <w:tcPr>
            <w:tcW w:w="0" w:type="auto"/>
            <w:tcBorders>
              <w:left w:val="nil"/>
              <w:bottom w:val="nil"/>
              <w:right w:val="nil"/>
            </w:tcBorders>
          </w:tcPr>
          <w:p w14:paraId="05E62101"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87.0</w:t>
            </w:r>
          </w:p>
        </w:tc>
        <w:tc>
          <w:tcPr>
            <w:tcW w:w="0" w:type="auto"/>
            <w:tcBorders>
              <w:left w:val="nil"/>
              <w:bottom w:val="nil"/>
              <w:right w:val="nil"/>
            </w:tcBorders>
          </w:tcPr>
          <w:p w14:paraId="688CD364"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93.3</w:t>
            </w:r>
          </w:p>
        </w:tc>
        <w:tc>
          <w:tcPr>
            <w:tcW w:w="0" w:type="auto"/>
            <w:tcBorders>
              <w:top w:val="single" w:sz="4" w:space="0" w:color="000000"/>
              <w:left w:val="nil"/>
              <w:bottom w:val="nil"/>
              <w:right w:val="nil"/>
            </w:tcBorders>
          </w:tcPr>
          <w:p w14:paraId="7D968DB9"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0.93</w:t>
            </w:r>
          </w:p>
        </w:tc>
      </w:tr>
      <w:tr w:rsidR="00FF7E88" w:rsidRPr="00FF7E88" w14:paraId="2C8EAEF0" w14:textId="77777777" w:rsidTr="00D23959">
        <w:trPr>
          <w:trHeight w:val="460"/>
        </w:trPr>
        <w:tc>
          <w:tcPr>
            <w:tcW w:w="0" w:type="auto"/>
            <w:tcBorders>
              <w:top w:val="nil"/>
              <w:left w:val="nil"/>
              <w:bottom w:val="nil"/>
              <w:right w:val="nil"/>
            </w:tcBorders>
          </w:tcPr>
          <w:p w14:paraId="7843FC8B" w14:textId="77777777" w:rsidR="00FF7E88" w:rsidRPr="00FF7E88" w:rsidRDefault="00FF7E88" w:rsidP="00FF7E88">
            <w:pPr>
              <w:spacing w:line="360" w:lineRule="auto"/>
              <w:ind w:firstLineChars="100" w:firstLine="240"/>
              <w:jc w:val="both"/>
              <w:rPr>
                <w:rFonts w:ascii="Book Antiqua" w:eastAsia="HYSinMyeongJo-Medium" w:hAnsi="Book Antiqua" w:cs="Arial"/>
                <w:color w:val="000000"/>
              </w:rPr>
            </w:pPr>
          </w:p>
        </w:tc>
        <w:tc>
          <w:tcPr>
            <w:tcW w:w="0" w:type="auto"/>
            <w:tcBorders>
              <w:top w:val="nil"/>
              <w:left w:val="nil"/>
              <w:bottom w:val="nil"/>
              <w:right w:val="nil"/>
            </w:tcBorders>
          </w:tcPr>
          <w:p w14:paraId="633C621F"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Moderate to severe atrophy</w:t>
            </w:r>
          </w:p>
        </w:tc>
        <w:tc>
          <w:tcPr>
            <w:tcW w:w="0" w:type="auto"/>
            <w:tcBorders>
              <w:top w:val="nil"/>
              <w:left w:val="nil"/>
              <w:bottom w:val="nil"/>
              <w:right w:val="nil"/>
            </w:tcBorders>
          </w:tcPr>
          <w:p w14:paraId="1E8D2265" w14:textId="067BE368"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96.6</w:t>
            </w:r>
          </w:p>
        </w:tc>
        <w:tc>
          <w:tcPr>
            <w:tcW w:w="0" w:type="auto"/>
            <w:tcBorders>
              <w:top w:val="nil"/>
              <w:left w:val="nil"/>
              <w:bottom w:val="nil"/>
              <w:right w:val="nil"/>
            </w:tcBorders>
          </w:tcPr>
          <w:p w14:paraId="276D3C15"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59.8</w:t>
            </w:r>
          </w:p>
        </w:tc>
        <w:tc>
          <w:tcPr>
            <w:tcW w:w="0" w:type="auto"/>
            <w:tcBorders>
              <w:top w:val="nil"/>
              <w:left w:val="nil"/>
              <w:bottom w:val="nil"/>
              <w:right w:val="nil"/>
            </w:tcBorders>
          </w:tcPr>
          <w:p w14:paraId="24A6BEBB"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54.4</w:t>
            </w:r>
          </w:p>
        </w:tc>
        <w:tc>
          <w:tcPr>
            <w:tcW w:w="0" w:type="auto"/>
            <w:tcBorders>
              <w:top w:val="nil"/>
              <w:left w:val="nil"/>
              <w:bottom w:val="nil"/>
              <w:right w:val="nil"/>
            </w:tcBorders>
          </w:tcPr>
          <w:p w14:paraId="2BEFE241"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97.2</w:t>
            </w:r>
          </w:p>
        </w:tc>
        <w:tc>
          <w:tcPr>
            <w:tcW w:w="0" w:type="auto"/>
            <w:tcBorders>
              <w:top w:val="nil"/>
              <w:left w:val="nil"/>
              <w:bottom w:val="nil"/>
              <w:right w:val="nil"/>
            </w:tcBorders>
          </w:tcPr>
          <w:p w14:paraId="2CC794AE"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72.0</w:t>
            </w:r>
          </w:p>
        </w:tc>
        <w:tc>
          <w:tcPr>
            <w:tcW w:w="0" w:type="auto"/>
            <w:tcBorders>
              <w:top w:val="nil"/>
              <w:left w:val="nil"/>
              <w:bottom w:val="nil"/>
              <w:right w:val="nil"/>
            </w:tcBorders>
          </w:tcPr>
          <w:p w14:paraId="7F9FB27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0.78</w:t>
            </w:r>
          </w:p>
        </w:tc>
      </w:tr>
      <w:tr w:rsidR="00FF7E88" w:rsidRPr="00FF7E88" w14:paraId="3616C116" w14:textId="77777777" w:rsidTr="00D23959">
        <w:trPr>
          <w:trHeight w:val="460"/>
        </w:trPr>
        <w:tc>
          <w:tcPr>
            <w:tcW w:w="0" w:type="auto"/>
            <w:tcBorders>
              <w:top w:val="nil"/>
              <w:left w:val="nil"/>
              <w:bottom w:val="nil"/>
              <w:right w:val="nil"/>
            </w:tcBorders>
          </w:tcPr>
          <w:p w14:paraId="78DA0513" w14:textId="77777777" w:rsidR="00FF7E88" w:rsidRPr="00FF7E88" w:rsidRDefault="00FF7E88" w:rsidP="00FF7E88">
            <w:pPr>
              <w:spacing w:line="360" w:lineRule="auto"/>
              <w:ind w:firstLineChars="100" w:firstLine="240"/>
              <w:jc w:val="both"/>
              <w:rPr>
                <w:rFonts w:ascii="Book Antiqua" w:eastAsia="HYSinMyeongJo-Medium" w:hAnsi="Book Antiqua" w:cs="Arial"/>
                <w:color w:val="000000"/>
              </w:rPr>
            </w:pPr>
          </w:p>
        </w:tc>
        <w:tc>
          <w:tcPr>
            <w:tcW w:w="0" w:type="auto"/>
            <w:tcBorders>
              <w:top w:val="nil"/>
              <w:left w:val="nil"/>
              <w:bottom w:val="nil"/>
              <w:right w:val="nil"/>
            </w:tcBorders>
          </w:tcPr>
          <w:p w14:paraId="5F01AC93"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Intestinal metaplasia, corpus  </w:t>
            </w:r>
          </w:p>
        </w:tc>
        <w:tc>
          <w:tcPr>
            <w:tcW w:w="0" w:type="auto"/>
            <w:tcBorders>
              <w:top w:val="nil"/>
              <w:left w:val="nil"/>
              <w:bottom w:val="nil"/>
              <w:right w:val="nil"/>
            </w:tcBorders>
          </w:tcPr>
          <w:p w14:paraId="5E467B36" w14:textId="3E4C0C2D"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97.4</w:t>
            </w:r>
          </w:p>
        </w:tc>
        <w:tc>
          <w:tcPr>
            <w:tcW w:w="0" w:type="auto"/>
            <w:tcBorders>
              <w:top w:val="nil"/>
              <w:left w:val="nil"/>
              <w:bottom w:val="nil"/>
              <w:right w:val="nil"/>
            </w:tcBorders>
          </w:tcPr>
          <w:p w14:paraId="50F1B177"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51.8</w:t>
            </w:r>
          </w:p>
        </w:tc>
        <w:tc>
          <w:tcPr>
            <w:tcW w:w="0" w:type="auto"/>
            <w:tcBorders>
              <w:top w:val="nil"/>
              <w:left w:val="nil"/>
              <w:bottom w:val="nil"/>
              <w:right w:val="nil"/>
            </w:tcBorders>
          </w:tcPr>
          <w:p w14:paraId="6331FCD1"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35.9</w:t>
            </w:r>
          </w:p>
        </w:tc>
        <w:tc>
          <w:tcPr>
            <w:tcW w:w="0" w:type="auto"/>
            <w:tcBorders>
              <w:top w:val="nil"/>
              <w:left w:val="nil"/>
              <w:bottom w:val="nil"/>
              <w:right w:val="nil"/>
            </w:tcBorders>
          </w:tcPr>
          <w:p w14:paraId="0FBCCEEC"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98.6</w:t>
            </w:r>
          </w:p>
        </w:tc>
        <w:tc>
          <w:tcPr>
            <w:tcW w:w="0" w:type="auto"/>
            <w:tcBorders>
              <w:top w:val="nil"/>
              <w:left w:val="nil"/>
              <w:bottom w:val="nil"/>
              <w:right w:val="nil"/>
            </w:tcBorders>
          </w:tcPr>
          <w:p w14:paraId="595AE3E9"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61.7</w:t>
            </w:r>
          </w:p>
        </w:tc>
        <w:tc>
          <w:tcPr>
            <w:tcW w:w="0" w:type="auto"/>
            <w:tcBorders>
              <w:top w:val="nil"/>
              <w:left w:val="nil"/>
              <w:bottom w:val="nil"/>
              <w:right w:val="nil"/>
            </w:tcBorders>
          </w:tcPr>
          <w:p w14:paraId="0EE659FC"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0.74</w:t>
            </w:r>
          </w:p>
        </w:tc>
      </w:tr>
      <w:tr w:rsidR="00FF7E88" w:rsidRPr="00FF7E88" w14:paraId="4BCAE645" w14:textId="77777777" w:rsidTr="00D23959">
        <w:trPr>
          <w:trHeight w:val="460"/>
        </w:trPr>
        <w:tc>
          <w:tcPr>
            <w:tcW w:w="0" w:type="auto"/>
            <w:tcBorders>
              <w:top w:val="nil"/>
              <w:left w:val="nil"/>
              <w:bottom w:val="nil"/>
              <w:right w:val="nil"/>
            </w:tcBorders>
          </w:tcPr>
          <w:p w14:paraId="21FA26BC" w14:textId="77777777" w:rsidR="00FF7E88" w:rsidRPr="00FF7E88" w:rsidRDefault="00FF7E88" w:rsidP="00930A97">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M-NBI</w:t>
            </w:r>
          </w:p>
        </w:tc>
        <w:tc>
          <w:tcPr>
            <w:tcW w:w="0" w:type="auto"/>
            <w:tcBorders>
              <w:top w:val="nil"/>
              <w:left w:val="nil"/>
              <w:bottom w:val="nil"/>
              <w:right w:val="nil"/>
            </w:tcBorders>
          </w:tcPr>
          <w:p w14:paraId="14ACC78D"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i/>
                <w:color w:val="000000"/>
              </w:rPr>
              <w:t>H. pylori</w:t>
            </w:r>
            <w:r w:rsidRPr="00FF7E88">
              <w:rPr>
                <w:rFonts w:ascii="Book Antiqua" w:eastAsia="HYSinMyeongJo-Medium" w:hAnsi="Book Antiqua" w:cs="Arial"/>
                <w:color w:val="000000"/>
              </w:rPr>
              <w:t xml:space="preserve"> gastritis</w:t>
            </w:r>
          </w:p>
        </w:tc>
        <w:tc>
          <w:tcPr>
            <w:tcW w:w="0" w:type="auto"/>
            <w:tcBorders>
              <w:top w:val="nil"/>
              <w:left w:val="nil"/>
              <w:bottom w:val="nil"/>
              <w:right w:val="nil"/>
            </w:tcBorders>
          </w:tcPr>
          <w:p w14:paraId="43702A1D" w14:textId="609CB20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96.3</w:t>
            </w:r>
            <w:r w:rsidR="00747D96">
              <w:rPr>
                <w:rFonts w:ascii="Book Antiqua" w:eastAsia="HYSinMyeongJo-Medium" w:hAnsi="Book Antiqua" w:cs="Arial"/>
                <w:color w:val="000000"/>
                <w:vertAlign w:val="superscript"/>
              </w:rPr>
              <w:t>a</w:t>
            </w:r>
          </w:p>
        </w:tc>
        <w:tc>
          <w:tcPr>
            <w:tcW w:w="0" w:type="auto"/>
            <w:tcBorders>
              <w:top w:val="nil"/>
              <w:left w:val="nil"/>
              <w:bottom w:val="nil"/>
              <w:right w:val="nil"/>
            </w:tcBorders>
          </w:tcPr>
          <w:p w14:paraId="410C75B9" w14:textId="77777777" w:rsidR="00FF7E88" w:rsidRPr="00FF7E88" w:rsidRDefault="00FF7E88" w:rsidP="00FF7E88">
            <w:pPr>
              <w:spacing w:line="360" w:lineRule="auto"/>
              <w:jc w:val="both"/>
              <w:rPr>
                <w:rFonts w:ascii="Book Antiqua" w:eastAsia="HYSinMyeongJo-Medium" w:hAnsi="Book Antiqua" w:cs="Arial"/>
                <w:color w:val="000000"/>
                <w:vertAlign w:val="superscript"/>
              </w:rPr>
            </w:pPr>
            <w:r w:rsidRPr="00FF7E88">
              <w:rPr>
                <w:rFonts w:ascii="Book Antiqua" w:eastAsia="Batang" w:hAnsi="Book Antiqua" w:cs="Arial"/>
                <w:color w:val="000000"/>
              </w:rPr>
              <w:t>95.6</w:t>
            </w:r>
          </w:p>
        </w:tc>
        <w:tc>
          <w:tcPr>
            <w:tcW w:w="0" w:type="auto"/>
            <w:tcBorders>
              <w:top w:val="nil"/>
              <w:left w:val="nil"/>
              <w:bottom w:val="nil"/>
              <w:right w:val="nil"/>
            </w:tcBorders>
          </w:tcPr>
          <w:p w14:paraId="160D1639" w14:textId="77777777" w:rsidR="00FF7E88" w:rsidRPr="00FF7E88" w:rsidRDefault="00FF7E88" w:rsidP="00747D96">
            <w:pPr>
              <w:spacing w:line="360" w:lineRule="auto"/>
              <w:jc w:val="both"/>
              <w:rPr>
                <w:rFonts w:ascii="Book Antiqua" w:eastAsia="Batang" w:hAnsi="Book Antiqua" w:cs="Arial"/>
                <w:color w:val="000000"/>
              </w:rPr>
            </w:pPr>
            <w:r w:rsidRPr="00FF7E88">
              <w:rPr>
                <w:rFonts w:ascii="Book Antiqua" w:eastAsia="Batang" w:hAnsi="Book Antiqua" w:cs="Arial"/>
                <w:color w:val="000000"/>
              </w:rPr>
              <w:t>97.5</w:t>
            </w:r>
          </w:p>
        </w:tc>
        <w:tc>
          <w:tcPr>
            <w:tcW w:w="0" w:type="auto"/>
            <w:tcBorders>
              <w:top w:val="nil"/>
              <w:left w:val="nil"/>
              <w:bottom w:val="nil"/>
              <w:right w:val="nil"/>
            </w:tcBorders>
          </w:tcPr>
          <w:p w14:paraId="0F1A3E49" w14:textId="77777777" w:rsidR="00FF7E88" w:rsidRPr="00FF7E88" w:rsidRDefault="00FF7E88" w:rsidP="00747D96">
            <w:pPr>
              <w:spacing w:line="360" w:lineRule="auto"/>
              <w:jc w:val="both"/>
              <w:rPr>
                <w:rFonts w:ascii="Book Antiqua" w:eastAsia="Batang" w:hAnsi="Book Antiqua" w:cs="Arial"/>
                <w:color w:val="000000"/>
              </w:rPr>
            </w:pPr>
            <w:r w:rsidRPr="00FF7E88">
              <w:rPr>
                <w:rFonts w:ascii="Book Antiqua" w:eastAsia="HYSinMyeongJo-Medium" w:hAnsi="Book Antiqua" w:cs="Arial"/>
                <w:color w:val="000000"/>
              </w:rPr>
              <w:t>93.5</w:t>
            </w:r>
          </w:p>
        </w:tc>
        <w:tc>
          <w:tcPr>
            <w:tcW w:w="0" w:type="auto"/>
            <w:tcBorders>
              <w:top w:val="nil"/>
              <w:left w:val="nil"/>
              <w:bottom w:val="nil"/>
              <w:right w:val="nil"/>
            </w:tcBorders>
          </w:tcPr>
          <w:p w14:paraId="7CD4251F"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96.1</w:t>
            </w:r>
          </w:p>
        </w:tc>
        <w:tc>
          <w:tcPr>
            <w:tcW w:w="0" w:type="auto"/>
            <w:tcBorders>
              <w:top w:val="nil"/>
              <w:left w:val="nil"/>
              <w:bottom w:val="nil"/>
              <w:right w:val="nil"/>
            </w:tcBorders>
          </w:tcPr>
          <w:p w14:paraId="71A115B6"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0.96</w:t>
            </w:r>
          </w:p>
        </w:tc>
      </w:tr>
      <w:tr w:rsidR="00FF7E88" w:rsidRPr="00FF7E88" w14:paraId="7BE7BA51" w14:textId="77777777" w:rsidTr="00D23959">
        <w:trPr>
          <w:trHeight w:val="460"/>
        </w:trPr>
        <w:tc>
          <w:tcPr>
            <w:tcW w:w="0" w:type="auto"/>
            <w:tcBorders>
              <w:top w:val="nil"/>
              <w:left w:val="nil"/>
              <w:bottom w:val="nil"/>
              <w:right w:val="nil"/>
            </w:tcBorders>
          </w:tcPr>
          <w:p w14:paraId="41F0C859" w14:textId="77777777" w:rsidR="00FF7E88" w:rsidRPr="00FF7E88" w:rsidRDefault="00FF7E88" w:rsidP="00930A97">
            <w:pPr>
              <w:spacing w:line="360" w:lineRule="auto"/>
              <w:jc w:val="both"/>
              <w:rPr>
                <w:rFonts w:ascii="Book Antiqua" w:eastAsia="HYSinMyeongJo-Medium" w:hAnsi="Book Antiqua" w:cs="Arial"/>
                <w:color w:val="000000"/>
              </w:rPr>
            </w:pPr>
          </w:p>
        </w:tc>
        <w:tc>
          <w:tcPr>
            <w:tcW w:w="0" w:type="auto"/>
            <w:tcBorders>
              <w:top w:val="nil"/>
              <w:left w:val="nil"/>
              <w:bottom w:val="nil"/>
              <w:right w:val="nil"/>
            </w:tcBorders>
          </w:tcPr>
          <w:p w14:paraId="4D42CBA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Moderate to severe atrophy</w:t>
            </w:r>
          </w:p>
        </w:tc>
        <w:tc>
          <w:tcPr>
            <w:tcW w:w="0" w:type="auto"/>
            <w:tcBorders>
              <w:top w:val="nil"/>
              <w:left w:val="nil"/>
              <w:bottom w:val="nil"/>
              <w:right w:val="nil"/>
            </w:tcBorders>
          </w:tcPr>
          <w:p w14:paraId="168BD742" w14:textId="3E4E8C5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100</w:t>
            </w:r>
          </w:p>
        </w:tc>
        <w:tc>
          <w:tcPr>
            <w:tcW w:w="0" w:type="auto"/>
            <w:tcBorders>
              <w:top w:val="nil"/>
              <w:left w:val="nil"/>
              <w:bottom w:val="nil"/>
              <w:right w:val="nil"/>
            </w:tcBorders>
          </w:tcPr>
          <w:p w14:paraId="0DCDAFAF"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Batang" w:hAnsi="Book Antiqua" w:cs="Arial"/>
                <w:color w:val="000000"/>
              </w:rPr>
              <w:t>59.0</w:t>
            </w:r>
          </w:p>
        </w:tc>
        <w:tc>
          <w:tcPr>
            <w:tcW w:w="0" w:type="auto"/>
            <w:tcBorders>
              <w:top w:val="nil"/>
              <w:left w:val="nil"/>
              <w:bottom w:val="nil"/>
              <w:right w:val="nil"/>
            </w:tcBorders>
          </w:tcPr>
          <w:p w14:paraId="26D98299" w14:textId="77777777" w:rsidR="00FF7E88" w:rsidRPr="00FF7E88" w:rsidRDefault="00FF7E88" w:rsidP="00747D96">
            <w:pPr>
              <w:spacing w:line="360" w:lineRule="auto"/>
              <w:jc w:val="both"/>
              <w:rPr>
                <w:rFonts w:ascii="Book Antiqua" w:eastAsia="Batang" w:hAnsi="Book Antiqua" w:cs="Arial"/>
                <w:color w:val="000000"/>
              </w:rPr>
            </w:pPr>
            <w:r w:rsidRPr="00FF7E88">
              <w:rPr>
                <w:rFonts w:ascii="Book Antiqua" w:eastAsia="Batang" w:hAnsi="Book Antiqua" w:cs="Arial"/>
                <w:color w:val="000000"/>
              </w:rPr>
              <w:t>54.7</w:t>
            </w:r>
          </w:p>
        </w:tc>
        <w:tc>
          <w:tcPr>
            <w:tcW w:w="0" w:type="auto"/>
            <w:tcBorders>
              <w:top w:val="nil"/>
              <w:left w:val="nil"/>
              <w:bottom w:val="nil"/>
              <w:right w:val="nil"/>
            </w:tcBorders>
          </w:tcPr>
          <w:p w14:paraId="01740000" w14:textId="77777777" w:rsidR="00FF7E88" w:rsidRPr="00FF7E88" w:rsidRDefault="00FF7E88" w:rsidP="00747D96">
            <w:pPr>
              <w:spacing w:line="360" w:lineRule="auto"/>
              <w:jc w:val="both"/>
              <w:rPr>
                <w:rFonts w:ascii="Book Antiqua" w:eastAsia="Batang" w:hAnsi="Book Antiqua" w:cs="Arial"/>
                <w:color w:val="000000"/>
              </w:rPr>
            </w:pPr>
            <w:r w:rsidRPr="00FF7E88">
              <w:rPr>
                <w:rFonts w:ascii="Book Antiqua" w:eastAsia="HYSinMyeongJo-Medium" w:hAnsi="Book Antiqua" w:cs="Arial"/>
                <w:color w:val="000000"/>
              </w:rPr>
              <w:t>100</w:t>
            </w:r>
          </w:p>
        </w:tc>
        <w:tc>
          <w:tcPr>
            <w:tcW w:w="0" w:type="auto"/>
            <w:tcBorders>
              <w:top w:val="nil"/>
              <w:left w:val="nil"/>
              <w:bottom w:val="nil"/>
              <w:right w:val="nil"/>
            </w:tcBorders>
          </w:tcPr>
          <w:p w14:paraId="5A30C05D"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72.6</w:t>
            </w:r>
          </w:p>
        </w:tc>
        <w:tc>
          <w:tcPr>
            <w:tcW w:w="0" w:type="auto"/>
            <w:tcBorders>
              <w:top w:val="nil"/>
              <w:left w:val="nil"/>
              <w:bottom w:val="nil"/>
              <w:right w:val="nil"/>
            </w:tcBorders>
          </w:tcPr>
          <w:p w14:paraId="1B508AC0"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0.79</w:t>
            </w:r>
          </w:p>
        </w:tc>
      </w:tr>
      <w:tr w:rsidR="00FF7E88" w:rsidRPr="00FF7E88" w14:paraId="1FBDB638" w14:textId="77777777" w:rsidTr="00D23959">
        <w:trPr>
          <w:trHeight w:val="460"/>
        </w:trPr>
        <w:tc>
          <w:tcPr>
            <w:tcW w:w="0" w:type="auto"/>
            <w:tcBorders>
              <w:top w:val="nil"/>
              <w:left w:val="nil"/>
              <w:bottom w:val="single" w:sz="12" w:space="0" w:color="000000"/>
              <w:right w:val="nil"/>
            </w:tcBorders>
          </w:tcPr>
          <w:p w14:paraId="03E3BC13" w14:textId="188D93E5" w:rsidR="00FF7E88" w:rsidRPr="00FF7E88" w:rsidRDefault="00FF7E88" w:rsidP="00FF7E88">
            <w:pPr>
              <w:spacing w:line="360" w:lineRule="auto"/>
              <w:jc w:val="both"/>
              <w:rPr>
                <w:rFonts w:ascii="Book Antiqua" w:eastAsia="HYSinMyeongJo-Medium" w:hAnsi="Book Antiqua" w:cs="Arial"/>
                <w:color w:val="000000"/>
              </w:rPr>
            </w:pPr>
          </w:p>
        </w:tc>
        <w:tc>
          <w:tcPr>
            <w:tcW w:w="0" w:type="auto"/>
            <w:tcBorders>
              <w:top w:val="nil"/>
              <w:left w:val="nil"/>
              <w:bottom w:val="single" w:sz="12" w:space="0" w:color="000000"/>
              <w:right w:val="nil"/>
            </w:tcBorders>
          </w:tcPr>
          <w:p w14:paraId="52B2E81D"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Intestinal metaplasia, corpus</w:t>
            </w:r>
          </w:p>
        </w:tc>
        <w:tc>
          <w:tcPr>
            <w:tcW w:w="0" w:type="auto"/>
            <w:tcBorders>
              <w:top w:val="nil"/>
              <w:left w:val="nil"/>
              <w:bottom w:val="single" w:sz="12" w:space="0" w:color="000000"/>
              <w:right w:val="nil"/>
            </w:tcBorders>
          </w:tcPr>
          <w:p w14:paraId="347F77C1" w14:textId="666AC643"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100</w:t>
            </w:r>
          </w:p>
        </w:tc>
        <w:tc>
          <w:tcPr>
            <w:tcW w:w="0" w:type="auto"/>
            <w:tcBorders>
              <w:top w:val="nil"/>
              <w:left w:val="nil"/>
              <w:bottom w:val="single" w:sz="12" w:space="0" w:color="000000"/>
              <w:right w:val="nil"/>
            </w:tcBorders>
          </w:tcPr>
          <w:p w14:paraId="1921EB13"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50.4</w:t>
            </w:r>
          </w:p>
        </w:tc>
        <w:tc>
          <w:tcPr>
            <w:tcW w:w="0" w:type="auto"/>
            <w:tcBorders>
              <w:top w:val="nil"/>
              <w:left w:val="nil"/>
              <w:bottom w:val="single" w:sz="12" w:space="0" w:color="000000"/>
              <w:right w:val="nil"/>
            </w:tcBorders>
          </w:tcPr>
          <w:p w14:paraId="45440813"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35.8</w:t>
            </w:r>
          </w:p>
        </w:tc>
        <w:tc>
          <w:tcPr>
            <w:tcW w:w="0" w:type="auto"/>
            <w:tcBorders>
              <w:top w:val="nil"/>
              <w:left w:val="nil"/>
              <w:bottom w:val="single" w:sz="12" w:space="0" w:color="000000"/>
              <w:right w:val="nil"/>
            </w:tcBorders>
          </w:tcPr>
          <w:p w14:paraId="5DF6A860" w14:textId="77777777" w:rsidR="00FF7E88" w:rsidRPr="00FF7E88" w:rsidRDefault="00FF7E88" w:rsidP="00747D96">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100</w:t>
            </w:r>
          </w:p>
        </w:tc>
        <w:tc>
          <w:tcPr>
            <w:tcW w:w="0" w:type="auto"/>
            <w:tcBorders>
              <w:top w:val="nil"/>
              <w:left w:val="nil"/>
              <w:bottom w:val="single" w:sz="12" w:space="0" w:color="000000"/>
              <w:right w:val="nil"/>
            </w:tcBorders>
          </w:tcPr>
          <w:p w14:paraId="5AA6652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61.1</w:t>
            </w:r>
          </w:p>
        </w:tc>
        <w:tc>
          <w:tcPr>
            <w:tcW w:w="0" w:type="auto"/>
            <w:tcBorders>
              <w:top w:val="nil"/>
              <w:left w:val="nil"/>
              <w:bottom w:val="single" w:sz="12" w:space="0" w:color="000000"/>
              <w:right w:val="nil"/>
            </w:tcBorders>
          </w:tcPr>
          <w:p w14:paraId="3C839A28" w14:textId="77777777" w:rsidR="00FF7E88" w:rsidRPr="00FF7E88" w:rsidRDefault="00FF7E88"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0.75</w:t>
            </w:r>
          </w:p>
        </w:tc>
      </w:tr>
    </w:tbl>
    <w:p w14:paraId="4C0432F9" w14:textId="545D0B3F" w:rsidR="00FF7E88" w:rsidRPr="00FF7E88" w:rsidRDefault="00747D96" w:rsidP="00747D96">
      <w:pPr>
        <w:pStyle w:val="a5"/>
        <w:spacing w:after="0" w:line="360" w:lineRule="auto"/>
        <w:ind w:firstLineChars="0" w:firstLine="0"/>
        <w:rPr>
          <w:rFonts w:ascii="Book Antiqua" w:eastAsia="HYSinMyeongJo-Medium" w:hAnsi="Book Antiqua"/>
          <w:color w:val="000000"/>
          <w:szCs w:val="24"/>
        </w:rPr>
      </w:pPr>
      <w:r w:rsidRPr="00747D96">
        <w:rPr>
          <w:rFonts w:ascii="Book Antiqua" w:hAnsi="Book Antiqua"/>
          <w:color w:val="000000"/>
          <w:szCs w:val="24"/>
          <w:vertAlign w:val="superscript"/>
        </w:rPr>
        <w:t>a</w:t>
      </w:r>
      <w:r w:rsidRPr="00FF7E88">
        <w:rPr>
          <w:rFonts w:ascii="Book Antiqua" w:hAnsi="Book Antiqua"/>
          <w:i/>
          <w:color w:val="000000"/>
          <w:szCs w:val="24"/>
          <w:lang w:eastAsia="ko-KR"/>
        </w:rPr>
        <w:t>P</w:t>
      </w:r>
      <w:r w:rsidRPr="00FF7E88">
        <w:rPr>
          <w:rFonts w:ascii="Book Antiqua" w:hAnsi="Book Antiqua"/>
          <w:color w:val="000000"/>
          <w:szCs w:val="24"/>
        </w:rPr>
        <w:t xml:space="preserve"> = </w:t>
      </w:r>
      <w:r>
        <w:rPr>
          <w:rFonts w:ascii="Book Antiqua" w:hAnsi="Book Antiqua"/>
          <w:color w:val="000000"/>
          <w:szCs w:val="24"/>
        </w:rPr>
        <w:t>0</w:t>
      </w:r>
      <w:r w:rsidRPr="00FF7E88">
        <w:rPr>
          <w:rFonts w:ascii="Book Antiqua" w:hAnsi="Book Antiqua"/>
          <w:color w:val="000000"/>
          <w:szCs w:val="24"/>
        </w:rPr>
        <w:t xml:space="preserve">.016, McNemar test indicated a significant difference in sensitivity for diagnosis of </w:t>
      </w:r>
      <w:r w:rsidRPr="00747D96">
        <w:rPr>
          <w:rFonts w:ascii="Book Antiqua" w:eastAsia="HYSinMyeongJo-Medium" w:hAnsi="Book Antiqua" w:cs="Arial"/>
          <w:bCs/>
          <w:i/>
          <w:color w:val="000000"/>
          <w:szCs w:val="24"/>
        </w:rPr>
        <w:t>Helicobacter pylori</w:t>
      </w:r>
      <w:r w:rsidRPr="00FF7E88">
        <w:rPr>
          <w:rFonts w:ascii="Book Antiqua" w:hAnsi="Book Antiqua"/>
          <w:color w:val="000000"/>
          <w:szCs w:val="24"/>
        </w:rPr>
        <w:t xml:space="preserve"> infection between standard and </w:t>
      </w:r>
      <w:r w:rsidRPr="00FF7E88">
        <w:rPr>
          <w:rFonts w:ascii="Book Antiqua" w:eastAsia="HYSinMyeongJo-Medium" w:hAnsi="Book Antiqua"/>
          <w:color w:val="000000"/>
          <w:szCs w:val="24"/>
        </w:rPr>
        <w:t>magnifying narrow-band imaging</w:t>
      </w:r>
      <w:r w:rsidRPr="00FF7E88">
        <w:rPr>
          <w:rFonts w:ascii="Book Antiqua" w:hAnsi="Book Antiqua"/>
          <w:color w:val="000000"/>
          <w:szCs w:val="24"/>
        </w:rPr>
        <w:t xml:space="preserve"> endoscopy. </w:t>
      </w:r>
      <w:r w:rsidR="00FF7E88" w:rsidRPr="00FF7E88">
        <w:rPr>
          <w:rFonts w:ascii="Book Antiqua" w:eastAsia="HYSinMyeongJo-Medium" w:hAnsi="Book Antiqua"/>
          <w:color w:val="000000"/>
          <w:szCs w:val="24"/>
        </w:rPr>
        <w:t xml:space="preserve">M-NBI: </w:t>
      </w:r>
      <w:r w:rsidRPr="00FF7E88">
        <w:rPr>
          <w:rFonts w:ascii="Book Antiqua" w:eastAsia="HYSinMyeongJo-Medium" w:hAnsi="Book Antiqua"/>
          <w:color w:val="000000"/>
          <w:szCs w:val="24"/>
        </w:rPr>
        <w:t>M</w:t>
      </w:r>
      <w:r w:rsidR="00FF7E88" w:rsidRPr="00FF7E88">
        <w:rPr>
          <w:rFonts w:ascii="Book Antiqua" w:eastAsia="HYSinMyeongJo-Medium" w:hAnsi="Book Antiqua"/>
          <w:color w:val="000000"/>
          <w:szCs w:val="24"/>
        </w:rPr>
        <w:t xml:space="preserve">agnifying narrow-band imaging; PPV: </w:t>
      </w:r>
      <w:r w:rsidRPr="00FF7E88">
        <w:rPr>
          <w:rFonts w:ascii="Book Antiqua" w:eastAsia="HYSinMyeongJo-Medium" w:hAnsi="Book Antiqua"/>
          <w:color w:val="000000"/>
          <w:szCs w:val="24"/>
        </w:rPr>
        <w:t>P</w:t>
      </w:r>
      <w:r w:rsidR="00FF7E88" w:rsidRPr="00FF7E88">
        <w:rPr>
          <w:rFonts w:ascii="Book Antiqua" w:eastAsia="HYSinMyeongJo-Medium" w:hAnsi="Book Antiqua"/>
          <w:color w:val="000000"/>
          <w:szCs w:val="24"/>
        </w:rPr>
        <w:t xml:space="preserve">ositive predictive value; NPV: </w:t>
      </w:r>
      <w:r w:rsidRPr="00FF7E88">
        <w:rPr>
          <w:rFonts w:ascii="Book Antiqua" w:eastAsia="HYSinMyeongJo-Medium" w:hAnsi="Book Antiqua"/>
          <w:color w:val="000000"/>
          <w:szCs w:val="24"/>
        </w:rPr>
        <w:t>N</w:t>
      </w:r>
      <w:r w:rsidR="00FF7E88" w:rsidRPr="00FF7E88">
        <w:rPr>
          <w:rFonts w:ascii="Book Antiqua" w:eastAsia="HYSinMyeongJo-Medium" w:hAnsi="Book Antiqua"/>
          <w:color w:val="000000"/>
          <w:szCs w:val="24"/>
        </w:rPr>
        <w:t>egative predictive value; AUC: area under the curve</w:t>
      </w:r>
      <w:r>
        <w:rPr>
          <w:rFonts w:ascii="Book Antiqua" w:eastAsia="HYSinMyeongJo-Medium" w:hAnsi="Book Antiqua"/>
          <w:color w:val="000000"/>
          <w:szCs w:val="24"/>
        </w:rPr>
        <w:t xml:space="preserve">; </w:t>
      </w:r>
      <w:r w:rsidRPr="00747D96">
        <w:rPr>
          <w:rFonts w:ascii="Book Antiqua" w:eastAsia="HYSinMyeongJo-Medium" w:hAnsi="Book Antiqua" w:cs="Arial"/>
          <w:i/>
          <w:color w:val="000000"/>
          <w:szCs w:val="24"/>
        </w:rPr>
        <w:t>H. pylori</w:t>
      </w:r>
      <w:r w:rsidRPr="00747D96">
        <w:rPr>
          <w:rFonts w:ascii="Book Antiqua" w:eastAsia="HYSinMyeongJo-Medium" w:hAnsi="Book Antiqua" w:cs="Arial"/>
          <w:iCs/>
          <w:color w:val="000000"/>
          <w:szCs w:val="24"/>
        </w:rPr>
        <w:t>:</w:t>
      </w:r>
      <w:r>
        <w:rPr>
          <w:rFonts w:ascii="Book Antiqua" w:eastAsia="HYSinMyeongJo-Medium" w:hAnsi="Book Antiqua" w:cs="Arial"/>
          <w:i/>
          <w:color w:val="000000"/>
          <w:szCs w:val="24"/>
        </w:rPr>
        <w:t xml:space="preserve"> </w:t>
      </w:r>
      <w:r w:rsidRPr="00747D96">
        <w:rPr>
          <w:rFonts w:ascii="Book Antiqua" w:eastAsia="HYSinMyeongJo-Medium" w:hAnsi="Book Antiqua" w:cs="Arial"/>
          <w:bCs/>
          <w:i/>
          <w:color w:val="000000"/>
          <w:szCs w:val="24"/>
        </w:rPr>
        <w:t>Helicobacter pylori.</w:t>
      </w:r>
    </w:p>
    <w:p w14:paraId="1DAE2EF4" w14:textId="77777777" w:rsidR="00747D96" w:rsidRDefault="00747D96" w:rsidP="00747D96">
      <w:pPr>
        <w:pStyle w:val="a"/>
        <w:numPr>
          <w:ilvl w:val="0"/>
          <w:numId w:val="0"/>
        </w:numPr>
        <w:spacing w:line="360" w:lineRule="auto"/>
        <w:rPr>
          <w:rStyle w:val="ti2"/>
          <w:rFonts w:ascii="Book Antiqua" w:hAnsi="Book Antiqua"/>
          <w:color w:val="FF0000"/>
          <w:sz w:val="24"/>
          <w:szCs w:val="24"/>
        </w:rPr>
        <w:sectPr w:rsidR="00747D96" w:rsidSect="009F76DE">
          <w:pgSz w:w="11907" w:h="16840" w:code="9"/>
          <w:pgMar w:top="1418" w:right="1134" w:bottom="1418" w:left="1134" w:header="851" w:footer="992" w:gutter="0"/>
          <w:cols w:space="425"/>
          <w:docGrid w:linePitch="360"/>
        </w:sectPr>
      </w:pPr>
    </w:p>
    <w:p w14:paraId="6BB85BD8" w14:textId="7E877221" w:rsidR="00FF7E88" w:rsidRPr="00930A97" w:rsidRDefault="00FF7E88" w:rsidP="00FF7E88">
      <w:pPr>
        <w:tabs>
          <w:tab w:val="left" w:pos="8329"/>
        </w:tabs>
        <w:adjustRightInd w:val="0"/>
        <w:spacing w:line="360" w:lineRule="auto"/>
        <w:jc w:val="both"/>
        <w:rPr>
          <w:rStyle w:val="ti2"/>
          <w:rFonts w:ascii="Book Antiqua" w:eastAsia="HYSinMyeongJo-Medium" w:hAnsi="Book Antiqua" w:cs="Arial"/>
          <w:b/>
          <w:color w:val="000000"/>
          <w:sz w:val="24"/>
          <w:szCs w:val="24"/>
        </w:rPr>
      </w:pPr>
      <w:r w:rsidRPr="00930A97">
        <w:rPr>
          <w:rFonts w:ascii="Book Antiqua" w:eastAsia="HYSinMyeongJo-Medium" w:hAnsi="Book Antiqua" w:cs="Arial"/>
          <w:b/>
          <w:color w:val="000000"/>
        </w:rPr>
        <w:t>Table 4 Serum pepsinogen I/II ratio according to gastric mucosal pattern observed by standard and magnifying narrow-band imaging endoscopy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040"/>
        <w:gridCol w:w="1221"/>
        <w:gridCol w:w="1091"/>
        <w:gridCol w:w="1091"/>
        <w:gridCol w:w="1091"/>
        <w:gridCol w:w="1199"/>
        <w:gridCol w:w="1091"/>
        <w:gridCol w:w="1091"/>
        <w:gridCol w:w="940"/>
      </w:tblGrid>
      <w:tr w:rsidR="000A67B7" w:rsidRPr="00FF7E88" w14:paraId="7BE2A433" w14:textId="77777777" w:rsidTr="0008118F">
        <w:trPr>
          <w:trHeight w:val="374"/>
        </w:trPr>
        <w:tc>
          <w:tcPr>
            <w:tcW w:w="0" w:type="auto"/>
            <w:vMerge w:val="restart"/>
            <w:tcBorders>
              <w:top w:val="single" w:sz="12" w:space="0" w:color="000000"/>
              <w:left w:val="nil"/>
              <w:right w:val="nil"/>
            </w:tcBorders>
          </w:tcPr>
          <w:p w14:paraId="1AA8540C" w14:textId="77777777" w:rsidR="000A67B7" w:rsidRPr="00930A97" w:rsidRDefault="000A67B7" w:rsidP="00FF7E88">
            <w:pPr>
              <w:spacing w:line="360" w:lineRule="auto"/>
              <w:jc w:val="both"/>
              <w:rPr>
                <w:rFonts w:ascii="Book Antiqua" w:eastAsia="HYSinMyeongJo-Medium" w:hAnsi="Book Antiqua" w:cs="Arial"/>
                <w:b/>
                <w:bCs/>
                <w:color w:val="000000"/>
              </w:rPr>
            </w:pPr>
            <w:r w:rsidRPr="00930A97">
              <w:rPr>
                <w:rFonts w:ascii="Book Antiqua" w:eastAsia="HYSinMyeongJo-Medium" w:hAnsi="Book Antiqua" w:cs="Arial"/>
                <w:b/>
                <w:bCs/>
                <w:color w:val="000000"/>
              </w:rPr>
              <w:t>PG I/II ratio</w:t>
            </w:r>
          </w:p>
        </w:tc>
        <w:tc>
          <w:tcPr>
            <w:tcW w:w="0" w:type="auto"/>
            <w:gridSpan w:val="4"/>
            <w:tcBorders>
              <w:top w:val="single" w:sz="12" w:space="0" w:color="000000"/>
              <w:left w:val="nil"/>
              <w:bottom w:val="single" w:sz="4" w:space="0" w:color="auto"/>
              <w:right w:val="nil"/>
            </w:tcBorders>
          </w:tcPr>
          <w:p w14:paraId="46AD1D76" w14:textId="77777777"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Standard (%)</w:t>
            </w:r>
          </w:p>
        </w:tc>
        <w:tc>
          <w:tcPr>
            <w:tcW w:w="0" w:type="auto"/>
            <w:gridSpan w:val="4"/>
            <w:tcBorders>
              <w:top w:val="single" w:sz="12" w:space="0" w:color="000000"/>
              <w:left w:val="nil"/>
              <w:bottom w:val="single" w:sz="4" w:space="0" w:color="auto"/>
              <w:right w:val="nil"/>
            </w:tcBorders>
          </w:tcPr>
          <w:p w14:paraId="6C3D0480" w14:textId="77777777"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M-NBI (%)</w:t>
            </w:r>
          </w:p>
        </w:tc>
      </w:tr>
      <w:tr w:rsidR="000A67B7" w:rsidRPr="00FF7E88" w14:paraId="2237AA39" w14:textId="77777777" w:rsidTr="0008118F">
        <w:trPr>
          <w:trHeight w:val="460"/>
        </w:trPr>
        <w:tc>
          <w:tcPr>
            <w:tcW w:w="0" w:type="auto"/>
            <w:vMerge/>
            <w:tcBorders>
              <w:left w:val="nil"/>
              <w:bottom w:val="nil"/>
              <w:right w:val="nil"/>
            </w:tcBorders>
          </w:tcPr>
          <w:p w14:paraId="40C2228D" w14:textId="77777777" w:rsidR="000A67B7" w:rsidRPr="00930A97" w:rsidRDefault="000A67B7" w:rsidP="00FF7E88">
            <w:pPr>
              <w:spacing w:line="360" w:lineRule="auto"/>
              <w:ind w:firstLineChars="100" w:firstLine="240"/>
              <w:jc w:val="both"/>
              <w:rPr>
                <w:rFonts w:ascii="Book Antiqua" w:eastAsia="HYSinMyeongJo-Medium" w:hAnsi="Book Antiqua" w:cs="Arial"/>
                <w:b/>
                <w:bCs/>
                <w:color w:val="000000"/>
              </w:rPr>
            </w:pPr>
          </w:p>
        </w:tc>
        <w:tc>
          <w:tcPr>
            <w:tcW w:w="0" w:type="auto"/>
            <w:tcBorders>
              <w:top w:val="single" w:sz="4" w:space="0" w:color="auto"/>
              <w:left w:val="nil"/>
              <w:right w:val="nil"/>
            </w:tcBorders>
          </w:tcPr>
          <w:p w14:paraId="72B455F5" w14:textId="20A53386"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Normal</w:t>
            </w:r>
          </w:p>
        </w:tc>
        <w:tc>
          <w:tcPr>
            <w:tcW w:w="0" w:type="auto"/>
            <w:tcBorders>
              <w:top w:val="single" w:sz="4" w:space="0" w:color="auto"/>
              <w:left w:val="nil"/>
              <w:right w:val="nil"/>
            </w:tcBorders>
          </w:tcPr>
          <w:p w14:paraId="0B5296F0" w14:textId="49EABAE7"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 xml:space="preserve">Type </w:t>
            </w:r>
            <w:r>
              <w:rPr>
                <w:rFonts w:ascii="Book Antiqua" w:eastAsia="HYSinMyeongJo-Medium" w:hAnsi="Book Antiqua" w:cs="Arial"/>
                <w:b/>
                <w:bCs/>
                <w:color w:val="000000"/>
              </w:rPr>
              <w:t>A</w:t>
            </w:r>
          </w:p>
        </w:tc>
        <w:tc>
          <w:tcPr>
            <w:tcW w:w="0" w:type="auto"/>
            <w:tcBorders>
              <w:top w:val="single" w:sz="4" w:space="0" w:color="auto"/>
              <w:left w:val="nil"/>
              <w:right w:val="nil"/>
            </w:tcBorders>
          </w:tcPr>
          <w:p w14:paraId="7A751D45" w14:textId="3CAC02D2"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Type</w:t>
            </w:r>
            <w:r>
              <w:rPr>
                <w:rFonts w:ascii="Book Antiqua" w:eastAsia="HYSinMyeongJo-Medium" w:hAnsi="Book Antiqua" w:cs="Arial"/>
                <w:b/>
                <w:bCs/>
                <w:color w:val="000000"/>
              </w:rPr>
              <w:t xml:space="preserve"> B</w:t>
            </w:r>
          </w:p>
        </w:tc>
        <w:tc>
          <w:tcPr>
            <w:tcW w:w="0" w:type="auto"/>
            <w:tcBorders>
              <w:top w:val="single" w:sz="4" w:space="0" w:color="auto"/>
              <w:left w:val="nil"/>
              <w:right w:val="nil"/>
            </w:tcBorders>
          </w:tcPr>
          <w:p w14:paraId="79F0E716" w14:textId="50A09CCB"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 xml:space="preserve">Type </w:t>
            </w:r>
            <w:r>
              <w:rPr>
                <w:rFonts w:ascii="Book Antiqua" w:eastAsia="HYSinMyeongJo-Medium" w:hAnsi="Book Antiqua" w:cs="Arial"/>
                <w:b/>
                <w:bCs/>
                <w:color w:val="000000"/>
              </w:rPr>
              <w:t>C</w:t>
            </w:r>
          </w:p>
        </w:tc>
        <w:tc>
          <w:tcPr>
            <w:tcW w:w="0" w:type="auto"/>
            <w:tcBorders>
              <w:top w:val="single" w:sz="4" w:space="0" w:color="auto"/>
              <w:left w:val="nil"/>
              <w:bottom w:val="single" w:sz="4" w:space="0" w:color="auto"/>
              <w:right w:val="nil"/>
            </w:tcBorders>
          </w:tcPr>
          <w:p w14:paraId="490FF7EA" w14:textId="45BD0D5B" w:rsidR="000A67B7" w:rsidRPr="00930A97" w:rsidRDefault="000A67B7" w:rsidP="00AB3BA0">
            <w:pPr>
              <w:spacing w:line="360" w:lineRule="auto"/>
              <w:jc w:val="center"/>
              <w:rPr>
                <w:rFonts w:ascii="Book Antiqua" w:eastAsia="Batang" w:hAnsi="Book Antiqua" w:cs="Arial"/>
                <w:b/>
                <w:bCs/>
                <w:color w:val="000000"/>
              </w:rPr>
            </w:pPr>
            <w:r w:rsidRPr="00930A97">
              <w:rPr>
                <w:rFonts w:ascii="Book Antiqua" w:eastAsia="Batang" w:hAnsi="Book Antiqua" w:cs="Arial"/>
                <w:b/>
                <w:bCs/>
                <w:color w:val="000000"/>
              </w:rPr>
              <w:t>Normal</w:t>
            </w:r>
          </w:p>
        </w:tc>
        <w:tc>
          <w:tcPr>
            <w:tcW w:w="0" w:type="auto"/>
            <w:tcBorders>
              <w:top w:val="single" w:sz="4" w:space="0" w:color="auto"/>
              <w:left w:val="nil"/>
              <w:bottom w:val="single" w:sz="4" w:space="0" w:color="auto"/>
              <w:right w:val="nil"/>
            </w:tcBorders>
          </w:tcPr>
          <w:p w14:paraId="04A6BB0E" w14:textId="2A5E1C80" w:rsidR="000A67B7" w:rsidRPr="00930A97" w:rsidRDefault="000A67B7" w:rsidP="00AB3BA0">
            <w:pPr>
              <w:spacing w:line="360" w:lineRule="auto"/>
              <w:jc w:val="center"/>
              <w:rPr>
                <w:rFonts w:ascii="Book Antiqua" w:eastAsia="Batang" w:hAnsi="Book Antiqua" w:cs="Arial"/>
                <w:b/>
                <w:bCs/>
                <w:color w:val="000000"/>
              </w:rPr>
            </w:pPr>
            <w:r w:rsidRPr="00930A97">
              <w:rPr>
                <w:rFonts w:ascii="Book Antiqua" w:eastAsia="Batang" w:hAnsi="Book Antiqua" w:cs="Arial"/>
                <w:b/>
                <w:bCs/>
                <w:color w:val="000000"/>
              </w:rPr>
              <w:t xml:space="preserve">Type </w:t>
            </w:r>
            <w:r>
              <w:rPr>
                <w:rFonts w:ascii="Book Antiqua" w:eastAsia="Batang" w:hAnsi="Book Antiqua" w:cs="Arial"/>
                <w:b/>
                <w:bCs/>
                <w:color w:val="000000"/>
              </w:rPr>
              <w:t>Z</w:t>
            </w:r>
            <w:r w:rsidRPr="00930A97">
              <w:rPr>
                <w:rFonts w:ascii="Book Antiqua" w:eastAsia="Batang" w:hAnsi="Book Antiqua" w:cs="Arial"/>
                <w:b/>
                <w:bCs/>
                <w:color w:val="000000"/>
              </w:rPr>
              <w:t>-1</w:t>
            </w:r>
          </w:p>
        </w:tc>
        <w:tc>
          <w:tcPr>
            <w:tcW w:w="0" w:type="auto"/>
            <w:tcBorders>
              <w:top w:val="single" w:sz="4" w:space="0" w:color="auto"/>
              <w:left w:val="nil"/>
              <w:bottom w:val="single" w:sz="4" w:space="0" w:color="auto"/>
              <w:right w:val="nil"/>
            </w:tcBorders>
          </w:tcPr>
          <w:p w14:paraId="0B62C2E8" w14:textId="59296307" w:rsidR="000A67B7" w:rsidRPr="00930A97" w:rsidRDefault="000A67B7" w:rsidP="00AB3BA0">
            <w:pPr>
              <w:spacing w:line="360" w:lineRule="auto"/>
              <w:jc w:val="center"/>
              <w:rPr>
                <w:rFonts w:ascii="Book Antiqua" w:eastAsia="Batang" w:hAnsi="Book Antiqua" w:cs="Arial"/>
                <w:b/>
                <w:bCs/>
                <w:color w:val="000000"/>
              </w:rPr>
            </w:pPr>
            <w:r w:rsidRPr="00930A97">
              <w:rPr>
                <w:rFonts w:ascii="Book Antiqua" w:eastAsia="Batang" w:hAnsi="Book Antiqua" w:cs="Arial"/>
                <w:b/>
                <w:bCs/>
                <w:color w:val="000000"/>
              </w:rPr>
              <w:t xml:space="preserve">Type </w:t>
            </w:r>
            <w:r>
              <w:rPr>
                <w:rFonts w:ascii="Book Antiqua" w:eastAsia="Batang" w:hAnsi="Book Antiqua" w:cs="Arial"/>
                <w:b/>
                <w:bCs/>
                <w:color w:val="000000"/>
              </w:rPr>
              <w:t>Z</w:t>
            </w:r>
            <w:r w:rsidRPr="00930A97">
              <w:rPr>
                <w:rFonts w:ascii="Book Antiqua" w:eastAsia="Batang" w:hAnsi="Book Antiqua" w:cs="Arial"/>
                <w:b/>
                <w:bCs/>
                <w:color w:val="000000"/>
              </w:rPr>
              <w:t>-2</w:t>
            </w:r>
          </w:p>
        </w:tc>
        <w:tc>
          <w:tcPr>
            <w:tcW w:w="0" w:type="auto"/>
            <w:tcBorders>
              <w:top w:val="single" w:sz="4" w:space="0" w:color="auto"/>
              <w:left w:val="nil"/>
              <w:bottom w:val="single" w:sz="4" w:space="0" w:color="auto"/>
              <w:right w:val="nil"/>
            </w:tcBorders>
          </w:tcPr>
          <w:p w14:paraId="66DC084F" w14:textId="6C7D034A" w:rsidR="000A67B7" w:rsidRPr="00930A97" w:rsidRDefault="000A67B7" w:rsidP="00AB3BA0">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 xml:space="preserve">Type </w:t>
            </w:r>
            <w:r>
              <w:rPr>
                <w:rFonts w:ascii="Book Antiqua" w:eastAsia="HYSinMyeongJo-Medium" w:hAnsi="Book Antiqua" w:cs="Arial"/>
                <w:b/>
                <w:bCs/>
                <w:color w:val="000000"/>
              </w:rPr>
              <w:t>Z</w:t>
            </w:r>
            <w:r w:rsidRPr="00930A97">
              <w:rPr>
                <w:rFonts w:ascii="Book Antiqua" w:eastAsia="HYSinMyeongJo-Medium" w:hAnsi="Book Antiqua" w:cs="Arial"/>
                <w:b/>
                <w:bCs/>
                <w:color w:val="000000"/>
              </w:rPr>
              <w:t>-3</w:t>
            </w:r>
          </w:p>
        </w:tc>
      </w:tr>
      <w:tr w:rsidR="00033FB7" w:rsidRPr="00FF7E88" w14:paraId="4083742C" w14:textId="77777777" w:rsidTr="0008118F">
        <w:trPr>
          <w:trHeight w:val="460"/>
        </w:trPr>
        <w:tc>
          <w:tcPr>
            <w:tcW w:w="0" w:type="auto"/>
            <w:tcBorders>
              <w:top w:val="single" w:sz="4" w:space="0" w:color="000000"/>
              <w:left w:val="nil"/>
              <w:bottom w:val="nil"/>
              <w:right w:val="nil"/>
            </w:tcBorders>
          </w:tcPr>
          <w:p w14:paraId="4C8A1949" w14:textId="77777777" w:rsidR="00033FB7" w:rsidRPr="00FF7E88" w:rsidRDefault="00033FB7"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&gt; 3 (</w:t>
            </w:r>
            <w:r w:rsidRPr="00FF7E88">
              <w:rPr>
                <w:rFonts w:ascii="Book Antiqua" w:eastAsia="HYSinMyeongJo-Medium" w:hAnsi="Book Antiqua" w:cs="Arial"/>
                <w:i/>
                <w:color w:val="000000"/>
              </w:rPr>
              <w:t>n</w:t>
            </w:r>
            <w:r w:rsidRPr="00FF7E88">
              <w:rPr>
                <w:rFonts w:ascii="Book Antiqua" w:eastAsia="HYSinMyeongJo-Medium" w:hAnsi="Book Antiqua" w:cs="Arial"/>
                <w:color w:val="000000"/>
              </w:rPr>
              <w:t xml:space="preserve"> = 71)</w:t>
            </w:r>
          </w:p>
        </w:tc>
        <w:tc>
          <w:tcPr>
            <w:tcW w:w="0" w:type="auto"/>
            <w:tcBorders>
              <w:left w:val="nil"/>
              <w:bottom w:val="nil"/>
              <w:right w:val="nil"/>
            </w:tcBorders>
          </w:tcPr>
          <w:p w14:paraId="68F8D16B"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38/39 (97.4)</w:t>
            </w:r>
          </w:p>
        </w:tc>
        <w:tc>
          <w:tcPr>
            <w:tcW w:w="0" w:type="auto"/>
            <w:tcBorders>
              <w:left w:val="nil"/>
              <w:bottom w:val="nil"/>
              <w:right w:val="nil"/>
            </w:tcBorders>
          </w:tcPr>
          <w:p w14:paraId="2C86F626"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16/25 (64.0)</w:t>
            </w:r>
          </w:p>
        </w:tc>
        <w:tc>
          <w:tcPr>
            <w:tcW w:w="0" w:type="auto"/>
            <w:tcBorders>
              <w:left w:val="nil"/>
              <w:bottom w:val="nil"/>
              <w:right w:val="nil"/>
            </w:tcBorders>
          </w:tcPr>
          <w:p w14:paraId="509DE872"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13/46 (28.3)</w:t>
            </w:r>
          </w:p>
        </w:tc>
        <w:tc>
          <w:tcPr>
            <w:tcW w:w="0" w:type="auto"/>
            <w:tcBorders>
              <w:left w:val="nil"/>
              <w:bottom w:val="nil"/>
              <w:right w:val="nil"/>
            </w:tcBorders>
          </w:tcPr>
          <w:p w14:paraId="54EB32AE"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4/17 (23.5)</w:t>
            </w:r>
          </w:p>
        </w:tc>
        <w:tc>
          <w:tcPr>
            <w:tcW w:w="0" w:type="auto"/>
            <w:tcBorders>
              <w:top w:val="single" w:sz="4" w:space="0" w:color="auto"/>
              <w:left w:val="nil"/>
              <w:bottom w:val="nil"/>
              <w:right w:val="nil"/>
            </w:tcBorders>
          </w:tcPr>
          <w:p w14:paraId="6205B094"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36/36 (100)</w:t>
            </w:r>
          </w:p>
        </w:tc>
        <w:tc>
          <w:tcPr>
            <w:tcW w:w="0" w:type="auto"/>
            <w:tcBorders>
              <w:top w:val="single" w:sz="4" w:space="0" w:color="auto"/>
              <w:left w:val="nil"/>
              <w:bottom w:val="nil"/>
              <w:right w:val="nil"/>
            </w:tcBorders>
          </w:tcPr>
          <w:p w14:paraId="0F53FB81"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33/72 (45.8)</w:t>
            </w:r>
          </w:p>
        </w:tc>
        <w:tc>
          <w:tcPr>
            <w:tcW w:w="0" w:type="auto"/>
            <w:tcBorders>
              <w:top w:val="single" w:sz="4" w:space="0" w:color="auto"/>
              <w:left w:val="nil"/>
              <w:bottom w:val="nil"/>
              <w:right w:val="nil"/>
            </w:tcBorders>
          </w:tcPr>
          <w:p w14:paraId="23E44042"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2/15 (13.3)</w:t>
            </w:r>
          </w:p>
        </w:tc>
        <w:tc>
          <w:tcPr>
            <w:tcW w:w="0" w:type="auto"/>
            <w:tcBorders>
              <w:top w:val="single" w:sz="4" w:space="0" w:color="auto"/>
              <w:left w:val="nil"/>
              <w:bottom w:val="nil"/>
              <w:right w:val="nil"/>
            </w:tcBorders>
          </w:tcPr>
          <w:p w14:paraId="0681E6E4" w14:textId="729F372B" w:rsidR="00033FB7" w:rsidRPr="00FF7E88" w:rsidRDefault="00AB3BA0" w:rsidP="00AD4A3A">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 xml:space="preserve">0/4 </w:t>
            </w:r>
            <w:r w:rsidR="00033FB7" w:rsidRPr="00FF7E88">
              <w:rPr>
                <w:rFonts w:ascii="Book Antiqua" w:eastAsia="HYSinMyeongJo-Medium" w:hAnsi="Book Antiqua" w:cs="Arial"/>
                <w:color w:val="000000"/>
              </w:rPr>
              <w:t>(0)</w:t>
            </w:r>
          </w:p>
        </w:tc>
      </w:tr>
      <w:tr w:rsidR="00033FB7" w:rsidRPr="00FF7E88" w14:paraId="55DDDECF" w14:textId="77777777" w:rsidTr="00D23959">
        <w:trPr>
          <w:trHeight w:val="460"/>
        </w:trPr>
        <w:tc>
          <w:tcPr>
            <w:tcW w:w="0" w:type="auto"/>
            <w:tcBorders>
              <w:top w:val="nil"/>
              <w:left w:val="nil"/>
              <w:bottom w:val="single" w:sz="12" w:space="0" w:color="000000"/>
              <w:right w:val="nil"/>
            </w:tcBorders>
          </w:tcPr>
          <w:p w14:paraId="0E0C906F" w14:textId="77777777" w:rsidR="00033FB7" w:rsidRPr="00FF7E88" w:rsidRDefault="00033FB7" w:rsidP="00FF7E88">
            <w:pPr>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3 (</w:t>
            </w:r>
            <w:r w:rsidRPr="00FF7E88">
              <w:rPr>
                <w:rFonts w:ascii="Book Antiqua" w:eastAsia="HYSinMyeongJo-Medium" w:hAnsi="Book Antiqua" w:cs="Arial"/>
                <w:i/>
                <w:color w:val="000000"/>
              </w:rPr>
              <w:t>n</w:t>
            </w:r>
            <w:r w:rsidRPr="00FF7E88">
              <w:rPr>
                <w:rFonts w:ascii="Book Antiqua" w:eastAsia="HYSinMyeongJo-Medium" w:hAnsi="Book Antiqua" w:cs="Arial"/>
                <w:color w:val="000000"/>
              </w:rPr>
              <w:t xml:space="preserve"> = 56)</w:t>
            </w:r>
          </w:p>
        </w:tc>
        <w:tc>
          <w:tcPr>
            <w:tcW w:w="0" w:type="auto"/>
            <w:tcBorders>
              <w:top w:val="nil"/>
              <w:left w:val="nil"/>
              <w:bottom w:val="single" w:sz="12" w:space="0" w:color="000000"/>
              <w:right w:val="nil"/>
            </w:tcBorders>
          </w:tcPr>
          <w:p w14:paraId="130D9AA4"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1/39 (2.6)</w:t>
            </w:r>
          </w:p>
        </w:tc>
        <w:tc>
          <w:tcPr>
            <w:tcW w:w="0" w:type="auto"/>
            <w:tcBorders>
              <w:top w:val="nil"/>
              <w:left w:val="nil"/>
              <w:bottom w:val="single" w:sz="12" w:space="0" w:color="000000"/>
              <w:right w:val="nil"/>
            </w:tcBorders>
          </w:tcPr>
          <w:p w14:paraId="0BF22E6B"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9/25 (36.0)</w:t>
            </w:r>
          </w:p>
        </w:tc>
        <w:tc>
          <w:tcPr>
            <w:tcW w:w="0" w:type="auto"/>
            <w:tcBorders>
              <w:top w:val="nil"/>
              <w:left w:val="nil"/>
              <w:bottom w:val="single" w:sz="12" w:space="0" w:color="000000"/>
              <w:right w:val="nil"/>
            </w:tcBorders>
          </w:tcPr>
          <w:p w14:paraId="64EB721F"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33/46 (71.7)</w:t>
            </w:r>
          </w:p>
        </w:tc>
        <w:tc>
          <w:tcPr>
            <w:tcW w:w="0" w:type="auto"/>
            <w:tcBorders>
              <w:top w:val="nil"/>
              <w:left w:val="nil"/>
              <w:bottom w:val="single" w:sz="12" w:space="0" w:color="000000"/>
              <w:right w:val="nil"/>
            </w:tcBorders>
          </w:tcPr>
          <w:p w14:paraId="3785F265"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13/17 (76.5)</w:t>
            </w:r>
          </w:p>
        </w:tc>
        <w:tc>
          <w:tcPr>
            <w:tcW w:w="0" w:type="auto"/>
            <w:tcBorders>
              <w:top w:val="nil"/>
              <w:left w:val="nil"/>
              <w:bottom w:val="single" w:sz="12" w:space="0" w:color="000000"/>
              <w:right w:val="nil"/>
            </w:tcBorders>
          </w:tcPr>
          <w:p w14:paraId="21920EBB" w14:textId="77777777" w:rsidR="00033FB7" w:rsidRPr="00FF7E88" w:rsidRDefault="00033FB7" w:rsidP="00AB3BA0">
            <w:pPr>
              <w:spacing w:line="360" w:lineRule="auto"/>
              <w:ind w:firstLineChars="50" w:firstLine="120"/>
              <w:jc w:val="center"/>
              <w:rPr>
                <w:rFonts w:ascii="Book Antiqua" w:eastAsia="HYSinMyeongJo-Medium" w:hAnsi="Book Antiqua" w:cs="Arial"/>
                <w:color w:val="000000"/>
              </w:rPr>
            </w:pPr>
            <w:r w:rsidRPr="00FF7E88">
              <w:rPr>
                <w:rFonts w:ascii="Book Antiqua" w:eastAsia="HYSinMyeongJo-Medium" w:hAnsi="Book Antiqua" w:cs="Arial"/>
                <w:color w:val="000000"/>
              </w:rPr>
              <w:t>0/36 (0)</w:t>
            </w:r>
          </w:p>
        </w:tc>
        <w:tc>
          <w:tcPr>
            <w:tcW w:w="0" w:type="auto"/>
            <w:tcBorders>
              <w:top w:val="nil"/>
              <w:left w:val="nil"/>
              <w:bottom w:val="single" w:sz="12" w:space="0" w:color="000000"/>
              <w:right w:val="nil"/>
            </w:tcBorders>
          </w:tcPr>
          <w:p w14:paraId="7B4BF23F"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39/72 (54.2)</w:t>
            </w:r>
          </w:p>
        </w:tc>
        <w:tc>
          <w:tcPr>
            <w:tcW w:w="0" w:type="auto"/>
            <w:tcBorders>
              <w:top w:val="nil"/>
              <w:left w:val="nil"/>
              <w:bottom w:val="single" w:sz="12" w:space="0" w:color="000000"/>
              <w:right w:val="nil"/>
            </w:tcBorders>
          </w:tcPr>
          <w:p w14:paraId="2B9964AE" w14:textId="77777777" w:rsidR="00033FB7" w:rsidRPr="00FF7E88" w:rsidRDefault="00033FB7" w:rsidP="00AB3BA0">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13/15 (86.7)</w:t>
            </w:r>
          </w:p>
        </w:tc>
        <w:tc>
          <w:tcPr>
            <w:tcW w:w="0" w:type="auto"/>
            <w:tcBorders>
              <w:top w:val="nil"/>
              <w:left w:val="nil"/>
              <w:bottom w:val="single" w:sz="12" w:space="0" w:color="000000"/>
              <w:right w:val="nil"/>
            </w:tcBorders>
          </w:tcPr>
          <w:p w14:paraId="36B8428D" w14:textId="1E3CAC52" w:rsidR="00033FB7" w:rsidRPr="00FF7E88" w:rsidRDefault="00033FB7" w:rsidP="00AD4A3A">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4/4 (100)</w:t>
            </w:r>
          </w:p>
        </w:tc>
      </w:tr>
    </w:tbl>
    <w:p w14:paraId="1C87D670" w14:textId="53025BCF" w:rsidR="00FF7E88" w:rsidRPr="00930A97" w:rsidRDefault="00FF7E88" w:rsidP="00930A97">
      <w:pPr>
        <w:pStyle w:val="a5"/>
        <w:spacing w:after="0" w:line="360" w:lineRule="auto"/>
        <w:ind w:firstLineChars="0" w:firstLine="0"/>
        <w:rPr>
          <w:rStyle w:val="ti2"/>
          <w:rFonts w:ascii="Book Antiqua" w:eastAsia="HYSinMyeongJo-Medium" w:hAnsi="Book Antiqua"/>
          <w:color w:val="000000"/>
          <w:sz w:val="24"/>
          <w:szCs w:val="24"/>
        </w:rPr>
      </w:pPr>
      <w:r w:rsidRPr="00FF7E88">
        <w:rPr>
          <w:rFonts w:ascii="Book Antiqua" w:eastAsia="HYSinMyeongJo-Medium" w:hAnsi="Book Antiqua"/>
          <w:color w:val="000000"/>
          <w:szCs w:val="24"/>
        </w:rPr>
        <w:t xml:space="preserve">PG: </w:t>
      </w:r>
      <w:r w:rsidR="00930A97" w:rsidRPr="00FF7E88">
        <w:rPr>
          <w:rFonts w:ascii="Book Antiqua" w:eastAsia="HYSinMyeongJo-Medium" w:hAnsi="Book Antiqua"/>
          <w:color w:val="000000"/>
          <w:szCs w:val="24"/>
        </w:rPr>
        <w:t>P</w:t>
      </w:r>
      <w:r w:rsidRPr="00FF7E88">
        <w:rPr>
          <w:rFonts w:ascii="Book Antiqua" w:eastAsia="HYSinMyeongJo-Medium" w:hAnsi="Book Antiqua"/>
          <w:color w:val="000000"/>
          <w:szCs w:val="24"/>
        </w:rPr>
        <w:t xml:space="preserve">epsinogen; M-NBI: </w:t>
      </w:r>
      <w:r w:rsidR="00930A97" w:rsidRPr="00FF7E88">
        <w:rPr>
          <w:rFonts w:ascii="Book Antiqua" w:eastAsia="HYSinMyeongJo-Medium" w:hAnsi="Book Antiqua"/>
          <w:color w:val="000000"/>
          <w:szCs w:val="24"/>
        </w:rPr>
        <w:t>M</w:t>
      </w:r>
      <w:r w:rsidRPr="00FF7E88">
        <w:rPr>
          <w:rFonts w:ascii="Book Antiqua" w:eastAsia="HYSinMyeongJo-Medium" w:hAnsi="Book Antiqua"/>
          <w:color w:val="000000"/>
          <w:szCs w:val="24"/>
        </w:rPr>
        <w:t xml:space="preserve">agnifying narrow-band imaging. </w:t>
      </w:r>
    </w:p>
    <w:p w14:paraId="1053F06C" w14:textId="77777777" w:rsidR="00930A97" w:rsidRPr="00AB3BA0" w:rsidRDefault="00930A97" w:rsidP="00FF7E88">
      <w:pPr>
        <w:adjustRightInd w:val="0"/>
        <w:spacing w:line="360" w:lineRule="auto"/>
        <w:jc w:val="both"/>
        <w:rPr>
          <w:rFonts w:ascii="Book Antiqua" w:eastAsia="HYSinMyeongJo-Medium" w:hAnsi="Book Antiqua" w:cs="Arial"/>
          <w:b/>
          <w:color w:val="FF0000"/>
          <w:lang w:val="x-none"/>
        </w:rPr>
        <w:sectPr w:rsidR="00930A97" w:rsidRPr="00AB3BA0" w:rsidSect="009F76DE">
          <w:pgSz w:w="11907" w:h="16840" w:code="9"/>
          <w:pgMar w:top="1418" w:right="1134" w:bottom="1418" w:left="1134" w:header="851" w:footer="992" w:gutter="0"/>
          <w:cols w:space="425"/>
          <w:docGrid w:linePitch="360"/>
        </w:sectPr>
      </w:pPr>
    </w:p>
    <w:p w14:paraId="61610529" w14:textId="4A553FF4" w:rsidR="00FF7E88" w:rsidRPr="00930A97" w:rsidRDefault="00FF7E88" w:rsidP="00FF7E88">
      <w:pPr>
        <w:adjustRightInd w:val="0"/>
        <w:spacing w:line="360" w:lineRule="auto"/>
        <w:jc w:val="both"/>
        <w:rPr>
          <w:rFonts w:ascii="Book Antiqua" w:eastAsia="HYSinMyeongJo-Medium" w:hAnsi="Book Antiqua" w:cs="Arial"/>
          <w:b/>
          <w:color w:val="000000"/>
        </w:rPr>
      </w:pPr>
      <w:r w:rsidRPr="00930A97">
        <w:rPr>
          <w:rFonts w:ascii="Book Antiqua" w:eastAsia="HYSinMyeongJo-Medium" w:hAnsi="Book Antiqua" w:cs="Arial"/>
          <w:b/>
          <w:color w:val="000000"/>
        </w:rPr>
        <w:t>Table 5 Logistic regression analysis of the associations of endoscopic mucosal patterns with gastric precancerous conditions</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742"/>
        <w:gridCol w:w="1758"/>
        <w:gridCol w:w="1032"/>
        <w:gridCol w:w="1793"/>
        <w:gridCol w:w="1104"/>
        <w:gridCol w:w="1637"/>
        <w:gridCol w:w="965"/>
      </w:tblGrid>
      <w:tr w:rsidR="005825D2" w:rsidRPr="00FF7E88" w14:paraId="4C0FD113" w14:textId="77777777" w:rsidTr="00D23959">
        <w:trPr>
          <w:trHeight w:val="524"/>
        </w:trPr>
        <w:tc>
          <w:tcPr>
            <w:tcW w:w="0" w:type="auto"/>
            <w:vMerge w:val="restart"/>
            <w:tcBorders>
              <w:top w:val="single" w:sz="12" w:space="0" w:color="000000"/>
              <w:left w:val="nil"/>
              <w:right w:val="nil"/>
            </w:tcBorders>
          </w:tcPr>
          <w:p w14:paraId="620FE35D" w14:textId="77777777" w:rsidR="005825D2" w:rsidRPr="00930A97" w:rsidRDefault="005825D2" w:rsidP="00FF7E88">
            <w:pPr>
              <w:spacing w:line="360" w:lineRule="auto"/>
              <w:jc w:val="both"/>
              <w:rPr>
                <w:rFonts w:ascii="Book Antiqua" w:eastAsia="HYSinMyeongJo-Medium" w:hAnsi="Book Antiqua" w:cs="Arial"/>
                <w:b/>
                <w:bCs/>
                <w:color w:val="000000"/>
              </w:rPr>
            </w:pPr>
            <w:r w:rsidRPr="00930A97">
              <w:rPr>
                <w:rFonts w:ascii="Book Antiqua" w:eastAsia="HYSinMyeongJo-Medium" w:hAnsi="Book Antiqua" w:cs="Arial"/>
                <w:b/>
                <w:bCs/>
                <w:color w:val="000000"/>
              </w:rPr>
              <w:t>Mucosal pattern</w:t>
            </w:r>
          </w:p>
        </w:tc>
        <w:tc>
          <w:tcPr>
            <w:tcW w:w="0" w:type="auto"/>
            <w:gridSpan w:val="2"/>
            <w:tcBorders>
              <w:top w:val="single" w:sz="12" w:space="0" w:color="000000"/>
              <w:left w:val="nil"/>
              <w:bottom w:val="single" w:sz="4" w:space="0" w:color="auto"/>
              <w:right w:val="nil"/>
            </w:tcBorders>
          </w:tcPr>
          <w:p w14:paraId="16924F17" w14:textId="77777777"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Moderate to severe atrophy</w:t>
            </w:r>
          </w:p>
        </w:tc>
        <w:tc>
          <w:tcPr>
            <w:tcW w:w="0" w:type="auto"/>
            <w:gridSpan w:val="2"/>
            <w:tcBorders>
              <w:top w:val="single" w:sz="12" w:space="0" w:color="000000"/>
              <w:left w:val="nil"/>
              <w:bottom w:val="single" w:sz="4" w:space="0" w:color="auto"/>
              <w:right w:val="nil"/>
            </w:tcBorders>
          </w:tcPr>
          <w:p w14:paraId="02D53F67" w14:textId="77777777"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Intestinal metaplasia, corpus</w:t>
            </w:r>
          </w:p>
        </w:tc>
        <w:tc>
          <w:tcPr>
            <w:tcW w:w="0" w:type="auto"/>
            <w:gridSpan w:val="2"/>
            <w:tcBorders>
              <w:top w:val="single" w:sz="12" w:space="0" w:color="000000"/>
              <w:left w:val="nil"/>
              <w:bottom w:val="single" w:sz="4" w:space="0" w:color="auto"/>
              <w:right w:val="nil"/>
            </w:tcBorders>
          </w:tcPr>
          <w:p w14:paraId="48FDCF8B" w14:textId="15BF7C5D"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PG I/II ratio ≤ 3</w:t>
            </w:r>
          </w:p>
        </w:tc>
      </w:tr>
      <w:tr w:rsidR="003E0276" w:rsidRPr="00FF7E88" w14:paraId="2C94E6C7" w14:textId="77777777" w:rsidTr="00D23959">
        <w:trPr>
          <w:trHeight w:val="524"/>
        </w:trPr>
        <w:tc>
          <w:tcPr>
            <w:tcW w:w="0" w:type="auto"/>
            <w:vMerge/>
            <w:tcBorders>
              <w:left w:val="nil"/>
              <w:bottom w:val="single" w:sz="4" w:space="0" w:color="auto"/>
              <w:right w:val="nil"/>
            </w:tcBorders>
          </w:tcPr>
          <w:p w14:paraId="15D4ADFB" w14:textId="77777777" w:rsidR="005825D2" w:rsidRPr="00930A97" w:rsidRDefault="005825D2" w:rsidP="00FF7E88">
            <w:pPr>
              <w:spacing w:line="360" w:lineRule="auto"/>
              <w:jc w:val="both"/>
              <w:rPr>
                <w:rFonts w:ascii="Book Antiqua" w:eastAsia="HYSinMyeongJo-Medium" w:hAnsi="Book Antiqua" w:cs="Arial"/>
                <w:b/>
                <w:bCs/>
                <w:color w:val="000000"/>
              </w:rPr>
            </w:pPr>
          </w:p>
        </w:tc>
        <w:tc>
          <w:tcPr>
            <w:tcW w:w="0" w:type="auto"/>
            <w:tcBorders>
              <w:top w:val="single" w:sz="4" w:space="0" w:color="auto"/>
              <w:left w:val="nil"/>
              <w:bottom w:val="single" w:sz="4" w:space="0" w:color="000000"/>
              <w:right w:val="nil"/>
            </w:tcBorders>
          </w:tcPr>
          <w:p w14:paraId="1B233520" w14:textId="7D5B06AD"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OR</w:t>
            </w:r>
            <w:r w:rsidRPr="00930A97">
              <w:rPr>
                <w:rFonts w:ascii="Book Antiqua" w:eastAsia="HYSinMyeongJo-Medium" w:hAnsi="Book Antiqua" w:cs="Arial"/>
                <w:b/>
                <w:bCs/>
                <w:color w:val="000000"/>
                <w:vertAlign w:val="superscript"/>
              </w:rPr>
              <w:t xml:space="preserve"> </w:t>
            </w:r>
            <w:r w:rsidRPr="00930A97">
              <w:rPr>
                <w:rFonts w:ascii="Book Antiqua" w:eastAsia="HYSinMyeongJo-Medium" w:hAnsi="Book Antiqua" w:cs="Arial"/>
                <w:b/>
                <w:bCs/>
                <w:color w:val="000000"/>
              </w:rPr>
              <w:t>(95%CI)</w:t>
            </w:r>
          </w:p>
        </w:tc>
        <w:tc>
          <w:tcPr>
            <w:tcW w:w="0" w:type="auto"/>
            <w:tcBorders>
              <w:top w:val="single" w:sz="4" w:space="0" w:color="auto"/>
              <w:left w:val="nil"/>
              <w:bottom w:val="single" w:sz="4" w:space="0" w:color="000000"/>
              <w:right w:val="nil"/>
            </w:tcBorders>
          </w:tcPr>
          <w:p w14:paraId="30B9D648" w14:textId="1FC2559C"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i/>
                <w:color w:val="000000"/>
              </w:rPr>
              <w:t>P</w:t>
            </w:r>
            <w:r>
              <w:rPr>
                <w:rFonts w:ascii="Book Antiqua" w:eastAsia="HYSinMyeongJo-Medium" w:hAnsi="Book Antiqua" w:cs="Arial"/>
                <w:b/>
                <w:bCs/>
                <w:i/>
                <w:color w:val="000000"/>
              </w:rPr>
              <w:t xml:space="preserve"> </w:t>
            </w:r>
            <w:r w:rsidRPr="00930A97">
              <w:rPr>
                <w:rFonts w:ascii="Book Antiqua" w:eastAsia="HYSinMyeongJo-Medium" w:hAnsi="Book Antiqua" w:cs="Arial"/>
                <w:b/>
                <w:bCs/>
                <w:color w:val="000000"/>
              </w:rPr>
              <w:t>value</w:t>
            </w:r>
          </w:p>
        </w:tc>
        <w:tc>
          <w:tcPr>
            <w:tcW w:w="0" w:type="auto"/>
            <w:tcBorders>
              <w:top w:val="single" w:sz="4" w:space="0" w:color="auto"/>
              <w:left w:val="nil"/>
              <w:bottom w:val="single" w:sz="4" w:space="0" w:color="000000"/>
              <w:right w:val="nil"/>
            </w:tcBorders>
          </w:tcPr>
          <w:p w14:paraId="115002ED" w14:textId="00B37C5C"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OR</w:t>
            </w:r>
            <w:r w:rsidRPr="00930A97">
              <w:rPr>
                <w:rFonts w:ascii="Book Antiqua" w:eastAsia="HYSinMyeongJo-Medium" w:hAnsi="Book Antiqua" w:cs="Arial"/>
                <w:b/>
                <w:bCs/>
                <w:color w:val="000000"/>
                <w:vertAlign w:val="superscript"/>
              </w:rPr>
              <w:t xml:space="preserve"> </w:t>
            </w:r>
            <w:r w:rsidRPr="00930A97">
              <w:rPr>
                <w:rFonts w:ascii="Book Antiqua" w:eastAsia="HYSinMyeongJo-Medium" w:hAnsi="Book Antiqua" w:cs="Arial"/>
                <w:b/>
                <w:bCs/>
                <w:color w:val="000000"/>
              </w:rPr>
              <w:t>(95%CI)</w:t>
            </w:r>
          </w:p>
        </w:tc>
        <w:tc>
          <w:tcPr>
            <w:tcW w:w="0" w:type="auto"/>
            <w:tcBorders>
              <w:top w:val="single" w:sz="4" w:space="0" w:color="auto"/>
              <w:left w:val="nil"/>
              <w:bottom w:val="single" w:sz="4" w:space="0" w:color="000000"/>
              <w:right w:val="nil"/>
            </w:tcBorders>
          </w:tcPr>
          <w:p w14:paraId="458D0820" w14:textId="7707A1B5"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i/>
                <w:color w:val="000000"/>
              </w:rPr>
              <w:t>P</w:t>
            </w:r>
            <w:r>
              <w:rPr>
                <w:rFonts w:ascii="Book Antiqua" w:eastAsia="HYSinMyeongJo-Medium" w:hAnsi="Book Antiqua" w:cs="Arial"/>
                <w:b/>
                <w:bCs/>
                <w:i/>
                <w:color w:val="000000"/>
              </w:rPr>
              <w:t xml:space="preserve"> </w:t>
            </w:r>
            <w:r w:rsidRPr="00930A97">
              <w:rPr>
                <w:rFonts w:ascii="Book Antiqua" w:eastAsia="HYSinMyeongJo-Medium" w:hAnsi="Book Antiqua" w:cs="Arial"/>
                <w:b/>
                <w:bCs/>
                <w:color w:val="000000"/>
              </w:rPr>
              <w:t>value</w:t>
            </w:r>
          </w:p>
        </w:tc>
        <w:tc>
          <w:tcPr>
            <w:tcW w:w="0" w:type="auto"/>
            <w:tcBorders>
              <w:top w:val="single" w:sz="4" w:space="0" w:color="auto"/>
              <w:left w:val="nil"/>
              <w:bottom w:val="single" w:sz="4" w:space="0" w:color="000000"/>
              <w:right w:val="nil"/>
            </w:tcBorders>
          </w:tcPr>
          <w:p w14:paraId="444F4162" w14:textId="394E021A"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color w:val="000000"/>
              </w:rPr>
              <w:t>OR</w:t>
            </w:r>
            <w:r w:rsidRPr="00930A97">
              <w:rPr>
                <w:rFonts w:ascii="Book Antiqua" w:eastAsia="HYSinMyeongJo-Medium" w:hAnsi="Book Antiqua" w:cs="Arial"/>
                <w:b/>
                <w:bCs/>
                <w:color w:val="000000"/>
                <w:vertAlign w:val="superscript"/>
              </w:rPr>
              <w:t xml:space="preserve"> </w:t>
            </w:r>
            <w:r w:rsidRPr="00930A97">
              <w:rPr>
                <w:rFonts w:ascii="Book Antiqua" w:eastAsia="HYSinMyeongJo-Medium" w:hAnsi="Book Antiqua" w:cs="Arial"/>
                <w:b/>
                <w:bCs/>
                <w:color w:val="000000"/>
              </w:rPr>
              <w:t>(95%CI)</w:t>
            </w:r>
          </w:p>
        </w:tc>
        <w:tc>
          <w:tcPr>
            <w:tcW w:w="0" w:type="auto"/>
            <w:tcBorders>
              <w:top w:val="single" w:sz="4" w:space="0" w:color="auto"/>
              <w:left w:val="nil"/>
              <w:bottom w:val="single" w:sz="4" w:space="0" w:color="000000"/>
              <w:right w:val="nil"/>
            </w:tcBorders>
          </w:tcPr>
          <w:p w14:paraId="2F8C1881" w14:textId="098A6C85" w:rsidR="005825D2" w:rsidRPr="00930A97" w:rsidRDefault="005825D2" w:rsidP="003E0276">
            <w:pPr>
              <w:spacing w:line="360" w:lineRule="auto"/>
              <w:jc w:val="center"/>
              <w:rPr>
                <w:rFonts w:ascii="Book Antiqua" w:eastAsia="HYSinMyeongJo-Medium" w:hAnsi="Book Antiqua" w:cs="Arial"/>
                <w:b/>
                <w:bCs/>
                <w:color w:val="000000"/>
              </w:rPr>
            </w:pPr>
            <w:r w:rsidRPr="00930A97">
              <w:rPr>
                <w:rFonts w:ascii="Book Antiqua" w:eastAsia="HYSinMyeongJo-Medium" w:hAnsi="Book Antiqua" w:cs="Arial"/>
                <w:b/>
                <w:bCs/>
                <w:i/>
                <w:color w:val="000000"/>
              </w:rPr>
              <w:t>P</w:t>
            </w:r>
            <w:r>
              <w:rPr>
                <w:rFonts w:ascii="Book Antiqua" w:eastAsia="HYSinMyeongJo-Medium" w:hAnsi="Book Antiqua" w:cs="Arial"/>
                <w:b/>
                <w:bCs/>
                <w:i/>
                <w:color w:val="000000"/>
              </w:rPr>
              <w:t xml:space="preserve"> </w:t>
            </w:r>
            <w:r w:rsidRPr="00930A97">
              <w:rPr>
                <w:rFonts w:ascii="Book Antiqua" w:eastAsia="HYSinMyeongJo-Medium" w:hAnsi="Book Antiqua" w:cs="Arial"/>
                <w:b/>
                <w:bCs/>
                <w:color w:val="000000"/>
              </w:rPr>
              <w:t>value</w:t>
            </w:r>
          </w:p>
        </w:tc>
      </w:tr>
      <w:tr w:rsidR="005825D2" w:rsidRPr="00FF7E88" w14:paraId="4AC61FAC" w14:textId="77777777" w:rsidTr="00D23959">
        <w:trPr>
          <w:trHeight w:val="348"/>
        </w:trPr>
        <w:tc>
          <w:tcPr>
            <w:tcW w:w="0" w:type="auto"/>
            <w:tcBorders>
              <w:top w:val="single" w:sz="4" w:space="0" w:color="auto"/>
              <w:left w:val="nil"/>
              <w:bottom w:val="nil"/>
              <w:right w:val="nil"/>
            </w:tcBorders>
          </w:tcPr>
          <w:p w14:paraId="676638EE" w14:textId="77777777" w:rsidR="005825D2" w:rsidRPr="00B34C94" w:rsidRDefault="005825D2"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Standard</w:t>
            </w:r>
          </w:p>
        </w:tc>
        <w:tc>
          <w:tcPr>
            <w:tcW w:w="0" w:type="auto"/>
            <w:tcBorders>
              <w:top w:val="single" w:sz="4" w:space="0" w:color="000000"/>
              <w:left w:val="nil"/>
              <w:bottom w:val="nil"/>
              <w:right w:val="nil"/>
            </w:tcBorders>
          </w:tcPr>
          <w:p w14:paraId="57A2FE17"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single" w:sz="4" w:space="0" w:color="000000"/>
              <w:left w:val="nil"/>
              <w:bottom w:val="nil"/>
              <w:right w:val="nil"/>
            </w:tcBorders>
          </w:tcPr>
          <w:p w14:paraId="22FAAD52" w14:textId="5AF2E020"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.001</w:t>
            </w:r>
          </w:p>
        </w:tc>
        <w:tc>
          <w:tcPr>
            <w:tcW w:w="0" w:type="auto"/>
            <w:tcBorders>
              <w:top w:val="single" w:sz="4" w:space="0" w:color="000000"/>
              <w:left w:val="nil"/>
              <w:bottom w:val="nil"/>
              <w:right w:val="nil"/>
            </w:tcBorders>
          </w:tcPr>
          <w:p w14:paraId="475FFC8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single" w:sz="4" w:space="0" w:color="000000"/>
              <w:left w:val="nil"/>
              <w:bottom w:val="nil"/>
              <w:right w:val="nil"/>
            </w:tcBorders>
          </w:tcPr>
          <w:p w14:paraId="48688FFA" w14:textId="281C2637"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.189</w:t>
            </w:r>
          </w:p>
        </w:tc>
        <w:tc>
          <w:tcPr>
            <w:tcW w:w="0" w:type="auto"/>
            <w:tcBorders>
              <w:top w:val="single" w:sz="4" w:space="0" w:color="000000"/>
              <w:left w:val="nil"/>
              <w:bottom w:val="nil"/>
              <w:right w:val="nil"/>
            </w:tcBorders>
          </w:tcPr>
          <w:p w14:paraId="3348A16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single" w:sz="4" w:space="0" w:color="000000"/>
              <w:left w:val="nil"/>
              <w:bottom w:val="nil"/>
              <w:right w:val="nil"/>
            </w:tcBorders>
          </w:tcPr>
          <w:p w14:paraId="0465A70C" w14:textId="328D04CA"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.004</w:t>
            </w:r>
          </w:p>
        </w:tc>
      </w:tr>
      <w:tr w:rsidR="005825D2" w:rsidRPr="00FF7E88" w14:paraId="3AC130B2" w14:textId="77777777" w:rsidTr="00D23959">
        <w:trPr>
          <w:trHeight w:val="348"/>
        </w:trPr>
        <w:tc>
          <w:tcPr>
            <w:tcW w:w="0" w:type="auto"/>
            <w:tcBorders>
              <w:top w:val="nil"/>
              <w:left w:val="nil"/>
              <w:bottom w:val="nil"/>
              <w:right w:val="nil"/>
            </w:tcBorders>
          </w:tcPr>
          <w:p w14:paraId="2DB9D8AF" w14:textId="77777777" w:rsidR="005825D2" w:rsidRPr="00FF7E88" w:rsidRDefault="005825D2"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A </w:t>
            </w:r>
          </w:p>
        </w:tc>
        <w:tc>
          <w:tcPr>
            <w:tcW w:w="0" w:type="auto"/>
            <w:tcBorders>
              <w:top w:val="nil"/>
              <w:left w:val="nil"/>
              <w:bottom w:val="nil"/>
              <w:right w:val="nil"/>
            </w:tcBorders>
          </w:tcPr>
          <w:p w14:paraId="4DBA8B30"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0" w:type="auto"/>
            <w:tcBorders>
              <w:top w:val="nil"/>
              <w:left w:val="nil"/>
              <w:bottom w:val="nil"/>
              <w:right w:val="nil"/>
            </w:tcBorders>
          </w:tcPr>
          <w:p w14:paraId="087A9392"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6E35D40F"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0" w:type="auto"/>
            <w:tcBorders>
              <w:top w:val="nil"/>
              <w:left w:val="nil"/>
              <w:bottom w:val="nil"/>
              <w:right w:val="nil"/>
            </w:tcBorders>
          </w:tcPr>
          <w:p w14:paraId="22154022"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49248522"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0" w:type="auto"/>
            <w:tcBorders>
              <w:top w:val="nil"/>
              <w:left w:val="nil"/>
              <w:bottom w:val="nil"/>
              <w:right w:val="nil"/>
            </w:tcBorders>
          </w:tcPr>
          <w:p w14:paraId="19144C56" w14:textId="77777777" w:rsidR="005825D2" w:rsidRPr="00FF7E88" w:rsidRDefault="005825D2" w:rsidP="003E0276">
            <w:pPr>
              <w:spacing w:line="360" w:lineRule="auto"/>
              <w:jc w:val="center"/>
              <w:rPr>
                <w:rFonts w:ascii="Book Antiqua" w:eastAsia="HYSinMyeongJo-Medium" w:hAnsi="Book Antiqua" w:cs="Arial"/>
                <w:color w:val="000000"/>
              </w:rPr>
            </w:pPr>
          </w:p>
        </w:tc>
      </w:tr>
      <w:tr w:rsidR="005825D2" w:rsidRPr="00FF7E88" w14:paraId="33A7C232" w14:textId="77777777" w:rsidTr="00D23959">
        <w:trPr>
          <w:trHeight w:val="348"/>
        </w:trPr>
        <w:tc>
          <w:tcPr>
            <w:tcW w:w="0" w:type="auto"/>
            <w:tcBorders>
              <w:top w:val="nil"/>
              <w:left w:val="nil"/>
              <w:bottom w:val="nil"/>
              <w:right w:val="nil"/>
            </w:tcBorders>
          </w:tcPr>
          <w:p w14:paraId="2075F202" w14:textId="77777777" w:rsidR="005825D2" w:rsidRPr="00FF7E88" w:rsidRDefault="005825D2"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B + C </w:t>
            </w:r>
          </w:p>
        </w:tc>
        <w:tc>
          <w:tcPr>
            <w:tcW w:w="0" w:type="auto"/>
            <w:tcBorders>
              <w:top w:val="nil"/>
              <w:left w:val="nil"/>
              <w:bottom w:val="nil"/>
              <w:right w:val="nil"/>
            </w:tcBorders>
          </w:tcPr>
          <w:p w14:paraId="67D20C4B" w14:textId="29E5F94B"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5.56 (2.07</w:t>
            </w:r>
            <w:r>
              <w:rPr>
                <w:rFonts w:ascii="Book Antiqua" w:eastAsia="HYSinMyeongJo-Medium" w:hAnsi="Book Antiqua" w:cs="Arial"/>
                <w:color w:val="000000"/>
              </w:rPr>
              <w:t>-</w:t>
            </w:r>
            <w:r w:rsidRPr="00FF7E88">
              <w:rPr>
                <w:rFonts w:ascii="Book Antiqua" w:eastAsia="HYSinMyeongJo-Medium" w:hAnsi="Book Antiqua" w:cs="Arial"/>
                <w:color w:val="000000"/>
              </w:rPr>
              <w:t>14.92)</w:t>
            </w:r>
          </w:p>
        </w:tc>
        <w:tc>
          <w:tcPr>
            <w:tcW w:w="0" w:type="auto"/>
            <w:tcBorders>
              <w:top w:val="nil"/>
              <w:left w:val="nil"/>
              <w:bottom w:val="nil"/>
              <w:right w:val="nil"/>
            </w:tcBorders>
          </w:tcPr>
          <w:p w14:paraId="002E83B9"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31BDFAE1" w14:textId="7961138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1.96 (0.72</w:t>
            </w:r>
            <w:r>
              <w:rPr>
                <w:rFonts w:ascii="Book Antiqua" w:eastAsia="HYSinMyeongJo-Medium" w:hAnsi="Book Antiqua" w:cs="Arial"/>
                <w:color w:val="000000"/>
              </w:rPr>
              <w:t>-</w:t>
            </w:r>
            <w:r w:rsidRPr="00FF7E88">
              <w:rPr>
                <w:rFonts w:ascii="Book Antiqua" w:eastAsia="HYSinMyeongJo-Medium" w:hAnsi="Book Antiqua" w:cs="Arial"/>
                <w:color w:val="000000"/>
              </w:rPr>
              <w:t>5.33)</w:t>
            </w:r>
          </w:p>
        </w:tc>
        <w:tc>
          <w:tcPr>
            <w:tcW w:w="0" w:type="auto"/>
            <w:tcBorders>
              <w:top w:val="nil"/>
              <w:left w:val="nil"/>
              <w:bottom w:val="nil"/>
              <w:right w:val="nil"/>
            </w:tcBorders>
          </w:tcPr>
          <w:p w14:paraId="604E4669"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55C1361A" w14:textId="07273F4C"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4.48 (1.60</w:t>
            </w:r>
            <w:r>
              <w:rPr>
                <w:rFonts w:ascii="Book Antiqua" w:eastAsia="HYSinMyeongJo-Medium" w:hAnsi="Book Antiqua" w:cs="Arial"/>
                <w:color w:val="000000"/>
              </w:rPr>
              <w:t>-</w:t>
            </w:r>
            <w:r w:rsidRPr="00FF7E88">
              <w:rPr>
                <w:rFonts w:ascii="Book Antiqua" w:eastAsia="HYSinMyeongJo-Medium" w:hAnsi="Book Antiqua" w:cs="Arial"/>
                <w:color w:val="000000"/>
              </w:rPr>
              <w:t>12.54)</w:t>
            </w:r>
          </w:p>
        </w:tc>
        <w:tc>
          <w:tcPr>
            <w:tcW w:w="0" w:type="auto"/>
            <w:tcBorders>
              <w:top w:val="nil"/>
              <w:left w:val="nil"/>
              <w:bottom w:val="nil"/>
              <w:right w:val="nil"/>
            </w:tcBorders>
          </w:tcPr>
          <w:p w14:paraId="70457509" w14:textId="77777777" w:rsidR="005825D2" w:rsidRPr="00FF7E88" w:rsidRDefault="005825D2" w:rsidP="003E0276">
            <w:pPr>
              <w:spacing w:line="360" w:lineRule="auto"/>
              <w:jc w:val="center"/>
              <w:rPr>
                <w:rFonts w:ascii="Book Antiqua" w:eastAsia="HYSinMyeongJo-Medium" w:hAnsi="Book Antiqua" w:cs="Arial"/>
                <w:color w:val="000000"/>
              </w:rPr>
            </w:pPr>
          </w:p>
        </w:tc>
      </w:tr>
      <w:tr w:rsidR="005825D2" w:rsidRPr="00FF7E88" w14:paraId="1E93E7F4" w14:textId="77777777" w:rsidTr="00D23959">
        <w:trPr>
          <w:trHeight w:val="348"/>
        </w:trPr>
        <w:tc>
          <w:tcPr>
            <w:tcW w:w="0" w:type="auto"/>
            <w:tcBorders>
              <w:top w:val="nil"/>
              <w:left w:val="nil"/>
              <w:bottom w:val="nil"/>
              <w:right w:val="nil"/>
            </w:tcBorders>
          </w:tcPr>
          <w:p w14:paraId="45D1CF9B" w14:textId="77777777" w:rsidR="005825D2" w:rsidRPr="00B34C94" w:rsidRDefault="005825D2" w:rsidP="00FF7E88">
            <w:pPr>
              <w:spacing w:line="360" w:lineRule="auto"/>
              <w:jc w:val="both"/>
              <w:rPr>
                <w:rFonts w:ascii="Book Antiqua" w:eastAsia="HYSinMyeongJo-Medium" w:hAnsi="Book Antiqua" w:cs="Arial"/>
                <w:b/>
                <w:color w:val="000000"/>
              </w:rPr>
            </w:pPr>
            <w:r w:rsidRPr="00B34C94">
              <w:rPr>
                <w:rFonts w:ascii="Book Antiqua" w:eastAsia="HYSinMyeongJo-Medium" w:hAnsi="Book Antiqua" w:cs="Arial"/>
                <w:b/>
                <w:color w:val="000000"/>
              </w:rPr>
              <w:t>M-NBI</w:t>
            </w:r>
          </w:p>
        </w:tc>
        <w:tc>
          <w:tcPr>
            <w:tcW w:w="0" w:type="auto"/>
            <w:tcBorders>
              <w:top w:val="nil"/>
              <w:left w:val="nil"/>
              <w:bottom w:val="nil"/>
              <w:right w:val="nil"/>
            </w:tcBorders>
          </w:tcPr>
          <w:p w14:paraId="1D16462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7A8EF028" w14:textId="045850E5"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.007</w:t>
            </w:r>
          </w:p>
        </w:tc>
        <w:tc>
          <w:tcPr>
            <w:tcW w:w="0" w:type="auto"/>
            <w:tcBorders>
              <w:top w:val="nil"/>
              <w:left w:val="nil"/>
              <w:bottom w:val="nil"/>
              <w:right w:val="nil"/>
            </w:tcBorders>
          </w:tcPr>
          <w:p w14:paraId="10A43CB6"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07B9BEEE" w14:textId="4B241F9B"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.162</w:t>
            </w:r>
          </w:p>
        </w:tc>
        <w:tc>
          <w:tcPr>
            <w:tcW w:w="0" w:type="auto"/>
            <w:tcBorders>
              <w:top w:val="nil"/>
              <w:left w:val="nil"/>
              <w:bottom w:val="nil"/>
              <w:right w:val="nil"/>
            </w:tcBorders>
          </w:tcPr>
          <w:p w14:paraId="1B7F18F3"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75ECF585" w14:textId="43DD62E9" w:rsidR="005825D2" w:rsidRPr="00FF7E88" w:rsidRDefault="005825D2" w:rsidP="003E0276">
            <w:pPr>
              <w:spacing w:line="360" w:lineRule="auto"/>
              <w:jc w:val="center"/>
              <w:rPr>
                <w:rFonts w:ascii="Book Antiqua" w:eastAsia="HYSinMyeongJo-Medium" w:hAnsi="Book Antiqua" w:cs="Arial"/>
                <w:color w:val="000000"/>
              </w:rPr>
            </w:pPr>
            <w:r>
              <w:rPr>
                <w:rFonts w:ascii="Book Antiqua" w:eastAsia="HYSinMyeongJo-Medium" w:hAnsi="Book Antiqua" w:cs="Arial"/>
                <w:color w:val="000000"/>
              </w:rPr>
              <w:t>0</w:t>
            </w:r>
            <w:r w:rsidRPr="00FF7E88">
              <w:rPr>
                <w:rFonts w:ascii="Book Antiqua" w:eastAsia="HYSinMyeongJo-Medium" w:hAnsi="Book Antiqua" w:cs="Arial"/>
                <w:color w:val="000000"/>
              </w:rPr>
              <w:t>.029</w:t>
            </w:r>
          </w:p>
        </w:tc>
      </w:tr>
      <w:tr w:rsidR="005825D2" w:rsidRPr="00FF7E88" w14:paraId="6E1942B7" w14:textId="77777777" w:rsidTr="00D23959">
        <w:trPr>
          <w:trHeight w:val="348"/>
        </w:trPr>
        <w:tc>
          <w:tcPr>
            <w:tcW w:w="0" w:type="auto"/>
            <w:tcBorders>
              <w:top w:val="nil"/>
              <w:left w:val="nil"/>
              <w:bottom w:val="nil"/>
              <w:right w:val="nil"/>
            </w:tcBorders>
          </w:tcPr>
          <w:p w14:paraId="2B364034" w14:textId="77777777" w:rsidR="005825D2" w:rsidRPr="00FF7E88" w:rsidRDefault="005825D2"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Z-1 </w:t>
            </w:r>
          </w:p>
        </w:tc>
        <w:tc>
          <w:tcPr>
            <w:tcW w:w="0" w:type="auto"/>
            <w:tcBorders>
              <w:top w:val="nil"/>
              <w:left w:val="nil"/>
              <w:bottom w:val="nil"/>
              <w:right w:val="nil"/>
            </w:tcBorders>
          </w:tcPr>
          <w:p w14:paraId="5B49C615"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0" w:type="auto"/>
            <w:tcBorders>
              <w:top w:val="nil"/>
              <w:left w:val="nil"/>
              <w:bottom w:val="nil"/>
              <w:right w:val="nil"/>
            </w:tcBorders>
          </w:tcPr>
          <w:p w14:paraId="38410080"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5E85A852"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0" w:type="auto"/>
            <w:tcBorders>
              <w:top w:val="nil"/>
              <w:left w:val="nil"/>
              <w:bottom w:val="nil"/>
              <w:right w:val="nil"/>
            </w:tcBorders>
          </w:tcPr>
          <w:p w14:paraId="48973272"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nil"/>
              <w:right w:val="nil"/>
            </w:tcBorders>
          </w:tcPr>
          <w:p w14:paraId="54E24F55" w14:textId="77777777"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1 (ref.)</w:t>
            </w:r>
          </w:p>
        </w:tc>
        <w:tc>
          <w:tcPr>
            <w:tcW w:w="0" w:type="auto"/>
            <w:tcBorders>
              <w:top w:val="nil"/>
              <w:left w:val="nil"/>
              <w:bottom w:val="nil"/>
              <w:right w:val="nil"/>
            </w:tcBorders>
          </w:tcPr>
          <w:p w14:paraId="090A6033" w14:textId="77777777" w:rsidR="005825D2" w:rsidRPr="00FF7E88" w:rsidRDefault="005825D2" w:rsidP="003E0276">
            <w:pPr>
              <w:spacing w:line="360" w:lineRule="auto"/>
              <w:jc w:val="center"/>
              <w:rPr>
                <w:rFonts w:ascii="Book Antiqua" w:eastAsia="HYSinMyeongJo-Medium" w:hAnsi="Book Antiqua" w:cs="Arial"/>
                <w:color w:val="000000"/>
              </w:rPr>
            </w:pPr>
          </w:p>
        </w:tc>
      </w:tr>
      <w:tr w:rsidR="005825D2" w:rsidRPr="00FF7E88" w14:paraId="6AC7D3EC" w14:textId="77777777" w:rsidTr="00D23959">
        <w:trPr>
          <w:trHeight w:val="348"/>
        </w:trPr>
        <w:tc>
          <w:tcPr>
            <w:tcW w:w="0" w:type="auto"/>
            <w:tcBorders>
              <w:top w:val="nil"/>
              <w:left w:val="nil"/>
              <w:bottom w:val="single" w:sz="12" w:space="0" w:color="000000"/>
              <w:right w:val="nil"/>
            </w:tcBorders>
          </w:tcPr>
          <w:p w14:paraId="5A215D8A" w14:textId="77777777" w:rsidR="005825D2" w:rsidRPr="00FF7E88" w:rsidRDefault="005825D2" w:rsidP="00FF7E88">
            <w:pPr>
              <w:spacing w:line="360" w:lineRule="auto"/>
              <w:ind w:firstLineChars="100" w:firstLine="240"/>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Type Z-2 + Z-3 </w:t>
            </w:r>
          </w:p>
        </w:tc>
        <w:tc>
          <w:tcPr>
            <w:tcW w:w="0" w:type="auto"/>
            <w:tcBorders>
              <w:top w:val="nil"/>
              <w:left w:val="nil"/>
              <w:bottom w:val="single" w:sz="12" w:space="0" w:color="000000"/>
              <w:right w:val="nil"/>
            </w:tcBorders>
          </w:tcPr>
          <w:p w14:paraId="4D0E6919" w14:textId="1E519262"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8.67 (1.82</w:t>
            </w:r>
            <w:r>
              <w:rPr>
                <w:rFonts w:ascii="Book Antiqua" w:eastAsia="HYSinMyeongJo-Medium" w:hAnsi="Book Antiqua" w:cs="Arial"/>
                <w:color w:val="000000"/>
              </w:rPr>
              <w:t>-</w:t>
            </w:r>
            <w:r w:rsidRPr="00FF7E88">
              <w:rPr>
                <w:rFonts w:ascii="Book Antiqua" w:eastAsia="HYSinMyeongJo-Medium" w:hAnsi="Book Antiqua" w:cs="Arial"/>
                <w:color w:val="000000"/>
              </w:rPr>
              <w:t>41.30)</w:t>
            </w:r>
          </w:p>
        </w:tc>
        <w:tc>
          <w:tcPr>
            <w:tcW w:w="0" w:type="auto"/>
            <w:tcBorders>
              <w:top w:val="nil"/>
              <w:left w:val="nil"/>
              <w:bottom w:val="single" w:sz="12" w:space="0" w:color="000000"/>
              <w:right w:val="nil"/>
            </w:tcBorders>
          </w:tcPr>
          <w:p w14:paraId="3CE2C87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single" w:sz="12" w:space="0" w:color="000000"/>
              <w:right w:val="nil"/>
            </w:tcBorders>
          </w:tcPr>
          <w:p w14:paraId="15EF39C2" w14:textId="7AF1B9C5"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2.12 (0.74</w:t>
            </w:r>
            <w:r>
              <w:rPr>
                <w:rFonts w:ascii="Book Antiqua" w:eastAsia="HYSinMyeongJo-Medium" w:hAnsi="Book Antiqua" w:cs="Arial"/>
                <w:color w:val="000000"/>
              </w:rPr>
              <w:t>-</w:t>
            </w:r>
            <w:r w:rsidRPr="00FF7E88">
              <w:rPr>
                <w:rFonts w:ascii="Book Antiqua" w:eastAsia="HYSinMyeongJo-Medium" w:hAnsi="Book Antiqua" w:cs="Arial"/>
                <w:color w:val="000000"/>
              </w:rPr>
              <w:t>6.07)</w:t>
            </w:r>
          </w:p>
        </w:tc>
        <w:tc>
          <w:tcPr>
            <w:tcW w:w="0" w:type="auto"/>
            <w:tcBorders>
              <w:top w:val="nil"/>
              <w:left w:val="nil"/>
              <w:bottom w:val="single" w:sz="12" w:space="0" w:color="000000"/>
              <w:right w:val="nil"/>
            </w:tcBorders>
          </w:tcPr>
          <w:p w14:paraId="15877DCD" w14:textId="77777777" w:rsidR="005825D2" w:rsidRPr="00FF7E88" w:rsidRDefault="005825D2" w:rsidP="003E0276">
            <w:pPr>
              <w:spacing w:line="360" w:lineRule="auto"/>
              <w:jc w:val="center"/>
              <w:rPr>
                <w:rFonts w:ascii="Book Antiqua" w:eastAsia="HYSinMyeongJo-Medium" w:hAnsi="Book Antiqua" w:cs="Arial"/>
                <w:color w:val="000000"/>
              </w:rPr>
            </w:pPr>
          </w:p>
        </w:tc>
        <w:tc>
          <w:tcPr>
            <w:tcW w:w="0" w:type="auto"/>
            <w:tcBorders>
              <w:top w:val="nil"/>
              <w:left w:val="nil"/>
              <w:bottom w:val="single" w:sz="12" w:space="0" w:color="000000"/>
              <w:right w:val="nil"/>
            </w:tcBorders>
          </w:tcPr>
          <w:p w14:paraId="2179F24D" w14:textId="4B33267C" w:rsidR="005825D2" w:rsidRPr="00FF7E88" w:rsidRDefault="005825D2" w:rsidP="003E0276">
            <w:pPr>
              <w:spacing w:line="360" w:lineRule="auto"/>
              <w:jc w:val="center"/>
              <w:rPr>
                <w:rFonts w:ascii="Book Antiqua" w:eastAsia="HYSinMyeongJo-Medium" w:hAnsi="Book Antiqua" w:cs="Arial"/>
                <w:color w:val="000000"/>
              </w:rPr>
            </w:pPr>
            <w:r w:rsidRPr="00FF7E88">
              <w:rPr>
                <w:rFonts w:ascii="Book Antiqua" w:eastAsia="HYSinMyeongJo-Medium" w:hAnsi="Book Antiqua" w:cs="Arial"/>
                <w:color w:val="000000"/>
              </w:rPr>
              <w:t>5.69 (</w:t>
            </w:r>
            <w:r w:rsidRPr="00FF7E88">
              <w:rPr>
                <w:rFonts w:ascii="Book Antiqua" w:eastAsia="Gulim" w:hAnsi="Book Antiqua" w:cs="Arial"/>
                <w:color w:val="000000"/>
              </w:rPr>
              <w:t>1.19</w:t>
            </w:r>
            <w:r>
              <w:rPr>
                <w:rFonts w:ascii="Book Antiqua" w:eastAsia="Gulim" w:hAnsi="Book Antiqua" w:cs="Arial"/>
                <w:color w:val="000000"/>
              </w:rPr>
              <w:t>-</w:t>
            </w:r>
            <w:r w:rsidRPr="00FF7E88">
              <w:rPr>
                <w:rFonts w:ascii="Book Antiqua" w:eastAsia="Gulim" w:hAnsi="Book Antiqua" w:cs="Arial"/>
                <w:color w:val="000000"/>
              </w:rPr>
              <w:t>27.18)</w:t>
            </w:r>
          </w:p>
        </w:tc>
        <w:tc>
          <w:tcPr>
            <w:tcW w:w="0" w:type="auto"/>
            <w:tcBorders>
              <w:top w:val="nil"/>
              <w:left w:val="nil"/>
              <w:bottom w:val="single" w:sz="12" w:space="0" w:color="000000"/>
              <w:right w:val="nil"/>
            </w:tcBorders>
          </w:tcPr>
          <w:p w14:paraId="5E512A12" w14:textId="77777777" w:rsidR="005825D2" w:rsidRPr="00FF7E88" w:rsidRDefault="005825D2" w:rsidP="003E0276">
            <w:pPr>
              <w:spacing w:line="360" w:lineRule="auto"/>
              <w:jc w:val="center"/>
              <w:rPr>
                <w:rFonts w:ascii="Book Antiqua" w:eastAsia="HYSinMyeongJo-Medium" w:hAnsi="Book Antiqua" w:cs="Arial"/>
                <w:color w:val="000000"/>
              </w:rPr>
            </w:pPr>
          </w:p>
        </w:tc>
      </w:tr>
    </w:tbl>
    <w:p w14:paraId="4047523F" w14:textId="7F50ED23" w:rsidR="00AF4AC3" w:rsidRDefault="00FF7E88" w:rsidP="00956A92">
      <w:pPr>
        <w:adjustRightInd w:val="0"/>
        <w:spacing w:line="360" w:lineRule="auto"/>
        <w:jc w:val="both"/>
        <w:rPr>
          <w:rFonts w:ascii="Book Antiqua" w:eastAsia="HYSinMyeongJo-Medium" w:hAnsi="Book Antiqua" w:cs="Arial"/>
          <w:color w:val="000000"/>
        </w:rPr>
      </w:pPr>
      <w:r w:rsidRPr="00FF7E88">
        <w:rPr>
          <w:rFonts w:ascii="Book Antiqua" w:eastAsia="HYSinMyeongJo-Medium" w:hAnsi="Book Antiqua" w:cs="Arial"/>
          <w:color w:val="000000"/>
        </w:rPr>
        <w:t xml:space="preserve">M-NBI: </w:t>
      </w:r>
      <w:r w:rsidR="00956A92" w:rsidRPr="00FF7E88">
        <w:rPr>
          <w:rFonts w:ascii="Book Antiqua" w:eastAsia="HYSinMyeongJo-Medium" w:hAnsi="Book Antiqua" w:cs="Arial"/>
          <w:color w:val="000000"/>
        </w:rPr>
        <w:t>M</w:t>
      </w:r>
      <w:r w:rsidRPr="00FF7E88">
        <w:rPr>
          <w:rFonts w:ascii="Book Antiqua" w:eastAsia="HYSinMyeongJo-Medium" w:hAnsi="Book Antiqua" w:cs="Arial"/>
          <w:color w:val="000000"/>
        </w:rPr>
        <w:t xml:space="preserve">agnifying narrow-band imaging; PG: </w:t>
      </w:r>
      <w:r w:rsidR="00956A92" w:rsidRPr="00FF7E88">
        <w:rPr>
          <w:rFonts w:ascii="Book Antiqua" w:eastAsia="HYSinMyeongJo-Medium" w:hAnsi="Book Antiqua" w:cs="Arial"/>
          <w:color w:val="000000"/>
        </w:rPr>
        <w:t>P</w:t>
      </w:r>
      <w:r w:rsidRPr="00FF7E88">
        <w:rPr>
          <w:rFonts w:ascii="Book Antiqua" w:eastAsia="HYSinMyeongJo-Medium" w:hAnsi="Book Antiqua" w:cs="Arial"/>
          <w:color w:val="000000"/>
        </w:rPr>
        <w:t>epsinogen; OR:</w:t>
      </w:r>
      <w:r w:rsidR="00956A92" w:rsidRPr="00FF7E88">
        <w:rPr>
          <w:rFonts w:ascii="Book Antiqua" w:eastAsia="HYSinMyeongJo-Medium" w:hAnsi="Book Antiqua" w:cs="Arial"/>
          <w:color w:val="000000"/>
        </w:rPr>
        <w:t xml:space="preserve"> O</w:t>
      </w:r>
      <w:r w:rsidRPr="00FF7E88">
        <w:rPr>
          <w:rFonts w:ascii="Book Antiqua" w:eastAsia="HYSinMyeongJo-Medium" w:hAnsi="Book Antiqua" w:cs="Arial"/>
          <w:color w:val="000000"/>
        </w:rPr>
        <w:t xml:space="preserve">dds ratio; CI: </w:t>
      </w:r>
      <w:r w:rsidR="00956A92" w:rsidRPr="00FF7E88">
        <w:rPr>
          <w:rFonts w:ascii="Book Antiqua" w:eastAsia="HYSinMyeongJo-Medium" w:hAnsi="Book Antiqua" w:cs="Arial"/>
          <w:color w:val="000000"/>
        </w:rPr>
        <w:t>C</w:t>
      </w:r>
      <w:r w:rsidRPr="00FF7E88">
        <w:rPr>
          <w:rFonts w:ascii="Book Antiqua" w:eastAsia="HYSinMyeongJo-Medium" w:hAnsi="Book Antiqua" w:cs="Arial"/>
          <w:color w:val="000000"/>
        </w:rPr>
        <w:t>onfidence</w:t>
      </w:r>
      <w:r w:rsidR="00956A92">
        <w:rPr>
          <w:rFonts w:ascii="Book Antiqua" w:eastAsia="HYSinMyeongJo-Medium" w:hAnsi="Book Antiqua" w:cs="Arial"/>
          <w:color w:val="000000"/>
        </w:rPr>
        <w:t xml:space="preserve"> </w:t>
      </w:r>
      <w:r w:rsidRPr="00FF7E88">
        <w:rPr>
          <w:rFonts w:ascii="Book Antiqua" w:eastAsia="HYSinMyeongJo-Medium" w:hAnsi="Book Antiqua" w:cs="Arial"/>
          <w:color w:val="000000"/>
        </w:rPr>
        <w:t xml:space="preserve">interval. </w:t>
      </w:r>
    </w:p>
    <w:p w14:paraId="51CF444F" w14:textId="77777777" w:rsidR="00AF4AC3" w:rsidRDefault="00AF4AC3" w:rsidP="00AF4AC3">
      <w:pPr>
        <w:jc w:val="center"/>
        <w:rPr>
          <w:rFonts w:ascii="Book Antiqua" w:hAnsi="Book Antiqua"/>
          <w:lang w:eastAsia="zh-CN"/>
        </w:rPr>
      </w:pPr>
      <w:r>
        <w:rPr>
          <w:rFonts w:ascii="Book Antiqua" w:eastAsia="HYSinMyeongJo-Medium" w:hAnsi="Book Antiqua" w:cs="Arial"/>
          <w:color w:val="000000"/>
        </w:rPr>
        <w:br w:type="page"/>
      </w:r>
      <w:bookmarkStart w:id="64" w:name="OLE_LINK1"/>
      <w:bookmarkStart w:id="65" w:name="OLE_LINK2"/>
    </w:p>
    <w:p w14:paraId="177C7D1E" w14:textId="77777777" w:rsidR="00AF4AC3" w:rsidRDefault="00AF4AC3" w:rsidP="00AF4AC3">
      <w:pPr>
        <w:jc w:val="center"/>
        <w:rPr>
          <w:rFonts w:ascii="Book Antiqua" w:hAnsi="Book Antiqua"/>
          <w:lang w:eastAsia="zh-CN"/>
        </w:rPr>
      </w:pPr>
    </w:p>
    <w:p w14:paraId="1DD8A963" w14:textId="77777777" w:rsidR="00AF4AC3" w:rsidRDefault="00AF4AC3" w:rsidP="00AF4AC3">
      <w:pPr>
        <w:jc w:val="center"/>
        <w:rPr>
          <w:rFonts w:ascii="Book Antiqua" w:hAnsi="Book Antiqua"/>
          <w:lang w:eastAsia="zh-CN"/>
        </w:rPr>
      </w:pPr>
    </w:p>
    <w:p w14:paraId="1BE70B5E" w14:textId="77777777" w:rsidR="00AF4AC3" w:rsidRDefault="00AF4AC3" w:rsidP="00AF4AC3">
      <w:pPr>
        <w:jc w:val="center"/>
        <w:rPr>
          <w:rFonts w:ascii="Book Antiqua" w:hAnsi="Book Antiqua"/>
          <w:lang w:eastAsia="zh-CN"/>
        </w:rPr>
      </w:pPr>
    </w:p>
    <w:p w14:paraId="09ABC4CE" w14:textId="77777777" w:rsidR="00AF4AC3" w:rsidRDefault="00AF4AC3" w:rsidP="00AF4AC3">
      <w:pPr>
        <w:jc w:val="center"/>
        <w:rPr>
          <w:rFonts w:ascii="Book Antiqua" w:hAnsi="Book Antiqua"/>
          <w:lang w:eastAsia="zh-CN"/>
        </w:rPr>
      </w:pPr>
    </w:p>
    <w:p w14:paraId="1DA9DA65" w14:textId="77777777" w:rsidR="00AF4AC3" w:rsidRDefault="00AF4AC3" w:rsidP="00AF4AC3">
      <w:pPr>
        <w:jc w:val="center"/>
        <w:rPr>
          <w:rFonts w:ascii="Book Antiqua" w:hAnsi="Book Antiqua"/>
          <w:lang w:eastAsia="zh-CN"/>
        </w:rPr>
      </w:pPr>
      <w:r>
        <w:rPr>
          <w:rFonts w:ascii="Book Antiqua" w:hAnsi="Book Antiqua"/>
          <w:noProof/>
          <w:lang w:eastAsia="zh-CN"/>
        </w:rPr>
        <w:drawing>
          <wp:inline distT="0" distB="0" distL="0" distR="0" wp14:anchorId="3B91601E" wp14:editId="53212D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2C1A14" w14:textId="77777777" w:rsidR="00AF4AC3" w:rsidRDefault="00AF4AC3" w:rsidP="00AF4AC3">
      <w:pPr>
        <w:jc w:val="center"/>
        <w:rPr>
          <w:rFonts w:ascii="Book Antiqua" w:hAnsi="Book Antiqua"/>
          <w:lang w:eastAsia="zh-CN"/>
        </w:rPr>
      </w:pPr>
    </w:p>
    <w:p w14:paraId="6EF12C62" w14:textId="77777777" w:rsidR="00AF4AC3" w:rsidRPr="00763D22" w:rsidRDefault="00AF4AC3" w:rsidP="00AF4AC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5409181" w14:textId="77777777" w:rsidR="00AF4AC3" w:rsidRPr="00763D22" w:rsidRDefault="00AF4AC3" w:rsidP="00AF4AC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1ADCE8" w14:textId="77777777" w:rsidR="00AF4AC3" w:rsidRPr="00763D22" w:rsidRDefault="00AF4AC3" w:rsidP="00AF4AC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9957FE" w14:textId="77777777" w:rsidR="00AF4AC3" w:rsidRPr="00763D22" w:rsidRDefault="00AF4AC3" w:rsidP="00AF4AC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D18F74" w14:textId="77777777" w:rsidR="00AF4AC3" w:rsidRPr="00763D22" w:rsidRDefault="00AF4AC3" w:rsidP="00AF4AC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79295C" w14:textId="77777777" w:rsidR="00AF4AC3" w:rsidRPr="00763D22" w:rsidRDefault="00AF4AC3" w:rsidP="00AF4AC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8348E8D" w14:textId="77777777" w:rsidR="00AF4AC3" w:rsidRDefault="00AF4AC3" w:rsidP="00AF4AC3">
      <w:pPr>
        <w:jc w:val="center"/>
        <w:rPr>
          <w:rFonts w:ascii="Book Antiqua" w:hAnsi="Book Antiqua"/>
          <w:lang w:eastAsia="zh-CN"/>
        </w:rPr>
      </w:pPr>
    </w:p>
    <w:p w14:paraId="134DB927" w14:textId="77777777" w:rsidR="00AF4AC3" w:rsidRDefault="00AF4AC3" w:rsidP="00AF4AC3">
      <w:pPr>
        <w:jc w:val="center"/>
        <w:rPr>
          <w:rFonts w:ascii="Book Antiqua" w:hAnsi="Book Antiqua"/>
          <w:lang w:eastAsia="zh-CN"/>
        </w:rPr>
      </w:pPr>
    </w:p>
    <w:p w14:paraId="27C4BF4C" w14:textId="77777777" w:rsidR="00AF4AC3" w:rsidRDefault="00AF4AC3" w:rsidP="00AF4AC3">
      <w:pPr>
        <w:jc w:val="center"/>
        <w:rPr>
          <w:rFonts w:ascii="Book Antiqua" w:hAnsi="Book Antiqua"/>
          <w:lang w:eastAsia="zh-CN"/>
        </w:rPr>
      </w:pPr>
    </w:p>
    <w:p w14:paraId="41EB8DF1" w14:textId="77777777" w:rsidR="00AF4AC3" w:rsidRDefault="00AF4AC3" w:rsidP="00AF4AC3">
      <w:pPr>
        <w:jc w:val="center"/>
        <w:rPr>
          <w:rFonts w:ascii="Book Antiqua" w:hAnsi="Book Antiqua"/>
          <w:lang w:eastAsia="zh-CN"/>
        </w:rPr>
      </w:pPr>
      <w:r>
        <w:rPr>
          <w:rFonts w:ascii="Book Antiqua" w:hAnsi="Book Antiqua"/>
          <w:noProof/>
          <w:lang w:eastAsia="zh-CN"/>
        </w:rPr>
        <w:drawing>
          <wp:inline distT="0" distB="0" distL="0" distR="0" wp14:anchorId="3ADE2F9A" wp14:editId="78D500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B12D66" w14:textId="77777777" w:rsidR="00AF4AC3" w:rsidRDefault="00AF4AC3" w:rsidP="00AF4AC3">
      <w:pPr>
        <w:jc w:val="center"/>
        <w:rPr>
          <w:rFonts w:ascii="Book Antiqua" w:hAnsi="Book Antiqua"/>
          <w:lang w:eastAsia="zh-CN"/>
        </w:rPr>
      </w:pPr>
    </w:p>
    <w:p w14:paraId="1C27432D" w14:textId="77777777" w:rsidR="00AF4AC3" w:rsidRDefault="00AF4AC3" w:rsidP="00AF4AC3">
      <w:pPr>
        <w:jc w:val="center"/>
        <w:rPr>
          <w:rFonts w:ascii="Book Antiqua" w:hAnsi="Book Antiqua"/>
          <w:lang w:eastAsia="zh-CN"/>
        </w:rPr>
      </w:pPr>
    </w:p>
    <w:p w14:paraId="2948D3C4" w14:textId="77777777" w:rsidR="00AF4AC3" w:rsidRDefault="00AF4AC3" w:rsidP="00AF4AC3">
      <w:pPr>
        <w:jc w:val="center"/>
        <w:rPr>
          <w:rFonts w:ascii="Book Antiqua" w:hAnsi="Book Antiqua"/>
          <w:lang w:eastAsia="zh-CN"/>
        </w:rPr>
      </w:pPr>
    </w:p>
    <w:p w14:paraId="69F0C571" w14:textId="77777777" w:rsidR="00AF4AC3" w:rsidRDefault="00AF4AC3" w:rsidP="00AF4AC3">
      <w:pPr>
        <w:jc w:val="center"/>
        <w:rPr>
          <w:rFonts w:ascii="Book Antiqua" w:hAnsi="Book Antiqua"/>
          <w:lang w:eastAsia="zh-CN"/>
        </w:rPr>
      </w:pPr>
    </w:p>
    <w:p w14:paraId="54D36594" w14:textId="77777777" w:rsidR="00AF4AC3" w:rsidRDefault="00AF4AC3" w:rsidP="00AF4AC3">
      <w:pPr>
        <w:jc w:val="center"/>
        <w:rPr>
          <w:rFonts w:ascii="Book Antiqua" w:hAnsi="Book Antiqua"/>
          <w:lang w:eastAsia="zh-CN"/>
        </w:rPr>
      </w:pPr>
    </w:p>
    <w:p w14:paraId="4CECBD53" w14:textId="77777777" w:rsidR="00AF4AC3" w:rsidRDefault="00AF4AC3" w:rsidP="00AF4AC3">
      <w:pPr>
        <w:jc w:val="center"/>
        <w:rPr>
          <w:rFonts w:ascii="Book Antiqua" w:hAnsi="Book Antiqua"/>
          <w:lang w:eastAsia="zh-CN"/>
        </w:rPr>
      </w:pPr>
    </w:p>
    <w:p w14:paraId="3127FBD6" w14:textId="77777777" w:rsidR="00AF4AC3" w:rsidRDefault="00AF4AC3" w:rsidP="00AF4AC3">
      <w:pPr>
        <w:jc w:val="center"/>
        <w:rPr>
          <w:rFonts w:ascii="Book Antiqua" w:hAnsi="Book Antiqua"/>
          <w:lang w:eastAsia="zh-CN"/>
        </w:rPr>
      </w:pPr>
    </w:p>
    <w:p w14:paraId="65F4FCAF" w14:textId="77777777" w:rsidR="00AF4AC3" w:rsidRDefault="00AF4AC3" w:rsidP="00AF4AC3">
      <w:pPr>
        <w:jc w:val="center"/>
        <w:rPr>
          <w:rFonts w:ascii="Book Antiqua" w:hAnsi="Book Antiqua"/>
          <w:lang w:eastAsia="zh-CN"/>
        </w:rPr>
      </w:pPr>
    </w:p>
    <w:p w14:paraId="028EAB68" w14:textId="77777777" w:rsidR="00AF4AC3" w:rsidRDefault="00AF4AC3" w:rsidP="00AF4AC3">
      <w:pPr>
        <w:jc w:val="center"/>
        <w:rPr>
          <w:rFonts w:ascii="Book Antiqua" w:hAnsi="Book Antiqua"/>
          <w:lang w:eastAsia="zh-CN"/>
        </w:rPr>
      </w:pPr>
    </w:p>
    <w:p w14:paraId="3652627D" w14:textId="77777777" w:rsidR="00AF4AC3" w:rsidRPr="00763D22" w:rsidRDefault="00AF4AC3" w:rsidP="00AF4AC3">
      <w:pPr>
        <w:jc w:val="right"/>
        <w:rPr>
          <w:rFonts w:ascii="Book Antiqua" w:hAnsi="Book Antiqua"/>
          <w:color w:val="000000" w:themeColor="text1"/>
          <w:lang w:eastAsia="zh-CN"/>
        </w:rPr>
      </w:pPr>
    </w:p>
    <w:p w14:paraId="1199279D" w14:textId="77777777" w:rsidR="00AF4AC3" w:rsidRPr="00763D22" w:rsidRDefault="00AF4AC3" w:rsidP="00AF4AC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4"/>
      <w:bookmarkEnd w:id="65"/>
    </w:p>
    <w:p w14:paraId="24C6F27A" w14:textId="77777777" w:rsidR="00BE4730" w:rsidRPr="00956A92" w:rsidRDefault="00BE4730" w:rsidP="00956A92">
      <w:pPr>
        <w:adjustRightInd w:val="0"/>
        <w:spacing w:line="360" w:lineRule="auto"/>
        <w:jc w:val="both"/>
        <w:rPr>
          <w:rFonts w:ascii="Book Antiqua" w:eastAsia="HYSinMyeongJo-Medium" w:hAnsi="Book Antiqua" w:cs="Arial"/>
          <w:color w:val="000000"/>
        </w:rPr>
      </w:pPr>
      <w:bookmarkStart w:id="66" w:name="_GoBack"/>
      <w:bookmarkEnd w:id="66"/>
    </w:p>
    <w:sectPr w:rsidR="00BE4730" w:rsidRPr="00956A92" w:rsidSect="009F76DE">
      <w:pgSz w:w="11907" w:h="16840"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4ADB1" w14:textId="77777777" w:rsidR="00D83312" w:rsidRDefault="00D83312" w:rsidP="00BE4730">
      <w:r>
        <w:separator/>
      </w:r>
    </w:p>
  </w:endnote>
  <w:endnote w:type="continuationSeparator" w:id="0">
    <w:p w14:paraId="36B74097" w14:textId="77777777" w:rsidR="00D83312" w:rsidRDefault="00D83312" w:rsidP="00B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YSinMyeongJo-Medium">
    <w:altName w:val="Arial Unicode MS"/>
    <w:charset w:val="81"/>
    <w:family w:val="roman"/>
    <w:pitch w:val="variable"/>
    <w:sig w:usb0="00000000" w:usb1="2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63B4" w14:textId="77777777" w:rsidR="00BE4730" w:rsidRPr="00BE4730" w:rsidRDefault="00BE4730" w:rsidP="00BE4730">
    <w:pPr>
      <w:pStyle w:val="a7"/>
      <w:jc w:val="right"/>
      <w:rPr>
        <w:rFonts w:ascii="Book Antiqua" w:hAnsi="Book Antiqua"/>
        <w:color w:val="000000" w:themeColor="text1"/>
        <w:sz w:val="21"/>
        <w:szCs w:val="21"/>
      </w:rPr>
    </w:pPr>
    <w:r w:rsidRPr="00BE4730">
      <w:rPr>
        <w:rFonts w:ascii="Book Antiqua" w:hAnsi="Book Antiqua"/>
        <w:color w:val="000000" w:themeColor="text1"/>
        <w:sz w:val="21"/>
        <w:szCs w:val="21"/>
        <w:lang w:val="zh-CN" w:eastAsia="zh-CN"/>
      </w:rPr>
      <w:t xml:space="preserve"> </w:t>
    </w:r>
    <w:r w:rsidRPr="00BE4730">
      <w:rPr>
        <w:rFonts w:ascii="Book Antiqua" w:hAnsi="Book Antiqua"/>
        <w:color w:val="000000" w:themeColor="text1"/>
        <w:sz w:val="21"/>
        <w:szCs w:val="21"/>
      </w:rPr>
      <w:fldChar w:fldCharType="begin"/>
    </w:r>
    <w:r w:rsidRPr="00BE4730">
      <w:rPr>
        <w:rFonts w:ascii="Book Antiqua" w:hAnsi="Book Antiqua"/>
        <w:color w:val="000000" w:themeColor="text1"/>
        <w:sz w:val="21"/>
        <w:szCs w:val="21"/>
      </w:rPr>
      <w:instrText>PAGE  \* Arabic  \* MERGEFORMAT</w:instrText>
    </w:r>
    <w:r w:rsidRPr="00BE4730">
      <w:rPr>
        <w:rFonts w:ascii="Book Antiqua" w:hAnsi="Book Antiqua"/>
        <w:color w:val="000000" w:themeColor="text1"/>
        <w:sz w:val="21"/>
        <w:szCs w:val="21"/>
      </w:rPr>
      <w:fldChar w:fldCharType="separate"/>
    </w:r>
    <w:r w:rsidR="00D83312" w:rsidRPr="00D83312">
      <w:rPr>
        <w:rFonts w:ascii="Book Antiqua" w:hAnsi="Book Antiqua"/>
        <w:noProof/>
        <w:color w:val="000000" w:themeColor="text1"/>
        <w:sz w:val="21"/>
        <w:szCs w:val="21"/>
        <w:lang w:val="zh-CN" w:eastAsia="zh-CN"/>
      </w:rPr>
      <w:t>1</w:t>
    </w:r>
    <w:r w:rsidRPr="00BE4730">
      <w:rPr>
        <w:rFonts w:ascii="Book Antiqua" w:hAnsi="Book Antiqua"/>
        <w:color w:val="000000" w:themeColor="text1"/>
        <w:sz w:val="21"/>
        <w:szCs w:val="21"/>
      </w:rPr>
      <w:fldChar w:fldCharType="end"/>
    </w:r>
    <w:r w:rsidRPr="00BE4730">
      <w:rPr>
        <w:rFonts w:ascii="Book Antiqua" w:hAnsi="Book Antiqua"/>
        <w:color w:val="000000" w:themeColor="text1"/>
        <w:sz w:val="21"/>
        <w:szCs w:val="21"/>
        <w:lang w:val="zh-CN" w:eastAsia="zh-CN"/>
      </w:rPr>
      <w:t xml:space="preserve"> / </w:t>
    </w:r>
    <w:r w:rsidRPr="00BE4730">
      <w:rPr>
        <w:rFonts w:ascii="Book Antiqua" w:hAnsi="Book Antiqua"/>
        <w:color w:val="000000" w:themeColor="text1"/>
        <w:sz w:val="21"/>
        <w:szCs w:val="21"/>
      </w:rPr>
      <w:fldChar w:fldCharType="begin"/>
    </w:r>
    <w:r w:rsidRPr="00BE4730">
      <w:rPr>
        <w:rFonts w:ascii="Book Antiqua" w:hAnsi="Book Antiqua"/>
        <w:color w:val="000000" w:themeColor="text1"/>
        <w:sz w:val="21"/>
        <w:szCs w:val="21"/>
      </w:rPr>
      <w:instrText>NUMPAGES  \* Arabic  \* MERGEFORMAT</w:instrText>
    </w:r>
    <w:r w:rsidRPr="00BE4730">
      <w:rPr>
        <w:rFonts w:ascii="Book Antiqua" w:hAnsi="Book Antiqua"/>
        <w:color w:val="000000" w:themeColor="text1"/>
        <w:sz w:val="21"/>
        <w:szCs w:val="21"/>
      </w:rPr>
      <w:fldChar w:fldCharType="separate"/>
    </w:r>
    <w:r w:rsidR="00D83312" w:rsidRPr="00D83312">
      <w:rPr>
        <w:rFonts w:ascii="Book Antiqua" w:hAnsi="Book Antiqua"/>
        <w:noProof/>
        <w:color w:val="000000" w:themeColor="text1"/>
        <w:sz w:val="21"/>
        <w:szCs w:val="21"/>
        <w:lang w:val="zh-CN" w:eastAsia="zh-CN"/>
      </w:rPr>
      <w:t>1</w:t>
    </w:r>
    <w:r w:rsidRPr="00BE4730">
      <w:rPr>
        <w:rFonts w:ascii="Book Antiqua" w:hAnsi="Book Antiqua"/>
        <w:color w:val="000000" w:themeColor="text1"/>
        <w:sz w:val="21"/>
        <w:szCs w:val="21"/>
      </w:rPr>
      <w:fldChar w:fldCharType="end"/>
    </w:r>
  </w:p>
  <w:p w14:paraId="4BFB6E4D" w14:textId="77777777" w:rsidR="00BE4730" w:rsidRDefault="00BE47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E8107" w14:textId="77777777" w:rsidR="00D83312" w:rsidRDefault="00D83312" w:rsidP="00BE4730">
      <w:r>
        <w:separator/>
      </w:r>
    </w:p>
  </w:footnote>
  <w:footnote w:type="continuationSeparator" w:id="0">
    <w:p w14:paraId="66765664" w14:textId="77777777" w:rsidR="00D83312" w:rsidRDefault="00D83312" w:rsidP="00BE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D9435BA"/>
    <w:lvl w:ilvl="0">
      <w:start w:val="1"/>
      <w:numFmt w:val="decimal"/>
      <w:pStyle w:val="a"/>
      <w:lvlText w:val="%1."/>
      <w:lvlJc w:val="left"/>
      <w:pPr>
        <w:tabs>
          <w:tab w:val="num" w:pos="361"/>
        </w:tabs>
        <w:ind w:leftChars="200" w:left="361"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3FB7"/>
    <w:rsid w:val="0005260E"/>
    <w:rsid w:val="0008118F"/>
    <w:rsid w:val="000A67B7"/>
    <w:rsid w:val="000B06EC"/>
    <w:rsid w:val="0012471F"/>
    <w:rsid w:val="001B2E46"/>
    <w:rsid w:val="0023698D"/>
    <w:rsid w:val="0024743E"/>
    <w:rsid w:val="00264794"/>
    <w:rsid w:val="003345B4"/>
    <w:rsid w:val="00391949"/>
    <w:rsid w:val="003E0276"/>
    <w:rsid w:val="004C79BC"/>
    <w:rsid w:val="004F2E7C"/>
    <w:rsid w:val="004F3739"/>
    <w:rsid w:val="005825D2"/>
    <w:rsid w:val="00652F0C"/>
    <w:rsid w:val="006B7DB7"/>
    <w:rsid w:val="007009B1"/>
    <w:rsid w:val="00747D96"/>
    <w:rsid w:val="007C796B"/>
    <w:rsid w:val="00806EBD"/>
    <w:rsid w:val="00807305"/>
    <w:rsid w:val="0085208D"/>
    <w:rsid w:val="008622BA"/>
    <w:rsid w:val="008F5CE5"/>
    <w:rsid w:val="00930A97"/>
    <w:rsid w:val="00956A92"/>
    <w:rsid w:val="00A64EFC"/>
    <w:rsid w:val="00A77B3E"/>
    <w:rsid w:val="00A87762"/>
    <w:rsid w:val="00AB3BA0"/>
    <w:rsid w:val="00AD4A3A"/>
    <w:rsid w:val="00AF4AC3"/>
    <w:rsid w:val="00B34C94"/>
    <w:rsid w:val="00B862F8"/>
    <w:rsid w:val="00BE4730"/>
    <w:rsid w:val="00CA2A55"/>
    <w:rsid w:val="00D21F0B"/>
    <w:rsid w:val="00D233EB"/>
    <w:rsid w:val="00D23959"/>
    <w:rsid w:val="00D83312"/>
    <w:rsid w:val="00DD7393"/>
    <w:rsid w:val="00F46885"/>
    <w:rsid w:val="00F67B00"/>
    <w:rsid w:val="00F91366"/>
    <w:rsid w:val="00FA0D1E"/>
    <w:rsid w:val="00FC2AD6"/>
    <w:rsid w:val="00FF7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3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semiHidden/>
    <w:unhideWhenUsed/>
    <w:rsid w:val="00BE4730"/>
    <w:pPr>
      <w:spacing w:after="120"/>
    </w:pPr>
  </w:style>
  <w:style w:type="character" w:customStyle="1" w:styleId="Char">
    <w:name w:val="正文文本 Char"/>
    <w:basedOn w:val="a1"/>
    <w:link w:val="a4"/>
    <w:semiHidden/>
    <w:rsid w:val="00BE4730"/>
    <w:rPr>
      <w:sz w:val="24"/>
      <w:szCs w:val="24"/>
    </w:rPr>
  </w:style>
  <w:style w:type="paragraph" w:styleId="a5">
    <w:name w:val="Body Text First Indent"/>
    <w:basedOn w:val="a4"/>
    <w:link w:val="Char0"/>
    <w:uiPriority w:val="99"/>
    <w:unhideWhenUsed/>
    <w:rsid w:val="00BE4730"/>
    <w:pPr>
      <w:widowControl w:val="0"/>
      <w:wordWrap w:val="0"/>
      <w:autoSpaceDE w:val="0"/>
      <w:autoSpaceDN w:val="0"/>
      <w:spacing w:after="180"/>
      <w:ind w:firstLineChars="100" w:firstLine="210"/>
      <w:jc w:val="both"/>
    </w:pPr>
    <w:rPr>
      <w:rFonts w:ascii="Verdana" w:eastAsia="Batang" w:hAnsi="Verdana"/>
      <w:szCs w:val="22"/>
      <w:lang w:val="x-none"/>
    </w:rPr>
  </w:style>
  <w:style w:type="character" w:customStyle="1" w:styleId="Char0">
    <w:name w:val="正文首行缩进 Char"/>
    <w:basedOn w:val="Char"/>
    <w:link w:val="a5"/>
    <w:uiPriority w:val="99"/>
    <w:rsid w:val="00BE4730"/>
    <w:rPr>
      <w:rFonts w:ascii="Verdana" w:eastAsia="Batang" w:hAnsi="Verdana"/>
      <w:sz w:val="24"/>
      <w:szCs w:val="22"/>
      <w:lang w:val="x-none"/>
    </w:rPr>
  </w:style>
  <w:style w:type="paragraph" w:styleId="a6">
    <w:name w:val="header"/>
    <w:basedOn w:val="a0"/>
    <w:link w:val="Char1"/>
    <w:unhideWhenUsed/>
    <w:rsid w:val="00BE473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sid w:val="00BE4730"/>
    <w:rPr>
      <w:sz w:val="18"/>
      <w:szCs w:val="18"/>
    </w:rPr>
  </w:style>
  <w:style w:type="paragraph" w:styleId="a7">
    <w:name w:val="footer"/>
    <w:basedOn w:val="a0"/>
    <w:link w:val="Char2"/>
    <w:uiPriority w:val="99"/>
    <w:unhideWhenUsed/>
    <w:rsid w:val="00BE4730"/>
    <w:pPr>
      <w:tabs>
        <w:tab w:val="center" w:pos="4153"/>
        <w:tab w:val="right" w:pos="8306"/>
      </w:tabs>
      <w:snapToGrid w:val="0"/>
    </w:pPr>
    <w:rPr>
      <w:sz w:val="18"/>
      <w:szCs w:val="18"/>
    </w:rPr>
  </w:style>
  <w:style w:type="character" w:customStyle="1" w:styleId="Char2">
    <w:name w:val="页脚 Char"/>
    <w:basedOn w:val="a1"/>
    <w:link w:val="a7"/>
    <w:uiPriority w:val="99"/>
    <w:rsid w:val="00BE4730"/>
    <w:rPr>
      <w:sz w:val="18"/>
      <w:szCs w:val="18"/>
    </w:rPr>
  </w:style>
  <w:style w:type="character" w:customStyle="1" w:styleId="ti2">
    <w:name w:val="ti2"/>
    <w:rsid w:val="00FF7E88"/>
    <w:rPr>
      <w:sz w:val="22"/>
      <w:szCs w:val="22"/>
    </w:rPr>
  </w:style>
  <w:style w:type="paragraph" w:styleId="a">
    <w:name w:val="List Number"/>
    <w:basedOn w:val="a0"/>
    <w:rsid w:val="00FF7E88"/>
    <w:pPr>
      <w:widowControl w:val="0"/>
      <w:numPr>
        <w:numId w:val="1"/>
      </w:numPr>
      <w:wordWrap w:val="0"/>
      <w:autoSpaceDE w:val="0"/>
      <w:autoSpaceDN w:val="0"/>
      <w:jc w:val="both"/>
    </w:pPr>
    <w:rPr>
      <w:rFonts w:ascii="Malgun Gothic" w:eastAsia="Malgun Gothic" w:hAnsi="Malgun Gothic"/>
      <w:kern w:val="2"/>
      <w:sz w:val="20"/>
      <w:szCs w:val="22"/>
      <w:lang w:eastAsia="ko-KR"/>
    </w:rPr>
  </w:style>
  <w:style w:type="paragraph" w:styleId="a8">
    <w:name w:val="Balloon Text"/>
    <w:basedOn w:val="a0"/>
    <w:link w:val="Char3"/>
    <w:rsid w:val="00D23959"/>
    <w:rPr>
      <w:sz w:val="18"/>
      <w:szCs w:val="18"/>
    </w:rPr>
  </w:style>
  <w:style w:type="character" w:customStyle="1" w:styleId="Char3">
    <w:name w:val="批注框文本 Char"/>
    <w:basedOn w:val="a1"/>
    <w:link w:val="a8"/>
    <w:rsid w:val="00D23959"/>
    <w:rPr>
      <w:sz w:val="18"/>
      <w:szCs w:val="18"/>
    </w:rPr>
  </w:style>
  <w:style w:type="character" w:styleId="a9">
    <w:name w:val="Hyperlink"/>
    <w:basedOn w:val="a1"/>
    <w:unhideWhenUsed/>
    <w:rsid w:val="004F3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33</Pages>
  <Words>7270</Words>
  <Characters>41439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38</cp:revision>
  <dcterms:created xsi:type="dcterms:W3CDTF">2021-04-21T07:30:00Z</dcterms:created>
  <dcterms:modified xsi:type="dcterms:W3CDTF">2021-05-08T05:00:00Z</dcterms:modified>
</cp:coreProperties>
</file>