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597DE" w14:textId="77777777" w:rsidR="00A77B3E" w:rsidRDefault="00485DA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4601429" w14:textId="77777777" w:rsidR="00A77B3E" w:rsidRDefault="00485DA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59539</w:t>
      </w:r>
    </w:p>
    <w:p w14:paraId="24F2540B" w14:textId="77777777" w:rsidR="00A77B3E" w:rsidRDefault="00485DA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F8EFA3E" w14:textId="77777777" w:rsidR="00A77B3E" w:rsidRDefault="00A77B3E">
      <w:pPr>
        <w:spacing w:line="360" w:lineRule="auto"/>
        <w:jc w:val="both"/>
      </w:pPr>
    </w:p>
    <w:p w14:paraId="2B230AF8" w14:textId="77777777" w:rsidR="00A77B3E" w:rsidRDefault="00485DAF">
      <w:pPr>
        <w:spacing w:line="360" w:lineRule="auto"/>
        <w:jc w:val="both"/>
      </w:pPr>
      <w:r>
        <w:rPr>
          <w:rFonts w:ascii="Book Antiqua" w:eastAsia="Book Antiqua" w:hAnsi="Book Antiqua" w:cs="Book Antiqua"/>
          <w:b/>
          <w:i/>
          <w:color w:val="000000"/>
        </w:rPr>
        <w:t>Case Control Study</w:t>
      </w:r>
    </w:p>
    <w:p w14:paraId="7A689C0A" w14:textId="77777777" w:rsidR="00A77B3E" w:rsidRDefault="00485DAF">
      <w:pPr>
        <w:spacing w:line="360" w:lineRule="auto"/>
        <w:jc w:val="both"/>
      </w:pPr>
      <w:r>
        <w:rPr>
          <w:rFonts w:ascii="Book Antiqua" w:eastAsia="Book Antiqua" w:hAnsi="Book Antiqua" w:cs="Book Antiqua"/>
          <w:b/>
          <w:color w:val="000000"/>
        </w:rPr>
        <w:t>Detection of fucosylated haptoglobin using the 10-7G antibody as a biomarker for evaluating endoscopic remission in ulcerative colitis</w:t>
      </w:r>
    </w:p>
    <w:p w14:paraId="1A372492" w14:textId="77777777" w:rsidR="00A77B3E" w:rsidRDefault="00A77B3E">
      <w:pPr>
        <w:spacing w:line="360" w:lineRule="auto"/>
        <w:jc w:val="both"/>
      </w:pPr>
    </w:p>
    <w:p w14:paraId="5082AF1C" w14:textId="06B4CBB7" w:rsidR="00A77B3E" w:rsidRDefault="003E36F7">
      <w:pPr>
        <w:spacing w:line="360" w:lineRule="auto"/>
        <w:jc w:val="both"/>
      </w:pPr>
      <w:r>
        <w:rPr>
          <w:rFonts w:ascii="Book Antiqua" w:eastAsia="Book Antiqua" w:hAnsi="Book Antiqua" w:cs="Book Antiqua"/>
          <w:color w:val="000000"/>
        </w:rPr>
        <w:t xml:space="preserve">Motooka K </w:t>
      </w:r>
      <w:r w:rsidRPr="00951829">
        <w:rPr>
          <w:rFonts w:ascii="Book Antiqua" w:eastAsia="Book Antiqua" w:hAnsi="Book Antiqua" w:cs="Book Antiqua"/>
          <w:i/>
          <w:iCs/>
          <w:color w:val="000000"/>
        </w:rPr>
        <w:t>et al</w:t>
      </w:r>
      <w:r>
        <w:rPr>
          <w:rFonts w:ascii="Book Antiqua" w:eastAsia="Book Antiqua" w:hAnsi="Book Antiqua" w:cs="Book Antiqua"/>
          <w:color w:val="000000"/>
        </w:rPr>
        <w:t>. Fuc-Hpt</w:t>
      </w:r>
      <w:r w:rsidR="00485DAF">
        <w:rPr>
          <w:rFonts w:ascii="Book Antiqua" w:eastAsia="Book Antiqua" w:hAnsi="Book Antiqua" w:cs="Book Antiqua"/>
          <w:color w:val="000000"/>
        </w:rPr>
        <w:t xml:space="preserve"> as endoscopic remission biomarker for </w:t>
      </w:r>
      <w:r>
        <w:rPr>
          <w:rFonts w:ascii="Book Antiqua" w:eastAsia="Book Antiqua" w:hAnsi="Book Antiqua" w:cs="Book Antiqua"/>
          <w:color w:val="000000"/>
        </w:rPr>
        <w:t>UC</w:t>
      </w:r>
    </w:p>
    <w:p w14:paraId="4084963F" w14:textId="77777777" w:rsidR="00A77B3E" w:rsidRDefault="00A77B3E">
      <w:pPr>
        <w:spacing w:line="360" w:lineRule="auto"/>
        <w:jc w:val="both"/>
      </w:pPr>
    </w:p>
    <w:p w14:paraId="3984B6E5" w14:textId="272EE3E1" w:rsidR="00A77B3E" w:rsidRDefault="00485DAF">
      <w:pPr>
        <w:spacing w:line="360" w:lineRule="auto"/>
        <w:jc w:val="both"/>
      </w:pPr>
      <w:r>
        <w:rPr>
          <w:rFonts w:ascii="Book Antiqua" w:eastAsia="Book Antiqua" w:hAnsi="Book Antiqua" w:cs="Book Antiqua"/>
          <w:color w:val="000000"/>
        </w:rPr>
        <w:t>Kei Motooka, Koichi Morishita, Nami Ito, Shinichiro Shinzaki, Taku Tashiro, Satoshi Nojima, Kayoko Shimizu, Mutsuhiro Date, Natsumi Sakata, Momoko Yamada, Shinji Takamatsu, Yoshihiro Kamada, Hideki Iijima, Tsunekazu Mizushima, Eiichi Morii, Te</w:t>
      </w:r>
      <w:r w:rsidRPr="00EA2F3E">
        <w:rPr>
          <w:rFonts w:ascii="Book Antiqua" w:eastAsia="Book Antiqua" w:hAnsi="Book Antiqua" w:cs="Book Antiqua"/>
        </w:rPr>
        <w:t>t</w:t>
      </w:r>
      <w:r w:rsidR="00CA7103" w:rsidRPr="00EA2F3E">
        <w:rPr>
          <w:rFonts w:ascii="Book Antiqua" w:eastAsia="Book Antiqua" w:hAnsi="Book Antiqua" w:cs="Book Antiqua"/>
        </w:rPr>
        <w:t>s</w:t>
      </w:r>
      <w:r>
        <w:rPr>
          <w:rFonts w:ascii="Book Antiqua" w:eastAsia="Book Antiqua" w:hAnsi="Book Antiqua" w:cs="Book Antiqua"/>
          <w:color w:val="000000"/>
        </w:rPr>
        <w:t>uo Takehara, Eiji Miyoshi</w:t>
      </w:r>
    </w:p>
    <w:p w14:paraId="33693806" w14:textId="77777777" w:rsidR="00A77B3E" w:rsidRDefault="00A77B3E">
      <w:pPr>
        <w:spacing w:line="360" w:lineRule="auto"/>
        <w:jc w:val="both"/>
      </w:pPr>
    </w:p>
    <w:p w14:paraId="669706EF" w14:textId="77777777" w:rsidR="00A77B3E" w:rsidRDefault="00485DAF">
      <w:pPr>
        <w:spacing w:line="360" w:lineRule="auto"/>
        <w:jc w:val="both"/>
      </w:pPr>
      <w:r>
        <w:rPr>
          <w:rFonts w:ascii="Book Antiqua" w:eastAsia="Book Antiqua" w:hAnsi="Book Antiqua" w:cs="Book Antiqua"/>
          <w:b/>
          <w:bCs/>
          <w:color w:val="000000"/>
        </w:rPr>
        <w:t xml:space="preserve">Kei Motooka, Koichi Morishita, Nami Ito, Natsumi Sakata, Momoko Yamada, Shinji Takamatsu, Yoshihiro Kamada, Eiji Miyoshi, </w:t>
      </w:r>
      <w:r>
        <w:rPr>
          <w:rFonts w:ascii="Book Antiqua" w:eastAsia="Book Antiqua" w:hAnsi="Book Antiqua" w:cs="Book Antiqua"/>
          <w:color w:val="000000"/>
        </w:rPr>
        <w:t>Department of Molecular Biochemistry and Clinical Investigation, Osaka University Graduate School of Medicine, Suita 565-0871, Osaka, Japan</w:t>
      </w:r>
    </w:p>
    <w:p w14:paraId="4AF1E6F9" w14:textId="77777777" w:rsidR="00A77B3E" w:rsidRDefault="00A77B3E">
      <w:pPr>
        <w:spacing w:line="360" w:lineRule="auto"/>
        <w:jc w:val="both"/>
      </w:pPr>
    </w:p>
    <w:p w14:paraId="3D36CABB" w14:textId="538864A5" w:rsidR="00A77B3E" w:rsidRDefault="00485DAF">
      <w:pPr>
        <w:spacing w:line="360" w:lineRule="auto"/>
        <w:jc w:val="both"/>
      </w:pPr>
      <w:r>
        <w:rPr>
          <w:rFonts w:ascii="Book Antiqua" w:eastAsia="Book Antiqua" w:hAnsi="Book Antiqua" w:cs="Book Antiqua"/>
          <w:b/>
          <w:bCs/>
          <w:color w:val="000000"/>
        </w:rPr>
        <w:t>Shinichiro Shinzaki, Taku Tashiro, Hideki Iijima, Te</w:t>
      </w:r>
      <w:r w:rsidRPr="00EA2F3E">
        <w:rPr>
          <w:rFonts w:ascii="Book Antiqua" w:eastAsia="Book Antiqua" w:hAnsi="Book Antiqua" w:cs="Book Antiqua"/>
          <w:b/>
          <w:bCs/>
        </w:rPr>
        <w:t>t</w:t>
      </w:r>
      <w:r w:rsidR="00CA7103" w:rsidRPr="00EA2F3E">
        <w:rPr>
          <w:rFonts w:ascii="Book Antiqua" w:eastAsia="Book Antiqua" w:hAnsi="Book Antiqua" w:cs="Book Antiqua"/>
          <w:b/>
          <w:bCs/>
        </w:rPr>
        <w:t>s</w:t>
      </w:r>
      <w:r>
        <w:rPr>
          <w:rFonts w:ascii="Book Antiqua" w:eastAsia="Book Antiqua" w:hAnsi="Book Antiqua" w:cs="Book Antiqua"/>
          <w:b/>
          <w:bCs/>
          <w:color w:val="000000"/>
        </w:rPr>
        <w:t xml:space="preserve">uo Takehara, </w:t>
      </w:r>
      <w:r>
        <w:rPr>
          <w:rFonts w:ascii="Book Antiqua" w:eastAsia="Book Antiqua" w:hAnsi="Book Antiqua" w:cs="Book Antiqua"/>
          <w:color w:val="000000"/>
        </w:rPr>
        <w:t>Department of Gastroenterology and Hepatology, Osaka University Graduate School of Medicine, Suita 565-0871, Osaka, Japan</w:t>
      </w:r>
    </w:p>
    <w:p w14:paraId="7A0C2D77" w14:textId="77777777" w:rsidR="00A77B3E" w:rsidRDefault="00A77B3E">
      <w:pPr>
        <w:spacing w:line="360" w:lineRule="auto"/>
        <w:jc w:val="both"/>
      </w:pPr>
    </w:p>
    <w:p w14:paraId="40391DA6" w14:textId="77777777" w:rsidR="00A77B3E" w:rsidRDefault="00485DAF">
      <w:pPr>
        <w:spacing w:line="360" w:lineRule="auto"/>
        <w:jc w:val="both"/>
      </w:pPr>
      <w:r>
        <w:rPr>
          <w:rFonts w:ascii="Book Antiqua" w:eastAsia="Book Antiqua" w:hAnsi="Book Antiqua" w:cs="Book Antiqua"/>
          <w:b/>
          <w:bCs/>
          <w:color w:val="000000"/>
        </w:rPr>
        <w:t xml:space="preserve">Satoshi Nojima, Eiichi Morii, </w:t>
      </w:r>
      <w:r>
        <w:rPr>
          <w:rFonts w:ascii="Book Antiqua" w:eastAsia="Book Antiqua" w:hAnsi="Book Antiqua" w:cs="Book Antiqua"/>
          <w:color w:val="000000"/>
        </w:rPr>
        <w:t>Department of Pathology, Osaka University Graduate School of Medicine, Suita 565-0871, Osaka, Japan</w:t>
      </w:r>
    </w:p>
    <w:p w14:paraId="6A33470A" w14:textId="77777777" w:rsidR="00A77B3E" w:rsidRDefault="00A77B3E">
      <w:pPr>
        <w:spacing w:line="360" w:lineRule="auto"/>
        <w:jc w:val="both"/>
      </w:pPr>
    </w:p>
    <w:p w14:paraId="4C392D63" w14:textId="575A3D29" w:rsidR="00A77B3E" w:rsidRDefault="00485DAF">
      <w:pPr>
        <w:spacing w:line="360" w:lineRule="auto"/>
        <w:jc w:val="both"/>
      </w:pPr>
      <w:r>
        <w:rPr>
          <w:rFonts w:ascii="Book Antiqua" w:eastAsia="Book Antiqua" w:hAnsi="Book Antiqua" w:cs="Book Antiqua"/>
          <w:b/>
          <w:bCs/>
          <w:color w:val="000000"/>
        </w:rPr>
        <w:t xml:space="preserve">Kayoko Shimizu, Mutsuhiro Date, </w:t>
      </w:r>
      <w:r>
        <w:rPr>
          <w:rFonts w:ascii="Book Antiqua" w:eastAsia="Book Antiqua" w:hAnsi="Book Antiqua" w:cs="Book Antiqua"/>
          <w:color w:val="000000"/>
        </w:rPr>
        <w:t>FUJIFILM Wako Pure Chemical Corporation, Amagasaki 661-0963, Hyogo, Japan</w:t>
      </w:r>
    </w:p>
    <w:p w14:paraId="488F183D" w14:textId="77777777" w:rsidR="00A77B3E" w:rsidRDefault="00A77B3E">
      <w:pPr>
        <w:spacing w:line="360" w:lineRule="auto"/>
        <w:jc w:val="both"/>
      </w:pPr>
    </w:p>
    <w:p w14:paraId="34A1BDDE" w14:textId="77777777" w:rsidR="00A77B3E" w:rsidRDefault="00485DAF">
      <w:pPr>
        <w:spacing w:line="360" w:lineRule="auto"/>
        <w:jc w:val="both"/>
      </w:pPr>
      <w:r>
        <w:rPr>
          <w:rFonts w:ascii="Book Antiqua" w:eastAsia="Book Antiqua" w:hAnsi="Book Antiqua" w:cs="Book Antiqua"/>
          <w:b/>
          <w:bCs/>
          <w:color w:val="000000"/>
        </w:rPr>
        <w:lastRenderedPageBreak/>
        <w:t xml:space="preserve">Tsunekazu Mizushima, </w:t>
      </w:r>
      <w:r>
        <w:rPr>
          <w:rFonts w:ascii="Book Antiqua" w:eastAsia="Book Antiqua" w:hAnsi="Book Antiqua" w:cs="Book Antiqua"/>
          <w:color w:val="000000"/>
        </w:rPr>
        <w:t>Department of Gastroenterological Surgery, Osaka University Graduate School of Medicine, Suita 565-0871, Osaka, Japan</w:t>
      </w:r>
    </w:p>
    <w:p w14:paraId="3BFDC218" w14:textId="77777777" w:rsidR="00A77B3E" w:rsidRDefault="00A77B3E">
      <w:pPr>
        <w:spacing w:line="360" w:lineRule="auto"/>
        <w:jc w:val="both"/>
      </w:pPr>
    </w:p>
    <w:p w14:paraId="110BE166" w14:textId="648C9CCD" w:rsidR="00A77B3E" w:rsidRDefault="00485DAF">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Miyoshi E contributed to the conception and design of the study; Motooka K, Morishita K, Ito N, Sakata N, Yamada M, Takamatsu S and Kamada Y contributed to the acquisition and analysis of data; Shimizu K and Date M produced ELISA kits and interpretation of data; Shinzaki S, Tashiro T, Nojima S, Iijima H, Mizushima T, Morii E and Takehara T provided clinical samples and data; Motooka K, Morishita K and Miyoshi E contributed to the drafting the article or revising it critically for important intellectual content</w:t>
      </w:r>
      <w:r w:rsidR="003E36F7">
        <w:rPr>
          <w:rFonts w:ascii="Book Antiqua" w:eastAsia="Book Antiqua" w:hAnsi="Book Antiqua" w:cs="Book Antiqua"/>
          <w:color w:val="000000"/>
        </w:rPr>
        <w:t>; a</w:t>
      </w:r>
      <w:r>
        <w:rPr>
          <w:rFonts w:ascii="Book Antiqua" w:eastAsia="Book Antiqua" w:hAnsi="Book Antiqua" w:cs="Book Antiqua"/>
          <w:color w:val="000000"/>
        </w:rPr>
        <w:t>ll authors approved the final version of the article.</w:t>
      </w:r>
    </w:p>
    <w:p w14:paraId="0FD2AEE5" w14:textId="77777777" w:rsidR="00A77B3E" w:rsidRDefault="00A77B3E">
      <w:pPr>
        <w:spacing w:line="360" w:lineRule="auto"/>
        <w:jc w:val="both"/>
      </w:pPr>
    </w:p>
    <w:p w14:paraId="208C3A72" w14:textId="33900412" w:rsidR="00A77B3E" w:rsidRDefault="00485DAF">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Ministry of Education, Culture, Sports, Science and Technology of Japan</w:t>
      </w:r>
      <w:r w:rsidR="003E36F7">
        <w:rPr>
          <w:rFonts w:ascii="Book Antiqua" w:eastAsia="Book Antiqua" w:hAnsi="Book Antiqua" w:cs="Book Antiqua"/>
          <w:color w:val="000000"/>
        </w:rPr>
        <w:t>,</w:t>
      </w:r>
      <w:r>
        <w:rPr>
          <w:rFonts w:ascii="Book Antiqua" w:eastAsia="Book Antiqua" w:hAnsi="Book Antiqua" w:cs="Book Antiqua"/>
          <w:color w:val="000000"/>
        </w:rPr>
        <w:t xml:space="preserve"> </w:t>
      </w:r>
      <w:r w:rsidR="003E36F7">
        <w:rPr>
          <w:rFonts w:ascii="Book Antiqua" w:eastAsia="Book Antiqua" w:hAnsi="Book Antiqua" w:cs="Book Antiqua"/>
          <w:color w:val="000000"/>
        </w:rPr>
        <w:t xml:space="preserve">No. </w:t>
      </w:r>
      <w:r>
        <w:rPr>
          <w:rFonts w:ascii="Book Antiqua" w:eastAsia="Book Antiqua" w:hAnsi="Book Antiqua" w:cs="Book Antiqua"/>
          <w:color w:val="000000"/>
        </w:rPr>
        <w:t>19H03562</w:t>
      </w:r>
      <w:r w:rsidR="003E36F7">
        <w:rPr>
          <w:rFonts w:ascii="Book Antiqua" w:eastAsia="Book Antiqua" w:hAnsi="Book Antiqua" w:cs="Book Antiqua"/>
          <w:color w:val="000000"/>
        </w:rPr>
        <w:t xml:space="preserve">; </w:t>
      </w:r>
      <w:r>
        <w:rPr>
          <w:rFonts w:ascii="Book Antiqua" w:eastAsia="Book Antiqua" w:hAnsi="Book Antiqua" w:cs="Book Antiqua"/>
          <w:color w:val="000000"/>
        </w:rPr>
        <w:t>and FUJIFILM Wako Pure Chemical Corporation</w:t>
      </w:r>
      <w:r w:rsidR="003E36F7">
        <w:rPr>
          <w:rFonts w:ascii="Book Antiqua" w:eastAsia="Book Antiqua" w:hAnsi="Book Antiqua" w:cs="Book Antiqua"/>
          <w:color w:val="000000"/>
        </w:rPr>
        <w:t>,</w:t>
      </w:r>
      <w:r>
        <w:rPr>
          <w:rFonts w:ascii="Book Antiqua" w:eastAsia="Book Antiqua" w:hAnsi="Book Antiqua" w:cs="Book Antiqua"/>
          <w:color w:val="000000"/>
        </w:rPr>
        <w:t xml:space="preserve"> </w:t>
      </w:r>
      <w:r w:rsidR="003E36F7">
        <w:rPr>
          <w:rFonts w:ascii="Book Antiqua" w:eastAsia="Book Antiqua" w:hAnsi="Book Antiqua" w:cs="Book Antiqua"/>
          <w:color w:val="000000"/>
        </w:rPr>
        <w:t>No.</w:t>
      </w:r>
      <w:r>
        <w:rPr>
          <w:rFonts w:ascii="Book Antiqua" w:eastAsia="Book Antiqua" w:hAnsi="Book Antiqua" w:cs="Book Antiqua"/>
          <w:color w:val="000000"/>
        </w:rPr>
        <w:t xml:space="preserve"> J770701626.</w:t>
      </w:r>
    </w:p>
    <w:p w14:paraId="3EAAE42E" w14:textId="77777777" w:rsidR="00A77B3E" w:rsidRDefault="00A77B3E">
      <w:pPr>
        <w:spacing w:line="360" w:lineRule="auto"/>
        <w:jc w:val="both"/>
      </w:pPr>
    </w:p>
    <w:p w14:paraId="3D009E77" w14:textId="04081D66" w:rsidR="00A77B3E" w:rsidRDefault="00485DAF">
      <w:pPr>
        <w:spacing w:line="360" w:lineRule="auto"/>
        <w:jc w:val="both"/>
      </w:pPr>
      <w:r>
        <w:rPr>
          <w:rFonts w:ascii="Book Antiqua" w:eastAsia="Book Antiqua" w:hAnsi="Book Antiqua" w:cs="Book Antiqua"/>
          <w:b/>
          <w:bCs/>
          <w:color w:val="000000"/>
        </w:rPr>
        <w:t xml:space="preserve">Corresponding author: Eiji Miyoshi, MD, PhD, Professor, </w:t>
      </w:r>
      <w:r>
        <w:rPr>
          <w:rFonts w:ascii="Book Antiqua" w:eastAsia="Book Antiqua" w:hAnsi="Book Antiqua" w:cs="Book Antiqua"/>
          <w:color w:val="000000"/>
        </w:rPr>
        <w:t>Department of Molecular Biochemistry and Clinical Investigation, Osaka University Graduate School of Medicine, 1-7 Yamada-oka, Suita 565-0871, Osaka, Japan. emiyoshi@sahs.med.osaka-u.ac.jp</w:t>
      </w:r>
    </w:p>
    <w:p w14:paraId="5BCC0855" w14:textId="77777777" w:rsidR="00A77B3E" w:rsidRDefault="00A77B3E">
      <w:pPr>
        <w:spacing w:line="360" w:lineRule="auto"/>
        <w:jc w:val="both"/>
      </w:pPr>
    </w:p>
    <w:p w14:paraId="3D687B32" w14:textId="77777777" w:rsidR="00A77B3E" w:rsidRDefault="00485DA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23, 2020</w:t>
      </w:r>
    </w:p>
    <w:p w14:paraId="6C4B1097" w14:textId="77777777" w:rsidR="00A77B3E" w:rsidRDefault="00485DA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11, 2020</w:t>
      </w:r>
    </w:p>
    <w:p w14:paraId="16C8727C" w14:textId="603BF9D6" w:rsidR="00A77B3E" w:rsidRDefault="00485DAF">
      <w:pPr>
        <w:spacing w:line="360" w:lineRule="auto"/>
        <w:jc w:val="both"/>
      </w:pPr>
      <w:r>
        <w:rPr>
          <w:rFonts w:ascii="Book Antiqua" w:eastAsia="Book Antiqua" w:hAnsi="Book Antiqua" w:cs="Book Antiqua"/>
          <w:b/>
          <w:bCs/>
          <w:color w:val="000000"/>
        </w:rPr>
        <w:t xml:space="preserve">Accepted: </w:t>
      </w:r>
      <w:r w:rsidR="0023680B" w:rsidRPr="0023680B">
        <w:rPr>
          <w:rFonts w:ascii="Book Antiqua" w:eastAsia="Book Antiqua" w:hAnsi="Book Antiqua" w:cs="Book Antiqua"/>
          <w:color w:val="000000"/>
        </w:rPr>
        <w:t>December 23, 2020</w:t>
      </w:r>
    </w:p>
    <w:p w14:paraId="22DCBBD1" w14:textId="48F49BE0" w:rsidR="00A77B3E" w:rsidRDefault="00485DAF">
      <w:pPr>
        <w:spacing w:line="360" w:lineRule="auto"/>
        <w:jc w:val="both"/>
      </w:pPr>
      <w:r>
        <w:rPr>
          <w:rFonts w:ascii="Book Antiqua" w:eastAsia="Book Antiqua" w:hAnsi="Book Antiqua" w:cs="Book Antiqua"/>
          <w:b/>
          <w:bCs/>
          <w:color w:val="000000"/>
        </w:rPr>
        <w:t xml:space="preserve">Published online: </w:t>
      </w:r>
      <w:r w:rsidR="00A35D05" w:rsidRPr="000779DA">
        <w:rPr>
          <w:rFonts w:ascii="Book Antiqua" w:eastAsia="Book Antiqua" w:hAnsi="Book Antiqua" w:cs="Book Antiqua"/>
          <w:bCs/>
          <w:color w:val="000000"/>
        </w:rPr>
        <w:t xml:space="preserve">January </w:t>
      </w:r>
      <w:r w:rsidR="00A35D05">
        <w:rPr>
          <w:rFonts w:ascii="Book Antiqua" w:hAnsi="Book Antiqua" w:cs="Book Antiqua" w:hint="eastAsia"/>
          <w:bCs/>
          <w:color w:val="000000"/>
          <w:lang w:eastAsia="zh-CN"/>
        </w:rPr>
        <w:t>14</w:t>
      </w:r>
      <w:r w:rsidR="00A35D05" w:rsidRPr="000779DA">
        <w:rPr>
          <w:rFonts w:ascii="Book Antiqua" w:hAnsi="Book Antiqua" w:cs="Book Antiqua" w:hint="eastAsia"/>
          <w:bCs/>
          <w:color w:val="000000"/>
          <w:lang w:eastAsia="zh-CN"/>
        </w:rPr>
        <w:t>, 202</w:t>
      </w:r>
      <w:r w:rsidR="00A35D05">
        <w:rPr>
          <w:rFonts w:ascii="Book Antiqua" w:hAnsi="Book Antiqua" w:cs="Book Antiqua" w:hint="eastAsia"/>
          <w:bCs/>
          <w:color w:val="000000"/>
          <w:lang w:eastAsia="zh-CN"/>
        </w:rPr>
        <w:t>1</w:t>
      </w:r>
    </w:p>
    <w:p w14:paraId="091E005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EFEF087" w14:textId="77777777" w:rsidR="00A77B3E" w:rsidRDefault="00485DAF">
      <w:pPr>
        <w:spacing w:line="360" w:lineRule="auto"/>
        <w:jc w:val="both"/>
      </w:pPr>
      <w:r>
        <w:rPr>
          <w:rFonts w:ascii="Book Antiqua" w:eastAsia="Book Antiqua" w:hAnsi="Book Antiqua" w:cs="Book Antiqua"/>
          <w:b/>
          <w:color w:val="000000"/>
        </w:rPr>
        <w:t>Abstract</w:t>
      </w:r>
    </w:p>
    <w:p w14:paraId="755E415C" w14:textId="77777777" w:rsidR="00A77B3E" w:rsidRDefault="00485DAF">
      <w:pPr>
        <w:spacing w:line="360" w:lineRule="auto"/>
        <w:jc w:val="both"/>
      </w:pPr>
      <w:r>
        <w:rPr>
          <w:rFonts w:ascii="Book Antiqua" w:eastAsia="Book Antiqua" w:hAnsi="Book Antiqua" w:cs="Book Antiqua"/>
          <w:color w:val="000000"/>
        </w:rPr>
        <w:t>BACKGROUND</w:t>
      </w:r>
    </w:p>
    <w:p w14:paraId="3BFE49DA" w14:textId="77777777" w:rsidR="00A77B3E" w:rsidRDefault="00485DAF">
      <w:pPr>
        <w:spacing w:line="360" w:lineRule="auto"/>
        <w:jc w:val="both"/>
      </w:pPr>
      <w:bookmarkStart w:id="0" w:name="_Hlk56591678"/>
      <w:r>
        <w:rPr>
          <w:rFonts w:ascii="Book Antiqua" w:eastAsia="Book Antiqua" w:hAnsi="Book Antiqua" w:cs="Book Antiqua"/>
          <w:color w:val="000000"/>
        </w:rPr>
        <w:t>Inflammatory bowel disease</w:t>
      </w:r>
      <w:bookmarkEnd w:id="0"/>
      <w:r>
        <w:rPr>
          <w:rFonts w:ascii="Book Antiqua" w:eastAsia="Book Antiqua" w:hAnsi="Book Antiqua" w:cs="Book Antiqua"/>
          <w:color w:val="000000"/>
        </w:rPr>
        <w:t xml:space="preserve"> (IBD) is a chronic, relapsing inflammation of the digestive tract. Although fecal and serum biomarkers have been extremely important and supportive for monitoring of IBD, their low sensitivity and high variability characteristics limit clinical efficacy. Thus, the establishment of better biomarkers is expected. Fucosylation is one of the most important glycosylation modifications of proteins. Fucosylated haptoglobin (Fuc-Hpt) is used as a biomarker for several cancers and inflammation-related diseases. We recently established a novel glycan monoclonal antibody (mAb), designated 10-7G, which recognizes Fuc-Hpt. We developed an enzyme-linked immunosorbent assay (ELISA) to measure serum levels of Fuc-Hpt (10-7G values).</w:t>
      </w:r>
    </w:p>
    <w:p w14:paraId="25640B89" w14:textId="77777777" w:rsidR="00A77B3E" w:rsidRDefault="00A77B3E">
      <w:pPr>
        <w:spacing w:line="360" w:lineRule="auto"/>
        <w:jc w:val="both"/>
      </w:pPr>
    </w:p>
    <w:p w14:paraId="0A1B4A5C" w14:textId="77777777" w:rsidR="00A77B3E" w:rsidRDefault="00485DAF">
      <w:pPr>
        <w:spacing w:line="360" w:lineRule="auto"/>
        <w:jc w:val="both"/>
      </w:pPr>
      <w:r>
        <w:rPr>
          <w:rFonts w:ascii="Book Antiqua" w:eastAsia="Book Antiqua" w:hAnsi="Book Antiqua" w:cs="Book Antiqua"/>
          <w:color w:val="000000"/>
        </w:rPr>
        <w:t>AIM</w:t>
      </w:r>
    </w:p>
    <w:p w14:paraId="540058C1" w14:textId="77777777" w:rsidR="00A77B3E" w:rsidRDefault="00485DAF">
      <w:pPr>
        <w:spacing w:line="360" w:lineRule="auto"/>
        <w:jc w:val="both"/>
      </w:pPr>
      <w:r>
        <w:rPr>
          <w:rFonts w:ascii="Book Antiqua" w:eastAsia="Book Antiqua" w:hAnsi="Book Antiqua" w:cs="Book Antiqua"/>
          <w:color w:val="000000"/>
        </w:rPr>
        <w:t>To investigate the usefulness of the serum 10-7G values as a potential biomarker for monitoring disease activity in IBD.</w:t>
      </w:r>
    </w:p>
    <w:p w14:paraId="2C59B9D5" w14:textId="77777777" w:rsidR="00A77B3E" w:rsidRDefault="00A77B3E">
      <w:pPr>
        <w:spacing w:line="360" w:lineRule="auto"/>
        <w:jc w:val="both"/>
      </w:pPr>
    </w:p>
    <w:p w14:paraId="093AF26E" w14:textId="77777777" w:rsidR="00A77B3E" w:rsidRDefault="00485DAF">
      <w:pPr>
        <w:spacing w:line="360" w:lineRule="auto"/>
        <w:jc w:val="both"/>
      </w:pPr>
      <w:r>
        <w:rPr>
          <w:rFonts w:ascii="Book Antiqua" w:eastAsia="Book Antiqua" w:hAnsi="Book Antiqua" w:cs="Book Antiqua"/>
          <w:color w:val="000000"/>
        </w:rPr>
        <w:t>METHODS</w:t>
      </w:r>
    </w:p>
    <w:p w14:paraId="35731577" w14:textId="033EE341" w:rsidR="00A77B3E" w:rsidRDefault="00485DAF">
      <w:pPr>
        <w:spacing w:line="360" w:lineRule="auto"/>
        <w:jc w:val="both"/>
      </w:pPr>
      <w:r>
        <w:rPr>
          <w:rFonts w:ascii="Book Antiqua" w:eastAsia="Book Antiqua" w:hAnsi="Book Antiqua" w:cs="Book Antiqua"/>
          <w:color w:val="000000"/>
        </w:rPr>
        <w:t>This was a case control study. Intestinal tissues of IBD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10) were examined immunohistochemically using the 10-7G mAb. We determined 10-7G values using serum from patients with ulcerative colitis (UC, </w:t>
      </w:r>
      <w:r>
        <w:rPr>
          <w:rFonts w:ascii="Book Antiqua" w:eastAsia="Book Antiqua" w:hAnsi="Book Antiqua" w:cs="Book Antiqua"/>
          <w:i/>
          <w:iCs/>
          <w:color w:val="000000"/>
        </w:rPr>
        <w:t>n</w:t>
      </w:r>
      <w:r>
        <w:rPr>
          <w:rFonts w:ascii="Book Antiqua" w:eastAsia="Book Antiqua" w:hAnsi="Book Antiqua" w:cs="Book Antiqua"/>
          <w:color w:val="000000"/>
        </w:rPr>
        <w:t xml:space="preserve"> = 110), Crohn’s disease (</w:t>
      </w:r>
      <w:r>
        <w:rPr>
          <w:rFonts w:ascii="Book Antiqua" w:eastAsia="Book Antiqua" w:hAnsi="Book Antiqua" w:cs="Book Antiqua"/>
          <w:i/>
          <w:iCs/>
          <w:color w:val="000000"/>
        </w:rPr>
        <w:t>n</w:t>
      </w:r>
      <w:r>
        <w:rPr>
          <w:rFonts w:ascii="Book Antiqua" w:eastAsia="Book Antiqua" w:hAnsi="Book Antiqua" w:cs="Book Antiqua"/>
          <w:color w:val="000000"/>
        </w:rPr>
        <w:t xml:space="preserve"> = 45), acute enteritis (AE, </w:t>
      </w:r>
      <w:r>
        <w:rPr>
          <w:rFonts w:ascii="Book Antiqua" w:eastAsia="Book Antiqua" w:hAnsi="Book Antiqua" w:cs="Book Antiqua"/>
          <w:i/>
          <w:iCs/>
          <w:color w:val="000000"/>
        </w:rPr>
        <w:t>n</w:t>
      </w:r>
      <w:r>
        <w:rPr>
          <w:rFonts w:ascii="Book Antiqua" w:eastAsia="Book Antiqua" w:hAnsi="Book Antiqua" w:cs="Book Antiqua"/>
          <w:color w:val="000000"/>
        </w:rPr>
        <w:t xml:space="preserve"> = 11), and healthy volunteer</w:t>
      </w:r>
      <w:r w:rsidRPr="00EA2F3E">
        <w:rPr>
          <w:rFonts w:ascii="Book Antiqua" w:eastAsia="Book Antiqua" w:hAnsi="Book Antiqua" w:cs="Book Antiqua"/>
        </w:rPr>
        <w:t>s</w:t>
      </w:r>
      <w:r w:rsidR="00600F3D" w:rsidRPr="00EA2F3E">
        <w:rPr>
          <w:rFonts w:ascii="Book Antiqua" w:eastAsia="Book Antiqua" w:hAnsi="Book Antiqua" w:cs="Book Antiqua"/>
        </w:rPr>
        <w:t xml:space="preserve"> (HVs)</w:t>
      </w:r>
      <w:r w:rsidRPr="00EA2F3E">
        <w:rPr>
          <w:rFonts w:ascii="Book Antiqua" w:eastAsia="Book Antiqua" w:hAnsi="Book Antiqua" w:cs="Book Antiqua"/>
        </w:rPr>
        <w:t xml:space="preserve"> </w:t>
      </w:r>
      <w:r>
        <w:rPr>
          <w:rFonts w:ascii="Book Antiqua" w:eastAsia="Book Antiqua" w:hAnsi="Book Antiqua" w:cs="Book Antiqua"/>
          <w:color w:val="000000"/>
        </w:rPr>
        <w:t>who exhibited normal (</w:t>
      </w:r>
      <w:r>
        <w:rPr>
          <w:rFonts w:ascii="Book Antiqua" w:eastAsia="Book Antiqua" w:hAnsi="Book Antiqua" w:cs="Book Antiqua"/>
          <w:i/>
          <w:iCs/>
          <w:color w:val="000000"/>
        </w:rPr>
        <w:t>n</w:t>
      </w:r>
      <w:r>
        <w:rPr>
          <w:rFonts w:ascii="Book Antiqua" w:eastAsia="Book Antiqua" w:hAnsi="Book Antiqua" w:cs="Book Antiqua"/>
          <w:color w:val="000000"/>
        </w:rPr>
        <w:t xml:space="preserve"> = 20) or high (</w:t>
      </w:r>
      <w:r>
        <w:rPr>
          <w:rFonts w:ascii="Book Antiqua" w:eastAsia="Book Antiqua" w:hAnsi="Book Antiqua" w:cs="Book Antiqua"/>
          <w:i/>
          <w:iCs/>
          <w:color w:val="000000"/>
        </w:rPr>
        <w:t>n</w:t>
      </w:r>
      <w:r>
        <w:rPr>
          <w:rFonts w:ascii="Book Antiqua" w:eastAsia="Book Antiqua" w:hAnsi="Book Antiqua" w:cs="Book Antiqua"/>
          <w:color w:val="000000"/>
        </w:rPr>
        <w:t xml:space="preserve"> = 79) </w:t>
      </w:r>
      <w:bookmarkStart w:id="1" w:name="_Hlk56591753"/>
      <w:r>
        <w:rPr>
          <w:rFonts w:ascii="Book Antiqua" w:eastAsia="Book Antiqua" w:hAnsi="Book Antiqua" w:cs="Book Antiqua"/>
          <w:color w:val="000000"/>
        </w:rPr>
        <w:t>C-reactive protein</w:t>
      </w:r>
      <w:bookmarkEnd w:id="1"/>
      <w:r>
        <w:rPr>
          <w:rFonts w:ascii="Book Antiqua" w:eastAsia="Book Antiqua" w:hAnsi="Book Antiqua" w:cs="Book Antiqua"/>
          <w:color w:val="000000"/>
        </w:rPr>
        <w:t xml:space="preserve"> (CRP) levels at medical check-up. We investigated the correlation between the 10-7G value and various clinical parameters of IBD patients by correlation analysis. Receiver operating characteristic (ROC) curve analysis was performed to</w:t>
      </w:r>
      <w:r>
        <w:rPr>
          <w:rFonts w:ascii="Book Antiqua" w:eastAsia="Book Antiqua" w:hAnsi="Book Antiqua" w:cs="Book Antiqua"/>
          <w:color w:val="000000"/>
          <w:szCs w:val="21"/>
        </w:rPr>
        <w:t xml:space="preserve"> </w:t>
      </w:r>
      <w:r>
        <w:rPr>
          <w:rFonts w:ascii="Book Antiqua" w:eastAsia="Book Antiqua" w:hAnsi="Book Antiqua" w:cs="Book Antiqua"/>
          <w:color w:val="000000"/>
        </w:rPr>
        <w:t>evaluate the usefulness of the 10-7G values as a biomarker for clinical and endoscopic remission of UC compared to conventional serum biomarkers.</w:t>
      </w:r>
    </w:p>
    <w:p w14:paraId="1B0B5637" w14:textId="77777777" w:rsidR="00A77B3E" w:rsidRDefault="00A77B3E">
      <w:pPr>
        <w:spacing w:line="360" w:lineRule="auto"/>
        <w:jc w:val="both"/>
      </w:pPr>
    </w:p>
    <w:p w14:paraId="1CF7499C" w14:textId="77777777" w:rsidR="00A77B3E" w:rsidRDefault="00485DAF">
      <w:pPr>
        <w:spacing w:line="360" w:lineRule="auto"/>
        <w:jc w:val="both"/>
      </w:pPr>
      <w:r>
        <w:rPr>
          <w:rFonts w:ascii="Book Antiqua" w:eastAsia="Book Antiqua" w:hAnsi="Book Antiqua" w:cs="Book Antiqua"/>
          <w:color w:val="000000"/>
        </w:rPr>
        <w:t>RESULTS</w:t>
      </w:r>
    </w:p>
    <w:p w14:paraId="55CFA00A" w14:textId="763AED38" w:rsidR="00A77B3E" w:rsidRDefault="00485DAF">
      <w:pPr>
        <w:spacing w:line="360" w:lineRule="auto"/>
        <w:jc w:val="both"/>
      </w:pPr>
      <w:r>
        <w:rPr>
          <w:rFonts w:ascii="Book Antiqua" w:eastAsia="Book Antiqua" w:hAnsi="Book Antiqua" w:cs="Book Antiqua"/>
          <w:color w:val="000000"/>
        </w:rPr>
        <w:t>In the immunohistochemical analysis, positive 10-7G mAb staining was observed in lymphocytes infiltrating into inflammatory sites of the mucosal layer and lymphoid follicles. The 10-7G values were significantly higher in patients with IBD (</w:t>
      </w:r>
      <w:r>
        <w:rPr>
          <w:rFonts w:ascii="Book Antiqua" w:eastAsia="Book Antiqua" w:hAnsi="Book Antiqua" w:cs="Book Antiqua"/>
          <w:i/>
          <w:iCs/>
          <w:color w:val="000000"/>
        </w:rPr>
        <w:t>P</w:t>
      </w:r>
      <w:r w:rsidR="006F6250">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F6250">
        <w:rPr>
          <w:rFonts w:ascii="Book Antiqua" w:eastAsia="Book Antiqua" w:hAnsi="Book Antiqua" w:cs="Book Antiqua"/>
          <w:color w:val="000000"/>
        </w:rPr>
        <w:t xml:space="preserve"> </w:t>
      </w:r>
      <w:r>
        <w:rPr>
          <w:rFonts w:ascii="Book Antiqua" w:eastAsia="Book Antiqua" w:hAnsi="Book Antiqua" w:cs="Book Antiqua"/>
          <w:color w:val="000000"/>
        </w:rPr>
        <w:t>0.001) and AE (</w:t>
      </w:r>
      <w:r>
        <w:rPr>
          <w:rFonts w:ascii="Book Antiqua" w:eastAsia="Book Antiqua" w:hAnsi="Book Antiqua" w:cs="Book Antiqua"/>
          <w:i/>
          <w:iCs/>
          <w:color w:val="000000"/>
        </w:rPr>
        <w:t>P</w:t>
      </w:r>
      <w:r w:rsidR="006F6250">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0.05) compared with </w:t>
      </w:r>
      <w:r w:rsidR="00600F3D" w:rsidRPr="00EA2F3E">
        <w:rPr>
          <w:rFonts w:ascii="Book Antiqua" w:eastAsia="Book Antiqua" w:hAnsi="Book Antiqua" w:cs="Book Antiqua"/>
          <w:color w:val="000000"/>
        </w:rPr>
        <w:t>HVs</w:t>
      </w:r>
      <w:r>
        <w:rPr>
          <w:rFonts w:ascii="Book Antiqua" w:eastAsia="Book Antiqua" w:hAnsi="Book Antiqua" w:cs="Book Antiqua"/>
          <w:color w:val="000000"/>
        </w:rPr>
        <w:t>. In addition, 10-7G values were correlated with clinical examination parameters related to inflammation in patients with UC, particularly the CRP level (</w:t>
      </w:r>
      <w:r>
        <w:rPr>
          <w:rFonts w:ascii="Book Antiqua" w:eastAsia="Book Antiqua" w:hAnsi="Book Antiqua" w:cs="Book Antiqua"/>
          <w:i/>
          <w:iCs/>
          <w:color w:val="000000"/>
        </w:rPr>
        <w:t>rs</w:t>
      </w:r>
      <w:r w:rsidR="006F625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0.525, </w:t>
      </w:r>
      <w:r>
        <w:rPr>
          <w:rFonts w:ascii="Book Antiqua" w:eastAsia="Book Antiqua" w:hAnsi="Book Antiqua" w:cs="Book Antiqua"/>
          <w:i/>
          <w:iCs/>
          <w:color w:val="000000"/>
        </w:rPr>
        <w:t>P</w:t>
      </w:r>
      <w:r w:rsidR="006F625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F6250">
        <w:rPr>
          <w:rFonts w:ascii="Book Antiqua" w:eastAsia="Book Antiqua" w:hAnsi="Book Antiqua" w:cs="Book Antiqua"/>
          <w:color w:val="000000"/>
        </w:rPr>
        <w:t xml:space="preserve"> </w:t>
      </w:r>
      <w:r>
        <w:rPr>
          <w:rFonts w:ascii="Book Antiqua" w:eastAsia="Book Antiqua" w:hAnsi="Book Antiqua" w:cs="Book Antiqua"/>
          <w:color w:val="000000"/>
        </w:rPr>
        <w:t>0.003) and clinical activity index score (</w:t>
      </w:r>
      <w:r>
        <w:rPr>
          <w:rFonts w:ascii="Book Antiqua" w:eastAsia="Book Antiqua" w:hAnsi="Book Antiqua" w:cs="Book Antiqua"/>
          <w:i/>
          <w:iCs/>
          <w:color w:val="000000"/>
        </w:rPr>
        <w:t>rs</w:t>
      </w:r>
      <w:r w:rsidR="006F625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0.435, </w:t>
      </w:r>
      <w:r>
        <w:rPr>
          <w:rFonts w:ascii="Book Antiqua" w:eastAsia="Book Antiqua" w:hAnsi="Book Antiqua" w:cs="Book Antiqua"/>
          <w:i/>
          <w:iCs/>
          <w:color w:val="000000"/>
        </w:rPr>
        <w:t>P</w:t>
      </w:r>
      <w:r w:rsidR="006F625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0.038). However, there was no correlation between 10-7G values and CRP in </w:t>
      </w:r>
      <w:r w:rsidR="00600F3D" w:rsidRPr="00EA2F3E">
        <w:rPr>
          <w:rFonts w:ascii="Book Antiqua" w:eastAsia="Book Antiqua" w:hAnsi="Book Antiqua" w:cs="Book Antiqua"/>
          <w:color w:val="000000"/>
        </w:rPr>
        <w:t>HVs</w:t>
      </w:r>
      <w:r>
        <w:rPr>
          <w:rFonts w:ascii="Book Antiqua" w:eastAsia="Book Antiqua" w:hAnsi="Book Antiqua" w:cs="Book Antiqua"/>
          <w:color w:val="000000"/>
        </w:rPr>
        <w:t xml:space="preserve"> with high CRP levels, suggesting that the 10-7G values is not the same as a general inflammation biomarker. ROC curve analysis showed that area under the curve (AUC) value of 10-7G values for the diagnosis of endoscopic remission was higher than other biomarkers (AUC value =</w:t>
      </w:r>
      <w:r w:rsidR="006F6250">
        <w:rPr>
          <w:rFonts w:ascii="Book Antiqua" w:eastAsia="Book Antiqua" w:hAnsi="Book Antiqua" w:cs="Book Antiqua"/>
          <w:color w:val="000000"/>
        </w:rPr>
        <w:t xml:space="preserve"> </w:t>
      </w:r>
      <w:r>
        <w:rPr>
          <w:rFonts w:ascii="Book Antiqua" w:eastAsia="Book Antiqua" w:hAnsi="Book Antiqua" w:cs="Book Antiqua"/>
          <w:color w:val="000000"/>
        </w:rPr>
        <w:t>0.699).</w:t>
      </w:r>
    </w:p>
    <w:p w14:paraId="193B8C95" w14:textId="77777777" w:rsidR="00A77B3E" w:rsidRDefault="00A77B3E">
      <w:pPr>
        <w:spacing w:line="360" w:lineRule="auto"/>
        <w:jc w:val="both"/>
      </w:pPr>
    </w:p>
    <w:p w14:paraId="1C8CE7A7" w14:textId="77777777" w:rsidR="00A77B3E" w:rsidRDefault="00485DAF">
      <w:pPr>
        <w:spacing w:line="360" w:lineRule="auto"/>
        <w:jc w:val="both"/>
      </w:pPr>
      <w:r>
        <w:rPr>
          <w:rFonts w:ascii="Book Antiqua" w:eastAsia="Book Antiqua" w:hAnsi="Book Antiqua" w:cs="Book Antiqua"/>
          <w:color w:val="000000"/>
        </w:rPr>
        <w:t>CONCLUSION</w:t>
      </w:r>
    </w:p>
    <w:p w14:paraId="649FBBFF" w14:textId="79E9BA42" w:rsidR="00A77B3E" w:rsidRDefault="00485DAF">
      <w:pPr>
        <w:spacing w:line="360" w:lineRule="auto"/>
        <w:jc w:val="both"/>
      </w:pPr>
      <w:r>
        <w:rPr>
          <w:rFonts w:ascii="Book Antiqua" w:eastAsia="Book Antiqua" w:hAnsi="Book Antiqua" w:cs="Book Antiqua"/>
          <w:color w:val="000000"/>
        </w:rPr>
        <w:t>The serum 10-7G value is a novel biomarker for evaluating intestinal inflamma</w:t>
      </w:r>
      <w:r w:rsidR="002E52D7">
        <w:rPr>
          <w:rFonts w:ascii="Book Antiqua" w:hAnsi="Book Antiqua" w:cs="Book Antiqua" w:hint="eastAsia"/>
          <w:color w:val="000000"/>
          <w:lang w:eastAsia="zh-CN"/>
        </w:rPr>
        <w:t>-</w:t>
      </w:r>
      <w:r>
        <w:rPr>
          <w:rFonts w:ascii="Book Antiqua" w:eastAsia="Book Antiqua" w:hAnsi="Book Antiqua" w:cs="Book Antiqua"/>
          <w:color w:val="000000"/>
        </w:rPr>
        <w:t>tion and endoscopic mucosal healing in UC.</w:t>
      </w:r>
    </w:p>
    <w:p w14:paraId="5EFC06AB" w14:textId="77777777" w:rsidR="00A77B3E" w:rsidRDefault="00A77B3E">
      <w:pPr>
        <w:spacing w:line="360" w:lineRule="auto"/>
        <w:jc w:val="both"/>
      </w:pPr>
    </w:p>
    <w:p w14:paraId="0598B095" w14:textId="2FEBD1B7" w:rsidR="00A77B3E" w:rsidRDefault="00485DA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Inflammatory bowel disease; Biomarkers; Glycosylation; Fucosylated haptoglobin; Prohaptoglobin; </w:t>
      </w:r>
      <w:r w:rsidR="006F6250">
        <w:rPr>
          <w:rFonts w:ascii="Book Antiqua" w:eastAsia="Book Antiqua" w:hAnsi="Book Antiqua" w:cs="Book Antiqua"/>
          <w:color w:val="000000"/>
        </w:rPr>
        <w:t>E</w:t>
      </w:r>
      <w:r>
        <w:rPr>
          <w:rFonts w:ascii="Book Antiqua" w:eastAsia="Book Antiqua" w:hAnsi="Book Antiqua" w:cs="Book Antiqua"/>
          <w:color w:val="000000"/>
        </w:rPr>
        <w:t>ndoscopic remission</w:t>
      </w:r>
    </w:p>
    <w:p w14:paraId="716DEE16" w14:textId="77777777" w:rsidR="00D321BD" w:rsidRDefault="00D321BD" w:rsidP="00D321BD">
      <w:pPr>
        <w:spacing w:line="360" w:lineRule="auto"/>
        <w:jc w:val="both"/>
        <w:rPr>
          <w:lang w:eastAsia="zh-CN"/>
        </w:rPr>
      </w:pPr>
    </w:p>
    <w:p w14:paraId="2153B6CF" w14:textId="77777777" w:rsidR="00D321BD" w:rsidRPr="00026CB8" w:rsidRDefault="00D321BD" w:rsidP="00D321B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DBAEB2B" w14:textId="77777777" w:rsidR="00A77B3E" w:rsidRDefault="00A77B3E">
      <w:pPr>
        <w:spacing w:line="360" w:lineRule="auto"/>
        <w:jc w:val="both"/>
      </w:pPr>
    </w:p>
    <w:p w14:paraId="0EF4AF6D" w14:textId="3CC77334" w:rsidR="00237508" w:rsidRDefault="002F21F9">
      <w:pPr>
        <w:spacing w:line="360" w:lineRule="auto"/>
        <w:jc w:val="both"/>
        <w:rPr>
          <w:rFonts w:ascii="Book Antiqua" w:hAnsi="Book Antiqua" w:cs="Book Antiqua" w:hint="eastAsia"/>
          <w:color w:val="000000"/>
          <w:lang w:eastAsia="zh-CN"/>
        </w:rPr>
      </w:pPr>
      <w:r w:rsidRPr="002F21F9">
        <w:rPr>
          <w:rFonts w:ascii="Book Antiqua" w:hAnsi="Book Antiqua" w:cs="Book Antiqua" w:hint="eastAsia"/>
          <w:b/>
          <w:color w:val="000000"/>
          <w:lang w:eastAsia="zh-CN"/>
        </w:rPr>
        <w:t xml:space="preserve">Citation: </w:t>
      </w:r>
      <w:r w:rsidR="00485DAF">
        <w:rPr>
          <w:rFonts w:ascii="Book Antiqua" w:eastAsia="Book Antiqua" w:hAnsi="Book Antiqua" w:cs="Book Antiqua"/>
          <w:color w:val="000000"/>
        </w:rPr>
        <w:t xml:space="preserve">Motooka K, Morishita K, Ito N, Shinzaki S, Tashiro T, Nojima S, Shimizu K, Date M, Sakata N, Yamada M, Takamatsu S, Kamada Y, Iijima H, Mizushima T, Morii E, Takehara T, Miyoshi E. Detection of fucosylated haptoglobin using the 10-7G antibody as a biomarker for evaluating endoscopic remission in ulcerative colitis. </w:t>
      </w:r>
      <w:r w:rsidR="00485DAF">
        <w:rPr>
          <w:rFonts w:ascii="Book Antiqua" w:eastAsia="Book Antiqua" w:hAnsi="Book Antiqua" w:cs="Book Antiqua"/>
          <w:i/>
          <w:iCs/>
          <w:color w:val="000000"/>
        </w:rPr>
        <w:t>World J Gastroenterol</w:t>
      </w:r>
      <w:r w:rsidR="00485DAF">
        <w:rPr>
          <w:rFonts w:ascii="Book Antiqua" w:eastAsia="Book Antiqua" w:hAnsi="Book Antiqua" w:cs="Book Antiqua"/>
          <w:color w:val="000000"/>
        </w:rPr>
        <w:t xml:space="preserve"> 202</w:t>
      </w:r>
      <w:r w:rsidR="00A35D05">
        <w:rPr>
          <w:rFonts w:ascii="Book Antiqua" w:hAnsi="Book Antiqua" w:cs="Book Antiqua" w:hint="eastAsia"/>
          <w:color w:val="000000"/>
          <w:lang w:eastAsia="zh-CN"/>
        </w:rPr>
        <w:t>1</w:t>
      </w:r>
      <w:r w:rsidR="00485DAF">
        <w:rPr>
          <w:rFonts w:ascii="Book Antiqua" w:eastAsia="Book Antiqua" w:hAnsi="Book Antiqua" w:cs="Book Antiqua"/>
          <w:color w:val="000000"/>
        </w:rPr>
        <w:t xml:space="preserve">; </w:t>
      </w:r>
      <w:r w:rsidR="00A35D05" w:rsidRPr="000779DA">
        <w:rPr>
          <w:rFonts w:ascii="Book Antiqua" w:eastAsia="Book Antiqua" w:hAnsi="Book Antiqua" w:cs="Book Antiqua"/>
          <w:color w:val="000000"/>
        </w:rPr>
        <w:t>2</w:t>
      </w:r>
      <w:r w:rsidR="00A35D05">
        <w:rPr>
          <w:rFonts w:ascii="Book Antiqua" w:hAnsi="Book Antiqua" w:cs="Book Antiqua" w:hint="eastAsia"/>
          <w:color w:val="000000"/>
          <w:lang w:eastAsia="zh-CN"/>
        </w:rPr>
        <w:t>7</w:t>
      </w:r>
      <w:r w:rsidR="00A35D05" w:rsidRPr="000779DA">
        <w:rPr>
          <w:rFonts w:ascii="Book Antiqua" w:eastAsia="Book Antiqua" w:hAnsi="Book Antiqua" w:cs="Book Antiqua"/>
          <w:color w:val="000000"/>
        </w:rPr>
        <w:t>(</w:t>
      </w:r>
      <w:r w:rsidR="00A35D05">
        <w:rPr>
          <w:rFonts w:ascii="Book Antiqua" w:hAnsi="Book Antiqua" w:cs="Book Antiqua" w:hint="eastAsia"/>
          <w:color w:val="000000"/>
          <w:lang w:eastAsia="zh-CN"/>
        </w:rPr>
        <w:t>2</w:t>
      </w:r>
      <w:r w:rsidR="00A35D05" w:rsidRPr="000779DA">
        <w:rPr>
          <w:rFonts w:ascii="Book Antiqua" w:eastAsia="Book Antiqua" w:hAnsi="Book Antiqua" w:cs="Book Antiqua"/>
          <w:color w:val="000000"/>
        </w:rPr>
        <w:t xml:space="preserve">): </w:t>
      </w:r>
      <w:r w:rsidR="005371FE" w:rsidRPr="005371FE">
        <w:rPr>
          <w:rFonts w:ascii="Book Antiqua" w:eastAsia="Book Antiqua" w:hAnsi="Book Antiqua" w:cs="Book Antiqua"/>
          <w:color w:val="000000"/>
        </w:rPr>
        <w:t>162-175</w:t>
      </w:r>
      <w:r w:rsidR="00A35D05" w:rsidRPr="000779DA">
        <w:rPr>
          <w:rFonts w:ascii="Book Antiqua" w:eastAsia="Book Antiqua" w:hAnsi="Book Antiqua" w:cs="Book Antiqua"/>
          <w:color w:val="000000"/>
        </w:rPr>
        <w:t xml:space="preserve"> </w:t>
      </w:r>
    </w:p>
    <w:p w14:paraId="3BB1EF00" w14:textId="77777777" w:rsidR="00237508" w:rsidRDefault="00A35D05">
      <w:pPr>
        <w:spacing w:line="360" w:lineRule="auto"/>
        <w:jc w:val="both"/>
        <w:rPr>
          <w:rFonts w:ascii="Book Antiqua" w:hAnsi="Book Antiqua" w:cs="Book Antiqua" w:hint="eastAsia"/>
          <w:color w:val="000000"/>
          <w:lang w:eastAsia="zh-CN"/>
        </w:rPr>
      </w:pPr>
      <w:r w:rsidRPr="002F21F9">
        <w:rPr>
          <w:rFonts w:ascii="Book Antiqua" w:eastAsia="Book Antiqua" w:hAnsi="Book Antiqua" w:cs="Book Antiqua"/>
          <w:b/>
          <w:color w:val="000000"/>
        </w:rPr>
        <w:t xml:space="preserve">URL: </w:t>
      </w:r>
      <w:r w:rsidRPr="000779DA">
        <w:rPr>
          <w:rFonts w:ascii="Book Antiqua" w:eastAsia="Book Antiqua" w:hAnsi="Book Antiqua" w:cs="Book Antiqua"/>
          <w:color w:val="000000"/>
        </w:rPr>
        <w:t>https://www.wjgnet.com/1007-9327/full/v2</w:t>
      </w:r>
      <w:r>
        <w:rPr>
          <w:rFonts w:ascii="Book Antiqua" w:hAnsi="Book Antiqua" w:cs="Book Antiqua" w:hint="eastAsia"/>
          <w:color w:val="000000"/>
          <w:lang w:eastAsia="zh-CN"/>
        </w:rPr>
        <w:t>7</w:t>
      </w:r>
      <w:r w:rsidRPr="000779DA">
        <w:rPr>
          <w:rFonts w:ascii="Book Antiqua" w:eastAsia="Book Antiqua" w:hAnsi="Book Antiqua" w:cs="Book Antiqua"/>
          <w:color w:val="000000"/>
        </w:rPr>
        <w:t>/i</w:t>
      </w:r>
      <w:r>
        <w:rPr>
          <w:rFonts w:ascii="Book Antiqua" w:hAnsi="Book Antiqua" w:cs="Book Antiqua" w:hint="eastAsia"/>
          <w:color w:val="000000"/>
          <w:lang w:eastAsia="zh-CN"/>
        </w:rPr>
        <w:t>2</w:t>
      </w:r>
      <w:r w:rsidRPr="000779DA">
        <w:rPr>
          <w:rFonts w:ascii="Book Antiqua" w:eastAsia="Book Antiqua" w:hAnsi="Book Antiqua" w:cs="Book Antiqua"/>
          <w:color w:val="000000"/>
        </w:rPr>
        <w:t>/</w:t>
      </w:r>
      <w:r w:rsidR="005371FE">
        <w:rPr>
          <w:rFonts w:ascii="Book Antiqua" w:hAnsi="Book Antiqua" w:cs="Book Antiqua" w:hint="eastAsia"/>
          <w:color w:val="000000"/>
          <w:lang w:eastAsia="zh-CN"/>
        </w:rPr>
        <w:t>162</w:t>
      </w:r>
      <w:r w:rsidRPr="000779DA">
        <w:rPr>
          <w:rFonts w:ascii="Book Antiqua" w:eastAsia="Book Antiqua" w:hAnsi="Book Antiqua" w:cs="Book Antiqua"/>
          <w:color w:val="000000"/>
        </w:rPr>
        <w:t xml:space="preserve">.htm </w:t>
      </w:r>
    </w:p>
    <w:p w14:paraId="16DC9C74" w14:textId="342AB156" w:rsidR="00A77B3E" w:rsidRPr="005371FE" w:rsidRDefault="00A35D05">
      <w:pPr>
        <w:spacing w:line="360" w:lineRule="auto"/>
        <w:jc w:val="both"/>
        <w:rPr>
          <w:rFonts w:hint="eastAsia"/>
          <w:lang w:eastAsia="zh-CN"/>
        </w:rPr>
      </w:pPr>
      <w:r w:rsidRPr="002F21F9">
        <w:rPr>
          <w:rFonts w:ascii="Book Antiqua" w:eastAsia="Book Antiqua" w:hAnsi="Book Antiqua" w:cs="Book Antiqua"/>
          <w:b/>
          <w:color w:val="000000"/>
        </w:rPr>
        <w:t xml:space="preserve">DOI: </w:t>
      </w:r>
      <w:r w:rsidRPr="000779DA">
        <w:rPr>
          <w:rFonts w:ascii="Book Antiqua" w:eastAsia="Book Antiqua" w:hAnsi="Book Antiqua" w:cs="Book Antiqua"/>
          <w:color w:val="000000"/>
        </w:rPr>
        <w:t>https://dx.doi.org/10.3748/wjg.v2</w:t>
      </w:r>
      <w:r>
        <w:rPr>
          <w:rFonts w:ascii="Book Antiqua" w:hAnsi="Book Antiqua" w:cs="Book Antiqua" w:hint="eastAsia"/>
          <w:color w:val="000000"/>
          <w:lang w:eastAsia="zh-CN"/>
        </w:rPr>
        <w:t>7</w:t>
      </w:r>
      <w:r>
        <w:rPr>
          <w:rFonts w:ascii="Book Antiqua" w:eastAsia="Book Antiqua" w:hAnsi="Book Antiqua" w:cs="Book Antiqua"/>
          <w:color w:val="000000"/>
        </w:rPr>
        <w:t>.i</w:t>
      </w:r>
      <w:r>
        <w:rPr>
          <w:rFonts w:ascii="Book Antiqua" w:hAnsi="Book Antiqua" w:cs="Book Antiqua" w:hint="eastAsia"/>
          <w:color w:val="000000"/>
          <w:lang w:eastAsia="zh-CN"/>
        </w:rPr>
        <w:t>2</w:t>
      </w:r>
      <w:r w:rsidRPr="000779DA">
        <w:rPr>
          <w:rFonts w:ascii="Book Antiqua" w:eastAsia="Book Antiqua" w:hAnsi="Book Antiqua" w:cs="Book Antiqua"/>
          <w:color w:val="000000"/>
        </w:rPr>
        <w:t>.</w:t>
      </w:r>
      <w:r w:rsidR="005371FE">
        <w:rPr>
          <w:rFonts w:ascii="Book Antiqua" w:hAnsi="Book Antiqua" w:cs="Book Antiqua" w:hint="eastAsia"/>
          <w:color w:val="000000"/>
          <w:lang w:eastAsia="zh-CN"/>
        </w:rPr>
        <w:t>162</w:t>
      </w:r>
    </w:p>
    <w:p w14:paraId="286ABABA" w14:textId="77777777" w:rsidR="00A77B3E" w:rsidRDefault="00A77B3E">
      <w:pPr>
        <w:spacing w:line="360" w:lineRule="auto"/>
        <w:jc w:val="both"/>
      </w:pPr>
    </w:p>
    <w:p w14:paraId="218A27F8" w14:textId="4FE4F60B" w:rsidR="00A77B3E" w:rsidRDefault="00485DA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Fucosylation is one of the most important glycosylation involved in cancer and inflammation. Recently, we have succeeded to establish a novel glycan antibody 10-7G mAb which directly recognizes fucosylated haptoglobin (Fuc-Hpt), and developed its </w:t>
      </w:r>
      <w:r w:rsidR="006F6250">
        <w:rPr>
          <w:rFonts w:ascii="Book Antiqua" w:eastAsia="Book Antiqua" w:hAnsi="Book Antiqua" w:cs="Book Antiqua"/>
          <w:color w:val="000000"/>
        </w:rPr>
        <w:t>enzyme-linked immunosorbent assay (</w:t>
      </w:r>
      <w:r>
        <w:rPr>
          <w:rFonts w:ascii="Book Antiqua" w:eastAsia="Book Antiqua" w:hAnsi="Book Antiqua" w:cs="Book Antiqua"/>
          <w:color w:val="000000"/>
        </w:rPr>
        <w:t>ELISA</w:t>
      </w:r>
      <w:r w:rsidR="006F6250">
        <w:rPr>
          <w:rFonts w:ascii="Book Antiqua" w:eastAsia="Book Antiqua" w:hAnsi="Book Antiqua" w:cs="Book Antiqua"/>
          <w:color w:val="000000"/>
        </w:rPr>
        <w:t>)</w:t>
      </w:r>
      <w:r>
        <w:rPr>
          <w:rFonts w:ascii="Book Antiqua" w:eastAsia="Book Antiqua" w:hAnsi="Book Antiqua" w:cs="Book Antiqua"/>
          <w:color w:val="000000"/>
        </w:rPr>
        <w:t xml:space="preserve"> system. In this study, we demonstrated the serum 10-7G values (Fuc-Hpt levels determined with 10-7G mAb ELISA) were significantly higher in patients with inflammatory bowel disease. We also found that Fuc-Hpt was produced by lymphocytes infiltrating into inflammatory sites of intestine. Moreover, statistical analyses showed that the 10-7G value could evaluate intestinal inflammation and endoscopic mucosal healing in ulcerative colitis.</w:t>
      </w:r>
    </w:p>
    <w:p w14:paraId="5553A108" w14:textId="6831E3EF" w:rsidR="00A77B3E" w:rsidRDefault="006F6250">
      <w:pPr>
        <w:spacing w:line="360" w:lineRule="auto"/>
        <w:jc w:val="both"/>
      </w:pPr>
      <w:r>
        <w:br w:type="page"/>
      </w:r>
      <w:r w:rsidR="00485DAF">
        <w:rPr>
          <w:rFonts w:ascii="Book Antiqua" w:eastAsia="Book Antiqua" w:hAnsi="Book Antiqua" w:cs="Book Antiqua"/>
          <w:b/>
          <w:caps/>
          <w:color w:val="000000"/>
          <w:u w:val="single"/>
        </w:rPr>
        <w:t>INTRODUCTION</w:t>
      </w:r>
    </w:p>
    <w:p w14:paraId="04558CBF" w14:textId="06A4E0E4" w:rsidR="00A77B3E" w:rsidRDefault="00485DAF" w:rsidP="006F6250">
      <w:pPr>
        <w:spacing w:line="360" w:lineRule="auto"/>
        <w:jc w:val="both"/>
      </w:pPr>
      <w:r>
        <w:rPr>
          <w:rFonts w:ascii="Book Antiqua" w:eastAsia="Book Antiqua" w:hAnsi="Book Antiqua" w:cs="Book Antiqua"/>
          <w:color w:val="000000"/>
        </w:rPr>
        <w:t>Inflammatory bowel disease (IBD), which comprises Crohn’s disease (CD) and ulcerative colitis (UC), is a chronic recurrent intestinal inflammatory disease of unknown etiology, and the number of individuals affected is increasing worldwide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Although the etiology of IBD remains unknown, the disease is known to involve complex interactions between genetic, environmental, and microbial factors and the immune response</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For proper management and selection of appropriate treatment strategy, it is essential to evaluate disease activity of IBD accurately. Endoscopy is the gold standard for the diagnosis and monitoring status of IBD patients, but cannot be frequently performed because of the cost and invasiveness. Although fecal and serum biomarkers, such as fecal calprotectin and serum C-reactive protein (CRP), have been important and supportive for monitoring of IBD, their low sensitivity and high variability characteristics limit clinical efficacy</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Thus, the establishment of better biomarkers is expected.</w:t>
      </w:r>
    </w:p>
    <w:p w14:paraId="610530E2" w14:textId="067A89A9" w:rsidR="00A77B3E" w:rsidRDefault="00485DAF" w:rsidP="00951829">
      <w:pPr>
        <w:spacing w:line="360" w:lineRule="auto"/>
        <w:ind w:firstLineChars="100" w:firstLine="240"/>
        <w:jc w:val="both"/>
      </w:pPr>
      <w:r>
        <w:rPr>
          <w:rFonts w:ascii="Book Antiqua" w:eastAsia="Book Antiqua" w:hAnsi="Book Antiqua" w:cs="Book Antiqua"/>
          <w:color w:val="000000"/>
        </w:rPr>
        <w:t>Haptoglobin, an acute-phase protein produced primarily in the liver, is rapidly upregulated following stimulation with cytokines such as tumor necrosis factor alpha, interleukin (IL)-6, and IL-1</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Haptoglobin modulates inflammation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its systemic anti-inflammatory activity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A major function of haptoglobin is binding free plasma hemoglobin produced due to hemolysis, thereby preventing damage associated with oxidative stress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Haptoglobin is an α- and β-chain heterodimer linked by disulfide bonds, with all four N-glycans located in the β chain and no potential N-glycosylation sites in the α chain</w:t>
      </w:r>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w:t>
      </w:r>
    </w:p>
    <w:p w14:paraId="1F314278" w14:textId="4B326E88" w:rsidR="00A77B3E" w:rsidRDefault="00485DAF" w:rsidP="00951829">
      <w:pPr>
        <w:spacing w:line="360" w:lineRule="auto"/>
        <w:ind w:firstLineChars="100" w:firstLine="240"/>
        <w:jc w:val="both"/>
      </w:pPr>
      <w:r>
        <w:rPr>
          <w:rFonts w:ascii="Book Antiqua" w:eastAsia="Book Antiqua" w:hAnsi="Book Antiqua" w:cs="Book Antiqua"/>
          <w:color w:val="000000"/>
        </w:rPr>
        <w:t>Fucosylation is one of the most important glycosylation modifications of proteins involved in inflammation and cancer</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We previously reported that fucosylated haptoglobin (Fuc-Hpt) is found in the serum of patients with pancreatic cancer</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established a lectin–antibody </w:t>
      </w:r>
      <w:r w:rsidR="006F6250">
        <w:rPr>
          <w:rFonts w:ascii="Book Antiqua" w:eastAsia="Book Antiqua" w:hAnsi="Book Antiqua" w:cs="Book Antiqua"/>
          <w:color w:val="000000"/>
        </w:rPr>
        <w:t>enzyme-linked immunosorbent assay (</w:t>
      </w:r>
      <w:r>
        <w:rPr>
          <w:rFonts w:ascii="Book Antiqua" w:eastAsia="Book Antiqua" w:hAnsi="Book Antiqua" w:cs="Book Antiqua"/>
          <w:color w:val="000000"/>
        </w:rPr>
        <w:t>ELISA</w:t>
      </w:r>
      <w:r w:rsidR="006F6250">
        <w:rPr>
          <w:rFonts w:ascii="Book Antiqua" w:eastAsia="Book Antiqua" w:hAnsi="Book Antiqua" w:cs="Book Antiqua"/>
          <w:color w:val="000000"/>
        </w:rPr>
        <w:t>)</w:t>
      </w:r>
      <w:r>
        <w:rPr>
          <w:rFonts w:ascii="Book Antiqua" w:eastAsia="Book Antiqua" w:hAnsi="Book Antiqua" w:cs="Book Antiqua"/>
          <w:color w:val="000000"/>
        </w:rPr>
        <w:t xml:space="preserve"> to determine serum Fuc-Hpt levels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Recently, we established a novel glycan antibody </w:t>
      </w:r>
      <w:r w:rsidR="006F6250">
        <w:rPr>
          <w:rFonts w:ascii="Book Antiqua" w:eastAsia="Book Antiqua" w:hAnsi="Book Antiqua" w:cs="Book Antiqua"/>
          <w:color w:val="000000"/>
        </w:rPr>
        <w:t>[</w:t>
      </w:r>
      <w:r>
        <w:rPr>
          <w:rFonts w:ascii="Book Antiqua" w:eastAsia="Book Antiqua" w:hAnsi="Book Antiqua" w:cs="Book Antiqua"/>
          <w:color w:val="000000"/>
        </w:rPr>
        <w:t xml:space="preserve">10-7G monoclonal antibody </w:t>
      </w:r>
      <w:r w:rsidR="006F6250">
        <w:rPr>
          <w:rFonts w:ascii="Book Antiqua" w:eastAsia="Book Antiqua" w:hAnsi="Book Antiqua" w:cs="Book Antiqua"/>
          <w:color w:val="000000"/>
        </w:rPr>
        <w:t>(</w:t>
      </w:r>
      <w:r>
        <w:rPr>
          <w:rFonts w:ascii="Book Antiqua" w:eastAsia="Book Antiqua" w:hAnsi="Book Antiqua" w:cs="Book Antiqua"/>
          <w:color w:val="000000"/>
        </w:rPr>
        <w:t>mAb</w:t>
      </w:r>
      <w:r w:rsidR="006F6250">
        <w:rPr>
          <w:rFonts w:ascii="Book Antiqua" w:eastAsia="Book Antiqua" w:hAnsi="Book Antiqua" w:cs="Book Antiqua"/>
          <w:color w:val="000000"/>
        </w:rPr>
        <w:t>)</w:t>
      </w:r>
      <w:r>
        <w:rPr>
          <w:rFonts w:ascii="Book Antiqua" w:eastAsia="Book Antiqua" w:hAnsi="Book Antiqua" w:cs="Book Antiqua"/>
          <w:color w:val="000000"/>
        </w:rPr>
        <w:t>] that directly recognizes Fuc-Hpt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Epitope analysis of the 10-7G mAb indicated that the peptide recognized by this antibody is in the haptoglobin </w:t>
      </w:r>
      <w:r w:rsidR="000553E6" w:rsidRPr="000553E6">
        <w:rPr>
          <w:rFonts w:ascii="Book Antiqua" w:hAnsi="Book Antiqua" w:cs="Book Antiqua"/>
          <w:color w:val="000000"/>
          <w:lang w:eastAsia="zh-CN"/>
        </w:rPr>
        <w:t>α</w:t>
      </w:r>
      <w:r>
        <w:rPr>
          <w:rFonts w:ascii="Book Antiqua" w:eastAsia="Book Antiqua" w:hAnsi="Book Antiqua" w:cs="Book Antiqua"/>
          <w:color w:val="000000"/>
        </w:rPr>
        <w:t>-chain, and the epitope appears as a result of aberrant glycosylation, which induces a conformational change in mature haptoglobin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In human serum, the 10-7G mAb recognizes not only fucosylated mature haptoglobin (Fuc-mHpt) but also fucosylated prohaptoglobin (Fuc-pHpt), a precursor molecule. Moreover, affinity chromatography using the 10-7G mAb followed by lectin blotting and mass spectrometry analysis revealed that the 10-7G mAb predominantly recognizes both Fuc-mHpt and Fuc-pHpt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 novel ELISA we developed using the 10-7G mAb enables measurement of both types of Fuc-Hpt in the serum. Here, we use Fuc-Hpt to describe both Fuc-mHpt and Fuc-pHpt, and Fuc-Hpt levels determined using the 10-7G mAb ELISA are reported as 10-7G values (Figure 1). As expected, 10-7G values are increased in pancreatic cancer patients compared with healthy volunteers</w:t>
      </w:r>
      <w:r w:rsidR="0021282F">
        <w:rPr>
          <w:rFonts w:ascii="Book Antiqua" w:eastAsia="Book Antiqua" w:hAnsi="Book Antiqua" w:cs="Book Antiqua"/>
          <w:color w:val="000000"/>
        </w:rPr>
        <w:t xml:space="preserve"> </w:t>
      </w:r>
      <w:r w:rsidR="0021282F" w:rsidRPr="00EA2F3E">
        <w:rPr>
          <w:rFonts w:ascii="Book Antiqua" w:eastAsia="Book Antiqua" w:hAnsi="Book Antiqua" w:cs="Book Antiqua"/>
          <w:color w:val="000000"/>
        </w:rPr>
        <w:t>(HVs)</w:t>
      </w:r>
      <w:r>
        <w:rPr>
          <w:rFonts w:ascii="Book Antiqua" w:eastAsia="Book Antiqua" w:hAnsi="Book Antiqua" w:cs="Book Antiqua"/>
          <w:color w:val="000000"/>
          <w:szCs w:val="30"/>
          <w:vertAlign w:val="superscript"/>
        </w:rPr>
        <w:t>[14,16]</w:t>
      </w:r>
      <w:r>
        <w:rPr>
          <w:rFonts w:ascii="Book Antiqua" w:eastAsia="Book Antiqua" w:hAnsi="Book Antiqua" w:cs="Book Antiqua"/>
          <w:color w:val="000000"/>
        </w:rPr>
        <w:t>.</w:t>
      </w:r>
    </w:p>
    <w:p w14:paraId="3FCFAC71" w14:textId="54C20BFC" w:rsidR="00A77B3E" w:rsidRDefault="00485DAF" w:rsidP="006F6250">
      <w:pPr>
        <w:spacing w:line="360" w:lineRule="auto"/>
        <w:ind w:firstLineChars="100" w:firstLine="240"/>
        <w:jc w:val="both"/>
      </w:pPr>
      <w:r>
        <w:rPr>
          <w:rFonts w:ascii="Book Antiqua" w:eastAsia="Book Antiqua" w:hAnsi="Book Antiqua" w:cs="Book Antiqua"/>
          <w:color w:val="000000"/>
        </w:rPr>
        <w:t xml:space="preserve">We recently found that the 10-7G mAb can be used for immunohistochemical staining of lymphocytes and macrophages associated with pancreatic cancer tissues. In immunoblotting analyses using the 10-7G mAb, we demonstrated that some immune cell lines produce Fuc-Hpt and that several inflammatory cytokines induce its secretion (manuscript submitted). These results suggest that the production of Fuc-Hpt by immune cells is related to local immune conditions, such as those associated with cancer and inflammation. With respect to inflammatory diseases, IBD is one of the most </w:t>
      </w:r>
      <w:r w:rsidR="000553E6" w:rsidRPr="000553E6">
        <w:rPr>
          <w:rFonts w:ascii="Book Antiqua" w:eastAsia="Book Antiqua" w:hAnsi="Book Antiqua" w:cs="Book Antiqua"/>
          <w:color w:val="000000"/>
        </w:rPr>
        <w:t>representative diseases</w:t>
      </w:r>
      <w:r>
        <w:rPr>
          <w:rFonts w:ascii="Book Antiqua" w:eastAsia="Book Antiqua" w:hAnsi="Book Antiqua" w:cs="Book Antiqua"/>
          <w:color w:val="000000"/>
        </w:rPr>
        <w:t xml:space="preserve"> in terms of the relationship between immune cells and local immunity. </w:t>
      </w:r>
    </w:p>
    <w:p w14:paraId="1D174365" w14:textId="11FB99F5" w:rsidR="00A77B3E" w:rsidRDefault="00485DAF" w:rsidP="006F6250">
      <w:pPr>
        <w:spacing w:line="360" w:lineRule="auto"/>
        <w:ind w:firstLineChars="100" w:firstLine="240"/>
        <w:jc w:val="both"/>
      </w:pPr>
      <w:r>
        <w:rPr>
          <w:rFonts w:ascii="Book Antiqua" w:eastAsia="Book Antiqua" w:hAnsi="Book Antiqua" w:cs="Book Antiqua"/>
          <w:color w:val="000000"/>
        </w:rPr>
        <w:t>In general, serum haptoglobin levels increase during acute inflammation, as do levels of CRP</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and fucosylation of serum proteins increases dramatically in chronic inflammation</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As described above, the 10-7G mAb we developed recognizes characteristic types of haptoglobin, including Fuc-mHpt and Fuc-pHpt. In the present study, we investigated the usefulness of the 10-7G value as a potential serum biomarker for monitoring disease activity of IBD, comparing 10-7G values with several conventional serum biomarkers.</w:t>
      </w:r>
    </w:p>
    <w:p w14:paraId="20813317" w14:textId="77777777" w:rsidR="00A77B3E" w:rsidRDefault="00A77B3E" w:rsidP="007B0943">
      <w:pPr>
        <w:spacing w:line="360" w:lineRule="auto"/>
        <w:jc w:val="both"/>
      </w:pPr>
    </w:p>
    <w:p w14:paraId="1791B214" w14:textId="77777777" w:rsidR="00A77B3E" w:rsidRDefault="00485DAF">
      <w:pPr>
        <w:spacing w:line="360" w:lineRule="auto"/>
        <w:jc w:val="both"/>
      </w:pPr>
      <w:r>
        <w:rPr>
          <w:rFonts w:ascii="Book Antiqua" w:eastAsia="Book Antiqua" w:hAnsi="Book Antiqua" w:cs="Book Antiqua"/>
          <w:b/>
          <w:caps/>
          <w:color w:val="000000"/>
          <w:u w:val="single"/>
        </w:rPr>
        <w:t>MATERIALS AND METHODS</w:t>
      </w:r>
    </w:p>
    <w:p w14:paraId="4B696FFF" w14:textId="77777777" w:rsidR="00A77B3E" w:rsidRPr="00951829" w:rsidRDefault="00485DAF">
      <w:pPr>
        <w:spacing w:line="360" w:lineRule="auto"/>
        <w:jc w:val="both"/>
        <w:rPr>
          <w:b/>
          <w:bCs/>
        </w:rPr>
      </w:pPr>
      <w:r w:rsidRPr="00951829">
        <w:rPr>
          <w:rFonts w:ascii="Book Antiqua" w:eastAsia="Book Antiqua" w:hAnsi="Book Antiqua" w:cs="Book Antiqua"/>
          <w:b/>
          <w:bCs/>
          <w:i/>
          <w:iCs/>
          <w:color w:val="000000"/>
        </w:rPr>
        <w:t>Clinical samples</w:t>
      </w:r>
    </w:p>
    <w:p w14:paraId="26FA7576" w14:textId="43503FD2" w:rsidR="00A77B3E" w:rsidRDefault="00485DAF" w:rsidP="00951829">
      <w:pPr>
        <w:spacing w:line="360" w:lineRule="auto"/>
        <w:jc w:val="both"/>
      </w:pPr>
      <w:r>
        <w:rPr>
          <w:rFonts w:ascii="Book Antiqua" w:eastAsia="Book Antiqua" w:hAnsi="Book Antiqua" w:cs="Book Antiqua"/>
          <w:color w:val="000000"/>
        </w:rPr>
        <w:t>Serum samples were obtained from patients with CD (</w:t>
      </w:r>
      <w:r>
        <w:rPr>
          <w:rFonts w:ascii="Book Antiqua" w:eastAsia="Book Antiqua" w:hAnsi="Book Antiqua" w:cs="Book Antiqua"/>
          <w:i/>
          <w:iCs/>
          <w:color w:val="000000"/>
        </w:rPr>
        <w:t>n</w:t>
      </w:r>
      <w:r>
        <w:rPr>
          <w:rFonts w:ascii="Book Antiqua" w:eastAsia="Book Antiqua" w:hAnsi="Book Antiqua" w:cs="Book Antiqua"/>
          <w:color w:val="000000"/>
        </w:rPr>
        <w:t xml:space="preserve"> = 45), UC (</w:t>
      </w:r>
      <w:r>
        <w:rPr>
          <w:rFonts w:ascii="Book Antiqua" w:eastAsia="Book Antiqua" w:hAnsi="Book Antiqua" w:cs="Book Antiqua"/>
          <w:i/>
          <w:iCs/>
          <w:color w:val="000000"/>
        </w:rPr>
        <w:t>n</w:t>
      </w:r>
      <w:r>
        <w:rPr>
          <w:rFonts w:ascii="Book Antiqua" w:eastAsia="Book Antiqua" w:hAnsi="Book Antiqua" w:cs="Book Antiqua"/>
          <w:color w:val="000000"/>
        </w:rPr>
        <w:t xml:space="preserve"> = 110), and acute enteritis (AE; </w:t>
      </w:r>
      <w:r>
        <w:rPr>
          <w:rFonts w:ascii="Book Antiqua" w:eastAsia="Book Antiqua" w:hAnsi="Book Antiqua" w:cs="Book Antiqua"/>
          <w:i/>
          <w:iCs/>
          <w:color w:val="000000"/>
        </w:rPr>
        <w:t>n</w:t>
      </w:r>
      <w:r>
        <w:rPr>
          <w:rFonts w:ascii="Book Antiqua" w:eastAsia="Book Antiqua" w:hAnsi="Book Antiqua" w:cs="Book Antiqua"/>
          <w:color w:val="000000"/>
        </w:rPr>
        <w:t xml:space="preserve"> = 11) at Osaka University and Osaka University Hospital. Serum samples were also obtained from </w:t>
      </w:r>
      <w:r w:rsidRPr="00EA2F3E">
        <w:rPr>
          <w:rFonts w:ascii="Book Antiqua" w:eastAsia="Book Antiqua" w:hAnsi="Book Antiqua" w:cs="Book Antiqua"/>
          <w:color w:val="000000"/>
        </w:rPr>
        <w:t>HVs</w:t>
      </w:r>
      <w:r>
        <w:rPr>
          <w:rFonts w:ascii="Book Antiqua" w:eastAsia="Book Antiqua" w:hAnsi="Book Antiqua" w:cs="Book Antiqua"/>
          <w:color w:val="000000"/>
        </w:rPr>
        <w:t xml:space="preserve"> with normal serum CRP levels (≤</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0.3 mg/dL; </w:t>
      </w:r>
      <w:r>
        <w:rPr>
          <w:rFonts w:ascii="Book Antiqua" w:eastAsia="Book Antiqua" w:hAnsi="Book Antiqua" w:cs="Book Antiqua"/>
          <w:i/>
          <w:iCs/>
          <w:color w:val="000000"/>
        </w:rPr>
        <w:t>n</w:t>
      </w:r>
      <w:r>
        <w:rPr>
          <w:rFonts w:ascii="Book Antiqua" w:eastAsia="Book Antiqua" w:hAnsi="Book Antiqua" w:cs="Book Antiqua"/>
          <w:color w:val="000000"/>
        </w:rPr>
        <w:t xml:space="preserve"> = 20) and high serum CRP levels (&gt;</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0.3 mg/dL; </w:t>
      </w:r>
      <w:r>
        <w:rPr>
          <w:rFonts w:ascii="Book Antiqua" w:eastAsia="Book Antiqua" w:hAnsi="Book Antiqua" w:cs="Book Antiqua"/>
          <w:i/>
          <w:iCs/>
          <w:color w:val="000000"/>
        </w:rPr>
        <w:t>n</w:t>
      </w:r>
      <w:r>
        <w:rPr>
          <w:rFonts w:ascii="Book Antiqua" w:eastAsia="Book Antiqua" w:hAnsi="Book Antiqua" w:cs="Book Antiqua"/>
          <w:color w:val="000000"/>
        </w:rPr>
        <w:t xml:space="preserve"> = 79) who underwent medical health examinations at aMs New Otani Clinic, Osaka, Japan. Detailed characteristics of HVs and UC, CD, and AE patients are presented in Table 1. Resected intestinal tissue sections from patients with severe CD (</w:t>
      </w:r>
      <w:r>
        <w:rPr>
          <w:rFonts w:ascii="Book Antiqua" w:eastAsia="Book Antiqua" w:hAnsi="Book Antiqua" w:cs="Book Antiqua"/>
          <w:i/>
          <w:iCs/>
          <w:color w:val="000000"/>
        </w:rPr>
        <w:t>n</w:t>
      </w:r>
      <w:r>
        <w:rPr>
          <w:rFonts w:ascii="Book Antiqua" w:eastAsia="Book Antiqua" w:hAnsi="Book Antiqua" w:cs="Book Antiqua"/>
          <w:color w:val="000000"/>
        </w:rPr>
        <w:t xml:space="preserve"> = 5) or UC (</w:t>
      </w:r>
      <w:r>
        <w:rPr>
          <w:rFonts w:ascii="Book Antiqua" w:eastAsia="Book Antiqua" w:hAnsi="Book Antiqua" w:cs="Book Antiqua"/>
          <w:i/>
          <w:iCs/>
          <w:color w:val="000000"/>
        </w:rPr>
        <w:t>n</w:t>
      </w:r>
      <w:r>
        <w:rPr>
          <w:rFonts w:ascii="Book Antiqua" w:eastAsia="Book Antiqua" w:hAnsi="Book Antiqua" w:cs="Book Antiqua"/>
          <w:color w:val="000000"/>
        </w:rPr>
        <w:t xml:space="preserve"> = 5) were embedded in paraffin at the Department of Pathology of Osaka University Graduate School of Medicine. This study was approved by the ethics committee of Osaka University Hospital and conducted in accordance with approved guidelines (approval number 14107-10). Written informed consent was obtained from all subjects in this study at the time of enrollment or blood sampling.</w:t>
      </w:r>
    </w:p>
    <w:p w14:paraId="7178F1F4" w14:textId="77777777" w:rsidR="00A77B3E" w:rsidRDefault="00A77B3E" w:rsidP="006F6250">
      <w:pPr>
        <w:spacing w:line="360" w:lineRule="auto"/>
        <w:jc w:val="both"/>
      </w:pPr>
    </w:p>
    <w:p w14:paraId="47E6FF6C" w14:textId="77777777" w:rsidR="00A77B3E" w:rsidRPr="006F6250" w:rsidRDefault="00485DAF">
      <w:pPr>
        <w:spacing w:line="360" w:lineRule="auto"/>
        <w:jc w:val="both"/>
        <w:rPr>
          <w:b/>
          <w:bCs/>
        </w:rPr>
      </w:pPr>
      <w:r w:rsidRPr="006F6250">
        <w:rPr>
          <w:rFonts w:ascii="Book Antiqua" w:eastAsia="Book Antiqua" w:hAnsi="Book Antiqua" w:cs="Book Antiqua"/>
          <w:b/>
          <w:bCs/>
          <w:i/>
          <w:iCs/>
          <w:color w:val="000000"/>
        </w:rPr>
        <w:t>Immunohistochemistry</w:t>
      </w:r>
    </w:p>
    <w:p w14:paraId="03E1ADBA" w14:textId="7A7628F2" w:rsidR="00A77B3E" w:rsidRDefault="00485DAF" w:rsidP="006F6250">
      <w:pPr>
        <w:spacing w:line="360" w:lineRule="auto"/>
        <w:jc w:val="both"/>
      </w:pPr>
      <w:r>
        <w:rPr>
          <w:rFonts w:ascii="Book Antiqua" w:eastAsia="Book Antiqua" w:hAnsi="Book Antiqua" w:cs="Book Antiqua"/>
          <w:color w:val="000000"/>
        </w:rPr>
        <w:t xml:space="preserve">Tissue sample sections (4-µm thickness) were fixed in 10% formaldehyde and embedded in paraffin. Sections were then deparaffinized using a xylene alternative, Hemo-De (Falma, Tokyo, Japan), and then rehydrated in 100% ethanol (FUJIFILM Wako Pure Chemical Corporation, Osaka, Japan). The sections were rinsed with phosphate-buffered saline </w:t>
      </w:r>
      <w:r w:rsidR="006F6250">
        <w:rPr>
          <w:rFonts w:ascii="Book Antiqua" w:eastAsia="Book Antiqua" w:hAnsi="Book Antiqua" w:cs="Book Antiqua"/>
          <w:color w:val="000000"/>
        </w:rPr>
        <w:t>[</w:t>
      </w:r>
      <w:r>
        <w:rPr>
          <w:rFonts w:ascii="Book Antiqua" w:eastAsia="Book Antiqua" w:hAnsi="Book Antiqua" w:cs="Book Antiqua"/>
          <w:color w:val="000000"/>
        </w:rPr>
        <w:t>PBS; 137 mmol/L NaCl, 10 mmol/L Na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HPO</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2.7 mmol/L KCl, 1.76 mmol/L KH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PO</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w:t>
      </w:r>
      <w:r w:rsidR="006F6250">
        <w:rPr>
          <w:rFonts w:ascii="Book Antiqua" w:eastAsia="Book Antiqua" w:hAnsi="Book Antiqua" w:cs="Book Antiqua"/>
          <w:color w:val="000000"/>
        </w:rPr>
        <w:t>(</w:t>
      </w:r>
      <w:r>
        <w:rPr>
          <w:rFonts w:ascii="Book Antiqua" w:eastAsia="Book Antiqua" w:hAnsi="Book Antiqua" w:cs="Book Antiqua"/>
          <w:color w:val="000000"/>
        </w:rPr>
        <w:t>pH 7.4</w:t>
      </w:r>
      <w:r w:rsidR="006F6250">
        <w:rPr>
          <w:rFonts w:ascii="Book Antiqua" w:eastAsia="Book Antiqua" w:hAnsi="Book Antiqua" w:cs="Book Antiqua"/>
          <w:color w:val="000000"/>
        </w:rPr>
        <w:t>)</w:t>
      </w:r>
      <w:r>
        <w:rPr>
          <w:rFonts w:ascii="Book Antiqua" w:eastAsia="Book Antiqua" w:hAnsi="Book Antiqua" w:cs="Book Antiqua"/>
          <w:color w:val="000000"/>
        </w:rPr>
        <w:t xml:space="preserve">]. For antigen retrieval, sections were submerged in antigen-retrieval buffer </w:t>
      </w:r>
      <w:r w:rsidR="006F6250">
        <w:rPr>
          <w:rFonts w:ascii="Book Antiqua" w:eastAsia="Book Antiqua" w:hAnsi="Book Antiqua" w:cs="Book Antiqua"/>
          <w:color w:val="000000"/>
        </w:rPr>
        <w:t>[</w:t>
      </w:r>
      <w:r w:rsidR="009D4C1C" w:rsidRPr="00EA2F3E">
        <w:rPr>
          <w:rFonts w:ascii="Book Antiqua" w:eastAsia="Book Antiqua" w:hAnsi="Book Antiqua" w:cs="Book Antiqua"/>
        </w:rPr>
        <w:t>10</w:t>
      </w:r>
      <w:r w:rsidRPr="00EA2F3E">
        <w:rPr>
          <w:rFonts w:ascii="Book Antiqua" w:eastAsia="Book Antiqua" w:hAnsi="Book Antiqua" w:cs="Book Antiqua"/>
        </w:rPr>
        <w:t xml:space="preserve"> mmol/L Na</w:t>
      </w:r>
      <w:r w:rsidRPr="00EA2F3E">
        <w:rPr>
          <w:rFonts w:ascii="Book Antiqua" w:eastAsia="Book Antiqua" w:hAnsi="Book Antiqua" w:cs="Book Antiqua"/>
          <w:szCs w:val="30"/>
          <w:vertAlign w:val="subscript"/>
        </w:rPr>
        <w:t>3</w:t>
      </w:r>
      <w:r w:rsidRPr="00EA2F3E">
        <w:rPr>
          <w:rFonts w:ascii="Book Antiqua" w:eastAsia="Book Antiqua" w:hAnsi="Book Antiqua" w:cs="Book Antiqua"/>
        </w:rPr>
        <w:t>C</w:t>
      </w:r>
      <w:r w:rsidRPr="00EA2F3E">
        <w:rPr>
          <w:rFonts w:ascii="Book Antiqua" w:eastAsia="Book Antiqua" w:hAnsi="Book Antiqua" w:cs="Book Antiqua"/>
          <w:szCs w:val="30"/>
          <w:vertAlign w:val="subscript"/>
        </w:rPr>
        <w:t>6</w:t>
      </w:r>
      <w:r w:rsidRPr="00EA2F3E">
        <w:rPr>
          <w:rFonts w:ascii="Book Antiqua" w:eastAsia="Book Antiqua" w:hAnsi="Book Antiqua" w:cs="Book Antiqua"/>
        </w:rPr>
        <w:t>H</w:t>
      </w:r>
      <w:r w:rsidRPr="00EA2F3E">
        <w:rPr>
          <w:rFonts w:ascii="Book Antiqua" w:eastAsia="Book Antiqua" w:hAnsi="Book Antiqua" w:cs="Book Antiqua"/>
          <w:szCs w:val="30"/>
          <w:vertAlign w:val="subscript"/>
        </w:rPr>
        <w:t>5</w:t>
      </w:r>
      <w:r w:rsidRPr="00EA2F3E">
        <w:rPr>
          <w:rFonts w:ascii="Book Antiqua" w:eastAsia="Book Antiqua" w:hAnsi="Book Antiqua" w:cs="Book Antiqua"/>
        </w:rPr>
        <w:t>O</w:t>
      </w:r>
      <w:r w:rsidRPr="00EA2F3E">
        <w:rPr>
          <w:rFonts w:ascii="Book Antiqua" w:eastAsia="Book Antiqua" w:hAnsi="Book Antiqua" w:cs="Book Antiqua"/>
          <w:szCs w:val="30"/>
          <w:vertAlign w:val="subscript"/>
        </w:rPr>
        <w:t>7</w:t>
      </w:r>
      <w:r w:rsidRPr="00EA2F3E">
        <w:rPr>
          <w:rFonts w:ascii="Book Antiqua" w:eastAsia="Book Antiqua" w:hAnsi="Book Antiqua" w:cs="Book Antiqua"/>
        </w:rPr>
        <w:t xml:space="preserve"> </w:t>
      </w:r>
      <w:r w:rsidR="006F6250" w:rsidRPr="00EA2F3E">
        <w:rPr>
          <w:rFonts w:ascii="Book Antiqua" w:eastAsia="Book Antiqua" w:hAnsi="Book Antiqua" w:cs="Book Antiqua"/>
        </w:rPr>
        <w:t>(</w:t>
      </w:r>
      <w:r w:rsidRPr="00EA2F3E">
        <w:rPr>
          <w:rFonts w:ascii="Book Antiqua" w:eastAsia="Book Antiqua" w:hAnsi="Book Antiqua" w:cs="Book Antiqua"/>
        </w:rPr>
        <w:t>pH 6.0</w:t>
      </w:r>
      <w:r w:rsidR="006F6250" w:rsidRPr="00EA2F3E">
        <w:rPr>
          <w:rFonts w:ascii="Book Antiqua" w:eastAsia="Book Antiqua" w:hAnsi="Book Antiqua" w:cs="Book Antiqua"/>
        </w:rPr>
        <w:t>)</w:t>
      </w:r>
      <w:r w:rsidRPr="00EA2F3E">
        <w:rPr>
          <w:rFonts w:ascii="Book Antiqua" w:eastAsia="Book Antiqua" w:hAnsi="Book Antiqua" w:cs="Book Antiqua"/>
        </w:rPr>
        <w:t>]</w:t>
      </w:r>
      <w:r>
        <w:rPr>
          <w:rFonts w:ascii="Book Antiqua" w:eastAsia="Book Antiqua" w:hAnsi="Book Antiqua" w:cs="Book Antiqua"/>
          <w:color w:val="000000"/>
        </w:rPr>
        <w:t xml:space="preserve"> for 30 s at 125</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°C and then submerged for 10 s at 90°C in a Pascal decloaking chamber (Dako, Glostrup, Denmark). The sections were cooled for 10 min in the chamber and 10 min at room temperature (RT) following antigen retrieval. After rinsing in Tris-buffered saline containing Tween 20 </w:t>
      </w:r>
      <w:r w:rsidR="006F6250">
        <w:rPr>
          <w:rFonts w:ascii="Book Antiqua" w:eastAsia="Book Antiqua" w:hAnsi="Book Antiqua" w:cs="Book Antiqua"/>
          <w:color w:val="000000"/>
        </w:rPr>
        <w:t>[</w:t>
      </w:r>
      <w:r>
        <w:rPr>
          <w:rFonts w:ascii="Book Antiqua" w:eastAsia="Book Antiqua" w:hAnsi="Book Antiqua" w:cs="Book Antiqua"/>
          <w:color w:val="000000"/>
        </w:rPr>
        <w:t xml:space="preserve">TBST; 136 mmol/L NaCl, 2.6 mmol/L KCl, 24 mmol/L Tris, 0.005% Tween 20 </w:t>
      </w:r>
      <w:r w:rsidR="006F6250">
        <w:rPr>
          <w:rFonts w:ascii="Book Antiqua" w:eastAsia="Book Antiqua" w:hAnsi="Book Antiqua" w:cs="Book Antiqua"/>
          <w:color w:val="000000"/>
        </w:rPr>
        <w:t>(</w:t>
      </w:r>
      <w:r>
        <w:rPr>
          <w:rFonts w:ascii="Book Antiqua" w:eastAsia="Book Antiqua" w:hAnsi="Book Antiqua" w:cs="Book Antiqua"/>
          <w:color w:val="000000"/>
        </w:rPr>
        <w:t>pH 7.4</w:t>
      </w:r>
      <w:r w:rsidR="006F6250">
        <w:rPr>
          <w:rFonts w:ascii="Book Antiqua" w:eastAsia="Book Antiqua" w:hAnsi="Book Antiqua" w:cs="Book Antiqua"/>
          <w:color w:val="000000"/>
        </w:rPr>
        <w:t>)</w:t>
      </w:r>
      <w:r>
        <w:rPr>
          <w:rFonts w:ascii="Book Antiqua" w:eastAsia="Book Antiqua" w:hAnsi="Book Antiqua" w:cs="Book Antiqua"/>
          <w:color w:val="000000"/>
        </w:rPr>
        <w:t>], endogenous peroxidase activity was blocked by incubation in Dako REAL peroxidase-blocking solution (Dako) for 5 min at RT. The sections were incubated overnight at 4</w:t>
      </w:r>
      <w:r w:rsidR="006F6250">
        <w:rPr>
          <w:rFonts w:ascii="Book Antiqua" w:eastAsia="Book Antiqua" w:hAnsi="Book Antiqua" w:cs="Book Antiqua"/>
          <w:color w:val="000000"/>
        </w:rPr>
        <w:t xml:space="preserve"> </w:t>
      </w:r>
      <w:r>
        <w:rPr>
          <w:rFonts w:ascii="Book Antiqua" w:eastAsia="Book Antiqua" w:hAnsi="Book Antiqua" w:cs="Book Antiqua"/>
          <w:color w:val="000000"/>
        </w:rPr>
        <w:t>°C with 0.22 µg/mL of the 10-7G mAb diluted in Dako REAL antibody diluent (Dako). Next, the sections were incubated with Dako ChemMate ENVISION kit/HRP (DAB) (Dako) for 30 min at RT. After each incubation step, the sections were washed with TBST three times for 5 min each. Subsequently, the sections were incubated with DAB+ chromogen solution (Dako) diluted with DAB substrate buffer (Dako) for 3 min to develop the stain. Finally, the slides were counterstained with hematoxylin (CHROMA, Nordrhein-Westfalen, Germany), dehydrated, cleared, and mounted. Images were acquired using a BZ-9000 microscope (KEYENCE, Osaka, Japan).</w:t>
      </w:r>
    </w:p>
    <w:p w14:paraId="03D263BC" w14:textId="77777777" w:rsidR="00A77B3E" w:rsidRDefault="00A77B3E" w:rsidP="006F6250">
      <w:pPr>
        <w:spacing w:line="360" w:lineRule="auto"/>
        <w:jc w:val="both"/>
      </w:pPr>
    </w:p>
    <w:p w14:paraId="3948C863" w14:textId="77777777" w:rsidR="00A77B3E" w:rsidRPr="006F6250" w:rsidRDefault="00485DAF">
      <w:pPr>
        <w:spacing w:line="360" w:lineRule="auto"/>
        <w:jc w:val="both"/>
        <w:rPr>
          <w:b/>
          <w:bCs/>
        </w:rPr>
      </w:pPr>
      <w:r w:rsidRPr="006F6250">
        <w:rPr>
          <w:rFonts w:ascii="Book Antiqua" w:eastAsia="Book Antiqua" w:hAnsi="Book Antiqua" w:cs="Book Antiqua"/>
          <w:b/>
          <w:bCs/>
          <w:i/>
          <w:iCs/>
          <w:color w:val="000000"/>
        </w:rPr>
        <w:t>ELISAs</w:t>
      </w:r>
    </w:p>
    <w:p w14:paraId="383C546F" w14:textId="42ABBE01" w:rsidR="00A77B3E" w:rsidRDefault="00485DAF" w:rsidP="006F6250">
      <w:pPr>
        <w:spacing w:line="360" w:lineRule="auto"/>
        <w:jc w:val="both"/>
      </w:pPr>
      <w:r>
        <w:rPr>
          <w:rFonts w:ascii="Book Antiqua" w:eastAsia="Book Antiqua" w:hAnsi="Book Antiqua" w:cs="Book Antiqua"/>
          <w:color w:val="000000"/>
        </w:rPr>
        <w:t>The 10-7G mAb ELISA was performed according to our previously reported method, with slight modifications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3,3’,5,5’-Tetramethylbiphenyl-4-4’-diamine solution was used for color development, as described previously</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 chromogen and the optical density were measured at 450 nm using an iMark™ microplate absorbance reader (Bio-Rad, Hercules, CA, U</w:t>
      </w:r>
      <w:r w:rsidR="006F6250">
        <w:rPr>
          <w:rFonts w:ascii="Book Antiqua" w:eastAsia="Book Antiqua" w:hAnsi="Book Antiqua" w:cs="Book Antiqua"/>
          <w:color w:val="000000"/>
        </w:rPr>
        <w:t>nited States</w:t>
      </w:r>
      <w:r>
        <w:rPr>
          <w:rFonts w:ascii="Book Antiqua" w:eastAsia="Book Antiqua" w:hAnsi="Book Antiqua" w:cs="Book Antiqua"/>
          <w:color w:val="000000"/>
        </w:rPr>
        <w:t>).</w:t>
      </w:r>
    </w:p>
    <w:p w14:paraId="7D7FF153" w14:textId="66BF597A" w:rsidR="00A77B3E" w:rsidRDefault="00485DAF" w:rsidP="006F6250">
      <w:pPr>
        <w:spacing w:line="360" w:lineRule="auto"/>
        <w:ind w:firstLineChars="100" w:firstLine="240"/>
        <w:jc w:val="both"/>
      </w:pPr>
      <w:r>
        <w:rPr>
          <w:rFonts w:ascii="Book Antiqua" w:eastAsia="Book Antiqua" w:hAnsi="Book Antiqua" w:cs="Book Antiqua"/>
          <w:color w:val="000000"/>
        </w:rPr>
        <w:t>A lectin-antibody ELISA was used to determine serum Fuc-mHpt levels, as described previously</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Fab fragment of anti-haptoglobin polyclonal antibody (pAb) (Dako) was coated onto an ELISA plate to capture serum haptoglobin, and fucosylation of haptoglobin was detected using biotinylated </w:t>
      </w:r>
      <w:r>
        <w:rPr>
          <w:rFonts w:ascii="Book Antiqua" w:eastAsia="Book Antiqua" w:hAnsi="Book Antiqua" w:cs="Book Antiqua"/>
          <w:i/>
          <w:iCs/>
          <w:color w:val="000000"/>
        </w:rPr>
        <w:t>Aleuria aurantia</w:t>
      </w:r>
      <w:r>
        <w:rPr>
          <w:rFonts w:ascii="Book Antiqua" w:eastAsia="Book Antiqua" w:hAnsi="Book Antiqua" w:cs="Book Antiqua"/>
          <w:color w:val="000000"/>
        </w:rPr>
        <w:t xml:space="preserve"> lectin (AAL). Serum Fuc-mHpt levels determined using this lectin-antibody ELISA are reported as AAL-mHpt.</w:t>
      </w:r>
    </w:p>
    <w:p w14:paraId="3059F68A" w14:textId="77777777" w:rsidR="00A77B3E" w:rsidRDefault="00485DAF" w:rsidP="006F6250">
      <w:pPr>
        <w:spacing w:line="360" w:lineRule="auto"/>
        <w:ind w:firstLineChars="100" w:firstLine="240"/>
        <w:jc w:val="both"/>
      </w:pPr>
      <w:r>
        <w:rPr>
          <w:rFonts w:ascii="Book Antiqua" w:eastAsia="Book Antiqua" w:hAnsi="Book Antiqua" w:cs="Book Antiqua"/>
          <w:color w:val="000000"/>
        </w:rPr>
        <w:t>Serum levels of leucine-rich alpha-2 glycoprotein (LRG) were determined using a human LRG assay kit (IBL, Gunma, Japan), according to the manufacturer’s instructions.</w:t>
      </w:r>
    </w:p>
    <w:p w14:paraId="0653C981" w14:textId="77777777" w:rsidR="00A77B3E" w:rsidRDefault="00A77B3E" w:rsidP="006F6250">
      <w:pPr>
        <w:spacing w:line="360" w:lineRule="auto"/>
        <w:jc w:val="both"/>
      </w:pPr>
    </w:p>
    <w:p w14:paraId="57660446" w14:textId="6FCCD6BE" w:rsidR="00A77B3E" w:rsidRPr="006F6250" w:rsidRDefault="00485DAF">
      <w:pPr>
        <w:spacing w:line="360" w:lineRule="auto"/>
        <w:jc w:val="both"/>
        <w:rPr>
          <w:b/>
          <w:bCs/>
        </w:rPr>
      </w:pPr>
      <w:r w:rsidRPr="006F6250">
        <w:rPr>
          <w:rFonts w:ascii="Book Antiqua" w:eastAsia="Book Antiqua" w:hAnsi="Book Antiqua" w:cs="Book Antiqua"/>
          <w:b/>
          <w:bCs/>
          <w:i/>
          <w:iCs/>
          <w:color w:val="000000"/>
        </w:rPr>
        <w:t>pHpt plasmid construction</w:t>
      </w:r>
    </w:p>
    <w:p w14:paraId="7FBEC3EC" w14:textId="08A457EA" w:rsidR="00A77B3E" w:rsidRDefault="00485DAF" w:rsidP="006F6250">
      <w:pPr>
        <w:spacing w:line="360" w:lineRule="auto"/>
        <w:jc w:val="both"/>
      </w:pPr>
      <w:r>
        <w:rPr>
          <w:rFonts w:ascii="Book Antiqua" w:eastAsia="Book Antiqua" w:hAnsi="Book Antiqua" w:cs="Book Antiqua"/>
          <w:color w:val="000000"/>
        </w:rPr>
        <w:t xml:space="preserve">A pcDNA3.1-Hyg (+) vector (Invitrogen, Carlsbad, CA, </w:t>
      </w:r>
      <w:r w:rsidR="006F6250">
        <w:rPr>
          <w:rFonts w:ascii="Book Antiqua" w:eastAsia="Book Antiqua" w:hAnsi="Book Antiqua" w:cs="Book Antiqua"/>
          <w:color w:val="000000"/>
        </w:rPr>
        <w:t>United States</w:t>
      </w:r>
      <w:r>
        <w:rPr>
          <w:rFonts w:ascii="Book Antiqua" w:eastAsia="Book Antiqua" w:hAnsi="Book Antiqua" w:cs="Book Antiqua"/>
          <w:color w:val="000000"/>
        </w:rPr>
        <w:t>) encoding the human haptoglobin transcript variant 1 (Hpt2) gene was prepared as previously described</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To construct the human pHpt expression vector, site-directed mutagenesis was employed to replace arginine with glutamine at residue 161, which is important for digestion by complement C1r subcomponent-like protein (C1RL). Amino acid substitution was carried out by </w:t>
      </w:r>
      <w:r w:rsidR="006F6250" w:rsidRPr="006F6250">
        <w:rPr>
          <w:rFonts w:ascii="Book Antiqua" w:eastAsia="Book Antiqua" w:hAnsi="Book Antiqua" w:cs="Book Antiqua"/>
          <w:color w:val="000000"/>
        </w:rPr>
        <w:t xml:space="preserve">polymerase chain reaction </w:t>
      </w:r>
      <w:r w:rsidR="006F6250">
        <w:rPr>
          <w:rFonts w:ascii="Book Antiqua" w:eastAsia="Book Antiqua" w:hAnsi="Book Antiqua" w:cs="Book Antiqua"/>
          <w:color w:val="000000"/>
        </w:rPr>
        <w:t>(</w:t>
      </w:r>
      <w:r>
        <w:rPr>
          <w:rFonts w:ascii="Book Antiqua" w:eastAsia="Book Antiqua" w:hAnsi="Book Antiqua" w:cs="Book Antiqua"/>
          <w:color w:val="000000"/>
        </w:rPr>
        <w:t>PCR</w:t>
      </w:r>
      <w:r w:rsidR="006F6250">
        <w:rPr>
          <w:rFonts w:ascii="Book Antiqua" w:eastAsia="Book Antiqua" w:hAnsi="Book Antiqua" w:cs="Book Antiqua"/>
          <w:color w:val="000000"/>
        </w:rPr>
        <w:t>)</w:t>
      </w:r>
      <w:r>
        <w:rPr>
          <w:rFonts w:ascii="Book Antiqua" w:eastAsia="Book Antiqua" w:hAnsi="Book Antiqua" w:cs="Book Antiqua"/>
          <w:color w:val="000000"/>
        </w:rPr>
        <w:t>. In brief, the cycle parameters were as follows: initial denaturation at 95</w:t>
      </w:r>
      <w:r w:rsidR="006F6250">
        <w:rPr>
          <w:rFonts w:ascii="Book Antiqua" w:eastAsia="Book Antiqua" w:hAnsi="Book Antiqua" w:cs="Book Antiqua"/>
          <w:color w:val="000000"/>
        </w:rPr>
        <w:t xml:space="preserve"> </w:t>
      </w:r>
      <w:r>
        <w:rPr>
          <w:rFonts w:ascii="Book Antiqua" w:eastAsia="Book Antiqua" w:hAnsi="Book Antiqua" w:cs="Book Antiqua"/>
          <w:color w:val="000000"/>
        </w:rPr>
        <w:t>°C for 3 min, one cycle of 98</w:t>
      </w:r>
      <w:r w:rsidR="006F6250">
        <w:rPr>
          <w:rFonts w:ascii="Book Antiqua" w:eastAsia="Book Antiqua" w:hAnsi="Book Antiqua" w:cs="Book Antiqua"/>
          <w:color w:val="000000"/>
        </w:rPr>
        <w:t xml:space="preserve"> </w:t>
      </w:r>
      <w:r>
        <w:rPr>
          <w:rFonts w:ascii="Book Antiqua" w:eastAsia="Book Antiqua" w:hAnsi="Book Antiqua" w:cs="Book Antiqua"/>
          <w:color w:val="000000"/>
        </w:rPr>
        <w:t>°C for 10 s, 50</w:t>
      </w:r>
      <w:r w:rsidR="006F6250">
        <w:rPr>
          <w:rFonts w:ascii="Book Antiqua" w:eastAsia="Book Antiqua" w:hAnsi="Book Antiqua" w:cs="Book Antiqua"/>
          <w:color w:val="000000"/>
        </w:rPr>
        <w:t xml:space="preserve"> </w:t>
      </w:r>
      <w:r>
        <w:rPr>
          <w:rFonts w:ascii="Book Antiqua" w:eastAsia="Book Antiqua" w:hAnsi="Book Antiqua" w:cs="Book Antiqua"/>
          <w:color w:val="000000"/>
        </w:rPr>
        <w:t>°C for 2 min, and 68</w:t>
      </w:r>
      <w:r w:rsidR="006F6250">
        <w:rPr>
          <w:rFonts w:ascii="Book Antiqua" w:eastAsia="Book Antiqua" w:hAnsi="Book Antiqua" w:cs="Book Antiqua"/>
          <w:color w:val="000000"/>
        </w:rPr>
        <w:t xml:space="preserve"> </w:t>
      </w:r>
      <w:r>
        <w:rPr>
          <w:rFonts w:ascii="Book Antiqua" w:eastAsia="Book Antiqua" w:hAnsi="Book Antiqua" w:cs="Book Antiqua"/>
          <w:color w:val="000000"/>
        </w:rPr>
        <w:t>°C for 8 min, followed by 35 cycles of 10 s of denaturation at 98</w:t>
      </w:r>
      <w:r w:rsidR="006F6250">
        <w:rPr>
          <w:rFonts w:ascii="Book Antiqua" w:eastAsia="Book Antiqua" w:hAnsi="Book Antiqua" w:cs="Book Antiqua"/>
          <w:color w:val="000000"/>
        </w:rPr>
        <w:t xml:space="preserve"> </w:t>
      </w:r>
      <w:r>
        <w:rPr>
          <w:rFonts w:ascii="Book Antiqua" w:eastAsia="Book Antiqua" w:hAnsi="Book Antiqua" w:cs="Book Antiqua"/>
          <w:color w:val="000000"/>
        </w:rPr>
        <w:t>°C, 15 s annealing at 5</w:t>
      </w:r>
      <w:r w:rsidR="00683EBD">
        <w:rPr>
          <w:rFonts w:ascii="Book Antiqua" w:eastAsia="Book Antiqua" w:hAnsi="Book Antiqua" w:cs="Book Antiqua"/>
          <w:color w:val="000000"/>
        </w:rPr>
        <w:t>7</w:t>
      </w:r>
      <w:r w:rsidR="006F6250">
        <w:rPr>
          <w:rFonts w:ascii="Book Antiqua" w:eastAsia="Book Antiqua" w:hAnsi="Book Antiqua" w:cs="Book Antiqua"/>
          <w:color w:val="000000"/>
        </w:rPr>
        <w:t xml:space="preserve"> </w:t>
      </w:r>
      <w:r>
        <w:rPr>
          <w:rFonts w:ascii="Book Antiqua" w:eastAsia="Book Antiqua" w:hAnsi="Book Antiqua" w:cs="Book Antiqua"/>
          <w:color w:val="000000"/>
        </w:rPr>
        <w:t>°C, and an 8-min extension at 68</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°C. The resulting DNA fragments were ligated with T4 DNA ligase (Promega, Madison, WI, </w:t>
      </w:r>
      <w:r w:rsidR="006F6250">
        <w:rPr>
          <w:rFonts w:ascii="Book Antiqua" w:eastAsia="Book Antiqua" w:hAnsi="Book Antiqua" w:cs="Book Antiqua"/>
          <w:color w:val="000000"/>
        </w:rPr>
        <w:t>United States</w:t>
      </w:r>
      <w:r>
        <w:rPr>
          <w:rFonts w:ascii="Book Antiqua" w:eastAsia="Book Antiqua" w:hAnsi="Book Antiqua" w:cs="Book Antiqua"/>
          <w:color w:val="000000"/>
        </w:rPr>
        <w:t>). Primer sequences were as follows: sense, CCAAGAATCCGGCAAA</w:t>
      </w:r>
      <w:r w:rsidR="00F713F6">
        <w:rPr>
          <w:rFonts w:ascii="Book Antiqua" w:hAnsi="Book Antiqua" w:cs="Book Antiqua" w:hint="eastAsia"/>
          <w:color w:val="000000"/>
          <w:lang w:eastAsia="zh-CN"/>
        </w:rPr>
        <w:t>-</w:t>
      </w:r>
      <w:r>
        <w:rPr>
          <w:rFonts w:ascii="Book Antiqua" w:eastAsia="Book Antiqua" w:hAnsi="Book Antiqua" w:cs="Book Antiqua"/>
          <w:color w:val="000000"/>
        </w:rPr>
        <w:t>CCCAGTGCAGCAGATCCTGGGTGGAC; anti-sense, GGCATCCAGGTGTCCACCCAGGATCTGCTGCACTGGGTTTGCC. The mutated sequences were confirmed by sequencing analysis.</w:t>
      </w:r>
    </w:p>
    <w:p w14:paraId="546F3469" w14:textId="77777777" w:rsidR="00A77B3E" w:rsidRDefault="00A77B3E" w:rsidP="006F6250">
      <w:pPr>
        <w:spacing w:line="360" w:lineRule="auto"/>
        <w:jc w:val="both"/>
      </w:pPr>
    </w:p>
    <w:p w14:paraId="493A8DC4" w14:textId="77777777" w:rsidR="00A77B3E" w:rsidRPr="006F6250" w:rsidRDefault="00485DAF">
      <w:pPr>
        <w:spacing w:line="360" w:lineRule="auto"/>
        <w:jc w:val="both"/>
        <w:rPr>
          <w:b/>
          <w:bCs/>
        </w:rPr>
      </w:pPr>
      <w:r w:rsidRPr="006F6250">
        <w:rPr>
          <w:rFonts w:ascii="Book Antiqua" w:eastAsia="Book Antiqua" w:hAnsi="Book Antiqua" w:cs="Book Antiqua"/>
          <w:b/>
          <w:bCs/>
          <w:i/>
          <w:iCs/>
          <w:color w:val="000000"/>
        </w:rPr>
        <w:t>Purification of Fuc-pHpt from HEK293T cells</w:t>
      </w:r>
    </w:p>
    <w:p w14:paraId="665D6813" w14:textId="0782867A" w:rsidR="00A77B3E" w:rsidRDefault="00485DAF" w:rsidP="006F6250">
      <w:pPr>
        <w:spacing w:line="360" w:lineRule="auto"/>
        <w:jc w:val="both"/>
      </w:pPr>
      <w:r>
        <w:rPr>
          <w:rFonts w:ascii="Book Antiqua" w:eastAsia="Book Antiqua" w:hAnsi="Book Antiqua" w:cs="Book Antiqua"/>
          <w:color w:val="000000"/>
        </w:rPr>
        <w:t xml:space="preserve">Human embryonic kidney cells (HEK293T) were obtained from the American Type Culture Collection (Manassas, VA, </w:t>
      </w:r>
      <w:r w:rsidR="006F6250">
        <w:rPr>
          <w:rFonts w:ascii="Book Antiqua" w:eastAsia="Book Antiqua" w:hAnsi="Book Antiqua" w:cs="Book Antiqua"/>
          <w:color w:val="000000"/>
        </w:rPr>
        <w:t>United States</w:t>
      </w:r>
      <w:r>
        <w:rPr>
          <w:rFonts w:ascii="Book Antiqua" w:eastAsia="Book Antiqua" w:hAnsi="Book Antiqua" w:cs="Book Antiqua"/>
          <w:color w:val="000000"/>
        </w:rPr>
        <w:t>) and maintained at 37</w:t>
      </w:r>
      <w:r w:rsidR="006F6250">
        <w:rPr>
          <w:rFonts w:ascii="Book Antiqua" w:eastAsia="Book Antiqua" w:hAnsi="Book Antiqua" w:cs="Book Antiqua"/>
          <w:color w:val="000000"/>
        </w:rPr>
        <w:t xml:space="preserve"> </w:t>
      </w:r>
      <w:r>
        <w:rPr>
          <w:rFonts w:ascii="Book Antiqua" w:eastAsia="Book Antiqua" w:hAnsi="Book Antiqua" w:cs="Book Antiqua"/>
          <w:color w:val="000000"/>
        </w:rPr>
        <w:t>°C in a humidified atmosphere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and 95% air in DMEM high-glucose (Nacalai Tesque Inc., Kyoto, Japan) medium supplemented with 10% heat-inactivated fetal bovine serum (HyClone, Logan, UT, </w:t>
      </w:r>
      <w:r w:rsidR="006F6250">
        <w:rPr>
          <w:rFonts w:ascii="Book Antiqua" w:eastAsia="Book Antiqua" w:hAnsi="Book Antiqua" w:cs="Book Antiqua"/>
          <w:color w:val="000000"/>
        </w:rPr>
        <w:t>United States</w:t>
      </w:r>
      <w:r>
        <w:rPr>
          <w:rFonts w:ascii="Book Antiqua" w:eastAsia="Book Antiqua" w:hAnsi="Book Antiqua" w:cs="Book Antiqua"/>
          <w:color w:val="000000"/>
        </w:rPr>
        <w:t>), 100 units/mL of penicillin, and 100 μg/mL of streptomycin (Nacalai Tesque Inc.).</w:t>
      </w:r>
    </w:p>
    <w:p w14:paraId="286E92DF" w14:textId="3EA26638" w:rsidR="00A77B3E" w:rsidRDefault="00485DAF" w:rsidP="006F6250">
      <w:pPr>
        <w:spacing w:line="360" w:lineRule="auto"/>
        <w:ind w:firstLineChars="100" w:firstLine="240"/>
        <w:jc w:val="both"/>
      </w:pPr>
      <w:r>
        <w:rPr>
          <w:rFonts w:ascii="Book Antiqua" w:eastAsia="Book Antiqua" w:hAnsi="Book Antiqua" w:cs="Book Antiqua"/>
          <w:color w:val="000000"/>
        </w:rPr>
        <w:t>HEK293T cells were transfected with the expression vector pcDNA3.1-Hyg(+) containing the mutated Hpt2 gene. After 24 h of incubation, transfected cells were selected using hygromycin B (Wako) for 2</w:t>
      </w:r>
      <w:r w:rsidR="006F6250">
        <w:rPr>
          <w:rFonts w:ascii="Book Antiqua" w:eastAsia="Book Antiqua" w:hAnsi="Book Antiqua" w:cs="Book Antiqua"/>
          <w:color w:val="000000"/>
        </w:rPr>
        <w:t>-</w:t>
      </w:r>
      <w:r>
        <w:rPr>
          <w:rFonts w:ascii="Book Antiqua" w:eastAsia="Book Antiqua" w:hAnsi="Book Antiqua" w:cs="Book Antiqua"/>
          <w:color w:val="000000"/>
        </w:rPr>
        <w:t>3 wk to obtain the pHpt-overexpressing stable transfectants.</w:t>
      </w:r>
    </w:p>
    <w:p w14:paraId="3505330E" w14:textId="13787FF2" w:rsidR="00A77B3E" w:rsidRDefault="00485DAF" w:rsidP="006F6250">
      <w:pPr>
        <w:spacing w:line="360" w:lineRule="auto"/>
        <w:ind w:firstLineChars="100" w:firstLine="240"/>
        <w:jc w:val="both"/>
      </w:pPr>
      <w:r>
        <w:rPr>
          <w:rFonts w:ascii="Book Antiqua" w:eastAsia="Book Antiqua" w:hAnsi="Book Antiqua" w:cs="Book Antiqua"/>
          <w:color w:val="000000"/>
        </w:rPr>
        <w:t>Fuc-pHpt products were collected from the conditioned medium of pHpt-overexpressing HEK293T cells and purified using an affinity chromatography column coupled with 10-7G mAb, as previously described</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concentration of Fuc-pHpt was determined using a Nano Drop 1000 spectrophotometer (Thermo Fisher Scientific, Waltham, MA, </w:t>
      </w:r>
      <w:r w:rsidR="006F6250">
        <w:rPr>
          <w:rFonts w:ascii="Book Antiqua" w:eastAsia="Book Antiqua" w:hAnsi="Book Antiqua" w:cs="Book Antiqua"/>
          <w:color w:val="000000"/>
        </w:rPr>
        <w:t>United States</w:t>
      </w:r>
      <w:r>
        <w:rPr>
          <w:rFonts w:ascii="Book Antiqua" w:eastAsia="Book Antiqua" w:hAnsi="Book Antiqua" w:cs="Book Antiqua"/>
          <w:color w:val="000000"/>
        </w:rPr>
        <w:t>).</w:t>
      </w:r>
    </w:p>
    <w:p w14:paraId="238462D9" w14:textId="77777777" w:rsidR="00A77B3E" w:rsidRDefault="00A77B3E" w:rsidP="006F6250">
      <w:pPr>
        <w:spacing w:line="360" w:lineRule="auto"/>
        <w:jc w:val="both"/>
      </w:pPr>
    </w:p>
    <w:p w14:paraId="28D0F29B" w14:textId="77777777" w:rsidR="00A77B3E" w:rsidRPr="006F6250" w:rsidRDefault="00485DAF">
      <w:pPr>
        <w:spacing w:line="360" w:lineRule="auto"/>
        <w:jc w:val="both"/>
        <w:rPr>
          <w:b/>
          <w:bCs/>
        </w:rPr>
      </w:pPr>
      <w:r w:rsidRPr="006F6250">
        <w:rPr>
          <w:rFonts w:ascii="Book Antiqua" w:eastAsia="Book Antiqua" w:hAnsi="Book Antiqua" w:cs="Book Antiqua"/>
          <w:b/>
          <w:bCs/>
          <w:i/>
          <w:iCs/>
          <w:color w:val="000000"/>
        </w:rPr>
        <w:t>Fuc-pHpt semi-quantification by Western blotting</w:t>
      </w:r>
    </w:p>
    <w:p w14:paraId="72F7DAA1" w14:textId="5977C277" w:rsidR="00A77B3E" w:rsidRDefault="00485DAF" w:rsidP="006F6250">
      <w:pPr>
        <w:spacing w:line="360" w:lineRule="auto"/>
        <w:jc w:val="both"/>
      </w:pPr>
      <w:r>
        <w:rPr>
          <w:rFonts w:ascii="Book Antiqua" w:eastAsia="Book Antiqua" w:hAnsi="Book Antiqua" w:cs="Book Antiqua"/>
          <w:color w:val="000000"/>
        </w:rPr>
        <w:t>A 0.25-μL aliquot of serum in 10 μL of PBS was electrophoresed on a 10% polyacrylamide gel and transferred onto a polyvinylidene difluoride membrane. After blocking with 5% skim milk for 1 h, the membrane was incubated with 1/7500-diluted 10-7G mAb at 4</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°C overnight. After three 10-min washes with TBST, the membrane was incubated with peroxidase-conjugated anti-mouse </w:t>
      </w:r>
      <w:bookmarkStart w:id="2" w:name="_Hlk56435039"/>
      <w:r w:rsidR="006F6250" w:rsidRPr="00346603">
        <w:rPr>
          <w:rFonts w:ascii="Book Antiqua" w:eastAsia="Book Antiqua" w:hAnsi="Book Antiqua" w:cs="Book Antiqua"/>
          <w:color w:val="000000"/>
        </w:rPr>
        <w:t>immunoglobulin</w:t>
      </w:r>
      <w:bookmarkEnd w:id="2"/>
      <w:r w:rsidR="006F6250">
        <w:rPr>
          <w:rFonts w:ascii="Book Antiqua" w:eastAsia="Book Antiqua" w:hAnsi="Book Antiqua" w:cs="Book Antiqua"/>
          <w:color w:val="000000"/>
        </w:rPr>
        <w:t xml:space="preserve"> G (</w:t>
      </w:r>
      <w:r>
        <w:rPr>
          <w:rFonts w:ascii="Book Antiqua" w:eastAsia="Book Antiqua" w:hAnsi="Book Antiqua" w:cs="Book Antiqua"/>
          <w:color w:val="000000"/>
        </w:rPr>
        <w:t>IgG</w:t>
      </w:r>
      <w:r w:rsidR="006F6250">
        <w:rPr>
          <w:rFonts w:ascii="Book Antiqua" w:eastAsia="Book Antiqua" w:hAnsi="Book Antiqua" w:cs="Book Antiqua"/>
          <w:color w:val="000000"/>
        </w:rPr>
        <w:t>)</w:t>
      </w:r>
      <w:r>
        <w:rPr>
          <w:rFonts w:ascii="Book Antiqua" w:eastAsia="Book Antiqua" w:hAnsi="Book Antiqua" w:cs="Book Antiqua"/>
          <w:color w:val="000000"/>
        </w:rPr>
        <w:t xml:space="preserve"> for 1 h. After three 10-min washes with TBST, bound immunoglobulins were visualized using ImmunoStar</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Zeta (Wako), according to standard protocols. Chemiluminescence signal detection and quantification were using a FUSION chemiluminescence imaging system (Vilber-Lourmat, Collegien, France). The quantity of Fuc-pHpt in each serum sample was calculated based on the ratio of the chemiluminescence signal intensity of the sample to that of the positive control. A fixed amount (5.0 ng) of purified Fuc-pHpt was used as a positive control sample for every Western blot analysis. </w:t>
      </w:r>
    </w:p>
    <w:p w14:paraId="298B46C7" w14:textId="77777777" w:rsidR="00A77B3E" w:rsidRDefault="00A77B3E" w:rsidP="00A6421C">
      <w:pPr>
        <w:spacing w:line="360" w:lineRule="auto"/>
        <w:jc w:val="both"/>
      </w:pPr>
    </w:p>
    <w:p w14:paraId="5F271689" w14:textId="77777777" w:rsidR="00A77B3E" w:rsidRPr="00A6421C" w:rsidRDefault="00485DAF">
      <w:pPr>
        <w:spacing w:line="360" w:lineRule="auto"/>
        <w:jc w:val="both"/>
        <w:rPr>
          <w:b/>
          <w:bCs/>
        </w:rPr>
      </w:pPr>
      <w:r w:rsidRPr="00A6421C">
        <w:rPr>
          <w:rFonts w:ascii="Book Antiqua" w:eastAsia="Book Antiqua" w:hAnsi="Book Antiqua" w:cs="Book Antiqua"/>
          <w:b/>
          <w:bCs/>
          <w:i/>
          <w:iCs/>
          <w:color w:val="000000"/>
        </w:rPr>
        <w:t>Haptoglobin phenotyping</w:t>
      </w:r>
    </w:p>
    <w:p w14:paraId="7998623A" w14:textId="747AA677" w:rsidR="00A77B3E" w:rsidRDefault="00485DAF" w:rsidP="00A6421C">
      <w:pPr>
        <w:spacing w:line="360" w:lineRule="auto"/>
        <w:jc w:val="both"/>
      </w:pPr>
      <w:r>
        <w:rPr>
          <w:rFonts w:ascii="Book Antiqua" w:eastAsia="Book Antiqua" w:hAnsi="Book Antiqua" w:cs="Book Antiqua"/>
          <w:color w:val="000000"/>
        </w:rPr>
        <w:t>For haptoglobin phenotyping, serum samples were subjected to Western blotting using anti-human haptoglobin pAb, as described previously</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Haptoglobin phenotypes for each sample were determined after antibody signals were developed using ImmunoStar</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Zeta (Wako) and detection of α-1 and/or α-2.</w:t>
      </w:r>
    </w:p>
    <w:p w14:paraId="65FD50D1" w14:textId="77777777" w:rsidR="00A77B3E" w:rsidRDefault="00A77B3E" w:rsidP="00A6421C">
      <w:pPr>
        <w:spacing w:line="360" w:lineRule="auto"/>
        <w:jc w:val="both"/>
      </w:pPr>
    </w:p>
    <w:p w14:paraId="4212449B" w14:textId="77777777" w:rsidR="00A77B3E" w:rsidRPr="00A6421C" w:rsidRDefault="00485DAF">
      <w:pPr>
        <w:spacing w:line="360" w:lineRule="auto"/>
        <w:jc w:val="both"/>
        <w:rPr>
          <w:b/>
          <w:bCs/>
        </w:rPr>
      </w:pPr>
      <w:r w:rsidRPr="00A6421C">
        <w:rPr>
          <w:rFonts w:ascii="Book Antiqua" w:eastAsia="Book Antiqua" w:hAnsi="Book Antiqua" w:cs="Book Antiqua"/>
          <w:b/>
          <w:bCs/>
          <w:i/>
          <w:iCs/>
          <w:color w:val="000000"/>
        </w:rPr>
        <w:t>Statistical analysis</w:t>
      </w:r>
    </w:p>
    <w:p w14:paraId="51DED09D" w14:textId="2E532F9E" w:rsidR="00A77B3E" w:rsidRDefault="00485DAF" w:rsidP="00A6421C">
      <w:pPr>
        <w:spacing w:line="360" w:lineRule="auto"/>
        <w:jc w:val="both"/>
      </w:pPr>
      <w:r>
        <w:rPr>
          <w:rFonts w:ascii="Book Antiqua" w:eastAsia="Book Antiqua" w:hAnsi="Book Antiqua" w:cs="Book Antiqua"/>
          <w:color w:val="000000"/>
        </w:rPr>
        <w:t>Statistical analyses were performed using JMP Pro 14.0 software (SAS Institute Inc., Cary, NC, U</w:t>
      </w:r>
      <w:r w:rsidR="00A6421C">
        <w:rPr>
          <w:rFonts w:ascii="Book Antiqua" w:eastAsia="Book Antiqua" w:hAnsi="Book Antiqua" w:cs="Book Antiqua"/>
          <w:color w:val="000000"/>
        </w:rPr>
        <w:t>nited States</w:t>
      </w:r>
      <w:r>
        <w:rPr>
          <w:rFonts w:ascii="Book Antiqua" w:eastAsia="Book Antiqua" w:hAnsi="Book Antiqua" w:cs="Book Antiqua"/>
          <w:color w:val="000000"/>
        </w:rPr>
        <w:t xml:space="preserve">). Data were analyzed using the Wilcoxon test, Spearman rank correlation analysis, and receiver operating characteristic (ROC) curve analysis. As the 10-7G value, AAL-mHpt, Fuc-pHpt amount, CRP levels, hemoglobin (Hb), and albumin (Alb) data did not exhibit a Gaussian distribution, these parameters were common log-transformed before correlation diagrams were drawn. In the statistical analyses, samples of the Hpt1-1 phenotype were excluded because the 10-7G values were below the level of detection. </w:t>
      </w:r>
      <w:r>
        <w:rPr>
          <w:rFonts w:ascii="Book Antiqua" w:eastAsia="Book Antiqua" w:hAnsi="Book Antiqua" w:cs="Book Antiqua"/>
          <w:i/>
          <w:iCs/>
          <w:color w:val="000000"/>
        </w:rPr>
        <w:t>P</w:t>
      </w:r>
      <w:r w:rsidR="00A6421C">
        <w:rPr>
          <w:rFonts w:ascii="Book Antiqua" w:eastAsia="Book Antiqua" w:hAnsi="Book Antiqua" w:cs="Book Antiqua"/>
          <w:color w:val="000000"/>
        </w:rPr>
        <w:t xml:space="preserve"> </w:t>
      </w:r>
      <w:r>
        <w:rPr>
          <w:rFonts w:ascii="Book Antiqua" w:eastAsia="Book Antiqua" w:hAnsi="Book Antiqua" w:cs="Book Antiqua"/>
          <w:color w:val="000000"/>
        </w:rPr>
        <w:t>values &lt;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0.05 were considered indicative of a statistically significant difference.</w:t>
      </w:r>
    </w:p>
    <w:p w14:paraId="6BF5FCDC" w14:textId="77777777" w:rsidR="00A77B3E" w:rsidRDefault="00A77B3E" w:rsidP="00A6421C">
      <w:pPr>
        <w:spacing w:line="360" w:lineRule="auto"/>
        <w:jc w:val="both"/>
      </w:pPr>
    </w:p>
    <w:p w14:paraId="56F27E5B" w14:textId="77777777" w:rsidR="00A77B3E" w:rsidRDefault="00485DAF">
      <w:pPr>
        <w:spacing w:line="360" w:lineRule="auto"/>
        <w:jc w:val="both"/>
      </w:pPr>
      <w:r>
        <w:rPr>
          <w:rFonts w:ascii="Book Antiqua" w:eastAsia="Book Antiqua" w:hAnsi="Book Antiqua" w:cs="Book Antiqua"/>
          <w:b/>
          <w:caps/>
          <w:color w:val="000000"/>
          <w:u w:val="single"/>
        </w:rPr>
        <w:t>RESULTS</w:t>
      </w:r>
    </w:p>
    <w:p w14:paraId="2FE63B68" w14:textId="48567D9D" w:rsidR="00A77B3E" w:rsidRPr="00A6421C" w:rsidRDefault="00485DAF">
      <w:pPr>
        <w:spacing w:line="360" w:lineRule="auto"/>
        <w:jc w:val="both"/>
        <w:rPr>
          <w:b/>
          <w:bCs/>
        </w:rPr>
      </w:pPr>
      <w:r w:rsidRPr="00A6421C">
        <w:rPr>
          <w:rFonts w:ascii="Book Antiqua" w:eastAsia="Book Antiqua" w:hAnsi="Book Antiqua" w:cs="Book Antiqua"/>
          <w:b/>
          <w:bCs/>
          <w:i/>
          <w:iCs/>
          <w:color w:val="000000"/>
        </w:rPr>
        <w:t>Immunohistochemical identification of Fuc-Hpt–producing cells in IBD patient tissues</w:t>
      </w:r>
    </w:p>
    <w:p w14:paraId="2E81D029" w14:textId="1547FE77" w:rsidR="00A77B3E" w:rsidRDefault="00485DAF" w:rsidP="00A6421C">
      <w:pPr>
        <w:spacing w:line="360" w:lineRule="auto"/>
        <w:jc w:val="both"/>
      </w:pPr>
      <w:r>
        <w:rPr>
          <w:rFonts w:ascii="Book Antiqua" w:eastAsia="Book Antiqua" w:hAnsi="Book Antiqua" w:cs="Book Antiqua"/>
          <w:color w:val="000000"/>
        </w:rPr>
        <w:t>To identify Fuc-Hpt–producing cells in UC and CD intestinal tissues collected from IBD patients, we performed immunohistochemical analyses using the 10-7G mAb. As shown in Figure 2A and B, positive 10-7G mAb staining was observed in lymphocytes infiltrating into inflammatory sites of the mucosal layer and lymph nodules in the intestinal tissues of UC patients. Similar but much more diffuse 10-7G mAb staining was observed in comparable cells in CD tissues (Figure 2C and D).</w:t>
      </w:r>
    </w:p>
    <w:p w14:paraId="451B8465" w14:textId="77777777" w:rsidR="00A77B3E" w:rsidRDefault="00A77B3E" w:rsidP="00A6421C">
      <w:pPr>
        <w:spacing w:line="360" w:lineRule="auto"/>
        <w:jc w:val="both"/>
      </w:pPr>
    </w:p>
    <w:p w14:paraId="4BB2E5D1" w14:textId="77777777" w:rsidR="00A77B3E" w:rsidRPr="00A6421C" w:rsidRDefault="00485DAF">
      <w:pPr>
        <w:spacing w:line="360" w:lineRule="auto"/>
        <w:jc w:val="both"/>
        <w:rPr>
          <w:b/>
          <w:bCs/>
        </w:rPr>
      </w:pPr>
      <w:r w:rsidRPr="00A6421C">
        <w:rPr>
          <w:rFonts w:ascii="Book Antiqua" w:eastAsia="Book Antiqua" w:hAnsi="Book Antiqua" w:cs="Book Antiqua"/>
          <w:b/>
          <w:bCs/>
          <w:i/>
          <w:iCs/>
          <w:color w:val="000000"/>
        </w:rPr>
        <w:t>Determination of the serum 10-7G value in patients with IBD and AE</w:t>
      </w:r>
    </w:p>
    <w:p w14:paraId="29275593" w14:textId="77777777" w:rsidR="00A77B3E" w:rsidRDefault="00485DAF" w:rsidP="00A6421C">
      <w:pPr>
        <w:spacing w:line="360" w:lineRule="auto"/>
        <w:jc w:val="both"/>
      </w:pPr>
      <w:r>
        <w:rPr>
          <w:rFonts w:ascii="Book Antiqua" w:eastAsia="Book Antiqua" w:hAnsi="Book Antiqua" w:cs="Book Antiqua"/>
          <w:color w:val="000000"/>
        </w:rPr>
        <w:t xml:space="preserve">We determined serum 10-7G values for HVs and patients with UC, CD, or AE. As expected, 10-7G values were significantly higher in patients with UC, CD, and AE as compared to HVs (Figure 3A). To determine whether the 10-7G mAb primarily recognized Fuc-mHpt or Fuc-pHpt, we assessed serum Fuc-pHpt levels by immunoblot analysis using the 10-7G mAb, whereas serum Fuc-mHpt levels were determined using the lectin-antibody ELISA. Data regarding the semi-quantification of serum Fuc-pHpt levels by immunoblot analysis using the 10-7G mAb are described as Fuc-pHpt amount, whereas serum Fuc-mHpt levels determined using the lectin-antibody ELISA are described as AAL-mHpt. </w:t>
      </w:r>
    </w:p>
    <w:p w14:paraId="650AA94A" w14:textId="131F41EA" w:rsidR="00A77B3E" w:rsidRDefault="00485DAF" w:rsidP="00A6421C">
      <w:pPr>
        <w:spacing w:line="360" w:lineRule="auto"/>
        <w:ind w:firstLineChars="100" w:firstLine="240"/>
        <w:jc w:val="both"/>
      </w:pPr>
      <w:r>
        <w:rPr>
          <w:rFonts w:ascii="Book Antiqua" w:eastAsia="Book Antiqua" w:hAnsi="Book Antiqua" w:cs="Book Antiqua"/>
          <w:color w:val="000000"/>
        </w:rPr>
        <w:t>Data regarding 10-7G values and Fuc-pHpt amount or AAL-mHpt were statistically analyzed using Spearman’s rank correlation coefficient (</w:t>
      </w:r>
      <w:r>
        <w:rPr>
          <w:rFonts w:ascii="Book Antiqua" w:eastAsia="Book Antiqua" w:hAnsi="Book Antiqua" w:cs="Book Antiqua"/>
          <w:i/>
          <w:iCs/>
          <w:color w:val="000000"/>
        </w:rPr>
        <w:t>rs</w:t>
      </w:r>
      <w:r>
        <w:rPr>
          <w:rFonts w:ascii="Book Antiqua" w:eastAsia="Book Antiqua" w:hAnsi="Book Antiqua" w:cs="Book Antiqua"/>
          <w:color w:val="000000"/>
        </w:rPr>
        <w:t>). As shown in Figure 3B, a marked positive correlation was observed between the 10-7G value and Fuc-pHpt amount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0.695,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0.0001). In contrast, a lower positive correlation was observed between serum AAL-mHpt levels and 10-7G values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0.386,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0.0002) (Figure 3C). These results indicate that the 10-7G value depends primarily on serum Fuc-pHpt and partly reflects serum Fuc-mHpt in patients with intestinal inflammatory diseases.</w:t>
      </w:r>
    </w:p>
    <w:p w14:paraId="650D6142" w14:textId="77777777" w:rsidR="00A77B3E" w:rsidRDefault="00A77B3E" w:rsidP="00A6421C">
      <w:pPr>
        <w:spacing w:line="360" w:lineRule="auto"/>
        <w:jc w:val="both"/>
      </w:pPr>
    </w:p>
    <w:p w14:paraId="4D5917F6" w14:textId="77777777" w:rsidR="00A77B3E" w:rsidRPr="00A6421C" w:rsidRDefault="00485DAF">
      <w:pPr>
        <w:spacing w:line="360" w:lineRule="auto"/>
        <w:jc w:val="both"/>
        <w:rPr>
          <w:b/>
          <w:bCs/>
        </w:rPr>
      </w:pPr>
      <w:r w:rsidRPr="00A6421C">
        <w:rPr>
          <w:rFonts w:ascii="Book Antiqua" w:eastAsia="Book Antiqua" w:hAnsi="Book Antiqua" w:cs="Book Antiqua"/>
          <w:b/>
          <w:bCs/>
          <w:i/>
          <w:iCs/>
          <w:color w:val="000000"/>
        </w:rPr>
        <w:t>Correlation between the 10-7G value and various clinical parameters</w:t>
      </w:r>
    </w:p>
    <w:p w14:paraId="6DF9234A" w14:textId="23C39315" w:rsidR="00A77B3E" w:rsidRDefault="00485DAF" w:rsidP="00A6421C">
      <w:pPr>
        <w:spacing w:line="360" w:lineRule="auto"/>
        <w:jc w:val="both"/>
      </w:pPr>
      <w:r>
        <w:rPr>
          <w:rFonts w:ascii="Book Antiqua" w:eastAsia="Book Antiqua" w:hAnsi="Book Antiqua" w:cs="Book Antiqua"/>
          <w:color w:val="000000"/>
        </w:rPr>
        <w:t>To elucidate the pathophysiologic significance of 10-7G values in IBD, we investigated the correlation between the 10-7G value and various clinical parameters of IBD patients, including Alb, alanine aminotransferase, alkaline phosphatase, total-bilirubin, γ-glutamyl transpeptidase, CRP, Hb, hematocrit, white blood cell count, platelet count, IBD activity index score, and full Mayo score (Mayo) for UC or Crohn’s disease activity index (CDAI) for CD (Table 2). As shown in Figure 4A</w:t>
      </w:r>
      <w:r w:rsidR="00A6421C">
        <w:rPr>
          <w:rFonts w:ascii="Book Antiqua" w:eastAsia="Book Antiqua" w:hAnsi="Book Antiqua" w:cs="Book Antiqua"/>
          <w:color w:val="000000"/>
        </w:rPr>
        <w:t>-</w:t>
      </w:r>
      <w:r>
        <w:rPr>
          <w:rFonts w:ascii="Book Antiqua" w:eastAsia="Book Antiqua" w:hAnsi="Book Antiqua" w:cs="Book Antiqua"/>
          <w:color w:val="000000"/>
        </w:rPr>
        <w:t>C, the 10-7G values of UC patients were negatively correlated with Hb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0.308,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0.0419) and positively correlated with CRP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0.525,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0.0003) and Mayo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0.435,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0.038). In contrast, as shown in Figure 4D and E, the 10-7G values of CD patients were negatively correlated with Alb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0.376,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0.014) and positively correlated with CRP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0.595,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0.0001). However, no significant correlation was observed between 10-7G values and CDAI (Figure 4F). These results indicate that 10-7G values are correlated with some inflammation-related biomarkers, especially CRP, in both UC and CD patients and reflect an inflammatory condition. </w:t>
      </w:r>
    </w:p>
    <w:p w14:paraId="09CBAF71" w14:textId="28268680" w:rsidR="00A77B3E" w:rsidRDefault="00485DAF" w:rsidP="00A6421C">
      <w:pPr>
        <w:spacing w:line="360" w:lineRule="auto"/>
        <w:ind w:firstLineChars="100" w:firstLine="240"/>
        <w:jc w:val="both"/>
      </w:pPr>
      <w:r>
        <w:rPr>
          <w:rFonts w:ascii="Book Antiqua" w:eastAsia="Book Antiqua" w:hAnsi="Book Antiqua" w:cs="Book Antiqua"/>
          <w:color w:val="000000"/>
        </w:rPr>
        <w:t xml:space="preserve">To determine whether the 10-7G value is a suitable inflammation marker similar to CRP, we also determined 10-7G values of HVs who were found to have elevated CRP levels during routine medical examinations (CRP-high HVs, </w:t>
      </w:r>
      <w:r>
        <w:rPr>
          <w:rFonts w:ascii="Book Antiqua" w:eastAsia="Book Antiqua" w:hAnsi="Book Antiqua" w:cs="Book Antiqua"/>
          <w:i/>
          <w:iCs/>
          <w:color w:val="000000"/>
        </w:rPr>
        <w:t>n</w:t>
      </w:r>
      <w:r>
        <w:rPr>
          <w:rFonts w:ascii="Book Antiqua" w:eastAsia="Book Antiqua" w:hAnsi="Book Antiqua" w:cs="Book Antiqua"/>
          <w:color w:val="000000"/>
        </w:rPr>
        <w:t xml:space="preserve"> = 79). As shown in Figure 5A, there was no significant difference in 10-7G values in CRP-high or normal HVs. In addition, there was no significant correlation between the 10-7G value and CRP level in CRP-high HVs (Figure 5B). In contrast, the 10-7G values of CRP-high IBD patients were significantly higher than those of CRP-normal IBD patients, and there was a significant correlation between 10-7G values and CRP in IBD patients (Figure 5C and D). These data suggest that the 10-7G value mainly reflects intestinal inflammation, whereas CRP reflects systemic inflammation.</w:t>
      </w:r>
    </w:p>
    <w:p w14:paraId="661648B5" w14:textId="77777777" w:rsidR="00A77B3E" w:rsidRDefault="00A77B3E" w:rsidP="00A6421C">
      <w:pPr>
        <w:spacing w:line="360" w:lineRule="auto"/>
        <w:jc w:val="both"/>
      </w:pPr>
    </w:p>
    <w:p w14:paraId="7FF02C9B" w14:textId="77777777" w:rsidR="00A77B3E" w:rsidRPr="00A6421C" w:rsidRDefault="00485DAF">
      <w:pPr>
        <w:spacing w:line="360" w:lineRule="auto"/>
        <w:jc w:val="both"/>
        <w:rPr>
          <w:b/>
          <w:bCs/>
        </w:rPr>
      </w:pPr>
      <w:r w:rsidRPr="00A6421C">
        <w:rPr>
          <w:rFonts w:ascii="Book Antiqua" w:eastAsia="Book Antiqua" w:hAnsi="Book Antiqua" w:cs="Book Antiqua"/>
          <w:b/>
          <w:bCs/>
          <w:i/>
          <w:iCs/>
          <w:color w:val="000000"/>
        </w:rPr>
        <w:t>Usefulness of the 10-7G value as a biomarker of UC disease activity</w:t>
      </w:r>
    </w:p>
    <w:p w14:paraId="3BEC22E1" w14:textId="26EC7399" w:rsidR="00A77B3E" w:rsidRDefault="00485DAF" w:rsidP="00A6421C">
      <w:pPr>
        <w:spacing w:line="360" w:lineRule="auto"/>
        <w:jc w:val="both"/>
      </w:pPr>
      <w:r>
        <w:rPr>
          <w:rFonts w:ascii="Book Antiqua" w:eastAsia="Book Antiqua" w:hAnsi="Book Antiqua" w:cs="Book Antiqua"/>
          <w:color w:val="000000"/>
        </w:rPr>
        <w:t>As the 10-7G value was found to correlate with IBD activity index score in a small number of UC patients (Figure 4C and Table 2), we investigated the usefulness of the 10-7G value as an indicator of UC disease activity using a larger number of serum samples (</w:t>
      </w:r>
      <w:r>
        <w:rPr>
          <w:rFonts w:ascii="Book Antiqua" w:eastAsia="Book Antiqua" w:hAnsi="Book Antiqua" w:cs="Book Antiqua"/>
          <w:i/>
          <w:iCs/>
          <w:color w:val="000000"/>
        </w:rPr>
        <w:t>n</w:t>
      </w:r>
      <w:r>
        <w:rPr>
          <w:rFonts w:ascii="Book Antiqua" w:eastAsia="Book Antiqua" w:hAnsi="Book Antiqua" w:cs="Book Antiqua"/>
          <w:color w:val="000000"/>
        </w:rPr>
        <w:t xml:space="preserve"> = 110). We compared the 10-7G value with CRP and LRG, a novel serum biomarker for UC disease activity</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We first analyzed the correlation between the 10-7G value, LRG, CRP, and three clinical activity index scores: the partial Mayo score (pMayo), an evaluation of symptomatic severity; the Mayo endoscopic subscore (MES), an evaluation of endoscopic severity; and Mayo, the sum of pMayo and MES, which is an indicator of clinical severity (</w:t>
      </w:r>
      <w:r w:rsidR="00A6421C" w:rsidRPr="00A6421C">
        <w:rPr>
          <w:rFonts w:ascii="Book Antiqua" w:eastAsia="Book Antiqua" w:hAnsi="Book Antiqua" w:cs="Book Antiqua"/>
          <w:color w:val="000000"/>
        </w:rPr>
        <w:t>Supplementary</w:t>
      </w:r>
      <w:r>
        <w:rPr>
          <w:rFonts w:ascii="Book Antiqua" w:eastAsia="Book Antiqua" w:hAnsi="Book Antiqua" w:cs="Book Antiqua"/>
          <w:color w:val="000000"/>
        </w:rPr>
        <w:t xml:space="preserve"> Table 1). Although the 10-7G value was significantly correlated with three of the scores (pMayo: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0.2433,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0.0224, MES: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0.3540,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0.0064, Mayo: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0.2273,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0.0440), the correlation coefficients were slightly lower than those for CRP (pMayo: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0.2947,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0.0053, MES: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0.4375,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0.0006, Mayo: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0.2597,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0.0208) and LRG (pMayo: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0.3108,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0.0032, MES: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0.3665,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0.0047, Mayo: </w:t>
      </w:r>
      <w:r>
        <w:rPr>
          <w:rFonts w:ascii="Book Antiqua" w:eastAsia="Book Antiqua" w:hAnsi="Book Antiqua" w:cs="Book Antiqua"/>
          <w:i/>
          <w:iCs/>
          <w:color w:val="000000"/>
        </w:rPr>
        <w:t>rs</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0.3010,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0.0070).</w:t>
      </w:r>
    </w:p>
    <w:p w14:paraId="6D02F338" w14:textId="4FAC2426" w:rsidR="00A77B3E" w:rsidRDefault="00485DAF" w:rsidP="00A6421C">
      <w:pPr>
        <w:spacing w:line="360" w:lineRule="auto"/>
        <w:ind w:firstLineChars="100" w:firstLine="240"/>
        <w:jc w:val="both"/>
      </w:pPr>
      <w:r>
        <w:rPr>
          <w:rFonts w:ascii="Book Antiqua" w:eastAsia="Book Antiqua" w:hAnsi="Book Antiqua" w:cs="Book Antiqua"/>
          <w:color w:val="000000"/>
        </w:rPr>
        <w:t>The sensitivity and specificity of the serum 10-7G value, LRG, and CRP for diagnosis of endoscopic remission and clinical remission based on MES and Mayo were determined using ROC curve analysis. Endoscopic remission (</w:t>
      </w:r>
      <w:r w:rsidRPr="00A6421C">
        <w:rPr>
          <w:rFonts w:ascii="Book Antiqua" w:eastAsia="Book Antiqua" w:hAnsi="Book Antiqua" w:cs="Book Antiqua"/>
          <w:i/>
          <w:iCs/>
          <w:color w:val="000000"/>
        </w:rPr>
        <w:t>i.e.</w:t>
      </w:r>
      <w:r>
        <w:rPr>
          <w:rFonts w:ascii="Book Antiqua" w:eastAsia="Book Antiqua" w:hAnsi="Book Antiqua" w:cs="Book Antiqua"/>
          <w:color w:val="000000"/>
        </w:rPr>
        <w:t>, mucosal healing) was defined as MES</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and clinical remission was defined as Mayo</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2 (pMayo</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1 and MES</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For the diagnosis of endoscopic remission, the area under the curve (AUC) of the 10-7G value (MES</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1: 0.699) (Figure 6A) was higher than that of both LRG (MES</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1: 0.659) (Figure 6B) and CRP (MES</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1: 0.663) (Figure 6C). In terms of clinical remission, the AUC value of the 10-7G value (Mayo</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2: 0.626) (</w:t>
      </w:r>
      <w:r w:rsidR="00A6421C">
        <w:rPr>
          <w:rFonts w:ascii="Book Antiqua" w:eastAsia="Book Antiqua" w:hAnsi="Book Antiqua" w:cs="Book Antiqua"/>
          <w:color w:val="000000"/>
        </w:rPr>
        <w:t>Supplementary</w:t>
      </w:r>
      <w:r>
        <w:rPr>
          <w:rFonts w:ascii="Book Antiqua" w:eastAsia="Book Antiqua" w:hAnsi="Book Antiqua" w:cs="Book Antiqua"/>
          <w:color w:val="000000"/>
        </w:rPr>
        <w:t xml:space="preserve"> Figure 1A) was lower than that of both LRG (Mayo</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2: 0.714) (</w:t>
      </w:r>
      <w:r w:rsidR="00A6421C">
        <w:rPr>
          <w:rFonts w:ascii="Book Antiqua" w:eastAsia="Book Antiqua" w:hAnsi="Book Antiqua" w:cs="Book Antiqua"/>
          <w:color w:val="000000"/>
        </w:rPr>
        <w:t>Supplementary</w:t>
      </w:r>
      <w:r>
        <w:rPr>
          <w:rFonts w:ascii="Book Antiqua" w:eastAsia="Book Antiqua" w:hAnsi="Book Antiqua" w:cs="Book Antiqua"/>
          <w:color w:val="000000"/>
        </w:rPr>
        <w:t xml:space="preserve"> Figure 1B) and CRP (Mayo</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2: 0.678) (</w:t>
      </w:r>
      <w:r w:rsidR="00A6421C">
        <w:rPr>
          <w:rFonts w:ascii="Book Antiqua" w:eastAsia="Book Antiqua" w:hAnsi="Book Antiqua" w:cs="Book Antiqua"/>
          <w:color w:val="000000"/>
        </w:rPr>
        <w:t>Supplementary</w:t>
      </w:r>
      <w:r>
        <w:rPr>
          <w:rFonts w:ascii="Book Antiqua" w:eastAsia="Book Antiqua" w:hAnsi="Book Antiqua" w:cs="Book Antiqua"/>
          <w:color w:val="000000"/>
        </w:rPr>
        <w:t xml:space="preserve"> Figure 1C). These results indicate that the 10-7G value is a useful biomarker for evaluating endoscopic mucosal healing in UC patients.</w:t>
      </w:r>
    </w:p>
    <w:p w14:paraId="25399140" w14:textId="77777777" w:rsidR="00A77B3E" w:rsidRDefault="00A77B3E" w:rsidP="00A6421C">
      <w:pPr>
        <w:spacing w:line="360" w:lineRule="auto"/>
        <w:jc w:val="both"/>
      </w:pPr>
    </w:p>
    <w:p w14:paraId="2C85F8ED" w14:textId="77777777" w:rsidR="00A77B3E" w:rsidRDefault="00485DAF">
      <w:pPr>
        <w:spacing w:line="360" w:lineRule="auto"/>
        <w:jc w:val="both"/>
      </w:pPr>
      <w:r>
        <w:rPr>
          <w:rFonts w:ascii="Book Antiqua" w:eastAsia="Book Antiqua" w:hAnsi="Book Antiqua" w:cs="Book Antiqua"/>
          <w:b/>
          <w:caps/>
          <w:color w:val="000000"/>
          <w:u w:val="single"/>
        </w:rPr>
        <w:t>DISCUSSION</w:t>
      </w:r>
    </w:p>
    <w:p w14:paraId="2AAB6A2D" w14:textId="4E320EF8" w:rsidR="00A77B3E" w:rsidRDefault="00485DAF" w:rsidP="00A6421C">
      <w:pPr>
        <w:spacing w:line="360" w:lineRule="auto"/>
        <w:jc w:val="both"/>
      </w:pPr>
      <w:r>
        <w:rPr>
          <w:rFonts w:ascii="Book Antiqua" w:eastAsia="Book Antiqua" w:hAnsi="Book Antiqua" w:cs="Book Antiqua"/>
          <w:color w:val="000000"/>
        </w:rPr>
        <w:t>In this study, we demonstrated that the 10-7G value reflects intestinal inflammation. We found that the 10-7G value was not increased in the serum of HVs with elevated CRP levels, but it was significantly increased in the serum of patients with IBD and AE (Figure</w:t>
      </w:r>
      <w:r w:rsidR="00BA24EA">
        <w:rPr>
          <w:rFonts w:ascii="Book Antiqua" w:eastAsia="Book Antiqua" w:hAnsi="Book Antiqua" w:cs="Book Antiqua"/>
          <w:color w:val="000000"/>
        </w:rPr>
        <w:t>s</w:t>
      </w:r>
      <w:r>
        <w:rPr>
          <w:rFonts w:ascii="Book Antiqua" w:eastAsia="Book Antiqua" w:hAnsi="Book Antiqua" w:cs="Book Antiqua"/>
          <w:color w:val="000000"/>
        </w:rPr>
        <w:t xml:space="preserve"> 3A and 5A). In addition, there was a significant correlation between 10-7G values and CRP in IBD patients, whereas no significant correlation in HVs with elevated CRP levels (Figure 5B and D). We previously reported agalactosyl IgG as a diagnostic biomarker of IBD</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Agalactosyl IgG is also an indicator of chronic inflammation associated with conditions such as rheumatoid arthritis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The 10-7G value, on the other hand, is associated with acute and/or chronic intestinal inflammation.</w:t>
      </w:r>
    </w:p>
    <w:p w14:paraId="0D14FE2B" w14:textId="05B5ABE0" w:rsidR="00A77B3E" w:rsidRDefault="00485DAF" w:rsidP="00A6421C">
      <w:pPr>
        <w:spacing w:line="360" w:lineRule="auto"/>
        <w:ind w:firstLineChars="100" w:firstLine="240"/>
        <w:jc w:val="both"/>
      </w:pPr>
      <w:r>
        <w:rPr>
          <w:rFonts w:ascii="Book Antiqua" w:eastAsia="Book Antiqua" w:hAnsi="Book Antiqua" w:cs="Book Antiqua"/>
          <w:color w:val="000000"/>
        </w:rPr>
        <w:t>We also demonstrated that the 10-7G value is a useful biomarker of disease activity in IBD patients, especially those with UC. Correlation analyses revealed that the 10-7G value is correlated with UC activity index score, non-CD Mayo score, and CDAI (Figure 4C and F). We concluded that this difference was due to the specificity of the 10-7G value for intestinal inflammation. Whereas the inflammatory lesions associated with UC are localized in the large intestine, those associated with CD can occur throughout the gastrointestinal tract, from the oral cavity to the anal canal</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The CDAI reflects not only intestinal inflammation but also lesions related to extraintestinal complications, such as arthritis, stomatitis, and anal fistulas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Furthermore, calculation of the Mayo includes endoscopic findings that enable accurate evaluation of the intestinal condition, but the CDAI does not consider these findings. Therefore, the 10-7G value may not be correlated with the CDAI.</w:t>
      </w:r>
    </w:p>
    <w:p w14:paraId="79676579" w14:textId="31F39B99" w:rsidR="00A77B3E" w:rsidRDefault="00485DAF" w:rsidP="00A6421C">
      <w:pPr>
        <w:spacing w:line="360" w:lineRule="auto"/>
        <w:ind w:firstLineChars="100" w:firstLine="240"/>
        <w:jc w:val="both"/>
      </w:pPr>
      <w:r>
        <w:rPr>
          <w:rFonts w:ascii="Book Antiqua" w:eastAsia="Book Antiqua" w:hAnsi="Book Antiqua" w:cs="Book Antiqua"/>
          <w:color w:val="000000"/>
        </w:rPr>
        <w:t>We also compared the 10-7G value and the LRG level, a promising tool for monitoring disease activity in IBD patients that was recently accepted for insurance coverage in Japan. As indicated in Figure 6, the AUC of the 10-7G value for a diagnosis of endoscopic remission (MES</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1) was higher than that of LRG. In contrast, the AUC of LRG for the diagnosis of symptomatic remission (pMayo</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1) was higher than that of the 10-7G value (</w:t>
      </w:r>
      <w:r w:rsidR="00A6421C">
        <w:rPr>
          <w:rFonts w:ascii="Book Antiqua" w:eastAsia="Book Antiqua" w:hAnsi="Book Antiqua" w:cs="Book Antiqua"/>
          <w:color w:val="000000"/>
        </w:rPr>
        <w:t>Supplementary</w:t>
      </w:r>
      <w:r>
        <w:rPr>
          <w:rFonts w:ascii="Book Antiqua" w:eastAsia="Book Antiqua" w:hAnsi="Book Antiqua" w:cs="Book Antiqua"/>
          <w:color w:val="000000"/>
        </w:rPr>
        <w:t xml:space="preserve"> Figure 1D and E). In other words, the 10-7G value is superior to LRG for evaluating the endoscopic mucosal condition, and LRG is superior to the 10-7G value for evaluating general symptoms such as stool frequency and hematochezia. As indicated in Figure 3B, the 10-7G value of IBD patients primarily reflects Fuc-pHpt levels, and some studies have reported that pHpt increases epithelial permeability</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Based on our results and other reports, we attributed the usefulness of the 10-7G value for evaluating the mucosal condition of UC patients to the detection of Fuc-pHpt.</w:t>
      </w:r>
    </w:p>
    <w:p w14:paraId="0EACD975" w14:textId="0D89A539" w:rsidR="00A77B3E" w:rsidRDefault="00485DAF" w:rsidP="00A6421C">
      <w:pPr>
        <w:spacing w:line="360" w:lineRule="auto"/>
        <w:ind w:firstLineChars="100" w:firstLine="240"/>
        <w:jc w:val="both"/>
      </w:pPr>
      <w:r>
        <w:rPr>
          <w:rFonts w:ascii="Book Antiqua" w:eastAsia="Book Antiqua" w:hAnsi="Book Antiqua" w:cs="Book Antiqua"/>
          <w:color w:val="000000"/>
        </w:rPr>
        <w:t>To identify Fuc-Hpt–producing cells in intestinal tissues of IBD patients, we performed immunohistochemical staining with the 10-7G mAb. As shown in Figure 2, lymphocytes infiltrating into areas of inflammation in the mucosal layer were stained with the 10-7G mAb. The staining signal was thought to depend primarily on Fuc-pHpt rather than Fuc-mHpt. Cleavage of pHpt by C1RL is required for haptoglobin maturation. C1RL is a serine protease that cleaves αβ-junctions within pHpt</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C1RL expression is reportedly markedly elevated in the liver</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Therefore, most haptoglobin produced in hepatocytes matures before it is secreted into the blood. The expression of C1RL in other tissues is typically much lower than in hepatocytes; therefore, synthesized haptoglobin does not fully mature. In addition, in an immunoblotting analysis using 10-7G mAb, we recently demonstrated that some lines of non-adherent cells produce Fuc-pHpt and that several inflammatory cytokines facilitate Fuc-pHpt secretion (manuscript submitted). These data support our hypothesis that infiltrating lymphocytes produce Fuc-pHpt in sites of intestinal inflammation and that the 10-7G value is an indicator of Fuc-pHpt production. Further studies are needed to fully elucidate the mechanism underlying the secretion of Fuc-pHpt by immune cells, however.</w:t>
      </w:r>
    </w:p>
    <w:p w14:paraId="181F12C8" w14:textId="749425AA" w:rsidR="00A77B3E" w:rsidRDefault="00485DAF" w:rsidP="00A6421C">
      <w:pPr>
        <w:spacing w:line="360" w:lineRule="auto"/>
        <w:ind w:firstLineChars="100" w:firstLine="240"/>
        <w:jc w:val="both"/>
      </w:pPr>
      <w:r>
        <w:rPr>
          <w:rFonts w:ascii="Book Antiqua" w:eastAsia="Book Antiqua" w:hAnsi="Book Antiqua" w:cs="Book Antiqua"/>
          <w:color w:val="000000"/>
        </w:rPr>
        <w:t>Considering our findings in this study, we proposed the flow chart of non-invasive detection methods of clinical activity of IBD, especially UC, using 10-7G value based on the cutoff value of 211 defined as ROC curve analysis (Figure 6A), the point of the best split of endoscopic remission (Figure 7). Since clinical symptoms appear after changes in mucosal inflammation status of the intestine and colonoscopy itself has a risk of exacerbating mucosal inflammation, non-invasive biomarkers such as 10-7G value are required to follow up the patients with IBD.</w:t>
      </w:r>
    </w:p>
    <w:p w14:paraId="7B203BC0" w14:textId="77777777" w:rsidR="00A77B3E" w:rsidRDefault="00A77B3E">
      <w:pPr>
        <w:spacing w:line="360" w:lineRule="auto"/>
        <w:jc w:val="both"/>
      </w:pPr>
    </w:p>
    <w:p w14:paraId="1EA11E54" w14:textId="77777777" w:rsidR="00A77B3E" w:rsidRDefault="00485DAF">
      <w:pPr>
        <w:spacing w:line="360" w:lineRule="auto"/>
        <w:jc w:val="both"/>
      </w:pPr>
      <w:r>
        <w:rPr>
          <w:rFonts w:ascii="Book Antiqua" w:eastAsia="Book Antiqua" w:hAnsi="Book Antiqua" w:cs="Book Antiqua"/>
          <w:b/>
          <w:caps/>
          <w:color w:val="000000"/>
          <w:u w:val="single"/>
        </w:rPr>
        <w:t>CONCLUSION</w:t>
      </w:r>
    </w:p>
    <w:p w14:paraId="26152D72" w14:textId="77777777" w:rsidR="00A77B3E" w:rsidRDefault="00485DAF" w:rsidP="00A6421C">
      <w:pPr>
        <w:spacing w:line="360" w:lineRule="auto"/>
        <w:jc w:val="both"/>
      </w:pPr>
      <w:r>
        <w:rPr>
          <w:rFonts w:ascii="Book Antiqua" w:eastAsia="Book Antiqua" w:hAnsi="Book Antiqua" w:cs="Book Antiqua"/>
          <w:color w:val="000000"/>
        </w:rPr>
        <w:t>In conclusion, we demonstrated that the serum 10-7G value reflects intestinal inflammation and is a useful biomarker for evaluating endoscopic mucosal healing in UC, as Fuc-Hpt detected by the 10-7G mAb is produced by lymphocytes infiltrating into sites of inflammation in the intestinal mucosal layer.</w:t>
      </w:r>
    </w:p>
    <w:p w14:paraId="157D3958" w14:textId="77777777" w:rsidR="00A77B3E" w:rsidRDefault="00A77B3E" w:rsidP="00E43763">
      <w:pPr>
        <w:spacing w:line="360" w:lineRule="auto"/>
        <w:jc w:val="both"/>
      </w:pPr>
    </w:p>
    <w:p w14:paraId="000DB106" w14:textId="77777777" w:rsidR="00A77B3E" w:rsidRDefault="00485DAF">
      <w:pPr>
        <w:spacing w:line="360" w:lineRule="auto"/>
        <w:jc w:val="both"/>
      </w:pPr>
      <w:r>
        <w:rPr>
          <w:rFonts w:ascii="Book Antiqua" w:eastAsia="Book Antiqua" w:hAnsi="Book Antiqua" w:cs="Book Antiqua"/>
          <w:b/>
          <w:caps/>
          <w:color w:val="000000"/>
          <w:u w:val="single"/>
        </w:rPr>
        <w:t>ARTICLE HIGHLIGHTS</w:t>
      </w:r>
    </w:p>
    <w:p w14:paraId="284CF4AB" w14:textId="77777777" w:rsidR="00A77B3E" w:rsidRDefault="00485DAF">
      <w:pPr>
        <w:spacing w:line="360" w:lineRule="auto"/>
        <w:jc w:val="both"/>
      </w:pPr>
      <w:r>
        <w:rPr>
          <w:rFonts w:ascii="Book Antiqua" w:eastAsia="Book Antiqua" w:hAnsi="Book Antiqua" w:cs="Book Antiqua"/>
          <w:b/>
          <w:i/>
          <w:color w:val="000000"/>
        </w:rPr>
        <w:t>Research background</w:t>
      </w:r>
    </w:p>
    <w:p w14:paraId="2B531486" w14:textId="05F9C8A4" w:rsidR="00A77B3E" w:rsidRDefault="00485DAF">
      <w:pPr>
        <w:spacing w:line="360" w:lineRule="auto"/>
        <w:jc w:val="both"/>
      </w:pPr>
      <w:r>
        <w:rPr>
          <w:rFonts w:ascii="Book Antiqua" w:eastAsia="Book Antiqua" w:hAnsi="Book Antiqua" w:cs="Book Antiqua"/>
          <w:color w:val="000000"/>
        </w:rPr>
        <w:t xml:space="preserve">Fucosylation is one of the most important glycosylation involved in cancer and inflammation. Recently, we have succeeded to establish a novel glycan antibody 10-7G mAb which directly recognizes fucosylated haptoglobin (Fuc-Hpt), and developed its </w:t>
      </w:r>
      <w:r w:rsidR="00A6421C">
        <w:rPr>
          <w:rFonts w:ascii="Book Antiqua" w:eastAsia="Book Antiqua" w:hAnsi="Book Antiqua" w:cs="Book Antiqua"/>
          <w:color w:val="000000"/>
        </w:rPr>
        <w:t>enzyme-linked immunosorbent assay</w:t>
      </w:r>
      <w:r>
        <w:rPr>
          <w:rFonts w:ascii="Book Antiqua" w:eastAsia="Book Antiqua" w:hAnsi="Book Antiqua" w:cs="Book Antiqua"/>
          <w:color w:val="000000"/>
        </w:rPr>
        <w:t xml:space="preserve"> system.</w:t>
      </w:r>
    </w:p>
    <w:p w14:paraId="2D4715F9" w14:textId="77777777" w:rsidR="00A77B3E" w:rsidRDefault="00A77B3E">
      <w:pPr>
        <w:spacing w:line="360" w:lineRule="auto"/>
        <w:jc w:val="both"/>
      </w:pPr>
    </w:p>
    <w:p w14:paraId="1B22BB44" w14:textId="77777777" w:rsidR="00A77B3E" w:rsidRDefault="00485DAF">
      <w:pPr>
        <w:spacing w:line="360" w:lineRule="auto"/>
        <w:jc w:val="both"/>
      </w:pPr>
      <w:r>
        <w:rPr>
          <w:rFonts w:ascii="Book Antiqua" w:eastAsia="Book Antiqua" w:hAnsi="Book Antiqua" w:cs="Book Antiqua"/>
          <w:b/>
          <w:i/>
          <w:color w:val="000000"/>
        </w:rPr>
        <w:t>Research motivation</w:t>
      </w:r>
    </w:p>
    <w:p w14:paraId="1E76CFF6" w14:textId="77777777" w:rsidR="00A77B3E" w:rsidRDefault="00485DAF">
      <w:pPr>
        <w:spacing w:line="360" w:lineRule="auto"/>
        <w:jc w:val="both"/>
      </w:pPr>
      <w:r>
        <w:rPr>
          <w:rFonts w:ascii="Book Antiqua" w:eastAsia="Book Antiqua" w:hAnsi="Book Antiqua" w:cs="Book Antiqua"/>
          <w:color w:val="000000"/>
        </w:rPr>
        <w:t>Although fecal and serum biomarkers have been extremely important and supportive for monitoring of Inflammatory bowel disease (IBD), their low sensitivity and high variability characteristics limit clinical efficacy. Thus, the establishment of better biomarkers is expected.</w:t>
      </w:r>
    </w:p>
    <w:p w14:paraId="4F14C2F1" w14:textId="77777777" w:rsidR="00A77B3E" w:rsidRDefault="00A77B3E">
      <w:pPr>
        <w:spacing w:line="360" w:lineRule="auto"/>
        <w:jc w:val="both"/>
      </w:pPr>
    </w:p>
    <w:p w14:paraId="6A8788B1" w14:textId="77777777" w:rsidR="00A77B3E" w:rsidRDefault="00485DAF">
      <w:pPr>
        <w:spacing w:line="360" w:lineRule="auto"/>
        <w:jc w:val="both"/>
      </w:pPr>
      <w:r>
        <w:rPr>
          <w:rFonts w:ascii="Book Antiqua" w:eastAsia="Book Antiqua" w:hAnsi="Book Antiqua" w:cs="Book Antiqua"/>
          <w:b/>
          <w:i/>
          <w:color w:val="000000"/>
        </w:rPr>
        <w:t>Research objectives</w:t>
      </w:r>
    </w:p>
    <w:p w14:paraId="6C93D2C7" w14:textId="77777777" w:rsidR="00A77B3E" w:rsidRDefault="00485DAF">
      <w:pPr>
        <w:spacing w:line="360" w:lineRule="auto"/>
        <w:jc w:val="both"/>
      </w:pPr>
      <w:r>
        <w:rPr>
          <w:rFonts w:ascii="Book Antiqua" w:eastAsia="Book Antiqua" w:hAnsi="Book Antiqua" w:cs="Book Antiqua"/>
          <w:color w:val="000000"/>
        </w:rPr>
        <w:t>This research aimed to investigate the usefulness of the serum levels of Fuc-Hpt (10-7G values) as a potential biomarker for monitoring disease activity in IBD.</w:t>
      </w:r>
    </w:p>
    <w:p w14:paraId="7E0A0C62" w14:textId="77777777" w:rsidR="00A77B3E" w:rsidRDefault="00A77B3E">
      <w:pPr>
        <w:spacing w:line="360" w:lineRule="auto"/>
        <w:jc w:val="both"/>
      </w:pPr>
    </w:p>
    <w:p w14:paraId="628A019D" w14:textId="77777777" w:rsidR="00A77B3E" w:rsidRDefault="00485DAF">
      <w:pPr>
        <w:spacing w:line="360" w:lineRule="auto"/>
        <w:jc w:val="both"/>
      </w:pPr>
      <w:r>
        <w:rPr>
          <w:rFonts w:ascii="Book Antiqua" w:eastAsia="Book Antiqua" w:hAnsi="Book Antiqua" w:cs="Book Antiqua"/>
          <w:b/>
          <w:i/>
          <w:color w:val="000000"/>
        </w:rPr>
        <w:t>Research methods</w:t>
      </w:r>
    </w:p>
    <w:p w14:paraId="636CC12B" w14:textId="77777777" w:rsidR="00A77B3E" w:rsidRDefault="00485DAF">
      <w:pPr>
        <w:spacing w:line="360" w:lineRule="auto"/>
        <w:jc w:val="both"/>
      </w:pPr>
      <w:r>
        <w:rPr>
          <w:rFonts w:ascii="Book Antiqua" w:eastAsia="Book Antiqua" w:hAnsi="Book Antiqua" w:cs="Book Antiqua"/>
          <w:color w:val="000000"/>
        </w:rPr>
        <w:t>Intestinal tissues of IBD patients were examined immunohistochemically using the 10-7G mAb. The 10-7G values were measured using serum from patients with IBD, acute enteritis (AE), and healthy volunteers. Correlation analysis and Receiver operating characteristic curve analysis were performed to</w:t>
      </w:r>
      <w:r>
        <w:rPr>
          <w:rFonts w:ascii="Book Antiqua" w:eastAsia="Book Antiqua" w:hAnsi="Book Antiqua" w:cs="Book Antiqua"/>
          <w:color w:val="000000"/>
          <w:szCs w:val="21"/>
        </w:rPr>
        <w:t xml:space="preserve"> </w:t>
      </w:r>
      <w:r>
        <w:rPr>
          <w:rFonts w:ascii="Book Antiqua" w:eastAsia="Book Antiqua" w:hAnsi="Book Antiqua" w:cs="Book Antiqua"/>
          <w:color w:val="000000"/>
        </w:rPr>
        <w:t>evaluate the usefulness of the 10-7G values as a biomarker for IBD compared to conventional serum biomarkers and various clinical parameters.</w:t>
      </w:r>
    </w:p>
    <w:p w14:paraId="5E3B865B" w14:textId="77777777" w:rsidR="00A77B3E" w:rsidRDefault="00A77B3E">
      <w:pPr>
        <w:spacing w:line="360" w:lineRule="auto"/>
        <w:jc w:val="both"/>
      </w:pPr>
    </w:p>
    <w:p w14:paraId="2C9E34F1" w14:textId="77777777" w:rsidR="00A77B3E" w:rsidRDefault="00485DAF">
      <w:pPr>
        <w:spacing w:line="360" w:lineRule="auto"/>
        <w:jc w:val="both"/>
      </w:pPr>
      <w:r>
        <w:rPr>
          <w:rFonts w:ascii="Book Antiqua" w:eastAsia="Book Antiqua" w:hAnsi="Book Antiqua" w:cs="Book Antiqua"/>
          <w:b/>
          <w:i/>
          <w:color w:val="000000"/>
        </w:rPr>
        <w:t>Research results</w:t>
      </w:r>
    </w:p>
    <w:p w14:paraId="4C61B9E5" w14:textId="77777777" w:rsidR="00A77B3E" w:rsidRDefault="00485DAF">
      <w:pPr>
        <w:spacing w:line="360" w:lineRule="auto"/>
        <w:jc w:val="both"/>
      </w:pPr>
      <w:r>
        <w:rPr>
          <w:rFonts w:ascii="Book Antiqua" w:eastAsia="Book Antiqua" w:hAnsi="Book Antiqua" w:cs="Book Antiqua"/>
          <w:color w:val="000000"/>
        </w:rPr>
        <w:t>Positive 10-7G mAb staining was observed in lymphocytes infiltrating into inflammatory sites of the mucosal layer. The 10-7G values were significantly higher in patients with IBD and AE. Statistical analyses showed that the 10-7G values could evaluate intestinal inflammation and endoscopic mucosal healing in ulcerative colitis (UC).</w:t>
      </w:r>
    </w:p>
    <w:p w14:paraId="5C2576CF" w14:textId="77777777" w:rsidR="00A77B3E" w:rsidRDefault="00A77B3E">
      <w:pPr>
        <w:spacing w:line="360" w:lineRule="auto"/>
        <w:jc w:val="both"/>
      </w:pPr>
    </w:p>
    <w:p w14:paraId="244BBD44" w14:textId="77777777" w:rsidR="00A77B3E" w:rsidRDefault="00485DAF">
      <w:pPr>
        <w:spacing w:line="360" w:lineRule="auto"/>
        <w:jc w:val="both"/>
      </w:pPr>
      <w:r>
        <w:rPr>
          <w:rFonts w:ascii="Book Antiqua" w:eastAsia="Book Antiqua" w:hAnsi="Book Antiqua" w:cs="Book Antiqua"/>
          <w:b/>
          <w:i/>
          <w:color w:val="000000"/>
        </w:rPr>
        <w:t>Research conclusions</w:t>
      </w:r>
    </w:p>
    <w:p w14:paraId="08A899EC" w14:textId="77777777" w:rsidR="00A77B3E" w:rsidRDefault="00485DAF">
      <w:pPr>
        <w:spacing w:line="360" w:lineRule="auto"/>
        <w:jc w:val="both"/>
      </w:pPr>
      <w:r>
        <w:rPr>
          <w:rFonts w:ascii="Book Antiqua" w:eastAsia="Book Antiqua" w:hAnsi="Book Antiqua" w:cs="Book Antiqua"/>
          <w:color w:val="000000"/>
        </w:rPr>
        <w:t>Fuc-Hpt is produced by lymphocytes infiltrating into sites of inflammation in the intestine and the serum 10-7G value is a non-invasive biomarker for evaluating endoscopic remission in UC.</w:t>
      </w:r>
    </w:p>
    <w:p w14:paraId="47259966" w14:textId="77777777" w:rsidR="00A77B3E" w:rsidRDefault="00A77B3E">
      <w:pPr>
        <w:spacing w:line="360" w:lineRule="auto"/>
        <w:jc w:val="both"/>
      </w:pPr>
    </w:p>
    <w:p w14:paraId="087AAD68" w14:textId="77777777" w:rsidR="00A77B3E" w:rsidRDefault="00485DAF">
      <w:pPr>
        <w:spacing w:line="360" w:lineRule="auto"/>
        <w:jc w:val="both"/>
      </w:pPr>
      <w:r>
        <w:rPr>
          <w:rFonts w:ascii="Book Antiqua" w:eastAsia="Book Antiqua" w:hAnsi="Book Antiqua" w:cs="Book Antiqua"/>
          <w:b/>
          <w:i/>
          <w:color w:val="000000"/>
        </w:rPr>
        <w:t>Research perspectives</w:t>
      </w:r>
    </w:p>
    <w:p w14:paraId="655B2FF8" w14:textId="77777777" w:rsidR="00A77B3E" w:rsidRDefault="00485DAF">
      <w:pPr>
        <w:spacing w:line="360" w:lineRule="auto"/>
        <w:jc w:val="both"/>
      </w:pPr>
      <w:r>
        <w:rPr>
          <w:rFonts w:ascii="Book Antiqua" w:eastAsia="Book Antiqua" w:hAnsi="Book Antiqua" w:cs="Book Antiqua"/>
          <w:color w:val="000000"/>
        </w:rPr>
        <w:t>Further studies are needed to fully elucidate the mechanism underlying the secretion of Fuc-Hpt by immune cells. In addition, we will measure serum 10-7G values of same patients with UC in follow-up study.</w:t>
      </w:r>
    </w:p>
    <w:p w14:paraId="764C17FB" w14:textId="77777777" w:rsidR="00A77B3E" w:rsidRDefault="00A77B3E">
      <w:pPr>
        <w:spacing w:line="360" w:lineRule="auto"/>
        <w:jc w:val="both"/>
      </w:pPr>
    </w:p>
    <w:p w14:paraId="6040DEAF" w14:textId="77777777" w:rsidR="00A77B3E" w:rsidRDefault="00485DAF">
      <w:pPr>
        <w:spacing w:line="360" w:lineRule="auto"/>
        <w:jc w:val="both"/>
      </w:pPr>
      <w:r>
        <w:rPr>
          <w:rFonts w:ascii="Book Antiqua" w:eastAsia="Book Antiqua" w:hAnsi="Book Antiqua" w:cs="Book Antiqua"/>
          <w:b/>
          <w:caps/>
          <w:color w:val="000000"/>
          <w:u w:val="single"/>
        </w:rPr>
        <w:t>ACKNOWLEDGEMENTS</w:t>
      </w:r>
    </w:p>
    <w:p w14:paraId="33ABCBFF" w14:textId="0C899E65" w:rsidR="00A77B3E" w:rsidRDefault="00485DAF">
      <w:pPr>
        <w:spacing w:line="360" w:lineRule="auto"/>
        <w:jc w:val="both"/>
      </w:pPr>
      <w:r>
        <w:rPr>
          <w:rFonts w:ascii="Book Antiqua" w:eastAsia="Book Antiqua" w:hAnsi="Book Antiqua" w:cs="Book Antiqua"/>
          <w:color w:val="000000"/>
        </w:rPr>
        <w:t xml:space="preserve">The authors would like to thank Dr. Yamada </w:t>
      </w:r>
      <w:r w:rsidR="00FC7B11">
        <w:rPr>
          <w:rFonts w:ascii="Book Antiqua" w:eastAsia="Book Antiqua" w:hAnsi="Book Antiqua" w:cs="Book Antiqua"/>
          <w:color w:val="000000"/>
        </w:rPr>
        <w:t xml:space="preserve">M </w:t>
      </w:r>
      <w:r>
        <w:rPr>
          <w:rFonts w:ascii="Book Antiqua" w:eastAsia="Book Antiqua" w:hAnsi="Book Antiqua" w:cs="Book Antiqua"/>
          <w:color w:val="000000"/>
        </w:rPr>
        <w:t xml:space="preserve">(aMs NEW OTANI CLINIC, Osaka, Osaka 540-8570, Japan) for the excellent assistance. </w:t>
      </w:r>
    </w:p>
    <w:p w14:paraId="60BDC91B" w14:textId="77777777" w:rsidR="00A77B3E" w:rsidRDefault="00A77B3E">
      <w:pPr>
        <w:spacing w:line="360" w:lineRule="auto"/>
        <w:jc w:val="both"/>
      </w:pPr>
    </w:p>
    <w:p w14:paraId="6BD8F7FC" w14:textId="77777777" w:rsidR="00A77B3E" w:rsidRDefault="00485DAF">
      <w:pPr>
        <w:spacing w:line="360" w:lineRule="auto"/>
        <w:jc w:val="both"/>
      </w:pPr>
      <w:r>
        <w:rPr>
          <w:rFonts w:ascii="Book Antiqua" w:eastAsia="Book Antiqua" w:hAnsi="Book Antiqua" w:cs="Book Antiqua"/>
          <w:b/>
          <w:color w:val="000000"/>
        </w:rPr>
        <w:t>REFERENCES</w:t>
      </w:r>
    </w:p>
    <w:p w14:paraId="7DAE5CF4" w14:textId="77777777" w:rsidR="00A77B3E" w:rsidRDefault="00485DA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Xavier RJ</w:t>
      </w:r>
      <w:r>
        <w:rPr>
          <w:rFonts w:ascii="Book Antiqua" w:eastAsia="Book Antiqua" w:hAnsi="Book Antiqua" w:cs="Book Antiqua"/>
          <w:color w:val="000000"/>
        </w:rPr>
        <w:t xml:space="preserve">, Podolsky DK. Unravelling the pathogenesis of inflammatory bowel disease.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2007; </w:t>
      </w:r>
      <w:r>
        <w:rPr>
          <w:rFonts w:ascii="Book Antiqua" w:eastAsia="Book Antiqua" w:hAnsi="Book Antiqua" w:cs="Book Antiqua"/>
          <w:b/>
          <w:bCs/>
          <w:color w:val="000000"/>
        </w:rPr>
        <w:t>448</w:t>
      </w:r>
      <w:r>
        <w:rPr>
          <w:rFonts w:ascii="Book Antiqua" w:eastAsia="Book Antiqua" w:hAnsi="Book Antiqua" w:cs="Book Antiqua"/>
          <w:color w:val="000000"/>
        </w:rPr>
        <w:t>: 427-434 [PMID: 17653185 DOI: 10.1038/nature06005]</w:t>
      </w:r>
    </w:p>
    <w:p w14:paraId="2530F7C0" w14:textId="77777777" w:rsidR="00A77B3E" w:rsidRDefault="00485DA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Uhlig HH</w:t>
      </w:r>
      <w:r>
        <w:rPr>
          <w:rFonts w:ascii="Book Antiqua" w:eastAsia="Book Antiqua" w:hAnsi="Book Antiqua" w:cs="Book Antiqua"/>
          <w:color w:val="000000"/>
        </w:rPr>
        <w:t xml:space="preserve">. Monogenic diseases associated with intestinal inflammation: implications for the understanding of inflammatory bowel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1795-1805 [PMID: 24203055 DOI: 10.1136/gutjnl-2012-303956]</w:t>
      </w:r>
    </w:p>
    <w:p w14:paraId="629D4502" w14:textId="77777777" w:rsidR="00A77B3E" w:rsidRDefault="00485DA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Geremia A</w:t>
      </w:r>
      <w:r>
        <w:rPr>
          <w:rFonts w:ascii="Book Antiqua" w:eastAsia="Book Antiqua" w:hAnsi="Book Antiqua" w:cs="Book Antiqua"/>
          <w:color w:val="000000"/>
        </w:rPr>
        <w:t xml:space="preserve">, Biancheri P, Allan P, Corazza GR, Di Sabatino A. Innate and adaptive immunity in inflammatory bowel disease. </w:t>
      </w:r>
      <w:r>
        <w:rPr>
          <w:rFonts w:ascii="Book Antiqua" w:eastAsia="Book Antiqua" w:hAnsi="Book Antiqua" w:cs="Book Antiqua"/>
          <w:i/>
          <w:iCs/>
          <w:color w:val="000000"/>
        </w:rPr>
        <w:t>Autoimmun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3-10 [PMID: 23774107 DOI: 10.1016/j.autrev.2013.06.004]</w:t>
      </w:r>
    </w:p>
    <w:p w14:paraId="466D49C6" w14:textId="77777777" w:rsidR="00A77B3E" w:rsidRDefault="00485DA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Carlson CS</w:t>
      </w:r>
      <w:r>
        <w:rPr>
          <w:rFonts w:ascii="Book Antiqua" w:eastAsia="Book Antiqua" w:hAnsi="Book Antiqua" w:cs="Book Antiqua"/>
          <w:color w:val="000000"/>
        </w:rPr>
        <w:t xml:space="preserve">, Aldred SF, Lee PK, Tracy RP, Schwartz SM, Rieder M, Liu K, Williams OD, Iribarren C, Lewis EC, Fornage M, Boerwinkle E, Gross M, Jaquish C, Nickerson DA, Myers RM, Siscovick DS, Reiner AP. Polymorphisms within the C-reactive protein (CRP) promoter region are associated with plasma CRP levels.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2005; </w:t>
      </w:r>
      <w:r>
        <w:rPr>
          <w:rFonts w:ascii="Book Antiqua" w:eastAsia="Book Antiqua" w:hAnsi="Book Antiqua" w:cs="Book Antiqua"/>
          <w:b/>
          <w:bCs/>
          <w:color w:val="000000"/>
        </w:rPr>
        <w:t>77</w:t>
      </w:r>
      <w:r>
        <w:rPr>
          <w:rFonts w:ascii="Book Antiqua" w:eastAsia="Book Antiqua" w:hAnsi="Book Antiqua" w:cs="Book Antiqua"/>
          <w:color w:val="000000"/>
        </w:rPr>
        <w:t>: 64-77 [PMID: 15897982 DOI: 10.1086/431366]</w:t>
      </w:r>
    </w:p>
    <w:p w14:paraId="69B407EB" w14:textId="77777777" w:rsidR="00A77B3E" w:rsidRDefault="00485DA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Soubières AA</w:t>
      </w:r>
      <w:r>
        <w:rPr>
          <w:rFonts w:ascii="Book Antiqua" w:eastAsia="Book Antiqua" w:hAnsi="Book Antiqua" w:cs="Book Antiqua"/>
          <w:color w:val="000000"/>
        </w:rPr>
        <w:t xml:space="preserve">, Poullis A. Emerging role of novel biomarkers in the diagnosis of inflammatory bowel disease. </w:t>
      </w:r>
      <w:r>
        <w:rPr>
          <w:rFonts w:ascii="Book Antiqua" w:eastAsia="Book Antiqua" w:hAnsi="Book Antiqua" w:cs="Book Antiqua"/>
          <w:i/>
          <w:iCs/>
          <w:color w:val="000000"/>
        </w:rPr>
        <w:t>World J Gastrointest Pharmacol 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41-50 [PMID: 26855811 DOI: 10.4292/wjgpt.v7.i1.41]</w:t>
      </w:r>
    </w:p>
    <w:p w14:paraId="3AA0BE27" w14:textId="77777777" w:rsidR="00A77B3E" w:rsidRDefault="00485DA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Eckersall PD</w:t>
      </w:r>
      <w:r>
        <w:rPr>
          <w:rFonts w:ascii="Book Antiqua" w:eastAsia="Book Antiqua" w:hAnsi="Book Antiqua" w:cs="Book Antiqua"/>
          <w:color w:val="000000"/>
        </w:rPr>
        <w:t xml:space="preserve">, Bell R. Acute phase proteins: Biomarkers of infection and inflammation in veterinary medicine. </w:t>
      </w:r>
      <w:r>
        <w:rPr>
          <w:rFonts w:ascii="Book Antiqua" w:eastAsia="Book Antiqua" w:hAnsi="Book Antiqua" w:cs="Book Antiqua"/>
          <w:i/>
          <w:iCs/>
          <w:color w:val="000000"/>
        </w:rPr>
        <w:t>Vet J</w:t>
      </w:r>
      <w:r>
        <w:rPr>
          <w:rFonts w:ascii="Book Antiqua" w:eastAsia="Book Antiqua" w:hAnsi="Book Antiqua" w:cs="Book Antiqua"/>
          <w:color w:val="000000"/>
        </w:rPr>
        <w:t xml:space="preserve"> 2010; </w:t>
      </w:r>
      <w:r>
        <w:rPr>
          <w:rFonts w:ascii="Book Antiqua" w:eastAsia="Book Antiqua" w:hAnsi="Book Antiqua" w:cs="Book Antiqua"/>
          <w:b/>
          <w:bCs/>
          <w:color w:val="000000"/>
        </w:rPr>
        <w:t>185</w:t>
      </w:r>
      <w:r>
        <w:rPr>
          <w:rFonts w:ascii="Book Antiqua" w:eastAsia="Book Antiqua" w:hAnsi="Book Antiqua" w:cs="Book Antiqua"/>
          <w:color w:val="000000"/>
        </w:rPr>
        <w:t>: 23-27 [PMID: 20621712 DOI: 10.1016/j.tvjl.2010.04.009]</w:t>
      </w:r>
    </w:p>
    <w:p w14:paraId="43ABBAB4" w14:textId="77777777" w:rsidR="00A77B3E" w:rsidRDefault="00485DA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Yang H</w:t>
      </w:r>
      <w:r>
        <w:rPr>
          <w:rFonts w:ascii="Book Antiqua" w:eastAsia="Book Antiqua" w:hAnsi="Book Antiqua" w:cs="Book Antiqua"/>
          <w:color w:val="000000"/>
        </w:rPr>
        <w:t xml:space="preserve">, Wang H, Levine YA, Gunasekaran MK, Wang Y, Addorisio M, Zhu S, Li W, Li J, de Kleijn DP, Olofsson PS, Warren HS, He M, Al-Abed Y, Roth J, Antoine DJ, Chavan SS, Andersson U, Tracey KJ. Identification of CD163 as an antiinflammatory receptor for HMGB1-haptoglobin complexes. </w:t>
      </w:r>
      <w:r>
        <w:rPr>
          <w:rFonts w:ascii="Book Antiqua" w:eastAsia="Book Antiqua" w:hAnsi="Book Antiqua" w:cs="Book Antiqua"/>
          <w:i/>
          <w:iCs/>
          <w:color w:val="000000"/>
        </w:rPr>
        <w:t>JCI Insight</w:t>
      </w:r>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[PMID: 27294203 DOI: 10.1172/jci.insight.85375]</w:t>
      </w:r>
    </w:p>
    <w:p w14:paraId="2E2671BE" w14:textId="77777777" w:rsidR="00A77B3E" w:rsidRDefault="00485DA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Kristiansen M</w:t>
      </w:r>
      <w:r>
        <w:rPr>
          <w:rFonts w:ascii="Book Antiqua" w:eastAsia="Book Antiqua" w:hAnsi="Book Antiqua" w:cs="Book Antiqua"/>
          <w:color w:val="000000"/>
        </w:rPr>
        <w:t xml:space="preserve">, Graversen JH, Jacobsen C, Sonne O, Hoffman HJ, Law SK, Moestrup SK. Identification of the haemoglobin scavenger receptor.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2001; </w:t>
      </w:r>
      <w:r>
        <w:rPr>
          <w:rFonts w:ascii="Book Antiqua" w:eastAsia="Book Antiqua" w:hAnsi="Book Antiqua" w:cs="Book Antiqua"/>
          <w:b/>
          <w:bCs/>
          <w:color w:val="000000"/>
        </w:rPr>
        <w:t>409</w:t>
      </w:r>
      <w:r>
        <w:rPr>
          <w:rFonts w:ascii="Book Antiqua" w:eastAsia="Book Antiqua" w:hAnsi="Book Antiqua" w:cs="Book Antiqua"/>
          <w:color w:val="000000"/>
        </w:rPr>
        <w:t>: 198-201 [PMID: 11196644 DOI: 10.1038/35051594]</w:t>
      </w:r>
    </w:p>
    <w:p w14:paraId="13E66483" w14:textId="35D2FFA9" w:rsidR="00A77B3E" w:rsidRDefault="00485DA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Yang F</w:t>
      </w:r>
      <w:r>
        <w:rPr>
          <w:rFonts w:ascii="Book Antiqua" w:eastAsia="Book Antiqua" w:hAnsi="Book Antiqua" w:cs="Book Antiqua"/>
          <w:color w:val="000000"/>
        </w:rPr>
        <w:t xml:space="preserve">, Brune JL, Baldwin WD, Barnett DR, Bowman BH. Identification and characterization of human haptoglobin cDNA. </w:t>
      </w:r>
      <w:r w:rsidR="00F6790E">
        <w:rPr>
          <w:rFonts w:ascii="Book Antiqua" w:eastAsia="Book Antiqua" w:hAnsi="Book Antiqua" w:cs="Book Antiqua"/>
          <w:i/>
          <w:iCs/>
          <w:color w:val="000000"/>
        </w:rPr>
        <w:t>Proc Natl Acad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1983; </w:t>
      </w:r>
      <w:r>
        <w:rPr>
          <w:rFonts w:ascii="Book Antiqua" w:eastAsia="Book Antiqua" w:hAnsi="Book Antiqua" w:cs="Book Antiqua"/>
          <w:b/>
          <w:bCs/>
          <w:color w:val="000000"/>
        </w:rPr>
        <w:t>80</w:t>
      </w:r>
      <w:r>
        <w:rPr>
          <w:rFonts w:ascii="Book Antiqua" w:eastAsia="Book Antiqua" w:hAnsi="Book Antiqua" w:cs="Book Antiqua"/>
          <w:color w:val="000000"/>
        </w:rPr>
        <w:t>: 5875-5879 [PMID: 6310599 DOI: 10.1073/pnas.80.19.5875]</w:t>
      </w:r>
    </w:p>
    <w:p w14:paraId="08AAAAF1" w14:textId="77777777" w:rsidR="00A77B3E" w:rsidRDefault="00485DA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Black JA</w:t>
      </w:r>
      <w:r>
        <w:rPr>
          <w:rFonts w:ascii="Book Antiqua" w:eastAsia="Book Antiqua" w:hAnsi="Book Antiqua" w:cs="Book Antiqua"/>
          <w:color w:val="000000"/>
        </w:rPr>
        <w:t xml:space="preserve">, Chan GF, Hew CL, Dixon GH. Gene action in the human haptoglobins. 3. Isolation of the alpha-chains as single gene products. Isolation, molecular weight, and amino acid composition of alpha and beta chains. </w:t>
      </w:r>
      <w:r>
        <w:rPr>
          <w:rFonts w:ascii="Book Antiqua" w:eastAsia="Book Antiqua" w:hAnsi="Book Antiqua" w:cs="Book Antiqua"/>
          <w:i/>
          <w:iCs/>
          <w:color w:val="000000"/>
        </w:rPr>
        <w:t>Can J Biochem</w:t>
      </w:r>
      <w:r>
        <w:rPr>
          <w:rFonts w:ascii="Book Antiqua" w:eastAsia="Book Antiqua" w:hAnsi="Book Antiqua" w:cs="Book Antiqua"/>
          <w:color w:val="000000"/>
        </w:rPr>
        <w:t xml:space="preserve"> 1970; </w:t>
      </w:r>
      <w:r>
        <w:rPr>
          <w:rFonts w:ascii="Book Antiqua" w:eastAsia="Book Antiqua" w:hAnsi="Book Antiqua" w:cs="Book Antiqua"/>
          <w:b/>
          <w:bCs/>
          <w:color w:val="000000"/>
        </w:rPr>
        <w:t>48</w:t>
      </w:r>
      <w:r>
        <w:rPr>
          <w:rFonts w:ascii="Book Antiqua" w:eastAsia="Book Antiqua" w:hAnsi="Book Antiqua" w:cs="Book Antiqua"/>
          <w:color w:val="000000"/>
        </w:rPr>
        <w:t>: 123-132 [PMID: 5512535 DOI: 10.1139/o70-019]</w:t>
      </w:r>
    </w:p>
    <w:p w14:paraId="166C9F9E" w14:textId="77777777" w:rsidR="00A77B3E" w:rsidRDefault="00485DA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Miyoshi E</w:t>
      </w:r>
      <w:r>
        <w:rPr>
          <w:rFonts w:ascii="Book Antiqua" w:eastAsia="Book Antiqua" w:hAnsi="Book Antiqua" w:cs="Book Antiqua"/>
          <w:color w:val="000000"/>
        </w:rPr>
        <w:t xml:space="preserve">, Moriwaki K, Nakagawa T. Biological function of fucosylation in cancer biology. </w:t>
      </w:r>
      <w:r>
        <w:rPr>
          <w:rFonts w:ascii="Book Antiqua" w:eastAsia="Book Antiqua" w:hAnsi="Book Antiqua" w:cs="Book Antiqua"/>
          <w:i/>
          <w:iCs/>
          <w:color w:val="000000"/>
        </w:rPr>
        <w:t>J Biochem</w:t>
      </w:r>
      <w:r>
        <w:rPr>
          <w:rFonts w:ascii="Book Antiqua" w:eastAsia="Book Antiqua" w:hAnsi="Book Antiqua" w:cs="Book Antiqua"/>
          <w:color w:val="000000"/>
        </w:rPr>
        <w:t xml:space="preserve"> 2008; </w:t>
      </w:r>
      <w:r>
        <w:rPr>
          <w:rFonts w:ascii="Book Antiqua" w:eastAsia="Book Antiqua" w:hAnsi="Book Antiqua" w:cs="Book Antiqua"/>
          <w:b/>
          <w:bCs/>
          <w:color w:val="000000"/>
        </w:rPr>
        <w:t>143</w:t>
      </w:r>
      <w:r>
        <w:rPr>
          <w:rFonts w:ascii="Book Antiqua" w:eastAsia="Book Antiqua" w:hAnsi="Book Antiqua" w:cs="Book Antiqua"/>
          <w:color w:val="000000"/>
        </w:rPr>
        <w:t>: 725-729 [PMID: 18218651 DOI: 10.1093/jb/mvn011]</w:t>
      </w:r>
    </w:p>
    <w:p w14:paraId="60342F7D" w14:textId="77777777" w:rsidR="00A77B3E" w:rsidRDefault="00485DA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Okuyama N</w:t>
      </w:r>
      <w:r>
        <w:rPr>
          <w:rFonts w:ascii="Book Antiqua" w:eastAsia="Book Antiqua" w:hAnsi="Book Antiqua" w:cs="Book Antiqua"/>
          <w:color w:val="000000"/>
        </w:rPr>
        <w:t xml:space="preserve">, Ide Y, Nakano M, Nakagawa T, Yamanaka K, Moriwaki K, Murata K, Ohigashi H, Yokoyama S, Eguchi H, Ishikawa O, Ito T, Kato M, Kasahara A, Kawano S, Gu J, Taniguchi N, Miyoshi E. Fucosylated haptoglobin is a novel marker for pancreatic cancer: a detailed analysis of the oligosaccharide structure and a possible mechanism for fucosylation.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118</w:t>
      </w:r>
      <w:r>
        <w:rPr>
          <w:rFonts w:ascii="Book Antiqua" w:eastAsia="Book Antiqua" w:hAnsi="Book Antiqua" w:cs="Book Antiqua"/>
          <w:color w:val="000000"/>
        </w:rPr>
        <w:t>: 2803-2808 [PMID: 16385567 DOI: 10.1002/ijc.21728]</w:t>
      </w:r>
    </w:p>
    <w:p w14:paraId="4D0EA600" w14:textId="77777777" w:rsidR="00A77B3E" w:rsidRDefault="00485DA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Kamada Y</w:t>
      </w:r>
      <w:r>
        <w:rPr>
          <w:rFonts w:ascii="Book Antiqua" w:eastAsia="Book Antiqua" w:hAnsi="Book Antiqua" w:cs="Book Antiqua"/>
          <w:color w:val="000000"/>
        </w:rPr>
        <w:t xml:space="preserve">, Kinoshita N, Tsuchiya Y, Kobayashi K, Fujii H, Terao N, Kamihagi K, Koyama N, Yamada S, Daigo Y, Nakamura Y, Taniguchi N, Miyoshi E. Reevaluation of a lectin antibody ELISA kit for measuring fucosylated haptoglobin in various conditions. </w:t>
      </w:r>
      <w:r>
        <w:rPr>
          <w:rFonts w:ascii="Book Antiqua" w:eastAsia="Book Antiqua" w:hAnsi="Book Antiqua" w:cs="Book Antiqua"/>
          <w:i/>
          <w:iCs/>
          <w:color w:val="000000"/>
        </w:rPr>
        <w:t>Clin Chim Acta</w:t>
      </w:r>
      <w:r>
        <w:rPr>
          <w:rFonts w:ascii="Book Antiqua" w:eastAsia="Book Antiqua" w:hAnsi="Book Antiqua" w:cs="Book Antiqua"/>
          <w:color w:val="000000"/>
        </w:rPr>
        <w:t xml:space="preserve"> 2013; </w:t>
      </w:r>
      <w:r>
        <w:rPr>
          <w:rFonts w:ascii="Book Antiqua" w:eastAsia="Book Antiqua" w:hAnsi="Book Antiqua" w:cs="Book Antiqua"/>
          <w:b/>
          <w:bCs/>
          <w:color w:val="000000"/>
        </w:rPr>
        <w:t>417</w:t>
      </w:r>
      <w:r>
        <w:rPr>
          <w:rFonts w:ascii="Book Antiqua" w:eastAsia="Book Antiqua" w:hAnsi="Book Antiqua" w:cs="Book Antiqua"/>
          <w:color w:val="000000"/>
        </w:rPr>
        <w:t>: 48-53 [PMID: 23262369 DOI: 10.1016/j.cca.2012.12.014]</w:t>
      </w:r>
    </w:p>
    <w:p w14:paraId="460334CD" w14:textId="77777777" w:rsidR="00A77B3E" w:rsidRDefault="00485DA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Nishino K</w:t>
      </w:r>
      <w:r>
        <w:rPr>
          <w:rFonts w:ascii="Book Antiqua" w:eastAsia="Book Antiqua" w:hAnsi="Book Antiqua" w:cs="Book Antiqua"/>
          <w:color w:val="000000"/>
        </w:rPr>
        <w:t xml:space="preserve">, Koda S, Kataoka N, Takamatsu S, Nakano M, Ikeda S, Kamamatsu Y, Morishita K, Moriwaki K, Eguchi H, Yamamoto E, Kikkawa F, Tomita Y, Kamada Y, Miyoshi E. Establishment of an antibody specific for cancer-associated haptoglobin: a possible implication of clinical investigation.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12732-12744 [PMID: 29560105 DOI: 10.18632/oncotarget.24332]</w:t>
      </w:r>
    </w:p>
    <w:p w14:paraId="040D7E68" w14:textId="77777777" w:rsidR="00A77B3E" w:rsidRDefault="00485DA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Morishita K</w:t>
      </w:r>
      <w:r>
        <w:rPr>
          <w:rFonts w:ascii="Book Antiqua" w:eastAsia="Book Antiqua" w:hAnsi="Book Antiqua" w:cs="Book Antiqua"/>
          <w:color w:val="000000"/>
        </w:rPr>
        <w:t xml:space="preserve">, Maki Y, Takamatsu S, Ito N, Koda S, Motooka K, Kamada Y, Kajihara Y, Miyoshi E. Identification of the epitope of 10-7G glycan antibody to recognize cancer-associated haptoglobin. </w:t>
      </w:r>
      <w:r>
        <w:rPr>
          <w:rFonts w:ascii="Book Antiqua" w:eastAsia="Book Antiqua" w:hAnsi="Book Antiqua" w:cs="Book Antiqua"/>
          <w:i/>
          <w:iCs/>
          <w:color w:val="000000"/>
        </w:rPr>
        <w:t>Anal Biochem</w:t>
      </w:r>
      <w:r>
        <w:rPr>
          <w:rFonts w:ascii="Book Antiqua" w:eastAsia="Book Antiqua" w:hAnsi="Book Antiqua" w:cs="Book Antiqua"/>
          <w:color w:val="000000"/>
        </w:rPr>
        <w:t xml:space="preserve"> 2020; </w:t>
      </w:r>
      <w:r>
        <w:rPr>
          <w:rFonts w:ascii="Book Antiqua" w:eastAsia="Book Antiqua" w:hAnsi="Book Antiqua" w:cs="Book Antiqua"/>
          <w:b/>
          <w:bCs/>
          <w:color w:val="000000"/>
        </w:rPr>
        <w:t>593</w:t>
      </w:r>
      <w:r>
        <w:rPr>
          <w:rFonts w:ascii="Book Antiqua" w:eastAsia="Book Antiqua" w:hAnsi="Book Antiqua" w:cs="Book Antiqua"/>
          <w:color w:val="000000"/>
        </w:rPr>
        <w:t>: 113588 [PMID: 31981485 DOI: 10.1016/j.ab.2020.113588]</w:t>
      </w:r>
    </w:p>
    <w:p w14:paraId="14B71EC5" w14:textId="77777777" w:rsidR="00A77B3E" w:rsidRDefault="00485DA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Morishita K</w:t>
      </w:r>
      <w:r>
        <w:rPr>
          <w:rFonts w:ascii="Book Antiqua" w:eastAsia="Book Antiqua" w:hAnsi="Book Antiqua" w:cs="Book Antiqua"/>
          <w:color w:val="000000"/>
        </w:rPr>
        <w:t xml:space="preserve">, Ito N, Koda S, Maeda M, Nakayama K, Yoshida K, Takamatsu S, Yamada M, Eguchi H, Kamada Y, Miyoshi E. Haptoglobin phenotype is a critical factor in the use of fucosylated haptoglobin for pancreatic cancer diagnosis. </w:t>
      </w:r>
      <w:r>
        <w:rPr>
          <w:rFonts w:ascii="Book Antiqua" w:eastAsia="Book Antiqua" w:hAnsi="Book Antiqua" w:cs="Book Antiqua"/>
          <w:i/>
          <w:iCs/>
          <w:color w:val="000000"/>
        </w:rPr>
        <w:t>Clin Chim Acta</w:t>
      </w:r>
      <w:r>
        <w:rPr>
          <w:rFonts w:ascii="Book Antiqua" w:eastAsia="Book Antiqua" w:hAnsi="Book Antiqua" w:cs="Book Antiqua"/>
          <w:color w:val="000000"/>
        </w:rPr>
        <w:t xml:space="preserve"> 2018; </w:t>
      </w:r>
      <w:r>
        <w:rPr>
          <w:rFonts w:ascii="Book Antiqua" w:eastAsia="Book Antiqua" w:hAnsi="Book Antiqua" w:cs="Book Antiqua"/>
          <w:b/>
          <w:bCs/>
          <w:color w:val="000000"/>
        </w:rPr>
        <w:t>487</w:t>
      </w:r>
      <w:r>
        <w:rPr>
          <w:rFonts w:ascii="Book Antiqua" w:eastAsia="Book Antiqua" w:hAnsi="Book Antiqua" w:cs="Book Antiqua"/>
          <w:color w:val="000000"/>
        </w:rPr>
        <w:t>: 84-89 [PMID: 30189188 DOI: 10.1016/j.cca.2018.09.001]</w:t>
      </w:r>
    </w:p>
    <w:p w14:paraId="50242DE1" w14:textId="77777777" w:rsidR="00A77B3E" w:rsidRDefault="00485DA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Roberts IM</w:t>
      </w:r>
      <w:r>
        <w:rPr>
          <w:rFonts w:ascii="Book Antiqua" w:eastAsia="Book Antiqua" w:hAnsi="Book Antiqua" w:cs="Book Antiqua"/>
          <w:color w:val="000000"/>
        </w:rPr>
        <w:t xml:space="preserve">, Jones SL, Premier RR, Cox JC. A comparison of the sensitivity and specificity of enzyme immunoassays and time-resolved fluoroimmunoassay. </w:t>
      </w:r>
      <w:r>
        <w:rPr>
          <w:rFonts w:ascii="Book Antiqua" w:eastAsia="Book Antiqua" w:hAnsi="Book Antiqua" w:cs="Book Antiqua"/>
          <w:i/>
          <w:iCs/>
          <w:color w:val="000000"/>
        </w:rPr>
        <w:t>J Immunol Methods</w:t>
      </w:r>
      <w:r>
        <w:rPr>
          <w:rFonts w:ascii="Book Antiqua" w:eastAsia="Book Antiqua" w:hAnsi="Book Antiqua" w:cs="Book Antiqua"/>
          <w:color w:val="000000"/>
        </w:rPr>
        <w:t xml:space="preserve"> 1991; </w:t>
      </w:r>
      <w:r>
        <w:rPr>
          <w:rFonts w:ascii="Book Antiqua" w:eastAsia="Book Antiqua" w:hAnsi="Book Antiqua" w:cs="Book Antiqua"/>
          <w:b/>
          <w:bCs/>
          <w:color w:val="000000"/>
        </w:rPr>
        <w:t>143</w:t>
      </w:r>
      <w:r>
        <w:rPr>
          <w:rFonts w:ascii="Book Antiqua" w:eastAsia="Book Antiqua" w:hAnsi="Book Antiqua" w:cs="Book Antiqua"/>
          <w:color w:val="000000"/>
        </w:rPr>
        <w:t>: 49-56 [PMID: 1919036 DOI: 10.1016/0022-1759(91)90271-g]</w:t>
      </w:r>
    </w:p>
    <w:p w14:paraId="1700E110" w14:textId="77777777" w:rsidR="00A77B3E" w:rsidRDefault="00485DA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Narisada M</w:t>
      </w:r>
      <w:r>
        <w:rPr>
          <w:rFonts w:ascii="Book Antiqua" w:eastAsia="Book Antiqua" w:hAnsi="Book Antiqua" w:cs="Book Antiqua"/>
          <w:color w:val="000000"/>
        </w:rPr>
        <w:t xml:space="preserve">, Kawamoto S, Kuwamoto K, Moriwaki K, Nakagawa T, Matsumoto H, Asahi M, Koyama N, Miyoshi E. Identification of an inducible factor secreted by pancreatic cancer cell lines that stimulates the production of fucosylated haptoglobin in hepatoma cells.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2008; </w:t>
      </w:r>
      <w:r>
        <w:rPr>
          <w:rFonts w:ascii="Book Antiqua" w:eastAsia="Book Antiqua" w:hAnsi="Book Antiqua" w:cs="Book Antiqua"/>
          <w:b/>
          <w:bCs/>
          <w:color w:val="000000"/>
        </w:rPr>
        <w:t>377</w:t>
      </w:r>
      <w:r>
        <w:rPr>
          <w:rFonts w:ascii="Book Antiqua" w:eastAsia="Book Antiqua" w:hAnsi="Book Antiqua" w:cs="Book Antiqua"/>
          <w:color w:val="000000"/>
        </w:rPr>
        <w:t>: 792-796 [PMID: 18951869 DOI: 10.1016/j.bbrc.2008.10.061]</w:t>
      </w:r>
    </w:p>
    <w:p w14:paraId="17C6F1DD" w14:textId="77777777" w:rsidR="00A77B3E" w:rsidRDefault="00485DA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Serada S</w:t>
      </w:r>
      <w:r>
        <w:rPr>
          <w:rFonts w:ascii="Book Antiqua" w:eastAsia="Book Antiqua" w:hAnsi="Book Antiqua" w:cs="Book Antiqua"/>
          <w:color w:val="000000"/>
        </w:rPr>
        <w:t xml:space="preserve">, Fujimoto M, Terabe F, Iijima H, Shinzaki S, Matsuzaki S, Ohkawara T, Nezu R, Nakajima S, Kobayashi T, Plevy SE, Takehara T, Naka T. Serum leucine-rich alpha-2 glycoprotein is a disease activity biomarker in ulcerative colitis.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2169-2179 [PMID: 22374925 DOI: 10.1002/ibd.22936]</w:t>
      </w:r>
    </w:p>
    <w:p w14:paraId="463976F6" w14:textId="77777777" w:rsidR="00A77B3E" w:rsidRDefault="00485DA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Colombel JF</w:t>
      </w:r>
      <w:r>
        <w:rPr>
          <w:rFonts w:ascii="Book Antiqua" w:eastAsia="Book Antiqua" w:hAnsi="Book Antiqua" w:cs="Book Antiqua"/>
          <w:color w:val="000000"/>
        </w:rPr>
        <w:t xml:space="preserve">, Rutgeerts P, Reinisch W, Esser D, Wang Y, Lang Y, Marano CW, Strauss R, Oddens BJ, Feagan BG, Hanauer SB, Lichtenstein GR, Present D, Sands BE, Sandborn WJ. Early mucosal healing with infliximab is associated with improved long-term clinical outcomes in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141</w:t>
      </w:r>
      <w:r>
        <w:rPr>
          <w:rFonts w:ascii="Book Antiqua" w:eastAsia="Book Antiqua" w:hAnsi="Book Antiqua" w:cs="Book Antiqua"/>
          <w:color w:val="000000"/>
        </w:rPr>
        <w:t>: 1194-1201 [PMID: 21723220 DOI: 10.1053/j.gastro.2011.06.054]</w:t>
      </w:r>
    </w:p>
    <w:p w14:paraId="2595A6BE" w14:textId="77777777" w:rsidR="00A77B3E" w:rsidRDefault="00485DA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Lewis JD</w:t>
      </w:r>
      <w:r>
        <w:rPr>
          <w:rFonts w:ascii="Book Antiqua" w:eastAsia="Book Antiqua" w:hAnsi="Book Antiqua" w:cs="Book Antiqua"/>
          <w:color w:val="000000"/>
        </w:rPr>
        <w:t xml:space="preserve">, Chuai S, Nessel L, Lichtenstein GR, Aberra FN, Ellenberg JH. Use of the noninvasive components of the Mayo score to assess clinical response in ulcerative colitis.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1660-1666 [PMID: 18623174 DOI: 10.1002/ibd.20520]</w:t>
      </w:r>
    </w:p>
    <w:p w14:paraId="792A85A9" w14:textId="77777777" w:rsidR="00A77B3E" w:rsidRDefault="00485DAF">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Shinzaki S</w:t>
      </w:r>
      <w:r>
        <w:rPr>
          <w:rFonts w:ascii="Book Antiqua" w:eastAsia="Book Antiqua" w:hAnsi="Book Antiqua" w:cs="Book Antiqua"/>
          <w:color w:val="000000"/>
        </w:rPr>
        <w:t xml:space="preserve">, Iijima H, Nakagawa T, Egawa S, Nakajima S, Ishii S, Irie T, Kakiuchi Y, Nishida T, Yasumaru M, Kanto T, Tsujii M, Tsuji S, Mizushima T, Yoshihara H, Kondo A, Miyoshi E, Hayashi N. IgG oligosaccharide alterations are a novel diagnostic marker for disease activity and the clinical course of inflammatory bowel disease.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103</w:t>
      </w:r>
      <w:r>
        <w:rPr>
          <w:rFonts w:ascii="Book Antiqua" w:eastAsia="Book Antiqua" w:hAnsi="Book Antiqua" w:cs="Book Antiqua"/>
          <w:color w:val="000000"/>
        </w:rPr>
        <w:t>: 1173-1181 [PMID: 18177457 DOI: 10.1111/j.1572-0241.2007.01699.x]</w:t>
      </w:r>
    </w:p>
    <w:p w14:paraId="6F569EE6" w14:textId="77777777" w:rsidR="00A77B3E" w:rsidRDefault="00485DA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Parekh RB</w:t>
      </w:r>
      <w:r>
        <w:rPr>
          <w:rFonts w:ascii="Book Antiqua" w:eastAsia="Book Antiqua" w:hAnsi="Book Antiqua" w:cs="Book Antiqua"/>
          <w:color w:val="000000"/>
        </w:rPr>
        <w:t xml:space="preserve">, Dwek RA, Sutton BJ, Fernandes DL, Leung A, Stanworth D, Rademacher TW, Mizuochi T, Taniguchi T, Matsuta K. Association of rheumatoid arthritis and primary osteoarthritis with changes in the glycosylation pattern of total serum IgG.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1985; </w:t>
      </w:r>
      <w:r>
        <w:rPr>
          <w:rFonts w:ascii="Book Antiqua" w:eastAsia="Book Antiqua" w:hAnsi="Book Antiqua" w:cs="Book Antiqua"/>
          <w:b/>
          <w:bCs/>
          <w:color w:val="000000"/>
        </w:rPr>
        <w:t>316</w:t>
      </w:r>
      <w:r>
        <w:rPr>
          <w:rFonts w:ascii="Book Antiqua" w:eastAsia="Book Antiqua" w:hAnsi="Book Antiqua" w:cs="Book Antiqua"/>
          <w:color w:val="000000"/>
        </w:rPr>
        <w:t>: 452-457 [PMID: 3927174 DOI: 10.1038/316452a0]</w:t>
      </w:r>
    </w:p>
    <w:p w14:paraId="691ADD28" w14:textId="77777777" w:rsidR="00A77B3E" w:rsidRDefault="00485DA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Abraham C</w:t>
      </w:r>
      <w:r>
        <w:rPr>
          <w:rFonts w:ascii="Book Antiqua" w:eastAsia="Book Antiqua" w:hAnsi="Book Antiqua" w:cs="Book Antiqua"/>
          <w:color w:val="000000"/>
        </w:rPr>
        <w:t xml:space="preserve">, Cho JH. Inflammatory bowel disease.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361</w:t>
      </w:r>
      <w:r>
        <w:rPr>
          <w:rFonts w:ascii="Book Antiqua" w:eastAsia="Book Antiqua" w:hAnsi="Book Antiqua" w:cs="Book Antiqua"/>
          <w:color w:val="000000"/>
        </w:rPr>
        <w:t>: 2066-2078 [PMID: 19923578 DOI: 10.1056/NEJMra0804647]</w:t>
      </w:r>
    </w:p>
    <w:p w14:paraId="46A32E42" w14:textId="60FD2B78" w:rsidR="00A77B3E" w:rsidRDefault="00485DA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Best WR</w:t>
      </w:r>
      <w:r>
        <w:rPr>
          <w:rFonts w:ascii="Book Antiqua" w:eastAsia="Book Antiqua" w:hAnsi="Book Antiqua" w:cs="Book Antiqua"/>
          <w:color w:val="000000"/>
        </w:rPr>
        <w:t xml:space="preserve">, Becktel JM, Singleton JW, Kern F Jr. Development of a Crohn's disease activity index. National Cooperative Crohn's Disease Study.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1976; </w:t>
      </w:r>
      <w:r>
        <w:rPr>
          <w:rFonts w:ascii="Book Antiqua" w:eastAsia="Book Antiqua" w:hAnsi="Book Antiqua" w:cs="Book Antiqua"/>
          <w:b/>
          <w:bCs/>
          <w:color w:val="000000"/>
        </w:rPr>
        <w:t>70</w:t>
      </w:r>
      <w:r>
        <w:rPr>
          <w:rFonts w:ascii="Book Antiqua" w:eastAsia="Book Antiqua" w:hAnsi="Book Antiqua" w:cs="Book Antiqua"/>
          <w:color w:val="000000"/>
        </w:rPr>
        <w:t>: 439-444 [PMID: 1248701</w:t>
      </w:r>
      <w:r w:rsidR="005F7BA3">
        <w:rPr>
          <w:rFonts w:ascii="Book Antiqua" w:hAnsi="Book Antiqua" w:cs="Book Antiqua" w:hint="eastAsia"/>
          <w:color w:val="000000"/>
          <w:lang w:eastAsia="zh-CN"/>
        </w:rPr>
        <w:t xml:space="preserve"> DOI: </w:t>
      </w:r>
      <w:r w:rsidR="005F7BA3" w:rsidRPr="005F7BA3">
        <w:rPr>
          <w:rFonts w:ascii="Book Antiqua" w:hAnsi="Book Antiqua" w:cs="Book Antiqua"/>
          <w:color w:val="000000"/>
          <w:lang w:eastAsia="zh-CN"/>
        </w:rPr>
        <w:t>10.1016/S0016-5085(76)80163-1</w:t>
      </w:r>
      <w:r>
        <w:rPr>
          <w:rFonts w:ascii="Book Antiqua" w:eastAsia="Book Antiqua" w:hAnsi="Book Antiqua" w:cs="Book Antiqua"/>
          <w:color w:val="000000"/>
        </w:rPr>
        <w:t>]</w:t>
      </w:r>
    </w:p>
    <w:p w14:paraId="7D3274F0" w14:textId="1D0F5F27" w:rsidR="00A77B3E" w:rsidRDefault="00485DA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Tripathi A</w:t>
      </w:r>
      <w:r>
        <w:rPr>
          <w:rFonts w:ascii="Book Antiqua" w:eastAsia="Book Antiqua" w:hAnsi="Book Antiqua" w:cs="Book Antiqua"/>
          <w:color w:val="000000"/>
        </w:rPr>
        <w:t xml:space="preserve">, Lammers KM, Goldblum S, Shea-Donohue T, Netzel-Arnett S, Buzza MS, Antalis TM, Vogel SN, Zhao A, Yang S, Arrietta MC, Meddings JB, Fasano A. Identification of human zonulin, a physiological modulator of tight junctions, as prehaptoglobin-2. </w:t>
      </w:r>
      <w:r w:rsidR="009A727A">
        <w:rPr>
          <w:rFonts w:ascii="Book Antiqua" w:eastAsia="Book Antiqua" w:hAnsi="Book Antiqua" w:cs="Book Antiqua"/>
          <w:i/>
          <w:iCs/>
          <w:color w:val="000000"/>
        </w:rPr>
        <w:t>Proc Natl Acad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2009; </w:t>
      </w:r>
      <w:r>
        <w:rPr>
          <w:rFonts w:ascii="Book Antiqua" w:eastAsia="Book Antiqua" w:hAnsi="Book Antiqua" w:cs="Book Antiqua"/>
          <w:b/>
          <w:bCs/>
          <w:color w:val="000000"/>
        </w:rPr>
        <w:t>106</w:t>
      </w:r>
      <w:r>
        <w:rPr>
          <w:rFonts w:ascii="Book Antiqua" w:eastAsia="Book Antiqua" w:hAnsi="Book Antiqua" w:cs="Book Antiqua"/>
          <w:color w:val="000000"/>
        </w:rPr>
        <w:t>: 16799-16804 [PMID: 19805376 DOI: 10.1073/pnas.0906773106]</w:t>
      </w:r>
    </w:p>
    <w:p w14:paraId="13BD08A9" w14:textId="7B13851D" w:rsidR="00A77B3E" w:rsidRDefault="00485DA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Wicher KB</w:t>
      </w:r>
      <w:r>
        <w:rPr>
          <w:rFonts w:ascii="Book Antiqua" w:eastAsia="Book Antiqua" w:hAnsi="Book Antiqua" w:cs="Book Antiqua"/>
          <w:color w:val="000000"/>
        </w:rPr>
        <w:t xml:space="preserve">, Fries E. Prohaptoglobin is proteolytically cleaved in the endoplasmic reticulum by the complement C1r-like protein. </w:t>
      </w:r>
      <w:r w:rsidR="009A727A">
        <w:rPr>
          <w:rFonts w:ascii="Book Antiqua" w:eastAsia="Book Antiqua" w:hAnsi="Book Antiqua" w:cs="Book Antiqua"/>
          <w:i/>
          <w:iCs/>
          <w:color w:val="000000"/>
        </w:rPr>
        <w:t>Proc Natl Acad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2004; </w:t>
      </w:r>
      <w:r>
        <w:rPr>
          <w:rFonts w:ascii="Book Antiqua" w:eastAsia="Book Antiqua" w:hAnsi="Book Antiqua" w:cs="Book Antiqua"/>
          <w:b/>
          <w:bCs/>
          <w:color w:val="000000"/>
        </w:rPr>
        <w:t>101</w:t>
      </w:r>
      <w:r>
        <w:rPr>
          <w:rFonts w:ascii="Book Antiqua" w:eastAsia="Book Antiqua" w:hAnsi="Book Antiqua" w:cs="Book Antiqua"/>
          <w:color w:val="000000"/>
        </w:rPr>
        <w:t>: 14390-14395 [PMID: 15385675 DOI: 10.1073/pnas.0405692101]</w:t>
      </w:r>
    </w:p>
    <w:p w14:paraId="5601FD68" w14:textId="77777777" w:rsidR="00A77B3E" w:rsidRDefault="00485DA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Ligoudistianou C</w:t>
      </w:r>
      <w:r>
        <w:rPr>
          <w:rFonts w:ascii="Book Antiqua" w:eastAsia="Book Antiqua" w:hAnsi="Book Antiqua" w:cs="Book Antiqua"/>
          <w:color w:val="000000"/>
        </w:rPr>
        <w:t xml:space="preserve">, Xu Y, Garnier G, Circolo A, Volanakis JE. A novel human complement-related protein, C1r-like protease (C1r-LP), specifically cleaves pro-C1s. </w:t>
      </w:r>
      <w:r>
        <w:rPr>
          <w:rFonts w:ascii="Book Antiqua" w:eastAsia="Book Antiqua" w:hAnsi="Book Antiqua" w:cs="Book Antiqua"/>
          <w:i/>
          <w:iCs/>
          <w:color w:val="000000"/>
        </w:rPr>
        <w:t>Biochem J</w:t>
      </w:r>
      <w:r>
        <w:rPr>
          <w:rFonts w:ascii="Book Antiqua" w:eastAsia="Book Antiqua" w:hAnsi="Book Antiqua" w:cs="Book Antiqua"/>
          <w:color w:val="000000"/>
        </w:rPr>
        <w:t xml:space="preserve"> 2005; </w:t>
      </w:r>
      <w:r>
        <w:rPr>
          <w:rFonts w:ascii="Book Antiqua" w:eastAsia="Book Antiqua" w:hAnsi="Book Antiqua" w:cs="Book Antiqua"/>
          <w:b/>
          <w:bCs/>
          <w:color w:val="000000"/>
        </w:rPr>
        <w:t>387</w:t>
      </w:r>
      <w:r>
        <w:rPr>
          <w:rFonts w:ascii="Book Antiqua" w:eastAsia="Book Antiqua" w:hAnsi="Book Antiqua" w:cs="Book Antiqua"/>
          <w:color w:val="000000"/>
        </w:rPr>
        <w:t>: 165-173 [PMID: 15527420 DOI: 10.1042/bj20041196]</w:t>
      </w:r>
    </w:p>
    <w:p w14:paraId="2563599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F70FBC0" w14:textId="77777777" w:rsidR="00A77B3E" w:rsidRDefault="00485DAF">
      <w:pPr>
        <w:spacing w:line="360" w:lineRule="auto"/>
        <w:jc w:val="both"/>
      </w:pPr>
      <w:r>
        <w:rPr>
          <w:rFonts w:ascii="Book Antiqua" w:eastAsia="Book Antiqua" w:hAnsi="Book Antiqua" w:cs="Book Antiqua"/>
          <w:b/>
          <w:color w:val="000000"/>
        </w:rPr>
        <w:t>Footnotes</w:t>
      </w:r>
    </w:p>
    <w:p w14:paraId="5C76E54A" w14:textId="6FD72178" w:rsidR="00A77B3E" w:rsidRDefault="00485DAF">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This study was approved by the ethics committee of Osaka University Hospital and conducted in accordance with approved guidelines (</w:t>
      </w:r>
      <w:r w:rsidR="00BB227E">
        <w:rPr>
          <w:rFonts w:ascii="Book Antiqua" w:eastAsia="Book Antiqua" w:hAnsi="Book Antiqua" w:cs="Book Antiqua"/>
          <w:color w:val="000000"/>
        </w:rPr>
        <w:t>A</w:t>
      </w:r>
      <w:r>
        <w:rPr>
          <w:rFonts w:ascii="Book Antiqua" w:eastAsia="Book Antiqua" w:hAnsi="Book Antiqua" w:cs="Book Antiqua"/>
          <w:color w:val="000000"/>
        </w:rPr>
        <w:t xml:space="preserve">pproval </w:t>
      </w:r>
      <w:r w:rsidR="00BB227E">
        <w:rPr>
          <w:rFonts w:ascii="Book Antiqua" w:eastAsia="Book Antiqua" w:hAnsi="Book Antiqua" w:cs="Book Antiqua"/>
          <w:color w:val="000000"/>
        </w:rPr>
        <w:t>No.</w:t>
      </w:r>
      <w:r>
        <w:rPr>
          <w:rFonts w:ascii="Book Antiqua" w:eastAsia="Book Antiqua" w:hAnsi="Book Antiqua" w:cs="Book Antiqua"/>
          <w:color w:val="000000"/>
        </w:rPr>
        <w:t xml:space="preserve"> 14107-10).</w:t>
      </w:r>
    </w:p>
    <w:p w14:paraId="5847417E" w14:textId="77777777" w:rsidR="00A77B3E" w:rsidRDefault="00A77B3E">
      <w:pPr>
        <w:spacing w:line="360" w:lineRule="auto"/>
        <w:jc w:val="both"/>
      </w:pPr>
    </w:p>
    <w:p w14:paraId="40A8510C" w14:textId="77777777" w:rsidR="00A77B3E" w:rsidRDefault="00485DA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all subjects in this study at the time of enrollment or blood sampling.</w:t>
      </w:r>
    </w:p>
    <w:p w14:paraId="1439FDC6" w14:textId="77777777" w:rsidR="00A77B3E" w:rsidRDefault="00A77B3E">
      <w:pPr>
        <w:spacing w:line="360" w:lineRule="auto"/>
        <w:jc w:val="both"/>
      </w:pPr>
    </w:p>
    <w:p w14:paraId="0FC94231" w14:textId="6D954CB5" w:rsidR="00A77B3E" w:rsidRDefault="00485DA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Shimizu</w:t>
      </w:r>
      <w:r>
        <w:rPr>
          <w:rFonts w:ascii="Book Antiqua" w:eastAsia="Book Antiqua" w:hAnsi="Book Antiqua" w:cs="Book Antiqua"/>
          <w:color w:val="000000"/>
          <w:szCs w:val="30"/>
          <w:vertAlign w:val="superscript"/>
        </w:rPr>
        <w:t xml:space="preserve"> </w:t>
      </w:r>
      <w:r w:rsidR="003B776D">
        <w:rPr>
          <w:rFonts w:ascii="Book Antiqua" w:eastAsia="Book Antiqua" w:hAnsi="Book Antiqua" w:cs="Book Antiqua"/>
          <w:color w:val="000000"/>
          <w:szCs w:val="30"/>
        </w:rPr>
        <w:t xml:space="preserve">K </w:t>
      </w:r>
      <w:r>
        <w:rPr>
          <w:rFonts w:ascii="Book Antiqua" w:eastAsia="Book Antiqua" w:hAnsi="Book Antiqua" w:cs="Book Antiqua"/>
          <w:color w:val="000000"/>
        </w:rPr>
        <w:t xml:space="preserve">and Date </w:t>
      </w:r>
      <w:r w:rsidR="003B776D">
        <w:rPr>
          <w:rFonts w:ascii="Book Antiqua" w:eastAsia="Book Antiqua" w:hAnsi="Book Antiqua" w:cs="Book Antiqua"/>
          <w:color w:val="000000"/>
        </w:rPr>
        <w:t xml:space="preserve">M </w:t>
      </w:r>
      <w:r>
        <w:rPr>
          <w:rFonts w:ascii="Book Antiqua" w:eastAsia="Book Antiqua" w:hAnsi="Book Antiqua" w:cs="Book Antiqua"/>
          <w:color w:val="000000"/>
        </w:rPr>
        <w:t>are employees of FUJIFILM Wako Pure Chemical Corporation and the authors received approximately $5000 per year from a collaboration grant with FUJIFILM Wako Pure Chemical Corporation. The authors declare no other conflicts of interest.</w:t>
      </w:r>
    </w:p>
    <w:p w14:paraId="36FCFA30" w14:textId="77777777" w:rsidR="00A77B3E" w:rsidRDefault="00A77B3E">
      <w:pPr>
        <w:spacing w:line="360" w:lineRule="auto"/>
        <w:jc w:val="both"/>
      </w:pPr>
    </w:p>
    <w:p w14:paraId="2216D99B" w14:textId="675A3618" w:rsidR="00A77B3E" w:rsidRDefault="00485DAF">
      <w:pPr>
        <w:spacing w:line="360" w:lineRule="auto"/>
        <w:jc w:val="both"/>
      </w:pPr>
      <w:r>
        <w:rPr>
          <w:rFonts w:ascii="Book Antiqua" w:eastAsia="Book Antiqua" w:hAnsi="Book Antiqua" w:cs="Book Antiqua"/>
          <w:b/>
          <w:bCs/>
          <w:color w:val="000000"/>
        </w:rPr>
        <w:t xml:space="preserve">Data sharing statement: </w:t>
      </w:r>
      <w:r w:rsidR="00E5773B" w:rsidRPr="00E5773B">
        <w:rPr>
          <w:rFonts w:ascii="Book Antiqua" w:eastAsia="Book Antiqua" w:hAnsi="Book Antiqua" w:cs="Book Antiqua"/>
          <w:color w:val="000000"/>
        </w:rPr>
        <w:t>No additional data are available.</w:t>
      </w:r>
    </w:p>
    <w:p w14:paraId="61A6E4CD" w14:textId="77777777" w:rsidR="00A77B3E" w:rsidRDefault="00A77B3E">
      <w:pPr>
        <w:spacing w:line="360" w:lineRule="auto"/>
        <w:jc w:val="both"/>
      </w:pPr>
    </w:p>
    <w:p w14:paraId="5AA46FFA" w14:textId="0CF6639F" w:rsidR="00A77B3E" w:rsidRDefault="00485DAF">
      <w:pPr>
        <w:spacing w:line="360" w:lineRule="auto"/>
        <w:jc w:val="both"/>
      </w:pPr>
      <w:r>
        <w:rPr>
          <w:rFonts w:ascii="Book Antiqua" w:eastAsia="Book Antiqua" w:hAnsi="Book Antiqua" w:cs="Book Antiqua"/>
          <w:b/>
          <w:bCs/>
          <w:color w:val="000000"/>
        </w:rPr>
        <w:t xml:space="preserve">STROBE statement: </w:t>
      </w:r>
      <w:r w:rsidR="00BB0F58" w:rsidRPr="00BB0F58">
        <w:rPr>
          <w:rFonts w:ascii="Book Antiqua" w:eastAsia="Book Antiqua" w:hAnsi="Book Antiqua" w:cs="Book Antiqua"/>
          <w:color w:val="000000"/>
        </w:rPr>
        <w:t>The authors have read the STROBE Statement</w:t>
      </w:r>
      <w:r w:rsidR="00BB0F58">
        <w:rPr>
          <w:rFonts w:ascii="Book Antiqua" w:eastAsia="Book Antiqua" w:hAnsi="Book Antiqua" w:cs="Book Antiqua"/>
          <w:color w:val="000000"/>
        </w:rPr>
        <w:t>-</w:t>
      </w:r>
      <w:r w:rsidR="00BB0F58" w:rsidRPr="00BB0F58">
        <w:rPr>
          <w:rFonts w:ascii="Book Antiqua" w:eastAsia="Book Antiqua" w:hAnsi="Book Antiqua" w:cs="Book Antiqua"/>
          <w:color w:val="000000"/>
        </w:rPr>
        <w:t>checklist of items, and the manuscript was prepared and revised according to the STROBE Statement</w:t>
      </w:r>
      <w:r w:rsidR="00BB0F58">
        <w:rPr>
          <w:rFonts w:ascii="Book Antiqua" w:eastAsia="Book Antiqua" w:hAnsi="Book Antiqua" w:cs="Book Antiqua"/>
          <w:color w:val="000000"/>
        </w:rPr>
        <w:t>-</w:t>
      </w:r>
      <w:r w:rsidR="00BB0F58" w:rsidRPr="00BB0F58">
        <w:rPr>
          <w:rFonts w:ascii="Book Antiqua" w:eastAsia="Book Antiqua" w:hAnsi="Book Antiqua" w:cs="Book Antiqua"/>
          <w:color w:val="000000"/>
        </w:rPr>
        <w:t>checklist of items.</w:t>
      </w:r>
    </w:p>
    <w:p w14:paraId="7168AC0C" w14:textId="77777777" w:rsidR="00A77B3E" w:rsidRDefault="00A77B3E">
      <w:pPr>
        <w:spacing w:line="360" w:lineRule="auto"/>
        <w:jc w:val="both"/>
      </w:pPr>
    </w:p>
    <w:p w14:paraId="579D4D95" w14:textId="77777777" w:rsidR="00A77B3E" w:rsidRDefault="00485DA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B62578" w14:textId="77777777" w:rsidR="00A77B3E" w:rsidRDefault="00A77B3E">
      <w:pPr>
        <w:spacing w:line="360" w:lineRule="auto"/>
        <w:jc w:val="both"/>
      </w:pPr>
    </w:p>
    <w:p w14:paraId="0EC84C5B" w14:textId="285883E7" w:rsidR="00A77B3E" w:rsidRDefault="00485DA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3E36F7">
        <w:rPr>
          <w:rFonts w:ascii="Book Antiqua" w:eastAsia="Book Antiqua" w:hAnsi="Book Antiqua" w:cs="Book Antiqua"/>
          <w:color w:val="000000"/>
        </w:rPr>
        <w:t>d ma</w:t>
      </w:r>
      <w:r>
        <w:rPr>
          <w:rFonts w:ascii="Book Antiqua" w:eastAsia="Book Antiqua" w:hAnsi="Book Antiqua" w:cs="Book Antiqua"/>
          <w:color w:val="000000"/>
        </w:rPr>
        <w:t>nuscript</w:t>
      </w:r>
    </w:p>
    <w:p w14:paraId="3525F7C8" w14:textId="77777777" w:rsidR="00A77B3E" w:rsidRDefault="00A77B3E">
      <w:pPr>
        <w:spacing w:line="360" w:lineRule="auto"/>
        <w:jc w:val="both"/>
      </w:pPr>
    </w:p>
    <w:p w14:paraId="0C9F7A64" w14:textId="77777777" w:rsidR="00A77B3E" w:rsidRDefault="00485DA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23, 2020</w:t>
      </w:r>
    </w:p>
    <w:p w14:paraId="5D2713C9" w14:textId="77777777" w:rsidR="00A77B3E" w:rsidRDefault="00485DA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8, 2020</w:t>
      </w:r>
    </w:p>
    <w:p w14:paraId="3F2EEE78" w14:textId="62EA13CC" w:rsidR="00A77B3E" w:rsidRDefault="00485DAF">
      <w:pPr>
        <w:spacing w:line="360" w:lineRule="auto"/>
        <w:jc w:val="both"/>
      </w:pPr>
      <w:r>
        <w:rPr>
          <w:rFonts w:ascii="Book Antiqua" w:eastAsia="Book Antiqua" w:hAnsi="Book Antiqua" w:cs="Book Antiqua"/>
          <w:b/>
          <w:color w:val="000000"/>
        </w:rPr>
        <w:t xml:space="preserve">Article in press: </w:t>
      </w:r>
      <w:r w:rsidR="00A35D05" w:rsidRPr="0023680B">
        <w:rPr>
          <w:rFonts w:ascii="Book Antiqua" w:eastAsia="Book Antiqua" w:hAnsi="Book Antiqua" w:cs="Book Antiqua"/>
          <w:color w:val="000000"/>
        </w:rPr>
        <w:t>December 23, 2020</w:t>
      </w:r>
    </w:p>
    <w:p w14:paraId="067F5361" w14:textId="77777777" w:rsidR="00A77B3E" w:rsidRDefault="00A77B3E">
      <w:pPr>
        <w:spacing w:line="360" w:lineRule="auto"/>
        <w:jc w:val="both"/>
      </w:pPr>
    </w:p>
    <w:p w14:paraId="5DAE6549" w14:textId="49C3C019" w:rsidR="00A77B3E" w:rsidRDefault="00485DA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w:t>
      </w:r>
      <w:r w:rsidR="003E36F7">
        <w:rPr>
          <w:rFonts w:ascii="Book Antiqua" w:eastAsia="Book Antiqua" w:hAnsi="Book Antiqua" w:cs="Book Antiqua"/>
          <w:color w:val="000000"/>
        </w:rPr>
        <w:t>nd hep</w:t>
      </w:r>
      <w:r>
        <w:rPr>
          <w:rFonts w:ascii="Book Antiqua" w:eastAsia="Book Antiqua" w:hAnsi="Book Antiqua" w:cs="Book Antiqua"/>
          <w:color w:val="000000"/>
        </w:rPr>
        <w:t>atology</w:t>
      </w:r>
    </w:p>
    <w:p w14:paraId="06709271" w14:textId="77777777" w:rsidR="00A77B3E" w:rsidRDefault="00485DA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27AEA243" w14:textId="77777777" w:rsidR="00A77B3E" w:rsidRDefault="00485DAF">
      <w:pPr>
        <w:spacing w:line="360" w:lineRule="auto"/>
        <w:jc w:val="both"/>
      </w:pPr>
      <w:r>
        <w:rPr>
          <w:rFonts w:ascii="Book Antiqua" w:eastAsia="Book Antiqua" w:hAnsi="Book Antiqua" w:cs="Book Antiqua"/>
          <w:b/>
          <w:color w:val="000000"/>
        </w:rPr>
        <w:t>Peer-review report’s scientific quality classification</w:t>
      </w:r>
    </w:p>
    <w:p w14:paraId="7193BA6E" w14:textId="77777777" w:rsidR="00A77B3E" w:rsidRDefault="00485DAF">
      <w:pPr>
        <w:spacing w:line="360" w:lineRule="auto"/>
        <w:jc w:val="both"/>
      </w:pPr>
      <w:r>
        <w:rPr>
          <w:rFonts w:ascii="Book Antiqua" w:eastAsia="Book Antiqua" w:hAnsi="Book Antiqua" w:cs="Book Antiqua"/>
          <w:color w:val="000000"/>
        </w:rPr>
        <w:t>Grade A (Excellent): 0</w:t>
      </w:r>
    </w:p>
    <w:p w14:paraId="4B6402D9" w14:textId="77777777" w:rsidR="00A77B3E" w:rsidRDefault="00485DAF">
      <w:pPr>
        <w:spacing w:line="360" w:lineRule="auto"/>
        <w:jc w:val="both"/>
      </w:pPr>
      <w:r>
        <w:rPr>
          <w:rFonts w:ascii="Book Antiqua" w:eastAsia="Book Antiqua" w:hAnsi="Book Antiqua" w:cs="Book Antiqua"/>
          <w:color w:val="000000"/>
        </w:rPr>
        <w:t>Grade B (Very good): 0</w:t>
      </w:r>
    </w:p>
    <w:p w14:paraId="56CE2675" w14:textId="27C2B642" w:rsidR="00A77B3E" w:rsidRDefault="00485DAF">
      <w:pPr>
        <w:spacing w:line="360" w:lineRule="auto"/>
        <w:jc w:val="both"/>
      </w:pPr>
      <w:r>
        <w:rPr>
          <w:rFonts w:ascii="Book Antiqua" w:eastAsia="Book Antiqua" w:hAnsi="Book Antiqua" w:cs="Book Antiqua"/>
          <w:color w:val="000000"/>
        </w:rPr>
        <w:t>Grade C (Good): C</w:t>
      </w:r>
      <w:r w:rsidR="003E36F7">
        <w:rPr>
          <w:rFonts w:ascii="Book Antiqua" w:eastAsia="Book Antiqua" w:hAnsi="Book Antiqua" w:cs="Book Antiqua"/>
          <w:color w:val="000000"/>
        </w:rPr>
        <w:t>, C</w:t>
      </w:r>
    </w:p>
    <w:p w14:paraId="3DA6385C" w14:textId="77777777" w:rsidR="00A77B3E" w:rsidRDefault="00485DAF">
      <w:pPr>
        <w:spacing w:line="360" w:lineRule="auto"/>
        <w:jc w:val="both"/>
      </w:pPr>
      <w:r>
        <w:rPr>
          <w:rFonts w:ascii="Book Antiqua" w:eastAsia="Book Antiqua" w:hAnsi="Book Antiqua" w:cs="Book Antiqua"/>
          <w:color w:val="000000"/>
        </w:rPr>
        <w:t>Grade D (Fair): 0</w:t>
      </w:r>
    </w:p>
    <w:p w14:paraId="2CCD03CE" w14:textId="77777777" w:rsidR="00A77B3E" w:rsidRDefault="00485DAF">
      <w:pPr>
        <w:spacing w:line="360" w:lineRule="auto"/>
        <w:jc w:val="both"/>
      </w:pPr>
      <w:r>
        <w:rPr>
          <w:rFonts w:ascii="Book Antiqua" w:eastAsia="Book Antiqua" w:hAnsi="Book Antiqua" w:cs="Book Antiqua"/>
          <w:color w:val="000000"/>
        </w:rPr>
        <w:t>Grade E (Poor): 0</w:t>
      </w:r>
    </w:p>
    <w:p w14:paraId="5017BC45" w14:textId="77777777" w:rsidR="00A77B3E" w:rsidRDefault="00A77B3E">
      <w:pPr>
        <w:spacing w:line="360" w:lineRule="auto"/>
        <w:jc w:val="both"/>
      </w:pPr>
    </w:p>
    <w:p w14:paraId="399E7304" w14:textId="60E71B46" w:rsidR="00A77B3E" w:rsidRPr="005831EE" w:rsidRDefault="00485DA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sidR="003E36F7">
        <w:rPr>
          <w:rFonts w:ascii="Book Antiqua" w:hAnsi="Book Antiqua" w:cs="Book Antiqua" w:hint="eastAsia"/>
          <w:color w:val="000000"/>
          <w:lang w:eastAsia="zh-CN"/>
        </w:rPr>
        <w:t>Y</w:t>
      </w:r>
      <w:r w:rsidR="003E36F7">
        <w:rPr>
          <w:rFonts w:ascii="Book Antiqua" w:hAnsi="Book Antiqua" w:cs="Book Antiqua"/>
          <w:color w:val="000000"/>
          <w:lang w:eastAsia="zh-CN"/>
        </w:rPr>
        <w:t>ang B</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Pr="005831EE">
        <w:rPr>
          <w:rFonts w:ascii="Book Antiqua" w:eastAsia="Book Antiqua" w:hAnsi="Book Antiqua" w:cs="Book Antiqua"/>
          <w:color w:val="000000"/>
        </w:rPr>
        <w:t xml:space="preserve"> </w:t>
      </w:r>
      <w:r w:rsidR="005831EE" w:rsidRPr="005831EE">
        <w:rPr>
          <w:rFonts w:ascii="Book Antiqua" w:hAnsi="Book Antiqua" w:cs="Book Antiqua" w:hint="eastAsia"/>
          <w:color w:val="000000"/>
          <w:lang w:eastAsia="zh-CN"/>
        </w:rPr>
        <w:t>A</w:t>
      </w:r>
      <w:r w:rsidRPr="005831EE">
        <w:rPr>
          <w:rFonts w:ascii="Book Antiqua" w:eastAsia="Book Antiqua" w:hAnsi="Book Antiqua" w:cs="Book Antiqua"/>
          <w:color w:val="000000"/>
        </w:rPr>
        <w:t xml:space="preserve"> </w:t>
      </w:r>
      <w:r>
        <w:rPr>
          <w:rFonts w:ascii="Book Antiqua" w:eastAsia="Book Antiqua" w:hAnsi="Book Antiqua" w:cs="Book Antiqua"/>
          <w:b/>
          <w:color w:val="000000"/>
        </w:rPr>
        <w:t>P-Editor:</w:t>
      </w:r>
      <w:r w:rsidRPr="005831EE">
        <w:rPr>
          <w:rFonts w:ascii="Book Antiqua" w:eastAsia="Book Antiqua" w:hAnsi="Book Antiqua" w:cs="Book Antiqua"/>
          <w:color w:val="000000"/>
        </w:rPr>
        <w:t xml:space="preserve"> </w:t>
      </w:r>
      <w:r w:rsidR="005831EE" w:rsidRPr="005831EE">
        <w:rPr>
          <w:rFonts w:ascii="Book Antiqua" w:hAnsi="Book Antiqua" w:cs="Book Antiqua" w:hint="eastAsia"/>
          <w:color w:val="000000"/>
          <w:lang w:eastAsia="zh-CN"/>
        </w:rPr>
        <w:t>Wang LL</w:t>
      </w:r>
    </w:p>
    <w:p w14:paraId="371835EC" w14:textId="77777777" w:rsidR="00D065B6" w:rsidRDefault="00D065B6">
      <w:pPr>
        <w:spacing w:line="360" w:lineRule="auto"/>
        <w:jc w:val="both"/>
        <w:sectPr w:rsidR="00D065B6">
          <w:pgSz w:w="12240" w:h="15840"/>
          <w:pgMar w:top="1440" w:right="1440" w:bottom="1440" w:left="1440" w:header="720" w:footer="720" w:gutter="0"/>
          <w:cols w:space="720"/>
          <w:docGrid w:linePitch="360"/>
        </w:sectPr>
      </w:pPr>
    </w:p>
    <w:p w14:paraId="0EAF3307" w14:textId="3E11FA62" w:rsidR="00A77B3E" w:rsidRDefault="00485DA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2BF4B41" w14:textId="4C59225D" w:rsidR="003B776D" w:rsidRDefault="003B776D">
      <w:pPr>
        <w:spacing w:line="360" w:lineRule="auto"/>
        <w:jc w:val="both"/>
      </w:pPr>
      <w:r>
        <w:rPr>
          <w:noProof/>
          <w:lang w:eastAsia="zh-CN"/>
        </w:rPr>
        <w:drawing>
          <wp:inline distT="0" distB="0" distL="0" distR="0" wp14:anchorId="768ACAC8" wp14:editId="2DE53EE1">
            <wp:extent cx="4137172" cy="24967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8458" cy="2509555"/>
                    </a:xfrm>
                    <a:prstGeom prst="rect">
                      <a:avLst/>
                    </a:prstGeom>
                    <a:noFill/>
                  </pic:spPr>
                </pic:pic>
              </a:graphicData>
            </a:graphic>
          </wp:inline>
        </w:drawing>
      </w:r>
    </w:p>
    <w:p w14:paraId="72454D76" w14:textId="7F64991F" w:rsidR="00A77B3E" w:rsidRPr="003B776D" w:rsidRDefault="00485DAF">
      <w:pPr>
        <w:spacing w:line="360" w:lineRule="auto"/>
        <w:jc w:val="both"/>
      </w:pPr>
      <w:r>
        <w:rPr>
          <w:rFonts w:ascii="Book Antiqua" w:eastAsia="Book Antiqua" w:hAnsi="Book Antiqua" w:cs="Book Antiqua"/>
          <w:b/>
          <w:bCs/>
          <w:color w:val="000000"/>
        </w:rPr>
        <w:t>Figure 1 Schematic illustration of fucosylated haptoglobin</w:t>
      </w:r>
      <w:r w:rsidR="003B776D">
        <w:rPr>
          <w:rFonts w:ascii="Book Antiqua" w:eastAsia="Book Antiqua" w:hAnsi="Book Antiqua" w:cs="Book Antiqua"/>
          <w:b/>
          <w:bCs/>
          <w:color w:val="000000"/>
        </w:rPr>
        <w:t xml:space="preserve"> </w:t>
      </w:r>
      <w:r>
        <w:rPr>
          <w:rFonts w:ascii="Book Antiqua" w:eastAsia="Book Antiqua" w:hAnsi="Book Antiqua" w:cs="Book Antiqua"/>
          <w:b/>
          <w:bCs/>
          <w:color w:val="000000"/>
        </w:rPr>
        <w:t>detection using the 10-7G mAb.</w:t>
      </w:r>
      <w:r w:rsidR="003B776D">
        <w:rPr>
          <w:rFonts w:ascii="Book Antiqua" w:eastAsia="Book Antiqua" w:hAnsi="Book Antiqua" w:cs="Book Antiqua"/>
          <w:b/>
          <w:bCs/>
          <w:color w:val="000000"/>
        </w:rPr>
        <w:t xml:space="preserve"> </w:t>
      </w:r>
      <w:r w:rsidR="003B776D">
        <w:rPr>
          <w:rFonts w:ascii="Book Antiqua" w:eastAsia="Book Antiqua" w:hAnsi="Book Antiqua" w:cs="Book Antiqua"/>
          <w:color w:val="000000"/>
        </w:rPr>
        <w:t>ELISA: Enzyme-linked immunosorbent assay.</w:t>
      </w:r>
    </w:p>
    <w:p w14:paraId="67B9915D" w14:textId="7DFDB81E" w:rsidR="00A77B3E" w:rsidRDefault="003B776D">
      <w:pPr>
        <w:spacing w:line="360" w:lineRule="auto"/>
        <w:jc w:val="both"/>
      </w:pPr>
      <w:r>
        <w:br w:type="page"/>
      </w:r>
      <w:r>
        <w:rPr>
          <w:noProof/>
          <w:lang w:eastAsia="zh-CN"/>
        </w:rPr>
        <w:drawing>
          <wp:inline distT="0" distB="0" distL="0" distR="0" wp14:anchorId="3869DCE7" wp14:editId="35B68612">
            <wp:extent cx="5940567" cy="51365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8103" cy="5143059"/>
                    </a:xfrm>
                    <a:prstGeom prst="rect">
                      <a:avLst/>
                    </a:prstGeom>
                    <a:noFill/>
                  </pic:spPr>
                </pic:pic>
              </a:graphicData>
            </a:graphic>
          </wp:inline>
        </w:drawing>
      </w:r>
    </w:p>
    <w:p w14:paraId="11C57824" w14:textId="70B06063" w:rsidR="00A77B3E" w:rsidRDefault="00485DAF">
      <w:pPr>
        <w:spacing w:line="360" w:lineRule="auto"/>
        <w:jc w:val="both"/>
      </w:pPr>
      <w:r>
        <w:rPr>
          <w:rFonts w:ascii="Book Antiqua" w:eastAsia="Book Antiqua" w:hAnsi="Book Antiqua" w:cs="Book Antiqua"/>
          <w:b/>
          <w:bCs/>
          <w:color w:val="000000"/>
        </w:rPr>
        <w:t xml:space="preserve">Figure 2 Immunohistochemical study of </w:t>
      </w:r>
      <w:r w:rsidR="003B776D" w:rsidRPr="003B776D">
        <w:rPr>
          <w:rFonts w:ascii="Book Antiqua" w:eastAsia="Book Antiqua" w:hAnsi="Book Antiqua" w:cs="Book Antiqua"/>
          <w:b/>
          <w:bCs/>
          <w:color w:val="000000"/>
        </w:rPr>
        <w:t>ulcerative colitis</w:t>
      </w:r>
      <w:r>
        <w:rPr>
          <w:rFonts w:ascii="Book Antiqua" w:eastAsia="Book Antiqua" w:hAnsi="Book Antiqua" w:cs="Book Antiqua"/>
          <w:b/>
          <w:bCs/>
          <w:color w:val="000000"/>
        </w:rPr>
        <w:t xml:space="preserve"> and </w:t>
      </w:r>
      <w:r w:rsidR="003B776D" w:rsidRPr="003B776D">
        <w:rPr>
          <w:rFonts w:ascii="Book Antiqua" w:eastAsia="Book Antiqua" w:hAnsi="Book Antiqua" w:cs="Book Antiqua"/>
          <w:b/>
          <w:bCs/>
          <w:color w:val="000000"/>
        </w:rPr>
        <w:t>Crohn’s disease</w:t>
      </w:r>
      <w:r>
        <w:rPr>
          <w:rFonts w:ascii="Book Antiqua" w:eastAsia="Book Antiqua" w:hAnsi="Book Antiqua" w:cs="Book Antiqua"/>
          <w:b/>
          <w:bCs/>
          <w:color w:val="000000"/>
        </w:rPr>
        <w:t xml:space="preserve"> intestinal tissues using the 10-7G mAb.</w:t>
      </w:r>
      <w:r w:rsidR="003B776D">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3B776D">
        <w:rPr>
          <w:rFonts w:ascii="Book Antiqua" w:eastAsia="Book Antiqua" w:hAnsi="Book Antiqua" w:cs="Book Antiqua"/>
          <w:color w:val="000000"/>
        </w:rPr>
        <w:t xml:space="preserve"> and B:</w:t>
      </w:r>
      <w:r>
        <w:rPr>
          <w:rFonts w:ascii="Book Antiqua" w:eastAsia="Book Antiqua" w:hAnsi="Book Antiqua" w:cs="Book Antiqua"/>
          <w:color w:val="000000"/>
        </w:rPr>
        <w:t xml:space="preserve"> Lymphocytes infiltrating into inflammatory sites of the mucosal layer</w:t>
      </w:r>
      <w:r w:rsidR="003B776D">
        <w:rPr>
          <w:rFonts w:ascii="Book Antiqua" w:eastAsia="Book Antiqua" w:hAnsi="Book Antiqua" w:cs="Book Antiqua"/>
          <w:color w:val="000000"/>
        </w:rPr>
        <w:t xml:space="preserve"> (A)</w:t>
      </w:r>
      <w:r>
        <w:rPr>
          <w:rFonts w:ascii="Book Antiqua" w:eastAsia="Book Antiqua" w:hAnsi="Book Antiqua" w:cs="Book Antiqua"/>
          <w:color w:val="000000"/>
        </w:rPr>
        <w:t xml:space="preserve"> and lymph nodules in intestinal tissues </w:t>
      </w:r>
      <w:r w:rsidR="003B776D">
        <w:rPr>
          <w:rFonts w:ascii="Book Antiqua" w:eastAsia="Book Antiqua" w:hAnsi="Book Antiqua" w:cs="Book Antiqua"/>
          <w:color w:val="000000"/>
        </w:rPr>
        <w:t xml:space="preserve">(B) </w:t>
      </w:r>
      <w:r>
        <w:rPr>
          <w:rFonts w:ascii="Book Antiqua" w:eastAsia="Book Antiqua" w:hAnsi="Book Antiqua" w:cs="Book Antiqua"/>
          <w:color w:val="000000"/>
        </w:rPr>
        <w:t xml:space="preserve">of patients with </w:t>
      </w:r>
      <w:bookmarkStart w:id="3" w:name="_Hlk56590802"/>
      <w:r>
        <w:rPr>
          <w:rFonts w:ascii="Book Antiqua" w:eastAsia="Book Antiqua" w:hAnsi="Book Antiqua" w:cs="Book Antiqua"/>
          <w:color w:val="000000"/>
        </w:rPr>
        <w:t>ulcerative colitis</w:t>
      </w:r>
      <w:bookmarkEnd w:id="3"/>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5) were stained using the 10-7G mAb</w:t>
      </w:r>
      <w:r w:rsidR="003B776D">
        <w:rPr>
          <w:rFonts w:ascii="Book Antiqua" w:eastAsia="Book Antiqua" w:hAnsi="Book Antiqua" w:cs="Book Antiqua"/>
          <w:color w:val="000000"/>
        </w:rPr>
        <w:t>;</w:t>
      </w:r>
      <w:r>
        <w:rPr>
          <w:rFonts w:ascii="Book Antiqua" w:eastAsia="Book Antiqua" w:hAnsi="Book Antiqua" w:cs="Book Antiqua"/>
          <w:color w:val="000000"/>
        </w:rPr>
        <w:t xml:space="preserve"> </w:t>
      </w:r>
      <w:r w:rsidR="003B776D">
        <w:rPr>
          <w:rFonts w:ascii="Book Antiqua" w:eastAsia="Book Antiqua" w:hAnsi="Book Antiqua" w:cs="Book Antiqua"/>
          <w:color w:val="000000"/>
        </w:rPr>
        <w:t xml:space="preserve">C and D: </w:t>
      </w:r>
      <w:r>
        <w:rPr>
          <w:rFonts w:ascii="Book Antiqua" w:eastAsia="Book Antiqua" w:hAnsi="Book Antiqua" w:cs="Book Antiqua"/>
          <w:color w:val="000000"/>
        </w:rPr>
        <w:t xml:space="preserve">Lymphocytes infiltrating into inflammatory sites of the mucosal layer </w:t>
      </w:r>
      <w:r w:rsidR="003B776D">
        <w:rPr>
          <w:rFonts w:ascii="Book Antiqua" w:eastAsia="Book Antiqua" w:hAnsi="Book Antiqua" w:cs="Book Antiqua"/>
          <w:color w:val="000000"/>
        </w:rPr>
        <w:t xml:space="preserve">(C) </w:t>
      </w:r>
      <w:r>
        <w:rPr>
          <w:rFonts w:ascii="Book Antiqua" w:eastAsia="Book Antiqua" w:hAnsi="Book Antiqua" w:cs="Book Antiqua"/>
          <w:color w:val="000000"/>
        </w:rPr>
        <w:t xml:space="preserve">and lymph nodules in intestinal tissues </w:t>
      </w:r>
      <w:r w:rsidR="003B776D">
        <w:rPr>
          <w:rFonts w:ascii="Book Antiqua" w:eastAsia="Book Antiqua" w:hAnsi="Book Antiqua" w:cs="Book Antiqua"/>
          <w:color w:val="000000"/>
        </w:rPr>
        <w:t xml:space="preserve">(D) </w:t>
      </w:r>
      <w:r>
        <w:rPr>
          <w:rFonts w:ascii="Book Antiqua" w:eastAsia="Book Antiqua" w:hAnsi="Book Antiqua" w:cs="Book Antiqua"/>
          <w:color w:val="000000"/>
        </w:rPr>
        <w:t xml:space="preserve">of patients with </w:t>
      </w:r>
      <w:bookmarkStart w:id="4" w:name="_Hlk56590820"/>
      <w:r>
        <w:rPr>
          <w:rFonts w:ascii="Book Antiqua" w:eastAsia="Book Antiqua" w:hAnsi="Book Antiqua" w:cs="Book Antiqua"/>
          <w:color w:val="000000"/>
        </w:rPr>
        <w:t>Crohn’s disease</w:t>
      </w:r>
      <w:bookmarkEnd w:id="4"/>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5) were also stained. Photographs were acquired using a 20</w:t>
      </w:r>
      <w:r w:rsidR="003B776D">
        <w:rPr>
          <w:rFonts w:ascii="Book Antiqua" w:eastAsia="Book Antiqua" w:hAnsi="Book Antiqua" w:cs="Book Antiqua"/>
          <w:color w:val="000000"/>
        </w:rPr>
        <w:t xml:space="preserve"> </w:t>
      </w:r>
      <w:r>
        <w:rPr>
          <w:rFonts w:ascii="Book Antiqua" w:eastAsia="Book Antiqua" w:hAnsi="Book Antiqua" w:cs="Book Antiqua"/>
          <w:color w:val="000000"/>
        </w:rPr>
        <w:t>× (upper) or 100</w:t>
      </w:r>
      <w:r w:rsidR="003B776D">
        <w:rPr>
          <w:rFonts w:ascii="Book Antiqua" w:eastAsia="Book Antiqua" w:hAnsi="Book Antiqua" w:cs="Book Antiqua"/>
          <w:color w:val="000000"/>
        </w:rPr>
        <w:t xml:space="preserve"> </w:t>
      </w:r>
      <w:r>
        <w:rPr>
          <w:rFonts w:ascii="Book Antiqua" w:eastAsia="Book Antiqua" w:hAnsi="Book Antiqua" w:cs="Book Antiqua"/>
          <w:color w:val="000000"/>
        </w:rPr>
        <w:t>× (lower) objective. Scale bar, 100 µm. Positive staining was judged by comparison to the negative control.</w:t>
      </w:r>
      <w:r w:rsidR="00112A3F">
        <w:rPr>
          <w:rFonts w:ascii="Book Antiqua" w:eastAsia="Book Antiqua" w:hAnsi="Book Antiqua" w:cs="Book Antiqua"/>
          <w:color w:val="000000"/>
        </w:rPr>
        <w:t xml:space="preserve"> NC: Negative control.</w:t>
      </w:r>
    </w:p>
    <w:p w14:paraId="5F9EA683" w14:textId="3924A6D2" w:rsidR="00A77B3E" w:rsidRDefault="00C331B6">
      <w:pPr>
        <w:spacing w:line="360" w:lineRule="auto"/>
        <w:jc w:val="both"/>
      </w:pPr>
      <w:r>
        <w:br w:type="page"/>
      </w:r>
      <w:r>
        <w:rPr>
          <w:noProof/>
          <w:lang w:eastAsia="zh-CN"/>
        </w:rPr>
        <w:drawing>
          <wp:inline distT="0" distB="0" distL="0" distR="0" wp14:anchorId="54D90B32" wp14:editId="4E7A5CBE">
            <wp:extent cx="5852396" cy="474334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1025" cy="4750342"/>
                    </a:xfrm>
                    <a:prstGeom prst="rect">
                      <a:avLst/>
                    </a:prstGeom>
                    <a:noFill/>
                  </pic:spPr>
                </pic:pic>
              </a:graphicData>
            </a:graphic>
          </wp:inline>
        </w:drawing>
      </w:r>
    </w:p>
    <w:p w14:paraId="58DC9504" w14:textId="47F8C684" w:rsidR="00A77B3E" w:rsidRDefault="00485DAF">
      <w:pPr>
        <w:spacing w:line="360" w:lineRule="auto"/>
        <w:jc w:val="both"/>
      </w:pPr>
      <w:r>
        <w:rPr>
          <w:rFonts w:ascii="Book Antiqua" w:eastAsia="Book Antiqua" w:hAnsi="Book Antiqua" w:cs="Book Antiqua"/>
          <w:b/>
          <w:bCs/>
          <w:color w:val="000000"/>
        </w:rPr>
        <w:t xml:space="preserve">Figure 3 Measurement of the serum 10-7G value and </w:t>
      </w:r>
      <w:r w:rsidR="00437CB1" w:rsidRPr="00437CB1">
        <w:rPr>
          <w:rFonts w:ascii="Book Antiqua" w:eastAsia="Book Antiqua" w:hAnsi="Book Antiqua" w:cs="Book Antiqua"/>
          <w:b/>
          <w:bCs/>
          <w:color w:val="000000"/>
        </w:rPr>
        <w:t>fucosylated prohaptoglobin</w:t>
      </w:r>
      <w:r>
        <w:rPr>
          <w:rFonts w:ascii="Book Antiqua" w:eastAsia="Book Antiqua" w:hAnsi="Book Antiqua" w:cs="Book Antiqua"/>
          <w:b/>
          <w:bCs/>
          <w:color w:val="000000"/>
        </w:rPr>
        <w:t xml:space="preserve"> amount in patients with </w:t>
      </w:r>
      <w:r w:rsidR="00C331B6">
        <w:rPr>
          <w:rFonts w:ascii="Book Antiqua" w:eastAsia="Book Antiqua" w:hAnsi="Book Antiqua" w:cs="Book Antiqua"/>
          <w:b/>
          <w:bCs/>
          <w:color w:val="000000"/>
        </w:rPr>
        <w:t>i</w:t>
      </w:r>
      <w:r w:rsidR="00C331B6" w:rsidRPr="00C331B6">
        <w:rPr>
          <w:rFonts w:ascii="Book Antiqua" w:eastAsia="Book Antiqua" w:hAnsi="Book Antiqua" w:cs="Book Antiqua"/>
          <w:b/>
          <w:bCs/>
          <w:color w:val="000000"/>
        </w:rPr>
        <w:t>nflammatory bowel disease</w:t>
      </w:r>
      <w:r>
        <w:rPr>
          <w:rFonts w:ascii="Book Antiqua" w:eastAsia="Book Antiqua" w:hAnsi="Book Antiqua" w:cs="Book Antiqua"/>
          <w:b/>
          <w:bCs/>
          <w:color w:val="000000"/>
        </w:rPr>
        <w:t>.</w:t>
      </w:r>
      <w:r w:rsidR="00C331B6">
        <w:rPr>
          <w:rFonts w:hint="eastAsia"/>
          <w:lang w:eastAsia="zh-CN"/>
        </w:rPr>
        <w:t xml:space="preserve"> </w:t>
      </w:r>
      <w:r>
        <w:rPr>
          <w:rFonts w:ascii="Book Antiqua" w:eastAsia="Book Antiqua" w:hAnsi="Book Antiqua" w:cs="Book Antiqua"/>
          <w:color w:val="000000"/>
        </w:rPr>
        <w:t>A</w:t>
      </w:r>
      <w:r w:rsidR="00C331B6">
        <w:rPr>
          <w:rFonts w:ascii="Book Antiqua" w:eastAsia="Book Antiqua" w:hAnsi="Book Antiqua" w:cs="Book Antiqua"/>
          <w:color w:val="000000"/>
        </w:rPr>
        <w:t>:</w:t>
      </w:r>
      <w:r>
        <w:rPr>
          <w:rFonts w:ascii="Book Antiqua" w:eastAsia="Book Antiqua" w:hAnsi="Book Antiqua" w:cs="Book Antiqua"/>
          <w:color w:val="000000"/>
        </w:rPr>
        <w:t xml:space="preserve"> Serum 10-7G value of healthy volunteers</w:t>
      </w:r>
      <w:r w:rsidR="00FE580B">
        <w:rPr>
          <w:rFonts w:ascii="Book Antiqua" w:eastAsia="Book Antiqua" w:hAnsi="Book Antiqua" w:cs="Book Antiqua"/>
          <w:color w:val="000000"/>
        </w:rPr>
        <w:t xml:space="preserve"> </w:t>
      </w:r>
      <w:r>
        <w:rPr>
          <w:rFonts w:ascii="Book Antiqua" w:eastAsia="Book Antiqua" w:hAnsi="Book Antiqua" w:cs="Book Antiqua"/>
          <w:color w:val="000000"/>
        </w:rPr>
        <w:t>and patients with ulcerative colitis, Crohn’s disease, or acute enteritis. Values are shown in relative units</w:t>
      </w:r>
      <w:r w:rsidR="00C331B6">
        <w:rPr>
          <w:rFonts w:ascii="Book Antiqua" w:eastAsia="Book Antiqua" w:hAnsi="Book Antiqua" w:cs="Book Antiqua"/>
          <w:color w:val="000000"/>
        </w:rPr>
        <w:t>;</w:t>
      </w:r>
      <w:r>
        <w:rPr>
          <w:rFonts w:ascii="Book Antiqua" w:eastAsia="Book Antiqua" w:hAnsi="Book Antiqua" w:cs="Book Antiqua"/>
          <w:color w:val="000000"/>
        </w:rPr>
        <w:t xml:space="preserve"> </w:t>
      </w:r>
      <w:r w:rsidR="00C331B6">
        <w:rPr>
          <w:rFonts w:ascii="Book Antiqua" w:eastAsia="Book Antiqua" w:hAnsi="Book Antiqua" w:cs="Book Antiqua"/>
          <w:color w:val="000000"/>
        </w:rPr>
        <w:t xml:space="preserve">B and C: </w:t>
      </w:r>
      <w:r>
        <w:rPr>
          <w:rFonts w:ascii="Book Antiqua" w:eastAsia="Book Antiqua" w:hAnsi="Book Antiqua" w:cs="Book Antiqua"/>
          <w:color w:val="000000"/>
        </w:rPr>
        <w:t xml:space="preserve">Coefficients of correlation </w:t>
      </w:r>
      <w:r w:rsidR="00C331B6">
        <w:rPr>
          <w:rFonts w:ascii="Book Antiqua" w:eastAsia="Book Antiqua" w:hAnsi="Book Antiqua" w:cs="Book Antiqua"/>
          <w:color w:val="000000"/>
        </w:rPr>
        <w:t xml:space="preserve">(B) </w:t>
      </w:r>
      <w:r>
        <w:rPr>
          <w:rFonts w:ascii="Book Antiqua" w:eastAsia="Book Antiqua" w:hAnsi="Book Antiqua" w:cs="Book Antiqua"/>
          <w:color w:val="000000"/>
        </w:rPr>
        <w:t>between the 10-7G value and Fuc-pHpt amount and (C) between the 10-7G value and AAL-mHpt level.</w:t>
      </w:r>
      <w:r w:rsidR="00C331B6">
        <w:rPr>
          <w:rFonts w:ascii="Book Antiqua" w:eastAsia="Book Antiqua" w:hAnsi="Book Antiqua" w:cs="Book Antiqua"/>
          <w:color w:val="000000"/>
        </w:rPr>
        <w:t xml:space="preserve"> HV: Healthy volunteer; UC: Ulcerative colitis; CD: Crohn’s disease; AE: Acute enteritis.</w:t>
      </w:r>
    </w:p>
    <w:p w14:paraId="214DA334" w14:textId="20C87FB9" w:rsidR="00A77B3E" w:rsidRDefault="00F8614E">
      <w:pPr>
        <w:spacing w:line="360" w:lineRule="auto"/>
        <w:jc w:val="both"/>
      </w:pPr>
      <w:r>
        <w:br w:type="page"/>
      </w:r>
      <w:r>
        <w:rPr>
          <w:noProof/>
          <w:lang w:eastAsia="zh-CN"/>
        </w:rPr>
        <w:drawing>
          <wp:inline distT="0" distB="0" distL="0" distR="0" wp14:anchorId="5787DAF4" wp14:editId="67BFD6BC">
            <wp:extent cx="5826061" cy="32404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2108" cy="3243838"/>
                    </a:xfrm>
                    <a:prstGeom prst="rect">
                      <a:avLst/>
                    </a:prstGeom>
                    <a:noFill/>
                  </pic:spPr>
                </pic:pic>
              </a:graphicData>
            </a:graphic>
          </wp:inline>
        </w:drawing>
      </w:r>
    </w:p>
    <w:p w14:paraId="15EAAB01" w14:textId="6938B8BA" w:rsidR="00A77B3E" w:rsidRDefault="00485DAF">
      <w:pPr>
        <w:spacing w:line="360" w:lineRule="auto"/>
        <w:jc w:val="both"/>
      </w:pPr>
      <w:r>
        <w:rPr>
          <w:rFonts w:ascii="Book Antiqua" w:eastAsia="Book Antiqua" w:hAnsi="Book Antiqua" w:cs="Book Antiqua"/>
          <w:b/>
          <w:bCs/>
          <w:color w:val="000000"/>
        </w:rPr>
        <w:t xml:space="preserve">Figure 4 Correlations between 10-7G values and clinical parameters in </w:t>
      </w:r>
      <w:r w:rsidR="00C331B6">
        <w:rPr>
          <w:rFonts w:ascii="Book Antiqua" w:eastAsia="Book Antiqua" w:hAnsi="Book Antiqua" w:cs="Book Antiqua"/>
          <w:b/>
          <w:bCs/>
          <w:color w:val="000000"/>
        </w:rPr>
        <w:t>i</w:t>
      </w:r>
      <w:r w:rsidR="00C331B6" w:rsidRPr="00C331B6">
        <w:rPr>
          <w:rFonts w:ascii="Book Antiqua" w:eastAsia="Book Antiqua" w:hAnsi="Book Antiqua" w:cs="Book Antiqua"/>
          <w:b/>
          <w:bCs/>
          <w:color w:val="000000"/>
        </w:rPr>
        <w:t>nflammatory bowel disease</w:t>
      </w:r>
      <w:r>
        <w:rPr>
          <w:rFonts w:ascii="Book Antiqua" w:eastAsia="Book Antiqua" w:hAnsi="Book Antiqua" w:cs="Book Antiqua"/>
          <w:b/>
          <w:bCs/>
          <w:color w:val="000000"/>
        </w:rPr>
        <w:t xml:space="preserve"> patients.</w:t>
      </w:r>
      <w:r w:rsidR="00F8614E">
        <w:rPr>
          <w:rFonts w:ascii="Book Antiqua" w:eastAsia="Book Antiqua" w:hAnsi="Book Antiqua" w:cs="Book Antiqua"/>
          <w:b/>
          <w:bCs/>
          <w:color w:val="000000"/>
        </w:rPr>
        <w:t xml:space="preserve"> </w:t>
      </w:r>
      <w:r>
        <w:rPr>
          <w:rFonts w:ascii="Book Antiqua" w:eastAsia="Book Antiqua" w:hAnsi="Book Antiqua" w:cs="Book Antiqua"/>
          <w:color w:val="000000"/>
        </w:rPr>
        <w:t>A-C</w:t>
      </w:r>
      <w:r w:rsidR="00F8614E">
        <w:rPr>
          <w:rFonts w:ascii="Book Antiqua" w:eastAsia="Book Antiqua" w:hAnsi="Book Antiqua" w:cs="Book Antiqua"/>
          <w:color w:val="000000"/>
        </w:rPr>
        <w:t>:</w:t>
      </w:r>
      <w:r>
        <w:rPr>
          <w:rFonts w:ascii="Book Antiqua" w:eastAsia="Book Antiqua" w:hAnsi="Book Antiqua" w:cs="Book Antiqua"/>
          <w:color w:val="000000"/>
        </w:rPr>
        <w:t xml:space="preserve"> In ulcerative colitis patients, the 10-7G value was negatively correlated with hemoglobin and positively correlated with C-reactive protein (CRP) level and full Mayo score</w:t>
      </w:r>
      <w:r w:rsidR="00F8614E">
        <w:rPr>
          <w:rFonts w:ascii="Book Antiqua" w:eastAsia="Book Antiqua" w:hAnsi="Book Antiqua" w:cs="Book Antiqua"/>
          <w:color w:val="000000"/>
        </w:rPr>
        <w:t>;</w:t>
      </w:r>
      <w:r>
        <w:rPr>
          <w:rFonts w:ascii="Book Antiqua" w:eastAsia="Book Antiqua" w:hAnsi="Book Antiqua" w:cs="Book Antiqua"/>
          <w:color w:val="000000"/>
        </w:rPr>
        <w:t xml:space="preserve"> D</w:t>
      </w:r>
      <w:r w:rsidR="00F8614E">
        <w:rPr>
          <w:rFonts w:ascii="Book Antiqua" w:eastAsia="Book Antiqua" w:hAnsi="Book Antiqua" w:cs="Book Antiqua"/>
          <w:color w:val="000000"/>
        </w:rPr>
        <w:t xml:space="preserve"> and</w:t>
      </w:r>
      <w:r>
        <w:rPr>
          <w:rFonts w:ascii="Book Antiqua" w:eastAsia="Book Antiqua" w:hAnsi="Book Antiqua" w:cs="Book Antiqua"/>
          <w:color w:val="000000"/>
        </w:rPr>
        <w:t xml:space="preserve"> E</w:t>
      </w:r>
      <w:r w:rsidR="00F8614E">
        <w:rPr>
          <w:rFonts w:ascii="Book Antiqua" w:eastAsia="Book Antiqua" w:hAnsi="Book Antiqua" w:cs="Book Antiqua"/>
          <w:color w:val="000000"/>
        </w:rPr>
        <w:t>:</w:t>
      </w:r>
      <w:r>
        <w:rPr>
          <w:rFonts w:ascii="Book Antiqua" w:eastAsia="Book Antiqua" w:hAnsi="Book Antiqua" w:cs="Book Antiqua"/>
          <w:color w:val="000000"/>
        </w:rPr>
        <w:t xml:space="preserve"> In Crohn’s disease patients, the 10-7G value was negatively correlated with albumin and positively correlated with CRP level</w:t>
      </w:r>
      <w:r w:rsidR="00F8614E">
        <w:rPr>
          <w:rFonts w:ascii="Book Antiqua" w:eastAsia="Book Antiqua" w:hAnsi="Book Antiqua" w:cs="Book Antiqua"/>
          <w:color w:val="000000"/>
        </w:rPr>
        <w:t>;</w:t>
      </w:r>
      <w:r>
        <w:rPr>
          <w:rFonts w:ascii="Book Antiqua" w:eastAsia="Book Antiqua" w:hAnsi="Book Antiqua" w:cs="Book Antiqua"/>
          <w:color w:val="000000"/>
        </w:rPr>
        <w:t xml:space="preserve"> F</w:t>
      </w:r>
      <w:r w:rsidR="00F8614E">
        <w:rPr>
          <w:rFonts w:ascii="Book Antiqua" w:eastAsia="Book Antiqua" w:hAnsi="Book Antiqua" w:cs="Book Antiqua"/>
          <w:color w:val="000000"/>
        </w:rPr>
        <w:t>:</w:t>
      </w:r>
      <w:r>
        <w:rPr>
          <w:rFonts w:ascii="Book Antiqua" w:eastAsia="Book Antiqua" w:hAnsi="Book Antiqua" w:cs="Book Antiqua"/>
          <w:color w:val="000000"/>
        </w:rPr>
        <w:t xml:space="preserve"> The 10-7G value was not correlated with the Crohn’s disease activity index.</w:t>
      </w:r>
      <w:r w:rsidR="00F8614E">
        <w:rPr>
          <w:rFonts w:ascii="Book Antiqua" w:eastAsia="Book Antiqua" w:hAnsi="Book Antiqua" w:cs="Book Antiqua"/>
          <w:color w:val="000000"/>
        </w:rPr>
        <w:t xml:space="preserve"> UC: Ulcerative colitis; CD: Crohn’s disease; Hb: Hemoglobin; CRP: C-reactive protein; Mayo: Mayo score; Alb: Albumin; CDAI: Crohn’s disease activity index.</w:t>
      </w:r>
    </w:p>
    <w:p w14:paraId="66AF116A" w14:textId="62AF913A" w:rsidR="00A77B3E" w:rsidRDefault="00F309BA">
      <w:pPr>
        <w:spacing w:line="360" w:lineRule="auto"/>
        <w:jc w:val="both"/>
      </w:pPr>
      <w:r>
        <w:br w:type="page"/>
      </w:r>
      <w:r w:rsidR="00485DAF">
        <w:rPr>
          <w:noProof/>
          <w:lang w:eastAsia="zh-CN"/>
        </w:rPr>
        <w:drawing>
          <wp:inline distT="0" distB="0" distL="0" distR="0" wp14:anchorId="6E04CFB3" wp14:editId="0AC6E8AE">
            <wp:extent cx="5806799" cy="468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6799" cy="4680000"/>
                    </a:xfrm>
                    <a:prstGeom prst="rect">
                      <a:avLst/>
                    </a:prstGeom>
                    <a:noFill/>
                  </pic:spPr>
                </pic:pic>
              </a:graphicData>
            </a:graphic>
          </wp:inline>
        </w:drawing>
      </w:r>
    </w:p>
    <w:p w14:paraId="488D54D2" w14:textId="38B0CEC4" w:rsidR="00A77B3E" w:rsidRDefault="00485DAF">
      <w:pPr>
        <w:spacing w:line="360" w:lineRule="auto"/>
        <w:jc w:val="both"/>
      </w:pPr>
      <w:r>
        <w:rPr>
          <w:rFonts w:ascii="Book Antiqua" w:eastAsia="Book Antiqua" w:hAnsi="Book Antiqua" w:cs="Book Antiqua"/>
          <w:b/>
          <w:bCs/>
          <w:color w:val="000000"/>
        </w:rPr>
        <w:t xml:space="preserve">Figure 5 Measurement of serum 10-7G values and correlation between 10-7G values and </w:t>
      </w:r>
      <w:r w:rsidR="00C331B6" w:rsidRPr="00C331B6">
        <w:rPr>
          <w:rFonts w:ascii="Book Antiqua" w:eastAsia="Book Antiqua" w:hAnsi="Book Antiqua" w:cs="Book Antiqua"/>
          <w:b/>
          <w:bCs/>
          <w:color w:val="000000"/>
        </w:rPr>
        <w:t>C-reactive protein</w:t>
      </w:r>
      <w:r>
        <w:rPr>
          <w:rFonts w:ascii="Book Antiqua" w:eastAsia="Book Antiqua" w:hAnsi="Book Antiqua" w:cs="Book Antiqua"/>
          <w:b/>
          <w:bCs/>
          <w:color w:val="000000"/>
        </w:rPr>
        <w:t xml:space="preserve"> in healthy volunteers who underwent a medical examination.</w:t>
      </w:r>
      <w:r w:rsidR="00F309BA">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F309BA">
        <w:rPr>
          <w:rFonts w:ascii="Book Antiqua" w:eastAsia="Book Antiqua" w:hAnsi="Book Antiqua" w:cs="Book Antiqua"/>
          <w:color w:val="000000"/>
        </w:rPr>
        <w:t>:</w:t>
      </w:r>
      <w:r>
        <w:rPr>
          <w:rFonts w:ascii="Book Antiqua" w:eastAsia="Book Antiqua" w:hAnsi="Book Antiqua" w:cs="Book Antiqua"/>
          <w:color w:val="000000"/>
        </w:rPr>
        <w:t xml:space="preserve"> The 10-7G value of healthy volunteers (HVs) who had elevated </w:t>
      </w:r>
      <w:r w:rsidR="00C331B6">
        <w:rPr>
          <w:rFonts w:ascii="Book Antiqua" w:eastAsia="Book Antiqua" w:hAnsi="Book Antiqua" w:cs="Book Antiqua"/>
          <w:color w:val="000000"/>
        </w:rPr>
        <w:t>C-reactive protein (</w:t>
      </w:r>
      <w:r>
        <w:rPr>
          <w:rFonts w:ascii="Book Antiqua" w:eastAsia="Book Antiqua" w:hAnsi="Book Antiqua" w:cs="Book Antiqua"/>
          <w:color w:val="000000"/>
        </w:rPr>
        <w:t>CRP</w:t>
      </w:r>
      <w:r w:rsidR="00C331B6">
        <w:rPr>
          <w:rFonts w:ascii="Book Antiqua" w:eastAsia="Book Antiqua" w:hAnsi="Book Antiqua" w:cs="Book Antiqua"/>
          <w:color w:val="000000"/>
        </w:rPr>
        <w:t>)</w:t>
      </w:r>
      <w:r>
        <w:rPr>
          <w:rFonts w:ascii="Book Antiqua" w:eastAsia="Book Antiqua" w:hAnsi="Book Antiqua" w:cs="Book Antiqua"/>
          <w:color w:val="000000"/>
        </w:rPr>
        <w:t xml:space="preserve"> levels (&gt;</w:t>
      </w:r>
      <w:r w:rsidR="00C331B6">
        <w:rPr>
          <w:rFonts w:ascii="Book Antiqua" w:eastAsia="Book Antiqua" w:hAnsi="Book Antiqua" w:cs="Book Antiqua"/>
          <w:color w:val="000000"/>
        </w:rPr>
        <w:t xml:space="preserve"> </w:t>
      </w:r>
      <w:r>
        <w:rPr>
          <w:rFonts w:ascii="Book Antiqua" w:eastAsia="Book Antiqua" w:hAnsi="Book Antiqua" w:cs="Book Antiqua"/>
          <w:color w:val="000000"/>
        </w:rPr>
        <w:t>0.3 mg/dL) diagnosed during routine medical examination (CRP-high HVs)</w:t>
      </w:r>
      <w:r w:rsidR="00F309BA">
        <w:rPr>
          <w:rFonts w:ascii="Book Antiqua" w:eastAsia="Book Antiqua" w:hAnsi="Book Antiqua" w:cs="Book Antiqua"/>
          <w:color w:val="000000"/>
        </w:rPr>
        <w:t>;</w:t>
      </w:r>
      <w:r>
        <w:rPr>
          <w:rFonts w:ascii="Book Antiqua" w:eastAsia="Book Antiqua" w:hAnsi="Book Antiqua" w:cs="Book Antiqua"/>
          <w:color w:val="000000"/>
        </w:rPr>
        <w:t xml:space="preserve"> B</w:t>
      </w:r>
      <w:r w:rsidR="00F309BA">
        <w:rPr>
          <w:rFonts w:ascii="Book Antiqua" w:eastAsia="Book Antiqua" w:hAnsi="Book Antiqua" w:cs="Book Antiqua"/>
          <w:color w:val="000000"/>
        </w:rPr>
        <w:t>:</w:t>
      </w:r>
      <w:r>
        <w:rPr>
          <w:rFonts w:ascii="Book Antiqua" w:eastAsia="Book Antiqua" w:hAnsi="Book Antiqua" w:cs="Book Antiqua"/>
          <w:color w:val="000000"/>
        </w:rPr>
        <w:t xml:space="preserve"> Coefficient of correlation between the 10-7G value and CRP level in CRP-high HVs</w:t>
      </w:r>
      <w:r w:rsidR="00F309BA">
        <w:rPr>
          <w:rFonts w:ascii="Book Antiqua" w:eastAsia="Book Antiqua" w:hAnsi="Book Antiqua" w:cs="Book Antiqua"/>
          <w:color w:val="000000"/>
        </w:rPr>
        <w:t>;</w:t>
      </w:r>
      <w:r>
        <w:rPr>
          <w:rFonts w:ascii="Book Antiqua" w:eastAsia="Book Antiqua" w:hAnsi="Book Antiqua" w:cs="Book Antiqua"/>
          <w:color w:val="000000"/>
        </w:rPr>
        <w:t xml:space="preserve"> C</w:t>
      </w:r>
      <w:r w:rsidR="00F309BA">
        <w:rPr>
          <w:rFonts w:ascii="Book Antiqua" w:eastAsia="Book Antiqua" w:hAnsi="Book Antiqua" w:cs="Book Antiqua"/>
          <w:color w:val="000000"/>
        </w:rPr>
        <w:t>:</w:t>
      </w:r>
      <w:r>
        <w:rPr>
          <w:rFonts w:ascii="Book Antiqua" w:eastAsia="Book Antiqua" w:hAnsi="Book Antiqua" w:cs="Book Antiqua"/>
          <w:color w:val="000000"/>
        </w:rPr>
        <w:t xml:space="preserve"> 10-7G values of inflammatory bowel disease (IBD) patients with normal CRP level (≤</w:t>
      </w:r>
      <w:r w:rsidR="00F309BA">
        <w:rPr>
          <w:rFonts w:ascii="Book Antiqua" w:eastAsia="Book Antiqua" w:hAnsi="Book Antiqua" w:cs="Book Antiqua"/>
          <w:color w:val="000000"/>
        </w:rPr>
        <w:t xml:space="preserve"> </w:t>
      </w:r>
      <w:r>
        <w:rPr>
          <w:rFonts w:ascii="Book Antiqua" w:eastAsia="Book Antiqua" w:hAnsi="Book Antiqua" w:cs="Book Antiqua"/>
          <w:color w:val="000000"/>
        </w:rPr>
        <w:t>0.3 mg/dL) (CRP-normal IBD) or high CRP level (&gt;</w:t>
      </w:r>
      <w:r w:rsidR="00E5773B">
        <w:rPr>
          <w:rFonts w:ascii="Book Antiqua" w:eastAsia="Book Antiqua" w:hAnsi="Book Antiqua" w:cs="Book Antiqua"/>
          <w:color w:val="000000"/>
        </w:rPr>
        <w:t xml:space="preserve"> </w:t>
      </w:r>
      <w:r>
        <w:rPr>
          <w:rFonts w:ascii="Book Antiqua" w:eastAsia="Book Antiqua" w:hAnsi="Book Antiqua" w:cs="Book Antiqua"/>
          <w:color w:val="000000"/>
        </w:rPr>
        <w:t>0.3 mg/dL) (CRP-</w:t>
      </w:r>
      <w:r w:rsidR="00E952C4">
        <w:rPr>
          <w:rFonts w:ascii="Book Antiqua" w:hAnsi="Book Antiqua" w:cs="Book Antiqua" w:hint="eastAsia"/>
          <w:color w:val="000000"/>
          <w:lang w:eastAsia="zh-CN"/>
        </w:rPr>
        <w:t>high</w:t>
      </w:r>
      <w:r>
        <w:rPr>
          <w:rFonts w:ascii="Book Antiqua" w:eastAsia="Book Antiqua" w:hAnsi="Book Antiqua" w:cs="Book Antiqua"/>
          <w:color w:val="000000"/>
        </w:rPr>
        <w:t xml:space="preserve"> IBD)</w:t>
      </w:r>
      <w:r w:rsidR="00F309BA">
        <w:rPr>
          <w:rFonts w:ascii="Book Antiqua" w:eastAsia="Book Antiqua" w:hAnsi="Book Antiqua" w:cs="Book Antiqua"/>
          <w:color w:val="000000"/>
        </w:rPr>
        <w:t>;</w:t>
      </w:r>
      <w:r>
        <w:rPr>
          <w:rFonts w:ascii="Book Antiqua" w:eastAsia="Book Antiqua" w:hAnsi="Book Antiqua" w:cs="Book Antiqua"/>
          <w:color w:val="000000"/>
        </w:rPr>
        <w:t xml:space="preserve"> D</w:t>
      </w:r>
      <w:r w:rsidR="00F309BA">
        <w:rPr>
          <w:rFonts w:ascii="Book Antiqua" w:eastAsia="Book Antiqua" w:hAnsi="Book Antiqua" w:cs="Book Antiqua"/>
          <w:color w:val="000000"/>
        </w:rPr>
        <w:t>:</w:t>
      </w:r>
      <w:r>
        <w:rPr>
          <w:rFonts w:ascii="Book Antiqua" w:eastAsia="Book Antiqua" w:hAnsi="Book Antiqua" w:cs="Book Antiqua"/>
          <w:color w:val="000000"/>
        </w:rPr>
        <w:t xml:space="preserve"> Coefficient of correlation between the 10-7G value and CRP level in IBD patients.</w:t>
      </w:r>
      <w:r w:rsidR="00F309BA">
        <w:rPr>
          <w:rFonts w:ascii="Book Antiqua" w:eastAsia="Book Antiqua" w:hAnsi="Book Antiqua" w:cs="Book Antiqua"/>
          <w:color w:val="000000"/>
        </w:rPr>
        <w:t xml:space="preserve"> HV: Healthy volunteer; CRP: C-reactive protein; IBD: Inflammatory bowel disease; NS: </w:t>
      </w:r>
      <w:r w:rsidR="00F309BA" w:rsidRPr="00D01F28">
        <w:rPr>
          <w:rFonts w:ascii="Book Antiqua" w:eastAsia="宋体" w:hAnsi="Book Antiqua" w:hint="eastAsia"/>
        </w:rPr>
        <w:t>Not significant</w:t>
      </w:r>
      <w:r w:rsidR="00F309BA">
        <w:rPr>
          <w:rFonts w:ascii="Book Antiqua" w:eastAsia="宋体" w:hAnsi="Book Antiqua"/>
        </w:rPr>
        <w:t>.</w:t>
      </w:r>
    </w:p>
    <w:p w14:paraId="70FBD24E" w14:textId="177D5C71" w:rsidR="00A77B3E" w:rsidRDefault="00485DAF">
      <w:pPr>
        <w:spacing w:line="360" w:lineRule="auto"/>
        <w:jc w:val="both"/>
      </w:pPr>
      <w:r>
        <w:br w:type="page"/>
      </w:r>
      <w:r>
        <w:rPr>
          <w:noProof/>
          <w:lang w:eastAsia="zh-CN"/>
        </w:rPr>
        <w:drawing>
          <wp:inline distT="0" distB="0" distL="0" distR="0" wp14:anchorId="1CA36C2C" wp14:editId="25906D56">
            <wp:extent cx="5969203" cy="1993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3027" cy="2001185"/>
                    </a:xfrm>
                    <a:prstGeom prst="rect">
                      <a:avLst/>
                    </a:prstGeom>
                    <a:noFill/>
                  </pic:spPr>
                </pic:pic>
              </a:graphicData>
            </a:graphic>
          </wp:inline>
        </w:drawing>
      </w:r>
    </w:p>
    <w:p w14:paraId="683DF16F" w14:textId="008B0771" w:rsidR="00A77B3E" w:rsidRDefault="00485DAF">
      <w:pPr>
        <w:spacing w:line="360" w:lineRule="auto"/>
        <w:jc w:val="both"/>
      </w:pPr>
      <w:r>
        <w:rPr>
          <w:rFonts w:ascii="Book Antiqua" w:eastAsia="Book Antiqua" w:hAnsi="Book Antiqua" w:cs="Book Antiqua"/>
          <w:b/>
          <w:bCs/>
          <w:color w:val="000000"/>
        </w:rPr>
        <w:t xml:space="preserve">Figure 6 Evaluation of the usefulness of the 10-7G value for pathologic diagnosis of </w:t>
      </w:r>
      <w:r w:rsidR="00485F21" w:rsidRPr="00485F21">
        <w:rPr>
          <w:rFonts w:ascii="Book Antiqua" w:eastAsia="Book Antiqua" w:hAnsi="Book Antiqua" w:cs="Book Antiqua"/>
          <w:b/>
          <w:bCs/>
          <w:color w:val="000000"/>
        </w:rPr>
        <w:t>ulcerative colitis</w:t>
      </w:r>
      <w:r>
        <w:rPr>
          <w:rFonts w:ascii="Book Antiqua" w:eastAsia="Book Antiqua" w:hAnsi="Book Antiqua" w:cs="Book Antiqua"/>
          <w:b/>
          <w:bCs/>
          <w:color w:val="000000"/>
        </w:rPr>
        <w:t xml:space="preserve"> compared to </w:t>
      </w:r>
      <w:r w:rsidR="00485F21" w:rsidRPr="00485F21">
        <w:rPr>
          <w:rFonts w:ascii="Book Antiqua" w:eastAsia="Book Antiqua" w:hAnsi="Book Antiqua" w:cs="Book Antiqua"/>
          <w:b/>
          <w:bCs/>
          <w:color w:val="000000"/>
        </w:rPr>
        <w:t>C-reactive protein</w:t>
      </w:r>
      <w:r>
        <w:rPr>
          <w:rFonts w:ascii="Book Antiqua" w:eastAsia="Book Antiqua" w:hAnsi="Book Antiqua" w:cs="Book Antiqua"/>
          <w:b/>
          <w:bCs/>
          <w:color w:val="000000"/>
        </w:rPr>
        <w:t xml:space="preserve"> and </w:t>
      </w:r>
      <w:r w:rsidR="00485F21" w:rsidRPr="00485F21">
        <w:rPr>
          <w:rFonts w:ascii="Book Antiqua" w:eastAsia="Book Antiqua" w:hAnsi="Book Antiqua" w:cs="Book Antiqua"/>
          <w:b/>
          <w:bCs/>
          <w:color w:val="000000"/>
        </w:rPr>
        <w:t>leucine-rich alpha-2 glycoprotein</w:t>
      </w:r>
      <w:r>
        <w:rPr>
          <w:rFonts w:ascii="Book Antiqua" w:eastAsia="Book Antiqua" w:hAnsi="Book Antiqua" w:cs="Book Antiqua"/>
          <w:b/>
          <w:bCs/>
          <w:color w:val="000000"/>
        </w:rPr>
        <w:t xml:space="preserve">. </w:t>
      </w:r>
      <w:r>
        <w:rPr>
          <w:rFonts w:ascii="Book Antiqua" w:eastAsia="Book Antiqua" w:hAnsi="Book Antiqua" w:cs="Book Antiqua"/>
          <w:color w:val="000000"/>
        </w:rPr>
        <w:t>A-C</w:t>
      </w:r>
      <w:r w:rsidR="00485F21">
        <w:rPr>
          <w:rFonts w:ascii="Book Antiqua" w:eastAsia="Book Antiqua" w:hAnsi="Book Antiqua" w:cs="Book Antiqua"/>
          <w:color w:val="000000"/>
        </w:rPr>
        <w:t>:</w:t>
      </w:r>
      <w:r>
        <w:rPr>
          <w:rFonts w:ascii="Book Antiqua" w:eastAsia="Book Antiqua" w:hAnsi="Book Antiqua" w:cs="Book Antiqua"/>
          <w:color w:val="000000"/>
        </w:rPr>
        <w:t xml:space="preserve"> Analysis of </w:t>
      </w:r>
      <w:r w:rsidR="00485F21">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curves for 10-7G value, </w:t>
      </w:r>
      <w:r w:rsidR="00485F21">
        <w:rPr>
          <w:rFonts w:ascii="Book Antiqua" w:eastAsia="Book Antiqua" w:hAnsi="Book Antiqua" w:cs="Book Antiqua"/>
          <w:color w:val="000000"/>
        </w:rPr>
        <w:t>leucine-rich alpha-2 glycoprotein</w:t>
      </w:r>
      <w:r>
        <w:rPr>
          <w:rFonts w:ascii="Book Antiqua" w:eastAsia="Book Antiqua" w:hAnsi="Book Antiqua" w:cs="Book Antiqua"/>
          <w:color w:val="000000"/>
        </w:rPr>
        <w:t xml:space="preserve">, and </w:t>
      </w:r>
      <w:r w:rsidR="00485F21">
        <w:rPr>
          <w:rFonts w:ascii="Book Antiqua" w:eastAsia="Book Antiqua" w:hAnsi="Book Antiqua" w:cs="Book Antiqua"/>
          <w:color w:val="000000"/>
        </w:rPr>
        <w:t>C-reactive protein</w:t>
      </w:r>
      <w:r>
        <w:rPr>
          <w:rFonts w:ascii="Book Antiqua" w:eastAsia="Book Antiqua" w:hAnsi="Book Antiqua" w:cs="Book Antiqua"/>
          <w:color w:val="000000"/>
        </w:rPr>
        <w:t xml:space="preserve"> for differentiation between </w:t>
      </w:r>
      <w:bookmarkStart w:id="5" w:name="_Hlk56592920"/>
      <w:r>
        <w:rPr>
          <w:rFonts w:ascii="Book Antiqua" w:eastAsia="Book Antiqua" w:hAnsi="Book Antiqua" w:cs="Book Antiqua"/>
          <w:color w:val="000000"/>
        </w:rPr>
        <w:t>ulcerative colitis</w:t>
      </w:r>
      <w:bookmarkEnd w:id="5"/>
      <w:r>
        <w:rPr>
          <w:rFonts w:ascii="Book Antiqua" w:eastAsia="Book Antiqua" w:hAnsi="Book Antiqua" w:cs="Book Antiqua"/>
          <w:color w:val="000000"/>
        </w:rPr>
        <w:t xml:space="preserve"> (UC) patients with endoscopic mucosal remission by Mayo endoscopic subscore (MES). AUC: </w:t>
      </w:r>
      <w:r w:rsidR="00485F21">
        <w:rPr>
          <w:rFonts w:ascii="Book Antiqua" w:eastAsia="Book Antiqua" w:hAnsi="Book Antiqua" w:cs="Book Antiqua"/>
          <w:color w:val="000000"/>
        </w:rPr>
        <w:t>A</w:t>
      </w:r>
      <w:r>
        <w:rPr>
          <w:rFonts w:ascii="Book Antiqua" w:eastAsia="Book Antiqua" w:hAnsi="Book Antiqua" w:cs="Book Antiqua"/>
          <w:color w:val="000000"/>
        </w:rPr>
        <w:t>rea under the curve</w:t>
      </w:r>
      <w:r w:rsidR="00485F21">
        <w:rPr>
          <w:rFonts w:ascii="Book Antiqua" w:eastAsia="Book Antiqua" w:hAnsi="Book Antiqua" w:cs="Book Antiqua"/>
          <w:color w:val="000000"/>
        </w:rPr>
        <w:t xml:space="preserve">; MES: Mayo endoscopic subscore; LRG: </w:t>
      </w:r>
      <w:r w:rsidR="00EA2F3E" w:rsidRPr="00EA2F3E">
        <w:rPr>
          <w:rFonts w:ascii="Book Antiqua" w:eastAsia="Book Antiqua" w:hAnsi="Book Antiqua" w:cs="Book Antiqua"/>
        </w:rPr>
        <w:t>L</w:t>
      </w:r>
      <w:r w:rsidR="00485F21" w:rsidRPr="00EA2F3E">
        <w:rPr>
          <w:rFonts w:ascii="Book Antiqua" w:eastAsia="Book Antiqua" w:hAnsi="Book Antiqua" w:cs="Book Antiqua"/>
        </w:rPr>
        <w:t>eucine</w:t>
      </w:r>
      <w:r w:rsidR="00485F21">
        <w:rPr>
          <w:rFonts w:ascii="Book Antiqua" w:eastAsia="Book Antiqua" w:hAnsi="Book Antiqua" w:cs="Book Antiqua"/>
          <w:color w:val="000000"/>
        </w:rPr>
        <w:t>-rich alpha-2 glycoprotein; CRP: C-reactive protein.</w:t>
      </w:r>
    </w:p>
    <w:p w14:paraId="2B6417C7" w14:textId="4E6A9F19" w:rsidR="00A77B3E" w:rsidRDefault="00AC701F">
      <w:pPr>
        <w:spacing w:line="360" w:lineRule="auto"/>
        <w:jc w:val="both"/>
      </w:pPr>
      <w:r>
        <w:br w:type="page"/>
      </w:r>
      <w:r>
        <w:rPr>
          <w:noProof/>
          <w:lang w:eastAsia="zh-CN"/>
        </w:rPr>
        <w:drawing>
          <wp:inline distT="0" distB="0" distL="0" distR="0" wp14:anchorId="49EFE829" wp14:editId="0DB03D54">
            <wp:extent cx="5871227" cy="3441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1227" cy="3441600"/>
                    </a:xfrm>
                    <a:prstGeom prst="rect">
                      <a:avLst/>
                    </a:prstGeom>
                    <a:noFill/>
                  </pic:spPr>
                </pic:pic>
              </a:graphicData>
            </a:graphic>
          </wp:inline>
        </w:drawing>
      </w:r>
    </w:p>
    <w:p w14:paraId="22E63517" w14:textId="77777777" w:rsidR="00882276" w:rsidRDefault="00485DAF">
      <w:pPr>
        <w:spacing w:line="360" w:lineRule="auto"/>
        <w:jc w:val="both"/>
        <w:rPr>
          <w:rFonts w:ascii="Book Antiqua" w:eastAsia="Book Antiqua" w:hAnsi="Book Antiqua" w:cs="Book Antiqua"/>
          <w:b/>
          <w:bCs/>
          <w:color w:val="000000"/>
        </w:rPr>
        <w:sectPr w:rsidR="00882276">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7</w:t>
      </w:r>
      <w:r>
        <w:rPr>
          <w:rFonts w:ascii="Book Antiqua" w:eastAsia="Book Antiqua" w:hAnsi="Book Antiqua" w:cs="Book Antiqua"/>
          <w:color w:val="000000"/>
          <w:szCs w:val="21"/>
        </w:rPr>
        <w:t xml:space="preserve"> </w:t>
      </w:r>
      <w:r>
        <w:rPr>
          <w:rFonts w:ascii="Book Antiqua" w:eastAsia="Book Antiqua" w:hAnsi="Book Antiqua" w:cs="Book Antiqua"/>
          <w:b/>
          <w:bCs/>
          <w:color w:val="000000"/>
        </w:rPr>
        <w:t xml:space="preserve">Non-invasive follow-up chart of patients with </w:t>
      </w:r>
      <w:r w:rsidR="00AC701F" w:rsidRPr="00AC701F">
        <w:rPr>
          <w:rFonts w:ascii="Book Antiqua" w:eastAsia="Book Antiqua" w:hAnsi="Book Antiqua" w:cs="Book Antiqua"/>
          <w:b/>
          <w:bCs/>
          <w:color w:val="000000"/>
        </w:rPr>
        <w:t>ulcerative colitis</w:t>
      </w:r>
      <w:r>
        <w:rPr>
          <w:rFonts w:ascii="Book Antiqua" w:eastAsia="Book Antiqua" w:hAnsi="Book Antiqua" w:cs="Book Antiqua"/>
          <w:b/>
          <w:bCs/>
          <w:color w:val="000000"/>
        </w:rPr>
        <w:t xml:space="preserve"> using 10-7G value.</w:t>
      </w:r>
    </w:p>
    <w:p w14:paraId="0A243FA6" w14:textId="29284A80" w:rsidR="00A77B3E" w:rsidRDefault="00882276" w:rsidP="00882276">
      <w:pPr>
        <w:spacing w:line="360" w:lineRule="auto"/>
        <w:jc w:val="both"/>
        <w:rPr>
          <w:rFonts w:ascii="Book Antiqua" w:hAnsi="Book Antiqua"/>
          <w:b/>
          <w:bCs/>
        </w:rPr>
      </w:pPr>
      <w:r w:rsidRPr="00882276">
        <w:rPr>
          <w:rFonts w:ascii="Book Antiqua" w:hAnsi="Book Antiqua"/>
          <w:b/>
          <w:bCs/>
        </w:rPr>
        <w:t xml:space="preserve">Table 1 Characteristics of patients with ulcerative colitis, Crohn’s disease, and </w:t>
      </w:r>
      <w:bookmarkStart w:id="6" w:name="_Hlk56593514"/>
      <w:r w:rsidRPr="00882276">
        <w:rPr>
          <w:rFonts w:ascii="Book Antiqua" w:hAnsi="Book Antiqua"/>
          <w:b/>
          <w:bCs/>
        </w:rPr>
        <w:t>acute enteritis</w:t>
      </w:r>
      <w:bookmarkEnd w:id="6"/>
      <w:r w:rsidRPr="00882276">
        <w:rPr>
          <w:rFonts w:ascii="Book Antiqua" w:hAnsi="Book Antiqua"/>
          <w:b/>
          <w:bCs/>
        </w:rPr>
        <w:t xml:space="preserve"> and </w:t>
      </w:r>
      <w:bookmarkStart w:id="7" w:name="_Hlk56593528"/>
      <w:r w:rsidRPr="00882276">
        <w:rPr>
          <w:rFonts w:ascii="Book Antiqua" w:hAnsi="Book Antiqua"/>
          <w:b/>
          <w:bCs/>
        </w:rPr>
        <w:t>healthy volunteer</w:t>
      </w:r>
      <w:bookmarkEnd w:id="7"/>
      <w:r w:rsidRPr="00882276">
        <w:rPr>
          <w:rFonts w:ascii="Book Antiqua" w:hAnsi="Book Antiqua"/>
          <w:b/>
          <w:bCs/>
        </w:rPr>
        <w:t>s</w:t>
      </w:r>
    </w:p>
    <w:tbl>
      <w:tblPr>
        <w:tblW w:w="5000" w:type="pct"/>
        <w:tblLook w:val="04A0" w:firstRow="1" w:lastRow="0" w:firstColumn="1" w:lastColumn="0" w:noHBand="0" w:noVBand="1"/>
      </w:tblPr>
      <w:tblGrid>
        <w:gridCol w:w="3283"/>
        <w:gridCol w:w="2006"/>
        <w:gridCol w:w="1987"/>
        <w:gridCol w:w="1986"/>
        <w:gridCol w:w="1957"/>
        <w:gridCol w:w="1957"/>
      </w:tblGrid>
      <w:tr w:rsidR="00882276" w:rsidRPr="00882276" w14:paraId="7473F9E8" w14:textId="77777777" w:rsidTr="009C2F72">
        <w:tc>
          <w:tcPr>
            <w:tcW w:w="3545" w:type="dxa"/>
            <w:tcBorders>
              <w:top w:val="single" w:sz="4" w:space="0" w:color="auto"/>
              <w:bottom w:val="single" w:sz="4" w:space="0" w:color="auto"/>
            </w:tcBorders>
            <w:hideMark/>
          </w:tcPr>
          <w:p w14:paraId="67A4553C" w14:textId="77777777" w:rsidR="00882276" w:rsidRPr="009C2F72" w:rsidRDefault="00882276" w:rsidP="00882276">
            <w:pPr>
              <w:spacing w:line="360" w:lineRule="auto"/>
              <w:jc w:val="both"/>
              <w:rPr>
                <w:rFonts w:ascii="Book Antiqua" w:hAnsi="Book Antiqua" w:cs="Arial"/>
                <w:b/>
                <w:bCs/>
              </w:rPr>
            </w:pPr>
            <w:r w:rsidRPr="009C2F72">
              <w:rPr>
                <w:rFonts w:ascii="Book Antiqua" w:hAnsi="Book Antiqua" w:cs="Arial"/>
                <w:b/>
              </w:rPr>
              <w:t>Characteristic</w:t>
            </w:r>
          </w:p>
        </w:tc>
        <w:tc>
          <w:tcPr>
            <w:tcW w:w="2154" w:type="dxa"/>
            <w:tcBorders>
              <w:top w:val="single" w:sz="4" w:space="0" w:color="auto"/>
              <w:bottom w:val="single" w:sz="4" w:space="0" w:color="auto"/>
            </w:tcBorders>
            <w:hideMark/>
          </w:tcPr>
          <w:p w14:paraId="2666D243" w14:textId="77777777" w:rsidR="00882276" w:rsidRPr="009C2F72" w:rsidRDefault="00882276" w:rsidP="00882276">
            <w:pPr>
              <w:spacing w:line="360" w:lineRule="auto"/>
              <w:jc w:val="both"/>
              <w:rPr>
                <w:rFonts w:ascii="Book Antiqua" w:hAnsi="Book Antiqua" w:cs="Arial"/>
                <w:b/>
                <w:bCs/>
              </w:rPr>
            </w:pPr>
            <w:r w:rsidRPr="009C2F72">
              <w:rPr>
                <w:rFonts w:ascii="Book Antiqua" w:hAnsi="Book Antiqua" w:cs="Arial"/>
                <w:b/>
              </w:rPr>
              <w:t>Patients with UC</w:t>
            </w:r>
          </w:p>
        </w:tc>
        <w:tc>
          <w:tcPr>
            <w:tcW w:w="2154" w:type="dxa"/>
            <w:tcBorders>
              <w:top w:val="single" w:sz="4" w:space="0" w:color="auto"/>
              <w:bottom w:val="single" w:sz="4" w:space="0" w:color="auto"/>
            </w:tcBorders>
            <w:hideMark/>
          </w:tcPr>
          <w:p w14:paraId="519D2AA8" w14:textId="77777777" w:rsidR="00882276" w:rsidRPr="009C2F72" w:rsidRDefault="00882276" w:rsidP="00882276">
            <w:pPr>
              <w:spacing w:line="360" w:lineRule="auto"/>
              <w:jc w:val="both"/>
              <w:rPr>
                <w:rFonts w:ascii="Book Antiqua" w:hAnsi="Book Antiqua" w:cs="Arial"/>
                <w:b/>
                <w:bCs/>
              </w:rPr>
            </w:pPr>
            <w:r w:rsidRPr="009C2F72">
              <w:rPr>
                <w:rFonts w:ascii="Book Antiqua" w:hAnsi="Book Antiqua" w:cs="Arial"/>
                <w:b/>
              </w:rPr>
              <w:t>Patients with CD</w:t>
            </w:r>
          </w:p>
        </w:tc>
        <w:tc>
          <w:tcPr>
            <w:tcW w:w="2154" w:type="dxa"/>
            <w:tcBorders>
              <w:top w:val="single" w:sz="4" w:space="0" w:color="auto"/>
              <w:bottom w:val="single" w:sz="4" w:space="0" w:color="auto"/>
            </w:tcBorders>
          </w:tcPr>
          <w:p w14:paraId="157A5277" w14:textId="77777777" w:rsidR="00882276" w:rsidRPr="009C2F72" w:rsidRDefault="00882276" w:rsidP="00882276">
            <w:pPr>
              <w:spacing w:line="360" w:lineRule="auto"/>
              <w:jc w:val="both"/>
              <w:rPr>
                <w:rFonts w:ascii="Book Antiqua" w:hAnsi="Book Antiqua" w:cs="Arial"/>
                <w:b/>
                <w:bCs/>
              </w:rPr>
            </w:pPr>
            <w:r w:rsidRPr="009C2F72">
              <w:rPr>
                <w:rFonts w:ascii="Book Antiqua" w:hAnsi="Book Antiqua" w:cs="Arial"/>
                <w:b/>
              </w:rPr>
              <w:t>Patients with AE</w:t>
            </w:r>
          </w:p>
        </w:tc>
        <w:tc>
          <w:tcPr>
            <w:tcW w:w="2154" w:type="dxa"/>
            <w:tcBorders>
              <w:top w:val="single" w:sz="4" w:space="0" w:color="auto"/>
              <w:bottom w:val="single" w:sz="4" w:space="0" w:color="auto"/>
            </w:tcBorders>
          </w:tcPr>
          <w:p w14:paraId="10BA5422" w14:textId="77777777" w:rsidR="00882276" w:rsidRPr="009C2F72" w:rsidRDefault="00882276" w:rsidP="00882276">
            <w:pPr>
              <w:spacing w:line="360" w:lineRule="auto"/>
              <w:jc w:val="both"/>
              <w:rPr>
                <w:rFonts w:ascii="Book Antiqua" w:hAnsi="Book Antiqua" w:cs="Arial"/>
                <w:b/>
                <w:bCs/>
              </w:rPr>
            </w:pPr>
            <w:r w:rsidRPr="009C2F72">
              <w:rPr>
                <w:rFonts w:ascii="Book Antiqua" w:hAnsi="Book Antiqua" w:cs="Arial"/>
                <w:b/>
              </w:rPr>
              <w:t>HVs</w:t>
            </w:r>
          </w:p>
        </w:tc>
        <w:tc>
          <w:tcPr>
            <w:tcW w:w="2154" w:type="dxa"/>
            <w:tcBorders>
              <w:top w:val="single" w:sz="4" w:space="0" w:color="auto"/>
              <w:bottom w:val="single" w:sz="4" w:space="0" w:color="auto"/>
            </w:tcBorders>
          </w:tcPr>
          <w:p w14:paraId="573A58F8" w14:textId="77777777" w:rsidR="00882276" w:rsidRPr="009C2F72" w:rsidRDefault="00882276" w:rsidP="00882276">
            <w:pPr>
              <w:spacing w:line="360" w:lineRule="auto"/>
              <w:jc w:val="both"/>
              <w:rPr>
                <w:rFonts w:ascii="Book Antiqua" w:hAnsi="Book Antiqua" w:cs="Arial"/>
                <w:b/>
                <w:bCs/>
              </w:rPr>
            </w:pPr>
            <w:r w:rsidRPr="009C2F72">
              <w:rPr>
                <w:rFonts w:ascii="Book Antiqua" w:hAnsi="Book Antiqua" w:cs="Arial"/>
                <w:b/>
              </w:rPr>
              <w:t>CRP-high HVs</w:t>
            </w:r>
          </w:p>
        </w:tc>
      </w:tr>
      <w:tr w:rsidR="00882276" w:rsidRPr="00882276" w14:paraId="4E719EFE" w14:textId="77777777" w:rsidTr="009C2F72">
        <w:tc>
          <w:tcPr>
            <w:tcW w:w="3545" w:type="dxa"/>
            <w:tcBorders>
              <w:top w:val="single" w:sz="4" w:space="0" w:color="auto"/>
            </w:tcBorders>
            <w:hideMark/>
          </w:tcPr>
          <w:p w14:paraId="204734FD"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Number (male:female)</w:t>
            </w:r>
          </w:p>
        </w:tc>
        <w:tc>
          <w:tcPr>
            <w:tcW w:w="2154" w:type="dxa"/>
            <w:tcBorders>
              <w:top w:val="single" w:sz="4" w:space="0" w:color="auto"/>
            </w:tcBorders>
            <w:hideMark/>
          </w:tcPr>
          <w:p w14:paraId="66C8A38D"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110 (63:47)</w:t>
            </w:r>
          </w:p>
        </w:tc>
        <w:tc>
          <w:tcPr>
            <w:tcW w:w="2154" w:type="dxa"/>
            <w:tcBorders>
              <w:top w:val="single" w:sz="4" w:space="0" w:color="auto"/>
            </w:tcBorders>
            <w:hideMark/>
          </w:tcPr>
          <w:p w14:paraId="3A3749A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45 (36:9)</w:t>
            </w:r>
          </w:p>
        </w:tc>
        <w:tc>
          <w:tcPr>
            <w:tcW w:w="2154" w:type="dxa"/>
            <w:tcBorders>
              <w:top w:val="single" w:sz="4" w:space="0" w:color="auto"/>
            </w:tcBorders>
          </w:tcPr>
          <w:p w14:paraId="7611D8B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11 (5:6)</w:t>
            </w:r>
          </w:p>
        </w:tc>
        <w:tc>
          <w:tcPr>
            <w:tcW w:w="2154" w:type="dxa"/>
            <w:tcBorders>
              <w:top w:val="single" w:sz="4" w:space="0" w:color="auto"/>
            </w:tcBorders>
          </w:tcPr>
          <w:p w14:paraId="25B4F6FF"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20 (14:6)</w:t>
            </w:r>
          </w:p>
        </w:tc>
        <w:tc>
          <w:tcPr>
            <w:tcW w:w="2154" w:type="dxa"/>
            <w:tcBorders>
              <w:top w:val="single" w:sz="4" w:space="0" w:color="auto"/>
            </w:tcBorders>
          </w:tcPr>
          <w:p w14:paraId="2A7465C9"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79 (56:26)</w:t>
            </w:r>
          </w:p>
        </w:tc>
      </w:tr>
      <w:tr w:rsidR="00882276" w:rsidRPr="00882276" w14:paraId="02CFEE7A" w14:textId="77777777" w:rsidTr="009C2F72">
        <w:tc>
          <w:tcPr>
            <w:tcW w:w="3545" w:type="dxa"/>
            <w:hideMark/>
          </w:tcPr>
          <w:p w14:paraId="77ED6158" w14:textId="7C29F7C4" w:rsidR="00882276" w:rsidRPr="00882276" w:rsidRDefault="00882276" w:rsidP="00882276">
            <w:pPr>
              <w:spacing w:line="360" w:lineRule="auto"/>
              <w:jc w:val="both"/>
              <w:rPr>
                <w:rFonts w:ascii="Book Antiqua" w:hAnsi="Book Antiqua" w:cs="Arial"/>
              </w:rPr>
            </w:pPr>
            <w:r w:rsidRPr="00882276">
              <w:rPr>
                <w:rFonts w:ascii="Book Antiqua" w:hAnsi="Book Antiqua" w:cs="Arial"/>
              </w:rPr>
              <w:t>Age, y</w:t>
            </w:r>
            <w:r>
              <w:rPr>
                <w:rFonts w:ascii="Book Antiqua" w:hAnsi="Book Antiqua" w:cs="Arial"/>
              </w:rPr>
              <w:t>r</w:t>
            </w:r>
            <w:r w:rsidRPr="00882276">
              <w:rPr>
                <w:rFonts w:ascii="Book Antiqua" w:hAnsi="Book Antiqua" w:cs="Arial"/>
              </w:rPr>
              <w:t>, mean (SD)</w:t>
            </w:r>
          </w:p>
        </w:tc>
        <w:tc>
          <w:tcPr>
            <w:tcW w:w="2154" w:type="dxa"/>
            <w:hideMark/>
          </w:tcPr>
          <w:p w14:paraId="68BC5C76"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48.79 (15.08)</w:t>
            </w:r>
          </w:p>
        </w:tc>
        <w:tc>
          <w:tcPr>
            <w:tcW w:w="2154" w:type="dxa"/>
            <w:hideMark/>
          </w:tcPr>
          <w:p w14:paraId="1D33FF80"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46.24 (11.75)</w:t>
            </w:r>
          </w:p>
        </w:tc>
        <w:tc>
          <w:tcPr>
            <w:tcW w:w="2154" w:type="dxa"/>
          </w:tcPr>
          <w:p w14:paraId="6EDD82CD"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42.89 (20.20)</w:t>
            </w:r>
          </w:p>
        </w:tc>
        <w:tc>
          <w:tcPr>
            <w:tcW w:w="2154" w:type="dxa"/>
          </w:tcPr>
          <w:p w14:paraId="42EFE03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53.05 (6.58)</w:t>
            </w:r>
          </w:p>
        </w:tc>
        <w:tc>
          <w:tcPr>
            <w:tcW w:w="2154" w:type="dxa"/>
          </w:tcPr>
          <w:p w14:paraId="077A886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56.01 (11.23)</w:t>
            </w:r>
          </w:p>
        </w:tc>
      </w:tr>
      <w:tr w:rsidR="00882276" w:rsidRPr="00882276" w14:paraId="69B28EAE" w14:textId="77777777" w:rsidTr="009C2F72">
        <w:tc>
          <w:tcPr>
            <w:tcW w:w="3545" w:type="dxa"/>
          </w:tcPr>
          <w:p w14:paraId="59BA645E" w14:textId="3892ED66" w:rsidR="00882276" w:rsidRPr="00882276" w:rsidRDefault="00882276" w:rsidP="00882276">
            <w:pPr>
              <w:spacing w:line="360" w:lineRule="auto"/>
              <w:jc w:val="both"/>
              <w:rPr>
                <w:rFonts w:ascii="Book Antiqua" w:hAnsi="Book Antiqua" w:cs="Arial"/>
              </w:rPr>
            </w:pPr>
            <w:r w:rsidRPr="00882276">
              <w:rPr>
                <w:rFonts w:ascii="Book Antiqua" w:hAnsi="Book Antiqua" w:cs="Arial"/>
              </w:rPr>
              <w:t>Age at IBD diagnosis, y</w:t>
            </w:r>
            <w:r>
              <w:rPr>
                <w:rFonts w:ascii="Book Antiqua" w:hAnsi="Book Antiqua" w:cs="Arial"/>
              </w:rPr>
              <w:t>r</w:t>
            </w:r>
            <w:r w:rsidRPr="00882276">
              <w:rPr>
                <w:rFonts w:ascii="Book Antiqua" w:hAnsi="Book Antiqua" w:cs="Arial"/>
              </w:rPr>
              <w:t>, mean (SD)</w:t>
            </w:r>
          </w:p>
        </w:tc>
        <w:tc>
          <w:tcPr>
            <w:tcW w:w="2154" w:type="dxa"/>
          </w:tcPr>
          <w:p w14:paraId="5EA94EA0"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34.74 (16.64)</w:t>
            </w:r>
          </w:p>
        </w:tc>
        <w:tc>
          <w:tcPr>
            <w:tcW w:w="2154" w:type="dxa"/>
          </w:tcPr>
          <w:p w14:paraId="203A4038"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26.89 (8.36)</w:t>
            </w:r>
          </w:p>
        </w:tc>
        <w:tc>
          <w:tcPr>
            <w:tcW w:w="2154" w:type="dxa"/>
          </w:tcPr>
          <w:p w14:paraId="75BE73FD" w14:textId="77777777" w:rsidR="00882276" w:rsidRPr="00882276" w:rsidRDefault="00882276" w:rsidP="00882276">
            <w:pPr>
              <w:spacing w:line="360" w:lineRule="auto"/>
              <w:jc w:val="both"/>
              <w:rPr>
                <w:rFonts w:ascii="Book Antiqua" w:hAnsi="Book Antiqua" w:cs="Arial"/>
              </w:rPr>
            </w:pPr>
          </w:p>
        </w:tc>
        <w:tc>
          <w:tcPr>
            <w:tcW w:w="2154" w:type="dxa"/>
          </w:tcPr>
          <w:p w14:paraId="2674B456" w14:textId="77777777" w:rsidR="00882276" w:rsidRPr="00882276" w:rsidRDefault="00882276" w:rsidP="00882276">
            <w:pPr>
              <w:spacing w:line="360" w:lineRule="auto"/>
              <w:jc w:val="both"/>
              <w:rPr>
                <w:rFonts w:ascii="Book Antiqua" w:hAnsi="Book Antiqua" w:cs="Arial"/>
              </w:rPr>
            </w:pPr>
          </w:p>
        </w:tc>
        <w:tc>
          <w:tcPr>
            <w:tcW w:w="2154" w:type="dxa"/>
          </w:tcPr>
          <w:p w14:paraId="663711CB" w14:textId="77777777" w:rsidR="00882276" w:rsidRPr="00882276" w:rsidRDefault="00882276" w:rsidP="00882276">
            <w:pPr>
              <w:spacing w:line="360" w:lineRule="auto"/>
              <w:jc w:val="both"/>
              <w:rPr>
                <w:rFonts w:ascii="Book Antiqua" w:hAnsi="Book Antiqua" w:cs="Arial"/>
              </w:rPr>
            </w:pPr>
          </w:p>
        </w:tc>
      </w:tr>
      <w:tr w:rsidR="00882276" w:rsidRPr="00882276" w14:paraId="0AA44866" w14:textId="77777777" w:rsidTr="009C2F72">
        <w:tc>
          <w:tcPr>
            <w:tcW w:w="3545" w:type="dxa"/>
          </w:tcPr>
          <w:p w14:paraId="06985FA6" w14:textId="091BB014" w:rsidR="00882276" w:rsidRPr="00882276" w:rsidRDefault="00882276" w:rsidP="00882276">
            <w:pPr>
              <w:spacing w:line="360" w:lineRule="auto"/>
              <w:jc w:val="both"/>
              <w:rPr>
                <w:rFonts w:ascii="Book Antiqua" w:hAnsi="Book Antiqua" w:cs="Arial"/>
              </w:rPr>
            </w:pPr>
            <w:r w:rsidRPr="00882276">
              <w:rPr>
                <w:rFonts w:ascii="Book Antiqua" w:hAnsi="Book Antiqua" w:cs="Arial"/>
              </w:rPr>
              <w:t>UC disease location</w:t>
            </w:r>
            <w:r>
              <w:rPr>
                <w:rFonts w:ascii="Book Antiqua" w:hAnsi="Book Antiqua" w:cs="Arial"/>
              </w:rPr>
              <w:t xml:space="preserve">, </w:t>
            </w:r>
            <w:r w:rsidRPr="00882276">
              <w:rPr>
                <w:rFonts w:ascii="Book Antiqua" w:hAnsi="Book Antiqua" w:cs="Arial"/>
              </w:rPr>
              <w:t>extensive colitis/left-sided colitis/proctitis</w:t>
            </w:r>
          </w:p>
        </w:tc>
        <w:tc>
          <w:tcPr>
            <w:tcW w:w="2154" w:type="dxa"/>
          </w:tcPr>
          <w:p w14:paraId="1E9A2492"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52/40/18</w:t>
            </w:r>
          </w:p>
        </w:tc>
        <w:tc>
          <w:tcPr>
            <w:tcW w:w="2154" w:type="dxa"/>
          </w:tcPr>
          <w:p w14:paraId="1A79C787" w14:textId="77777777" w:rsidR="00882276" w:rsidRPr="00882276" w:rsidRDefault="00882276" w:rsidP="00882276">
            <w:pPr>
              <w:spacing w:line="360" w:lineRule="auto"/>
              <w:jc w:val="both"/>
              <w:rPr>
                <w:rFonts w:ascii="Book Antiqua" w:hAnsi="Book Antiqua" w:cs="Arial"/>
              </w:rPr>
            </w:pPr>
          </w:p>
        </w:tc>
        <w:tc>
          <w:tcPr>
            <w:tcW w:w="2154" w:type="dxa"/>
          </w:tcPr>
          <w:p w14:paraId="4CE8501C" w14:textId="77777777" w:rsidR="00882276" w:rsidRPr="00882276" w:rsidRDefault="00882276" w:rsidP="00882276">
            <w:pPr>
              <w:spacing w:line="360" w:lineRule="auto"/>
              <w:jc w:val="both"/>
              <w:rPr>
                <w:rFonts w:ascii="Book Antiqua" w:hAnsi="Book Antiqua" w:cs="Arial"/>
              </w:rPr>
            </w:pPr>
          </w:p>
        </w:tc>
        <w:tc>
          <w:tcPr>
            <w:tcW w:w="2154" w:type="dxa"/>
          </w:tcPr>
          <w:p w14:paraId="07561E00" w14:textId="77777777" w:rsidR="00882276" w:rsidRPr="00882276" w:rsidRDefault="00882276" w:rsidP="00882276">
            <w:pPr>
              <w:spacing w:line="360" w:lineRule="auto"/>
              <w:jc w:val="both"/>
              <w:rPr>
                <w:rFonts w:ascii="Book Antiqua" w:hAnsi="Book Antiqua" w:cs="Arial"/>
              </w:rPr>
            </w:pPr>
          </w:p>
        </w:tc>
        <w:tc>
          <w:tcPr>
            <w:tcW w:w="2154" w:type="dxa"/>
          </w:tcPr>
          <w:p w14:paraId="0DC99D4D" w14:textId="77777777" w:rsidR="00882276" w:rsidRPr="00882276" w:rsidRDefault="00882276" w:rsidP="00882276">
            <w:pPr>
              <w:spacing w:line="360" w:lineRule="auto"/>
              <w:jc w:val="both"/>
              <w:rPr>
                <w:rFonts w:ascii="Book Antiqua" w:hAnsi="Book Antiqua" w:cs="Arial"/>
              </w:rPr>
            </w:pPr>
          </w:p>
        </w:tc>
      </w:tr>
      <w:tr w:rsidR="00882276" w:rsidRPr="00882276" w14:paraId="2C78203B" w14:textId="77777777" w:rsidTr="009C2F72">
        <w:tc>
          <w:tcPr>
            <w:tcW w:w="3545" w:type="dxa"/>
          </w:tcPr>
          <w:p w14:paraId="7AC68552" w14:textId="2DB3B0A7" w:rsidR="00882276" w:rsidRPr="00882276" w:rsidRDefault="00882276" w:rsidP="00882276">
            <w:pPr>
              <w:spacing w:line="360" w:lineRule="auto"/>
              <w:jc w:val="both"/>
              <w:rPr>
                <w:rFonts w:ascii="Book Antiqua" w:hAnsi="Book Antiqua" w:cs="Arial"/>
              </w:rPr>
            </w:pPr>
            <w:r w:rsidRPr="00882276">
              <w:rPr>
                <w:rFonts w:ascii="Book Antiqua" w:hAnsi="Book Antiqua" w:cs="Arial"/>
              </w:rPr>
              <w:t>CD location</w:t>
            </w:r>
            <w:r>
              <w:rPr>
                <w:rFonts w:ascii="Book Antiqua" w:hAnsi="Book Antiqua" w:cs="Arial"/>
              </w:rPr>
              <w:t xml:space="preserve">, </w:t>
            </w:r>
            <w:r w:rsidRPr="00882276">
              <w:rPr>
                <w:rFonts w:ascii="Book Antiqua" w:hAnsi="Book Antiqua" w:cs="Arial"/>
              </w:rPr>
              <w:t>colic/ileal/ileo-colic</w:t>
            </w:r>
          </w:p>
        </w:tc>
        <w:tc>
          <w:tcPr>
            <w:tcW w:w="2154" w:type="dxa"/>
          </w:tcPr>
          <w:p w14:paraId="2CF5991F" w14:textId="77777777" w:rsidR="00882276" w:rsidRPr="00882276" w:rsidRDefault="00882276" w:rsidP="00882276">
            <w:pPr>
              <w:spacing w:line="360" w:lineRule="auto"/>
              <w:jc w:val="both"/>
              <w:rPr>
                <w:rFonts w:ascii="Book Antiqua" w:hAnsi="Book Antiqua" w:cs="Arial"/>
              </w:rPr>
            </w:pPr>
          </w:p>
        </w:tc>
        <w:tc>
          <w:tcPr>
            <w:tcW w:w="2154" w:type="dxa"/>
          </w:tcPr>
          <w:p w14:paraId="64FFF754"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5/17/23</w:t>
            </w:r>
          </w:p>
        </w:tc>
        <w:tc>
          <w:tcPr>
            <w:tcW w:w="2154" w:type="dxa"/>
          </w:tcPr>
          <w:p w14:paraId="4AC02CC7" w14:textId="77777777" w:rsidR="00882276" w:rsidRPr="00882276" w:rsidRDefault="00882276" w:rsidP="00882276">
            <w:pPr>
              <w:spacing w:line="360" w:lineRule="auto"/>
              <w:jc w:val="both"/>
              <w:rPr>
                <w:rFonts w:ascii="Book Antiqua" w:hAnsi="Book Antiqua" w:cs="Arial"/>
              </w:rPr>
            </w:pPr>
          </w:p>
        </w:tc>
        <w:tc>
          <w:tcPr>
            <w:tcW w:w="2154" w:type="dxa"/>
          </w:tcPr>
          <w:p w14:paraId="4982B146" w14:textId="77777777" w:rsidR="00882276" w:rsidRPr="00882276" w:rsidRDefault="00882276" w:rsidP="00882276">
            <w:pPr>
              <w:spacing w:line="360" w:lineRule="auto"/>
              <w:jc w:val="both"/>
              <w:rPr>
                <w:rFonts w:ascii="Book Antiqua" w:hAnsi="Book Antiqua" w:cs="Arial"/>
              </w:rPr>
            </w:pPr>
          </w:p>
        </w:tc>
        <w:tc>
          <w:tcPr>
            <w:tcW w:w="2154" w:type="dxa"/>
          </w:tcPr>
          <w:p w14:paraId="35D7A23F" w14:textId="77777777" w:rsidR="00882276" w:rsidRPr="00882276" w:rsidRDefault="00882276" w:rsidP="00882276">
            <w:pPr>
              <w:spacing w:line="360" w:lineRule="auto"/>
              <w:jc w:val="both"/>
              <w:rPr>
                <w:rFonts w:ascii="Book Antiqua" w:hAnsi="Book Antiqua" w:cs="Arial"/>
              </w:rPr>
            </w:pPr>
          </w:p>
        </w:tc>
      </w:tr>
      <w:tr w:rsidR="00882276" w:rsidRPr="00882276" w14:paraId="22740F5B" w14:textId="77777777" w:rsidTr="009C2F72">
        <w:tc>
          <w:tcPr>
            <w:tcW w:w="3545" w:type="dxa"/>
            <w:hideMark/>
          </w:tcPr>
          <w:p w14:paraId="17794D01"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Alb, g/dL, mean (SD)</w:t>
            </w:r>
          </w:p>
        </w:tc>
        <w:tc>
          <w:tcPr>
            <w:tcW w:w="2154" w:type="dxa"/>
            <w:hideMark/>
          </w:tcPr>
          <w:p w14:paraId="238BE37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4.14 (0.31)</w:t>
            </w:r>
          </w:p>
        </w:tc>
        <w:tc>
          <w:tcPr>
            <w:tcW w:w="2154" w:type="dxa"/>
            <w:hideMark/>
          </w:tcPr>
          <w:p w14:paraId="48A27711"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3.71 (0.51)</w:t>
            </w:r>
          </w:p>
        </w:tc>
        <w:tc>
          <w:tcPr>
            <w:tcW w:w="2154" w:type="dxa"/>
          </w:tcPr>
          <w:p w14:paraId="1BBEA66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3.84 (0.41)</w:t>
            </w:r>
          </w:p>
        </w:tc>
        <w:tc>
          <w:tcPr>
            <w:tcW w:w="2154" w:type="dxa"/>
          </w:tcPr>
          <w:p w14:paraId="7C02DECF"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4.41 (0.19)</w:t>
            </w:r>
          </w:p>
        </w:tc>
        <w:tc>
          <w:tcPr>
            <w:tcW w:w="2154" w:type="dxa"/>
          </w:tcPr>
          <w:p w14:paraId="152AB525"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4.28 (0.24)</w:t>
            </w:r>
          </w:p>
        </w:tc>
      </w:tr>
      <w:tr w:rsidR="00882276" w:rsidRPr="00882276" w14:paraId="788AD6D7" w14:textId="77777777" w:rsidTr="009C2F72">
        <w:tc>
          <w:tcPr>
            <w:tcW w:w="3545" w:type="dxa"/>
            <w:hideMark/>
          </w:tcPr>
          <w:p w14:paraId="597DD167"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ALT, U/L, mean (SD)</w:t>
            </w:r>
          </w:p>
        </w:tc>
        <w:tc>
          <w:tcPr>
            <w:tcW w:w="2154" w:type="dxa"/>
            <w:hideMark/>
          </w:tcPr>
          <w:p w14:paraId="4AD730DD"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20.27 (17.49)</w:t>
            </w:r>
          </w:p>
        </w:tc>
        <w:tc>
          <w:tcPr>
            <w:tcW w:w="2154" w:type="dxa"/>
            <w:hideMark/>
          </w:tcPr>
          <w:p w14:paraId="3C7A5CF6"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16.00 (6.04)</w:t>
            </w:r>
          </w:p>
        </w:tc>
        <w:tc>
          <w:tcPr>
            <w:tcW w:w="2154" w:type="dxa"/>
          </w:tcPr>
          <w:p w14:paraId="3D4D1891" w14:textId="77777777" w:rsidR="00882276" w:rsidRPr="00882276" w:rsidRDefault="00882276" w:rsidP="00882276">
            <w:pPr>
              <w:spacing w:line="360" w:lineRule="auto"/>
              <w:jc w:val="both"/>
              <w:rPr>
                <w:rFonts w:ascii="Book Antiqua" w:hAnsi="Book Antiqua" w:cs="Arial"/>
              </w:rPr>
            </w:pPr>
          </w:p>
        </w:tc>
        <w:tc>
          <w:tcPr>
            <w:tcW w:w="2154" w:type="dxa"/>
          </w:tcPr>
          <w:p w14:paraId="51B44C4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37.00 (22.19)</w:t>
            </w:r>
          </w:p>
        </w:tc>
        <w:tc>
          <w:tcPr>
            <w:tcW w:w="2154" w:type="dxa"/>
          </w:tcPr>
          <w:p w14:paraId="0CDF9604"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16.96 (5.22)</w:t>
            </w:r>
          </w:p>
        </w:tc>
      </w:tr>
      <w:tr w:rsidR="00882276" w:rsidRPr="00882276" w14:paraId="09FD2DD7" w14:textId="77777777" w:rsidTr="009C2F72">
        <w:tc>
          <w:tcPr>
            <w:tcW w:w="3545" w:type="dxa"/>
            <w:hideMark/>
          </w:tcPr>
          <w:p w14:paraId="0160E993"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ALP, U/L, mean (SD)</w:t>
            </w:r>
          </w:p>
        </w:tc>
        <w:tc>
          <w:tcPr>
            <w:tcW w:w="2154" w:type="dxa"/>
            <w:hideMark/>
          </w:tcPr>
          <w:p w14:paraId="7DED5C6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212.58 (69.81)</w:t>
            </w:r>
          </w:p>
        </w:tc>
        <w:tc>
          <w:tcPr>
            <w:tcW w:w="2154" w:type="dxa"/>
            <w:hideMark/>
          </w:tcPr>
          <w:p w14:paraId="15FFD25D"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244.79 (88.12)</w:t>
            </w:r>
          </w:p>
        </w:tc>
        <w:tc>
          <w:tcPr>
            <w:tcW w:w="2154" w:type="dxa"/>
          </w:tcPr>
          <w:p w14:paraId="1235F61B" w14:textId="77777777" w:rsidR="00882276" w:rsidRPr="00882276" w:rsidRDefault="00882276" w:rsidP="00882276">
            <w:pPr>
              <w:spacing w:line="360" w:lineRule="auto"/>
              <w:jc w:val="both"/>
              <w:rPr>
                <w:rFonts w:ascii="Book Antiqua" w:hAnsi="Book Antiqua" w:cs="Arial"/>
              </w:rPr>
            </w:pPr>
          </w:p>
        </w:tc>
        <w:tc>
          <w:tcPr>
            <w:tcW w:w="2154" w:type="dxa"/>
          </w:tcPr>
          <w:p w14:paraId="3B2F25C0"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214.35 (54.46)</w:t>
            </w:r>
          </w:p>
        </w:tc>
        <w:tc>
          <w:tcPr>
            <w:tcW w:w="2154" w:type="dxa"/>
          </w:tcPr>
          <w:p w14:paraId="1AC81C95"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209.84 (56.33)</w:t>
            </w:r>
          </w:p>
        </w:tc>
      </w:tr>
      <w:tr w:rsidR="00882276" w:rsidRPr="00882276" w14:paraId="5EBD4AFC" w14:textId="77777777" w:rsidTr="009C2F72">
        <w:tc>
          <w:tcPr>
            <w:tcW w:w="3545" w:type="dxa"/>
            <w:hideMark/>
          </w:tcPr>
          <w:p w14:paraId="50D43CF0"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T-Bil, mg/dL, mean (SD)</w:t>
            </w:r>
          </w:p>
        </w:tc>
        <w:tc>
          <w:tcPr>
            <w:tcW w:w="2154" w:type="dxa"/>
            <w:hideMark/>
          </w:tcPr>
          <w:p w14:paraId="7932A6FD"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0.51 (0.36)</w:t>
            </w:r>
          </w:p>
        </w:tc>
        <w:tc>
          <w:tcPr>
            <w:tcW w:w="2154" w:type="dxa"/>
            <w:hideMark/>
          </w:tcPr>
          <w:p w14:paraId="273D3604"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0.45 (0.24)</w:t>
            </w:r>
          </w:p>
        </w:tc>
        <w:tc>
          <w:tcPr>
            <w:tcW w:w="2154" w:type="dxa"/>
          </w:tcPr>
          <w:p w14:paraId="724E05E6" w14:textId="77777777" w:rsidR="00882276" w:rsidRPr="00882276" w:rsidRDefault="00882276" w:rsidP="00882276">
            <w:pPr>
              <w:spacing w:line="360" w:lineRule="auto"/>
              <w:jc w:val="both"/>
              <w:rPr>
                <w:rFonts w:ascii="Book Antiqua" w:hAnsi="Book Antiqua" w:cs="Arial"/>
              </w:rPr>
            </w:pPr>
          </w:p>
        </w:tc>
        <w:tc>
          <w:tcPr>
            <w:tcW w:w="2154" w:type="dxa"/>
          </w:tcPr>
          <w:p w14:paraId="36454F94"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0.77 (0.22)</w:t>
            </w:r>
          </w:p>
        </w:tc>
        <w:tc>
          <w:tcPr>
            <w:tcW w:w="2154" w:type="dxa"/>
          </w:tcPr>
          <w:p w14:paraId="1C0AA088"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0.63 (0.23)</w:t>
            </w:r>
          </w:p>
        </w:tc>
      </w:tr>
      <w:tr w:rsidR="00882276" w:rsidRPr="00882276" w14:paraId="016739EB" w14:textId="77777777" w:rsidTr="009C2F72">
        <w:tc>
          <w:tcPr>
            <w:tcW w:w="3545" w:type="dxa"/>
            <w:hideMark/>
          </w:tcPr>
          <w:p w14:paraId="1EF28DA0"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γ-GTP, U/L, mean (SD)</w:t>
            </w:r>
          </w:p>
        </w:tc>
        <w:tc>
          <w:tcPr>
            <w:tcW w:w="2154" w:type="dxa"/>
            <w:hideMark/>
          </w:tcPr>
          <w:p w14:paraId="5A2FF210"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30.75 (23.66)</w:t>
            </w:r>
          </w:p>
        </w:tc>
        <w:tc>
          <w:tcPr>
            <w:tcW w:w="2154" w:type="dxa"/>
            <w:hideMark/>
          </w:tcPr>
          <w:p w14:paraId="7C663FD4"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22.67 (15.61)</w:t>
            </w:r>
          </w:p>
        </w:tc>
        <w:tc>
          <w:tcPr>
            <w:tcW w:w="2154" w:type="dxa"/>
          </w:tcPr>
          <w:p w14:paraId="79AB970E" w14:textId="77777777" w:rsidR="00882276" w:rsidRPr="00882276" w:rsidRDefault="00882276" w:rsidP="00882276">
            <w:pPr>
              <w:spacing w:line="360" w:lineRule="auto"/>
              <w:jc w:val="both"/>
              <w:rPr>
                <w:rFonts w:ascii="Book Antiqua" w:hAnsi="Book Antiqua" w:cs="Arial"/>
              </w:rPr>
            </w:pPr>
          </w:p>
        </w:tc>
        <w:tc>
          <w:tcPr>
            <w:tcW w:w="2154" w:type="dxa"/>
          </w:tcPr>
          <w:p w14:paraId="46CEFBC8"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42.78 (25.20)</w:t>
            </w:r>
          </w:p>
        </w:tc>
        <w:tc>
          <w:tcPr>
            <w:tcW w:w="2154" w:type="dxa"/>
          </w:tcPr>
          <w:p w14:paraId="0D9DFFB3"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28.97 (17.30)</w:t>
            </w:r>
          </w:p>
        </w:tc>
      </w:tr>
      <w:tr w:rsidR="00882276" w:rsidRPr="00882276" w14:paraId="6D2C312C" w14:textId="77777777" w:rsidTr="009C2F72">
        <w:tc>
          <w:tcPr>
            <w:tcW w:w="3545" w:type="dxa"/>
            <w:hideMark/>
          </w:tcPr>
          <w:p w14:paraId="70258F36"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CRP, mg/dL, mean (SD)</w:t>
            </w:r>
          </w:p>
        </w:tc>
        <w:tc>
          <w:tcPr>
            <w:tcW w:w="2154" w:type="dxa"/>
            <w:hideMark/>
          </w:tcPr>
          <w:p w14:paraId="6BF3F637"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0.38 (0.61)</w:t>
            </w:r>
          </w:p>
        </w:tc>
        <w:tc>
          <w:tcPr>
            <w:tcW w:w="2154" w:type="dxa"/>
            <w:hideMark/>
          </w:tcPr>
          <w:p w14:paraId="09397B11"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0.68 (1.16)</w:t>
            </w:r>
          </w:p>
        </w:tc>
        <w:tc>
          <w:tcPr>
            <w:tcW w:w="2154" w:type="dxa"/>
          </w:tcPr>
          <w:p w14:paraId="7D3301FB"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8.15 (2.46)</w:t>
            </w:r>
          </w:p>
        </w:tc>
        <w:tc>
          <w:tcPr>
            <w:tcW w:w="2154" w:type="dxa"/>
          </w:tcPr>
          <w:p w14:paraId="28DFECF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0.10 (0.08)</w:t>
            </w:r>
          </w:p>
        </w:tc>
        <w:tc>
          <w:tcPr>
            <w:tcW w:w="2154" w:type="dxa"/>
          </w:tcPr>
          <w:p w14:paraId="3192F0C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1.35 (0.85)</w:t>
            </w:r>
          </w:p>
        </w:tc>
      </w:tr>
      <w:tr w:rsidR="00882276" w:rsidRPr="00882276" w14:paraId="6D636890" w14:textId="77777777" w:rsidTr="009C2F72">
        <w:tc>
          <w:tcPr>
            <w:tcW w:w="3545" w:type="dxa"/>
            <w:hideMark/>
          </w:tcPr>
          <w:p w14:paraId="5367633D"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Hb, g/dL, mean (SD)</w:t>
            </w:r>
          </w:p>
        </w:tc>
        <w:tc>
          <w:tcPr>
            <w:tcW w:w="2154" w:type="dxa"/>
            <w:hideMark/>
          </w:tcPr>
          <w:p w14:paraId="4056F78C"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12.79 (1.87)</w:t>
            </w:r>
          </w:p>
        </w:tc>
        <w:tc>
          <w:tcPr>
            <w:tcW w:w="2154" w:type="dxa"/>
            <w:hideMark/>
          </w:tcPr>
          <w:p w14:paraId="63638E46"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12.78 (1.75)</w:t>
            </w:r>
          </w:p>
        </w:tc>
        <w:tc>
          <w:tcPr>
            <w:tcW w:w="2154" w:type="dxa"/>
          </w:tcPr>
          <w:p w14:paraId="7D55FA27"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13.08 (1.75)</w:t>
            </w:r>
          </w:p>
        </w:tc>
        <w:tc>
          <w:tcPr>
            <w:tcW w:w="2154" w:type="dxa"/>
          </w:tcPr>
          <w:p w14:paraId="666AAB7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14.53 (1.05)</w:t>
            </w:r>
          </w:p>
        </w:tc>
        <w:tc>
          <w:tcPr>
            <w:tcW w:w="2154" w:type="dxa"/>
          </w:tcPr>
          <w:p w14:paraId="2541EE65"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13.96 (1.32)</w:t>
            </w:r>
          </w:p>
        </w:tc>
      </w:tr>
      <w:tr w:rsidR="00882276" w:rsidRPr="00882276" w14:paraId="58B1F6C5" w14:textId="77777777" w:rsidTr="009C2F72">
        <w:tc>
          <w:tcPr>
            <w:tcW w:w="3545" w:type="dxa"/>
            <w:hideMark/>
          </w:tcPr>
          <w:p w14:paraId="19AF4E48"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Ht, %, mean (SD)</w:t>
            </w:r>
          </w:p>
        </w:tc>
        <w:tc>
          <w:tcPr>
            <w:tcW w:w="2154" w:type="dxa"/>
            <w:hideMark/>
          </w:tcPr>
          <w:p w14:paraId="755ADE45"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38.91 (7.58)</w:t>
            </w:r>
          </w:p>
        </w:tc>
        <w:tc>
          <w:tcPr>
            <w:tcW w:w="2154" w:type="dxa"/>
            <w:hideMark/>
          </w:tcPr>
          <w:p w14:paraId="3A0DED29"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39.65 (4.77)</w:t>
            </w:r>
          </w:p>
        </w:tc>
        <w:tc>
          <w:tcPr>
            <w:tcW w:w="2154" w:type="dxa"/>
          </w:tcPr>
          <w:p w14:paraId="43500D8B"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39.11 (4.59)</w:t>
            </w:r>
          </w:p>
        </w:tc>
        <w:tc>
          <w:tcPr>
            <w:tcW w:w="2154" w:type="dxa"/>
          </w:tcPr>
          <w:p w14:paraId="71246A8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42.6 (2.68)</w:t>
            </w:r>
          </w:p>
        </w:tc>
        <w:tc>
          <w:tcPr>
            <w:tcW w:w="2154" w:type="dxa"/>
          </w:tcPr>
          <w:p w14:paraId="1D18BA5B"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40.79 (3.66)</w:t>
            </w:r>
          </w:p>
        </w:tc>
      </w:tr>
      <w:tr w:rsidR="00882276" w:rsidRPr="00882276" w14:paraId="726CDF08" w14:textId="77777777" w:rsidTr="009C2F72">
        <w:tc>
          <w:tcPr>
            <w:tcW w:w="3545" w:type="dxa"/>
            <w:hideMark/>
          </w:tcPr>
          <w:p w14:paraId="3E54C8DF"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WBC, 10³/µL, mean (SD)</w:t>
            </w:r>
          </w:p>
        </w:tc>
        <w:tc>
          <w:tcPr>
            <w:tcW w:w="2154" w:type="dxa"/>
            <w:hideMark/>
          </w:tcPr>
          <w:p w14:paraId="55AADCA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7.35 (2.48)</w:t>
            </w:r>
          </w:p>
        </w:tc>
        <w:tc>
          <w:tcPr>
            <w:tcW w:w="2154" w:type="dxa"/>
            <w:hideMark/>
          </w:tcPr>
          <w:p w14:paraId="16E054C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6.75 (2.17)</w:t>
            </w:r>
          </w:p>
        </w:tc>
        <w:tc>
          <w:tcPr>
            <w:tcW w:w="2154" w:type="dxa"/>
          </w:tcPr>
          <w:p w14:paraId="37221DA8"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12.50 (5.18)</w:t>
            </w:r>
          </w:p>
        </w:tc>
        <w:tc>
          <w:tcPr>
            <w:tcW w:w="2154" w:type="dxa"/>
          </w:tcPr>
          <w:p w14:paraId="32D88010" w14:textId="77777777" w:rsidR="00882276" w:rsidRPr="00882276" w:rsidRDefault="00882276" w:rsidP="00882276">
            <w:pPr>
              <w:spacing w:line="360" w:lineRule="auto"/>
              <w:jc w:val="both"/>
              <w:rPr>
                <w:rFonts w:ascii="Book Antiqua" w:hAnsi="Book Antiqua" w:cs="Arial"/>
              </w:rPr>
            </w:pPr>
          </w:p>
        </w:tc>
        <w:tc>
          <w:tcPr>
            <w:tcW w:w="2154" w:type="dxa"/>
          </w:tcPr>
          <w:p w14:paraId="36B5AAF9" w14:textId="77777777" w:rsidR="00882276" w:rsidRPr="00882276" w:rsidRDefault="00882276" w:rsidP="00882276">
            <w:pPr>
              <w:spacing w:line="360" w:lineRule="auto"/>
              <w:jc w:val="both"/>
              <w:rPr>
                <w:rFonts w:ascii="Book Antiqua" w:hAnsi="Book Antiqua" w:cs="Arial"/>
              </w:rPr>
            </w:pPr>
          </w:p>
        </w:tc>
      </w:tr>
      <w:tr w:rsidR="00882276" w:rsidRPr="00882276" w14:paraId="0E5AB729" w14:textId="77777777" w:rsidTr="009C2F72">
        <w:tc>
          <w:tcPr>
            <w:tcW w:w="3545" w:type="dxa"/>
            <w:hideMark/>
          </w:tcPr>
          <w:p w14:paraId="55B5282C" w14:textId="5AB5431C" w:rsidR="00882276" w:rsidRPr="00882276" w:rsidRDefault="00882276" w:rsidP="00882276">
            <w:pPr>
              <w:spacing w:line="360" w:lineRule="auto"/>
              <w:jc w:val="both"/>
              <w:rPr>
                <w:rFonts w:ascii="Book Antiqua" w:hAnsi="Book Antiqua" w:cs="Arial"/>
              </w:rPr>
            </w:pPr>
            <w:r w:rsidRPr="00882276">
              <w:rPr>
                <w:rFonts w:ascii="Book Antiqua" w:hAnsi="Book Antiqua" w:cs="Arial"/>
              </w:rPr>
              <w:t>Plt, 10</w:t>
            </w:r>
            <w:r w:rsidR="00FE7B99" w:rsidRPr="00FE7B99">
              <w:rPr>
                <w:rFonts w:ascii="Book Antiqua" w:hAnsi="Book Antiqua" w:cs="Arial"/>
                <w:vertAlign w:val="superscript"/>
              </w:rPr>
              <w:t>4</w:t>
            </w:r>
            <w:r w:rsidRPr="00882276">
              <w:rPr>
                <w:rFonts w:ascii="Book Antiqua" w:hAnsi="Book Antiqua" w:cs="Arial"/>
              </w:rPr>
              <w:t>/µL, mean (SD)</w:t>
            </w:r>
          </w:p>
        </w:tc>
        <w:tc>
          <w:tcPr>
            <w:tcW w:w="2154" w:type="dxa"/>
            <w:hideMark/>
          </w:tcPr>
          <w:p w14:paraId="21D2F9F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27.58 (7.07)</w:t>
            </w:r>
          </w:p>
        </w:tc>
        <w:tc>
          <w:tcPr>
            <w:tcW w:w="2154" w:type="dxa"/>
            <w:hideMark/>
          </w:tcPr>
          <w:p w14:paraId="35CCA511"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28.90 (6.21)</w:t>
            </w:r>
          </w:p>
        </w:tc>
        <w:tc>
          <w:tcPr>
            <w:tcW w:w="2154" w:type="dxa"/>
          </w:tcPr>
          <w:p w14:paraId="06E54E54"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27.34 (6.22)</w:t>
            </w:r>
          </w:p>
        </w:tc>
        <w:tc>
          <w:tcPr>
            <w:tcW w:w="2154" w:type="dxa"/>
          </w:tcPr>
          <w:p w14:paraId="25FA9521"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21.60 (5.62)</w:t>
            </w:r>
          </w:p>
        </w:tc>
        <w:tc>
          <w:tcPr>
            <w:tcW w:w="2154" w:type="dxa"/>
          </w:tcPr>
          <w:p w14:paraId="1937D7B3"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23.43 (6.45)</w:t>
            </w:r>
          </w:p>
        </w:tc>
      </w:tr>
      <w:tr w:rsidR="00882276" w:rsidRPr="00882276" w14:paraId="256872EB" w14:textId="77777777" w:rsidTr="009C2F72">
        <w:tc>
          <w:tcPr>
            <w:tcW w:w="3545" w:type="dxa"/>
            <w:hideMark/>
          </w:tcPr>
          <w:p w14:paraId="49315E29"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Mayo, mean (SD)</w:t>
            </w:r>
          </w:p>
        </w:tc>
        <w:tc>
          <w:tcPr>
            <w:tcW w:w="2154" w:type="dxa"/>
            <w:hideMark/>
          </w:tcPr>
          <w:p w14:paraId="05F62291"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3.27 (2.83)</w:t>
            </w:r>
          </w:p>
        </w:tc>
        <w:tc>
          <w:tcPr>
            <w:tcW w:w="2154" w:type="dxa"/>
            <w:hideMark/>
          </w:tcPr>
          <w:p w14:paraId="4E98B5B8" w14:textId="77777777" w:rsidR="00882276" w:rsidRPr="00882276" w:rsidRDefault="00882276" w:rsidP="00882276">
            <w:pPr>
              <w:spacing w:line="360" w:lineRule="auto"/>
              <w:jc w:val="both"/>
              <w:rPr>
                <w:rFonts w:ascii="Book Antiqua" w:hAnsi="Book Antiqua" w:cs="Arial"/>
              </w:rPr>
            </w:pPr>
          </w:p>
        </w:tc>
        <w:tc>
          <w:tcPr>
            <w:tcW w:w="2154" w:type="dxa"/>
          </w:tcPr>
          <w:p w14:paraId="538031A7" w14:textId="77777777" w:rsidR="00882276" w:rsidRPr="00882276" w:rsidRDefault="00882276" w:rsidP="00882276">
            <w:pPr>
              <w:spacing w:line="360" w:lineRule="auto"/>
              <w:jc w:val="both"/>
              <w:rPr>
                <w:rFonts w:ascii="Book Antiqua" w:hAnsi="Book Antiqua" w:cs="Arial"/>
              </w:rPr>
            </w:pPr>
          </w:p>
        </w:tc>
        <w:tc>
          <w:tcPr>
            <w:tcW w:w="2154" w:type="dxa"/>
          </w:tcPr>
          <w:p w14:paraId="77FDBD64" w14:textId="77777777" w:rsidR="00882276" w:rsidRPr="00882276" w:rsidRDefault="00882276" w:rsidP="00882276">
            <w:pPr>
              <w:spacing w:line="360" w:lineRule="auto"/>
              <w:jc w:val="both"/>
              <w:rPr>
                <w:rFonts w:ascii="Book Antiqua" w:hAnsi="Book Antiqua" w:cs="Arial"/>
              </w:rPr>
            </w:pPr>
          </w:p>
        </w:tc>
        <w:tc>
          <w:tcPr>
            <w:tcW w:w="2154" w:type="dxa"/>
          </w:tcPr>
          <w:p w14:paraId="5C578A7B" w14:textId="77777777" w:rsidR="00882276" w:rsidRPr="00882276" w:rsidRDefault="00882276" w:rsidP="00882276">
            <w:pPr>
              <w:spacing w:line="360" w:lineRule="auto"/>
              <w:jc w:val="both"/>
              <w:rPr>
                <w:rFonts w:ascii="Book Antiqua" w:hAnsi="Book Antiqua" w:cs="Arial"/>
              </w:rPr>
            </w:pPr>
          </w:p>
        </w:tc>
      </w:tr>
      <w:tr w:rsidR="00882276" w:rsidRPr="00882276" w14:paraId="343BEBC9" w14:textId="77777777" w:rsidTr="009C2F72">
        <w:tc>
          <w:tcPr>
            <w:tcW w:w="3545" w:type="dxa"/>
            <w:tcBorders>
              <w:bottom w:val="single" w:sz="4" w:space="0" w:color="auto"/>
            </w:tcBorders>
            <w:hideMark/>
          </w:tcPr>
          <w:p w14:paraId="330D59D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CDAI, mean (SD)</w:t>
            </w:r>
          </w:p>
        </w:tc>
        <w:tc>
          <w:tcPr>
            <w:tcW w:w="2154" w:type="dxa"/>
            <w:tcBorders>
              <w:bottom w:val="single" w:sz="4" w:space="0" w:color="auto"/>
            </w:tcBorders>
            <w:hideMark/>
          </w:tcPr>
          <w:p w14:paraId="223D71D7" w14:textId="77777777" w:rsidR="00882276" w:rsidRPr="00882276" w:rsidRDefault="00882276" w:rsidP="00882276">
            <w:pPr>
              <w:spacing w:line="360" w:lineRule="auto"/>
              <w:jc w:val="both"/>
              <w:rPr>
                <w:rFonts w:ascii="Book Antiqua" w:hAnsi="Book Antiqua" w:cs="Arial"/>
              </w:rPr>
            </w:pPr>
          </w:p>
        </w:tc>
        <w:tc>
          <w:tcPr>
            <w:tcW w:w="2154" w:type="dxa"/>
            <w:tcBorders>
              <w:bottom w:val="single" w:sz="4" w:space="0" w:color="auto"/>
            </w:tcBorders>
            <w:hideMark/>
          </w:tcPr>
          <w:p w14:paraId="2A4516E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129.18 (70.48)</w:t>
            </w:r>
          </w:p>
        </w:tc>
        <w:tc>
          <w:tcPr>
            <w:tcW w:w="2154" w:type="dxa"/>
            <w:tcBorders>
              <w:bottom w:val="single" w:sz="4" w:space="0" w:color="auto"/>
            </w:tcBorders>
          </w:tcPr>
          <w:p w14:paraId="378D696D" w14:textId="77777777" w:rsidR="00882276" w:rsidRPr="00882276" w:rsidRDefault="00882276" w:rsidP="00882276">
            <w:pPr>
              <w:spacing w:line="360" w:lineRule="auto"/>
              <w:jc w:val="both"/>
              <w:rPr>
                <w:rFonts w:ascii="Book Antiqua" w:hAnsi="Book Antiqua" w:cs="Arial"/>
              </w:rPr>
            </w:pPr>
          </w:p>
        </w:tc>
        <w:tc>
          <w:tcPr>
            <w:tcW w:w="2154" w:type="dxa"/>
            <w:tcBorders>
              <w:bottom w:val="single" w:sz="4" w:space="0" w:color="auto"/>
            </w:tcBorders>
          </w:tcPr>
          <w:p w14:paraId="47124095" w14:textId="77777777" w:rsidR="00882276" w:rsidRPr="00882276" w:rsidRDefault="00882276" w:rsidP="00882276">
            <w:pPr>
              <w:spacing w:line="360" w:lineRule="auto"/>
              <w:jc w:val="both"/>
              <w:rPr>
                <w:rFonts w:ascii="Book Antiqua" w:hAnsi="Book Antiqua" w:cs="Arial"/>
              </w:rPr>
            </w:pPr>
          </w:p>
        </w:tc>
        <w:tc>
          <w:tcPr>
            <w:tcW w:w="2154" w:type="dxa"/>
            <w:tcBorders>
              <w:bottom w:val="single" w:sz="4" w:space="0" w:color="auto"/>
            </w:tcBorders>
          </w:tcPr>
          <w:p w14:paraId="224460A2" w14:textId="77777777" w:rsidR="00882276" w:rsidRPr="00882276" w:rsidRDefault="00882276" w:rsidP="00882276">
            <w:pPr>
              <w:spacing w:line="360" w:lineRule="auto"/>
              <w:jc w:val="both"/>
              <w:rPr>
                <w:rFonts w:ascii="Book Antiqua" w:hAnsi="Book Antiqua" w:cs="Arial"/>
              </w:rPr>
            </w:pPr>
          </w:p>
        </w:tc>
      </w:tr>
    </w:tbl>
    <w:p w14:paraId="2E4DA334" w14:textId="03CBF146" w:rsidR="00E84D24" w:rsidRDefault="00882276" w:rsidP="0088227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UC: Ulcerative colitis; CD: Crohn’s disease; AE: A</w:t>
      </w:r>
      <w:r w:rsidRPr="00882276">
        <w:rPr>
          <w:rFonts w:ascii="Book Antiqua" w:eastAsia="Book Antiqua" w:hAnsi="Book Antiqua" w:cs="Book Antiqua"/>
          <w:color w:val="000000"/>
        </w:rPr>
        <w:t>cute enteritis</w:t>
      </w:r>
      <w:r>
        <w:rPr>
          <w:rFonts w:ascii="Book Antiqua" w:eastAsia="Book Antiqua" w:hAnsi="Book Antiqua" w:cs="Book Antiqua"/>
          <w:color w:val="000000"/>
        </w:rPr>
        <w:t>; HVs: H</w:t>
      </w:r>
      <w:r w:rsidRPr="00882276">
        <w:rPr>
          <w:rFonts w:ascii="Book Antiqua" w:eastAsia="Book Antiqua" w:hAnsi="Book Antiqua" w:cs="Book Antiqua"/>
          <w:color w:val="000000"/>
        </w:rPr>
        <w:t>ealthy volunteer</w:t>
      </w:r>
      <w:r>
        <w:rPr>
          <w:rFonts w:ascii="Book Antiqua" w:eastAsia="Book Antiqua" w:hAnsi="Book Antiqua" w:cs="Book Antiqua"/>
          <w:color w:val="000000"/>
        </w:rPr>
        <w:t xml:space="preserve">s; </w:t>
      </w:r>
      <w:r w:rsidRPr="00882276">
        <w:rPr>
          <w:rFonts w:ascii="Book Antiqua" w:eastAsia="Book Antiqua" w:hAnsi="Book Antiqua" w:cs="Book Antiqua"/>
          <w:color w:val="000000"/>
        </w:rPr>
        <w:t xml:space="preserve">Alb: </w:t>
      </w:r>
      <w:r>
        <w:rPr>
          <w:rFonts w:ascii="Book Antiqua" w:eastAsia="Book Antiqua" w:hAnsi="Book Antiqua" w:cs="Book Antiqua"/>
          <w:color w:val="000000"/>
        </w:rPr>
        <w:t>A</w:t>
      </w:r>
      <w:r w:rsidRPr="00882276">
        <w:rPr>
          <w:rFonts w:ascii="Book Antiqua" w:eastAsia="Book Antiqua" w:hAnsi="Book Antiqua" w:cs="Book Antiqua"/>
          <w:color w:val="000000"/>
        </w:rPr>
        <w:t>lbumin</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ALT: </w:t>
      </w:r>
      <w:r>
        <w:rPr>
          <w:rFonts w:ascii="Book Antiqua" w:eastAsia="Book Antiqua" w:hAnsi="Book Antiqua" w:cs="Book Antiqua"/>
          <w:color w:val="000000"/>
        </w:rPr>
        <w:t>A</w:t>
      </w:r>
      <w:r w:rsidRPr="00882276">
        <w:rPr>
          <w:rFonts w:ascii="Book Antiqua" w:eastAsia="Book Antiqua" w:hAnsi="Book Antiqua" w:cs="Book Antiqua"/>
          <w:color w:val="000000"/>
        </w:rPr>
        <w:t>lanine aminotransferase</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ALP: </w:t>
      </w:r>
      <w:r>
        <w:rPr>
          <w:rFonts w:ascii="Book Antiqua" w:eastAsia="Book Antiqua" w:hAnsi="Book Antiqua" w:cs="Book Antiqua"/>
          <w:color w:val="000000"/>
        </w:rPr>
        <w:t>A</w:t>
      </w:r>
      <w:r w:rsidRPr="00882276">
        <w:rPr>
          <w:rFonts w:ascii="Book Antiqua" w:eastAsia="Book Antiqua" w:hAnsi="Book Antiqua" w:cs="Book Antiqua"/>
          <w:color w:val="000000"/>
        </w:rPr>
        <w:t>lkaline phosphatase</w:t>
      </w:r>
      <w:r>
        <w:rPr>
          <w:rFonts w:ascii="Book Antiqua" w:eastAsia="Book Antiqua" w:hAnsi="Book Antiqua" w:cs="Book Antiqua"/>
          <w:color w:val="000000"/>
        </w:rPr>
        <w:t xml:space="preserve">; </w:t>
      </w:r>
      <w:r w:rsidRPr="00882276">
        <w:rPr>
          <w:rFonts w:ascii="Book Antiqua" w:eastAsia="Book Antiqua" w:hAnsi="Book Antiqua" w:cs="Book Antiqua"/>
          <w:color w:val="000000"/>
        </w:rPr>
        <w:t xml:space="preserve">T-Bil: </w:t>
      </w:r>
      <w:r>
        <w:rPr>
          <w:rFonts w:ascii="Book Antiqua" w:eastAsia="Book Antiqua" w:hAnsi="Book Antiqua" w:cs="Book Antiqua"/>
          <w:color w:val="000000"/>
        </w:rPr>
        <w:t>T</w:t>
      </w:r>
      <w:r w:rsidRPr="00882276">
        <w:rPr>
          <w:rFonts w:ascii="Book Antiqua" w:eastAsia="Book Antiqua" w:hAnsi="Book Antiqua" w:cs="Book Antiqua"/>
          <w:color w:val="000000"/>
        </w:rPr>
        <w:t>otal-bilirubin</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γ-GTP: γ-</w:t>
      </w:r>
      <w:r>
        <w:rPr>
          <w:rFonts w:ascii="Book Antiqua" w:eastAsia="Book Antiqua" w:hAnsi="Book Antiqua" w:cs="Book Antiqua"/>
          <w:color w:val="000000"/>
        </w:rPr>
        <w:t>G</w:t>
      </w:r>
      <w:r w:rsidRPr="00882276">
        <w:rPr>
          <w:rFonts w:ascii="Book Antiqua" w:eastAsia="Book Antiqua" w:hAnsi="Book Antiqua" w:cs="Book Antiqua"/>
          <w:color w:val="000000"/>
        </w:rPr>
        <w:t>lutamyl transpeptidase</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CRP: C-reactive protein</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Hb: </w:t>
      </w:r>
      <w:r>
        <w:rPr>
          <w:rFonts w:ascii="Book Antiqua" w:eastAsia="Book Antiqua" w:hAnsi="Book Antiqua" w:cs="Book Antiqua"/>
          <w:color w:val="000000"/>
        </w:rPr>
        <w:t>H</w:t>
      </w:r>
      <w:r w:rsidRPr="00882276">
        <w:rPr>
          <w:rFonts w:ascii="Book Antiqua" w:eastAsia="Book Antiqua" w:hAnsi="Book Antiqua" w:cs="Book Antiqua"/>
          <w:color w:val="000000"/>
        </w:rPr>
        <w:t>emoglobin</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Ht: </w:t>
      </w:r>
      <w:r>
        <w:rPr>
          <w:rFonts w:ascii="Book Antiqua" w:eastAsia="Book Antiqua" w:hAnsi="Book Antiqua" w:cs="Book Antiqua"/>
          <w:color w:val="000000"/>
        </w:rPr>
        <w:t>H</w:t>
      </w:r>
      <w:r w:rsidRPr="00882276">
        <w:rPr>
          <w:rFonts w:ascii="Book Antiqua" w:eastAsia="Book Antiqua" w:hAnsi="Book Antiqua" w:cs="Book Antiqua"/>
          <w:color w:val="000000"/>
        </w:rPr>
        <w:t>ematocrit</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WBC: </w:t>
      </w:r>
      <w:r>
        <w:rPr>
          <w:rFonts w:ascii="Book Antiqua" w:eastAsia="Book Antiqua" w:hAnsi="Book Antiqua" w:cs="Book Antiqua"/>
          <w:color w:val="000000"/>
        </w:rPr>
        <w:t>W</w:t>
      </w:r>
      <w:r w:rsidRPr="00882276">
        <w:rPr>
          <w:rFonts w:ascii="Book Antiqua" w:eastAsia="Book Antiqua" w:hAnsi="Book Antiqua" w:cs="Book Antiqua"/>
          <w:color w:val="000000"/>
        </w:rPr>
        <w:t>hite blood cells</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Plt: </w:t>
      </w:r>
      <w:r>
        <w:rPr>
          <w:rFonts w:ascii="Book Antiqua" w:eastAsia="Book Antiqua" w:hAnsi="Book Antiqua" w:cs="Book Antiqua"/>
          <w:color w:val="000000"/>
        </w:rPr>
        <w:t>P</w:t>
      </w:r>
      <w:r w:rsidRPr="00882276">
        <w:rPr>
          <w:rFonts w:ascii="Book Antiqua" w:eastAsia="Book Antiqua" w:hAnsi="Book Antiqua" w:cs="Book Antiqua"/>
          <w:color w:val="000000"/>
        </w:rPr>
        <w:t>latelets</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Mayo: </w:t>
      </w:r>
      <w:r>
        <w:rPr>
          <w:rFonts w:ascii="Book Antiqua" w:eastAsia="Book Antiqua" w:hAnsi="Book Antiqua" w:cs="Book Antiqua"/>
          <w:color w:val="000000"/>
        </w:rPr>
        <w:t>F</w:t>
      </w:r>
      <w:r w:rsidRPr="00882276">
        <w:rPr>
          <w:rFonts w:ascii="Book Antiqua" w:eastAsia="Book Antiqua" w:hAnsi="Book Antiqua" w:cs="Book Antiqua"/>
          <w:color w:val="000000"/>
        </w:rPr>
        <w:t>ull Mayo score</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CDAI: Crohn’s disease activity index</w:t>
      </w:r>
      <w:r w:rsidR="00883F1B">
        <w:rPr>
          <w:rFonts w:ascii="Book Antiqua" w:eastAsia="Book Antiqua" w:hAnsi="Book Antiqua" w:cs="Book Antiqua"/>
          <w:color w:val="000000"/>
        </w:rPr>
        <w:t xml:space="preserve">; SD: </w:t>
      </w:r>
      <w:bookmarkStart w:id="8" w:name="_Hlk51926267"/>
      <w:r w:rsidR="00883F1B" w:rsidRPr="00313B45">
        <w:rPr>
          <w:rFonts w:ascii="Book Antiqua" w:eastAsia="Book Antiqua" w:hAnsi="Book Antiqua" w:cs="Book Antiqua"/>
          <w:color w:val="000000"/>
        </w:rPr>
        <w:t>Standard deviation.</w:t>
      </w:r>
      <w:bookmarkEnd w:id="8"/>
    </w:p>
    <w:p w14:paraId="78FA3EA4" w14:textId="77777777" w:rsidR="00346F7E" w:rsidRDefault="00346F7E" w:rsidP="00882276">
      <w:pPr>
        <w:spacing w:line="360" w:lineRule="auto"/>
        <w:jc w:val="both"/>
        <w:rPr>
          <w:rFonts w:ascii="Book Antiqua" w:hAnsi="Book Antiqua" w:cs="Book Antiqua"/>
          <w:color w:val="000000"/>
          <w:lang w:eastAsia="zh-CN"/>
        </w:rPr>
      </w:pPr>
    </w:p>
    <w:p w14:paraId="33421489" w14:textId="77777777" w:rsidR="00346F7E" w:rsidRDefault="00346F7E" w:rsidP="00882276">
      <w:pPr>
        <w:spacing w:line="360" w:lineRule="auto"/>
        <w:jc w:val="both"/>
        <w:rPr>
          <w:rFonts w:ascii="Book Antiqua" w:hAnsi="Book Antiqua" w:cs="Book Antiqua"/>
          <w:color w:val="000000"/>
          <w:lang w:eastAsia="zh-CN"/>
        </w:rPr>
      </w:pPr>
    </w:p>
    <w:p w14:paraId="091AA876" w14:textId="257A41B8" w:rsidR="00346F7E" w:rsidRDefault="00346F7E" w:rsidP="00882276">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Table 2 Correlation coefficients between 10-7G value and clinical parameters in ulcerative colitis and Crohn’s disease patients</w:t>
      </w:r>
    </w:p>
    <w:tbl>
      <w:tblPr>
        <w:tblW w:w="13050" w:type="dxa"/>
        <w:tblLook w:val="04A0" w:firstRow="1" w:lastRow="0" w:firstColumn="1" w:lastColumn="0" w:noHBand="0" w:noVBand="1"/>
      </w:tblPr>
      <w:tblGrid>
        <w:gridCol w:w="1860"/>
        <w:gridCol w:w="1863"/>
        <w:gridCol w:w="1863"/>
        <w:gridCol w:w="1862"/>
        <w:gridCol w:w="1863"/>
        <w:gridCol w:w="1865"/>
        <w:gridCol w:w="1861"/>
        <w:gridCol w:w="13"/>
      </w:tblGrid>
      <w:tr w:rsidR="00346F7E" w:rsidRPr="00346F7E" w14:paraId="4D8EC653" w14:textId="77777777" w:rsidTr="00DC21FB">
        <w:trPr>
          <w:trHeight w:val="444"/>
        </w:trPr>
        <w:tc>
          <w:tcPr>
            <w:tcW w:w="1860" w:type="dxa"/>
            <w:tcBorders>
              <w:top w:val="single" w:sz="4" w:space="0" w:color="auto"/>
              <w:bottom w:val="single" w:sz="4" w:space="0" w:color="auto"/>
            </w:tcBorders>
          </w:tcPr>
          <w:p w14:paraId="463FB013" w14:textId="77777777" w:rsidR="00346F7E" w:rsidRPr="00346F7E" w:rsidRDefault="00346F7E" w:rsidP="00346F7E">
            <w:pPr>
              <w:spacing w:line="360" w:lineRule="auto"/>
              <w:jc w:val="both"/>
              <w:rPr>
                <w:rFonts w:ascii="Book Antiqua" w:hAnsi="Book Antiqua" w:cs="Book Antiqua"/>
                <w:color w:val="000000"/>
                <w:lang w:eastAsia="zh-CN"/>
              </w:rPr>
            </w:pPr>
          </w:p>
        </w:tc>
        <w:tc>
          <w:tcPr>
            <w:tcW w:w="5588" w:type="dxa"/>
            <w:gridSpan w:val="3"/>
            <w:tcBorders>
              <w:top w:val="single" w:sz="4" w:space="0" w:color="auto"/>
              <w:bottom w:val="single" w:sz="4" w:space="0" w:color="auto"/>
            </w:tcBorders>
          </w:tcPr>
          <w:p w14:paraId="1452921C"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b/>
                <w:color w:val="000000"/>
                <w:lang w:eastAsia="zh-CN"/>
              </w:rPr>
              <w:t>UC</w:t>
            </w:r>
          </w:p>
        </w:tc>
        <w:tc>
          <w:tcPr>
            <w:tcW w:w="5602" w:type="dxa"/>
            <w:gridSpan w:val="4"/>
            <w:tcBorders>
              <w:top w:val="single" w:sz="4" w:space="0" w:color="auto"/>
              <w:bottom w:val="single" w:sz="4" w:space="0" w:color="auto"/>
            </w:tcBorders>
          </w:tcPr>
          <w:p w14:paraId="3EBC0168"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b/>
                <w:color w:val="000000"/>
                <w:lang w:eastAsia="zh-CN"/>
              </w:rPr>
              <w:t>CD</w:t>
            </w:r>
          </w:p>
        </w:tc>
      </w:tr>
      <w:tr w:rsidR="00346F7E" w:rsidRPr="00346F7E" w14:paraId="5FB1784F" w14:textId="77777777" w:rsidTr="00DC21FB">
        <w:trPr>
          <w:trHeight w:val="444"/>
        </w:trPr>
        <w:tc>
          <w:tcPr>
            <w:tcW w:w="1860" w:type="dxa"/>
            <w:tcBorders>
              <w:top w:val="single" w:sz="4" w:space="0" w:color="auto"/>
              <w:bottom w:val="single" w:sz="4" w:space="0" w:color="auto"/>
            </w:tcBorders>
          </w:tcPr>
          <w:p w14:paraId="795B4C4B" w14:textId="77777777" w:rsidR="00346F7E" w:rsidRPr="00346F7E" w:rsidRDefault="00346F7E" w:rsidP="00346F7E">
            <w:pPr>
              <w:spacing w:line="360" w:lineRule="auto"/>
              <w:jc w:val="both"/>
              <w:rPr>
                <w:rFonts w:ascii="Book Antiqua" w:hAnsi="Book Antiqua" w:cs="Book Antiqua"/>
                <w:color w:val="000000"/>
                <w:lang w:eastAsia="zh-CN"/>
              </w:rPr>
            </w:pPr>
          </w:p>
        </w:tc>
        <w:tc>
          <w:tcPr>
            <w:tcW w:w="1863" w:type="dxa"/>
            <w:tcBorders>
              <w:top w:val="single" w:sz="4" w:space="0" w:color="auto"/>
              <w:bottom w:val="single" w:sz="4" w:space="0" w:color="auto"/>
            </w:tcBorders>
          </w:tcPr>
          <w:p w14:paraId="3E8AD9E6"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b/>
                <w:bCs/>
                <w:i/>
                <w:color w:val="000000"/>
                <w:lang w:eastAsia="zh-CN"/>
              </w:rPr>
              <w:t>rs</w:t>
            </w:r>
          </w:p>
        </w:tc>
        <w:tc>
          <w:tcPr>
            <w:tcW w:w="1863" w:type="dxa"/>
            <w:tcBorders>
              <w:top w:val="single" w:sz="4" w:space="0" w:color="auto"/>
              <w:bottom w:val="single" w:sz="4" w:space="0" w:color="auto"/>
            </w:tcBorders>
          </w:tcPr>
          <w:p w14:paraId="6FD621BF"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b/>
                <w:bCs/>
                <w:i/>
                <w:color w:val="000000"/>
                <w:lang w:eastAsia="zh-CN"/>
              </w:rPr>
              <w:t xml:space="preserve">P </w:t>
            </w:r>
            <w:r w:rsidRPr="00346F7E">
              <w:rPr>
                <w:rFonts w:ascii="Book Antiqua" w:hAnsi="Book Antiqua" w:cs="Book Antiqua"/>
                <w:b/>
                <w:bCs/>
                <w:iCs/>
                <w:color w:val="000000"/>
                <w:lang w:eastAsia="zh-CN"/>
              </w:rPr>
              <w:t>value</w:t>
            </w:r>
          </w:p>
        </w:tc>
        <w:tc>
          <w:tcPr>
            <w:tcW w:w="1862" w:type="dxa"/>
            <w:tcBorders>
              <w:top w:val="single" w:sz="4" w:space="0" w:color="auto"/>
              <w:bottom w:val="single" w:sz="4" w:space="0" w:color="auto"/>
            </w:tcBorders>
          </w:tcPr>
          <w:p w14:paraId="04D98A63"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b/>
                <w:bCs/>
                <w:i/>
                <w:iCs/>
                <w:color w:val="000000"/>
                <w:lang w:eastAsia="zh-CN"/>
              </w:rPr>
              <w:t>n</w:t>
            </w:r>
          </w:p>
        </w:tc>
        <w:tc>
          <w:tcPr>
            <w:tcW w:w="1863" w:type="dxa"/>
            <w:tcBorders>
              <w:top w:val="single" w:sz="4" w:space="0" w:color="auto"/>
              <w:bottom w:val="single" w:sz="4" w:space="0" w:color="auto"/>
            </w:tcBorders>
          </w:tcPr>
          <w:p w14:paraId="289E9DF5"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b/>
                <w:bCs/>
                <w:i/>
                <w:color w:val="000000"/>
                <w:lang w:eastAsia="zh-CN"/>
              </w:rPr>
              <w:t>rs</w:t>
            </w:r>
          </w:p>
        </w:tc>
        <w:tc>
          <w:tcPr>
            <w:tcW w:w="1865" w:type="dxa"/>
            <w:tcBorders>
              <w:top w:val="single" w:sz="4" w:space="0" w:color="auto"/>
              <w:bottom w:val="single" w:sz="4" w:space="0" w:color="auto"/>
            </w:tcBorders>
          </w:tcPr>
          <w:p w14:paraId="681E7700"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b/>
                <w:bCs/>
                <w:i/>
                <w:color w:val="000000"/>
                <w:lang w:eastAsia="zh-CN"/>
              </w:rPr>
              <w:t xml:space="preserve">P </w:t>
            </w:r>
            <w:r w:rsidRPr="00346F7E">
              <w:rPr>
                <w:rFonts w:ascii="Book Antiqua" w:hAnsi="Book Antiqua" w:cs="Book Antiqua"/>
                <w:b/>
                <w:bCs/>
                <w:iCs/>
                <w:color w:val="000000"/>
                <w:lang w:eastAsia="zh-CN"/>
              </w:rPr>
              <w:t>value</w:t>
            </w:r>
          </w:p>
        </w:tc>
        <w:tc>
          <w:tcPr>
            <w:tcW w:w="1874" w:type="dxa"/>
            <w:gridSpan w:val="2"/>
            <w:tcBorders>
              <w:top w:val="single" w:sz="4" w:space="0" w:color="auto"/>
              <w:bottom w:val="single" w:sz="4" w:space="0" w:color="auto"/>
            </w:tcBorders>
          </w:tcPr>
          <w:p w14:paraId="73C82146"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b/>
                <w:bCs/>
                <w:i/>
                <w:iCs/>
                <w:color w:val="000000"/>
                <w:lang w:eastAsia="zh-CN"/>
              </w:rPr>
              <w:t>n</w:t>
            </w:r>
          </w:p>
        </w:tc>
      </w:tr>
      <w:tr w:rsidR="00346F7E" w:rsidRPr="00346F7E" w14:paraId="2933D794" w14:textId="77777777" w:rsidTr="00DC21FB">
        <w:trPr>
          <w:trHeight w:val="444"/>
        </w:trPr>
        <w:tc>
          <w:tcPr>
            <w:tcW w:w="1860" w:type="dxa"/>
            <w:tcBorders>
              <w:top w:val="single" w:sz="4" w:space="0" w:color="auto"/>
            </w:tcBorders>
          </w:tcPr>
          <w:p w14:paraId="36614E89"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Alb</w:t>
            </w:r>
          </w:p>
        </w:tc>
        <w:tc>
          <w:tcPr>
            <w:tcW w:w="1863" w:type="dxa"/>
            <w:tcBorders>
              <w:top w:val="single" w:sz="4" w:space="0" w:color="auto"/>
            </w:tcBorders>
          </w:tcPr>
          <w:p w14:paraId="4E0E9D75"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-0.182</w:t>
            </w:r>
          </w:p>
        </w:tc>
        <w:tc>
          <w:tcPr>
            <w:tcW w:w="1863" w:type="dxa"/>
            <w:tcBorders>
              <w:top w:val="single" w:sz="4" w:space="0" w:color="auto"/>
            </w:tcBorders>
          </w:tcPr>
          <w:p w14:paraId="21BB7A7B"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0.254</w:t>
            </w:r>
          </w:p>
        </w:tc>
        <w:tc>
          <w:tcPr>
            <w:tcW w:w="1862" w:type="dxa"/>
            <w:tcBorders>
              <w:top w:val="single" w:sz="4" w:space="0" w:color="auto"/>
            </w:tcBorders>
          </w:tcPr>
          <w:p w14:paraId="30568685"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41</w:t>
            </w:r>
          </w:p>
        </w:tc>
        <w:tc>
          <w:tcPr>
            <w:tcW w:w="1863" w:type="dxa"/>
            <w:tcBorders>
              <w:top w:val="single" w:sz="4" w:space="0" w:color="auto"/>
            </w:tcBorders>
          </w:tcPr>
          <w:p w14:paraId="02735AE3"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-0.376</w:t>
            </w:r>
            <w:r w:rsidRPr="00346F7E">
              <w:rPr>
                <w:rFonts w:ascii="Book Antiqua" w:hAnsi="Book Antiqua" w:cs="Book Antiqua"/>
                <w:color w:val="000000"/>
                <w:vertAlign w:val="superscript"/>
                <w:lang w:eastAsia="zh-CN"/>
              </w:rPr>
              <w:t>a</w:t>
            </w:r>
          </w:p>
        </w:tc>
        <w:tc>
          <w:tcPr>
            <w:tcW w:w="1865" w:type="dxa"/>
            <w:tcBorders>
              <w:top w:val="single" w:sz="4" w:space="0" w:color="auto"/>
            </w:tcBorders>
          </w:tcPr>
          <w:p w14:paraId="1E725D48"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0.014</w:t>
            </w:r>
          </w:p>
        </w:tc>
        <w:tc>
          <w:tcPr>
            <w:tcW w:w="1874" w:type="dxa"/>
            <w:gridSpan w:val="2"/>
            <w:tcBorders>
              <w:top w:val="single" w:sz="4" w:space="0" w:color="auto"/>
            </w:tcBorders>
          </w:tcPr>
          <w:p w14:paraId="24714A15"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42</w:t>
            </w:r>
          </w:p>
        </w:tc>
      </w:tr>
      <w:tr w:rsidR="00346F7E" w:rsidRPr="00346F7E" w14:paraId="7C06A3C7" w14:textId="77777777" w:rsidTr="00DC21FB">
        <w:trPr>
          <w:trHeight w:val="444"/>
        </w:trPr>
        <w:tc>
          <w:tcPr>
            <w:tcW w:w="1860" w:type="dxa"/>
            <w:hideMark/>
          </w:tcPr>
          <w:p w14:paraId="44E21B56"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ALT</w:t>
            </w:r>
          </w:p>
        </w:tc>
        <w:tc>
          <w:tcPr>
            <w:tcW w:w="1863" w:type="dxa"/>
            <w:hideMark/>
          </w:tcPr>
          <w:p w14:paraId="313F9287"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-0.214</w:t>
            </w:r>
          </w:p>
        </w:tc>
        <w:tc>
          <w:tcPr>
            <w:tcW w:w="1863" w:type="dxa"/>
            <w:hideMark/>
          </w:tcPr>
          <w:p w14:paraId="6EE5082D"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0.339</w:t>
            </w:r>
          </w:p>
        </w:tc>
        <w:tc>
          <w:tcPr>
            <w:tcW w:w="1862" w:type="dxa"/>
            <w:hideMark/>
          </w:tcPr>
          <w:p w14:paraId="63779CF5"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22</w:t>
            </w:r>
          </w:p>
        </w:tc>
        <w:tc>
          <w:tcPr>
            <w:tcW w:w="1863" w:type="dxa"/>
            <w:hideMark/>
          </w:tcPr>
          <w:p w14:paraId="7ECD5185"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-0.148</w:t>
            </w:r>
          </w:p>
        </w:tc>
        <w:tc>
          <w:tcPr>
            <w:tcW w:w="1865" w:type="dxa"/>
            <w:hideMark/>
          </w:tcPr>
          <w:p w14:paraId="25BD5873"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0.51</w:t>
            </w:r>
          </w:p>
        </w:tc>
        <w:tc>
          <w:tcPr>
            <w:tcW w:w="1874" w:type="dxa"/>
            <w:gridSpan w:val="2"/>
            <w:hideMark/>
          </w:tcPr>
          <w:p w14:paraId="6BF6F44A"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22</w:t>
            </w:r>
          </w:p>
        </w:tc>
      </w:tr>
      <w:tr w:rsidR="00346F7E" w:rsidRPr="00346F7E" w14:paraId="3303723D" w14:textId="77777777" w:rsidTr="00DC21FB">
        <w:trPr>
          <w:trHeight w:val="431"/>
        </w:trPr>
        <w:tc>
          <w:tcPr>
            <w:tcW w:w="1860" w:type="dxa"/>
            <w:hideMark/>
          </w:tcPr>
          <w:p w14:paraId="25C614E3"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ALP</w:t>
            </w:r>
          </w:p>
        </w:tc>
        <w:tc>
          <w:tcPr>
            <w:tcW w:w="1863" w:type="dxa"/>
            <w:hideMark/>
          </w:tcPr>
          <w:p w14:paraId="3B1C0B3A"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0.453</w:t>
            </w:r>
          </w:p>
        </w:tc>
        <w:tc>
          <w:tcPr>
            <w:tcW w:w="1863" w:type="dxa"/>
            <w:hideMark/>
          </w:tcPr>
          <w:p w14:paraId="3DE783D7"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0.052</w:t>
            </w:r>
          </w:p>
        </w:tc>
        <w:tc>
          <w:tcPr>
            <w:tcW w:w="1862" w:type="dxa"/>
            <w:hideMark/>
          </w:tcPr>
          <w:p w14:paraId="75B9ABCA"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19</w:t>
            </w:r>
          </w:p>
        </w:tc>
        <w:tc>
          <w:tcPr>
            <w:tcW w:w="1863" w:type="dxa"/>
            <w:hideMark/>
          </w:tcPr>
          <w:p w14:paraId="6F0058AB"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0.329</w:t>
            </w:r>
          </w:p>
        </w:tc>
        <w:tc>
          <w:tcPr>
            <w:tcW w:w="1865" w:type="dxa"/>
            <w:hideMark/>
          </w:tcPr>
          <w:p w14:paraId="7B5694B9"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0.169</w:t>
            </w:r>
          </w:p>
        </w:tc>
        <w:tc>
          <w:tcPr>
            <w:tcW w:w="1874" w:type="dxa"/>
            <w:gridSpan w:val="2"/>
            <w:hideMark/>
          </w:tcPr>
          <w:p w14:paraId="4394801B"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19</w:t>
            </w:r>
          </w:p>
        </w:tc>
      </w:tr>
      <w:tr w:rsidR="00346F7E" w:rsidRPr="00346F7E" w14:paraId="4E9E8FDB" w14:textId="77777777" w:rsidTr="00DC21FB">
        <w:trPr>
          <w:trHeight w:val="444"/>
        </w:trPr>
        <w:tc>
          <w:tcPr>
            <w:tcW w:w="1860" w:type="dxa"/>
            <w:hideMark/>
          </w:tcPr>
          <w:p w14:paraId="26424D40"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T-Bil</w:t>
            </w:r>
          </w:p>
        </w:tc>
        <w:tc>
          <w:tcPr>
            <w:tcW w:w="1863" w:type="dxa"/>
            <w:hideMark/>
          </w:tcPr>
          <w:p w14:paraId="589A67D7"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-0.419</w:t>
            </w:r>
          </w:p>
        </w:tc>
        <w:tc>
          <w:tcPr>
            <w:tcW w:w="1863" w:type="dxa"/>
            <w:hideMark/>
          </w:tcPr>
          <w:p w14:paraId="368E89E8"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0.059</w:t>
            </w:r>
          </w:p>
        </w:tc>
        <w:tc>
          <w:tcPr>
            <w:tcW w:w="1862" w:type="dxa"/>
            <w:hideMark/>
          </w:tcPr>
          <w:p w14:paraId="154D6B37"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21</w:t>
            </w:r>
          </w:p>
        </w:tc>
        <w:tc>
          <w:tcPr>
            <w:tcW w:w="1863" w:type="dxa"/>
            <w:hideMark/>
          </w:tcPr>
          <w:p w14:paraId="5616DFF7"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-0.081</w:t>
            </w:r>
          </w:p>
        </w:tc>
        <w:tc>
          <w:tcPr>
            <w:tcW w:w="1865" w:type="dxa"/>
            <w:hideMark/>
          </w:tcPr>
          <w:p w14:paraId="469AEF68"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0.728</w:t>
            </w:r>
          </w:p>
        </w:tc>
        <w:tc>
          <w:tcPr>
            <w:tcW w:w="1874" w:type="dxa"/>
            <w:gridSpan w:val="2"/>
            <w:hideMark/>
          </w:tcPr>
          <w:p w14:paraId="40DF391B"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21</w:t>
            </w:r>
          </w:p>
        </w:tc>
      </w:tr>
      <w:tr w:rsidR="00346F7E" w:rsidRPr="00346F7E" w14:paraId="5BBAD3EF" w14:textId="77777777" w:rsidTr="00DC21FB">
        <w:trPr>
          <w:trHeight w:val="444"/>
        </w:trPr>
        <w:tc>
          <w:tcPr>
            <w:tcW w:w="1860" w:type="dxa"/>
            <w:hideMark/>
          </w:tcPr>
          <w:p w14:paraId="3401B69A"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γ-GTP</w:t>
            </w:r>
          </w:p>
        </w:tc>
        <w:tc>
          <w:tcPr>
            <w:tcW w:w="1863" w:type="dxa"/>
            <w:hideMark/>
          </w:tcPr>
          <w:p w14:paraId="40C6F6F4"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-0.06</w:t>
            </w:r>
          </w:p>
        </w:tc>
        <w:tc>
          <w:tcPr>
            <w:tcW w:w="1863" w:type="dxa"/>
            <w:hideMark/>
          </w:tcPr>
          <w:p w14:paraId="2BFCD3A5"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0.801</w:t>
            </w:r>
          </w:p>
        </w:tc>
        <w:tc>
          <w:tcPr>
            <w:tcW w:w="1862" w:type="dxa"/>
            <w:hideMark/>
          </w:tcPr>
          <w:p w14:paraId="1D503517"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20</w:t>
            </w:r>
          </w:p>
        </w:tc>
        <w:tc>
          <w:tcPr>
            <w:tcW w:w="1863" w:type="dxa"/>
            <w:hideMark/>
          </w:tcPr>
          <w:p w14:paraId="29116629"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0.392</w:t>
            </w:r>
          </w:p>
        </w:tc>
        <w:tc>
          <w:tcPr>
            <w:tcW w:w="1865" w:type="dxa"/>
            <w:hideMark/>
          </w:tcPr>
          <w:p w14:paraId="1B88EC38"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0.079</w:t>
            </w:r>
          </w:p>
        </w:tc>
        <w:tc>
          <w:tcPr>
            <w:tcW w:w="1874" w:type="dxa"/>
            <w:gridSpan w:val="2"/>
            <w:hideMark/>
          </w:tcPr>
          <w:p w14:paraId="6EDAD218"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21</w:t>
            </w:r>
          </w:p>
        </w:tc>
      </w:tr>
      <w:tr w:rsidR="00346F7E" w:rsidRPr="00346F7E" w14:paraId="76D92A17" w14:textId="77777777" w:rsidTr="00DC21FB">
        <w:trPr>
          <w:trHeight w:val="444"/>
        </w:trPr>
        <w:tc>
          <w:tcPr>
            <w:tcW w:w="1860" w:type="dxa"/>
            <w:hideMark/>
          </w:tcPr>
          <w:p w14:paraId="29616359"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CRP</w:t>
            </w:r>
          </w:p>
        </w:tc>
        <w:tc>
          <w:tcPr>
            <w:tcW w:w="1863" w:type="dxa"/>
            <w:hideMark/>
          </w:tcPr>
          <w:p w14:paraId="182D19E9"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0.525</w:t>
            </w:r>
            <w:r w:rsidRPr="00346F7E">
              <w:rPr>
                <w:rFonts w:ascii="Book Antiqua" w:hAnsi="Book Antiqua" w:cs="Book Antiqua"/>
                <w:color w:val="000000"/>
                <w:vertAlign w:val="superscript"/>
                <w:lang w:eastAsia="zh-CN"/>
              </w:rPr>
              <w:t>a</w:t>
            </w:r>
          </w:p>
        </w:tc>
        <w:tc>
          <w:tcPr>
            <w:tcW w:w="1863" w:type="dxa"/>
            <w:hideMark/>
          </w:tcPr>
          <w:p w14:paraId="1547CB8D"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0.0003</w:t>
            </w:r>
          </w:p>
        </w:tc>
        <w:tc>
          <w:tcPr>
            <w:tcW w:w="1862" w:type="dxa"/>
            <w:hideMark/>
          </w:tcPr>
          <w:p w14:paraId="7E5893C5"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44</w:t>
            </w:r>
          </w:p>
        </w:tc>
        <w:tc>
          <w:tcPr>
            <w:tcW w:w="1863" w:type="dxa"/>
            <w:hideMark/>
          </w:tcPr>
          <w:p w14:paraId="2729EB92"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0.595</w:t>
            </w:r>
            <w:r w:rsidRPr="00346F7E">
              <w:rPr>
                <w:rFonts w:ascii="Book Antiqua" w:hAnsi="Book Antiqua" w:cs="Book Antiqua"/>
                <w:color w:val="000000"/>
                <w:vertAlign w:val="superscript"/>
                <w:lang w:eastAsia="zh-CN"/>
              </w:rPr>
              <w:t>a</w:t>
            </w:r>
          </w:p>
        </w:tc>
        <w:tc>
          <w:tcPr>
            <w:tcW w:w="1865" w:type="dxa"/>
            <w:hideMark/>
          </w:tcPr>
          <w:p w14:paraId="0E3F1563"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&lt; 0.0001</w:t>
            </w:r>
          </w:p>
        </w:tc>
        <w:tc>
          <w:tcPr>
            <w:tcW w:w="1874" w:type="dxa"/>
            <w:gridSpan w:val="2"/>
            <w:hideMark/>
          </w:tcPr>
          <w:p w14:paraId="2524262C"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44</w:t>
            </w:r>
          </w:p>
        </w:tc>
      </w:tr>
      <w:tr w:rsidR="00346F7E" w:rsidRPr="00346F7E" w14:paraId="1EA49EC1" w14:textId="77777777" w:rsidTr="00DC21FB">
        <w:trPr>
          <w:trHeight w:val="431"/>
        </w:trPr>
        <w:tc>
          <w:tcPr>
            <w:tcW w:w="1860" w:type="dxa"/>
            <w:hideMark/>
          </w:tcPr>
          <w:p w14:paraId="0430B8D5"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Hb</w:t>
            </w:r>
          </w:p>
        </w:tc>
        <w:tc>
          <w:tcPr>
            <w:tcW w:w="1863" w:type="dxa"/>
            <w:hideMark/>
          </w:tcPr>
          <w:p w14:paraId="5C2F7C40"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-0.308</w:t>
            </w:r>
            <w:r w:rsidRPr="00346F7E">
              <w:rPr>
                <w:rFonts w:ascii="Book Antiqua" w:hAnsi="Book Antiqua" w:cs="Book Antiqua"/>
                <w:color w:val="000000"/>
                <w:vertAlign w:val="superscript"/>
                <w:lang w:eastAsia="zh-CN"/>
              </w:rPr>
              <w:t>a</w:t>
            </w:r>
          </w:p>
        </w:tc>
        <w:tc>
          <w:tcPr>
            <w:tcW w:w="1863" w:type="dxa"/>
            <w:hideMark/>
          </w:tcPr>
          <w:p w14:paraId="24BE77EC"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0.0419</w:t>
            </w:r>
          </w:p>
        </w:tc>
        <w:tc>
          <w:tcPr>
            <w:tcW w:w="1862" w:type="dxa"/>
            <w:hideMark/>
          </w:tcPr>
          <w:p w14:paraId="3A0B55F4"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44</w:t>
            </w:r>
          </w:p>
        </w:tc>
        <w:tc>
          <w:tcPr>
            <w:tcW w:w="1863" w:type="dxa"/>
            <w:hideMark/>
          </w:tcPr>
          <w:p w14:paraId="5FED347A"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-0.287</w:t>
            </w:r>
          </w:p>
        </w:tc>
        <w:tc>
          <w:tcPr>
            <w:tcW w:w="1865" w:type="dxa"/>
            <w:hideMark/>
          </w:tcPr>
          <w:p w14:paraId="2A03070F"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0.072</w:t>
            </w:r>
          </w:p>
        </w:tc>
        <w:tc>
          <w:tcPr>
            <w:tcW w:w="1874" w:type="dxa"/>
            <w:gridSpan w:val="2"/>
            <w:hideMark/>
          </w:tcPr>
          <w:p w14:paraId="5132A304"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40</w:t>
            </w:r>
          </w:p>
        </w:tc>
      </w:tr>
      <w:tr w:rsidR="00346F7E" w:rsidRPr="00346F7E" w14:paraId="47C638EE" w14:textId="77777777" w:rsidTr="00DC21FB">
        <w:trPr>
          <w:trHeight w:val="444"/>
        </w:trPr>
        <w:tc>
          <w:tcPr>
            <w:tcW w:w="1860" w:type="dxa"/>
            <w:hideMark/>
          </w:tcPr>
          <w:p w14:paraId="2C6B24D6"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Ht</w:t>
            </w:r>
          </w:p>
        </w:tc>
        <w:tc>
          <w:tcPr>
            <w:tcW w:w="1863" w:type="dxa"/>
            <w:hideMark/>
          </w:tcPr>
          <w:p w14:paraId="2570ED9A"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-0.304</w:t>
            </w:r>
          </w:p>
        </w:tc>
        <w:tc>
          <w:tcPr>
            <w:tcW w:w="1863" w:type="dxa"/>
            <w:hideMark/>
          </w:tcPr>
          <w:p w14:paraId="7857E7D6"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0.064</w:t>
            </w:r>
          </w:p>
        </w:tc>
        <w:tc>
          <w:tcPr>
            <w:tcW w:w="1862" w:type="dxa"/>
            <w:hideMark/>
          </w:tcPr>
          <w:p w14:paraId="5F65F41A"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38</w:t>
            </w:r>
          </w:p>
        </w:tc>
        <w:tc>
          <w:tcPr>
            <w:tcW w:w="1863" w:type="dxa"/>
            <w:hideMark/>
          </w:tcPr>
          <w:p w14:paraId="655270EB"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-0.261</w:t>
            </w:r>
          </w:p>
        </w:tc>
        <w:tc>
          <w:tcPr>
            <w:tcW w:w="1865" w:type="dxa"/>
            <w:hideMark/>
          </w:tcPr>
          <w:p w14:paraId="26C2E1A8"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0.091</w:t>
            </w:r>
          </w:p>
        </w:tc>
        <w:tc>
          <w:tcPr>
            <w:tcW w:w="1874" w:type="dxa"/>
            <w:gridSpan w:val="2"/>
            <w:hideMark/>
          </w:tcPr>
          <w:p w14:paraId="1D57AE4B"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43</w:t>
            </w:r>
          </w:p>
        </w:tc>
      </w:tr>
      <w:tr w:rsidR="00346F7E" w:rsidRPr="00346F7E" w14:paraId="3FD457A5" w14:textId="77777777" w:rsidTr="00DC21FB">
        <w:trPr>
          <w:trHeight w:val="444"/>
        </w:trPr>
        <w:tc>
          <w:tcPr>
            <w:tcW w:w="1860" w:type="dxa"/>
            <w:hideMark/>
          </w:tcPr>
          <w:p w14:paraId="1A82D975"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WBC</w:t>
            </w:r>
          </w:p>
        </w:tc>
        <w:tc>
          <w:tcPr>
            <w:tcW w:w="1863" w:type="dxa"/>
            <w:hideMark/>
          </w:tcPr>
          <w:p w14:paraId="28DD0C90"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0.289</w:t>
            </w:r>
          </w:p>
        </w:tc>
        <w:tc>
          <w:tcPr>
            <w:tcW w:w="1863" w:type="dxa"/>
            <w:hideMark/>
          </w:tcPr>
          <w:p w14:paraId="4337A67C"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0.057</w:t>
            </w:r>
          </w:p>
        </w:tc>
        <w:tc>
          <w:tcPr>
            <w:tcW w:w="1862" w:type="dxa"/>
            <w:hideMark/>
          </w:tcPr>
          <w:p w14:paraId="48FAC966"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44</w:t>
            </w:r>
          </w:p>
        </w:tc>
        <w:tc>
          <w:tcPr>
            <w:tcW w:w="1863" w:type="dxa"/>
            <w:hideMark/>
          </w:tcPr>
          <w:p w14:paraId="580D2C8A"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0.215</w:t>
            </w:r>
          </w:p>
        </w:tc>
        <w:tc>
          <w:tcPr>
            <w:tcW w:w="1865" w:type="dxa"/>
            <w:hideMark/>
          </w:tcPr>
          <w:p w14:paraId="0C7285D9"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0.177</w:t>
            </w:r>
          </w:p>
        </w:tc>
        <w:tc>
          <w:tcPr>
            <w:tcW w:w="1874" w:type="dxa"/>
            <w:gridSpan w:val="2"/>
            <w:hideMark/>
          </w:tcPr>
          <w:p w14:paraId="208595E6"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41</w:t>
            </w:r>
          </w:p>
        </w:tc>
      </w:tr>
      <w:tr w:rsidR="00346F7E" w:rsidRPr="00346F7E" w14:paraId="4802E202" w14:textId="77777777" w:rsidTr="00DC21FB">
        <w:trPr>
          <w:trHeight w:val="431"/>
        </w:trPr>
        <w:tc>
          <w:tcPr>
            <w:tcW w:w="1860" w:type="dxa"/>
            <w:hideMark/>
          </w:tcPr>
          <w:p w14:paraId="50332C88"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Plt</w:t>
            </w:r>
          </w:p>
        </w:tc>
        <w:tc>
          <w:tcPr>
            <w:tcW w:w="1863" w:type="dxa"/>
            <w:hideMark/>
          </w:tcPr>
          <w:p w14:paraId="56404435"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0.06</w:t>
            </w:r>
          </w:p>
        </w:tc>
        <w:tc>
          <w:tcPr>
            <w:tcW w:w="1863" w:type="dxa"/>
            <w:hideMark/>
          </w:tcPr>
          <w:p w14:paraId="7A85872F"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0.712</w:t>
            </w:r>
          </w:p>
        </w:tc>
        <w:tc>
          <w:tcPr>
            <w:tcW w:w="1862" w:type="dxa"/>
            <w:hideMark/>
          </w:tcPr>
          <w:p w14:paraId="6F9FFF6C"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40</w:t>
            </w:r>
          </w:p>
        </w:tc>
        <w:tc>
          <w:tcPr>
            <w:tcW w:w="1863" w:type="dxa"/>
            <w:hideMark/>
          </w:tcPr>
          <w:p w14:paraId="6816BAE8"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0.145</w:t>
            </w:r>
          </w:p>
        </w:tc>
        <w:tc>
          <w:tcPr>
            <w:tcW w:w="1865" w:type="dxa"/>
            <w:hideMark/>
          </w:tcPr>
          <w:p w14:paraId="4B0D4D0B"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0.387</w:t>
            </w:r>
          </w:p>
        </w:tc>
        <w:tc>
          <w:tcPr>
            <w:tcW w:w="1874" w:type="dxa"/>
            <w:gridSpan w:val="2"/>
            <w:hideMark/>
          </w:tcPr>
          <w:p w14:paraId="58517503"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38</w:t>
            </w:r>
          </w:p>
        </w:tc>
      </w:tr>
      <w:tr w:rsidR="00346F7E" w:rsidRPr="00346F7E" w14:paraId="02457537" w14:textId="77777777" w:rsidTr="00DC21FB">
        <w:trPr>
          <w:gridAfter w:val="1"/>
          <w:wAfter w:w="13" w:type="dxa"/>
          <w:trHeight w:val="444"/>
        </w:trPr>
        <w:tc>
          <w:tcPr>
            <w:tcW w:w="1860" w:type="dxa"/>
            <w:hideMark/>
          </w:tcPr>
          <w:p w14:paraId="31A5527A"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Mayo</w:t>
            </w:r>
          </w:p>
        </w:tc>
        <w:tc>
          <w:tcPr>
            <w:tcW w:w="1863" w:type="dxa"/>
            <w:hideMark/>
          </w:tcPr>
          <w:p w14:paraId="2E59CD71"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0.435</w:t>
            </w:r>
            <w:r w:rsidRPr="00346F7E">
              <w:rPr>
                <w:rFonts w:ascii="Book Antiqua" w:hAnsi="Book Antiqua" w:cs="Book Antiqua"/>
                <w:color w:val="000000"/>
                <w:vertAlign w:val="superscript"/>
                <w:lang w:eastAsia="zh-CN"/>
              </w:rPr>
              <w:t>a</w:t>
            </w:r>
          </w:p>
        </w:tc>
        <w:tc>
          <w:tcPr>
            <w:tcW w:w="1863" w:type="dxa"/>
            <w:hideMark/>
          </w:tcPr>
          <w:p w14:paraId="462B2797"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0.038</w:t>
            </w:r>
          </w:p>
        </w:tc>
        <w:tc>
          <w:tcPr>
            <w:tcW w:w="1862" w:type="dxa"/>
            <w:hideMark/>
          </w:tcPr>
          <w:p w14:paraId="009AA6E6"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23</w:t>
            </w:r>
          </w:p>
        </w:tc>
        <w:tc>
          <w:tcPr>
            <w:tcW w:w="1863" w:type="dxa"/>
            <w:hideMark/>
          </w:tcPr>
          <w:p w14:paraId="48016D44" w14:textId="77777777" w:rsidR="00346F7E" w:rsidRPr="00346F7E" w:rsidRDefault="00346F7E" w:rsidP="00346F7E">
            <w:pPr>
              <w:spacing w:line="360" w:lineRule="auto"/>
              <w:jc w:val="both"/>
              <w:rPr>
                <w:rFonts w:ascii="Book Antiqua" w:hAnsi="Book Antiqua" w:cs="Book Antiqua"/>
                <w:color w:val="000000"/>
                <w:lang w:eastAsia="zh-CN"/>
              </w:rPr>
            </w:pPr>
          </w:p>
        </w:tc>
        <w:tc>
          <w:tcPr>
            <w:tcW w:w="1865" w:type="dxa"/>
            <w:hideMark/>
          </w:tcPr>
          <w:p w14:paraId="79C9ADE1" w14:textId="77777777" w:rsidR="00346F7E" w:rsidRPr="00346F7E" w:rsidRDefault="00346F7E" w:rsidP="00346F7E">
            <w:pPr>
              <w:spacing w:line="360" w:lineRule="auto"/>
              <w:jc w:val="both"/>
              <w:rPr>
                <w:rFonts w:ascii="Book Antiqua" w:hAnsi="Book Antiqua" w:cs="Book Antiqua"/>
                <w:color w:val="000000"/>
                <w:lang w:eastAsia="zh-CN"/>
              </w:rPr>
            </w:pPr>
          </w:p>
        </w:tc>
        <w:tc>
          <w:tcPr>
            <w:tcW w:w="1861" w:type="dxa"/>
            <w:hideMark/>
          </w:tcPr>
          <w:p w14:paraId="492096C9" w14:textId="77777777" w:rsidR="00346F7E" w:rsidRPr="00346F7E" w:rsidRDefault="00346F7E" w:rsidP="00346F7E">
            <w:pPr>
              <w:spacing w:line="360" w:lineRule="auto"/>
              <w:jc w:val="both"/>
              <w:rPr>
                <w:rFonts w:ascii="Book Antiqua" w:hAnsi="Book Antiqua" w:cs="Book Antiqua"/>
                <w:color w:val="000000"/>
                <w:lang w:eastAsia="zh-CN"/>
              </w:rPr>
            </w:pPr>
          </w:p>
        </w:tc>
      </w:tr>
      <w:tr w:rsidR="00346F7E" w:rsidRPr="00346F7E" w14:paraId="2926A183" w14:textId="77777777" w:rsidTr="00DC21FB">
        <w:trPr>
          <w:trHeight w:val="456"/>
        </w:trPr>
        <w:tc>
          <w:tcPr>
            <w:tcW w:w="1860" w:type="dxa"/>
            <w:tcBorders>
              <w:bottom w:val="single" w:sz="4" w:space="0" w:color="auto"/>
            </w:tcBorders>
            <w:hideMark/>
          </w:tcPr>
          <w:p w14:paraId="3DAE6A70"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CDAI</w:t>
            </w:r>
          </w:p>
        </w:tc>
        <w:tc>
          <w:tcPr>
            <w:tcW w:w="1863" w:type="dxa"/>
            <w:tcBorders>
              <w:bottom w:val="single" w:sz="4" w:space="0" w:color="auto"/>
            </w:tcBorders>
            <w:hideMark/>
          </w:tcPr>
          <w:p w14:paraId="67363204" w14:textId="77777777" w:rsidR="00346F7E" w:rsidRPr="00346F7E" w:rsidRDefault="00346F7E" w:rsidP="00346F7E">
            <w:pPr>
              <w:spacing w:line="360" w:lineRule="auto"/>
              <w:jc w:val="both"/>
              <w:rPr>
                <w:rFonts w:ascii="Book Antiqua" w:hAnsi="Book Antiqua" w:cs="Book Antiqua"/>
                <w:color w:val="000000"/>
                <w:lang w:eastAsia="zh-CN"/>
              </w:rPr>
            </w:pPr>
          </w:p>
        </w:tc>
        <w:tc>
          <w:tcPr>
            <w:tcW w:w="1863" w:type="dxa"/>
            <w:tcBorders>
              <w:bottom w:val="single" w:sz="4" w:space="0" w:color="auto"/>
            </w:tcBorders>
            <w:hideMark/>
          </w:tcPr>
          <w:p w14:paraId="2529A071" w14:textId="77777777" w:rsidR="00346F7E" w:rsidRPr="00346F7E" w:rsidRDefault="00346F7E" w:rsidP="00346F7E">
            <w:pPr>
              <w:spacing w:line="360" w:lineRule="auto"/>
              <w:jc w:val="both"/>
              <w:rPr>
                <w:rFonts w:ascii="Book Antiqua" w:hAnsi="Book Antiqua" w:cs="Book Antiqua"/>
                <w:color w:val="000000"/>
                <w:lang w:eastAsia="zh-CN"/>
              </w:rPr>
            </w:pPr>
          </w:p>
        </w:tc>
        <w:tc>
          <w:tcPr>
            <w:tcW w:w="1862" w:type="dxa"/>
            <w:tcBorders>
              <w:bottom w:val="single" w:sz="4" w:space="0" w:color="auto"/>
            </w:tcBorders>
            <w:hideMark/>
          </w:tcPr>
          <w:p w14:paraId="48FCD27C" w14:textId="77777777" w:rsidR="00346F7E" w:rsidRPr="00346F7E" w:rsidRDefault="00346F7E" w:rsidP="00346F7E">
            <w:pPr>
              <w:spacing w:line="360" w:lineRule="auto"/>
              <w:jc w:val="both"/>
              <w:rPr>
                <w:rFonts w:ascii="Book Antiqua" w:hAnsi="Book Antiqua" w:cs="Book Antiqua"/>
                <w:color w:val="000000"/>
                <w:lang w:eastAsia="zh-CN"/>
              </w:rPr>
            </w:pPr>
          </w:p>
        </w:tc>
        <w:tc>
          <w:tcPr>
            <w:tcW w:w="1863" w:type="dxa"/>
            <w:tcBorders>
              <w:bottom w:val="single" w:sz="4" w:space="0" w:color="auto"/>
            </w:tcBorders>
            <w:hideMark/>
          </w:tcPr>
          <w:p w14:paraId="2623CB2C"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0.134</w:t>
            </w:r>
          </w:p>
        </w:tc>
        <w:tc>
          <w:tcPr>
            <w:tcW w:w="1865" w:type="dxa"/>
            <w:tcBorders>
              <w:bottom w:val="single" w:sz="4" w:space="0" w:color="auto"/>
            </w:tcBorders>
            <w:hideMark/>
          </w:tcPr>
          <w:p w14:paraId="46360E95"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0.392</w:t>
            </w:r>
          </w:p>
        </w:tc>
        <w:tc>
          <w:tcPr>
            <w:tcW w:w="1874" w:type="dxa"/>
            <w:gridSpan w:val="2"/>
            <w:tcBorders>
              <w:bottom w:val="single" w:sz="4" w:space="0" w:color="auto"/>
            </w:tcBorders>
            <w:hideMark/>
          </w:tcPr>
          <w:p w14:paraId="22DA3B6E" w14:textId="77777777" w:rsidR="00346F7E" w:rsidRPr="00346F7E" w:rsidRDefault="00346F7E" w:rsidP="00346F7E">
            <w:pPr>
              <w:spacing w:line="360" w:lineRule="auto"/>
              <w:jc w:val="both"/>
              <w:rPr>
                <w:rFonts w:ascii="Book Antiqua" w:hAnsi="Book Antiqua" w:cs="Book Antiqua"/>
                <w:color w:val="000000"/>
                <w:lang w:eastAsia="zh-CN"/>
              </w:rPr>
            </w:pPr>
            <w:r w:rsidRPr="00346F7E">
              <w:rPr>
                <w:rFonts w:ascii="Book Antiqua" w:hAnsi="Book Antiqua" w:cs="Book Antiqua"/>
                <w:color w:val="000000"/>
                <w:lang w:eastAsia="zh-CN"/>
              </w:rPr>
              <w:t>43</w:t>
            </w:r>
          </w:p>
        </w:tc>
      </w:tr>
    </w:tbl>
    <w:p w14:paraId="5478CA0B" w14:textId="77777777" w:rsidR="00346F7E" w:rsidRDefault="00346F7E" w:rsidP="00346F7E">
      <w:pPr>
        <w:spacing w:line="360" w:lineRule="auto"/>
        <w:jc w:val="both"/>
        <w:rPr>
          <w:rFonts w:ascii="Book Antiqua" w:hAnsi="Book Antiqua" w:cs="Book Antiqua"/>
          <w:color w:val="000000"/>
          <w:lang w:eastAsia="zh-CN"/>
        </w:rPr>
      </w:pPr>
      <w:r w:rsidRPr="007F5ED6">
        <w:rPr>
          <w:rFonts w:ascii="Book Antiqua" w:eastAsia="Book Antiqua" w:hAnsi="Book Antiqua" w:cs="Book Antiqua"/>
          <w:i/>
          <w:iCs/>
          <w:color w:val="000000"/>
        </w:rPr>
        <w:t>rs</w:t>
      </w:r>
      <w:r w:rsidRPr="007F5ED6">
        <w:rPr>
          <w:rFonts w:ascii="Book Antiqua" w:eastAsia="Book Antiqua" w:hAnsi="Book Antiqua" w:cs="Book Antiqua"/>
          <w:color w:val="000000"/>
        </w:rPr>
        <w:t>: Spearman’s rank correlation coefficient</w:t>
      </w:r>
      <w:r>
        <w:rPr>
          <w:rFonts w:ascii="Book Antiqua" w:eastAsia="Book Antiqua" w:hAnsi="Book Antiqua" w:cs="Book Antiqua"/>
          <w:color w:val="000000"/>
        </w:rPr>
        <w:t>.</w:t>
      </w:r>
      <w:r w:rsidRPr="007F5ED6">
        <w:rPr>
          <w:rFonts w:ascii="Book Antiqua" w:eastAsia="Book Antiqua" w:hAnsi="Book Antiqua" w:cs="Book Antiqua"/>
          <w:color w:val="000000"/>
        </w:rPr>
        <w:t xml:space="preserve"> </w:t>
      </w:r>
    </w:p>
    <w:p w14:paraId="5E3802CA" w14:textId="38EBD985" w:rsidR="00346F7E" w:rsidRDefault="00346F7E" w:rsidP="00346F7E">
      <w:pPr>
        <w:spacing w:line="360" w:lineRule="auto"/>
        <w:jc w:val="both"/>
        <w:rPr>
          <w:rFonts w:ascii="Book Antiqua" w:hAnsi="Book Antiqua" w:cs="Book Antiqua"/>
          <w:color w:val="000000"/>
          <w:lang w:eastAsia="zh-CN"/>
        </w:rPr>
      </w:pPr>
      <w:r w:rsidRPr="007F5ED6">
        <w:rPr>
          <w:rFonts w:ascii="Book Antiqua" w:eastAsia="MS PGothic" w:hAnsi="Book Antiqua" w:cs="Arial"/>
          <w:color w:val="000000"/>
          <w:kern w:val="24"/>
          <w:vertAlign w:val="superscript"/>
        </w:rPr>
        <w:t>a</w:t>
      </w:r>
      <w:r w:rsidRPr="007F5ED6">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Pr="007F5ED6">
        <w:rPr>
          <w:rFonts w:ascii="Book Antiqua" w:eastAsia="Book Antiqua" w:hAnsi="Book Antiqua" w:cs="Book Antiqua"/>
          <w:color w:val="000000"/>
        </w:rPr>
        <w:t>&lt;</w:t>
      </w:r>
      <w:r>
        <w:rPr>
          <w:rFonts w:ascii="Book Antiqua" w:eastAsia="Book Antiqua" w:hAnsi="Book Antiqua" w:cs="Book Antiqua"/>
          <w:color w:val="000000"/>
        </w:rPr>
        <w:t xml:space="preserve"> </w:t>
      </w:r>
      <w:r w:rsidRPr="007F5ED6">
        <w:rPr>
          <w:rFonts w:ascii="Book Antiqua" w:eastAsia="Book Antiqua" w:hAnsi="Book Antiqua" w:cs="Book Antiqua"/>
          <w:color w:val="000000"/>
        </w:rPr>
        <w:t>0.05</w:t>
      </w:r>
      <w:r>
        <w:rPr>
          <w:rFonts w:ascii="Book Antiqua" w:eastAsia="Book Antiqua" w:hAnsi="Book Antiqua" w:cs="Book Antiqua"/>
          <w:color w:val="000000"/>
        </w:rPr>
        <w:t xml:space="preserve">. </w:t>
      </w:r>
      <w:r w:rsidRPr="007F5ED6">
        <w:rPr>
          <w:rFonts w:ascii="Book Antiqua" w:eastAsia="Book Antiqua" w:hAnsi="Book Antiqua" w:cs="Book Antiqua"/>
          <w:color w:val="000000"/>
        </w:rPr>
        <w:t xml:space="preserve">UC: Ulcerative colitis; CD: Crohn’s disease; </w:t>
      </w:r>
      <w:r w:rsidRPr="00882276">
        <w:rPr>
          <w:rFonts w:ascii="Book Antiqua" w:eastAsia="Book Antiqua" w:hAnsi="Book Antiqua" w:cs="Book Antiqua"/>
          <w:color w:val="000000"/>
        </w:rPr>
        <w:t xml:space="preserve">Alb: </w:t>
      </w:r>
      <w:r>
        <w:rPr>
          <w:rFonts w:ascii="Book Antiqua" w:eastAsia="Book Antiqua" w:hAnsi="Book Antiqua" w:cs="Book Antiqua"/>
          <w:color w:val="000000"/>
        </w:rPr>
        <w:t>A</w:t>
      </w:r>
      <w:r w:rsidRPr="00882276">
        <w:rPr>
          <w:rFonts w:ascii="Book Antiqua" w:eastAsia="Book Antiqua" w:hAnsi="Book Antiqua" w:cs="Book Antiqua"/>
          <w:color w:val="000000"/>
        </w:rPr>
        <w:t>lbumin</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ALT: </w:t>
      </w:r>
      <w:r>
        <w:rPr>
          <w:rFonts w:ascii="Book Antiqua" w:eastAsia="Book Antiqua" w:hAnsi="Book Antiqua" w:cs="Book Antiqua"/>
          <w:color w:val="000000"/>
        </w:rPr>
        <w:t>A</w:t>
      </w:r>
      <w:r w:rsidRPr="00882276">
        <w:rPr>
          <w:rFonts w:ascii="Book Antiqua" w:eastAsia="Book Antiqua" w:hAnsi="Book Antiqua" w:cs="Book Antiqua"/>
          <w:color w:val="000000"/>
        </w:rPr>
        <w:t>lanine aminotransferase</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ALP: </w:t>
      </w:r>
      <w:r>
        <w:rPr>
          <w:rFonts w:ascii="Book Antiqua" w:eastAsia="Book Antiqua" w:hAnsi="Book Antiqua" w:cs="Book Antiqua"/>
          <w:color w:val="000000"/>
        </w:rPr>
        <w:t>A</w:t>
      </w:r>
      <w:r w:rsidRPr="00882276">
        <w:rPr>
          <w:rFonts w:ascii="Book Antiqua" w:eastAsia="Book Antiqua" w:hAnsi="Book Antiqua" w:cs="Book Antiqua"/>
          <w:color w:val="000000"/>
        </w:rPr>
        <w:t>lkaline phosphatase</w:t>
      </w:r>
      <w:r>
        <w:rPr>
          <w:rFonts w:ascii="Book Antiqua" w:eastAsia="Book Antiqua" w:hAnsi="Book Antiqua" w:cs="Book Antiqua"/>
          <w:color w:val="000000"/>
        </w:rPr>
        <w:t xml:space="preserve">; </w:t>
      </w:r>
      <w:r w:rsidRPr="00882276">
        <w:rPr>
          <w:rFonts w:ascii="Book Antiqua" w:eastAsia="Book Antiqua" w:hAnsi="Book Antiqua" w:cs="Book Antiqua"/>
          <w:color w:val="000000"/>
        </w:rPr>
        <w:t xml:space="preserve">T-Bil: </w:t>
      </w:r>
      <w:r>
        <w:rPr>
          <w:rFonts w:ascii="Book Antiqua" w:eastAsia="Book Antiqua" w:hAnsi="Book Antiqua" w:cs="Book Antiqua"/>
          <w:color w:val="000000"/>
        </w:rPr>
        <w:t>T</w:t>
      </w:r>
      <w:r w:rsidRPr="00882276">
        <w:rPr>
          <w:rFonts w:ascii="Book Antiqua" w:eastAsia="Book Antiqua" w:hAnsi="Book Antiqua" w:cs="Book Antiqua"/>
          <w:color w:val="000000"/>
        </w:rPr>
        <w:t>otal-bilirubin</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γ-GTP: γ-</w:t>
      </w:r>
      <w:r>
        <w:rPr>
          <w:rFonts w:ascii="Book Antiqua" w:eastAsia="Book Antiqua" w:hAnsi="Book Antiqua" w:cs="Book Antiqua"/>
          <w:color w:val="000000"/>
        </w:rPr>
        <w:t>G</w:t>
      </w:r>
      <w:r w:rsidRPr="00882276">
        <w:rPr>
          <w:rFonts w:ascii="Book Antiqua" w:eastAsia="Book Antiqua" w:hAnsi="Book Antiqua" w:cs="Book Antiqua"/>
          <w:color w:val="000000"/>
        </w:rPr>
        <w:t>lutamyl transpeptidase</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CRP: C-reactive protein</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Hb: </w:t>
      </w:r>
      <w:r>
        <w:rPr>
          <w:rFonts w:ascii="Book Antiqua" w:eastAsia="Book Antiqua" w:hAnsi="Book Antiqua" w:cs="Book Antiqua"/>
          <w:color w:val="000000"/>
        </w:rPr>
        <w:t>H</w:t>
      </w:r>
      <w:r w:rsidRPr="00882276">
        <w:rPr>
          <w:rFonts w:ascii="Book Antiqua" w:eastAsia="Book Antiqua" w:hAnsi="Book Antiqua" w:cs="Book Antiqua"/>
          <w:color w:val="000000"/>
        </w:rPr>
        <w:t>emoglobin</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Ht: </w:t>
      </w:r>
      <w:r>
        <w:rPr>
          <w:rFonts w:ascii="Book Antiqua" w:eastAsia="Book Antiqua" w:hAnsi="Book Antiqua" w:cs="Book Antiqua"/>
          <w:color w:val="000000"/>
        </w:rPr>
        <w:t>H</w:t>
      </w:r>
      <w:r w:rsidRPr="00882276">
        <w:rPr>
          <w:rFonts w:ascii="Book Antiqua" w:eastAsia="Book Antiqua" w:hAnsi="Book Antiqua" w:cs="Book Antiqua"/>
          <w:color w:val="000000"/>
        </w:rPr>
        <w:t>ematocrit</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WBC: </w:t>
      </w:r>
      <w:r>
        <w:rPr>
          <w:rFonts w:ascii="Book Antiqua" w:eastAsia="Book Antiqua" w:hAnsi="Book Antiqua" w:cs="Book Antiqua"/>
          <w:color w:val="000000"/>
        </w:rPr>
        <w:t>W</w:t>
      </w:r>
      <w:r w:rsidRPr="00882276">
        <w:rPr>
          <w:rFonts w:ascii="Book Antiqua" w:eastAsia="Book Antiqua" w:hAnsi="Book Antiqua" w:cs="Book Antiqua"/>
          <w:color w:val="000000"/>
        </w:rPr>
        <w:t>hite blood cells</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Plt: </w:t>
      </w:r>
      <w:r>
        <w:rPr>
          <w:rFonts w:ascii="Book Antiqua" w:eastAsia="Book Antiqua" w:hAnsi="Book Antiqua" w:cs="Book Antiqua"/>
          <w:color w:val="000000"/>
        </w:rPr>
        <w:t>P</w:t>
      </w:r>
      <w:r w:rsidRPr="00882276">
        <w:rPr>
          <w:rFonts w:ascii="Book Antiqua" w:eastAsia="Book Antiqua" w:hAnsi="Book Antiqua" w:cs="Book Antiqua"/>
          <w:color w:val="000000"/>
        </w:rPr>
        <w:t>latelets</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Mayo: </w:t>
      </w:r>
      <w:r>
        <w:rPr>
          <w:rFonts w:ascii="Book Antiqua" w:eastAsia="Book Antiqua" w:hAnsi="Book Antiqua" w:cs="Book Antiqua"/>
          <w:color w:val="000000"/>
        </w:rPr>
        <w:t>F</w:t>
      </w:r>
      <w:r w:rsidRPr="00882276">
        <w:rPr>
          <w:rFonts w:ascii="Book Antiqua" w:eastAsia="Book Antiqua" w:hAnsi="Book Antiqua" w:cs="Book Antiqua"/>
          <w:color w:val="000000"/>
        </w:rPr>
        <w:t>ull Mayo score</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CDAI: Crohn’s disease activity index</w:t>
      </w:r>
      <w:r>
        <w:rPr>
          <w:rFonts w:ascii="Book Antiqua" w:eastAsia="Book Antiqua" w:hAnsi="Book Antiqua" w:cs="Book Antiqua"/>
          <w:color w:val="000000"/>
        </w:rPr>
        <w:t>.</w:t>
      </w:r>
    </w:p>
    <w:p w14:paraId="6CFD0719" w14:textId="3FFCFF30" w:rsidR="00E84D24" w:rsidRDefault="00E84D24" w:rsidP="00346F7E">
      <w:pPr>
        <w:spacing w:line="360" w:lineRule="auto"/>
        <w:jc w:val="both"/>
        <w:rPr>
          <w:rFonts w:ascii="Book Antiqua" w:hAnsi="Book Antiqua" w:cs="Book Antiqua" w:hint="eastAsia"/>
          <w:color w:val="000000"/>
          <w:lang w:eastAsia="zh-CN"/>
        </w:rPr>
      </w:pPr>
    </w:p>
    <w:p w14:paraId="152447DA" w14:textId="77777777" w:rsidR="00E31652" w:rsidRDefault="00E31652" w:rsidP="00346F7E">
      <w:pPr>
        <w:spacing w:line="360" w:lineRule="auto"/>
        <w:jc w:val="both"/>
        <w:rPr>
          <w:rFonts w:ascii="Book Antiqua" w:hAnsi="Book Antiqua"/>
        </w:rPr>
        <w:sectPr w:rsidR="00E31652" w:rsidSect="00882276">
          <w:pgSz w:w="15840" w:h="12240" w:orient="landscape"/>
          <w:pgMar w:top="1440" w:right="1440" w:bottom="1440" w:left="1440" w:header="720" w:footer="720" w:gutter="0"/>
          <w:cols w:space="720"/>
          <w:docGrid w:linePitch="360"/>
        </w:sectPr>
      </w:pPr>
    </w:p>
    <w:p w14:paraId="6909AE61" w14:textId="77777777" w:rsidR="00E31652" w:rsidRDefault="00E31652" w:rsidP="00E31652">
      <w:pPr>
        <w:jc w:val="center"/>
        <w:rPr>
          <w:rFonts w:ascii="Book Antiqua" w:hAnsi="Book Antiqua"/>
          <w:lang w:eastAsia="zh-CN"/>
        </w:rPr>
      </w:pPr>
    </w:p>
    <w:p w14:paraId="33739FAC" w14:textId="77777777" w:rsidR="00E31652" w:rsidRDefault="00E31652" w:rsidP="00E31652">
      <w:pPr>
        <w:jc w:val="center"/>
        <w:rPr>
          <w:rFonts w:ascii="Book Antiqua" w:hAnsi="Book Antiqua"/>
          <w:lang w:eastAsia="zh-CN"/>
        </w:rPr>
      </w:pPr>
    </w:p>
    <w:p w14:paraId="75C16605" w14:textId="77777777" w:rsidR="00E31652" w:rsidRDefault="00E31652" w:rsidP="00E31652">
      <w:pPr>
        <w:jc w:val="center"/>
        <w:rPr>
          <w:rFonts w:ascii="Book Antiqua" w:hAnsi="Book Antiqua"/>
          <w:lang w:eastAsia="zh-CN"/>
        </w:rPr>
      </w:pPr>
    </w:p>
    <w:p w14:paraId="1773B42C" w14:textId="77777777" w:rsidR="00E31652" w:rsidRDefault="00E31652" w:rsidP="00E31652">
      <w:pPr>
        <w:jc w:val="center"/>
        <w:rPr>
          <w:rFonts w:ascii="Book Antiqua" w:hAnsi="Book Antiqua"/>
          <w:lang w:eastAsia="zh-CN"/>
        </w:rPr>
      </w:pPr>
    </w:p>
    <w:p w14:paraId="4CD3B41B" w14:textId="77777777" w:rsidR="00E31652" w:rsidRDefault="00E31652" w:rsidP="00E31652">
      <w:pPr>
        <w:jc w:val="center"/>
        <w:rPr>
          <w:rFonts w:ascii="Book Antiqua" w:hAnsi="Book Antiqua"/>
          <w:lang w:eastAsia="zh-CN"/>
        </w:rPr>
      </w:pPr>
    </w:p>
    <w:p w14:paraId="70B14B85" w14:textId="77777777" w:rsidR="00E31652" w:rsidRDefault="00E31652" w:rsidP="00E31652">
      <w:pPr>
        <w:jc w:val="center"/>
        <w:rPr>
          <w:rFonts w:ascii="Book Antiqua" w:hAnsi="Book Antiqua"/>
          <w:lang w:eastAsia="zh-CN"/>
        </w:rPr>
      </w:pPr>
      <w:r>
        <w:rPr>
          <w:rFonts w:ascii="Book Antiqua" w:hAnsi="Book Antiqua"/>
          <w:noProof/>
          <w:lang w:eastAsia="zh-CN"/>
        </w:rPr>
        <w:drawing>
          <wp:inline distT="0" distB="0" distL="0" distR="0" wp14:anchorId="5015C3A0" wp14:editId="6DFEA1B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CAB13BE" w14:textId="77777777" w:rsidR="00E31652" w:rsidRDefault="00E31652" w:rsidP="00E31652">
      <w:pPr>
        <w:jc w:val="center"/>
        <w:rPr>
          <w:rFonts w:ascii="Book Antiqua" w:hAnsi="Book Antiqua"/>
          <w:lang w:eastAsia="zh-CN"/>
        </w:rPr>
      </w:pPr>
    </w:p>
    <w:p w14:paraId="2A21458E" w14:textId="77777777" w:rsidR="00E31652" w:rsidRPr="00763D22" w:rsidRDefault="00E31652" w:rsidP="00E3165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97610C8" w14:textId="77777777" w:rsidR="00E31652" w:rsidRPr="00763D22" w:rsidRDefault="00E31652" w:rsidP="00E3165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16EAB57" w14:textId="77777777" w:rsidR="00E31652" w:rsidRPr="00763D22" w:rsidRDefault="00E31652" w:rsidP="00E3165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DAFE48D" w14:textId="77777777" w:rsidR="00E31652" w:rsidRPr="00763D22" w:rsidRDefault="00E31652" w:rsidP="00E3165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FDFB4B0" w14:textId="77777777" w:rsidR="00E31652" w:rsidRPr="00763D22" w:rsidRDefault="00E31652" w:rsidP="00E3165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4239802" w14:textId="77777777" w:rsidR="00E31652" w:rsidRPr="00763D22" w:rsidRDefault="00E31652" w:rsidP="00E3165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48B56EC" w14:textId="77777777" w:rsidR="00E31652" w:rsidRDefault="00E31652" w:rsidP="00E31652">
      <w:pPr>
        <w:jc w:val="center"/>
        <w:rPr>
          <w:rFonts w:ascii="Book Antiqua" w:hAnsi="Book Antiqua"/>
          <w:lang w:eastAsia="zh-CN"/>
        </w:rPr>
      </w:pPr>
    </w:p>
    <w:p w14:paraId="20927F8B" w14:textId="77777777" w:rsidR="00E31652" w:rsidRDefault="00E31652" w:rsidP="00E31652">
      <w:pPr>
        <w:jc w:val="center"/>
        <w:rPr>
          <w:rFonts w:ascii="Book Antiqua" w:hAnsi="Book Antiqua"/>
          <w:lang w:eastAsia="zh-CN"/>
        </w:rPr>
      </w:pPr>
    </w:p>
    <w:p w14:paraId="2F33A8E0" w14:textId="77777777" w:rsidR="00E31652" w:rsidRDefault="00E31652" w:rsidP="00E31652">
      <w:pPr>
        <w:jc w:val="center"/>
        <w:rPr>
          <w:rFonts w:ascii="Book Antiqua" w:hAnsi="Book Antiqua"/>
          <w:lang w:eastAsia="zh-CN"/>
        </w:rPr>
      </w:pPr>
    </w:p>
    <w:p w14:paraId="6BE267BF" w14:textId="77777777" w:rsidR="00E31652" w:rsidRDefault="00E31652" w:rsidP="00E31652">
      <w:pPr>
        <w:jc w:val="center"/>
        <w:rPr>
          <w:rFonts w:ascii="Book Antiqua" w:hAnsi="Book Antiqua"/>
          <w:lang w:eastAsia="zh-CN"/>
        </w:rPr>
      </w:pPr>
      <w:r>
        <w:rPr>
          <w:rFonts w:ascii="Book Antiqua" w:hAnsi="Book Antiqua"/>
          <w:noProof/>
          <w:lang w:eastAsia="zh-CN"/>
        </w:rPr>
        <w:drawing>
          <wp:inline distT="0" distB="0" distL="0" distR="0" wp14:anchorId="5C90074F" wp14:editId="1C754355">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7B30A70" w14:textId="77777777" w:rsidR="00E31652" w:rsidRDefault="00E31652" w:rsidP="00E31652">
      <w:pPr>
        <w:jc w:val="center"/>
        <w:rPr>
          <w:rFonts w:ascii="Book Antiqua" w:hAnsi="Book Antiqua"/>
          <w:lang w:eastAsia="zh-CN"/>
        </w:rPr>
      </w:pPr>
    </w:p>
    <w:p w14:paraId="5AA454DC" w14:textId="77777777" w:rsidR="00E31652" w:rsidRDefault="00E31652" w:rsidP="00E31652">
      <w:pPr>
        <w:jc w:val="center"/>
        <w:rPr>
          <w:rFonts w:ascii="Book Antiqua" w:hAnsi="Book Antiqua"/>
          <w:lang w:eastAsia="zh-CN"/>
        </w:rPr>
      </w:pPr>
    </w:p>
    <w:p w14:paraId="6D586485" w14:textId="77777777" w:rsidR="00E31652" w:rsidRDefault="00E31652" w:rsidP="00E31652">
      <w:pPr>
        <w:jc w:val="center"/>
        <w:rPr>
          <w:rFonts w:ascii="Book Antiqua" w:hAnsi="Book Antiqua"/>
          <w:lang w:eastAsia="zh-CN"/>
        </w:rPr>
      </w:pPr>
    </w:p>
    <w:p w14:paraId="73153208" w14:textId="77777777" w:rsidR="00E31652" w:rsidRDefault="00E31652" w:rsidP="00E31652">
      <w:pPr>
        <w:jc w:val="center"/>
        <w:rPr>
          <w:rFonts w:ascii="Book Antiqua" w:hAnsi="Book Antiqua"/>
          <w:lang w:eastAsia="zh-CN"/>
        </w:rPr>
      </w:pPr>
    </w:p>
    <w:p w14:paraId="0F2D5685" w14:textId="77777777" w:rsidR="00E31652" w:rsidRDefault="00E31652" w:rsidP="00E31652">
      <w:pPr>
        <w:jc w:val="center"/>
        <w:rPr>
          <w:rFonts w:ascii="Book Antiqua" w:hAnsi="Book Antiqua"/>
          <w:lang w:eastAsia="zh-CN"/>
        </w:rPr>
      </w:pPr>
    </w:p>
    <w:p w14:paraId="595CD84C" w14:textId="77777777" w:rsidR="00E31652" w:rsidRDefault="00E31652" w:rsidP="00E31652">
      <w:pPr>
        <w:jc w:val="center"/>
        <w:rPr>
          <w:rFonts w:ascii="Book Antiqua" w:hAnsi="Book Antiqua"/>
          <w:lang w:eastAsia="zh-CN"/>
        </w:rPr>
      </w:pPr>
    </w:p>
    <w:p w14:paraId="59E2CD59" w14:textId="77777777" w:rsidR="00E31652" w:rsidRDefault="00E31652" w:rsidP="00E31652">
      <w:pPr>
        <w:jc w:val="center"/>
        <w:rPr>
          <w:rFonts w:ascii="Book Antiqua" w:hAnsi="Book Antiqua"/>
          <w:lang w:eastAsia="zh-CN"/>
        </w:rPr>
      </w:pPr>
    </w:p>
    <w:p w14:paraId="6CECC531" w14:textId="77777777" w:rsidR="00E31652" w:rsidRDefault="00E31652" w:rsidP="00E31652">
      <w:pPr>
        <w:jc w:val="center"/>
        <w:rPr>
          <w:rFonts w:ascii="Book Antiqua" w:hAnsi="Book Antiqua"/>
          <w:lang w:eastAsia="zh-CN"/>
        </w:rPr>
      </w:pPr>
    </w:p>
    <w:p w14:paraId="5255DE4A" w14:textId="77777777" w:rsidR="00E31652" w:rsidRDefault="00E31652" w:rsidP="00E31652">
      <w:pPr>
        <w:jc w:val="center"/>
        <w:rPr>
          <w:rFonts w:ascii="Book Antiqua" w:hAnsi="Book Antiqua"/>
          <w:lang w:eastAsia="zh-CN"/>
        </w:rPr>
      </w:pPr>
    </w:p>
    <w:p w14:paraId="433D8F87" w14:textId="77777777" w:rsidR="00E31652" w:rsidRPr="00763D22" w:rsidRDefault="00E31652" w:rsidP="00E31652">
      <w:pPr>
        <w:jc w:val="right"/>
        <w:rPr>
          <w:rFonts w:ascii="Book Antiqua" w:hAnsi="Book Antiqua"/>
          <w:color w:val="000000" w:themeColor="text1"/>
          <w:lang w:eastAsia="zh-CN"/>
        </w:rPr>
      </w:pPr>
    </w:p>
    <w:p w14:paraId="2BB8154C" w14:textId="77777777" w:rsidR="00E31652" w:rsidRPr="00763D22" w:rsidRDefault="00E31652" w:rsidP="00E3165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7D6A06A" w14:textId="2FD4E364" w:rsidR="00E31652" w:rsidRPr="007F5ED6" w:rsidRDefault="00E31652" w:rsidP="00346F7E">
      <w:pPr>
        <w:spacing w:line="360" w:lineRule="auto"/>
        <w:jc w:val="both"/>
        <w:rPr>
          <w:rFonts w:ascii="Book Antiqua" w:hAnsi="Book Antiqua"/>
        </w:rPr>
      </w:pPr>
      <w:bookmarkStart w:id="9" w:name="_GoBack"/>
      <w:bookmarkEnd w:id="9"/>
    </w:p>
    <w:sectPr w:rsidR="00E31652" w:rsidRPr="007F5ED6"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6154B" w14:textId="77777777" w:rsidR="00F41AC5" w:rsidRDefault="00F41AC5" w:rsidP="00103753">
      <w:r>
        <w:separator/>
      </w:r>
    </w:p>
  </w:endnote>
  <w:endnote w:type="continuationSeparator" w:id="0">
    <w:p w14:paraId="667F87C5" w14:textId="77777777" w:rsidR="00F41AC5" w:rsidRDefault="00F41AC5" w:rsidP="00103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61915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5EF400A" w14:textId="38AA4954" w:rsidR="00103753" w:rsidRPr="00103753" w:rsidRDefault="00103753" w:rsidP="00103753">
            <w:pPr>
              <w:pStyle w:val="a5"/>
              <w:jc w:val="right"/>
              <w:rPr>
                <w:rFonts w:ascii="Book Antiqua" w:hAnsi="Book Antiqua"/>
                <w:sz w:val="24"/>
                <w:szCs w:val="24"/>
              </w:rPr>
            </w:pPr>
            <w:r w:rsidRPr="00103753">
              <w:rPr>
                <w:rFonts w:ascii="Book Antiqua" w:hAnsi="Book Antiqua"/>
                <w:sz w:val="24"/>
                <w:szCs w:val="24"/>
                <w:lang w:val="zh-CN" w:eastAsia="zh-CN"/>
              </w:rPr>
              <w:t xml:space="preserve"> </w:t>
            </w:r>
            <w:r w:rsidRPr="00103753">
              <w:rPr>
                <w:rFonts w:ascii="Book Antiqua" w:hAnsi="Book Antiqua"/>
                <w:sz w:val="24"/>
                <w:szCs w:val="24"/>
              </w:rPr>
              <w:fldChar w:fldCharType="begin"/>
            </w:r>
            <w:r w:rsidRPr="00103753">
              <w:rPr>
                <w:rFonts w:ascii="Book Antiqua" w:hAnsi="Book Antiqua"/>
                <w:sz w:val="24"/>
                <w:szCs w:val="24"/>
              </w:rPr>
              <w:instrText>PAGE</w:instrText>
            </w:r>
            <w:r w:rsidRPr="00103753">
              <w:rPr>
                <w:rFonts w:ascii="Book Antiqua" w:hAnsi="Book Antiqua"/>
                <w:sz w:val="24"/>
                <w:szCs w:val="24"/>
              </w:rPr>
              <w:fldChar w:fldCharType="separate"/>
            </w:r>
            <w:r w:rsidR="00F41AC5">
              <w:rPr>
                <w:rFonts w:ascii="Book Antiqua" w:hAnsi="Book Antiqua"/>
                <w:noProof/>
                <w:sz w:val="24"/>
                <w:szCs w:val="24"/>
              </w:rPr>
              <w:t>1</w:t>
            </w:r>
            <w:r w:rsidRPr="00103753">
              <w:rPr>
                <w:rFonts w:ascii="Book Antiqua" w:hAnsi="Book Antiqua"/>
                <w:sz w:val="24"/>
                <w:szCs w:val="24"/>
              </w:rPr>
              <w:fldChar w:fldCharType="end"/>
            </w:r>
            <w:r w:rsidRPr="00103753">
              <w:rPr>
                <w:rFonts w:ascii="Book Antiqua" w:hAnsi="Book Antiqua"/>
                <w:sz w:val="24"/>
                <w:szCs w:val="24"/>
                <w:lang w:val="zh-CN" w:eastAsia="zh-CN"/>
              </w:rPr>
              <w:t xml:space="preserve"> / </w:t>
            </w:r>
            <w:r w:rsidRPr="00103753">
              <w:rPr>
                <w:rFonts w:ascii="Book Antiqua" w:hAnsi="Book Antiqua"/>
                <w:sz w:val="24"/>
                <w:szCs w:val="24"/>
              </w:rPr>
              <w:fldChar w:fldCharType="begin"/>
            </w:r>
            <w:r w:rsidRPr="00103753">
              <w:rPr>
                <w:rFonts w:ascii="Book Antiqua" w:hAnsi="Book Antiqua"/>
                <w:sz w:val="24"/>
                <w:szCs w:val="24"/>
              </w:rPr>
              <w:instrText>NUMPAGES</w:instrText>
            </w:r>
            <w:r w:rsidRPr="00103753">
              <w:rPr>
                <w:rFonts w:ascii="Book Antiqua" w:hAnsi="Book Antiqua"/>
                <w:sz w:val="24"/>
                <w:szCs w:val="24"/>
              </w:rPr>
              <w:fldChar w:fldCharType="separate"/>
            </w:r>
            <w:r w:rsidR="00F41AC5">
              <w:rPr>
                <w:rFonts w:ascii="Book Antiqua" w:hAnsi="Book Antiqua"/>
                <w:noProof/>
                <w:sz w:val="24"/>
                <w:szCs w:val="24"/>
              </w:rPr>
              <w:t>1</w:t>
            </w:r>
            <w:r w:rsidRPr="00103753">
              <w:rPr>
                <w:rFonts w:ascii="Book Antiqua" w:hAnsi="Book Antiqua"/>
                <w:sz w:val="24"/>
                <w:szCs w:val="24"/>
              </w:rPr>
              <w:fldChar w:fldCharType="end"/>
            </w:r>
          </w:p>
        </w:sdtContent>
      </w:sdt>
    </w:sdtContent>
  </w:sdt>
  <w:p w14:paraId="211C7706" w14:textId="77777777" w:rsidR="00103753" w:rsidRDefault="0010375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BE5BB" w14:textId="77777777" w:rsidR="00F41AC5" w:rsidRDefault="00F41AC5" w:rsidP="00103753">
      <w:r>
        <w:separator/>
      </w:r>
    </w:p>
  </w:footnote>
  <w:footnote w:type="continuationSeparator" w:id="0">
    <w:p w14:paraId="306F6881" w14:textId="77777777" w:rsidR="00F41AC5" w:rsidRDefault="00F41AC5" w:rsidP="001037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833"/>
    <w:rsid w:val="000553E6"/>
    <w:rsid w:val="00103753"/>
    <w:rsid w:val="00112A3F"/>
    <w:rsid w:val="0021282F"/>
    <w:rsid w:val="00221A17"/>
    <w:rsid w:val="0023680B"/>
    <w:rsid w:val="00237508"/>
    <w:rsid w:val="00260833"/>
    <w:rsid w:val="002D51E2"/>
    <w:rsid w:val="002E52D7"/>
    <w:rsid w:val="002F21F9"/>
    <w:rsid w:val="00320FC3"/>
    <w:rsid w:val="00346F7E"/>
    <w:rsid w:val="00363600"/>
    <w:rsid w:val="003B776D"/>
    <w:rsid w:val="003E36F7"/>
    <w:rsid w:val="00402F2D"/>
    <w:rsid w:val="00437CB1"/>
    <w:rsid w:val="00485DAF"/>
    <w:rsid w:val="00485F21"/>
    <w:rsid w:val="00486831"/>
    <w:rsid w:val="005360E5"/>
    <w:rsid w:val="005371FE"/>
    <w:rsid w:val="005525EB"/>
    <w:rsid w:val="005831EE"/>
    <w:rsid w:val="00591111"/>
    <w:rsid w:val="005A461B"/>
    <w:rsid w:val="005F7BA3"/>
    <w:rsid w:val="00600F3D"/>
    <w:rsid w:val="00630657"/>
    <w:rsid w:val="00683EBD"/>
    <w:rsid w:val="006B5CEE"/>
    <w:rsid w:val="006C3763"/>
    <w:rsid w:val="006F6250"/>
    <w:rsid w:val="00767831"/>
    <w:rsid w:val="007B0943"/>
    <w:rsid w:val="007B12CF"/>
    <w:rsid w:val="007D2D5C"/>
    <w:rsid w:val="007F5ED6"/>
    <w:rsid w:val="0080188B"/>
    <w:rsid w:val="0087752D"/>
    <w:rsid w:val="00882276"/>
    <w:rsid w:val="00883F1B"/>
    <w:rsid w:val="00895F33"/>
    <w:rsid w:val="008C5D31"/>
    <w:rsid w:val="00916748"/>
    <w:rsid w:val="00951829"/>
    <w:rsid w:val="009A727A"/>
    <w:rsid w:val="009C2F72"/>
    <w:rsid w:val="009D4C1C"/>
    <w:rsid w:val="00A35D05"/>
    <w:rsid w:val="00A36C23"/>
    <w:rsid w:val="00A456C8"/>
    <w:rsid w:val="00A53DA2"/>
    <w:rsid w:val="00A6421C"/>
    <w:rsid w:val="00A77B3E"/>
    <w:rsid w:val="00AC701F"/>
    <w:rsid w:val="00BA24EA"/>
    <w:rsid w:val="00BB0F58"/>
    <w:rsid w:val="00BB227E"/>
    <w:rsid w:val="00C331B6"/>
    <w:rsid w:val="00C762FD"/>
    <w:rsid w:val="00CA2A55"/>
    <w:rsid w:val="00CA7103"/>
    <w:rsid w:val="00CC56E2"/>
    <w:rsid w:val="00D065B6"/>
    <w:rsid w:val="00D17FF2"/>
    <w:rsid w:val="00D321BD"/>
    <w:rsid w:val="00D34E20"/>
    <w:rsid w:val="00D9315F"/>
    <w:rsid w:val="00DA6008"/>
    <w:rsid w:val="00E31652"/>
    <w:rsid w:val="00E43763"/>
    <w:rsid w:val="00E5773B"/>
    <w:rsid w:val="00E84D24"/>
    <w:rsid w:val="00E952C4"/>
    <w:rsid w:val="00EA2F3E"/>
    <w:rsid w:val="00F309BA"/>
    <w:rsid w:val="00F41AC5"/>
    <w:rsid w:val="00F6790E"/>
    <w:rsid w:val="00F713F6"/>
    <w:rsid w:val="00F83403"/>
    <w:rsid w:val="00F8614E"/>
    <w:rsid w:val="00FA5F24"/>
    <w:rsid w:val="00FC7B11"/>
    <w:rsid w:val="00FE580B"/>
    <w:rsid w:val="00FE7B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3E99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F7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E36F7"/>
    <w:rPr>
      <w:sz w:val="18"/>
      <w:szCs w:val="18"/>
    </w:rPr>
  </w:style>
  <w:style w:type="character" w:customStyle="1" w:styleId="Char">
    <w:name w:val="批注框文本 Char"/>
    <w:basedOn w:val="a0"/>
    <w:link w:val="a3"/>
    <w:rsid w:val="003E36F7"/>
    <w:rPr>
      <w:sz w:val="18"/>
      <w:szCs w:val="18"/>
    </w:rPr>
  </w:style>
  <w:style w:type="table" w:customStyle="1" w:styleId="PlainTable21">
    <w:name w:val="Plain Table 21"/>
    <w:basedOn w:val="a1"/>
    <w:uiPriority w:val="42"/>
    <w:rsid w:val="00882276"/>
    <w:rPr>
      <w:rFonts w:asciiTheme="minorHAnsi" w:hAnsiTheme="minorHAnsi" w:cstheme="minorBidi"/>
      <w:kern w:val="2"/>
      <w:sz w:val="21"/>
      <w:szCs w:val="22"/>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4">
    <w:name w:val="header"/>
    <w:basedOn w:val="a"/>
    <w:link w:val="Char0"/>
    <w:unhideWhenUsed/>
    <w:rsid w:val="0010375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03753"/>
    <w:rPr>
      <w:sz w:val="18"/>
      <w:szCs w:val="18"/>
    </w:rPr>
  </w:style>
  <w:style w:type="paragraph" w:styleId="a5">
    <w:name w:val="footer"/>
    <w:basedOn w:val="a"/>
    <w:link w:val="Char1"/>
    <w:uiPriority w:val="99"/>
    <w:unhideWhenUsed/>
    <w:rsid w:val="00103753"/>
    <w:pPr>
      <w:tabs>
        <w:tab w:val="center" w:pos="4153"/>
        <w:tab w:val="right" w:pos="8306"/>
      </w:tabs>
      <w:snapToGrid w:val="0"/>
    </w:pPr>
    <w:rPr>
      <w:sz w:val="18"/>
      <w:szCs w:val="18"/>
    </w:rPr>
  </w:style>
  <w:style w:type="character" w:customStyle="1" w:styleId="Char1">
    <w:name w:val="页脚 Char"/>
    <w:basedOn w:val="a0"/>
    <w:link w:val="a5"/>
    <w:uiPriority w:val="99"/>
    <w:rsid w:val="00103753"/>
    <w:rPr>
      <w:sz w:val="18"/>
      <w:szCs w:val="18"/>
    </w:rPr>
  </w:style>
  <w:style w:type="character" w:styleId="a6">
    <w:name w:val="Hyperlink"/>
    <w:basedOn w:val="a0"/>
    <w:unhideWhenUsed/>
    <w:rsid w:val="0023750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F7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E36F7"/>
    <w:rPr>
      <w:sz w:val="18"/>
      <w:szCs w:val="18"/>
    </w:rPr>
  </w:style>
  <w:style w:type="character" w:customStyle="1" w:styleId="Char">
    <w:name w:val="批注框文本 Char"/>
    <w:basedOn w:val="a0"/>
    <w:link w:val="a3"/>
    <w:rsid w:val="003E36F7"/>
    <w:rPr>
      <w:sz w:val="18"/>
      <w:szCs w:val="18"/>
    </w:rPr>
  </w:style>
  <w:style w:type="table" w:customStyle="1" w:styleId="PlainTable21">
    <w:name w:val="Plain Table 21"/>
    <w:basedOn w:val="a1"/>
    <w:uiPriority w:val="42"/>
    <w:rsid w:val="00882276"/>
    <w:rPr>
      <w:rFonts w:asciiTheme="minorHAnsi" w:hAnsiTheme="minorHAnsi" w:cstheme="minorBidi"/>
      <w:kern w:val="2"/>
      <w:sz w:val="21"/>
      <w:szCs w:val="22"/>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4">
    <w:name w:val="header"/>
    <w:basedOn w:val="a"/>
    <w:link w:val="Char0"/>
    <w:unhideWhenUsed/>
    <w:rsid w:val="0010375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03753"/>
    <w:rPr>
      <w:sz w:val="18"/>
      <w:szCs w:val="18"/>
    </w:rPr>
  </w:style>
  <w:style w:type="paragraph" w:styleId="a5">
    <w:name w:val="footer"/>
    <w:basedOn w:val="a"/>
    <w:link w:val="Char1"/>
    <w:uiPriority w:val="99"/>
    <w:unhideWhenUsed/>
    <w:rsid w:val="00103753"/>
    <w:pPr>
      <w:tabs>
        <w:tab w:val="center" w:pos="4153"/>
        <w:tab w:val="right" w:pos="8306"/>
      </w:tabs>
      <w:snapToGrid w:val="0"/>
    </w:pPr>
    <w:rPr>
      <w:sz w:val="18"/>
      <w:szCs w:val="18"/>
    </w:rPr>
  </w:style>
  <w:style w:type="character" w:customStyle="1" w:styleId="Char1">
    <w:name w:val="页脚 Char"/>
    <w:basedOn w:val="a0"/>
    <w:link w:val="a5"/>
    <w:uiPriority w:val="99"/>
    <w:rsid w:val="00103753"/>
    <w:rPr>
      <w:sz w:val="18"/>
      <w:szCs w:val="18"/>
    </w:rPr>
  </w:style>
  <w:style w:type="character" w:styleId="a6">
    <w:name w:val="Hyperlink"/>
    <w:basedOn w:val="a0"/>
    <w:unhideWhenUsed/>
    <w:rsid w:val="002375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35</Pages>
  <Words>7208</Words>
  <Characters>41090</Characters>
  <Application>Microsoft Office Word</Application>
  <DocSecurity>0</DocSecurity>
  <Lines>342</Lines>
  <Paragraphs>96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38</cp:revision>
  <dcterms:created xsi:type="dcterms:W3CDTF">2020-12-23T03:18:00Z</dcterms:created>
  <dcterms:modified xsi:type="dcterms:W3CDTF">2021-01-11T01:51:00Z</dcterms:modified>
</cp:coreProperties>
</file>