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924509" w14:textId="77777777" w:rsidR="00A77B3E" w:rsidRPr="00C51CF1" w:rsidRDefault="005B1767">
      <w:pPr>
        <w:spacing w:line="360" w:lineRule="auto"/>
        <w:jc w:val="both"/>
        <w:rPr>
          <w:rFonts w:ascii="Book Antiqua" w:hAnsi="Book Antiqua"/>
          <w:lang w:val="en-US"/>
        </w:rPr>
      </w:pPr>
      <w:r w:rsidRPr="00C51CF1">
        <w:rPr>
          <w:rFonts w:ascii="Book Antiqua" w:eastAsia="Book Antiqua" w:hAnsi="Book Antiqua" w:cs="Book Antiqua"/>
          <w:b/>
          <w:color w:val="000000"/>
          <w:lang w:val="en-US"/>
        </w:rPr>
        <w:t xml:space="preserve">Name of Journal: </w:t>
      </w:r>
      <w:r w:rsidRPr="00C51CF1">
        <w:rPr>
          <w:rFonts w:ascii="Book Antiqua" w:eastAsia="Book Antiqua" w:hAnsi="Book Antiqua" w:cs="Book Antiqua"/>
          <w:i/>
          <w:color w:val="000000"/>
          <w:lang w:val="en-US"/>
        </w:rPr>
        <w:t>World Journal of Gastroenterology</w:t>
      </w:r>
    </w:p>
    <w:p w14:paraId="766F40F5" w14:textId="77777777" w:rsidR="00A77B3E" w:rsidRPr="00C51CF1" w:rsidRDefault="005B1767">
      <w:pPr>
        <w:spacing w:line="360" w:lineRule="auto"/>
        <w:jc w:val="both"/>
        <w:rPr>
          <w:rFonts w:ascii="Book Antiqua" w:hAnsi="Book Antiqua"/>
          <w:lang w:val="en-US"/>
        </w:rPr>
      </w:pPr>
      <w:r w:rsidRPr="00C51CF1">
        <w:rPr>
          <w:rFonts w:ascii="Book Antiqua" w:eastAsia="Book Antiqua" w:hAnsi="Book Antiqua" w:cs="Book Antiqua"/>
          <w:b/>
          <w:color w:val="000000"/>
          <w:lang w:val="en-US"/>
        </w:rPr>
        <w:t xml:space="preserve">Manuscript NO: </w:t>
      </w:r>
      <w:r w:rsidRPr="00C51CF1">
        <w:rPr>
          <w:rFonts w:ascii="Book Antiqua" w:eastAsia="Book Antiqua" w:hAnsi="Book Antiqua" w:cs="Book Antiqua"/>
          <w:color w:val="000000"/>
          <w:lang w:val="en-US"/>
        </w:rPr>
        <w:t>63873</w:t>
      </w:r>
    </w:p>
    <w:p w14:paraId="251BFD47" w14:textId="77777777" w:rsidR="00A77B3E" w:rsidRPr="00C51CF1" w:rsidRDefault="005B1767">
      <w:pPr>
        <w:spacing w:line="360" w:lineRule="auto"/>
        <w:jc w:val="both"/>
        <w:rPr>
          <w:rFonts w:ascii="Book Antiqua" w:hAnsi="Book Antiqua"/>
          <w:lang w:val="en-US"/>
        </w:rPr>
      </w:pPr>
      <w:r w:rsidRPr="00C51CF1">
        <w:rPr>
          <w:rFonts w:ascii="Book Antiqua" w:eastAsia="Book Antiqua" w:hAnsi="Book Antiqua" w:cs="Book Antiqua"/>
          <w:b/>
          <w:color w:val="000000"/>
          <w:lang w:val="en-US"/>
        </w:rPr>
        <w:t xml:space="preserve">Manuscript Type: </w:t>
      </w:r>
      <w:r w:rsidRPr="00C51CF1">
        <w:rPr>
          <w:rFonts w:ascii="Book Antiqua" w:eastAsia="Book Antiqua" w:hAnsi="Book Antiqua" w:cs="Book Antiqua"/>
          <w:color w:val="000000"/>
          <w:lang w:val="en-US"/>
        </w:rPr>
        <w:t>REVIEW</w:t>
      </w:r>
    </w:p>
    <w:p w14:paraId="3DD05373" w14:textId="77777777" w:rsidR="00A77B3E" w:rsidRPr="00C51CF1" w:rsidRDefault="00A77B3E">
      <w:pPr>
        <w:spacing w:line="360" w:lineRule="auto"/>
        <w:jc w:val="both"/>
        <w:rPr>
          <w:rFonts w:ascii="Book Antiqua" w:hAnsi="Book Antiqua"/>
          <w:lang w:val="en-US"/>
        </w:rPr>
      </w:pPr>
    </w:p>
    <w:p w14:paraId="7C1E47A1" w14:textId="77777777" w:rsidR="00A77B3E" w:rsidRPr="00C51CF1" w:rsidRDefault="005B1767">
      <w:pPr>
        <w:spacing w:line="360" w:lineRule="auto"/>
        <w:jc w:val="both"/>
        <w:rPr>
          <w:rFonts w:ascii="Book Antiqua" w:hAnsi="Book Antiqua"/>
          <w:lang w:val="en-US"/>
        </w:rPr>
      </w:pPr>
      <w:r w:rsidRPr="00C51CF1">
        <w:rPr>
          <w:rFonts w:ascii="Book Antiqua" w:eastAsia="Book Antiqua" w:hAnsi="Book Antiqua" w:cs="Book Antiqua"/>
          <w:b/>
          <w:color w:val="000000"/>
          <w:lang w:val="en-US"/>
        </w:rPr>
        <w:t>Hepatocellular carcinoma in viral and autoimmune liver diseases: Role of CD4+ CD25+ Foxp3+ regulatory T cells in the immune microenvironment</w:t>
      </w:r>
    </w:p>
    <w:p w14:paraId="30AED810" w14:textId="77777777" w:rsidR="00A77B3E" w:rsidRPr="00C51CF1" w:rsidRDefault="00A77B3E">
      <w:pPr>
        <w:spacing w:line="360" w:lineRule="auto"/>
        <w:jc w:val="both"/>
        <w:rPr>
          <w:rFonts w:ascii="Book Antiqua" w:hAnsi="Book Antiqua"/>
          <w:lang w:val="en-US"/>
        </w:rPr>
      </w:pPr>
    </w:p>
    <w:p w14:paraId="3EA398EE" w14:textId="1683A454" w:rsidR="00A77B3E" w:rsidRPr="00C51CF1" w:rsidRDefault="007E54F3">
      <w:pPr>
        <w:spacing w:line="360" w:lineRule="auto"/>
        <w:jc w:val="both"/>
        <w:rPr>
          <w:rFonts w:ascii="Book Antiqua" w:hAnsi="Book Antiqua"/>
        </w:rPr>
      </w:pPr>
      <w:r w:rsidRPr="00C51CF1">
        <w:rPr>
          <w:rFonts w:ascii="Book Antiqua" w:eastAsia="Book Antiqua" w:hAnsi="Book Antiqua" w:cs="Book Antiqua"/>
          <w:color w:val="000000"/>
        </w:rPr>
        <w:t xml:space="preserve">Granito A </w:t>
      </w:r>
      <w:r w:rsidRPr="00C51CF1">
        <w:rPr>
          <w:rFonts w:ascii="Book Antiqua" w:eastAsia="Book Antiqua" w:hAnsi="Book Antiqua" w:cs="Book Antiqua"/>
          <w:i/>
          <w:iCs/>
          <w:color w:val="000000"/>
        </w:rPr>
        <w:t>et al</w:t>
      </w:r>
      <w:r w:rsidRPr="00C51CF1">
        <w:rPr>
          <w:rFonts w:ascii="Book Antiqua" w:eastAsia="Book Antiqua" w:hAnsi="Book Antiqua" w:cs="Book Antiqua"/>
          <w:color w:val="000000"/>
        </w:rPr>
        <w:t xml:space="preserve">. </w:t>
      </w:r>
      <w:r w:rsidR="005B1767" w:rsidRPr="00C51CF1">
        <w:rPr>
          <w:rFonts w:ascii="Book Antiqua" w:eastAsia="Book Antiqua" w:hAnsi="Book Antiqua" w:cs="Book Antiqua"/>
          <w:color w:val="000000"/>
        </w:rPr>
        <w:t>Regulatory T cells in liver diseases</w:t>
      </w:r>
    </w:p>
    <w:p w14:paraId="252EC85E" w14:textId="77777777" w:rsidR="00A77B3E" w:rsidRPr="00C51CF1" w:rsidRDefault="00A77B3E">
      <w:pPr>
        <w:spacing w:line="360" w:lineRule="auto"/>
        <w:jc w:val="both"/>
        <w:rPr>
          <w:rFonts w:ascii="Book Antiqua" w:hAnsi="Book Antiqua"/>
        </w:rPr>
      </w:pPr>
    </w:p>
    <w:p w14:paraId="0EC972D4"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Alessandro Granito, Luigi Muratori, Claudine Lalanne, Chiara Quarneti, Silvia Ferri, Marcello Guidi, Marco Lenzi, Paolo Muratori</w:t>
      </w:r>
    </w:p>
    <w:p w14:paraId="6146D6BA" w14:textId="77777777" w:rsidR="00A77B3E" w:rsidRPr="00C51CF1" w:rsidRDefault="00A77B3E">
      <w:pPr>
        <w:spacing w:line="360" w:lineRule="auto"/>
        <w:jc w:val="both"/>
        <w:rPr>
          <w:rFonts w:ascii="Book Antiqua" w:hAnsi="Book Antiqua"/>
        </w:rPr>
      </w:pPr>
    </w:p>
    <w:p w14:paraId="75A881BF"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b/>
          <w:bCs/>
          <w:color w:val="000000"/>
        </w:rPr>
        <w:t xml:space="preserve">Alessandro Granito, </w:t>
      </w:r>
      <w:r w:rsidRPr="00C51CF1">
        <w:rPr>
          <w:rFonts w:ascii="Book Antiqua" w:eastAsia="Book Antiqua" w:hAnsi="Book Antiqua" w:cs="Book Antiqua"/>
          <w:color w:val="000000"/>
        </w:rPr>
        <w:t>Division of Internal Medicine, Hepatobiliary and Immunoallergic Diseases, IRCCS Azienda Ospedaliero-Universitaria di Bologna, University of Bologna, Bologna 40138, Italy</w:t>
      </w:r>
    </w:p>
    <w:p w14:paraId="5C8676F8" w14:textId="77777777" w:rsidR="00A77B3E" w:rsidRPr="00C51CF1" w:rsidRDefault="00A77B3E">
      <w:pPr>
        <w:spacing w:line="360" w:lineRule="auto"/>
        <w:jc w:val="both"/>
        <w:rPr>
          <w:rFonts w:ascii="Book Antiqua" w:hAnsi="Book Antiqua"/>
        </w:rPr>
      </w:pPr>
    </w:p>
    <w:p w14:paraId="2D8EE83A" w14:textId="77777777" w:rsidR="00A77B3E" w:rsidRPr="00C51CF1" w:rsidRDefault="005B1767">
      <w:pPr>
        <w:spacing w:line="360" w:lineRule="auto"/>
        <w:jc w:val="both"/>
        <w:rPr>
          <w:rFonts w:ascii="Book Antiqua" w:hAnsi="Book Antiqua"/>
          <w:lang w:val="en-US"/>
        </w:rPr>
      </w:pPr>
      <w:r w:rsidRPr="00C51CF1">
        <w:rPr>
          <w:rFonts w:ascii="Book Antiqua" w:eastAsia="Book Antiqua" w:hAnsi="Book Antiqua" w:cs="Book Antiqua"/>
          <w:b/>
          <w:bCs/>
          <w:color w:val="000000"/>
          <w:lang w:val="en-US"/>
        </w:rPr>
        <w:t xml:space="preserve">Alessandro Granito, </w:t>
      </w:r>
      <w:r w:rsidRPr="00C51CF1">
        <w:rPr>
          <w:rFonts w:ascii="Book Antiqua" w:eastAsia="Book Antiqua" w:hAnsi="Book Antiqua" w:cs="Book Antiqua"/>
          <w:color w:val="000000"/>
          <w:lang w:val="en-US"/>
        </w:rPr>
        <w:t>Center for the Study and Treatment of Autoimmune Diseases of the Liver and Biliary System, Department of Medical and Surgical Sciences, University of Bologna, Bologna 40138, Italy</w:t>
      </w:r>
    </w:p>
    <w:p w14:paraId="5E6FD4A2" w14:textId="77777777" w:rsidR="00A77B3E" w:rsidRPr="00C51CF1" w:rsidRDefault="00A77B3E">
      <w:pPr>
        <w:spacing w:line="360" w:lineRule="auto"/>
        <w:jc w:val="both"/>
        <w:rPr>
          <w:rFonts w:ascii="Book Antiqua" w:hAnsi="Book Antiqua"/>
          <w:lang w:val="en-US"/>
        </w:rPr>
      </w:pPr>
    </w:p>
    <w:p w14:paraId="033D2359" w14:textId="4DAC633B" w:rsidR="00A77B3E" w:rsidRPr="00C51CF1" w:rsidRDefault="005B1767" w:rsidP="00AD5510">
      <w:pPr>
        <w:spacing w:line="360" w:lineRule="auto"/>
        <w:jc w:val="both"/>
        <w:rPr>
          <w:rFonts w:ascii="Book Antiqua" w:hAnsi="Book Antiqua"/>
          <w:lang w:val="en-US"/>
        </w:rPr>
      </w:pPr>
      <w:r w:rsidRPr="00C51CF1">
        <w:rPr>
          <w:rFonts w:ascii="Book Antiqua" w:eastAsia="Book Antiqua" w:hAnsi="Book Antiqua" w:cs="Book Antiqua"/>
          <w:b/>
          <w:bCs/>
          <w:color w:val="000000"/>
          <w:lang w:val="en-US"/>
        </w:rPr>
        <w:t xml:space="preserve">Luigi Muratori, Marco Lenzi, </w:t>
      </w:r>
      <w:r w:rsidR="0091716C" w:rsidRPr="00C51CF1">
        <w:rPr>
          <w:rFonts w:ascii="Book Antiqua" w:hAnsi="Book Antiqua"/>
          <w:lang w:val="en-US"/>
        </w:rPr>
        <w:t xml:space="preserve">Division of </w:t>
      </w:r>
      <w:r w:rsidR="0091716C" w:rsidRPr="00C51CF1">
        <w:rPr>
          <w:rStyle w:val="a9"/>
          <w:rFonts w:ascii="Book Antiqua" w:hAnsi="Book Antiqua"/>
          <w:i w:val="0"/>
          <w:iCs w:val="0"/>
          <w:lang w:val="en-US"/>
        </w:rPr>
        <w:t>Internal Medicine</w:t>
      </w:r>
      <w:r w:rsidR="0091716C" w:rsidRPr="00C51CF1">
        <w:rPr>
          <w:rFonts w:ascii="Book Antiqua" w:hAnsi="Book Antiqua"/>
          <w:lang w:val="en-US"/>
        </w:rPr>
        <w:t xml:space="preserve"> and</w:t>
      </w:r>
      <w:r w:rsidR="00DF545B" w:rsidRPr="00C51CF1">
        <w:rPr>
          <w:rFonts w:ascii="Book Antiqua" w:hAnsi="Book Antiqua"/>
          <w:lang w:val="en-US"/>
        </w:rPr>
        <w:t xml:space="preserve"> </w:t>
      </w:r>
      <w:r w:rsidR="0091716C" w:rsidRPr="00C51CF1">
        <w:rPr>
          <w:rStyle w:val="a9"/>
          <w:rFonts w:ascii="Book Antiqua" w:hAnsi="Book Antiqua"/>
          <w:i w:val="0"/>
          <w:iCs w:val="0"/>
          <w:lang w:val="en-US"/>
        </w:rPr>
        <w:t>Immunorheumatology</w:t>
      </w:r>
      <w:r w:rsidR="0091716C" w:rsidRPr="00C51CF1">
        <w:rPr>
          <w:rFonts w:ascii="Book Antiqua" w:hAnsi="Book Antiqua"/>
          <w:lang w:val="en-US"/>
        </w:rPr>
        <w:t xml:space="preserve">, </w:t>
      </w:r>
      <w:r w:rsidRPr="00C51CF1">
        <w:rPr>
          <w:rFonts w:ascii="Book Antiqua" w:eastAsia="Book Antiqua" w:hAnsi="Book Antiqua" w:cs="Book Antiqua"/>
          <w:color w:val="000000"/>
          <w:lang w:val="en-US"/>
        </w:rPr>
        <w:t>IRCCS Azienda Ospedaliero-Universitaria di Bologna, Center for the Study and Treatment of Autoimmune Diseases of the Liver and Biliary System, University of Bologna, Bologna 40138, Italy</w:t>
      </w:r>
    </w:p>
    <w:p w14:paraId="4AE2BDC1" w14:textId="77777777" w:rsidR="005348A1" w:rsidRPr="00C51CF1" w:rsidRDefault="005348A1">
      <w:pPr>
        <w:spacing w:line="360" w:lineRule="auto"/>
        <w:jc w:val="both"/>
        <w:rPr>
          <w:rFonts w:ascii="Book Antiqua" w:eastAsia="Book Antiqua" w:hAnsi="Book Antiqua" w:cs="Book Antiqua"/>
          <w:b/>
          <w:bCs/>
          <w:color w:val="000000"/>
        </w:rPr>
      </w:pPr>
    </w:p>
    <w:p w14:paraId="190896D2" w14:textId="6967B6F5" w:rsidR="00A77B3E" w:rsidRPr="00C51CF1" w:rsidRDefault="005B1767">
      <w:pPr>
        <w:spacing w:line="360" w:lineRule="auto"/>
        <w:jc w:val="both"/>
        <w:rPr>
          <w:rFonts w:ascii="Book Antiqua" w:hAnsi="Book Antiqua"/>
          <w:lang w:val="en-US"/>
        </w:rPr>
      </w:pPr>
      <w:r w:rsidRPr="00C51CF1">
        <w:rPr>
          <w:rFonts w:ascii="Book Antiqua" w:eastAsia="Book Antiqua" w:hAnsi="Book Antiqua" w:cs="Book Antiqua"/>
          <w:b/>
          <w:bCs/>
          <w:color w:val="000000"/>
          <w:lang w:val="en-US"/>
        </w:rPr>
        <w:t xml:space="preserve">Luigi Muratori, Marco Lenzi, </w:t>
      </w:r>
      <w:r w:rsidRPr="00C51CF1">
        <w:rPr>
          <w:rFonts w:ascii="Book Antiqua" w:eastAsia="Book Antiqua" w:hAnsi="Book Antiqua" w:cs="Book Antiqua"/>
          <w:color w:val="000000"/>
          <w:lang w:val="en-US"/>
        </w:rPr>
        <w:t>Department of Medical and Surgical Sciences, University of Bologna, Bologna 40138, Italy</w:t>
      </w:r>
    </w:p>
    <w:p w14:paraId="798EAE68" w14:textId="77777777" w:rsidR="00A77B3E" w:rsidRPr="00C51CF1" w:rsidRDefault="00A77B3E">
      <w:pPr>
        <w:spacing w:line="360" w:lineRule="auto"/>
        <w:jc w:val="both"/>
        <w:rPr>
          <w:rFonts w:ascii="Book Antiqua" w:hAnsi="Book Antiqua"/>
          <w:lang w:val="en-US"/>
        </w:rPr>
      </w:pPr>
    </w:p>
    <w:p w14:paraId="71C5CDDB" w14:textId="38D71A9F" w:rsidR="00A77B3E" w:rsidRPr="00C51CF1" w:rsidRDefault="005B1767">
      <w:pPr>
        <w:spacing w:line="360" w:lineRule="auto"/>
        <w:jc w:val="both"/>
        <w:rPr>
          <w:rFonts w:ascii="Book Antiqua" w:eastAsia="Book Antiqua" w:hAnsi="Book Antiqua" w:cs="Book Antiqua"/>
          <w:color w:val="000000"/>
          <w:lang w:val="en-US"/>
        </w:rPr>
      </w:pPr>
      <w:r w:rsidRPr="00C51CF1">
        <w:rPr>
          <w:rFonts w:ascii="Book Antiqua" w:eastAsia="Book Antiqua" w:hAnsi="Book Antiqua" w:cs="Book Antiqua"/>
          <w:b/>
          <w:bCs/>
          <w:color w:val="000000"/>
          <w:lang w:val="en-US"/>
        </w:rPr>
        <w:lastRenderedPageBreak/>
        <w:t xml:space="preserve">Claudine Lalanne, Chiara Quarneti, Silvia Ferri, Marcello Guidi, </w:t>
      </w:r>
      <w:r w:rsidRPr="00C51CF1">
        <w:rPr>
          <w:rFonts w:ascii="Book Antiqua" w:eastAsia="Book Antiqua" w:hAnsi="Book Antiqua" w:cs="Book Antiqua"/>
          <w:color w:val="000000"/>
          <w:lang w:val="en-US"/>
        </w:rPr>
        <w:t>Division of Internal Medicine, IRCCS Azienda Ospedaliero-Universitaria di Bologna, Center for the Study and Treatment of Autoimmune Diseases of the Liver and Biliary System, Bologna 40138, Italy</w:t>
      </w:r>
    </w:p>
    <w:p w14:paraId="2F25090C" w14:textId="77777777" w:rsidR="005504CF" w:rsidRPr="00C51CF1" w:rsidRDefault="005504CF">
      <w:pPr>
        <w:spacing w:line="360" w:lineRule="auto"/>
        <w:jc w:val="both"/>
        <w:rPr>
          <w:rFonts w:ascii="Book Antiqua" w:hAnsi="Book Antiqua"/>
          <w:lang w:val="en-US"/>
        </w:rPr>
      </w:pPr>
    </w:p>
    <w:p w14:paraId="4C7730FC" w14:textId="00AEBF5E" w:rsidR="00A77B3E" w:rsidRPr="00C51CF1" w:rsidRDefault="005348A1">
      <w:pPr>
        <w:spacing w:line="360" w:lineRule="auto"/>
        <w:jc w:val="both"/>
        <w:rPr>
          <w:rFonts w:ascii="Book Antiqua" w:eastAsia="Book Antiqua" w:hAnsi="Book Antiqua" w:cs="Book Antiqua"/>
          <w:color w:val="000000"/>
          <w:lang w:val="en-US"/>
        </w:rPr>
      </w:pPr>
      <w:r w:rsidRPr="00C51CF1">
        <w:rPr>
          <w:rFonts w:ascii="Book Antiqua" w:eastAsia="Book Antiqua" w:hAnsi="Book Antiqua" w:cs="Book Antiqua"/>
          <w:b/>
          <w:bCs/>
          <w:color w:val="000000"/>
          <w:lang w:val="en-US"/>
        </w:rPr>
        <w:t>Paolo Muratori,</w:t>
      </w:r>
      <w:r w:rsidRPr="00C51CF1">
        <w:rPr>
          <w:rFonts w:ascii="Book Antiqua" w:eastAsia="Book Antiqua" w:hAnsi="Book Antiqua" w:cs="Book Antiqua"/>
          <w:color w:val="000000"/>
          <w:lang w:val="en-US"/>
        </w:rPr>
        <w:t xml:space="preserve"> Division of Internal Medicine, Morgagni-Pierantoni Hospital, Forlì 47100, Italy</w:t>
      </w:r>
    </w:p>
    <w:p w14:paraId="4AF017E8" w14:textId="77777777" w:rsidR="005348A1" w:rsidRPr="00C51CF1" w:rsidRDefault="005348A1">
      <w:pPr>
        <w:spacing w:line="360" w:lineRule="auto"/>
        <w:jc w:val="both"/>
        <w:rPr>
          <w:rFonts w:ascii="Book Antiqua" w:eastAsia="Book Antiqua" w:hAnsi="Book Antiqua" w:cs="Book Antiqua"/>
          <w:color w:val="000000"/>
          <w:lang w:val="en-US"/>
        </w:rPr>
      </w:pPr>
    </w:p>
    <w:p w14:paraId="139F1914"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b/>
          <w:bCs/>
          <w:color w:val="000000"/>
        </w:rPr>
        <w:t xml:space="preserve">Paolo Muratori, </w:t>
      </w:r>
      <w:r w:rsidRPr="00C51CF1">
        <w:rPr>
          <w:rFonts w:ascii="Book Antiqua" w:eastAsia="Book Antiqua" w:hAnsi="Book Antiqua" w:cs="Book Antiqua"/>
          <w:color w:val="000000"/>
        </w:rPr>
        <w:t>Department of Science for the Quality of Life, University of Bologna, Bologna 40138, Italy</w:t>
      </w:r>
    </w:p>
    <w:p w14:paraId="5991CC76" w14:textId="77777777" w:rsidR="00A77B3E" w:rsidRPr="00C51CF1" w:rsidRDefault="00A77B3E">
      <w:pPr>
        <w:spacing w:line="360" w:lineRule="auto"/>
        <w:jc w:val="both"/>
        <w:rPr>
          <w:rFonts w:ascii="Book Antiqua" w:hAnsi="Book Antiqua"/>
        </w:rPr>
      </w:pPr>
    </w:p>
    <w:p w14:paraId="495DAD8C"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b/>
          <w:bCs/>
          <w:color w:val="000000"/>
        </w:rPr>
        <w:t xml:space="preserve">Author contributions: </w:t>
      </w:r>
      <w:r w:rsidRPr="00C51CF1">
        <w:rPr>
          <w:rFonts w:ascii="Book Antiqua" w:eastAsia="Book Antiqua" w:hAnsi="Book Antiqua" w:cs="Book Antiqua"/>
          <w:color w:val="000000"/>
          <w:shd w:val="clear" w:color="auto" w:fill="FFFFFF"/>
        </w:rPr>
        <w:t>Granito A, Muratori L and Muratori P reviewed the literature and drafted the manuscript; Granito A, Muratori L, Lalanne C, Ferri S, Quarneti C and Muratori P analyzed and critically interpreted literature data; all authors were involved in acquisition of data; all authors critically reviewed the manuscript and approved the final version of this manuscript.</w:t>
      </w:r>
    </w:p>
    <w:p w14:paraId="29D7B62B" w14:textId="77777777" w:rsidR="00A77B3E" w:rsidRPr="00C51CF1" w:rsidRDefault="00A77B3E">
      <w:pPr>
        <w:spacing w:line="360" w:lineRule="auto"/>
        <w:jc w:val="both"/>
        <w:rPr>
          <w:rFonts w:ascii="Book Antiqua" w:hAnsi="Book Antiqua"/>
        </w:rPr>
      </w:pPr>
    </w:p>
    <w:p w14:paraId="53744F16"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b/>
          <w:bCs/>
          <w:color w:val="000000"/>
        </w:rPr>
        <w:t xml:space="preserve">Corresponding author: Alessandro Granito, MD, Assistant Professor, </w:t>
      </w:r>
      <w:r w:rsidRPr="00C51CF1">
        <w:rPr>
          <w:rFonts w:ascii="Book Antiqua" w:eastAsia="Book Antiqua" w:hAnsi="Book Antiqua" w:cs="Book Antiqua"/>
          <w:color w:val="000000"/>
        </w:rPr>
        <w:t>Division of Internal Medicine, Hepatobiliary and Immunoallergic Diseases, IRCCS Azienda Ospedaliero-Universitaria di Bologna, University of Bologna, Via Albertoni 15, Bologna 40138, Italy. alessandro.granito@unibo.it</w:t>
      </w:r>
    </w:p>
    <w:p w14:paraId="300AD310" w14:textId="77777777" w:rsidR="00A77B3E" w:rsidRPr="00C51CF1" w:rsidRDefault="00A77B3E">
      <w:pPr>
        <w:spacing w:line="360" w:lineRule="auto"/>
        <w:jc w:val="both"/>
        <w:rPr>
          <w:rFonts w:ascii="Book Antiqua" w:hAnsi="Book Antiqua"/>
        </w:rPr>
      </w:pPr>
    </w:p>
    <w:p w14:paraId="2A4FDF03"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b/>
          <w:bCs/>
          <w:color w:val="000000"/>
        </w:rPr>
        <w:t xml:space="preserve">Received: </w:t>
      </w:r>
      <w:r w:rsidRPr="00C51CF1">
        <w:rPr>
          <w:rFonts w:ascii="Book Antiqua" w:eastAsia="Book Antiqua" w:hAnsi="Book Antiqua" w:cs="Book Antiqua"/>
          <w:color w:val="000000"/>
        </w:rPr>
        <w:t>February 4, 2021</w:t>
      </w:r>
    </w:p>
    <w:p w14:paraId="552B3388"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b/>
          <w:bCs/>
          <w:color w:val="000000"/>
        </w:rPr>
        <w:t xml:space="preserve">Revised: </w:t>
      </w:r>
      <w:r w:rsidRPr="00C51CF1">
        <w:rPr>
          <w:rFonts w:ascii="Book Antiqua" w:eastAsia="Book Antiqua" w:hAnsi="Book Antiqua" w:cs="Book Antiqua"/>
          <w:color w:val="000000"/>
        </w:rPr>
        <w:t>April 9, 2021</w:t>
      </w:r>
    </w:p>
    <w:p w14:paraId="7564C025" w14:textId="2D293051" w:rsidR="00A77B3E" w:rsidRPr="00C51CF1" w:rsidRDefault="005B1767">
      <w:pPr>
        <w:spacing w:line="360" w:lineRule="auto"/>
        <w:jc w:val="both"/>
        <w:rPr>
          <w:rFonts w:ascii="Book Antiqua" w:hAnsi="Book Antiqua"/>
        </w:rPr>
      </w:pPr>
      <w:r w:rsidRPr="00C51CF1">
        <w:rPr>
          <w:rFonts w:ascii="Book Antiqua" w:eastAsia="Book Antiqua" w:hAnsi="Book Antiqua" w:cs="Book Antiqua"/>
          <w:b/>
          <w:bCs/>
          <w:color w:val="000000"/>
        </w:rPr>
        <w:t xml:space="preserve">Accepted: </w:t>
      </w:r>
      <w:r w:rsidR="006013DE" w:rsidRPr="00C51CF1">
        <w:rPr>
          <w:rFonts w:ascii="Book Antiqua" w:eastAsia="Book Antiqua" w:hAnsi="Book Antiqua" w:cs="Book Antiqua"/>
          <w:color w:val="000000"/>
        </w:rPr>
        <w:t>May 7, 2021</w:t>
      </w:r>
    </w:p>
    <w:p w14:paraId="352C402E" w14:textId="365D0B4B" w:rsidR="00A77B3E" w:rsidRPr="00C51CF1" w:rsidRDefault="005B1767">
      <w:pPr>
        <w:spacing w:line="360" w:lineRule="auto"/>
        <w:jc w:val="both"/>
        <w:rPr>
          <w:rFonts w:ascii="Book Antiqua" w:hAnsi="Book Antiqua"/>
        </w:rPr>
      </w:pPr>
      <w:r w:rsidRPr="00C51CF1">
        <w:rPr>
          <w:rFonts w:ascii="Book Antiqua" w:eastAsia="Book Antiqua" w:hAnsi="Book Antiqua" w:cs="Book Antiqua"/>
          <w:b/>
          <w:bCs/>
          <w:color w:val="000000"/>
        </w:rPr>
        <w:t xml:space="preserve">Published online: </w:t>
      </w:r>
      <w:r w:rsidR="00767B84" w:rsidRPr="002F4ED8">
        <w:rPr>
          <w:rFonts w:ascii="Book Antiqua" w:eastAsia="Book Antiqua" w:hAnsi="Book Antiqua" w:cs="Book Antiqua"/>
          <w:bCs/>
        </w:rPr>
        <w:t>June</w:t>
      </w:r>
      <w:r w:rsidR="00767B84">
        <w:rPr>
          <w:rFonts w:ascii="Book Antiqua" w:hAnsi="Book Antiqua" w:cs="Book Antiqua" w:hint="eastAsia"/>
          <w:bCs/>
        </w:rPr>
        <w:t xml:space="preserve"> </w:t>
      </w:r>
      <w:r w:rsidR="00767B84">
        <w:rPr>
          <w:rFonts w:ascii="Book Antiqua" w:eastAsiaTheme="minorEastAsia" w:hAnsi="Book Antiqua" w:cs="Book Antiqua" w:hint="eastAsia"/>
          <w:bCs/>
        </w:rPr>
        <w:t>14</w:t>
      </w:r>
      <w:r w:rsidR="00767B84" w:rsidRPr="00435A42">
        <w:rPr>
          <w:rFonts w:ascii="Book Antiqua" w:eastAsia="Book Antiqua" w:hAnsi="Book Antiqua" w:cs="Book Antiqua"/>
        </w:rPr>
        <w:t>, 2021</w:t>
      </w:r>
    </w:p>
    <w:p w14:paraId="7DA6FE8C" w14:textId="77777777" w:rsidR="00A77B3E" w:rsidRPr="00C51CF1" w:rsidRDefault="00A77B3E">
      <w:pPr>
        <w:spacing w:line="360" w:lineRule="auto"/>
        <w:jc w:val="both"/>
        <w:rPr>
          <w:rFonts w:ascii="Book Antiqua" w:hAnsi="Book Antiqua"/>
        </w:rPr>
        <w:sectPr w:rsidR="00A77B3E" w:rsidRPr="00C51CF1">
          <w:footerReference w:type="default" r:id="rId8"/>
          <w:pgSz w:w="12240" w:h="15840"/>
          <w:pgMar w:top="1440" w:right="1440" w:bottom="1440" w:left="1440" w:header="720" w:footer="720" w:gutter="0"/>
          <w:cols w:space="720"/>
          <w:docGrid w:linePitch="360"/>
        </w:sectPr>
      </w:pPr>
    </w:p>
    <w:p w14:paraId="0A8038E6"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b/>
          <w:color w:val="000000"/>
        </w:rPr>
        <w:t>Abstract</w:t>
      </w:r>
    </w:p>
    <w:p w14:paraId="2B5989B0" w14:textId="3EC9E2B5"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shd w:val="clear" w:color="auto" w:fill="FFFFFF"/>
        </w:rPr>
        <w:t>More than 90% of cases of</w:t>
      </w:r>
      <w:r w:rsidR="007E54F3" w:rsidRPr="00C51CF1">
        <w:rPr>
          <w:rFonts w:ascii="Book Antiqua" w:eastAsia="Book Antiqua" w:hAnsi="Book Antiqua" w:cs="Book Antiqua"/>
          <w:color w:val="000000"/>
          <w:shd w:val="clear" w:color="auto" w:fill="FFFFFF"/>
        </w:rPr>
        <w:t xml:space="preserve"> </w:t>
      </w:r>
      <w:r w:rsidRPr="00C51CF1">
        <w:rPr>
          <w:rFonts w:ascii="Book Antiqua" w:eastAsia="Book Antiqua" w:hAnsi="Book Antiqua" w:cs="Book Antiqua"/>
          <w:color w:val="000000"/>
          <w:shd w:val="clear" w:color="auto" w:fill="FFFFFF"/>
        </w:rPr>
        <w:t>hepatocellular carcinoma</w:t>
      </w:r>
      <w:r w:rsidR="007E54F3" w:rsidRPr="00C51CF1">
        <w:rPr>
          <w:rFonts w:ascii="Book Antiqua" w:eastAsia="Book Antiqua" w:hAnsi="Book Antiqua" w:cs="Book Antiqua"/>
          <w:color w:val="000000"/>
          <w:shd w:val="clear" w:color="auto" w:fill="FFFFFF"/>
        </w:rPr>
        <w:t xml:space="preserve"> </w:t>
      </w:r>
      <w:r w:rsidRPr="00C51CF1">
        <w:rPr>
          <w:rFonts w:ascii="Book Antiqua" w:eastAsia="Book Antiqua" w:hAnsi="Book Antiqua" w:cs="Book Antiqua"/>
          <w:color w:val="000000"/>
          <w:shd w:val="clear" w:color="auto" w:fill="FFFFFF"/>
        </w:rPr>
        <w:t>(HCC) occurs in</w:t>
      </w:r>
      <w:r w:rsidR="007E54F3" w:rsidRPr="00C51CF1">
        <w:rPr>
          <w:rFonts w:ascii="Book Antiqua" w:eastAsia="Book Antiqua" w:hAnsi="Book Antiqua" w:cs="Book Antiqua"/>
          <w:color w:val="000000"/>
          <w:shd w:val="clear" w:color="auto" w:fill="FFFFFF"/>
        </w:rPr>
        <w:t xml:space="preserve"> </w:t>
      </w:r>
      <w:r w:rsidRPr="00C51CF1">
        <w:rPr>
          <w:rFonts w:ascii="Book Antiqua" w:eastAsia="Book Antiqua" w:hAnsi="Book Antiqua" w:cs="Book Antiqua"/>
          <w:color w:val="000000"/>
          <w:shd w:val="clear" w:color="auto" w:fill="FFFFFF"/>
        </w:rPr>
        <w:t>patients</w:t>
      </w:r>
      <w:r w:rsidR="007E54F3" w:rsidRPr="00C51CF1">
        <w:rPr>
          <w:rFonts w:ascii="Book Antiqua" w:eastAsia="Book Antiqua" w:hAnsi="Book Antiqua" w:cs="Book Antiqua"/>
          <w:color w:val="000000"/>
          <w:shd w:val="clear" w:color="auto" w:fill="FFFFFF"/>
        </w:rPr>
        <w:t xml:space="preserve"> </w:t>
      </w:r>
      <w:r w:rsidRPr="00C51CF1">
        <w:rPr>
          <w:rFonts w:ascii="Book Antiqua" w:eastAsia="Book Antiqua" w:hAnsi="Book Antiqua" w:cs="Book Antiqua"/>
          <w:color w:val="000000"/>
          <w:shd w:val="clear" w:color="auto" w:fill="FFFFFF"/>
        </w:rPr>
        <w:t>with cirrhosis, of which hepatitis B virus</w:t>
      </w:r>
      <w:r w:rsidR="007E54F3" w:rsidRPr="00C51CF1">
        <w:rPr>
          <w:rFonts w:ascii="Book Antiqua" w:eastAsia="Book Antiqua" w:hAnsi="Book Antiqua" w:cs="Book Antiqua"/>
          <w:color w:val="000000"/>
          <w:shd w:val="clear" w:color="auto" w:fill="FFFFFF"/>
        </w:rPr>
        <w:t xml:space="preserve"> </w:t>
      </w:r>
      <w:r w:rsidRPr="00C51CF1">
        <w:rPr>
          <w:rFonts w:ascii="Book Antiqua" w:eastAsia="Book Antiqua" w:hAnsi="Book Antiqua" w:cs="Book Antiqua"/>
          <w:color w:val="000000"/>
          <w:shd w:val="clear" w:color="auto" w:fill="FFFFFF"/>
        </w:rPr>
        <w:t>and hepatitis C virus</w:t>
      </w:r>
      <w:r w:rsidR="007E54F3" w:rsidRPr="00C51CF1">
        <w:rPr>
          <w:rFonts w:ascii="Book Antiqua" w:eastAsia="Book Antiqua" w:hAnsi="Book Antiqua" w:cs="Book Antiqua"/>
          <w:color w:val="000000"/>
          <w:shd w:val="clear" w:color="auto" w:fill="FFFFFF"/>
        </w:rPr>
        <w:t xml:space="preserve"> </w:t>
      </w:r>
      <w:r w:rsidRPr="00C51CF1">
        <w:rPr>
          <w:rFonts w:ascii="Book Antiqua" w:eastAsia="Book Antiqua" w:hAnsi="Book Antiqua" w:cs="Book Antiqua"/>
          <w:color w:val="000000"/>
          <w:shd w:val="clear" w:color="auto" w:fill="FFFFFF"/>
        </w:rPr>
        <w:t>are the leading causes,</w:t>
      </w:r>
      <w:r w:rsidRPr="00C51CF1">
        <w:rPr>
          <w:rFonts w:ascii="Book Antiqua" w:eastAsia="Book Antiqua" w:hAnsi="Book Antiqua" w:cs="Book Antiqua"/>
          <w:color w:val="000000"/>
        </w:rPr>
        <w:t xml:space="preserve"> while the tumor less frequently arises in autoimmune liver diseases.</w:t>
      </w:r>
      <w:r w:rsidR="007E54F3" w:rsidRPr="00C51CF1">
        <w:rPr>
          <w:rFonts w:ascii="Book Antiqua" w:eastAsia="Book Antiqua" w:hAnsi="Book Antiqua" w:cs="Book Antiqua"/>
          <w:color w:val="000000"/>
        </w:rPr>
        <w:t xml:space="preserve"> </w:t>
      </w:r>
      <w:r w:rsidRPr="00C51CF1">
        <w:rPr>
          <w:rFonts w:ascii="Book Antiqua" w:eastAsia="Book Antiqua" w:hAnsi="Book Antiqua" w:cs="Book Antiqua"/>
          <w:color w:val="000000"/>
        </w:rPr>
        <w:t xml:space="preserve">Advances in understanding tumor immunity have led to a major shift in the treatment of HCC, with the emergence of immunotherapy where therapeutic agents are used to target immune cells rather than cancer cells. Regulatory T cells (Tregs) are the most abundant suppressive cells in the tumor microenvironment and their presence has been correlated with tumor progression, invasiveness, as well as metastasis. Tregs are characterized by the expression of the transcription factor Foxp3 and various mechanisms ranging from cell-to-cell contact to secretion of inhibitory molecules have been implicated in their function. Notably, Tregs amply express checkpoint molecules such as </w:t>
      </w:r>
      <w:r w:rsidR="001C1A8D" w:rsidRPr="00C51CF1">
        <w:rPr>
          <w:rFonts w:ascii="Book Antiqua" w:eastAsia="Book Antiqua" w:hAnsi="Book Antiqua" w:cs="Book Antiqua"/>
          <w:color w:val="000000"/>
        </w:rPr>
        <w:t xml:space="preserve">cytotoxic </w:t>
      </w:r>
      <w:r w:rsidRPr="00C51CF1">
        <w:rPr>
          <w:rFonts w:ascii="Book Antiqua" w:eastAsia="Book Antiqua" w:hAnsi="Book Antiqua" w:cs="Book Antiqua"/>
          <w:color w:val="000000"/>
        </w:rPr>
        <w:t>T lymphocyte</w:t>
      </w:r>
      <w:r w:rsidR="001C1A8D" w:rsidRPr="00C51CF1">
        <w:rPr>
          <w:rFonts w:ascii="Book Antiqua" w:eastAsia="Book Antiqua" w:hAnsi="Book Antiqua" w:cs="Book Antiqua"/>
          <w:color w:val="000000"/>
        </w:rPr>
        <w:t>-</w:t>
      </w:r>
      <w:r w:rsidRPr="00C51CF1">
        <w:rPr>
          <w:rFonts w:ascii="Book Antiqua" w:eastAsia="Book Antiqua" w:hAnsi="Book Antiqua" w:cs="Book Antiqua"/>
          <w:color w:val="000000"/>
        </w:rPr>
        <w:t>associated antigen 4</w:t>
      </w:r>
      <w:r w:rsidR="001C1A8D" w:rsidRPr="00C51CF1">
        <w:rPr>
          <w:rFonts w:ascii="Book Antiqua" w:eastAsia="Book Antiqua" w:hAnsi="Book Antiqua" w:cs="Book Antiqua"/>
          <w:color w:val="000000"/>
        </w:rPr>
        <w:t xml:space="preserve"> </w:t>
      </w:r>
      <w:r w:rsidRPr="00C51CF1">
        <w:rPr>
          <w:rFonts w:ascii="Book Antiqua" w:eastAsia="Book Antiqua" w:hAnsi="Book Antiqua" w:cs="Book Antiqua"/>
          <w:color w:val="000000"/>
        </w:rPr>
        <w:t xml:space="preserve">and </w:t>
      </w:r>
      <w:r w:rsidRPr="00C51CF1">
        <w:rPr>
          <w:rFonts w:ascii="Book Antiqua" w:eastAsia="Book Antiqua" w:hAnsi="Book Antiqua" w:cs="Book Antiqua"/>
          <w:color w:val="000000"/>
          <w:shd w:val="clear" w:color="auto" w:fill="FFFFFF"/>
        </w:rPr>
        <w:t>programmed cell-death 1 receptor</w:t>
      </w:r>
      <w:r w:rsidR="001C1A8D" w:rsidRPr="00C51CF1">
        <w:rPr>
          <w:rFonts w:ascii="Book Antiqua" w:eastAsia="Book Antiqua" w:hAnsi="Book Antiqua" w:cs="Book Antiqua"/>
          <w:color w:val="000000"/>
          <w:shd w:val="clear" w:color="auto" w:fill="FFFFFF"/>
        </w:rPr>
        <w:t xml:space="preserve"> </w:t>
      </w:r>
      <w:r w:rsidRPr="00C51CF1">
        <w:rPr>
          <w:rFonts w:ascii="Book Antiqua" w:eastAsia="Book Antiqua" w:hAnsi="Book Antiqua" w:cs="Book Antiqua"/>
          <w:color w:val="000000"/>
        </w:rPr>
        <w:t>and therefore represent a direct target of immune checkpoint inhibitor (ICI) immunotherapy. Taking into consideration the critical role of Tregs in maintenance of immune homeostasis as well as avoidance of autoimmunity, it is plausible that targeting of Tregs by ICI immunotherapy results in the development of immune</w:t>
      </w:r>
      <w:r w:rsidR="001C1A8D" w:rsidRPr="00C51CF1">
        <w:rPr>
          <w:rFonts w:ascii="Book Antiqua" w:eastAsia="Book Antiqua" w:hAnsi="Book Antiqua" w:cs="Book Antiqua"/>
          <w:color w:val="000000"/>
        </w:rPr>
        <w:t>-</w:t>
      </w:r>
      <w:r w:rsidRPr="00C51CF1">
        <w:rPr>
          <w:rFonts w:ascii="Book Antiqua" w:eastAsia="Book Antiqua" w:hAnsi="Book Antiqua" w:cs="Book Antiqua"/>
          <w:color w:val="000000"/>
        </w:rPr>
        <w:t>related adverse events (irAEs). Since the use of ICI becomes common in oncology, with an increasing number of new immune ICI currently under clinical trials for cancer treatment, the occurrence of irAEs is expected to dramatically rise.</w:t>
      </w:r>
      <w:r w:rsidR="001C1A8D" w:rsidRPr="00C51CF1">
        <w:rPr>
          <w:rFonts w:ascii="Book Antiqua" w:eastAsia="Book Antiqua" w:hAnsi="Book Antiqua" w:cs="Book Antiqua"/>
          <w:color w:val="000000"/>
        </w:rPr>
        <w:t xml:space="preserve"> </w:t>
      </w:r>
      <w:r w:rsidRPr="00C51CF1">
        <w:rPr>
          <w:rFonts w:ascii="Book Antiqua" w:eastAsia="Book Antiqua" w:hAnsi="Book Antiqua" w:cs="Book Antiqua"/>
          <w:color w:val="000000"/>
        </w:rPr>
        <w:t>Herein, we review the current literature focusing on the role of Tregs in HCC evolution taking into account their opposite etiological function in viral and autoimmune chronic liver disease, and we discuss their involvement in irAEs due to the new immunotherapies.</w:t>
      </w:r>
    </w:p>
    <w:p w14:paraId="2503F689" w14:textId="77777777" w:rsidR="00A77B3E" w:rsidRPr="00C51CF1" w:rsidRDefault="00A77B3E">
      <w:pPr>
        <w:spacing w:line="360" w:lineRule="auto"/>
        <w:jc w:val="both"/>
        <w:rPr>
          <w:rFonts w:ascii="Book Antiqua" w:hAnsi="Book Antiqua"/>
        </w:rPr>
      </w:pPr>
    </w:p>
    <w:p w14:paraId="2415B831" w14:textId="6F9F0A9C" w:rsidR="00A77B3E" w:rsidRPr="00C51CF1" w:rsidRDefault="005B1767">
      <w:pPr>
        <w:spacing w:line="360" w:lineRule="auto"/>
        <w:jc w:val="both"/>
        <w:rPr>
          <w:rFonts w:ascii="Book Antiqua" w:hAnsi="Book Antiqua"/>
        </w:rPr>
      </w:pPr>
      <w:r w:rsidRPr="00C51CF1">
        <w:rPr>
          <w:rFonts w:ascii="Book Antiqua" w:eastAsia="Book Antiqua" w:hAnsi="Book Antiqua" w:cs="Book Antiqua"/>
          <w:b/>
          <w:bCs/>
          <w:color w:val="000000"/>
        </w:rPr>
        <w:t xml:space="preserve">Key Words: </w:t>
      </w:r>
      <w:r w:rsidRPr="00C51CF1">
        <w:rPr>
          <w:rFonts w:ascii="Book Antiqua" w:eastAsia="Book Antiqua" w:hAnsi="Book Antiqua" w:cs="Book Antiqua"/>
          <w:color w:val="000000"/>
        </w:rPr>
        <w:t>Autoimmune liver disease; H</w:t>
      </w:r>
      <w:r w:rsidR="007E54F3" w:rsidRPr="00C51CF1">
        <w:rPr>
          <w:rFonts w:ascii="Book Antiqua" w:eastAsia="Book Antiqua" w:hAnsi="Book Antiqua" w:cs="Book Antiqua"/>
          <w:color w:val="000000"/>
          <w:shd w:val="clear" w:color="auto" w:fill="FFFFFF"/>
        </w:rPr>
        <w:t>epatitis B virus</w:t>
      </w:r>
      <w:r w:rsidRPr="00C51CF1">
        <w:rPr>
          <w:rFonts w:ascii="Book Antiqua" w:eastAsia="Book Antiqua" w:hAnsi="Book Antiqua" w:cs="Book Antiqua"/>
          <w:color w:val="000000"/>
        </w:rPr>
        <w:t>-related chronic hepatitis; H</w:t>
      </w:r>
      <w:r w:rsidR="007E54F3" w:rsidRPr="00C51CF1">
        <w:rPr>
          <w:rFonts w:ascii="Book Antiqua" w:eastAsia="Book Antiqua" w:hAnsi="Book Antiqua" w:cs="Book Antiqua"/>
          <w:color w:val="000000"/>
          <w:shd w:val="clear" w:color="auto" w:fill="FFFFFF"/>
        </w:rPr>
        <w:t>epatitis C virus</w:t>
      </w:r>
      <w:r w:rsidRPr="00C51CF1">
        <w:rPr>
          <w:rFonts w:ascii="Book Antiqua" w:eastAsia="Book Antiqua" w:hAnsi="Book Antiqua" w:cs="Book Antiqua"/>
          <w:color w:val="000000"/>
        </w:rPr>
        <w:t xml:space="preserve">-related chronic hepatitis; Hepatocellular carcinoma; </w:t>
      </w:r>
      <w:r w:rsidR="001C1A8D" w:rsidRPr="00C51CF1">
        <w:rPr>
          <w:rFonts w:ascii="Book Antiqua" w:eastAsia="Book Antiqua" w:hAnsi="Book Antiqua" w:cs="Book Antiqua"/>
          <w:color w:val="000000"/>
        </w:rPr>
        <w:t>T</w:t>
      </w:r>
      <w:r w:rsidRPr="00C51CF1">
        <w:rPr>
          <w:rFonts w:ascii="Book Antiqua" w:eastAsia="Book Antiqua" w:hAnsi="Book Antiqua" w:cs="Book Antiqua"/>
          <w:color w:val="000000"/>
        </w:rPr>
        <w:t>umor microenvironment</w:t>
      </w:r>
    </w:p>
    <w:p w14:paraId="02673B0E" w14:textId="77777777" w:rsidR="00126BEE" w:rsidRDefault="00126BEE" w:rsidP="00126BEE">
      <w:pPr>
        <w:spacing w:line="360" w:lineRule="auto"/>
        <w:jc w:val="both"/>
      </w:pPr>
    </w:p>
    <w:p w14:paraId="4D5135B7" w14:textId="77777777" w:rsidR="00126BEE" w:rsidRPr="00026CB8" w:rsidRDefault="00126BEE" w:rsidP="00126BEE">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70480225" w14:textId="77777777" w:rsidR="00A77B3E" w:rsidRPr="00C51CF1" w:rsidRDefault="00A77B3E">
      <w:pPr>
        <w:spacing w:line="360" w:lineRule="auto"/>
        <w:jc w:val="both"/>
        <w:rPr>
          <w:rFonts w:ascii="Book Antiqua" w:hAnsi="Book Antiqua"/>
        </w:rPr>
      </w:pPr>
    </w:p>
    <w:p w14:paraId="7076F8BF" w14:textId="235B446A" w:rsidR="00E96842" w:rsidRDefault="00E96842">
      <w:pPr>
        <w:spacing w:line="360" w:lineRule="auto"/>
        <w:jc w:val="both"/>
        <w:rPr>
          <w:rFonts w:ascii="Book Antiqua" w:eastAsiaTheme="minorEastAsia" w:hAnsi="Book Antiqua" w:cs="Book Antiqua" w:hint="eastAsia"/>
        </w:rPr>
      </w:pPr>
      <w:r w:rsidRPr="00E96842">
        <w:rPr>
          <w:rFonts w:ascii="Book Antiqua" w:eastAsiaTheme="minorEastAsia" w:hAnsi="Book Antiqua" w:cs="Book Antiqua" w:hint="eastAsia"/>
          <w:b/>
          <w:color w:val="000000"/>
        </w:rPr>
        <w:t xml:space="preserve">Citation: </w:t>
      </w:r>
      <w:r w:rsidR="005B1767" w:rsidRPr="00C51CF1">
        <w:rPr>
          <w:rFonts w:ascii="Book Antiqua" w:eastAsia="Book Antiqua" w:hAnsi="Book Antiqua" w:cs="Book Antiqua"/>
          <w:color w:val="000000"/>
        </w:rPr>
        <w:t xml:space="preserve">Granito A, Muratori L, Lalanne C, Quarneti C, Ferri S, Guidi M, Lenzi M, Muratori P. Hepatocellular carcinoma in viral and autoimmune liver diseases: Role of CD4+ CD25+ Foxp3+ regulatory T cells in the immune microenvironment. </w:t>
      </w:r>
      <w:r w:rsidR="005B1767" w:rsidRPr="00C51CF1">
        <w:rPr>
          <w:rFonts w:ascii="Book Antiqua" w:eastAsia="Book Antiqua" w:hAnsi="Book Antiqua" w:cs="Book Antiqua"/>
          <w:i/>
          <w:iCs/>
          <w:color w:val="000000"/>
        </w:rPr>
        <w:t>World J Gastroenterol</w:t>
      </w:r>
      <w:r w:rsidR="005B1767" w:rsidRPr="00C51CF1">
        <w:rPr>
          <w:rFonts w:ascii="Book Antiqua" w:eastAsia="Book Antiqua" w:hAnsi="Book Antiqua" w:cs="Book Antiqua"/>
          <w:color w:val="000000"/>
        </w:rPr>
        <w:t xml:space="preserve"> </w:t>
      </w:r>
      <w:r w:rsidR="00A3602B" w:rsidRPr="0032360E">
        <w:rPr>
          <w:rFonts w:ascii="Book Antiqua" w:eastAsia="Book Antiqua" w:hAnsi="Book Antiqua" w:cs="Book Antiqua"/>
        </w:rPr>
        <w:t>202</w:t>
      </w:r>
      <w:r w:rsidR="00A3602B">
        <w:rPr>
          <w:rFonts w:ascii="Book Antiqua" w:hAnsi="Book Antiqua" w:cs="Book Antiqua" w:hint="eastAsia"/>
        </w:rPr>
        <w:t>1</w:t>
      </w:r>
      <w:r w:rsidR="00A3602B" w:rsidRPr="0032360E">
        <w:rPr>
          <w:rFonts w:ascii="Book Antiqua" w:eastAsia="Book Antiqua" w:hAnsi="Book Antiqua" w:cs="Book Antiqua"/>
        </w:rPr>
        <w:t>; 2</w:t>
      </w:r>
      <w:r w:rsidR="00A3602B">
        <w:rPr>
          <w:rFonts w:ascii="Book Antiqua" w:hAnsi="Book Antiqua" w:cs="Book Antiqua" w:hint="eastAsia"/>
        </w:rPr>
        <w:t>7</w:t>
      </w:r>
      <w:r w:rsidR="00A3602B" w:rsidRPr="0032360E">
        <w:rPr>
          <w:rFonts w:ascii="Book Antiqua" w:eastAsia="Book Antiqua" w:hAnsi="Book Antiqua" w:cs="Book Antiqua"/>
        </w:rPr>
        <w:t>(</w:t>
      </w:r>
      <w:r w:rsidR="00A3602B">
        <w:rPr>
          <w:rFonts w:ascii="Book Antiqua" w:hAnsi="Book Antiqua" w:cs="Book Antiqua" w:hint="eastAsia"/>
        </w:rPr>
        <w:t>2</w:t>
      </w:r>
      <w:r w:rsidR="00120BD7">
        <w:rPr>
          <w:rFonts w:ascii="Book Antiqua" w:eastAsiaTheme="minorEastAsia" w:hAnsi="Book Antiqua" w:cs="Book Antiqua" w:hint="eastAsia"/>
        </w:rPr>
        <w:t>2</w:t>
      </w:r>
      <w:r w:rsidR="00A3602B" w:rsidRPr="0032360E">
        <w:rPr>
          <w:rFonts w:ascii="Book Antiqua" w:eastAsia="Book Antiqua" w:hAnsi="Book Antiqua" w:cs="Book Antiqua"/>
        </w:rPr>
        <w:t xml:space="preserve">): </w:t>
      </w:r>
      <w:r w:rsidR="0060197A" w:rsidRPr="0060197A">
        <w:rPr>
          <w:rFonts w:ascii="Book Antiqua" w:hAnsi="Book Antiqua" w:cs="Book Antiqua"/>
        </w:rPr>
        <w:t>2994-3009</w:t>
      </w:r>
      <w:r w:rsidR="00A3602B" w:rsidRPr="0032360E">
        <w:rPr>
          <w:rFonts w:ascii="Book Antiqua" w:eastAsia="Book Antiqua" w:hAnsi="Book Antiqua" w:cs="Book Antiqua"/>
        </w:rPr>
        <w:t xml:space="preserve">  </w:t>
      </w:r>
    </w:p>
    <w:p w14:paraId="4FE17EAC" w14:textId="77777777" w:rsidR="00E96842" w:rsidRDefault="00A3602B">
      <w:pPr>
        <w:spacing w:line="360" w:lineRule="auto"/>
        <w:jc w:val="both"/>
        <w:rPr>
          <w:rFonts w:ascii="Book Antiqua" w:eastAsiaTheme="minorEastAsia" w:hAnsi="Book Antiqua" w:cs="Book Antiqua" w:hint="eastAsia"/>
        </w:rPr>
      </w:pPr>
      <w:r w:rsidRPr="00E96842">
        <w:rPr>
          <w:rFonts w:ascii="Book Antiqua" w:eastAsia="Book Antiqua" w:hAnsi="Book Antiqua" w:cs="Book Antiqua"/>
          <w:b/>
        </w:rPr>
        <w:t>URL:</w:t>
      </w:r>
      <w:r w:rsidRPr="0032360E">
        <w:rPr>
          <w:rFonts w:ascii="Book Antiqua" w:eastAsia="Book Antiqua" w:hAnsi="Book Antiqua" w:cs="Book Antiqua"/>
        </w:rPr>
        <w:t xml:space="preserve"> https://www.wjgnet.com/1007-9327/full/v2</w:t>
      </w:r>
      <w:r>
        <w:rPr>
          <w:rFonts w:ascii="Book Antiqua" w:hAnsi="Book Antiqua" w:cs="Book Antiqua" w:hint="eastAsia"/>
        </w:rPr>
        <w:t>7</w:t>
      </w:r>
      <w:r w:rsidRPr="0032360E">
        <w:rPr>
          <w:rFonts w:ascii="Book Antiqua" w:eastAsia="Book Antiqua" w:hAnsi="Book Antiqua" w:cs="Book Antiqua"/>
        </w:rPr>
        <w:t>/i</w:t>
      </w:r>
      <w:r>
        <w:rPr>
          <w:rFonts w:ascii="Book Antiqua" w:hAnsi="Book Antiqua" w:cs="Book Antiqua" w:hint="eastAsia"/>
        </w:rPr>
        <w:t>2</w:t>
      </w:r>
      <w:r w:rsidR="00120BD7">
        <w:rPr>
          <w:rFonts w:ascii="Book Antiqua" w:eastAsiaTheme="minorEastAsia" w:hAnsi="Book Antiqua" w:cs="Book Antiqua" w:hint="eastAsia"/>
        </w:rPr>
        <w:t>2</w:t>
      </w:r>
      <w:r w:rsidRPr="0032360E">
        <w:rPr>
          <w:rFonts w:ascii="Book Antiqua" w:eastAsia="Book Antiqua" w:hAnsi="Book Antiqua" w:cs="Book Antiqua"/>
        </w:rPr>
        <w:t>/</w:t>
      </w:r>
      <w:r w:rsidR="0060197A" w:rsidRPr="0060197A">
        <w:rPr>
          <w:rFonts w:ascii="Book Antiqua" w:hAnsi="Book Antiqua" w:cs="Book Antiqua"/>
        </w:rPr>
        <w:t>2994</w:t>
      </w:r>
      <w:r w:rsidRPr="0032360E">
        <w:rPr>
          <w:rFonts w:ascii="Book Antiqua" w:eastAsia="Book Antiqua" w:hAnsi="Book Antiqua" w:cs="Book Antiqua"/>
        </w:rPr>
        <w:t xml:space="preserve">.htm  </w:t>
      </w:r>
    </w:p>
    <w:p w14:paraId="1587372F" w14:textId="18C573BD" w:rsidR="00A77B3E" w:rsidRPr="00C51CF1" w:rsidRDefault="00A3602B">
      <w:pPr>
        <w:spacing w:line="360" w:lineRule="auto"/>
        <w:jc w:val="both"/>
        <w:rPr>
          <w:rFonts w:ascii="Book Antiqua" w:hAnsi="Book Antiqua"/>
        </w:rPr>
      </w:pPr>
      <w:r w:rsidRPr="00E96842">
        <w:rPr>
          <w:rFonts w:ascii="Book Antiqua" w:eastAsia="Book Antiqua" w:hAnsi="Book Antiqua" w:cs="Book Antiqua"/>
          <w:b/>
        </w:rPr>
        <w:t>DOI:</w:t>
      </w:r>
      <w:r w:rsidRPr="0032360E">
        <w:rPr>
          <w:rFonts w:ascii="Book Antiqua" w:eastAsia="Book Antiqua" w:hAnsi="Book Antiqua" w:cs="Book Antiqua"/>
        </w:rPr>
        <w:t xml:space="preserve"> https://dx.doi.org/10.3748/wjg.v2</w:t>
      </w:r>
      <w:r>
        <w:rPr>
          <w:rFonts w:ascii="Book Antiqua" w:hAnsi="Book Antiqua" w:cs="Book Antiqua" w:hint="eastAsia"/>
        </w:rPr>
        <w:t>7</w:t>
      </w:r>
      <w:r w:rsidRPr="0032360E">
        <w:rPr>
          <w:rFonts w:ascii="Book Antiqua" w:eastAsia="Book Antiqua" w:hAnsi="Book Antiqua" w:cs="Book Antiqua"/>
        </w:rPr>
        <w:t>.i</w:t>
      </w:r>
      <w:r>
        <w:rPr>
          <w:rFonts w:ascii="Book Antiqua" w:hAnsi="Book Antiqua" w:cs="Book Antiqua" w:hint="eastAsia"/>
        </w:rPr>
        <w:t>2</w:t>
      </w:r>
      <w:r w:rsidR="00120BD7">
        <w:rPr>
          <w:rFonts w:ascii="Book Antiqua" w:eastAsiaTheme="minorEastAsia" w:hAnsi="Book Antiqua" w:cs="Book Antiqua" w:hint="eastAsia"/>
        </w:rPr>
        <w:t>2</w:t>
      </w:r>
      <w:r w:rsidRPr="0032360E">
        <w:rPr>
          <w:rFonts w:ascii="Book Antiqua" w:eastAsia="Book Antiqua" w:hAnsi="Book Antiqua" w:cs="Book Antiqua"/>
        </w:rPr>
        <w:t>.</w:t>
      </w:r>
      <w:r w:rsidR="0060197A" w:rsidRPr="0060197A">
        <w:rPr>
          <w:rFonts w:ascii="Book Antiqua" w:hAnsi="Book Antiqua" w:cs="Book Antiqua"/>
        </w:rPr>
        <w:t>2994</w:t>
      </w:r>
    </w:p>
    <w:p w14:paraId="7F5CD5B8" w14:textId="77777777" w:rsidR="00A77B3E" w:rsidRPr="00C51CF1" w:rsidRDefault="00A77B3E">
      <w:pPr>
        <w:spacing w:line="360" w:lineRule="auto"/>
        <w:jc w:val="both"/>
        <w:rPr>
          <w:rFonts w:ascii="Book Antiqua" w:hAnsi="Book Antiqua"/>
        </w:rPr>
      </w:pPr>
    </w:p>
    <w:p w14:paraId="277FF745" w14:textId="3C5E56E7" w:rsidR="00A77B3E" w:rsidRPr="00C51CF1" w:rsidRDefault="005B1767">
      <w:pPr>
        <w:spacing w:line="360" w:lineRule="auto"/>
        <w:jc w:val="both"/>
        <w:rPr>
          <w:rFonts w:ascii="Book Antiqua" w:hAnsi="Book Antiqua"/>
        </w:rPr>
      </w:pPr>
      <w:r w:rsidRPr="00C51CF1">
        <w:rPr>
          <w:rFonts w:ascii="Book Antiqua" w:eastAsia="Book Antiqua" w:hAnsi="Book Antiqua" w:cs="Book Antiqua"/>
          <w:b/>
          <w:bCs/>
          <w:color w:val="000000"/>
        </w:rPr>
        <w:t xml:space="preserve">Core Tip: </w:t>
      </w:r>
      <w:r w:rsidRPr="00C51CF1">
        <w:rPr>
          <w:rFonts w:ascii="Book Antiqua" w:eastAsia="Book Antiqua" w:hAnsi="Book Antiqua" w:cs="Book Antiqua"/>
          <w:color w:val="000000"/>
        </w:rPr>
        <w:t>Hepatocellular carcinoma (HCC) is the fifth most common cancer with poor prognosis despite significant improved diagnostic and therapeutic st</w:t>
      </w:r>
      <w:r w:rsidR="001C1A8D" w:rsidRPr="00C51CF1">
        <w:rPr>
          <w:rFonts w:ascii="Book Antiqua" w:eastAsia="Book Antiqua" w:hAnsi="Book Antiqua" w:cs="Book Antiqua"/>
          <w:color w:val="000000"/>
        </w:rPr>
        <w:t>r</w:t>
      </w:r>
      <w:r w:rsidRPr="00C51CF1">
        <w:rPr>
          <w:rFonts w:ascii="Book Antiqua" w:eastAsia="Book Antiqua" w:hAnsi="Book Antiqua" w:cs="Book Antiqua"/>
          <w:color w:val="000000"/>
        </w:rPr>
        <w:t>ategies. Mo</w:t>
      </w:r>
      <w:r w:rsidR="002836D7" w:rsidRPr="00C51CF1">
        <w:rPr>
          <w:rFonts w:ascii="Book Antiqua" w:eastAsia="Book Antiqua" w:hAnsi="Book Antiqua" w:cs="Book Antiqua"/>
          <w:color w:val="000000"/>
        </w:rPr>
        <w:t>st</w:t>
      </w:r>
      <w:r w:rsidRPr="00C51CF1">
        <w:rPr>
          <w:rFonts w:ascii="Book Antiqua" w:eastAsia="Book Antiqua" w:hAnsi="Book Antiqua" w:cs="Book Antiqua"/>
          <w:color w:val="000000"/>
        </w:rPr>
        <w:t xml:space="preserve"> of HCC occurs in </w:t>
      </w:r>
      <w:r w:rsidR="002836D7" w:rsidRPr="00C51CF1">
        <w:rPr>
          <w:rFonts w:ascii="Book Antiqua" w:eastAsia="Book Antiqua" w:hAnsi="Book Antiqua" w:cs="Book Antiqua"/>
          <w:color w:val="000000"/>
          <w:lang w:val="en-US"/>
        </w:rPr>
        <w:t xml:space="preserve">cirrhotic </w:t>
      </w:r>
      <w:r w:rsidRPr="00C51CF1">
        <w:rPr>
          <w:rFonts w:ascii="Book Antiqua" w:eastAsia="Book Antiqua" w:hAnsi="Book Antiqua" w:cs="Book Antiqua"/>
          <w:color w:val="000000"/>
        </w:rPr>
        <w:t xml:space="preserve">patients, with hepatitis B </w:t>
      </w:r>
      <w:r w:rsidR="002836D7" w:rsidRPr="00C51CF1">
        <w:rPr>
          <w:rFonts w:ascii="Book Antiqua" w:eastAsia="Book Antiqua" w:hAnsi="Book Antiqua" w:cs="Book Antiqua"/>
          <w:color w:val="000000"/>
          <w:lang w:val="en-US"/>
        </w:rPr>
        <w:t xml:space="preserve">and </w:t>
      </w:r>
      <w:r w:rsidR="005348A1" w:rsidRPr="00C51CF1">
        <w:rPr>
          <w:rFonts w:ascii="Book Antiqua" w:eastAsia="Book Antiqua" w:hAnsi="Book Antiqua" w:cs="Book Antiqua"/>
          <w:color w:val="000000"/>
          <w:lang w:val="en-US"/>
        </w:rPr>
        <w:t>C</w:t>
      </w:r>
      <w:r w:rsidR="002836D7" w:rsidRPr="00C51CF1">
        <w:rPr>
          <w:rFonts w:ascii="Book Antiqua" w:eastAsia="Book Antiqua" w:hAnsi="Book Antiqua" w:cs="Book Antiqua"/>
          <w:color w:val="000000"/>
          <w:lang w:val="en-US"/>
        </w:rPr>
        <w:t xml:space="preserve"> </w:t>
      </w:r>
      <w:r w:rsidRPr="00C51CF1">
        <w:rPr>
          <w:rFonts w:ascii="Book Antiqua" w:eastAsia="Book Antiqua" w:hAnsi="Book Antiqua" w:cs="Book Antiqua"/>
          <w:color w:val="000000"/>
        </w:rPr>
        <w:t>virus</w:t>
      </w:r>
      <w:r w:rsidR="002836D7" w:rsidRPr="00C51CF1">
        <w:rPr>
          <w:rFonts w:ascii="Book Antiqua" w:eastAsia="Book Antiqua" w:hAnsi="Book Antiqua" w:cs="Book Antiqua"/>
          <w:color w:val="000000"/>
          <w:lang w:val="en-US"/>
        </w:rPr>
        <w:t>es</w:t>
      </w:r>
      <w:r w:rsidR="001C1A8D" w:rsidRPr="00C51CF1">
        <w:rPr>
          <w:rFonts w:ascii="Book Antiqua" w:eastAsia="Book Antiqua" w:hAnsi="Book Antiqua" w:cs="Book Antiqua"/>
          <w:color w:val="000000"/>
        </w:rPr>
        <w:t xml:space="preserve"> </w:t>
      </w:r>
      <w:r w:rsidRPr="00C51CF1">
        <w:rPr>
          <w:rFonts w:ascii="Book Antiqua" w:eastAsia="Book Antiqua" w:hAnsi="Book Antiqua" w:cs="Book Antiqua"/>
          <w:color w:val="000000"/>
        </w:rPr>
        <w:t>being leading causes, Recent studies show</w:t>
      </w:r>
      <w:r w:rsidR="002836D7" w:rsidRPr="00C51CF1">
        <w:rPr>
          <w:rFonts w:ascii="Book Antiqua" w:eastAsia="Book Antiqua" w:hAnsi="Book Antiqua" w:cs="Book Antiqua"/>
          <w:color w:val="000000"/>
          <w:lang w:val="en-US"/>
        </w:rPr>
        <w:t>ed</w:t>
      </w:r>
      <w:r w:rsidRPr="00C51CF1">
        <w:rPr>
          <w:rFonts w:ascii="Book Antiqua" w:eastAsia="Book Antiqua" w:hAnsi="Book Antiqua" w:cs="Book Antiqua"/>
          <w:color w:val="000000"/>
        </w:rPr>
        <w:t xml:space="preserve"> that HCC development and progression are associated with a unique immune response profile of the liver microenvironment where CD4+CD25+ Foxp3 regulatory T</w:t>
      </w:r>
      <w:r w:rsidR="002836D7" w:rsidRPr="00C51CF1">
        <w:rPr>
          <w:rFonts w:ascii="Book Antiqua" w:eastAsia="Book Antiqua" w:hAnsi="Book Antiqua" w:cs="Book Antiqua"/>
          <w:color w:val="000000"/>
          <w:lang w:val="en-US"/>
        </w:rPr>
        <w:t>-</w:t>
      </w:r>
      <w:r w:rsidRPr="00C51CF1">
        <w:rPr>
          <w:rFonts w:ascii="Book Antiqua" w:eastAsia="Book Antiqua" w:hAnsi="Book Antiqua" w:cs="Book Antiqua"/>
          <w:color w:val="000000"/>
          <w:lang w:val="en-US"/>
        </w:rPr>
        <w:t xml:space="preserve">cells (Tregs) play a crucial role through their immunosuppressive role. We discuss the role of Tregs in chronic liver diseases as well as in HCC initiation and the role of immunotherapy to enhance anti-tumor immune response by blocking </w:t>
      </w:r>
      <w:r w:rsidR="002836D7" w:rsidRPr="00C51CF1">
        <w:rPr>
          <w:rFonts w:ascii="Book Antiqua" w:eastAsia="Book Antiqua" w:hAnsi="Book Antiqua" w:cs="Book Antiqua"/>
          <w:color w:val="000000"/>
          <w:lang w:val="en-US"/>
        </w:rPr>
        <w:t xml:space="preserve">Treg </w:t>
      </w:r>
      <w:r w:rsidRPr="00C51CF1">
        <w:rPr>
          <w:rFonts w:ascii="Book Antiqua" w:eastAsia="Book Antiqua" w:hAnsi="Book Antiqua" w:cs="Book Antiqua"/>
          <w:color w:val="000000"/>
          <w:lang w:val="en-US"/>
        </w:rPr>
        <w:t>activity.</w:t>
      </w:r>
    </w:p>
    <w:p w14:paraId="27458F56" w14:textId="5CDDD837" w:rsidR="00A77B3E" w:rsidRPr="00C51CF1" w:rsidRDefault="001C1A8D">
      <w:pPr>
        <w:spacing w:line="360" w:lineRule="auto"/>
        <w:jc w:val="both"/>
        <w:rPr>
          <w:rFonts w:ascii="Book Antiqua" w:hAnsi="Book Antiqua"/>
          <w:lang w:val="en-US"/>
        </w:rPr>
      </w:pPr>
      <w:r w:rsidRPr="00C51CF1">
        <w:rPr>
          <w:rFonts w:ascii="Book Antiqua" w:hAnsi="Book Antiqua"/>
          <w:lang w:val="en-US"/>
        </w:rPr>
        <w:br w:type="page"/>
      </w:r>
      <w:r w:rsidR="005B1767" w:rsidRPr="00C51CF1">
        <w:rPr>
          <w:rFonts w:ascii="Book Antiqua" w:eastAsia="Book Antiqua" w:hAnsi="Book Antiqua" w:cs="Book Antiqua"/>
          <w:b/>
          <w:caps/>
          <w:color w:val="000000"/>
          <w:u w:val="single"/>
          <w:lang w:val="en-US"/>
        </w:rPr>
        <w:t>INTRODUCTION</w:t>
      </w:r>
    </w:p>
    <w:p w14:paraId="3298AC7C" w14:textId="68692F22" w:rsidR="00A77B3E" w:rsidRPr="00C51CF1" w:rsidRDefault="005B1767">
      <w:pPr>
        <w:spacing w:line="360" w:lineRule="auto"/>
        <w:jc w:val="both"/>
        <w:rPr>
          <w:rFonts w:ascii="Book Antiqua" w:hAnsi="Book Antiqua"/>
          <w:lang w:val="en-US"/>
        </w:rPr>
      </w:pPr>
      <w:r w:rsidRPr="00C51CF1">
        <w:rPr>
          <w:rFonts w:ascii="Book Antiqua" w:eastAsia="Book Antiqua" w:hAnsi="Book Antiqua" w:cs="Book Antiqua"/>
          <w:color w:val="000000"/>
          <w:lang w:val="en-US"/>
        </w:rPr>
        <w:t>Hepatocellular carcinoma (HCC) is the fifth most common cancer and the third most frequent cause of cancer-related death</w:t>
      </w:r>
      <w:r w:rsidRPr="00C51CF1">
        <w:rPr>
          <w:rFonts w:ascii="Book Antiqua" w:eastAsia="Book Antiqua" w:hAnsi="Book Antiqua" w:cs="Book Antiqua"/>
          <w:color w:val="000000"/>
          <w:shd w:val="clear" w:color="auto" w:fill="FFFFFF"/>
          <w:lang w:val="en-US"/>
        </w:rPr>
        <w:t xml:space="preserve"> worldwide</w:t>
      </w:r>
      <w:r w:rsidRPr="00C51CF1">
        <w:rPr>
          <w:rFonts w:ascii="Book Antiqua" w:eastAsia="Book Antiqua" w:hAnsi="Book Antiqua" w:cs="Book Antiqua"/>
          <w:color w:val="000000"/>
          <w:lang w:val="en-US"/>
        </w:rPr>
        <w:t>, with more than 900000 new cases and more than 800000 deaths in 2020</w:t>
      </w:r>
      <w:r w:rsidR="001C1A8D" w:rsidRPr="00C51CF1">
        <w:rPr>
          <w:rFonts w:ascii="Book Antiqua" w:eastAsia="Book Antiqua" w:hAnsi="Book Antiqua" w:cs="Book Antiqua"/>
          <w:color w:val="000000"/>
          <w:vertAlign w:val="superscript"/>
          <w:lang w:val="en-US"/>
        </w:rPr>
        <w:t>[1]</w:t>
      </w:r>
      <w:r w:rsidRPr="00C51CF1">
        <w:rPr>
          <w:rFonts w:ascii="Book Antiqua" w:eastAsia="Book Antiqua" w:hAnsi="Book Antiqua" w:cs="Book Antiqua"/>
          <w:color w:val="000000"/>
          <w:lang w:val="en-US"/>
        </w:rPr>
        <w:t>.</w:t>
      </w:r>
    </w:p>
    <w:p w14:paraId="261DED83" w14:textId="6DCBAFAC" w:rsidR="00A77B3E" w:rsidRPr="00C51CF1" w:rsidRDefault="005B1767" w:rsidP="001C1A8D">
      <w:pPr>
        <w:spacing w:line="360" w:lineRule="auto"/>
        <w:ind w:firstLineChars="100" w:firstLine="240"/>
        <w:jc w:val="both"/>
        <w:rPr>
          <w:rFonts w:ascii="Book Antiqua" w:hAnsi="Book Antiqua"/>
          <w:lang w:val="en-US"/>
        </w:rPr>
      </w:pPr>
      <w:r w:rsidRPr="00C51CF1">
        <w:rPr>
          <w:rFonts w:ascii="Book Antiqua" w:eastAsia="Book Antiqua" w:hAnsi="Book Antiqua" w:cs="Book Antiqua"/>
          <w:color w:val="000000"/>
          <w:lang w:val="en-US"/>
        </w:rPr>
        <w:t>HCC accounts for nearly 90% of primary liver cancers and is a leading world health problem. The incidence of HCC rises sharply with age in all populations, achieving a peak at age 70 and it is increasing in most countries representing the dominant cause of mortality in cirrhotic patients</w:t>
      </w:r>
      <w:r w:rsidR="001C1A8D" w:rsidRPr="00C51CF1">
        <w:rPr>
          <w:rFonts w:ascii="Book Antiqua" w:eastAsia="Book Antiqua" w:hAnsi="Book Antiqua" w:cs="Book Antiqua"/>
          <w:color w:val="000000"/>
          <w:vertAlign w:val="superscript"/>
          <w:lang w:val="en-US"/>
        </w:rPr>
        <w:t>[2-4]</w:t>
      </w:r>
      <w:r w:rsidRPr="00C51CF1">
        <w:rPr>
          <w:rFonts w:ascii="Book Antiqua" w:eastAsia="Book Antiqua" w:hAnsi="Book Antiqua" w:cs="Book Antiqua"/>
          <w:color w:val="000000"/>
          <w:lang w:val="en-US"/>
        </w:rPr>
        <w:t>.</w:t>
      </w:r>
    </w:p>
    <w:p w14:paraId="652D739C" w14:textId="4366EA86" w:rsidR="00A77B3E" w:rsidRPr="00C51CF1" w:rsidRDefault="005B1767" w:rsidP="001C1A8D">
      <w:pPr>
        <w:spacing w:line="360" w:lineRule="auto"/>
        <w:ind w:firstLineChars="100" w:firstLine="240"/>
        <w:jc w:val="both"/>
        <w:rPr>
          <w:rFonts w:ascii="Book Antiqua" w:hAnsi="Book Antiqua"/>
          <w:lang w:val="en-US"/>
        </w:rPr>
      </w:pPr>
      <w:r w:rsidRPr="00C51CF1">
        <w:rPr>
          <w:rFonts w:ascii="Book Antiqua" w:eastAsia="Book Antiqua" w:hAnsi="Book Antiqua" w:cs="Book Antiqua"/>
          <w:color w:val="000000"/>
          <w:lang w:val="en-US"/>
        </w:rPr>
        <w:t>Worldwide, chronic viral hepatitis has been reported as the leading risk factors for HCC development, although in high-income areas HCC related to non-alcoholic fatty liver disease is increasing due to the rising prevalence of metabolic disorders</w:t>
      </w:r>
      <w:r w:rsidR="001C1A8D" w:rsidRPr="00C51CF1">
        <w:rPr>
          <w:rFonts w:ascii="Book Antiqua" w:eastAsia="Book Antiqua" w:hAnsi="Book Antiqua" w:cs="Book Antiqua"/>
          <w:color w:val="000000"/>
          <w:vertAlign w:val="superscript"/>
          <w:lang w:val="en-US"/>
        </w:rPr>
        <w:t>[5-7]</w:t>
      </w:r>
      <w:r w:rsidRPr="00C51CF1">
        <w:rPr>
          <w:rFonts w:ascii="Book Antiqua" w:eastAsia="Book Antiqua" w:hAnsi="Book Antiqua" w:cs="Book Antiqua"/>
          <w:color w:val="000000"/>
          <w:lang w:val="en-US"/>
        </w:rPr>
        <w:t>.</w:t>
      </w:r>
    </w:p>
    <w:p w14:paraId="1BB90A48" w14:textId="5BB54060" w:rsidR="00A77B3E" w:rsidRPr="00C51CF1" w:rsidRDefault="005B1767" w:rsidP="001C1A8D">
      <w:pPr>
        <w:spacing w:line="360" w:lineRule="auto"/>
        <w:ind w:firstLineChars="100" w:firstLine="240"/>
        <w:jc w:val="both"/>
        <w:rPr>
          <w:rFonts w:ascii="Book Antiqua" w:hAnsi="Book Antiqua"/>
          <w:lang w:val="en-US"/>
        </w:rPr>
      </w:pPr>
      <w:r w:rsidRPr="00C51CF1">
        <w:rPr>
          <w:rFonts w:ascii="Book Antiqua" w:eastAsia="Book Antiqua" w:hAnsi="Book Antiqua" w:cs="Book Antiqua"/>
          <w:color w:val="000000"/>
          <w:lang w:val="en-US"/>
        </w:rPr>
        <w:t>In contrast, vaccination and treatment for hepatitis B virus (HBV) infection, prevention campaigns for sexual and iatrogenic transmission of hepatitis B (HBV) and hepatitis C virus (HCV), and the introduction of effective HCV antiviral agents are reducing the burden of chronic viral liver disease</w:t>
      </w:r>
      <w:r w:rsidR="001C1A8D" w:rsidRPr="00C51CF1">
        <w:rPr>
          <w:rFonts w:ascii="Book Antiqua" w:eastAsia="Book Antiqua" w:hAnsi="Book Antiqua" w:cs="Book Antiqua"/>
          <w:color w:val="000000"/>
          <w:vertAlign w:val="superscript"/>
          <w:lang w:val="en-US"/>
        </w:rPr>
        <w:t>[8-11]</w:t>
      </w:r>
      <w:r w:rsidRPr="00C51CF1">
        <w:rPr>
          <w:rFonts w:ascii="Book Antiqua" w:eastAsia="Book Antiqua" w:hAnsi="Book Antiqua" w:cs="Book Antiqua"/>
          <w:color w:val="000000"/>
          <w:lang w:val="en-US"/>
        </w:rPr>
        <w:t>.</w:t>
      </w:r>
    </w:p>
    <w:p w14:paraId="461FD8F0" w14:textId="5E3FE73A" w:rsidR="00A77B3E" w:rsidRPr="00C51CF1" w:rsidRDefault="005B1767" w:rsidP="001C1A8D">
      <w:pPr>
        <w:spacing w:line="360" w:lineRule="auto"/>
        <w:ind w:firstLineChars="100" w:firstLine="240"/>
        <w:jc w:val="both"/>
        <w:rPr>
          <w:rFonts w:ascii="Book Antiqua" w:hAnsi="Book Antiqua"/>
          <w:lang w:val="en-US"/>
        </w:rPr>
      </w:pPr>
      <w:r w:rsidRPr="00C51CF1">
        <w:rPr>
          <w:rFonts w:ascii="Book Antiqua" w:eastAsia="Book Antiqua" w:hAnsi="Book Antiqua" w:cs="Book Antiqua"/>
          <w:color w:val="000000"/>
          <w:lang w:val="en-US"/>
        </w:rPr>
        <w:t>HCC arises almost exclusively in the setting of chronic liver inflammation and, unlike the elevated risk associated with chronic viral (HBV and HCV) infections, it has been reported that the tumor is less common in liver cirrhosis caused by autoimmune liver diseases</w:t>
      </w:r>
      <w:r w:rsidR="001C1A8D" w:rsidRPr="00C51CF1">
        <w:rPr>
          <w:rFonts w:ascii="Book Antiqua" w:eastAsia="Book Antiqua" w:hAnsi="Book Antiqua" w:cs="Book Antiqua"/>
          <w:color w:val="000000"/>
          <w:vertAlign w:val="superscript"/>
          <w:lang w:val="en-US"/>
        </w:rPr>
        <w:t>[12-15]</w:t>
      </w:r>
      <w:r w:rsidRPr="00C51CF1">
        <w:rPr>
          <w:rFonts w:ascii="Book Antiqua" w:eastAsia="Book Antiqua" w:hAnsi="Book Antiqua" w:cs="Book Antiqua"/>
          <w:color w:val="000000"/>
          <w:lang w:val="en-US"/>
        </w:rPr>
        <w:t>.</w:t>
      </w:r>
      <w:r w:rsidR="001C1A8D" w:rsidRPr="00C51CF1">
        <w:rPr>
          <w:rFonts w:ascii="Book Antiqua" w:hAnsi="Book Antiqua"/>
          <w:lang w:val="en-US"/>
        </w:rPr>
        <w:t xml:space="preserve"> </w:t>
      </w:r>
      <w:r w:rsidRPr="00C51CF1">
        <w:rPr>
          <w:rFonts w:ascii="Book Antiqua" w:eastAsia="Book Antiqua" w:hAnsi="Book Antiqua" w:cs="Book Antiqua"/>
          <w:color w:val="000000"/>
          <w:lang w:val="en-US"/>
        </w:rPr>
        <w:t xml:space="preserve">However, it is known that, regardless of etiology, cirrhosis </w:t>
      </w:r>
      <w:r w:rsidRPr="00C51CF1">
        <w:rPr>
          <w:rFonts w:ascii="Book Antiqua" w:eastAsia="Book Antiqua" w:hAnsi="Book Antiqua" w:cs="Book Antiqua"/>
          <w:i/>
          <w:iCs/>
          <w:color w:val="000000"/>
          <w:lang w:val="en-US"/>
        </w:rPr>
        <w:t>per se</w:t>
      </w:r>
      <w:r w:rsidRPr="00C51CF1">
        <w:rPr>
          <w:rFonts w:ascii="Book Antiqua" w:eastAsia="Book Antiqua" w:hAnsi="Book Antiqua" w:cs="Book Antiqua"/>
          <w:color w:val="000000"/>
          <w:lang w:val="en-US"/>
        </w:rPr>
        <w:t xml:space="preserve"> represents a precancerous condition leading to an increased risk of HCC</w:t>
      </w:r>
      <w:r w:rsidR="001C1A8D" w:rsidRPr="00C51CF1">
        <w:rPr>
          <w:rFonts w:ascii="Book Antiqua" w:eastAsia="Book Antiqua" w:hAnsi="Book Antiqua" w:cs="Book Antiqua"/>
          <w:color w:val="000000"/>
          <w:vertAlign w:val="superscript"/>
          <w:lang w:val="en-US"/>
        </w:rPr>
        <w:t>[15,16]</w:t>
      </w:r>
      <w:r w:rsidRPr="00C51CF1">
        <w:rPr>
          <w:rFonts w:ascii="Book Antiqua" w:eastAsia="Book Antiqua" w:hAnsi="Book Antiqua" w:cs="Book Antiqua"/>
          <w:color w:val="000000"/>
          <w:lang w:val="en-US"/>
        </w:rPr>
        <w:t>.</w:t>
      </w:r>
    </w:p>
    <w:p w14:paraId="4ED242E2" w14:textId="5FB46771" w:rsidR="00A77B3E" w:rsidRPr="00C51CF1" w:rsidRDefault="005B1767" w:rsidP="001C1A8D">
      <w:pPr>
        <w:spacing w:line="360" w:lineRule="auto"/>
        <w:ind w:firstLineChars="100" w:firstLine="240"/>
        <w:jc w:val="both"/>
        <w:rPr>
          <w:rFonts w:ascii="Book Antiqua" w:hAnsi="Book Antiqua"/>
          <w:lang w:val="en-US"/>
        </w:rPr>
      </w:pPr>
      <w:r w:rsidRPr="00C51CF1">
        <w:rPr>
          <w:rFonts w:ascii="Book Antiqua" w:eastAsia="Book Antiqua" w:hAnsi="Book Antiqua" w:cs="Book Antiqua"/>
          <w:color w:val="000000"/>
          <w:lang w:val="en-US"/>
        </w:rPr>
        <w:t>Indeed, irrespective of etiology, a typical sequence of chronic necroinflammation, compensatory liver regeneration, induction of liver fibrosis and subsequent cirrhosis often precedes hepatocarcinogenesis. HCC is a prototypical inflammation-driven tumor arising on the backdrop of liver cirrhosis. The evidence of an immune-rich contexture of the HCC microenvironment has inspired several studies in recent years that have further defined profile and crucial pathogenetic role of immune cells in tumor development</w:t>
      </w:r>
      <w:r w:rsidR="001C1A8D" w:rsidRPr="00C51CF1">
        <w:rPr>
          <w:rFonts w:ascii="Book Antiqua" w:eastAsia="Book Antiqua" w:hAnsi="Book Antiqua" w:cs="Book Antiqua"/>
          <w:color w:val="000000"/>
          <w:vertAlign w:val="superscript"/>
          <w:lang w:val="en-US"/>
        </w:rPr>
        <w:t>[17]</w:t>
      </w:r>
      <w:r w:rsidRPr="00C51CF1">
        <w:rPr>
          <w:rFonts w:ascii="Book Antiqua" w:eastAsia="Book Antiqua" w:hAnsi="Book Antiqua" w:cs="Book Antiqua"/>
          <w:color w:val="000000"/>
          <w:lang w:val="en-US"/>
        </w:rPr>
        <w:t>.</w:t>
      </w:r>
    </w:p>
    <w:p w14:paraId="735CADD1" w14:textId="55BFA769" w:rsidR="00A77B3E" w:rsidRPr="00C51CF1" w:rsidRDefault="005B1767" w:rsidP="001C1A8D">
      <w:pPr>
        <w:spacing w:line="360" w:lineRule="auto"/>
        <w:ind w:firstLineChars="100" w:firstLine="240"/>
        <w:jc w:val="both"/>
        <w:rPr>
          <w:rFonts w:ascii="Book Antiqua" w:hAnsi="Book Antiqua"/>
          <w:lang w:val="en-US"/>
        </w:rPr>
      </w:pPr>
      <w:r w:rsidRPr="00C51CF1">
        <w:rPr>
          <w:rFonts w:ascii="Book Antiqua" w:eastAsia="Book Antiqua" w:hAnsi="Book Antiqua" w:cs="Book Antiqua"/>
          <w:color w:val="000000"/>
          <w:lang w:val="en-US"/>
        </w:rPr>
        <w:t>The liver is a central immunomodulator that ensures organ and systemic protection while maintaining immunotolerance. Deregulation of this tightly controlled liver immunological network is a hallmark of chronic liver disease and HCC</w:t>
      </w:r>
      <w:r w:rsidR="001C1A8D" w:rsidRPr="00C51CF1">
        <w:rPr>
          <w:rFonts w:ascii="Book Antiqua" w:eastAsia="Book Antiqua" w:hAnsi="Book Antiqua" w:cs="Book Antiqua"/>
          <w:color w:val="000000"/>
          <w:vertAlign w:val="superscript"/>
          <w:lang w:val="en-US"/>
        </w:rPr>
        <w:t>[18]</w:t>
      </w:r>
      <w:r w:rsidRPr="00C51CF1">
        <w:rPr>
          <w:rFonts w:ascii="Book Antiqua" w:eastAsia="Book Antiqua" w:hAnsi="Book Antiqua" w:cs="Book Antiqua"/>
          <w:color w:val="000000"/>
          <w:lang w:val="en-US"/>
        </w:rPr>
        <w:t>.</w:t>
      </w:r>
    </w:p>
    <w:p w14:paraId="45852356" w14:textId="7E0B788A" w:rsidR="00A77B3E" w:rsidRPr="00C51CF1" w:rsidRDefault="005B1767" w:rsidP="001C1A8D">
      <w:pPr>
        <w:spacing w:line="360" w:lineRule="auto"/>
        <w:ind w:firstLineChars="100" w:firstLine="240"/>
        <w:jc w:val="both"/>
        <w:rPr>
          <w:rFonts w:ascii="Book Antiqua" w:hAnsi="Book Antiqua"/>
          <w:lang w:val="en-US"/>
        </w:rPr>
      </w:pPr>
      <w:r w:rsidRPr="00C51CF1">
        <w:rPr>
          <w:rFonts w:ascii="Book Antiqua" w:eastAsia="Book Antiqua" w:hAnsi="Book Antiqua" w:cs="Book Antiqua"/>
          <w:color w:val="000000"/>
          <w:lang w:val="en-US"/>
        </w:rPr>
        <w:t>Recently, within the cell subset characterizing the HCC immune microenvironment, a key role has been highlighted for CD4+ CD25+ regulatory T cells (Tregs), which are crucially implicated in both pathogenesis of chronic liver diseases and development and spread of HCC</w:t>
      </w:r>
      <w:r w:rsidR="001C1A8D" w:rsidRPr="00C51CF1">
        <w:rPr>
          <w:rFonts w:ascii="Book Antiqua" w:eastAsia="Book Antiqua" w:hAnsi="Book Antiqua" w:cs="Book Antiqua"/>
          <w:color w:val="000000"/>
          <w:vertAlign w:val="superscript"/>
          <w:lang w:val="en-US"/>
        </w:rPr>
        <w:t>[19,20]</w:t>
      </w:r>
      <w:r w:rsidRPr="00C51CF1">
        <w:rPr>
          <w:rFonts w:ascii="Book Antiqua" w:eastAsia="Book Antiqua" w:hAnsi="Book Antiqua" w:cs="Book Antiqua"/>
          <w:color w:val="000000"/>
          <w:lang w:val="en-US"/>
        </w:rPr>
        <w:t>.</w:t>
      </w:r>
    </w:p>
    <w:p w14:paraId="4241A207" w14:textId="5BC0887B" w:rsidR="00A77B3E" w:rsidRPr="00C51CF1" w:rsidRDefault="005B1767" w:rsidP="001C1A8D">
      <w:pPr>
        <w:spacing w:line="360" w:lineRule="auto"/>
        <w:ind w:firstLineChars="100" w:firstLine="240"/>
        <w:jc w:val="both"/>
        <w:rPr>
          <w:rFonts w:ascii="Book Antiqua" w:hAnsi="Book Antiqua"/>
          <w:lang w:val="en-US"/>
        </w:rPr>
      </w:pPr>
      <w:r w:rsidRPr="00C51CF1">
        <w:rPr>
          <w:rFonts w:ascii="Book Antiqua" w:eastAsia="Book Antiqua" w:hAnsi="Book Antiqua" w:cs="Book Antiqua"/>
          <w:color w:val="000000"/>
          <w:lang w:val="en-US"/>
        </w:rPr>
        <w:t>In this review we examine the evidence that has recently accumulated on the different role that these cells play in chronic viral liver diseases (HBV and HCV) and autoimmune liver diseases, and their function in the tumor microenvironment (TME) characterizing HCC. We also discuss the possible implications for emerging immunotherapies and the potential risks of immune-mediated liver toxicity from this treatment</w:t>
      </w:r>
      <w:r w:rsidR="000E2CA7" w:rsidRPr="00C51CF1">
        <w:rPr>
          <w:rFonts w:ascii="Book Antiqua" w:eastAsia="Book Antiqua" w:hAnsi="Book Antiqua" w:cs="Book Antiqua"/>
          <w:color w:val="000000"/>
          <w:vertAlign w:val="superscript"/>
          <w:lang w:val="en-US"/>
        </w:rPr>
        <w:t>[21]</w:t>
      </w:r>
      <w:r w:rsidRPr="00C51CF1">
        <w:rPr>
          <w:rFonts w:ascii="Book Antiqua" w:eastAsia="Book Antiqua" w:hAnsi="Book Antiqua" w:cs="Book Antiqua"/>
          <w:color w:val="000000"/>
          <w:lang w:val="en-US"/>
        </w:rPr>
        <w:t>.</w:t>
      </w:r>
    </w:p>
    <w:p w14:paraId="6AF1B00C" w14:textId="77777777" w:rsidR="00A77B3E" w:rsidRPr="00C51CF1" w:rsidRDefault="00A77B3E">
      <w:pPr>
        <w:spacing w:line="360" w:lineRule="auto"/>
        <w:jc w:val="both"/>
        <w:rPr>
          <w:rFonts w:ascii="Book Antiqua" w:hAnsi="Book Antiqua"/>
          <w:lang w:val="en-US"/>
        </w:rPr>
      </w:pPr>
    </w:p>
    <w:p w14:paraId="54FB9D77" w14:textId="77777777" w:rsidR="00A77B3E" w:rsidRPr="00C51CF1" w:rsidRDefault="005B1767">
      <w:pPr>
        <w:spacing w:line="360" w:lineRule="auto"/>
        <w:jc w:val="both"/>
        <w:rPr>
          <w:rFonts w:ascii="Book Antiqua" w:hAnsi="Book Antiqua"/>
          <w:lang w:val="en-US"/>
        </w:rPr>
      </w:pPr>
      <w:r w:rsidRPr="00C51CF1">
        <w:rPr>
          <w:rFonts w:ascii="Book Antiqua" w:eastAsia="Book Antiqua" w:hAnsi="Book Antiqua" w:cs="Book Antiqua"/>
          <w:b/>
          <w:bCs/>
          <w:caps/>
          <w:color w:val="000000"/>
          <w:u w:val="single"/>
          <w:lang w:val="en-US"/>
        </w:rPr>
        <w:t>HCC risk in viral and autoimmune liver diseases</w:t>
      </w:r>
    </w:p>
    <w:p w14:paraId="53D4C7A7" w14:textId="41E872F4" w:rsidR="00A77B3E" w:rsidRPr="00C51CF1" w:rsidRDefault="005B1767">
      <w:pPr>
        <w:spacing w:line="360" w:lineRule="auto"/>
        <w:jc w:val="both"/>
        <w:rPr>
          <w:rFonts w:ascii="Book Antiqua" w:hAnsi="Book Antiqua"/>
          <w:lang w:val="en-US"/>
        </w:rPr>
      </w:pPr>
      <w:r w:rsidRPr="00C51CF1">
        <w:rPr>
          <w:rFonts w:ascii="Book Antiqua" w:eastAsia="Book Antiqua" w:hAnsi="Book Antiqua" w:cs="Book Antiqua"/>
          <w:color w:val="000000"/>
          <w:lang w:val="en-US"/>
        </w:rPr>
        <w:t>It is well established that cirrhosis represents the most significant risk factor for the development of HCC</w:t>
      </w:r>
      <w:r w:rsidR="000E2CA7" w:rsidRPr="00C51CF1">
        <w:rPr>
          <w:rFonts w:ascii="Book Antiqua" w:eastAsia="Book Antiqua" w:hAnsi="Book Antiqua" w:cs="Book Antiqua"/>
          <w:color w:val="000000"/>
          <w:vertAlign w:val="superscript"/>
          <w:lang w:val="en-US"/>
        </w:rPr>
        <w:t>[22]</w:t>
      </w:r>
      <w:r w:rsidRPr="00C51CF1">
        <w:rPr>
          <w:rFonts w:ascii="Book Antiqua" w:eastAsia="Book Antiqua" w:hAnsi="Book Antiqua" w:cs="Book Antiqua"/>
          <w:color w:val="000000"/>
          <w:lang w:val="en-US"/>
        </w:rPr>
        <w:t>. Historically, it has been reported that the risk of HCC in cirrhosis due to viral causes is higher than in other non-viral etiologies, however a precise comparison of the incidence of HCC in various chronic liver diseases, especially in cirrhosis, has only recently been evaluated</w:t>
      </w:r>
      <w:r w:rsidR="000E2CA7" w:rsidRPr="00C51CF1">
        <w:rPr>
          <w:rFonts w:ascii="Book Antiqua" w:eastAsia="Book Antiqua" w:hAnsi="Book Antiqua" w:cs="Book Antiqua"/>
          <w:color w:val="000000"/>
          <w:vertAlign w:val="superscript"/>
          <w:lang w:val="en-US"/>
        </w:rPr>
        <w:t>[23,24]</w:t>
      </w:r>
      <w:r w:rsidRPr="00C51CF1">
        <w:rPr>
          <w:rFonts w:ascii="Book Antiqua" w:eastAsia="Book Antiqua" w:hAnsi="Book Antiqua" w:cs="Book Antiqua"/>
          <w:color w:val="000000"/>
          <w:lang w:val="en-US"/>
        </w:rPr>
        <w:t>.</w:t>
      </w:r>
    </w:p>
    <w:p w14:paraId="7C626643" w14:textId="138B13D8" w:rsidR="00A77B3E" w:rsidRPr="00C51CF1" w:rsidRDefault="005B1767" w:rsidP="000E2CA7">
      <w:pPr>
        <w:spacing w:line="360" w:lineRule="auto"/>
        <w:ind w:firstLineChars="100" w:firstLine="240"/>
        <w:jc w:val="both"/>
        <w:rPr>
          <w:rFonts w:ascii="Book Antiqua" w:hAnsi="Book Antiqua"/>
        </w:rPr>
      </w:pPr>
      <w:r w:rsidRPr="00C51CF1">
        <w:rPr>
          <w:rFonts w:ascii="Book Antiqua" w:eastAsia="Book Antiqua" w:hAnsi="Book Antiqua" w:cs="Book Antiqua"/>
          <w:color w:val="000000"/>
          <w:lang w:val="en-US"/>
        </w:rPr>
        <w:t xml:space="preserve">In a recent meta-analysis it was shown that the annual incidence of HCC in chronic liver diseases and the ratio of HCC incidence in non-cirrhotic/cirrhotic stages has the following </w:t>
      </w:r>
      <w:r w:rsidRPr="00C51CF1">
        <w:rPr>
          <w:rFonts w:ascii="Book Antiqua" w:eastAsia="Book Antiqua" w:hAnsi="Book Antiqua" w:cs="Book Antiqua"/>
          <w:color w:val="000000"/>
          <w:shd w:val="clear" w:color="auto" w:fill="FFFFFF"/>
          <w:lang w:val="en-US"/>
        </w:rPr>
        <w:t>etiological hierarchy</w:t>
      </w:r>
      <w:r w:rsidRPr="00C51CF1">
        <w:rPr>
          <w:rFonts w:ascii="Book Antiqua" w:eastAsia="Book Antiqua" w:hAnsi="Book Antiqua" w:cs="Book Antiqua"/>
          <w:color w:val="000000"/>
          <w:lang w:val="en-US"/>
        </w:rPr>
        <w:t xml:space="preserve">: HCV-related disease 0.68% </w:t>
      </w:r>
      <w:r w:rsidR="000E2CA7" w:rsidRPr="00C51CF1">
        <w:rPr>
          <w:rFonts w:ascii="Book Antiqua" w:eastAsia="Book Antiqua" w:hAnsi="Book Antiqua" w:cs="Book Antiqua"/>
          <w:color w:val="000000"/>
          <w:lang w:val="en-US"/>
        </w:rPr>
        <w:t>to</w:t>
      </w:r>
      <w:r w:rsidRPr="00C51CF1">
        <w:rPr>
          <w:rFonts w:ascii="Book Antiqua" w:eastAsia="Book Antiqua" w:hAnsi="Book Antiqua" w:cs="Book Antiqua"/>
          <w:color w:val="000000"/>
          <w:lang w:val="en-US"/>
        </w:rPr>
        <w:t xml:space="preserve"> 4.81% (7.07-fold, </w:t>
      </w:r>
      <w:r w:rsidR="000E2CA7" w:rsidRPr="00C51CF1">
        <w:rPr>
          <w:rFonts w:ascii="Book Antiqua" w:eastAsia="Book Antiqua" w:hAnsi="Book Antiqua" w:cs="Book Antiqua"/>
          <w:i/>
          <w:iCs/>
          <w:color w:val="000000"/>
          <w:lang w:val="en-US"/>
        </w:rPr>
        <w:t>P</w:t>
      </w:r>
      <w:r w:rsidR="000E2CA7" w:rsidRPr="00C51CF1">
        <w:rPr>
          <w:rFonts w:ascii="Book Antiqua" w:eastAsia="Book Antiqua" w:hAnsi="Book Antiqua" w:cs="Book Antiqua"/>
          <w:color w:val="000000"/>
          <w:lang w:val="en-US"/>
        </w:rPr>
        <w:t xml:space="preserve"> </w:t>
      </w:r>
      <w:r w:rsidRPr="00C51CF1">
        <w:rPr>
          <w:rFonts w:ascii="Book Antiqua" w:eastAsia="Book Antiqua" w:hAnsi="Book Antiqua" w:cs="Book Antiqua"/>
          <w:color w:val="000000"/>
          <w:lang w:val="en-US"/>
        </w:rPr>
        <w:t>&lt;</w:t>
      </w:r>
      <w:r w:rsidR="000E2CA7" w:rsidRPr="00C51CF1">
        <w:rPr>
          <w:rFonts w:ascii="Book Antiqua" w:eastAsia="Book Antiqua" w:hAnsi="Book Antiqua" w:cs="Book Antiqua"/>
          <w:color w:val="000000"/>
          <w:lang w:val="en-US"/>
        </w:rPr>
        <w:t xml:space="preserve"> </w:t>
      </w:r>
      <w:r w:rsidRPr="00C51CF1">
        <w:rPr>
          <w:rFonts w:ascii="Book Antiqua" w:eastAsia="Book Antiqua" w:hAnsi="Book Antiqua" w:cs="Book Antiqua"/>
          <w:color w:val="000000"/>
          <w:lang w:val="en-US"/>
        </w:rPr>
        <w:t xml:space="preserve">0.001), HBV-related liver disease 0.37% </w:t>
      </w:r>
      <w:r w:rsidR="000E2CA7" w:rsidRPr="00C51CF1">
        <w:rPr>
          <w:rFonts w:ascii="Book Antiqua" w:eastAsia="Book Antiqua" w:hAnsi="Book Antiqua" w:cs="Book Antiqua"/>
          <w:color w:val="000000"/>
          <w:lang w:val="en-US"/>
        </w:rPr>
        <w:t>to</w:t>
      </w:r>
      <w:r w:rsidRPr="00C51CF1">
        <w:rPr>
          <w:rFonts w:ascii="Book Antiqua" w:eastAsia="Book Antiqua" w:hAnsi="Book Antiqua" w:cs="Book Antiqua"/>
          <w:color w:val="000000"/>
          <w:lang w:val="en-US"/>
        </w:rPr>
        <w:t xml:space="preserve"> 3.23% (8.73 fold, </w:t>
      </w:r>
      <w:r w:rsidR="000E2CA7" w:rsidRPr="00C51CF1">
        <w:rPr>
          <w:rFonts w:ascii="Book Antiqua" w:eastAsia="Book Antiqua" w:hAnsi="Book Antiqua" w:cs="Book Antiqua"/>
          <w:i/>
          <w:iCs/>
          <w:color w:val="000000"/>
          <w:lang w:val="en-US"/>
        </w:rPr>
        <w:t>P</w:t>
      </w:r>
      <w:r w:rsidR="000E2CA7" w:rsidRPr="00C51CF1">
        <w:rPr>
          <w:rFonts w:ascii="Book Antiqua" w:eastAsia="Book Antiqua" w:hAnsi="Book Antiqua" w:cs="Book Antiqua"/>
          <w:color w:val="000000"/>
          <w:lang w:val="en-US"/>
        </w:rPr>
        <w:t xml:space="preserve"> &lt; </w:t>
      </w:r>
      <w:r w:rsidRPr="00C51CF1">
        <w:rPr>
          <w:rFonts w:ascii="Book Antiqua" w:eastAsia="Book Antiqua" w:hAnsi="Book Antiqua" w:cs="Book Antiqua"/>
          <w:color w:val="000000"/>
          <w:lang w:val="en-US"/>
        </w:rPr>
        <w:t xml:space="preserve">0.001), primary biliary cholangitis </w:t>
      </w:r>
      <w:r w:rsidR="000E2CA7" w:rsidRPr="00C51CF1">
        <w:rPr>
          <w:rFonts w:ascii="Book Antiqua" w:eastAsia="Book Antiqua" w:hAnsi="Book Antiqua" w:cs="Book Antiqua"/>
          <w:color w:val="000000"/>
          <w:lang w:val="en-US"/>
        </w:rPr>
        <w:t xml:space="preserve">(PBC) </w:t>
      </w:r>
      <w:r w:rsidRPr="00C51CF1">
        <w:rPr>
          <w:rFonts w:ascii="Book Antiqua" w:eastAsia="Book Antiqua" w:hAnsi="Book Antiqua" w:cs="Book Antiqua"/>
          <w:color w:val="000000"/>
          <w:lang w:val="en-US"/>
        </w:rPr>
        <w:t xml:space="preserve">(pre-cirrhotic </w:t>
      </w:r>
      <w:r w:rsidRPr="00C51CF1">
        <w:rPr>
          <w:rFonts w:ascii="Book Antiqua" w:eastAsia="Book Antiqua" w:hAnsi="Book Antiqua" w:cs="Book Antiqua"/>
          <w:i/>
          <w:iCs/>
          <w:color w:val="000000"/>
          <w:lang w:val="en-US"/>
        </w:rPr>
        <w:t>vs</w:t>
      </w:r>
      <w:r w:rsidRPr="00C51CF1">
        <w:rPr>
          <w:rFonts w:ascii="Book Antiqua" w:eastAsia="Book Antiqua" w:hAnsi="Book Antiqua" w:cs="Book Antiqua"/>
          <w:color w:val="000000"/>
          <w:lang w:val="en-US"/>
        </w:rPr>
        <w:t xml:space="preserve"> Scheuer’s III-IV stage) 0.26 </w:t>
      </w:r>
      <w:r w:rsidR="000E2CA7" w:rsidRPr="00C51CF1">
        <w:rPr>
          <w:rFonts w:ascii="Book Antiqua" w:eastAsia="Book Antiqua" w:hAnsi="Book Antiqua" w:cs="Book Antiqua"/>
          <w:color w:val="000000"/>
          <w:lang w:val="en-US"/>
        </w:rPr>
        <w:t>to</w:t>
      </w:r>
      <w:r w:rsidRPr="00C51CF1">
        <w:rPr>
          <w:rFonts w:ascii="Book Antiqua" w:eastAsia="Book Antiqua" w:hAnsi="Book Antiqua" w:cs="Book Antiqua"/>
          <w:color w:val="000000"/>
          <w:lang w:val="en-US"/>
        </w:rPr>
        <w:t xml:space="preserve"> 1.79% (6.88-fold, </w:t>
      </w:r>
      <w:r w:rsidR="000E2CA7" w:rsidRPr="00C51CF1">
        <w:rPr>
          <w:rFonts w:ascii="Book Antiqua" w:eastAsia="Book Antiqua" w:hAnsi="Book Antiqua" w:cs="Book Antiqua"/>
          <w:i/>
          <w:iCs/>
          <w:color w:val="000000"/>
          <w:lang w:val="en-US"/>
        </w:rPr>
        <w:t>P</w:t>
      </w:r>
      <w:r w:rsidR="000E2CA7" w:rsidRPr="00C51CF1">
        <w:rPr>
          <w:rFonts w:ascii="Book Antiqua" w:eastAsia="Book Antiqua" w:hAnsi="Book Antiqua" w:cs="Book Antiqua"/>
          <w:color w:val="000000"/>
          <w:lang w:val="en-US"/>
        </w:rPr>
        <w:t xml:space="preserve"> &lt; </w:t>
      </w:r>
      <w:r w:rsidRPr="00C51CF1">
        <w:rPr>
          <w:rFonts w:ascii="Book Antiqua" w:eastAsia="Book Antiqua" w:hAnsi="Book Antiqua" w:cs="Book Antiqua"/>
          <w:color w:val="000000"/>
          <w:lang w:val="en-US"/>
        </w:rPr>
        <w:t>0.001), NASH</w:t>
      </w:r>
      <w:r w:rsidR="000E2CA7" w:rsidRPr="00C51CF1">
        <w:rPr>
          <w:rFonts w:ascii="Book Antiqua" w:eastAsia="Book Antiqua" w:hAnsi="Book Antiqua" w:cs="Book Antiqua"/>
          <w:color w:val="000000"/>
          <w:lang w:val="en-US"/>
        </w:rPr>
        <w:t xml:space="preserve"> </w:t>
      </w:r>
      <w:r w:rsidRPr="00C51CF1">
        <w:rPr>
          <w:rFonts w:ascii="Book Antiqua" w:eastAsia="Book Antiqua" w:hAnsi="Book Antiqua" w:cs="Book Antiqua"/>
          <w:color w:val="000000"/>
          <w:lang w:val="en-US"/>
        </w:rPr>
        <w:t xml:space="preserve">0.03% </w:t>
      </w:r>
      <w:r w:rsidR="000E2CA7" w:rsidRPr="00C51CF1">
        <w:rPr>
          <w:rFonts w:ascii="Book Antiqua" w:eastAsia="Book Antiqua" w:hAnsi="Book Antiqua" w:cs="Book Antiqua"/>
          <w:color w:val="000000"/>
          <w:lang w:val="en-US"/>
        </w:rPr>
        <w:t>to</w:t>
      </w:r>
      <w:r w:rsidRPr="00C51CF1">
        <w:rPr>
          <w:rFonts w:ascii="Book Antiqua" w:eastAsia="Book Antiqua" w:hAnsi="Book Antiqua" w:cs="Book Antiqua"/>
          <w:color w:val="000000"/>
          <w:lang w:val="en-US"/>
        </w:rPr>
        <w:t xml:space="preserve"> 1.35% (45-fold, </w:t>
      </w:r>
      <w:r w:rsidR="000E2CA7" w:rsidRPr="00C51CF1">
        <w:rPr>
          <w:rFonts w:ascii="Book Antiqua" w:eastAsia="Book Antiqua" w:hAnsi="Book Antiqua" w:cs="Book Antiqua"/>
          <w:i/>
          <w:iCs/>
          <w:color w:val="000000"/>
          <w:lang w:val="en-US"/>
        </w:rPr>
        <w:t>P</w:t>
      </w:r>
      <w:r w:rsidR="000E2CA7" w:rsidRPr="00C51CF1">
        <w:rPr>
          <w:rFonts w:ascii="Book Antiqua" w:eastAsia="Book Antiqua" w:hAnsi="Book Antiqua" w:cs="Book Antiqua"/>
          <w:color w:val="000000"/>
          <w:lang w:val="en-US"/>
        </w:rPr>
        <w:t xml:space="preserve"> &lt; </w:t>
      </w:r>
      <w:r w:rsidRPr="00C51CF1">
        <w:rPr>
          <w:rFonts w:ascii="Book Antiqua" w:eastAsia="Book Antiqua" w:hAnsi="Book Antiqua" w:cs="Book Antiqua"/>
          <w:color w:val="000000"/>
          <w:lang w:val="en-US"/>
        </w:rPr>
        <w:t xml:space="preserve">0.001), autoimmune hepatitis </w:t>
      </w:r>
      <w:r w:rsidR="00E73002" w:rsidRPr="00C51CF1">
        <w:rPr>
          <w:rFonts w:ascii="Book Antiqua" w:eastAsia="Book Antiqua" w:hAnsi="Book Antiqua" w:cs="Book Antiqua"/>
          <w:color w:val="000000"/>
          <w:lang w:val="en-US"/>
        </w:rPr>
        <w:t xml:space="preserve">(AIH) </w:t>
      </w:r>
      <w:r w:rsidRPr="00C51CF1">
        <w:rPr>
          <w:rFonts w:ascii="Book Antiqua" w:eastAsia="Book Antiqua" w:hAnsi="Book Antiqua" w:cs="Book Antiqua"/>
          <w:color w:val="000000"/>
          <w:lang w:val="en-US"/>
        </w:rPr>
        <w:t>0.19</w:t>
      </w:r>
      <w:r w:rsidRPr="00C51CF1">
        <w:rPr>
          <w:rFonts w:ascii="Book Antiqua" w:eastAsia="Book Antiqua" w:hAnsi="Book Antiqua" w:cs="Book Antiqua"/>
          <w:color w:val="000000"/>
        </w:rPr>
        <w:t xml:space="preserve">% </w:t>
      </w:r>
      <w:r w:rsidR="000E2CA7" w:rsidRPr="00C51CF1">
        <w:rPr>
          <w:rFonts w:ascii="Book Antiqua" w:eastAsia="Book Antiqua" w:hAnsi="Book Antiqua" w:cs="Book Antiqua"/>
          <w:color w:val="000000"/>
        </w:rPr>
        <w:t>to</w:t>
      </w:r>
      <w:r w:rsidRPr="00C51CF1">
        <w:rPr>
          <w:rFonts w:ascii="Book Antiqua" w:eastAsia="Book Antiqua" w:hAnsi="Book Antiqua" w:cs="Book Antiqua"/>
          <w:color w:val="000000"/>
        </w:rPr>
        <w:t xml:space="preserve"> 0.53% (2.79-fold, </w:t>
      </w:r>
      <w:r w:rsidRPr="00C51CF1">
        <w:rPr>
          <w:rFonts w:ascii="Book Antiqua" w:eastAsia="Book Antiqua" w:hAnsi="Book Antiqua" w:cs="Book Antiqua"/>
          <w:i/>
          <w:iCs/>
          <w:color w:val="000000"/>
        </w:rPr>
        <w:t>P</w:t>
      </w:r>
      <w:r w:rsidRPr="00C51CF1">
        <w:rPr>
          <w:rFonts w:ascii="Book Antiqua" w:eastAsia="Book Antiqua" w:hAnsi="Book Antiqua" w:cs="Book Antiqua"/>
          <w:color w:val="000000"/>
        </w:rPr>
        <w:t xml:space="preserve"> = 0.03), and that the incidence of HCC is markedly increased (2.79-</w:t>
      </w:r>
      <w:r w:rsidR="000E2CA7" w:rsidRPr="00C51CF1">
        <w:rPr>
          <w:rFonts w:ascii="Book Antiqua" w:eastAsia="Book Antiqua" w:hAnsi="Book Antiqua" w:cs="Book Antiqua"/>
          <w:color w:val="000000"/>
        </w:rPr>
        <w:t xml:space="preserve"> fold</w:t>
      </w:r>
      <w:r w:rsidRPr="00C51CF1">
        <w:rPr>
          <w:rFonts w:ascii="Book Antiqua" w:eastAsia="Book Antiqua" w:hAnsi="Book Antiqua" w:cs="Book Antiqua"/>
          <w:color w:val="000000"/>
        </w:rPr>
        <w:t xml:space="preserve"> to 45-fold) in the cirrhotic stage compared with the non-cirrhotic stage, regardless of etiology</w:t>
      </w:r>
      <w:r w:rsidR="000E2CA7" w:rsidRPr="00C51CF1">
        <w:rPr>
          <w:rFonts w:ascii="Book Antiqua" w:eastAsia="Book Antiqua" w:hAnsi="Book Antiqua" w:cs="Book Antiqua"/>
          <w:color w:val="000000"/>
          <w:vertAlign w:val="superscript"/>
        </w:rPr>
        <w:t>[24]</w:t>
      </w:r>
      <w:r w:rsidRPr="00C51CF1">
        <w:rPr>
          <w:rFonts w:ascii="Book Antiqua" w:eastAsia="Book Antiqua" w:hAnsi="Book Antiqua" w:cs="Book Antiqua"/>
          <w:color w:val="000000"/>
        </w:rPr>
        <w:t>.</w:t>
      </w:r>
      <w:r w:rsidR="000E2CA7" w:rsidRPr="00C51CF1">
        <w:rPr>
          <w:rFonts w:ascii="Book Antiqua" w:hAnsi="Book Antiqua"/>
        </w:rPr>
        <w:t xml:space="preserve"> </w:t>
      </w:r>
      <w:r w:rsidRPr="00C51CF1">
        <w:rPr>
          <w:rFonts w:ascii="Book Antiqua" w:eastAsia="Book Antiqua" w:hAnsi="Book Antiqua" w:cs="Book Antiqua"/>
          <w:color w:val="000000"/>
        </w:rPr>
        <w:t>Thus, it is confirmed that there is a significant difference in HCC incidence between viral and autoimmune liver diseases, with the lowest risk in the latter even when in the cirrhotic stage.</w:t>
      </w:r>
    </w:p>
    <w:p w14:paraId="65FA0E20" w14:textId="514DC532" w:rsidR="00A77B3E" w:rsidRPr="00C51CF1" w:rsidRDefault="005B1767" w:rsidP="000E2CA7">
      <w:pPr>
        <w:spacing w:line="360" w:lineRule="auto"/>
        <w:ind w:firstLineChars="100" w:firstLine="240"/>
        <w:jc w:val="both"/>
        <w:rPr>
          <w:rFonts w:ascii="Book Antiqua" w:hAnsi="Book Antiqua"/>
        </w:rPr>
      </w:pPr>
      <w:r w:rsidRPr="00C51CF1">
        <w:rPr>
          <w:rFonts w:ascii="Book Antiqua" w:eastAsia="Book Antiqua" w:hAnsi="Book Antiqua" w:cs="Book Antiqua"/>
          <w:color w:val="000000"/>
        </w:rPr>
        <w:t>Worldwide, about 54% of cases can be ascribed to HBV infection (affecting 400 million people globally) while 31% can be associated with HCV infection (affecting 170 million people), leaving about 15% attributable to other causes</w:t>
      </w:r>
      <w:r w:rsidR="000E2CA7" w:rsidRPr="00C51CF1">
        <w:rPr>
          <w:rFonts w:ascii="Book Antiqua" w:eastAsia="Book Antiqua" w:hAnsi="Book Antiqua" w:cs="Book Antiqua"/>
          <w:color w:val="000000"/>
          <w:vertAlign w:val="superscript"/>
        </w:rPr>
        <w:t>[25]</w:t>
      </w:r>
      <w:r w:rsidRPr="00C51CF1">
        <w:rPr>
          <w:rFonts w:ascii="Book Antiqua" w:eastAsia="Book Antiqua" w:hAnsi="Book Antiqua" w:cs="Book Antiqua"/>
          <w:color w:val="000000"/>
        </w:rPr>
        <w:t>.</w:t>
      </w:r>
    </w:p>
    <w:p w14:paraId="44FCD025" w14:textId="624370D4" w:rsidR="00A77B3E" w:rsidRPr="00C51CF1" w:rsidRDefault="005B1767" w:rsidP="000E2CA7">
      <w:pPr>
        <w:spacing w:line="360" w:lineRule="auto"/>
        <w:ind w:firstLineChars="100" w:firstLine="240"/>
        <w:jc w:val="both"/>
        <w:rPr>
          <w:rFonts w:ascii="Book Antiqua" w:hAnsi="Book Antiqua"/>
          <w:lang w:val="en-US"/>
        </w:rPr>
      </w:pPr>
      <w:r w:rsidRPr="00C51CF1">
        <w:rPr>
          <w:rFonts w:ascii="Book Antiqua" w:eastAsia="Book Antiqua" w:hAnsi="Book Antiqua" w:cs="Book Antiqua"/>
          <w:color w:val="000000"/>
        </w:rPr>
        <w:t>Incidence of HCC in autoimmune liver disease is less definitively established. In a recent systematic review</w:t>
      </w:r>
      <w:r w:rsidRPr="00C51CF1">
        <w:rPr>
          <w:rFonts w:ascii="Book Antiqua" w:eastAsia="Book Antiqua" w:hAnsi="Book Antiqua" w:cs="Book Antiqua"/>
          <w:color w:val="000000"/>
          <w:shd w:val="clear" w:color="auto" w:fill="FFFFFF"/>
        </w:rPr>
        <w:t xml:space="preserve"> of 25 published cohorts</w:t>
      </w:r>
      <w:r w:rsidRPr="00C51CF1">
        <w:rPr>
          <w:rFonts w:ascii="Book Antiqua" w:eastAsia="Book Antiqua" w:hAnsi="Book Antiqua" w:cs="Book Antiqua"/>
          <w:color w:val="000000"/>
        </w:rPr>
        <w:t xml:space="preserve">, a total of 6.528 </w:t>
      </w:r>
      <w:r w:rsidR="00E73002" w:rsidRPr="00C51CF1">
        <w:rPr>
          <w:rFonts w:ascii="Book Antiqua" w:eastAsia="Book Antiqua" w:hAnsi="Book Antiqua" w:cs="Book Antiqua"/>
          <w:color w:val="000000"/>
          <w:lang w:val="en-US"/>
        </w:rPr>
        <w:t xml:space="preserve">AIH </w:t>
      </w:r>
      <w:r w:rsidRPr="00C51CF1">
        <w:rPr>
          <w:rFonts w:ascii="Book Antiqua" w:eastAsia="Book Antiqua" w:hAnsi="Book Antiqua" w:cs="Book Antiqua"/>
          <w:color w:val="000000"/>
          <w:lang w:val="en-US"/>
        </w:rPr>
        <w:t xml:space="preserve">patients with a median follow-up of 8 years were evaluated for the incidence of HCC. The pooled incidence rate was 3.1 per 1.000 person-years </w:t>
      </w:r>
      <w:r w:rsidRPr="00C51CF1">
        <w:rPr>
          <w:rFonts w:ascii="Book Antiqua" w:eastAsia="Book Antiqua" w:hAnsi="Book Antiqua" w:cs="Book Antiqua"/>
          <w:color w:val="000000"/>
          <w:shd w:val="clear" w:color="auto" w:fill="FFFFFF"/>
          <w:lang w:val="en-US"/>
        </w:rPr>
        <w:t xml:space="preserve">in </w:t>
      </w:r>
      <w:r w:rsidR="00E73002" w:rsidRPr="00C51CF1">
        <w:rPr>
          <w:rFonts w:ascii="Book Antiqua" w:eastAsia="Book Antiqua" w:hAnsi="Book Antiqua" w:cs="Book Antiqua"/>
          <w:color w:val="000000"/>
          <w:shd w:val="clear" w:color="auto" w:fill="FFFFFF"/>
          <w:lang w:val="en-US"/>
        </w:rPr>
        <w:t xml:space="preserve">AIH </w:t>
      </w:r>
      <w:r w:rsidRPr="00C51CF1">
        <w:rPr>
          <w:rFonts w:ascii="Book Antiqua" w:eastAsia="Book Antiqua" w:hAnsi="Book Antiqua" w:cs="Book Antiqua"/>
          <w:color w:val="000000"/>
          <w:shd w:val="clear" w:color="auto" w:fill="FFFFFF"/>
          <w:lang w:val="en-US"/>
        </w:rPr>
        <w:t>patients that tripled in those with cirrhosis</w:t>
      </w:r>
      <w:r w:rsidR="000E2CA7" w:rsidRPr="00C51CF1">
        <w:rPr>
          <w:rFonts w:ascii="Book Antiqua" w:eastAsia="Book Antiqua" w:hAnsi="Book Antiqua" w:cs="Book Antiqua"/>
          <w:color w:val="000000"/>
          <w:vertAlign w:val="superscript"/>
          <w:lang w:val="en-US"/>
        </w:rPr>
        <w:t>[26,27]</w:t>
      </w:r>
      <w:r w:rsidRPr="00C51CF1">
        <w:rPr>
          <w:rFonts w:ascii="Book Antiqua" w:eastAsia="Book Antiqua" w:hAnsi="Book Antiqua" w:cs="Book Antiqua"/>
          <w:color w:val="000000"/>
          <w:lang w:val="en-US"/>
        </w:rPr>
        <w:t>.</w:t>
      </w:r>
    </w:p>
    <w:p w14:paraId="31C9F236" w14:textId="5F0FD2EC" w:rsidR="00A77B3E" w:rsidRPr="00C51CF1" w:rsidRDefault="005B1767" w:rsidP="000E2CA7">
      <w:pPr>
        <w:spacing w:line="360" w:lineRule="auto"/>
        <w:ind w:firstLineChars="100" w:firstLine="240"/>
        <w:jc w:val="both"/>
        <w:rPr>
          <w:rFonts w:ascii="Book Antiqua" w:hAnsi="Book Antiqua"/>
          <w:lang w:val="en-US"/>
        </w:rPr>
      </w:pPr>
      <w:r w:rsidRPr="00C51CF1">
        <w:rPr>
          <w:rFonts w:ascii="Book Antiqua" w:eastAsia="Book Antiqua" w:hAnsi="Book Antiqua" w:cs="Book Antiqua"/>
          <w:color w:val="000000"/>
          <w:lang w:val="en-US"/>
        </w:rPr>
        <w:t xml:space="preserve">PBC-related cirrhosis has also been reported as a potential HCC risk factor. In a study of 273 PBC-related cirrhotic patients, followed for 3 years, the incidence rate was 5.9%, </w:t>
      </w:r>
      <w:r w:rsidRPr="00C51CF1">
        <w:rPr>
          <w:rFonts w:ascii="Book Antiqua" w:eastAsia="Book Antiqua" w:hAnsi="Book Antiqua" w:cs="Book Antiqua"/>
          <w:color w:val="000000"/>
          <w:shd w:val="clear" w:color="auto" w:fill="FFFFFF"/>
          <w:lang w:val="en-US"/>
        </w:rPr>
        <w:t>significantly higher in males with stage III/IV disease than in females</w:t>
      </w:r>
      <w:r w:rsidR="000E2CA7" w:rsidRPr="00C51CF1">
        <w:rPr>
          <w:rFonts w:ascii="Book Antiqua" w:eastAsia="Book Antiqua" w:hAnsi="Book Antiqua" w:cs="Book Antiqua"/>
          <w:color w:val="000000"/>
          <w:vertAlign w:val="superscript"/>
          <w:lang w:val="en-US"/>
        </w:rPr>
        <w:t>[28]</w:t>
      </w:r>
      <w:r w:rsidRPr="00C51CF1">
        <w:rPr>
          <w:rFonts w:ascii="Book Antiqua" w:eastAsia="Book Antiqua" w:hAnsi="Book Antiqua" w:cs="Book Antiqua"/>
          <w:color w:val="000000"/>
          <w:shd w:val="clear" w:color="auto" w:fill="FFFFFF"/>
          <w:lang w:val="en-US"/>
        </w:rPr>
        <w:t>.</w:t>
      </w:r>
    </w:p>
    <w:p w14:paraId="2B5DC222" w14:textId="7053FE82" w:rsidR="00A77B3E" w:rsidRPr="00C51CF1" w:rsidRDefault="005B1767" w:rsidP="000E2CA7">
      <w:pPr>
        <w:spacing w:line="360" w:lineRule="auto"/>
        <w:ind w:firstLineChars="100" w:firstLine="240"/>
        <w:jc w:val="both"/>
        <w:rPr>
          <w:rFonts w:ascii="Book Antiqua" w:hAnsi="Book Antiqua"/>
          <w:lang w:val="en-US"/>
        </w:rPr>
      </w:pPr>
      <w:r w:rsidRPr="00C51CF1">
        <w:rPr>
          <w:rFonts w:ascii="Book Antiqua" w:eastAsia="Book Antiqua" w:hAnsi="Book Antiqua" w:cs="Book Antiqua"/>
          <w:color w:val="000000"/>
          <w:shd w:val="clear" w:color="auto" w:fill="FFFFFF"/>
          <w:lang w:val="en-US"/>
        </w:rPr>
        <w:t xml:space="preserve">In a systematic review of 17 studies, including 16.368 patients seen between 1984 and 2011, compared with the general population, PBC patients exhibited a significantly higher risk of HCC (pooled </w:t>
      </w:r>
      <w:r w:rsidR="000E2CA7" w:rsidRPr="00C51CF1">
        <w:rPr>
          <w:rFonts w:ascii="Book Antiqua" w:eastAsia="Book Antiqua" w:hAnsi="Book Antiqua" w:cs="Book Antiqua"/>
          <w:color w:val="000000"/>
          <w:shd w:val="clear" w:color="auto" w:fill="FFFFFF"/>
          <w:lang w:val="en-US"/>
        </w:rPr>
        <w:t>risk ratio</w:t>
      </w:r>
      <w:r w:rsidRPr="00C51CF1">
        <w:rPr>
          <w:rFonts w:ascii="Book Antiqua" w:eastAsia="Book Antiqua" w:hAnsi="Book Antiqua" w:cs="Book Antiqua"/>
          <w:color w:val="000000"/>
          <w:shd w:val="clear" w:color="auto" w:fill="FFFFFF"/>
          <w:lang w:val="en-US"/>
        </w:rPr>
        <w:t xml:space="preserve"> 18.80; 95%</w:t>
      </w:r>
      <w:bookmarkStart w:id="0" w:name="_Hlk58003882"/>
      <w:r w:rsidR="000E2CA7" w:rsidRPr="00C51CF1">
        <w:rPr>
          <w:rFonts w:ascii="Book Antiqua" w:eastAsia="Malgun Gothic" w:hAnsi="Book Antiqua"/>
          <w:lang w:val="en-US"/>
        </w:rPr>
        <w:t xml:space="preserve"> confidence interval</w:t>
      </w:r>
      <w:bookmarkEnd w:id="0"/>
      <w:r w:rsidR="000E2CA7" w:rsidRPr="00C51CF1">
        <w:rPr>
          <w:rFonts w:ascii="Book Antiqua" w:eastAsia="Malgun Gothic" w:hAnsi="Book Antiqua"/>
          <w:lang w:val="en-US"/>
        </w:rPr>
        <w:t>:</w:t>
      </w:r>
      <w:r w:rsidRPr="00C51CF1">
        <w:rPr>
          <w:rFonts w:ascii="Book Antiqua" w:eastAsia="Book Antiqua" w:hAnsi="Book Antiqua" w:cs="Book Antiqua"/>
          <w:color w:val="000000"/>
          <w:shd w:val="clear" w:color="auto" w:fill="FFFFFF"/>
          <w:lang w:val="en-US"/>
        </w:rPr>
        <w:t xml:space="preserve"> 10.81</w:t>
      </w:r>
      <w:r w:rsidR="000E2CA7" w:rsidRPr="00C51CF1">
        <w:rPr>
          <w:rFonts w:ascii="Book Antiqua" w:eastAsia="Book Antiqua" w:hAnsi="Book Antiqua" w:cs="Book Antiqua"/>
          <w:color w:val="000000"/>
          <w:shd w:val="clear" w:color="auto" w:fill="FFFFFF"/>
          <w:lang w:val="en-US"/>
        </w:rPr>
        <w:t>-</w:t>
      </w:r>
      <w:r w:rsidRPr="00C51CF1">
        <w:rPr>
          <w:rFonts w:ascii="Book Antiqua" w:eastAsia="Book Antiqua" w:hAnsi="Book Antiqua" w:cs="Book Antiqua"/>
          <w:color w:val="000000"/>
          <w:shd w:val="clear" w:color="auto" w:fill="FFFFFF"/>
          <w:lang w:val="en-US"/>
        </w:rPr>
        <w:t>26.79)</w:t>
      </w:r>
      <w:r w:rsidR="000E2CA7" w:rsidRPr="00C51CF1">
        <w:rPr>
          <w:rFonts w:ascii="Book Antiqua" w:eastAsia="Book Antiqua" w:hAnsi="Book Antiqua" w:cs="Book Antiqua"/>
          <w:color w:val="000000"/>
          <w:shd w:val="clear" w:color="auto" w:fill="FFFFFF"/>
          <w:vertAlign w:val="superscript"/>
          <w:lang w:val="en-US"/>
        </w:rPr>
        <w:t>[29]</w:t>
      </w:r>
      <w:r w:rsidRPr="00C51CF1">
        <w:rPr>
          <w:rFonts w:ascii="Book Antiqua" w:eastAsia="Book Antiqua" w:hAnsi="Book Antiqua" w:cs="Book Antiqua"/>
          <w:color w:val="000000"/>
          <w:shd w:val="clear" w:color="auto" w:fill="FFFFFF"/>
          <w:lang w:val="en-US"/>
        </w:rPr>
        <w:t>.</w:t>
      </w:r>
    </w:p>
    <w:p w14:paraId="46ED54E3" w14:textId="6013728A" w:rsidR="00A77B3E" w:rsidRPr="00C51CF1" w:rsidRDefault="005B1767" w:rsidP="000E2CA7">
      <w:pPr>
        <w:spacing w:line="360" w:lineRule="auto"/>
        <w:ind w:firstLineChars="100" w:firstLine="240"/>
        <w:jc w:val="both"/>
        <w:rPr>
          <w:rFonts w:ascii="Book Antiqua" w:hAnsi="Book Antiqua"/>
          <w:lang w:val="en-US"/>
        </w:rPr>
      </w:pPr>
      <w:r w:rsidRPr="00C51CF1">
        <w:rPr>
          <w:rFonts w:ascii="Book Antiqua" w:eastAsia="Book Antiqua" w:hAnsi="Book Antiqua" w:cs="Book Antiqua"/>
          <w:color w:val="000000"/>
          <w:lang w:val="en-US"/>
        </w:rPr>
        <w:t>Factors associated with an increased risk of HCC development in chronic liver disease have been only partially defined. However, chronic inflammation has been reported as a crucial mechanism for the development of HCC</w:t>
      </w:r>
      <w:r w:rsidR="000E2CA7" w:rsidRPr="00C51CF1">
        <w:rPr>
          <w:rFonts w:ascii="Book Antiqua" w:eastAsia="Book Antiqua" w:hAnsi="Book Antiqua" w:cs="Book Antiqua"/>
          <w:color w:val="000000"/>
          <w:shd w:val="clear" w:color="auto" w:fill="FFFFFF"/>
          <w:vertAlign w:val="superscript"/>
          <w:lang w:val="en-US"/>
        </w:rPr>
        <w:t>[30-32]</w:t>
      </w:r>
      <w:r w:rsidRPr="00C51CF1">
        <w:rPr>
          <w:rFonts w:ascii="Book Antiqua" w:eastAsia="Book Antiqua" w:hAnsi="Book Antiqua" w:cs="Book Antiqua"/>
          <w:color w:val="000000"/>
          <w:lang w:val="en-US"/>
        </w:rPr>
        <w:t>.</w:t>
      </w:r>
    </w:p>
    <w:p w14:paraId="0523085B" w14:textId="1D22106A" w:rsidR="00A77B3E" w:rsidRPr="00C51CF1" w:rsidRDefault="005B1767" w:rsidP="000E2CA7">
      <w:pPr>
        <w:spacing w:line="360" w:lineRule="auto"/>
        <w:ind w:firstLineChars="100" w:firstLine="240"/>
        <w:jc w:val="both"/>
        <w:rPr>
          <w:rFonts w:ascii="Book Antiqua" w:hAnsi="Book Antiqua"/>
          <w:lang w:val="en-US"/>
        </w:rPr>
      </w:pPr>
      <w:r w:rsidRPr="00C51CF1">
        <w:rPr>
          <w:rFonts w:ascii="Book Antiqua" w:eastAsia="Book Antiqua" w:hAnsi="Book Antiqua" w:cs="Book Antiqua"/>
          <w:color w:val="000000"/>
          <w:lang w:val="en-US"/>
        </w:rPr>
        <w:t>In this respect, it has been reported that in HBV and HCV cirrhotic patients, transaminase serum level is one of the predictive factors for the development of HCC</w:t>
      </w:r>
      <w:r w:rsidR="000E2CA7" w:rsidRPr="00C51CF1">
        <w:rPr>
          <w:rFonts w:ascii="Book Antiqua" w:eastAsia="Book Antiqua" w:hAnsi="Book Antiqua" w:cs="Book Antiqua"/>
          <w:color w:val="000000"/>
          <w:shd w:val="clear" w:color="auto" w:fill="FFFFFF"/>
          <w:vertAlign w:val="superscript"/>
          <w:lang w:val="en-US"/>
        </w:rPr>
        <w:t>[32]</w:t>
      </w:r>
      <w:r w:rsidRPr="00C51CF1">
        <w:rPr>
          <w:rFonts w:ascii="Book Antiqua" w:eastAsia="Book Antiqua" w:hAnsi="Book Antiqua" w:cs="Book Antiqua"/>
          <w:color w:val="000000"/>
          <w:lang w:val="en-US"/>
        </w:rPr>
        <w:t>.</w:t>
      </w:r>
      <w:r w:rsidR="000E2CA7" w:rsidRPr="00C51CF1">
        <w:rPr>
          <w:rFonts w:ascii="Book Antiqua" w:eastAsia="Book Antiqua" w:hAnsi="Book Antiqua" w:cs="Book Antiqua"/>
          <w:color w:val="000000"/>
          <w:lang w:val="en-US"/>
        </w:rPr>
        <w:t xml:space="preserve"> </w:t>
      </w:r>
      <w:r w:rsidRPr="00C51CF1">
        <w:rPr>
          <w:rFonts w:ascii="Book Antiqua" w:eastAsia="Book Antiqua" w:hAnsi="Book Antiqua" w:cs="Book Antiqua"/>
          <w:color w:val="000000"/>
          <w:lang w:val="en-US"/>
        </w:rPr>
        <w:t xml:space="preserve">Similar findings have been reported in </w:t>
      </w:r>
      <w:r w:rsidR="00E73002" w:rsidRPr="00C51CF1">
        <w:rPr>
          <w:rFonts w:ascii="Book Antiqua" w:eastAsia="Book Antiqua" w:hAnsi="Book Antiqua" w:cs="Book Antiqua"/>
          <w:color w:val="000000"/>
          <w:lang w:val="en-US"/>
        </w:rPr>
        <w:t xml:space="preserve">AIH </w:t>
      </w:r>
      <w:r w:rsidRPr="00C51CF1">
        <w:rPr>
          <w:rFonts w:ascii="Book Antiqua" w:eastAsia="Book Antiqua" w:hAnsi="Book Antiqua" w:cs="Book Antiqua"/>
          <w:color w:val="000000"/>
          <w:lang w:val="en-US"/>
        </w:rPr>
        <w:t xml:space="preserve">as persistent elevation of serum transaminases was reported to be associated with development of HCC hence supporting the prominent pathogenic role of chronic inflammation. Other emerged risk factors included cirrhosis </w:t>
      </w:r>
      <w:bookmarkStart w:id="1" w:name="_Hlk52799984"/>
      <w:r w:rsidR="000E2CA7" w:rsidRPr="00C51CF1">
        <w:rPr>
          <w:rFonts w:ascii="Book Antiqua" w:eastAsia="宋体" w:hAnsi="Book Antiqua"/>
          <w:bCs/>
          <w:lang w:val="en-US"/>
        </w:rPr>
        <w:t>≥</w:t>
      </w:r>
      <w:bookmarkEnd w:id="1"/>
      <w:r w:rsidRPr="00C51CF1">
        <w:rPr>
          <w:rFonts w:ascii="Book Antiqua" w:eastAsia="Book Antiqua" w:hAnsi="Book Antiqua" w:cs="Book Antiqua"/>
          <w:color w:val="000000"/>
          <w:lang w:val="en-US"/>
        </w:rPr>
        <w:t xml:space="preserve"> 10 years, portal hypertension, and immunosuppressive therapy </w:t>
      </w:r>
      <w:r w:rsidR="000E2CA7" w:rsidRPr="00C51CF1">
        <w:rPr>
          <w:rFonts w:ascii="Book Antiqua" w:eastAsia="宋体" w:hAnsi="Book Antiqua"/>
          <w:bCs/>
          <w:lang w:val="en-US"/>
        </w:rPr>
        <w:t>≥</w:t>
      </w:r>
      <w:r w:rsidR="000E2CA7" w:rsidRPr="00C51CF1">
        <w:rPr>
          <w:rFonts w:ascii="Book Antiqua" w:eastAsia="Book Antiqua" w:hAnsi="Book Antiqua" w:cs="Book Antiqua"/>
          <w:color w:val="000000"/>
          <w:lang w:val="en-US"/>
        </w:rPr>
        <w:t xml:space="preserve"> </w:t>
      </w:r>
      <w:r w:rsidRPr="00C51CF1">
        <w:rPr>
          <w:rFonts w:ascii="Book Antiqua" w:eastAsia="Book Antiqua" w:hAnsi="Book Antiqua" w:cs="Book Antiqua"/>
          <w:color w:val="000000"/>
          <w:lang w:val="en-US"/>
        </w:rPr>
        <w:t>3 years</w:t>
      </w:r>
      <w:r w:rsidR="000E2CA7" w:rsidRPr="00C51CF1">
        <w:rPr>
          <w:rFonts w:ascii="Book Antiqua" w:eastAsia="Book Antiqua" w:hAnsi="Book Antiqua" w:cs="Book Antiqua"/>
          <w:color w:val="000000"/>
          <w:vertAlign w:val="superscript"/>
          <w:lang w:val="en-US"/>
        </w:rPr>
        <w:t>[33]</w:t>
      </w:r>
      <w:r w:rsidRPr="00C51CF1">
        <w:rPr>
          <w:rFonts w:ascii="Book Antiqua" w:eastAsia="Book Antiqua" w:hAnsi="Book Antiqua" w:cs="Book Antiqua"/>
          <w:color w:val="000000"/>
          <w:lang w:val="en-US"/>
        </w:rPr>
        <w:t>.</w:t>
      </w:r>
    </w:p>
    <w:p w14:paraId="2C043180" w14:textId="1216211E" w:rsidR="00A77B3E" w:rsidRPr="00C51CF1" w:rsidRDefault="005B1767" w:rsidP="000E2CA7">
      <w:pPr>
        <w:spacing w:line="360" w:lineRule="auto"/>
        <w:ind w:firstLineChars="100" w:firstLine="240"/>
        <w:jc w:val="both"/>
        <w:rPr>
          <w:rFonts w:ascii="Book Antiqua" w:hAnsi="Book Antiqua"/>
          <w:lang w:val="en-US"/>
        </w:rPr>
      </w:pPr>
      <w:r w:rsidRPr="00C51CF1">
        <w:rPr>
          <w:rFonts w:ascii="Book Antiqua" w:eastAsia="Book Antiqua" w:hAnsi="Book Antiqua" w:cs="Book Antiqua"/>
          <w:color w:val="000000"/>
          <w:lang w:val="en-US"/>
        </w:rPr>
        <w:t>The risk factors of HCC usually lead to a unresolving inflammatory response and necrosis resulting in tissue damage which in turn drives the sequential development of regeneration, fibrosis, cirrhosis, and eventually HCC</w:t>
      </w:r>
      <w:r w:rsidR="000E2CA7" w:rsidRPr="00C51CF1">
        <w:rPr>
          <w:rFonts w:ascii="Book Antiqua" w:eastAsia="Book Antiqua" w:hAnsi="Book Antiqua" w:cs="Book Antiqua"/>
          <w:color w:val="000000"/>
          <w:vertAlign w:val="superscript"/>
          <w:lang w:val="en-US"/>
        </w:rPr>
        <w:t>[34,35]</w:t>
      </w:r>
      <w:r w:rsidRPr="00C51CF1">
        <w:rPr>
          <w:rFonts w:ascii="Book Antiqua" w:eastAsia="Book Antiqua" w:hAnsi="Book Antiqua" w:cs="Book Antiqua"/>
          <w:color w:val="000000"/>
          <w:lang w:val="en-US"/>
        </w:rPr>
        <w:t>. In parallel, immune cells within the premalignant environment produce a wide range of cytokines, growth factors, chemokines, prostaglandins, and proangiogenic factors, contributing to an environment that supports hepatocyte transformation and promotes their survival through activation of anti-apoptotic pathways, neoangiogenesis and inhibition of immune surveillance</w:t>
      </w:r>
      <w:r w:rsidR="000E2CA7" w:rsidRPr="00C51CF1">
        <w:rPr>
          <w:rFonts w:ascii="Book Antiqua" w:eastAsia="Book Antiqua" w:hAnsi="Book Antiqua" w:cs="Book Antiqua"/>
          <w:color w:val="000000"/>
          <w:vertAlign w:val="superscript"/>
          <w:lang w:val="en-US"/>
        </w:rPr>
        <w:t>[36]</w:t>
      </w:r>
      <w:r w:rsidRPr="00C51CF1">
        <w:rPr>
          <w:rFonts w:ascii="Book Antiqua" w:eastAsia="Book Antiqua" w:hAnsi="Book Antiqua" w:cs="Book Antiqua"/>
          <w:color w:val="000000"/>
          <w:lang w:val="en-US"/>
        </w:rPr>
        <w:t>.</w:t>
      </w:r>
    </w:p>
    <w:p w14:paraId="37EBB5F2" w14:textId="18221A75" w:rsidR="00A77B3E" w:rsidRPr="00C51CF1" w:rsidRDefault="005B1767" w:rsidP="000E2CA7">
      <w:pPr>
        <w:spacing w:line="360" w:lineRule="auto"/>
        <w:ind w:firstLineChars="100" w:firstLine="240"/>
        <w:jc w:val="both"/>
        <w:rPr>
          <w:rFonts w:ascii="Book Antiqua" w:hAnsi="Book Antiqua"/>
          <w:lang w:val="en-US"/>
        </w:rPr>
      </w:pPr>
      <w:r w:rsidRPr="00C51CF1">
        <w:rPr>
          <w:rFonts w:ascii="Book Antiqua" w:eastAsia="Book Antiqua" w:hAnsi="Book Antiqua" w:cs="Book Antiqua"/>
          <w:color w:val="000000"/>
          <w:lang w:val="en-US"/>
        </w:rPr>
        <w:t>It has been recently established that the carcinogenic process is aided by a host of immuno-related factors intrinsically linked to cell infiltrate, chemokines and their receptors that foster cell survival and proliferation</w:t>
      </w:r>
      <w:r w:rsidR="000E2CA7" w:rsidRPr="00C51CF1">
        <w:rPr>
          <w:rFonts w:ascii="Book Antiqua" w:eastAsia="Book Antiqua" w:hAnsi="Book Antiqua" w:cs="Book Antiqua"/>
          <w:color w:val="000000"/>
          <w:vertAlign w:val="superscript"/>
          <w:lang w:val="en-US"/>
        </w:rPr>
        <w:t>[37]</w:t>
      </w:r>
      <w:r w:rsidRPr="00C51CF1">
        <w:rPr>
          <w:rFonts w:ascii="Book Antiqua" w:eastAsia="Book Antiqua" w:hAnsi="Book Antiqua" w:cs="Book Antiqua"/>
          <w:color w:val="000000"/>
          <w:lang w:val="en-US"/>
        </w:rPr>
        <w:t>.</w:t>
      </w:r>
    </w:p>
    <w:p w14:paraId="68AFD276" w14:textId="77777777" w:rsidR="00A77B3E" w:rsidRPr="00C51CF1" w:rsidRDefault="005B1767" w:rsidP="000E2CA7">
      <w:pPr>
        <w:spacing w:line="360" w:lineRule="auto"/>
        <w:ind w:firstLineChars="100" w:firstLine="240"/>
        <w:jc w:val="both"/>
        <w:rPr>
          <w:rFonts w:ascii="Book Antiqua" w:hAnsi="Book Antiqua"/>
          <w:lang w:val="en-US"/>
        </w:rPr>
      </w:pPr>
      <w:r w:rsidRPr="00C51CF1">
        <w:rPr>
          <w:rFonts w:ascii="Book Antiqua" w:eastAsia="Book Antiqua" w:hAnsi="Book Antiqua" w:cs="Book Antiqua"/>
          <w:color w:val="000000"/>
          <w:lang w:val="en-US"/>
        </w:rPr>
        <w:t>In this regard, it has increasingly gained relevance to fully define the immunological characteristics of liver immune microenvironment.</w:t>
      </w:r>
    </w:p>
    <w:p w14:paraId="3C29F8FF" w14:textId="77777777" w:rsidR="00A77B3E" w:rsidRPr="00C51CF1" w:rsidRDefault="00A77B3E">
      <w:pPr>
        <w:spacing w:line="360" w:lineRule="auto"/>
        <w:jc w:val="both"/>
        <w:rPr>
          <w:rFonts w:ascii="Book Antiqua" w:hAnsi="Book Antiqua"/>
          <w:lang w:val="en-US"/>
        </w:rPr>
      </w:pPr>
    </w:p>
    <w:p w14:paraId="31421957" w14:textId="3959B938" w:rsidR="00A77B3E" w:rsidRPr="00C51CF1" w:rsidRDefault="007E54F3">
      <w:pPr>
        <w:spacing w:line="360" w:lineRule="auto"/>
        <w:jc w:val="both"/>
        <w:rPr>
          <w:rFonts w:ascii="Book Antiqua" w:hAnsi="Book Antiqua"/>
          <w:lang w:val="en-US"/>
        </w:rPr>
      </w:pPr>
      <w:r w:rsidRPr="00C51CF1">
        <w:rPr>
          <w:rFonts w:ascii="Book Antiqua" w:eastAsia="Book Antiqua" w:hAnsi="Book Antiqua" w:cs="Book Antiqua"/>
          <w:b/>
          <w:bCs/>
          <w:caps/>
          <w:color w:val="000000"/>
          <w:u w:val="single"/>
          <w:lang w:val="en-US"/>
        </w:rPr>
        <w:t>Treg</w:t>
      </w:r>
      <w:r w:rsidR="005B1767" w:rsidRPr="00C51CF1">
        <w:rPr>
          <w:rFonts w:ascii="Book Antiqua" w:eastAsia="Book Antiqua" w:hAnsi="Book Antiqua" w:cs="Book Antiqua"/>
          <w:b/>
          <w:bCs/>
          <w:caps/>
          <w:color w:val="000000"/>
          <w:u w:val="single"/>
          <w:lang w:val="en-US"/>
        </w:rPr>
        <w:t>s in viral and autoimmune liver diseases</w:t>
      </w:r>
    </w:p>
    <w:p w14:paraId="4FD2FC1E" w14:textId="54FB6919" w:rsidR="00A77B3E" w:rsidRPr="00C51CF1" w:rsidRDefault="005B1767">
      <w:pPr>
        <w:spacing w:line="360" w:lineRule="auto"/>
        <w:jc w:val="both"/>
        <w:rPr>
          <w:rFonts w:ascii="Book Antiqua" w:hAnsi="Book Antiqua"/>
          <w:lang w:val="en-US"/>
        </w:rPr>
      </w:pPr>
      <w:r w:rsidRPr="00C51CF1">
        <w:rPr>
          <w:rFonts w:ascii="Book Antiqua" w:eastAsia="Book Antiqua" w:hAnsi="Book Antiqua" w:cs="Book Antiqua"/>
          <w:color w:val="000000"/>
          <w:lang w:val="en-US"/>
        </w:rPr>
        <w:t>The liver can be considered as an “immunological” organ, housing a wide range of resident immune cells performing key functions in preserving organ homeostasis</w:t>
      </w:r>
      <w:r w:rsidR="000E2CA7" w:rsidRPr="00C51CF1">
        <w:rPr>
          <w:rFonts w:ascii="Book Antiqua" w:eastAsia="Book Antiqua" w:hAnsi="Book Antiqua" w:cs="Book Antiqua"/>
          <w:color w:val="000000"/>
          <w:vertAlign w:val="superscript"/>
          <w:lang w:val="en-US"/>
        </w:rPr>
        <w:t>[38]</w:t>
      </w:r>
      <w:r w:rsidRPr="00C51CF1">
        <w:rPr>
          <w:rFonts w:ascii="Book Antiqua" w:eastAsia="Book Antiqua" w:hAnsi="Book Antiqua" w:cs="Book Antiqua"/>
          <w:color w:val="000000"/>
          <w:lang w:val="en-US"/>
        </w:rPr>
        <w:t>.</w:t>
      </w:r>
    </w:p>
    <w:p w14:paraId="6C1ED8BF" w14:textId="4BFBBBBF" w:rsidR="00A77B3E" w:rsidRPr="00C51CF1" w:rsidRDefault="005B1767" w:rsidP="000E2CA7">
      <w:pPr>
        <w:spacing w:line="360" w:lineRule="auto"/>
        <w:ind w:firstLineChars="100" w:firstLine="240"/>
        <w:jc w:val="both"/>
        <w:rPr>
          <w:rFonts w:ascii="Book Antiqua" w:hAnsi="Book Antiqua"/>
          <w:lang w:val="en-US"/>
        </w:rPr>
      </w:pPr>
      <w:r w:rsidRPr="00C51CF1">
        <w:rPr>
          <w:rFonts w:ascii="Book Antiqua" w:eastAsia="Book Antiqua" w:hAnsi="Book Antiqua" w:cs="Book Antiqua"/>
          <w:color w:val="000000"/>
          <w:lang w:val="en-US"/>
        </w:rPr>
        <w:t xml:space="preserve">As a result of its intrinsic role in detoxification, the liver is repeatedly exposed to external agents, including dietary products or commensal bacteria derived from the intestine </w:t>
      </w:r>
      <w:r w:rsidRPr="00C51CF1">
        <w:rPr>
          <w:rFonts w:ascii="Book Antiqua" w:eastAsia="Book Antiqua" w:hAnsi="Book Antiqua" w:cs="Book Antiqua"/>
          <w:i/>
          <w:iCs/>
          <w:color w:val="000000"/>
          <w:lang w:val="en-US"/>
        </w:rPr>
        <w:t>via</w:t>
      </w:r>
      <w:r w:rsidRPr="00C51CF1">
        <w:rPr>
          <w:rFonts w:ascii="Book Antiqua" w:eastAsia="Book Antiqua" w:hAnsi="Book Antiqua" w:cs="Book Antiqua"/>
          <w:color w:val="000000"/>
          <w:lang w:val="en-US"/>
        </w:rPr>
        <w:t xml:space="preserve"> the portal vein, as well as infectious microorganisms arising from the systemic circulation </w:t>
      </w:r>
      <w:r w:rsidRPr="00C51CF1">
        <w:rPr>
          <w:rFonts w:ascii="Book Antiqua" w:eastAsia="Book Antiqua" w:hAnsi="Book Antiqua" w:cs="Book Antiqua"/>
          <w:i/>
          <w:iCs/>
          <w:color w:val="000000"/>
          <w:lang w:val="en-US"/>
        </w:rPr>
        <w:t>via</w:t>
      </w:r>
      <w:r w:rsidRPr="00C51CF1">
        <w:rPr>
          <w:rFonts w:ascii="Book Antiqua" w:eastAsia="Book Antiqua" w:hAnsi="Book Antiqua" w:cs="Book Antiqua"/>
          <w:color w:val="000000"/>
          <w:lang w:val="en-US"/>
        </w:rPr>
        <w:t xml:space="preserve"> the arterial vein. Therefore, immune surveillance in the organ is extremely dynamic.</w:t>
      </w:r>
    </w:p>
    <w:p w14:paraId="766E0D05" w14:textId="6157AA46" w:rsidR="00A77B3E" w:rsidRPr="00C51CF1" w:rsidRDefault="005B1767" w:rsidP="00046148">
      <w:pPr>
        <w:spacing w:line="360" w:lineRule="auto"/>
        <w:ind w:firstLineChars="100" w:firstLine="240"/>
        <w:jc w:val="both"/>
        <w:rPr>
          <w:rFonts w:ascii="Book Antiqua" w:hAnsi="Book Antiqua"/>
          <w:lang w:val="en-US"/>
        </w:rPr>
      </w:pPr>
      <w:r w:rsidRPr="00C51CF1">
        <w:rPr>
          <w:rFonts w:ascii="Book Antiqua" w:eastAsia="Book Antiqua" w:hAnsi="Book Antiqua" w:cs="Book Antiqua"/>
          <w:color w:val="000000"/>
          <w:lang w:val="en-US"/>
        </w:rPr>
        <w:t>Resident innate immune cells comprising macrophages or Kupffer cells, natural killer (NK) cells, NKT cells, and dendritic cells (DCs) are recognized as the most predominant sentinels in the liver</w:t>
      </w:r>
      <w:r w:rsidRPr="00C51CF1">
        <w:rPr>
          <w:rFonts w:ascii="Book Antiqua" w:eastAsia="Book Antiqua" w:hAnsi="Book Antiqua" w:cs="Book Antiqua"/>
          <w:color w:val="000000"/>
          <w:vertAlign w:val="superscript"/>
          <w:lang w:val="en-US"/>
        </w:rPr>
        <w:t>[39]</w:t>
      </w:r>
      <w:r w:rsidRPr="00C51CF1">
        <w:rPr>
          <w:rFonts w:ascii="Book Antiqua" w:eastAsia="Book Antiqua" w:hAnsi="Book Antiqua" w:cs="Book Antiqua"/>
          <w:color w:val="000000"/>
          <w:lang w:val="en-US"/>
        </w:rPr>
        <w:t>. In addition, tissue resident memory T cells, which are normally homing cells without recirculating and which readily attack pathogens at the site of infection, are also implicated</w:t>
      </w:r>
      <w:r w:rsidRPr="00C51CF1">
        <w:rPr>
          <w:rFonts w:ascii="Book Antiqua" w:eastAsia="Book Antiqua" w:hAnsi="Book Antiqua" w:cs="Book Antiqua"/>
          <w:color w:val="000000"/>
          <w:vertAlign w:val="superscript"/>
          <w:lang w:val="en-US"/>
        </w:rPr>
        <w:t>[40]</w:t>
      </w:r>
      <w:r w:rsidRPr="00C51CF1">
        <w:rPr>
          <w:rFonts w:ascii="Book Antiqua" w:eastAsia="Book Antiqua" w:hAnsi="Book Antiqua" w:cs="Book Antiqua"/>
          <w:color w:val="000000"/>
          <w:lang w:val="en-US"/>
        </w:rPr>
        <w:t>. However, a key role appears to be played by resident Tregs that are highly specialized in preserving tissue tolerance</w:t>
      </w:r>
      <w:r w:rsidRPr="00C51CF1">
        <w:rPr>
          <w:rFonts w:ascii="Book Antiqua" w:eastAsia="Book Antiqua" w:hAnsi="Book Antiqua" w:cs="Book Antiqua"/>
          <w:color w:val="000000"/>
          <w:vertAlign w:val="superscript"/>
          <w:lang w:val="en-US"/>
        </w:rPr>
        <w:t>[19,41]</w:t>
      </w:r>
      <w:r w:rsidRPr="00C51CF1">
        <w:rPr>
          <w:rFonts w:ascii="Book Antiqua" w:eastAsia="Book Antiqua" w:hAnsi="Book Antiqua" w:cs="Book Antiqua"/>
          <w:color w:val="000000"/>
          <w:lang w:val="en-US"/>
        </w:rPr>
        <w:t>. Tregs are a subset of T lymphocytes that regulate the immune response by suppressing the proliferation and cytokines production of effector T lymphocytes</w:t>
      </w:r>
      <w:r w:rsidRPr="00C51CF1">
        <w:rPr>
          <w:rFonts w:ascii="Book Antiqua" w:eastAsia="Book Antiqua" w:hAnsi="Book Antiqua" w:cs="Book Antiqua"/>
          <w:color w:val="000000"/>
          <w:vertAlign w:val="superscript"/>
          <w:lang w:val="en-US"/>
        </w:rPr>
        <w:t>[42,43]</w:t>
      </w:r>
      <w:r w:rsidRPr="00C51CF1">
        <w:rPr>
          <w:rFonts w:ascii="Book Antiqua" w:eastAsia="Book Antiqua" w:hAnsi="Book Antiqua" w:cs="Book Antiqua"/>
          <w:color w:val="000000"/>
          <w:lang w:val="en-US"/>
        </w:rPr>
        <w:t>.</w:t>
      </w:r>
    </w:p>
    <w:p w14:paraId="76F67FE9" w14:textId="73AE55BC" w:rsidR="00A77B3E" w:rsidRPr="00C51CF1" w:rsidRDefault="005B1767" w:rsidP="005B1767">
      <w:pPr>
        <w:spacing w:line="360" w:lineRule="auto"/>
        <w:ind w:firstLineChars="100" w:firstLine="240"/>
        <w:jc w:val="both"/>
        <w:rPr>
          <w:rFonts w:ascii="Book Antiqua" w:hAnsi="Book Antiqua"/>
          <w:lang w:val="en-US"/>
        </w:rPr>
      </w:pPr>
      <w:r w:rsidRPr="00C51CF1">
        <w:rPr>
          <w:rFonts w:ascii="Book Antiqua" w:eastAsia="Book Antiqua" w:hAnsi="Book Antiqua" w:cs="Book Antiqua"/>
          <w:color w:val="000000"/>
          <w:shd w:val="clear" w:color="auto" w:fill="FFFFFF"/>
          <w:lang w:val="en-US"/>
        </w:rPr>
        <w:t>In 2003, the forkhead box transcription factor foxp3 was identified as a specific marker of Tregs, and its expression was found crucial for their suppressive activity</w:t>
      </w:r>
      <w:r w:rsidRPr="00C51CF1">
        <w:rPr>
          <w:rFonts w:ascii="Book Antiqua" w:eastAsia="Book Antiqua" w:hAnsi="Book Antiqua" w:cs="Book Antiqua"/>
          <w:color w:val="000000"/>
          <w:vertAlign w:val="superscript"/>
          <w:lang w:val="en-US"/>
        </w:rPr>
        <w:t>[44-46]</w:t>
      </w:r>
      <w:r w:rsidRPr="00C51CF1">
        <w:rPr>
          <w:rFonts w:ascii="Book Antiqua" w:eastAsia="Book Antiqua" w:hAnsi="Book Antiqua" w:cs="Book Antiqua"/>
          <w:color w:val="000000"/>
          <w:shd w:val="clear" w:color="auto" w:fill="FFFFFF"/>
          <w:lang w:val="en-US"/>
        </w:rPr>
        <w:t>.</w:t>
      </w:r>
    </w:p>
    <w:p w14:paraId="6995FAAA" w14:textId="58A68637" w:rsidR="00A77B3E" w:rsidRPr="00C51CF1" w:rsidRDefault="005B1767" w:rsidP="005B1767">
      <w:pPr>
        <w:spacing w:line="360" w:lineRule="auto"/>
        <w:ind w:firstLineChars="100" w:firstLine="240"/>
        <w:jc w:val="both"/>
        <w:rPr>
          <w:rFonts w:ascii="Book Antiqua" w:hAnsi="Book Antiqua"/>
        </w:rPr>
      </w:pPr>
      <w:r w:rsidRPr="00C51CF1">
        <w:rPr>
          <w:rFonts w:ascii="Book Antiqua" w:eastAsia="Book Antiqua" w:hAnsi="Book Antiqua" w:cs="Book Antiqua"/>
          <w:color w:val="000000"/>
          <w:lang w:val="en-US"/>
        </w:rPr>
        <w:t xml:space="preserve">Tregs arise in the thymus, constitutively express high levels of the </w:t>
      </w:r>
      <w:bookmarkStart w:id="2" w:name="_Hlk58003126"/>
      <w:r w:rsidRPr="00C51CF1">
        <w:rPr>
          <w:rFonts w:ascii="Book Antiqua" w:eastAsia="Book Antiqua" w:hAnsi="Book Antiqua" w:cs="Book Antiqua"/>
          <w:color w:val="000000"/>
          <w:lang w:val="en-US"/>
        </w:rPr>
        <w:t>interleukin</w:t>
      </w:r>
      <w:bookmarkEnd w:id="2"/>
      <w:r w:rsidRPr="00C51CF1">
        <w:rPr>
          <w:rFonts w:ascii="Book Antiqua" w:eastAsia="Book Antiqua" w:hAnsi="Book Antiqua" w:cs="Book Antiqua"/>
          <w:color w:val="000000"/>
          <w:lang w:val="en-US"/>
        </w:rPr>
        <w:t xml:space="preserve"> (IL)-2 receptor (IL-2R) </w:t>
      </w:r>
      <w:r w:rsidRPr="00C51CF1">
        <w:rPr>
          <w:rFonts w:ascii="Book Antiqua" w:eastAsia="Book Antiqua" w:hAnsi="Book Antiqua" w:cs="Book Antiqua"/>
          <w:color w:val="000000"/>
        </w:rPr>
        <w:t>α chain (CD25), cytotoxic T lymphocyte</w:t>
      </w:r>
      <w:r w:rsidR="001C1A8D" w:rsidRPr="00C51CF1">
        <w:rPr>
          <w:rFonts w:ascii="Book Antiqua" w:eastAsia="Book Antiqua" w:hAnsi="Book Antiqua" w:cs="Book Antiqua"/>
          <w:color w:val="000000"/>
        </w:rPr>
        <w:t>-</w:t>
      </w:r>
      <w:r w:rsidRPr="00C51CF1">
        <w:rPr>
          <w:rFonts w:ascii="Book Antiqua" w:eastAsia="Book Antiqua" w:hAnsi="Book Antiqua" w:cs="Book Antiqua"/>
          <w:color w:val="000000"/>
        </w:rPr>
        <w:t>associated antigen 4 (CTLA-4), and glucocorticoid-induced TNF receptor family-related gene (</w:t>
      </w:r>
      <w:r w:rsidRPr="00C51CF1">
        <w:rPr>
          <w:rFonts w:ascii="Book Antiqua" w:eastAsia="Book Antiqua" w:hAnsi="Book Antiqua" w:cs="Book Antiqua"/>
          <w:i/>
          <w:iCs/>
          <w:color w:val="000000"/>
        </w:rPr>
        <w:t>GITR</w:t>
      </w:r>
      <w:r w:rsidRPr="00C51CF1">
        <w:rPr>
          <w:rFonts w:ascii="Book Antiqua" w:eastAsia="Book Antiqua" w:hAnsi="Book Antiqua" w:cs="Book Antiqua"/>
          <w:color w:val="000000"/>
        </w:rPr>
        <w:t>), accounting for 5% to 10% of peripheral CD4+ T cells</w:t>
      </w:r>
      <w:r w:rsidRPr="00C51CF1">
        <w:rPr>
          <w:rFonts w:ascii="Book Antiqua" w:eastAsia="Book Antiqua" w:hAnsi="Book Antiqua" w:cs="Book Antiqua"/>
          <w:color w:val="000000"/>
          <w:vertAlign w:val="superscript"/>
        </w:rPr>
        <w:t>[47,48]</w:t>
      </w:r>
      <w:r w:rsidRPr="00C51CF1">
        <w:rPr>
          <w:rFonts w:ascii="Book Antiqua" w:eastAsia="Book Antiqua" w:hAnsi="Book Antiqua" w:cs="Book Antiqua"/>
          <w:color w:val="000000"/>
        </w:rPr>
        <w:t>.</w:t>
      </w:r>
    </w:p>
    <w:p w14:paraId="39BE30B0" w14:textId="2ADA37D0" w:rsidR="00A77B3E" w:rsidRPr="00C51CF1" w:rsidRDefault="005B1767" w:rsidP="005B1767">
      <w:pPr>
        <w:spacing w:line="360" w:lineRule="auto"/>
        <w:ind w:firstLineChars="100" w:firstLine="240"/>
        <w:jc w:val="both"/>
        <w:rPr>
          <w:rFonts w:ascii="Book Antiqua" w:hAnsi="Book Antiqua"/>
        </w:rPr>
      </w:pPr>
      <w:r w:rsidRPr="00C51CF1">
        <w:rPr>
          <w:rFonts w:ascii="Book Antiqua" w:eastAsia="Book Antiqua" w:hAnsi="Book Antiqua" w:cs="Book Antiqua"/>
          <w:color w:val="000000"/>
        </w:rPr>
        <w:t xml:space="preserve">They </w:t>
      </w:r>
      <w:r w:rsidRPr="00C51CF1">
        <w:rPr>
          <w:rFonts w:ascii="Book Antiqua" w:eastAsia="Book Antiqua" w:hAnsi="Book Antiqua" w:cs="Book Antiqua"/>
          <w:color w:val="000000"/>
          <w:shd w:val="clear" w:color="auto" w:fill="FFFFFF"/>
        </w:rPr>
        <w:t>play a critical role in mediating immunological self-tolerance by suppressing self-reactive T lymphocytes</w:t>
      </w:r>
      <w:r w:rsidRPr="00C51CF1">
        <w:rPr>
          <w:rFonts w:ascii="Book Antiqua" w:eastAsia="Book Antiqua" w:hAnsi="Book Antiqua" w:cs="Book Antiqua"/>
          <w:color w:val="000000"/>
          <w:vertAlign w:val="superscript"/>
        </w:rPr>
        <w:t>[44]</w:t>
      </w:r>
      <w:r w:rsidRPr="00C51CF1">
        <w:rPr>
          <w:rFonts w:ascii="Book Antiqua" w:eastAsia="Book Antiqua" w:hAnsi="Book Antiqua" w:cs="Book Antiqua"/>
          <w:color w:val="000000"/>
          <w:shd w:val="clear" w:color="auto" w:fill="FFFFFF"/>
        </w:rPr>
        <w:t>.</w:t>
      </w:r>
      <w:r w:rsidRPr="00C51CF1">
        <w:rPr>
          <w:rFonts w:ascii="Book Antiqua" w:eastAsia="Book Antiqua" w:hAnsi="Book Antiqua" w:cs="Book Antiqua"/>
          <w:color w:val="000000"/>
        </w:rPr>
        <w:t xml:space="preserve"> Tregs have been proposed to operate both through core mechanisms of suppression, including IL-2 deprivation and CTLA-4–mediated downregulation of costimulatory molecules on antigen presenting cells (APCs), and by diverse context-dependent mechanisms, including the secretion of cytokines</w:t>
      </w:r>
      <w:r w:rsidRPr="00C51CF1">
        <w:rPr>
          <w:rFonts w:ascii="Book Antiqua" w:eastAsia="Book Antiqua" w:hAnsi="Book Antiqua" w:cs="Book Antiqua"/>
          <w:color w:val="000000"/>
          <w:vertAlign w:val="superscript"/>
        </w:rPr>
        <w:t>[49-52]</w:t>
      </w:r>
      <w:r w:rsidRPr="00C51CF1">
        <w:rPr>
          <w:rFonts w:ascii="Book Antiqua" w:eastAsia="Book Antiqua" w:hAnsi="Book Antiqua" w:cs="Book Antiqua"/>
          <w:color w:val="000000"/>
        </w:rPr>
        <w:t xml:space="preserve">. Earlier studies have confirmed that Tregs mediate suppressive effects </w:t>
      </w:r>
      <w:r w:rsidRPr="00C51CF1">
        <w:rPr>
          <w:rFonts w:ascii="Book Antiqua" w:eastAsia="Book Antiqua" w:hAnsi="Book Antiqua" w:cs="Book Antiqua"/>
          <w:i/>
          <w:iCs/>
          <w:color w:val="000000"/>
        </w:rPr>
        <w:t>in vivo</w:t>
      </w:r>
      <w:r w:rsidRPr="00C51CF1">
        <w:rPr>
          <w:rFonts w:ascii="Book Antiqua" w:eastAsia="Book Antiqua" w:hAnsi="Book Antiqua" w:cs="Book Antiqua"/>
          <w:color w:val="000000"/>
        </w:rPr>
        <w:t xml:space="preserve"> mainly through the production of inhibitory cytokines such as IL-10, IL-35 and transforming growth factor β (TGF-β)</w:t>
      </w:r>
      <w:r w:rsidRPr="00C51CF1">
        <w:rPr>
          <w:rFonts w:ascii="Book Antiqua" w:eastAsia="Book Antiqua" w:hAnsi="Book Antiqua" w:cs="Book Antiqua"/>
          <w:color w:val="000000"/>
          <w:vertAlign w:val="superscript"/>
        </w:rPr>
        <w:t>[53-55]</w:t>
      </w:r>
      <w:r w:rsidRPr="00C51CF1">
        <w:rPr>
          <w:rFonts w:ascii="Book Antiqua" w:eastAsia="Book Antiqua" w:hAnsi="Book Antiqua" w:cs="Book Antiqua"/>
          <w:color w:val="000000"/>
        </w:rPr>
        <w:t>.</w:t>
      </w:r>
    </w:p>
    <w:p w14:paraId="505E9D1D" w14:textId="14EB1C74" w:rsidR="00A77B3E" w:rsidRPr="00C51CF1" w:rsidRDefault="005B1767" w:rsidP="005B1767">
      <w:pPr>
        <w:spacing w:line="360" w:lineRule="auto"/>
        <w:ind w:firstLineChars="100" w:firstLine="240"/>
        <w:jc w:val="both"/>
        <w:rPr>
          <w:rFonts w:ascii="Book Antiqua" w:hAnsi="Book Antiqua"/>
        </w:rPr>
      </w:pPr>
      <w:r w:rsidRPr="00C51CF1">
        <w:rPr>
          <w:rFonts w:ascii="Book Antiqua" w:eastAsia="Book Antiqua" w:hAnsi="Book Antiqua" w:cs="Book Antiqua"/>
          <w:color w:val="000000"/>
        </w:rPr>
        <w:t>With the discovery of Tregs and the understanding of their immunosuppressive role, evidences have been accumulated that this cell population is decisively implicated in the pathogenesis of various conditions such as chronic viral and autoimmune liver diseases as well as HCC</w:t>
      </w:r>
      <w:r w:rsidRPr="00C51CF1">
        <w:rPr>
          <w:rFonts w:ascii="Book Antiqua" w:eastAsia="Book Antiqua" w:hAnsi="Book Antiqua" w:cs="Book Antiqua"/>
          <w:color w:val="000000"/>
          <w:vertAlign w:val="superscript"/>
        </w:rPr>
        <w:t>[56]</w:t>
      </w:r>
      <w:r w:rsidRPr="00C51CF1">
        <w:rPr>
          <w:rFonts w:ascii="Book Antiqua" w:eastAsia="Book Antiqua" w:hAnsi="Book Antiqua" w:cs="Book Antiqua"/>
          <w:color w:val="000000"/>
        </w:rPr>
        <w:t>.</w:t>
      </w:r>
    </w:p>
    <w:p w14:paraId="724E1237" w14:textId="717580E6" w:rsidR="00A77B3E" w:rsidRPr="00C51CF1" w:rsidRDefault="005B1767" w:rsidP="005B1767">
      <w:pPr>
        <w:spacing w:line="360" w:lineRule="auto"/>
        <w:ind w:firstLineChars="100" w:firstLine="240"/>
        <w:jc w:val="both"/>
        <w:rPr>
          <w:rFonts w:ascii="Book Antiqua" w:hAnsi="Book Antiqua"/>
        </w:rPr>
      </w:pPr>
      <w:r w:rsidRPr="00C51CF1">
        <w:rPr>
          <w:rFonts w:ascii="Book Antiqua" w:eastAsia="Book Antiqua" w:hAnsi="Book Antiqua" w:cs="Book Antiqua"/>
          <w:color w:val="000000"/>
        </w:rPr>
        <w:t>In particular, CD4+CD25+ Tregs are thought to contribute to the impaired immune response during chronic HBV and HCV infection. Patients with chronic HBV infection are characterized by increased percentage of CD4+CD25+ Tregs in their peripheral blood and a significant accumulation of these cells in the liver, with a positive correlation between their frequency and serum HBV DNA load</w:t>
      </w:r>
      <w:r w:rsidRPr="00C51CF1">
        <w:rPr>
          <w:rFonts w:ascii="Book Antiqua" w:eastAsia="Book Antiqua" w:hAnsi="Book Antiqua" w:cs="Book Antiqua"/>
          <w:color w:val="000000"/>
          <w:vertAlign w:val="superscript"/>
        </w:rPr>
        <w:t>[57-60]</w:t>
      </w:r>
      <w:r w:rsidRPr="00C51CF1">
        <w:rPr>
          <w:rFonts w:ascii="Book Antiqua" w:eastAsia="Book Antiqua" w:hAnsi="Book Antiqua" w:cs="Book Antiqua"/>
          <w:color w:val="000000"/>
        </w:rPr>
        <w:t>.</w:t>
      </w:r>
      <w:r w:rsidRPr="00C51CF1">
        <w:rPr>
          <w:rFonts w:ascii="Book Antiqua" w:hAnsi="Book Antiqua"/>
        </w:rPr>
        <w:t xml:space="preserve"> </w:t>
      </w:r>
      <w:r w:rsidRPr="00C51CF1">
        <w:rPr>
          <w:rFonts w:ascii="Book Antiqua" w:eastAsia="Book Antiqua" w:hAnsi="Book Antiqua" w:cs="Book Antiqua"/>
          <w:color w:val="000000"/>
        </w:rPr>
        <w:t>Similarly, in patients with persistent HCV infection it has been reported an increased frequency of CD4+CD25+ Tregs in the blood and in the liver</w:t>
      </w:r>
      <w:r w:rsidRPr="00C51CF1">
        <w:rPr>
          <w:rFonts w:ascii="Book Antiqua" w:eastAsia="Book Antiqua" w:hAnsi="Book Antiqua" w:cs="Book Antiqua"/>
          <w:color w:val="000000"/>
          <w:vertAlign w:val="superscript"/>
        </w:rPr>
        <w:t>[61-65]</w:t>
      </w:r>
      <w:r w:rsidRPr="00C51CF1">
        <w:rPr>
          <w:rFonts w:ascii="Book Antiqua" w:eastAsia="Book Antiqua" w:hAnsi="Book Antiqua" w:cs="Book Antiqua"/>
          <w:color w:val="000000"/>
        </w:rPr>
        <w:t>.</w:t>
      </w:r>
      <w:r w:rsidRPr="00C51CF1">
        <w:rPr>
          <w:rFonts w:ascii="Book Antiqua" w:hAnsi="Book Antiqua"/>
        </w:rPr>
        <w:t xml:space="preserve"> </w:t>
      </w:r>
      <w:r w:rsidRPr="00C51CF1">
        <w:rPr>
          <w:rFonts w:ascii="Book Antiqua" w:eastAsia="Book Antiqua" w:hAnsi="Book Antiqua" w:cs="Book Antiqua"/>
          <w:color w:val="000000"/>
        </w:rPr>
        <w:t>Taken together, these data prove that chronic HBV and HCV infections are immunologically characterized by a host immune response suppression driven by Tregs.</w:t>
      </w:r>
    </w:p>
    <w:p w14:paraId="381DCDCE" w14:textId="47815F01" w:rsidR="00A77B3E" w:rsidRPr="00C51CF1" w:rsidRDefault="005B1767" w:rsidP="005B1767">
      <w:pPr>
        <w:spacing w:line="360" w:lineRule="auto"/>
        <w:ind w:firstLineChars="100" w:firstLine="240"/>
        <w:jc w:val="both"/>
        <w:rPr>
          <w:rFonts w:ascii="Book Antiqua" w:hAnsi="Book Antiqua"/>
        </w:rPr>
      </w:pPr>
      <w:r w:rsidRPr="00C51CF1">
        <w:rPr>
          <w:rFonts w:ascii="Book Antiqua" w:eastAsia="Book Antiqua" w:hAnsi="Book Antiqua" w:cs="Book Antiqua"/>
          <w:color w:val="000000"/>
        </w:rPr>
        <w:t>On the contrary, autoimmune liver diseases are related to both numerical and functional defect of CD4+CD25+ Tregs, to the extent that therapeutic interventions aimed at restoring an adequate number and function of these cells are followed by a remission of the autoimmune inflammatory activity</w:t>
      </w:r>
      <w:r w:rsidRPr="00C51CF1">
        <w:rPr>
          <w:rFonts w:ascii="Book Antiqua" w:eastAsia="Book Antiqua" w:hAnsi="Book Antiqua" w:cs="Book Antiqua"/>
          <w:color w:val="000000"/>
          <w:vertAlign w:val="superscript"/>
        </w:rPr>
        <w:t>[66,67]</w:t>
      </w:r>
      <w:r w:rsidRPr="00C51CF1">
        <w:rPr>
          <w:rFonts w:ascii="Book Antiqua" w:eastAsia="Book Antiqua" w:hAnsi="Book Antiqua" w:cs="Book Antiqua"/>
          <w:color w:val="000000"/>
        </w:rPr>
        <w:t>.</w:t>
      </w:r>
    </w:p>
    <w:p w14:paraId="6A6D1B32" w14:textId="0EB639B1" w:rsidR="00A77B3E" w:rsidRPr="00C51CF1" w:rsidRDefault="005B1767" w:rsidP="005B1767">
      <w:pPr>
        <w:spacing w:line="360" w:lineRule="auto"/>
        <w:ind w:firstLineChars="100" w:firstLine="240"/>
        <w:jc w:val="both"/>
        <w:rPr>
          <w:rFonts w:ascii="Book Antiqua" w:hAnsi="Book Antiqua"/>
        </w:rPr>
      </w:pPr>
      <w:r w:rsidRPr="00C51CF1">
        <w:rPr>
          <w:rFonts w:ascii="Book Antiqua" w:eastAsia="Book Antiqua" w:hAnsi="Book Antiqua" w:cs="Book Antiqua"/>
          <w:color w:val="000000"/>
        </w:rPr>
        <w:t>These findings have thus outlined a pattern of chronic inflammation characterized by a diametrically opposed liver immune phenotype in chronic viral and autoimmune diseases, the former being characterized by a predominance of Tregs exerting an immunosuppressive effect that hinders the antiviral response and infection eradication, the latter by a significant numerical and functional deficiency of Tregs that do not adequately suppress self-reactive lymphocytes</w:t>
      </w:r>
      <w:r w:rsidRPr="00C51CF1">
        <w:rPr>
          <w:rFonts w:ascii="Book Antiqua" w:eastAsia="Book Antiqua" w:hAnsi="Book Antiqua" w:cs="Book Antiqua"/>
          <w:color w:val="000000"/>
          <w:vertAlign w:val="superscript"/>
        </w:rPr>
        <w:t>[68-70]</w:t>
      </w:r>
      <w:r w:rsidRPr="00C51CF1">
        <w:rPr>
          <w:rFonts w:ascii="Book Antiqua" w:eastAsia="Book Antiqua" w:hAnsi="Book Antiqua" w:cs="Book Antiqua"/>
          <w:color w:val="000000"/>
        </w:rPr>
        <w:t>.</w:t>
      </w:r>
    </w:p>
    <w:p w14:paraId="76B93250" w14:textId="1DD2D7A3" w:rsidR="00A77B3E" w:rsidRPr="00C51CF1" w:rsidRDefault="005B1767" w:rsidP="005B1767">
      <w:pPr>
        <w:spacing w:line="360" w:lineRule="auto"/>
        <w:ind w:firstLineChars="100" w:firstLine="240"/>
        <w:jc w:val="both"/>
        <w:rPr>
          <w:rFonts w:ascii="Book Antiqua" w:hAnsi="Book Antiqua"/>
        </w:rPr>
      </w:pPr>
      <w:r w:rsidRPr="00C51CF1">
        <w:rPr>
          <w:rFonts w:ascii="Book Antiqua" w:eastAsia="Book Antiqua" w:hAnsi="Book Antiqua" w:cs="Book Antiqua"/>
          <w:color w:val="000000"/>
        </w:rPr>
        <w:t>While it has been widely reported that TME characterizing HCC during chronic viral liver disease is dominated by a marked Treg infiltration likely in continuity with the conditions favoring chronic infection, the expression pattern of Tregs in the TME supporting HCC development in autoimmune liver disease is not as well known</w:t>
      </w:r>
      <w:r w:rsidRPr="00C51CF1">
        <w:rPr>
          <w:rFonts w:ascii="Book Antiqua" w:eastAsia="Book Antiqua" w:hAnsi="Book Antiqua" w:cs="Book Antiqua"/>
          <w:color w:val="000000"/>
          <w:vertAlign w:val="superscript"/>
        </w:rPr>
        <w:t>[71,72]</w:t>
      </w:r>
      <w:r w:rsidRPr="00C51CF1">
        <w:rPr>
          <w:rFonts w:ascii="Book Antiqua" w:eastAsia="Book Antiqua" w:hAnsi="Book Antiqua" w:cs="Book Antiqua"/>
          <w:color w:val="000000"/>
        </w:rPr>
        <w:t>.</w:t>
      </w:r>
    </w:p>
    <w:p w14:paraId="39CC2F82" w14:textId="77777777" w:rsidR="00A77B3E" w:rsidRPr="00C51CF1" w:rsidRDefault="005B1767" w:rsidP="005B1767">
      <w:pPr>
        <w:spacing w:line="360" w:lineRule="auto"/>
        <w:ind w:firstLineChars="100" w:firstLine="240"/>
        <w:jc w:val="both"/>
        <w:rPr>
          <w:rFonts w:ascii="Book Antiqua" w:hAnsi="Book Antiqua"/>
        </w:rPr>
      </w:pPr>
      <w:r w:rsidRPr="00C51CF1">
        <w:rPr>
          <w:rFonts w:ascii="Book Antiqua" w:eastAsia="Book Antiqua" w:hAnsi="Book Antiqua" w:cs="Book Antiqua"/>
          <w:color w:val="000000"/>
        </w:rPr>
        <w:t>This finding would be relevant for the assessment of potential adverse events related to emerging immunotherapies that cause a decline in Treg number and function and are therefore associated with the risk of triggering autoimmune disorders, as we discuss below.</w:t>
      </w:r>
    </w:p>
    <w:p w14:paraId="69475F39" w14:textId="77777777" w:rsidR="00A77B3E" w:rsidRPr="00C51CF1" w:rsidRDefault="00A77B3E">
      <w:pPr>
        <w:spacing w:line="360" w:lineRule="auto"/>
        <w:jc w:val="both"/>
        <w:rPr>
          <w:rFonts w:ascii="Book Antiqua" w:hAnsi="Book Antiqua"/>
        </w:rPr>
      </w:pPr>
    </w:p>
    <w:p w14:paraId="721CF51B" w14:textId="3C47812F" w:rsidR="00A77B3E" w:rsidRPr="00C51CF1" w:rsidRDefault="005B1767">
      <w:pPr>
        <w:spacing w:line="360" w:lineRule="auto"/>
        <w:jc w:val="both"/>
        <w:rPr>
          <w:rFonts w:ascii="Book Antiqua" w:hAnsi="Book Antiqua"/>
        </w:rPr>
      </w:pPr>
      <w:r w:rsidRPr="00C51CF1">
        <w:rPr>
          <w:rFonts w:ascii="Book Antiqua" w:eastAsia="Book Antiqua" w:hAnsi="Book Antiqua" w:cs="Book Antiqua"/>
          <w:b/>
          <w:bCs/>
          <w:caps/>
          <w:color w:val="000000"/>
          <w:u w:val="single"/>
        </w:rPr>
        <w:t>Immune tme in HCC: role of CD4+CD25 Tregs</w:t>
      </w:r>
    </w:p>
    <w:p w14:paraId="5BF4001F" w14:textId="3CA73AA5"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Tumor infiltrating lymphocytes represent the host immune response to cancer and comprise CD8+ cytotoxic T lymphocytes</w:t>
      </w:r>
      <w:r w:rsidRPr="00C51CF1">
        <w:rPr>
          <w:rStyle w:val="acopre"/>
          <w:rFonts w:ascii="Book Antiqua" w:eastAsia="Book Antiqua" w:hAnsi="Book Antiqua" w:cs="Book Antiqua"/>
          <w:i/>
          <w:iCs/>
          <w:color w:val="000000"/>
        </w:rPr>
        <w:t xml:space="preserve"> </w:t>
      </w:r>
      <w:r w:rsidRPr="00C51CF1">
        <w:rPr>
          <w:rStyle w:val="acopre"/>
          <w:rFonts w:ascii="Book Antiqua" w:eastAsia="Book Antiqua" w:hAnsi="Book Antiqua" w:cs="Book Antiqua"/>
          <w:color w:val="000000"/>
        </w:rPr>
        <w:t>(CTLs)</w:t>
      </w:r>
      <w:r w:rsidRPr="00C51CF1">
        <w:rPr>
          <w:rFonts w:ascii="Book Antiqua" w:eastAsia="Book Antiqua" w:hAnsi="Book Antiqua" w:cs="Book Antiqua"/>
          <w:color w:val="000000"/>
        </w:rPr>
        <w:t xml:space="preserve"> and NK cells as favorable anti-tumor responders, and CD4+ CD25+ Tregs as immunosuppressors.</w:t>
      </w:r>
    </w:p>
    <w:p w14:paraId="3AB59415" w14:textId="1D8DA353" w:rsidR="00A77B3E" w:rsidRPr="00C51CF1" w:rsidRDefault="005B1767" w:rsidP="005B1767">
      <w:pPr>
        <w:spacing w:line="360" w:lineRule="auto"/>
        <w:ind w:firstLineChars="100" w:firstLine="240"/>
        <w:jc w:val="both"/>
        <w:rPr>
          <w:rFonts w:ascii="Book Antiqua" w:hAnsi="Book Antiqua"/>
        </w:rPr>
      </w:pPr>
      <w:r w:rsidRPr="00C51CF1">
        <w:rPr>
          <w:rFonts w:ascii="Book Antiqua" w:eastAsia="Book Antiqua" w:hAnsi="Book Antiqua" w:cs="Book Antiqua"/>
          <w:color w:val="000000"/>
        </w:rPr>
        <w:t>Recently, many studies have shown that the TME plays a major role in HCC initiation and progression</w:t>
      </w:r>
      <w:r w:rsidRPr="00C51CF1">
        <w:rPr>
          <w:rFonts w:ascii="Book Antiqua" w:eastAsia="Book Antiqua" w:hAnsi="Book Antiqua" w:cs="Book Antiqua"/>
          <w:color w:val="000000"/>
          <w:vertAlign w:val="superscript"/>
        </w:rPr>
        <w:t>[73]</w:t>
      </w:r>
      <w:r w:rsidRPr="00C51CF1">
        <w:rPr>
          <w:rFonts w:ascii="Book Antiqua" w:eastAsia="Book Antiqua" w:hAnsi="Book Antiqua" w:cs="Book Antiqua"/>
          <w:color w:val="000000"/>
        </w:rPr>
        <w:t xml:space="preserve">. Lymphocytes contribute to the TME through immunity and inflammation. CD8+ </w:t>
      </w:r>
      <w:r w:rsidRPr="00C51CF1">
        <w:rPr>
          <w:rStyle w:val="acopre"/>
          <w:rFonts w:ascii="Book Antiqua" w:eastAsia="Book Antiqua" w:hAnsi="Book Antiqua" w:cs="Book Antiqua"/>
          <w:color w:val="000000"/>
        </w:rPr>
        <w:t>CTLs</w:t>
      </w:r>
      <w:r w:rsidRPr="00C51CF1">
        <w:rPr>
          <w:rStyle w:val="acopre"/>
          <w:rFonts w:ascii="Book Antiqua" w:eastAsia="Book Antiqua" w:hAnsi="Book Antiqua" w:cs="Book Antiqua"/>
          <w:i/>
          <w:iCs/>
          <w:color w:val="000000"/>
        </w:rPr>
        <w:t xml:space="preserve"> </w:t>
      </w:r>
      <w:r w:rsidRPr="00C51CF1">
        <w:rPr>
          <w:rFonts w:ascii="Book Antiqua" w:eastAsia="Book Antiqua" w:hAnsi="Book Antiqua" w:cs="Book Antiqua"/>
          <w:color w:val="000000"/>
        </w:rPr>
        <w:t>can directly kill target cells by releasing granules including membrane-lytic materials such as perforin and granzymes (granzyme A and B) in acquired immune responses, thus covering a crucial role in anti-tumor immunity. As a matter of fact, a large presence of CD8+ CTL infiltrating tumor tissue is closely associated with a better prognosis</w:t>
      </w:r>
      <w:r w:rsidRPr="00C51CF1">
        <w:rPr>
          <w:rFonts w:ascii="Book Antiqua" w:eastAsia="Book Antiqua" w:hAnsi="Book Antiqua" w:cs="Book Antiqua"/>
          <w:color w:val="000000"/>
          <w:vertAlign w:val="superscript"/>
        </w:rPr>
        <w:t>[74,75]</w:t>
      </w:r>
      <w:r w:rsidRPr="00C51CF1">
        <w:rPr>
          <w:rFonts w:ascii="Book Antiqua" w:eastAsia="Book Antiqua" w:hAnsi="Book Antiqua" w:cs="Book Antiqua"/>
          <w:color w:val="000000"/>
        </w:rPr>
        <w:t>. However, despite T cell infiltration, HCC develops and spreads as a result of a depletion of pro-inflammatory T cells and a significant accumulation of Tregs</w:t>
      </w:r>
      <w:r w:rsidRPr="00C51CF1">
        <w:rPr>
          <w:rFonts w:ascii="Book Antiqua" w:eastAsia="Book Antiqua" w:hAnsi="Book Antiqua" w:cs="Book Antiqua"/>
          <w:color w:val="000000"/>
          <w:vertAlign w:val="superscript"/>
        </w:rPr>
        <w:t>[76-78]</w:t>
      </w:r>
      <w:r w:rsidRPr="00C51CF1">
        <w:rPr>
          <w:rFonts w:ascii="Book Antiqua" w:eastAsia="Book Antiqua" w:hAnsi="Book Antiqua" w:cs="Book Antiqua"/>
          <w:color w:val="000000"/>
        </w:rPr>
        <w:t>.</w:t>
      </w:r>
    </w:p>
    <w:p w14:paraId="62FEB5E7" w14:textId="0A01C9FA" w:rsidR="00A77B3E" w:rsidRPr="00C51CF1" w:rsidRDefault="005B1767" w:rsidP="005B1767">
      <w:pPr>
        <w:spacing w:line="360" w:lineRule="auto"/>
        <w:ind w:firstLineChars="100" w:firstLine="240"/>
        <w:jc w:val="both"/>
        <w:rPr>
          <w:rFonts w:ascii="Book Antiqua" w:hAnsi="Book Antiqua"/>
        </w:rPr>
      </w:pPr>
      <w:r w:rsidRPr="00C51CF1">
        <w:rPr>
          <w:rFonts w:ascii="Book Antiqua" w:eastAsia="Book Antiqua" w:hAnsi="Book Antiqua" w:cs="Book Antiqua"/>
          <w:color w:val="000000"/>
        </w:rPr>
        <w:t xml:space="preserve">T-cell exhaustion is characterized by reduced responses to stimulation, impaired cytokine production, decreased proliferation and reduced toxicity. Such immune profile is hallmarked by over-expression of co-inhibitory receptors such as CTLA-4 and </w:t>
      </w:r>
      <w:r w:rsidR="001C1A8D" w:rsidRPr="00C51CF1">
        <w:rPr>
          <w:rFonts w:ascii="Book Antiqua" w:eastAsia="Book Antiqua" w:hAnsi="Book Antiqua" w:cs="Book Antiqua"/>
          <w:color w:val="000000"/>
          <w:shd w:val="clear" w:color="auto" w:fill="FFFFFF"/>
        </w:rPr>
        <w:t>programmed cell-death 1 receptor (</w:t>
      </w:r>
      <w:r w:rsidR="001C1A8D" w:rsidRPr="00C51CF1">
        <w:rPr>
          <w:rFonts w:ascii="Book Antiqua" w:eastAsia="Book Antiqua" w:hAnsi="Book Antiqua" w:cs="Book Antiqua"/>
          <w:color w:val="000000"/>
        </w:rPr>
        <w:t>PD-1)</w:t>
      </w:r>
      <w:r w:rsidRPr="00C51CF1">
        <w:rPr>
          <w:rFonts w:ascii="Book Antiqua" w:eastAsia="Book Antiqua" w:hAnsi="Book Antiqua" w:cs="Book Antiqua"/>
          <w:color w:val="000000"/>
        </w:rPr>
        <w:t>.</w:t>
      </w:r>
    </w:p>
    <w:p w14:paraId="60955BAC" w14:textId="61B370AD" w:rsidR="00A77B3E" w:rsidRPr="00C51CF1" w:rsidRDefault="005B1767" w:rsidP="005B1767">
      <w:pPr>
        <w:spacing w:line="360" w:lineRule="auto"/>
        <w:ind w:firstLineChars="100" w:firstLine="240"/>
        <w:jc w:val="both"/>
        <w:rPr>
          <w:rFonts w:ascii="Book Antiqua" w:hAnsi="Book Antiqua"/>
        </w:rPr>
      </w:pPr>
      <w:r w:rsidRPr="00C51CF1">
        <w:rPr>
          <w:rFonts w:ascii="Book Antiqua" w:eastAsia="Book Antiqua" w:hAnsi="Book Antiqua" w:cs="Book Antiqua"/>
          <w:color w:val="000000"/>
        </w:rPr>
        <w:t>An exhausted state of circulating and intratumoral CD8+ T cells is associated with a worse prognosis in HCC patients</w:t>
      </w:r>
      <w:r w:rsidRPr="00C51CF1">
        <w:rPr>
          <w:rFonts w:ascii="Book Antiqua" w:eastAsia="Book Antiqua" w:hAnsi="Book Antiqua" w:cs="Book Antiqua"/>
          <w:color w:val="000000"/>
          <w:vertAlign w:val="superscript"/>
        </w:rPr>
        <w:t>[79,80]</w:t>
      </w:r>
      <w:r w:rsidRPr="00C51CF1">
        <w:rPr>
          <w:rFonts w:ascii="Book Antiqua" w:eastAsia="Book Antiqua" w:hAnsi="Book Antiqua" w:cs="Book Antiqua"/>
          <w:color w:val="000000"/>
        </w:rPr>
        <w:t>.</w:t>
      </w:r>
    </w:p>
    <w:p w14:paraId="5CEABFE2" w14:textId="2176186A" w:rsidR="00A77B3E" w:rsidRPr="00C51CF1" w:rsidRDefault="005B1767" w:rsidP="005B1767">
      <w:pPr>
        <w:spacing w:line="360" w:lineRule="auto"/>
        <w:ind w:firstLineChars="100" w:firstLine="240"/>
        <w:jc w:val="both"/>
        <w:rPr>
          <w:rFonts w:ascii="Book Antiqua" w:hAnsi="Book Antiqua"/>
        </w:rPr>
      </w:pPr>
      <w:r w:rsidRPr="00C51CF1">
        <w:rPr>
          <w:rFonts w:ascii="Book Antiqua" w:eastAsia="Book Antiqua" w:hAnsi="Book Antiqua" w:cs="Book Antiqua"/>
          <w:color w:val="000000"/>
        </w:rPr>
        <w:t>Exhaustion inside the TME is dominated by the inhibitory cytokine environment rich in IL-10 and TGF-β released by the Treg, both prohibiting CTLs and TH1 CD4+ T cells activation</w:t>
      </w:r>
      <w:r w:rsidRPr="00C51CF1">
        <w:rPr>
          <w:rFonts w:ascii="Book Antiqua" w:eastAsia="Book Antiqua" w:hAnsi="Book Antiqua" w:cs="Book Antiqua"/>
          <w:color w:val="000000"/>
          <w:vertAlign w:val="superscript"/>
        </w:rPr>
        <w:t>[81,82]</w:t>
      </w:r>
      <w:r w:rsidRPr="00C51CF1">
        <w:rPr>
          <w:rFonts w:ascii="Book Antiqua" w:eastAsia="Book Antiqua" w:hAnsi="Book Antiqua" w:cs="Book Antiqua"/>
          <w:color w:val="000000"/>
        </w:rPr>
        <w:t>.</w:t>
      </w:r>
    </w:p>
    <w:p w14:paraId="34D0183F" w14:textId="5E221E0B" w:rsidR="00A77B3E" w:rsidRPr="00C51CF1" w:rsidRDefault="005B1767" w:rsidP="005B1767">
      <w:pPr>
        <w:spacing w:line="360" w:lineRule="auto"/>
        <w:ind w:firstLineChars="100" w:firstLine="240"/>
        <w:jc w:val="both"/>
        <w:rPr>
          <w:rFonts w:ascii="Book Antiqua" w:hAnsi="Book Antiqua"/>
        </w:rPr>
      </w:pPr>
      <w:r w:rsidRPr="00C51CF1">
        <w:rPr>
          <w:rFonts w:ascii="Book Antiqua" w:eastAsia="Book Antiqua" w:hAnsi="Book Antiqua" w:cs="Book Antiqua"/>
          <w:color w:val="000000"/>
        </w:rPr>
        <w:t>In addition, tumor associated neutrophils (by secreting CCL17 and CCR4) and M2 tumor-associated macrophages (by secreting IL-10) can induce CD4+ CD25+ Tregs thereby indirectly supporting tumor growth and progression</w:t>
      </w:r>
      <w:r w:rsidRPr="00C51CF1">
        <w:rPr>
          <w:rFonts w:ascii="Book Antiqua" w:eastAsia="Book Antiqua" w:hAnsi="Book Antiqua" w:cs="Book Antiqua"/>
          <w:color w:val="000000"/>
          <w:vertAlign w:val="superscript"/>
        </w:rPr>
        <w:t>[83,84]</w:t>
      </w:r>
      <w:r w:rsidRPr="00C51CF1">
        <w:rPr>
          <w:rFonts w:ascii="Book Antiqua" w:eastAsia="Book Antiqua" w:hAnsi="Book Antiqua" w:cs="Book Antiqua"/>
          <w:color w:val="000000"/>
        </w:rPr>
        <w:t xml:space="preserve"> (Figure 1).</w:t>
      </w:r>
    </w:p>
    <w:p w14:paraId="2E3EE5E1" w14:textId="77777777" w:rsidR="00A77B3E" w:rsidRPr="00C51CF1" w:rsidRDefault="00A77B3E">
      <w:pPr>
        <w:spacing w:line="360" w:lineRule="auto"/>
        <w:jc w:val="both"/>
        <w:rPr>
          <w:rFonts w:ascii="Book Antiqua" w:hAnsi="Book Antiqua"/>
        </w:rPr>
      </w:pPr>
    </w:p>
    <w:p w14:paraId="3E05BD08"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b/>
          <w:bCs/>
          <w:caps/>
          <w:color w:val="000000"/>
          <w:u w:val="single"/>
          <w:shd w:val="clear" w:color="auto" w:fill="FFFFFF"/>
        </w:rPr>
        <w:t xml:space="preserve">Targeting </w:t>
      </w:r>
      <w:r w:rsidRPr="00C51CF1">
        <w:rPr>
          <w:rFonts w:ascii="Book Antiqua" w:eastAsia="Book Antiqua" w:hAnsi="Book Antiqua" w:cs="Book Antiqua"/>
          <w:b/>
          <w:bCs/>
          <w:caps/>
          <w:color w:val="000000"/>
          <w:u w:val="single"/>
        </w:rPr>
        <w:t>CD4+CD25 Tregs</w:t>
      </w:r>
      <w:r w:rsidRPr="00C51CF1">
        <w:rPr>
          <w:rFonts w:ascii="Book Antiqua" w:eastAsia="Book Antiqua" w:hAnsi="Book Antiqua" w:cs="Book Antiqua"/>
          <w:b/>
          <w:bCs/>
          <w:caps/>
          <w:color w:val="000000"/>
          <w:u w:val="single"/>
          <w:shd w:val="clear" w:color="auto" w:fill="FFFFFF"/>
        </w:rPr>
        <w:t xml:space="preserve"> in HCC microenvironment with immunotherapy</w:t>
      </w:r>
    </w:p>
    <w:p w14:paraId="7D31C301" w14:textId="664333A9"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A significant advance in the field of immunotherapy has now reached with the use of immune checkpoint inhibitors (</w:t>
      </w:r>
      <w:bookmarkStart w:id="3" w:name="_Hlk70523204"/>
      <w:r w:rsidRPr="00C51CF1">
        <w:rPr>
          <w:rFonts w:ascii="Book Antiqua" w:eastAsia="Book Antiqua" w:hAnsi="Book Antiqua" w:cs="Book Antiqua"/>
          <w:color w:val="000000"/>
        </w:rPr>
        <w:t>ICI</w:t>
      </w:r>
      <w:bookmarkEnd w:id="3"/>
      <w:r w:rsidRPr="00C51CF1">
        <w:rPr>
          <w:rFonts w:ascii="Book Antiqua" w:eastAsia="Book Antiqua" w:hAnsi="Book Antiqua" w:cs="Book Antiqua"/>
          <w:color w:val="000000"/>
        </w:rPr>
        <w:t>s), which are antagonistic antibodies that inhibit key immune regulatory molecules (checkpoint molecules), such as CTLA-4, PD-1, and its ligand PD-L1, which suppresses T cell effector function under physiological conditions</w:t>
      </w:r>
      <w:r w:rsidRPr="00C51CF1">
        <w:rPr>
          <w:rFonts w:ascii="Book Antiqua" w:eastAsia="Book Antiqua" w:hAnsi="Book Antiqua" w:cs="Book Antiqua"/>
          <w:color w:val="000000"/>
          <w:vertAlign w:val="superscript"/>
        </w:rPr>
        <w:t>[85]</w:t>
      </w:r>
      <w:r w:rsidRPr="00C51CF1">
        <w:rPr>
          <w:rFonts w:ascii="Book Antiqua" w:eastAsia="Book Antiqua" w:hAnsi="Book Antiqua" w:cs="Book Antiqua"/>
          <w:color w:val="000000"/>
        </w:rPr>
        <w:t>.</w:t>
      </w:r>
    </w:p>
    <w:p w14:paraId="7912FB2A" w14:textId="2B55CE09" w:rsidR="00A77B3E" w:rsidRPr="00C51CF1" w:rsidRDefault="005B1767" w:rsidP="005B1767">
      <w:pPr>
        <w:spacing w:line="360" w:lineRule="auto"/>
        <w:ind w:firstLineChars="100" w:firstLine="240"/>
        <w:jc w:val="both"/>
        <w:rPr>
          <w:rFonts w:ascii="Book Antiqua" w:hAnsi="Book Antiqua"/>
          <w:lang w:val="en-US"/>
        </w:rPr>
      </w:pPr>
      <w:r w:rsidRPr="00C51CF1">
        <w:rPr>
          <w:rFonts w:ascii="Book Antiqua" w:eastAsia="Book Antiqua" w:hAnsi="Book Antiqua" w:cs="Book Antiqua"/>
          <w:color w:val="000000"/>
        </w:rPr>
        <w:t xml:space="preserve">Tregs are among the most prevalent suppressor cells in TME and their presence has been related to tumor progression, invasiveness, and metastasis. Their regulatory function involves a broad spectrum of immune cells besides T cells, including macrophages, </w:t>
      </w:r>
      <w:r w:rsidR="000E2CA7" w:rsidRPr="00C51CF1">
        <w:rPr>
          <w:rFonts w:ascii="Book Antiqua" w:eastAsia="Book Antiqua" w:hAnsi="Book Antiqua" w:cs="Book Antiqua"/>
          <w:color w:val="000000"/>
        </w:rPr>
        <w:t>DC</w:t>
      </w:r>
      <w:r w:rsidRPr="00C51CF1">
        <w:rPr>
          <w:rFonts w:ascii="Book Antiqua" w:eastAsia="Book Antiqua" w:hAnsi="Book Antiqua" w:cs="Book Antiqua"/>
          <w:color w:val="000000"/>
        </w:rPr>
        <w:t xml:space="preserve">s, neutrophils, NK cells, </w:t>
      </w:r>
      <w:r w:rsidR="00307BC8" w:rsidRPr="00C51CF1">
        <w:rPr>
          <w:rFonts w:ascii="Book Antiqua" w:eastAsia="Book Antiqua" w:hAnsi="Book Antiqua" w:cs="Book Antiqua"/>
          <w:color w:val="000000"/>
        </w:rPr>
        <w:sym w:font="Symbol" w:char="F067"/>
      </w:r>
      <w:r w:rsidR="00307BC8" w:rsidRPr="00C51CF1">
        <w:rPr>
          <w:rFonts w:ascii="Book Antiqua" w:eastAsia="Book Antiqua" w:hAnsi="Book Antiqua" w:cs="Book Antiqua"/>
          <w:color w:val="000000"/>
        </w:rPr>
        <w:sym w:font="Symbol" w:char="F064"/>
      </w:r>
      <w:r w:rsidR="00307BC8" w:rsidRPr="00C51CF1">
        <w:rPr>
          <w:rFonts w:ascii="Book Antiqua" w:eastAsia="Book Antiqua" w:hAnsi="Book Antiqua" w:cs="Book Antiqua"/>
          <w:color w:val="000000"/>
          <w:lang w:val="en-US"/>
        </w:rPr>
        <w:t xml:space="preserve"> </w:t>
      </w:r>
      <w:r w:rsidRPr="00C51CF1">
        <w:rPr>
          <w:rFonts w:ascii="Book Antiqua" w:eastAsia="Book Antiqua" w:hAnsi="Book Antiqua" w:cs="Book Antiqua"/>
          <w:color w:val="000000"/>
          <w:lang w:val="en-US"/>
        </w:rPr>
        <w:t>T cells, and innate lymphoid cells</w:t>
      </w:r>
      <w:r w:rsidRPr="00C51CF1">
        <w:rPr>
          <w:rFonts w:ascii="Book Antiqua" w:eastAsia="Book Antiqua" w:hAnsi="Book Antiqua" w:cs="Book Antiqua"/>
          <w:color w:val="000000"/>
          <w:vertAlign w:val="superscript"/>
          <w:lang w:val="en-US"/>
        </w:rPr>
        <w:t>[86-88]</w:t>
      </w:r>
      <w:r w:rsidRPr="00C51CF1">
        <w:rPr>
          <w:rFonts w:ascii="Book Antiqua" w:eastAsia="Book Antiqua" w:hAnsi="Book Antiqua" w:cs="Book Antiqua"/>
          <w:color w:val="000000"/>
          <w:lang w:val="en-US"/>
        </w:rPr>
        <w:t>.</w:t>
      </w:r>
    </w:p>
    <w:p w14:paraId="683A798F" w14:textId="07254EC1" w:rsidR="00A77B3E" w:rsidRPr="00C51CF1" w:rsidRDefault="005B1767" w:rsidP="005B1767">
      <w:pPr>
        <w:spacing w:line="360" w:lineRule="auto"/>
        <w:ind w:firstLineChars="100" w:firstLine="240"/>
        <w:jc w:val="both"/>
        <w:rPr>
          <w:rFonts w:ascii="Book Antiqua" w:hAnsi="Book Antiqua"/>
          <w:lang w:val="en-US"/>
        </w:rPr>
      </w:pPr>
      <w:r w:rsidRPr="00C51CF1">
        <w:rPr>
          <w:rFonts w:ascii="Book Antiqua" w:eastAsia="Book Antiqua" w:hAnsi="Book Antiqua" w:cs="Book Antiqua"/>
          <w:color w:val="000000"/>
          <w:lang w:val="en-US"/>
        </w:rPr>
        <w:t>There are many factors favoring Treg enrichment in the TME. Experimental evidences implicate the Treg recruitment within the tumor mass through chemokines produced by cancer cells and, specifically, HCC cells have been shown to secrete CCL5, CCL22 and CCL28 chemokines mediating Treg accumulation (Table 1)</w:t>
      </w:r>
      <w:r w:rsidRPr="00C51CF1">
        <w:rPr>
          <w:rFonts w:ascii="Book Antiqua" w:eastAsia="Book Antiqua" w:hAnsi="Book Antiqua" w:cs="Book Antiqua"/>
          <w:color w:val="000000"/>
          <w:vertAlign w:val="superscript"/>
          <w:lang w:val="en-US"/>
        </w:rPr>
        <w:t>[89-100]</w:t>
      </w:r>
      <w:r w:rsidRPr="00C51CF1">
        <w:rPr>
          <w:rFonts w:ascii="Book Antiqua" w:eastAsia="Book Antiqua" w:hAnsi="Book Antiqua" w:cs="Book Antiqua"/>
          <w:color w:val="000000"/>
          <w:lang w:val="en-US"/>
        </w:rPr>
        <w:t>.</w:t>
      </w:r>
    </w:p>
    <w:p w14:paraId="2656542B" w14:textId="014EC681" w:rsidR="00A77B3E" w:rsidRPr="00C51CF1" w:rsidRDefault="005B1767" w:rsidP="005B1767">
      <w:pPr>
        <w:spacing w:line="360" w:lineRule="auto"/>
        <w:ind w:firstLineChars="100" w:firstLine="240"/>
        <w:jc w:val="both"/>
        <w:rPr>
          <w:rFonts w:ascii="Book Antiqua" w:hAnsi="Book Antiqua"/>
          <w:lang w:val="en-US"/>
        </w:rPr>
      </w:pPr>
      <w:r w:rsidRPr="00C51CF1">
        <w:rPr>
          <w:rFonts w:ascii="Book Antiqua" w:eastAsia="Book Antiqua" w:hAnsi="Book Antiqua" w:cs="Book Antiqua"/>
          <w:color w:val="000000"/>
          <w:lang w:val="en-US"/>
        </w:rPr>
        <w:t>The mechanisms through which Tregs induce suppression of proliferation, activation and function of immune effector cells have been well studied. Firstly, they modulate the activity of APCs by engaging inhibitory co-stimulatory receptors on their surface and in this way, signaling between APCs and T cells is impaired or abolished</w:t>
      </w:r>
      <w:r w:rsidRPr="00C51CF1">
        <w:rPr>
          <w:rFonts w:ascii="Book Antiqua" w:eastAsia="Book Antiqua" w:hAnsi="Book Antiqua" w:cs="Book Antiqua"/>
          <w:color w:val="000000"/>
          <w:vertAlign w:val="superscript"/>
          <w:lang w:val="en-US"/>
        </w:rPr>
        <w:t>[101,102]</w:t>
      </w:r>
      <w:r w:rsidRPr="00C51CF1">
        <w:rPr>
          <w:rFonts w:ascii="Book Antiqua" w:eastAsia="Book Antiqua" w:hAnsi="Book Antiqua" w:cs="Book Antiqua"/>
          <w:color w:val="000000"/>
          <w:lang w:val="en-US"/>
        </w:rPr>
        <w:t>.</w:t>
      </w:r>
    </w:p>
    <w:p w14:paraId="58E7BAB4" w14:textId="69D5A69E" w:rsidR="00A77B3E" w:rsidRPr="00C51CF1" w:rsidRDefault="005B1767" w:rsidP="005B1767">
      <w:pPr>
        <w:spacing w:line="360" w:lineRule="auto"/>
        <w:ind w:firstLineChars="100" w:firstLine="240"/>
        <w:jc w:val="both"/>
        <w:rPr>
          <w:rFonts w:ascii="Book Antiqua" w:hAnsi="Book Antiqua"/>
        </w:rPr>
      </w:pPr>
      <w:r w:rsidRPr="00C51CF1">
        <w:rPr>
          <w:rFonts w:ascii="Book Antiqua" w:eastAsia="Book Antiqua" w:hAnsi="Book Antiqua" w:cs="Book Antiqua"/>
          <w:color w:val="000000"/>
          <w:lang w:val="en-US"/>
        </w:rPr>
        <w:t>On a similar line, they down-regulate the expression of CD40, CD80 and CD86 on DCs</w:t>
      </w:r>
      <w:r w:rsidRPr="00C51CF1">
        <w:rPr>
          <w:rFonts w:ascii="Book Antiqua" w:eastAsia="Book Antiqua" w:hAnsi="Book Antiqua" w:cs="Book Antiqua"/>
          <w:color w:val="000000"/>
          <w:vertAlign w:val="superscript"/>
          <w:lang w:val="en-US"/>
        </w:rPr>
        <w:t>[103]</w:t>
      </w:r>
      <w:r w:rsidRPr="00C51CF1">
        <w:rPr>
          <w:rFonts w:ascii="Book Antiqua" w:eastAsia="Book Antiqua" w:hAnsi="Book Antiqua" w:cs="Book Antiqua"/>
          <w:color w:val="000000"/>
          <w:lang w:val="en-US"/>
        </w:rPr>
        <w:t>. Second, Tregs, through the secretion of inhibitory cytokines (</w:t>
      </w:r>
      <w:r w:rsidRPr="00C51CF1">
        <w:rPr>
          <w:rFonts w:ascii="Book Antiqua" w:eastAsia="Book Antiqua" w:hAnsi="Book Antiqua" w:cs="Book Antiqua"/>
          <w:i/>
          <w:iCs/>
          <w:color w:val="000000"/>
          <w:lang w:val="en-US"/>
        </w:rPr>
        <w:t>e.g.</w:t>
      </w:r>
      <w:r w:rsidRPr="00C51CF1">
        <w:rPr>
          <w:rFonts w:ascii="Book Antiqua" w:eastAsia="Book Antiqua" w:hAnsi="Book Antiqua" w:cs="Book Antiqua"/>
          <w:color w:val="000000"/>
          <w:lang w:val="en-US"/>
        </w:rPr>
        <w:t>, IL-10, IL-35, TGF-</w:t>
      </w:r>
      <w:r w:rsidRPr="00C51CF1">
        <w:rPr>
          <w:rFonts w:ascii="Book Antiqua" w:eastAsia="Book Antiqua" w:hAnsi="Book Antiqua" w:cs="Book Antiqua"/>
          <w:color w:val="000000"/>
        </w:rPr>
        <w:t>β), repress the activity of immune cells</w:t>
      </w:r>
      <w:r w:rsidRPr="00C51CF1">
        <w:rPr>
          <w:rFonts w:ascii="Book Antiqua" w:eastAsia="Book Antiqua" w:hAnsi="Book Antiqua" w:cs="Book Antiqua"/>
          <w:color w:val="000000"/>
          <w:vertAlign w:val="superscript"/>
        </w:rPr>
        <w:t>[104]</w:t>
      </w:r>
      <w:r w:rsidRPr="00C51CF1">
        <w:rPr>
          <w:rFonts w:ascii="Book Antiqua" w:eastAsia="Book Antiqua" w:hAnsi="Book Antiqua" w:cs="Book Antiqua"/>
          <w:color w:val="000000"/>
        </w:rPr>
        <w:t>.</w:t>
      </w:r>
    </w:p>
    <w:p w14:paraId="4CF2775D" w14:textId="12F4485A" w:rsidR="00A77B3E" w:rsidRPr="00C51CF1" w:rsidRDefault="005B1767" w:rsidP="005B1767">
      <w:pPr>
        <w:spacing w:line="360" w:lineRule="auto"/>
        <w:ind w:firstLineChars="100" w:firstLine="240"/>
        <w:jc w:val="both"/>
        <w:rPr>
          <w:rFonts w:ascii="Book Antiqua" w:hAnsi="Book Antiqua"/>
        </w:rPr>
      </w:pPr>
      <w:r w:rsidRPr="00C51CF1">
        <w:rPr>
          <w:rFonts w:ascii="Book Antiqua" w:eastAsia="Book Antiqua" w:hAnsi="Book Antiqua" w:cs="Book Antiqua"/>
          <w:color w:val="000000"/>
          <w:shd w:val="clear" w:color="auto" w:fill="FFFFFF"/>
        </w:rPr>
        <w:t xml:space="preserve">Of major interest, Tregs express a panel of chemokine receptors and surface molecules such as </w:t>
      </w:r>
      <w:r w:rsidRPr="00C51CF1">
        <w:rPr>
          <w:rFonts w:ascii="Book Antiqua" w:eastAsia="Book Antiqua" w:hAnsi="Book Antiqua" w:cs="Book Antiqua"/>
          <w:color w:val="000000"/>
        </w:rPr>
        <w:t>CTLA4, PD</w:t>
      </w:r>
      <w:r w:rsidR="001C1A8D" w:rsidRPr="00C51CF1">
        <w:rPr>
          <w:rFonts w:ascii="Book Antiqua" w:eastAsia="Book Antiqua" w:hAnsi="Book Antiqua" w:cs="Book Antiqua"/>
          <w:color w:val="000000"/>
        </w:rPr>
        <w:t>-</w:t>
      </w:r>
      <w:r w:rsidRPr="00C51CF1">
        <w:rPr>
          <w:rFonts w:ascii="Book Antiqua" w:eastAsia="Book Antiqua" w:hAnsi="Book Antiqua" w:cs="Book Antiqua"/>
          <w:color w:val="000000"/>
        </w:rPr>
        <w:t>1 and others, thus potentially making them a very direct target of ICI immunotherapy (Figure 2).</w:t>
      </w:r>
    </w:p>
    <w:p w14:paraId="0CD9FAD0" w14:textId="40885686" w:rsidR="00A77B3E" w:rsidRPr="00C51CF1" w:rsidRDefault="005B1767" w:rsidP="005B1767">
      <w:pPr>
        <w:spacing w:line="360" w:lineRule="auto"/>
        <w:ind w:firstLineChars="100" w:firstLine="240"/>
        <w:jc w:val="both"/>
        <w:rPr>
          <w:rFonts w:ascii="Book Antiqua" w:hAnsi="Book Antiqua"/>
        </w:rPr>
      </w:pPr>
      <w:r w:rsidRPr="00C51CF1">
        <w:rPr>
          <w:rFonts w:ascii="Book Antiqua" w:eastAsia="Book Antiqua" w:hAnsi="Book Antiqua" w:cs="Book Antiqua"/>
          <w:color w:val="000000"/>
        </w:rPr>
        <w:t>Advances in understanding tumor immunity have resulted in a significant shift in the HCC treatment, with the emergence of immunotherapy where therapeutic interventions are used to target immune cells rather than cancer cells.</w:t>
      </w:r>
    </w:p>
    <w:p w14:paraId="2177B0BE" w14:textId="77777777" w:rsidR="00A77B3E" w:rsidRPr="00C51CF1" w:rsidRDefault="005B1767" w:rsidP="005B1767">
      <w:pPr>
        <w:spacing w:line="360" w:lineRule="auto"/>
        <w:ind w:firstLineChars="100" w:firstLine="240"/>
        <w:jc w:val="both"/>
        <w:rPr>
          <w:rFonts w:ascii="Book Antiqua" w:hAnsi="Book Antiqua"/>
        </w:rPr>
      </w:pPr>
      <w:r w:rsidRPr="00C51CF1">
        <w:rPr>
          <w:rFonts w:ascii="Book Antiqua" w:eastAsia="Book Antiqua" w:hAnsi="Book Antiqua" w:cs="Book Antiqua"/>
          <w:color w:val="000000"/>
        </w:rPr>
        <w:t>Tregs abundantly express both co-inhibitory and co-stimulatory molecules at levels that are likely dependent on the TME. Modulating their function through stimulation of inhibitory receptors and inhibition of activating receptors could therefore result in a decrease of the TME immunosuppressive profile resulting ultimately in an enhanced antitumor immune response (Figure 3).</w:t>
      </w:r>
    </w:p>
    <w:p w14:paraId="07C41ED3" w14:textId="66FC20B4" w:rsidR="00A77B3E" w:rsidRPr="00C51CF1" w:rsidRDefault="005B1767" w:rsidP="005B1767">
      <w:pPr>
        <w:spacing w:line="360" w:lineRule="auto"/>
        <w:ind w:firstLineChars="100" w:firstLine="240"/>
        <w:jc w:val="both"/>
        <w:rPr>
          <w:rFonts w:ascii="Book Antiqua" w:hAnsi="Book Antiqua"/>
        </w:rPr>
      </w:pPr>
      <w:r w:rsidRPr="00C51CF1">
        <w:rPr>
          <w:rFonts w:ascii="Book Antiqua" w:eastAsia="Book Antiqua" w:hAnsi="Book Antiqua" w:cs="Book Antiqua"/>
          <w:color w:val="000000"/>
        </w:rPr>
        <w:t>In support of this therapeutic approach, treatment with blocking antibodies for PD</w:t>
      </w:r>
      <w:r w:rsidR="001C1A8D" w:rsidRPr="00C51CF1">
        <w:rPr>
          <w:rFonts w:ascii="Book Antiqua" w:eastAsia="Book Antiqua" w:hAnsi="Book Antiqua" w:cs="Book Antiqua"/>
          <w:color w:val="000000"/>
        </w:rPr>
        <w:t>-</w:t>
      </w:r>
      <w:r w:rsidRPr="00C51CF1">
        <w:rPr>
          <w:rFonts w:ascii="Book Antiqua" w:eastAsia="Book Antiqua" w:hAnsi="Book Antiqua" w:cs="Book Antiqua"/>
          <w:color w:val="000000"/>
        </w:rPr>
        <w:t>1 (nivolumab, pembrolizumab, sintilimab, penpulimab, camrelizumab, toripalimab, spartalizumab, tislelizumab), programmed death ligand 1 (durvalumab, avelumab, atezolizumab), and CTLA-4 (tremelimumab, ipilimumab) have reported promising results in HCC treatment</w:t>
      </w:r>
      <w:r w:rsidRPr="00C51CF1">
        <w:rPr>
          <w:rFonts w:ascii="Book Antiqua" w:eastAsia="Book Antiqua" w:hAnsi="Book Antiqua" w:cs="Book Antiqua"/>
          <w:color w:val="000000"/>
          <w:vertAlign w:val="superscript"/>
        </w:rPr>
        <w:t>[105]</w:t>
      </w:r>
      <w:r w:rsidRPr="00C51CF1">
        <w:rPr>
          <w:rFonts w:ascii="Book Antiqua" w:eastAsia="Book Antiqua" w:hAnsi="Book Antiqua" w:cs="Book Antiqua"/>
          <w:color w:val="000000"/>
        </w:rPr>
        <w:t>.</w:t>
      </w:r>
    </w:p>
    <w:p w14:paraId="09DF482B" w14:textId="20300208" w:rsidR="00A77B3E" w:rsidRPr="00C51CF1" w:rsidRDefault="005B1767" w:rsidP="005B1767">
      <w:pPr>
        <w:spacing w:line="360" w:lineRule="auto"/>
        <w:ind w:firstLineChars="100" w:firstLine="240"/>
        <w:jc w:val="both"/>
        <w:rPr>
          <w:rFonts w:ascii="Book Antiqua" w:hAnsi="Book Antiqua"/>
        </w:rPr>
      </w:pPr>
      <w:r w:rsidRPr="00C51CF1">
        <w:rPr>
          <w:rFonts w:ascii="Book Antiqua" w:eastAsia="Book Antiqua" w:hAnsi="Book Antiqua" w:cs="Book Antiqua"/>
          <w:color w:val="000000"/>
        </w:rPr>
        <w:t>Since CTLA-4 is constitutively expressed on Tregs, its specific deletion is associated with a marked reduction of their suppressive ability potentially resulting in a severe T cell mediated autoimmune disease</w:t>
      </w:r>
      <w:r w:rsidRPr="00C51CF1">
        <w:rPr>
          <w:rFonts w:ascii="Book Antiqua" w:eastAsia="Book Antiqua" w:hAnsi="Book Antiqua" w:cs="Book Antiqua"/>
          <w:color w:val="000000"/>
          <w:vertAlign w:val="superscript"/>
        </w:rPr>
        <w:t>[106]</w:t>
      </w:r>
      <w:r w:rsidRPr="00C51CF1">
        <w:rPr>
          <w:rFonts w:ascii="Book Antiqua" w:eastAsia="Book Antiqua" w:hAnsi="Book Antiqua" w:cs="Book Antiqua"/>
          <w:color w:val="000000"/>
        </w:rPr>
        <w:t>.</w:t>
      </w:r>
    </w:p>
    <w:p w14:paraId="55E03FFC" w14:textId="3FE07F4C" w:rsidR="00A77B3E" w:rsidRPr="00C51CF1" w:rsidRDefault="005B1767" w:rsidP="005B1767">
      <w:pPr>
        <w:spacing w:line="360" w:lineRule="auto"/>
        <w:ind w:firstLineChars="100" w:firstLine="240"/>
        <w:jc w:val="both"/>
        <w:rPr>
          <w:rFonts w:ascii="Book Antiqua" w:hAnsi="Book Antiqua"/>
        </w:rPr>
      </w:pPr>
      <w:r w:rsidRPr="00C51CF1">
        <w:rPr>
          <w:rFonts w:ascii="Book Antiqua" w:eastAsia="Book Antiqua" w:hAnsi="Book Antiqua" w:cs="Book Antiqua"/>
          <w:color w:val="000000"/>
        </w:rPr>
        <w:t>Resulting in a break of balance in the immune system, ICI treatments can give rise to a broad spectrum of serious autoimmune manifestations, including liver injury, reported in recent studies as immune-related adverse events (irAEs) and potentially limiting or precluding HCC treatments</w:t>
      </w:r>
      <w:r w:rsidRPr="00C51CF1">
        <w:rPr>
          <w:rFonts w:ascii="Book Antiqua" w:eastAsia="Book Antiqua" w:hAnsi="Book Antiqua" w:cs="Book Antiqua"/>
          <w:color w:val="000000"/>
          <w:vertAlign w:val="superscript"/>
        </w:rPr>
        <w:t>[107,108]</w:t>
      </w:r>
      <w:r w:rsidRPr="00C51CF1">
        <w:rPr>
          <w:rFonts w:ascii="Book Antiqua" w:eastAsia="Book Antiqua" w:hAnsi="Book Antiqua" w:cs="Book Antiqua"/>
          <w:color w:val="000000"/>
        </w:rPr>
        <w:t>.</w:t>
      </w:r>
    </w:p>
    <w:p w14:paraId="17038064" w14:textId="7625A892" w:rsidR="00A77B3E" w:rsidRPr="00C51CF1" w:rsidRDefault="005B1767" w:rsidP="005B1767">
      <w:pPr>
        <w:spacing w:line="360" w:lineRule="auto"/>
        <w:ind w:firstLineChars="100" w:firstLine="240"/>
        <w:jc w:val="both"/>
        <w:rPr>
          <w:rFonts w:ascii="Book Antiqua" w:hAnsi="Book Antiqua"/>
        </w:rPr>
      </w:pPr>
      <w:r w:rsidRPr="00C51CF1">
        <w:rPr>
          <w:rFonts w:ascii="Book Antiqua" w:eastAsia="Book Antiqua" w:hAnsi="Book Antiqua" w:cs="Book Antiqua"/>
          <w:color w:val="000000"/>
        </w:rPr>
        <w:t xml:space="preserve">Unfortunately, clinical studies that include in their objectives the assessment of immune cell populations, particularly Tregs, are still too scarce, thus leaving this potentially relevant issue unresolved. Clinical trials based on ICI agents as treatment for HCC are reported in Table 2. </w:t>
      </w:r>
    </w:p>
    <w:p w14:paraId="7C6127A2" w14:textId="77777777" w:rsidR="00A77B3E" w:rsidRPr="00C51CF1" w:rsidRDefault="00A77B3E">
      <w:pPr>
        <w:spacing w:line="360" w:lineRule="auto"/>
        <w:jc w:val="both"/>
        <w:rPr>
          <w:rFonts w:ascii="Book Antiqua" w:hAnsi="Book Antiqua"/>
        </w:rPr>
      </w:pPr>
    </w:p>
    <w:p w14:paraId="363A719B" w14:textId="5404E619" w:rsidR="00A77B3E" w:rsidRPr="00C51CF1" w:rsidRDefault="005B1767">
      <w:pPr>
        <w:spacing w:line="360" w:lineRule="auto"/>
        <w:jc w:val="both"/>
        <w:rPr>
          <w:rFonts w:ascii="Book Antiqua" w:hAnsi="Book Antiqua"/>
        </w:rPr>
      </w:pPr>
      <w:r w:rsidRPr="00C51CF1">
        <w:rPr>
          <w:rFonts w:ascii="Book Antiqua" w:eastAsia="Book Antiqua" w:hAnsi="Book Antiqua" w:cs="Book Antiqua"/>
          <w:b/>
          <w:bCs/>
          <w:caps/>
          <w:color w:val="000000"/>
          <w:u w:val="single"/>
        </w:rPr>
        <w:t xml:space="preserve">Liver </w:t>
      </w:r>
      <w:r w:rsidRPr="00C51CF1">
        <w:rPr>
          <w:rFonts w:ascii="Book Antiqua" w:eastAsia="Book Antiqua" w:hAnsi="Book Antiqua" w:cs="Book Antiqua"/>
          <w:b/>
          <w:bCs/>
          <w:caps/>
          <w:color w:val="000000"/>
          <w:u w:val="single"/>
          <w:shd w:val="clear" w:color="auto" w:fill="FFFFFF"/>
        </w:rPr>
        <w:t xml:space="preserve">toxicity during treatment with </w:t>
      </w:r>
      <w:r w:rsidR="001C1A8D" w:rsidRPr="00C51CF1">
        <w:rPr>
          <w:rFonts w:ascii="Book Antiqua" w:eastAsia="Book Antiqua" w:hAnsi="Book Antiqua" w:cs="Book Antiqua"/>
          <w:b/>
          <w:bCs/>
          <w:caps/>
          <w:color w:val="000000"/>
          <w:u w:val="single"/>
          <w:shd w:val="clear" w:color="auto" w:fill="FFFFFF"/>
        </w:rPr>
        <w:t>ICI</w:t>
      </w:r>
      <w:r w:rsidRPr="00C51CF1">
        <w:rPr>
          <w:rFonts w:ascii="Book Antiqua" w:eastAsia="Book Antiqua" w:hAnsi="Book Antiqua" w:cs="Book Antiqua"/>
          <w:b/>
          <w:bCs/>
          <w:caps/>
          <w:color w:val="000000"/>
          <w:u w:val="single"/>
          <w:shd w:val="clear" w:color="auto" w:fill="FFFFFF"/>
        </w:rPr>
        <w:t>s</w:t>
      </w:r>
    </w:p>
    <w:p w14:paraId="7B25159B" w14:textId="28C79DA6"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shd w:val="clear" w:color="auto" w:fill="FFFFFF"/>
        </w:rPr>
        <w:t xml:space="preserve">The development of </w:t>
      </w:r>
      <w:r w:rsidR="001C1A8D" w:rsidRPr="00C51CF1">
        <w:rPr>
          <w:rFonts w:ascii="Book Antiqua" w:eastAsia="Book Antiqua" w:hAnsi="Book Antiqua" w:cs="Book Antiqua"/>
          <w:color w:val="000000"/>
        </w:rPr>
        <w:t>irAE</w:t>
      </w:r>
      <w:r w:rsidRPr="00C51CF1">
        <w:rPr>
          <w:rFonts w:ascii="Book Antiqua" w:eastAsia="Book Antiqua" w:hAnsi="Book Antiqua" w:cs="Book Antiqua"/>
          <w:color w:val="000000"/>
          <w:shd w:val="clear" w:color="auto" w:fill="FFFFFF"/>
        </w:rPr>
        <w:t>s, potentially affecting multiple organs, following loss of self-tolerance, has been widely reported</w:t>
      </w:r>
      <w:r w:rsidRPr="00C51CF1">
        <w:rPr>
          <w:rFonts w:ascii="Book Antiqua" w:eastAsia="Book Antiqua" w:hAnsi="Book Antiqua" w:cs="Book Antiqua"/>
          <w:color w:val="000000"/>
          <w:vertAlign w:val="superscript"/>
        </w:rPr>
        <w:t>[109,110]</w:t>
      </w:r>
      <w:r w:rsidRPr="00C51CF1">
        <w:rPr>
          <w:rFonts w:ascii="Book Antiqua" w:eastAsia="Book Antiqua" w:hAnsi="Book Antiqua" w:cs="Book Antiqua"/>
          <w:color w:val="000000"/>
          <w:shd w:val="clear" w:color="auto" w:fill="FFFFFF"/>
        </w:rPr>
        <w:t>.</w:t>
      </w:r>
    </w:p>
    <w:p w14:paraId="58BAD464" w14:textId="1D8F3F74" w:rsidR="00A77B3E" w:rsidRPr="00C51CF1" w:rsidRDefault="005B1767" w:rsidP="005B1767">
      <w:pPr>
        <w:spacing w:line="360" w:lineRule="auto"/>
        <w:ind w:firstLineChars="100" w:firstLine="240"/>
        <w:jc w:val="both"/>
        <w:rPr>
          <w:rFonts w:ascii="Book Antiqua" w:hAnsi="Book Antiqua"/>
        </w:rPr>
      </w:pPr>
      <w:r w:rsidRPr="00C51CF1">
        <w:rPr>
          <w:rFonts w:ascii="Book Antiqua" w:eastAsia="Book Antiqua" w:hAnsi="Book Antiqua" w:cs="Book Antiqua"/>
          <w:color w:val="000000"/>
          <w:shd w:val="clear" w:color="auto" w:fill="FFFFFF"/>
        </w:rPr>
        <w:t>Among the possible adverse events, of particular relevance is the development of liver toxicity as it could cause worsening of liver function in patients who almost always have underlying preexisting chronic liver disease</w:t>
      </w:r>
      <w:r w:rsidRPr="00C51CF1">
        <w:rPr>
          <w:rFonts w:ascii="Book Antiqua" w:eastAsia="Book Antiqua" w:hAnsi="Book Antiqua" w:cs="Book Antiqua"/>
          <w:color w:val="000000"/>
          <w:vertAlign w:val="superscript"/>
        </w:rPr>
        <w:t>[107]</w:t>
      </w:r>
      <w:r w:rsidRPr="00C51CF1">
        <w:rPr>
          <w:rFonts w:ascii="Book Antiqua" w:eastAsia="Book Antiqua" w:hAnsi="Book Antiqua" w:cs="Book Antiqua"/>
          <w:color w:val="000000"/>
          <w:shd w:val="clear" w:color="auto" w:fill="FFFFFF"/>
        </w:rPr>
        <w:t>.</w:t>
      </w:r>
    </w:p>
    <w:p w14:paraId="1272EE8D" w14:textId="1FC496E4" w:rsidR="00A77B3E" w:rsidRPr="00C51CF1" w:rsidRDefault="005B1767" w:rsidP="005B1767">
      <w:pPr>
        <w:spacing w:line="360" w:lineRule="auto"/>
        <w:ind w:firstLineChars="100" w:firstLine="240"/>
        <w:jc w:val="both"/>
        <w:rPr>
          <w:rFonts w:ascii="Book Antiqua" w:hAnsi="Book Antiqua"/>
        </w:rPr>
      </w:pPr>
      <w:r w:rsidRPr="00C51CF1">
        <w:rPr>
          <w:rFonts w:ascii="Book Antiqua" w:eastAsia="Book Antiqua" w:hAnsi="Book Antiqua" w:cs="Book Antiqua"/>
          <w:color w:val="000000"/>
        </w:rPr>
        <w:t xml:space="preserve">Hepatic toxicity associated with ICI is characterized by elevation of liver parameters values. The pattern of liver enzymes elevation is defined by the increase of alanine aminotransferase (ALT) or alkaline phosphatase (ALP) alone above a specific threshold or by the ratio of serum ALT to ALP levels </w:t>
      </w:r>
      <w:r w:rsidR="0028666B" w:rsidRPr="00C51CF1">
        <w:rPr>
          <w:rFonts w:ascii="Book Antiqua" w:eastAsia="Book Antiqua" w:hAnsi="Book Antiqua" w:cs="Book Antiqua"/>
          <w:color w:val="000000"/>
        </w:rPr>
        <w:t>[</w:t>
      </w:r>
      <w:r w:rsidRPr="00C51CF1">
        <w:rPr>
          <w:rFonts w:ascii="Book Antiqua" w:eastAsia="Book Antiqua" w:hAnsi="Book Antiqua" w:cs="Book Antiqua"/>
          <w:color w:val="000000"/>
        </w:rPr>
        <w:t>R value = [ALT/upper normal level (UNL)]/</w:t>
      </w:r>
      <w:r w:rsidR="0028666B" w:rsidRPr="00C51CF1">
        <w:rPr>
          <w:rFonts w:ascii="Book Antiqua" w:eastAsia="Book Antiqua" w:hAnsi="Book Antiqua" w:cs="Book Antiqua"/>
          <w:color w:val="000000"/>
        </w:rPr>
        <w:t>(</w:t>
      </w:r>
      <w:r w:rsidRPr="00C51CF1">
        <w:rPr>
          <w:rFonts w:ascii="Book Antiqua" w:eastAsia="Book Antiqua" w:hAnsi="Book Antiqua" w:cs="Book Antiqua"/>
          <w:color w:val="000000"/>
        </w:rPr>
        <w:t>ALP/UNL</w:t>
      </w:r>
      <w:r w:rsidR="0028666B" w:rsidRPr="00C51CF1">
        <w:rPr>
          <w:rFonts w:ascii="Book Antiqua" w:eastAsia="Book Antiqua" w:hAnsi="Book Antiqua" w:cs="Book Antiqua"/>
          <w:color w:val="000000"/>
        </w:rPr>
        <w:t>)]</w:t>
      </w:r>
      <w:r w:rsidRPr="00C51CF1">
        <w:rPr>
          <w:rFonts w:ascii="Book Antiqua" w:eastAsia="Book Antiqua" w:hAnsi="Book Antiqua" w:cs="Book Antiqua"/>
          <w:color w:val="000000"/>
        </w:rPr>
        <w:t xml:space="preserve"> and can be categorized as hepatocellular (ALT </w:t>
      </w:r>
      <w:r w:rsidR="0028666B" w:rsidRPr="00C51CF1">
        <w:rPr>
          <w:rFonts w:ascii="Book Antiqua" w:eastAsia="宋体" w:hAnsi="Book Antiqua"/>
          <w:bCs/>
        </w:rPr>
        <w:t>≥</w:t>
      </w:r>
      <w:r w:rsidRPr="00C51CF1">
        <w:rPr>
          <w:rFonts w:ascii="Book Antiqua" w:eastAsia="Book Antiqua" w:hAnsi="Book Antiqua" w:cs="Book Antiqua"/>
          <w:color w:val="000000"/>
          <w:shd w:val="clear" w:color="auto" w:fill="FFFFFF"/>
        </w:rPr>
        <w:t xml:space="preserve"> 5-fold above UNL or R &gt;</w:t>
      </w:r>
      <w:r w:rsidR="0028666B" w:rsidRPr="00C51CF1">
        <w:rPr>
          <w:rFonts w:ascii="Book Antiqua" w:eastAsia="Book Antiqua" w:hAnsi="Book Antiqua" w:cs="Book Antiqua"/>
          <w:color w:val="000000"/>
          <w:shd w:val="clear" w:color="auto" w:fill="FFFFFF"/>
        </w:rPr>
        <w:t xml:space="preserve"> </w:t>
      </w:r>
      <w:r w:rsidRPr="00C51CF1">
        <w:rPr>
          <w:rFonts w:ascii="Book Antiqua" w:eastAsia="Book Antiqua" w:hAnsi="Book Antiqua" w:cs="Book Antiqua"/>
          <w:color w:val="000000"/>
          <w:shd w:val="clear" w:color="auto" w:fill="FFFFFF"/>
        </w:rPr>
        <w:t>5), mixed (R</w:t>
      </w:r>
      <w:r w:rsidR="0028666B" w:rsidRPr="00C51CF1">
        <w:rPr>
          <w:rFonts w:ascii="Book Antiqua" w:eastAsia="Book Antiqua" w:hAnsi="Book Antiqua" w:cs="Book Antiqua"/>
          <w:color w:val="000000"/>
          <w:shd w:val="clear" w:color="auto" w:fill="FFFFFF"/>
        </w:rPr>
        <w:t xml:space="preserve"> </w:t>
      </w:r>
      <w:r w:rsidRPr="00C51CF1">
        <w:rPr>
          <w:rFonts w:ascii="Book Antiqua" w:eastAsia="Book Antiqua" w:hAnsi="Book Antiqua" w:cs="Book Antiqua"/>
          <w:color w:val="000000"/>
          <w:shd w:val="clear" w:color="auto" w:fill="FFFFFF"/>
        </w:rPr>
        <w:t>&gt;</w:t>
      </w:r>
      <w:r w:rsidR="0028666B" w:rsidRPr="00C51CF1">
        <w:rPr>
          <w:rFonts w:ascii="Book Antiqua" w:eastAsia="Book Antiqua" w:hAnsi="Book Antiqua" w:cs="Book Antiqua"/>
          <w:color w:val="000000"/>
          <w:shd w:val="clear" w:color="auto" w:fill="FFFFFF"/>
        </w:rPr>
        <w:t xml:space="preserve"> </w:t>
      </w:r>
      <w:r w:rsidRPr="00C51CF1">
        <w:rPr>
          <w:rFonts w:ascii="Book Antiqua" w:eastAsia="Book Antiqua" w:hAnsi="Book Antiqua" w:cs="Book Antiqua"/>
          <w:color w:val="000000"/>
          <w:shd w:val="clear" w:color="auto" w:fill="FFFFFF"/>
        </w:rPr>
        <w:t>2 to &lt;</w:t>
      </w:r>
      <w:r w:rsidR="0028666B" w:rsidRPr="00C51CF1">
        <w:rPr>
          <w:rFonts w:ascii="Book Antiqua" w:eastAsia="Book Antiqua" w:hAnsi="Book Antiqua" w:cs="Book Antiqua"/>
          <w:color w:val="000000"/>
          <w:shd w:val="clear" w:color="auto" w:fill="FFFFFF"/>
        </w:rPr>
        <w:t xml:space="preserve"> </w:t>
      </w:r>
      <w:r w:rsidRPr="00C51CF1">
        <w:rPr>
          <w:rFonts w:ascii="Book Antiqua" w:eastAsia="Book Antiqua" w:hAnsi="Book Antiqua" w:cs="Book Antiqua"/>
          <w:color w:val="000000"/>
          <w:shd w:val="clear" w:color="auto" w:fill="FFFFFF"/>
        </w:rPr>
        <w:t xml:space="preserve">5), or cholestatic (ALP </w:t>
      </w:r>
      <w:r w:rsidR="0028666B" w:rsidRPr="00C51CF1">
        <w:rPr>
          <w:rFonts w:ascii="Book Antiqua" w:eastAsia="宋体" w:hAnsi="Book Antiqua"/>
          <w:bCs/>
        </w:rPr>
        <w:t xml:space="preserve">≥ </w:t>
      </w:r>
      <w:r w:rsidRPr="00C51CF1">
        <w:rPr>
          <w:rFonts w:ascii="Book Antiqua" w:eastAsia="Book Antiqua" w:hAnsi="Book Antiqua" w:cs="Book Antiqua"/>
          <w:color w:val="000000"/>
          <w:shd w:val="clear" w:color="auto" w:fill="FFFFFF"/>
        </w:rPr>
        <w:t>2 fold above UNL or R</w:t>
      </w:r>
      <w:r w:rsidR="0028666B" w:rsidRPr="00C51CF1">
        <w:rPr>
          <w:rFonts w:ascii="Book Antiqua" w:eastAsia="Book Antiqua" w:hAnsi="Book Antiqua" w:cs="Book Antiqua"/>
          <w:color w:val="000000"/>
          <w:shd w:val="clear" w:color="auto" w:fill="FFFFFF"/>
        </w:rPr>
        <w:t xml:space="preserve"> </w:t>
      </w:r>
      <w:r w:rsidRPr="00C51CF1">
        <w:rPr>
          <w:rFonts w:ascii="Book Antiqua" w:eastAsia="Book Antiqua" w:hAnsi="Book Antiqua" w:cs="Book Antiqua"/>
          <w:color w:val="000000"/>
          <w:shd w:val="clear" w:color="auto" w:fill="FFFFFF"/>
        </w:rPr>
        <w:t>&lt;</w:t>
      </w:r>
      <w:r w:rsidR="0028666B" w:rsidRPr="00C51CF1">
        <w:rPr>
          <w:rFonts w:ascii="Book Antiqua" w:eastAsia="Book Antiqua" w:hAnsi="Book Antiqua" w:cs="Book Antiqua"/>
          <w:color w:val="000000"/>
          <w:shd w:val="clear" w:color="auto" w:fill="FFFFFF"/>
        </w:rPr>
        <w:t xml:space="preserve"> </w:t>
      </w:r>
      <w:r w:rsidRPr="00C51CF1">
        <w:rPr>
          <w:rFonts w:ascii="Book Antiqua" w:eastAsia="Book Antiqua" w:hAnsi="Book Antiqua" w:cs="Book Antiqua"/>
          <w:color w:val="000000"/>
          <w:shd w:val="clear" w:color="auto" w:fill="FFFFFF"/>
        </w:rPr>
        <w:t>2)</w:t>
      </w:r>
      <w:r w:rsidR="0028666B" w:rsidRPr="00C51CF1">
        <w:rPr>
          <w:rFonts w:ascii="Book Antiqua" w:eastAsia="Book Antiqua" w:hAnsi="Book Antiqua" w:cs="Book Antiqua"/>
          <w:color w:val="000000"/>
          <w:shd w:val="clear" w:color="auto" w:fill="FFFFFF"/>
          <w:vertAlign w:val="superscript"/>
        </w:rPr>
        <w:t>[111]</w:t>
      </w:r>
      <w:r w:rsidRPr="00C51CF1">
        <w:rPr>
          <w:rFonts w:ascii="Book Antiqua" w:eastAsia="Book Antiqua" w:hAnsi="Book Antiqua" w:cs="Book Antiqua"/>
          <w:color w:val="000000"/>
          <w:shd w:val="clear" w:color="auto" w:fill="FFFFFF"/>
        </w:rPr>
        <w:t>.</w:t>
      </w:r>
    </w:p>
    <w:p w14:paraId="5E36521D" w14:textId="05DAF225" w:rsidR="00A77B3E" w:rsidRPr="00C51CF1" w:rsidRDefault="005B1767" w:rsidP="0028666B">
      <w:pPr>
        <w:spacing w:line="360" w:lineRule="auto"/>
        <w:ind w:firstLineChars="100" w:firstLine="240"/>
        <w:jc w:val="both"/>
        <w:rPr>
          <w:rFonts w:ascii="Book Antiqua" w:hAnsi="Book Antiqua"/>
        </w:rPr>
      </w:pPr>
      <w:r w:rsidRPr="00C51CF1">
        <w:rPr>
          <w:rFonts w:ascii="Book Antiqua" w:eastAsia="Book Antiqua" w:hAnsi="Book Antiqua" w:cs="Book Antiqua"/>
          <w:color w:val="000000"/>
          <w:shd w:val="clear" w:color="auto" w:fill="FFFFFF"/>
        </w:rPr>
        <w:t>The pattern of ICI-related liver toxicity is heterogenous since it may be cytolytic, cholestatic or mixed, although ICI-related cholestasis seems to be rarer</w:t>
      </w:r>
      <w:r w:rsidR="0028666B" w:rsidRPr="00C51CF1">
        <w:rPr>
          <w:rFonts w:ascii="Book Antiqua" w:eastAsia="Book Antiqua" w:hAnsi="Book Antiqua" w:cs="Book Antiqua"/>
          <w:color w:val="000000"/>
          <w:shd w:val="clear" w:color="auto" w:fill="FFFFFF"/>
          <w:vertAlign w:val="superscript"/>
        </w:rPr>
        <w:t>[107]</w:t>
      </w:r>
      <w:r w:rsidRPr="00C51CF1">
        <w:rPr>
          <w:rFonts w:ascii="Book Antiqua" w:eastAsia="Book Antiqua" w:hAnsi="Book Antiqua" w:cs="Book Antiqua"/>
          <w:color w:val="000000"/>
          <w:shd w:val="clear" w:color="auto" w:fill="FFFFFF"/>
        </w:rPr>
        <w:t>.</w:t>
      </w:r>
    </w:p>
    <w:p w14:paraId="64F919E5" w14:textId="366F390F" w:rsidR="00A77B3E" w:rsidRPr="00C51CF1" w:rsidRDefault="005B1767" w:rsidP="0028666B">
      <w:pPr>
        <w:spacing w:line="360" w:lineRule="auto"/>
        <w:ind w:firstLineChars="100" w:firstLine="240"/>
        <w:jc w:val="both"/>
        <w:rPr>
          <w:rFonts w:ascii="Book Antiqua" w:hAnsi="Book Antiqua"/>
        </w:rPr>
      </w:pPr>
      <w:r w:rsidRPr="00C51CF1">
        <w:rPr>
          <w:rFonts w:ascii="Book Antiqua" w:eastAsia="Book Antiqua" w:hAnsi="Book Antiqua" w:cs="Book Antiqua"/>
          <w:color w:val="000000"/>
          <w:shd w:val="clear" w:color="auto" w:fill="FFFFFF"/>
        </w:rPr>
        <w:t>In HCC patients receiving ICIs the incidence of liver toxicity ranges according to the type of drug and the dose received. It has been reported that liver toxicity is more frequent in HCC patients receiving anti-CTLA-4 therapies. In HCC patients receiving the anti-PD</w:t>
      </w:r>
      <w:r w:rsidR="001C1A8D" w:rsidRPr="00C51CF1">
        <w:rPr>
          <w:rFonts w:ascii="Book Antiqua" w:eastAsia="Book Antiqua" w:hAnsi="Book Antiqua" w:cs="Book Antiqua"/>
          <w:color w:val="000000"/>
          <w:shd w:val="clear" w:color="auto" w:fill="FFFFFF"/>
        </w:rPr>
        <w:t>-</w:t>
      </w:r>
      <w:r w:rsidRPr="00C51CF1">
        <w:rPr>
          <w:rFonts w:ascii="Book Antiqua" w:eastAsia="Book Antiqua" w:hAnsi="Book Antiqua" w:cs="Book Antiqua"/>
          <w:color w:val="000000"/>
          <w:shd w:val="clear" w:color="auto" w:fill="FFFFFF"/>
        </w:rPr>
        <w:t>1 antibody nivolumab (CHECKMATE 040 trial) and in those receiving another anti-PD</w:t>
      </w:r>
      <w:r w:rsidR="001C1A8D" w:rsidRPr="00C51CF1">
        <w:rPr>
          <w:rFonts w:ascii="Book Antiqua" w:eastAsia="Book Antiqua" w:hAnsi="Book Antiqua" w:cs="Book Antiqua"/>
          <w:color w:val="000000"/>
          <w:shd w:val="clear" w:color="auto" w:fill="FFFFFF"/>
        </w:rPr>
        <w:t>-</w:t>
      </w:r>
      <w:r w:rsidRPr="00C51CF1">
        <w:rPr>
          <w:rFonts w:ascii="Book Antiqua" w:eastAsia="Book Antiqua" w:hAnsi="Book Antiqua" w:cs="Book Antiqua"/>
          <w:color w:val="000000"/>
          <w:shd w:val="clear" w:color="auto" w:fill="FFFFFF"/>
        </w:rPr>
        <w:t xml:space="preserve">1 antibody pembrolizumab (KEYNOTE-224 trial), ALT elevation of any grade and of grade </w:t>
      </w:r>
      <w:r w:rsidR="0028666B" w:rsidRPr="00C51CF1">
        <w:rPr>
          <w:rFonts w:ascii="Book Antiqua" w:eastAsia="宋体" w:hAnsi="Book Antiqua"/>
          <w:bCs/>
        </w:rPr>
        <w:t xml:space="preserve">≥ </w:t>
      </w:r>
      <w:r w:rsidRPr="00C51CF1">
        <w:rPr>
          <w:rFonts w:ascii="Book Antiqua" w:eastAsia="Book Antiqua" w:hAnsi="Book Antiqua" w:cs="Book Antiqua"/>
          <w:color w:val="000000"/>
          <w:shd w:val="clear" w:color="auto" w:fill="FFFFFF"/>
        </w:rPr>
        <w:t xml:space="preserve">3 was found in 15% and 6% (nivolumab) </w:t>
      </w:r>
      <w:r w:rsidRPr="00C51CF1">
        <w:rPr>
          <w:rFonts w:ascii="Book Antiqua" w:eastAsia="Book Antiqua" w:hAnsi="Book Antiqua" w:cs="Book Antiqua"/>
          <w:i/>
          <w:iCs/>
          <w:color w:val="000000"/>
          <w:shd w:val="clear" w:color="auto" w:fill="FFFFFF"/>
        </w:rPr>
        <w:t>vs</w:t>
      </w:r>
      <w:r w:rsidRPr="00C51CF1">
        <w:rPr>
          <w:rFonts w:ascii="Book Antiqua" w:eastAsia="Book Antiqua" w:hAnsi="Book Antiqua" w:cs="Book Antiqua"/>
          <w:color w:val="000000"/>
          <w:shd w:val="clear" w:color="auto" w:fill="FFFFFF"/>
        </w:rPr>
        <w:t xml:space="preserve"> 9% and 4% (pembrolizumab), respectively</w:t>
      </w:r>
      <w:r w:rsidR="0028666B" w:rsidRPr="00C51CF1">
        <w:rPr>
          <w:rFonts w:ascii="Book Antiqua" w:eastAsia="Book Antiqua" w:hAnsi="Book Antiqua" w:cs="Book Antiqua"/>
          <w:color w:val="000000"/>
          <w:shd w:val="clear" w:color="auto" w:fill="FFFFFF"/>
          <w:vertAlign w:val="superscript"/>
        </w:rPr>
        <w:t>[112,113]</w:t>
      </w:r>
      <w:r w:rsidRPr="00C51CF1">
        <w:rPr>
          <w:rFonts w:ascii="Book Antiqua" w:eastAsia="Book Antiqua" w:hAnsi="Book Antiqua" w:cs="Book Antiqua"/>
          <w:color w:val="000000"/>
          <w:shd w:val="clear" w:color="auto" w:fill="FFFFFF"/>
        </w:rPr>
        <w:t>.</w:t>
      </w:r>
    </w:p>
    <w:p w14:paraId="43634D98" w14:textId="3D510A71" w:rsidR="00A77B3E" w:rsidRPr="00C51CF1" w:rsidRDefault="005B1767" w:rsidP="0028666B">
      <w:pPr>
        <w:spacing w:line="360" w:lineRule="auto"/>
        <w:ind w:firstLineChars="100" w:firstLine="240"/>
        <w:jc w:val="both"/>
        <w:rPr>
          <w:rFonts w:ascii="Book Antiqua" w:hAnsi="Book Antiqua"/>
        </w:rPr>
      </w:pPr>
      <w:r w:rsidRPr="00C51CF1">
        <w:rPr>
          <w:rFonts w:ascii="Book Antiqua" w:eastAsia="Book Antiqua" w:hAnsi="Book Antiqua" w:cs="Book Antiqua"/>
          <w:color w:val="000000"/>
          <w:shd w:val="clear" w:color="auto" w:fill="FFFFFF"/>
        </w:rPr>
        <w:t xml:space="preserve">Differently, therapy with the anti-CTLA-4 antibody tremelimumab was associated with an ALT elevation of any grade and of grade </w:t>
      </w:r>
      <w:r w:rsidR="0028666B" w:rsidRPr="00C51CF1">
        <w:rPr>
          <w:rFonts w:ascii="Book Antiqua" w:eastAsia="宋体" w:hAnsi="Book Antiqua"/>
          <w:bCs/>
        </w:rPr>
        <w:t xml:space="preserve">≥ </w:t>
      </w:r>
      <w:r w:rsidRPr="00C51CF1">
        <w:rPr>
          <w:rFonts w:ascii="Book Antiqua" w:eastAsia="Book Antiqua" w:hAnsi="Book Antiqua" w:cs="Book Antiqua"/>
          <w:color w:val="000000"/>
          <w:shd w:val="clear" w:color="auto" w:fill="FFFFFF"/>
        </w:rPr>
        <w:t>3 in 19% and 9% of patients, respectively</w:t>
      </w:r>
      <w:r w:rsidR="0028666B" w:rsidRPr="00C51CF1">
        <w:rPr>
          <w:rFonts w:ascii="Book Antiqua" w:eastAsia="Book Antiqua" w:hAnsi="Book Antiqua" w:cs="Book Antiqua"/>
          <w:color w:val="000000"/>
          <w:shd w:val="clear" w:color="auto" w:fill="FFFFFF"/>
          <w:vertAlign w:val="superscript"/>
        </w:rPr>
        <w:t>[114]</w:t>
      </w:r>
      <w:r w:rsidRPr="00C51CF1">
        <w:rPr>
          <w:rFonts w:ascii="Book Antiqua" w:eastAsia="Book Antiqua" w:hAnsi="Book Antiqua" w:cs="Book Antiqua"/>
          <w:color w:val="000000"/>
          <w:shd w:val="clear" w:color="auto" w:fill="FFFFFF"/>
        </w:rPr>
        <w:t>.</w:t>
      </w:r>
    </w:p>
    <w:p w14:paraId="53A48D2B" w14:textId="61A49CAD" w:rsidR="00A77B3E" w:rsidRPr="00C51CF1" w:rsidRDefault="005B1767" w:rsidP="0028666B">
      <w:pPr>
        <w:spacing w:line="360" w:lineRule="auto"/>
        <w:ind w:firstLineChars="100" w:firstLine="240"/>
        <w:jc w:val="both"/>
        <w:rPr>
          <w:rFonts w:ascii="Book Antiqua" w:hAnsi="Book Antiqua"/>
        </w:rPr>
      </w:pPr>
      <w:r w:rsidRPr="00C51CF1">
        <w:rPr>
          <w:rFonts w:ascii="Book Antiqua" w:eastAsia="Book Antiqua" w:hAnsi="Book Antiqua" w:cs="Book Antiqua"/>
          <w:color w:val="000000"/>
          <w:shd w:val="clear" w:color="auto" w:fill="FFFFFF"/>
        </w:rPr>
        <w:t>Interestingly, during HCC clinical studies, HCV and HBV positive patients exhibited a reduction in viral load during immunotherapy, more pronounced with anti-CTLA-4 agents, thus suggesting that the treatment induced immunological shift has favorable effect on antiviral response</w:t>
      </w:r>
      <w:r w:rsidR="0028666B" w:rsidRPr="00C51CF1">
        <w:rPr>
          <w:rFonts w:ascii="Book Antiqua" w:eastAsia="Book Antiqua" w:hAnsi="Book Antiqua" w:cs="Book Antiqua"/>
          <w:color w:val="000000"/>
          <w:shd w:val="clear" w:color="auto" w:fill="FFFFFF"/>
          <w:vertAlign w:val="superscript"/>
        </w:rPr>
        <w:t>[112-116]</w:t>
      </w:r>
      <w:r w:rsidRPr="00C51CF1">
        <w:rPr>
          <w:rFonts w:ascii="Book Antiqua" w:eastAsia="Book Antiqua" w:hAnsi="Book Antiqua" w:cs="Book Antiqua"/>
          <w:color w:val="000000"/>
          <w:shd w:val="clear" w:color="auto" w:fill="FFFFFF"/>
        </w:rPr>
        <w:t>.</w:t>
      </w:r>
    </w:p>
    <w:p w14:paraId="6AC8995D" w14:textId="3123E9CF" w:rsidR="00A77B3E" w:rsidRPr="00C51CF1" w:rsidRDefault="005B1767" w:rsidP="0028666B">
      <w:pPr>
        <w:spacing w:line="360" w:lineRule="auto"/>
        <w:ind w:firstLineChars="100" w:firstLine="240"/>
        <w:jc w:val="both"/>
        <w:rPr>
          <w:rFonts w:ascii="Book Antiqua" w:hAnsi="Book Antiqua"/>
        </w:rPr>
      </w:pPr>
      <w:r w:rsidRPr="00C51CF1">
        <w:rPr>
          <w:rFonts w:ascii="Book Antiqua" w:eastAsia="Book Antiqua" w:hAnsi="Book Antiqua" w:cs="Book Antiqua"/>
          <w:color w:val="000000"/>
          <w:shd w:val="clear" w:color="auto" w:fill="FFFFFF"/>
        </w:rPr>
        <w:t>No definitive data has been reported about patients with autoimmune liver diseases treated with ICIs. However, in most of the HCC clinical trial, pre-existing autoimmune diseases was a contraindication for enrollment in light of previous data demonstrating that immunotherapies might trigger a flare-up of pre-existing autoimmune disease or the onset of additional immune-related disease</w:t>
      </w:r>
      <w:r w:rsidR="0028666B" w:rsidRPr="00C51CF1">
        <w:rPr>
          <w:rFonts w:ascii="Book Antiqua" w:eastAsia="Book Antiqua" w:hAnsi="Book Antiqua" w:cs="Book Antiqua"/>
          <w:color w:val="000000"/>
          <w:shd w:val="clear" w:color="auto" w:fill="FFFFFF"/>
          <w:vertAlign w:val="superscript"/>
        </w:rPr>
        <w:t>[117-119]</w:t>
      </w:r>
      <w:r w:rsidRPr="00C51CF1">
        <w:rPr>
          <w:rFonts w:ascii="Book Antiqua" w:eastAsia="Book Antiqua" w:hAnsi="Book Antiqua" w:cs="Book Antiqua"/>
          <w:color w:val="000000"/>
          <w:shd w:val="clear" w:color="auto" w:fill="FFFFFF"/>
        </w:rPr>
        <w:t>.</w:t>
      </w:r>
    </w:p>
    <w:p w14:paraId="2CB07075" w14:textId="77777777" w:rsidR="00A77B3E" w:rsidRPr="00C51CF1" w:rsidRDefault="005B1767" w:rsidP="0028666B">
      <w:pPr>
        <w:spacing w:line="360" w:lineRule="auto"/>
        <w:ind w:firstLineChars="100" w:firstLine="240"/>
        <w:jc w:val="both"/>
        <w:rPr>
          <w:rFonts w:ascii="Book Antiqua" w:hAnsi="Book Antiqua"/>
        </w:rPr>
      </w:pPr>
      <w:r w:rsidRPr="00C51CF1">
        <w:rPr>
          <w:rFonts w:ascii="Book Antiqua" w:eastAsia="Book Antiqua" w:hAnsi="Book Antiqua" w:cs="Book Antiqua"/>
          <w:color w:val="000000"/>
          <w:shd w:val="clear" w:color="auto" w:fill="FFFFFF"/>
        </w:rPr>
        <w:t>No data are available concerning genetic and autoantibody profile of patients before starting ICI treatments, however autoantibodies such as antinuclear and anti-smooth muscle have been reported in patients after ICI-induced liver toxicity onset.</w:t>
      </w:r>
    </w:p>
    <w:p w14:paraId="61044A58" w14:textId="1D62EF6F" w:rsidR="00A77B3E" w:rsidRPr="00C51CF1" w:rsidRDefault="005B1767" w:rsidP="0028666B">
      <w:pPr>
        <w:spacing w:line="360" w:lineRule="auto"/>
        <w:ind w:firstLineChars="100" w:firstLine="240"/>
        <w:jc w:val="both"/>
        <w:rPr>
          <w:rFonts w:ascii="Book Antiqua" w:hAnsi="Book Antiqua"/>
        </w:rPr>
      </w:pPr>
      <w:r w:rsidRPr="00C51CF1">
        <w:rPr>
          <w:rFonts w:ascii="Book Antiqua" w:eastAsia="Book Antiqua" w:hAnsi="Book Antiqua" w:cs="Book Antiqua"/>
          <w:color w:val="000000"/>
          <w:shd w:val="clear" w:color="auto" w:fill="FFFFFF"/>
        </w:rPr>
        <w:t xml:space="preserve">A management protocol for patients experiencing liver toxicity due to ICI treatment administered for non-liver tumors has been proposed and is based on corticosteroids or </w:t>
      </w:r>
      <w:r w:rsidRPr="00C51CF1">
        <w:rPr>
          <w:rFonts w:ascii="Book Antiqua" w:eastAsia="Book Antiqua" w:hAnsi="Book Antiqua" w:cs="Book Antiqua"/>
          <w:color w:val="000000"/>
        </w:rPr>
        <w:t>mycophenolate mofetil</w:t>
      </w:r>
      <w:r w:rsidRPr="00C51CF1">
        <w:rPr>
          <w:rStyle w:val="acopre"/>
          <w:rFonts w:ascii="Book Antiqua" w:eastAsia="Book Antiqua" w:hAnsi="Book Antiqua" w:cs="Book Antiqua"/>
          <w:color w:val="000000"/>
        </w:rPr>
        <w:t>/tacrolimus (for patients not improving under corticosteroids), and ursodeoxycholic acid for those with a predominant cholestasis</w:t>
      </w:r>
      <w:r w:rsidR="0028666B" w:rsidRPr="00C51CF1">
        <w:rPr>
          <w:rFonts w:ascii="Book Antiqua" w:eastAsia="Book Antiqua" w:hAnsi="Book Antiqua" w:cs="Book Antiqua"/>
          <w:color w:val="000000"/>
          <w:shd w:val="clear" w:color="auto" w:fill="FFFFFF"/>
          <w:vertAlign w:val="superscript"/>
        </w:rPr>
        <w:t>[120]</w:t>
      </w:r>
      <w:r w:rsidRPr="00C51CF1">
        <w:rPr>
          <w:rStyle w:val="acopre"/>
          <w:rFonts w:ascii="Book Antiqua" w:eastAsia="Book Antiqua" w:hAnsi="Book Antiqua" w:cs="Book Antiqua"/>
          <w:color w:val="000000"/>
        </w:rPr>
        <w:t>.</w:t>
      </w:r>
    </w:p>
    <w:p w14:paraId="7CA50EDF" w14:textId="77777777" w:rsidR="00A77B3E" w:rsidRPr="00C51CF1" w:rsidRDefault="00A77B3E">
      <w:pPr>
        <w:spacing w:line="360" w:lineRule="auto"/>
        <w:jc w:val="both"/>
        <w:rPr>
          <w:rFonts w:ascii="Book Antiqua" w:hAnsi="Book Antiqua"/>
        </w:rPr>
      </w:pPr>
    </w:p>
    <w:p w14:paraId="63387958"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b/>
          <w:caps/>
          <w:color w:val="000000"/>
          <w:u w:val="single"/>
        </w:rPr>
        <w:t>CONCLUSION</w:t>
      </w:r>
    </w:p>
    <w:p w14:paraId="08941A63" w14:textId="6A2ACC4B" w:rsidR="00A77B3E" w:rsidRPr="00C51CF1" w:rsidRDefault="005B1767">
      <w:pPr>
        <w:spacing w:line="360" w:lineRule="auto"/>
        <w:jc w:val="both"/>
        <w:rPr>
          <w:rFonts w:ascii="Book Antiqua" w:eastAsia="Book Antiqua" w:hAnsi="Book Antiqua" w:cs="Book Antiqua"/>
          <w:color w:val="000000"/>
          <w:shd w:val="clear" w:color="auto" w:fill="FFFFFF"/>
        </w:rPr>
      </w:pPr>
      <w:r w:rsidRPr="00C51CF1">
        <w:rPr>
          <w:rFonts w:ascii="Book Antiqua" w:eastAsia="Book Antiqua" w:hAnsi="Book Antiqua" w:cs="Book Antiqua"/>
          <w:color w:val="000000"/>
          <w:shd w:val="clear" w:color="auto" w:fill="FFFFFF"/>
        </w:rPr>
        <w:t xml:space="preserve">Increasing understanding of the immunologic mechanisms that characterize the TME of HCC has led to a better insight into the pathogenesis of HCC and its link to chronic inflammation and cirrhosis. As well as, the different prevalence in viral </w:t>
      </w:r>
      <w:r w:rsidRPr="00C51CF1">
        <w:rPr>
          <w:rFonts w:ascii="Book Antiqua" w:eastAsia="Book Antiqua" w:hAnsi="Book Antiqua" w:cs="Book Antiqua"/>
          <w:i/>
          <w:iCs/>
          <w:color w:val="000000"/>
          <w:shd w:val="clear" w:color="auto" w:fill="FFFFFF"/>
        </w:rPr>
        <w:t>vs</w:t>
      </w:r>
      <w:r w:rsidRPr="00C51CF1">
        <w:rPr>
          <w:rFonts w:ascii="Book Antiqua" w:eastAsia="Book Antiqua" w:hAnsi="Book Antiqua" w:cs="Book Antiqua"/>
          <w:color w:val="000000"/>
          <w:shd w:val="clear" w:color="auto" w:fill="FFFFFF"/>
        </w:rPr>
        <w:t xml:space="preserve"> non-viral liver diseases, particularly autoimmune, confirms the key role of the liver immune microenvironment.</w:t>
      </w:r>
    </w:p>
    <w:p w14:paraId="1E98A63A" w14:textId="77777777" w:rsidR="00D211A3" w:rsidRPr="00C51CF1" w:rsidRDefault="00D211A3" w:rsidP="00FB282A">
      <w:pPr>
        <w:spacing w:line="360" w:lineRule="auto"/>
        <w:ind w:firstLineChars="100" w:firstLine="240"/>
        <w:jc w:val="both"/>
        <w:rPr>
          <w:rFonts w:ascii="Book Antiqua" w:eastAsia="Book Antiqua" w:hAnsi="Book Antiqua" w:cs="Book Antiqua"/>
          <w:color w:val="000000"/>
          <w:shd w:val="clear" w:color="auto" w:fill="FFFFFF"/>
          <w:lang w:val="en-US"/>
        </w:rPr>
      </w:pPr>
      <w:r w:rsidRPr="00C51CF1">
        <w:rPr>
          <w:rFonts w:ascii="Book Antiqua" w:eastAsia="Book Antiqua" w:hAnsi="Book Antiqua" w:cs="Book Antiqua"/>
          <w:color w:val="000000"/>
          <w:shd w:val="clear" w:color="auto" w:fill="FFFFFF"/>
        </w:rPr>
        <w:t>Although the precise pathogenetic mechanisms of irAEs remain largely undefined, several processes have been proposed to be involved in the development of irAEs such as genetic factors, gut microbiome, epitope spreading, and cross-presentation of neoantigens</w:t>
      </w:r>
      <w:r w:rsidRPr="00C51CF1">
        <w:rPr>
          <w:rFonts w:ascii="Book Antiqua" w:eastAsia="Book Antiqua" w:hAnsi="Book Antiqua" w:cs="Book Antiqua"/>
          <w:color w:val="000000"/>
          <w:shd w:val="clear" w:color="auto" w:fill="FFFFFF"/>
          <w:vertAlign w:val="superscript"/>
        </w:rPr>
        <w:t>[</w:t>
      </w:r>
      <w:r w:rsidRPr="00C51CF1">
        <w:rPr>
          <w:rFonts w:ascii="Book Antiqua" w:eastAsia="Book Antiqua" w:hAnsi="Book Antiqua" w:cs="Book Antiqua"/>
          <w:color w:val="000000"/>
          <w:shd w:val="clear" w:color="auto" w:fill="FFFFFF"/>
          <w:vertAlign w:val="superscript"/>
          <w:lang w:val="en-US"/>
        </w:rPr>
        <w:t>121,122]</w:t>
      </w:r>
      <w:r w:rsidRPr="00C51CF1">
        <w:rPr>
          <w:rFonts w:ascii="Book Antiqua" w:eastAsia="Book Antiqua" w:hAnsi="Book Antiqua" w:cs="Book Antiqua"/>
          <w:color w:val="000000"/>
          <w:shd w:val="clear" w:color="auto" w:fill="FFFFFF"/>
          <w:lang w:val="en-US"/>
        </w:rPr>
        <w:t>. A thorough evaluation on the role of Tregs in the pathogenesis of irAEs is crucial. Since cancer and autoimmunity constitute two sides of the same coin, it is perhaps not surprising that when we manipulate the immune system to treat cancer through the use of checkpoint therapy, we inevitably unbalance the vital mechanisms that regulate self-tolerance, inducing a number of irAEs. This is, at least in part, related to the impairment of Treg homeostasis, which is crucial for maintaining immune tolerance</w:t>
      </w:r>
      <w:r w:rsidRPr="00C51CF1">
        <w:rPr>
          <w:rFonts w:ascii="Book Antiqua" w:eastAsia="Book Antiqua" w:hAnsi="Book Antiqua" w:cs="Book Antiqua"/>
          <w:color w:val="000000"/>
          <w:shd w:val="clear" w:color="auto" w:fill="FFFFFF"/>
          <w:vertAlign w:val="superscript"/>
          <w:lang w:val="en-US"/>
        </w:rPr>
        <w:t>[123]</w:t>
      </w:r>
      <w:r w:rsidRPr="00C51CF1">
        <w:rPr>
          <w:rFonts w:ascii="Book Antiqua" w:eastAsia="Book Antiqua" w:hAnsi="Book Antiqua" w:cs="Book Antiqua"/>
          <w:color w:val="000000"/>
          <w:shd w:val="clear" w:color="auto" w:fill="FFFFFF"/>
          <w:lang w:val="en-US"/>
        </w:rPr>
        <w:t>.</w:t>
      </w:r>
    </w:p>
    <w:p w14:paraId="01CFA82B" w14:textId="0E1C4F9F" w:rsidR="00A77B3E" w:rsidRPr="00C51CF1" w:rsidRDefault="005B1767" w:rsidP="0028666B">
      <w:pPr>
        <w:spacing w:line="360" w:lineRule="auto"/>
        <w:ind w:firstLineChars="100" w:firstLine="240"/>
        <w:jc w:val="both"/>
        <w:rPr>
          <w:rFonts w:ascii="Book Antiqua" w:hAnsi="Book Antiqua"/>
        </w:rPr>
      </w:pPr>
      <w:r w:rsidRPr="00C51CF1">
        <w:rPr>
          <w:rFonts w:ascii="Book Antiqua" w:eastAsia="Book Antiqua" w:hAnsi="Book Antiqua" w:cs="Book Antiqua"/>
          <w:color w:val="000000"/>
          <w:shd w:val="clear" w:color="auto" w:fill="FFFFFF"/>
          <w:lang w:val="en-US"/>
        </w:rPr>
        <w:t>Currently used ICIs may also target Tregs, since several checkpoint molecules including CTLA4 and PD</w:t>
      </w:r>
      <w:r w:rsidR="001C1A8D" w:rsidRPr="00C51CF1">
        <w:rPr>
          <w:rFonts w:ascii="Book Antiqua" w:eastAsia="Book Antiqua" w:hAnsi="Book Antiqua" w:cs="Book Antiqua"/>
          <w:color w:val="000000"/>
          <w:shd w:val="clear" w:color="auto" w:fill="FFFFFF"/>
          <w:lang w:val="en-US"/>
        </w:rPr>
        <w:t>-</w:t>
      </w:r>
      <w:r w:rsidRPr="00C51CF1">
        <w:rPr>
          <w:rFonts w:ascii="Book Antiqua" w:eastAsia="Book Antiqua" w:hAnsi="Book Antiqua" w:cs="Book Antiqua"/>
          <w:color w:val="000000"/>
          <w:shd w:val="clear" w:color="auto" w:fill="FFFFFF"/>
          <w:lang w:val="en-US"/>
        </w:rPr>
        <w:t>1 are highly expressed on their surface, therefore it is possible that the development of irAEs may be in part attributed to the Treg destabilization. Consistent with this line, it has been demonstrated that anti-CTLA4 disrupts the crosstalk between Foxp3 Tregs and antigen-presenting cells to promote autoimmunity</w:t>
      </w:r>
      <w:r w:rsidR="0028666B" w:rsidRPr="00C51CF1">
        <w:rPr>
          <w:rFonts w:ascii="Book Antiqua" w:eastAsia="Book Antiqua" w:hAnsi="Book Antiqua" w:cs="Book Antiqua"/>
          <w:color w:val="000000"/>
          <w:shd w:val="clear" w:color="auto" w:fill="FFFFFF"/>
          <w:vertAlign w:val="superscript"/>
          <w:lang w:val="en-US"/>
        </w:rPr>
        <w:t>[124]</w:t>
      </w:r>
      <w:r w:rsidRPr="00C51CF1">
        <w:rPr>
          <w:rFonts w:ascii="Book Antiqua" w:eastAsia="Book Antiqua" w:hAnsi="Book Antiqua" w:cs="Book Antiqua"/>
          <w:color w:val="000000"/>
          <w:shd w:val="clear" w:color="auto" w:fill="FFFFFF"/>
          <w:lang w:val="en-US"/>
        </w:rPr>
        <w:t xml:space="preserve">. In light of the effects of immunotherapy on the enhancement of the immune response, it should be investigated whether in cases of HCC occurring in patients with pre-existing autoimmune liver and non-liver diseases these therapies are safe and not potentially hepatotoxic, since presently this information is lacking due to the exclusion of patients with autoimmune diseases from clinical trials. Of interest, other approaches to target the immunosuppressive effect of Tregs are ongoing. Given the </w:t>
      </w:r>
      <w:r w:rsidRPr="00C51CF1">
        <w:rPr>
          <w:rFonts w:ascii="Book Antiqua" w:eastAsia="Book Antiqua" w:hAnsi="Book Antiqua" w:cs="Book Antiqua"/>
          <w:color w:val="000000"/>
          <w:lang w:val="en-US"/>
        </w:rPr>
        <w:t>TGF-</w:t>
      </w:r>
      <w:r w:rsidRPr="00C51CF1">
        <w:rPr>
          <w:rFonts w:ascii="Book Antiqua" w:eastAsia="Book Antiqua" w:hAnsi="Book Antiqua" w:cs="Book Antiqua"/>
          <w:color w:val="000000"/>
          <w:shd w:val="clear" w:color="auto" w:fill="FDFFFF"/>
        </w:rPr>
        <w:t>β</w:t>
      </w:r>
      <w:r w:rsidRPr="00C51CF1">
        <w:rPr>
          <w:rFonts w:ascii="Book Antiqua" w:eastAsia="Book Antiqua" w:hAnsi="Book Antiqua" w:cs="Book Antiqua"/>
          <w:color w:val="000000"/>
          <w:shd w:val="clear" w:color="auto" w:fill="FFFFFF"/>
        </w:rPr>
        <w:t xml:space="preserve"> mediated inhibitory role in HCC development and progression, studies are ongoing to assess how to target </w:t>
      </w:r>
      <w:r w:rsidRPr="00C51CF1">
        <w:rPr>
          <w:rFonts w:ascii="Book Antiqua" w:eastAsia="Book Antiqua" w:hAnsi="Book Antiqua" w:cs="Book Antiqua"/>
          <w:color w:val="000000"/>
        </w:rPr>
        <w:t>TGF-</w:t>
      </w:r>
      <w:r w:rsidRPr="00C51CF1">
        <w:rPr>
          <w:rFonts w:ascii="Book Antiqua" w:eastAsia="Book Antiqua" w:hAnsi="Book Antiqua" w:cs="Book Antiqua"/>
          <w:color w:val="000000"/>
          <w:shd w:val="clear" w:color="auto" w:fill="FDFFFF"/>
        </w:rPr>
        <w:t xml:space="preserve">β. </w:t>
      </w:r>
      <w:r w:rsidRPr="00C51CF1">
        <w:rPr>
          <w:rFonts w:ascii="Book Antiqua" w:eastAsia="Book Antiqua" w:hAnsi="Book Antiqua" w:cs="Book Antiqua"/>
          <w:color w:val="000000"/>
          <w:shd w:val="clear" w:color="auto" w:fill="FFFFFF"/>
        </w:rPr>
        <w:t xml:space="preserve">Galunisertib, an inhibitor of </w:t>
      </w:r>
      <w:r w:rsidRPr="00C51CF1">
        <w:rPr>
          <w:rFonts w:ascii="Book Antiqua" w:eastAsia="Book Antiqua" w:hAnsi="Book Antiqua" w:cs="Book Antiqua"/>
          <w:color w:val="000000"/>
        </w:rPr>
        <w:t>TGF-</w:t>
      </w:r>
      <w:r w:rsidRPr="00C51CF1">
        <w:rPr>
          <w:rFonts w:ascii="Book Antiqua" w:eastAsia="Book Antiqua" w:hAnsi="Book Antiqua" w:cs="Book Antiqua"/>
          <w:color w:val="000000"/>
          <w:shd w:val="clear" w:color="auto" w:fill="FDFFFF"/>
        </w:rPr>
        <w:t>β</w:t>
      </w:r>
      <w:r w:rsidRPr="00C51CF1">
        <w:rPr>
          <w:rFonts w:ascii="Book Antiqua" w:eastAsia="Book Antiqua" w:hAnsi="Book Antiqua" w:cs="Book Antiqua"/>
          <w:color w:val="000000"/>
          <w:shd w:val="clear" w:color="auto" w:fill="FFFFFF"/>
        </w:rPr>
        <w:t>, is currently in a phase II clinical trial for HCC patients</w:t>
      </w:r>
      <w:r w:rsidR="0028666B" w:rsidRPr="00C51CF1">
        <w:rPr>
          <w:rFonts w:ascii="Book Antiqua" w:eastAsia="Book Antiqua" w:hAnsi="Book Antiqua" w:cs="Book Antiqua"/>
          <w:color w:val="000000"/>
          <w:shd w:val="clear" w:color="auto" w:fill="FFFFFF"/>
          <w:vertAlign w:val="superscript"/>
        </w:rPr>
        <w:t>[125,126]</w:t>
      </w:r>
      <w:r w:rsidRPr="00C51CF1">
        <w:rPr>
          <w:rFonts w:ascii="Book Antiqua" w:eastAsia="Book Antiqua" w:hAnsi="Book Antiqua" w:cs="Book Antiqua"/>
          <w:color w:val="000000"/>
          <w:shd w:val="clear" w:color="auto" w:fill="FFFFFF"/>
        </w:rPr>
        <w:t>.</w:t>
      </w:r>
    </w:p>
    <w:p w14:paraId="16733844" w14:textId="77777777" w:rsidR="00A77B3E" w:rsidRPr="00C51CF1" w:rsidRDefault="005B1767" w:rsidP="0028666B">
      <w:pPr>
        <w:spacing w:line="360" w:lineRule="auto"/>
        <w:ind w:firstLineChars="100" w:firstLine="240"/>
        <w:jc w:val="both"/>
        <w:rPr>
          <w:rFonts w:ascii="Book Antiqua" w:hAnsi="Book Antiqua"/>
        </w:rPr>
      </w:pPr>
      <w:r w:rsidRPr="00C51CF1">
        <w:rPr>
          <w:rFonts w:ascii="Book Antiqua" w:eastAsia="Book Antiqua" w:hAnsi="Book Antiqua" w:cs="Book Antiqua"/>
          <w:color w:val="000000"/>
          <w:shd w:val="clear" w:color="auto" w:fill="FFFFFF"/>
        </w:rPr>
        <w:t>Due to the potential effect of immunotherapies on Tregs and the possible effect of triggering autoimmune disorders, it is desirable that in future HCC trials the autoantibody profile, as well as genetic background (HLA) and change in the percentage of peripheral Treg during therapy be monitored to assess whether these variables predict the risk of hepatotoxicity or extrahepatic autoimmune disorders development.</w:t>
      </w:r>
    </w:p>
    <w:p w14:paraId="5D42367C" w14:textId="77777777" w:rsidR="00A77B3E" w:rsidRPr="00C51CF1" w:rsidRDefault="00A77B3E">
      <w:pPr>
        <w:spacing w:line="360" w:lineRule="auto"/>
        <w:jc w:val="both"/>
        <w:rPr>
          <w:rFonts w:ascii="Book Antiqua" w:hAnsi="Book Antiqua"/>
        </w:rPr>
      </w:pPr>
    </w:p>
    <w:p w14:paraId="50312337"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b/>
          <w:color w:val="000000"/>
        </w:rPr>
        <w:t>REFERENCES</w:t>
      </w:r>
    </w:p>
    <w:p w14:paraId="0820CB9A" w14:textId="4C4248BF" w:rsidR="00A77B3E" w:rsidRPr="00C51CF1" w:rsidRDefault="005B1767">
      <w:pPr>
        <w:spacing w:line="360" w:lineRule="auto"/>
        <w:jc w:val="both"/>
        <w:rPr>
          <w:rFonts w:ascii="Book Antiqua" w:hAnsi="Book Antiqua"/>
        </w:rPr>
      </w:pPr>
      <w:bookmarkStart w:id="4" w:name="OLE_LINK109"/>
      <w:r w:rsidRPr="00C51CF1">
        <w:rPr>
          <w:rFonts w:ascii="Book Antiqua" w:eastAsia="Book Antiqua" w:hAnsi="Book Antiqua" w:cs="Book Antiqua"/>
          <w:color w:val="000000"/>
        </w:rPr>
        <w:t xml:space="preserve">1 </w:t>
      </w:r>
      <w:r w:rsidR="008D3C43" w:rsidRPr="00C51CF1">
        <w:rPr>
          <w:rFonts w:ascii="Book Antiqua" w:eastAsia="Book Antiqua" w:hAnsi="Book Antiqua" w:cs="Book Antiqua"/>
          <w:b/>
          <w:bCs/>
          <w:color w:val="000000"/>
        </w:rPr>
        <w:t>International Agency for Research on Cancer</w:t>
      </w:r>
      <w:r w:rsidRPr="00C51CF1">
        <w:rPr>
          <w:rFonts w:ascii="Book Antiqua" w:eastAsia="Book Antiqua" w:hAnsi="Book Antiqua" w:cs="Book Antiqua"/>
          <w:color w:val="000000"/>
        </w:rPr>
        <w:t xml:space="preserve">. Global Cancer Observatory. </w:t>
      </w:r>
      <w:r w:rsidR="008D3C43" w:rsidRPr="00C51CF1">
        <w:rPr>
          <w:rFonts w:ascii="Book Antiqua" w:eastAsia="Book Antiqua" w:hAnsi="Book Antiqua" w:cs="Book Antiqua"/>
          <w:color w:val="000000"/>
        </w:rPr>
        <w:t>[</w:t>
      </w:r>
      <w:r w:rsidR="00FB282A" w:rsidRPr="00C51CF1">
        <w:rPr>
          <w:rFonts w:ascii="Book Antiqua" w:eastAsia="Book Antiqua" w:hAnsi="Book Antiqua" w:cs="Book Antiqua"/>
          <w:color w:val="000000"/>
        </w:rPr>
        <w:t xml:space="preserve">cited 10 </w:t>
      </w:r>
      <w:r w:rsidR="003839C5" w:rsidRPr="00C51CF1">
        <w:rPr>
          <w:rFonts w:ascii="Book Antiqua" w:eastAsia="Book Antiqua" w:hAnsi="Book Antiqua" w:cs="Book Antiqua"/>
          <w:color w:val="000000"/>
        </w:rPr>
        <w:t>Febraury</w:t>
      </w:r>
      <w:r w:rsidR="00FB282A" w:rsidRPr="00C51CF1">
        <w:rPr>
          <w:rFonts w:ascii="Book Antiqua" w:eastAsia="Book Antiqua" w:hAnsi="Book Antiqua" w:cs="Book Antiqua"/>
          <w:color w:val="000000"/>
        </w:rPr>
        <w:t xml:space="preserve"> </w:t>
      </w:r>
      <w:r w:rsidR="003839C5" w:rsidRPr="00C51CF1">
        <w:rPr>
          <w:rFonts w:ascii="Book Antiqua" w:eastAsia="Book Antiqua" w:hAnsi="Book Antiqua" w:cs="Book Antiqua"/>
          <w:color w:val="000000"/>
        </w:rPr>
        <w:t>2021</w:t>
      </w:r>
      <w:r w:rsidR="008D3C43" w:rsidRPr="00C51CF1">
        <w:rPr>
          <w:rFonts w:ascii="Book Antiqua" w:eastAsia="Book Antiqua" w:hAnsi="Book Antiqua" w:cs="Book Antiqua"/>
          <w:color w:val="000000"/>
          <w:lang w:val="en-US"/>
        </w:rPr>
        <w:t>]. In: International Agency for Research on Cancer [In</w:t>
      </w:r>
      <w:r w:rsidR="008D3C43" w:rsidRPr="00C51CF1">
        <w:rPr>
          <w:rFonts w:ascii="Book Antiqua" w:eastAsia="Book Antiqua" w:hAnsi="Book Antiqua" w:cs="Book Antiqua"/>
          <w:color w:val="000000"/>
        </w:rPr>
        <w:t xml:space="preserve">ternet]. Available from: </w:t>
      </w:r>
      <w:r w:rsidRPr="00C51CF1">
        <w:rPr>
          <w:rFonts w:ascii="Book Antiqua" w:eastAsia="Book Antiqua" w:hAnsi="Book Antiqua" w:cs="Book Antiqua"/>
          <w:color w:val="000000"/>
        </w:rPr>
        <w:t>https://gco.iarc.fr/today/home</w:t>
      </w:r>
    </w:p>
    <w:p w14:paraId="6D2F8585"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2 </w:t>
      </w:r>
      <w:r w:rsidRPr="00C51CF1">
        <w:rPr>
          <w:rFonts w:ascii="Book Antiqua" w:eastAsia="Book Antiqua" w:hAnsi="Book Antiqua" w:cs="Book Antiqua"/>
          <w:b/>
          <w:bCs/>
          <w:color w:val="000000"/>
        </w:rPr>
        <w:t>El-Serag HB</w:t>
      </w:r>
      <w:r w:rsidRPr="00C51CF1">
        <w:rPr>
          <w:rFonts w:ascii="Book Antiqua" w:eastAsia="Book Antiqua" w:hAnsi="Book Antiqua" w:cs="Book Antiqua"/>
          <w:color w:val="000000"/>
        </w:rPr>
        <w:t xml:space="preserve">. Epidemiology of viral hepatitis and hepatocellular carcinoma. </w:t>
      </w:r>
      <w:r w:rsidRPr="00C51CF1">
        <w:rPr>
          <w:rFonts w:ascii="Book Antiqua" w:eastAsia="Book Antiqua" w:hAnsi="Book Antiqua" w:cs="Book Antiqua"/>
          <w:i/>
          <w:iCs/>
          <w:color w:val="000000"/>
        </w:rPr>
        <w:t>Gastroenterology</w:t>
      </w:r>
      <w:r w:rsidRPr="00C51CF1">
        <w:rPr>
          <w:rFonts w:ascii="Book Antiqua" w:eastAsia="Book Antiqua" w:hAnsi="Book Antiqua" w:cs="Book Antiqua"/>
          <w:color w:val="000000"/>
        </w:rPr>
        <w:t xml:space="preserve"> 2012; </w:t>
      </w:r>
      <w:r w:rsidRPr="00C51CF1">
        <w:rPr>
          <w:rFonts w:ascii="Book Antiqua" w:eastAsia="Book Antiqua" w:hAnsi="Book Antiqua" w:cs="Book Antiqua"/>
          <w:b/>
          <w:bCs/>
          <w:color w:val="000000"/>
        </w:rPr>
        <w:t>142</w:t>
      </w:r>
      <w:r w:rsidRPr="00C51CF1">
        <w:rPr>
          <w:rFonts w:ascii="Book Antiqua" w:eastAsia="Book Antiqua" w:hAnsi="Book Antiqua" w:cs="Book Antiqua"/>
          <w:color w:val="000000"/>
        </w:rPr>
        <w:t>: 1264-1273.e1 [PMID: 22537432 DOI: 10.1053/j.gastro.2011.12.061]</w:t>
      </w:r>
    </w:p>
    <w:p w14:paraId="53223075"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3 </w:t>
      </w:r>
      <w:r w:rsidRPr="00C51CF1">
        <w:rPr>
          <w:rFonts w:ascii="Book Antiqua" w:eastAsia="Book Antiqua" w:hAnsi="Book Antiqua" w:cs="Book Antiqua"/>
          <w:b/>
          <w:bCs/>
          <w:color w:val="000000"/>
        </w:rPr>
        <w:t>White DL</w:t>
      </w:r>
      <w:r w:rsidRPr="00C51CF1">
        <w:rPr>
          <w:rFonts w:ascii="Book Antiqua" w:eastAsia="Book Antiqua" w:hAnsi="Book Antiqua" w:cs="Book Antiqua"/>
          <w:color w:val="000000"/>
        </w:rPr>
        <w:t xml:space="preserve">, Thrift AP, Kanwal F, Davila J, El-Serag HB. Incidence of Hepatocellular Carcinoma in All 50 United States, From 2000 Through 2012. </w:t>
      </w:r>
      <w:r w:rsidRPr="00C51CF1">
        <w:rPr>
          <w:rFonts w:ascii="Book Antiqua" w:eastAsia="Book Antiqua" w:hAnsi="Book Antiqua" w:cs="Book Antiqua"/>
          <w:i/>
          <w:iCs/>
          <w:color w:val="000000"/>
        </w:rPr>
        <w:t>Gastroenterology</w:t>
      </w:r>
      <w:r w:rsidRPr="00C51CF1">
        <w:rPr>
          <w:rFonts w:ascii="Book Antiqua" w:eastAsia="Book Antiqua" w:hAnsi="Book Antiqua" w:cs="Book Antiqua"/>
          <w:color w:val="000000"/>
        </w:rPr>
        <w:t xml:space="preserve"> 2017; </w:t>
      </w:r>
      <w:r w:rsidRPr="00C51CF1">
        <w:rPr>
          <w:rFonts w:ascii="Book Antiqua" w:eastAsia="Book Antiqua" w:hAnsi="Book Antiqua" w:cs="Book Antiqua"/>
          <w:b/>
          <w:bCs/>
          <w:color w:val="000000"/>
        </w:rPr>
        <w:t>152</w:t>
      </w:r>
      <w:r w:rsidRPr="00C51CF1">
        <w:rPr>
          <w:rFonts w:ascii="Book Antiqua" w:eastAsia="Book Antiqua" w:hAnsi="Book Antiqua" w:cs="Book Antiqua"/>
          <w:color w:val="000000"/>
        </w:rPr>
        <w:t>: 812-820.e5 [PMID: 27889576 DOI: 10.1053/j.gastro.2016.11.020]</w:t>
      </w:r>
    </w:p>
    <w:p w14:paraId="61A9DD22"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4 </w:t>
      </w:r>
      <w:r w:rsidRPr="00C51CF1">
        <w:rPr>
          <w:rFonts w:ascii="Book Antiqua" w:eastAsia="Book Antiqua" w:hAnsi="Book Antiqua" w:cs="Book Antiqua"/>
          <w:b/>
          <w:bCs/>
          <w:color w:val="000000"/>
        </w:rPr>
        <w:t>Singal AG</w:t>
      </w:r>
      <w:r w:rsidRPr="00C51CF1">
        <w:rPr>
          <w:rFonts w:ascii="Book Antiqua" w:eastAsia="Book Antiqua" w:hAnsi="Book Antiqua" w:cs="Book Antiqua"/>
          <w:color w:val="000000"/>
        </w:rPr>
        <w:t xml:space="preserve">, Lampertico P, Nahon P. Epidemiology and surveillance for hepatocellular carcinoma: New trends. </w:t>
      </w:r>
      <w:r w:rsidRPr="00C51CF1">
        <w:rPr>
          <w:rFonts w:ascii="Book Antiqua" w:eastAsia="Book Antiqua" w:hAnsi="Book Antiqua" w:cs="Book Antiqua"/>
          <w:i/>
          <w:iCs/>
          <w:color w:val="000000"/>
        </w:rPr>
        <w:t>J Hepatol</w:t>
      </w:r>
      <w:r w:rsidRPr="00C51CF1">
        <w:rPr>
          <w:rFonts w:ascii="Book Antiqua" w:eastAsia="Book Antiqua" w:hAnsi="Book Antiqua" w:cs="Book Antiqua"/>
          <w:color w:val="000000"/>
        </w:rPr>
        <w:t xml:space="preserve"> 2020; </w:t>
      </w:r>
      <w:r w:rsidRPr="00C51CF1">
        <w:rPr>
          <w:rFonts w:ascii="Book Antiqua" w:eastAsia="Book Antiqua" w:hAnsi="Book Antiqua" w:cs="Book Antiqua"/>
          <w:b/>
          <w:bCs/>
          <w:color w:val="000000"/>
        </w:rPr>
        <w:t>72</w:t>
      </w:r>
      <w:r w:rsidRPr="00C51CF1">
        <w:rPr>
          <w:rFonts w:ascii="Book Antiqua" w:eastAsia="Book Antiqua" w:hAnsi="Book Antiqua" w:cs="Book Antiqua"/>
          <w:color w:val="000000"/>
        </w:rPr>
        <w:t>: 250-261 [PMID: 31954490 DOI: 10.1016/j.jhep.2019.08.025]</w:t>
      </w:r>
    </w:p>
    <w:p w14:paraId="4C953904"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5 </w:t>
      </w:r>
      <w:r w:rsidRPr="00C51CF1">
        <w:rPr>
          <w:rFonts w:ascii="Book Antiqua" w:eastAsia="Book Antiqua" w:hAnsi="Book Antiqua" w:cs="Book Antiqua"/>
          <w:b/>
          <w:bCs/>
          <w:color w:val="000000"/>
        </w:rPr>
        <w:t>Siegel AB</w:t>
      </w:r>
      <w:r w:rsidRPr="00C51CF1">
        <w:rPr>
          <w:rFonts w:ascii="Book Antiqua" w:eastAsia="Book Antiqua" w:hAnsi="Book Antiqua" w:cs="Book Antiqua"/>
          <w:color w:val="000000"/>
        </w:rPr>
        <w:t xml:space="preserve">, Zhu AX. Metabolic syndrome and hepatocellular carcinoma: two growing epidemics with a potential link. </w:t>
      </w:r>
      <w:r w:rsidRPr="00C51CF1">
        <w:rPr>
          <w:rFonts w:ascii="Book Antiqua" w:eastAsia="Book Antiqua" w:hAnsi="Book Antiqua" w:cs="Book Antiqua"/>
          <w:i/>
          <w:iCs/>
          <w:color w:val="000000"/>
        </w:rPr>
        <w:t>Cancer</w:t>
      </w:r>
      <w:r w:rsidRPr="00C51CF1">
        <w:rPr>
          <w:rFonts w:ascii="Book Antiqua" w:eastAsia="Book Antiqua" w:hAnsi="Book Antiqua" w:cs="Book Antiqua"/>
          <w:color w:val="000000"/>
        </w:rPr>
        <w:t xml:space="preserve"> 2009; </w:t>
      </w:r>
      <w:r w:rsidRPr="00C51CF1">
        <w:rPr>
          <w:rFonts w:ascii="Book Antiqua" w:eastAsia="Book Antiqua" w:hAnsi="Book Antiqua" w:cs="Book Antiqua"/>
          <w:b/>
          <w:bCs/>
          <w:color w:val="000000"/>
        </w:rPr>
        <w:t>115</w:t>
      </w:r>
      <w:r w:rsidRPr="00C51CF1">
        <w:rPr>
          <w:rFonts w:ascii="Book Antiqua" w:eastAsia="Book Antiqua" w:hAnsi="Book Antiqua" w:cs="Book Antiqua"/>
          <w:color w:val="000000"/>
        </w:rPr>
        <w:t>: 5651-5661 [PMID: 19834957 DOI: 10.1002/cncr.24687]</w:t>
      </w:r>
    </w:p>
    <w:p w14:paraId="13B93C3A"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6 </w:t>
      </w:r>
      <w:r w:rsidRPr="00C51CF1">
        <w:rPr>
          <w:rFonts w:ascii="Book Antiqua" w:eastAsia="Book Antiqua" w:hAnsi="Book Antiqua" w:cs="Book Antiqua"/>
          <w:b/>
          <w:bCs/>
          <w:color w:val="000000"/>
        </w:rPr>
        <w:t>Baffy G</w:t>
      </w:r>
      <w:r w:rsidRPr="00C51CF1">
        <w:rPr>
          <w:rFonts w:ascii="Book Antiqua" w:eastAsia="Book Antiqua" w:hAnsi="Book Antiqua" w:cs="Book Antiqua"/>
          <w:color w:val="000000"/>
        </w:rPr>
        <w:t xml:space="preserve">, Brunt EM, Caldwell SH. Hepatocellular carcinoma in non-alcoholic fatty liver disease: an emerging menace. </w:t>
      </w:r>
      <w:r w:rsidRPr="00C51CF1">
        <w:rPr>
          <w:rFonts w:ascii="Book Antiqua" w:eastAsia="Book Antiqua" w:hAnsi="Book Antiqua" w:cs="Book Antiqua"/>
          <w:i/>
          <w:iCs/>
          <w:color w:val="000000"/>
        </w:rPr>
        <w:t>J Hepatol</w:t>
      </w:r>
      <w:r w:rsidRPr="00C51CF1">
        <w:rPr>
          <w:rFonts w:ascii="Book Antiqua" w:eastAsia="Book Antiqua" w:hAnsi="Book Antiqua" w:cs="Book Antiqua"/>
          <w:color w:val="000000"/>
        </w:rPr>
        <w:t xml:space="preserve"> 2012; </w:t>
      </w:r>
      <w:r w:rsidRPr="00C51CF1">
        <w:rPr>
          <w:rFonts w:ascii="Book Antiqua" w:eastAsia="Book Antiqua" w:hAnsi="Book Antiqua" w:cs="Book Antiqua"/>
          <w:b/>
          <w:bCs/>
          <w:color w:val="000000"/>
        </w:rPr>
        <w:t>56</w:t>
      </w:r>
      <w:r w:rsidRPr="00C51CF1">
        <w:rPr>
          <w:rFonts w:ascii="Book Antiqua" w:eastAsia="Book Antiqua" w:hAnsi="Book Antiqua" w:cs="Book Antiqua"/>
          <w:color w:val="000000"/>
        </w:rPr>
        <w:t>: 1384-1391 [PMID: 22326465 DOI: 10.1016/j.jhep.2011.10.027]</w:t>
      </w:r>
    </w:p>
    <w:p w14:paraId="44483484"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7 </w:t>
      </w:r>
      <w:r w:rsidRPr="00C51CF1">
        <w:rPr>
          <w:rFonts w:ascii="Book Antiqua" w:eastAsia="Book Antiqua" w:hAnsi="Book Antiqua" w:cs="Book Antiqua"/>
          <w:b/>
          <w:bCs/>
          <w:color w:val="000000"/>
        </w:rPr>
        <w:t>Dyson J</w:t>
      </w:r>
      <w:r w:rsidRPr="00C51CF1">
        <w:rPr>
          <w:rFonts w:ascii="Book Antiqua" w:eastAsia="Book Antiqua" w:hAnsi="Book Antiqua" w:cs="Book Antiqua"/>
          <w:color w:val="000000"/>
        </w:rPr>
        <w:t xml:space="preserve">, Jaques B, Chattopadyhay D, Lochan R, Graham J, Das D, Aslam T, Patanwala I, Gaggar S, Cole M, Sumpter K, Stewart S, Rose J, Hudson M, Manas D, Reeves HL. Hepatocellular cancer: the impact of obesity, type 2 diabetes and a multidisciplinary team. </w:t>
      </w:r>
      <w:r w:rsidRPr="00C51CF1">
        <w:rPr>
          <w:rFonts w:ascii="Book Antiqua" w:eastAsia="Book Antiqua" w:hAnsi="Book Antiqua" w:cs="Book Antiqua"/>
          <w:i/>
          <w:iCs/>
          <w:color w:val="000000"/>
        </w:rPr>
        <w:t>J Hepatol</w:t>
      </w:r>
      <w:r w:rsidRPr="00C51CF1">
        <w:rPr>
          <w:rFonts w:ascii="Book Antiqua" w:eastAsia="Book Antiqua" w:hAnsi="Book Antiqua" w:cs="Book Antiqua"/>
          <w:color w:val="000000"/>
        </w:rPr>
        <w:t xml:space="preserve"> 2014; </w:t>
      </w:r>
      <w:r w:rsidRPr="00C51CF1">
        <w:rPr>
          <w:rFonts w:ascii="Book Antiqua" w:eastAsia="Book Antiqua" w:hAnsi="Book Antiqua" w:cs="Book Antiqua"/>
          <w:b/>
          <w:bCs/>
          <w:color w:val="000000"/>
        </w:rPr>
        <w:t>60</w:t>
      </w:r>
      <w:r w:rsidRPr="00C51CF1">
        <w:rPr>
          <w:rFonts w:ascii="Book Antiqua" w:eastAsia="Book Antiqua" w:hAnsi="Book Antiqua" w:cs="Book Antiqua"/>
          <w:color w:val="000000"/>
        </w:rPr>
        <w:t>: 110-117 [PMID: 23978719 DOI: 10.1016/j.jhep.2013.08.011]</w:t>
      </w:r>
    </w:p>
    <w:p w14:paraId="211395AE"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8 </w:t>
      </w:r>
      <w:r w:rsidRPr="00C51CF1">
        <w:rPr>
          <w:rFonts w:ascii="Book Antiqua" w:eastAsia="Book Antiqua" w:hAnsi="Book Antiqua" w:cs="Book Antiqua"/>
          <w:b/>
          <w:bCs/>
          <w:color w:val="000000"/>
        </w:rPr>
        <w:t>Singal AK</w:t>
      </w:r>
      <w:r w:rsidRPr="00C51CF1">
        <w:rPr>
          <w:rFonts w:ascii="Book Antiqua" w:eastAsia="Book Antiqua" w:hAnsi="Book Antiqua" w:cs="Book Antiqua"/>
          <w:color w:val="000000"/>
        </w:rPr>
        <w:t xml:space="preserve">, Singh A, Jaganmohan S, Guturu P, Mummadi R, Kuo YF, Sood GK. Antiviral therapy reduces risk of hepatocellular carcinoma in patients with hepatitis C virus-related cirrhosis. </w:t>
      </w:r>
      <w:r w:rsidRPr="00C51CF1">
        <w:rPr>
          <w:rFonts w:ascii="Book Antiqua" w:eastAsia="Book Antiqua" w:hAnsi="Book Antiqua" w:cs="Book Antiqua"/>
          <w:i/>
          <w:iCs/>
          <w:color w:val="000000"/>
        </w:rPr>
        <w:t>Clin Gastroenterol Hepatol</w:t>
      </w:r>
      <w:r w:rsidRPr="00C51CF1">
        <w:rPr>
          <w:rFonts w:ascii="Book Antiqua" w:eastAsia="Book Antiqua" w:hAnsi="Book Antiqua" w:cs="Book Antiqua"/>
          <w:color w:val="000000"/>
        </w:rPr>
        <w:t xml:space="preserve"> 2010; </w:t>
      </w:r>
      <w:r w:rsidRPr="00C51CF1">
        <w:rPr>
          <w:rFonts w:ascii="Book Antiqua" w:eastAsia="Book Antiqua" w:hAnsi="Book Antiqua" w:cs="Book Antiqua"/>
          <w:b/>
          <w:bCs/>
          <w:color w:val="000000"/>
        </w:rPr>
        <w:t>8</w:t>
      </w:r>
      <w:r w:rsidRPr="00C51CF1">
        <w:rPr>
          <w:rFonts w:ascii="Book Antiqua" w:eastAsia="Book Antiqua" w:hAnsi="Book Antiqua" w:cs="Book Antiqua"/>
          <w:color w:val="000000"/>
        </w:rPr>
        <w:t>: 192-199 [PMID: 19879972 DOI: 10.1016/j.cgh.2009.10.026]</w:t>
      </w:r>
    </w:p>
    <w:p w14:paraId="0761F301"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9 </w:t>
      </w:r>
      <w:r w:rsidRPr="00C51CF1">
        <w:rPr>
          <w:rFonts w:ascii="Book Antiqua" w:eastAsia="Book Antiqua" w:hAnsi="Book Antiqua" w:cs="Book Antiqua"/>
          <w:b/>
          <w:bCs/>
          <w:color w:val="000000"/>
        </w:rPr>
        <w:t>Morgan TR</w:t>
      </w:r>
      <w:r w:rsidRPr="00C51CF1">
        <w:rPr>
          <w:rFonts w:ascii="Book Antiqua" w:eastAsia="Book Antiqua" w:hAnsi="Book Antiqua" w:cs="Book Antiqua"/>
          <w:color w:val="000000"/>
        </w:rPr>
        <w:t xml:space="preserve">, Ghany MG, Kim HY, Snow KK, Shiffman ML, De Santo JL, Lee WM, Di Bisceglie AM, Bonkovsky HL, Dienstag JL, Morishima C, Lindsay KL, Lok AS; HALT-C Trial Group. Outcome of sustained virological responders with histologically advanced chronic hepatitis C. </w:t>
      </w:r>
      <w:r w:rsidRPr="00C51CF1">
        <w:rPr>
          <w:rFonts w:ascii="Book Antiqua" w:eastAsia="Book Antiqua" w:hAnsi="Book Antiqua" w:cs="Book Antiqua"/>
          <w:i/>
          <w:iCs/>
          <w:color w:val="000000"/>
        </w:rPr>
        <w:t>Hepatology</w:t>
      </w:r>
      <w:r w:rsidRPr="00C51CF1">
        <w:rPr>
          <w:rFonts w:ascii="Book Antiqua" w:eastAsia="Book Antiqua" w:hAnsi="Book Antiqua" w:cs="Book Antiqua"/>
          <w:color w:val="000000"/>
        </w:rPr>
        <w:t xml:space="preserve"> 2010; </w:t>
      </w:r>
      <w:r w:rsidRPr="00C51CF1">
        <w:rPr>
          <w:rFonts w:ascii="Book Antiqua" w:eastAsia="Book Antiqua" w:hAnsi="Book Antiqua" w:cs="Book Antiqua"/>
          <w:b/>
          <w:bCs/>
          <w:color w:val="000000"/>
        </w:rPr>
        <w:t>52</w:t>
      </w:r>
      <w:r w:rsidRPr="00C51CF1">
        <w:rPr>
          <w:rFonts w:ascii="Book Antiqua" w:eastAsia="Book Antiqua" w:hAnsi="Book Antiqua" w:cs="Book Antiqua"/>
          <w:color w:val="000000"/>
        </w:rPr>
        <w:t>: 833-844 [PMID: 20564351 DOI: 10.1002/hep.23744]</w:t>
      </w:r>
    </w:p>
    <w:p w14:paraId="53B42915"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10 </w:t>
      </w:r>
      <w:r w:rsidRPr="00C51CF1">
        <w:rPr>
          <w:rFonts w:ascii="Book Antiqua" w:eastAsia="Book Antiqua" w:hAnsi="Book Antiqua" w:cs="Book Antiqua"/>
          <w:b/>
          <w:bCs/>
          <w:color w:val="000000"/>
        </w:rPr>
        <w:t>Santi V</w:t>
      </w:r>
      <w:r w:rsidRPr="00C51CF1">
        <w:rPr>
          <w:rFonts w:ascii="Book Antiqua" w:eastAsia="Book Antiqua" w:hAnsi="Book Antiqua" w:cs="Book Antiqua"/>
          <w:color w:val="000000"/>
        </w:rPr>
        <w:t xml:space="preserve">, Buccione D, Di Micoli A, Fatti G, Frigerio M, Farinati F, Del Poggio P, Rapaccini G, Di Nolfo MA, Benvegnù L, Zoli M, Borzio F, Giannini EG, Caturelli E, Chiaramonte M, Bernardi M, Trevisani F. The changing scenario of hepatocellular carcinoma over the last two decades in Italy. </w:t>
      </w:r>
      <w:r w:rsidRPr="00C51CF1">
        <w:rPr>
          <w:rFonts w:ascii="Book Antiqua" w:eastAsia="Book Antiqua" w:hAnsi="Book Antiqua" w:cs="Book Antiqua"/>
          <w:i/>
          <w:iCs/>
          <w:color w:val="000000"/>
        </w:rPr>
        <w:t>J Hepatol</w:t>
      </w:r>
      <w:r w:rsidRPr="00C51CF1">
        <w:rPr>
          <w:rFonts w:ascii="Book Antiqua" w:eastAsia="Book Antiqua" w:hAnsi="Book Antiqua" w:cs="Book Antiqua"/>
          <w:color w:val="000000"/>
        </w:rPr>
        <w:t xml:space="preserve"> 2012; </w:t>
      </w:r>
      <w:r w:rsidRPr="00C51CF1">
        <w:rPr>
          <w:rFonts w:ascii="Book Antiqua" w:eastAsia="Book Antiqua" w:hAnsi="Book Antiqua" w:cs="Book Antiqua"/>
          <w:b/>
          <w:bCs/>
          <w:color w:val="000000"/>
        </w:rPr>
        <w:t>56</w:t>
      </w:r>
      <w:r w:rsidRPr="00C51CF1">
        <w:rPr>
          <w:rFonts w:ascii="Book Antiqua" w:eastAsia="Book Antiqua" w:hAnsi="Book Antiqua" w:cs="Book Antiqua"/>
          <w:color w:val="000000"/>
        </w:rPr>
        <w:t>: 397-405 [PMID: 21756850 DOI: 10.1016/j.jhep.2011.05.026]</w:t>
      </w:r>
    </w:p>
    <w:p w14:paraId="4198DB8D"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11 </w:t>
      </w:r>
      <w:r w:rsidRPr="00C51CF1">
        <w:rPr>
          <w:rFonts w:ascii="Book Antiqua" w:eastAsia="Book Antiqua" w:hAnsi="Book Antiqua" w:cs="Book Antiqua"/>
          <w:b/>
          <w:bCs/>
          <w:color w:val="000000"/>
        </w:rPr>
        <w:t>Simmons B</w:t>
      </w:r>
      <w:r w:rsidRPr="00C51CF1">
        <w:rPr>
          <w:rFonts w:ascii="Book Antiqua" w:eastAsia="Book Antiqua" w:hAnsi="Book Antiqua" w:cs="Book Antiqua"/>
          <w:color w:val="000000"/>
        </w:rPr>
        <w:t xml:space="preserve">, Saleem J, Heath K, Cooke GS, Hill A. Long-Term Treatment Outcomes of Patients Infected With Hepatitis C Virus: A Systematic Review and Meta-analysis of the Survival Benefit of Achieving a Sustained Virological Response. </w:t>
      </w:r>
      <w:r w:rsidRPr="00C51CF1">
        <w:rPr>
          <w:rFonts w:ascii="Book Antiqua" w:eastAsia="Book Antiqua" w:hAnsi="Book Antiqua" w:cs="Book Antiqua"/>
          <w:i/>
          <w:iCs/>
          <w:color w:val="000000"/>
        </w:rPr>
        <w:t>Clin Infect Dis</w:t>
      </w:r>
      <w:r w:rsidRPr="00C51CF1">
        <w:rPr>
          <w:rFonts w:ascii="Book Antiqua" w:eastAsia="Book Antiqua" w:hAnsi="Book Antiqua" w:cs="Book Antiqua"/>
          <w:color w:val="000000"/>
        </w:rPr>
        <w:t xml:space="preserve"> 2015; </w:t>
      </w:r>
      <w:r w:rsidRPr="00C51CF1">
        <w:rPr>
          <w:rFonts w:ascii="Book Antiqua" w:eastAsia="Book Antiqua" w:hAnsi="Book Antiqua" w:cs="Book Antiqua"/>
          <w:b/>
          <w:bCs/>
          <w:color w:val="000000"/>
        </w:rPr>
        <w:t>61</w:t>
      </w:r>
      <w:r w:rsidRPr="00C51CF1">
        <w:rPr>
          <w:rFonts w:ascii="Book Antiqua" w:eastAsia="Book Antiqua" w:hAnsi="Book Antiqua" w:cs="Book Antiqua"/>
          <w:color w:val="000000"/>
        </w:rPr>
        <w:t>: 730-740 [PMID: 25987643 DOI: 10.1093/cid/civ396]</w:t>
      </w:r>
    </w:p>
    <w:p w14:paraId="202B90A8"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12 </w:t>
      </w:r>
      <w:r w:rsidRPr="00C51CF1">
        <w:rPr>
          <w:rFonts w:ascii="Book Antiqua" w:eastAsia="Book Antiqua" w:hAnsi="Book Antiqua" w:cs="Book Antiqua"/>
          <w:b/>
          <w:bCs/>
          <w:color w:val="000000"/>
        </w:rPr>
        <w:t>Rigopoulou EI</w:t>
      </w:r>
      <w:r w:rsidRPr="00C51CF1">
        <w:rPr>
          <w:rFonts w:ascii="Book Antiqua" w:eastAsia="Book Antiqua" w:hAnsi="Book Antiqua" w:cs="Book Antiqua"/>
          <w:color w:val="000000"/>
        </w:rPr>
        <w:t xml:space="preserve">, Dalekos GN. Current Trends and Characteristics of Hepatocellular Carcinoma in Patients with Autoimmune Liver Diseases. </w:t>
      </w:r>
      <w:r w:rsidRPr="00C51CF1">
        <w:rPr>
          <w:rFonts w:ascii="Book Antiqua" w:eastAsia="Book Antiqua" w:hAnsi="Book Antiqua" w:cs="Book Antiqua"/>
          <w:i/>
          <w:iCs/>
          <w:color w:val="000000"/>
        </w:rPr>
        <w:t>Cancers (Basel)</w:t>
      </w:r>
      <w:r w:rsidRPr="00C51CF1">
        <w:rPr>
          <w:rFonts w:ascii="Book Antiqua" w:eastAsia="Book Antiqua" w:hAnsi="Book Antiqua" w:cs="Book Antiqua"/>
          <w:color w:val="000000"/>
        </w:rPr>
        <w:t xml:space="preserve"> 2021; </w:t>
      </w:r>
      <w:r w:rsidRPr="00C51CF1">
        <w:rPr>
          <w:rFonts w:ascii="Book Antiqua" w:eastAsia="Book Antiqua" w:hAnsi="Book Antiqua" w:cs="Book Antiqua"/>
          <w:b/>
          <w:bCs/>
          <w:color w:val="000000"/>
        </w:rPr>
        <w:t>13</w:t>
      </w:r>
      <w:r w:rsidRPr="00C51CF1">
        <w:rPr>
          <w:rFonts w:ascii="Book Antiqua" w:eastAsia="Book Antiqua" w:hAnsi="Book Antiqua" w:cs="Book Antiqua"/>
          <w:color w:val="000000"/>
        </w:rPr>
        <w:t xml:space="preserve"> [PMID: 33804480 DOI: 10.3390/cancers13051023]</w:t>
      </w:r>
    </w:p>
    <w:p w14:paraId="42594E1B"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13 </w:t>
      </w:r>
      <w:r w:rsidRPr="00C51CF1">
        <w:rPr>
          <w:rFonts w:ascii="Book Antiqua" w:eastAsia="Book Antiqua" w:hAnsi="Book Antiqua" w:cs="Book Antiqua"/>
          <w:b/>
          <w:bCs/>
          <w:color w:val="000000"/>
        </w:rPr>
        <w:t>Torre LA</w:t>
      </w:r>
      <w:r w:rsidRPr="00C51CF1">
        <w:rPr>
          <w:rFonts w:ascii="Book Antiqua" w:eastAsia="Book Antiqua" w:hAnsi="Book Antiqua" w:cs="Book Antiqua"/>
          <w:color w:val="000000"/>
        </w:rPr>
        <w:t xml:space="preserve">, Bray F, Siegel RL, Ferlay J, Lortet-Tieulent J, Jemal A. Global cancer statistics, 2012. </w:t>
      </w:r>
      <w:r w:rsidRPr="00C51CF1">
        <w:rPr>
          <w:rFonts w:ascii="Book Antiqua" w:eastAsia="Book Antiqua" w:hAnsi="Book Antiqua" w:cs="Book Antiqua"/>
          <w:i/>
          <w:iCs/>
          <w:color w:val="000000"/>
        </w:rPr>
        <w:t>CA Cancer J Clin</w:t>
      </w:r>
      <w:r w:rsidRPr="00C51CF1">
        <w:rPr>
          <w:rFonts w:ascii="Book Antiqua" w:eastAsia="Book Antiqua" w:hAnsi="Book Antiqua" w:cs="Book Antiqua"/>
          <w:color w:val="000000"/>
        </w:rPr>
        <w:t xml:space="preserve"> 2015; </w:t>
      </w:r>
      <w:r w:rsidRPr="00C51CF1">
        <w:rPr>
          <w:rFonts w:ascii="Book Antiqua" w:eastAsia="Book Antiqua" w:hAnsi="Book Antiqua" w:cs="Book Antiqua"/>
          <w:b/>
          <w:bCs/>
          <w:color w:val="000000"/>
        </w:rPr>
        <w:t>65</w:t>
      </w:r>
      <w:r w:rsidRPr="00C51CF1">
        <w:rPr>
          <w:rFonts w:ascii="Book Antiqua" w:eastAsia="Book Antiqua" w:hAnsi="Book Antiqua" w:cs="Book Antiqua"/>
          <w:color w:val="000000"/>
        </w:rPr>
        <w:t>: 87-108 [PMID: 25651787 DOI: 10.3322/caac.21262]</w:t>
      </w:r>
    </w:p>
    <w:p w14:paraId="771629D0"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14 </w:t>
      </w:r>
      <w:r w:rsidRPr="00C51CF1">
        <w:rPr>
          <w:rFonts w:ascii="Book Antiqua" w:eastAsia="Book Antiqua" w:hAnsi="Book Antiqua" w:cs="Book Antiqua"/>
          <w:b/>
          <w:bCs/>
          <w:color w:val="000000"/>
        </w:rPr>
        <w:t>Levrero M</w:t>
      </w:r>
      <w:r w:rsidRPr="00C51CF1">
        <w:rPr>
          <w:rFonts w:ascii="Book Antiqua" w:eastAsia="Book Antiqua" w:hAnsi="Book Antiqua" w:cs="Book Antiqua"/>
          <w:color w:val="000000"/>
        </w:rPr>
        <w:t xml:space="preserve">, Zucman-Rossi J. Mechanisms of HBV-induced hepatocellular carcinoma. </w:t>
      </w:r>
      <w:r w:rsidRPr="00C51CF1">
        <w:rPr>
          <w:rFonts w:ascii="Book Antiqua" w:eastAsia="Book Antiqua" w:hAnsi="Book Antiqua" w:cs="Book Antiqua"/>
          <w:i/>
          <w:iCs/>
          <w:color w:val="000000"/>
        </w:rPr>
        <w:t>J Hepatol</w:t>
      </w:r>
      <w:r w:rsidRPr="00C51CF1">
        <w:rPr>
          <w:rFonts w:ascii="Book Antiqua" w:eastAsia="Book Antiqua" w:hAnsi="Book Antiqua" w:cs="Book Antiqua"/>
          <w:color w:val="000000"/>
        </w:rPr>
        <w:t xml:space="preserve"> 2016; </w:t>
      </w:r>
      <w:r w:rsidRPr="00C51CF1">
        <w:rPr>
          <w:rFonts w:ascii="Book Antiqua" w:eastAsia="Book Antiqua" w:hAnsi="Book Antiqua" w:cs="Book Antiqua"/>
          <w:b/>
          <w:bCs/>
          <w:color w:val="000000"/>
        </w:rPr>
        <w:t>64</w:t>
      </w:r>
      <w:r w:rsidRPr="00C51CF1">
        <w:rPr>
          <w:rFonts w:ascii="Book Antiqua" w:eastAsia="Book Antiqua" w:hAnsi="Book Antiqua" w:cs="Book Antiqua"/>
          <w:color w:val="000000"/>
        </w:rPr>
        <w:t>: S84-S101 [PMID: 27084040 DOI: 10.1016/j.jhep.2016.02.021]</w:t>
      </w:r>
    </w:p>
    <w:p w14:paraId="284EFFC2"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15 </w:t>
      </w:r>
      <w:r w:rsidRPr="00C51CF1">
        <w:rPr>
          <w:rFonts w:ascii="Book Antiqua" w:eastAsia="Book Antiqua" w:hAnsi="Book Antiqua" w:cs="Book Antiqua"/>
          <w:b/>
          <w:bCs/>
          <w:color w:val="000000"/>
        </w:rPr>
        <w:t>Marrero JA</w:t>
      </w:r>
      <w:r w:rsidRPr="00C51CF1">
        <w:rPr>
          <w:rFonts w:ascii="Book Antiqua" w:eastAsia="Book Antiqua" w:hAnsi="Book Antiqua" w:cs="Book Antiqua"/>
          <w:color w:val="000000"/>
        </w:rPr>
        <w:t xml:space="preserve">, Kulik LM, Sirlin CB, Zhu AX, Finn RS, Abecassis MM, Roberts LR, Heimbach JK. Diagnosis, Staging, and Management of Hepatocellular Carcinoma: 2018 Practice Guidance by the American Association for the Study of Liver Diseases. </w:t>
      </w:r>
      <w:r w:rsidRPr="00C51CF1">
        <w:rPr>
          <w:rFonts w:ascii="Book Antiqua" w:eastAsia="Book Antiqua" w:hAnsi="Book Antiqua" w:cs="Book Antiqua"/>
          <w:i/>
          <w:iCs/>
          <w:color w:val="000000"/>
        </w:rPr>
        <w:t>Hepatology</w:t>
      </w:r>
      <w:r w:rsidRPr="00C51CF1">
        <w:rPr>
          <w:rFonts w:ascii="Book Antiqua" w:eastAsia="Book Antiqua" w:hAnsi="Book Antiqua" w:cs="Book Antiqua"/>
          <w:color w:val="000000"/>
        </w:rPr>
        <w:t xml:space="preserve"> 2018; </w:t>
      </w:r>
      <w:r w:rsidRPr="00C51CF1">
        <w:rPr>
          <w:rFonts w:ascii="Book Antiqua" w:eastAsia="Book Antiqua" w:hAnsi="Book Antiqua" w:cs="Book Antiqua"/>
          <w:b/>
          <w:bCs/>
          <w:color w:val="000000"/>
        </w:rPr>
        <w:t>68</w:t>
      </w:r>
      <w:r w:rsidRPr="00C51CF1">
        <w:rPr>
          <w:rFonts w:ascii="Book Antiqua" w:eastAsia="Book Antiqua" w:hAnsi="Book Antiqua" w:cs="Book Antiqua"/>
          <w:color w:val="000000"/>
        </w:rPr>
        <w:t>: 723-750 [PMID: 29624699 DOI: 10.1002/hep.29913]</w:t>
      </w:r>
    </w:p>
    <w:p w14:paraId="79B67E3B" w14:textId="20F2BC53"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16 </w:t>
      </w:r>
      <w:r w:rsidRPr="00C51CF1">
        <w:rPr>
          <w:rFonts w:ascii="Book Antiqua" w:eastAsia="Book Antiqua" w:hAnsi="Book Antiqua" w:cs="Book Antiqua"/>
          <w:b/>
          <w:bCs/>
          <w:color w:val="000000"/>
        </w:rPr>
        <w:t>European Association for the Study of the Liver</w:t>
      </w:r>
      <w:r w:rsidRPr="00C51CF1">
        <w:rPr>
          <w:rFonts w:ascii="Book Antiqua" w:eastAsia="Book Antiqua" w:hAnsi="Book Antiqua" w:cs="Book Antiqua"/>
          <w:color w:val="000000"/>
        </w:rPr>
        <w:t xml:space="preserve">. EASL Clinical Practice Guidelines: Management of hepatocellular carcinoma. </w:t>
      </w:r>
      <w:r w:rsidRPr="00C51CF1">
        <w:rPr>
          <w:rFonts w:ascii="Book Antiqua" w:eastAsia="Book Antiqua" w:hAnsi="Book Antiqua" w:cs="Book Antiqua"/>
          <w:i/>
          <w:iCs/>
          <w:color w:val="000000"/>
        </w:rPr>
        <w:t>J Hepatol</w:t>
      </w:r>
      <w:r w:rsidRPr="00C51CF1">
        <w:rPr>
          <w:rFonts w:ascii="Book Antiqua" w:eastAsia="Book Antiqua" w:hAnsi="Book Antiqua" w:cs="Book Antiqua"/>
          <w:color w:val="000000"/>
        </w:rPr>
        <w:t xml:space="preserve"> 2018; </w:t>
      </w:r>
      <w:r w:rsidRPr="00C51CF1">
        <w:rPr>
          <w:rFonts w:ascii="Book Antiqua" w:eastAsia="Book Antiqua" w:hAnsi="Book Antiqua" w:cs="Book Antiqua"/>
          <w:b/>
          <w:bCs/>
          <w:color w:val="000000"/>
        </w:rPr>
        <w:t>69</w:t>
      </w:r>
      <w:r w:rsidRPr="00C51CF1">
        <w:rPr>
          <w:rFonts w:ascii="Book Antiqua" w:eastAsia="Book Antiqua" w:hAnsi="Book Antiqua" w:cs="Book Antiqua"/>
          <w:color w:val="000000"/>
        </w:rPr>
        <w:t>: 182-236 [PMID: 29628281 DOI: 10.1016/j.jhep.2018.03.019]</w:t>
      </w:r>
    </w:p>
    <w:p w14:paraId="69158595"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17 </w:t>
      </w:r>
      <w:r w:rsidRPr="00C51CF1">
        <w:rPr>
          <w:rFonts w:ascii="Book Antiqua" w:eastAsia="Book Antiqua" w:hAnsi="Book Antiqua" w:cs="Book Antiqua"/>
          <w:b/>
          <w:bCs/>
          <w:color w:val="000000"/>
        </w:rPr>
        <w:t>Ringelhan M</w:t>
      </w:r>
      <w:r w:rsidRPr="00C51CF1">
        <w:rPr>
          <w:rFonts w:ascii="Book Antiqua" w:eastAsia="Book Antiqua" w:hAnsi="Book Antiqua" w:cs="Book Antiqua"/>
          <w:color w:val="000000"/>
        </w:rPr>
        <w:t xml:space="preserve">, Pfister D, O'Connor T, Pikarsky E, Heikenwalder M. The immunology of hepatocellular carcinoma. </w:t>
      </w:r>
      <w:r w:rsidRPr="00C51CF1">
        <w:rPr>
          <w:rFonts w:ascii="Book Antiqua" w:eastAsia="Book Antiqua" w:hAnsi="Book Antiqua" w:cs="Book Antiqua"/>
          <w:i/>
          <w:iCs/>
          <w:color w:val="000000"/>
        </w:rPr>
        <w:t>Nat Immunol</w:t>
      </w:r>
      <w:r w:rsidRPr="00C51CF1">
        <w:rPr>
          <w:rFonts w:ascii="Book Antiqua" w:eastAsia="Book Antiqua" w:hAnsi="Book Antiqua" w:cs="Book Antiqua"/>
          <w:color w:val="000000"/>
        </w:rPr>
        <w:t xml:space="preserve"> 2018; </w:t>
      </w:r>
      <w:r w:rsidRPr="00C51CF1">
        <w:rPr>
          <w:rFonts w:ascii="Book Antiqua" w:eastAsia="Book Antiqua" w:hAnsi="Book Antiqua" w:cs="Book Antiqua"/>
          <w:b/>
          <w:bCs/>
          <w:color w:val="000000"/>
        </w:rPr>
        <w:t>19</w:t>
      </w:r>
      <w:r w:rsidRPr="00C51CF1">
        <w:rPr>
          <w:rFonts w:ascii="Book Antiqua" w:eastAsia="Book Antiqua" w:hAnsi="Book Antiqua" w:cs="Book Antiqua"/>
          <w:color w:val="000000"/>
        </w:rPr>
        <w:t>: 222-232 [PMID: 29379119 DOI: 10.1038/s41590-018-0044-z]</w:t>
      </w:r>
    </w:p>
    <w:p w14:paraId="79B2918C"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18 </w:t>
      </w:r>
      <w:r w:rsidRPr="00C51CF1">
        <w:rPr>
          <w:rFonts w:ascii="Book Antiqua" w:eastAsia="Book Antiqua" w:hAnsi="Book Antiqua" w:cs="Book Antiqua"/>
          <w:b/>
          <w:bCs/>
          <w:color w:val="000000"/>
        </w:rPr>
        <w:t>Jenne CN</w:t>
      </w:r>
      <w:r w:rsidRPr="00C51CF1">
        <w:rPr>
          <w:rFonts w:ascii="Book Antiqua" w:eastAsia="Book Antiqua" w:hAnsi="Book Antiqua" w:cs="Book Antiqua"/>
          <w:color w:val="000000"/>
        </w:rPr>
        <w:t xml:space="preserve">, Kubes P. Immune surveillance by the liver. </w:t>
      </w:r>
      <w:r w:rsidRPr="00C51CF1">
        <w:rPr>
          <w:rFonts w:ascii="Book Antiqua" w:eastAsia="Book Antiqua" w:hAnsi="Book Antiqua" w:cs="Book Antiqua"/>
          <w:i/>
          <w:iCs/>
          <w:color w:val="000000"/>
          <w:lang w:val="en-US"/>
        </w:rPr>
        <w:t>Nat Immunol</w:t>
      </w:r>
      <w:r w:rsidRPr="00C51CF1">
        <w:rPr>
          <w:rFonts w:ascii="Book Antiqua" w:eastAsia="Book Antiqua" w:hAnsi="Book Antiqua" w:cs="Book Antiqua"/>
          <w:color w:val="000000"/>
          <w:lang w:val="en-US"/>
        </w:rPr>
        <w:t xml:space="preserve"> 2013; </w:t>
      </w:r>
      <w:r w:rsidRPr="00C51CF1">
        <w:rPr>
          <w:rFonts w:ascii="Book Antiqua" w:eastAsia="Book Antiqua" w:hAnsi="Book Antiqua" w:cs="Book Antiqua"/>
          <w:b/>
          <w:bCs/>
          <w:color w:val="000000"/>
        </w:rPr>
        <w:t>14</w:t>
      </w:r>
      <w:r w:rsidRPr="00C51CF1">
        <w:rPr>
          <w:rFonts w:ascii="Book Antiqua" w:eastAsia="Book Antiqua" w:hAnsi="Book Antiqua" w:cs="Book Antiqua"/>
          <w:color w:val="000000"/>
        </w:rPr>
        <w:t>: 996-1006 [PMID: 24048121 DOI: 10.1038/ni.2691]</w:t>
      </w:r>
    </w:p>
    <w:p w14:paraId="5286A1B1"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19 </w:t>
      </w:r>
      <w:r w:rsidRPr="00C51CF1">
        <w:rPr>
          <w:rFonts w:ascii="Book Antiqua" w:eastAsia="Book Antiqua" w:hAnsi="Book Antiqua" w:cs="Book Antiqua"/>
          <w:b/>
          <w:bCs/>
          <w:color w:val="000000"/>
        </w:rPr>
        <w:t>Oo YH</w:t>
      </w:r>
      <w:r w:rsidRPr="00C51CF1">
        <w:rPr>
          <w:rFonts w:ascii="Book Antiqua" w:eastAsia="Book Antiqua" w:hAnsi="Book Antiqua" w:cs="Book Antiqua"/>
          <w:color w:val="000000"/>
        </w:rPr>
        <w:t xml:space="preserve">, Sakaguchi S. Regulatory T-cell directed therapies in liver diseases. </w:t>
      </w:r>
      <w:r w:rsidRPr="00C51CF1">
        <w:rPr>
          <w:rFonts w:ascii="Book Antiqua" w:eastAsia="Book Antiqua" w:hAnsi="Book Antiqua" w:cs="Book Antiqua"/>
          <w:i/>
          <w:iCs/>
          <w:color w:val="000000"/>
        </w:rPr>
        <w:t>J Hepatol</w:t>
      </w:r>
      <w:r w:rsidRPr="00C51CF1">
        <w:rPr>
          <w:rFonts w:ascii="Book Antiqua" w:eastAsia="Book Antiqua" w:hAnsi="Book Antiqua" w:cs="Book Antiqua"/>
          <w:color w:val="000000"/>
        </w:rPr>
        <w:t xml:space="preserve"> 2013; </w:t>
      </w:r>
      <w:r w:rsidRPr="00C51CF1">
        <w:rPr>
          <w:rFonts w:ascii="Book Antiqua" w:eastAsia="Book Antiqua" w:hAnsi="Book Antiqua" w:cs="Book Antiqua"/>
          <w:b/>
          <w:bCs/>
          <w:color w:val="000000"/>
        </w:rPr>
        <w:t>59</w:t>
      </w:r>
      <w:r w:rsidRPr="00C51CF1">
        <w:rPr>
          <w:rFonts w:ascii="Book Antiqua" w:eastAsia="Book Antiqua" w:hAnsi="Book Antiqua" w:cs="Book Antiqua"/>
          <w:color w:val="000000"/>
        </w:rPr>
        <w:t>: 1127-1134 [PMID: 23727305 DOI: 10.1016/j.jhep.2013.05.034]</w:t>
      </w:r>
    </w:p>
    <w:p w14:paraId="175AF450" w14:textId="448BAA8B" w:rsidR="00E423A3" w:rsidRPr="00C51CF1" w:rsidRDefault="005B1767">
      <w:pPr>
        <w:spacing w:line="360" w:lineRule="auto"/>
        <w:jc w:val="both"/>
        <w:rPr>
          <w:rFonts w:ascii="Book Antiqua" w:hAnsi="Book Antiqua"/>
          <w:lang w:val="en-US"/>
        </w:rPr>
      </w:pPr>
      <w:r w:rsidRPr="00C51CF1">
        <w:rPr>
          <w:rFonts w:ascii="Book Antiqua" w:eastAsia="Book Antiqua" w:hAnsi="Book Antiqua" w:cs="Book Antiqua"/>
          <w:color w:val="000000"/>
        </w:rPr>
        <w:t>20</w:t>
      </w:r>
      <w:r w:rsidRPr="00C51CF1">
        <w:rPr>
          <w:rFonts w:ascii="Book Antiqua" w:eastAsia="Book Antiqua" w:hAnsi="Book Antiqua" w:cs="Book Antiqua"/>
          <w:color w:val="000000"/>
          <w:lang w:val="en-US"/>
        </w:rPr>
        <w:t xml:space="preserve"> </w:t>
      </w:r>
      <w:r w:rsidR="00E423A3" w:rsidRPr="00C51CF1">
        <w:rPr>
          <w:rFonts w:ascii="Book Antiqua" w:hAnsi="Book Antiqua"/>
          <w:b/>
          <w:bCs/>
          <w:lang w:val="en-US"/>
        </w:rPr>
        <w:t>Granito A</w:t>
      </w:r>
      <w:r w:rsidR="00E423A3" w:rsidRPr="00C51CF1">
        <w:rPr>
          <w:rFonts w:ascii="Book Antiqua" w:hAnsi="Book Antiqua"/>
          <w:lang w:val="en-US"/>
        </w:rPr>
        <w:t xml:space="preserve">, Muratori P, Ferri S, Pappas G, Quarneti C, Lenzi M, Bianchi FB, Muratori L. Diagnosis and therapy of autoimmune hepatitis. </w:t>
      </w:r>
      <w:r w:rsidR="00E423A3" w:rsidRPr="00C51CF1">
        <w:rPr>
          <w:rFonts w:ascii="Book Antiqua" w:hAnsi="Book Antiqua"/>
          <w:i/>
          <w:iCs/>
          <w:lang w:val="en-US"/>
        </w:rPr>
        <w:t>Mini Rev Med Chem</w:t>
      </w:r>
      <w:r w:rsidR="00E423A3" w:rsidRPr="00C51CF1">
        <w:rPr>
          <w:rFonts w:ascii="Book Antiqua" w:hAnsi="Book Antiqua"/>
          <w:lang w:val="en-US"/>
        </w:rPr>
        <w:t xml:space="preserve"> 2009;</w:t>
      </w:r>
      <w:r w:rsidR="00FB282A" w:rsidRPr="00C51CF1">
        <w:rPr>
          <w:rFonts w:ascii="Book Antiqua" w:hAnsi="Book Antiqua"/>
          <w:lang w:val="en-US"/>
        </w:rPr>
        <w:t xml:space="preserve"> </w:t>
      </w:r>
      <w:r w:rsidR="00E423A3" w:rsidRPr="00C51CF1">
        <w:rPr>
          <w:rFonts w:ascii="Book Antiqua" w:hAnsi="Book Antiqua"/>
          <w:b/>
          <w:bCs/>
          <w:lang w:val="en-US"/>
        </w:rPr>
        <w:t>9</w:t>
      </w:r>
      <w:r w:rsidR="00E423A3" w:rsidRPr="00C51CF1">
        <w:rPr>
          <w:rFonts w:ascii="Book Antiqua" w:hAnsi="Book Antiqua"/>
          <w:lang w:val="en-US"/>
        </w:rPr>
        <w:t>:</w:t>
      </w:r>
      <w:r w:rsidR="00FB282A" w:rsidRPr="00C51CF1">
        <w:rPr>
          <w:rFonts w:ascii="Book Antiqua" w:hAnsi="Book Antiqua"/>
          <w:lang w:val="en-US"/>
        </w:rPr>
        <w:t xml:space="preserve"> </w:t>
      </w:r>
      <w:r w:rsidR="00E423A3" w:rsidRPr="00C51CF1">
        <w:rPr>
          <w:rFonts w:ascii="Book Antiqua" w:hAnsi="Book Antiqua"/>
          <w:lang w:val="en-US"/>
        </w:rPr>
        <w:t>847-</w:t>
      </w:r>
      <w:r w:rsidR="00FB282A" w:rsidRPr="00C51CF1">
        <w:rPr>
          <w:rFonts w:ascii="Book Antiqua" w:hAnsi="Book Antiqua"/>
          <w:lang w:val="en-US"/>
        </w:rPr>
        <w:t>8</w:t>
      </w:r>
      <w:r w:rsidR="00E423A3" w:rsidRPr="00C51CF1">
        <w:rPr>
          <w:rFonts w:ascii="Book Antiqua" w:hAnsi="Book Antiqua"/>
          <w:lang w:val="en-US"/>
        </w:rPr>
        <w:t xml:space="preserve">60 </w:t>
      </w:r>
      <w:r w:rsidR="00E423A3" w:rsidRPr="00C51CF1">
        <w:rPr>
          <w:rFonts w:ascii="Book Antiqua" w:eastAsia="Book Antiqua" w:hAnsi="Book Antiqua" w:cs="Book Antiqua"/>
          <w:color w:val="000000"/>
          <w:lang w:val="en-US"/>
        </w:rPr>
        <w:t>[</w:t>
      </w:r>
      <w:r w:rsidR="00E423A3" w:rsidRPr="00C51CF1">
        <w:rPr>
          <w:rFonts w:ascii="Book Antiqua" w:hAnsi="Book Antiqua"/>
          <w:lang w:val="en-US"/>
        </w:rPr>
        <w:t>PMID: 19519509 DOI: 10.2174/138955709788452676</w:t>
      </w:r>
      <w:r w:rsidR="00E423A3" w:rsidRPr="00C51CF1">
        <w:rPr>
          <w:rFonts w:ascii="Book Antiqua" w:eastAsia="Book Antiqua" w:hAnsi="Book Antiqua" w:cs="Book Antiqua"/>
          <w:color w:val="000000"/>
          <w:lang w:val="en-US"/>
        </w:rPr>
        <w:t>]</w:t>
      </w:r>
    </w:p>
    <w:p w14:paraId="2236E879"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21 </w:t>
      </w:r>
      <w:r w:rsidRPr="00C51CF1">
        <w:rPr>
          <w:rFonts w:ascii="Book Antiqua" w:eastAsia="Book Antiqua" w:hAnsi="Book Antiqua" w:cs="Book Antiqua"/>
          <w:b/>
          <w:bCs/>
          <w:color w:val="000000"/>
        </w:rPr>
        <w:t>Kole C</w:t>
      </w:r>
      <w:r w:rsidRPr="00C51CF1">
        <w:rPr>
          <w:rFonts w:ascii="Book Antiqua" w:eastAsia="Book Antiqua" w:hAnsi="Book Antiqua" w:cs="Book Antiqua"/>
          <w:color w:val="000000"/>
        </w:rPr>
        <w:t xml:space="preserve">, Charalampakis N, Tsakatikas S, Vailas M, Moris D, Gkotsis E, Kykalos S, Karamouzis MV, Schizas D. Immunotherapy for Hepatocellular Carcinoma: A 2021 Update. </w:t>
      </w:r>
      <w:r w:rsidRPr="00C51CF1">
        <w:rPr>
          <w:rFonts w:ascii="Book Antiqua" w:eastAsia="Book Antiqua" w:hAnsi="Book Antiqua" w:cs="Book Antiqua"/>
          <w:i/>
          <w:iCs/>
          <w:color w:val="000000"/>
        </w:rPr>
        <w:t>Cancers (Basel)</w:t>
      </w:r>
      <w:r w:rsidRPr="00C51CF1">
        <w:rPr>
          <w:rFonts w:ascii="Book Antiqua" w:eastAsia="Book Antiqua" w:hAnsi="Book Antiqua" w:cs="Book Antiqua"/>
          <w:color w:val="000000"/>
        </w:rPr>
        <w:t xml:space="preserve"> 2020; </w:t>
      </w:r>
      <w:r w:rsidRPr="00C51CF1">
        <w:rPr>
          <w:rFonts w:ascii="Book Antiqua" w:eastAsia="Book Antiqua" w:hAnsi="Book Antiqua" w:cs="Book Antiqua"/>
          <w:b/>
          <w:bCs/>
          <w:color w:val="000000"/>
        </w:rPr>
        <w:t>12</w:t>
      </w:r>
      <w:r w:rsidRPr="00C51CF1">
        <w:rPr>
          <w:rFonts w:ascii="Book Antiqua" w:eastAsia="Book Antiqua" w:hAnsi="Book Antiqua" w:cs="Book Antiqua"/>
          <w:color w:val="000000"/>
        </w:rPr>
        <w:t xml:space="preserve"> [PMID: 33020428 DOI: 10.3390/cancers12102859]</w:t>
      </w:r>
    </w:p>
    <w:p w14:paraId="2F813676"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22 </w:t>
      </w:r>
      <w:r w:rsidRPr="00C51CF1">
        <w:rPr>
          <w:rFonts w:ascii="Book Antiqua" w:eastAsia="Book Antiqua" w:hAnsi="Book Antiqua" w:cs="Book Antiqua"/>
          <w:b/>
          <w:bCs/>
          <w:color w:val="000000"/>
        </w:rPr>
        <w:t>Fattovich G</w:t>
      </w:r>
      <w:r w:rsidRPr="00C51CF1">
        <w:rPr>
          <w:rFonts w:ascii="Book Antiqua" w:eastAsia="Book Antiqua" w:hAnsi="Book Antiqua" w:cs="Book Antiqua"/>
          <w:color w:val="000000"/>
        </w:rPr>
        <w:t xml:space="preserve">, Stroffolini T, Zagni I, Donato F. Hepatocellular carcinoma in cirrhosis: incidence and risk factors. </w:t>
      </w:r>
      <w:r w:rsidRPr="00C51CF1">
        <w:rPr>
          <w:rFonts w:ascii="Book Antiqua" w:eastAsia="Book Antiqua" w:hAnsi="Book Antiqua" w:cs="Book Antiqua"/>
          <w:i/>
          <w:iCs/>
          <w:color w:val="000000"/>
        </w:rPr>
        <w:t>Gastroenterology</w:t>
      </w:r>
      <w:r w:rsidRPr="00C51CF1">
        <w:rPr>
          <w:rFonts w:ascii="Book Antiqua" w:eastAsia="Book Antiqua" w:hAnsi="Book Antiqua" w:cs="Book Antiqua"/>
          <w:color w:val="000000"/>
        </w:rPr>
        <w:t xml:space="preserve"> 2004; </w:t>
      </w:r>
      <w:r w:rsidRPr="00C51CF1">
        <w:rPr>
          <w:rFonts w:ascii="Book Antiqua" w:eastAsia="Book Antiqua" w:hAnsi="Book Antiqua" w:cs="Book Antiqua"/>
          <w:b/>
          <w:bCs/>
          <w:color w:val="000000"/>
        </w:rPr>
        <w:t>127</w:t>
      </w:r>
      <w:r w:rsidRPr="00C51CF1">
        <w:rPr>
          <w:rFonts w:ascii="Book Antiqua" w:eastAsia="Book Antiqua" w:hAnsi="Book Antiqua" w:cs="Book Antiqua"/>
          <w:color w:val="000000"/>
        </w:rPr>
        <w:t>: S35-S50 [PMID: 15508101 DOI: 10.1053/j.gastro.2004.09.014]</w:t>
      </w:r>
    </w:p>
    <w:p w14:paraId="0B1311CE"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23 </w:t>
      </w:r>
      <w:r w:rsidRPr="00C51CF1">
        <w:rPr>
          <w:rFonts w:ascii="Book Antiqua" w:eastAsia="Book Antiqua" w:hAnsi="Book Antiqua" w:cs="Book Antiqua"/>
          <w:b/>
          <w:bCs/>
          <w:color w:val="000000"/>
        </w:rPr>
        <w:t>Forner A</w:t>
      </w:r>
      <w:r w:rsidRPr="00C51CF1">
        <w:rPr>
          <w:rFonts w:ascii="Book Antiqua" w:eastAsia="Book Antiqua" w:hAnsi="Book Antiqua" w:cs="Book Antiqua"/>
          <w:color w:val="000000"/>
        </w:rPr>
        <w:t xml:space="preserve">, Reig M, Bruix J. Hepatocellular carcinoma. </w:t>
      </w:r>
      <w:r w:rsidRPr="00C51CF1">
        <w:rPr>
          <w:rFonts w:ascii="Book Antiqua" w:eastAsia="Book Antiqua" w:hAnsi="Book Antiqua" w:cs="Book Antiqua"/>
          <w:i/>
          <w:iCs/>
          <w:color w:val="000000"/>
        </w:rPr>
        <w:t>Lancet</w:t>
      </w:r>
      <w:r w:rsidRPr="00C51CF1">
        <w:rPr>
          <w:rFonts w:ascii="Book Antiqua" w:eastAsia="Book Antiqua" w:hAnsi="Book Antiqua" w:cs="Book Antiqua"/>
          <w:color w:val="000000"/>
        </w:rPr>
        <w:t xml:space="preserve"> 2018; </w:t>
      </w:r>
      <w:r w:rsidRPr="00C51CF1">
        <w:rPr>
          <w:rFonts w:ascii="Book Antiqua" w:eastAsia="Book Antiqua" w:hAnsi="Book Antiqua" w:cs="Book Antiqua"/>
          <w:b/>
          <w:bCs/>
          <w:color w:val="000000"/>
        </w:rPr>
        <w:t>391</w:t>
      </w:r>
      <w:r w:rsidRPr="00C51CF1">
        <w:rPr>
          <w:rFonts w:ascii="Book Antiqua" w:eastAsia="Book Antiqua" w:hAnsi="Book Antiqua" w:cs="Book Antiqua"/>
          <w:color w:val="000000"/>
        </w:rPr>
        <w:t>: 1301-1314 [PMID: 29307467 DOI: 10.1016/S0140-6736(18)30010-2]</w:t>
      </w:r>
    </w:p>
    <w:p w14:paraId="759EC381"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24 </w:t>
      </w:r>
      <w:r w:rsidRPr="00C51CF1">
        <w:rPr>
          <w:rFonts w:ascii="Book Antiqua" w:eastAsia="Book Antiqua" w:hAnsi="Book Antiqua" w:cs="Book Antiqua"/>
          <w:b/>
          <w:bCs/>
          <w:color w:val="000000"/>
        </w:rPr>
        <w:t>Tarao K</w:t>
      </w:r>
      <w:r w:rsidRPr="00C51CF1">
        <w:rPr>
          <w:rFonts w:ascii="Book Antiqua" w:eastAsia="Book Antiqua" w:hAnsi="Book Antiqua" w:cs="Book Antiqua"/>
          <w:color w:val="000000"/>
        </w:rPr>
        <w:t xml:space="preserve">, Nozaki A, Ikeda T, Sato A, Komatsu H, Komatsu T, Taguri M, Tanaka K. Real impact of liver cirrhosis on the development of hepatocellular carcinoma in various liver diseases-meta-analytic assessment. </w:t>
      </w:r>
      <w:r w:rsidRPr="00C51CF1">
        <w:rPr>
          <w:rFonts w:ascii="Book Antiqua" w:eastAsia="Book Antiqua" w:hAnsi="Book Antiqua" w:cs="Book Antiqua"/>
          <w:i/>
          <w:iCs/>
          <w:color w:val="000000"/>
        </w:rPr>
        <w:t>Cancer Med</w:t>
      </w:r>
      <w:r w:rsidRPr="00C51CF1">
        <w:rPr>
          <w:rFonts w:ascii="Book Antiqua" w:eastAsia="Book Antiqua" w:hAnsi="Book Antiqua" w:cs="Book Antiqua"/>
          <w:color w:val="000000"/>
        </w:rPr>
        <w:t xml:space="preserve"> 2019; </w:t>
      </w:r>
      <w:r w:rsidRPr="00C51CF1">
        <w:rPr>
          <w:rFonts w:ascii="Book Antiqua" w:eastAsia="Book Antiqua" w:hAnsi="Book Antiqua" w:cs="Book Antiqua"/>
          <w:b/>
          <w:bCs/>
          <w:color w:val="000000"/>
        </w:rPr>
        <w:t>8</w:t>
      </w:r>
      <w:r w:rsidRPr="00C51CF1">
        <w:rPr>
          <w:rFonts w:ascii="Book Antiqua" w:eastAsia="Book Antiqua" w:hAnsi="Book Antiqua" w:cs="Book Antiqua"/>
          <w:color w:val="000000"/>
        </w:rPr>
        <w:t>: 1054-1065 [PMID: 30791221 DOI: 10.1002/cam4.1998]</w:t>
      </w:r>
    </w:p>
    <w:p w14:paraId="66BF2A7D" w14:textId="11AD5154"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25 </w:t>
      </w:r>
      <w:r w:rsidRPr="00C51CF1">
        <w:rPr>
          <w:rFonts w:ascii="Book Antiqua" w:eastAsia="Book Antiqua" w:hAnsi="Book Antiqua" w:cs="Book Antiqua"/>
          <w:b/>
          <w:bCs/>
          <w:color w:val="000000"/>
        </w:rPr>
        <w:t>Global Burden of Disease Liver Cancer Collaboration</w:t>
      </w:r>
      <w:r w:rsidRPr="00C51CF1">
        <w:rPr>
          <w:rFonts w:ascii="Book Antiqua" w:eastAsia="Book Antiqua" w:hAnsi="Book Antiqua" w:cs="Book Antiqua"/>
          <w:color w:val="000000"/>
        </w:rPr>
        <w:t xml:space="preserve">, Akinyemiju T, Abera S, Ahmed M, Alam N, Alemayohu MA, Allen C, Al-Raddadi R, Alvis-Guzman N, Amoako Y, Artaman A, Ayele TA, Barac A, Bensenor I, Berhane A, Bhutta Z, Castillo-Rivas J, Chitheer A, Choi JY, Cowie B, Dandona L, Dandona R, Dey S, Dicker D, Phuc H, Ekwueme DU, Zaki MS, Fischer F, Fürst T, Hancock J, Hay SI, Hotez P, Jee SH, Kasaeian A, Khader Y, Khang YH, Kumar A, Kutz M, Larson H, Lopez A, Lunevicius R, Malekzadeh R, McAlinden C, Meier T, Mendoza W, Mokdad A, Moradi-Lakeh M, Nagel G, Nguyen Q, Nguyen G, Ogbo F, Patton G, Pereira DM, Pourmalek F, Qorbani M, Radfar A, Roshandel G, Salomon JA, Sanabria J, Sartorius B, Satpathy M, Sawhney M, Sepanlou S, Shackelford K, Shore H, Sun J, Mengistu DT, Topór-Mądry R, Tran B, Ukwaja KN, Vlassov V, Vollset SE, Vos T, Wakayo T, Weiderpass E, Werdecker A, Yonemoto N, Younis M, Yu C, Zaidi Z, Zhu L, Murray CJL, Naghavi M, Fitzmaurice C. The Burden of Primary Liver Cancer and Underlying Etiologies From 1990 to 2015 at the Global, Regional, and National Level: Results From the Global Burden of Disease Study 2015. </w:t>
      </w:r>
      <w:r w:rsidRPr="00C51CF1">
        <w:rPr>
          <w:rFonts w:ascii="Book Antiqua" w:eastAsia="Book Antiqua" w:hAnsi="Book Antiqua" w:cs="Book Antiqua"/>
          <w:i/>
          <w:iCs/>
          <w:color w:val="000000"/>
        </w:rPr>
        <w:t>JAMA Oncol</w:t>
      </w:r>
      <w:r w:rsidRPr="00C51CF1">
        <w:rPr>
          <w:rFonts w:ascii="Book Antiqua" w:eastAsia="Book Antiqua" w:hAnsi="Book Antiqua" w:cs="Book Antiqua"/>
          <w:color w:val="000000"/>
        </w:rPr>
        <w:t xml:space="preserve"> 2017; </w:t>
      </w:r>
      <w:r w:rsidRPr="00C51CF1">
        <w:rPr>
          <w:rFonts w:ascii="Book Antiqua" w:eastAsia="Book Antiqua" w:hAnsi="Book Antiqua" w:cs="Book Antiqua"/>
          <w:b/>
          <w:bCs/>
          <w:color w:val="000000"/>
        </w:rPr>
        <w:t>3</w:t>
      </w:r>
      <w:r w:rsidRPr="00C51CF1">
        <w:rPr>
          <w:rFonts w:ascii="Book Antiqua" w:eastAsia="Book Antiqua" w:hAnsi="Book Antiqua" w:cs="Book Antiqua"/>
          <w:color w:val="000000"/>
        </w:rPr>
        <w:t>: 1683-1691 [PMID: 28983565 DOI: 10.1001/jamaoncol.2017.3055]</w:t>
      </w:r>
    </w:p>
    <w:p w14:paraId="4ECDFCB6"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26 </w:t>
      </w:r>
      <w:r w:rsidRPr="00C51CF1">
        <w:rPr>
          <w:rFonts w:ascii="Book Antiqua" w:eastAsia="Book Antiqua" w:hAnsi="Book Antiqua" w:cs="Book Antiqua"/>
          <w:b/>
          <w:bCs/>
          <w:color w:val="000000"/>
        </w:rPr>
        <w:t>Tansel A</w:t>
      </w:r>
      <w:r w:rsidRPr="00C51CF1">
        <w:rPr>
          <w:rFonts w:ascii="Book Antiqua" w:eastAsia="Book Antiqua" w:hAnsi="Book Antiqua" w:cs="Book Antiqua"/>
          <w:color w:val="000000"/>
        </w:rPr>
        <w:t xml:space="preserve">, Katz LH, El-Serag HB, Thrift AP, Parepally M, Shakhatreh MH, Kanwal F. Incidence and Determinants of Hepatocellular Carcinoma in Autoimmune Hepatitis: A Systematic Review and Meta-analysis. </w:t>
      </w:r>
      <w:r w:rsidRPr="00C51CF1">
        <w:rPr>
          <w:rFonts w:ascii="Book Antiqua" w:eastAsia="Book Antiqua" w:hAnsi="Book Antiqua" w:cs="Book Antiqua"/>
          <w:i/>
          <w:iCs/>
          <w:color w:val="000000"/>
        </w:rPr>
        <w:t>Clin Gastroenterol Hepatol</w:t>
      </w:r>
      <w:r w:rsidRPr="00C51CF1">
        <w:rPr>
          <w:rFonts w:ascii="Book Antiqua" w:eastAsia="Book Antiqua" w:hAnsi="Book Antiqua" w:cs="Book Antiqua"/>
          <w:color w:val="000000"/>
        </w:rPr>
        <w:t xml:space="preserve"> 2017; </w:t>
      </w:r>
      <w:r w:rsidRPr="00C51CF1">
        <w:rPr>
          <w:rFonts w:ascii="Book Antiqua" w:eastAsia="Book Antiqua" w:hAnsi="Book Antiqua" w:cs="Book Antiqua"/>
          <w:b/>
          <w:bCs/>
          <w:color w:val="000000"/>
        </w:rPr>
        <w:t>15</w:t>
      </w:r>
      <w:r w:rsidRPr="00C51CF1">
        <w:rPr>
          <w:rFonts w:ascii="Book Antiqua" w:eastAsia="Book Antiqua" w:hAnsi="Book Antiqua" w:cs="Book Antiqua"/>
          <w:color w:val="000000"/>
        </w:rPr>
        <w:t>: 1207-1217.e4 [PMID: 28215616 DOI: 10.1016/j.cgh.2017.02.006]</w:t>
      </w:r>
    </w:p>
    <w:p w14:paraId="4F64C342"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27 </w:t>
      </w:r>
      <w:r w:rsidRPr="00C51CF1">
        <w:rPr>
          <w:rFonts w:ascii="Book Antiqua" w:eastAsia="Book Antiqua" w:hAnsi="Book Antiqua" w:cs="Book Antiqua"/>
          <w:b/>
          <w:bCs/>
          <w:color w:val="000000"/>
        </w:rPr>
        <w:t>Lleo A</w:t>
      </w:r>
      <w:r w:rsidRPr="00C51CF1">
        <w:rPr>
          <w:rFonts w:ascii="Book Antiqua" w:eastAsia="Book Antiqua" w:hAnsi="Book Antiqua" w:cs="Book Antiqua"/>
          <w:color w:val="000000"/>
        </w:rPr>
        <w:t xml:space="preserve">, de Boer YS, Liberal R, Colombo M. The risk of liver cancer in autoimmune liver diseases. </w:t>
      </w:r>
      <w:r w:rsidRPr="00C51CF1">
        <w:rPr>
          <w:rFonts w:ascii="Book Antiqua" w:eastAsia="Book Antiqua" w:hAnsi="Book Antiqua" w:cs="Book Antiqua"/>
          <w:i/>
          <w:iCs/>
          <w:color w:val="000000"/>
        </w:rPr>
        <w:t>Ther Adv Med Oncol</w:t>
      </w:r>
      <w:r w:rsidRPr="00C51CF1">
        <w:rPr>
          <w:rFonts w:ascii="Book Antiqua" w:eastAsia="Book Antiqua" w:hAnsi="Book Antiqua" w:cs="Book Antiqua"/>
          <w:color w:val="000000"/>
        </w:rPr>
        <w:t xml:space="preserve"> 2019; </w:t>
      </w:r>
      <w:r w:rsidRPr="00C51CF1">
        <w:rPr>
          <w:rFonts w:ascii="Book Antiqua" w:eastAsia="Book Antiqua" w:hAnsi="Book Antiqua" w:cs="Book Antiqua"/>
          <w:b/>
          <w:bCs/>
          <w:color w:val="000000"/>
        </w:rPr>
        <w:t>11</w:t>
      </w:r>
      <w:r w:rsidRPr="00C51CF1">
        <w:rPr>
          <w:rFonts w:ascii="Book Antiqua" w:eastAsia="Book Antiqua" w:hAnsi="Book Antiqua" w:cs="Book Antiqua"/>
          <w:color w:val="000000"/>
        </w:rPr>
        <w:t>: 1758835919861914 [PMID: 31320937 DOI: 10.1177/1758835919861914]</w:t>
      </w:r>
    </w:p>
    <w:p w14:paraId="67A39F74"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28 </w:t>
      </w:r>
      <w:r w:rsidRPr="00C51CF1">
        <w:rPr>
          <w:rFonts w:ascii="Book Antiqua" w:eastAsia="Book Antiqua" w:hAnsi="Book Antiqua" w:cs="Book Antiqua"/>
          <w:b/>
          <w:bCs/>
          <w:color w:val="000000"/>
        </w:rPr>
        <w:t>Jones DE</w:t>
      </w:r>
      <w:r w:rsidRPr="00C51CF1">
        <w:rPr>
          <w:rFonts w:ascii="Book Antiqua" w:eastAsia="Book Antiqua" w:hAnsi="Book Antiqua" w:cs="Book Antiqua"/>
          <w:color w:val="000000"/>
        </w:rPr>
        <w:t xml:space="preserve">, Metcalf JV, Collier JD, Bassendine MF, James OF. Hepatocellular carcinoma in primary biliary cirrhosis and its impact on outcomes. </w:t>
      </w:r>
      <w:r w:rsidRPr="00C51CF1">
        <w:rPr>
          <w:rFonts w:ascii="Book Antiqua" w:eastAsia="Book Antiqua" w:hAnsi="Book Antiqua" w:cs="Book Antiqua"/>
          <w:i/>
          <w:iCs/>
          <w:color w:val="000000"/>
        </w:rPr>
        <w:t>Hepatology</w:t>
      </w:r>
      <w:r w:rsidRPr="00C51CF1">
        <w:rPr>
          <w:rFonts w:ascii="Book Antiqua" w:eastAsia="Book Antiqua" w:hAnsi="Book Antiqua" w:cs="Book Antiqua"/>
          <w:color w:val="000000"/>
        </w:rPr>
        <w:t xml:space="preserve"> 1997; </w:t>
      </w:r>
      <w:r w:rsidRPr="00C51CF1">
        <w:rPr>
          <w:rFonts w:ascii="Book Antiqua" w:eastAsia="Book Antiqua" w:hAnsi="Book Antiqua" w:cs="Book Antiqua"/>
          <w:b/>
          <w:bCs/>
          <w:color w:val="000000"/>
        </w:rPr>
        <w:t>26</w:t>
      </w:r>
      <w:r w:rsidRPr="00C51CF1">
        <w:rPr>
          <w:rFonts w:ascii="Book Antiqua" w:eastAsia="Book Antiqua" w:hAnsi="Book Antiqua" w:cs="Book Antiqua"/>
          <w:color w:val="000000"/>
        </w:rPr>
        <w:t>: 1138-1142 [PMID: 9362353 DOI: 10.1002/hep.510260508]</w:t>
      </w:r>
    </w:p>
    <w:p w14:paraId="0B29153D"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29 </w:t>
      </w:r>
      <w:r w:rsidRPr="00C51CF1">
        <w:rPr>
          <w:rFonts w:ascii="Book Antiqua" w:eastAsia="Book Antiqua" w:hAnsi="Book Antiqua" w:cs="Book Antiqua"/>
          <w:b/>
          <w:bCs/>
          <w:color w:val="000000"/>
        </w:rPr>
        <w:t>Liang Y</w:t>
      </w:r>
      <w:r w:rsidRPr="00C51CF1">
        <w:rPr>
          <w:rFonts w:ascii="Book Antiqua" w:eastAsia="Book Antiqua" w:hAnsi="Book Antiqua" w:cs="Book Antiqua"/>
          <w:color w:val="000000"/>
        </w:rPr>
        <w:t xml:space="preserve">, Yang Z, Zhong R. Primary biliary cirrhosis and cancer risk: a systematic review and meta-analysis. </w:t>
      </w:r>
      <w:r w:rsidRPr="00C51CF1">
        <w:rPr>
          <w:rFonts w:ascii="Book Antiqua" w:eastAsia="Book Antiqua" w:hAnsi="Book Antiqua" w:cs="Book Antiqua"/>
          <w:i/>
          <w:iCs/>
          <w:color w:val="000000"/>
        </w:rPr>
        <w:t>Hepatology</w:t>
      </w:r>
      <w:r w:rsidRPr="00C51CF1">
        <w:rPr>
          <w:rFonts w:ascii="Book Antiqua" w:eastAsia="Book Antiqua" w:hAnsi="Book Antiqua" w:cs="Book Antiqua"/>
          <w:color w:val="000000"/>
        </w:rPr>
        <w:t xml:space="preserve"> 2012; </w:t>
      </w:r>
      <w:r w:rsidRPr="00C51CF1">
        <w:rPr>
          <w:rFonts w:ascii="Book Antiqua" w:eastAsia="Book Antiqua" w:hAnsi="Book Antiqua" w:cs="Book Antiqua"/>
          <w:b/>
          <w:bCs/>
          <w:color w:val="000000"/>
        </w:rPr>
        <w:t>56</w:t>
      </w:r>
      <w:r w:rsidRPr="00C51CF1">
        <w:rPr>
          <w:rFonts w:ascii="Book Antiqua" w:eastAsia="Book Antiqua" w:hAnsi="Book Antiqua" w:cs="Book Antiqua"/>
          <w:color w:val="000000"/>
        </w:rPr>
        <w:t>: 1409-1417 [PMID: 22504852 DOI: 10.1002/hep.25788]</w:t>
      </w:r>
    </w:p>
    <w:p w14:paraId="42206E72"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30 </w:t>
      </w:r>
      <w:r w:rsidRPr="00C51CF1">
        <w:rPr>
          <w:rFonts w:ascii="Book Antiqua" w:eastAsia="Book Antiqua" w:hAnsi="Book Antiqua" w:cs="Book Antiqua"/>
          <w:b/>
          <w:bCs/>
          <w:color w:val="000000"/>
        </w:rPr>
        <w:t>Tarao K</w:t>
      </w:r>
      <w:r w:rsidRPr="00C51CF1">
        <w:rPr>
          <w:rFonts w:ascii="Book Antiqua" w:eastAsia="Book Antiqua" w:hAnsi="Book Antiqua" w:cs="Book Antiqua"/>
          <w:color w:val="000000"/>
        </w:rPr>
        <w:t xml:space="preserve">, Rino Y, Ohkawa S, Shimizu A, Tamai S, Miyakawa K, Aoki H, Imada T, Shindo K, Okamoto N, Totsuka S. Association between high serum alanine aminotransferase levels and more rapid development and higher rate of incidence of hepatocellular carcinoma in patients with hepatitis C virus-associated cirrhosis. </w:t>
      </w:r>
      <w:r w:rsidRPr="00C51CF1">
        <w:rPr>
          <w:rFonts w:ascii="Book Antiqua" w:eastAsia="Book Antiqua" w:hAnsi="Book Antiqua" w:cs="Book Antiqua"/>
          <w:i/>
          <w:iCs/>
          <w:color w:val="000000"/>
        </w:rPr>
        <w:t>Cancer</w:t>
      </w:r>
      <w:r w:rsidRPr="00C51CF1">
        <w:rPr>
          <w:rFonts w:ascii="Book Antiqua" w:eastAsia="Book Antiqua" w:hAnsi="Book Antiqua" w:cs="Book Antiqua"/>
          <w:color w:val="000000"/>
        </w:rPr>
        <w:t xml:space="preserve"> 1999; </w:t>
      </w:r>
      <w:r w:rsidRPr="00C51CF1">
        <w:rPr>
          <w:rFonts w:ascii="Book Antiqua" w:eastAsia="Book Antiqua" w:hAnsi="Book Antiqua" w:cs="Book Antiqua"/>
          <w:b/>
          <w:bCs/>
          <w:color w:val="000000"/>
        </w:rPr>
        <w:t>86</w:t>
      </w:r>
      <w:r w:rsidRPr="00C51CF1">
        <w:rPr>
          <w:rFonts w:ascii="Book Antiqua" w:eastAsia="Book Antiqua" w:hAnsi="Book Antiqua" w:cs="Book Antiqua"/>
          <w:color w:val="000000"/>
        </w:rPr>
        <w:t>: 589-595 [PMID: 10440686 DOI: 10.1002/(sici)1097-0142(19990815)86:4&lt;589::aid-cncr7&gt;3.0.co;2-k]</w:t>
      </w:r>
    </w:p>
    <w:p w14:paraId="7139E879"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31 </w:t>
      </w:r>
      <w:r w:rsidRPr="00C51CF1">
        <w:rPr>
          <w:rFonts w:ascii="Book Antiqua" w:eastAsia="Book Antiqua" w:hAnsi="Book Antiqua" w:cs="Book Antiqua"/>
          <w:b/>
          <w:bCs/>
          <w:color w:val="000000"/>
        </w:rPr>
        <w:t>Chen CF</w:t>
      </w:r>
      <w:r w:rsidRPr="00C51CF1">
        <w:rPr>
          <w:rFonts w:ascii="Book Antiqua" w:eastAsia="Book Antiqua" w:hAnsi="Book Antiqua" w:cs="Book Antiqua"/>
          <w:color w:val="000000"/>
        </w:rPr>
        <w:t xml:space="preserve">, Lee WC, Yang HI, Chang HC, Jen CL, Iloeje UH, Su J, Hsiao CK, Wang LY, You SL, Lu SN, Chen CJ; Risk Evaluation of Viral Load Elevation and Associated Liver Disease/Cancer in HBV (REVEAL–HBV) Study Group. Changes in serum levels of HBV DNA and alanine aminotransferase determine risk for hepatocellular carcinoma. </w:t>
      </w:r>
      <w:r w:rsidRPr="00C51CF1">
        <w:rPr>
          <w:rFonts w:ascii="Book Antiqua" w:eastAsia="Book Antiqua" w:hAnsi="Book Antiqua" w:cs="Book Antiqua"/>
          <w:i/>
          <w:iCs/>
          <w:color w:val="000000"/>
        </w:rPr>
        <w:t>Gastroenterology</w:t>
      </w:r>
      <w:r w:rsidRPr="00C51CF1">
        <w:rPr>
          <w:rFonts w:ascii="Book Antiqua" w:eastAsia="Book Antiqua" w:hAnsi="Book Antiqua" w:cs="Book Antiqua"/>
          <w:color w:val="000000"/>
        </w:rPr>
        <w:t xml:space="preserve"> 2011; </w:t>
      </w:r>
      <w:r w:rsidRPr="00C51CF1">
        <w:rPr>
          <w:rFonts w:ascii="Book Antiqua" w:eastAsia="Book Antiqua" w:hAnsi="Book Antiqua" w:cs="Book Antiqua"/>
          <w:b/>
          <w:bCs/>
          <w:color w:val="000000"/>
        </w:rPr>
        <w:t>141</w:t>
      </w:r>
      <w:r w:rsidRPr="00C51CF1">
        <w:rPr>
          <w:rFonts w:ascii="Book Antiqua" w:eastAsia="Book Antiqua" w:hAnsi="Book Antiqua" w:cs="Book Antiqua"/>
          <w:color w:val="000000"/>
        </w:rPr>
        <w:t>: 1240-1248, 1248.e1-1248.e2 [PMID: 21703214 DOI: 10.1053/j.gastro.2011.06.036]</w:t>
      </w:r>
    </w:p>
    <w:p w14:paraId="55985AB9"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32 </w:t>
      </w:r>
      <w:r w:rsidRPr="00C51CF1">
        <w:rPr>
          <w:rFonts w:ascii="Book Antiqua" w:eastAsia="Book Antiqua" w:hAnsi="Book Antiqua" w:cs="Book Antiqua"/>
          <w:b/>
          <w:bCs/>
          <w:color w:val="000000"/>
        </w:rPr>
        <w:t>Ishikawa T</w:t>
      </w:r>
      <w:r w:rsidRPr="00C51CF1">
        <w:rPr>
          <w:rFonts w:ascii="Book Antiqua" w:eastAsia="Book Antiqua" w:hAnsi="Book Antiqua" w:cs="Book Antiqua"/>
          <w:color w:val="000000"/>
        </w:rPr>
        <w:t xml:space="preserve">, Ichida T, Yamagiwa S, Sugahara S, Uehara K, Okoshi S, Asakura H. High viral loads, serum alanine aminotransferase and gender are predictive factors for the development of hepatocellular carcinoma from viral compensated liver cirrhosis. </w:t>
      </w:r>
      <w:r w:rsidRPr="00C51CF1">
        <w:rPr>
          <w:rFonts w:ascii="Book Antiqua" w:eastAsia="Book Antiqua" w:hAnsi="Book Antiqua" w:cs="Book Antiqua"/>
          <w:i/>
          <w:iCs/>
          <w:color w:val="000000"/>
        </w:rPr>
        <w:t>J Gastroenterol Hepatol</w:t>
      </w:r>
      <w:r w:rsidRPr="00C51CF1">
        <w:rPr>
          <w:rFonts w:ascii="Book Antiqua" w:eastAsia="Book Antiqua" w:hAnsi="Book Antiqua" w:cs="Book Antiqua"/>
          <w:color w:val="000000"/>
        </w:rPr>
        <w:t xml:space="preserve"> 2001; </w:t>
      </w:r>
      <w:r w:rsidRPr="00C51CF1">
        <w:rPr>
          <w:rFonts w:ascii="Book Antiqua" w:eastAsia="Book Antiqua" w:hAnsi="Book Antiqua" w:cs="Book Antiqua"/>
          <w:b/>
          <w:bCs/>
          <w:color w:val="000000"/>
        </w:rPr>
        <w:t>16</w:t>
      </w:r>
      <w:r w:rsidRPr="00C51CF1">
        <w:rPr>
          <w:rFonts w:ascii="Book Antiqua" w:eastAsia="Book Antiqua" w:hAnsi="Book Antiqua" w:cs="Book Antiqua"/>
          <w:color w:val="000000"/>
        </w:rPr>
        <w:t>: 1274-1281 [PMID: 11903747 DOI: 10.1046/j.1440-1746.2001.02616.x]</w:t>
      </w:r>
    </w:p>
    <w:p w14:paraId="50DD5348"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33 </w:t>
      </w:r>
      <w:r w:rsidRPr="00C51CF1">
        <w:rPr>
          <w:rFonts w:ascii="Book Antiqua" w:eastAsia="Book Antiqua" w:hAnsi="Book Antiqua" w:cs="Book Antiqua"/>
          <w:b/>
          <w:bCs/>
          <w:color w:val="000000"/>
        </w:rPr>
        <w:t>Montano-Loza AJ</w:t>
      </w:r>
      <w:r w:rsidRPr="00C51CF1">
        <w:rPr>
          <w:rFonts w:ascii="Book Antiqua" w:eastAsia="Book Antiqua" w:hAnsi="Book Antiqua" w:cs="Book Antiqua"/>
          <w:color w:val="000000"/>
        </w:rPr>
        <w:t xml:space="preserve">, Carpenter HA, Czaja AJ. Predictive factors for hepatocellular carcinoma in type 1 autoimmune hepatitis. </w:t>
      </w:r>
      <w:r w:rsidRPr="00C51CF1">
        <w:rPr>
          <w:rFonts w:ascii="Book Antiqua" w:eastAsia="Book Antiqua" w:hAnsi="Book Antiqua" w:cs="Book Antiqua"/>
          <w:i/>
          <w:iCs/>
          <w:color w:val="000000"/>
        </w:rPr>
        <w:t>Am J Gastroenterol</w:t>
      </w:r>
      <w:r w:rsidRPr="00C51CF1">
        <w:rPr>
          <w:rFonts w:ascii="Book Antiqua" w:eastAsia="Book Antiqua" w:hAnsi="Book Antiqua" w:cs="Book Antiqua"/>
          <w:color w:val="000000"/>
        </w:rPr>
        <w:t xml:space="preserve"> 2008; </w:t>
      </w:r>
      <w:r w:rsidRPr="00C51CF1">
        <w:rPr>
          <w:rFonts w:ascii="Book Antiqua" w:eastAsia="Book Antiqua" w:hAnsi="Book Antiqua" w:cs="Book Antiqua"/>
          <w:b/>
          <w:bCs/>
          <w:color w:val="000000"/>
        </w:rPr>
        <w:t>103</w:t>
      </w:r>
      <w:r w:rsidRPr="00C51CF1">
        <w:rPr>
          <w:rFonts w:ascii="Book Antiqua" w:eastAsia="Book Antiqua" w:hAnsi="Book Antiqua" w:cs="Book Antiqua"/>
          <w:color w:val="000000"/>
        </w:rPr>
        <w:t>: 1944-1951 [PMID: 18564111 DOI: 10.1111/j.1572-0241.2008.01922.x]</w:t>
      </w:r>
    </w:p>
    <w:p w14:paraId="55D0D675"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34 </w:t>
      </w:r>
      <w:r w:rsidRPr="00C51CF1">
        <w:rPr>
          <w:rFonts w:ascii="Book Antiqua" w:eastAsia="Book Antiqua" w:hAnsi="Book Antiqua" w:cs="Book Antiqua"/>
          <w:b/>
          <w:bCs/>
          <w:color w:val="000000"/>
        </w:rPr>
        <w:t>Shi JH</w:t>
      </w:r>
      <w:r w:rsidRPr="00C51CF1">
        <w:rPr>
          <w:rFonts w:ascii="Book Antiqua" w:eastAsia="Book Antiqua" w:hAnsi="Book Antiqua" w:cs="Book Antiqua"/>
          <w:color w:val="000000"/>
        </w:rPr>
        <w:t xml:space="preserve">, Line PD. Effect of liver regeneration on malignant hepatic tumors. </w:t>
      </w:r>
      <w:r w:rsidRPr="00C51CF1">
        <w:rPr>
          <w:rFonts w:ascii="Book Antiqua" w:eastAsia="Book Antiqua" w:hAnsi="Book Antiqua" w:cs="Book Antiqua"/>
          <w:i/>
          <w:iCs/>
          <w:color w:val="000000"/>
        </w:rPr>
        <w:t>World J Gastroenterol</w:t>
      </w:r>
      <w:r w:rsidRPr="00C51CF1">
        <w:rPr>
          <w:rFonts w:ascii="Book Antiqua" w:eastAsia="Book Antiqua" w:hAnsi="Book Antiqua" w:cs="Book Antiqua"/>
          <w:color w:val="000000"/>
        </w:rPr>
        <w:t xml:space="preserve"> 2014; </w:t>
      </w:r>
      <w:r w:rsidRPr="00C51CF1">
        <w:rPr>
          <w:rFonts w:ascii="Book Antiqua" w:eastAsia="Book Antiqua" w:hAnsi="Book Antiqua" w:cs="Book Antiqua"/>
          <w:b/>
          <w:bCs/>
          <w:color w:val="000000"/>
        </w:rPr>
        <w:t>20</w:t>
      </w:r>
      <w:r w:rsidRPr="00C51CF1">
        <w:rPr>
          <w:rFonts w:ascii="Book Antiqua" w:eastAsia="Book Antiqua" w:hAnsi="Book Antiqua" w:cs="Book Antiqua"/>
          <w:color w:val="000000"/>
        </w:rPr>
        <w:t>: 16167-16177 [PMID: 25473170 DOI: 10.3748/wjg.v20.i43.16167]</w:t>
      </w:r>
    </w:p>
    <w:p w14:paraId="47C03686"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35 </w:t>
      </w:r>
      <w:r w:rsidRPr="00C51CF1">
        <w:rPr>
          <w:rFonts w:ascii="Book Antiqua" w:eastAsia="Book Antiqua" w:hAnsi="Book Antiqua" w:cs="Book Antiqua"/>
          <w:b/>
          <w:bCs/>
          <w:color w:val="000000"/>
        </w:rPr>
        <w:t>Li H</w:t>
      </w:r>
      <w:r w:rsidRPr="00C51CF1">
        <w:rPr>
          <w:rFonts w:ascii="Book Antiqua" w:eastAsia="Book Antiqua" w:hAnsi="Book Antiqua" w:cs="Book Antiqua"/>
          <w:color w:val="000000"/>
        </w:rPr>
        <w:t xml:space="preserve">, Zhang L. Liver regeneration microenvironment of hepatocellular carcinoma for prevention and therapy. </w:t>
      </w:r>
      <w:r w:rsidRPr="00C51CF1">
        <w:rPr>
          <w:rFonts w:ascii="Book Antiqua" w:eastAsia="Book Antiqua" w:hAnsi="Book Antiqua" w:cs="Book Antiqua"/>
          <w:i/>
          <w:iCs/>
          <w:color w:val="000000"/>
        </w:rPr>
        <w:t>Oncotarget</w:t>
      </w:r>
      <w:r w:rsidRPr="00C51CF1">
        <w:rPr>
          <w:rFonts w:ascii="Book Antiqua" w:eastAsia="Book Antiqua" w:hAnsi="Book Antiqua" w:cs="Book Antiqua"/>
          <w:color w:val="000000"/>
        </w:rPr>
        <w:t xml:space="preserve"> 2017; </w:t>
      </w:r>
      <w:r w:rsidRPr="00C51CF1">
        <w:rPr>
          <w:rFonts w:ascii="Book Antiqua" w:eastAsia="Book Antiqua" w:hAnsi="Book Antiqua" w:cs="Book Antiqua"/>
          <w:b/>
          <w:bCs/>
          <w:color w:val="000000"/>
        </w:rPr>
        <w:t>8</w:t>
      </w:r>
      <w:r w:rsidRPr="00C51CF1">
        <w:rPr>
          <w:rFonts w:ascii="Book Antiqua" w:eastAsia="Book Antiqua" w:hAnsi="Book Antiqua" w:cs="Book Antiqua"/>
          <w:color w:val="000000"/>
        </w:rPr>
        <w:t>: 1805-1813 [PMID: 27655683 DOI: 10.18632/oncotarget.12101]</w:t>
      </w:r>
    </w:p>
    <w:p w14:paraId="33F87B5C"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36 </w:t>
      </w:r>
      <w:r w:rsidRPr="00C51CF1">
        <w:rPr>
          <w:rFonts w:ascii="Book Antiqua" w:eastAsia="Book Antiqua" w:hAnsi="Book Antiqua" w:cs="Book Antiqua"/>
          <w:b/>
          <w:bCs/>
          <w:color w:val="000000"/>
        </w:rPr>
        <w:t>Yu LX</w:t>
      </w:r>
      <w:r w:rsidRPr="00C51CF1">
        <w:rPr>
          <w:rFonts w:ascii="Book Antiqua" w:eastAsia="Book Antiqua" w:hAnsi="Book Antiqua" w:cs="Book Antiqua"/>
          <w:color w:val="000000"/>
        </w:rPr>
        <w:t xml:space="preserve">, Ling Y, Wang HY. Role of nonresolving inflammation in hepatocellular carcinoma development and progression. </w:t>
      </w:r>
      <w:r w:rsidRPr="00C51CF1">
        <w:rPr>
          <w:rFonts w:ascii="Book Antiqua" w:eastAsia="Book Antiqua" w:hAnsi="Book Antiqua" w:cs="Book Antiqua"/>
          <w:i/>
          <w:iCs/>
          <w:color w:val="000000"/>
        </w:rPr>
        <w:t>NPJ Precis Oncol</w:t>
      </w:r>
      <w:r w:rsidRPr="00C51CF1">
        <w:rPr>
          <w:rFonts w:ascii="Book Antiqua" w:eastAsia="Book Antiqua" w:hAnsi="Book Antiqua" w:cs="Book Antiqua"/>
          <w:color w:val="000000"/>
        </w:rPr>
        <w:t xml:space="preserve"> 2018; </w:t>
      </w:r>
      <w:r w:rsidRPr="00C51CF1">
        <w:rPr>
          <w:rFonts w:ascii="Book Antiqua" w:eastAsia="Book Antiqua" w:hAnsi="Book Antiqua" w:cs="Book Antiqua"/>
          <w:b/>
          <w:bCs/>
          <w:color w:val="000000"/>
        </w:rPr>
        <w:t>2</w:t>
      </w:r>
      <w:r w:rsidRPr="00C51CF1">
        <w:rPr>
          <w:rFonts w:ascii="Book Antiqua" w:eastAsia="Book Antiqua" w:hAnsi="Book Antiqua" w:cs="Book Antiqua"/>
          <w:color w:val="000000"/>
        </w:rPr>
        <w:t>: 6 [PMID: 29872724 DOI: 10.1038/s41698-018-0048-z]</w:t>
      </w:r>
    </w:p>
    <w:p w14:paraId="5EA1599A"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37 </w:t>
      </w:r>
      <w:r w:rsidRPr="00C51CF1">
        <w:rPr>
          <w:rFonts w:ascii="Book Antiqua" w:eastAsia="Book Antiqua" w:hAnsi="Book Antiqua" w:cs="Book Antiqua"/>
          <w:b/>
          <w:bCs/>
          <w:color w:val="000000"/>
        </w:rPr>
        <w:t>Coussens LM</w:t>
      </w:r>
      <w:r w:rsidRPr="00C51CF1">
        <w:rPr>
          <w:rFonts w:ascii="Book Antiqua" w:eastAsia="Book Antiqua" w:hAnsi="Book Antiqua" w:cs="Book Antiqua"/>
          <w:color w:val="000000"/>
        </w:rPr>
        <w:t xml:space="preserve">, Werb Z. Inflammation and cancer. </w:t>
      </w:r>
      <w:r w:rsidRPr="00C51CF1">
        <w:rPr>
          <w:rFonts w:ascii="Book Antiqua" w:eastAsia="Book Antiqua" w:hAnsi="Book Antiqua" w:cs="Book Antiqua"/>
          <w:i/>
          <w:iCs/>
          <w:color w:val="000000"/>
        </w:rPr>
        <w:t>Nature</w:t>
      </w:r>
      <w:r w:rsidRPr="00C51CF1">
        <w:rPr>
          <w:rFonts w:ascii="Book Antiqua" w:eastAsia="Book Antiqua" w:hAnsi="Book Antiqua" w:cs="Book Antiqua"/>
          <w:color w:val="000000"/>
        </w:rPr>
        <w:t xml:space="preserve"> 2002; </w:t>
      </w:r>
      <w:r w:rsidRPr="00C51CF1">
        <w:rPr>
          <w:rFonts w:ascii="Book Antiqua" w:eastAsia="Book Antiqua" w:hAnsi="Book Antiqua" w:cs="Book Antiqua"/>
          <w:b/>
          <w:bCs/>
          <w:color w:val="000000"/>
        </w:rPr>
        <w:t>420</w:t>
      </w:r>
      <w:r w:rsidRPr="00C51CF1">
        <w:rPr>
          <w:rFonts w:ascii="Book Antiqua" w:eastAsia="Book Antiqua" w:hAnsi="Book Antiqua" w:cs="Book Antiqua"/>
          <w:color w:val="000000"/>
        </w:rPr>
        <w:t>: 860-867 [PMID: 12490959 DOI: 10.1038/nature01322]</w:t>
      </w:r>
    </w:p>
    <w:p w14:paraId="3DBCBBFC" w14:textId="63BDA418" w:rsidR="008F4707" w:rsidRPr="00C51CF1" w:rsidRDefault="005B1767">
      <w:pPr>
        <w:spacing w:line="360" w:lineRule="auto"/>
        <w:jc w:val="both"/>
        <w:rPr>
          <w:rFonts w:ascii="Book Antiqua" w:hAnsi="Book Antiqua"/>
          <w:lang w:val="en-US"/>
        </w:rPr>
      </w:pPr>
      <w:r w:rsidRPr="00C51CF1">
        <w:rPr>
          <w:rFonts w:ascii="Book Antiqua" w:eastAsia="Book Antiqua" w:hAnsi="Book Antiqua" w:cs="Book Antiqua"/>
          <w:color w:val="000000"/>
        </w:rPr>
        <w:t xml:space="preserve">38 </w:t>
      </w:r>
      <w:r w:rsidR="008F4707" w:rsidRPr="00C51CF1">
        <w:rPr>
          <w:rFonts w:ascii="Book Antiqua" w:hAnsi="Book Antiqua"/>
          <w:b/>
          <w:bCs/>
          <w:lang w:val="en-US"/>
        </w:rPr>
        <w:t>Ficht X</w:t>
      </w:r>
      <w:r w:rsidR="008F4707" w:rsidRPr="00C51CF1">
        <w:rPr>
          <w:rFonts w:ascii="Book Antiqua" w:hAnsi="Book Antiqua"/>
          <w:lang w:val="en-US"/>
        </w:rPr>
        <w:t xml:space="preserve">, Iannacone M. Immune surveillance of the liver by T cells. </w:t>
      </w:r>
      <w:r w:rsidR="008F4707" w:rsidRPr="00C51CF1">
        <w:rPr>
          <w:rFonts w:ascii="Book Antiqua" w:hAnsi="Book Antiqua"/>
          <w:i/>
          <w:iCs/>
          <w:lang w:val="en-US"/>
        </w:rPr>
        <w:t>Sci Immunol</w:t>
      </w:r>
      <w:r w:rsidR="00FB282A" w:rsidRPr="00C51CF1">
        <w:rPr>
          <w:rFonts w:ascii="Book Antiqua" w:hAnsi="Book Antiqua"/>
          <w:lang w:val="en-US"/>
        </w:rPr>
        <w:t xml:space="preserve"> </w:t>
      </w:r>
      <w:r w:rsidR="008F4707" w:rsidRPr="00C51CF1">
        <w:rPr>
          <w:rFonts w:ascii="Book Antiqua" w:hAnsi="Book Antiqua"/>
          <w:lang w:val="en-US"/>
        </w:rPr>
        <w:t>2020;</w:t>
      </w:r>
      <w:r w:rsidR="00FB282A" w:rsidRPr="00C51CF1">
        <w:rPr>
          <w:rFonts w:ascii="Book Antiqua" w:hAnsi="Book Antiqua"/>
          <w:lang w:val="en-US"/>
        </w:rPr>
        <w:t xml:space="preserve"> </w:t>
      </w:r>
      <w:r w:rsidR="008F4707" w:rsidRPr="00C51CF1">
        <w:rPr>
          <w:rFonts w:ascii="Book Antiqua" w:hAnsi="Book Antiqua"/>
          <w:b/>
          <w:bCs/>
          <w:lang w:val="en-US"/>
        </w:rPr>
        <w:t>5</w:t>
      </w:r>
      <w:r w:rsidR="008F4707" w:rsidRPr="00C51CF1">
        <w:rPr>
          <w:rFonts w:ascii="Book Antiqua" w:hAnsi="Book Antiqua"/>
          <w:lang w:val="en-US"/>
        </w:rPr>
        <w:t>:</w:t>
      </w:r>
      <w:r w:rsidR="00FB282A" w:rsidRPr="00C51CF1">
        <w:rPr>
          <w:rFonts w:ascii="Book Antiqua" w:hAnsi="Book Antiqua"/>
          <w:lang w:val="en-US"/>
        </w:rPr>
        <w:t xml:space="preserve"> </w:t>
      </w:r>
      <w:r w:rsidR="008F4707" w:rsidRPr="00C51CF1">
        <w:rPr>
          <w:rFonts w:ascii="Book Antiqua" w:hAnsi="Book Antiqua"/>
          <w:lang w:val="en-US"/>
        </w:rPr>
        <w:t>eaba2351</w:t>
      </w:r>
      <w:r w:rsidR="00FB282A" w:rsidRPr="00C51CF1">
        <w:rPr>
          <w:rFonts w:ascii="Book Antiqua" w:hAnsi="Book Antiqua"/>
          <w:lang w:val="en-US"/>
        </w:rPr>
        <w:t xml:space="preserve"> [</w:t>
      </w:r>
      <w:r w:rsidR="008F4707" w:rsidRPr="00C51CF1">
        <w:rPr>
          <w:rFonts w:ascii="Book Antiqua" w:hAnsi="Book Antiqua"/>
          <w:lang w:val="en-US"/>
        </w:rPr>
        <w:t>PMID: 32887842</w:t>
      </w:r>
      <w:r w:rsidR="00FB282A" w:rsidRPr="00C51CF1">
        <w:rPr>
          <w:rFonts w:ascii="Book Antiqua" w:hAnsi="Book Antiqua"/>
          <w:lang w:val="en-US"/>
        </w:rPr>
        <w:t xml:space="preserve"> DOI: 10.1126/sciimmunol.aba2351]</w:t>
      </w:r>
    </w:p>
    <w:p w14:paraId="222B23C4"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39 </w:t>
      </w:r>
      <w:r w:rsidRPr="00C51CF1">
        <w:rPr>
          <w:rFonts w:ascii="Book Antiqua" w:eastAsia="Book Antiqua" w:hAnsi="Book Antiqua" w:cs="Book Antiqua"/>
          <w:b/>
          <w:bCs/>
          <w:color w:val="000000"/>
        </w:rPr>
        <w:t>Lian M</w:t>
      </w:r>
      <w:r w:rsidRPr="00C51CF1">
        <w:rPr>
          <w:rFonts w:ascii="Book Antiqua" w:eastAsia="Book Antiqua" w:hAnsi="Book Antiqua" w:cs="Book Antiqua"/>
          <w:color w:val="000000"/>
        </w:rPr>
        <w:t xml:space="preserve">, Selmi C, Gershwin ME, Ma X. Myeloid Cells and Chronic Liver Disease: a Comprehensive Review. </w:t>
      </w:r>
      <w:r w:rsidRPr="00C51CF1">
        <w:rPr>
          <w:rFonts w:ascii="Book Antiqua" w:eastAsia="Book Antiqua" w:hAnsi="Book Antiqua" w:cs="Book Antiqua"/>
          <w:i/>
          <w:iCs/>
          <w:color w:val="000000"/>
        </w:rPr>
        <w:t>Clin Rev Allergy Immunol</w:t>
      </w:r>
      <w:r w:rsidRPr="00C51CF1">
        <w:rPr>
          <w:rFonts w:ascii="Book Antiqua" w:eastAsia="Book Antiqua" w:hAnsi="Book Antiqua" w:cs="Book Antiqua"/>
          <w:color w:val="000000"/>
        </w:rPr>
        <w:t xml:space="preserve"> 2018; </w:t>
      </w:r>
      <w:r w:rsidRPr="00C51CF1">
        <w:rPr>
          <w:rFonts w:ascii="Book Antiqua" w:eastAsia="Book Antiqua" w:hAnsi="Book Antiqua" w:cs="Book Antiqua"/>
          <w:b/>
          <w:bCs/>
          <w:color w:val="000000"/>
        </w:rPr>
        <w:t>54</w:t>
      </w:r>
      <w:r w:rsidRPr="00C51CF1">
        <w:rPr>
          <w:rFonts w:ascii="Book Antiqua" w:eastAsia="Book Antiqua" w:hAnsi="Book Antiqua" w:cs="Book Antiqua"/>
          <w:color w:val="000000"/>
        </w:rPr>
        <w:t>: 307-317 [PMID: 29313221 DOI: 10.1007/s12016-017-8664-x]</w:t>
      </w:r>
    </w:p>
    <w:p w14:paraId="6C07E2DA"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40 </w:t>
      </w:r>
      <w:r w:rsidRPr="00C51CF1">
        <w:rPr>
          <w:rFonts w:ascii="Book Antiqua" w:eastAsia="Book Antiqua" w:hAnsi="Book Antiqua" w:cs="Book Antiqua"/>
          <w:b/>
          <w:bCs/>
          <w:color w:val="000000"/>
        </w:rPr>
        <w:t>Pallett LJ</w:t>
      </w:r>
      <w:r w:rsidRPr="00C51CF1">
        <w:rPr>
          <w:rFonts w:ascii="Book Antiqua" w:eastAsia="Book Antiqua" w:hAnsi="Book Antiqua" w:cs="Book Antiqua"/>
          <w:color w:val="000000"/>
        </w:rPr>
        <w:t>, Davies J, Colbeck EJ, Robertson F, Hansi N, Easom NJW, Burton AR, Stegmann KA, Schurich A, Swadling L, Gill US, Male V, Luong T, Gander A, Davidson BR, Kennedy PTF, Maini MK. IL-2</w:t>
      </w:r>
      <w:r w:rsidRPr="00C51CF1">
        <w:rPr>
          <w:rFonts w:ascii="Book Antiqua" w:eastAsia="Book Antiqua" w:hAnsi="Book Antiqua" w:cs="Book Antiqua"/>
          <w:color w:val="000000"/>
          <w:vertAlign w:val="superscript"/>
        </w:rPr>
        <w:t>high</w:t>
      </w:r>
      <w:r w:rsidRPr="00C51CF1">
        <w:rPr>
          <w:rFonts w:ascii="Book Antiqua" w:eastAsia="Book Antiqua" w:hAnsi="Book Antiqua" w:cs="Book Antiqua"/>
          <w:color w:val="000000"/>
        </w:rPr>
        <w:t xml:space="preserve"> tissue-resident T cells in the human liver: Sentinels for hepatotropic infection. </w:t>
      </w:r>
      <w:r w:rsidRPr="00C51CF1">
        <w:rPr>
          <w:rFonts w:ascii="Book Antiqua" w:eastAsia="Book Antiqua" w:hAnsi="Book Antiqua" w:cs="Book Antiqua"/>
          <w:i/>
          <w:iCs/>
          <w:color w:val="000000"/>
        </w:rPr>
        <w:t>J Exp Med</w:t>
      </w:r>
      <w:r w:rsidRPr="00C51CF1">
        <w:rPr>
          <w:rFonts w:ascii="Book Antiqua" w:eastAsia="Book Antiqua" w:hAnsi="Book Antiqua" w:cs="Book Antiqua"/>
          <w:color w:val="000000"/>
        </w:rPr>
        <w:t xml:space="preserve"> 2017; </w:t>
      </w:r>
      <w:r w:rsidRPr="00C51CF1">
        <w:rPr>
          <w:rFonts w:ascii="Book Antiqua" w:eastAsia="Book Antiqua" w:hAnsi="Book Antiqua" w:cs="Book Antiqua"/>
          <w:b/>
          <w:bCs/>
          <w:color w:val="000000"/>
        </w:rPr>
        <w:t>214</w:t>
      </w:r>
      <w:r w:rsidRPr="00C51CF1">
        <w:rPr>
          <w:rFonts w:ascii="Book Antiqua" w:eastAsia="Book Antiqua" w:hAnsi="Book Antiqua" w:cs="Book Antiqua"/>
          <w:color w:val="000000"/>
        </w:rPr>
        <w:t>: 1567-1580 [PMID: 28526759 DOI: 10.1084/jem.20162115]</w:t>
      </w:r>
    </w:p>
    <w:p w14:paraId="0596BE6F"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41 </w:t>
      </w:r>
      <w:r w:rsidRPr="00C51CF1">
        <w:rPr>
          <w:rFonts w:ascii="Book Antiqua" w:eastAsia="Book Antiqua" w:hAnsi="Book Antiqua" w:cs="Book Antiqua"/>
          <w:b/>
          <w:bCs/>
          <w:color w:val="000000"/>
        </w:rPr>
        <w:t>Piconese S</w:t>
      </w:r>
      <w:r w:rsidRPr="00C51CF1">
        <w:rPr>
          <w:rFonts w:ascii="Book Antiqua" w:eastAsia="Book Antiqua" w:hAnsi="Book Antiqua" w:cs="Book Antiqua"/>
          <w:color w:val="000000"/>
        </w:rPr>
        <w:t xml:space="preserve">, Cammarata I, Barnaba V. Viral hepatitis, inflammation, and cancer: A lesson for autoimmunity. </w:t>
      </w:r>
      <w:r w:rsidRPr="00C51CF1">
        <w:rPr>
          <w:rFonts w:ascii="Book Antiqua" w:eastAsia="Book Antiqua" w:hAnsi="Book Antiqua" w:cs="Book Antiqua"/>
          <w:i/>
          <w:iCs/>
          <w:color w:val="000000"/>
        </w:rPr>
        <w:t>J Autoimmun</w:t>
      </w:r>
      <w:r w:rsidRPr="00C51CF1">
        <w:rPr>
          <w:rFonts w:ascii="Book Antiqua" w:eastAsia="Book Antiqua" w:hAnsi="Book Antiqua" w:cs="Book Antiqua"/>
          <w:color w:val="000000"/>
        </w:rPr>
        <w:t xml:space="preserve"> 2018; </w:t>
      </w:r>
      <w:r w:rsidRPr="00C51CF1">
        <w:rPr>
          <w:rFonts w:ascii="Book Antiqua" w:eastAsia="Book Antiqua" w:hAnsi="Book Antiqua" w:cs="Book Antiqua"/>
          <w:b/>
          <w:bCs/>
          <w:color w:val="000000"/>
        </w:rPr>
        <w:t>95</w:t>
      </w:r>
      <w:r w:rsidRPr="00C51CF1">
        <w:rPr>
          <w:rFonts w:ascii="Book Antiqua" w:eastAsia="Book Antiqua" w:hAnsi="Book Antiqua" w:cs="Book Antiqua"/>
          <w:color w:val="000000"/>
        </w:rPr>
        <w:t>: 58-68 [PMID: 30509387 DOI: 10.1016/j.jaut.2018.10.021]</w:t>
      </w:r>
    </w:p>
    <w:p w14:paraId="031457E8"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42 </w:t>
      </w:r>
      <w:r w:rsidRPr="00C51CF1">
        <w:rPr>
          <w:rFonts w:ascii="Book Antiqua" w:eastAsia="Book Antiqua" w:hAnsi="Book Antiqua" w:cs="Book Antiqua"/>
          <w:b/>
          <w:bCs/>
          <w:color w:val="000000"/>
        </w:rPr>
        <w:t>Thornton AM</w:t>
      </w:r>
      <w:r w:rsidRPr="00C51CF1">
        <w:rPr>
          <w:rFonts w:ascii="Book Antiqua" w:eastAsia="Book Antiqua" w:hAnsi="Book Antiqua" w:cs="Book Antiqua"/>
          <w:color w:val="000000"/>
        </w:rPr>
        <w:t xml:space="preserve">, Shevach EM. CD4+CD25+ immunoregulatory T cells suppress polyclonal T cell activation </w:t>
      </w:r>
      <w:r w:rsidRPr="00C51CF1">
        <w:rPr>
          <w:rFonts w:ascii="Book Antiqua" w:eastAsia="Book Antiqua" w:hAnsi="Book Antiqua" w:cs="Book Antiqua"/>
          <w:i/>
          <w:iCs/>
          <w:color w:val="000000"/>
        </w:rPr>
        <w:t>in vitro</w:t>
      </w:r>
      <w:r w:rsidRPr="00C51CF1">
        <w:rPr>
          <w:rFonts w:ascii="Book Antiqua" w:eastAsia="Book Antiqua" w:hAnsi="Book Antiqua" w:cs="Book Antiqua"/>
          <w:color w:val="000000"/>
        </w:rPr>
        <w:t xml:space="preserve"> by inhibiting interleukin 2 production. </w:t>
      </w:r>
      <w:r w:rsidRPr="00C51CF1">
        <w:rPr>
          <w:rFonts w:ascii="Book Antiqua" w:eastAsia="Book Antiqua" w:hAnsi="Book Antiqua" w:cs="Book Antiqua"/>
          <w:i/>
          <w:iCs/>
          <w:color w:val="000000"/>
        </w:rPr>
        <w:t>J Exp Med</w:t>
      </w:r>
      <w:r w:rsidRPr="00C51CF1">
        <w:rPr>
          <w:rFonts w:ascii="Book Antiqua" w:eastAsia="Book Antiqua" w:hAnsi="Book Antiqua" w:cs="Book Antiqua"/>
          <w:color w:val="000000"/>
        </w:rPr>
        <w:t xml:space="preserve"> 1998; </w:t>
      </w:r>
      <w:r w:rsidRPr="00C51CF1">
        <w:rPr>
          <w:rFonts w:ascii="Book Antiqua" w:eastAsia="Book Antiqua" w:hAnsi="Book Antiqua" w:cs="Book Antiqua"/>
          <w:b/>
          <w:bCs/>
          <w:color w:val="000000"/>
        </w:rPr>
        <w:t>188</w:t>
      </w:r>
      <w:r w:rsidRPr="00C51CF1">
        <w:rPr>
          <w:rFonts w:ascii="Book Antiqua" w:eastAsia="Book Antiqua" w:hAnsi="Book Antiqua" w:cs="Book Antiqua"/>
          <w:color w:val="000000"/>
        </w:rPr>
        <w:t>: 287-296 [PMID: 9670041 DOI: 10.1084/jem.188.2.287]</w:t>
      </w:r>
    </w:p>
    <w:p w14:paraId="3E7D1FDF"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43 </w:t>
      </w:r>
      <w:r w:rsidRPr="00C51CF1">
        <w:rPr>
          <w:rFonts w:ascii="Book Antiqua" w:eastAsia="Book Antiqua" w:hAnsi="Book Antiqua" w:cs="Book Antiqua"/>
          <w:b/>
          <w:bCs/>
          <w:color w:val="000000"/>
        </w:rPr>
        <w:t>Ng WF</w:t>
      </w:r>
      <w:r w:rsidRPr="00C51CF1">
        <w:rPr>
          <w:rFonts w:ascii="Book Antiqua" w:eastAsia="Book Antiqua" w:hAnsi="Book Antiqua" w:cs="Book Antiqua"/>
          <w:color w:val="000000"/>
        </w:rPr>
        <w:t xml:space="preserve">, Duggan PJ, Ponchel F, Matarese G, Lombardi G, Edwards AD, Isaacs JD, Lechler RI. Human CD4(+)CD25(+) cells: a naturally occurring population of regulatory T cells. </w:t>
      </w:r>
      <w:r w:rsidRPr="00C51CF1">
        <w:rPr>
          <w:rFonts w:ascii="Book Antiqua" w:eastAsia="Book Antiqua" w:hAnsi="Book Antiqua" w:cs="Book Antiqua"/>
          <w:i/>
          <w:iCs/>
          <w:color w:val="000000"/>
        </w:rPr>
        <w:t>Blood</w:t>
      </w:r>
      <w:r w:rsidRPr="00C51CF1">
        <w:rPr>
          <w:rFonts w:ascii="Book Antiqua" w:eastAsia="Book Antiqua" w:hAnsi="Book Antiqua" w:cs="Book Antiqua"/>
          <w:color w:val="000000"/>
        </w:rPr>
        <w:t xml:space="preserve"> 2001; </w:t>
      </w:r>
      <w:r w:rsidRPr="00C51CF1">
        <w:rPr>
          <w:rFonts w:ascii="Book Antiqua" w:eastAsia="Book Antiqua" w:hAnsi="Book Antiqua" w:cs="Book Antiqua"/>
          <w:b/>
          <w:bCs/>
          <w:color w:val="000000"/>
        </w:rPr>
        <w:t>98</w:t>
      </w:r>
      <w:r w:rsidRPr="00C51CF1">
        <w:rPr>
          <w:rFonts w:ascii="Book Antiqua" w:eastAsia="Book Antiqua" w:hAnsi="Book Antiqua" w:cs="Book Antiqua"/>
          <w:color w:val="000000"/>
        </w:rPr>
        <w:t>: 2736-2744 [PMID: 11675346 DOI: 10.1182/blood.v98.9.2736]</w:t>
      </w:r>
    </w:p>
    <w:p w14:paraId="613C7784"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44 </w:t>
      </w:r>
      <w:r w:rsidRPr="00C51CF1">
        <w:rPr>
          <w:rFonts w:ascii="Book Antiqua" w:eastAsia="Book Antiqua" w:hAnsi="Book Antiqua" w:cs="Book Antiqua"/>
          <w:b/>
          <w:bCs/>
          <w:color w:val="000000"/>
        </w:rPr>
        <w:t>Fontenot JD</w:t>
      </w:r>
      <w:r w:rsidRPr="00C51CF1">
        <w:rPr>
          <w:rFonts w:ascii="Book Antiqua" w:eastAsia="Book Antiqua" w:hAnsi="Book Antiqua" w:cs="Book Antiqua"/>
          <w:color w:val="000000"/>
        </w:rPr>
        <w:t xml:space="preserve">, Gavin MA, Rudensky AY. Foxp3 programs the development and function of CD4+CD25+ regulatory T cells. </w:t>
      </w:r>
      <w:r w:rsidRPr="00C51CF1">
        <w:rPr>
          <w:rFonts w:ascii="Book Antiqua" w:eastAsia="Book Antiqua" w:hAnsi="Book Antiqua" w:cs="Book Antiqua"/>
          <w:i/>
          <w:iCs/>
          <w:color w:val="000000"/>
        </w:rPr>
        <w:t>Nat Immunol</w:t>
      </w:r>
      <w:r w:rsidRPr="00C51CF1">
        <w:rPr>
          <w:rFonts w:ascii="Book Antiqua" w:eastAsia="Book Antiqua" w:hAnsi="Book Antiqua" w:cs="Book Antiqua"/>
          <w:color w:val="000000"/>
        </w:rPr>
        <w:t xml:space="preserve"> 2003; </w:t>
      </w:r>
      <w:r w:rsidRPr="00C51CF1">
        <w:rPr>
          <w:rFonts w:ascii="Book Antiqua" w:eastAsia="Book Antiqua" w:hAnsi="Book Antiqua" w:cs="Book Antiqua"/>
          <w:b/>
          <w:bCs/>
          <w:color w:val="000000"/>
        </w:rPr>
        <w:t>4</w:t>
      </w:r>
      <w:r w:rsidRPr="00C51CF1">
        <w:rPr>
          <w:rFonts w:ascii="Book Antiqua" w:eastAsia="Book Antiqua" w:hAnsi="Book Antiqua" w:cs="Book Antiqua"/>
          <w:color w:val="000000"/>
        </w:rPr>
        <w:t>: 330-336 [PMID: 12612578 DOI: 10.1038/ni904]</w:t>
      </w:r>
    </w:p>
    <w:p w14:paraId="67C1FB10"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45 </w:t>
      </w:r>
      <w:r w:rsidRPr="00C51CF1">
        <w:rPr>
          <w:rFonts w:ascii="Book Antiqua" w:eastAsia="Book Antiqua" w:hAnsi="Book Antiqua" w:cs="Book Antiqua"/>
          <w:b/>
          <w:bCs/>
          <w:color w:val="000000"/>
        </w:rPr>
        <w:t>Hori S</w:t>
      </w:r>
      <w:r w:rsidRPr="00C51CF1">
        <w:rPr>
          <w:rFonts w:ascii="Book Antiqua" w:eastAsia="Book Antiqua" w:hAnsi="Book Antiqua" w:cs="Book Antiqua"/>
          <w:color w:val="000000"/>
        </w:rPr>
        <w:t xml:space="preserve">, Nomura T, Sakaguchi S. Control of regulatory T cell development by the transcription factor Foxp3. </w:t>
      </w:r>
      <w:r w:rsidRPr="00C51CF1">
        <w:rPr>
          <w:rFonts w:ascii="Book Antiqua" w:eastAsia="Book Antiqua" w:hAnsi="Book Antiqua" w:cs="Book Antiqua"/>
          <w:i/>
          <w:iCs/>
          <w:color w:val="000000"/>
        </w:rPr>
        <w:t>Science</w:t>
      </w:r>
      <w:r w:rsidRPr="00C51CF1">
        <w:rPr>
          <w:rFonts w:ascii="Book Antiqua" w:eastAsia="Book Antiqua" w:hAnsi="Book Antiqua" w:cs="Book Antiqua"/>
          <w:color w:val="000000"/>
        </w:rPr>
        <w:t xml:space="preserve"> 2003; </w:t>
      </w:r>
      <w:r w:rsidRPr="00C51CF1">
        <w:rPr>
          <w:rFonts w:ascii="Book Antiqua" w:eastAsia="Book Antiqua" w:hAnsi="Book Antiqua" w:cs="Book Antiqua"/>
          <w:b/>
          <w:bCs/>
          <w:color w:val="000000"/>
        </w:rPr>
        <w:t>299</w:t>
      </w:r>
      <w:r w:rsidRPr="00C51CF1">
        <w:rPr>
          <w:rFonts w:ascii="Book Antiqua" w:eastAsia="Book Antiqua" w:hAnsi="Book Antiqua" w:cs="Book Antiqua"/>
          <w:color w:val="000000"/>
        </w:rPr>
        <w:t>: 1057-1061 [PMID: 12522256 DOI: 10.1126/science.1079490]</w:t>
      </w:r>
    </w:p>
    <w:p w14:paraId="17C9752C" w14:textId="1A629C28"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46 </w:t>
      </w:r>
      <w:r w:rsidRPr="00C51CF1">
        <w:rPr>
          <w:rFonts w:ascii="Book Antiqua" w:eastAsia="Book Antiqua" w:hAnsi="Book Antiqua" w:cs="Book Antiqua"/>
          <w:b/>
          <w:bCs/>
          <w:color w:val="000000"/>
        </w:rPr>
        <w:t>Khattri R</w:t>
      </w:r>
      <w:r w:rsidRPr="00C51CF1">
        <w:rPr>
          <w:rFonts w:ascii="Book Antiqua" w:eastAsia="Book Antiqua" w:hAnsi="Book Antiqua" w:cs="Book Antiqua"/>
          <w:color w:val="000000"/>
        </w:rPr>
        <w:t xml:space="preserve">, Cox T, Yasayko SA, Ramsdell F. An essential role for Scurfin in CD4+CD25+ T regulatory cells. </w:t>
      </w:r>
      <w:r w:rsidRPr="00C51CF1">
        <w:rPr>
          <w:rFonts w:ascii="Book Antiqua" w:eastAsia="Book Antiqua" w:hAnsi="Book Antiqua" w:cs="Book Antiqua"/>
          <w:i/>
          <w:iCs/>
          <w:color w:val="000000"/>
        </w:rPr>
        <w:t>Nat Immunol</w:t>
      </w:r>
      <w:r w:rsidRPr="00C51CF1">
        <w:rPr>
          <w:rFonts w:ascii="Book Antiqua" w:eastAsia="Book Antiqua" w:hAnsi="Book Antiqua" w:cs="Book Antiqua"/>
          <w:color w:val="000000"/>
        </w:rPr>
        <w:t xml:space="preserve"> 2003;</w:t>
      </w:r>
      <w:r w:rsidR="008D3C43" w:rsidRPr="00C51CF1">
        <w:rPr>
          <w:rFonts w:ascii="Book Antiqua" w:eastAsia="Book Antiqua" w:hAnsi="Book Antiqua" w:cs="Book Antiqua"/>
          <w:color w:val="000000"/>
        </w:rPr>
        <w:t xml:space="preserve"> </w:t>
      </w:r>
      <w:r w:rsidRPr="00C51CF1">
        <w:rPr>
          <w:rFonts w:ascii="Book Antiqua" w:eastAsia="Book Antiqua" w:hAnsi="Book Antiqua" w:cs="Book Antiqua"/>
          <w:b/>
          <w:bCs/>
          <w:color w:val="000000"/>
        </w:rPr>
        <w:t>4</w:t>
      </w:r>
      <w:r w:rsidRPr="00C51CF1">
        <w:rPr>
          <w:rFonts w:ascii="Book Antiqua" w:eastAsia="Book Antiqua" w:hAnsi="Book Antiqua" w:cs="Book Antiqua"/>
          <w:color w:val="000000"/>
        </w:rPr>
        <w:t>:</w:t>
      </w:r>
      <w:r w:rsidR="008D3C43" w:rsidRPr="00C51CF1">
        <w:rPr>
          <w:rFonts w:ascii="Book Antiqua" w:eastAsia="Book Antiqua" w:hAnsi="Book Antiqua" w:cs="Book Antiqua"/>
          <w:color w:val="000000"/>
        </w:rPr>
        <w:t xml:space="preserve"> </w:t>
      </w:r>
      <w:r w:rsidRPr="00C51CF1">
        <w:rPr>
          <w:rFonts w:ascii="Book Antiqua" w:eastAsia="Book Antiqua" w:hAnsi="Book Antiqua" w:cs="Book Antiqua"/>
          <w:color w:val="000000"/>
        </w:rPr>
        <w:t>337-</w:t>
      </w:r>
      <w:r w:rsidR="008D3C43" w:rsidRPr="00C51CF1">
        <w:rPr>
          <w:rFonts w:ascii="Book Antiqua" w:eastAsia="Book Antiqua" w:hAnsi="Book Antiqua" w:cs="Book Antiqua"/>
          <w:color w:val="000000"/>
        </w:rPr>
        <w:t>3</w:t>
      </w:r>
      <w:r w:rsidRPr="00C51CF1">
        <w:rPr>
          <w:rFonts w:ascii="Book Antiqua" w:eastAsia="Book Antiqua" w:hAnsi="Book Antiqua" w:cs="Book Antiqua"/>
          <w:color w:val="000000"/>
        </w:rPr>
        <w:t>42</w:t>
      </w:r>
    </w:p>
    <w:p w14:paraId="26A0E317"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47 </w:t>
      </w:r>
      <w:r w:rsidRPr="00C51CF1">
        <w:rPr>
          <w:rFonts w:ascii="Book Antiqua" w:eastAsia="Book Antiqua" w:hAnsi="Book Antiqua" w:cs="Book Antiqua"/>
          <w:b/>
          <w:bCs/>
          <w:color w:val="000000"/>
        </w:rPr>
        <w:t>McHugh RS</w:t>
      </w:r>
      <w:r w:rsidRPr="00C51CF1">
        <w:rPr>
          <w:rFonts w:ascii="Book Antiqua" w:eastAsia="Book Antiqua" w:hAnsi="Book Antiqua" w:cs="Book Antiqua"/>
          <w:color w:val="000000"/>
        </w:rPr>
        <w:t xml:space="preserve">, Whitters MJ, Piccirillo CA, Young DA, Shevach EM, Collins M, Byrne MC. CD4(+)CD25(+) immunoregulatory T cells: gene expression analysis reveals a functional role for the glucocorticoid-induced TNF receptor. </w:t>
      </w:r>
      <w:r w:rsidRPr="00C51CF1">
        <w:rPr>
          <w:rFonts w:ascii="Book Antiqua" w:eastAsia="Book Antiqua" w:hAnsi="Book Antiqua" w:cs="Book Antiqua"/>
          <w:i/>
          <w:iCs/>
          <w:color w:val="000000"/>
        </w:rPr>
        <w:t>Immunity</w:t>
      </w:r>
      <w:r w:rsidRPr="00C51CF1">
        <w:rPr>
          <w:rFonts w:ascii="Book Antiqua" w:eastAsia="Book Antiqua" w:hAnsi="Book Antiqua" w:cs="Book Antiqua"/>
          <w:color w:val="000000"/>
        </w:rPr>
        <w:t xml:space="preserve"> 2002; </w:t>
      </w:r>
      <w:r w:rsidRPr="00C51CF1">
        <w:rPr>
          <w:rFonts w:ascii="Book Antiqua" w:eastAsia="Book Antiqua" w:hAnsi="Book Antiqua" w:cs="Book Antiqua"/>
          <w:b/>
          <w:bCs/>
          <w:color w:val="000000"/>
        </w:rPr>
        <w:t>16</w:t>
      </w:r>
      <w:r w:rsidRPr="00C51CF1">
        <w:rPr>
          <w:rFonts w:ascii="Book Antiqua" w:eastAsia="Book Antiqua" w:hAnsi="Book Antiqua" w:cs="Book Antiqua"/>
          <w:color w:val="000000"/>
        </w:rPr>
        <w:t>: 311-323 [PMID: 11869690 DOI: 10.1016/s1074-7613(02)00280-7]</w:t>
      </w:r>
    </w:p>
    <w:p w14:paraId="0534B57D"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48 </w:t>
      </w:r>
      <w:r w:rsidRPr="00C51CF1">
        <w:rPr>
          <w:rFonts w:ascii="Book Antiqua" w:eastAsia="Book Antiqua" w:hAnsi="Book Antiqua" w:cs="Book Antiqua"/>
          <w:b/>
          <w:bCs/>
          <w:color w:val="000000"/>
        </w:rPr>
        <w:t>Shimizu J</w:t>
      </w:r>
      <w:r w:rsidRPr="00C51CF1">
        <w:rPr>
          <w:rFonts w:ascii="Book Antiqua" w:eastAsia="Book Antiqua" w:hAnsi="Book Antiqua" w:cs="Book Antiqua"/>
          <w:color w:val="000000"/>
        </w:rPr>
        <w:t xml:space="preserve">, Yamazaki S, Takahashi T, Ishida Y, Sakaguchi S. Stimulation of CD25(+)CD4(+) regulatory T cells through GITR breaks immunological self-tolerance. </w:t>
      </w:r>
      <w:r w:rsidRPr="00C51CF1">
        <w:rPr>
          <w:rFonts w:ascii="Book Antiqua" w:eastAsia="Book Antiqua" w:hAnsi="Book Antiqua" w:cs="Book Antiqua"/>
          <w:i/>
          <w:iCs/>
          <w:color w:val="000000"/>
        </w:rPr>
        <w:t>Nat Immunol</w:t>
      </w:r>
      <w:r w:rsidRPr="00C51CF1">
        <w:rPr>
          <w:rFonts w:ascii="Book Antiqua" w:eastAsia="Book Antiqua" w:hAnsi="Book Antiqua" w:cs="Book Antiqua"/>
          <w:color w:val="000000"/>
        </w:rPr>
        <w:t xml:space="preserve"> 2002; </w:t>
      </w:r>
      <w:r w:rsidRPr="00C51CF1">
        <w:rPr>
          <w:rFonts w:ascii="Book Antiqua" w:eastAsia="Book Antiqua" w:hAnsi="Book Antiqua" w:cs="Book Antiqua"/>
          <w:b/>
          <w:bCs/>
          <w:color w:val="000000"/>
        </w:rPr>
        <w:t>3</w:t>
      </w:r>
      <w:r w:rsidRPr="00C51CF1">
        <w:rPr>
          <w:rFonts w:ascii="Book Antiqua" w:eastAsia="Book Antiqua" w:hAnsi="Book Antiqua" w:cs="Book Antiqua"/>
          <w:color w:val="000000"/>
        </w:rPr>
        <w:t>: 135-142 [PMID: 11812990 DOI: 10.1038/ni759]</w:t>
      </w:r>
    </w:p>
    <w:p w14:paraId="52231E80"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49 </w:t>
      </w:r>
      <w:r w:rsidRPr="00C51CF1">
        <w:rPr>
          <w:rFonts w:ascii="Book Antiqua" w:eastAsia="Book Antiqua" w:hAnsi="Book Antiqua" w:cs="Book Antiqua"/>
          <w:b/>
          <w:bCs/>
          <w:color w:val="000000"/>
        </w:rPr>
        <w:t>Wing JB</w:t>
      </w:r>
      <w:r w:rsidRPr="00C51CF1">
        <w:rPr>
          <w:rFonts w:ascii="Book Antiqua" w:eastAsia="Book Antiqua" w:hAnsi="Book Antiqua" w:cs="Book Antiqua"/>
          <w:color w:val="000000"/>
        </w:rPr>
        <w:t xml:space="preserve">, Sakaguchi S. Multiple treg suppressive modules and their adaptability. </w:t>
      </w:r>
      <w:r w:rsidRPr="00C51CF1">
        <w:rPr>
          <w:rFonts w:ascii="Book Antiqua" w:eastAsia="Book Antiqua" w:hAnsi="Book Antiqua" w:cs="Book Antiqua"/>
          <w:i/>
          <w:iCs/>
          <w:color w:val="000000"/>
        </w:rPr>
        <w:t>Front Immunol</w:t>
      </w:r>
      <w:r w:rsidRPr="00C51CF1">
        <w:rPr>
          <w:rFonts w:ascii="Book Antiqua" w:eastAsia="Book Antiqua" w:hAnsi="Book Antiqua" w:cs="Book Antiqua"/>
          <w:color w:val="000000"/>
        </w:rPr>
        <w:t xml:space="preserve"> 2012; </w:t>
      </w:r>
      <w:r w:rsidRPr="00C51CF1">
        <w:rPr>
          <w:rFonts w:ascii="Book Antiqua" w:eastAsia="Book Antiqua" w:hAnsi="Book Antiqua" w:cs="Book Antiqua"/>
          <w:b/>
          <w:bCs/>
          <w:color w:val="000000"/>
        </w:rPr>
        <w:t>3</w:t>
      </w:r>
      <w:r w:rsidRPr="00C51CF1">
        <w:rPr>
          <w:rFonts w:ascii="Book Antiqua" w:eastAsia="Book Antiqua" w:hAnsi="Book Antiqua" w:cs="Book Antiqua"/>
          <w:color w:val="000000"/>
        </w:rPr>
        <w:t>: 178 [PMID: 22754556 DOI: 10.3389/fimmu.2012.00178]</w:t>
      </w:r>
    </w:p>
    <w:p w14:paraId="28560724"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50 </w:t>
      </w:r>
      <w:r w:rsidRPr="00C51CF1">
        <w:rPr>
          <w:rFonts w:ascii="Book Antiqua" w:eastAsia="Book Antiqua" w:hAnsi="Book Antiqua" w:cs="Book Antiqua"/>
          <w:b/>
          <w:bCs/>
          <w:color w:val="000000"/>
        </w:rPr>
        <w:t>Oderup C</w:t>
      </w:r>
      <w:r w:rsidRPr="00C51CF1">
        <w:rPr>
          <w:rFonts w:ascii="Book Antiqua" w:eastAsia="Book Antiqua" w:hAnsi="Book Antiqua" w:cs="Book Antiqua"/>
          <w:color w:val="000000"/>
        </w:rPr>
        <w:t xml:space="preserve">, Cederbom L, Makowska A, Cilio CM, Ivars F. Cytotoxic T lymphocyte antigen-4-dependent down-modulation of costimulatory molecules on dendritic cells in CD4+ CD25+ regulatory T-cell-mediated suppression. </w:t>
      </w:r>
      <w:r w:rsidRPr="00C51CF1">
        <w:rPr>
          <w:rFonts w:ascii="Book Antiqua" w:eastAsia="Book Antiqua" w:hAnsi="Book Antiqua" w:cs="Book Antiqua"/>
          <w:i/>
          <w:iCs/>
          <w:color w:val="000000"/>
        </w:rPr>
        <w:t>Immunology</w:t>
      </w:r>
      <w:r w:rsidRPr="00C51CF1">
        <w:rPr>
          <w:rFonts w:ascii="Book Antiqua" w:eastAsia="Book Antiqua" w:hAnsi="Book Antiqua" w:cs="Book Antiqua"/>
          <w:color w:val="000000"/>
        </w:rPr>
        <w:t xml:space="preserve"> 2006; </w:t>
      </w:r>
      <w:r w:rsidRPr="00C51CF1">
        <w:rPr>
          <w:rFonts w:ascii="Book Antiqua" w:eastAsia="Book Antiqua" w:hAnsi="Book Antiqua" w:cs="Book Antiqua"/>
          <w:b/>
          <w:bCs/>
          <w:color w:val="000000"/>
        </w:rPr>
        <w:t>118</w:t>
      </w:r>
      <w:r w:rsidRPr="00C51CF1">
        <w:rPr>
          <w:rFonts w:ascii="Book Antiqua" w:eastAsia="Book Antiqua" w:hAnsi="Book Antiqua" w:cs="Book Antiqua"/>
          <w:color w:val="000000"/>
        </w:rPr>
        <w:t>: 240-249 [PMID: 16771859 DOI: 10.1111/j.1365-2567.2006.02362.x]</w:t>
      </w:r>
    </w:p>
    <w:p w14:paraId="075CC679"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51 </w:t>
      </w:r>
      <w:r w:rsidRPr="00C51CF1">
        <w:rPr>
          <w:rFonts w:ascii="Book Antiqua" w:eastAsia="Book Antiqua" w:hAnsi="Book Antiqua" w:cs="Book Antiqua"/>
          <w:b/>
          <w:bCs/>
          <w:color w:val="000000"/>
        </w:rPr>
        <w:t>Onishi Y</w:t>
      </w:r>
      <w:r w:rsidRPr="00C51CF1">
        <w:rPr>
          <w:rFonts w:ascii="Book Antiqua" w:eastAsia="Book Antiqua" w:hAnsi="Book Antiqua" w:cs="Book Antiqua"/>
          <w:color w:val="000000"/>
        </w:rPr>
        <w:t xml:space="preserve">, Fehervari Z, Yamaguchi T, Sakaguchi S. Foxp3+ natural regulatory T cells preferentially form aggregates on dendritic cells </w:t>
      </w:r>
      <w:r w:rsidRPr="00C51CF1">
        <w:rPr>
          <w:rFonts w:ascii="Book Antiqua" w:eastAsia="Book Antiqua" w:hAnsi="Book Antiqua" w:cs="Book Antiqua"/>
          <w:i/>
          <w:iCs/>
          <w:color w:val="000000"/>
        </w:rPr>
        <w:t>in vitro</w:t>
      </w:r>
      <w:r w:rsidRPr="00C51CF1">
        <w:rPr>
          <w:rFonts w:ascii="Book Antiqua" w:eastAsia="Book Antiqua" w:hAnsi="Book Antiqua" w:cs="Book Antiqua"/>
          <w:color w:val="000000"/>
        </w:rPr>
        <w:t xml:space="preserve"> and actively inhibit their maturation. </w:t>
      </w:r>
      <w:r w:rsidRPr="00C51CF1">
        <w:rPr>
          <w:rFonts w:ascii="Book Antiqua" w:eastAsia="Book Antiqua" w:hAnsi="Book Antiqua" w:cs="Book Antiqua"/>
          <w:i/>
          <w:iCs/>
          <w:color w:val="000000"/>
        </w:rPr>
        <w:t>Proc Natl Acad Sci U S A</w:t>
      </w:r>
      <w:r w:rsidRPr="00C51CF1">
        <w:rPr>
          <w:rFonts w:ascii="Book Antiqua" w:eastAsia="Book Antiqua" w:hAnsi="Book Antiqua" w:cs="Book Antiqua"/>
          <w:color w:val="000000"/>
        </w:rPr>
        <w:t xml:space="preserve"> 2008; </w:t>
      </w:r>
      <w:r w:rsidRPr="00C51CF1">
        <w:rPr>
          <w:rFonts w:ascii="Book Antiqua" w:eastAsia="Book Antiqua" w:hAnsi="Book Antiqua" w:cs="Book Antiqua"/>
          <w:b/>
          <w:bCs/>
          <w:color w:val="000000"/>
        </w:rPr>
        <w:t>105</w:t>
      </w:r>
      <w:r w:rsidRPr="00C51CF1">
        <w:rPr>
          <w:rFonts w:ascii="Book Antiqua" w:eastAsia="Book Antiqua" w:hAnsi="Book Antiqua" w:cs="Book Antiqua"/>
          <w:color w:val="000000"/>
        </w:rPr>
        <w:t>: 10113-10118 [PMID: 18635688 DOI: 10.1073/pnas.0711106105]</w:t>
      </w:r>
    </w:p>
    <w:p w14:paraId="0D36D3FF"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52 </w:t>
      </w:r>
      <w:r w:rsidRPr="00C51CF1">
        <w:rPr>
          <w:rFonts w:ascii="Book Antiqua" w:eastAsia="Book Antiqua" w:hAnsi="Book Antiqua" w:cs="Book Antiqua"/>
          <w:b/>
          <w:bCs/>
          <w:color w:val="000000"/>
        </w:rPr>
        <w:t>von Boehmer H</w:t>
      </w:r>
      <w:r w:rsidRPr="00C51CF1">
        <w:rPr>
          <w:rFonts w:ascii="Book Antiqua" w:eastAsia="Book Antiqua" w:hAnsi="Book Antiqua" w:cs="Book Antiqua"/>
          <w:color w:val="000000"/>
        </w:rPr>
        <w:t xml:space="preserve">. Mechanisms of suppression by suppressor T cells. </w:t>
      </w:r>
      <w:r w:rsidRPr="00C51CF1">
        <w:rPr>
          <w:rFonts w:ascii="Book Antiqua" w:eastAsia="Book Antiqua" w:hAnsi="Book Antiqua" w:cs="Book Antiqua"/>
          <w:i/>
          <w:iCs/>
          <w:color w:val="000000"/>
        </w:rPr>
        <w:t>Nat Immunol</w:t>
      </w:r>
      <w:r w:rsidRPr="00C51CF1">
        <w:rPr>
          <w:rFonts w:ascii="Book Antiqua" w:eastAsia="Book Antiqua" w:hAnsi="Book Antiqua" w:cs="Book Antiqua"/>
          <w:color w:val="000000"/>
        </w:rPr>
        <w:t xml:space="preserve"> 2005; </w:t>
      </w:r>
      <w:r w:rsidRPr="00C51CF1">
        <w:rPr>
          <w:rFonts w:ascii="Book Antiqua" w:eastAsia="Book Antiqua" w:hAnsi="Book Antiqua" w:cs="Book Antiqua"/>
          <w:b/>
          <w:bCs/>
          <w:color w:val="000000"/>
        </w:rPr>
        <w:t>6</w:t>
      </w:r>
      <w:r w:rsidRPr="00C51CF1">
        <w:rPr>
          <w:rFonts w:ascii="Book Antiqua" w:eastAsia="Book Antiqua" w:hAnsi="Book Antiqua" w:cs="Book Antiqua"/>
          <w:color w:val="000000"/>
        </w:rPr>
        <w:t>: 338-344 [PMID: 15785759 DOI: 10.1038/ni1180]</w:t>
      </w:r>
    </w:p>
    <w:p w14:paraId="0B6F8E6B"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53 </w:t>
      </w:r>
      <w:r w:rsidRPr="00C51CF1">
        <w:rPr>
          <w:rFonts w:ascii="Book Antiqua" w:eastAsia="Book Antiqua" w:hAnsi="Book Antiqua" w:cs="Book Antiqua"/>
          <w:b/>
          <w:bCs/>
          <w:color w:val="000000"/>
        </w:rPr>
        <w:t>Izcue A</w:t>
      </w:r>
      <w:r w:rsidRPr="00C51CF1">
        <w:rPr>
          <w:rFonts w:ascii="Book Antiqua" w:eastAsia="Book Antiqua" w:hAnsi="Book Antiqua" w:cs="Book Antiqua"/>
          <w:color w:val="000000"/>
        </w:rPr>
        <w:t xml:space="preserve">, Coombes JL, Powrie F. Regulatory T cells suppress systemic and mucosal immune activation to control intestinal inflammation. </w:t>
      </w:r>
      <w:r w:rsidRPr="00C51CF1">
        <w:rPr>
          <w:rFonts w:ascii="Book Antiqua" w:eastAsia="Book Antiqua" w:hAnsi="Book Antiqua" w:cs="Book Antiqua"/>
          <w:i/>
          <w:iCs/>
          <w:color w:val="000000"/>
        </w:rPr>
        <w:t>Immunol Rev</w:t>
      </w:r>
      <w:r w:rsidRPr="00C51CF1">
        <w:rPr>
          <w:rFonts w:ascii="Book Antiqua" w:eastAsia="Book Antiqua" w:hAnsi="Book Antiqua" w:cs="Book Antiqua"/>
          <w:color w:val="000000"/>
        </w:rPr>
        <w:t xml:space="preserve"> 2006; </w:t>
      </w:r>
      <w:r w:rsidRPr="00C51CF1">
        <w:rPr>
          <w:rFonts w:ascii="Book Antiqua" w:eastAsia="Book Antiqua" w:hAnsi="Book Antiqua" w:cs="Book Antiqua"/>
          <w:b/>
          <w:bCs/>
          <w:color w:val="000000"/>
        </w:rPr>
        <w:t>212</w:t>
      </w:r>
      <w:r w:rsidRPr="00C51CF1">
        <w:rPr>
          <w:rFonts w:ascii="Book Antiqua" w:eastAsia="Book Antiqua" w:hAnsi="Book Antiqua" w:cs="Book Antiqua"/>
          <w:color w:val="000000"/>
        </w:rPr>
        <w:t>: 256-271 [PMID: 16903919 DOI: 10.1111/j.0105-2896.2006.00423.x]</w:t>
      </w:r>
    </w:p>
    <w:p w14:paraId="51B75BDD"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54 </w:t>
      </w:r>
      <w:r w:rsidRPr="00C51CF1">
        <w:rPr>
          <w:rFonts w:ascii="Book Antiqua" w:eastAsia="Book Antiqua" w:hAnsi="Book Antiqua" w:cs="Book Antiqua"/>
          <w:b/>
          <w:bCs/>
          <w:color w:val="000000"/>
        </w:rPr>
        <w:t>Zou W</w:t>
      </w:r>
      <w:r w:rsidRPr="00C51CF1">
        <w:rPr>
          <w:rFonts w:ascii="Book Antiqua" w:eastAsia="Book Antiqua" w:hAnsi="Book Antiqua" w:cs="Book Antiqua"/>
          <w:color w:val="000000"/>
        </w:rPr>
        <w:t xml:space="preserve">. Regulatory T cells, tumour immunity and immunotherapy. </w:t>
      </w:r>
      <w:r w:rsidRPr="00C51CF1">
        <w:rPr>
          <w:rFonts w:ascii="Book Antiqua" w:eastAsia="Book Antiqua" w:hAnsi="Book Antiqua" w:cs="Book Antiqua"/>
          <w:i/>
          <w:iCs/>
          <w:color w:val="000000"/>
        </w:rPr>
        <w:t>Nat Rev Immunol</w:t>
      </w:r>
      <w:r w:rsidRPr="00C51CF1">
        <w:rPr>
          <w:rFonts w:ascii="Book Antiqua" w:eastAsia="Book Antiqua" w:hAnsi="Book Antiqua" w:cs="Book Antiqua"/>
          <w:color w:val="000000"/>
        </w:rPr>
        <w:t xml:space="preserve"> 2006; </w:t>
      </w:r>
      <w:r w:rsidRPr="00C51CF1">
        <w:rPr>
          <w:rFonts w:ascii="Book Antiqua" w:eastAsia="Book Antiqua" w:hAnsi="Book Antiqua" w:cs="Book Antiqua"/>
          <w:b/>
          <w:bCs/>
          <w:color w:val="000000"/>
        </w:rPr>
        <w:t>6</w:t>
      </w:r>
      <w:r w:rsidRPr="00C51CF1">
        <w:rPr>
          <w:rFonts w:ascii="Book Antiqua" w:eastAsia="Book Antiqua" w:hAnsi="Book Antiqua" w:cs="Book Antiqua"/>
          <w:color w:val="000000"/>
        </w:rPr>
        <w:t>: 295-307 [PMID: 16557261 DOI: 10.1038/nri1806]</w:t>
      </w:r>
    </w:p>
    <w:p w14:paraId="024C0195"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55 </w:t>
      </w:r>
      <w:r w:rsidRPr="00C51CF1">
        <w:rPr>
          <w:rFonts w:ascii="Book Antiqua" w:eastAsia="Book Antiqua" w:hAnsi="Book Antiqua" w:cs="Book Antiqua"/>
          <w:b/>
          <w:bCs/>
          <w:color w:val="000000"/>
        </w:rPr>
        <w:t>Chen X</w:t>
      </w:r>
      <w:r w:rsidRPr="00C51CF1">
        <w:rPr>
          <w:rFonts w:ascii="Book Antiqua" w:eastAsia="Book Antiqua" w:hAnsi="Book Antiqua" w:cs="Book Antiqua"/>
          <w:color w:val="000000"/>
        </w:rPr>
        <w:t xml:space="preserve">, Du Y, Lin X, Qian Y, Zhou T, Huang Z. CD4+CD25+ regulatory T cells in tumor immunity. </w:t>
      </w:r>
      <w:r w:rsidRPr="00C51CF1">
        <w:rPr>
          <w:rFonts w:ascii="Book Antiqua" w:eastAsia="Book Antiqua" w:hAnsi="Book Antiqua" w:cs="Book Antiqua"/>
          <w:i/>
          <w:iCs/>
          <w:color w:val="000000"/>
        </w:rPr>
        <w:t>Int Immunopharmacol</w:t>
      </w:r>
      <w:r w:rsidRPr="00C51CF1">
        <w:rPr>
          <w:rFonts w:ascii="Book Antiqua" w:eastAsia="Book Antiqua" w:hAnsi="Book Antiqua" w:cs="Book Antiqua"/>
          <w:color w:val="000000"/>
        </w:rPr>
        <w:t xml:space="preserve"> 2016; </w:t>
      </w:r>
      <w:r w:rsidRPr="00C51CF1">
        <w:rPr>
          <w:rFonts w:ascii="Book Antiqua" w:eastAsia="Book Antiqua" w:hAnsi="Book Antiqua" w:cs="Book Antiqua"/>
          <w:b/>
          <w:bCs/>
          <w:color w:val="000000"/>
        </w:rPr>
        <w:t>34</w:t>
      </w:r>
      <w:r w:rsidRPr="00C51CF1">
        <w:rPr>
          <w:rFonts w:ascii="Book Antiqua" w:eastAsia="Book Antiqua" w:hAnsi="Book Antiqua" w:cs="Book Antiqua"/>
          <w:color w:val="000000"/>
        </w:rPr>
        <w:t>: 244-249 [PMID: 26994448 DOI: 10.1016/j.intimp.2016.03.009]</w:t>
      </w:r>
    </w:p>
    <w:p w14:paraId="38E571DE"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56 </w:t>
      </w:r>
      <w:r w:rsidRPr="00C51CF1">
        <w:rPr>
          <w:rFonts w:ascii="Book Antiqua" w:eastAsia="Book Antiqua" w:hAnsi="Book Antiqua" w:cs="Book Antiqua"/>
          <w:b/>
          <w:bCs/>
          <w:color w:val="000000"/>
        </w:rPr>
        <w:t>Zheng MH</w:t>
      </w:r>
      <w:r w:rsidRPr="00C51CF1">
        <w:rPr>
          <w:rFonts w:ascii="Book Antiqua" w:eastAsia="Book Antiqua" w:hAnsi="Book Antiqua" w:cs="Book Antiqua"/>
          <w:color w:val="000000"/>
        </w:rPr>
        <w:t xml:space="preserve">, Gu DN, Braddock M, Leishman AJ, Jin C, Wen JS, Gong YW, Chen YP. CD4+ CD25+ regulatory T cells: a therapeutic target for liver diseases. </w:t>
      </w:r>
      <w:r w:rsidRPr="00C51CF1">
        <w:rPr>
          <w:rFonts w:ascii="Book Antiqua" w:eastAsia="Book Antiqua" w:hAnsi="Book Antiqua" w:cs="Book Antiqua"/>
          <w:i/>
          <w:iCs/>
          <w:color w:val="000000"/>
        </w:rPr>
        <w:t>Expert Opin Ther Targets</w:t>
      </w:r>
      <w:r w:rsidRPr="00C51CF1">
        <w:rPr>
          <w:rFonts w:ascii="Book Antiqua" w:eastAsia="Book Antiqua" w:hAnsi="Book Antiqua" w:cs="Book Antiqua"/>
          <w:color w:val="000000"/>
        </w:rPr>
        <w:t xml:space="preserve"> 2008; </w:t>
      </w:r>
      <w:r w:rsidRPr="00C51CF1">
        <w:rPr>
          <w:rFonts w:ascii="Book Antiqua" w:eastAsia="Book Antiqua" w:hAnsi="Book Antiqua" w:cs="Book Antiqua"/>
          <w:b/>
          <w:bCs/>
          <w:color w:val="000000"/>
        </w:rPr>
        <w:t>12</w:t>
      </w:r>
      <w:r w:rsidRPr="00C51CF1">
        <w:rPr>
          <w:rFonts w:ascii="Book Antiqua" w:eastAsia="Book Antiqua" w:hAnsi="Book Antiqua" w:cs="Book Antiqua"/>
          <w:color w:val="000000"/>
        </w:rPr>
        <w:t>: 313-326 [PMID: 18269341 DOI: 10.1517/14728222.12.3.313]</w:t>
      </w:r>
    </w:p>
    <w:p w14:paraId="554E2917"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57 </w:t>
      </w:r>
      <w:r w:rsidRPr="00C51CF1">
        <w:rPr>
          <w:rFonts w:ascii="Book Antiqua" w:eastAsia="Book Antiqua" w:hAnsi="Book Antiqua" w:cs="Book Antiqua"/>
          <w:b/>
          <w:bCs/>
          <w:color w:val="000000"/>
        </w:rPr>
        <w:t>Xu D</w:t>
      </w:r>
      <w:r w:rsidRPr="00C51CF1">
        <w:rPr>
          <w:rFonts w:ascii="Book Antiqua" w:eastAsia="Book Antiqua" w:hAnsi="Book Antiqua" w:cs="Book Antiqua"/>
          <w:color w:val="000000"/>
        </w:rPr>
        <w:t xml:space="preserve">, Fu J, Jin L, Zhang H, Zhou C, Zou Z, Zhao JM, Zhang B, Shi M, Ding X, Tang Z, Fu YX, Wang FS. Circulating and liver resident CD4+CD25+ regulatory T cells actively influence the antiviral immune response and disease progression in patients with hepatitis B. </w:t>
      </w:r>
      <w:r w:rsidRPr="00C51CF1">
        <w:rPr>
          <w:rFonts w:ascii="Book Antiqua" w:eastAsia="Book Antiqua" w:hAnsi="Book Antiqua" w:cs="Book Antiqua"/>
          <w:i/>
          <w:iCs/>
          <w:color w:val="000000"/>
        </w:rPr>
        <w:t>J Immunol</w:t>
      </w:r>
      <w:r w:rsidRPr="00C51CF1">
        <w:rPr>
          <w:rFonts w:ascii="Book Antiqua" w:eastAsia="Book Antiqua" w:hAnsi="Book Antiqua" w:cs="Book Antiqua"/>
          <w:color w:val="000000"/>
        </w:rPr>
        <w:t xml:space="preserve"> 2006; </w:t>
      </w:r>
      <w:r w:rsidRPr="00C51CF1">
        <w:rPr>
          <w:rFonts w:ascii="Book Antiqua" w:eastAsia="Book Antiqua" w:hAnsi="Book Antiqua" w:cs="Book Antiqua"/>
          <w:b/>
          <w:bCs/>
          <w:color w:val="000000"/>
        </w:rPr>
        <w:t>177</w:t>
      </w:r>
      <w:r w:rsidRPr="00C51CF1">
        <w:rPr>
          <w:rFonts w:ascii="Book Antiqua" w:eastAsia="Book Antiqua" w:hAnsi="Book Antiqua" w:cs="Book Antiqua"/>
          <w:color w:val="000000"/>
        </w:rPr>
        <w:t>: 739-747 [PMID: 16785573 DOI: 10.4049/jimmunol.177.1.739]</w:t>
      </w:r>
    </w:p>
    <w:p w14:paraId="328B4739"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58 </w:t>
      </w:r>
      <w:r w:rsidRPr="00C51CF1">
        <w:rPr>
          <w:rFonts w:ascii="Book Antiqua" w:eastAsia="Book Antiqua" w:hAnsi="Book Antiqua" w:cs="Book Antiqua"/>
          <w:b/>
          <w:bCs/>
          <w:color w:val="000000"/>
        </w:rPr>
        <w:t>Stoop JN</w:t>
      </w:r>
      <w:r w:rsidRPr="00C51CF1">
        <w:rPr>
          <w:rFonts w:ascii="Book Antiqua" w:eastAsia="Book Antiqua" w:hAnsi="Book Antiqua" w:cs="Book Antiqua"/>
          <w:color w:val="000000"/>
        </w:rPr>
        <w:t xml:space="preserve">, van der Molen RG, Baan CC, van der Laan LJ, Kuipers EJ, Kusters JG, Janssen HL. Regulatory T cells contribute to the impaired immune response in patients with chronic hepatitis B virus infection. </w:t>
      </w:r>
      <w:r w:rsidRPr="00C51CF1">
        <w:rPr>
          <w:rFonts w:ascii="Book Antiqua" w:eastAsia="Book Antiqua" w:hAnsi="Book Antiqua" w:cs="Book Antiqua"/>
          <w:i/>
          <w:iCs/>
          <w:color w:val="000000"/>
        </w:rPr>
        <w:t>Hepatology</w:t>
      </w:r>
      <w:r w:rsidRPr="00C51CF1">
        <w:rPr>
          <w:rFonts w:ascii="Book Antiqua" w:eastAsia="Book Antiqua" w:hAnsi="Book Antiqua" w:cs="Book Antiqua"/>
          <w:color w:val="000000"/>
        </w:rPr>
        <w:t xml:space="preserve"> 2005; </w:t>
      </w:r>
      <w:r w:rsidRPr="00C51CF1">
        <w:rPr>
          <w:rFonts w:ascii="Book Antiqua" w:eastAsia="Book Antiqua" w:hAnsi="Book Antiqua" w:cs="Book Antiqua"/>
          <w:b/>
          <w:bCs/>
          <w:color w:val="000000"/>
        </w:rPr>
        <w:t>41</w:t>
      </w:r>
      <w:r w:rsidRPr="00C51CF1">
        <w:rPr>
          <w:rFonts w:ascii="Book Antiqua" w:eastAsia="Book Antiqua" w:hAnsi="Book Antiqua" w:cs="Book Antiqua"/>
          <w:color w:val="000000"/>
        </w:rPr>
        <w:t>: 771-778 [PMID: 15791617 DOI: 10.1002/hep.20649]</w:t>
      </w:r>
    </w:p>
    <w:p w14:paraId="243836D1"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59 </w:t>
      </w:r>
      <w:r w:rsidRPr="00C51CF1">
        <w:rPr>
          <w:rFonts w:ascii="Book Antiqua" w:eastAsia="Book Antiqua" w:hAnsi="Book Antiqua" w:cs="Book Antiqua"/>
          <w:b/>
          <w:bCs/>
          <w:color w:val="000000"/>
        </w:rPr>
        <w:t>Yang G</w:t>
      </w:r>
      <w:r w:rsidRPr="00C51CF1">
        <w:rPr>
          <w:rFonts w:ascii="Book Antiqua" w:eastAsia="Book Antiqua" w:hAnsi="Book Antiqua" w:cs="Book Antiqua"/>
          <w:color w:val="000000"/>
        </w:rPr>
        <w:t xml:space="preserve">, Liu A, Xie Q, Guo TB, Wan B, Zhou B, Zhang JZ. Association of CD4+CD25+Foxp3+ regulatory T cells with chronic activity and viral clearance in patients with hepatitis B. </w:t>
      </w:r>
      <w:r w:rsidRPr="00C51CF1">
        <w:rPr>
          <w:rFonts w:ascii="Book Antiqua" w:eastAsia="Book Antiqua" w:hAnsi="Book Antiqua" w:cs="Book Antiqua"/>
          <w:i/>
          <w:iCs/>
          <w:color w:val="000000"/>
        </w:rPr>
        <w:t>Int Immunol</w:t>
      </w:r>
      <w:r w:rsidRPr="00C51CF1">
        <w:rPr>
          <w:rFonts w:ascii="Book Antiqua" w:eastAsia="Book Antiqua" w:hAnsi="Book Antiqua" w:cs="Book Antiqua"/>
          <w:color w:val="000000"/>
        </w:rPr>
        <w:t xml:space="preserve"> 2007; </w:t>
      </w:r>
      <w:r w:rsidRPr="00C51CF1">
        <w:rPr>
          <w:rFonts w:ascii="Book Antiqua" w:eastAsia="Book Antiqua" w:hAnsi="Book Antiqua" w:cs="Book Antiqua"/>
          <w:b/>
          <w:bCs/>
          <w:color w:val="000000"/>
        </w:rPr>
        <w:t>19</w:t>
      </w:r>
      <w:r w:rsidRPr="00C51CF1">
        <w:rPr>
          <w:rFonts w:ascii="Book Antiqua" w:eastAsia="Book Antiqua" w:hAnsi="Book Antiqua" w:cs="Book Antiqua"/>
          <w:color w:val="000000"/>
        </w:rPr>
        <w:t>: 133-140 [PMID: 17182968 DOI: 10.1093/intimm/dxl130]</w:t>
      </w:r>
    </w:p>
    <w:p w14:paraId="1B9BB2FD"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60 </w:t>
      </w:r>
      <w:r w:rsidRPr="00C51CF1">
        <w:rPr>
          <w:rFonts w:ascii="Book Antiqua" w:eastAsia="Book Antiqua" w:hAnsi="Book Antiqua" w:cs="Book Antiqua"/>
          <w:b/>
          <w:bCs/>
          <w:color w:val="000000"/>
        </w:rPr>
        <w:t>Peng G</w:t>
      </w:r>
      <w:r w:rsidRPr="00C51CF1">
        <w:rPr>
          <w:rFonts w:ascii="Book Antiqua" w:eastAsia="Book Antiqua" w:hAnsi="Book Antiqua" w:cs="Book Antiqua"/>
          <w:color w:val="000000"/>
        </w:rPr>
        <w:t xml:space="preserve">, Li S, Wu W, Sun Z, Chen Y, Chen Z. Circulating CD4+ CD25+ regulatory T cells correlate with chronic hepatitis B infection. </w:t>
      </w:r>
      <w:r w:rsidRPr="00C51CF1">
        <w:rPr>
          <w:rFonts w:ascii="Book Antiqua" w:eastAsia="Book Antiqua" w:hAnsi="Book Antiqua" w:cs="Book Antiqua"/>
          <w:i/>
          <w:iCs/>
          <w:color w:val="000000"/>
        </w:rPr>
        <w:t>Immunology</w:t>
      </w:r>
      <w:r w:rsidRPr="00C51CF1">
        <w:rPr>
          <w:rFonts w:ascii="Book Antiqua" w:eastAsia="Book Antiqua" w:hAnsi="Book Antiqua" w:cs="Book Antiqua"/>
          <w:color w:val="000000"/>
        </w:rPr>
        <w:t xml:space="preserve"> 2008; </w:t>
      </w:r>
      <w:r w:rsidRPr="00C51CF1">
        <w:rPr>
          <w:rFonts w:ascii="Book Antiqua" w:eastAsia="Book Antiqua" w:hAnsi="Book Antiqua" w:cs="Book Antiqua"/>
          <w:b/>
          <w:bCs/>
          <w:color w:val="000000"/>
        </w:rPr>
        <w:t>123</w:t>
      </w:r>
      <w:r w:rsidRPr="00C51CF1">
        <w:rPr>
          <w:rFonts w:ascii="Book Antiqua" w:eastAsia="Book Antiqua" w:hAnsi="Book Antiqua" w:cs="Book Antiqua"/>
          <w:color w:val="000000"/>
        </w:rPr>
        <w:t>: 57-65 [PMID: 17764450 DOI: 10.1111/j.1365-2567.2007.02691.x]</w:t>
      </w:r>
    </w:p>
    <w:p w14:paraId="3F2E5D31"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61 </w:t>
      </w:r>
      <w:r w:rsidRPr="00C51CF1">
        <w:rPr>
          <w:rFonts w:ascii="Book Antiqua" w:eastAsia="Book Antiqua" w:hAnsi="Book Antiqua" w:cs="Book Antiqua"/>
          <w:b/>
          <w:bCs/>
          <w:color w:val="000000"/>
        </w:rPr>
        <w:t>Sugimoto K</w:t>
      </w:r>
      <w:r w:rsidRPr="00C51CF1">
        <w:rPr>
          <w:rFonts w:ascii="Book Antiqua" w:eastAsia="Book Antiqua" w:hAnsi="Book Antiqua" w:cs="Book Antiqua"/>
          <w:color w:val="000000"/>
        </w:rPr>
        <w:t xml:space="preserve">, Ikeda F, Stadanlick J, Nunes FA, Alter HJ, Chang KM. Suppression of HCV-specific T cells without differential hierarchy demonstrated </w:t>
      </w:r>
      <w:r w:rsidRPr="00C51CF1">
        <w:rPr>
          <w:rFonts w:ascii="Book Antiqua" w:eastAsia="Book Antiqua" w:hAnsi="Book Antiqua" w:cs="Book Antiqua"/>
          <w:i/>
          <w:iCs/>
          <w:color w:val="000000"/>
        </w:rPr>
        <w:t>ex vivo</w:t>
      </w:r>
      <w:r w:rsidRPr="00C51CF1">
        <w:rPr>
          <w:rFonts w:ascii="Book Antiqua" w:eastAsia="Book Antiqua" w:hAnsi="Book Antiqua" w:cs="Book Antiqua"/>
          <w:color w:val="000000"/>
        </w:rPr>
        <w:t xml:space="preserve"> in persistent HCV infection. </w:t>
      </w:r>
      <w:r w:rsidRPr="00C51CF1">
        <w:rPr>
          <w:rFonts w:ascii="Book Antiqua" w:eastAsia="Book Antiqua" w:hAnsi="Book Antiqua" w:cs="Book Antiqua"/>
          <w:i/>
          <w:iCs/>
          <w:color w:val="000000"/>
        </w:rPr>
        <w:t>Hepatology</w:t>
      </w:r>
      <w:r w:rsidRPr="00C51CF1">
        <w:rPr>
          <w:rFonts w:ascii="Book Antiqua" w:eastAsia="Book Antiqua" w:hAnsi="Book Antiqua" w:cs="Book Antiqua"/>
          <w:color w:val="000000"/>
        </w:rPr>
        <w:t xml:space="preserve"> 2003; </w:t>
      </w:r>
      <w:r w:rsidRPr="00C51CF1">
        <w:rPr>
          <w:rFonts w:ascii="Book Antiqua" w:eastAsia="Book Antiqua" w:hAnsi="Book Antiqua" w:cs="Book Antiqua"/>
          <w:b/>
          <w:bCs/>
          <w:color w:val="000000"/>
        </w:rPr>
        <w:t>38</w:t>
      </w:r>
      <w:r w:rsidRPr="00C51CF1">
        <w:rPr>
          <w:rFonts w:ascii="Book Antiqua" w:eastAsia="Book Antiqua" w:hAnsi="Book Antiqua" w:cs="Book Antiqua"/>
          <w:color w:val="000000"/>
        </w:rPr>
        <w:t>: 1437-1448 [PMID: 14647055 DOI: 10.1016/j.hep.2003.09.026]</w:t>
      </w:r>
    </w:p>
    <w:p w14:paraId="70B9ED00"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62 </w:t>
      </w:r>
      <w:r w:rsidRPr="00C51CF1">
        <w:rPr>
          <w:rFonts w:ascii="Book Antiqua" w:eastAsia="Book Antiqua" w:hAnsi="Book Antiqua" w:cs="Book Antiqua"/>
          <w:b/>
          <w:bCs/>
          <w:color w:val="000000"/>
        </w:rPr>
        <w:t>Cabrera R</w:t>
      </w:r>
      <w:r w:rsidRPr="00C51CF1">
        <w:rPr>
          <w:rFonts w:ascii="Book Antiqua" w:eastAsia="Book Antiqua" w:hAnsi="Book Antiqua" w:cs="Book Antiqua"/>
          <w:color w:val="000000"/>
        </w:rPr>
        <w:t xml:space="preserve">, Tu Z, Xu Y, Firpi RJ, Rosen HR, Liu C, Nelson DR. An immunomodulatory role for CD4(+)CD25(+) regulatory T lymphocytes in hepatitis C virus infection. </w:t>
      </w:r>
      <w:r w:rsidRPr="00C51CF1">
        <w:rPr>
          <w:rFonts w:ascii="Book Antiqua" w:eastAsia="Book Antiqua" w:hAnsi="Book Antiqua" w:cs="Book Antiqua"/>
          <w:i/>
          <w:iCs/>
          <w:color w:val="000000"/>
        </w:rPr>
        <w:t>Hepatology</w:t>
      </w:r>
      <w:r w:rsidRPr="00C51CF1">
        <w:rPr>
          <w:rFonts w:ascii="Book Antiqua" w:eastAsia="Book Antiqua" w:hAnsi="Book Antiqua" w:cs="Book Antiqua"/>
          <w:color w:val="000000"/>
        </w:rPr>
        <w:t xml:space="preserve"> 2004; </w:t>
      </w:r>
      <w:r w:rsidRPr="00C51CF1">
        <w:rPr>
          <w:rFonts w:ascii="Book Antiqua" w:eastAsia="Book Antiqua" w:hAnsi="Book Antiqua" w:cs="Book Antiqua"/>
          <w:b/>
          <w:bCs/>
          <w:color w:val="000000"/>
        </w:rPr>
        <w:t>40</w:t>
      </w:r>
      <w:r w:rsidRPr="00C51CF1">
        <w:rPr>
          <w:rFonts w:ascii="Book Antiqua" w:eastAsia="Book Antiqua" w:hAnsi="Book Antiqua" w:cs="Book Antiqua"/>
          <w:color w:val="000000"/>
        </w:rPr>
        <w:t>: 1062-1071 [PMID: 15486925 DOI: 10.1002/hep.20454]</w:t>
      </w:r>
    </w:p>
    <w:p w14:paraId="27C60ECA"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63 </w:t>
      </w:r>
      <w:r w:rsidRPr="00C51CF1">
        <w:rPr>
          <w:rFonts w:ascii="Book Antiqua" w:eastAsia="Book Antiqua" w:hAnsi="Book Antiqua" w:cs="Book Antiqua"/>
          <w:b/>
          <w:bCs/>
          <w:color w:val="000000"/>
        </w:rPr>
        <w:t>Boettler T</w:t>
      </w:r>
      <w:r w:rsidRPr="00C51CF1">
        <w:rPr>
          <w:rFonts w:ascii="Book Antiqua" w:eastAsia="Book Antiqua" w:hAnsi="Book Antiqua" w:cs="Book Antiqua"/>
          <w:color w:val="000000"/>
        </w:rPr>
        <w:t xml:space="preserve">, Spangenberg HC, Neumann-Haefelin C, Panther E, Urbani S, Ferrari C, Blum HE, von Weizsäcker F, Thimme R. T cells with a CD4+CD25+ regulatory phenotype suppress </w:t>
      </w:r>
      <w:r w:rsidRPr="00C51CF1">
        <w:rPr>
          <w:rFonts w:ascii="Book Antiqua" w:eastAsia="Book Antiqua" w:hAnsi="Book Antiqua" w:cs="Book Antiqua"/>
          <w:i/>
          <w:iCs/>
          <w:color w:val="000000"/>
        </w:rPr>
        <w:t>in vitro</w:t>
      </w:r>
      <w:r w:rsidRPr="00C51CF1">
        <w:rPr>
          <w:rFonts w:ascii="Book Antiqua" w:eastAsia="Book Antiqua" w:hAnsi="Book Antiqua" w:cs="Book Antiqua"/>
          <w:color w:val="000000"/>
        </w:rPr>
        <w:t xml:space="preserve"> proliferation of virus-specific CD8+ T cells during chronic hepatitis C virus infection. </w:t>
      </w:r>
      <w:r w:rsidRPr="00C51CF1">
        <w:rPr>
          <w:rFonts w:ascii="Book Antiqua" w:eastAsia="Book Antiqua" w:hAnsi="Book Antiqua" w:cs="Book Antiqua"/>
          <w:i/>
          <w:iCs/>
          <w:color w:val="000000"/>
        </w:rPr>
        <w:t>J Virol</w:t>
      </w:r>
      <w:r w:rsidRPr="00C51CF1">
        <w:rPr>
          <w:rFonts w:ascii="Book Antiqua" w:eastAsia="Book Antiqua" w:hAnsi="Book Antiqua" w:cs="Book Antiqua"/>
          <w:color w:val="000000"/>
        </w:rPr>
        <w:t xml:space="preserve"> 2005; </w:t>
      </w:r>
      <w:r w:rsidRPr="00C51CF1">
        <w:rPr>
          <w:rFonts w:ascii="Book Antiqua" w:eastAsia="Book Antiqua" w:hAnsi="Book Antiqua" w:cs="Book Antiqua"/>
          <w:b/>
          <w:bCs/>
          <w:color w:val="000000"/>
        </w:rPr>
        <w:t>79</w:t>
      </w:r>
      <w:r w:rsidRPr="00C51CF1">
        <w:rPr>
          <w:rFonts w:ascii="Book Antiqua" w:eastAsia="Book Antiqua" w:hAnsi="Book Antiqua" w:cs="Book Antiqua"/>
          <w:color w:val="000000"/>
        </w:rPr>
        <w:t>: 7860-7867 [PMID: 15919940 DOI: 10.1128/JVI.79.12.7860-7867.2005]</w:t>
      </w:r>
    </w:p>
    <w:p w14:paraId="74322389"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64 </w:t>
      </w:r>
      <w:r w:rsidRPr="00C51CF1">
        <w:rPr>
          <w:rFonts w:ascii="Book Antiqua" w:eastAsia="Book Antiqua" w:hAnsi="Book Antiqua" w:cs="Book Antiqua"/>
          <w:b/>
          <w:bCs/>
          <w:color w:val="000000"/>
        </w:rPr>
        <w:t>Rushbrook SM</w:t>
      </w:r>
      <w:r w:rsidRPr="00C51CF1">
        <w:rPr>
          <w:rFonts w:ascii="Book Antiqua" w:eastAsia="Book Antiqua" w:hAnsi="Book Antiqua" w:cs="Book Antiqua"/>
          <w:color w:val="000000"/>
        </w:rPr>
        <w:t xml:space="preserve">, Ward SM, Unitt E, Vowler SL, Lucas M, Klenerman P, Alexander GJ. Regulatory T cells suppress </w:t>
      </w:r>
      <w:r w:rsidRPr="00C51CF1">
        <w:rPr>
          <w:rFonts w:ascii="Book Antiqua" w:eastAsia="Book Antiqua" w:hAnsi="Book Antiqua" w:cs="Book Antiqua"/>
          <w:i/>
          <w:iCs/>
          <w:color w:val="000000"/>
        </w:rPr>
        <w:t>in vitro</w:t>
      </w:r>
      <w:r w:rsidRPr="00C51CF1">
        <w:rPr>
          <w:rFonts w:ascii="Book Antiqua" w:eastAsia="Book Antiqua" w:hAnsi="Book Antiqua" w:cs="Book Antiqua"/>
          <w:color w:val="000000"/>
        </w:rPr>
        <w:t xml:space="preserve"> proliferation of virus-specific CD8+ T cells during persistent hepatitis C virus infection. </w:t>
      </w:r>
      <w:r w:rsidRPr="00C51CF1">
        <w:rPr>
          <w:rFonts w:ascii="Book Antiqua" w:eastAsia="Book Antiqua" w:hAnsi="Book Antiqua" w:cs="Book Antiqua"/>
          <w:i/>
          <w:iCs/>
          <w:color w:val="000000"/>
        </w:rPr>
        <w:t>J Virol</w:t>
      </w:r>
      <w:r w:rsidRPr="00C51CF1">
        <w:rPr>
          <w:rFonts w:ascii="Book Antiqua" w:eastAsia="Book Antiqua" w:hAnsi="Book Antiqua" w:cs="Book Antiqua"/>
          <w:color w:val="000000"/>
        </w:rPr>
        <w:t xml:space="preserve"> 2005; </w:t>
      </w:r>
      <w:r w:rsidRPr="00C51CF1">
        <w:rPr>
          <w:rFonts w:ascii="Book Antiqua" w:eastAsia="Book Antiqua" w:hAnsi="Book Antiqua" w:cs="Book Antiqua"/>
          <w:b/>
          <w:bCs/>
          <w:color w:val="000000"/>
        </w:rPr>
        <w:t>79</w:t>
      </w:r>
      <w:r w:rsidRPr="00C51CF1">
        <w:rPr>
          <w:rFonts w:ascii="Book Antiqua" w:eastAsia="Book Antiqua" w:hAnsi="Book Antiqua" w:cs="Book Antiqua"/>
          <w:color w:val="000000"/>
        </w:rPr>
        <w:t>: 7852-7859 [PMID: 15919939 DOI: 10.1128/JVI.79.12.7852-7859.2005]</w:t>
      </w:r>
    </w:p>
    <w:p w14:paraId="428A3BE6" w14:textId="07BA807C"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65 </w:t>
      </w:r>
      <w:r w:rsidRPr="00C51CF1">
        <w:rPr>
          <w:rFonts w:ascii="Book Antiqua" w:eastAsia="Book Antiqua" w:hAnsi="Book Antiqua" w:cs="Book Antiqua"/>
          <w:b/>
          <w:bCs/>
          <w:color w:val="000000"/>
        </w:rPr>
        <w:t>Granito A</w:t>
      </w:r>
      <w:r w:rsidRPr="00C51CF1">
        <w:rPr>
          <w:rFonts w:ascii="Book Antiqua" w:eastAsia="Book Antiqua" w:hAnsi="Book Antiqua" w:cs="Book Antiqua"/>
          <w:color w:val="000000"/>
        </w:rPr>
        <w:t xml:space="preserve">, Maldini MC, Muratori P, Chiesa D, Bassi M </w:t>
      </w:r>
      <w:r w:rsidRPr="00C51CF1">
        <w:rPr>
          <w:rFonts w:ascii="Book Antiqua" w:eastAsia="Book Antiqua" w:hAnsi="Book Antiqua" w:cs="Book Antiqua"/>
          <w:i/>
          <w:iCs/>
          <w:color w:val="000000"/>
        </w:rPr>
        <w:t>et al</w:t>
      </w:r>
      <w:r w:rsidRPr="00C51CF1">
        <w:rPr>
          <w:rFonts w:ascii="Book Antiqua" w:eastAsia="Book Antiqua" w:hAnsi="Book Antiqua" w:cs="Book Antiqua"/>
          <w:color w:val="000000"/>
        </w:rPr>
        <w:t xml:space="preserve"> Increased percentage of CD4+CD25high T cells in chronic hepatitis C patients correlates with higher viremia levels. </w:t>
      </w:r>
      <w:r w:rsidRPr="00C51CF1">
        <w:rPr>
          <w:rFonts w:ascii="Book Antiqua" w:eastAsia="Book Antiqua" w:hAnsi="Book Antiqua" w:cs="Book Antiqua"/>
          <w:i/>
          <w:iCs/>
          <w:color w:val="000000"/>
        </w:rPr>
        <w:t>J Hepatol</w:t>
      </w:r>
      <w:r w:rsidRPr="00C51CF1">
        <w:rPr>
          <w:rFonts w:ascii="Book Antiqua" w:eastAsia="Book Antiqua" w:hAnsi="Book Antiqua" w:cs="Book Antiqua"/>
          <w:color w:val="000000"/>
        </w:rPr>
        <w:t xml:space="preserve"> 2005;</w:t>
      </w:r>
      <w:r w:rsidR="008D3C43" w:rsidRPr="00C51CF1">
        <w:rPr>
          <w:rFonts w:ascii="Book Antiqua" w:eastAsia="Book Antiqua" w:hAnsi="Book Antiqua" w:cs="Book Antiqua"/>
          <w:color w:val="000000"/>
        </w:rPr>
        <w:t xml:space="preserve"> </w:t>
      </w:r>
      <w:r w:rsidRPr="00C51CF1">
        <w:rPr>
          <w:rFonts w:ascii="Book Antiqua" w:eastAsia="Book Antiqua" w:hAnsi="Book Antiqua" w:cs="Book Antiqua"/>
          <w:b/>
          <w:bCs/>
          <w:color w:val="000000"/>
        </w:rPr>
        <w:t>42</w:t>
      </w:r>
      <w:r w:rsidRPr="00C51CF1">
        <w:rPr>
          <w:rFonts w:ascii="Book Antiqua" w:eastAsia="Book Antiqua" w:hAnsi="Book Antiqua" w:cs="Book Antiqua"/>
          <w:color w:val="000000"/>
        </w:rPr>
        <w:t>:</w:t>
      </w:r>
      <w:r w:rsidR="008D3C43" w:rsidRPr="00C51CF1">
        <w:rPr>
          <w:rFonts w:ascii="Book Antiqua" w:eastAsia="Book Antiqua" w:hAnsi="Book Antiqua" w:cs="Book Antiqua"/>
          <w:color w:val="000000"/>
        </w:rPr>
        <w:t xml:space="preserve"> </w:t>
      </w:r>
      <w:r w:rsidRPr="00C51CF1">
        <w:rPr>
          <w:rFonts w:ascii="Book Antiqua" w:eastAsia="Book Antiqua" w:hAnsi="Book Antiqua" w:cs="Book Antiqua"/>
          <w:color w:val="000000"/>
        </w:rPr>
        <w:t>158</w:t>
      </w:r>
    </w:p>
    <w:p w14:paraId="4C28CD95"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66 </w:t>
      </w:r>
      <w:r w:rsidRPr="00C51CF1">
        <w:rPr>
          <w:rFonts w:ascii="Book Antiqua" w:eastAsia="Book Antiqua" w:hAnsi="Book Antiqua" w:cs="Book Antiqua"/>
          <w:b/>
          <w:bCs/>
          <w:color w:val="000000"/>
        </w:rPr>
        <w:t>Ferri S</w:t>
      </w:r>
      <w:r w:rsidRPr="00C51CF1">
        <w:rPr>
          <w:rFonts w:ascii="Book Antiqua" w:eastAsia="Book Antiqua" w:hAnsi="Book Antiqua" w:cs="Book Antiqua"/>
          <w:color w:val="000000"/>
        </w:rPr>
        <w:t xml:space="preserve">, Longhi MS, De Molo C, Lalanne C, Muratori P, Granito A, Hussain MJ, Ma Y, Lenzi M, Mieli-Vergani G, Bianchi FB, Vergani D, Muratori L. A multifaceted imbalance of T cells with regulatory function characterizes type 1 autoimmune hepatitis. </w:t>
      </w:r>
      <w:r w:rsidRPr="00C51CF1">
        <w:rPr>
          <w:rFonts w:ascii="Book Antiqua" w:eastAsia="Book Antiqua" w:hAnsi="Book Antiqua" w:cs="Book Antiqua"/>
          <w:i/>
          <w:iCs/>
          <w:color w:val="000000"/>
        </w:rPr>
        <w:t>Hepatology</w:t>
      </w:r>
      <w:r w:rsidRPr="00C51CF1">
        <w:rPr>
          <w:rFonts w:ascii="Book Antiqua" w:eastAsia="Book Antiqua" w:hAnsi="Book Antiqua" w:cs="Book Antiqua"/>
          <w:color w:val="000000"/>
        </w:rPr>
        <w:t xml:space="preserve"> 2010; </w:t>
      </w:r>
      <w:r w:rsidRPr="00C51CF1">
        <w:rPr>
          <w:rFonts w:ascii="Book Antiqua" w:eastAsia="Book Antiqua" w:hAnsi="Book Antiqua" w:cs="Book Antiqua"/>
          <w:b/>
          <w:bCs/>
          <w:color w:val="000000"/>
        </w:rPr>
        <w:t>52</w:t>
      </w:r>
      <w:r w:rsidRPr="00C51CF1">
        <w:rPr>
          <w:rFonts w:ascii="Book Antiqua" w:eastAsia="Book Antiqua" w:hAnsi="Book Antiqua" w:cs="Book Antiqua"/>
          <w:color w:val="000000"/>
        </w:rPr>
        <w:t>: 999-1007 [PMID: 20683931 DOI: 10.1002/hep.23792]</w:t>
      </w:r>
    </w:p>
    <w:p w14:paraId="54639D9A"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67 </w:t>
      </w:r>
      <w:r w:rsidRPr="00C51CF1">
        <w:rPr>
          <w:rFonts w:ascii="Book Antiqua" w:eastAsia="Book Antiqua" w:hAnsi="Book Antiqua" w:cs="Book Antiqua"/>
          <w:b/>
          <w:bCs/>
          <w:color w:val="000000"/>
        </w:rPr>
        <w:t>Longhi MS</w:t>
      </w:r>
      <w:r w:rsidRPr="00C51CF1">
        <w:rPr>
          <w:rFonts w:ascii="Book Antiqua" w:eastAsia="Book Antiqua" w:hAnsi="Book Antiqua" w:cs="Book Antiqua"/>
          <w:color w:val="000000"/>
        </w:rPr>
        <w:t xml:space="preserve">, Meda F, Wang P, Samyn M, Mieli-Vergani G, Vergani D, Ma Y. Expansion and de novo generation of potentially therapeutic regulatory T cells in patients with autoimmune hepatitis. </w:t>
      </w:r>
      <w:r w:rsidRPr="00C51CF1">
        <w:rPr>
          <w:rFonts w:ascii="Book Antiqua" w:eastAsia="Book Antiqua" w:hAnsi="Book Antiqua" w:cs="Book Antiqua"/>
          <w:i/>
          <w:iCs/>
          <w:color w:val="000000"/>
        </w:rPr>
        <w:t>Hepatology</w:t>
      </w:r>
      <w:r w:rsidRPr="00C51CF1">
        <w:rPr>
          <w:rFonts w:ascii="Book Antiqua" w:eastAsia="Book Antiqua" w:hAnsi="Book Antiqua" w:cs="Book Antiqua"/>
          <w:color w:val="000000"/>
        </w:rPr>
        <w:t xml:space="preserve"> 2008; </w:t>
      </w:r>
      <w:r w:rsidRPr="00C51CF1">
        <w:rPr>
          <w:rFonts w:ascii="Book Antiqua" w:eastAsia="Book Antiqua" w:hAnsi="Book Antiqua" w:cs="Book Antiqua"/>
          <w:b/>
          <w:bCs/>
          <w:color w:val="000000"/>
        </w:rPr>
        <w:t>47</w:t>
      </w:r>
      <w:r w:rsidRPr="00C51CF1">
        <w:rPr>
          <w:rFonts w:ascii="Book Antiqua" w:eastAsia="Book Antiqua" w:hAnsi="Book Antiqua" w:cs="Book Antiqua"/>
          <w:color w:val="000000"/>
        </w:rPr>
        <w:t>: 581-591 [PMID: 18220288 DOI: 10.1002/hep.22071]</w:t>
      </w:r>
    </w:p>
    <w:p w14:paraId="0CA1F9EF"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68 </w:t>
      </w:r>
      <w:r w:rsidRPr="00C51CF1">
        <w:rPr>
          <w:rFonts w:ascii="Book Antiqua" w:eastAsia="Book Antiqua" w:hAnsi="Book Antiqua" w:cs="Book Antiqua"/>
          <w:b/>
          <w:bCs/>
          <w:color w:val="000000"/>
        </w:rPr>
        <w:t>Bonilla CM</w:t>
      </w:r>
      <w:r w:rsidRPr="00C51CF1">
        <w:rPr>
          <w:rFonts w:ascii="Book Antiqua" w:eastAsia="Book Antiqua" w:hAnsi="Book Antiqua" w:cs="Book Antiqua"/>
          <w:color w:val="000000"/>
        </w:rPr>
        <w:t xml:space="preserve">, McGrath NA, Fu J, Xie C. Immunotherapy of hepatocellular carcinoma with infection of hepatitis B or C virus. </w:t>
      </w:r>
      <w:r w:rsidRPr="00C51CF1">
        <w:rPr>
          <w:rFonts w:ascii="Book Antiqua" w:eastAsia="Book Antiqua" w:hAnsi="Book Antiqua" w:cs="Book Antiqua"/>
          <w:i/>
          <w:iCs/>
          <w:color w:val="000000"/>
        </w:rPr>
        <w:t>Hepatoma Res</w:t>
      </w:r>
      <w:r w:rsidRPr="00C51CF1">
        <w:rPr>
          <w:rFonts w:ascii="Book Antiqua" w:eastAsia="Book Antiqua" w:hAnsi="Book Antiqua" w:cs="Book Antiqua"/>
          <w:color w:val="000000"/>
        </w:rPr>
        <w:t xml:space="preserve"> 2020; </w:t>
      </w:r>
      <w:r w:rsidRPr="00C51CF1">
        <w:rPr>
          <w:rFonts w:ascii="Book Antiqua" w:eastAsia="Book Antiqua" w:hAnsi="Book Antiqua" w:cs="Book Antiqua"/>
          <w:b/>
          <w:bCs/>
          <w:color w:val="000000"/>
        </w:rPr>
        <w:t>6</w:t>
      </w:r>
      <w:r w:rsidRPr="00C51CF1">
        <w:rPr>
          <w:rFonts w:ascii="Book Antiqua" w:eastAsia="Book Antiqua" w:hAnsi="Book Antiqua" w:cs="Book Antiqua"/>
          <w:color w:val="000000"/>
        </w:rPr>
        <w:t xml:space="preserve"> [PMID: 33134550 DOI: 10.20517/2394-5079.2020.58]</w:t>
      </w:r>
    </w:p>
    <w:p w14:paraId="3CFE0943"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69 </w:t>
      </w:r>
      <w:r w:rsidRPr="00C51CF1">
        <w:rPr>
          <w:rFonts w:ascii="Book Antiqua" w:eastAsia="Book Antiqua" w:hAnsi="Book Antiqua" w:cs="Book Antiqua"/>
          <w:b/>
          <w:bCs/>
          <w:color w:val="000000"/>
        </w:rPr>
        <w:t>Chaoul N</w:t>
      </w:r>
      <w:r w:rsidRPr="00C51CF1">
        <w:rPr>
          <w:rFonts w:ascii="Book Antiqua" w:eastAsia="Book Antiqua" w:hAnsi="Book Antiqua" w:cs="Book Antiqua"/>
          <w:color w:val="000000"/>
        </w:rPr>
        <w:t xml:space="preserve">, Mancarella S, Lupo L, Giannelli G, Dituri F. Impaired Anti-Tumor T cell Response in Hepatocellular Carcinoma. </w:t>
      </w:r>
      <w:r w:rsidRPr="00C51CF1">
        <w:rPr>
          <w:rFonts w:ascii="Book Antiqua" w:eastAsia="Book Antiqua" w:hAnsi="Book Antiqua" w:cs="Book Antiqua"/>
          <w:i/>
          <w:iCs/>
          <w:color w:val="000000"/>
        </w:rPr>
        <w:t>Cancers (Basel)</w:t>
      </w:r>
      <w:r w:rsidRPr="00C51CF1">
        <w:rPr>
          <w:rFonts w:ascii="Book Antiqua" w:eastAsia="Book Antiqua" w:hAnsi="Book Antiqua" w:cs="Book Antiqua"/>
          <w:color w:val="000000"/>
        </w:rPr>
        <w:t xml:space="preserve"> 2020; </w:t>
      </w:r>
      <w:r w:rsidRPr="00C51CF1">
        <w:rPr>
          <w:rFonts w:ascii="Book Antiqua" w:eastAsia="Book Antiqua" w:hAnsi="Book Antiqua" w:cs="Book Antiqua"/>
          <w:b/>
          <w:bCs/>
          <w:color w:val="000000"/>
        </w:rPr>
        <w:t>12</w:t>
      </w:r>
      <w:r w:rsidRPr="00C51CF1">
        <w:rPr>
          <w:rFonts w:ascii="Book Antiqua" w:eastAsia="Book Antiqua" w:hAnsi="Book Antiqua" w:cs="Book Antiqua"/>
          <w:color w:val="000000"/>
        </w:rPr>
        <w:t xml:space="preserve"> [PMID: 32182707 DOI: 10.3390/cancers12030627]</w:t>
      </w:r>
    </w:p>
    <w:p w14:paraId="78B61518"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70 </w:t>
      </w:r>
      <w:r w:rsidRPr="00C51CF1">
        <w:rPr>
          <w:rFonts w:ascii="Book Antiqua" w:eastAsia="Book Antiqua" w:hAnsi="Book Antiqua" w:cs="Book Antiqua"/>
          <w:b/>
          <w:bCs/>
          <w:color w:val="000000"/>
        </w:rPr>
        <w:t>Lapierre P</w:t>
      </w:r>
      <w:r w:rsidRPr="00C51CF1">
        <w:rPr>
          <w:rFonts w:ascii="Book Antiqua" w:eastAsia="Book Antiqua" w:hAnsi="Book Antiqua" w:cs="Book Antiqua"/>
          <w:color w:val="000000"/>
        </w:rPr>
        <w:t xml:space="preserve">, Lamarre A. Regulatory T Cells in Autoimmune and Viral Chronic Hepatitis. </w:t>
      </w:r>
      <w:r w:rsidRPr="00C51CF1">
        <w:rPr>
          <w:rFonts w:ascii="Book Antiqua" w:eastAsia="Book Antiqua" w:hAnsi="Book Antiqua" w:cs="Book Antiqua"/>
          <w:i/>
          <w:iCs/>
          <w:color w:val="000000"/>
        </w:rPr>
        <w:t>J Immunol Res</w:t>
      </w:r>
      <w:r w:rsidRPr="00C51CF1">
        <w:rPr>
          <w:rFonts w:ascii="Book Antiqua" w:eastAsia="Book Antiqua" w:hAnsi="Book Antiqua" w:cs="Book Antiqua"/>
          <w:color w:val="000000"/>
        </w:rPr>
        <w:t xml:space="preserve"> 2015; </w:t>
      </w:r>
      <w:r w:rsidRPr="00C51CF1">
        <w:rPr>
          <w:rFonts w:ascii="Book Antiqua" w:eastAsia="Book Antiqua" w:hAnsi="Book Antiqua" w:cs="Book Antiqua"/>
          <w:b/>
          <w:bCs/>
          <w:color w:val="000000"/>
        </w:rPr>
        <w:t>2015</w:t>
      </w:r>
      <w:r w:rsidRPr="00C51CF1">
        <w:rPr>
          <w:rFonts w:ascii="Book Antiqua" w:eastAsia="Book Antiqua" w:hAnsi="Book Antiqua" w:cs="Book Antiqua"/>
          <w:color w:val="000000"/>
        </w:rPr>
        <w:t>: 479703 [PMID: 26106627 DOI: 10.1155/2015/479703]</w:t>
      </w:r>
    </w:p>
    <w:p w14:paraId="7C543E0A"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71 </w:t>
      </w:r>
      <w:r w:rsidRPr="00C51CF1">
        <w:rPr>
          <w:rFonts w:ascii="Book Antiqua" w:eastAsia="Book Antiqua" w:hAnsi="Book Antiqua" w:cs="Book Antiqua"/>
          <w:b/>
          <w:bCs/>
          <w:color w:val="000000"/>
        </w:rPr>
        <w:t>Kobayashi N</w:t>
      </w:r>
      <w:r w:rsidRPr="00C51CF1">
        <w:rPr>
          <w:rFonts w:ascii="Book Antiqua" w:eastAsia="Book Antiqua" w:hAnsi="Book Antiqua" w:cs="Book Antiqua"/>
          <w:color w:val="000000"/>
        </w:rPr>
        <w:t xml:space="preserve">, Hiraoka N, Yamagami W, Ojima H, Kanai Y, Kosuge T, Nakajima A, Hirohashi S. FOXP3+ regulatory T cells affect the development and progression of hepatocarcinogenesis. </w:t>
      </w:r>
      <w:r w:rsidRPr="00C51CF1">
        <w:rPr>
          <w:rFonts w:ascii="Book Antiqua" w:eastAsia="Book Antiqua" w:hAnsi="Book Antiqua" w:cs="Book Antiqua"/>
          <w:i/>
          <w:iCs/>
          <w:color w:val="000000"/>
        </w:rPr>
        <w:t>Clin Cancer Res</w:t>
      </w:r>
      <w:r w:rsidRPr="00C51CF1">
        <w:rPr>
          <w:rFonts w:ascii="Book Antiqua" w:eastAsia="Book Antiqua" w:hAnsi="Book Antiqua" w:cs="Book Antiqua"/>
          <w:color w:val="000000"/>
        </w:rPr>
        <w:t xml:space="preserve"> 2007; </w:t>
      </w:r>
      <w:r w:rsidRPr="00C51CF1">
        <w:rPr>
          <w:rFonts w:ascii="Book Antiqua" w:eastAsia="Book Antiqua" w:hAnsi="Book Antiqua" w:cs="Book Antiqua"/>
          <w:b/>
          <w:bCs/>
          <w:color w:val="000000"/>
        </w:rPr>
        <w:t>13</w:t>
      </w:r>
      <w:r w:rsidRPr="00C51CF1">
        <w:rPr>
          <w:rFonts w:ascii="Book Antiqua" w:eastAsia="Book Antiqua" w:hAnsi="Book Antiqua" w:cs="Book Antiqua"/>
          <w:color w:val="000000"/>
        </w:rPr>
        <w:t>: 902-911 [PMID: 17289884 DOI: 10.1158/1078-0432.CCR-06-2363]</w:t>
      </w:r>
    </w:p>
    <w:p w14:paraId="46DCFD71"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72 </w:t>
      </w:r>
      <w:r w:rsidRPr="00C51CF1">
        <w:rPr>
          <w:rFonts w:ascii="Book Antiqua" w:eastAsia="Book Antiqua" w:hAnsi="Book Antiqua" w:cs="Book Antiqua"/>
          <w:b/>
          <w:bCs/>
          <w:color w:val="000000"/>
        </w:rPr>
        <w:t>Kurebayashi Y</w:t>
      </w:r>
      <w:r w:rsidRPr="00C51CF1">
        <w:rPr>
          <w:rFonts w:ascii="Book Antiqua" w:eastAsia="Book Antiqua" w:hAnsi="Book Antiqua" w:cs="Book Antiqua"/>
          <w:color w:val="000000"/>
        </w:rPr>
        <w:t xml:space="preserve">, Kubota N, Sakamoto M. Immune microenvironment of hepatocellular carcinoma, intrahepatic cholangiocarcinoma and liver metastasis of colorectal adenocarcinoma: Relationship with histopathological and molecular classifications. </w:t>
      </w:r>
      <w:r w:rsidRPr="00C51CF1">
        <w:rPr>
          <w:rFonts w:ascii="Book Antiqua" w:eastAsia="Book Antiqua" w:hAnsi="Book Antiqua" w:cs="Book Antiqua"/>
          <w:i/>
          <w:iCs/>
          <w:color w:val="000000"/>
        </w:rPr>
        <w:t>Hepatol Res</w:t>
      </w:r>
      <w:r w:rsidRPr="00C51CF1">
        <w:rPr>
          <w:rFonts w:ascii="Book Antiqua" w:eastAsia="Book Antiqua" w:hAnsi="Book Antiqua" w:cs="Book Antiqua"/>
          <w:color w:val="000000"/>
        </w:rPr>
        <w:t xml:space="preserve"> 2021; </w:t>
      </w:r>
      <w:r w:rsidRPr="00C51CF1">
        <w:rPr>
          <w:rFonts w:ascii="Book Antiqua" w:eastAsia="Book Antiqua" w:hAnsi="Book Antiqua" w:cs="Book Antiqua"/>
          <w:b/>
          <w:bCs/>
          <w:color w:val="000000"/>
        </w:rPr>
        <w:t>51</w:t>
      </w:r>
      <w:r w:rsidRPr="00C51CF1">
        <w:rPr>
          <w:rFonts w:ascii="Book Antiqua" w:eastAsia="Book Antiqua" w:hAnsi="Book Antiqua" w:cs="Book Antiqua"/>
          <w:color w:val="000000"/>
        </w:rPr>
        <w:t>: 5-18 [PMID: 32573056 DOI: 10.1111/hepr.13539]</w:t>
      </w:r>
    </w:p>
    <w:p w14:paraId="26F3C2FA"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73 </w:t>
      </w:r>
      <w:r w:rsidRPr="00C51CF1">
        <w:rPr>
          <w:rFonts w:ascii="Book Antiqua" w:eastAsia="Book Antiqua" w:hAnsi="Book Antiqua" w:cs="Book Antiqua"/>
          <w:b/>
          <w:bCs/>
          <w:color w:val="000000"/>
        </w:rPr>
        <w:t>Bian J</w:t>
      </w:r>
      <w:r w:rsidRPr="00C51CF1">
        <w:rPr>
          <w:rFonts w:ascii="Book Antiqua" w:eastAsia="Book Antiqua" w:hAnsi="Book Antiqua" w:cs="Book Antiqua"/>
          <w:color w:val="000000"/>
        </w:rPr>
        <w:t xml:space="preserve">, Lin J, Long J, Yang X, Yang X, Lu X, Sang X, Zhao H. T lymphocytes in hepatocellular carcinoma immune microenvironment: insights into human immunology and immunotherapy. </w:t>
      </w:r>
      <w:r w:rsidRPr="00C51CF1">
        <w:rPr>
          <w:rFonts w:ascii="Book Antiqua" w:eastAsia="Book Antiqua" w:hAnsi="Book Antiqua" w:cs="Book Antiqua"/>
          <w:i/>
          <w:iCs/>
          <w:color w:val="000000"/>
        </w:rPr>
        <w:t>Am J Cancer Res</w:t>
      </w:r>
      <w:r w:rsidRPr="00C51CF1">
        <w:rPr>
          <w:rFonts w:ascii="Book Antiqua" w:eastAsia="Book Antiqua" w:hAnsi="Book Antiqua" w:cs="Book Antiqua"/>
          <w:color w:val="000000"/>
        </w:rPr>
        <w:t xml:space="preserve"> 2020; </w:t>
      </w:r>
      <w:r w:rsidRPr="00C51CF1">
        <w:rPr>
          <w:rFonts w:ascii="Book Antiqua" w:eastAsia="Book Antiqua" w:hAnsi="Book Antiqua" w:cs="Book Antiqua"/>
          <w:b/>
          <w:bCs/>
          <w:color w:val="000000"/>
        </w:rPr>
        <w:t>10</w:t>
      </w:r>
      <w:r w:rsidRPr="00C51CF1">
        <w:rPr>
          <w:rFonts w:ascii="Book Antiqua" w:eastAsia="Book Antiqua" w:hAnsi="Book Antiqua" w:cs="Book Antiqua"/>
          <w:color w:val="000000"/>
        </w:rPr>
        <w:t>: 4585-4606 [PMID: 33415021]</w:t>
      </w:r>
    </w:p>
    <w:p w14:paraId="708BAC03"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74 </w:t>
      </w:r>
      <w:r w:rsidRPr="00C51CF1">
        <w:rPr>
          <w:rFonts w:ascii="Book Antiqua" w:eastAsia="Book Antiqua" w:hAnsi="Book Antiqua" w:cs="Book Antiqua"/>
          <w:b/>
          <w:bCs/>
          <w:color w:val="000000"/>
        </w:rPr>
        <w:t>Wada Y</w:t>
      </w:r>
      <w:r w:rsidRPr="00C51CF1">
        <w:rPr>
          <w:rFonts w:ascii="Book Antiqua" w:eastAsia="Book Antiqua" w:hAnsi="Book Antiqua" w:cs="Book Antiqua"/>
          <w:color w:val="000000"/>
        </w:rPr>
        <w:t xml:space="preserve">, Nakashima O, Kutami R, Yamamoto O, Kojiro M. Clinicopathological study on hepatocellular carcinoma with lymphocytic infiltration. </w:t>
      </w:r>
      <w:r w:rsidRPr="00C51CF1">
        <w:rPr>
          <w:rFonts w:ascii="Book Antiqua" w:eastAsia="Book Antiqua" w:hAnsi="Book Antiqua" w:cs="Book Antiqua"/>
          <w:i/>
          <w:iCs/>
          <w:color w:val="000000"/>
        </w:rPr>
        <w:t>Hepatology</w:t>
      </w:r>
      <w:r w:rsidRPr="00C51CF1">
        <w:rPr>
          <w:rFonts w:ascii="Book Antiqua" w:eastAsia="Book Antiqua" w:hAnsi="Book Antiqua" w:cs="Book Antiqua"/>
          <w:color w:val="000000"/>
        </w:rPr>
        <w:t xml:space="preserve"> 1998; </w:t>
      </w:r>
      <w:r w:rsidRPr="00C51CF1">
        <w:rPr>
          <w:rFonts w:ascii="Book Antiqua" w:eastAsia="Book Antiqua" w:hAnsi="Book Antiqua" w:cs="Book Antiqua"/>
          <w:b/>
          <w:bCs/>
          <w:color w:val="000000"/>
        </w:rPr>
        <w:t>27</w:t>
      </w:r>
      <w:r w:rsidRPr="00C51CF1">
        <w:rPr>
          <w:rFonts w:ascii="Book Antiqua" w:eastAsia="Book Antiqua" w:hAnsi="Book Antiqua" w:cs="Book Antiqua"/>
          <w:color w:val="000000"/>
        </w:rPr>
        <w:t>: 407-414 [PMID: 9462638 DOI: 10.1002/hep.510270214]</w:t>
      </w:r>
    </w:p>
    <w:p w14:paraId="3952DBF6"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75 </w:t>
      </w:r>
      <w:r w:rsidRPr="00C51CF1">
        <w:rPr>
          <w:rFonts w:ascii="Book Antiqua" w:eastAsia="Book Antiqua" w:hAnsi="Book Antiqua" w:cs="Book Antiqua"/>
          <w:b/>
          <w:bCs/>
          <w:color w:val="000000"/>
        </w:rPr>
        <w:t>Ding W</w:t>
      </w:r>
      <w:r w:rsidRPr="00C51CF1">
        <w:rPr>
          <w:rFonts w:ascii="Book Antiqua" w:eastAsia="Book Antiqua" w:hAnsi="Book Antiqua" w:cs="Book Antiqua"/>
          <w:color w:val="000000"/>
        </w:rPr>
        <w:t xml:space="preserve">, Xu X, Qian Y, Xue W, Wang Y, Du J, Jin L, Tan Y. Prognostic value of tumor-infiltrating lymphocytes in hepatocellular carcinoma: A meta-analysis. </w:t>
      </w:r>
      <w:r w:rsidRPr="00C51CF1">
        <w:rPr>
          <w:rFonts w:ascii="Book Antiqua" w:eastAsia="Book Antiqua" w:hAnsi="Book Antiqua" w:cs="Book Antiqua"/>
          <w:i/>
          <w:iCs/>
          <w:color w:val="000000"/>
        </w:rPr>
        <w:t>Medicine (Baltimore)</w:t>
      </w:r>
      <w:r w:rsidRPr="00C51CF1">
        <w:rPr>
          <w:rFonts w:ascii="Book Antiqua" w:eastAsia="Book Antiqua" w:hAnsi="Book Antiqua" w:cs="Book Antiqua"/>
          <w:color w:val="000000"/>
        </w:rPr>
        <w:t xml:space="preserve"> 2018; </w:t>
      </w:r>
      <w:r w:rsidRPr="00C51CF1">
        <w:rPr>
          <w:rFonts w:ascii="Book Antiqua" w:eastAsia="Book Antiqua" w:hAnsi="Book Antiqua" w:cs="Book Antiqua"/>
          <w:b/>
          <w:bCs/>
          <w:color w:val="000000"/>
        </w:rPr>
        <w:t>97</w:t>
      </w:r>
      <w:r w:rsidRPr="00C51CF1">
        <w:rPr>
          <w:rFonts w:ascii="Book Antiqua" w:eastAsia="Book Antiqua" w:hAnsi="Book Antiqua" w:cs="Book Antiqua"/>
          <w:color w:val="000000"/>
        </w:rPr>
        <w:t>: e13301 [PMID: 30557978 DOI: 10.1097/MD.0000000000013301]</w:t>
      </w:r>
    </w:p>
    <w:p w14:paraId="3ACD435C"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76 </w:t>
      </w:r>
      <w:r w:rsidRPr="00C51CF1">
        <w:rPr>
          <w:rFonts w:ascii="Book Antiqua" w:eastAsia="Book Antiqua" w:hAnsi="Book Antiqua" w:cs="Book Antiqua"/>
          <w:b/>
          <w:bCs/>
          <w:color w:val="000000"/>
        </w:rPr>
        <w:t>Chiou SH</w:t>
      </w:r>
      <w:r w:rsidRPr="00C51CF1">
        <w:rPr>
          <w:rFonts w:ascii="Book Antiqua" w:eastAsia="Book Antiqua" w:hAnsi="Book Antiqua" w:cs="Book Antiqua"/>
          <w:color w:val="000000"/>
        </w:rPr>
        <w:t xml:space="preserve">, Sheu BC, Chang WC, Huang SC, Hong-Nerng H. Current concepts of tumor-infiltrating lymphocytes in human malignancies. </w:t>
      </w:r>
      <w:r w:rsidRPr="00C51CF1">
        <w:rPr>
          <w:rFonts w:ascii="Book Antiqua" w:eastAsia="Book Antiqua" w:hAnsi="Book Antiqua" w:cs="Book Antiqua"/>
          <w:i/>
          <w:iCs/>
          <w:color w:val="000000"/>
        </w:rPr>
        <w:t>J Reprod Immunol</w:t>
      </w:r>
      <w:r w:rsidRPr="00C51CF1">
        <w:rPr>
          <w:rFonts w:ascii="Book Antiqua" w:eastAsia="Book Antiqua" w:hAnsi="Book Antiqua" w:cs="Book Antiqua"/>
          <w:color w:val="000000"/>
        </w:rPr>
        <w:t xml:space="preserve"> 2005; </w:t>
      </w:r>
      <w:r w:rsidRPr="00C51CF1">
        <w:rPr>
          <w:rFonts w:ascii="Book Antiqua" w:eastAsia="Book Antiqua" w:hAnsi="Book Antiqua" w:cs="Book Antiqua"/>
          <w:b/>
          <w:bCs/>
          <w:color w:val="000000"/>
        </w:rPr>
        <w:t>67</w:t>
      </w:r>
      <w:r w:rsidRPr="00C51CF1">
        <w:rPr>
          <w:rFonts w:ascii="Book Antiqua" w:eastAsia="Book Antiqua" w:hAnsi="Book Antiqua" w:cs="Book Antiqua"/>
          <w:color w:val="000000"/>
        </w:rPr>
        <w:t>: 35-50 [PMID: 16111767 DOI: 10.1016/j.jri.2005.06.002]</w:t>
      </w:r>
    </w:p>
    <w:p w14:paraId="6F9DF5D6"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77 </w:t>
      </w:r>
      <w:r w:rsidRPr="00C51CF1">
        <w:rPr>
          <w:rFonts w:ascii="Book Antiqua" w:eastAsia="Book Antiqua" w:hAnsi="Book Antiqua" w:cs="Book Antiqua"/>
          <w:b/>
          <w:bCs/>
          <w:color w:val="000000"/>
        </w:rPr>
        <w:t>Gao Q</w:t>
      </w:r>
      <w:r w:rsidRPr="00C51CF1">
        <w:rPr>
          <w:rFonts w:ascii="Book Antiqua" w:eastAsia="Book Antiqua" w:hAnsi="Book Antiqua" w:cs="Book Antiqua"/>
          <w:color w:val="000000"/>
        </w:rPr>
        <w:t xml:space="preserve">, Qiu SJ, Fan J, Zhou J, Wang XY, Xiao YS, Xu Y, Li YW, Tang ZY. Intratumoral balance of regulatory and cytotoxic T cells is associated with prognosis of hepatocellular carcinoma after resection. </w:t>
      </w:r>
      <w:r w:rsidRPr="00C51CF1">
        <w:rPr>
          <w:rFonts w:ascii="Book Antiqua" w:eastAsia="Book Antiqua" w:hAnsi="Book Antiqua" w:cs="Book Antiqua"/>
          <w:i/>
          <w:iCs/>
          <w:color w:val="000000"/>
        </w:rPr>
        <w:t>J Clin Oncol</w:t>
      </w:r>
      <w:r w:rsidRPr="00C51CF1">
        <w:rPr>
          <w:rFonts w:ascii="Book Antiqua" w:eastAsia="Book Antiqua" w:hAnsi="Book Antiqua" w:cs="Book Antiqua"/>
          <w:color w:val="000000"/>
        </w:rPr>
        <w:t xml:space="preserve"> 2007; </w:t>
      </w:r>
      <w:r w:rsidRPr="00C51CF1">
        <w:rPr>
          <w:rFonts w:ascii="Book Antiqua" w:eastAsia="Book Antiqua" w:hAnsi="Book Antiqua" w:cs="Book Antiqua"/>
          <w:b/>
          <w:bCs/>
          <w:color w:val="000000"/>
        </w:rPr>
        <w:t>25</w:t>
      </w:r>
      <w:r w:rsidRPr="00C51CF1">
        <w:rPr>
          <w:rFonts w:ascii="Book Antiqua" w:eastAsia="Book Antiqua" w:hAnsi="Book Antiqua" w:cs="Book Antiqua"/>
          <w:color w:val="000000"/>
        </w:rPr>
        <w:t>: 2586-2593 [PMID: 17577038 DOI: 10.1200/JCO.2006.09.4565]</w:t>
      </w:r>
    </w:p>
    <w:p w14:paraId="19ED15A5"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78 </w:t>
      </w:r>
      <w:r w:rsidRPr="00C51CF1">
        <w:rPr>
          <w:rFonts w:ascii="Book Antiqua" w:eastAsia="Book Antiqua" w:hAnsi="Book Antiqua" w:cs="Book Antiqua"/>
          <w:b/>
          <w:bCs/>
          <w:color w:val="000000"/>
        </w:rPr>
        <w:t>Unitt E</w:t>
      </w:r>
      <w:r w:rsidRPr="00C51CF1">
        <w:rPr>
          <w:rFonts w:ascii="Book Antiqua" w:eastAsia="Book Antiqua" w:hAnsi="Book Antiqua" w:cs="Book Antiqua"/>
          <w:color w:val="000000"/>
        </w:rPr>
        <w:t xml:space="preserve">, Rushbrook SM, Marshall A, Davies S, Gibbs P, Morris LS, Coleman N, Alexander GJ. Compromised lymphocytes infiltrate hepatocellular carcinoma: the role of T-regulatory cells. </w:t>
      </w:r>
      <w:r w:rsidRPr="00C51CF1">
        <w:rPr>
          <w:rFonts w:ascii="Book Antiqua" w:eastAsia="Book Antiqua" w:hAnsi="Book Antiqua" w:cs="Book Antiqua"/>
          <w:i/>
          <w:iCs/>
          <w:color w:val="000000"/>
        </w:rPr>
        <w:t>Hepatology</w:t>
      </w:r>
      <w:r w:rsidRPr="00C51CF1">
        <w:rPr>
          <w:rFonts w:ascii="Book Antiqua" w:eastAsia="Book Antiqua" w:hAnsi="Book Antiqua" w:cs="Book Antiqua"/>
          <w:color w:val="000000"/>
        </w:rPr>
        <w:t xml:space="preserve"> 2005; </w:t>
      </w:r>
      <w:r w:rsidRPr="00C51CF1">
        <w:rPr>
          <w:rFonts w:ascii="Book Antiqua" w:eastAsia="Book Antiqua" w:hAnsi="Book Antiqua" w:cs="Book Antiqua"/>
          <w:b/>
          <w:bCs/>
          <w:color w:val="000000"/>
        </w:rPr>
        <w:t>41</w:t>
      </w:r>
      <w:r w:rsidRPr="00C51CF1">
        <w:rPr>
          <w:rFonts w:ascii="Book Antiqua" w:eastAsia="Book Antiqua" w:hAnsi="Book Antiqua" w:cs="Book Antiqua"/>
          <w:color w:val="000000"/>
        </w:rPr>
        <w:t>: 722-730 [PMID: 15791620 DOI: 10.1002/hep.20644]</w:t>
      </w:r>
    </w:p>
    <w:p w14:paraId="37641B02"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79 </w:t>
      </w:r>
      <w:r w:rsidRPr="00C51CF1">
        <w:rPr>
          <w:rFonts w:ascii="Book Antiqua" w:eastAsia="Book Antiqua" w:hAnsi="Book Antiqua" w:cs="Book Antiqua"/>
          <w:b/>
          <w:bCs/>
          <w:color w:val="000000"/>
        </w:rPr>
        <w:t>Ma J</w:t>
      </w:r>
      <w:r w:rsidRPr="00C51CF1">
        <w:rPr>
          <w:rFonts w:ascii="Book Antiqua" w:eastAsia="Book Antiqua" w:hAnsi="Book Antiqua" w:cs="Book Antiqua"/>
          <w:color w:val="000000"/>
        </w:rPr>
        <w:t>, Zheng B, Goswami S, Meng L, Zhang D, Cao C, Li T, Zhu F, Ma L, Zhang Z, Zhang S, Duan M, Chen Q, Gao Q, Zhang X. PD1</w:t>
      </w:r>
      <w:r w:rsidRPr="00C51CF1">
        <w:rPr>
          <w:rFonts w:ascii="Book Antiqua" w:eastAsia="Book Antiqua" w:hAnsi="Book Antiqua" w:cs="Book Antiqua"/>
          <w:color w:val="000000"/>
          <w:vertAlign w:val="superscript"/>
        </w:rPr>
        <w:t>Hi</w:t>
      </w:r>
      <w:r w:rsidRPr="00C51CF1">
        <w:rPr>
          <w:rFonts w:ascii="Book Antiqua" w:eastAsia="Book Antiqua" w:hAnsi="Book Antiqua" w:cs="Book Antiqua"/>
          <w:color w:val="000000"/>
        </w:rPr>
        <w:t xml:space="preserve"> CD8</w:t>
      </w:r>
      <w:r w:rsidRPr="00C51CF1">
        <w:rPr>
          <w:rFonts w:ascii="Book Antiqua" w:eastAsia="Book Antiqua" w:hAnsi="Book Antiqua" w:cs="Book Antiqua"/>
          <w:color w:val="000000"/>
          <w:vertAlign w:val="superscript"/>
        </w:rPr>
        <w:t>+</w:t>
      </w:r>
      <w:r w:rsidRPr="00C51CF1">
        <w:rPr>
          <w:rFonts w:ascii="Book Antiqua" w:eastAsia="Book Antiqua" w:hAnsi="Book Antiqua" w:cs="Book Antiqua"/>
          <w:color w:val="000000"/>
        </w:rPr>
        <w:t xml:space="preserve"> T cells correlate with exhausted signature and poor clinical outcome in hepatocellular carcinoma. </w:t>
      </w:r>
      <w:r w:rsidRPr="00C51CF1">
        <w:rPr>
          <w:rFonts w:ascii="Book Antiqua" w:eastAsia="Book Antiqua" w:hAnsi="Book Antiqua" w:cs="Book Antiqua"/>
          <w:i/>
          <w:iCs/>
          <w:color w:val="000000"/>
        </w:rPr>
        <w:t>J Immunother Cancer</w:t>
      </w:r>
      <w:r w:rsidRPr="00C51CF1">
        <w:rPr>
          <w:rFonts w:ascii="Book Antiqua" w:eastAsia="Book Antiqua" w:hAnsi="Book Antiqua" w:cs="Book Antiqua"/>
          <w:color w:val="000000"/>
        </w:rPr>
        <w:t xml:space="preserve"> 2019; </w:t>
      </w:r>
      <w:r w:rsidRPr="00C51CF1">
        <w:rPr>
          <w:rFonts w:ascii="Book Antiqua" w:eastAsia="Book Antiqua" w:hAnsi="Book Antiqua" w:cs="Book Antiqua"/>
          <w:b/>
          <w:bCs/>
          <w:color w:val="000000"/>
        </w:rPr>
        <w:t>7</w:t>
      </w:r>
      <w:r w:rsidRPr="00C51CF1">
        <w:rPr>
          <w:rFonts w:ascii="Book Antiqua" w:eastAsia="Book Antiqua" w:hAnsi="Book Antiqua" w:cs="Book Antiqua"/>
          <w:color w:val="000000"/>
        </w:rPr>
        <w:t>: 331 [PMID: 31783783 DOI: 10.1186/s40425-019-0814-7]</w:t>
      </w:r>
    </w:p>
    <w:p w14:paraId="166CDAD2"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80 </w:t>
      </w:r>
      <w:r w:rsidRPr="00C51CF1">
        <w:rPr>
          <w:rFonts w:ascii="Book Antiqua" w:eastAsia="Book Antiqua" w:hAnsi="Book Antiqua" w:cs="Book Antiqua"/>
          <w:b/>
          <w:bCs/>
          <w:color w:val="000000"/>
        </w:rPr>
        <w:t>Tauber C</w:t>
      </w:r>
      <w:r w:rsidRPr="00C51CF1">
        <w:rPr>
          <w:rFonts w:ascii="Book Antiqua" w:eastAsia="Book Antiqua" w:hAnsi="Book Antiqua" w:cs="Book Antiqua"/>
          <w:color w:val="000000"/>
        </w:rPr>
        <w:t xml:space="preserve">, Schultheiss M, Luca R, Buettner N, Llewellyn-Lacey S, Emmerich F, Zehe S, Price DA, Neumann-Haefelin C, Schmitt-Graeff A, Hofmann M, Thimme R. Inefficient induction of circulating TAA-specific CD8+ T-cell responses in hepatocellular carcinoma. </w:t>
      </w:r>
      <w:r w:rsidRPr="00C51CF1">
        <w:rPr>
          <w:rFonts w:ascii="Book Antiqua" w:eastAsia="Book Antiqua" w:hAnsi="Book Antiqua" w:cs="Book Antiqua"/>
          <w:i/>
          <w:iCs/>
          <w:color w:val="000000"/>
        </w:rPr>
        <w:t>Oncotarget</w:t>
      </w:r>
      <w:r w:rsidRPr="00C51CF1">
        <w:rPr>
          <w:rFonts w:ascii="Book Antiqua" w:eastAsia="Book Antiqua" w:hAnsi="Book Antiqua" w:cs="Book Antiqua"/>
          <w:color w:val="000000"/>
        </w:rPr>
        <w:t xml:space="preserve"> 2019; </w:t>
      </w:r>
      <w:r w:rsidRPr="00C51CF1">
        <w:rPr>
          <w:rFonts w:ascii="Book Antiqua" w:eastAsia="Book Antiqua" w:hAnsi="Book Antiqua" w:cs="Book Antiqua"/>
          <w:b/>
          <w:bCs/>
          <w:color w:val="000000"/>
        </w:rPr>
        <w:t>10</w:t>
      </w:r>
      <w:r w:rsidRPr="00C51CF1">
        <w:rPr>
          <w:rFonts w:ascii="Book Antiqua" w:eastAsia="Book Antiqua" w:hAnsi="Book Antiqua" w:cs="Book Antiqua"/>
          <w:color w:val="000000"/>
        </w:rPr>
        <w:t>: 5194-5206 [PMID: 31497249 DOI: 10.18632/oncotarget.27146]</w:t>
      </w:r>
    </w:p>
    <w:p w14:paraId="69135B84"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81 </w:t>
      </w:r>
      <w:r w:rsidRPr="00C51CF1">
        <w:rPr>
          <w:rFonts w:ascii="Book Antiqua" w:eastAsia="Book Antiqua" w:hAnsi="Book Antiqua" w:cs="Book Antiqua"/>
          <w:b/>
          <w:bCs/>
          <w:color w:val="000000"/>
        </w:rPr>
        <w:t>Bunt SK</w:t>
      </w:r>
      <w:r w:rsidRPr="00C51CF1">
        <w:rPr>
          <w:rFonts w:ascii="Book Antiqua" w:eastAsia="Book Antiqua" w:hAnsi="Book Antiqua" w:cs="Book Antiqua"/>
          <w:color w:val="000000"/>
        </w:rPr>
        <w:t xml:space="preserve">, Yang L, Sinha P, Clements VK, Leips J, Ostrand-Rosenberg S. Reduced inflammation in the tumor microenvironment delays the accumulation of myeloid-derived suppressor cells and limits tumor progression. </w:t>
      </w:r>
      <w:r w:rsidRPr="00C51CF1">
        <w:rPr>
          <w:rFonts w:ascii="Book Antiqua" w:eastAsia="Book Antiqua" w:hAnsi="Book Antiqua" w:cs="Book Antiqua"/>
          <w:i/>
          <w:iCs/>
          <w:color w:val="000000"/>
        </w:rPr>
        <w:t>Cancer Res</w:t>
      </w:r>
      <w:r w:rsidRPr="00C51CF1">
        <w:rPr>
          <w:rFonts w:ascii="Book Antiqua" w:eastAsia="Book Antiqua" w:hAnsi="Book Antiqua" w:cs="Book Antiqua"/>
          <w:color w:val="000000"/>
        </w:rPr>
        <w:t xml:space="preserve"> 2007; </w:t>
      </w:r>
      <w:r w:rsidRPr="00C51CF1">
        <w:rPr>
          <w:rFonts w:ascii="Book Antiqua" w:eastAsia="Book Antiqua" w:hAnsi="Book Antiqua" w:cs="Book Antiqua"/>
          <w:b/>
          <w:bCs/>
          <w:color w:val="000000"/>
        </w:rPr>
        <w:t>67</w:t>
      </w:r>
      <w:r w:rsidRPr="00C51CF1">
        <w:rPr>
          <w:rFonts w:ascii="Book Antiqua" w:eastAsia="Book Antiqua" w:hAnsi="Book Antiqua" w:cs="Book Antiqua"/>
          <w:color w:val="000000"/>
        </w:rPr>
        <w:t>: 10019-10026 [PMID: 17942936 DOI: 10.1158/0008-5472.CAN-07-2354]</w:t>
      </w:r>
    </w:p>
    <w:p w14:paraId="26AABDC2"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82 </w:t>
      </w:r>
      <w:r w:rsidRPr="00C51CF1">
        <w:rPr>
          <w:rFonts w:ascii="Book Antiqua" w:eastAsia="Book Antiqua" w:hAnsi="Book Antiqua" w:cs="Book Antiqua"/>
          <w:b/>
          <w:bCs/>
          <w:color w:val="000000"/>
        </w:rPr>
        <w:t>Vignali DA</w:t>
      </w:r>
      <w:r w:rsidRPr="00C51CF1">
        <w:rPr>
          <w:rFonts w:ascii="Book Antiqua" w:eastAsia="Book Antiqua" w:hAnsi="Book Antiqua" w:cs="Book Antiqua"/>
          <w:color w:val="000000"/>
        </w:rPr>
        <w:t xml:space="preserve">, Collison LW, Workman CJ. How regulatory T cells work. </w:t>
      </w:r>
      <w:r w:rsidRPr="00C51CF1">
        <w:rPr>
          <w:rFonts w:ascii="Book Antiqua" w:eastAsia="Book Antiqua" w:hAnsi="Book Antiqua" w:cs="Book Antiqua"/>
          <w:i/>
          <w:iCs/>
          <w:color w:val="000000"/>
        </w:rPr>
        <w:t>Nat Rev Immunol</w:t>
      </w:r>
      <w:r w:rsidRPr="00C51CF1">
        <w:rPr>
          <w:rFonts w:ascii="Book Antiqua" w:eastAsia="Book Antiqua" w:hAnsi="Book Antiqua" w:cs="Book Antiqua"/>
          <w:color w:val="000000"/>
        </w:rPr>
        <w:t xml:space="preserve"> 2008; </w:t>
      </w:r>
      <w:r w:rsidRPr="00C51CF1">
        <w:rPr>
          <w:rFonts w:ascii="Book Antiqua" w:eastAsia="Book Antiqua" w:hAnsi="Book Antiqua" w:cs="Book Antiqua"/>
          <w:b/>
          <w:bCs/>
          <w:color w:val="000000"/>
        </w:rPr>
        <w:t>8</w:t>
      </w:r>
      <w:r w:rsidRPr="00C51CF1">
        <w:rPr>
          <w:rFonts w:ascii="Book Antiqua" w:eastAsia="Book Antiqua" w:hAnsi="Book Antiqua" w:cs="Book Antiqua"/>
          <w:color w:val="000000"/>
        </w:rPr>
        <w:t>: 523-532 [PMID: 18566595 DOI: 10.1038/nri2343]</w:t>
      </w:r>
    </w:p>
    <w:p w14:paraId="7F3E770B"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83 </w:t>
      </w:r>
      <w:r w:rsidRPr="00C51CF1">
        <w:rPr>
          <w:rFonts w:ascii="Book Antiqua" w:eastAsia="Book Antiqua" w:hAnsi="Book Antiqua" w:cs="Book Antiqua"/>
          <w:b/>
          <w:bCs/>
          <w:color w:val="000000"/>
        </w:rPr>
        <w:t>Zhou SL</w:t>
      </w:r>
      <w:r w:rsidRPr="00C51CF1">
        <w:rPr>
          <w:rFonts w:ascii="Book Antiqua" w:eastAsia="Book Antiqua" w:hAnsi="Book Antiqua" w:cs="Book Antiqua"/>
          <w:color w:val="000000"/>
        </w:rPr>
        <w:t xml:space="preserve">, Zhou ZJ, Hu ZQ, Huang XW, Wang Z, Chen EB, Fan J, Cao Y, Dai Z, Zhou J. Tumor-Associated Neutrophils Recruit Macrophages and T-Regulatory Cells to Promote Progression of Hepatocellular Carcinoma and Resistance to Sorafenib. </w:t>
      </w:r>
      <w:r w:rsidRPr="00C51CF1">
        <w:rPr>
          <w:rFonts w:ascii="Book Antiqua" w:eastAsia="Book Antiqua" w:hAnsi="Book Antiqua" w:cs="Book Antiqua"/>
          <w:i/>
          <w:iCs/>
          <w:color w:val="000000"/>
        </w:rPr>
        <w:t>Gastroenterology</w:t>
      </w:r>
      <w:r w:rsidRPr="00C51CF1">
        <w:rPr>
          <w:rFonts w:ascii="Book Antiqua" w:eastAsia="Book Antiqua" w:hAnsi="Book Antiqua" w:cs="Book Antiqua"/>
          <w:color w:val="000000"/>
        </w:rPr>
        <w:t xml:space="preserve"> 2016; </w:t>
      </w:r>
      <w:r w:rsidRPr="00C51CF1">
        <w:rPr>
          <w:rFonts w:ascii="Book Antiqua" w:eastAsia="Book Antiqua" w:hAnsi="Book Antiqua" w:cs="Book Antiqua"/>
          <w:b/>
          <w:bCs/>
          <w:color w:val="000000"/>
        </w:rPr>
        <w:t>150</w:t>
      </w:r>
      <w:r w:rsidRPr="00C51CF1">
        <w:rPr>
          <w:rFonts w:ascii="Book Antiqua" w:eastAsia="Book Antiqua" w:hAnsi="Book Antiqua" w:cs="Book Antiqua"/>
          <w:color w:val="000000"/>
        </w:rPr>
        <w:t>: 1646-1658.e17 [PMID: 26924089 DOI: 10.1053/j.gastro.2016.02.040]</w:t>
      </w:r>
    </w:p>
    <w:p w14:paraId="1A69CA59"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84 </w:t>
      </w:r>
      <w:r w:rsidRPr="00C51CF1">
        <w:rPr>
          <w:rFonts w:ascii="Book Antiqua" w:eastAsia="Book Antiqua" w:hAnsi="Book Antiqua" w:cs="Book Antiqua"/>
          <w:b/>
          <w:bCs/>
          <w:color w:val="000000"/>
        </w:rPr>
        <w:t>Zhou J</w:t>
      </w:r>
      <w:r w:rsidRPr="00C51CF1">
        <w:rPr>
          <w:rFonts w:ascii="Book Antiqua" w:eastAsia="Book Antiqua" w:hAnsi="Book Antiqua" w:cs="Book Antiqua"/>
          <w:color w:val="000000"/>
        </w:rPr>
        <w:t xml:space="preserve">, Ding T, Pan W, Zhu LY, Li L, Zheng L. Increased intratumoral regulatory T cells are related to intratumoral macrophages and poor prognosis in hepatocellular carcinoma patients. </w:t>
      </w:r>
      <w:r w:rsidRPr="00C51CF1">
        <w:rPr>
          <w:rFonts w:ascii="Book Antiqua" w:eastAsia="Book Antiqua" w:hAnsi="Book Antiqua" w:cs="Book Antiqua"/>
          <w:i/>
          <w:iCs/>
          <w:color w:val="000000"/>
        </w:rPr>
        <w:t>Int J Cancer</w:t>
      </w:r>
      <w:r w:rsidRPr="00C51CF1">
        <w:rPr>
          <w:rFonts w:ascii="Book Antiqua" w:eastAsia="Book Antiqua" w:hAnsi="Book Antiqua" w:cs="Book Antiqua"/>
          <w:color w:val="000000"/>
        </w:rPr>
        <w:t xml:space="preserve"> 2009; </w:t>
      </w:r>
      <w:r w:rsidRPr="00C51CF1">
        <w:rPr>
          <w:rFonts w:ascii="Book Antiqua" w:eastAsia="Book Antiqua" w:hAnsi="Book Antiqua" w:cs="Book Antiqua"/>
          <w:b/>
          <w:bCs/>
          <w:color w:val="000000"/>
        </w:rPr>
        <w:t>125</w:t>
      </w:r>
      <w:r w:rsidRPr="00C51CF1">
        <w:rPr>
          <w:rFonts w:ascii="Book Antiqua" w:eastAsia="Book Antiqua" w:hAnsi="Book Antiqua" w:cs="Book Antiqua"/>
          <w:color w:val="000000"/>
        </w:rPr>
        <w:t>: 1640-1648 [PMID: 19569243 DOI: 10.1002/ijc.24556]</w:t>
      </w:r>
    </w:p>
    <w:p w14:paraId="67847ACB"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85 </w:t>
      </w:r>
      <w:r w:rsidRPr="00C51CF1">
        <w:rPr>
          <w:rFonts w:ascii="Book Antiqua" w:eastAsia="Book Antiqua" w:hAnsi="Book Antiqua" w:cs="Book Antiqua"/>
          <w:b/>
          <w:bCs/>
          <w:color w:val="000000"/>
        </w:rPr>
        <w:t>Tovoli F</w:t>
      </w:r>
      <w:r w:rsidRPr="00C51CF1">
        <w:rPr>
          <w:rFonts w:ascii="Book Antiqua" w:eastAsia="Book Antiqua" w:hAnsi="Book Antiqua" w:cs="Book Antiqua"/>
          <w:color w:val="000000"/>
        </w:rPr>
        <w:t xml:space="preserve">, De Lorenzo S, Trevisani F. Immunotherapy with Checkpoint Inhibitors for Hepatocellular Carcinoma: Where Are We Now? </w:t>
      </w:r>
      <w:r w:rsidRPr="00C51CF1">
        <w:rPr>
          <w:rFonts w:ascii="Book Antiqua" w:eastAsia="Book Antiqua" w:hAnsi="Book Antiqua" w:cs="Book Antiqua"/>
          <w:i/>
          <w:iCs/>
          <w:color w:val="000000"/>
        </w:rPr>
        <w:t>Vaccines (Basel)</w:t>
      </w:r>
      <w:r w:rsidRPr="00C51CF1">
        <w:rPr>
          <w:rFonts w:ascii="Book Antiqua" w:eastAsia="Book Antiqua" w:hAnsi="Book Antiqua" w:cs="Book Antiqua"/>
          <w:color w:val="000000"/>
        </w:rPr>
        <w:t xml:space="preserve"> 2020; </w:t>
      </w:r>
      <w:r w:rsidRPr="00C51CF1">
        <w:rPr>
          <w:rFonts w:ascii="Book Antiqua" w:eastAsia="Book Antiqua" w:hAnsi="Book Antiqua" w:cs="Book Antiqua"/>
          <w:b/>
          <w:bCs/>
          <w:color w:val="000000"/>
        </w:rPr>
        <w:t>8</w:t>
      </w:r>
      <w:r w:rsidRPr="00C51CF1">
        <w:rPr>
          <w:rFonts w:ascii="Book Antiqua" w:eastAsia="Book Antiqua" w:hAnsi="Book Antiqua" w:cs="Book Antiqua"/>
          <w:color w:val="000000"/>
        </w:rPr>
        <w:t xml:space="preserve"> [PMID: 33023131 DOI: 10.3390/vaccines8040578]</w:t>
      </w:r>
    </w:p>
    <w:p w14:paraId="60679C01"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86 </w:t>
      </w:r>
      <w:r w:rsidRPr="00C51CF1">
        <w:rPr>
          <w:rFonts w:ascii="Book Antiqua" w:eastAsia="Book Antiqua" w:hAnsi="Book Antiqua" w:cs="Book Antiqua"/>
          <w:b/>
          <w:bCs/>
          <w:color w:val="000000"/>
        </w:rPr>
        <w:t>Sakaguchi S</w:t>
      </w:r>
      <w:r w:rsidRPr="00C51CF1">
        <w:rPr>
          <w:rFonts w:ascii="Book Antiqua" w:eastAsia="Book Antiqua" w:hAnsi="Book Antiqua" w:cs="Book Antiqua"/>
          <w:color w:val="000000"/>
        </w:rPr>
        <w:t xml:space="preserve">, Yamaguchi T, Nomura T, Ono M. Regulatory T cells and immune tolerance. </w:t>
      </w:r>
      <w:r w:rsidRPr="00C51CF1">
        <w:rPr>
          <w:rFonts w:ascii="Book Antiqua" w:eastAsia="Book Antiqua" w:hAnsi="Book Antiqua" w:cs="Book Antiqua"/>
          <w:i/>
          <w:iCs/>
          <w:color w:val="000000"/>
        </w:rPr>
        <w:t>Cell</w:t>
      </w:r>
      <w:r w:rsidRPr="00C51CF1">
        <w:rPr>
          <w:rFonts w:ascii="Book Antiqua" w:eastAsia="Book Antiqua" w:hAnsi="Book Antiqua" w:cs="Book Antiqua"/>
          <w:color w:val="000000"/>
        </w:rPr>
        <w:t xml:space="preserve"> 2008; </w:t>
      </w:r>
      <w:r w:rsidRPr="00C51CF1">
        <w:rPr>
          <w:rFonts w:ascii="Book Antiqua" w:eastAsia="Book Antiqua" w:hAnsi="Book Antiqua" w:cs="Book Antiqua"/>
          <w:b/>
          <w:bCs/>
          <w:color w:val="000000"/>
        </w:rPr>
        <w:t>133</w:t>
      </w:r>
      <w:r w:rsidRPr="00C51CF1">
        <w:rPr>
          <w:rFonts w:ascii="Book Antiqua" w:eastAsia="Book Antiqua" w:hAnsi="Book Antiqua" w:cs="Book Antiqua"/>
          <w:color w:val="000000"/>
        </w:rPr>
        <w:t>: 775-787 [PMID: 18510923 DOI: 10.1016/j.cell.2008.05.009]</w:t>
      </w:r>
    </w:p>
    <w:p w14:paraId="01D8BF8A"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87 </w:t>
      </w:r>
      <w:r w:rsidRPr="00C51CF1">
        <w:rPr>
          <w:rFonts w:ascii="Book Antiqua" w:eastAsia="Book Antiqua" w:hAnsi="Book Antiqua" w:cs="Book Antiqua"/>
          <w:b/>
          <w:bCs/>
          <w:color w:val="000000"/>
        </w:rPr>
        <w:t>Tanaka A</w:t>
      </w:r>
      <w:r w:rsidRPr="00C51CF1">
        <w:rPr>
          <w:rFonts w:ascii="Book Antiqua" w:eastAsia="Book Antiqua" w:hAnsi="Book Antiqua" w:cs="Book Antiqua"/>
          <w:color w:val="000000"/>
        </w:rPr>
        <w:t xml:space="preserve">, Sakaguchi S. Regulatory T cells in cancer immunotherapy. </w:t>
      </w:r>
      <w:r w:rsidRPr="00C51CF1">
        <w:rPr>
          <w:rFonts w:ascii="Book Antiqua" w:eastAsia="Book Antiqua" w:hAnsi="Book Antiqua" w:cs="Book Antiqua"/>
          <w:i/>
          <w:iCs/>
          <w:color w:val="000000"/>
        </w:rPr>
        <w:t>Cell Res</w:t>
      </w:r>
      <w:r w:rsidRPr="00C51CF1">
        <w:rPr>
          <w:rFonts w:ascii="Book Antiqua" w:eastAsia="Book Antiqua" w:hAnsi="Book Antiqua" w:cs="Book Antiqua"/>
          <w:color w:val="000000"/>
        </w:rPr>
        <w:t xml:space="preserve"> 2017; </w:t>
      </w:r>
      <w:r w:rsidRPr="00C51CF1">
        <w:rPr>
          <w:rFonts w:ascii="Book Antiqua" w:eastAsia="Book Antiqua" w:hAnsi="Book Antiqua" w:cs="Book Antiqua"/>
          <w:b/>
          <w:bCs/>
          <w:color w:val="000000"/>
        </w:rPr>
        <w:t>27</w:t>
      </w:r>
      <w:r w:rsidRPr="00C51CF1">
        <w:rPr>
          <w:rFonts w:ascii="Book Antiqua" w:eastAsia="Book Antiqua" w:hAnsi="Book Antiqua" w:cs="Book Antiqua"/>
          <w:color w:val="000000"/>
        </w:rPr>
        <w:t>: 109-118 [PMID: 27995907 DOI: 10.1038/cr.2016.151]</w:t>
      </w:r>
    </w:p>
    <w:p w14:paraId="7338B732"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88 </w:t>
      </w:r>
      <w:r w:rsidRPr="00C51CF1">
        <w:rPr>
          <w:rFonts w:ascii="Book Antiqua" w:eastAsia="Book Antiqua" w:hAnsi="Book Antiqua" w:cs="Book Antiqua"/>
          <w:b/>
          <w:bCs/>
          <w:color w:val="000000"/>
        </w:rPr>
        <w:t>Pedroza-Pacheco I</w:t>
      </w:r>
      <w:r w:rsidRPr="00C51CF1">
        <w:rPr>
          <w:rFonts w:ascii="Book Antiqua" w:eastAsia="Book Antiqua" w:hAnsi="Book Antiqua" w:cs="Book Antiqua"/>
          <w:color w:val="000000"/>
        </w:rPr>
        <w:t xml:space="preserve">, Madrigal A, Saudemont A. Interaction between natural killer cells and regulatory T cells: perspectives for immunotherapy. </w:t>
      </w:r>
      <w:r w:rsidRPr="00C51CF1">
        <w:rPr>
          <w:rFonts w:ascii="Book Antiqua" w:eastAsia="Book Antiqua" w:hAnsi="Book Antiqua" w:cs="Book Antiqua"/>
          <w:i/>
          <w:iCs/>
          <w:color w:val="000000"/>
        </w:rPr>
        <w:t>Cell Mol Immunol</w:t>
      </w:r>
      <w:r w:rsidRPr="00C51CF1">
        <w:rPr>
          <w:rFonts w:ascii="Book Antiqua" w:eastAsia="Book Antiqua" w:hAnsi="Book Antiqua" w:cs="Book Antiqua"/>
          <w:color w:val="000000"/>
        </w:rPr>
        <w:t xml:space="preserve"> 2013; </w:t>
      </w:r>
      <w:r w:rsidRPr="00C51CF1">
        <w:rPr>
          <w:rFonts w:ascii="Book Antiqua" w:eastAsia="Book Antiqua" w:hAnsi="Book Antiqua" w:cs="Book Antiqua"/>
          <w:b/>
          <w:bCs/>
          <w:color w:val="000000"/>
        </w:rPr>
        <w:t>10</w:t>
      </w:r>
      <w:r w:rsidRPr="00C51CF1">
        <w:rPr>
          <w:rFonts w:ascii="Book Antiqua" w:eastAsia="Book Antiqua" w:hAnsi="Book Antiqua" w:cs="Book Antiqua"/>
          <w:color w:val="000000"/>
        </w:rPr>
        <w:t>: 222-229 [PMID: 23524654 DOI: 10.1038/cmi.2013.2]</w:t>
      </w:r>
    </w:p>
    <w:p w14:paraId="61D8DD7E"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89 </w:t>
      </w:r>
      <w:r w:rsidRPr="00C51CF1">
        <w:rPr>
          <w:rFonts w:ascii="Book Antiqua" w:eastAsia="Book Antiqua" w:hAnsi="Book Antiqua" w:cs="Book Antiqua"/>
          <w:b/>
          <w:bCs/>
          <w:color w:val="000000"/>
        </w:rPr>
        <w:t>Ren L</w:t>
      </w:r>
      <w:r w:rsidRPr="00C51CF1">
        <w:rPr>
          <w:rFonts w:ascii="Book Antiqua" w:eastAsia="Book Antiqua" w:hAnsi="Book Antiqua" w:cs="Book Antiqua"/>
          <w:color w:val="000000"/>
        </w:rPr>
        <w:t xml:space="preserve">, Yu Y, Wang L, Zhu Z, Lu R, Yao Z. Hypoxia-induced CCL28 promotes recruitment of regulatory T cells and tumor growth in liver cancer. </w:t>
      </w:r>
      <w:r w:rsidRPr="00C51CF1">
        <w:rPr>
          <w:rFonts w:ascii="Book Antiqua" w:eastAsia="Book Antiqua" w:hAnsi="Book Antiqua" w:cs="Book Antiqua"/>
          <w:i/>
          <w:iCs/>
          <w:color w:val="000000"/>
        </w:rPr>
        <w:t>Oncotarget</w:t>
      </w:r>
      <w:r w:rsidRPr="00C51CF1">
        <w:rPr>
          <w:rFonts w:ascii="Book Antiqua" w:eastAsia="Book Antiqua" w:hAnsi="Book Antiqua" w:cs="Book Antiqua"/>
          <w:color w:val="000000"/>
        </w:rPr>
        <w:t xml:space="preserve"> 2016; </w:t>
      </w:r>
      <w:r w:rsidRPr="00C51CF1">
        <w:rPr>
          <w:rFonts w:ascii="Book Antiqua" w:eastAsia="Book Antiqua" w:hAnsi="Book Antiqua" w:cs="Book Antiqua"/>
          <w:b/>
          <w:bCs/>
          <w:color w:val="000000"/>
        </w:rPr>
        <w:t>7</w:t>
      </w:r>
      <w:r w:rsidRPr="00C51CF1">
        <w:rPr>
          <w:rFonts w:ascii="Book Antiqua" w:eastAsia="Book Antiqua" w:hAnsi="Book Antiqua" w:cs="Book Antiqua"/>
          <w:color w:val="000000"/>
        </w:rPr>
        <w:t>: 75763-75773 [PMID: 27716621 DOI: 10.18632/oncotarget.12409]</w:t>
      </w:r>
    </w:p>
    <w:p w14:paraId="57B623EE"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90 </w:t>
      </w:r>
      <w:r w:rsidRPr="00C51CF1">
        <w:rPr>
          <w:rFonts w:ascii="Book Antiqua" w:eastAsia="Book Antiqua" w:hAnsi="Book Antiqua" w:cs="Book Antiqua"/>
          <w:b/>
          <w:bCs/>
          <w:color w:val="000000"/>
        </w:rPr>
        <w:t>Marra F</w:t>
      </w:r>
      <w:r w:rsidRPr="00C51CF1">
        <w:rPr>
          <w:rFonts w:ascii="Book Antiqua" w:eastAsia="Book Antiqua" w:hAnsi="Book Antiqua" w:cs="Book Antiqua"/>
          <w:color w:val="000000"/>
        </w:rPr>
        <w:t xml:space="preserve">, Tacke F. Roles for chemokines in liver disease. </w:t>
      </w:r>
      <w:r w:rsidRPr="00C51CF1">
        <w:rPr>
          <w:rFonts w:ascii="Book Antiqua" w:eastAsia="Book Antiqua" w:hAnsi="Book Antiqua" w:cs="Book Antiqua"/>
          <w:i/>
          <w:iCs/>
          <w:color w:val="000000"/>
        </w:rPr>
        <w:t>Gastroenterology</w:t>
      </w:r>
      <w:r w:rsidRPr="00C51CF1">
        <w:rPr>
          <w:rFonts w:ascii="Book Antiqua" w:eastAsia="Book Antiqua" w:hAnsi="Book Antiqua" w:cs="Book Antiqua"/>
          <w:color w:val="000000"/>
        </w:rPr>
        <w:t xml:space="preserve"> 2014; </w:t>
      </w:r>
      <w:r w:rsidRPr="00C51CF1">
        <w:rPr>
          <w:rFonts w:ascii="Book Antiqua" w:eastAsia="Book Antiqua" w:hAnsi="Book Antiqua" w:cs="Book Antiqua"/>
          <w:b/>
          <w:bCs/>
          <w:color w:val="000000"/>
        </w:rPr>
        <w:t>147</w:t>
      </w:r>
      <w:r w:rsidRPr="00C51CF1">
        <w:rPr>
          <w:rFonts w:ascii="Book Antiqua" w:eastAsia="Book Antiqua" w:hAnsi="Book Antiqua" w:cs="Book Antiqua"/>
          <w:color w:val="000000"/>
        </w:rPr>
        <w:t>: 577-594.e1 [PMID: 25066692 DOI: 10.1053/j.gastro.2014.06.043]</w:t>
      </w:r>
    </w:p>
    <w:p w14:paraId="018D56A7"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91 </w:t>
      </w:r>
      <w:r w:rsidRPr="00C51CF1">
        <w:rPr>
          <w:rFonts w:ascii="Book Antiqua" w:eastAsia="Book Antiqua" w:hAnsi="Book Antiqua" w:cs="Book Antiqua"/>
          <w:b/>
          <w:bCs/>
          <w:color w:val="000000"/>
        </w:rPr>
        <w:t>Shen X</w:t>
      </w:r>
      <w:r w:rsidRPr="00C51CF1">
        <w:rPr>
          <w:rFonts w:ascii="Book Antiqua" w:eastAsia="Book Antiqua" w:hAnsi="Book Antiqua" w:cs="Book Antiqua"/>
          <w:color w:val="000000"/>
        </w:rPr>
        <w:t xml:space="preserve">, Li N, Li H, Zhang T, Wang F, Li Q. Increased prevalence of regulatory T cells in the tumor microenvironment and its correlation with TNM stage of hepatocellular carcinoma. </w:t>
      </w:r>
      <w:r w:rsidRPr="00C51CF1">
        <w:rPr>
          <w:rFonts w:ascii="Book Antiqua" w:eastAsia="Book Antiqua" w:hAnsi="Book Antiqua" w:cs="Book Antiqua"/>
          <w:i/>
          <w:iCs/>
          <w:color w:val="000000"/>
        </w:rPr>
        <w:t>J Cancer Res Clin Oncol</w:t>
      </w:r>
      <w:r w:rsidRPr="00C51CF1">
        <w:rPr>
          <w:rFonts w:ascii="Book Antiqua" w:eastAsia="Book Antiqua" w:hAnsi="Book Antiqua" w:cs="Book Antiqua"/>
          <w:color w:val="000000"/>
        </w:rPr>
        <w:t xml:space="preserve"> 2010; </w:t>
      </w:r>
      <w:r w:rsidRPr="00C51CF1">
        <w:rPr>
          <w:rFonts w:ascii="Book Antiqua" w:eastAsia="Book Antiqua" w:hAnsi="Book Antiqua" w:cs="Book Antiqua"/>
          <w:b/>
          <w:bCs/>
          <w:color w:val="000000"/>
        </w:rPr>
        <w:t>136</w:t>
      </w:r>
      <w:r w:rsidRPr="00C51CF1">
        <w:rPr>
          <w:rFonts w:ascii="Book Antiqua" w:eastAsia="Book Antiqua" w:hAnsi="Book Antiqua" w:cs="Book Antiqua"/>
          <w:color w:val="000000"/>
        </w:rPr>
        <w:t>: 1745-1754 [PMID: 20221638 DOI: 10.1007/s00432-010-0833-8]</w:t>
      </w:r>
    </w:p>
    <w:p w14:paraId="2641FB71"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92 </w:t>
      </w:r>
      <w:r w:rsidRPr="00C51CF1">
        <w:rPr>
          <w:rFonts w:ascii="Book Antiqua" w:eastAsia="Book Antiqua" w:hAnsi="Book Antiqua" w:cs="Book Antiqua"/>
          <w:b/>
          <w:bCs/>
          <w:color w:val="000000"/>
        </w:rPr>
        <w:t>Fu YP</w:t>
      </w:r>
      <w:r w:rsidRPr="00C51CF1">
        <w:rPr>
          <w:rFonts w:ascii="Book Antiqua" w:eastAsia="Book Antiqua" w:hAnsi="Book Antiqua" w:cs="Book Antiqua"/>
          <w:color w:val="000000"/>
        </w:rPr>
        <w:t xml:space="preserve">, Yi Y, Cai XY, Sun J, Ni XC, He HW, Wang JX, Lu ZF, Huang JL, Cao Y, Zhou J, Fan J, Qiu SJ. Overexpression of interleukin-35 associates with hepatocellular carcinoma aggressiveness and recurrence after curative resection. </w:t>
      </w:r>
      <w:r w:rsidRPr="00C51CF1">
        <w:rPr>
          <w:rFonts w:ascii="Book Antiqua" w:eastAsia="Book Antiqua" w:hAnsi="Book Antiqua" w:cs="Book Antiqua"/>
          <w:i/>
          <w:iCs/>
          <w:color w:val="000000"/>
        </w:rPr>
        <w:t>Br J Cancer</w:t>
      </w:r>
      <w:r w:rsidRPr="00C51CF1">
        <w:rPr>
          <w:rFonts w:ascii="Book Antiqua" w:eastAsia="Book Antiqua" w:hAnsi="Book Antiqua" w:cs="Book Antiqua"/>
          <w:color w:val="000000"/>
        </w:rPr>
        <w:t xml:space="preserve"> 2016; </w:t>
      </w:r>
      <w:r w:rsidRPr="00C51CF1">
        <w:rPr>
          <w:rFonts w:ascii="Book Antiqua" w:eastAsia="Book Antiqua" w:hAnsi="Book Antiqua" w:cs="Book Antiqua"/>
          <w:b/>
          <w:bCs/>
          <w:color w:val="000000"/>
        </w:rPr>
        <w:t>114</w:t>
      </w:r>
      <w:r w:rsidRPr="00C51CF1">
        <w:rPr>
          <w:rFonts w:ascii="Book Antiqua" w:eastAsia="Book Antiqua" w:hAnsi="Book Antiqua" w:cs="Book Antiqua"/>
          <w:color w:val="000000"/>
        </w:rPr>
        <w:t>: 767-776 [PMID: 27002937 DOI: 10.1038/bjc.2016.47]</w:t>
      </w:r>
    </w:p>
    <w:p w14:paraId="4C57EF6C"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93 </w:t>
      </w:r>
      <w:r w:rsidRPr="00C51CF1">
        <w:rPr>
          <w:rFonts w:ascii="Book Antiqua" w:eastAsia="Book Antiqua" w:hAnsi="Book Antiqua" w:cs="Book Antiqua"/>
          <w:b/>
          <w:bCs/>
          <w:color w:val="000000"/>
        </w:rPr>
        <w:t>Chen J</w:t>
      </w:r>
      <w:r w:rsidRPr="00C51CF1">
        <w:rPr>
          <w:rFonts w:ascii="Book Antiqua" w:eastAsia="Book Antiqua" w:hAnsi="Book Antiqua" w:cs="Book Antiqua"/>
          <w:color w:val="000000"/>
        </w:rPr>
        <w:t xml:space="preserve">, Gingold JA, Su X. Immunomodulatory TGF-β Signaling in Hepatocellular Carcinoma. </w:t>
      </w:r>
      <w:r w:rsidRPr="00C51CF1">
        <w:rPr>
          <w:rFonts w:ascii="Book Antiqua" w:eastAsia="Book Antiqua" w:hAnsi="Book Antiqua" w:cs="Book Antiqua"/>
          <w:i/>
          <w:iCs/>
          <w:color w:val="000000"/>
        </w:rPr>
        <w:t>Trends Mol Med</w:t>
      </w:r>
      <w:r w:rsidRPr="00C51CF1">
        <w:rPr>
          <w:rFonts w:ascii="Book Antiqua" w:eastAsia="Book Antiqua" w:hAnsi="Book Antiqua" w:cs="Book Antiqua"/>
          <w:color w:val="000000"/>
        </w:rPr>
        <w:t xml:space="preserve"> 2019; </w:t>
      </w:r>
      <w:r w:rsidRPr="00C51CF1">
        <w:rPr>
          <w:rFonts w:ascii="Book Antiqua" w:eastAsia="Book Antiqua" w:hAnsi="Book Antiqua" w:cs="Book Antiqua"/>
          <w:b/>
          <w:bCs/>
          <w:color w:val="000000"/>
        </w:rPr>
        <w:t>25</w:t>
      </w:r>
      <w:r w:rsidRPr="00C51CF1">
        <w:rPr>
          <w:rFonts w:ascii="Book Antiqua" w:eastAsia="Book Antiqua" w:hAnsi="Book Antiqua" w:cs="Book Antiqua"/>
          <w:color w:val="000000"/>
        </w:rPr>
        <w:t>: 1010-1023 [PMID: 31353124 DOI: 10.1016/j.molmed.2019.06.007]</w:t>
      </w:r>
    </w:p>
    <w:p w14:paraId="6488F19D"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94 </w:t>
      </w:r>
      <w:r w:rsidRPr="00C51CF1">
        <w:rPr>
          <w:rFonts w:ascii="Book Antiqua" w:eastAsia="Book Antiqua" w:hAnsi="Book Antiqua" w:cs="Book Antiqua"/>
          <w:b/>
          <w:bCs/>
          <w:color w:val="000000"/>
        </w:rPr>
        <w:t>Chen X</w:t>
      </w:r>
      <w:r w:rsidRPr="00C51CF1">
        <w:rPr>
          <w:rFonts w:ascii="Book Antiqua" w:eastAsia="Book Antiqua" w:hAnsi="Book Antiqua" w:cs="Book Antiqua"/>
          <w:color w:val="000000"/>
        </w:rPr>
        <w:t xml:space="preserve">, Du Y, Hu Q, Huang Z. Tumor-derived CD4+CD25+regulatory T cells inhibit dendritic cells function by CTLA-4. </w:t>
      </w:r>
      <w:r w:rsidRPr="00C51CF1">
        <w:rPr>
          <w:rFonts w:ascii="Book Antiqua" w:eastAsia="Book Antiqua" w:hAnsi="Book Antiqua" w:cs="Book Antiqua"/>
          <w:i/>
          <w:iCs/>
          <w:color w:val="000000"/>
        </w:rPr>
        <w:t>Pathol Res Pract</w:t>
      </w:r>
      <w:r w:rsidRPr="00C51CF1">
        <w:rPr>
          <w:rFonts w:ascii="Book Antiqua" w:eastAsia="Book Antiqua" w:hAnsi="Book Antiqua" w:cs="Book Antiqua"/>
          <w:color w:val="000000"/>
        </w:rPr>
        <w:t xml:space="preserve"> 2017; </w:t>
      </w:r>
      <w:r w:rsidRPr="00C51CF1">
        <w:rPr>
          <w:rFonts w:ascii="Book Antiqua" w:eastAsia="Book Antiqua" w:hAnsi="Book Antiqua" w:cs="Book Antiqua"/>
          <w:b/>
          <w:bCs/>
          <w:color w:val="000000"/>
        </w:rPr>
        <w:t>213</w:t>
      </w:r>
      <w:r w:rsidRPr="00C51CF1">
        <w:rPr>
          <w:rFonts w:ascii="Book Antiqua" w:eastAsia="Book Antiqua" w:hAnsi="Book Antiqua" w:cs="Book Antiqua"/>
          <w:color w:val="000000"/>
        </w:rPr>
        <w:t>: 245-249 [PMID: 28214198 DOI: 10.1016/j.prp.2016.12.008]</w:t>
      </w:r>
    </w:p>
    <w:p w14:paraId="74AA016D"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95 </w:t>
      </w:r>
      <w:r w:rsidRPr="00C51CF1">
        <w:rPr>
          <w:rFonts w:ascii="Book Antiqua" w:eastAsia="Book Antiqua" w:hAnsi="Book Antiqua" w:cs="Book Antiqua"/>
          <w:b/>
          <w:bCs/>
          <w:color w:val="000000"/>
        </w:rPr>
        <w:t>Li C</w:t>
      </w:r>
      <w:r w:rsidRPr="00C51CF1">
        <w:rPr>
          <w:rFonts w:ascii="Book Antiqua" w:eastAsia="Book Antiqua" w:hAnsi="Book Antiqua" w:cs="Book Antiqua"/>
          <w:color w:val="000000"/>
        </w:rPr>
        <w:t xml:space="preserve">, Jiang P, Wei S, Xu X, Wang J. Regulatory T cells in tumor microenvironment: new mechanisms, potential therapeutic strategies and future prospects. </w:t>
      </w:r>
      <w:r w:rsidRPr="00C51CF1">
        <w:rPr>
          <w:rFonts w:ascii="Book Antiqua" w:eastAsia="Book Antiqua" w:hAnsi="Book Antiqua" w:cs="Book Antiqua"/>
          <w:i/>
          <w:iCs/>
          <w:color w:val="000000"/>
        </w:rPr>
        <w:t>Mol Cancer</w:t>
      </w:r>
      <w:r w:rsidRPr="00C51CF1">
        <w:rPr>
          <w:rFonts w:ascii="Book Antiqua" w:eastAsia="Book Antiqua" w:hAnsi="Book Antiqua" w:cs="Book Antiqua"/>
          <w:color w:val="000000"/>
        </w:rPr>
        <w:t xml:space="preserve"> 2020; </w:t>
      </w:r>
      <w:r w:rsidRPr="00C51CF1">
        <w:rPr>
          <w:rFonts w:ascii="Book Antiqua" w:eastAsia="Book Antiqua" w:hAnsi="Book Antiqua" w:cs="Book Antiqua"/>
          <w:b/>
          <w:bCs/>
          <w:color w:val="000000"/>
        </w:rPr>
        <w:t>19</w:t>
      </w:r>
      <w:r w:rsidRPr="00C51CF1">
        <w:rPr>
          <w:rFonts w:ascii="Book Antiqua" w:eastAsia="Book Antiqua" w:hAnsi="Book Antiqua" w:cs="Book Antiqua"/>
          <w:color w:val="000000"/>
        </w:rPr>
        <w:t>: 116 [PMID: 32680511 DOI: 10.1186/s12943-020-01234-1]</w:t>
      </w:r>
    </w:p>
    <w:p w14:paraId="3905BA4B"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96 </w:t>
      </w:r>
      <w:r w:rsidRPr="00C51CF1">
        <w:rPr>
          <w:rFonts w:ascii="Book Antiqua" w:eastAsia="Book Antiqua" w:hAnsi="Book Antiqua" w:cs="Book Antiqua"/>
          <w:b/>
          <w:bCs/>
          <w:color w:val="000000"/>
        </w:rPr>
        <w:t>Cabrera R</w:t>
      </w:r>
      <w:r w:rsidRPr="00C51CF1">
        <w:rPr>
          <w:rFonts w:ascii="Book Antiqua" w:eastAsia="Book Antiqua" w:hAnsi="Book Antiqua" w:cs="Book Antiqua"/>
          <w:color w:val="000000"/>
        </w:rPr>
        <w:t xml:space="preserve">, Ararat M, Eksioglu EA, Cao M, Xu Y, Wasserfall C, Atkinson MA, Liu C, Nelson DR. Influence of serum and soluble CD25 (sCD25) on regulatory and effector T-cell function in hepatocellular carcinoma. </w:t>
      </w:r>
      <w:r w:rsidRPr="00C51CF1">
        <w:rPr>
          <w:rFonts w:ascii="Book Antiqua" w:eastAsia="Book Antiqua" w:hAnsi="Book Antiqua" w:cs="Book Antiqua"/>
          <w:i/>
          <w:iCs/>
          <w:color w:val="000000"/>
        </w:rPr>
        <w:t>Scand J Immunol</w:t>
      </w:r>
      <w:r w:rsidRPr="00C51CF1">
        <w:rPr>
          <w:rFonts w:ascii="Book Antiqua" w:eastAsia="Book Antiqua" w:hAnsi="Book Antiqua" w:cs="Book Antiqua"/>
          <w:color w:val="000000"/>
        </w:rPr>
        <w:t xml:space="preserve"> 2010; </w:t>
      </w:r>
      <w:r w:rsidRPr="00C51CF1">
        <w:rPr>
          <w:rFonts w:ascii="Book Antiqua" w:eastAsia="Book Antiqua" w:hAnsi="Book Antiqua" w:cs="Book Antiqua"/>
          <w:b/>
          <w:bCs/>
          <w:color w:val="000000"/>
        </w:rPr>
        <w:t>72</w:t>
      </w:r>
      <w:r w:rsidRPr="00C51CF1">
        <w:rPr>
          <w:rFonts w:ascii="Book Antiqua" w:eastAsia="Book Antiqua" w:hAnsi="Book Antiqua" w:cs="Book Antiqua"/>
          <w:color w:val="000000"/>
        </w:rPr>
        <w:t>: 293-301 [PMID: 20883314 DOI: 10.1111/j.1365-3083.2010.02427.x]</w:t>
      </w:r>
    </w:p>
    <w:p w14:paraId="2BC8A74A"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97 </w:t>
      </w:r>
      <w:r w:rsidRPr="00C51CF1">
        <w:rPr>
          <w:rFonts w:ascii="Book Antiqua" w:eastAsia="Book Antiqua" w:hAnsi="Book Antiqua" w:cs="Book Antiqua"/>
          <w:b/>
          <w:bCs/>
          <w:color w:val="000000"/>
        </w:rPr>
        <w:t>Li FJ</w:t>
      </w:r>
      <w:r w:rsidRPr="00C51CF1">
        <w:rPr>
          <w:rFonts w:ascii="Book Antiqua" w:eastAsia="Book Antiqua" w:hAnsi="Book Antiqua" w:cs="Book Antiqua"/>
          <w:color w:val="000000"/>
        </w:rPr>
        <w:t xml:space="preserve">, Zhang Y, Jin GX, Yao L, Wu DQ. Expression of LAG-3 is coincident with the impaired effector function of HBV-specific CD8(+) T cell in HCC patients. </w:t>
      </w:r>
      <w:r w:rsidRPr="00C51CF1">
        <w:rPr>
          <w:rFonts w:ascii="Book Antiqua" w:eastAsia="Book Antiqua" w:hAnsi="Book Antiqua" w:cs="Book Antiqua"/>
          <w:i/>
          <w:iCs/>
          <w:color w:val="000000"/>
        </w:rPr>
        <w:t>Immunol Lett</w:t>
      </w:r>
      <w:r w:rsidRPr="00C51CF1">
        <w:rPr>
          <w:rFonts w:ascii="Book Antiqua" w:eastAsia="Book Antiqua" w:hAnsi="Book Antiqua" w:cs="Book Antiqua"/>
          <w:color w:val="000000"/>
        </w:rPr>
        <w:t xml:space="preserve"> 2013; </w:t>
      </w:r>
      <w:r w:rsidRPr="00C51CF1">
        <w:rPr>
          <w:rFonts w:ascii="Book Antiqua" w:eastAsia="Book Antiqua" w:hAnsi="Book Antiqua" w:cs="Book Antiqua"/>
          <w:b/>
          <w:bCs/>
          <w:color w:val="000000"/>
        </w:rPr>
        <w:t>150</w:t>
      </w:r>
      <w:r w:rsidRPr="00C51CF1">
        <w:rPr>
          <w:rFonts w:ascii="Book Antiqua" w:eastAsia="Book Antiqua" w:hAnsi="Book Antiqua" w:cs="Book Antiqua"/>
          <w:color w:val="000000"/>
        </w:rPr>
        <w:t>: 116-122 [PMID: 23261718 DOI: 10.1016/j.imlet.2012.12.004]</w:t>
      </w:r>
    </w:p>
    <w:p w14:paraId="4BC685C4"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98 </w:t>
      </w:r>
      <w:r w:rsidRPr="00C51CF1">
        <w:rPr>
          <w:rFonts w:ascii="Book Antiqua" w:eastAsia="Book Antiqua" w:hAnsi="Book Antiqua" w:cs="Book Antiqua"/>
          <w:b/>
          <w:bCs/>
          <w:color w:val="000000"/>
        </w:rPr>
        <w:t>Cheng X</w:t>
      </w:r>
      <w:r w:rsidRPr="00C51CF1">
        <w:rPr>
          <w:rFonts w:ascii="Book Antiqua" w:eastAsia="Book Antiqua" w:hAnsi="Book Antiqua" w:cs="Book Antiqua"/>
          <w:color w:val="000000"/>
        </w:rPr>
        <w:t xml:space="preserve">, Wu H, Jin ZJ, Ma D, Yuen S, Jing XQ, Shi MM, Shen BY, Peng CH, Zhao R, Qiu WH. Up-regulation of chemokine receptor CCR4 is associated with Human Hepatocellular Carcinoma malignant behavior. </w:t>
      </w:r>
      <w:r w:rsidRPr="00C51CF1">
        <w:rPr>
          <w:rFonts w:ascii="Book Antiqua" w:eastAsia="Book Antiqua" w:hAnsi="Book Antiqua" w:cs="Book Antiqua"/>
          <w:i/>
          <w:iCs/>
          <w:color w:val="000000"/>
        </w:rPr>
        <w:t>Sci Rep</w:t>
      </w:r>
      <w:r w:rsidRPr="00C51CF1">
        <w:rPr>
          <w:rFonts w:ascii="Book Antiqua" w:eastAsia="Book Antiqua" w:hAnsi="Book Antiqua" w:cs="Book Antiqua"/>
          <w:color w:val="000000"/>
        </w:rPr>
        <w:t xml:space="preserve"> 2017; </w:t>
      </w:r>
      <w:r w:rsidRPr="00C51CF1">
        <w:rPr>
          <w:rFonts w:ascii="Book Antiqua" w:eastAsia="Book Antiqua" w:hAnsi="Book Antiqua" w:cs="Book Antiqua"/>
          <w:b/>
          <w:bCs/>
          <w:color w:val="000000"/>
        </w:rPr>
        <w:t>7</w:t>
      </w:r>
      <w:r w:rsidRPr="00C51CF1">
        <w:rPr>
          <w:rFonts w:ascii="Book Antiqua" w:eastAsia="Book Antiqua" w:hAnsi="Book Antiqua" w:cs="Book Antiqua"/>
          <w:color w:val="000000"/>
        </w:rPr>
        <w:t>: 12362 [PMID: 28959024 DOI: 10.1038/s41598-017-10267-4]</w:t>
      </w:r>
    </w:p>
    <w:p w14:paraId="1A069FC6"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99 </w:t>
      </w:r>
      <w:r w:rsidRPr="00C51CF1">
        <w:rPr>
          <w:rFonts w:ascii="Book Antiqua" w:eastAsia="Book Antiqua" w:hAnsi="Book Antiqua" w:cs="Book Antiqua"/>
          <w:b/>
          <w:bCs/>
          <w:color w:val="000000"/>
        </w:rPr>
        <w:t>Singh SK</w:t>
      </w:r>
      <w:r w:rsidRPr="00C51CF1">
        <w:rPr>
          <w:rFonts w:ascii="Book Antiqua" w:eastAsia="Book Antiqua" w:hAnsi="Book Antiqua" w:cs="Book Antiqua"/>
          <w:color w:val="000000"/>
        </w:rPr>
        <w:t xml:space="preserve">, Mishra MK, Rivers BM, Gordetsky JB, Bae S, Singh R. Biological and Clinical Significance of the CCR5/CCL5 Axis in Hepatocellular Carcinoma. </w:t>
      </w:r>
      <w:r w:rsidRPr="00C51CF1">
        <w:rPr>
          <w:rFonts w:ascii="Book Antiqua" w:eastAsia="Book Antiqua" w:hAnsi="Book Antiqua" w:cs="Book Antiqua"/>
          <w:i/>
          <w:iCs/>
          <w:color w:val="000000"/>
        </w:rPr>
        <w:t>Cancers (Basel)</w:t>
      </w:r>
      <w:r w:rsidRPr="00C51CF1">
        <w:rPr>
          <w:rFonts w:ascii="Book Antiqua" w:eastAsia="Book Antiqua" w:hAnsi="Book Antiqua" w:cs="Book Antiqua"/>
          <w:color w:val="000000"/>
        </w:rPr>
        <w:t xml:space="preserve"> 2020; </w:t>
      </w:r>
      <w:r w:rsidRPr="00C51CF1">
        <w:rPr>
          <w:rFonts w:ascii="Book Antiqua" w:eastAsia="Book Antiqua" w:hAnsi="Book Antiqua" w:cs="Book Antiqua"/>
          <w:b/>
          <w:bCs/>
          <w:color w:val="000000"/>
        </w:rPr>
        <w:t>12</w:t>
      </w:r>
      <w:r w:rsidRPr="00C51CF1">
        <w:rPr>
          <w:rFonts w:ascii="Book Antiqua" w:eastAsia="Book Antiqua" w:hAnsi="Book Antiqua" w:cs="Book Antiqua"/>
          <w:color w:val="000000"/>
        </w:rPr>
        <w:t xml:space="preserve"> [PMID: 32260550 DOI: 10.3390/cancers12040883]</w:t>
      </w:r>
    </w:p>
    <w:p w14:paraId="0B2C342B"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100 </w:t>
      </w:r>
      <w:r w:rsidRPr="00C51CF1">
        <w:rPr>
          <w:rFonts w:ascii="Book Antiqua" w:eastAsia="Book Antiqua" w:hAnsi="Book Antiqua" w:cs="Book Antiqua"/>
          <w:b/>
          <w:bCs/>
          <w:color w:val="000000"/>
        </w:rPr>
        <w:t>Xue D</w:t>
      </w:r>
      <w:r w:rsidRPr="00C51CF1">
        <w:rPr>
          <w:rFonts w:ascii="Book Antiqua" w:eastAsia="Book Antiqua" w:hAnsi="Book Antiqua" w:cs="Book Antiqua"/>
          <w:color w:val="000000"/>
        </w:rPr>
        <w:t xml:space="preserve">, Zheng Y, Wen J, Han J, Tuo H, Liu Y, Peng Y. Role of chemokines in hepatocellular carcinoma (Review). </w:t>
      </w:r>
      <w:r w:rsidRPr="00C51CF1">
        <w:rPr>
          <w:rFonts w:ascii="Book Antiqua" w:eastAsia="Book Antiqua" w:hAnsi="Book Antiqua" w:cs="Book Antiqua"/>
          <w:i/>
          <w:iCs/>
          <w:color w:val="000000"/>
        </w:rPr>
        <w:t>Oncol Rep</w:t>
      </w:r>
      <w:r w:rsidRPr="00C51CF1">
        <w:rPr>
          <w:rFonts w:ascii="Book Antiqua" w:eastAsia="Book Antiqua" w:hAnsi="Book Antiqua" w:cs="Book Antiqua"/>
          <w:color w:val="000000"/>
        </w:rPr>
        <w:t xml:space="preserve"> 2021; </w:t>
      </w:r>
      <w:r w:rsidRPr="00C51CF1">
        <w:rPr>
          <w:rFonts w:ascii="Book Antiqua" w:eastAsia="Book Antiqua" w:hAnsi="Book Antiqua" w:cs="Book Antiqua"/>
          <w:b/>
          <w:bCs/>
          <w:color w:val="000000"/>
        </w:rPr>
        <w:t>45</w:t>
      </w:r>
      <w:r w:rsidRPr="00C51CF1">
        <w:rPr>
          <w:rFonts w:ascii="Book Antiqua" w:eastAsia="Book Antiqua" w:hAnsi="Book Antiqua" w:cs="Book Antiqua"/>
          <w:color w:val="000000"/>
        </w:rPr>
        <w:t>: 809-823 [PMID: 33650640 DOI: 10.3892/or.2020.7906]</w:t>
      </w:r>
    </w:p>
    <w:p w14:paraId="39DA02CE"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101 </w:t>
      </w:r>
      <w:r w:rsidRPr="00C51CF1">
        <w:rPr>
          <w:rFonts w:ascii="Book Antiqua" w:eastAsia="Book Antiqua" w:hAnsi="Book Antiqua" w:cs="Book Antiqua"/>
          <w:b/>
          <w:bCs/>
          <w:color w:val="000000"/>
        </w:rPr>
        <w:t>Caridade M</w:t>
      </w:r>
      <w:r w:rsidRPr="00C51CF1">
        <w:rPr>
          <w:rFonts w:ascii="Book Antiqua" w:eastAsia="Book Antiqua" w:hAnsi="Book Antiqua" w:cs="Book Antiqua"/>
          <w:color w:val="000000"/>
        </w:rPr>
        <w:t xml:space="preserve">, Graca L, Ribeiro RM. Mechanisms Underlying CD4+ Treg Immune Regulation in the Adult: From Experiments to Models. </w:t>
      </w:r>
      <w:r w:rsidRPr="00C51CF1">
        <w:rPr>
          <w:rFonts w:ascii="Book Antiqua" w:eastAsia="Book Antiqua" w:hAnsi="Book Antiqua" w:cs="Book Antiqua"/>
          <w:i/>
          <w:iCs/>
          <w:color w:val="000000"/>
        </w:rPr>
        <w:t>Front Immunol</w:t>
      </w:r>
      <w:r w:rsidRPr="00C51CF1">
        <w:rPr>
          <w:rFonts w:ascii="Book Antiqua" w:eastAsia="Book Antiqua" w:hAnsi="Book Antiqua" w:cs="Book Antiqua"/>
          <w:color w:val="000000"/>
        </w:rPr>
        <w:t xml:space="preserve"> 2013; </w:t>
      </w:r>
      <w:r w:rsidRPr="00C51CF1">
        <w:rPr>
          <w:rFonts w:ascii="Book Antiqua" w:eastAsia="Book Antiqua" w:hAnsi="Book Antiqua" w:cs="Book Antiqua"/>
          <w:b/>
          <w:bCs/>
          <w:color w:val="000000"/>
        </w:rPr>
        <w:t>4</w:t>
      </w:r>
      <w:r w:rsidRPr="00C51CF1">
        <w:rPr>
          <w:rFonts w:ascii="Book Antiqua" w:eastAsia="Book Antiqua" w:hAnsi="Book Antiqua" w:cs="Book Antiqua"/>
          <w:color w:val="000000"/>
        </w:rPr>
        <w:t>: 378 [PMID: 24302924 DOI: 10.3389/fimmu.2013.00378]</w:t>
      </w:r>
    </w:p>
    <w:p w14:paraId="7BAA609D"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102 </w:t>
      </w:r>
      <w:r w:rsidRPr="00C51CF1">
        <w:rPr>
          <w:rFonts w:ascii="Book Antiqua" w:eastAsia="Book Antiqua" w:hAnsi="Book Antiqua" w:cs="Book Antiqua"/>
          <w:b/>
          <w:bCs/>
          <w:color w:val="000000"/>
        </w:rPr>
        <w:t>Maj T</w:t>
      </w:r>
      <w:r w:rsidRPr="00C51CF1">
        <w:rPr>
          <w:rFonts w:ascii="Book Antiqua" w:eastAsia="Book Antiqua" w:hAnsi="Book Antiqua" w:cs="Book Antiqua"/>
          <w:color w:val="000000"/>
        </w:rPr>
        <w:t xml:space="preserve">, Wang W, Crespo J, Zhang H, Wang W, Wei S, Zhao L, Vatan L, Shao I, Szeliga W, Lyssiotis C, Liu JR, Kryczek I, Zou W. Oxidative stress controls regulatory T cell apoptosis and suppressor activity and PD-L1-blockade resistance in tumor. </w:t>
      </w:r>
      <w:r w:rsidRPr="00C51CF1">
        <w:rPr>
          <w:rFonts w:ascii="Book Antiqua" w:eastAsia="Book Antiqua" w:hAnsi="Book Antiqua" w:cs="Book Antiqua"/>
          <w:i/>
          <w:iCs/>
          <w:color w:val="000000"/>
        </w:rPr>
        <w:t>Nat Immunol</w:t>
      </w:r>
      <w:r w:rsidRPr="00C51CF1">
        <w:rPr>
          <w:rFonts w:ascii="Book Antiqua" w:eastAsia="Book Antiqua" w:hAnsi="Book Antiqua" w:cs="Book Antiqua"/>
          <w:color w:val="000000"/>
        </w:rPr>
        <w:t xml:space="preserve"> 2017; </w:t>
      </w:r>
      <w:r w:rsidRPr="00C51CF1">
        <w:rPr>
          <w:rFonts w:ascii="Book Antiqua" w:eastAsia="Book Antiqua" w:hAnsi="Book Antiqua" w:cs="Book Antiqua"/>
          <w:b/>
          <w:bCs/>
          <w:color w:val="000000"/>
        </w:rPr>
        <w:t>18</w:t>
      </w:r>
      <w:r w:rsidRPr="00C51CF1">
        <w:rPr>
          <w:rFonts w:ascii="Book Antiqua" w:eastAsia="Book Antiqua" w:hAnsi="Book Antiqua" w:cs="Book Antiqua"/>
          <w:color w:val="000000"/>
        </w:rPr>
        <w:t>: 1332-1341 [PMID: 29083399 DOI: 10.1038/ni.3868]</w:t>
      </w:r>
    </w:p>
    <w:p w14:paraId="524967B0"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103 </w:t>
      </w:r>
      <w:r w:rsidRPr="00C51CF1">
        <w:rPr>
          <w:rFonts w:ascii="Book Antiqua" w:eastAsia="Book Antiqua" w:hAnsi="Book Antiqua" w:cs="Book Antiqua"/>
          <w:b/>
          <w:bCs/>
          <w:color w:val="000000"/>
        </w:rPr>
        <w:t>Larmonier N</w:t>
      </w:r>
      <w:r w:rsidRPr="00C51CF1">
        <w:rPr>
          <w:rFonts w:ascii="Book Antiqua" w:eastAsia="Book Antiqua" w:hAnsi="Book Antiqua" w:cs="Book Antiqua"/>
          <w:color w:val="000000"/>
        </w:rPr>
        <w:t xml:space="preserve">, Marron M, Zeng Y, Cantrell J, Romanoski A, Sepassi M, Thompson S, Chen X, Andreansky S, Katsanis E. Tumor-derived CD4(+)CD25(+) regulatory T cell suppression of dendritic cell function involves TGF-beta and IL-10. </w:t>
      </w:r>
      <w:r w:rsidRPr="00C51CF1">
        <w:rPr>
          <w:rFonts w:ascii="Book Antiqua" w:eastAsia="Book Antiqua" w:hAnsi="Book Antiqua" w:cs="Book Antiqua"/>
          <w:i/>
          <w:iCs/>
          <w:color w:val="000000"/>
        </w:rPr>
        <w:t>Cancer Immunol Immunother</w:t>
      </w:r>
      <w:r w:rsidRPr="00C51CF1">
        <w:rPr>
          <w:rFonts w:ascii="Book Antiqua" w:eastAsia="Book Antiqua" w:hAnsi="Book Antiqua" w:cs="Book Antiqua"/>
          <w:color w:val="000000"/>
        </w:rPr>
        <w:t xml:space="preserve"> 2007; </w:t>
      </w:r>
      <w:r w:rsidRPr="00C51CF1">
        <w:rPr>
          <w:rFonts w:ascii="Book Antiqua" w:eastAsia="Book Antiqua" w:hAnsi="Book Antiqua" w:cs="Book Antiqua"/>
          <w:b/>
          <w:bCs/>
          <w:color w:val="000000"/>
        </w:rPr>
        <w:t>56</w:t>
      </w:r>
      <w:r w:rsidRPr="00C51CF1">
        <w:rPr>
          <w:rFonts w:ascii="Book Antiqua" w:eastAsia="Book Antiqua" w:hAnsi="Book Antiqua" w:cs="Book Antiqua"/>
          <w:color w:val="000000"/>
        </w:rPr>
        <w:t>: 48-59 [PMID: 16612596 DOI: 10.1007/s00262-006-0160-8]</w:t>
      </w:r>
    </w:p>
    <w:p w14:paraId="651BA021"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104 </w:t>
      </w:r>
      <w:r w:rsidRPr="00C51CF1">
        <w:rPr>
          <w:rFonts w:ascii="Book Antiqua" w:eastAsia="Book Antiqua" w:hAnsi="Book Antiqua" w:cs="Book Antiqua"/>
          <w:b/>
          <w:bCs/>
          <w:color w:val="000000"/>
        </w:rPr>
        <w:t>Bauer CA</w:t>
      </w:r>
      <w:r w:rsidRPr="00C51CF1">
        <w:rPr>
          <w:rFonts w:ascii="Book Antiqua" w:eastAsia="Book Antiqua" w:hAnsi="Book Antiqua" w:cs="Book Antiqua"/>
          <w:color w:val="000000"/>
        </w:rPr>
        <w:t xml:space="preserve">, Kim EY, Marangoni F, Carrizosa E, Claudio NM, Mempel TR. Dynamic Treg interactions with intratumoral APCs promote local CTL dysfunction. </w:t>
      </w:r>
      <w:r w:rsidRPr="00C51CF1">
        <w:rPr>
          <w:rFonts w:ascii="Book Antiqua" w:eastAsia="Book Antiqua" w:hAnsi="Book Antiqua" w:cs="Book Antiqua"/>
          <w:i/>
          <w:iCs/>
          <w:color w:val="000000"/>
        </w:rPr>
        <w:t>J Clin Invest</w:t>
      </w:r>
      <w:r w:rsidRPr="00C51CF1">
        <w:rPr>
          <w:rFonts w:ascii="Book Antiqua" w:eastAsia="Book Antiqua" w:hAnsi="Book Antiqua" w:cs="Book Antiqua"/>
          <w:color w:val="000000"/>
        </w:rPr>
        <w:t xml:space="preserve"> 2014; </w:t>
      </w:r>
      <w:r w:rsidRPr="00C51CF1">
        <w:rPr>
          <w:rFonts w:ascii="Book Antiqua" w:eastAsia="Book Antiqua" w:hAnsi="Book Antiqua" w:cs="Book Antiqua"/>
          <w:b/>
          <w:bCs/>
          <w:color w:val="000000"/>
        </w:rPr>
        <w:t>124</w:t>
      </w:r>
      <w:r w:rsidRPr="00C51CF1">
        <w:rPr>
          <w:rFonts w:ascii="Book Antiqua" w:eastAsia="Book Antiqua" w:hAnsi="Book Antiqua" w:cs="Book Antiqua"/>
          <w:color w:val="000000"/>
        </w:rPr>
        <w:t>: 2425-2440 [PMID: 24812664 DOI: 10.1172/JCI66375]</w:t>
      </w:r>
    </w:p>
    <w:p w14:paraId="6FDAFFFB"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105 </w:t>
      </w:r>
      <w:r w:rsidRPr="00C51CF1">
        <w:rPr>
          <w:rFonts w:ascii="Book Antiqua" w:eastAsia="Book Antiqua" w:hAnsi="Book Antiqua" w:cs="Book Antiqua"/>
          <w:b/>
          <w:bCs/>
          <w:color w:val="000000"/>
        </w:rPr>
        <w:t>Lai E</w:t>
      </w:r>
      <w:r w:rsidRPr="00C51CF1">
        <w:rPr>
          <w:rFonts w:ascii="Book Antiqua" w:eastAsia="Book Antiqua" w:hAnsi="Book Antiqua" w:cs="Book Antiqua"/>
          <w:color w:val="000000"/>
        </w:rPr>
        <w:t xml:space="preserve">, Astara G, Ziranu P, Pretta A, Migliari M, Dubois M, Donisi C, Mariani S, Liscia N, Impera V, Persano M, Tolu S, Balconi F, Pinna G, Spanu D, Pireddu A, Saba G, Camera S, Musio F, Puzzoni M, Pusceddu V, Madeddu C, Casadei Gardini A, Scartozzi M. Introducing immunotherapy for advanced hepatocellular carcinoma patients: Too early or too fast? </w:t>
      </w:r>
      <w:r w:rsidRPr="00C51CF1">
        <w:rPr>
          <w:rFonts w:ascii="Book Antiqua" w:eastAsia="Book Antiqua" w:hAnsi="Book Antiqua" w:cs="Book Antiqua"/>
          <w:i/>
          <w:iCs/>
          <w:color w:val="000000"/>
        </w:rPr>
        <w:t>Crit Rev Oncol Hematol</w:t>
      </w:r>
      <w:r w:rsidRPr="00C51CF1">
        <w:rPr>
          <w:rFonts w:ascii="Book Antiqua" w:eastAsia="Book Antiqua" w:hAnsi="Book Antiqua" w:cs="Book Antiqua"/>
          <w:color w:val="000000"/>
        </w:rPr>
        <w:t xml:space="preserve"> 2021; </w:t>
      </w:r>
      <w:r w:rsidRPr="00C51CF1">
        <w:rPr>
          <w:rFonts w:ascii="Book Antiqua" w:eastAsia="Book Antiqua" w:hAnsi="Book Antiqua" w:cs="Book Antiqua"/>
          <w:b/>
          <w:bCs/>
          <w:color w:val="000000"/>
        </w:rPr>
        <w:t>157</w:t>
      </w:r>
      <w:r w:rsidRPr="00C51CF1">
        <w:rPr>
          <w:rFonts w:ascii="Book Antiqua" w:eastAsia="Book Antiqua" w:hAnsi="Book Antiqua" w:cs="Book Antiqua"/>
          <w:color w:val="000000"/>
        </w:rPr>
        <w:t>: 103167 [PMID: 33271389 DOI: 10.1016/j.critrevonc.2020.103167]</w:t>
      </w:r>
    </w:p>
    <w:p w14:paraId="3F9B32E6"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106 </w:t>
      </w:r>
      <w:r w:rsidRPr="00C51CF1">
        <w:rPr>
          <w:rFonts w:ascii="Book Antiqua" w:eastAsia="Book Antiqua" w:hAnsi="Book Antiqua" w:cs="Book Antiqua"/>
          <w:b/>
          <w:bCs/>
          <w:color w:val="000000"/>
        </w:rPr>
        <w:t>Wing K</w:t>
      </w:r>
      <w:r w:rsidRPr="00C51CF1">
        <w:rPr>
          <w:rFonts w:ascii="Book Antiqua" w:eastAsia="Book Antiqua" w:hAnsi="Book Antiqua" w:cs="Book Antiqua"/>
          <w:color w:val="000000"/>
        </w:rPr>
        <w:t xml:space="preserve">, Onishi Y, Prieto-Martin P, Yamaguchi T, Miyara M, Fehervari Z, Nomura T, Sakaguchi S. CTLA-4 control over Foxp3+ regulatory T cell function. </w:t>
      </w:r>
      <w:r w:rsidRPr="00C51CF1">
        <w:rPr>
          <w:rFonts w:ascii="Book Antiqua" w:eastAsia="Book Antiqua" w:hAnsi="Book Antiqua" w:cs="Book Antiqua"/>
          <w:i/>
          <w:iCs/>
          <w:color w:val="000000"/>
        </w:rPr>
        <w:t>Science</w:t>
      </w:r>
      <w:r w:rsidRPr="00C51CF1">
        <w:rPr>
          <w:rFonts w:ascii="Book Antiqua" w:eastAsia="Book Antiqua" w:hAnsi="Book Antiqua" w:cs="Book Antiqua"/>
          <w:color w:val="000000"/>
        </w:rPr>
        <w:t xml:space="preserve"> 2008; </w:t>
      </w:r>
      <w:r w:rsidRPr="00C51CF1">
        <w:rPr>
          <w:rFonts w:ascii="Book Antiqua" w:eastAsia="Book Antiqua" w:hAnsi="Book Antiqua" w:cs="Book Antiqua"/>
          <w:b/>
          <w:bCs/>
          <w:color w:val="000000"/>
        </w:rPr>
        <w:t>322</w:t>
      </w:r>
      <w:r w:rsidRPr="00C51CF1">
        <w:rPr>
          <w:rFonts w:ascii="Book Antiqua" w:eastAsia="Book Antiqua" w:hAnsi="Book Antiqua" w:cs="Book Antiqua"/>
          <w:color w:val="000000"/>
        </w:rPr>
        <w:t>: 271-275 [PMID: 18845758 DOI: 10.1126/science.1160062]</w:t>
      </w:r>
    </w:p>
    <w:p w14:paraId="3FFC7EFE"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107 </w:t>
      </w:r>
      <w:r w:rsidRPr="00C51CF1">
        <w:rPr>
          <w:rFonts w:ascii="Book Antiqua" w:eastAsia="Book Antiqua" w:hAnsi="Book Antiqua" w:cs="Book Antiqua"/>
          <w:b/>
          <w:bCs/>
          <w:color w:val="000000"/>
        </w:rPr>
        <w:t>De Martin E</w:t>
      </w:r>
      <w:r w:rsidRPr="00C51CF1">
        <w:rPr>
          <w:rFonts w:ascii="Book Antiqua" w:eastAsia="Book Antiqua" w:hAnsi="Book Antiqua" w:cs="Book Antiqua"/>
          <w:color w:val="000000"/>
        </w:rPr>
        <w:t xml:space="preserve">, Michot JM, Rosmorduc O, Guettier C, Samuel D. Liver toxicity as a limiting factor to the increasing use of immune checkpoint inhibitors. </w:t>
      </w:r>
      <w:r w:rsidRPr="00C51CF1">
        <w:rPr>
          <w:rFonts w:ascii="Book Antiqua" w:eastAsia="Book Antiqua" w:hAnsi="Book Antiqua" w:cs="Book Antiqua"/>
          <w:i/>
          <w:iCs/>
          <w:color w:val="000000"/>
        </w:rPr>
        <w:t>JHEP Rep</w:t>
      </w:r>
      <w:r w:rsidRPr="00C51CF1">
        <w:rPr>
          <w:rFonts w:ascii="Book Antiqua" w:eastAsia="Book Antiqua" w:hAnsi="Book Antiqua" w:cs="Book Antiqua"/>
          <w:color w:val="000000"/>
        </w:rPr>
        <w:t xml:space="preserve"> 2020; </w:t>
      </w:r>
      <w:r w:rsidRPr="00C51CF1">
        <w:rPr>
          <w:rFonts w:ascii="Book Antiqua" w:eastAsia="Book Antiqua" w:hAnsi="Book Antiqua" w:cs="Book Antiqua"/>
          <w:b/>
          <w:bCs/>
          <w:color w:val="000000"/>
        </w:rPr>
        <w:t>2</w:t>
      </w:r>
      <w:r w:rsidRPr="00C51CF1">
        <w:rPr>
          <w:rFonts w:ascii="Book Antiqua" w:eastAsia="Book Antiqua" w:hAnsi="Book Antiqua" w:cs="Book Antiqua"/>
          <w:color w:val="000000"/>
        </w:rPr>
        <w:t>: 100170 [PMID: 33205034 DOI: 10.1016/j.jhepr.2020.100170]</w:t>
      </w:r>
    </w:p>
    <w:p w14:paraId="54A09D28"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108 </w:t>
      </w:r>
      <w:r w:rsidRPr="00C51CF1">
        <w:rPr>
          <w:rFonts w:ascii="Book Antiqua" w:eastAsia="Book Antiqua" w:hAnsi="Book Antiqua" w:cs="Book Antiqua"/>
          <w:b/>
          <w:bCs/>
          <w:color w:val="000000"/>
        </w:rPr>
        <w:t>McGonagle D</w:t>
      </w:r>
      <w:r w:rsidRPr="00C51CF1">
        <w:rPr>
          <w:rFonts w:ascii="Book Antiqua" w:eastAsia="Book Antiqua" w:hAnsi="Book Antiqua" w:cs="Book Antiqua"/>
          <w:color w:val="000000"/>
        </w:rPr>
        <w:t xml:space="preserve">, Bragazzi NL, Amital H, Watad A. Mechanistic classification of immune checkpoint inhibitor toxicity as a pointer to minimal treatment strategies to further improve survival. </w:t>
      </w:r>
      <w:r w:rsidRPr="00C51CF1">
        <w:rPr>
          <w:rFonts w:ascii="Book Antiqua" w:eastAsia="Book Antiqua" w:hAnsi="Book Antiqua" w:cs="Book Antiqua"/>
          <w:i/>
          <w:iCs/>
          <w:color w:val="000000"/>
        </w:rPr>
        <w:t>Autoimmun Rev</w:t>
      </w:r>
      <w:r w:rsidRPr="00C51CF1">
        <w:rPr>
          <w:rFonts w:ascii="Book Antiqua" w:eastAsia="Book Antiqua" w:hAnsi="Book Antiqua" w:cs="Book Antiqua"/>
          <w:color w:val="000000"/>
        </w:rPr>
        <w:t xml:space="preserve"> 2020; </w:t>
      </w:r>
      <w:r w:rsidRPr="00C51CF1">
        <w:rPr>
          <w:rFonts w:ascii="Book Antiqua" w:eastAsia="Book Antiqua" w:hAnsi="Book Antiqua" w:cs="Book Antiqua"/>
          <w:b/>
          <w:bCs/>
          <w:color w:val="000000"/>
        </w:rPr>
        <w:t>19</w:t>
      </w:r>
      <w:r w:rsidRPr="00C51CF1">
        <w:rPr>
          <w:rFonts w:ascii="Book Antiqua" w:eastAsia="Book Antiqua" w:hAnsi="Book Antiqua" w:cs="Book Antiqua"/>
          <w:color w:val="000000"/>
        </w:rPr>
        <w:t>: 102456 [PMID: 31838166 DOI: 10.1016/j.autrev.2019.102456]</w:t>
      </w:r>
    </w:p>
    <w:p w14:paraId="30B9DAED"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109 </w:t>
      </w:r>
      <w:r w:rsidRPr="00C51CF1">
        <w:rPr>
          <w:rFonts w:ascii="Book Antiqua" w:eastAsia="Book Antiqua" w:hAnsi="Book Antiqua" w:cs="Book Antiqua"/>
          <w:b/>
          <w:bCs/>
          <w:color w:val="000000"/>
        </w:rPr>
        <w:t>Michot JM</w:t>
      </w:r>
      <w:r w:rsidRPr="00C51CF1">
        <w:rPr>
          <w:rFonts w:ascii="Book Antiqua" w:eastAsia="Book Antiqua" w:hAnsi="Book Antiqua" w:cs="Book Antiqua"/>
          <w:color w:val="000000"/>
        </w:rPr>
        <w:t xml:space="preserve">, Bigenwald C, Champiat S, Collins M, Carbonnel F, Postel-Vinay S, Berdelou A, Varga A, Bahleda R, Hollebecque A, Massard C, Fuerea A, Ribrag V, Gazzah A, Armand JP, Amellal N, Angevin E, Noel N, Boutros C, Mateus C, Robert C, Soria JC, Marabelle A, Lambotte O. Immune-related adverse events with immune checkpoint blockade: a comprehensive review. </w:t>
      </w:r>
      <w:r w:rsidRPr="00C51CF1">
        <w:rPr>
          <w:rFonts w:ascii="Book Antiqua" w:eastAsia="Book Antiqua" w:hAnsi="Book Antiqua" w:cs="Book Antiqua"/>
          <w:i/>
          <w:iCs/>
          <w:color w:val="000000"/>
        </w:rPr>
        <w:t>Eur J Cancer</w:t>
      </w:r>
      <w:r w:rsidRPr="00C51CF1">
        <w:rPr>
          <w:rFonts w:ascii="Book Antiqua" w:eastAsia="Book Antiqua" w:hAnsi="Book Antiqua" w:cs="Book Antiqua"/>
          <w:color w:val="000000"/>
        </w:rPr>
        <w:t xml:space="preserve"> 2016; </w:t>
      </w:r>
      <w:r w:rsidRPr="00C51CF1">
        <w:rPr>
          <w:rFonts w:ascii="Book Antiqua" w:eastAsia="Book Antiqua" w:hAnsi="Book Antiqua" w:cs="Book Antiqua"/>
          <w:b/>
          <w:bCs/>
          <w:color w:val="000000"/>
        </w:rPr>
        <w:t>54</w:t>
      </w:r>
      <w:r w:rsidRPr="00C51CF1">
        <w:rPr>
          <w:rFonts w:ascii="Book Antiqua" w:eastAsia="Book Antiqua" w:hAnsi="Book Antiqua" w:cs="Book Antiqua"/>
          <w:color w:val="000000"/>
        </w:rPr>
        <w:t>: 139-148 [PMID: 26765102 DOI: 10.1016/j.ejca.2015.11.016]</w:t>
      </w:r>
    </w:p>
    <w:p w14:paraId="6510964E"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110 </w:t>
      </w:r>
      <w:r w:rsidRPr="00C51CF1">
        <w:rPr>
          <w:rFonts w:ascii="Book Antiqua" w:eastAsia="Book Antiqua" w:hAnsi="Book Antiqua" w:cs="Book Antiqua"/>
          <w:b/>
          <w:bCs/>
          <w:color w:val="000000"/>
        </w:rPr>
        <w:t>Postow MA</w:t>
      </w:r>
      <w:r w:rsidRPr="00C51CF1">
        <w:rPr>
          <w:rFonts w:ascii="Book Antiqua" w:eastAsia="Book Antiqua" w:hAnsi="Book Antiqua" w:cs="Book Antiqua"/>
          <w:color w:val="000000"/>
        </w:rPr>
        <w:t xml:space="preserve">, Sidlow R, Hellmann MD. Immune-Related Adverse Events Associated with Immune Checkpoint Blockade. </w:t>
      </w:r>
      <w:r w:rsidRPr="00C51CF1">
        <w:rPr>
          <w:rFonts w:ascii="Book Antiqua" w:eastAsia="Book Antiqua" w:hAnsi="Book Antiqua" w:cs="Book Antiqua"/>
          <w:i/>
          <w:iCs/>
          <w:color w:val="000000"/>
        </w:rPr>
        <w:t>N Engl J Med</w:t>
      </w:r>
      <w:r w:rsidRPr="00C51CF1">
        <w:rPr>
          <w:rFonts w:ascii="Book Antiqua" w:eastAsia="Book Antiqua" w:hAnsi="Book Antiqua" w:cs="Book Antiqua"/>
          <w:color w:val="000000"/>
        </w:rPr>
        <w:t xml:space="preserve"> 2018; </w:t>
      </w:r>
      <w:r w:rsidRPr="00C51CF1">
        <w:rPr>
          <w:rFonts w:ascii="Book Antiqua" w:eastAsia="Book Antiqua" w:hAnsi="Book Antiqua" w:cs="Book Antiqua"/>
          <w:b/>
          <w:bCs/>
          <w:color w:val="000000"/>
        </w:rPr>
        <w:t>378</w:t>
      </w:r>
      <w:r w:rsidRPr="00C51CF1">
        <w:rPr>
          <w:rFonts w:ascii="Book Antiqua" w:eastAsia="Book Antiqua" w:hAnsi="Book Antiqua" w:cs="Book Antiqua"/>
          <w:color w:val="000000"/>
        </w:rPr>
        <w:t>: 158-168 [PMID: 29320654 DOI: 10.1056/NEJMra1703481]</w:t>
      </w:r>
    </w:p>
    <w:p w14:paraId="486310DE"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111 </w:t>
      </w:r>
      <w:r w:rsidRPr="00C51CF1">
        <w:rPr>
          <w:rFonts w:ascii="Book Antiqua" w:eastAsia="Book Antiqua" w:hAnsi="Book Antiqua" w:cs="Book Antiqua"/>
          <w:b/>
          <w:bCs/>
          <w:color w:val="000000"/>
        </w:rPr>
        <w:t>European Association for the Study of the Liver. Electronic address: easloffice@easloffice.eu.</w:t>
      </w:r>
      <w:r w:rsidRPr="00C51CF1">
        <w:rPr>
          <w:rFonts w:ascii="Book Antiqua" w:eastAsia="Book Antiqua" w:hAnsi="Book Antiqua" w:cs="Book Antiqua"/>
          <w:color w:val="000000"/>
        </w:rPr>
        <w:t xml:space="preserve">; Clinical Practice Guideline Panel: Chair:; Panel members; EASL Governing Board representative:. EASL Clinical Practice Guidelines: Drug-induced liver injury. </w:t>
      </w:r>
      <w:r w:rsidRPr="00C51CF1">
        <w:rPr>
          <w:rFonts w:ascii="Book Antiqua" w:eastAsia="Book Antiqua" w:hAnsi="Book Antiqua" w:cs="Book Antiqua"/>
          <w:i/>
          <w:iCs/>
          <w:color w:val="000000"/>
        </w:rPr>
        <w:t>J Hepatol</w:t>
      </w:r>
      <w:r w:rsidRPr="00C51CF1">
        <w:rPr>
          <w:rFonts w:ascii="Book Antiqua" w:eastAsia="Book Antiqua" w:hAnsi="Book Antiqua" w:cs="Book Antiqua"/>
          <w:color w:val="000000"/>
        </w:rPr>
        <w:t xml:space="preserve"> 2019; </w:t>
      </w:r>
      <w:r w:rsidRPr="00C51CF1">
        <w:rPr>
          <w:rFonts w:ascii="Book Antiqua" w:eastAsia="Book Antiqua" w:hAnsi="Book Antiqua" w:cs="Book Antiqua"/>
          <w:b/>
          <w:bCs/>
          <w:color w:val="000000"/>
        </w:rPr>
        <w:t>70</w:t>
      </w:r>
      <w:r w:rsidRPr="00C51CF1">
        <w:rPr>
          <w:rFonts w:ascii="Book Antiqua" w:eastAsia="Book Antiqua" w:hAnsi="Book Antiqua" w:cs="Book Antiqua"/>
          <w:color w:val="000000"/>
        </w:rPr>
        <w:t>: 1222-1261 [PMID: 30926241 DOI: 10.1016/j.jhep.2019.02.014]</w:t>
      </w:r>
    </w:p>
    <w:p w14:paraId="1B8AE905"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112 </w:t>
      </w:r>
      <w:r w:rsidRPr="00C51CF1">
        <w:rPr>
          <w:rFonts w:ascii="Book Antiqua" w:eastAsia="Book Antiqua" w:hAnsi="Book Antiqua" w:cs="Book Antiqua"/>
          <w:b/>
          <w:bCs/>
          <w:color w:val="000000"/>
        </w:rPr>
        <w:t>El-Khoueiry AB</w:t>
      </w:r>
      <w:r w:rsidRPr="00C51CF1">
        <w:rPr>
          <w:rFonts w:ascii="Book Antiqua" w:eastAsia="Book Antiqua" w:hAnsi="Book Antiqua" w:cs="Book Antiqua"/>
          <w:color w:val="000000"/>
        </w:rPr>
        <w:t xml:space="preserve">, Sangro B, Yau T, Crocenzi TS, Kudo M, Hsu C, Kim TY, Choo SP, Trojan J, Welling TH Rd, Meyer T, Kang YK, Yeo W, Chopra A, Anderson J, Dela Cruz C, Lang L, Neely J, Tang H, Dastani HB, Melero I. Nivolumab in patients with advanced hepatocellular carcinoma (CheckMate 040): an open-label, non-comparative, phase 1/2 dose escalation and expansion trial. </w:t>
      </w:r>
      <w:r w:rsidRPr="00C51CF1">
        <w:rPr>
          <w:rFonts w:ascii="Book Antiqua" w:eastAsia="Book Antiqua" w:hAnsi="Book Antiqua" w:cs="Book Antiqua"/>
          <w:i/>
          <w:iCs/>
          <w:color w:val="000000"/>
        </w:rPr>
        <w:t>Lancet</w:t>
      </w:r>
      <w:r w:rsidRPr="00C51CF1">
        <w:rPr>
          <w:rFonts w:ascii="Book Antiqua" w:eastAsia="Book Antiqua" w:hAnsi="Book Antiqua" w:cs="Book Antiqua"/>
          <w:color w:val="000000"/>
        </w:rPr>
        <w:t xml:space="preserve"> 2017; </w:t>
      </w:r>
      <w:r w:rsidRPr="00C51CF1">
        <w:rPr>
          <w:rFonts w:ascii="Book Antiqua" w:eastAsia="Book Antiqua" w:hAnsi="Book Antiqua" w:cs="Book Antiqua"/>
          <w:b/>
          <w:bCs/>
          <w:color w:val="000000"/>
        </w:rPr>
        <w:t>389</w:t>
      </w:r>
      <w:r w:rsidRPr="00C51CF1">
        <w:rPr>
          <w:rFonts w:ascii="Book Antiqua" w:eastAsia="Book Antiqua" w:hAnsi="Book Antiqua" w:cs="Book Antiqua"/>
          <w:color w:val="000000"/>
        </w:rPr>
        <w:t>: 2492-2502 [PMID: 28434648 DOI: 10.1016/S0140-6736(17)31046-2]</w:t>
      </w:r>
    </w:p>
    <w:p w14:paraId="3B1A2C86"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113 </w:t>
      </w:r>
      <w:r w:rsidRPr="00C51CF1">
        <w:rPr>
          <w:rFonts w:ascii="Book Antiqua" w:eastAsia="Book Antiqua" w:hAnsi="Book Antiqua" w:cs="Book Antiqua"/>
          <w:b/>
          <w:bCs/>
          <w:color w:val="000000"/>
        </w:rPr>
        <w:t>Zhu AX</w:t>
      </w:r>
      <w:r w:rsidRPr="00C51CF1">
        <w:rPr>
          <w:rFonts w:ascii="Book Antiqua" w:eastAsia="Book Antiqua" w:hAnsi="Book Antiqua" w:cs="Book Antiqua"/>
          <w:color w:val="000000"/>
        </w:rPr>
        <w:t xml:space="preserve">, Finn RS, Edeline J, Cattan S, Ogasawara S, Palmer D, Verslype C, Zagonel V, Fartoux L, Vogel A, Sarker D, Verset G, Chan SL, Knox J, Daniele B, Webber AL, Ebbinghaus SW, Ma J, Siegel AB, Cheng AL, Kudo M; KEYNOTE-224 investigators. Pembrolizumab in patients with advanced hepatocellular carcinoma previously treated with sorafenib (KEYNOTE-224): a non-randomised, open-label phase 2 trial. </w:t>
      </w:r>
      <w:r w:rsidRPr="00C51CF1">
        <w:rPr>
          <w:rFonts w:ascii="Book Antiqua" w:eastAsia="Book Antiqua" w:hAnsi="Book Antiqua" w:cs="Book Antiqua"/>
          <w:i/>
          <w:iCs/>
          <w:color w:val="000000"/>
        </w:rPr>
        <w:t>Lancet Oncol</w:t>
      </w:r>
      <w:r w:rsidRPr="00C51CF1">
        <w:rPr>
          <w:rFonts w:ascii="Book Antiqua" w:eastAsia="Book Antiqua" w:hAnsi="Book Antiqua" w:cs="Book Antiqua"/>
          <w:color w:val="000000"/>
        </w:rPr>
        <w:t xml:space="preserve"> 2018; </w:t>
      </w:r>
      <w:r w:rsidRPr="00C51CF1">
        <w:rPr>
          <w:rFonts w:ascii="Book Antiqua" w:eastAsia="Book Antiqua" w:hAnsi="Book Antiqua" w:cs="Book Antiqua"/>
          <w:b/>
          <w:bCs/>
          <w:color w:val="000000"/>
        </w:rPr>
        <w:t>19</w:t>
      </w:r>
      <w:r w:rsidRPr="00C51CF1">
        <w:rPr>
          <w:rFonts w:ascii="Book Antiqua" w:eastAsia="Book Antiqua" w:hAnsi="Book Antiqua" w:cs="Book Antiqua"/>
          <w:color w:val="000000"/>
        </w:rPr>
        <w:t>: 940-952 [PMID: 29875066 DOI: 10.1016/S1470-2045(18)30351-6]</w:t>
      </w:r>
    </w:p>
    <w:p w14:paraId="762AE3FF"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114 </w:t>
      </w:r>
      <w:r w:rsidRPr="00C51CF1">
        <w:rPr>
          <w:rFonts w:ascii="Book Antiqua" w:eastAsia="Book Antiqua" w:hAnsi="Book Antiqua" w:cs="Book Antiqua"/>
          <w:b/>
          <w:bCs/>
          <w:color w:val="000000"/>
        </w:rPr>
        <w:t>Duffy AG</w:t>
      </w:r>
      <w:r w:rsidRPr="00C51CF1">
        <w:rPr>
          <w:rFonts w:ascii="Book Antiqua" w:eastAsia="Book Antiqua" w:hAnsi="Book Antiqua" w:cs="Book Antiqua"/>
          <w:color w:val="000000"/>
        </w:rPr>
        <w:t xml:space="preserve">, Ulahannan SV, Makorova-Rusher O, Rahma O, Wedemeyer H, Pratt D, Davis JL, Hughes MS, Heller T, ElGindi M, Uppala A, Korangy F, Kleiner DE, Figg WD, Venzon D, Steinberg SM, Venkatesan AM, Krishnasamy V, Abi-Jaoudeh N, Levy E, Wood BJ, Greten TF. Tremelimumab in combination with ablation in patients with advanced hepatocellular carcinoma. </w:t>
      </w:r>
      <w:r w:rsidRPr="00C51CF1">
        <w:rPr>
          <w:rFonts w:ascii="Book Antiqua" w:eastAsia="Book Antiqua" w:hAnsi="Book Antiqua" w:cs="Book Antiqua"/>
          <w:i/>
          <w:iCs/>
          <w:color w:val="000000"/>
        </w:rPr>
        <w:t>J Hepatol</w:t>
      </w:r>
      <w:r w:rsidRPr="00C51CF1">
        <w:rPr>
          <w:rFonts w:ascii="Book Antiqua" w:eastAsia="Book Antiqua" w:hAnsi="Book Antiqua" w:cs="Book Antiqua"/>
          <w:color w:val="000000"/>
        </w:rPr>
        <w:t xml:space="preserve"> 2017; </w:t>
      </w:r>
      <w:r w:rsidRPr="00C51CF1">
        <w:rPr>
          <w:rFonts w:ascii="Book Antiqua" w:eastAsia="Book Antiqua" w:hAnsi="Book Antiqua" w:cs="Book Antiqua"/>
          <w:b/>
          <w:bCs/>
          <w:color w:val="000000"/>
        </w:rPr>
        <w:t>66</w:t>
      </w:r>
      <w:r w:rsidRPr="00C51CF1">
        <w:rPr>
          <w:rFonts w:ascii="Book Antiqua" w:eastAsia="Book Antiqua" w:hAnsi="Book Antiqua" w:cs="Book Antiqua"/>
          <w:color w:val="000000"/>
        </w:rPr>
        <w:t>: 545-551 [PMID: 27816492 DOI: 10.1016/j.jhep.2016.10.029]</w:t>
      </w:r>
    </w:p>
    <w:p w14:paraId="6679AD3D"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115 </w:t>
      </w:r>
      <w:r w:rsidRPr="00C51CF1">
        <w:rPr>
          <w:rFonts w:ascii="Book Antiqua" w:eastAsia="Book Antiqua" w:hAnsi="Book Antiqua" w:cs="Book Antiqua"/>
          <w:b/>
          <w:bCs/>
          <w:color w:val="000000"/>
        </w:rPr>
        <w:t>Ravi S</w:t>
      </w:r>
      <w:r w:rsidRPr="00C51CF1">
        <w:rPr>
          <w:rFonts w:ascii="Book Antiqua" w:eastAsia="Book Antiqua" w:hAnsi="Book Antiqua" w:cs="Book Antiqua"/>
          <w:color w:val="000000"/>
        </w:rPr>
        <w:t xml:space="preserve">, Spencer K, Ruisi M, Ibrahim N, Luke JJ, Thompson JA, Shirai K, Lawson D, Bartell H, Kudchadkar R, Gunter NT, Mehnert JM, Lipson EJ. Ipilimumab administration for advanced melanoma in patients with pre-existing Hepatitis B or C infection: a multicenter, retrospective case series. </w:t>
      </w:r>
      <w:r w:rsidRPr="00C51CF1">
        <w:rPr>
          <w:rFonts w:ascii="Book Antiqua" w:eastAsia="Book Antiqua" w:hAnsi="Book Antiqua" w:cs="Book Antiqua"/>
          <w:i/>
          <w:iCs/>
          <w:color w:val="000000"/>
        </w:rPr>
        <w:t>J Immunother Cancer</w:t>
      </w:r>
      <w:r w:rsidRPr="00C51CF1">
        <w:rPr>
          <w:rFonts w:ascii="Book Antiqua" w:eastAsia="Book Antiqua" w:hAnsi="Book Antiqua" w:cs="Book Antiqua"/>
          <w:color w:val="000000"/>
        </w:rPr>
        <w:t xml:space="preserve"> 2014; </w:t>
      </w:r>
      <w:r w:rsidRPr="00C51CF1">
        <w:rPr>
          <w:rFonts w:ascii="Book Antiqua" w:eastAsia="Book Antiqua" w:hAnsi="Book Antiqua" w:cs="Book Antiqua"/>
          <w:b/>
          <w:bCs/>
          <w:color w:val="000000"/>
        </w:rPr>
        <w:t>2</w:t>
      </w:r>
      <w:r w:rsidRPr="00C51CF1">
        <w:rPr>
          <w:rFonts w:ascii="Book Antiqua" w:eastAsia="Book Antiqua" w:hAnsi="Book Antiqua" w:cs="Book Antiqua"/>
          <w:color w:val="000000"/>
        </w:rPr>
        <w:t>: 33 [PMID: 25317333 DOI: 10.1186/s40425-014-0033-1]</w:t>
      </w:r>
    </w:p>
    <w:p w14:paraId="64F7E3E3"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116 </w:t>
      </w:r>
      <w:r w:rsidRPr="00C51CF1">
        <w:rPr>
          <w:rFonts w:ascii="Book Antiqua" w:eastAsia="Book Antiqua" w:hAnsi="Book Antiqua" w:cs="Book Antiqua"/>
          <w:b/>
          <w:bCs/>
          <w:color w:val="000000"/>
        </w:rPr>
        <w:t>Sangro B</w:t>
      </w:r>
      <w:r w:rsidRPr="00C51CF1">
        <w:rPr>
          <w:rFonts w:ascii="Book Antiqua" w:eastAsia="Book Antiqua" w:hAnsi="Book Antiqua" w:cs="Book Antiqua"/>
          <w:color w:val="000000"/>
        </w:rPr>
        <w:t xml:space="preserve">, Gomez-Martin C, de la Mata M, Iñarrairaegui M, Garralda E, Barrera P, Riezu-Boj JI, Larrea E, Alfaro C, Sarobe P, Lasarte JJ, Pérez-Gracia JL, Melero I, Prieto J. A clinical trial of CTLA-4 blockade with tremelimumab in patients with hepatocellular carcinoma and chronic hepatitis C. </w:t>
      </w:r>
      <w:r w:rsidRPr="00C51CF1">
        <w:rPr>
          <w:rFonts w:ascii="Book Antiqua" w:eastAsia="Book Antiqua" w:hAnsi="Book Antiqua" w:cs="Book Antiqua"/>
          <w:i/>
          <w:iCs/>
          <w:color w:val="000000"/>
        </w:rPr>
        <w:t>J Hepatol</w:t>
      </w:r>
      <w:r w:rsidRPr="00C51CF1">
        <w:rPr>
          <w:rFonts w:ascii="Book Antiqua" w:eastAsia="Book Antiqua" w:hAnsi="Book Antiqua" w:cs="Book Antiqua"/>
          <w:color w:val="000000"/>
        </w:rPr>
        <w:t xml:space="preserve"> 2013; </w:t>
      </w:r>
      <w:r w:rsidRPr="00C51CF1">
        <w:rPr>
          <w:rFonts w:ascii="Book Antiqua" w:eastAsia="Book Antiqua" w:hAnsi="Book Antiqua" w:cs="Book Antiqua"/>
          <w:b/>
          <w:bCs/>
          <w:color w:val="000000"/>
        </w:rPr>
        <w:t>59</w:t>
      </w:r>
      <w:r w:rsidRPr="00C51CF1">
        <w:rPr>
          <w:rFonts w:ascii="Book Antiqua" w:eastAsia="Book Antiqua" w:hAnsi="Book Antiqua" w:cs="Book Antiqua"/>
          <w:color w:val="000000"/>
        </w:rPr>
        <w:t>: 81-88 [PMID: 23466307 DOI: 10.1016/j.jhep.2013.02.022]</w:t>
      </w:r>
    </w:p>
    <w:p w14:paraId="14EE566E"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117 </w:t>
      </w:r>
      <w:r w:rsidRPr="00C51CF1">
        <w:rPr>
          <w:rFonts w:ascii="Book Antiqua" w:eastAsia="Book Antiqua" w:hAnsi="Book Antiqua" w:cs="Book Antiqua"/>
          <w:b/>
          <w:bCs/>
          <w:color w:val="000000"/>
        </w:rPr>
        <w:t>Danlos FX</w:t>
      </w:r>
      <w:r w:rsidRPr="00C51CF1">
        <w:rPr>
          <w:rFonts w:ascii="Book Antiqua" w:eastAsia="Book Antiqua" w:hAnsi="Book Antiqua" w:cs="Book Antiqua"/>
          <w:color w:val="000000"/>
        </w:rPr>
        <w:t xml:space="preserve">, Voisin AL, Dyevre V, Michot JM, Routier E, Taillade L, Champiat S, Aspeslagh S, Haroche J, Albiges L, Massard C, Girard N, Dalle S, Besse B, Laghouati S, Soria JC, Mateus C, Robert C, Lanoy E, Marabelle A, Lambotte O. Safety and efficacy of anti-programmed death 1 antibodies in patients with cancer and pre-existing autoimmune or inflammatory disease. </w:t>
      </w:r>
      <w:r w:rsidRPr="00C51CF1">
        <w:rPr>
          <w:rFonts w:ascii="Book Antiqua" w:eastAsia="Book Antiqua" w:hAnsi="Book Antiqua" w:cs="Book Antiqua"/>
          <w:i/>
          <w:iCs/>
          <w:color w:val="000000"/>
        </w:rPr>
        <w:t>Eur J Cancer</w:t>
      </w:r>
      <w:r w:rsidRPr="00C51CF1">
        <w:rPr>
          <w:rFonts w:ascii="Book Antiqua" w:eastAsia="Book Antiqua" w:hAnsi="Book Antiqua" w:cs="Book Antiqua"/>
          <w:color w:val="000000"/>
        </w:rPr>
        <w:t xml:space="preserve"> 2018; </w:t>
      </w:r>
      <w:r w:rsidRPr="00C51CF1">
        <w:rPr>
          <w:rFonts w:ascii="Book Antiqua" w:eastAsia="Book Antiqua" w:hAnsi="Book Antiqua" w:cs="Book Antiqua"/>
          <w:b/>
          <w:bCs/>
          <w:color w:val="000000"/>
        </w:rPr>
        <w:t>91</w:t>
      </w:r>
      <w:r w:rsidRPr="00C51CF1">
        <w:rPr>
          <w:rFonts w:ascii="Book Antiqua" w:eastAsia="Book Antiqua" w:hAnsi="Book Antiqua" w:cs="Book Antiqua"/>
          <w:color w:val="000000"/>
        </w:rPr>
        <w:t>: 21-29 [PMID: 29331748 DOI: 10.1016/j.ejca.2017.12.008]</w:t>
      </w:r>
    </w:p>
    <w:p w14:paraId="16768112"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118 </w:t>
      </w:r>
      <w:r w:rsidRPr="00C51CF1">
        <w:rPr>
          <w:rFonts w:ascii="Book Antiqua" w:eastAsia="Book Antiqua" w:hAnsi="Book Antiqua" w:cs="Book Antiqua"/>
          <w:b/>
          <w:bCs/>
          <w:color w:val="000000"/>
        </w:rPr>
        <w:t>Abdel-Wahab N</w:t>
      </w:r>
      <w:r w:rsidRPr="00C51CF1">
        <w:rPr>
          <w:rFonts w:ascii="Book Antiqua" w:eastAsia="Book Antiqua" w:hAnsi="Book Antiqua" w:cs="Book Antiqua"/>
          <w:color w:val="000000"/>
        </w:rPr>
        <w:t xml:space="preserve">, Shah M, Lopez-Olivo MA, Suarez-Almazor ME. Use of Immune Checkpoint Inhibitors in the Treatment of Patients With Cancer and Preexisting Autoimmune Disease: A Systematic Review. </w:t>
      </w:r>
      <w:r w:rsidRPr="00C51CF1">
        <w:rPr>
          <w:rFonts w:ascii="Book Antiqua" w:eastAsia="Book Antiqua" w:hAnsi="Book Antiqua" w:cs="Book Antiqua"/>
          <w:i/>
          <w:iCs/>
          <w:color w:val="000000"/>
        </w:rPr>
        <w:t>Ann Intern Med</w:t>
      </w:r>
      <w:r w:rsidRPr="00C51CF1">
        <w:rPr>
          <w:rFonts w:ascii="Book Antiqua" w:eastAsia="Book Antiqua" w:hAnsi="Book Antiqua" w:cs="Book Antiqua"/>
          <w:color w:val="000000"/>
        </w:rPr>
        <w:t xml:space="preserve"> 2018; </w:t>
      </w:r>
      <w:r w:rsidRPr="00C51CF1">
        <w:rPr>
          <w:rFonts w:ascii="Book Antiqua" w:eastAsia="Book Antiqua" w:hAnsi="Book Antiqua" w:cs="Book Antiqua"/>
          <w:b/>
          <w:bCs/>
          <w:color w:val="000000"/>
        </w:rPr>
        <w:t>168</w:t>
      </w:r>
      <w:r w:rsidRPr="00C51CF1">
        <w:rPr>
          <w:rFonts w:ascii="Book Antiqua" w:eastAsia="Book Antiqua" w:hAnsi="Book Antiqua" w:cs="Book Antiqua"/>
          <w:color w:val="000000"/>
        </w:rPr>
        <w:t>: 121-130 [PMID: 29297009 DOI: 10.7326/M17-2073]</w:t>
      </w:r>
    </w:p>
    <w:p w14:paraId="5B42517A"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119 </w:t>
      </w:r>
      <w:r w:rsidRPr="00C51CF1">
        <w:rPr>
          <w:rFonts w:ascii="Book Antiqua" w:eastAsia="Book Antiqua" w:hAnsi="Book Antiqua" w:cs="Book Antiqua"/>
          <w:b/>
          <w:bCs/>
          <w:color w:val="000000"/>
        </w:rPr>
        <w:t>Tison A</w:t>
      </w:r>
      <w:r w:rsidRPr="00C51CF1">
        <w:rPr>
          <w:rFonts w:ascii="Book Antiqua" w:eastAsia="Book Antiqua" w:hAnsi="Book Antiqua" w:cs="Book Antiqua"/>
          <w:color w:val="000000"/>
        </w:rPr>
        <w:t xml:space="preserve">, Quéré G, Misery L, Funck-Brentano E, Danlos FX, Routier E, Robert C, Loriot Y, Lambotte O, Bonniaud B, Scalbert C, Maanaoui S, Lesimple T, Martinez S, Marcq M, Chouaid C, Dubos C, Brunet-Possenti F, Stavris C, Chiche L, Beneton N, Mansard S, Guisier F, Doubre H, Skowron F, Aubin F, Zehou O, Roge C, Lambert M, Pham-Ledard A, Beylot-Barry M, Veillon R, Kramkimel N, Giacchero D, De Quatrebarbes J, Michel C, Auliac JB, Gonzales G, Decroisette C, Le Garff G, Carpiuc I, Vallerand H, Nowak E, Cornec D, Kostine M; Groupe de Cancérologie Cutanée, Groupe Français de Pneumo-Cancérologie, and Club Rhumatismes et Inflammations. Safety and Efficacy of Immune Checkpoint Inhibitors in Patients With Cancer and Preexisting Autoimmune Disease: A Nationwide, Multicenter Cohort Study. </w:t>
      </w:r>
      <w:r w:rsidRPr="00C51CF1">
        <w:rPr>
          <w:rFonts w:ascii="Book Antiqua" w:eastAsia="Book Antiqua" w:hAnsi="Book Antiqua" w:cs="Book Antiqua"/>
          <w:i/>
          <w:iCs/>
          <w:color w:val="000000"/>
        </w:rPr>
        <w:t>Arthritis Rheumatol</w:t>
      </w:r>
      <w:r w:rsidRPr="00C51CF1">
        <w:rPr>
          <w:rFonts w:ascii="Book Antiqua" w:eastAsia="Book Antiqua" w:hAnsi="Book Antiqua" w:cs="Book Antiqua"/>
          <w:color w:val="000000"/>
        </w:rPr>
        <w:t xml:space="preserve"> 2019; </w:t>
      </w:r>
      <w:r w:rsidRPr="00C51CF1">
        <w:rPr>
          <w:rFonts w:ascii="Book Antiqua" w:eastAsia="Book Antiqua" w:hAnsi="Book Antiqua" w:cs="Book Antiqua"/>
          <w:b/>
          <w:bCs/>
          <w:color w:val="000000"/>
        </w:rPr>
        <w:t>71</w:t>
      </w:r>
      <w:r w:rsidRPr="00C51CF1">
        <w:rPr>
          <w:rFonts w:ascii="Book Antiqua" w:eastAsia="Book Antiqua" w:hAnsi="Book Antiqua" w:cs="Book Antiqua"/>
          <w:color w:val="000000"/>
        </w:rPr>
        <w:t>: 2100-2111 [PMID: 31379105 DOI: 10.1002/art.41068]</w:t>
      </w:r>
    </w:p>
    <w:p w14:paraId="1A3C892B"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120 </w:t>
      </w:r>
      <w:r w:rsidRPr="00C51CF1">
        <w:rPr>
          <w:rFonts w:ascii="Book Antiqua" w:eastAsia="Book Antiqua" w:hAnsi="Book Antiqua" w:cs="Book Antiqua"/>
          <w:b/>
          <w:bCs/>
          <w:color w:val="000000"/>
        </w:rPr>
        <w:t>De Martin E</w:t>
      </w:r>
      <w:r w:rsidRPr="00C51CF1">
        <w:rPr>
          <w:rFonts w:ascii="Book Antiqua" w:eastAsia="Book Antiqua" w:hAnsi="Book Antiqua" w:cs="Book Antiqua"/>
          <w:color w:val="000000"/>
        </w:rPr>
        <w:t xml:space="preserve">, Michot JM, Papouin B, Champiat S, Mateus C, Lambotte O, Roche B, Antonini TM, Coilly A, Laghouati S, Robert C, Marabelle A, Guettier C, Samuel D. Characterization of liver injury induced by cancer immunotherapy using immune checkpoint inhibitors. </w:t>
      </w:r>
      <w:r w:rsidRPr="00C51CF1">
        <w:rPr>
          <w:rFonts w:ascii="Book Antiqua" w:eastAsia="Book Antiqua" w:hAnsi="Book Antiqua" w:cs="Book Antiqua"/>
          <w:i/>
          <w:iCs/>
          <w:color w:val="000000"/>
        </w:rPr>
        <w:t>J Hepatol</w:t>
      </w:r>
      <w:r w:rsidRPr="00C51CF1">
        <w:rPr>
          <w:rFonts w:ascii="Book Antiqua" w:eastAsia="Book Antiqua" w:hAnsi="Book Antiqua" w:cs="Book Antiqua"/>
          <w:color w:val="000000"/>
        </w:rPr>
        <w:t xml:space="preserve"> 2018; </w:t>
      </w:r>
      <w:r w:rsidRPr="00C51CF1">
        <w:rPr>
          <w:rFonts w:ascii="Book Antiqua" w:eastAsia="Book Antiqua" w:hAnsi="Book Antiqua" w:cs="Book Antiqua"/>
          <w:b/>
          <w:bCs/>
          <w:color w:val="000000"/>
        </w:rPr>
        <w:t>68</w:t>
      </w:r>
      <w:r w:rsidRPr="00C51CF1">
        <w:rPr>
          <w:rFonts w:ascii="Book Antiqua" w:eastAsia="Book Antiqua" w:hAnsi="Book Antiqua" w:cs="Book Antiqua"/>
          <w:color w:val="000000"/>
        </w:rPr>
        <w:t>: 1181-1190 [PMID: 29427729 DOI: 10.1016/j.jhep.2018.01.033]</w:t>
      </w:r>
    </w:p>
    <w:p w14:paraId="7369D4DA" w14:textId="3CCAB3D0" w:rsidR="002B7880" w:rsidRPr="00C51CF1" w:rsidRDefault="005B1767">
      <w:pPr>
        <w:spacing w:line="360" w:lineRule="auto"/>
        <w:jc w:val="both"/>
        <w:rPr>
          <w:rFonts w:ascii="Book Antiqua" w:hAnsi="Book Antiqua"/>
          <w:lang w:val="en-US"/>
        </w:rPr>
      </w:pPr>
      <w:r w:rsidRPr="00C51CF1">
        <w:rPr>
          <w:rFonts w:ascii="Book Antiqua" w:eastAsia="Book Antiqua" w:hAnsi="Book Antiqua" w:cs="Book Antiqua"/>
          <w:color w:val="000000"/>
        </w:rPr>
        <w:t xml:space="preserve">121 </w:t>
      </w:r>
      <w:r w:rsidR="002B7880" w:rsidRPr="00C51CF1">
        <w:rPr>
          <w:rFonts w:ascii="Book Antiqua" w:hAnsi="Book Antiqua"/>
          <w:b/>
          <w:bCs/>
          <w:lang w:val="en-US"/>
        </w:rPr>
        <w:t>Day D</w:t>
      </w:r>
      <w:r w:rsidR="002B7880" w:rsidRPr="00C51CF1">
        <w:rPr>
          <w:rFonts w:ascii="Book Antiqua" w:hAnsi="Book Antiqua"/>
          <w:lang w:val="en-US"/>
        </w:rPr>
        <w:t xml:space="preserve">, </w:t>
      </w:r>
      <w:r w:rsidR="00310E5F" w:rsidRPr="00C51CF1">
        <w:rPr>
          <w:rFonts w:ascii="Book Antiqua" w:hAnsi="Book Antiqua"/>
          <w:lang w:val="en-US"/>
        </w:rPr>
        <w:t xml:space="preserve">Hansen AR. Immune-Related Adverse Events Associated with Immune Checkpoint Inhibitors. </w:t>
      </w:r>
      <w:r w:rsidR="00310E5F" w:rsidRPr="00C51CF1">
        <w:rPr>
          <w:rFonts w:ascii="Book Antiqua" w:hAnsi="Book Antiqua"/>
          <w:i/>
          <w:iCs/>
          <w:lang w:val="en-US"/>
        </w:rPr>
        <w:t>BioDrugs</w:t>
      </w:r>
      <w:r w:rsidR="00310E5F" w:rsidRPr="00C51CF1">
        <w:rPr>
          <w:rFonts w:ascii="Book Antiqua" w:hAnsi="Book Antiqua"/>
          <w:lang w:val="en-US"/>
        </w:rPr>
        <w:t xml:space="preserve"> 2016; </w:t>
      </w:r>
      <w:r w:rsidR="00310E5F" w:rsidRPr="00C51CF1">
        <w:rPr>
          <w:rFonts w:ascii="Book Antiqua" w:hAnsi="Book Antiqua"/>
          <w:b/>
          <w:bCs/>
          <w:lang w:val="en-US"/>
        </w:rPr>
        <w:t>30</w:t>
      </w:r>
      <w:r w:rsidR="00310E5F" w:rsidRPr="00C51CF1">
        <w:rPr>
          <w:rFonts w:ascii="Book Antiqua" w:hAnsi="Book Antiqua"/>
          <w:lang w:val="en-US"/>
        </w:rPr>
        <w:t>: 571-584 [PMID: 27848165 DOI: 10.1007/s40259-016-0204-3]</w:t>
      </w:r>
    </w:p>
    <w:p w14:paraId="4BA821D0"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122 </w:t>
      </w:r>
      <w:r w:rsidRPr="00C51CF1">
        <w:rPr>
          <w:rFonts w:ascii="Book Antiqua" w:eastAsia="Book Antiqua" w:hAnsi="Book Antiqua" w:cs="Book Antiqua"/>
          <w:b/>
          <w:bCs/>
          <w:color w:val="000000"/>
        </w:rPr>
        <w:t>June CH</w:t>
      </w:r>
      <w:r w:rsidRPr="00C51CF1">
        <w:rPr>
          <w:rFonts w:ascii="Book Antiqua" w:eastAsia="Book Antiqua" w:hAnsi="Book Antiqua" w:cs="Book Antiqua"/>
          <w:color w:val="000000"/>
        </w:rPr>
        <w:t xml:space="preserve">, Warshauer JT, Bluestone JA. Is autoimmunity the Achilles' heel of cancer immunotherapy? </w:t>
      </w:r>
      <w:r w:rsidRPr="00C51CF1">
        <w:rPr>
          <w:rFonts w:ascii="Book Antiqua" w:eastAsia="Book Antiqua" w:hAnsi="Book Antiqua" w:cs="Book Antiqua"/>
          <w:i/>
          <w:iCs/>
          <w:color w:val="000000"/>
        </w:rPr>
        <w:t>Nat Med</w:t>
      </w:r>
      <w:r w:rsidRPr="00C51CF1">
        <w:rPr>
          <w:rFonts w:ascii="Book Antiqua" w:eastAsia="Book Antiqua" w:hAnsi="Book Antiqua" w:cs="Book Antiqua"/>
          <w:color w:val="000000"/>
        </w:rPr>
        <w:t xml:space="preserve"> 2017; </w:t>
      </w:r>
      <w:r w:rsidRPr="00C51CF1">
        <w:rPr>
          <w:rFonts w:ascii="Book Antiqua" w:eastAsia="Book Antiqua" w:hAnsi="Book Antiqua" w:cs="Book Antiqua"/>
          <w:b/>
          <w:bCs/>
          <w:color w:val="000000"/>
        </w:rPr>
        <w:t>23</w:t>
      </w:r>
      <w:r w:rsidRPr="00C51CF1">
        <w:rPr>
          <w:rFonts w:ascii="Book Antiqua" w:eastAsia="Book Antiqua" w:hAnsi="Book Antiqua" w:cs="Book Antiqua"/>
          <w:color w:val="000000"/>
        </w:rPr>
        <w:t>: 540-547 [PMID: 28475571 DOI: 10.1038/nm.4321]</w:t>
      </w:r>
    </w:p>
    <w:p w14:paraId="0C25FF2F"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123 </w:t>
      </w:r>
      <w:r w:rsidRPr="00C51CF1">
        <w:rPr>
          <w:rFonts w:ascii="Book Antiqua" w:eastAsia="Book Antiqua" w:hAnsi="Book Antiqua" w:cs="Book Antiqua"/>
          <w:b/>
          <w:bCs/>
          <w:color w:val="000000"/>
        </w:rPr>
        <w:t>Sekai I</w:t>
      </w:r>
      <w:r w:rsidRPr="00C51CF1">
        <w:rPr>
          <w:rFonts w:ascii="Book Antiqua" w:eastAsia="Book Antiqua" w:hAnsi="Book Antiqua" w:cs="Book Antiqua"/>
          <w:color w:val="000000"/>
        </w:rPr>
        <w:t xml:space="preserve">, Hagiwara S, Watanabe T, Kudo M. A case with hepatic immune-related adverse events caused by nivolumab exhibiting impaired accumulation of regulatory T cells. </w:t>
      </w:r>
      <w:r w:rsidRPr="00C51CF1">
        <w:rPr>
          <w:rFonts w:ascii="Book Antiqua" w:eastAsia="Book Antiqua" w:hAnsi="Book Antiqua" w:cs="Book Antiqua"/>
          <w:i/>
          <w:iCs/>
          <w:color w:val="000000"/>
        </w:rPr>
        <w:t>Clin J Gastroenterol</w:t>
      </w:r>
      <w:r w:rsidRPr="00C51CF1">
        <w:rPr>
          <w:rFonts w:ascii="Book Antiqua" w:eastAsia="Book Antiqua" w:hAnsi="Book Antiqua" w:cs="Book Antiqua"/>
          <w:color w:val="000000"/>
        </w:rPr>
        <w:t xml:space="preserve"> 2021 [PMID: 33665689 DOI: 10.1007/s12328-020-01317-y]</w:t>
      </w:r>
    </w:p>
    <w:p w14:paraId="28BB60A7"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124 </w:t>
      </w:r>
      <w:r w:rsidRPr="00C51CF1">
        <w:rPr>
          <w:rFonts w:ascii="Book Antiqua" w:eastAsia="Book Antiqua" w:hAnsi="Book Antiqua" w:cs="Book Antiqua"/>
          <w:b/>
          <w:bCs/>
          <w:color w:val="000000"/>
        </w:rPr>
        <w:t>Alissafi T</w:t>
      </w:r>
      <w:r w:rsidRPr="00C51CF1">
        <w:rPr>
          <w:rFonts w:ascii="Book Antiqua" w:eastAsia="Book Antiqua" w:hAnsi="Book Antiqua" w:cs="Book Antiqua"/>
          <w:color w:val="000000"/>
        </w:rPr>
        <w:t xml:space="preserve">, Banos A, Boon L, Sparwasser T, Ghigo A, Wing K, Vassilopoulos D, Boumpas D, Chavakis T, Cadwell K, Verginis P. Tregs restrain dendritic cell autophagy to ameliorate autoimmunity. </w:t>
      </w:r>
      <w:r w:rsidRPr="00C51CF1">
        <w:rPr>
          <w:rFonts w:ascii="Book Antiqua" w:eastAsia="Book Antiqua" w:hAnsi="Book Antiqua" w:cs="Book Antiqua"/>
          <w:i/>
          <w:iCs/>
          <w:color w:val="000000"/>
        </w:rPr>
        <w:t>J Clin Invest</w:t>
      </w:r>
      <w:r w:rsidRPr="00C51CF1">
        <w:rPr>
          <w:rFonts w:ascii="Book Antiqua" w:eastAsia="Book Antiqua" w:hAnsi="Book Antiqua" w:cs="Book Antiqua"/>
          <w:color w:val="000000"/>
        </w:rPr>
        <w:t xml:space="preserve"> 2017; </w:t>
      </w:r>
      <w:r w:rsidRPr="00C51CF1">
        <w:rPr>
          <w:rFonts w:ascii="Book Antiqua" w:eastAsia="Book Antiqua" w:hAnsi="Book Antiqua" w:cs="Book Antiqua"/>
          <w:b/>
          <w:bCs/>
          <w:color w:val="000000"/>
        </w:rPr>
        <w:t>127</w:t>
      </w:r>
      <w:r w:rsidRPr="00C51CF1">
        <w:rPr>
          <w:rFonts w:ascii="Book Antiqua" w:eastAsia="Book Antiqua" w:hAnsi="Book Antiqua" w:cs="Book Antiqua"/>
          <w:color w:val="000000"/>
        </w:rPr>
        <w:t>: 2789-2804 [PMID: 28581446 DOI: 10.1172/JCI92079]</w:t>
      </w:r>
    </w:p>
    <w:p w14:paraId="3777B172" w14:textId="555046C2" w:rsidR="00A77B3E" w:rsidRPr="00C51CF1" w:rsidRDefault="005B1767" w:rsidP="00EC1F53">
      <w:pPr>
        <w:spacing w:line="360" w:lineRule="auto"/>
        <w:jc w:val="both"/>
        <w:rPr>
          <w:rFonts w:ascii="Book Antiqua" w:hAnsi="Book Antiqua"/>
        </w:rPr>
      </w:pPr>
      <w:r w:rsidRPr="00C51CF1">
        <w:rPr>
          <w:rFonts w:ascii="Book Antiqua" w:eastAsia="Book Antiqua" w:hAnsi="Book Antiqua" w:cs="Book Antiqua"/>
          <w:color w:val="000000"/>
        </w:rPr>
        <w:t xml:space="preserve">125 </w:t>
      </w:r>
      <w:r w:rsidR="008D3C43" w:rsidRPr="00C51CF1">
        <w:rPr>
          <w:rFonts w:ascii="Book Antiqua" w:eastAsia="Book Antiqua" w:hAnsi="Book Antiqua" w:cs="Book Antiqua"/>
          <w:b/>
          <w:bCs/>
          <w:color w:val="000000"/>
        </w:rPr>
        <w:t>Eli Lilly and Company</w:t>
      </w:r>
      <w:r w:rsidRPr="00C51CF1">
        <w:rPr>
          <w:rFonts w:ascii="Book Antiqua" w:eastAsia="Book Antiqua" w:hAnsi="Book Antiqua" w:cs="Book Antiqua"/>
          <w:color w:val="000000"/>
        </w:rPr>
        <w:t xml:space="preserve">. A Randomized Phase 2 Study of LY2157299 Versus LY2157299 - Sorafenib Combination Versus Sorafenib in Patients With Advanced Hepatocellular Carcinoma. </w:t>
      </w:r>
      <w:r w:rsidR="008D3C43" w:rsidRPr="00C51CF1">
        <w:rPr>
          <w:rFonts w:ascii="Book Antiqua" w:hAnsi="Book Antiqua"/>
          <w:bCs/>
          <w:color w:val="000000" w:themeColor="text1"/>
        </w:rPr>
        <w:t>[</w:t>
      </w:r>
      <w:r w:rsidR="00FB282A" w:rsidRPr="00C51CF1">
        <w:rPr>
          <w:rFonts w:ascii="Book Antiqua" w:hAnsi="Book Antiqua"/>
          <w:bCs/>
          <w:color w:val="000000" w:themeColor="text1"/>
        </w:rPr>
        <w:t xml:space="preserve">cited 10 </w:t>
      </w:r>
      <w:r w:rsidR="005C00B9" w:rsidRPr="00C51CF1">
        <w:rPr>
          <w:rFonts w:ascii="Book Antiqua" w:eastAsia="Book Antiqua" w:hAnsi="Book Antiqua" w:cs="Book Antiqua"/>
          <w:color w:val="000000"/>
        </w:rPr>
        <w:t>Febraury</w:t>
      </w:r>
      <w:r w:rsidR="00FB282A" w:rsidRPr="00C51CF1">
        <w:rPr>
          <w:rFonts w:ascii="Book Antiqua" w:eastAsia="Book Antiqua" w:hAnsi="Book Antiqua" w:cs="Book Antiqua"/>
          <w:color w:val="000000"/>
        </w:rPr>
        <w:t xml:space="preserve"> </w:t>
      </w:r>
      <w:r w:rsidR="005C00B9" w:rsidRPr="00C51CF1">
        <w:rPr>
          <w:rFonts w:ascii="Book Antiqua" w:eastAsia="Book Antiqua" w:hAnsi="Book Antiqua" w:cs="Book Antiqua"/>
          <w:color w:val="000000"/>
        </w:rPr>
        <w:t>2021</w:t>
      </w:r>
      <w:r w:rsidR="008D3C43" w:rsidRPr="00C51CF1">
        <w:rPr>
          <w:rFonts w:ascii="Book Antiqua" w:hAnsi="Book Antiqua"/>
          <w:bCs/>
          <w:color w:val="000000" w:themeColor="text1"/>
          <w:lang w:val="en-US"/>
        </w:rPr>
        <w:t>].</w:t>
      </w:r>
      <w:r w:rsidR="008D3C43" w:rsidRPr="00C51CF1">
        <w:rPr>
          <w:rFonts w:ascii="Book Antiqua" w:hAnsi="Book Antiqua"/>
          <w:bCs/>
          <w:color w:val="000000" w:themeColor="text1"/>
        </w:rPr>
        <w:t xml:space="preserve"> In: ClinicalTrials.gov [Internet]. </w:t>
      </w:r>
      <w:r w:rsidR="00EC1F53" w:rsidRPr="00C51CF1">
        <w:rPr>
          <w:rFonts w:ascii="Book Antiqua" w:hAnsi="Book Antiqua"/>
          <w:bCs/>
          <w:color w:val="000000" w:themeColor="text1"/>
        </w:rPr>
        <w:t xml:space="preserve">Indianapolis (IN): U.S. National Library of Medicine. Available from: </w:t>
      </w:r>
      <w:r w:rsidR="00EC1F53" w:rsidRPr="00C51CF1">
        <w:rPr>
          <w:rFonts w:ascii="Book Antiqua" w:eastAsia="Book Antiqua" w:hAnsi="Book Antiqua" w:cs="Book Antiqua"/>
          <w:color w:val="000000"/>
        </w:rPr>
        <w:t xml:space="preserve">https://www.clinicaltrials.gov/ct2/show/NCT02178358?term=Galunisertib&amp;cond=Hepatocellular+Carcinoma&amp;draw=2&amp;rank=3 </w:t>
      </w:r>
      <w:r w:rsidR="00EC1F53" w:rsidRPr="00C51CF1">
        <w:rPr>
          <w:rFonts w:ascii="Book Antiqua" w:hAnsi="Book Antiqua"/>
          <w:bCs/>
          <w:color w:val="000000" w:themeColor="text1"/>
        </w:rPr>
        <w:t>ClinicalTrials.gov Identifier: NCT00417417</w:t>
      </w:r>
    </w:p>
    <w:p w14:paraId="05DF46E6"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 xml:space="preserve">126 </w:t>
      </w:r>
      <w:r w:rsidRPr="00C51CF1">
        <w:rPr>
          <w:rFonts w:ascii="Book Antiqua" w:eastAsia="Book Antiqua" w:hAnsi="Book Antiqua" w:cs="Book Antiqua"/>
          <w:b/>
          <w:bCs/>
          <w:color w:val="000000"/>
        </w:rPr>
        <w:t>Giannelli G</w:t>
      </w:r>
      <w:r w:rsidRPr="00C51CF1">
        <w:rPr>
          <w:rFonts w:ascii="Book Antiqua" w:eastAsia="Book Antiqua" w:hAnsi="Book Antiqua" w:cs="Book Antiqua"/>
          <w:color w:val="000000"/>
        </w:rPr>
        <w:t xml:space="preserve">, Mikulits W, Dooley S, Fabregat I, Moustakas A, ten Dijke P, Portincasa P, Winter P, Janssen R, Leporatti S, Herrera B, Sanchez A. The rationale for targeting TGF-β in chronic liver diseases. </w:t>
      </w:r>
      <w:r w:rsidRPr="00C51CF1">
        <w:rPr>
          <w:rFonts w:ascii="Book Antiqua" w:eastAsia="Book Antiqua" w:hAnsi="Book Antiqua" w:cs="Book Antiqua"/>
          <w:i/>
          <w:iCs/>
          <w:color w:val="000000"/>
        </w:rPr>
        <w:t>Eur J Clin Invest</w:t>
      </w:r>
      <w:r w:rsidRPr="00C51CF1">
        <w:rPr>
          <w:rFonts w:ascii="Book Antiqua" w:eastAsia="Book Antiqua" w:hAnsi="Book Antiqua" w:cs="Book Antiqua"/>
          <w:color w:val="000000"/>
        </w:rPr>
        <w:t xml:space="preserve"> 2016; </w:t>
      </w:r>
      <w:r w:rsidRPr="00C51CF1">
        <w:rPr>
          <w:rFonts w:ascii="Book Antiqua" w:eastAsia="Book Antiqua" w:hAnsi="Book Antiqua" w:cs="Book Antiqua"/>
          <w:b/>
          <w:bCs/>
          <w:color w:val="000000"/>
        </w:rPr>
        <w:t>46</w:t>
      </w:r>
      <w:r w:rsidRPr="00C51CF1">
        <w:rPr>
          <w:rFonts w:ascii="Book Antiqua" w:eastAsia="Book Antiqua" w:hAnsi="Book Antiqua" w:cs="Book Antiqua"/>
          <w:color w:val="000000"/>
        </w:rPr>
        <w:t>: 349-361 [PMID: 26823073 DOI: 10.1111/eci.12596]</w:t>
      </w:r>
    </w:p>
    <w:bookmarkEnd w:id="4"/>
    <w:p w14:paraId="61AF88EB" w14:textId="77777777" w:rsidR="00A77B3E" w:rsidRPr="00C51CF1" w:rsidRDefault="00A77B3E">
      <w:pPr>
        <w:spacing w:line="360" w:lineRule="auto"/>
        <w:jc w:val="both"/>
        <w:rPr>
          <w:rFonts w:ascii="Book Antiqua" w:hAnsi="Book Antiqua"/>
        </w:rPr>
        <w:sectPr w:rsidR="00A77B3E" w:rsidRPr="00C51CF1">
          <w:pgSz w:w="12240" w:h="15840"/>
          <w:pgMar w:top="1440" w:right="1440" w:bottom="1440" w:left="1440" w:header="720" w:footer="720" w:gutter="0"/>
          <w:cols w:space="720"/>
          <w:docGrid w:linePitch="360"/>
        </w:sectPr>
      </w:pPr>
    </w:p>
    <w:p w14:paraId="26249563"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b/>
          <w:color w:val="000000"/>
        </w:rPr>
        <w:t>Footnotes</w:t>
      </w:r>
    </w:p>
    <w:p w14:paraId="6483ADA9"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b/>
          <w:bCs/>
          <w:color w:val="000000"/>
        </w:rPr>
        <w:t xml:space="preserve">Conflict-of-interest statement: </w:t>
      </w:r>
      <w:r w:rsidRPr="00C51CF1">
        <w:rPr>
          <w:rFonts w:ascii="Book Antiqua" w:eastAsia="Book Antiqua" w:hAnsi="Book Antiqua" w:cs="Book Antiqua"/>
          <w:color w:val="000000"/>
        </w:rPr>
        <w:t>All the authors have no conflict of interest to declare.</w:t>
      </w:r>
    </w:p>
    <w:p w14:paraId="2AAA1D2A" w14:textId="77777777" w:rsidR="00A77B3E" w:rsidRPr="00C51CF1" w:rsidRDefault="00A77B3E">
      <w:pPr>
        <w:spacing w:line="360" w:lineRule="auto"/>
        <w:jc w:val="both"/>
        <w:rPr>
          <w:rFonts w:ascii="Book Antiqua" w:hAnsi="Book Antiqua"/>
        </w:rPr>
      </w:pPr>
    </w:p>
    <w:p w14:paraId="5B2D95E5"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b/>
          <w:bCs/>
          <w:color w:val="000000"/>
        </w:rPr>
        <w:t xml:space="preserve">Open-Access: </w:t>
      </w:r>
      <w:r w:rsidRPr="00C51CF1">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EDC5086" w14:textId="77777777" w:rsidR="00A77B3E" w:rsidRPr="00C51CF1" w:rsidRDefault="00A77B3E">
      <w:pPr>
        <w:spacing w:line="360" w:lineRule="auto"/>
        <w:jc w:val="both"/>
        <w:rPr>
          <w:rFonts w:ascii="Book Antiqua" w:hAnsi="Book Antiqua"/>
        </w:rPr>
      </w:pPr>
    </w:p>
    <w:p w14:paraId="650A18D1" w14:textId="53DD7CBF" w:rsidR="00A77B3E" w:rsidRPr="00C51CF1" w:rsidRDefault="005B1767">
      <w:pPr>
        <w:spacing w:line="360" w:lineRule="auto"/>
        <w:jc w:val="both"/>
        <w:rPr>
          <w:rFonts w:ascii="Book Antiqua" w:eastAsia="Book Antiqua" w:hAnsi="Book Antiqua" w:cs="Book Antiqua"/>
          <w:color w:val="000000"/>
        </w:rPr>
      </w:pPr>
      <w:r w:rsidRPr="00C51CF1">
        <w:rPr>
          <w:rFonts w:ascii="Book Antiqua" w:eastAsia="Book Antiqua" w:hAnsi="Book Antiqua" w:cs="Book Antiqua"/>
          <w:b/>
          <w:color w:val="000000"/>
        </w:rPr>
        <w:t xml:space="preserve">Manuscript source: </w:t>
      </w:r>
      <w:r w:rsidRPr="00C51CF1">
        <w:rPr>
          <w:rFonts w:ascii="Book Antiqua" w:eastAsia="Book Antiqua" w:hAnsi="Book Antiqua" w:cs="Book Antiqua"/>
          <w:color w:val="000000"/>
        </w:rPr>
        <w:t>Invite</w:t>
      </w:r>
      <w:r w:rsidR="00D134EA" w:rsidRPr="00C51CF1">
        <w:rPr>
          <w:rFonts w:ascii="Book Antiqua" w:eastAsia="Book Antiqua" w:hAnsi="Book Antiqua" w:cs="Book Antiqua"/>
          <w:color w:val="000000"/>
        </w:rPr>
        <w:t>d ma</w:t>
      </w:r>
      <w:r w:rsidRPr="00C51CF1">
        <w:rPr>
          <w:rFonts w:ascii="Book Antiqua" w:eastAsia="Book Antiqua" w:hAnsi="Book Antiqua" w:cs="Book Antiqua"/>
          <w:color w:val="000000"/>
        </w:rPr>
        <w:t>nuscript</w:t>
      </w:r>
    </w:p>
    <w:p w14:paraId="73079602" w14:textId="77777777" w:rsidR="00046148" w:rsidRPr="00C51CF1" w:rsidRDefault="00046148">
      <w:pPr>
        <w:spacing w:line="360" w:lineRule="auto"/>
        <w:jc w:val="both"/>
        <w:rPr>
          <w:rFonts w:ascii="Book Antiqua" w:hAnsi="Book Antiqua"/>
        </w:rPr>
      </w:pPr>
    </w:p>
    <w:p w14:paraId="4F66F8BE" w14:textId="2C44E33B" w:rsidR="00A77B3E" w:rsidRPr="00C51CF1" w:rsidRDefault="005B1767">
      <w:pPr>
        <w:spacing w:line="360" w:lineRule="auto"/>
        <w:jc w:val="both"/>
        <w:rPr>
          <w:rFonts w:ascii="Book Antiqua" w:hAnsi="Book Antiqua"/>
        </w:rPr>
      </w:pPr>
      <w:r w:rsidRPr="00C51CF1">
        <w:rPr>
          <w:rFonts w:ascii="Book Antiqua" w:eastAsia="Book Antiqua" w:hAnsi="Book Antiqua" w:cs="Book Antiqua"/>
          <w:b/>
          <w:color w:val="000000"/>
        </w:rPr>
        <w:t xml:space="preserve">Corresponding Author's Membership in Professional Societies: </w:t>
      </w:r>
      <w:bookmarkStart w:id="5" w:name="OLE_LINK110"/>
      <w:r w:rsidR="00D134EA" w:rsidRPr="00C51CF1">
        <w:rPr>
          <w:rFonts w:ascii="Book Antiqua" w:eastAsia="Book Antiqua" w:hAnsi="Book Antiqua" w:cs="Book Antiqua"/>
          <w:color w:val="000000"/>
        </w:rPr>
        <w:t>European Association for The Study of Liver Diseases</w:t>
      </w:r>
      <w:bookmarkEnd w:id="5"/>
      <w:r w:rsidRPr="00C51CF1">
        <w:rPr>
          <w:rFonts w:ascii="Book Antiqua" w:eastAsia="Book Antiqua" w:hAnsi="Book Antiqua" w:cs="Book Antiqua"/>
          <w:color w:val="000000"/>
        </w:rPr>
        <w:t xml:space="preserve">, </w:t>
      </w:r>
      <w:r w:rsidR="00D134EA" w:rsidRPr="00C51CF1">
        <w:rPr>
          <w:rFonts w:ascii="Book Antiqua" w:eastAsia="Book Antiqua" w:hAnsi="Book Antiqua" w:cs="Book Antiqua"/>
          <w:color w:val="000000"/>
        </w:rPr>
        <w:t xml:space="preserve">No. </w:t>
      </w:r>
      <w:r w:rsidRPr="00C51CF1">
        <w:rPr>
          <w:rFonts w:ascii="Book Antiqua" w:eastAsia="Book Antiqua" w:hAnsi="Book Antiqua" w:cs="Book Antiqua"/>
          <w:color w:val="000000"/>
        </w:rPr>
        <w:t>10678.</w:t>
      </w:r>
    </w:p>
    <w:p w14:paraId="3C6183AA" w14:textId="77777777" w:rsidR="00A77B3E" w:rsidRPr="00C51CF1" w:rsidRDefault="00A77B3E">
      <w:pPr>
        <w:spacing w:line="360" w:lineRule="auto"/>
        <w:jc w:val="both"/>
        <w:rPr>
          <w:rFonts w:ascii="Book Antiqua" w:hAnsi="Book Antiqua"/>
        </w:rPr>
      </w:pPr>
    </w:p>
    <w:p w14:paraId="0404E727"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b/>
          <w:color w:val="000000"/>
        </w:rPr>
        <w:t xml:space="preserve">Peer-review started: </w:t>
      </w:r>
      <w:r w:rsidRPr="00C51CF1">
        <w:rPr>
          <w:rFonts w:ascii="Book Antiqua" w:eastAsia="Book Antiqua" w:hAnsi="Book Antiqua" w:cs="Book Antiqua"/>
          <w:color w:val="000000"/>
        </w:rPr>
        <w:t>February 4, 2021</w:t>
      </w:r>
    </w:p>
    <w:p w14:paraId="4B248734"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b/>
          <w:color w:val="000000"/>
        </w:rPr>
        <w:t xml:space="preserve">First decision: </w:t>
      </w:r>
      <w:r w:rsidRPr="00C51CF1">
        <w:rPr>
          <w:rFonts w:ascii="Book Antiqua" w:eastAsia="Book Antiqua" w:hAnsi="Book Antiqua" w:cs="Book Antiqua"/>
          <w:color w:val="000000"/>
        </w:rPr>
        <w:t>March 28, 2021</w:t>
      </w:r>
    </w:p>
    <w:p w14:paraId="5363AD08" w14:textId="01409130" w:rsidR="00A77B3E" w:rsidRPr="00C51CF1" w:rsidRDefault="005B1767">
      <w:pPr>
        <w:spacing w:line="360" w:lineRule="auto"/>
        <w:jc w:val="both"/>
        <w:rPr>
          <w:rFonts w:ascii="Book Antiqua" w:hAnsi="Book Antiqua"/>
        </w:rPr>
      </w:pPr>
      <w:r w:rsidRPr="00C51CF1">
        <w:rPr>
          <w:rFonts w:ascii="Book Antiqua" w:eastAsia="Book Antiqua" w:hAnsi="Book Antiqua" w:cs="Book Antiqua"/>
          <w:b/>
          <w:color w:val="000000"/>
        </w:rPr>
        <w:t xml:space="preserve">Article in press: </w:t>
      </w:r>
      <w:r w:rsidR="00C51CF1" w:rsidRPr="00C51CF1">
        <w:rPr>
          <w:rFonts w:ascii="Book Antiqua" w:eastAsia="Book Antiqua" w:hAnsi="Book Antiqua" w:cs="Book Antiqua"/>
          <w:color w:val="000000"/>
        </w:rPr>
        <w:t>May 7, 2021</w:t>
      </w:r>
    </w:p>
    <w:p w14:paraId="31F1EF43" w14:textId="77777777" w:rsidR="00A77B3E" w:rsidRPr="00C51CF1" w:rsidRDefault="00A77B3E">
      <w:pPr>
        <w:spacing w:line="360" w:lineRule="auto"/>
        <w:jc w:val="both"/>
        <w:rPr>
          <w:rFonts w:ascii="Book Antiqua" w:hAnsi="Book Antiqua"/>
        </w:rPr>
      </w:pPr>
    </w:p>
    <w:p w14:paraId="2974B1A3" w14:textId="489E0012" w:rsidR="00A77B3E" w:rsidRPr="00C51CF1" w:rsidRDefault="005B1767">
      <w:pPr>
        <w:spacing w:line="360" w:lineRule="auto"/>
        <w:jc w:val="both"/>
        <w:rPr>
          <w:rFonts w:ascii="Book Antiqua" w:hAnsi="Book Antiqua"/>
        </w:rPr>
      </w:pPr>
      <w:r w:rsidRPr="00C51CF1">
        <w:rPr>
          <w:rFonts w:ascii="Book Antiqua" w:eastAsia="Book Antiqua" w:hAnsi="Book Antiqua" w:cs="Book Antiqua"/>
          <w:b/>
          <w:color w:val="000000"/>
        </w:rPr>
        <w:t xml:space="preserve">Specialty type: </w:t>
      </w:r>
      <w:r w:rsidRPr="00C51CF1">
        <w:rPr>
          <w:rFonts w:ascii="Book Antiqua" w:eastAsia="Book Antiqua" w:hAnsi="Book Antiqua" w:cs="Book Antiqua"/>
          <w:color w:val="000000"/>
        </w:rPr>
        <w:t>Gastroenterology a</w:t>
      </w:r>
      <w:r w:rsidR="00D134EA" w:rsidRPr="00C51CF1">
        <w:rPr>
          <w:rFonts w:ascii="Book Antiqua" w:eastAsia="Book Antiqua" w:hAnsi="Book Antiqua" w:cs="Book Antiqua"/>
          <w:color w:val="000000"/>
        </w:rPr>
        <w:t>nd he</w:t>
      </w:r>
      <w:r w:rsidRPr="00C51CF1">
        <w:rPr>
          <w:rFonts w:ascii="Book Antiqua" w:eastAsia="Book Antiqua" w:hAnsi="Book Antiqua" w:cs="Book Antiqua"/>
          <w:color w:val="000000"/>
        </w:rPr>
        <w:t>patology</w:t>
      </w:r>
    </w:p>
    <w:p w14:paraId="7CCF7AF3"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b/>
          <w:color w:val="000000"/>
        </w:rPr>
        <w:t xml:space="preserve">Country/Territory of origin: </w:t>
      </w:r>
      <w:r w:rsidRPr="00C51CF1">
        <w:rPr>
          <w:rFonts w:ascii="Book Antiqua" w:eastAsia="Book Antiqua" w:hAnsi="Book Antiqua" w:cs="Book Antiqua"/>
          <w:color w:val="000000"/>
        </w:rPr>
        <w:t>Italy</w:t>
      </w:r>
    </w:p>
    <w:p w14:paraId="3EACBA15"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b/>
          <w:color w:val="000000"/>
        </w:rPr>
        <w:t>Peer-review report’s scientific quality classification</w:t>
      </w:r>
    </w:p>
    <w:p w14:paraId="036B9093"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Grade A (Excellent): 0</w:t>
      </w:r>
    </w:p>
    <w:p w14:paraId="5095FBD1" w14:textId="12154871"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Grade B (Very good): B, B</w:t>
      </w:r>
      <w:r w:rsidR="00D134EA" w:rsidRPr="00C51CF1">
        <w:rPr>
          <w:rFonts w:ascii="Book Antiqua" w:eastAsia="Book Antiqua" w:hAnsi="Book Antiqua" w:cs="Book Antiqua"/>
          <w:color w:val="000000"/>
        </w:rPr>
        <w:t>, B</w:t>
      </w:r>
    </w:p>
    <w:p w14:paraId="24EA6568"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Grade C (Good): 0</w:t>
      </w:r>
    </w:p>
    <w:p w14:paraId="4F411083"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Grade D (Fair): 0</w:t>
      </w:r>
    </w:p>
    <w:p w14:paraId="0E23413E" w14:textId="77777777" w:rsidR="00A77B3E" w:rsidRPr="00C51CF1" w:rsidRDefault="005B1767">
      <w:pPr>
        <w:spacing w:line="360" w:lineRule="auto"/>
        <w:jc w:val="both"/>
        <w:rPr>
          <w:rFonts w:ascii="Book Antiqua" w:hAnsi="Book Antiqua"/>
        </w:rPr>
      </w:pPr>
      <w:r w:rsidRPr="00C51CF1">
        <w:rPr>
          <w:rFonts w:ascii="Book Antiqua" w:eastAsia="Book Antiqua" w:hAnsi="Book Antiqua" w:cs="Book Antiqua"/>
          <w:color w:val="000000"/>
        </w:rPr>
        <w:t>Grade E (Poor): 0</w:t>
      </w:r>
    </w:p>
    <w:p w14:paraId="798A9E38" w14:textId="77777777" w:rsidR="00A77B3E" w:rsidRPr="00C51CF1" w:rsidRDefault="00A77B3E">
      <w:pPr>
        <w:spacing w:line="360" w:lineRule="auto"/>
        <w:jc w:val="both"/>
        <w:rPr>
          <w:rFonts w:ascii="Book Antiqua" w:hAnsi="Book Antiqua"/>
        </w:rPr>
      </w:pPr>
    </w:p>
    <w:p w14:paraId="70D7839B" w14:textId="53079D70" w:rsidR="00C51CF1" w:rsidRPr="00C51CF1" w:rsidRDefault="005B1767">
      <w:pPr>
        <w:spacing w:line="360" w:lineRule="auto"/>
        <w:jc w:val="both"/>
        <w:rPr>
          <w:rFonts w:ascii="Book Antiqua" w:eastAsiaTheme="minorEastAsia" w:hAnsi="Book Antiqua" w:cs="Book Antiqua"/>
          <w:b/>
          <w:color w:val="000000"/>
        </w:rPr>
      </w:pPr>
      <w:r w:rsidRPr="00C51CF1">
        <w:rPr>
          <w:rFonts w:ascii="Book Antiqua" w:eastAsia="Book Antiqua" w:hAnsi="Book Antiqua" w:cs="Book Antiqua"/>
          <w:b/>
          <w:color w:val="000000"/>
        </w:rPr>
        <w:t xml:space="preserve">P-Reviewer: </w:t>
      </w:r>
      <w:r w:rsidRPr="00C51CF1">
        <w:rPr>
          <w:rFonts w:ascii="Book Antiqua" w:eastAsia="Book Antiqua" w:hAnsi="Book Antiqua" w:cs="Book Antiqua"/>
          <w:color w:val="000000"/>
        </w:rPr>
        <w:t>Chen W, Shen L</w:t>
      </w:r>
      <w:r w:rsidRPr="00C51CF1">
        <w:rPr>
          <w:rFonts w:ascii="Book Antiqua" w:eastAsia="Book Antiqua" w:hAnsi="Book Antiqua" w:cs="Book Antiqua"/>
          <w:b/>
          <w:color w:val="000000"/>
        </w:rPr>
        <w:t xml:space="preserve"> S-Editor: </w:t>
      </w:r>
      <w:r w:rsidRPr="00C51CF1">
        <w:rPr>
          <w:rFonts w:ascii="Book Antiqua" w:eastAsia="Book Antiqua" w:hAnsi="Book Antiqua" w:cs="Book Antiqua"/>
          <w:color w:val="000000"/>
        </w:rPr>
        <w:t>Gao CC</w:t>
      </w:r>
      <w:r w:rsidRPr="00C51CF1">
        <w:rPr>
          <w:rFonts w:ascii="Book Antiqua" w:eastAsia="Book Antiqua" w:hAnsi="Book Antiqua" w:cs="Book Antiqua"/>
          <w:b/>
          <w:color w:val="000000"/>
        </w:rPr>
        <w:t xml:space="preserve"> L-Editor: </w:t>
      </w:r>
      <w:r w:rsidR="00C51CF1" w:rsidRPr="00C51CF1">
        <w:rPr>
          <w:rFonts w:ascii="Book Antiqua" w:eastAsiaTheme="minorEastAsia" w:hAnsi="Book Antiqua" w:cs="Book Antiqua" w:hint="eastAsia"/>
          <w:color w:val="000000"/>
        </w:rPr>
        <w:t>A</w:t>
      </w:r>
      <w:r w:rsidRPr="00C51CF1">
        <w:rPr>
          <w:rFonts w:ascii="Book Antiqua" w:eastAsia="Book Antiqua" w:hAnsi="Book Antiqua" w:cs="Book Antiqua"/>
          <w:b/>
          <w:color w:val="000000"/>
        </w:rPr>
        <w:t xml:space="preserve"> P-Editor:</w:t>
      </w:r>
      <w:r w:rsidR="00C51CF1">
        <w:rPr>
          <w:rFonts w:ascii="Book Antiqua" w:eastAsiaTheme="minorEastAsia" w:hAnsi="Book Antiqua" w:cs="Book Antiqua" w:hint="eastAsia"/>
          <w:b/>
          <w:color w:val="000000"/>
        </w:rPr>
        <w:t xml:space="preserve"> </w:t>
      </w:r>
      <w:r w:rsidR="00C51CF1" w:rsidRPr="00C51CF1">
        <w:rPr>
          <w:rFonts w:ascii="Book Antiqua" w:eastAsiaTheme="minorEastAsia" w:hAnsi="Book Antiqua" w:cs="Book Antiqua" w:hint="eastAsia"/>
          <w:color w:val="000000"/>
        </w:rPr>
        <w:t>Liu JH</w:t>
      </w:r>
    </w:p>
    <w:p w14:paraId="55E4BB1C" w14:textId="16E0B8CA" w:rsidR="00A77B3E" w:rsidRPr="00C51CF1" w:rsidRDefault="005B1767">
      <w:pPr>
        <w:spacing w:line="360" w:lineRule="auto"/>
        <w:jc w:val="both"/>
        <w:rPr>
          <w:rFonts w:ascii="Book Antiqua" w:hAnsi="Book Antiqua"/>
        </w:rPr>
        <w:sectPr w:rsidR="00A77B3E" w:rsidRPr="00C51CF1">
          <w:pgSz w:w="12240" w:h="15840"/>
          <w:pgMar w:top="1440" w:right="1440" w:bottom="1440" w:left="1440" w:header="720" w:footer="720" w:gutter="0"/>
          <w:cols w:space="720"/>
          <w:docGrid w:linePitch="360"/>
        </w:sectPr>
      </w:pPr>
      <w:r w:rsidRPr="00C51CF1">
        <w:rPr>
          <w:rFonts w:ascii="Book Antiqua" w:eastAsia="Book Antiqua" w:hAnsi="Book Antiqua" w:cs="Book Antiqua"/>
          <w:b/>
          <w:color w:val="000000"/>
        </w:rPr>
        <w:t xml:space="preserve"> </w:t>
      </w:r>
    </w:p>
    <w:p w14:paraId="42EB093F" w14:textId="60F9C870" w:rsidR="00A77B3E" w:rsidRPr="00C51CF1" w:rsidRDefault="005B1767">
      <w:pPr>
        <w:spacing w:line="360" w:lineRule="auto"/>
        <w:jc w:val="both"/>
        <w:rPr>
          <w:rFonts w:ascii="Book Antiqua" w:eastAsia="Book Antiqua" w:hAnsi="Book Antiqua" w:cs="Book Antiqua"/>
          <w:b/>
          <w:color w:val="000000"/>
        </w:rPr>
      </w:pPr>
      <w:r w:rsidRPr="00C51CF1">
        <w:rPr>
          <w:rFonts w:ascii="Book Antiqua" w:eastAsia="Book Antiqua" w:hAnsi="Book Antiqua" w:cs="Book Antiqua"/>
          <w:b/>
          <w:color w:val="000000"/>
        </w:rPr>
        <w:t>Figure Legends</w:t>
      </w:r>
    </w:p>
    <w:p w14:paraId="698B6905" w14:textId="7C1A3D25" w:rsidR="0028666B" w:rsidRPr="00C51CF1" w:rsidRDefault="00831822">
      <w:pPr>
        <w:spacing w:line="360" w:lineRule="auto"/>
        <w:jc w:val="both"/>
        <w:rPr>
          <w:rFonts w:ascii="Book Antiqua" w:hAnsi="Book Antiqua"/>
        </w:rPr>
      </w:pPr>
      <w:r w:rsidRPr="00C51CF1">
        <w:rPr>
          <w:rFonts w:ascii="Book Antiqua" w:hAnsi="Book Antiqua"/>
          <w:noProof/>
          <w:lang w:val="en-US"/>
        </w:rPr>
        <w:drawing>
          <wp:inline distT="0" distB="0" distL="0" distR="0" wp14:anchorId="15A8C176" wp14:editId="79749C95">
            <wp:extent cx="5943600" cy="3312795"/>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12795"/>
                    </a:xfrm>
                    <a:prstGeom prst="rect">
                      <a:avLst/>
                    </a:prstGeom>
                  </pic:spPr>
                </pic:pic>
              </a:graphicData>
            </a:graphic>
          </wp:inline>
        </w:drawing>
      </w:r>
    </w:p>
    <w:p w14:paraId="0A247075" w14:textId="430B8C83" w:rsidR="00A77B3E" w:rsidRPr="00C51CF1" w:rsidRDefault="005B1767">
      <w:pPr>
        <w:spacing w:line="360" w:lineRule="auto"/>
        <w:jc w:val="both"/>
        <w:rPr>
          <w:rFonts w:ascii="Book Antiqua" w:hAnsi="Book Antiqua"/>
        </w:rPr>
      </w:pPr>
      <w:r w:rsidRPr="00C51CF1">
        <w:rPr>
          <w:rFonts w:ascii="Book Antiqua" w:eastAsia="Book Antiqua" w:hAnsi="Book Antiqua" w:cs="Book Antiqua"/>
          <w:b/>
          <w:bCs/>
          <w:color w:val="000000"/>
        </w:rPr>
        <w:t>Figure 1</w:t>
      </w:r>
      <w:r w:rsidR="0028666B" w:rsidRPr="00C51CF1">
        <w:rPr>
          <w:rFonts w:ascii="Book Antiqua" w:eastAsia="Book Antiqua" w:hAnsi="Book Antiqua" w:cs="Book Antiqua"/>
          <w:b/>
          <w:bCs/>
          <w:color w:val="000000"/>
        </w:rPr>
        <w:t xml:space="preserve"> </w:t>
      </w:r>
      <w:r w:rsidRPr="00C51CF1">
        <w:rPr>
          <w:rFonts w:ascii="Book Antiqua" w:eastAsia="Book Antiqua" w:hAnsi="Book Antiqua" w:cs="Book Antiqua"/>
          <w:b/>
          <w:bCs/>
          <w:color w:val="000000"/>
        </w:rPr>
        <w:t xml:space="preserve">The </w:t>
      </w:r>
      <w:r w:rsidR="0028666B" w:rsidRPr="00C51CF1">
        <w:rPr>
          <w:rFonts w:ascii="Book Antiqua" w:eastAsia="Book Antiqua" w:hAnsi="Book Antiqua" w:cs="Book Antiqua"/>
          <w:b/>
          <w:bCs/>
          <w:color w:val="000000"/>
          <w:shd w:val="clear" w:color="auto" w:fill="FFFFFF"/>
        </w:rPr>
        <w:t>hepatocellular carcinoma</w:t>
      </w:r>
      <w:r w:rsidRPr="00C51CF1">
        <w:rPr>
          <w:rFonts w:ascii="Book Antiqua" w:eastAsia="Book Antiqua" w:hAnsi="Book Antiqua" w:cs="Book Antiqua"/>
          <w:b/>
          <w:bCs/>
          <w:color w:val="000000"/>
        </w:rPr>
        <w:t xml:space="preserve"> liver microenvironment is characterized by a large population of immune cells.</w:t>
      </w:r>
      <w:r w:rsidRPr="00C51CF1">
        <w:rPr>
          <w:rFonts w:ascii="Book Antiqua" w:eastAsia="Book Antiqua" w:hAnsi="Book Antiqua" w:cs="Book Antiqua"/>
          <w:color w:val="000000"/>
        </w:rPr>
        <w:t xml:space="preserve"> </w:t>
      </w:r>
      <w:r w:rsidR="0028666B" w:rsidRPr="00C51CF1">
        <w:rPr>
          <w:rFonts w:ascii="Book Antiqua" w:eastAsia="Book Antiqua" w:hAnsi="Book Antiqua" w:cs="Book Antiqua"/>
          <w:color w:val="000000"/>
        </w:rPr>
        <w:t>Natural killer</w:t>
      </w:r>
      <w:r w:rsidRPr="00C51CF1">
        <w:rPr>
          <w:rFonts w:ascii="Book Antiqua" w:eastAsia="Book Antiqua" w:hAnsi="Book Antiqua" w:cs="Book Antiqua"/>
          <w:color w:val="000000"/>
        </w:rPr>
        <w:t xml:space="preserve"> and CD8+</w:t>
      </w:r>
      <w:r w:rsidR="0028666B" w:rsidRPr="00C51CF1">
        <w:rPr>
          <w:rFonts w:ascii="Book Antiqua" w:eastAsia="Book Antiqua" w:hAnsi="Book Antiqua" w:cs="Book Antiqua"/>
          <w:color w:val="000000"/>
        </w:rPr>
        <w:t xml:space="preserve"> </w:t>
      </w:r>
      <w:r w:rsidRPr="00C51CF1">
        <w:rPr>
          <w:rFonts w:ascii="Book Antiqua" w:eastAsia="Book Antiqua" w:hAnsi="Book Antiqua" w:cs="Book Antiqua"/>
          <w:color w:val="000000"/>
        </w:rPr>
        <w:t xml:space="preserve">T cells exert antitumor effect by secreting </w:t>
      </w:r>
      <w:r w:rsidR="0028666B" w:rsidRPr="00C51CF1">
        <w:rPr>
          <w:rFonts w:ascii="Book Antiqua" w:eastAsia="Book Antiqua" w:hAnsi="Book Antiqua" w:cs="Book Antiqua"/>
          <w:color w:val="000000"/>
        </w:rPr>
        <w:t>interferon</w:t>
      </w:r>
      <w:r w:rsidRPr="00C51CF1">
        <w:rPr>
          <w:rFonts w:ascii="Book Antiqua" w:eastAsia="Book Antiqua" w:hAnsi="Book Antiqua" w:cs="Book Antiqua"/>
          <w:color w:val="000000"/>
        </w:rPr>
        <w:t>-</w:t>
      </w:r>
      <w:r w:rsidR="00271C79" w:rsidRPr="00C51CF1">
        <w:rPr>
          <w:rFonts w:ascii="Book Antiqua" w:hAnsi="Book Antiqua" w:cs="Book Antiqua"/>
          <w:color w:val="000000"/>
        </w:rPr>
        <w:t>γ</w:t>
      </w:r>
      <w:r w:rsidRPr="00C51CF1">
        <w:rPr>
          <w:rFonts w:ascii="Book Antiqua" w:eastAsia="Book Antiqua" w:hAnsi="Book Antiqua" w:cs="Book Antiqua"/>
          <w:color w:val="000000"/>
        </w:rPr>
        <w:t xml:space="preserve">, granzyme A, granzyme B and perforin, however they are mostly defective since these cells are suppressed by CD4+ CD25 </w:t>
      </w:r>
      <w:r w:rsidR="00271C79" w:rsidRPr="00C51CF1">
        <w:rPr>
          <w:rFonts w:ascii="Book Antiqua" w:eastAsia="Book Antiqua" w:hAnsi="Book Antiqua" w:cs="Book Antiqua"/>
          <w:color w:val="000000"/>
        </w:rPr>
        <w:t>regulatory T cell (</w:t>
      </w:r>
      <w:r w:rsidRPr="00C51CF1">
        <w:rPr>
          <w:rFonts w:ascii="Book Antiqua" w:eastAsia="Book Antiqua" w:hAnsi="Book Antiqua" w:cs="Book Antiqua"/>
          <w:color w:val="000000"/>
        </w:rPr>
        <w:t>Tregs</w:t>
      </w:r>
      <w:r w:rsidR="00271C79" w:rsidRPr="00C51CF1">
        <w:rPr>
          <w:rFonts w:ascii="Book Antiqua" w:eastAsia="Book Antiqua" w:hAnsi="Book Antiqua" w:cs="Book Antiqua"/>
          <w:color w:val="000000"/>
        </w:rPr>
        <w:t>)</w:t>
      </w:r>
      <w:r w:rsidRPr="00C51CF1">
        <w:rPr>
          <w:rFonts w:ascii="Book Antiqua" w:eastAsia="Book Antiqua" w:hAnsi="Book Antiqua" w:cs="Book Antiqua"/>
          <w:color w:val="000000"/>
        </w:rPr>
        <w:t xml:space="preserve">. Additionally, tumor associated neutrophils (by secreting CCL17 and CCR4) and M2 tumor associated macrophages (by secreting </w:t>
      </w:r>
      <w:r w:rsidR="0028666B" w:rsidRPr="00C51CF1">
        <w:rPr>
          <w:rFonts w:ascii="Book Antiqua" w:eastAsia="Book Antiqua" w:hAnsi="Book Antiqua" w:cs="Book Antiqua"/>
          <w:color w:val="000000"/>
        </w:rPr>
        <w:t>interleukin</w:t>
      </w:r>
      <w:r w:rsidRPr="00C51CF1">
        <w:rPr>
          <w:rFonts w:ascii="Book Antiqua" w:eastAsia="Book Antiqua" w:hAnsi="Book Antiqua" w:cs="Book Antiqua"/>
          <w:color w:val="000000"/>
        </w:rPr>
        <w:t>-10) can induce CD4+ CD25+ Tregs thus supporting tumor growth and progression.</w:t>
      </w:r>
      <w:r w:rsidR="0028666B" w:rsidRPr="00C51CF1">
        <w:rPr>
          <w:rFonts w:ascii="Book Antiqua" w:eastAsia="Book Antiqua" w:hAnsi="Book Antiqua" w:cs="Book Antiqua"/>
          <w:color w:val="000000"/>
        </w:rPr>
        <w:t xml:space="preserve"> NK: Natural killer; Treg: Regulatory T cell</w:t>
      </w:r>
      <w:r w:rsidR="00271C79" w:rsidRPr="00C51CF1">
        <w:rPr>
          <w:rFonts w:ascii="Book Antiqua" w:eastAsia="Book Antiqua" w:hAnsi="Book Antiqua" w:cs="Book Antiqua"/>
          <w:color w:val="000000"/>
        </w:rPr>
        <w:t xml:space="preserve">; </w:t>
      </w:r>
      <w:bookmarkStart w:id="6" w:name="_Hlk61966603"/>
      <w:r w:rsidR="00271C79" w:rsidRPr="00C51CF1">
        <w:rPr>
          <w:rFonts w:ascii="Book Antiqua" w:eastAsia="Book Antiqua" w:hAnsi="Book Antiqua" w:cs="Book Antiqua"/>
          <w:color w:val="000000"/>
        </w:rPr>
        <w:t>IL: Interleukin;</w:t>
      </w:r>
      <w:bookmarkEnd w:id="6"/>
      <w:r w:rsidR="00271C79" w:rsidRPr="00C51CF1">
        <w:rPr>
          <w:rFonts w:ascii="Book Antiqua" w:eastAsia="Book Antiqua" w:hAnsi="Book Antiqua" w:cs="Book Antiqua"/>
          <w:color w:val="000000"/>
        </w:rPr>
        <w:t xml:space="preserve"> TGF-β: Transforming growth factor β; IFN: Interferon; HCC: Hepatocellular carcinoma.</w:t>
      </w:r>
    </w:p>
    <w:p w14:paraId="32FB012F" w14:textId="76398689" w:rsidR="00A77B3E" w:rsidRPr="00C51CF1" w:rsidRDefault="00271C79">
      <w:pPr>
        <w:spacing w:line="360" w:lineRule="auto"/>
        <w:jc w:val="both"/>
        <w:rPr>
          <w:rFonts w:ascii="Book Antiqua" w:hAnsi="Book Antiqua"/>
        </w:rPr>
      </w:pPr>
      <w:r w:rsidRPr="00C51CF1">
        <w:rPr>
          <w:rFonts w:ascii="Book Antiqua" w:hAnsi="Book Antiqua"/>
        </w:rPr>
        <w:br w:type="page"/>
      </w:r>
      <w:r w:rsidRPr="00C51CF1">
        <w:rPr>
          <w:rFonts w:ascii="Book Antiqua" w:hAnsi="Book Antiqua"/>
          <w:noProof/>
          <w:lang w:val="en-US"/>
        </w:rPr>
        <w:drawing>
          <wp:inline distT="0" distB="0" distL="0" distR="0" wp14:anchorId="17EB2A36" wp14:editId="33BF1795">
            <wp:extent cx="5591216" cy="574838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91216" cy="5748380"/>
                    </a:xfrm>
                    <a:prstGeom prst="rect">
                      <a:avLst/>
                    </a:prstGeom>
                  </pic:spPr>
                </pic:pic>
              </a:graphicData>
            </a:graphic>
          </wp:inline>
        </w:drawing>
      </w:r>
    </w:p>
    <w:p w14:paraId="7C2C3301" w14:textId="683A1F5F" w:rsidR="00A77B3E" w:rsidRPr="00C51CF1" w:rsidRDefault="005B1767">
      <w:pPr>
        <w:spacing w:line="360" w:lineRule="auto"/>
        <w:jc w:val="both"/>
        <w:rPr>
          <w:rFonts w:ascii="Book Antiqua" w:hAnsi="Book Antiqua"/>
        </w:rPr>
      </w:pPr>
      <w:r w:rsidRPr="00C51CF1">
        <w:rPr>
          <w:rFonts w:ascii="Book Antiqua" w:eastAsia="Book Antiqua" w:hAnsi="Book Antiqua" w:cs="Book Antiqua"/>
          <w:b/>
          <w:bCs/>
          <w:color w:val="000000"/>
        </w:rPr>
        <w:t xml:space="preserve">Figure </w:t>
      </w:r>
      <w:r w:rsidR="004C5326" w:rsidRPr="00C51CF1">
        <w:rPr>
          <w:rFonts w:ascii="Book Antiqua" w:eastAsia="Book Antiqua" w:hAnsi="Book Antiqua" w:cs="Book Antiqua"/>
          <w:b/>
          <w:bCs/>
          <w:color w:val="000000"/>
        </w:rPr>
        <w:t xml:space="preserve">2 Regulatory T cells are recognized as CD4+CD25high positive and Foxp3+ expressing cells. </w:t>
      </w:r>
      <w:r w:rsidR="004C5326" w:rsidRPr="00C51CF1">
        <w:rPr>
          <w:rFonts w:ascii="Book Antiqua" w:eastAsia="Book Antiqua" w:hAnsi="Book Antiqua" w:cs="Book Antiqua"/>
          <w:color w:val="000000"/>
        </w:rPr>
        <w:t>They feature a range of other phenotypic markers such as T-cell immunoreceptor with Ig and ITIM domains, glucocorticoid-induced tumor necrosis factor receptor-related protein, cytotoxic T lymphocyte-associated antigen 4, programmed cell-death 1 receptor, V-domain Ig suppressor of T cell activation, lymphocyte activation gene-3, T cell immunoglobulin mucin 3. Upon activation, Tregs release the inhibitory cytokines interleukin (IL)-10, transforming growth factor β and IL-35. TCR: T-cell receptor; IL: Interleukin; TGF-β: Transforming growth factor β; TIGIT: T-cell immunoreceptor with Ig and ITIM domains; VISTA: V-domain Ig suppressor of T cell activation; LAG3: Lymphocyte activation gene-3; GITR: Glucocorticoid-induced tumor necrosis factor receptor-related protein; TIM3: T cell immunoglobulin mucin 3; CTLA-4: Cytotoxic T lymphocyte-associated antigen 4; PD-1: Programmed cell-death 1 receptor.</w:t>
      </w:r>
    </w:p>
    <w:p w14:paraId="46AD98E3" w14:textId="4A4C0DDC" w:rsidR="00A77B3E" w:rsidRPr="00C51CF1" w:rsidRDefault="004C5326">
      <w:pPr>
        <w:spacing w:line="360" w:lineRule="auto"/>
        <w:jc w:val="both"/>
        <w:rPr>
          <w:rFonts w:ascii="Book Antiqua" w:hAnsi="Book Antiqua"/>
        </w:rPr>
      </w:pPr>
      <w:r w:rsidRPr="00C51CF1">
        <w:rPr>
          <w:rFonts w:ascii="Book Antiqua" w:hAnsi="Book Antiqua"/>
        </w:rPr>
        <w:br w:type="page"/>
      </w:r>
      <w:r w:rsidRPr="00C51CF1">
        <w:rPr>
          <w:rFonts w:ascii="Book Antiqua" w:hAnsi="Book Antiqua"/>
          <w:noProof/>
          <w:lang w:val="en-US"/>
        </w:rPr>
        <w:drawing>
          <wp:inline distT="0" distB="0" distL="0" distR="0" wp14:anchorId="62BC806B" wp14:editId="7682D834">
            <wp:extent cx="5943600" cy="22021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202180"/>
                    </a:xfrm>
                    <a:prstGeom prst="rect">
                      <a:avLst/>
                    </a:prstGeom>
                  </pic:spPr>
                </pic:pic>
              </a:graphicData>
            </a:graphic>
          </wp:inline>
        </w:drawing>
      </w:r>
    </w:p>
    <w:p w14:paraId="7D9D96C4" w14:textId="54FE5424" w:rsidR="00DA1715" w:rsidRPr="00C51CF1" w:rsidRDefault="005B1767">
      <w:pPr>
        <w:spacing w:line="360" w:lineRule="auto"/>
        <w:jc w:val="both"/>
        <w:rPr>
          <w:rFonts w:ascii="Book Antiqua" w:eastAsia="Book Antiqua" w:hAnsi="Book Antiqua" w:cs="Book Antiqua"/>
          <w:color w:val="000000"/>
        </w:rPr>
      </w:pPr>
      <w:r w:rsidRPr="00C51CF1">
        <w:rPr>
          <w:rFonts w:ascii="Book Antiqua" w:eastAsia="Book Antiqua" w:hAnsi="Book Antiqua" w:cs="Book Antiqua"/>
          <w:b/>
          <w:bCs/>
          <w:color w:val="000000"/>
        </w:rPr>
        <w:t>Figure 3</w:t>
      </w:r>
      <w:r w:rsidR="004C5326" w:rsidRPr="00C51CF1">
        <w:rPr>
          <w:rFonts w:ascii="Book Antiqua" w:eastAsia="Book Antiqua" w:hAnsi="Book Antiqua" w:cs="Book Antiqua"/>
          <w:b/>
          <w:bCs/>
          <w:color w:val="000000"/>
        </w:rPr>
        <w:t xml:space="preserve"> </w:t>
      </w:r>
      <w:r w:rsidRPr="00C51CF1">
        <w:rPr>
          <w:rFonts w:ascii="Book Antiqua" w:eastAsia="Book Antiqua" w:hAnsi="Book Antiqua" w:cs="Book Antiqua"/>
          <w:b/>
          <w:bCs/>
          <w:color w:val="000000"/>
        </w:rPr>
        <w:t xml:space="preserve">Distinct targeting of </w:t>
      </w:r>
      <w:r w:rsidR="004C5326" w:rsidRPr="00C51CF1">
        <w:rPr>
          <w:rFonts w:ascii="Book Antiqua" w:eastAsia="Book Antiqua" w:hAnsi="Book Antiqua" w:cs="Book Antiqua"/>
          <w:b/>
          <w:bCs/>
          <w:color w:val="000000"/>
        </w:rPr>
        <w:t>regulatory T cell</w:t>
      </w:r>
      <w:r w:rsidRPr="00C51CF1">
        <w:rPr>
          <w:rFonts w:ascii="Book Antiqua" w:eastAsia="Book Antiqua" w:hAnsi="Book Antiqua" w:cs="Book Antiqua"/>
          <w:b/>
          <w:bCs/>
          <w:color w:val="000000"/>
        </w:rPr>
        <w:t xml:space="preserve"> activating and inhibitory receptor-targeted therapies in cancer and autoimmunity.</w:t>
      </w:r>
      <w:r w:rsidRPr="00C51CF1">
        <w:rPr>
          <w:rFonts w:ascii="Book Antiqua" w:eastAsia="Book Antiqua" w:hAnsi="Book Antiqua" w:cs="Book Antiqua"/>
          <w:color w:val="000000"/>
        </w:rPr>
        <w:t xml:space="preserve"> </w:t>
      </w:r>
      <w:r w:rsidR="004C5326" w:rsidRPr="00C51CF1">
        <w:rPr>
          <w:rFonts w:ascii="Book Antiqua" w:eastAsia="Book Antiqua" w:hAnsi="Book Antiqua" w:cs="Book Antiqua"/>
          <w:color w:val="000000"/>
        </w:rPr>
        <w:t>Regulatory T cell (</w:t>
      </w:r>
      <w:r w:rsidRPr="00C51CF1">
        <w:rPr>
          <w:rFonts w:ascii="Book Antiqua" w:eastAsia="Book Antiqua" w:hAnsi="Book Antiqua" w:cs="Book Antiqua"/>
          <w:color w:val="000000"/>
        </w:rPr>
        <w:t>Treg</w:t>
      </w:r>
      <w:r w:rsidR="004C5326" w:rsidRPr="00C51CF1">
        <w:rPr>
          <w:rFonts w:ascii="Book Antiqua" w:eastAsia="Book Antiqua" w:hAnsi="Book Antiqua" w:cs="Book Antiqua"/>
          <w:color w:val="000000"/>
        </w:rPr>
        <w:t>)</w:t>
      </w:r>
      <w:r w:rsidRPr="00C51CF1">
        <w:rPr>
          <w:rFonts w:ascii="Book Antiqua" w:eastAsia="Book Antiqua" w:hAnsi="Book Antiqua" w:cs="Book Antiqua"/>
          <w:color w:val="000000"/>
        </w:rPr>
        <w:t xml:space="preserve"> cells are equipped with a repertoire of activating and inhibitory receptors. For successful therapy of tumors and chronic infections, blockade of activating receptors and/or stimulation of inhibitory receptors shifts the balance toward inhibition of Tregs. In contrast, to achieve Treg activation in autoimmune diseases, blockade of inhibitory receptors and/or stimulation of activating receptors may be desirable.</w:t>
      </w:r>
      <w:r w:rsidR="004C5326" w:rsidRPr="00C51CF1">
        <w:rPr>
          <w:rFonts w:ascii="Book Antiqua" w:eastAsia="Book Antiqua" w:hAnsi="Book Antiqua" w:cs="Book Antiqua"/>
          <w:color w:val="000000"/>
        </w:rPr>
        <w:t xml:space="preserve"> Treg: Regulatory T cell.</w:t>
      </w:r>
    </w:p>
    <w:p w14:paraId="7CD36609" w14:textId="01B06AE2" w:rsidR="00A77B3E" w:rsidRPr="00C51CF1" w:rsidRDefault="00DA1715">
      <w:pPr>
        <w:spacing w:line="360" w:lineRule="auto"/>
        <w:jc w:val="both"/>
        <w:rPr>
          <w:rFonts w:ascii="Book Antiqua" w:eastAsia="Book Antiqua" w:hAnsi="Book Antiqua" w:cs="Book Antiqua"/>
          <w:b/>
          <w:bCs/>
          <w:color w:val="000000"/>
          <w:shd w:val="clear" w:color="auto" w:fill="FFFFFF"/>
        </w:rPr>
      </w:pPr>
      <w:r w:rsidRPr="00C51CF1">
        <w:rPr>
          <w:rFonts w:ascii="Book Antiqua" w:eastAsia="Book Antiqua" w:hAnsi="Book Antiqua" w:cs="Book Antiqua"/>
          <w:color w:val="000000"/>
        </w:rPr>
        <w:br w:type="page"/>
      </w:r>
      <w:r w:rsidRPr="00C51CF1">
        <w:rPr>
          <w:rFonts w:ascii="Book Antiqua" w:eastAsia="Book Antiqua" w:hAnsi="Book Antiqua" w:cs="Book Antiqua"/>
          <w:b/>
          <w:bCs/>
          <w:color w:val="000000"/>
        </w:rPr>
        <w:t xml:space="preserve">Table 1 Regulatory T cell function and recruitment in </w:t>
      </w:r>
      <w:r w:rsidRPr="00C51CF1">
        <w:rPr>
          <w:rFonts w:ascii="Book Antiqua" w:eastAsia="Book Antiqua" w:hAnsi="Book Antiqua" w:cs="Book Antiqua"/>
          <w:b/>
          <w:bCs/>
          <w:color w:val="000000"/>
          <w:shd w:val="clear" w:color="auto" w:fill="FFFFFF"/>
        </w:rPr>
        <w:t>hepatocellular carcinoma</w:t>
      </w:r>
    </w:p>
    <w:tbl>
      <w:tblPr>
        <w:tblStyle w:val="a8"/>
        <w:tblW w:w="4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70"/>
        <w:gridCol w:w="2550"/>
        <w:gridCol w:w="2641"/>
      </w:tblGrid>
      <w:tr w:rsidR="00DA1715" w:rsidRPr="00C51CF1" w14:paraId="6E385D0D" w14:textId="77777777" w:rsidTr="00DA1715">
        <w:tc>
          <w:tcPr>
            <w:tcW w:w="5020" w:type="dxa"/>
            <w:gridSpan w:val="2"/>
            <w:tcBorders>
              <w:top w:val="single" w:sz="4" w:space="0" w:color="auto"/>
              <w:bottom w:val="single" w:sz="4" w:space="0" w:color="auto"/>
            </w:tcBorders>
          </w:tcPr>
          <w:p w14:paraId="5F86284A" w14:textId="77777777" w:rsidR="00DA1715" w:rsidRPr="00C51CF1" w:rsidRDefault="00DA1715" w:rsidP="00DA1715">
            <w:pPr>
              <w:spacing w:line="360" w:lineRule="auto"/>
              <w:jc w:val="both"/>
              <w:rPr>
                <w:rFonts w:ascii="Book Antiqua" w:hAnsi="Book Antiqua" w:cs="Arial"/>
                <w:b/>
                <w:bCs/>
              </w:rPr>
            </w:pPr>
            <w:r w:rsidRPr="00C51CF1">
              <w:rPr>
                <w:rFonts w:ascii="Book Antiqua" w:hAnsi="Book Antiqua" w:cs="Arial"/>
                <w:b/>
                <w:bCs/>
              </w:rPr>
              <w:t>Treg function in HCC</w:t>
            </w:r>
          </w:p>
        </w:tc>
        <w:tc>
          <w:tcPr>
            <w:tcW w:w="2641" w:type="dxa"/>
            <w:tcBorders>
              <w:top w:val="single" w:sz="4" w:space="0" w:color="auto"/>
              <w:bottom w:val="single" w:sz="4" w:space="0" w:color="auto"/>
            </w:tcBorders>
          </w:tcPr>
          <w:p w14:paraId="697CA7A5" w14:textId="03B2422A" w:rsidR="00DA1715" w:rsidRPr="00C51CF1" w:rsidRDefault="00DA1715" w:rsidP="00DA1715">
            <w:pPr>
              <w:spacing w:line="360" w:lineRule="auto"/>
              <w:jc w:val="both"/>
              <w:rPr>
                <w:rFonts w:ascii="Book Antiqua" w:hAnsi="Book Antiqua" w:cs="Arial"/>
                <w:b/>
                <w:bCs/>
              </w:rPr>
            </w:pPr>
            <w:r w:rsidRPr="00C51CF1">
              <w:rPr>
                <w:rFonts w:ascii="Book Antiqua" w:hAnsi="Book Antiqua" w:cs="Arial"/>
                <w:b/>
                <w:bCs/>
              </w:rPr>
              <w:t>Ref.</w:t>
            </w:r>
          </w:p>
        </w:tc>
      </w:tr>
      <w:tr w:rsidR="00DA1715" w:rsidRPr="00C51CF1" w14:paraId="0CE2BCD7" w14:textId="77777777" w:rsidTr="00DA1715">
        <w:tc>
          <w:tcPr>
            <w:tcW w:w="2470" w:type="dxa"/>
            <w:tcBorders>
              <w:top w:val="single" w:sz="4" w:space="0" w:color="auto"/>
              <w:bottom w:val="single" w:sz="4" w:space="0" w:color="auto"/>
            </w:tcBorders>
          </w:tcPr>
          <w:p w14:paraId="03569C16" w14:textId="77777777" w:rsidR="00DA1715" w:rsidRPr="00C51CF1" w:rsidRDefault="00DA1715" w:rsidP="00DA1715">
            <w:pPr>
              <w:spacing w:line="360" w:lineRule="auto"/>
              <w:jc w:val="both"/>
              <w:rPr>
                <w:rFonts w:ascii="Book Antiqua" w:hAnsi="Book Antiqua" w:cs="Arial"/>
                <w:b/>
                <w:bCs/>
                <w:color w:val="000000" w:themeColor="text1"/>
              </w:rPr>
            </w:pPr>
            <w:r w:rsidRPr="00C51CF1">
              <w:rPr>
                <w:rFonts w:ascii="Book Antiqua" w:hAnsi="Book Antiqua" w:cs="Arial"/>
                <w:b/>
                <w:bCs/>
                <w:color w:val="000000" w:themeColor="text1"/>
              </w:rPr>
              <w:t>Molecule</w:t>
            </w:r>
          </w:p>
        </w:tc>
        <w:tc>
          <w:tcPr>
            <w:tcW w:w="2550" w:type="dxa"/>
            <w:tcBorders>
              <w:top w:val="single" w:sz="4" w:space="0" w:color="auto"/>
              <w:bottom w:val="single" w:sz="4" w:space="0" w:color="auto"/>
            </w:tcBorders>
          </w:tcPr>
          <w:p w14:paraId="2CAE9BE2" w14:textId="77777777" w:rsidR="00DA1715" w:rsidRPr="00C51CF1" w:rsidRDefault="00DA1715" w:rsidP="00DA1715">
            <w:pPr>
              <w:spacing w:line="360" w:lineRule="auto"/>
              <w:jc w:val="both"/>
              <w:rPr>
                <w:rFonts w:ascii="Book Antiqua" w:hAnsi="Book Antiqua" w:cs="Arial"/>
                <w:b/>
                <w:bCs/>
                <w:color w:val="000000" w:themeColor="text1"/>
              </w:rPr>
            </w:pPr>
            <w:r w:rsidRPr="00C51CF1">
              <w:rPr>
                <w:rFonts w:ascii="Book Antiqua" w:hAnsi="Book Antiqua" w:cs="Arial"/>
                <w:b/>
                <w:bCs/>
                <w:color w:val="000000" w:themeColor="text1"/>
              </w:rPr>
              <w:t>Target</w:t>
            </w:r>
          </w:p>
        </w:tc>
        <w:tc>
          <w:tcPr>
            <w:tcW w:w="2641" w:type="dxa"/>
            <w:tcBorders>
              <w:top w:val="single" w:sz="4" w:space="0" w:color="auto"/>
              <w:bottom w:val="single" w:sz="4" w:space="0" w:color="auto"/>
            </w:tcBorders>
          </w:tcPr>
          <w:p w14:paraId="419F072A" w14:textId="77777777" w:rsidR="00DA1715" w:rsidRPr="00C51CF1" w:rsidRDefault="00DA1715" w:rsidP="00DA1715">
            <w:pPr>
              <w:spacing w:line="360" w:lineRule="auto"/>
              <w:jc w:val="both"/>
              <w:rPr>
                <w:rFonts w:ascii="Book Antiqua" w:hAnsi="Book Antiqua" w:cs="Arial"/>
                <w:b/>
                <w:bCs/>
                <w:color w:val="000000" w:themeColor="text1"/>
              </w:rPr>
            </w:pPr>
          </w:p>
        </w:tc>
      </w:tr>
      <w:tr w:rsidR="00DA1715" w:rsidRPr="00C51CF1" w14:paraId="28B206B6" w14:textId="77777777" w:rsidTr="00DA1715">
        <w:tc>
          <w:tcPr>
            <w:tcW w:w="2470" w:type="dxa"/>
            <w:tcBorders>
              <w:top w:val="single" w:sz="4" w:space="0" w:color="auto"/>
            </w:tcBorders>
          </w:tcPr>
          <w:p w14:paraId="71732AC4" w14:textId="77777777" w:rsidR="00DA1715" w:rsidRPr="00C51CF1" w:rsidRDefault="00DA1715" w:rsidP="00DA1715">
            <w:pPr>
              <w:spacing w:line="360" w:lineRule="auto"/>
              <w:jc w:val="both"/>
              <w:rPr>
                <w:rFonts w:ascii="Book Antiqua" w:hAnsi="Book Antiqua" w:cs="Arial"/>
              </w:rPr>
            </w:pPr>
            <w:r w:rsidRPr="00C51CF1">
              <w:rPr>
                <w:rFonts w:ascii="Book Antiqua" w:hAnsi="Book Antiqua" w:cs="Arial"/>
              </w:rPr>
              <w:t>IL-10</w:t>
            </w:r>
          </w:p>
        </w:tc>
        <w:tc>
          <w:tcPr>
            <w:tcW w:w="2550" w:type="dxa"/>
            <w:tcBorders>
              <w:top w:val="single" w:sz="4" w:space="0" w:color="auto"/>
            </w:tcBorders>
          </w:tcPr>
          <w:p w14:paraId="6A3C96EA" w14:textId="77777777" w:rsidR="00DA1715" w:rsidRPr="00C51CF1" w:rsidRDefault="00DA1715" w:rsidP="00DA1715">
            <w:pPr>
              <w:spacing w:line="360" w:lineRule="auto"/>
              <w:jc w:val="both"/>
              <w:rPr>
                <w:rFonts w:ascii="Book Antiqua" w:hAnsi="Book Antiqua" w:cs="Arial"/>
              </w:rPr>
            </w:pPr>
            <w:r w:rsidRPr="00C51CF1">
              <w:rPr>
                <w:rFonts w:ascii="Book Antiqua" w:hAnsi="Book Antiqua" w:cs="Arial"/>
              </w:rPr>
              <w:t>IL-10R</w:t>
            </w:r>
          </w:p>
        </w:tc>
        <w:tc>
          <w:tcPr>
            <w:tcW w:w="2641" w:type="dxa"/>
            <w:tcBorders>
              <w:top w:val="single" w:sz="4" w:space="0" w:color="auto"/>
            </w:tcBorders>
          </w:tcPr>
          <w:p w14:paraId="317676A3" w14:textId="318E5F5C" w:rsidR="00DA1715" w:rsidRPr="00C51CF1" w:rsidRDefault="00DA1715" w:rsidP="00DA1715">
            <w:pPr>
              <w:spacing w:line="360" w:lineRule="auto"/>
              <w:jc w:val="both"/>
              <w:rPr>
                <w:rFonts w:ascii="Book Antiqua" w:hAnsi="Book Antiqua" w:cs="Arial"/>
              </w:rPr>
            </w:pPr>
            <w:r w:rsidRPr="00C51CF1">
              <w:rPr>
                <w:rFonts w:ascii="Book Antiqua" w:hAnsi="Book Antiqua" w:cs="Arial"/>
              </w:rPr>
              <w:t>Marra and Tacke</w:t>
            </w:r>
            <w:r w:rsidRPr="00C51CF1">
              <w:rPr>
                <w:rFonts w:ascii="Book Antiqua" w:hAnsi="Book Antiqua" w:cs="Arial"/>
                <w:vertAlign w:val="superscript"/>
              </w:rPr>
              <w:t>[90]</w:t>
            </w:r>
          </w:p>
        </w:tc>
      </w:tr>
      <w:tr w:rsidR="00DA1715" w:rsidRPr="00C51CF1" w14:paraId="02F878B0" w14:textId="77777777" w:rsidTr="00DA1715">
        <w:tc>
          <w:tcPr>
            <w:tcW w:w="2470" w:type="dxa"/>
          </w:tcPr>
          <w:p w14:paraId="50B83022" w14:textId="77777777" w:rsidR="00DA1715" w:rsidRPr="00C51CF1" w:rsidRDefault="00DA1715" w:rsidP="00DA1715">
            <w:pPr>
              <w:spacing w:line="360" w:lineRule="auto"/>
              <w:jc w:val="both"/>
              <w:rPr>
                <w:rFonts w:ascii="Book Antiqua" w:hAnsi="Book Antiqua" w:cs="Arial"/>
              </w:rPr>
            </w:pPr>
            <w:r w:rsidRPr="00C51CF1">
              <w:rPr>
                <w:rFonts w:ascii="Book Antiqua" w:hAnsi="Book Antiqua" w:cs="Arial"/>
              </w:rPr>
              <w:t>IL-35</w:t>
            </w:r>
          </w:p>
        </w:tc>
        <w:tc>
          <w:tcPr>
            <w:tcW w:w="2550" w:type="dxa"/>
          </w:tcPr>
          <w:p w14:paraId="451B7526" w14:textId="77777777" w:rsidR="00DA1715" w:rsidRPr="00C51CF1" w:rsidRDefault="00DA1715" w:rsidP="00DA1715">
            <w:pPr>
              <w:spacing w:line="360" w:lineRule="auto"/>
              <w:jc w:val="both"/>
              <w:rPr>
                <w:rFonts w:ascii="Book Antiqua" w:hAnsi="Book Antiqua" w:cs="Arial"/>
                <w:color w:val="000000" w:themeColor="text1"/>
              </w:rPr>
            </w:pPr>
            <w:r w:rsidRPr="00C51CF1">
              <w:rPr>
                <w:rFonts w:ascii="Book Antiqua" w:hAnsi="Book Antiqua" w:cs="Arial"/>
                <w:color w:val="000000" w:themeColor="text1"/>
              </w:rPr>
              <w:t>IL-12R</w:t>
            </w:r>
            <w:r w:rsidRPr="00C51CF1">
              <w:rPr>
                <w:rFonts w:ascii="Book Antiqua" w:hAnsi="Book Antiqua" w:cs="Arial"/>
                <w:color w:val="000000" w:themeColor="text1"/>
                <w:shd w:val="clear" w:color="auto" w:fill="FDFFFF"/>
              </w:rPr>
              <w:t>β2</w:t>
            </w:r>
          </w:p>
        </w:tc>
        <w:tc>
          <w:tcPr>
            <w:tcW w:w="2641" w:type="dxa"/>
          </w:tcPr>
          <w:p w14:paraId="496A02C1" w14:textId="14AFF88D" w:rsidR="00DA1715" w:rsidRPr="00C51CF1" w:rsidRDefault="00DA1715" w:rsidP="00DA1715">
            <w:pPr>
              <w:spacing w:line="360" w:lineRule="auto"/>
              <w:jc w:val="both"/>
              <w:rPr>
                <w:rFonts w:ascii="Book Antiqua" w:hAnsi="Book Antiqua" w:cs="Arial"/>
              </w:rPr>
            </w:pPr>
            <w:r w:rsidRPr="00C51CF1">
              <w:rPr>
                <w:rFonts w:ascii="Book Antiqua" w:hAnsi="Book Antiqua" w:cs="Arial"/>
              </w:rPr>
              <w:t xml:space="preserve">Shen </w:t>
            </w:r>
            <w:r w:rsidRPr="00C51CF1">
              <w:rPr>
                <w:rFonts w:ascii="Book Antiqua" w:hAnsi="Book Antiqua" w:cs="Arial"/>
                <w:i/>
                <w:iCs/>
              </w:rPr>
              <w:t>et al</w:t>
            </w:r>
            <w:r w:rsidRPr="00C51CF1">
              <w:rPr>
                <w:rFonts w:ascii="Book Antiqua" w:hAnsi="Book Antiqua" w:cs="Arial"/>
                <w:vertAlign w:val="superscript"/>
              </w:rPr>
              <w:t>[91]</w:t>
            </w:r>
          </w:p>
        </w:tc>
      </w:tr>
      <w:tr w:rsidR="00DA1715" w:rsidRPr="00C51CF1" w14:paraId="61B0CE67" w14:textId="77777777" w:rsidTr="00DA1715">
        <w:tc>
          <w:tcPr>
            <w:tcW w:w="2470" w:type="dxa"/>
          </w:tcPr>
          <w:p w14:paraId="113AB1DC" w14:textId="77777777" w:rsidR="00DA1715" w:rsidRPr="00C51CF1" w:rsidRDefault="00DA1715" w:rsidP="00DA1715">
            <w:pPr>
              <w:spacing w:line="360" w:lineRule="auto"/>
              <w:jc w:val="both"/>
              <w:rPr>
                <w:rFonts w:ascii="Book Antiqua" w:hAnsi="Book Antiqua" w:cs="Arial"/>
              </w:rPr>
            </w:pPr>
            <w:r w:rsidRPr="00C51CF1">
              <w:rPr>
                <w:rFonts w:ascii="Book Antiqua" w:hAnsi="Book Antiqua" w:cs="Arial"/>
              </w:rPr>
              <w:t>TGF-</w:t>
            </w:r>
            <w:r w:rsidRPr="00C51CF1">
              <w:rPr>
                <w:rFonts w:ascii="Book Antiqua" w:hAnsi="Book Antiqua" w:cs="Arial"/>
                <w:color w:val="000000" w:themeColor="text1"/>
                <w:shd w:val="clear" w:color="auto" w:fill="FDFFFF"/>
              </w:rPr>
              <w:t>β</w:t>
            </w:r>
          </w:p>
        </w:tc>
        <w:tc>
          <w:tcPr>
            <w:tcW w:w="2550" w:type="dxa"/>
          </w:tcPr>
          <w:p w14:paraId="13C60810" w14:textId="77777777" w:rsidR="00DA1715" w:rsidRPr="00C51CF1" w:rsidRDefault="00DA1715" w:rsidP="00DA1715">
            <w:pPr>
              <w:spacing w:line="360" w:lineRule="auto"/>
              <w:jc w:val="both"/>
              <w:rPr>
                <w:rFonts w:ascii="Book Antiqua" w:hAnsi="Book Antiqua" w:cs="Arial"/>
              </w:rPr>
            </w:pPr>
            <w:r w:rsidRPr="00C51CF1">
              <w:rPr>
                <w:rFonts w:ascii="Book Antiqua" w:hAnsi="Book Antiqua" w:cs="Arial"/>
              </w:rPr>
              <w:t>TGF-</w:t>
            </w:r>
            <w:r w:rsidRPr="00C51CF1">
              <w:rPr>
                <w:rFonts w:ascii="Book Antiqua" w:hAnsi="Book Antiqua" w:cs="Arial"/>
                <w:color w:val="000000" w:themeColor="text1"/>
                <w:shd w:val="clear" w:color="auto" w:fill="FDFFFF"/>
              </w:rPr>
              <w:t>βR</w:t>
            </w:r>
          </w:p>
        </w:tc>
        <w:tc>
          <w:tcPr>
            <w:tcW w:w="2641" w:type="dxa"/>
          </w:tcPr>
          <w:p w14:paraId="2F300EB4" w14:textId="76A52220" w:rsidR="00DA1715" w:rsidRPr="00C51CF1" w:rsidRDefault="00DA1715" w:rsidP="00DA1715">
            <w:pPr>
              <w:spacing w:line="360" w:lineRule="auto"/>
              <w:jc w:val="both"/>
              <w:rPr>
                <w:rFonts w:ascii="Book Antiqua" w:hAnsi="Book Antiqua" w:cs="Arial"/>
              </w:rPr>
            </w:pPr>
            <w:r w:rsidRPr="00C51CF1">
              <w:rPr>
                <w:rFonts w:ascii="Book Antiqua" w:hAnsi="Book Antiqua" w:cs="Arial"/>
              </w:rPr>
              <w:t xml:space="preserve">Fu </w:t>
            </w:r>
            <w:r w:rsidRPr="00C51CF1">
              <w:rPr>
                <w:rFonts w:ascii="Book Antiqua" w:hAnsi="Book Antiqua" w:cs="Arial"/>
                <w:i/>
                <w:iCs/>
              </w:rPr>
              <w:t>et al</w:t>
            </w:r>
            <w:r w:rsidRPr="00C51CF1">
              <w:rPr>
                <w:rFonts w:ascii="Book Antiqua" w:hAnsi="Book Antiqua" w:cs="Arial"/>
                <w:vertAlign w:val="superscript"/>
              </w:rPr>
              <w:t>[92]</w:t>
            </w:r>
          </w:p>
        </w:tc>
      </w:tr>
      <w:tr w:rsidR="00DA1715" w:rsidRPr="00C51CF1" w14:paraId="178C46C5" w14:textId="77777777" w:rsidTr="00DA1715">
        <w:tc>
          <w:tcPr>
            <w:tcW w:w="2470" w:type="dxa"/>
          </w:tcPr>
          <w:p w14:paraId="56EB3C67" w14:textId="77777777" w:rsidR="00DA1715" w:rsidRPr="00C51CF1" w:rsidRDefault="00DA1715" w:rsidP="00DA1715">
            <w:pPr>
              <w:spacing w:line="360" w:lineRule="auto"/>
              <w:jc w:val="both"/>
              <w:rPr>
                <w:rFonts w:ascii="Book Antiqua" w:hAnsi="Book Antiqua" w:cs="Arial"/>
              </w:rPr>
            </w:pPr>
            <w:r w:rsidRPr="00C51CF1">
              <w:rPr>
                <w:rFonts w:ascii="Book Antiqua" w:hAnsi="Book Antiqua" w:cs="Arial"/>
              </w:rPr>
              <w:t>CTLA-4</w:t>
            </w:r>
          </w:p>
        </w:tc>
        <w:tc>
          <w:tcPr>
            <w:tcW w:w="2550" w:type="dxa"/>
          </w:tcPr>
          <w:p w14:paraId="19792658" w14:textId="77777777" w:rsidR="00DA1715" w:rsidRPr="00C51CF1" w:rsidRDefault="00DA1715" w:rsidP="00DA1715">
            <w:pPr>
              <w:spacing w:line="360" w:lineRule="auto"/>
              <w:jc w:val="both"/>
              <w:rPr>
                <w:rFonts w:ascii="Book Antiqua" w:hAnsi="Book Antiqua" w:cs="Arial"/>
              </w:rPr>
            </w:pPr>
            <w:r w:rsidRPr="00C51CF1">
              <w:rPr>
                <w:rFonts w:ascii="Book Antiqua" w:hAnsi="Book Antiqua" w:cs="Arial"/>
              </w:rPr>
              <w:t>CD80/CD86</w:t>
            </w:r>
          </w:p>
        </w:tc>
        <w:tc>
          <w:tcPr>
            <w:tcW w:w="2641" w:type="dxa"/>
          </w:tcPr>
          <w:p w14:paraId="57C0B929" w14:textId="25D10C48" w:rsidR="00DA1715" w:rsidRPr="00C51CF1" w:rsidRDefault="00DA1715" w:rsidP="00DA1715">
            <w:pPr>
              <w:spacing w:line="360" w:lineRule="auto"/>
              <w:jc w:val="both"/>
              <w:rPr>
                <w:rFonts w:ascii="Book Antiqua" w:hAnsi="Book Antiqua" w:cs="Arial"/>
              </w:rPr>
            </w:pPr>
            <w:r w:rsidRPr="00C51CF1">
              <w:rPr>
                <w:rFonts w:ascii="Book Antiqua" w:hAnsi="Book Antiqua" w:cs="Arial"/>
              </w:rPr>
              <w:t xml:space="preserve">Chen </w:t>
            </w:r>
            <w:r w:rsidRPr="00C51CF1">
              <w:rPr>
                <w:rFonts w:ascii="Book Antiqua" w:hAnsi="Book Antiqua" w:cs="Arial"/>
                <w:i/>
                <w:iCs/>
              </w:rPr>
              <w:t>et al</w:t>
            </w:r>
            <w:r w:rsidRPr="00C51CF1">
              <w:rPr>
                <w:rFonts w:ascii="Book Antiqua" w:hAnsi="Book Antiqua" w:cs="Arial"/>
                <w:vertAlign w:val="superscript"/>
              </w:rPr>
              <w:t>[93]</w:t>
            </w:r>
          </w:p>
        </w:tc>
      </w:tr>
      <w:tr w:rsidR="00DA1715" w:rsidRPr="00C51CF1" w14:paraId="4BB3BEC7" w14:textId="77777777" w:rsidTr="00DA1715">
        <w:tc>
          <w:tcPr>
            <w:tcW w:w="2470" w:type="dxa"/>
          </w:tcPr>
          <w:p w14:paraId="7B83A41E" w14:textId="77777777" w:rsidR="00DA1715" w:rsidRPr="00C51CF1" w:rsidRDefault="00DA1715" w:rsidP="00DA1715">
            <w:pPr>
              <w:spacing w:line="360" w:lineRule="auto"/>
              <w:jc w:val="both"/>
              <w:rPr>
                <w:rFonts w:ascii="Book Antiqua" w:hAnsi="Book Antiqua" w:cs="Arial"/>
                <w:color w:val="000000" w:themeColor="text1"/>
              </w:rPr>
            </w:pPr>
            <w:r w:rsidRPr="00C51CF1">
              <w:rPr>
                <w:rFonts w:ascii="Book Antiqua" w:hAnsi="Book Antiqua" w:cs="Arial"/>
              </w:rPr>
              <w:t>CD39-CD73</w:t>
            </w:r>
          </w:p>
        </w:tc>
        <w:tc>
          <w:tcPr>
            <w:tcW w:w="2550" w:type="dxa"/>
          </w:tcPr>
          <w:p w14:paraId="043C07B7" w14:textId="77777777" w:rsidR="00DA1715" w:rsidRPr="00C51CF1" w:rsidRDefault="00DA1715" w:rsidP="00DA1715">
            <w:pPr>
              <w:spacing w:line="360" w:lineRule="auto"/>
              <w:jc w:val="both"/>
              <w:rPr>
                <w:rFonts w:ascii="Book Antiqua" w:hAnsi="Book Antiqua" w:cs="Arial"/>
              </w:rPr>
            </w:pPr>
            <w:r w:rsidRPr="00C51CF1">
              <w:rPr>
                <w:rFonts w:ascii="Book Antiqua" w:hAnsi="Book Antiqua" w:cs="Arial"/>
              </w:rPr>
              <w:t>ATP</w:t>
            </w:r>
          </w:p>
        </w:tc>
        <w:tc>
          <w:tcPr>
            <w:tcW w:w="2641" w:type="dxa"/>
          </w:tcPr>
          <w:p w14:paraId="0E00B1DA" w14:textId="55628CB0" w:rsidR="00DA1715" w:rsidRPr="00C51CF1" w:rsidRDefault="00DA1715" w:rsidP="00DA1715">
            <w:pPr>
              <w:spacing w:line="360" w:lineRule="auto"/>
              <w:jc w:val="both"/>
              <w:rPr>
                <w:rFonts w:ascii="Book Antiqua" w:hAnsi="Book Antiqua" w:cs="Arial"/>
              </w:rPr>
            </w:pPr>
            <w:r w:rsidRPr="00C51CF1">
              <w:rPr>
                <w:rFonts w:ascii="Book Antiqua" w:hAnsi="Book Antiqua" w:cs="Arial"/>
              </w:rPr>
              <w:t xml:space="preserve">Chen </w:t>
            </w:r>
            <w:r w:rsidRPr="00C51CF1">
              <w:rPr>
                <w:rFonts w:ascii="Book Antiqua" w:hAnsi="Book Antiqua" w:cs="Arial"/>
                <w:i/>
                <w:iCs/>
              </w:rPr>
              <w:t>et al</w:t>
            </w:r>
            <w:r w:rsidRPr="00C51CF1">
              <w:rPr>
                <w:rFonts w:ascii="Book Antiqua" w:hAnsi="Book Antiqua" w:cs="Arial"/>
                <w:vertAlign w:val="superscript"/>
              </w:rPr>
              <w:t>[94]</w:t>
            </w:r>
          </w:p>
        </w:tc>
      </w:tr>
      <w:tr w:rsidR="00DA1715" w:rsidRPr="00C51CF1" w14:paraId="3DCC3137" w14:textId="77777777" w:rsidTr="00DA1715">
        <w:tc>
          <w:tcPr>
            <w:tcW w:w="2470" w:type="dxa"/>
          </w:tcPr>
          <w:p w14:paraId="49AAB62E" w14:textId="77777777" w:rsidR="00DA1715" w:rsidRPr="00C51CF1" w:rsidRDefault="00DA1715" w:rsidP="00DA1715">
            <w:pPr>
              <w:spacing w:line="360" w:lineRule="auto"/>
              <w:jc w:val="both"/>
              <w:rPr>
                <w:rFonts w:ascii="Book Antiqua" w:hAnsi="Book Antiqua" w:cs="Arial"/>
              </w:rPr>
            </w:pPr>
            <w:r w:rsidRPr="00C51CF1">
              <w:rPr>
                <w:rFonts w:ascii="Book Antiqua" w:hAnsi="Book Antiqua" w:cs="Arial"/>
                <w:color w:val="000000" w:themeColor="text1"/>
              </w:rPr>
              <w:t>IL-2 R</w:t>
            </w:r>
            <w:r w:rsidRPr="00C51CF1">
              <w:rPr>
                <w:rStyle w:val="a9"/>
                <w:rFonts w:ascii="Book Antiqua" w:hAnsi="Book Antiqua" w:cs="Arial"/>
                <w:color w:val="000000" w:themeColor="text1"/>
                <w:shd w:val="clear" w:color="auto" w:fill="FFFFFF"/>
              </w:rPr>
              <w:t xml:space="preserve">α </w:t>
            </w:r>
            <w:r w:rsidRPr="00C51CF1">
              <w:rPr>
                <w:rStyle w:val="a9"/>
                <w:rFonts w:ascii="Book Antiqua" w:hAnsi="Book Antiqua" w:cs="Arial"/>
              </w:rPr>
              <w:t>(CD 25)</w:t>
            </w:r>
          </w:p>
        </w:tc>
        <w:tc>
          <w:tcPr>
            <w:tcW w:w="2550" w:type="dxa"/>
          </w:tcPr>
          <w:p w14:paraId="351BCD0A" w14:textId="77777777" w:rsidR="00DA1715" w:rsidRPr="00C51CF1" w:rsidRDefault="00DA1715" w:rsidP="00DA1715">
            <w:pPr>
              <w:spacing w:line="360" w:lineRule="auto"/>
              <w:jc w:val="both"/>
              <w:rPr>
                <w:rFonts w:ascii="Book Antiqua" w:hAnsi="Book Antiqua" w:cs="Arial"/>
              </w:rPr>
            </w:pPr>
            <w:r w:rsidRPr="00C51CF1">
              <w:rPr>
                <w:rFonts w:ascii="Book Antiqua" w:hAnsi="Book Antiqua" w:cs="Arial"/>
              </w:rPr>
              <w:t>IL-2</w:t>
            </w:r>
          </w:p>
        </w:tc>
        <w:tc>
          <w:tcPr>
            <w:tcW w:w="2641" w:type="dxa"/>
          </w:tcPr>
          <w:p w14:paraId="0695D9AB" w14:textId="7EC1F0FC" w:rsidR="00DA1715" w:rsidRPr="00C51CF1" w:rsidRDefault="00DA1715" w:rsidP="00DA1715">
            <w:pPr>
              <w:spacing w:line="360" w:lineRule="auto"/>
              <w:jc w:val="both"/>
              <w:rPr>
                <w:rFonts w:ascii="Book Antiqua" w:hAnsi="Book Antiqua" w:cs="Arial"/>
              </w:rPr>
            </w:pPr>
            <w:r w:rsidRPr="00C51CF1">
              <w:rPr>
                <w:rFonts w:ascii="Book Antiqua" w:hAnsi="Book Antiqua" w:cs="Arial"/>
              </w:rPr>
              <w:t xml:space="preserve">Li </w:t>
            </w:r>
            <w:r w:rsidRPr="00C51CF1">
              <w:rPr>
                <w:rFonts w:ascii="Book Antiqua" w:hAnsi="Book Antiqua" w:cs="Arial"/>
                <w:i/>
                <w:iCs/>
              </w:rPr>
              <w:t>et al</w:t>
            </w:r>
            <w:r w:rsidRPr="00C51CF1">
              <w:rPr>
                <w:rFonts w:ascii="Book Antiqua" w:hAnsi="Book Antiqua" w:cs="Arial"/>
                <w:vertAlign w:val="superscript"/>
              </w:rPr>
              <w:t>[95]</w:t>
            </w:r>
          </w:p>
        </w:tc>
      </w:tr>
      <w:tr w:rsidR="00DA1715" w:rsidRPr="00C51CF1" w14:paraId="781BF4E3" w14:textId="77777777" w:rsidTr="00046148">
        <w:tc>
          <w:tcPr>
            <w:tcW w:w="2470" w:type="dxa"/>
          </w:tcPr>
          <w:p w14:paraId="5D88D861" w14:textId="77777777" w:rsidR="00DA1715" w:rsidRPr="00C51CF1" w:rsidRDefault="00DA1715" w:rsidP="00DA1715">
            <w:pPr>
              <w:spacing w:line="360" w:lineRule="auto"/>
              <w:jc w:val="both"/>
              <w:rPr>
                <w:rFonts w:ascii="Book Antiqua" w:hAnsi="Book Antiqua" w:cs="Arial"/>
              </w:rPr>
            </w:pPr>
            <w:r w:rsidRPr="00C51CF1">
              <w:rPr>
                <w:rFonts w:ascii="Book Antiqua" w:hAnsi="Book Antiqua" w:cs="Arial"/>
              </w:rPr>
              <w:t>LAG3</w:t>
            </w:r>
          </w:p>
        </w:tc>
        <w:tc>
          <w:tcPr>
            <w:tcW w:w="2550" w:type="dxa"/>
          </w:tcPr>
          <w:p w14:paraId="65E1F36D" w14:textId="77777777" w:rsidR="00DA1715" w:rsidRPr="00C51CF1" w:rsidRDefault="00DA1715" w:rsidP="00DA1715">
            <w:pPr>
              <w:spacing w:line="360" w:lineRule="auto"/>
              <w:jc w:val="both"/>
              <w:rPr>
                <w:rFonts w:ascii="Book Antiqua" w:hAnsi="Book Antiqua" w:cs="Arial"/>
              </w:rPr>
            </w:pPr>
            <w:r w:rsidRPr="00C51CF1">
              <w:rPr>
                <w:rFonts w:ascii="Book Antiqua" w:hAnsi="Book Antiqua" w:cs="Arial"/>
              </w:rPr>
              <w:t>MHC class II</w:t>
            </w:r>
          </w:p>
          <w:p w14:paraId="284495E9" w14:textId="77777777" w:rsidR="00DA1715" w:rsidRPr="00C51CF1" w:rsidRDefault="00DA1715" w:rsidP="00DA1715">
            <w:pPr>
              <w:spacing w:line="360" w:lineRule="auto"/>
              <w:jc w:val="both"/>
              <w:rPr>
                <w:rFonts w:ascii="Book Antiqua" w:hAnsi="Book Antiqua" w:cs="Arial"/>
              </w:rPr>
            </w:pPr>
            <w:r w:rsidRPr="00C51CF1">
              <w:rPr>
                <w:rFonts w:ascii="Book Antiqua" w:hAnsi="Book Antiqua" w:cs="Arial"/>
              </w:rPr>
              <w:t>molecules</w:t>
            </w:r>
          </w:p>
        </w:tc>
        <w:tc>
          <w:tcPr>
            <w:tcW w:w="2641" w:type="dxa"/>
          </w:tcPr>
          <w:p w14:paraId="6A37C20A" w14:textId="4AC275E8" w:rsidR="00DA1715" w:rsidRPr="00C51CF1" w:rsidRDefault="00DA1715" w:rsidP="00DA1715">
            <w:pPr>
              <w:spacing w:line="360" w:lineRule="auto"/>
              <w:jc w:val="both"/>
              <w:rPr>
                <w:rFonts w:ascii="Book Antiqua" w:hAnsi="Book Antiqua" w:cs="Arial"/>
              </w:rPr>
            </w:pPr>
            <w:r w:rsidRPr="00C51CF1">
              <w:rPr>
                <w:rFonts w:ascii="Book Antiqua" w:hAnsi="Book Antiqua" w:cs="Arial"/>
              </w:rPr>
              <w:t>Cabrera</w:t>
            </w:r>
            <w:r w:rsidRPr="00C51CF1">
              <w:rPr>
                <w:rFonts w:ascii="Book Antiqua" w:hAnsi="Book Antiqua" w:cs="Arial"/>
                <w:i/>
                <w:iCs/>
              </w:rPr>
              <w:t xml:space="preserve"> et al</w:t>
            </w:r>
            <w:r w:rsidRPr="00C51CF1">
              <w:rPr>
                <w:rFonts w:ascii="Book Antiqua" w:hAnsi="Book Antiqua" w:cs="Arial"/>
                <w:vertAlign w:val="superscript"/>
              </w:rPr>
              <w:t>[96]</w:t>
            </w:r>
          </w:p>
        </w:tc>
      </w:tr>
      <w:tr w:rsidR="00DA1715" w:rsidRPr="00C51CF1" w14:paraId="70F8DA34" w14:textId="77777777" w:rsidTr="00046148">
        <w:tc>
          <w:tcPr>
            <w:tcW w:w="5020" w:type="dxa"/>
            <w:gridSpan w:val="2"/>
          </w:tcPr>
          <w:p w14:paraId="638EA0F3" w14:textId="77777777" w:rsidR="00DA1715" w:rsidRPr="00C51CF1" w:rsidRDefault="00DA1715" w:rsidP="00DA1715">
            <w:pPr>
              <w:spacing w:line="360" w:lineRule="auto"/>
              <w:jc w:val="both"/>
              <w:rPr>
                <w:rFonts w:ascii="Book Antiqua" w:hAnsi="Book Antiqua" w:cs="Arial"/>
                <w:b/>
                <w:bCs/>
              </w:rPr>
            </w:pPr>
            <w:bookmarkStart w:id="7" w:name="_Hlk70527241"/>
            <w:r w:rsidRPr="00C51CF1">
              <w:rPr>
                <w:rFonts w:ascii="Book Antiqua" w:hAnsi="Book Antiqua" w:cs="Arial"/>
                <w:b/>
                <w:bCs/>
              </w:rPr>
              <w:t>Treg</w:t>
            </w:r>
            <w:bookmarkEnd w:id="7"/>
            <w:r w:rsidRPr="00C51CF1">
              <w:rPr>
                <w:rFonts w:ascii="Book Antiqua" w:hAnsi="Book Antiqua" w:cs="Arial"/>
                <w:b/>
                <w:bCs/>
              </w:rPr>
              <w:t xml:space="preserve"> recruitment in HCC</w:t>
            </w:r>
          </w:p>
        </w:tc>
        <w:tc>
          <w:tcPr>
            <w:tcW w:w="2641" w:type="dxa"/>
          </w:tcPr>
          <w:p w14:paraId="239D9F66" w14:textId="69EC1322" w:rsidR="00DA1715" w:rsidRPr="00C51CF1" w:rsidRDefault="00DA1715" w:rsidP="00DA1715">
            <w:pPr>
              <w:spacing w:line="360" w:lineRule="auto"/>
              <w:jc w:val="both"/>
              <w:rPr>
                <w:rFonts w:ascii="Book Antiqua" w:hAnsi="Book Antiqua" w:cs="Arial"/>
                <w:b/>
                <w:bCs/>
              </w:rPr>
            </w:pPr>
            <w:r w:rsidRPr="00C51CF1">
              <w:rPr>
                <w:rFonts w:ascii="Book Antiqua" w:hAnsi="Book Antiqua" w:cs="Arial"/>
                <w:b/>
                <w:bCs/>
                <w:color w:val="000000" w:themeColor="text1"/>
              </w:rPr>
              <w:t>Ref.</w:t>
            </w:r>
          </w:p>
        </w:tc>
      </w:tr>
      <w:tr w:rsidR="00DA1715" w:rsidRPr="00C51CF1" w14:paraId="79B0B7DF" w14:textId="77777777" w:rsidTr="00046148">
        <w:tc>
          <w:tcPr>
            <w:tcW w:w="2470" w:type="dxa"/>
          </w:tcPr>
          <w:p w14:paraId="15D7E80A" w14:textId="77777777" w:rsidR="00DA1715" w:rsidRPr="00C51CF1" w:rsidRDefault="00DA1715" w:rsidP="00DA1715">
            <w:pPr>
              <w:spacing w:line="360" w:lineRule="auto"/>
              <w:jc w:val="both"/>
              <w:rPr>
                <w:rFonts w:ascii="Book Antiqua" w:hAnsi="Book Antiqua" w:cs="Arial"/>
                <w:b/>
                <w:bCs/>
                <w:color w:val="000000" w:themeColor="text1"/>
              </w:rPr>
            </w:pPr>
            <w:r w:rsidRPr="00C51CF1">
              <w:rPr>
                <w:rFonts w:ascii="Book Antiqua" w:hAnsi="Book Antiqua" w:cs="Arial"/>
                <w:b/>
                <w:bCs/>
                <w:color w:val="000000" w:themeColor="text1"/>
              </w:rPr>
              <w:t>Molecule</w:t>
            </w:r>
          </w:p>
        </w:tc>
        <w:tc>
          <w:tcPr>
            <w:tcW w:w="2550" w:type="dxa"/>
          </w:tcPr>
          <w:p w14:paraId="16ED97E2" w14:textId="77777777" w:rsidR="00DA1715" w:rsidRPr="00C51CF1" w:rsidRDefault="00DA1715" w:rsidP="00DA1715">
            <w:pPr>
              <w:spacing w:line="360" w:lineRule="auto"/>
              <w:jc w:val="both"/>
              <w:rPr>
                <w:rFonts w:ascii="Book Antiqua" w:hAnsi="Book Antiqua" w:cs="Arial"/>
                <w:b/>
                <w:bCs/>
                <w:color w:val="000000" w:themeColor="text1"/>
              </w:rPr>
            </w:pPr>
            <w:r w:rsidRPr="00C51CF1">
              <w:rPr>
                <w:rFonts w:ascii="Book Antiqua" w:hAnsi="Book Antiqua" w:cs="Arial"/>
                <w:b/>
                <w:bCs/>
                <w:color w:val="000000" w:themeColor="text1"/>
              </w:rPr>
              <w:t>Receptor</w:t>
            </w:r>
          </w:p>
        </w:tc>
        <w:tc>
          <w:tcPr>
            <w:tcW w:w="2641" w:type="dxa"/>
          </w:tcPr>
          <w:p w14:paraId="33E8812F" w14:textId="77777777" w:rsidR="00DA1715" w:rsidRPr="00C51CF1" w:rsidRDefault="00DA1715" w:rsidP="00DA1715">
            <w:pPr>
              <w:spacing w:line="360" w:lineRule="auto"/>
              <w:jc w:val="both"/>
              <w:rPr>
                <w:rFonts w:ascii="Book Antiqua" w:hAnsi="Book Antiqua" w:cs="Arial"/>
                <w:b/>
                <w:bCs/>
                <w:color w:val="000000" w:themeColor="text1"/>
              </w:rPr>
            </w:pPr>
          </w:p>
        </w:tc>
      </w:tr>
      <w:tr w:rsidR="00DA1715" w:rsidRPr="00C51CF1" w14:paraId="41B7094B" w14:textId="77777777" w:rsidTr="00046148">
        <w:tc>
          <w:tcPr>
            <w:tcW w:w="2470" w:type="dxa"/>
          </w:tcPr>
          <w:p w14:paraId="0B8AD103" w14:textId="77777777" w:rsidR="00DA1715" w:rsidRPr="00C51CF1" w:rsidRDefault="00DA1715" w:rsidP="00DA1715">
            <w:pPr>
              <w:spacing w:line="360" w:lineRule="auto"/>
              <w:jc w:val="both"/>
              <w:rPr>
                <w:rFonts w:ascii="Book Antiqua" w:hAnsi="Book Antiqua" w:cs="Arial"/>
              </w:rPr>
            </w:pPr>
            <w:r w:rsidRPr="00C51CF1">
              <w:rPr>
                <w:rFonts w:ascii="Book Antiqua" w:hAnsi="Book Antiqua" w:cs="Arial"/>
              </w:rPr>
              <w:t>CCL22</w:t>
            </w:r>
          </w:p>
        </w:tc>
        <w:tc>
          <w:tcPr>
            <w:tcW w:w="2550" w:type="dxa"/>
          </w:tcPr>
          <w:p w14:paraId="67812240" w14:textId="77777777" w:rsidR="00DA1715" w:rsidRPr="00C51CF1" w:rsidRDefault="00DA1715" w:rsidP="00DA1715">
            <w:pPr>
              <w:spacing w:line="360" w:lineRule="auto"/>
              <w:jc w:val="both"/>
              <w:rPr>
                <w:rFonts w:ascii="Book Antiqua" w:hAnsi="Book Antiqua" w:cs="Arial"/>
              </w:rPr>
            </w:pPr>
            <w:r w:rsidRPr="00C51CF1">
              <w:rPr>
                <w:rFonts w:ascii="Book Antiqua" w:hAnsi="Book Antiqua" w:cs="Arial"/>
              </w:rPr>
              <w:t>CCR4</w:t>
            </w:r>
          </w:p>
        </w:tc>
        <w:tc>
          <w:tcPr>
            <w:tcW w:w="2641" w:type="dxa"/>
          </w:tcPr>
          <w:p w14:paraId="600BDA00" w14:textId="64E21949" w:rsidR="00DA1715" w:rsidRPr="00C51CF1" w:rsidRDefault="00DA1715" w:rsidP="00DA1715">
            <w:pPr>
              <w:spacing w:line="360" w:lineRule="auto"/>
              <w:jc w:val="both"/>
              <w:rPr>
                <w:rFonts w:ascii="Book Antiqua" w:hAnsi="Book Antiqua" w:cs="Arial"/>
              </w:rPr>
            </w:pPr>
            <w:r w:rsidRPr="00C51CF1">
              <w:rPr>
                <w:rFonts w:ascii="Book Antiqua" w:hAnsi="Book Antiqua" w:cs="Arial"/>
              </w:rPr>
              <w:t xml:space="preserve">Li </w:t>
            </w:r>
            <w:r w:rsidRPr="00C51CF1">
              <w:rPr>
                <w:rFonts w:ascii="Book Antiqua" w:hAnsi="Book Antiqua" w:cs="Arial"/>
                <w:i/>
                <w:iCs/>
              </w:rPr>
              <w:t>et al</w:t>
            </w:r>
            <w:r w:rsidRPr="00C51CF1">
              <w:rPr>
                <w:rFonts w:ascii="Book Antiqua" w:hAnsi="Book Antiqua" w:cs="Arial"/>
                <w:vertAlign w:val="superscript"/>
              </w:rPr>
              <w:t>[97]</w:t>
            </w:r>
          </w:p>
        </w:tc>
      </w:tr>
      <w:tr w:rsidR="00DA1715" w:rsidRPr="00C51CF1" w14:paraId="198BDFD5" w14:textId="77777777" w:rsidTr="00DA1715">
        <w:tc>
          <w:tcPr>
            <w:tcW w:w="2470" w:type="dxa"/>
          </w:tcPr>
          <w:p w14:paraId="25EC4D2D" w14:textId="77777777" w:rsidR="00DA1715" w:rsidRPr="00C51CF1" w:rsidRDefault="00DA1715" w:rsidP="00DA1715">
            <w:pPr>
              <w:spacing w:line="360" w:lineRule="auto"/>
              <w:jc w:val="both"/>
              <w:rPr>
                <w:rFonts w:ascii="Book Antiqua" w:hAnsi="Book Antiqua" w:cs="Arial"/>
              </w:rPr>
            </w:pPr>
            <w:r w:rsidRPr="00C51CF1">
              <w:rPr>
                <w:rFonts w:ascii="Book Antiqua" w:hAnsi="Book Antiqua" w:cs="Arial"/>
              </w:rPr>
              <w:t>CCL5</w:t>
            </w:r>
          </w:p>
        </w:tc>
        <w:tc>
          <w:tcPr>
            <w:tcW w:w="2550" w:type="dxa"/>
          </w:tcPr>
          <w:p w14:paraId="75598366" w14:textId="77777777" w:rsidR="00DA1715" w:rsidRPr="00C51CF1" w:rsidRDefault="00DA1715" w:rsidP="00DA1715">
            <w:pPr>
              <w:spacing w:line="360" w:lineRule="auto"/>
              <w:jc w:val="both"/>
              <w:rPr>
                <w:rFonts w:ascii="Book Antiqua" w:hAnsi="Book Antiqua" w:cs="Arial"/>
              </w:rPr>
            </w:pPr>
            <w:r w:rsidRPr="00C51CF1">
              <w:rPr>
                <w:rFonts w:ascii="Book Antiqua" w:hAnsi="Book Antiqua" w:cs="Arial"/>
              </w:rPr>
              <w:t>CCR5</w:t>
            </w:r>
          </w:p>
        </w:tc>
        <w:tc>
          <w:tcPr>
            <w:tcW w:w="2641" w:type="dxa"/>
          </w:tcPr>
          <w:p w14:paraId="0612C7E9" w14:textId="3AE9EF4A" w:rsidR="00DA1715" w:rsidRPr="00C51CF1" w:rsidRDefault="00DA1715" w:rsidP="00DA1715">
            <w:pPr>
              <w:spacing w:line="360" w:lineRule="auto"/>
              <w:jc w:val="both"/>
              <w:rPr>
                <w:rFonts w:ascii="Book Antiqua" w:hAnsi="Book Antiqua" w:cs="Arial"/>
              </w:rPr>
            </w:pPr>
            <w:r w:rsidRPr="00C51CF1">
              <w:rPr>
                <w:rFonts w:ascii="Book Antiqua" w:hAnsi="Book Antiqua" w:cs="Arial"/>
              </w:rPr>
              <w:t>Cheng</w:t>
            </w:r>
            <w:r w:rsidRPr="00C51CF1">
              <w:rPr>
                <w:rFonts w:ascii="Book Antiqua" w:hAnsi="Book Antiqua" w:cs="Arial"/>
                <w:i/>
                <w:iCs/>
              </w:rPr>
              <w:t xml:space="preserve"> et al</w:t>
            </w:r>
            <w:r w:rsidRPr="00C51CF1">
              <w:rPr>
                <w:rFonts w:ascii="Book Antiqua" w:hAnsi="Book Antiqua" w:cs="Arial"/>
                <w:vertAlign w:val="superscript"/>
              </w:rPr>
              <w:t>[98]</w:t>
            </w:r>
          </w:p>
        </w:tc>
      </w:tr>
      <w:tr w:rsidR="00DA1715" w:rsidRPr="00C51CF1" w14:paraId="2BD0C841" w14:textId="77777777" w:rsidTr="00DA1715">
        <w:tc>
          <w:tcPr>
            <w:tcW w:w="2470" w:type="dxa"/>
            <w:tcBorders>
              <w:bottom w:val="single" w:sz="4" w:space="0" w:color="auto"/>
            </w:tcBorders>
          </w:tcPr>
          <w:p w14:paraId="2616ABF9" w14:textId="77777777" w:rsidR="00DA1715" w:rsidRPr="00C51CF1" w:rsidRDefault="00DA1715" w:rsidP="00DA1715">
            <w:pPr>
              <w:spacing w:line="360" w:lineRule="auto"/>
              <w:jc w:val="both"/>
              <w:rPr>
                <w:rFonts w:ascii="Book Antiqua" w:hAnsi="Book Antiqua" w:cs="Arial"/>
              </w:rPr>
            </w:pPr>
            <w:r w:rsidRPr="00C51CF1">
              <w:rPr>
                <w:rFonts w:ascii="Book Antiqua" w:hAnsi="Book Antiqua" w:cs="Arial"/>
              </w:rPr>
              <w:t>CCL28</w:t>
            </w:r>
          </w:p>
        </w:tc>
        <w:tc>
          <w:tcPr>
            <w:tcW w:w="2550" w:type="dxa"/>
            <w:tcBorders>
              <w:bottom w:val="single" w:sz="4" w:space="0" w:color="auto"/>
            </w:tcBorders>
          </w:tcPr>
          <w:p w14:paraId="4ED02EC5" w14:textId="77777777" w:rsidR="00DA1715" w:rsidRPr="00C51CF1" w:rsidRDefault="00DA1715" w:rsidP="00DA1715">
            <w:pPr>
              <w:spacing w:line="360" w:lineRule="auto"/>
              <w:jc w:val="both"/>
              <w:rPr>
                <w:rFonts w:ascii="Book Antiqua" w:hAnsi="Book Antiqua" w:cs="Arial"/>
              </w:rPr>
            </w:pPr>
            <w:r w:rsidRPr="00C51CF1">
              <w:rPr>
                <w:rFonts w:ascii="Book Antiqua" w:hAnsi="Book Antiqua" w:cs="Arial"/>
              </w:rPr>
              <w:t>CCR3, CCR10</w:t>
            </w:r>
          </w:p>
        </w:tc>
        <w:tc>
          <w:tcPr>
            <w:tcW w:w="2641" w:type="dxa"/>
            <w:tcBorders>
              <w:bottom w:val="single" w:sz="4" w:space="0" w:color="auto"/>
            </w:tcBorders>
          </w:tcPr>
          <w:p w14:paraId="239F2811" w14:textId="0529606A" w:rsidR="00DA1715" w:rsidRPr="00C51CF1" w:rsidRDefault="00DA1715" w:rsidP="00DA1715">
            <w:pPr>
              <w:spacing w:line="360" w:lineRule="auto"/>
              <w:jc w:val="both"/>
              <w:rPr>
                <w:rFonts w:ascii="Book Antiqua" w:hAnsi="Book Antiqua" w:cs="Arial"/>
              </w:rPr>
            </w:pPr>
            <w:r w:rsidRPr="00C51CF1">
              <w:rPr>
                <w:rFonts w:ascii="Book Antiqua" w:hAnsi="Book Antiqua" w:cs="Arial"/>
              </w:rPr>
              <w:t>Singh</w:t>
            </w:r>
            <w:r w:rsidRPr="00C51CF1">
              <w:rPr>
                <w:rFonts w:ascii="Book Antiqua" w:hAnsi="Book Antiqua" w:cs="Arial"/>
                <w:i/>
                <w:iCs/>
              </w:rPr>
              <w:t xml:space="preserve"> et al</w:t>
            </w:r>
            <w:r w:rsidRPr="00C51CF1">
              <w:rPr>
                <w:rFonts w:ascii="Book Antiqua" w:hAnsi="Book Antiqua" w:cs="Arial"/>
                <w:vertAlign w:val="superscript"/>
              </w:rPr>
              <w:t>[99]</w:t>
            </w:r>
          </w:p>
        </w:tc>
      </w:tr>
    </w:tbl>
    <w:p w14:paraId="1543E52B" w14:textId="0B4638E2" w:rsidR="00DA1715" w:rsidRPr="00C51CF1" w:rsidRDefault="00DA1715" w:rsidP="00DA1715">
      <w:pPr>
        <w:spacing w:line="360" w:lineRule="auto"/>
        <w:jc w:val="both"/>
        <w:rPr>
          <w:rFonts w:ascii="Book Antiqua" w:eastAsia="Book Antiqua" w:hAnsi="Book Antiqua" w:cs="Book Antiqua"/>
          <w:color w:val="000000"/>
        </w:rPr>
      </w:pPr>
      <w:r w:rsidRPr="00C51CF1">
        <w:rPr>
          <w:rFonts w:ascii="Book Antiqua" w:hAnsi="Book Antiqua"/>
        </w:rPr>
        <w:t xml:space="preserve">CTLA-4: Cytotoxic T lymphocyte-associated antigen 4; LAG3: Lymphocyte activation gene 3 protein; </w:t>
      </w:r>
      <w:r w:rsidRPr="00C51CF1">
        <w:rPr>
          <w:rFonts w:ascii="Book Antiqua" w:eastAsia="Book Antiqua" w:hAnsi="Book Antiqua" w:cs="Book Antiqua"/>
          <w:color w:val="000000"/>
        </w:rPr>
        <w:t>IL: Interleukin; TGF-β: Transforming growth factor β</w:t>
      </w:r>
      <w:r w:rsidR="005A3F1F" w:rsidRPr="00C51CF1">
        <w:rPr>
          <w:rFonts w:ascii="Book Antiqua" w:eastAsia="Book Antiqua" w:hAnsi="Book Antiqua" w:cs="Book Antiqua"/>
          <w:color w:val="000000"/>
        </w:rPr>
        <w:t>; Treg: Regulatory T cell; HCC: Hepatocellular carcinoma.</w:t>
      </w:r>
    </w:p>
    <w:p w14:paraId="5EE5C0B2" w14:textId="1EA773B4" w:rsidR="005A3F1F" w:rsidRPr="00C51CF1" w:rsidRDefault="005A3F1F" w:rsidP="00DA1715">
      <w:pPr>
        <w:spacing w:line="360" w:lineRule="auto"/>
        <w:jc w:val="both"/>
        <w:rPr>
          <w:rFonts w:ascii="Book Antiqua" w:hAnsi="Book Antiqua" w:cs="Book Antiqua"/>
          <w:color w:val="000000"/>
        </w:rPr>
        <w:sectPr w:rsidR="005A3F1F" w:rsidRPr="00C51CF1">
          <w:pgSz w:w="12240" w:h="15840"/>
          <w:pgMar w:top="1440" w:right="1440" w:bottom="1440" w:left="1440" w:header="720" w:footer="720" w:gutter="0"/>
          <w:cols w:space="720"/>
          <w:docGrid w:linePitch="360"/>
        </w:sectPr>
      </w:pPr>
    </w:p>
    <w:p w14:paraId="16884DB9" w14:textId="013163AC" w:rsidR="00DA1715" w:rsidRPr="00C51CF1" w:rsidRDefault="00DA1715" w:rsidP="00DA1715">
      <w:pPr>
        <w:spacing w:line="360" w:lineRule="auto"/>
        <w:jc w:val="both"/>
        <w:rPr>
          <w:rFonts w:ascii="Book Antiqua" w:eastAsia="Book Antiqua" w:hAnsi="Book Antiqua" w:cs="Book Antiqua"/>
          <w:b/>
          <w:bCs/>
          <w:color w:val="000000"/>
        </w:rPr>
      </w:pPr>
      <w:r w:rsidRPr="00C51CF1">
        <w:rPr>
          <w:rFonts w:ascii="Book Antiqua" w:eastAsia="Book Antiqua" w:hAnsi="Book Antiqua" w:cs="Book Antiqua"/>
          <w:b/>
          <w:bCs/>
          <w:color w:val="000000"/>
        </w:rPr>
        <w:t>Table 2 Clinical trials assessing immune cell populations as study outcome</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9"/>
        <w:gridCol w:w="3791"/>
        <w:gridCol w:w="1035"/>
        <w:gridCol w:w="1498"/>
        <w:gridCol w:w="3685"/>
        <w:gridCol w:w="1358"/>
      </w:tblGrid>
      <w:tr w:rsidR="005A3F1F" w:rsidRPr="00C51CF1" w14:paraId="40B59154" w14:textId="77777777" w:rsidTr="005A3F1F">
        <w:tc>
          <w:tcPr>
            <w:tcW w:w="1809" w:type="dxa"/>
            <w:tcBorders>
              <w:top w:val="single" w:sz="4" w:space="0" w:color="auto"/>
              <w:bottom w:val="single" w:sz="4" w:space="0" w:color="auto"/>
            </w:tcBorders>
          </w:tcPr>
          <w:p w14:paraId="6DC3E415" w14:textId="31DC4C47" w:rsidR="005A3F1F" w:rsidRPr="00C51CF1" w:rsidRDefault="005A3F1F" w:rsidP="005A3F1F">
            <w:pPr>
              <w:spacing w:line="360" w:lineRule="auto"/>
              <w:jc w:val="both"/>
              <w:rPr>
                <w:rFonts w:ascii="Book Antiqua" w:hAnsi="Book Antiqua" w:cs="Arial"/>
                <w:b/>
                <w:bCs/>
              </w:rPr>
            </w:pPr>
            <w:r w:rsidRPr="00C51CF1">
              <w:rPr>
                <w:rFonts w:ascii="Book Antiqua" w:hAnsi="Book Antiqua" w:cs="Arial"/>
                <w:b/>
                <w:bCs/>
                <w:color w:val="000000"/>
                <w:shd w:val="clear" w:color="auto" w:fill="FFFFFF"/>
              </w:rPr>
              <w:t>Clinical trials identifier</w:t>
            </w:r>
          </w:p>
        </w:tc>
        <w:tc>
          <w:tcPr>
            <w:tcW w:w="3791" w:type="dxa"/>
            <w:tcBorders>
              <w:top w:val="single" w:sz="4" w:space="0" w:color="auto"/>
              <w:bottom w:val="single" w:sz="4" w:space="0" w:color="auto"/>
            </w:tcBorders>
          </w:tcPr>
          <w:p w14:paraId="0F11F0EB" w14:textId="6CAE34C3" w:rsidR="005A3F1F" w:rsidRPr="00C51CF1" w:rsidRDefault="005A3F1F" w:rsidP="005A3F1F">
            <w:pPr>
              <w:spacing w:line="360" w:lineRule="auto"/>
              <w:jc w:val="both"/>
              <w:rPr>
                <w:rFonts w:ascii="Book Antiqua" w:hAnsi="Book Antiqua" w:cs="Arial"/>
                <w:b/>
                <w:bCs/>
              </w:rPr>
            </w:pPr>
            <w:r w:rsidRPr="00C51CF1">
              <w:rPr>
                <w:rFonts w:ascii="Book Antiqua" w:hAnsi="Book Antiqua" w:cs="Arial"/>
                <w:b/>
                <w:bCs/>
                <w:color w:val="000000"/>
                <w:shd w:val="clear" w:color="auto" w:fill="FFFFFF"/>
              </w:rPr>
              <w:t>Official title</w:t>
            </w:r>
          </w:p>
        </w:tc>
        <w:tc>
          <w:tcPr>
            <w:tcW w:w="1035" w:type="dxa"/>
            <w:tcBorders>
              <w:top w:val="single" w:sz="4" w:space="0" w:color="auto"/>
              <w:bottom w:val="single" w:sz="4" w:space="0" w:color="auto"/>
            </w:tcBorders>
          </w:tcPr>
          <w:p w14:paraId="3E542171" w14:textId="77777777" w:rsidR="005A3F1F" w:rsidRPr="00C51CF1" w:rsidRDefault="005A3F1F" w:rsidP="005A3F1F">
            <w:pPr>
              <w:spacing w:line="360" w:lineRule="auto"/>
              <w:jc w:val="both"/>
              <w:rPr>
                <w:rFonts w:ascii="Book Antiqua" w:hAnsi="Book Antiqua" w:cs="Arial"/>
                <w:b/>
                <w:bCs/>
              </w:rPr>
            </w:pPr>
            <w:r w:rsidRPr="00C51CF1">
              <w:rPr>
                <w:rFonts w:ascii="Book Antiqua" w:hAnsi="Book Antiqua" w:cs="Arial"/>
                <w:b/>
                <w:bCs/>
              </w:rPr>
              <w:t>Phase</w:t>
            </w:r>
          </w:p>
        </w:tc>
        <w:tc>
          <w:tcPr>
            <w:tcW w:w="1498" w:type="dxa"/>
            <w:tcBorders>
              <w:top w:val="single" w:sz="4" w:space="0" w:color="auto"/>
              <w:bottom w:val="single" w:sz="4" w:space="0" w:color="auto"/>
            </w:tcBorders>
          </w:tcPr>
          <w:p w14:paraId="3C93BD20" w14:textId="77777777" w:rsidR="005A3F1F" w:rsidRPr="00C51CF1" w:rsidRDefault="005A3F1F" w:rsidP="005A3F1F">
            <w:pPr>
              <w:spacing w:line="360" w:lineRule="auto"/>
              <w:jc w:val="both"/>
              <w:rPr>
                <w:rFonts w:ascii="Book Antiqua" w:hAnsi="Book Antiqua" w:cs="Arial"/>
                <w:b/>
                <w:bCs/>
              </w:rPr>
            </w:pPr>
            <w:r w:rsidRPr="00C51CF1">
              <w:rPr>
                <w:rFonts w:ascii="Book Antiqua" w:hAnsi="Book Antiqua" w:cs="Arial"/>
                <w:b/>
                <w:bCs/>
              </w:rPr>
              <w:t>Secondary outcome</w:t>
            </w:r>
          </w:p>
        </w:tc>
        <w:tc>
          <w:tcPr>
            <w:tcW w:w="3685" w:type="dxa"/>
            <w:tcBorders>
              <w:top w:val="single" w:sz="4" w:space="0" w:color="auto"/>
              <w:bottom w:val="single" w:sz="4" w:space="0" w:color="auto"/>
            </w:tcBorders>
          </w:tcPr>
          <w:p w14:paraId="0ACB3CA2" w14:textId="77777777" w:rsidR="005A3F1F" w:rsidRPr="00C51CF1" w:rsidRDefault="005A3F1F" w:rsidP="005A3F1F">
            <w:pPr>
              <w:spacing w:line="360" w:lineRule="auto"/>
              <w:jc w:val="both"/>
              <w:rPr>
                <w:rFonts w:ascii="Book Antiqua" w:hAnsi="Book Antiqua" w:cs="Arial"/>
                <w:b/>
                <w:bCs/>
              </w:rPr>
            </w:pPr>
            <w:r w:rsidRPr="00C51CF1">
              <w:rPr>
                <w:rFonts w:ascii="Book Antiqua" w:hAnsi="Book Antiqua" w:cs="Arial"/>
                <w:b/>
                <w:bCs/>
              </w:rPr>
              <w:t>Intervention/treatment</w:t>
            </w:r>
          </w:p>
        </w:tc>
        <w:tc>
          <w:tcPr>
            <w:tcW w:w="1358" w:type="dxa"/>
            <w:tcBorders>
              <w:top w:val="single" w:sz="4" w:space="0" w:color="auto"/>
              <w:bottom w:val="single" w:sz="4" w:space="0" w:color="auto"/>
            </w:tcBorders>
          </w:tcPr>
          <w:p w14:paraId="31E1DBAF" w14:textId="77777777" w:rsidR="005A3F1F" w:rsidRPr="00C51CF1" w:rsidRDefault="005A3F1F" w:rsidP="005A3F1F">
            <w:pPr>
              <w:spacing w:line="360" w:lineRule="auto"/>
              <w:jc w:val="both"/>
              <w:rPr>
                <w:rFonts w:ascii="Book Antiqua" w:hAnsi="Book Antiqua" w:cs="Arial"/>
              </w:rPr>
            </w:pPr>
            <w:r w:rsidRPr="00C51CF1">
              <w:rPr>
                <w:rFonts w:ascii="Book Antiqua" w:hAnsi="Book Antiqua" w:cs="Arial"/>
                <w:b/>
                <w:bCs/>
              </w:rPr>
              <w:t>Status</w:t>
            </w:r>
          </w:p>
        </w:tc>
      </w:tr>
      <w:tr w:rsidR="005A3F1F" w:rsidRPr="00C51CF1" w14:paraId="0AFF33B6" w14:textId="77777777" w:rsidTr="005A3F1F">
        <w:tc>
          <w:tcPr>
            <w:tcW w:w="1809" w:type="dxa"/>
            <w:tcBorders>
              <w:top w:val="single" w:sz="4" w:space="0" w:color="auto"/>
            </w:tcBorders>
          </w:tcPr>
          <w:p w14:paraId="10952BAB" w14:textId="77777777" w:rsidR="005A3F1F" w:rsidRPr="00C51CF1" w:rsidRDefault="005A3F1F" w:rsidP="005A3F1F">
            <w:pPr>
              <w:spacing w:line="360" w:lineRule="auto"/>
              <w:jc w:val="both"/>
              <w:rPr>
                <w:rFonts w:ascii="Book Antiqua" w:hAnsi="Book Antiqua" w:cs="Arial"/>
              </w:rPr>
            </w:pPr>
            <w:r w:rsidRPr="00C51CF1">
              <w:rPr>
                <w:rFonts w:ascii="Book Antiqua" w:hAnsi="Book Antiqua" w:cs="Arial"/>
                <w:color w:val="000000"/>
                <w:shd w:val="clear" w:color="auto" w:fill="FFFFFF"/>
              </w:rPr>
              <w:t>NCT04518774</w:t>
            </w:r>
          </w:p>
        </w:tc>
        <w:tc>
          <w:tcPr>
            <w:tcW w:w="3791" w:type="dxa"/>
            <w:tcBorders>
              <w:top w:val="single" w:sz="4" w:space="0" w:color="auto"/>
            </w:tcBorders>
          </w:tcPr>
          <w:p w14:paraId="45B90507" w14:textId="45EE945A" w:rsidR="005A3F1F" w:rsidRPr="00C51CF1" w:rsidRDefault="005A3F1F" w:rsidP="005A3F1F">
            <w:pPr>
              <w:spacing w:line="360" w:lineRule="auto"/>
              <w:jc w:val="both"/>
              <w:rPr>
                <w:rFonts w:ascii="Book Antiqua" w:hAnsi="Book Antiqua" w:cs="Arial"/>
              </w:rPr>
            </w:pPr>
            <w:r w:rsidRPr="00C51CF1">
              <w:rPr>
                <w:rFonts w:ascii="Book Antiqua" w:hAnsi="Book Antiqua" w:cs="Arial"/>
              </w:rPr>
              <w:t xml:space="preserve">The safety assessment of </w:t>
            </w:r>
            <w:r w:rsidRPr="00C51CF1">
              <w:rPr>
                <w:rFonts w:ascii="Book Antiqua" w:hAnsi="Book Antiqua" w:cs="Arial"/>
                <w:i/>
                <w:iCs/>
              </w:rPr>
              <w:t>ex vivo</w:t>
            </w:r>
            <w:r w:rsidRPr="00C51CF1">
              <w:rPr>
                <w:rFonts w:ascii="Book Antiqua" w:hAnsi="Book Antiqua" w:cs="Arial"/>
              </w:rPr>
              <w:t xml:space="preserve"> expanded allogeneic γδT cells in hepatocellular carcinoma patients in phase 1 clinical trial</w:t>
            </w:r>
          </w:p>
        </w:tc>
        <w:tc>
          <w:tcPr>
            <w:tcW w:w="1035" w:type="dxa"/>
            <w:tcBorders>
              <w:top w:val="single" w:sz="4" w:space="0" w:color="auto"/>
            </w:tcBorders>
          </w:tcPr>
          <w:p w14:paraId="6602C970" w14:textId="77777777" w:rsidR="005A3F1F" w:rsidRPr="00C51CF1" w:rsidRDefault="005A3F1F" w:rsidP="005A3F1F">
            <w:pPr>
              <w:spacing w:line="360" w:lineRule="auto"/>
              <w:jc w:val="both"/>
              <w:rPr>
                <w:rFonts w:ascii="Book Antiqua" w:hAnsi="Book Antiqua" w:cs="Arial"/>
              </w:rPr>
            </w:pPr>
            <w:r w:rsidRPr="00C51CF1">
              <w:rPr>
                <w:rFonts w:ascii="Book Antiqua" w:hAnsi="Book Antiqua" w:cs="Arial"/>
              </w:rPr>
              <w:t>I</w:t>
            </w:r>
          </w:p>
        </w:tc>
        <w:tc>
          <w:tcPr>
            <w:tcW w:w="1498" w:type="dxa"/>
            <w:tcBorders>
              <w:top w:val="single" w:sz="4" w:space="0" w:color="auto"/>
            </w:tcBorders>
          </w:tcPr>
          <w:p w14:paraId="13F6BD1C" w14:textId="77777777" w:rsidR="005A3F1F" w:rsidRPr="00C51CF1" w:rsidRDefault="005A3F1F" w:rsidP="005A3F1F">
            <w:pPr>
              <w:spacing w:line="360" w:lineRule="auto"/>
              <w:jc w:val="both"/>
              <w:rPr>
                <w:rFonts w:ascii="Book Antiqua" w:hAnsi="Book Antiqua" w:cs="Arial"/>
              </w:rPr>
            </w:pPr>
            <w:r w:rsidRPr="00C51CF1">
              <w:rPr>
                <w:rFonts w:ascii="Book Antiqua" w:hAnsi="Book Antiqua" w:cs="Arial"/>
                <w:color w:val="000000"/>
                <w:shd w:val="clear" w:color="auto" w:fill="FFFFFF"/>
              </w:rPr>
              <w:t>Number and phenotype of γδT cells in peripheral blood</w:t>
            </w:r>
          </w:p>
        </w:tc>
        <w:tc>
          <w:tcPr>
            <w:tcW w:w="3685" w:type="dxa"/>
            <w:tcBorders>
              <w:top w:val="single" w:sz="4" w:space="0" w:color="auto"/>
            </w:tcBorders>
          </w:tcPr>
          <w:p w14:paraId="7BC19277" w14:textId="482B32B9" w:rsidR="005A3F1F" w:rsidRPr="00C51CF1" w:rsidRDefault="005A3F1F" w:rsidP="005A3F1F">
            <w:pPr>
              <w:pStyle w:val="aa"/>
              <w:spacing w:line="360" w:lineRule="auto"/>
              <w:ind w:left="0"/>
              <w:jc w:val="both"/>
              <w:rPr>
                <w:rFonts w:ascii="Book Antiqua" w:hAnsi="Book Antiqua" w:cs="Arial"/>
              </w:rPr>
            </w:pPr>
            <w:r w:rsidRPr="00C51CF1">
              <w:rPr>
                <w:rFonts w:ascii="Book Antiqua" w:hAnsi="Book Antiqua" w:cs="Arial"/>
                <w:color w:val="000000"/>
                <w:shd w:val="clear" w:color="auto" w:fill="FFFFFF"/>
              </w:rPr>
              <w:t xml:space="preserve">Patients will receive 3 cycles of </w:t>
            </w:r>
            <w:r w:rsidRPr="00C51CF1">
              <w:rPr>
                <w:rFonts w:ascii="Book Antiqua" w:hAnsi="Book Antiqua" w:cs="Arial"/>
                <w:i/>
                <w:iCs/>
                <w:color w:val="000000"/>
                <w:shd w:val="clear" w:color="auto" w:fill="FFFFFF"/>
              </w:rPr>
              <w:t>ex vivo</w:t>
            </w:r>
            <w:r w:rsidRPr="00C51CF1">
              <w:rPr>
                <w:rFonts w:ascii="Book Antiqua" w:hAnsi="Book Antiqua" w:cs="Arial"/>
                <w:color w:val="000000"/>
                <w:shd w:val="clear" w:color="auto" w:fill="FFFFFF"/>
              </w:rPr>
              <w:t xml:space="preserve"> expanded allogeneic γδT cells treatments, at four-weeks' intervals, each cycle has 2 infusions. </w:t>
            </w:r>
            <w:r w:rsidRPr="00C51CF1">
              <w:rPr>
                <w:rFonts w:ascii="Book Antiqua" w:hAnsi="Book Antiqua" w:cs="Arial"/>
                <w:i/>
                <w:iCs/>
                <w:color w:val="000000"/>
                <w:shd w:val="clear" w:color="auto" w:fill="FFFFFF"/>
              </w:rPr>
              <w:t>Ex vivo</w:t>
            </w:r>
            <w:r w:rsidRPr="00C51CF1">
              <w:rPr>
                <w:rFonts w:ascii="Book Antiqua" w:hAnsi="Book Antiqua" w:cs="Arial"/>
                <w:color w:val="000000"/>
                <w:shd w:val="clear" w:color="auto" w:fill="FFFFFF"/>
              </w:rPr>
              <w:t xml:space="preserve"> expanded γδT cells are transfused to patients in a dosage escalated manner (dose escalation, 1 × 10</w:t>
            </w:r>
            <w:r w:rsidRPr="00C51CF1">
              <w:rPr>
                <w:rFonts w:ascii="Book Antiqua" w:hAnsi="Book Antiqua" w:cs="Arial"/>
                <w:color w:val="000000"/>
                <w:shd w:val="clear" w:color="auto" w:fill="FFFFFF"/>
                <w:vertAlign w:val="superscript"/>
              </w:rPr>
              <w:t>7</w:t>
            </w:r>
            <w:r w:rsidRPr="00C51CF1">
              <w:rPr>
                <w:rFonts w:ascii="Book Antiqua" w:hAnsi="Book Antiqua" w:cs="Arial"/>
                <w:color w:val="000000"/>
                <w:shd w:val="clear" w:color="auto" w:fill="FFFFFF"/>
              </w:rPr>
              <w:t>, 3 × 10</w:t>
            </w:r>
            <w:r w:rsidRPr="00C51CF1">
              <w:rPr>
                <w:rFonts w:ascii="Book Antiqua" w:hAnsi="Book Antiqua" w:cs="Arial"/>
                <w:color w:val="000000"/>
                <w:shd w:val="clear" w:color="auto" w:fill="FFFFFF"/>
                <w:vertAlign w:val="superscript"/>
              </w:rPr>
              <w:t>7</w:t>
            </w:r>
            <w:r w:rsidRPr="00C51CF1">
              <w:rPr>
                <w:rFonts w:ascii="Book Antiqua" w:hAnsi="Book Antiqua" w:cs="Arial"/>
                <w:color w:val="000000"/>
                <w:shd w:val="clear" w:color="auto" w:fill="FFFFFF"/>
              </w:rPr>
              <w:t>, 9 × 10</w:t>
            </w:r>
            <w:r w:rsidRPr="00C51CF1">
              <w:rPr>
                <w:rFonts w:ascii="Book Antiqua" w:hAnsi="Book Antiqua" w:cs="Arial"/>
                <w:color w:val="000000"/>
                <w:shd w:val="clear" w:color="auto" w:fill="FFFFFF"/>
                <w:vertAlign w:val="superscript"/>
              </w:rPr>
              <w:t>7</w:t>
            </w:r>
            <w:r w:rsidRPr="00C51CF1">
              <w:rPr>
                <w:rFonts w:ascii="Book Antiqua" w:hAnsi="Book Antiqua" w:cs="Arial"/>
                <w:color w:val="000000"/>
                <w:shd w:val="clear" w:color="auto" w:fill="FFFFFF"/>
              </w:rPr>
              <w:t xml:space="preserve"> per kg of body weight)</w:t>
            </w:r>
          </w:p>
        </w:tc>
        <w:tc>
          <w:tcPr>
            <w:tcW w:w="1358" w:type="dxa"/>
            <w:tcBorders>
              <w:top w:val="single" w:sz="4" w:space="0" w:color="auto"/>
            </w:tcBorders>
          </w:tcPr>
          <w:p w14:paraId="4C1CE161" w14:textId="77777777" w:rsidR="005A3F1F" w:rsidRPr="00C51CF1" w:rsidRDefault="005A3F1F" w:rsidP="005A3F1F">
            <w:pPr>
              <w:spacing w:line="360" w:lineRule="auto"/>
              <w:jc w:val="both"/>
              <w:rPr>
                <w:rFonts w:ascii="Book Antiqua" w:hAnsi="Book Antiqua" w:cs="Arial"/>
              </w:rPr>
            </w:pPr>
            <w:r w:rsidRPr="00C51CF1">
              <w:rPr>
                <w:rFonts w:ascii="Book Antiqua" w:hAnsi="Book Antiqua" w:cs="Arial"/>
              </w:rPr>
              <w:t>Recruiting</w:t>
            </w:r>
          </w:p>
        </w:tc>
      </w:tr>
      <w:tr w:rsidR="005A3F1F" w:rsidRPr="00C51CF1" w14:paraId="1ED96FDA" w14:textId="77777777" w:rsidTr="005A3F1F">
        <w:tc>
          <w:tcPr>
            <w:tcW w:w="1809" w:type="dxa"/>
          </w:tcPr>
          <w:p w14:paraId="01CFDFEF" w14:textId="3C45B2DB" w:rsidR="005A3F1F" w:rsidRPr="00C51CF1" w:rsidRDefault="005A3F1F" w:rsidP="005A3F1F">
            <w:pPr>
              <w:spacing w:line="360" w:lineRule="auto"/>
              <w:jc w:val="both"/>
              <w:rPr>
                <w:rFonts w:ascii="Book Antiqua" w:hAnsi="Book Antiqua" w:cs="Arial"/>
                <w:color w:val="000000"/>
                <w:shd w:val="clear" w:color="auto" w:fill="FFFFFF"/>
              </w:rPr>
            </w:pPr>
            <w:r w:rsidRPr="00C51CF1">
              <w:rPr>
                <w:rFonts w:ascii="Book Antiqua" w:hAnsi="Book Antiqua" w:cs="Arial"/>
                <w:color w:val="000000"/>
                <w:shd w:val="clear" w:color="auto" w:fill="FFFFFF"/>
              </w:rPr>
              <w:t>NCT03841201</w:t>
            </w:r>
          </w:p>
        </w:tc>
        <w:tc>
          <w:tcPr>
            <w:tcW w:w="3791" w:type="dxa"/>
          </w:tcPr>
          <w:p w14:paraId="1ECE9131" w14:textId="1C72296A" w:rsidR="005A3F1F" w:rsidRPr="00C51CF1" w:rsidRDefault="005A3F1F" w:rsidP="005A3F1F">
            <w:pPr>
              <w:spacing w:line="360" w:lineRule="auto"/>
              <w:jc w:val="both"/>
              <w:rPr>
                <w:rFonts w:ascii="Book Antiqua" w:hAnsi="Book Antiqua" w:cs="Arial"/>
              </w:rPr>
            </w:pPr>
            <w:r w:rsidRPr="00C51CF1">
              <w:rPr>
                <w:rFonts w:ascii="Book Antiqua" w:hAnsi="Book Antiqua" w:cs="Arial"/>
                <w:color w:val="000000"/>
                <w:shd w:val="clear" w:color="auto" w:fill="FFFFFF"/>
              </w:rPr>
              <w:t>IMMUNIB: An open-label, single-arm phase II study of immunotherapy with nivolumab in combination with lenvatinib for advanced stage</w:t>
            </w:r>
          </w:p>
        </w:tc>
        <w:tc>
          <w:tcPr>
            <w:tcW w:w="1035" w:type="dxa"/>
          </w:tcPr>
          <w:p w14:paraId="75A4D593" w14:textId="77777777" w:rsidR="005A3F1F" w:rsidRPr="00C51CF1" w:rsidRDefault="005A3F1F" w:rsidP="005A3F1F">
            <w:pPr>
              <w:spacing w:line="360" w:lineRule="auto"/>
              <w:jc w:val="both"/>
              <w:rPr>
                <w:rFonts w:ascii="Book Antiqua" w:hAnsi="Book Antiqua" w:cs="Arial"/>
              </w:rPr>
            </w:pPr>
            <w:r w:rsidRPr="00C51CF1">
              <w:rPr>
                <w:rFonts w:ascii="Book Antiqua" w:hAnsi="Book Antiqua" w:cs="Arial"/>
              </w:rPr>
              <w:t>II</w:t>
            </w:r>
          </w:p>
        </w:tc>
        <w:tc>
          <w:tcPr>
            <w:tcW w:w="1498" w:type="dxa"/>
          </w:tcPr>
          <w:p w14:paraId="212CDB2B" w14:textId="1A540441" w:rsidR="005A3F1F" w:rsidRPr="00C51CF1" w:rsidRDefault="005A3F1F" w:rsidP="005A3F1F">
            <w:pPr>
              <w:spacing w:line="360" w:lineRule="auto"/>
              <w:jc w:val="both"/>
              <w:rPr>
                <w:rFonts w:ascii="Book Antiqua" w:hAnsi="Book Antiqua" w:cs="Arial"/>
                <w:color w:val="000000"/>
                <w:shd w:val="clear" w:color="auto" w:fill="FFFFFF"/>
              </w:rPr>
            </w:pPr>
            <w:r w:rsidRPr="00C51CF1">
              <w:rPr>
                <w:rFonts w:ascii="Book Antiqua" w:hAnsi="Book Antiqua" w:cs="Arial"/>
                <w:color w:val="000000"/>
                <w:shd w:val="clear" w:color="auto" w:fill="FFFFFF"/>
              </w:rPr>
              <w:t>Immune cell infiltrates FOXP3 expression</w:t>
            </w:r>
          </w:p>
        </w:tc>
        <w:tc>
          <w:tcPr>
            <w:tcW w:w="3685" w:type="dxa"/>
          </w:tcPr>
          <w:p w14:paraId="5A807130" w14:textId="095FB0BA" w:rsidR="005A3F1F" w:rsidRPr="00C51CF1" w:rsidRDefault="005A3F1F" w:rsidP="005A3F1F">
            <w:pPr>
              <w:shd w:val="clear" w:color="auto" w:fill="FFFFFF"/>
              <w:spacing w:before="84" w:after="60" w:line="360" w:lineRule="auto"/>
              <w:jc w:val="both"/>
              <w:rPr>
                <w:rFonts w:ascii="Book Antiqua" w:hAnsi="Book Antiqua" w:cs="Arial"/>
                <w:color w:val="000000"/>
              </w:rPr>
            </w:pPr>
            <w:r w:rsidRPr="00C51CF1">
              <w:rPr>
                <w:rFonts w:ascii="Book Antiqua" w:hAnsi="Book Antiqua" w:cs="Arial"/>
                <w:color w:val="000000"/>
              </w:rPr>
              <w:t>Lenvatinib peroral qd (8 mg for patients with body weight &lt; 60 kg and 12 mg for patients with body weight ≥ 60 kg); Nivolumab i.v. q2w (240 mg fixed dose IV) max. 36 cycles</w:t>
            </w:r>
          </w:p>
        </w:tc>
        <w:tc>
          <w:tcPr>
            <w:tcW w:w="1358" w:type="dxa"/>
          </w:tcPr>
          <w:p w14:paraId="0C832970" w14:textId="77777777" w:rsidR="005A3F1F" w:rsidRPr="00C51CF1" w:rsidRDefault="005A3F1F" w:rsidP="005A3F1F">
            <w:pPr>
              <w:spacing w:line="360" w:lineRule="auto"/>
              <w:jc w:val="both"/>
              <w:rPr>
                <w:rFonts w:ascii="Book Antiqua" w:hAnsi="Book Antiqua" w:cs="Arial"/>
              </w:rPr>
            </w:pPr>
            <w:r w:rsidRPr="00C51CF1">
              <w:rPr>
                <w:rFonts w:ascii="Book Antiqua" w:hAnsi="Book Antiqua" w:cs="Arial"/>
              </w:rPr>
              <w:t>Recruiting</w:t>
            </w:r>
          </w:p>
        </w:tc>
      </w:tr>
      <w:tr w:rsidR="005A3F1F" w:rsidRPr="00C51CF1" w14:paraId="3DC197C8" w14:textId="77777777" w:rsidTr="005A3F1F">
        <w:tc>
          <w:tcPr>
            <w:tcW w:w="1809" w:type="dxa"/>
          </w:tcPr>
          <w:p w14:paraId="16A4C096" w14:textId="77777777" w:rsidR="005A3F1F" w:rsidRPr="00C51CF1" w:rsidRDefault="005A3F1F" w:rsidP="005A3F1F">
            <w:pPr>
              <w:spacing w:line="360" w:lineRule="auto"/>
              <w:jc w:val="both"/>
              <w:rPr>
                <w:rFonts w:ascii="Book Antiqua" w:hAnsi="Book Antiqua" w:cs="Arial"/>
              </w:rPr>
            </w:pPr>
            <w:r w:rsidRPr="00C51CF1">
              <w:rPr>
                <w:rFonts w:ascii="Book Antiqua" w:hAnsi="Book Antiqua" w:cs="Arial"/>
                <w:color w:val="000000"/>
                <w:shd w:val="clear" w:color="auto" w:fill="FFFFFF"/>
              </w:rPr>
              <w:t>NCT04777708</w:t>
            </w:r>
          </w:p>
        </w:tc>
        <w:tc>
          <w:tcPr>
            <w:tcW w:w="3791" w:type="dxa"/>
          </w:tcPr>
          <w:p w14:paraId="497CEB6C" w14:textId="3DBB1164" w:rsidR="005A3F1F" w:rsidRPr="00C51CF1" w:rsidRDefault="005A3F1F" w:rsidP="005A3F1F">
            <w:pPr>
              <w:spacing w:line="360" w:lineRule="auto"/>
              <w:jc w:val="both"/>
              <w:rPr>
                <w:rFonts w:ascii="Book Antiqua" w:hAnsi="Book Antiqua" w:cs="Arial"/>
              </w:rPr>
            </w:pPr>
            <w:r w:rsidRPr="00C51CF1">
              <w:rPr>
                <w:rFonts w:ascii="Book Antiqua" w:hAnsi="Book Antiqua" w:cs="Arial"/>
                <w:color w:val="000000"/>
                <w:shd w:val="clear" w:color="auto" w:fill="FFFFFF"/>
              </w:rPr>
              <w:t xml:space="preserve">Pilot feasibility study of intratumoral BO-112 in combination with pembrolizumab for advanced </w:t>
            </w:r>
            <w:r w:rsidRPr="00C51CF1">
              <w:rPr>
                <w:rFonts w:ascii="Book Antiqua" w:hAnsi="Book Antiqua" w:cs="Arial"/>
              </w:rPr>
              <w:t>hepatocellular carcinoma</w:t>
            </w:r>
          </w:p>
        </w:tc>
        <w:tc>
          <w:tcPr>
            <w:tcW w:w="1035" w:type="dxa"/>
          </w:tcPr>
          <w:p w14:paraId="58605929" w14:textId="77777777" w:rsidR="005A3F1F" w:rsidRPr="00C51CF1" w:rsidRDefault="005A3F1F" w:rsidP="005A3F1F">
            <w:pPr>
              <w:spacing w:line="360" w:lineRule="auto"/>
              <w:jc w:val="both"/>
              <w:rPr>
                <w:rFonts w:ascii="Book Antiqua" w:hAnsi="Book Antiqua" w:cs="Arial"/>
              </w:rPr>
            </w:pPr>
            <w:r w:rsidRPr="00C51CF1">
              <w:rPr>
                <w:rFonts w:ascii="Book Antiqua" w:hAnsi="Book Antiqua" w:cs="Arial"/>
              </w:rPr>
              <w:t>I</w:t>
            </w:r>
          </w:p>
        </w:tc>
        <w:tc>
          <w:tcPr>
            <w:tcW w:w="1498" w:type="dxa"/>
          </w:tcPr>
          <w:p w14:paraId="03496C50" w14:textId="562E4B14" w:rsidR="005A3F1F" w:rsidRPr="00C51CF1" w:rsidRDefault="005A3F1F" w:rsidP="005A3F1F">
            <w:pPr>
              <w:spacing w:line="360" w:lineRule="auto"/>
              <w:jc w:val="both"/>
              <w:rPr>
                <w:rFonts w:ascii="Book Antiqua" w:hAnsi="Book Antiqua" w:cs="Arial"/>
              </w:rPr>
            </w:pPr>
            <w:r w:rsidRPr="00C51CF1">
              <w:rPr>
                <w:rFonts w:ascii="Book Antiqua" w:hAnsi="Book Antiqua" w:cs="Arial"/>
                <w:color w:val="000000"/>
                <w:shd w:val="clear" w:color="auto" w:fill="FFFFFF"/>
              </w:rPr>
              <w:t>Intratumoral CD4+, CD8+ expression and cluster of differentiation 56 (CD56+) expression (</w:t>
            </w:r>
            <w:r w:rsidRPr="00C51CF1">
              <w:rPr>
                <w:rFonts w:ascii="Book Antiqua" w:eastAsia="Book Antiqua" w:hAnsi="Book Antiqua" w:cs="Book Antiqua"/>
                <w:color w:val="000000"/>
              </w:rPr>
              <w:t>natural killer</w:t>
            </w:r>
            <w:r w:rsidRPr="00C51CF1">
              <w:rPr>
                <w:rFonts w:ascii="Book Antiqua" w:hAnsi="Book Antiqua" w:cs="Arial"/>
                <w:color w:val="000000"/>
                <w:shd w:val="clear" w:color="auto" w:fill="FFFFFF"/>
              </w:rPr>
              <w:t xml:space="preserve"> cells)</w:t>
            </w:r>
          </w:p>
        </w:tc>
        <w:tc>
          <w:tcPr>
            <w:tcW w:w="3685" w:type="dxa"/>
          </w:tcPr>
          <w:p w14:paraId="32CCFA8D" w14:textId="0BAE3D56" w:rsidR="005A3F1F" w:rsidRPr="00C51CF1" w:rsidRDefault="005A3F1F" w:rsidP="005A3F1F">
            <w:pPr>
              <w:pStyle w:val="aa"/>
              <w:spacing w:line="360" w:lineRule="auto"/>
              <w:ind w:left="0"/>
              <w:jc w:val="both"/>
              <w:rPr>
                <w:rFonts w:ascii="Book Antiqua" w:hAnsi="Book Antiqua" w:cs="Arial"/>
              </w:rPr>
            </w:pPr>
            <w:r w:rsidRPr="00C51CF1">
              <w:rPr>
                <w:rFonts w:ascii="Book Antiqua" w:hAnsi="Book Antiqua" w:cs="Arial"/>
                <w:color w:val="000000"/>
                <w:shd w:val="clear" w:color="auto" w:fill="FFFFFF"/>
              </w:rPr>
              <w:t>Patients receive pembrolizumab IV over 30 min on day 1 of odd number cycles. Patients also receive BO-112 by intratumoral injection on day 1, 8, and 15 of cycle 1, and day 15 of subsequent cycles. Treatment repeats every 3 wk for up to 17 cycles in the absence of disease progression or unacceptable toxicity</w:t>
            </w:r>
          </w:p>
        </w:tc>
        <w:tc>
          <w:tcPr>
            <w:tcW w:w="1358" w:type="dxa"/>
          </w:tcPr>
          <w:p w14:paraId="7CB4C39F" w14:textId="77777777" w:rsidR="005A3F1F" w:rsidRPr="00C51CF1" w:rsidRDefault="005A3F1F" w:rsidP="005A3F1F">
            <w:pPr>
              <w:spacing w:line="360" w:lineRule="auto"/>
              <w:jc w:val="both"/>
              <w:rPr>
                <w:rFonts w:ascii="Book Antiqua" w:hAnsi="Book Antiqua" w:cs="Arial"/>
              </w:rPr>
            </w:pPr>
            <w:r w:rsidRPr="00C51CF1">
              <w:rPr>
                <w:rFonts w:ascii="Book Antiqua" w:hAnsi="Book Antiqua" w:cs="Arial"/>
              </w:rPr>
              <w:t>Not yet recruiting</w:t>
            </w:r>
          </w:p>
        </w:tc>
      </w:tr>
      <w:tr w:rsidR="005A3F1F" w:rsidRPr="00C51CF1" w14:paraId="209EE360" w14:textId="77777777" w:rsidTr="005A3F1F">
        <w:tc>
          <w:tcPr>
            <w:tcW w:w="1809" w:type="dxa"/>
          </w:tcPr>
          <w:p w14:paraId="46E8B896" w14:textId="77777777" w:rsidR="005A3F1F" w:rsidRPr="00C51CF1" w:rsidRDefault="005A3F1F" w:rsidP="005A3F1F">
            <w:pPr>
              <w:spacing w:line="360" w:lineRule="auto"/>
              <w:jc w:val="both"/>
              <w:rPr>
                <w:rFonts w:ascii="Book Antiqua" w:hAnsi="Book Antiqua" w:cs="Arial"/>
              </w:rPr>
            </w:pPr>
            <w:r w:rsidRPr="00C51CF1">
              <w:rPr>
                <w:rFonts w:ascii="Book Antiqua" w:hAnsi="Book Antiqua" w:cs="Arial"/>
                <w:color w:val="000000"/>
                <w:shd w:val="clear" w:color="auto" w:fill="FFFFFF"/>
              </w:rPr>
              <w:t>NCT04721132</w:t>
            </w:r>
          </w:p>
        </w:tc>
        <w:tc>
          <w:tcPr>
            <w:tcW w:w="3791" w:type="dxa"/>
          </w:tcPr>
          <w:p w14:paraId="7811C067" w14:textId="074E6D85" w:rsidR="005A3F1F" w:rsidRPr="00C51CF1" w:rsidRDefault="005A3F1F" w:rsidP="005A3F1F">
            <w:pPr>
              <w:spacing w:line="360" w:lineRule="auto"/>
              <w:jc w:val="both"/>
              <w:rPr>
                <w:rFonts w:ascii="Book Antiqua" w:hAnsi="Book Antiqua" w:cs="Arial"/>
              </w:rPr>
            </w:pPr>
            <w:r w:rsidRPr="00C51CF1">
              <w:rPr>
                <w:rFonts w:ascii="Book Antiqua" w:hAnsi="Book Antiqua" w:cs="Arial"/>
              </w:rPr>
              <w:t>An open-label, phase II, pre-operative study of atezolizumab plus bevacizumab for resectable hepatocellular carcinoma</w:t>
            </w:r>
          </w:p>
        </w:tc>
        <w:tc>
          <w:tcPr>
            <w:tcW w:w="1035" w:type="dxa"/>
          </w:tcPr>
          <w:p w14:paraId="5C0F3517" w14:textId="77777777" w:rsidR="005A3F1F" w:rsidRPr="00C51CF1" w:rsidRDefault="005A3F1F" w:rsidP="005A3F1F">
            <w:pPr>
              <w:spacing w:line="360" w:lineRule="auto"/>
              <w:jc w:val="both"/>
              <w:rPr>
                <w:rFonts w:ascii="Book Antiqua" w:hAnsi="Book Antiqua" w:cs="Arial"/>
              </w:rPr>
            </w:pPr>
            <w:r w:rsidRPr="00C51CF1">
              <w:rPr>
                <w:rFonts w:ascii="Book Antiqua" w:hAnsi="Book Antiqua" w:cs="Arial"/>
                <w:color w:val="000000"/>
                <w:shd w:val="clear" w:color="auto" w:fill="FFFFFF"/>
              </w:rPr>
              <w:t>II</w:t>
            </w:r>
          </w:p>
        </w:tc>
        <w:tc>
          <w:tcPr>
            <w:tcW w:w="1498" w:type="dxa"/>
          </w:tcPr>
          <w:p w14:paraId="4E748EFE" w14:textId="110140A8" w:rsidR="005A3F1F" w:rsidRPr="00C51CF1" w:rsidRDefault="005A3F1F" w:rsidP="005A3F1F">
            <w:pPr>
              <w:spacing w:line="360" w:lineRule="auto"/>
              <w:jc w:val="both"/>
              <w:rPr>
                <w:rFonts w:ascii="Book Antiqua" w:hAnsi="Book Antiqua" w:cs="Arial"/>
              </w:rPr>
            </w:pPr>
            <w:r w:rsidRPr="00C51CF1">
              <w:rPr>
                <w:rFonts w:ascii="Book Antiqua" w:hAnsi="Book Antiqua" w:cs="Arial"/>
                <w:color w:val="000000"/>
                <w:shd w:val="clear" w:color="auto" w:fill="FFFFFF"/>
              </w:rPr>
              <w:t>To measure baseline and longitudinal changes of immune infiltration including CD8/regulatory T cell ratio and CD68+ density, and fibrosis stage</w:t>
            </w:r>
          </w:p>
        </w:tc>
        <w:tc>
          <w:tcPr>
            <w:tcW w:w="3685" w:type="dxa"/>
          </w:tcPr>
          <w:p w14:paraId="247D4082" w14:textId="1C30C55B" w:rsidR="005A3F1F" w:rsidRPr="00C51CF1" w:rsidRDefault="005A3F1F" w:rsidP="005A3F1F">
            <w:pPr>
              <w:pStyle w:val="aa"/>
              <w:spacing w:line="360" w:lineRule="auto"/>
              <w:ind w:left="0"/>
              <w:jc w:val="both"/>
              <w:rPr>
                <w:rFonts w:ascii="Book Antiqua" w:hAnsi="Book Antiqua" w:cs="Arial"/>
              </w:rPr>
            </w:pPr>
            <w:r w:rsidRPr="00C51CF1">
              <w:rPr>
                <w:rFonts w:ascii="Book Antiqua" w:hAnsi="Book Antiqua" w:cs="Arial"/>
                <w:color w:val="000000"/>
                <w:shd w:val="clear" w:color="auto" w:fill="FFFFFF"/>
              </w:rPr>
              <w:t>Patients receive atezolizumab IV over 30-60 min and bevacizumab IV over 30-90 min on day 1. Treatment repeats every 21 d for up to 3 cycles in the absence of disease progression or unacceptable toxicity. Patients then undergo surgery during week 12</w:t>
            </w:r>
          </w:p>
        </w:tc>
        <w:tc>
          <w:tcPr>
            <w:tcW w:w="1358" w:type="dxa"/>
          </w:tcPr>
          <w:p w14:paraId="74209271" w14:textId="77777777" w:rsidR="005A3F1F" w:rsidRPr="00C51CF1" w:rsidRDefault="005A3F1F" w:rsidP="005A3F1F">
            <w:pPr>
              <w:spacing w:line="360" w:lineRule="auto"/>
              <w:jc w:val="both"/>
              <w:rPr>
                <w:rFonts w:ascii="Book Antiqua" w:hAnsi="Book Antiqua" w:cs="Arial"/>
              </w:rPr>
            </w:pPr>
            <w:r w:rsidRPr="00C51CF1">
              <w:rPr>
                <w:rFonts w:ascii="Book Antiqua" w:hAnsi="Book Antiqua" w:cs="Arial"/>
              </w:rPr>
              <w:t>Recruiting</w:t>
            </w:r>
          </w:p>
        </w:tc>
      </w:tr>
      <w:tr w:rsidR="005A3F1F" w:rsidRPr="00C51CF1" w14:paraId="0752802F" w14:textId="77777777" w:rsidTr="005A3F1F">
        <w:tc>
          <w:tcPr>
            <w:tcW w:w="1809" w:type="dxa"/>
            <w:tcBorders>
              <w:bottom w:val="single" w:sz="4" w:space="0" w:color="auto"/>
            </w:tcBorders>
          </w:tcPr>
          <w:p w14:paraId="0A85AA20" w14:textId="77777777" w:rsidR="005A3F1F" w:rsidRPr="00C51CF1" w:rsidRDefault="005A3F1F" w:rsidP="005A3F1F">
            <w:pPr>
              <w:spacing w:line="360" w:lineRule="auto"/>
              <w:jc w:val="both"/>
              <w:rPr>
                <w:rFonts w:ascii="Book Antiqua" w:hAnsi="Book Antiqua" w:cs="Arial"/>
              </w:rPr>
            </w:pPr>
            <w:r w:rsidRPr="00C51CF1">
              <w:rPr>
                <w:rFonts w:ascii="Book Antiqua" w:hAnsi="Book Antiqua" w:cs="Arial"/>
                <w:color w:val="000000"/>
                <w:shd w:val="clear" w:color="auto" w:fill="FFFFFF"/>
              </w:rPr>
              <w:t>NCT00396682</w:t>
            </w:r>
          </w:p>
        </w:tc>
        <w:tc>
          <w:tcPr>
            <w:tcW w:w="3791" w:type="dxa"/>
            <w:tcBorders>
              <w:bottom w:val="single" w:sz="4" w:space="0" w:color="auto"/>
            </w:tcBorders>
          </w:tcPr>
          <w:p w14:paraId="53D0D08D" w14:textId="1385B135" w:rsidR="005A3F1F" w:rsidRPr="00C51CF1" w:rsidRDefault="005A3F1F" w:rsidP="005A3F1F">
            <w:pPr>
              <w:spacing w:line="360" w:lineRule="auto"/>
              <w:jc w:val="both"/>
              <w:rPr>
                <w:rFonts w:ascii="Book Antiqua" w:hAnsi="Book Antiqua" w:cs="Arial"/>
              </w:rPr>
            </w:pPr>
            <w:r w:rsidRPr="00C51CF1">
              <w:rPr>
                <w:rFonts w:ascii="Book Antiqua" w:hAnsi="Book Antiqua" w:cs="Arial"/>
              </w:rPr>
              <w:t>Elimination of CD4+CD25+ regulatory T cells in patients with advanced hepatocellular carcinoma after treatment with cyclophosphamide</w:t>
            </w:r>
          </w:p>
        </w:tc>
        <w:tc>
          <w:tcPr>
            <w:tcW w:w="1035" w:type="dxa"/>
            <w:tcBorders>
              <w:bottom w:val="single" w:sz="4" w:space="0" w:color="auto"/>
            </w:tcBorders>
          </w:tcPr>
          <w:p w14:paraId="0CDD9C39" w14:textId="77777777" w:rsidR="005A3F1F" w:rsidRPr="00C51CF1" w:rsidRDefault="005A3F1F" w:rsidP="005A3F1F">
            <w:pPr>
              <w:spacing w:line="360" w:lineRule="auto"/>
              <w:jc w:val="both"/>
              <w:rPr>
                <w:rFonts w:ascii="Book Antiqua" w:hAnsi="Book Antiqua" w:cs="Arial"/>
                <w:color w:val="000000"/>
                <w:shd w:val="clear" w:color="auto" w:fill="FFFFFF"/>
              </w:rPr>
            </w:pPr>
            <w:r w:rsidRPr="00C51CF1">
              <w:rPr>
                <w:rFonts w:ascii="Book Antiqua" w:hAnsi="Book Antiqua" w:cs="Arial"/>
                <w:color w:val="000000"/>
                <w:shd w:val="clear" w:color="auto" w:fill="FFFFFF"/>
              </w:rPr>
              <w:t>I</w:t>
            </w:r>
          </w:p>
        </w:tc>
        <w:tc>
          <w:tcPr>
            <w:tcW w:w="1498" w:type="dxa"/>
            <w:tcBorders>
              <w:bottom w:val="single" w:sz="4" w:space="0" w:color="auto"/>
            </w:tcBorders>
          </w:tcPr>
          <w:p w14:paraId="2CBEF8DF" w14:textId="1A4BF199" w:rsidR="005A3F1F" w:rsidRPr="00C51CF1" w:rsidRDefault="005A3F1F" w:rsidP="005A3F1F">
            <w:pPr>
              <w:spacing w:line="360" w:lineRule="auto"/>
              <w:jc w:val="both"/>
              <w:rPr>
                <w:rFonts w:ascii="Book Antiqua" w:hAnsi="Book Antiqua" w:cs="Arial"/>
              </w:rPr>
            </w:pPr>
            <w:r w:rsidRPr="00C51CF1">
              <w:rPr>
                <w:rFonts w:ascii="Book Antiqua" w:hAnsi="Book Antiqua" w:cs="Arial"/>
              </w:rPr>
              <w:t>Function and Phenotype of CD4+CD25+ regulatory T cells</w:t>
            </w:r>
          </w:p>
        </w:tc>
        <w:tc>
          <w:tcPr>
            <w:tcW w:w="3685" w:type="dxa"/>
            <w:tcBorders>
              <w:bottom w:val="single" w:sz="4" w:space="0" w:color="auto"/>
            </w:tcBorders>
          </w:tcPr>
          <w:p w14:paraId="7C993158" w14:textId="6A0C80E6" w:rsidR="005A3F1F" w:rsidRPr="00C51CF1" w:rsidRDefault="005A3F1F" w:rsidP="005A3F1F">
            <w:pPr>
              <w:pStyle w:val="aa"/>
              <w:spacing w:line="360" w:lineRule="auto"/>
              <w:ind w:left="0"/>
              <w:jc w:val="both"/>
              <w:rPr>
                <w:rFonts w:ascii="Book Antiqua" w:hAnsi="Book Antiqua" w:cs="Arial"/>
                <w:color w:val="000000"/>
              </w:rPr>
            </w:pPr>
            <w:r w:rsidRPr="00C51CF1">
              <w:rPr>
                <w:rFonts w:ascii="Book Antiqua" w:hAnsi="Book Antiqua" w:cs="Arial"/>
                <w:color w:val="000000"/>
                <w:shd w:val="clear" w:color="auto" w:fill="FFFFFF"/>
              </w:rPr>
              <w:t xml:space="preserve">Cyclophosphamide </w:t>
            </w:r>
            <w:r w:rsidRPr="00C51CF1">
              <w:rPr>
                <w:rFonts w:ascii="Book Antiqua" w:hAnsi="Book Antiqua" w:cs="Arial"/>
                <w:color w:val="000000"/>
              </w:rPr>
              <w:t>150 mg to 250 mg to 350 mg</w:t>
            </w:r>
          </w:p>
        </w:tc>
        <w:tc>
          <w:tcPr>
            <w:tcW w:w="1358" w:type="dxa"/>
            <w:tcBorders>
              <w:bottom w:val="single" w:sz="4" w:space="0" w:color="auto"/>
            </w:tcBorders>
          </w:tcPr>
          <w:p w14:paraId="50EF4C64" w14:textId="12EC7259" w:rsidR="005A3F1F" w:rsidRPr="00C51CF1" w:rsidRDefault="005A3F1F" w:rsidP="005A3F1F">
            <w:pPr>
              <w:spacing w:line="360" w:lineRule="auto"/>
              <w:jc w:val="both"/>
              <w:rPr>
                <w:rFonts w:ascii="Book Antiqua" w:hAnsi="Book Antiqua" w:cs="Arial"/>
              </w:rPr>
            </w:pPr>
            <w:r w:rsidRPr="00C51CF1">
              <w:rPr>
                <w:rFonts w:ascii="Book Antiqua" w:hAnsi="Book Antiqua" w:cs="Arial"/>
              </w:rPr>
              <w:t>Completed</w:t>
            </w:r>
          </w:p>
        </w:tc>
      </w:tr>
    </w:tbl>
    <w:p w14:paraId="05624D99" w14:textId="77777777" w:rsidR="00C57A8F" w:rsidRDefault="00056501" w:rsidP="00DA1715">
      <w:pPr>
        <w:spacing w:line="360" w:lineRule="auto"/>
        <w:jc w:val="both"/>
        <w:rPr>
          <w:rFonts w:ascii="Book Antiqua" w:eastAsia="Book Antiqua" w:hAnsi="Book Antiqua" w:cs="Book Antiqua"/>
          <w:color w:val="000000"/>
        </w:rPr>
        <w:sectPr w:rsidR="00C57A8F" w:rsidSect="00DA1715">
          <w:pgSz w:w="15840" w:h="12240" w:orient="landscape"/>
          <w:pgMar w:top="1440" w:right="1440" w:bottom="1440" w:left="1440" w:header="720" w:footer="720" w:gutter="0"/>
          <w:cols w:space="720"/>
          <w:docGrid w:linePitch="360"/>
        </w:sectPr>
      </w:pPr>
      <w:r w:rsidRPr="00C51CF1">
        <w:rPr>
          <w:rFonts w:ascii="Book Antiqua" w:eastAsia="Book Antiqua" w:hAnsi="Book Antiqua" w:cs="Book Antiqua"/>
          <w:color w:val="000000"/>
        </w:rPr>
        <w:t>Clinical trials assessing as secondary study outcomes different immune cell populations, including CD4+CD25+ Tregs (https://www.clinicaltrials.gov/).</w:t>
      </w:r>
    </w:p>
    <w:p w14:paraId="7E6187F0" w14:textId="77777777" w:rsidR="00C57A8F" w:rsidRDefault="00C57A8F" w:rsidP="00C57A8F">
      <w:pPr>
        <w:jc w:val="center"/>
        <w:rPr>
          <w:rFonts w:ascii="Book Antiqua" w:hAnsi="Book Antiqua"/>
        </w:rPr>
      </w:pPr>
      <w:bookmarkStart w:id="8" w:name="OLE_LINK1"/>
      <w:bookmarkStart w:id="9" w:name="OLE_LINK2"/>
    </w:p>
    <w:p w14:paraId="7EA90250" w14:textId="77777777" w:rsidR="00C57A8F" w:rsidRDefault="00C57A8F" w:rsidP="00C57A8F">
      <w:pPr>
        <w:jc w:val="center"/>
        <w:rPr>
          <w:rFonts w:ascii="Book Antiqua" w:hAnsi="Book Antiqua"/>
        </w:rPr>
      </w:pPr>
    </w:p>
    <w:p w14:paraId="34CAA821" w14:textId="77777777" w:rsidR="00C57A8F" w:rsidRDefault="00C57A8F" w:rsidP="00C57A8F">
      <w:pPr>
        <w:jc w:val="center"/>
        <w:rPr>
          <w:rFonts w:ascii="Book Antiqua" w:hAnsi="Book Antiqua"/>
        </w:rPr>
      </w:pPr>
    </w:p>
    <w:p w14:paraId="5DA0D792" w14:textId="77777777" w:rsidR="00C57A8F" w:rsidRDefault="00C57A8F" w:rsidP="00C57A8F">
      <w:pPr>
        <w:jc w:val="center"/>
        <w:rPr>
          <w:rFonts w:ascii="Book Antiqua" w:hAnsi="Book Antiqua"/>
        </w:rPr>
      </w:pPr>
    </w:p>
    <w:p w14:paraId="7E7AF738" w14:textId="77777777" w:rsidR="00C57A8F" w:rsidRDefault="00C57A8F" w:rsidP="00C57A8F">
      <w:pPr>
        <w:jc w:val="center"/>
        <w:rPr>
          <w:rFonts w:ascii="Book Antiqua" w:hAnsi="Book Antiqua"/>
        </w:rPr>
      </w:pPr>
    </w:p>
    <w:p w14:paraId="4E6B10DC" w14:textId="77777777" w:rsidR="00C57A8F" w:rsidRDefault="00C57A8F" w:rsidP="00C57A8F">
      <w:pPr>
        <w:jc w:val="center"/>
        <w:rPr>
          <w:rFonts w:ascii="Book Antiqua" w:hAnsi="Book Antiqua"/>
        </w:rPr>
      </w:pPr>
      <w:r>
        <w:rPr>
          <w:rFonts w:ascii="Book Antiqua" w:hAnsi="Book Antiqua"/>
          <w:noProof/>
        </w:rPr>
        <w:drawing>
          <wp:inline distT="0" distB="0" distL="0" distR="0" wp14:anchorId="55BA2A9B" wp14:editId="62017132">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C72A8F3" w14:textId="77777777" w:rsidR="00C57A8F" w:rsidRDefault="00C57A8F" w:rsidP="00C57A8F">
      <w:pPr>
        <w:jc w:val="center"/>
        <w:rPr>
          <w:rFonts w:ascii="Book Antiqua" w:hAnsi="Book Antiqua"/>
        </w:rPr>
      </w:pPr>
    </w:p>
    <w:p w14:paraId="55C87B18" w14:textId="77777777" w:rsidR="00C57A8F" w:rsidRPr="00763D22" w:rsidRDefault="00C57A8F" w:rsidP="00C57A8F">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07273B7D" w14:textId="77777777" w:rsidR="00C57A8F" w:rsidRPr="00763D22" w:rsidRDefault="00C57A8F" w:rsidP="00C57A8F">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0721CFE1" w14:textId="77777777" w:rsidR="00C57A8F" w:rsidRPr="00763D22" w:rsidRDefault="00C57A8F" w:rsidP="00C57A8F">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7309752" w14:textId="77777777" w:rsidR="00C57A8F" w:rsidRPr="00763D22" w:rsidRDefault="00C57A8F" w:rsidP="00C57A8F">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E2A018C" w14:textId="77777777" w:rsidR="00C57A8F" w:rsidRPr="00763D22" w:rsidRDefault="00C57A8F" w:rsidP="00C57A8F">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C8A531F" w14:textId="77777777" w:rsidR="00C57A8F" w:rsidRPr="00763D22" w:rsidRDefault="00C57A8F" w:rsidP="00C57A8F">
      <w:pPr>
        <w:jc w:val="center"/>
        <w:rPr>
          <w:rFonts w:ascii="Book Antiqua" w:hAnsi="Book Antiqua"/>
        </w:rPr>
      </w:pPr>
      <w:r w:rsidRPr="00763D22">
        <w:rPr>
          <w:rFonts w:ascii="Book Antiqua" w:eastAsia="TimesNewRomanPSMT" w:hAnsi="Book Antiqua" w:cs="Garamond"/>
          <w:color w:val="D56400"/>
          <w:sz w:val="28"/>
          <w:szCs w:val="28"/>
        </w:rPr>
        <w:t>https://www.wjgnet.com</w:t>
      </w:r>
    </w:p>
    <w:p w14:paraId="31A37805" w14:textId="77777777" w:rsidR="00C57A8F" w:rsidRDefault="00C57A8F" w:rsidP="00C57A8F">
      <w:pPr>
        <w:jc w:val="center"/>
        <w:rPr>
          <w:rFonts w:ascii="Book Antiqua" w:hAnsi="Book Antiqua"/>
        </w:rPr>
      </w:pPr>
    </w:p>
    <w:p w14:paraId="674034A7" w14:textId="77777777" w:rsidR="00C57A8F" w:rsidRDefault="00C57A8F" w:rsidP="00C57A8F">
      <w:pPr>
        <w:jc w:val="center"/>
        <w:rPr>
          <w:rFonts w:ascii="Book Antiqua" w:hAnsi="Book Antiqua"/>
        </w:rPr>
      </w:pPr>
    </w:p>
    <w:p w14:paraId="2530C688" w14:textId="77777777" w:rsidR="00C57A8F" w:rsidRDefault="00C57A8F" w:rsidP="00C57A8F">
      <w:pPr>
        <w:jc w:val="center"/>
        <w:rPr>
          <w:rFonts w:ascii="Book Antiqua" w:hAnsi="Book Antiqua"/>
        </w:rPr>
      </w:pPr>
    </w:p>
    <w:p w14:paraId="5B3D1D68" w14:textId="77777777" w:rsidR="00C57A8F" w:rsidRDefault="00C57A8F" w:rsidP="00C57A8F">
      <w:pPr>
        <w:jc w:val="center"/>
        <w:rPr>
          <w:rFonts w:ascii="Book Antiqua" w:hAnsi="Book Antiqua"/>
        </w:rPr>
      </w:pPr>
      <w:r>
        <w:rPr>
          <w:rFonts w:ascii="Book Antiqua" w:hAnsi="Book Antiqua"/>
          <w:noProof/>
        </w:rPr>
        <w:drawing>
          <wp:inline distT="0" distB="0" distL="0" distR="0" wp14:anchorId="6C6072CA" wp14:editId="4B20913D">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29DFBFE" w14:textId="77777777" w:rsidR="00C57A8F" w:rsidRDefault="00C57A8F" w:rsidP="00C57A8F">
      <w:pPr>
        <w:jc w:val="center"/>
        <w:rPr>
          <w:rFonts w:ascii="Book Antiqua" w:hAnsi="Book Antiqua"/>
        </w:rPr>
      </w:pPr>
    </w:p>
    <w:p w14:paraId="11D9179E" w14:textId="77777777" w:rsidR="00C57A8F" w:rsidRDefault="00C57A8F" w:rsidP="00C57A8F">
      <w:pPr>
        <w:jc w:val="center"/>
        <w:rPr>
          <w:rFonts w:ascii="Book Antiqua" w:hAnsi="Book Antiqua"/>
        </w:rPr>
      </w:pPr>
    </w:p>
    <w:p w14:paraId="506BC1CB" w14:textId="77777777" w:rsidR="00C57A8F" w:rsidRDefault="00C57A8F" w:rsidP="00C57A8F">
      <w:pPr>
        <w:jc w:val="center"/>
        <w:rPr>
          <w:rFonts w:ascii="Book Antiqua" w:hAnsi="Book Antiqua"/>
        </w:rPr>
      </w:pPr>
    </w:p>
    <w:p w14:paraId="50F667D4" w14:textId="77777777" w:rsidR="00C57A8F" w:rsidRDefault="00C57A8F" w:rsidP="00C57A8F">
      <w:pPr>
        <w:jc w:val="center"/>
        <w:rPr>
          <w:rFonts w:ascii="Book Antiqua" w:hAnsi="Book Antiqua"/>
        </w:rPr>
      </w:pPr>
    </w:p>
    <w:p w14:paraId="17FA1D1D" w14:textId="77777777" w:rsidR="00C57A8F" w:rsidRDefault="00C57A8F" w:rsidP="00C57A8F">
      <w:pPr>
        <w:jc w:val="center"/>
        <w:rPr>
          <w:rFonts w:ascii="Book Antiqua" w:hAnsi="Book Antiqua"/>
        </w:rPr>
      </w:pPr>
    </w:p>
    <w:p w14:paraId="713BA6FE" w14:textId="77777777" w:rsidR="00C57A8F" w:rsidRDefault="00C57A8F" w:rsidP="00C57A8F">
      <w:pPr>
        <w:jc w:val="center"/>
        <w:rPr>
          <w:rFonts w:ascii="Book Antiqua" w:hAnsi="Book Antiqua"/>
        </w:rPr>
      </w:pPr>
    </w:p>
    <w:p w14:paraId="188246BA" w14:textId="77777777" w:rsidR="00C57A8F" w:rsidRDefault="00C57A8F" w:rsidP="00C57A8F">
      <w:pPr>
        <w:jc w:val="center"/>
        <w:rPr>
          <w:rFonts w:ascii="Book Antiqua" w:hAnsi="Book Antiqua"/>
        </w:rPr>
      </w:pPr>
    </w:p>
    <w:p w14:paraId="58E008FD" w14:textId="77777777" w:rsidR="00C57A8F" w:rsidRDefault="00C57A8F" w:rsidP="00C57A8F">
      <w:pPr>
        <w:jc w:val="center"/>
        <w:rPr>
          <w:rFonts w:ascii="Book Antiqua" w:hAnsi="Book Antiqua"/>
        </w:rPr>
      </w:pPr>
    </w:p>
    <w:p w14:paraId="25C5AD53" w14:textId="77777777" w:rsidR="00C57A8F" w:rsidRDefault="00C57A8F" w:rsidP="00C57A8F">
      <w:pPr>
        <w:jc w:val="center"/>
        <w:rPr>
          <w:rFonts w:ascii="Book Antiqua" w:hAnsi="Book Antiqua"/>
        </w:rPr>
      </w:pPr>
    </w:p>
    <w:p w14:paraId="2B9713B5" w14:textId="77777777" w:rsidR="00C57A8F" w:rsidRPr="00763D22" w:rsidRDefault="00C57A8F" w:rsidP="00C57A8F">
      <w:pPr>
        <w:jc w:val="right"/>
        <w:rPr>
          <w:rFonts w:ascii="Book Antiqua" w:hAnsi="Book Antiqua"/>
          <w:color w:val="000000" w:themeColor="text1"/>
        </w:rPr>
      </w:pPr>
    </w:p>
    <w:p w14:paraId="5DDBD654" w14:textId="77777777" w:rsidR="00C57A8F" w:rsidRPr="00763D22" w:rsidRDefault="00C57A8F" w:rsidP="00C57A8F">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bookmarkEnd w:id="8"/>
      <w:bookmarkEnd w:id="9"/>
    </w:p>
    <w:p w14:paraId="5EC976F4" w14:textId="52759F04" w:rsidR="00DA1715" w:rsidRPr="00C57A8F" w:rsidRDefault="00DA1715" w:rsidP="00DA1715">
      <w:pPr>
        <w:spacing w:line="360" w:lineRule="auto"/>
        <w:jc w:val="both"/>
        <w:rPr>
          <w:rFonts w:ascii="Book Antiqua" w:eastAsia="Book Antiqua" w:hAnsi="Book Antiqua" w:cs="Book Antiqua"/>
          <w:color w:val="000000"/>
        </w:rPr>
      </w:pPr>
      <w:bookmarkStart w:id="10" w:name="_GoBack"/>
      <w:bookmarkEnd w:id="10"/>
    </w:p>
    <w:sectPr w:rsidR="00DA1715" w:rsidRPr="00C57A8F" w:rsidSect="00BD7A2A">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17BD88" w14:textId="77777777" w:rsidR="00BF080E" w:rsidRDefault="00BF080E" w:rsidP="00780FA0">
      <w:r>
        <w:separator/>
      </w:r>
    </w:p>
  </w:endnote>
  <w:endnote w:type="continuationSeparator" w:id="0">
    <w:p w14:paraId="3E2D3BF9" w14:textId="77777777" w:rsidR="00BF080E" w:rsidRDefault="00BF080E" w:rsidP="00780F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6074657"/>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7BB6C67C" w14:textId="70CA921A" w:rsidR="00780FA0" w:rsidRPr="00780FA0" w:rsidRDefault="00780FA0" w:rsidP="00780FA0">
            <w:pPr>
              <w:pStyle w:val="a7"/>
              <w:jc w:val="right"/>
              <w:rPr>
                <w:rFonts w:ascii="Book Antiqua" w:hAnsi="Book Antiqua"/>
                <w:sz w:val="24"/>
                <w:szCs w:val="24"/>
              </w:rPr>
            </w:pPr>
            <w:r w:rsidRPr="00780FA0">
              <w:rPr>
                <w:rFonts w:ascii="Book Antiqua" w:hAnsi="Book Antiqua"/>
                <w:sz w:val="24"/>
                <w:szCs w:val="24"/>
                <w:lang w:val="zh-CN"/>
              </w:rPr>
              <w:t xml:space="preserve"> </w:t>
            </w:r>
            <w:r w:rsidRPr="00780FA0">
              <w:rPr>
                <w:rFonts w:ascii="Book Antiqua" w:hAnsi="Book Antiqua"/>
                <w:sz w:val="24"/>
                <w:szCs w:val="24"/>
              </w:rPr>
              <w:fldChar w:fldCharType="begin"/>
            </w:r>
            <w:r w:rsidRPr="00780FA0">
              <w:rPr>
                <w:rFonts w:ascii="Book Antiqua" w:hAnsi="Book Antiqua"/>
                <w:sz w:val="24"/>
                <w:szCs w:val="24"/>
              </w:rPr>
              <w:instrText>PAGE</w:instrText>
            </w:r>
            <w:r w:rsidRPr="00780FA0">
              <w:rPr>
                <w:rFonts w:ascii="Book Antiqua" w:hAnsi="Book Antiqua"/>
                <w:sz w:val="24"/>
                <w:szCs w:val="24"/>
              </w:rPr>
              <w:fldChar w:fldCharType="separate"/>
            </w:r>
            <w:r w:rsidR="00BF080E">
              <w:rPr>
                <w:rFonts w:ascii="Book Antiqua" w:hAnsi="Book Antiqua"/>
                <w:noProof/>
                <w:sz w:val="24"/>
                <w:szCs w:val="24"/>
              </w:rPr>
              <w:t>1</w:t>
            </w:r>
            <w:r w:rsidRPr="00780FA0">
              <w:rPr>
                <w:rFonts w:ascii="Book Antiqua" w:hAnsi="Book Antiqua"/>
                <w:sz w:val="24"/>
                <w:szCs w:val="24"/>
              </w:rPr>
              <w:fldChar w:fldCharType="end"/>
            </w:r>
            <w:r w:rsidRPr="00780FA0">
              <w:rPr>
                <w:rFonts w:ascii="Book Antiqua" w:hAnsi="Book Antiqua"/>
                <w:sz w:val="24"/>
                <w:szCs w:val="24"/>
                <w:lang w:val="zh-CN"/>
              </w:rPr>
              <w:t xml:space="preserve"> / </w:t>
            </w:r>
            <w:r w:rsidRPr="00780FA0">
              <w:rPr>
                <w:rFonts w:ascii="Book Antiqua" w:hAnsi="Book Antiqua"/>
                <w:sz w:val="24"/>
                <w:szCs w:val="24"/>
              </w:rPr>
              <w:fldChar w:fldCharType="begin"/>
            </w:r>
            <w:r w:rsidRPr="00780FA0">
              <w:rPr>
                <w:rFonts w:ascii="Book Antiqua" w:hAnsi="Book Antiqua"/>
                <w:sz w:val="24"/>
                <w:szCs w:val="24"/>
              </w:rPr>
              <w:instrText>NUMPAGES</w:instrText>
            </w:r>
            <w:r w:rsidRPr="00780FA0">
              <w:rPr>
                <w:rFonts w:ascii="Book Antiqua" w:hAnsi="Book Antiqua"/>
                <w:sz w:val="24"/>
                <w:szCs w:val="24"/>
              </w:rPr>
              <w:fldChar w:fldCharType="separate"/>
            </w:r>
            <w:r w:rsidR="00BF080E">
              <w:rPr>
                <w:rFonts w:ascii="Book Antiqua" w:hAnsi="Book Antiqua"/>
                <w:noProof/>
                <w:sz w:val="24"/>
                <w:szCs w:val="24"/>
              </w:rPr>
              <w:t>1</w:t>
            </w:r>
            <w:r w:rsidRPr="00780FA0">
              <w:rPr>
                <w:rFonts w:ascii="Book Antiqua" w:hAnsi="Book Antiqua"/>
                <w:sz w:val="24"/>
                <w:szCs w:val="24"/>
              </w:rPr>
              <w:fldChar w:fldCharType="end"/>
            </w:r>
          </w:p>
        </w:sdtContent>
      </w:sdt>
    </w:sdtContent>
  </w:sdt>
  <w:p w14:paraId="460A3582" w14:textId="77777777" w:rsidR="00780FA0" w:rsidRPr="00780FA0" w:rsidRDefault="00780FA0" w:rsidP="00780FA0">
    <w:pPr>
      <w:pStyle w:val="a7"/>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4D9D0F" w14:textId="77777777" w:rsidR="00BF080E" w:rsidRDefault="00BF080E" w:rsidP="00780FA0">
      <w:r>
        <w:separator/>
      </w:r>
    </w:p>
  </w:footnote>
  <w:footnote w:type="continuationSeparator" w:id="0">
    <w:p w14:paraId="74F2E748" w14:textId="77777777" w:rsidR="00BF080E" w:rsidRDefault="00BF080E" w:rsidP="00780FA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0E1A4F"/>
    <w:multiLevelType w:val="multilevel"/>
    <w:tmpl w:val="FDE87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BB3653A"/>
    <w:multiLevelType w:val="hybridMultilevel"/>
    <w:tmpl w:val="342867A2"/>
    <w:lvl w:ilvl="0" w:tplc="04100001">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46148"/>
    <w:rsid w:val="00056501"/>
    <w:rsid w:val="0009609A"/>
    <w:rsid w:val="000E2CA7"/>
    <w:rsid w:val="00120BD7"/>
    <w:rsid w:val="00126BEE"/>
    <w:rsid w:val="001C1A8D"/>
    <w:rsid w:val="00233AD7"/>
    <w:rsid w:val="00271C79"/>
    <w:rsid w:val="002836D7"/>
    <w:rsid w:val="0028666B"/>
    <w:rsid w:val="002A4382"/>
    <w:rsid w:val="002B7880"/>
    <w:rsid w:val="002C68D9"/>
    <w:rsid w:val="00307BC8"/>
    <w:rsid w:val="00310E5F"/>
    <w:rsid w:val="00344F10"/>
    <w:rsid w:val="003839C5"/>
    <w:rsid w:val="003A286C"/>
    <w:rsid w:val="00473EAF"/>
    <w:rsid w:val="004C5326"/>
    <w:rsid w:val="005348A1"/>
    <w:rsid w:val="005504CF"/>
    <w:rsid w:val="005A3F1F"/>
    <w:rsid w:val="005B1767"/>
    <w:rsid w:val="005C00B9"/>
    <w:rsid w:val="006013DE"/>
    <w:rsid w:val="0060197A"/>
    <w:rsid w:val="00602982"/>
    <w:rsid w:val="00640A8E"/>
    <w:rsid w:val="006567D3"/>
    <w:rsid w:val="006B4F1E"/>
    <w:rsid w:val="006C223B"/>
    <w:rsid w:val="00767B84"/>
    <w:rsid w:val="00780FA0"/>
    <w:rsid w:val="007E54F3"/>
    <w:rsid w:val="00831822"/>
    <w:rsid w:val="00854BD0"/>
    <w:rsid w:val="008755A0"/>
    <w:rsid w:val="008D3C43"/>
    <w:rsid w:val="008F4707"/>
    <w:rsid w:val="0091716C"/>
    <w:rsid w:val="0096056A"/>
    <w:rsid w:val="00A3602B"/>
    <w:rsid w:val="00A77B3E"/>
    <w:rsid w:val="00AD5510"/>
    <w:rsid w:val="00B0766D"/>
    <w:rsid w:val="00BE65F7"/>
    <w:rsid w:val="00BF080E"/>
    <w:rsid w:val="00C51CF1"/>
    <w:rsid w:val="00C57A8F"/>
    <w:rsid w:val="00CA2A55"/>
    <w:rsid w:val="00CF31DD"/>
    <w:rsid w:val="00D134EA"/>
    <w:rsid w:val="00D211A3"/>
    <w:rsid w:val="00D64388"/>
    <w:rsid w:val="00DA1715"/>
    <w:rsid w:val="00DF545B"/>
    <w:rsid w:val="00E423A3"/>
    <w:rsid w:val="00E45D24"/>
    <w:rsid w:val="00E73002"/>
    <w:rsid w:val="00E96842"/>
    <w:rsid w:val="00EC1F53"/>
    <w:rsid w:val="00FB28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787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iPriority="2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7880"/>
    <w:rPr>
      <w:rFonts w:eastAsia="Times New Roman"/>
      <w:sz w:val="24"/>
      <w:szCs w:val="24"/>
      <w:lang w:val="it-IT"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copre">
    <w:name w:val="acopre"/>
    <w:basedOn w:val="a0"/>
  </w:style>
  <w:style w:type="character" w:styleId="a3">
    <w:name w:val="annotation reference"/>
    <w:basedOn w:val="a0"/>
    <w:semiHidden/>
    <w:unhideWhenUsed/>
    <w:rsid w:val="00D134EA"/>
    <w:rPr>
      <w:sz w:val="21"/>
      <w:szCs w:val="21"/>
    </w:rPr>
  </w:style>
  <w:style w:type="paragraph" w:styleId="a4">
    <w:name w:val="annotation text"/>
    <w:basedOn w:val="a"/>
    <w:link w:val="Char"/>
    <w:semiHidden/>
    <w:unhideWhenUsed/>
    <w:rsid w:val="00D134EA"/>
    <w:rPr>
      <w:rFonts w:eastAsiaTheme="minorEastAsia"/>
      <w:lang w:val="en-US" w:eastAsia="en-US"/>
    </w:rPr>
  </w:style>
  <w:style w:type="character" w:customStyle="1" w:styleId="Char">
    <w:name w:val="批注文字 Char"/>
    <w:basedOn w:val="a0"/>
    <w:link w:val="a4"/>
    <w:semiHidden/>
    <w:rsid w:val="00D134EA"/>
    <w:rPr>
      <w:sz w:val="24"/>
      <w:szCs w:val="24"/>
    </w:rPr>
  </w:style>
  <w:style w:type="paragraph" w:styleId="a5">
    <w:name w:val="annotation subject"/>
    <w:basedOn w:val="a4"/>
    <w:next w:val="a4"/>
    <w:link w:val="Char0"/>
    <w:semiHidden/>
    <w:unhideWhenUsed/>
    <w:rsid w:val="00D134EA"/>
    <w:rPr>
      <w:b/>
      <w:bCs/>
    </w:rPr>
  </w:style>
  <w:style w:type="character" w:customStyle="1" w:styleId="Char0">
    <w:name w:val="批注主题 Char"/>
    <w:basedOn w:val="Char"/>
    <w:link w:val="a5"/>
    <w:semiHidden/>
    <w:rsid w:val="00D134EA"/>
    <w:rPr>
      <w:b/>
      <w:bCs/>
      <w:sz w:val="24"/>
      <w:szCs w:val="24"/>
    </w:rPr>
  </w:style>
  <w:style w:type="character" w:styleId="a6">
    <w:name w:val="Hyperlink"/>
    <w:basedOn w:val="a0"/>
    <w:unhideWhenUsed/>
    <w:rsid w:val="00EC1F53"/>
    <w:rPr>
      <w:color w:val="0000FF" w:themeColor="hyperlink"/>
      <w:u w:val="single"/>
    </w:rPr>
  </w:style>
  <w:style w:type="character" w:customStyle="1" w:styleId="UnresolvedMention">
    <w:name w:val="Unresolved Mention"/>
    <w:basedOn w:val="a0"/>
    <w:uiPriority w:val="99"/>
    <w:semiHidden/>
    <w:unhideWhenUsed/>
    <w:rsid w:val="00EC1F53"/>
    <w:rPr>
      <w:color w:val="605E5C"/>
      <w:shd w:val="clear" w:color="auto" w:fill="E1DFDD"/>
    </w:rPr>
  </w:style>
  <w:style w:type="paragraph" w:styleId="a7">
    <w:name w:val="footer"/>
    <w:basedOn w:val="a"/>
    <w:link w:val="Char1"/>
    <w:uiPriority w:val="99"/>
    <w:unhideWhenUsed/>
    <w:rsid w:val="0028666B"/>
    <w:pPr>
      <w:widowControl w:val="0"/>
      <w:tabs>
        <w:tab w:val="center" w:pos="4153"/>
        <w:tab w:val="right" w:pos="8306"/>
      </w:tabs>
      <w:snapToGrid w:val="0"/>
    </w:pPr>
    <w:rPr>
      <w:rFonts w:asciiTheme="minorHAnsi" w:eastAsiaTheme="minorEastAsia" w:hAnsiTheme="minorHAnsi" w:cstheme="minorBidi"/>
      <w:kern w:val="2"/>
      <w:sz w:val="18"/>
      <w:szCs w:val="18"/>
      <w:lang w:val="en-US"/>
    </w:rPr>
  </w:style>
  <w:style w:type="character" w:customStyle="1" w:styleId="Char1">
    <w:name w:val="页脚 Char"/>
    <w:basedOn w:val="a0"/>
    <w:link w:val="a7"/>
    <w:uiPriority w:val="99"/>
    <w:rsid w:val="0028666B"/>
    <w:rPr>
      <w:rFonts w:asciiTheme="minorHAnsi" w:hAnsiTheme="minorHAnsi" w:cstheme="minorBidi"/>
      <w:kern w:val="2"/>
      <w:sz w:val="18"/>
      <w:szCs w:val="18"/>
      <w:lang w:eastAsia="zh-CN"/>
    </w:rPr>
  </w:style>
  <w:style w:type="table" w:styleId="a8">
    <w:name w:val="Table Grid"/>
    <w:basedOn w:val="a1"/>
    <w:uiPriority w:val="39"/>
    <w:rsid w:val="00DA1715"/>
    <w:rPr>
      <w:rFonts w:asciiTheme="minorHAnsi" w:hAnsiTheme="minorHAnsi" w:cstheme="minorBid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Emphasis"/>
    <w:basedOn w:val="a0"/>
    <w:uiPriority w:val="20"/>
    <w:qFormat/>
    <w:rsid w:val="00DA1715"/>
    <w:rPr>
      <w:i/>
      <w:iCs/>
    </w:rPr>
  </w:style>
  <w:style w:type="paragraph" w:styleId="aa">
    <w:name w:val="List Paragraph"/>
    <w:basedOn w:val="a"/>
    <w:uiPriority w:val="34"/>
    <w:qFormat/>
    <w:rsid w:val="005A3F1F"/>
    <w:pPr>
      <w:ind w:left="720"/>
      <w:contextualSpacing/>
    </w:pPr>
    <w:rPr>
      <w:lang w:eastAsia="it-IT"/>
    </w:rPr>
  </w:style>
  <w:style w:type="paragraph" w:styleId="ab">
    <w:name w:val="header"/>
    <w:basedOn w:val="a"/>
    <w:link w:val="Char2"/>
    <w:unhideWhenUsed/>
    <w:rsid w:val="00780FA0"/>
    <w:pPr>
      <w:pBdr>
        <w:bottom w:val="single" w:sz="6" w:space="1" w:color="auto"/>
      </w:pBdr>
      <w:tabs>
        <w:tab w:val="center" w:pos="4153"/>
        <w:tab w:val="right" w:pos="8306"/>
      </w:tabs>
      <w:snapToGrid w:val="0"/>
      <w:jc w:val="center"/>
    </w:pPr>
    <w:rPr>
      <w:rFonts w:eastAsiaTheme="minorEastAsia"/>
      <w:sz w:val="18"/>
      <w:szCs w:val="18"/>
      <w:lang w:val="en-US" w:eastAsia="en-US"/>
    </w:rPr>
  </w:style>
  <w:style w:type="character" w:customStyle="1" w:styleId="Char2">
    <w:name w:val="页眉 Char"/>
    <w:basedOn w:val="a0"/>
    <w:link w:val="ab"/>
    <w:rsid w:val="00780FA0"/>
    <w:rPr>
      <w:sz w:val="18"/>
      <w:szCs w:val="18"/>
    </w:rPr>
  </w:style>
  <w:style w:type="paragraph" w:styleId="ac">
    <w:name w:val="Balloon Text"/>
    <w:basedOn w:val="a"/>
    <w:link w:val="Char3"/>
    <w:rsid w:val="00E73002"/>
    <w:rPr>
      <w:rFonts w:eastAsiaTheme="minorEastAsia"/>
      <w:sz w:val="18"/>
      <w:szCs w:val="18"/>
      <w:lang w:val="en-US" w:eastAsia="en-US"/>
    </w:rPr>
  </w:style>
  <w:style w:type="character" w:customStyle="1" w:styleId="Char3">
    <w:name w:val="批注框文本 Char"/>
    <w:basedOn w:val="a0"/>
    <w:link w:val="ac"/>
    <w:rsid w:val="00E73002"/>
    <w:rPr>
      <w:sz w:val="18"/>
      <w:szCs w:val="18"/>
    </w:rPr>
  </w:style>
  <w:style w:type="paragraph" w:styleId="ad">
    <w:name w:val="Revision"/>
    <w:hidden/>
    <w:uiPriority w:val="99"/>
    <w:semiHidden/>
    <w:rsid w:val="003839C5"/>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iPriority="2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7880"/>
    <w:rPr>
      <w:rFonts w:eastAsia="Times New Roman"/>
      <w:sz w:val="24"/>
      <w:szCs w:val="24"/>
      <w:lang w:val="it-IT"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copre">
    <w:name w:val="acopre"/>
    <w:basedOn w:val="a0"/>
  </w:style>
  <w:style w:type="character" w:styleId="a3">
    <w:name w:val="annotation reference"/>
    <w:basedOn w:val="a0"/>
    <w:semiHidden/>
    <w:unhideWhenUsed/>
    <w:rsid w:val="00D134EA"/>
    <w:rPr>
      <w:sz w:val="21"/>
      <w:szCs w:val="21"/>
    </w:rPr>
  </w:style>
  <w:style w:type="paragraph" w:styleId="a4">
    <w:name w:val="annotation text"/>
    <w:basedOn w:val="a"/>
    <w:link w:val="Char"/>
    <w:semiHidden/>
    <w:unhideWhenUsed/>
    <w:rsid w:val="00D134EA"/>
    <w:rPr>
      <w:rFonts w:eastAsiaTheme="minorEastAsia"/>
      <w:lang w:val="en-US" w:eastAsia="en-US"/>
    </w:rPr>
  </w:style>
  <w:style w:type="character" w:customStyle="1" w:styleId="Char">
    <w:name w:val="批注文字 Char"/>
    <w:basedOn w:val="a0"/>
    <w:link w:val="a4"/>
    <w:semiHidden/>
    <w:rsid w:val="00D134EA"/>
    <w:rPr>
      <w:sz w:val="24"/>
      <w:szCs w:val="24"/>
    </w:rPr>
  </w:style>
  <w:style w:type="paragraph" w:styleId="a5">
    <w:name w:val="annotation subject"/>
    <w:basedOn w:val="a4"/>
    <w:next w:val="a4"/>
    <w:link w:val="Char0"/>
    <w:semiHidden/>
    <w:unhideWhenUsed/>
    <w:rsid w:val="00D134EA"/>
    <w:rPr>
      <w:b/>
      <w:bCs/>
    </w:rPr>
  </w:style>
  <w:style w:type="character" w:customStyle="1" w:styleId="Char0">
    <w:name w:val="批注主题 Char"/>
    <w:basedOn w:val="Char"/>
    <w:link w:val="a5"/>
    <w:semiHidden/>
    <w:rsid w:val="00D134EA"/>
    <w:rPr>
      <w:b/>
      <w:bCs/>
      <w:sz w:val="24"/>
      <w:szCs w:val="24"/>
    </w:rPr>
  </w:style>
  <w:style w:type="character" w:styleId="a6">
    <w:name w:val="Hyperlink"/>
    <w:basedOn w:val="a0"/>
    <w:unhideWhenUsed/>
    <w:rsid w:val="00EC1F53"/>
    <w:rPr>
      <w:color w:val="0000FF" w:themeColor="hyperlink"/>
      <w:u w:val="single"/>
    </w:rPr>
  </w:style>
  <w:style w:type="character" w:customStyle="1" w:styleId="UnresolvedMention">
    <w:name w:val="Unresolved Mention"/>
    <w:basedOn w:val="a0"/>
    <w:uiPriority w:val="99"/>
    <w:semiHidden/>
    <w:unhideWhenUsed/>
    <w:rsid w:val="00EC1F53"/>
    <w:rPr>
      <w:color w:val="605E5C"/>
      <w:shd w:val="clear" w:color="auto" w:fill="E1DFDD"/>
    </w:rPr>
  </w:style>
  <w:style w:type="paragraph" w:styleId="a7">
    <w:name w:val="footer"/>
    <w:basedOn w:val="a"/>
    <w:link w:val="Char1"/>
    <w:uiPriority w:val="99"/>
    <w:unhideWhenUsed/>
    <w:rsid w:val="0028666B"/>
    <w:pPr>
      <w:widowControl w:val="0"/>
      <w:tabs>
        <w:tab w:val="center" w:pos="4153"/>
        <w:tab w:val="right" w:pos="8306"/>
      </w:tabs>
      <w:snapToGrid w:val="0"/>
    </w:pPr>
    <w:rPr>
      <w:rFonts w:asciiTheme="minorHAnsi" w:eastAsiaTheme="minorEastAsia" w:hAnsiTheme="minorHAnsi" w:cstheme="minorBidi"/>
      <w:kern w:val="2"/>
      <w:sz w:val="18"/>
      <w:szCs w:val="18"/>
      <w:lang w:val="en-US"/>
    </w:rPr>
  </w:style>
  <w:style w:type="character" w:customStyle="1" w:styleId="Char1">
    <w:name w:val="页脚 Char"/>
    <w:basedOn w:val="a0"/>
    <w:link w:val="a7"/>
    <w:uiPriority w:val="99"/>
    <w:rsid w:val="0028666B"/>
    <w:rPr>
      <w:rFonts w:asciiTheme="minorHAnsi" w:hAnsiTheme="minorHAnsi" w:cstheme="minorBidi"/>
      <w:kern w:val="2"/>
      <w:sz w:val="18"/>
      <w:szCs w:val="18"/>
      <w:lang w:eastAsia="zh-CN"/>
    </w:rPr>
  </w:style>
  <w:style w:type="table" w:styleId="a8">
    <w:name w:val="Table Grid"/>
    <w:basedOn w:val="a1"/>
    <w:uiPriority w:val="39"/>
    <w:rsid w:val="00DA1715"/>
    <w:rPr>
      <w:rFonts w:asciiTheme="minorHAnsi" w:hAnsiTheme="minorHAnsi" w:cstheme="minorBid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Emphasis"/>
    <w:basedOn w:val="a0"/>
    <w:uiPriority w:val="20"/>
    <w:qFormat/>
    <w:rsid w:val="00DA1715"/>
    <w:rPr>
      <w:i/>
      <w:iCs/>
    </w:rPr>
  </w:style>
  <w:style w:type="paragraph" w:styleId="aa">
    <w:name w:val="List Paragraph"/>
    <w:basedOn w:val="a"/>
    <w:uiPriority w:val="34"/>
    <w:qFormat/>
    <w:rsid w:val="005A3F1F"/>
    <w:pPr>
      <w:ind w:left="720"/>
      <w:contextualSpacing/>
    </w:pPr>
    <w:rPr>
      <w:lang w:eastAsia="it-IT"/>
    </w:rPr>
  </w:style>
  <w:style w:type="paragraph" w:styleId="ab">
    <w:name w:val="header"/>
    <w:basedOn w:val="a"/>
    <w:link w:val="Char2"/>
    <w:unhideWhenUsed/>
    <w:rsid w:val="00780FA0"/>
    <w:pPr>
      <w:pBdr>
        <w:bottom w:val="single" w:sz="6" w:space="1" w:color="auto"/>
      </w:pBdr>
      <w:tabs>
        <w:tab w:val="center" w:pos="4153"/>
        <w:tab w:val="right" w:pos="8306"/>
      </w:tabs>
      <w:snapToGrid w:val="0"/>
      <w:jc w:val="center"/>
    </w:pPr>
    <w:rPr>
      <w:rFonts w:eastAsiaTheme="minorEastAsia"/>
      <w:sz w:val="18"/>
      <w:szCs w:val="18"/>
      <w:lang w:val="en-US" w:eastAsia="en-US"/>
    </w:rPr>
  </w:style>
  <w:style w:type="character" w:customStyle="1" w:styleId="Char2">
    <w:name w:val="页眉 Char"/>
    <w:basedOn w:val="a0"/>
    <w:link w:val="ab"/>
    <w:rsid w:val="00780FA0"/>
    <w:rPr>
      <w:sz w:val="18"/>
      <w:szCs w:val="18"/>
    </w:rPr>
  </w:style>
  <w:style w:type="paragraph" w:styleId="ac">
    <w:name w:val="Balloon Text"/>
    <w:basedOn w:val="a"/>
    <w:link w:val="Char3"/>
    <w:rsid w:val="00E73002"/>
    <w:rPr>
      <w:rFonts w:eastAsiaTheme="minorEastAsia"/>
      <w:sz w:val="18"/>
      <w:szCs w:val="18"/>
      <w:lang w:val="en-US" w:eastAsia="en-US"/>
    </w:rPr>
  </w:style>
  <w:style w:type="character" w:customStyle="1" w:styleId="Char3">
    <w:name w:val="批注框文本 Char"/>
    <w:basedOn w:val="a0"/>
    <w:link w:val="ac"/>
    <w:rsid w:val="00E73002"/>
    <w:rPr>
      <w:sz w:val="18"/>
      <w:szCs w:val="18"/>
    </w:rPr>
  </w:style>
  <w:style w:type="paragraph" w:styleId="ad">
    <w:name w:val="Revision"/>
    <w:hidden/>
    <w:uiPriority w:val="99"/>
    <w:semiHidden/>
    <w:rsid w:val="003839C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5754165">
      <w:bodyDiv w:val="1"/>
      <w:marLeft w:val="0"/>
      <w:marRight w:val="0"/>
      <w:marTop w:val="0"/>
      <w:marBottom w:val="0"/>
      <w:divBdr>
        <w:top w:val="none" w:sz="0" w:space="0" w:color="auto"/>
        <w:left w:val="none" w:sz="0" w:space="0" w:color="auto"/>
        <w:bottom w:val="none" w:sz="0" w:space="0" w:color="auto"/>
        <w:right w:val="none" w:sz="0" w:space="0" w:color="auto"/>
      </w:divBdr>
    </w:div>
    <w:div w:id="1059329328">
      <w:bodyDiv w:val="1"/>
      <w:marLeft w:val="0"/>
      <w:marRight w:val="0"/>
      <w:marTop w:val="0"/>
      <w:marBottom w:val="0"/>
      <w:divBdr>
        <w:top w:val="none" w:sz="0" w:space="0" w:color="auto"/>
        <w:left w:val="none" w:sz="0" w:space="0" w:color="auto"/>
        <w:bottom w:val="none" w:sz="0" w:space="0" w:color="auto"/>
        <w:right w:val="none" w:sz="0" w:space="0" w:color="auto"/>
      </w:divBdr>
    </w:div>
    <w:div w:id="1588268983">
      <w:bodyDiv w:val="1"/>
      <w:marLeft w:val="0"/>
      <w:marRight w:val="0"/>
      <w:marTop w:val="0"/>
      <w:marBottom w:val="0"/>
      <w:divBdr>
        <w:top w:val="none" w:sz="0" w:space="0" w:color="auto"/>
        <w:left w:val="none" w:sz="0" w:space="0" w:color="auto"/>
        <w:bottom w:val="none" w:sz="0" w:space="0" w:color="auto"/>
        <w:right w:val="none" w:sz="0" w:space="0" w:color="auto"/>
      </w:divBdr>
    </w:div>
    <w:div w:id="1811826274">
      <w:bodyDiv w:val="1"/>
      <w:marLeft w:val="0"/>
      <w:marRight w:val="0"/>
      <w:marTop w:val="0"/>
      <w:marBottom w:val="0"/>
      <w:divBdr>
        <w:top w:val="none" w:sz="0" w:space="0" w:color="auto"/>
        <w:left w:val="none" w:sz="0" w:space="0" w:color="auto"/>
        <w:bottom w:val="none" w:sz="0" w:space="0" w:color="auto"/>
        <w:right w:val="none" w:sz="0" w:space="0" w:color="auto"/>
      </w:divBdr>
    </w:div>
    <w:div w:id="20699157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TotalTime>
  <Pages>43</Pages>
  <Words>10293</Words>
  <Characters>58673</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liujihong2008@qq.con</cp:lastModifiedBy>
  <cp:revision>32</cp:revision>
  <dcterms:created xsi:type="dcterms:W3CDTF">2021-04-28T13:54:00Z</dcterms:created>
  <dcterms:modified xsi:type="dcterms:W3CDTF">2021-06-04T01:35:00Z</dcterms:modified>
</cp:coreProperties>
</file>