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6F902"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 xml:space="preserve">Name of Journal: </w:t>
      </w:r>
      <w:r w:rsidRPr="006A140B">
        <w:rPr>
          <w:rFonts w:ascii="Book Antiqua" w:eastAsia="Book Antiqua" w:hAnsi="Book Antiqua" w:cs="Book Antiqua"/>
          <w:i/>
          <w:color w:val="000000"/>
        </w:rPr>
        <w:t>World Journal of Gastroenterology</w:t>
      </w:r>
    </w:p>
    <w:p w14:paraId="107B78F4"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 xml:space="preserve">Manuscript NO: </w:t>
      </w:r>
      <w:r w:rsidRPr="006A140B">
        <w:rPr>
          <w:rFonts w:ascii="Book Antiqua" w:eastAsia="Book Antiqua" w:hAnsi="Book Antiqua" w:cs="Book Antiqua"/>
          <w:color w:val="000000"/>
        </w:rPr>
        <w:t>63415</w:t>
      </w:r>
    </w:p>
    <w:p w14:paraId="6BDBD718"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 xml:space="preserve">Manuscript Type: </w:t>
      </w:r>
      <w:r w:rsidRPr="006A140B">
        <w:rPr>
          <w:rFonts w:ascii="Book Antiqua" w:eastAsia="Book Antiqua" w:hAnsi="Book Antiqua" w:cs="Book Antiqua"/>
          <w:color w:val="000000"/>
        </w:rPr>
        <w:t>REVIEW</w:t>
      </w:r>
    </w:p>
    <w:p w14:paraId="6BD7A53C" w14:textId="77777777" w:rsidR="00A77B3E" w:rsidRPr="006A140B" w:rsidRDefault="00A77B3E" w:rsidP="00495B7C">
      <w:pPr>
        <w:spacing w:line="360" w:lineRule="auto"/>
        <w:jc w:val="both"/>
        <w:rPr>
          <w:rFonts w:ascii="Book Antiqua" w:hAnsi="Book Antiqua"/>
        </w:rPr>
      </w:pPr>
    </w:p>
    <w:p w14:paraId="4AEACFD4" w14:textId="504CA192"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Hepatocellular </w:t>
      </w:r>
      <w:r w:rsidR="00E4107C" w:rsidRPr="006A140B">
        <w:rPr>
          <w:rFonts w:ascii="Book Antiqua" w:eastAsia="Book Antiqua" w:hAnsi="Book Antiqua" w:cs="Book Antiqua"/>
          <w:b/>
          <w:bCs/>
          <w:color w:val="000000"/>
        </w:rPr>
        <w:t>c</w:t>
      </w:r>
      <w:r w:rsidRPr="006A140B">
        <w:rPr>
          <w:rFonts w:ascii="Book Antiqua" w:eastAsia="Book Antiqua" w:hAnsi="Book Antiqua" w:cs="Book Antiqua"/>
          <w:b/>
          <w:bCs/>
          <w:color w:val="000000"/>
        </w:rPr>
        <w:t xml:space="preserve">arcinoma in </w:t>
      </w:r>
      <w:r w:rsidR="00E4107C" w:rsidRPr="006A140B">
        <w:rPr>
          <w:rFonts w:ascii="Book Antiqua" w:eastAsia="Book Antiqua" w:hAnsi="Book Antiqua" w:cs="Book Antiqua"/>
          <w:b/>
          <w:bCs/>
          <w:color w:val="000000"/>
        </w:rPr>
        <w:t>p</w:t>
      </w:r>
      <w:r w:rsidRPr="006A140B">
        <w:rPr>
          <w:rFonts w:ascii="Book Antiqua" w:eastAsia="Book Antiqua" w:hAnsi="Book Antiqua" w:cs="Book Antiqua"/>
          <w:b/>
          <w:bCs/>
          <w:color w:val="000000"/>
        </w:rPr>
        <w:t xml:space="preserve">atients with </w:t>
      </w:r>
      <w:r w:rsidR="00E4107C" w:rsidRPr="006A140B">
        <w:rPr>
          <w:rFonts w:ascii="Book Antiqua" w:eastAsia="Book Antiqua" w:hAnsi="Book Antiqua" w:cs="Book Antiqua"/>
          <w:b/>
          <w:bCs/>
          <w:color w:val="000000"/>
        </w:rPr>
        <w:t>r</w:t>
      </w:r>
      <w:r w:rsidRPr="006A140B">
        <w:rPr>
          <w:rFonts w:ascii="Book Antiqua" w:eastAsia="Book Antiqua" w:hAnsi="Book Antiqua" w:cs="Book Antiqua"/>
          <w:b/>
          <w:bCs/>
          <w:color w:val="000000"/>
        </w:rPr>
        <w:t xml:space="preserve">enal </w:t>
      </w:r>
      <w:r w:rsidR="00E4107C" w:rsidRPr="006A140B">
        <w:rPr>
          <w:rFonts w:ascii="Book Antiqua" w:eastAsia="Book Antiqua" w:hAnsi="Book Antiqua" w:cs="Book Antiqua"/>
          <w:b/>
          <w:bCs/>
          <w:color w:val="000000"/>
        </w:rPr>
        <w:t>d</w:t>
      </w:r>
      <w:r w:rsidRPr="006A140B">
        <w:rPr>
          <w:rFonts w:ascii="Book Antiqua" w:eastAsia="Book Antiqua" w:hAnsi="Book Antiqua" w:cs="Book Antiqua"/>
          <w:b/>
          <w:bCs/>
          <w:color w:val="000000"/>
        </w:rPr>
        <w:t xml:space="preserve">ysfunction: Pathophysiology, </w:t>
      </w:r>
      <w:r w:rsidR="00E4107C" w:rsidRPr="006A140B">
        <w:rPr>
          <w:rFonts w:ascii="Book Antiqua" w:eastAsia="Book Antiqua" w:hAnsi="Book Antiqua" w:cs="Book Antiqua"/>
          <w:b/>
          <w:bCs/>
          <w:color w:val="000000"/>
        </w:rPr>
        <w:t>p</w:t>
      </w:r>
      <w:r w:rsidRPr="006A140B">
        <w:rPr>
          <w:rFonts w:ascii="Book Antiqua" w:eastAsia="Book Antiqua" w:hAnsi="Book Antiqua" w:cs="Book Antiqua"/>
          <w:b/>
          <w:bCs/>
          <w:color w:val="000000"/>
        </w:rPr>
        <w:t xml:space="preserve">rognosis, and </w:t>
      </w:r>
      <w:r w:rsidR="00E4107C" w:rsidRPr="006A140B">
        <w:rPr>
          <w:rFonts w:ascii="Book Antiqua" w:eastAsia="Book Antiqua" w:hAnsi="Book Antiqua" w:cs="Book Antiqua"/>
          <w:b/>
          <w:bCs/>
          <w:color w:val="000000"/>
        </w:rPr>
        <w:t>t</w:t>
      </w:r>
      <w:r w:rsidRPr="006A140B">
        <w:rPr>
          <w:rFonts w:ascii="Book Antiqua" w:eastAsia="Book Antiqua" w:hAnsi="Book Antiqua" w:cs="Book Antiqua"/>
          <w:b/>
          <w:bCs/>
          <w:color w:val="000000"/>
        </w:rPr>
        <w:t xml:space="preserve">reatment </w:t>
      </w:r>
      <w:r w:rsidR="00E4107C" w:rsidRPr="006A140B">
        <w:rPr>
          <w:rFonts w:ascii="Book Antiqua" w:eastAsia="Book Antiqua" w:hAnsi="Book Antiqua" w:cs="Book Antiqua"/>
          <w:b/>
          <w:bCs/>
          <w:color w:val="000000"/>
        </w:rPr>
        <w:t>c</w:t>
      </w:r>
      <w:r w:rsidRPr="006A140B">
        <w:rPr>
          <w:rFonts w:ascii="Book Antiqua" w:eastAsia="Book Antiqua" w:hAnsi="Book Antiqua" w:cs="Book Antiqua"/>
          <w:b/>
          <w:bCs/>
          <w:color w:val="000000"/>
        </w:rPr>
        <w:t>hallenges</w:t>
      </w:r>
    </w:p>
    <w:p w14:paraId="2D33DA8C" w14:textId="77777777" w:rsidR="00A77B3E" w:rsidRPr="006A140B" w:rsidRDefault="00A77B3E" w:rsidP="00495B7C">
      <w:pPr>
        <w:spacing w:line="360" w:lineRule="auto"/>
        <w:jc w:val="both"/>
        <w:rPr>
          <w:rFonts w:ascii="Book Antiqua" w:hAnsi="Book Antiqua"/>
        </w:rPr>
      </w:pPr>
    </w:p>
    <w:p w14:paraId="3954013B" w14:textId="4BE21CB3" w:rsidR="00A77B3E" w:rsidRPr="006A140B" w:rsidRDefault="00311EE5" w:rsidP="00495B7C">
      <w:pPr>
        <w:spacing w:line="360" w:lineRule="auto"/>
        <w:jc w:val="both"/>
        <w:rPr>
          <w:rFonts w:ascii="Book Antiqua" w:hAnsi="Book Antiqua"/>
        </w:rPr>
      </w:pPr>
      <w:r w:rsidRPr="006A140B">
        <w:rPr>
          <w:rFonts w:ascii="Book Antiqua" w:eastAsia="Book Antiqua" w:hAnsi="Book Antiqua" w:cs="Book Antiqua"/>
          <w:color w:val="000000"/>
        </w:rPr>
        <w:t xml:space="preserve">Yeh H </w:t>
      </w:r>
      <w:r w:rsidRPr="006A140B">
        <w:rPr>
          <w:rFonts w:ascii="Book Antiqua" w:eastAsia="Book Antiqua" w:hAnsi="Book Antiqua" w:cs="Book Antiqua"/>
          <w:i/>
          <w:iCs/>
          <w:color w:val="000000"/>
        </w:rPr>
        <w:t>et al</w:t>
      </w:r>
      <w:r w:rsidRPr="006A140B">
        <w:rPr>
          <w:rFonts w:ascii="Book Antiqua" w:eastAsia="Book Antiqua" w:hAnsi="Book Antiqua" w:cs="Book Antiqua"/>
          <w:color w:val="000000"/>
        </w:rPr>
        <w:t xml:space="preserve">. </w:t>
      </w:r>
      <w:r w:rsidR="007D6307" w:rsidRPr="006A140B">
        <w:rPr>
          <w:rFonts w:ascii="Book Antiqua" w:eastAsia="Book Antiqua" w:hAnsi="Book Antiqua" w:cs="Book Antiqua"/>
          <w:color w:val="000000"/>
        </w:rPr>
        <w:t xml:space="preserve">Hepatocellular </w:t>
      </w:r>
      <w:r w:rsidR="00ED7F16" w:rsidRPr="006A140B">
        <w:rPr>
          <w:rFonts w:ascii="Book Antiqua" w:eastAsia="Book Antiqua" w:hAnsi="Book Antiqua" w:cs="Book Antiqua"/>
          <w:color w:val="000000"/>
        </w:rPr>
        <w:t>c</w:t>
      </w:r>
      <w:r w:rsidR="007D6307" w:rsidRPr="006A140B">
        <w:rPr>
          <w:rFonts w:ascii="Book Antiqua" w:eastAsia="Book Antiqua" w:hAnsi="Book Antiqua" w:cs="Book Antiqua"/>
          <w:color w:val="000000"/>
        </w:rPr>
        <w:t xml:space="preserve">arcinoma in </w:t>
      </w:r>
      <w:r w:rsidR="00ED7F16" w:rsidRPr="006A140B">
        <w:rPr>
          <w:rFonts w:ascii="Book Antiqua" w:eastAsia="Book Antiqua" w:hAnsi="Book Antiqua" w:cs="Book Antiqua"/>
          <w:color w:val="000000"/>
        </w:rPr>
        <w:t>r</w:t>
      </w:r>
      <w:r w:rsidR="007D6307" w:rsidRPr="006A140B">
        <w:rPr>
          <w:rFonts w:ascii="Book Antiqua" w:eastAsia="Book Antiqua" w:hAnsi="Book Antiqua" w:cs="Book Antiqua"/>
          <w:color w:val="000000"/>
        </w:rPr>
        <w:t xml:space="preserve">enal </w:t>
      </w:r>
      <w:r w:rsidR="00ED7F16" w:rsidRPr="006A140B">
        <w:rPr>
          <w:rFonts w:ascii="Book Antiqua" w:eastAsia="Book Antiqua" w:hAnsi="Book Antiqua" w:cs="Book Antiqua"/>
          <w:color w:val="000000"/>
        </w:rPr>
        <w:t>d</w:t>
      </w:r>
      <w:r w:rsidR="007D6307" w:rsidRPr="006A140B">
        <w:rPr>
          <w:rFonts w:ascii="Book Antiqua" w:eastAsia="Book Antiqua" w:hAnsi="Book Antiqua" w:cs="Book Antiqua"/>
          <w:color w:val="000000"/>
        </w:rPr>
        <w:t>ysfunction</w:t>
      </w:r>
    </w:p>
    <w:p w14:paraId="66BFFC23" w14:textId="77777777" w:rsidR="00A77B3E" w:rsidRPr="006A140B" w:rsidRDefault="00A77B3E" w:rsidP="00495B7C">
      <w:pPr>
        <w:spacing w:line="360" w:lineRule="auto"/>
        <w:jc w:val="both"/>
        <w:rPr>
          <w:rFonts w:ascii="Book Antiqua" w:hAnsi="Book Antiqua"/>
        </w:rPr>
      </w:pPr>
    </w:p>
    <w:p w14:paraId="6E38C465"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color w:val="000000"/>
        </w:rPr>
        <w:t>Hsuan Yeh, Chung-Cheng Chiang, Tzung-Hai Yen</w:t>
      </w:r>
    </w:p>
    <w:p w14:paraId="12D3564C" w14:textId="77777777" w:rsidR="00A77B3E" w:rsidRPr="006A140B" w:rsidRDefault="00A77B3E" w:rsidP="00495B7C">
      <w:pPr>
        <w:spacing w:line="360" w:lineRule="auto"/>
        <w:jc w:val="both"/>
        <w:rPr>
          <w:rFonts w:ascii="Book Antiqua" w:hAnsi="Book Antiqua"/>
        </w:rPr>
      </w:pPr>
    </w:p>
    <w:p w14:paraId="50A261F9"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Hsuan Yeh, Tzung-Hai Yen, </w:t>
      </w:r>
      <w:r w:rsidRPr="006A140B">
        <w:rPr>
          <w:rFonts w:ascii="Book Antiqua" w:eastAsia="Book Antiqua" w:hAnsi="Book Antiqua" w:cs="Book Antiqua"/>
          <w:color w:val="000000"/>
        </w:rPr>
        <w:t>Department of Nephrology, Chang Gung Memorial Hospital, Taipei 105, Taiwan</w:t>
      </w:r>
    </w:p>
    <w:p w14:paraId="0095686D" w14:textId="77777777" w:rsidR="00A77B3E" w:rsidRPr="006A140B" w:rsidRDefault="00A77B3E" w:rsidP="00495B7C">
      <w:pPr>
        <w:spacing w:line="360" w:lineRule="auto"/>
        <w:jc w:val="both"/>
        <w:rPr>
          <w:rFonts w:ascii="Book Antiqua" w:hAnsi="Book Antiqua"/>
        </w:rPr>
      </w:pPr>
    </w:p>
    <w:p w14:paraId="7ED3BE56"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Chung-Cheng Chiang, </w:t>
      </w:r>
      <w:r w:rsidRPr="006A140B">
        <w:rPr>
          <w:rFonts w:ascii="Book Antiqua" w:eastAsia="Book Antiqua" w:hAnsi="Book Antiqua" w:cs="Book Antiqua"/>
          <w:color w:val="000000"/>
        </w:rPr>
        <w:t>Department of Gastroenterology and Hepatology, Chang Gung Memorial Hospital, Taoyuan 333, Taiwan</w:t>
      </w:r>
    </w:p>
    <w:p w14:paraId="1C39F7E9" w14:textId="77777777" w:rsidR="00A77B3E" w:rsidRPr="006A140B" w:rsidRDefault="00A77B3E" w:rsidP="00495B7C">
      <w:pPr>
        <w:spacing w:line="360" w:lineRule="auto"/>
        <w:jc w:val="both"/>
        <w:rPr>
          <w:rFonts w:ascii="Book Antiqua" w:hAnsi="Book Antiqua"/>
        </w:rPr>
      </w:pPr>
    </w:p>
    <w:p w14:paraId="76E85EA9" w14:textId="79A93D40"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Author contributions: </w:t>
      </w:r>
      <w:r w:rsidR="007B16CA" w:rsidRPr="006A140B">
        <w:rPr>
          <w:rFonts w:ascii="Book Antiqua" w:eastAsia="Book Antiqua" w:hAnsi="Book Antiqua" w:cs="Book Antiqua"/>
          <w:color w:val="000000"/>
        </w:rPr>
        <w:t xml:space="preserve">Yeh </w:t>
      </w:r>
      <w:r w:rsidRPr="006A140B">
        <w:rPr>
          <w:rFonts w:ascii="Book Antiqua" w:eastAsia="Book Antiqua" w:hAnsi="Book Antiqua" w:cs="Book Antiqua"/>
          <w:color w:val="000000"/>
        </w:rPr>
        <w:t>H</w:t>
      </w:r>
      <w:r w:rsidRPr="006A140B">
        <w:rPr>
          <w:rFonts w:ascii="Book Antiqua" w:eastAsia="Book Antiqua" w:hAnsi="Book Antiqua" w:cs="Book Antiqua"/>
          <w:color w:val="000000"/>
          <w:vertAlign w:val="superscript"/>
        </w:rPr>
        <w:t xml:space="preserve"> </w:t>
      </w:r>
      <w:r w:rsidRPr="006A140B">
        <w:rPr>
          <w:rFonts w:ascii="Book Antiqua" w:eastAsia="Book Antiqua" w:hAnsi="Book Antiqua" w:cs="Book Antiqua"/>
          <w:color w:val="000000"/>
        </w:rPr>
        <w:t xml:space="preserve">and </w:t>
      </w:r>
      <w:r w:rsidR="007B16CA" w:rsidRPr="006A140B">
        <w:rPr>
          <w:rFonts w:ascii="Book Antiqua" w:eastAsia="Book Antiqua" w:hAnsi="Book Antiqua" w:cs="Book Antiqua"/>
          <w:color w:val="000000"/>
        </w:rPr>
        <w:t xml:space="preserve">Chiang </w:t>
      </w:r>
      <w:r w:rsidRPr="006A140B">
        <w:rPr>
          <w:rFonts w:ascii="Book Antiqua" w:eastAsia="Book Antiqua" w:hAnsi="Book Antiqua" w:cs="Book Antiqua"/>
          <w:color w:val="000000"/>
        </w:rPr>
        <w:t xml:space="preserve">CC contributed equally to this study, and both contributed to data collection and manuscript writing; </w:t>
      </w:r>
      <w:r w:rsidR="007B16CA" w:rsidRPr="006A140B">
        <w:rPr>
          <w:rFonts w:ascii="Book Antiqua" w:eastAsia="Book Antiqua" w:hAnsi="Book Antiqua" w:cs="Book Antiqua"/>
          <w:color w:val="000000"/>
        </w:rPr>
        <w:t xml:space="preserve">Yen </w:t>
      </w:r>
      <w:r w:rsidRPr="006A140B">
        <w:rPr>
          <w:rFonts w:ascii="Book Antiqua" w:eastAsia="Book Antiqua" w:hAnsi="Book Antiqua" w:cs="Book Antiqua"/>
          <w:color w:val="000000"/>
        </w:rPr>
        <w:t>TH contributed to study design and supervision.</w:t>
      </w:r>
    </w:p>
    <w:p w14:paraId="4B84825D" w14:textId="77777777" w:rsidR="00A77B3E" w:rsidRPr="006A140B" w:rsidRDefault="00A77B3E" w:rsidP="00495B7C">
      <w:pPr>
        <w:spacing w:line="360" w:lineRule="auto"/>
        <w:jc w:val="both"/>
        <w:rPr>
          <w:rFonts w:ascii="Book Antiqua" w:hAnsi="Book Antiqua"/>
        </w:rPr>
      </w:pPr>
    </w:p>
    <w:p w14:paraId="358A0520" w14:textId="2EC89146"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Supported by </w:t>
      </w:r>
      <w:r w:rsidRPr="006A140B">
        <w:rPr>
          <w:rFonts w:ascii="Book Antiqua" w:eastAsia="Book Antiqua" w:hAnsi="Book Antiqua" w:cs="Book Antiqua"/>
          <w:color w:val="000000"/>
        </w:rPr>
        <w:t>Chang Gung Memorial Hospital</w:t>
      </w:r>
      <w:r w:rsidR="00084459" w:rsidRPr="006A140B">
        <w:rPr>
          <w:rFonts w:ascii="Book Antiqua" w:eastAsia="Book Antiqua" w:hAnsi="Book Antiqua" w:cs="Book Antiqua"/>
          <w:color w:val="000000"/>
        </w:rPr>
        <w:t xml:space="preserve">, No. </w:t>
      </w:r>
      <w:r w:rsidRPr="006A140B">
        <w:rPr>
          <w:rFonts w:ascii="Book Antiqua" w:eastAsia="Book Antiqua" w:hAnsi="Book Antiqua" w:cs="Book Antiqua"/>
          <w:color w:val="000000"/>
        </w:rPr>
        <w:t xml:space="preserve">CORPG3K0191, </w:t>
      </w:r>
      <w:r w:rsidR="00084459" w:rsidRPr="006A140B">
        <w:rPr>
          <w:rFonts w:ascii="Book Antiqua" w:eastAsia="Book Antiqua" w:hAnsi="Book Antiqua" w:cs="Book Antiqua"/>
          <w:color w:val="000000"/>
        </w:rPr>
        <w:t xml:space="preserve">No. </w:t>
      </w:r>
      <w:r w:rsidRPr="006A140B">
        <w:rPr>
          <w:rFonts w:ascii="Book Antiqua" w:eastAsia="Book Antiqua" w:hAnsi="Book Antiqua" w:cs="Book Antiqua"/>
          <w:color w:val="000000"/>
        </w:rPr>
        <w:t xml:space="preserve">CMRPG3G0871, </w:t>
      </w:r>
      <w:r w:rsidR="00084459" w:rsidRPr="006A140B">
        <w:rPr>
          <w:rFonts w:ascii="Book Antiqua" w:eastAsia="Book Antiqua" w:hAnsi="Book Antiqua" w:cs="Book Antiqua"/>
          <w:color w:val="000000"/>
        </w:rPr>
        <w:t xml:space="preserve">and No. </w:t>
      </w:r>
      <w:r w:rsidRPr="006A140B">
        <w:rPr>
          <w:rFonts w:ascii="Book Antiqua" w:eastAsia="Book Antiqua" w:hAnsi="Book Antiqua" w:cs="Book Antiqua"/>
          <w:color w:val="000000"/>
        </w:rPr>
        <w:t>CMRPG3G0872.</w:t>
      </w:r>
    </w:p>
    <w:p w14:paraId="0AF36037" w14:textId="77777777" w:rsidR="00A77B3E" w:rsidRPr="006A140B" w:rsidRDefault="00A77B3E" w:rsidP="00495B7C">
      <w:pPr>
        <w:spacing w:line="360" w:lineRule="auto"/>
        <w:jc w:val="both"/>
        <w:rPr>
          <w:rFonts w:ascii="Book Antiqua" w:hAnsi="Book Antiqua"/>
        </w:rPr>
      </w:pPr>
    </w:p>
    <w:p w14:paraId="35BECB50" w14:textId="7E60122E"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Corresponding author: Tzung-Hai Yen, MD, PhD, Doctor, Professor, </w:t>
      </w:r>
      <w:r w:rsidRPr="006A140B">
        <w:rPr>
          <w:rFonts w:ascii="Book Antiqua" w:eastAsia="Book Antiqua" w:hAnsi="Book Antiqua" w:cs="Book Antiqua"/>
          <w:color w:val="000000"/>
        </w:rPr>
        <w:t xml:space="preserve">Department of Nephrology, Chang Gung Memorial Hospital, </w:t>
      </w:r>
      <w:r w:rsidR="00595969" w:rsidRPr="006A140B">
        <w:rPr>
          <w:rFonts w:ascii="Book Antiqua" w:eastAsia="Book Antiqua" w:hAnsi="Book Antiqua" w:cs="Book Antiqua"/>
          <w:color w:val="000000"/>
        </w:rPr>
        <w:t xml:space="preserve">No. </w:t>
      </w:r>
      <w:r w:rsidRPr="006A140B">
        <w:rPr>
          <w:rFonts w:ascii="Book Antiqua" w:eastAsia="Book Antiqua" w:hAnsi="Book Antiqua" w:cs="Book Antiqua"/>
          <w:color w:val="000000"/>
        </w:rPr>
        <w:t>199 Tung Hwa North Road, Taipei 105, Taiwan. m19570@adm.cgmh.org.tw</w:t>
      </w:r>
    </w:p>
    <w:p w14:paraId="738A91C7" w14:textId="77777777" w:rsidR="00A77B3E" w:rsidRPr="006A140B" w:rsidRDefault="00A77B3E" w:rsidP="00495B7C">
      <w:pPr>
        <w:spacing w:line="360" w:lineRule="auto"/>
        <w:jc w:val="both"/>
        <w:rPr>
          <w:rFonts w:ascii="Book Antiqua" w:hAnsi="Book Antiqua"/>
        </w:rPr>
      </w:pPr>
    </w:p>
    <w:p w14:paraId="260777B4"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Received: </w:t>
      </w:r>
      <w:r w:rsidRPr="006A140B">
        <w:rPr>
          <w:rFonts w:ascii="Book Antiqua" w:eastAsia="Book Antiqua" w:hAnsi="Book Antiqua" w:cs="Book Antiqua"/>
          <w:color w:val="000000"/>
        </w:rPr>
        <w:t>January 28, 2021</w:t>
      </w:r>
    </w:p>
    <w:p w14:paraId="07880A56"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lastRenderedPageBreak/>
        <w:t xml:space="preserve">Revised: </w:t>
      </w:r>
      <w:r w:rsidRPr="006A140B">
        <w:rPr>
          <w:rFonts w:ascii="Book Antiqua" w:eastAsia="Book Antiqua" w:hAnsi="Book Antiqua" w:cs="Book Antiqua"/>
          <w:color w:val="000000"/>
        </w:rPr>
        <w:t>March 17, 2021</w:t>
      </w:r>
    </w:p>
    <w:p w14:paraId="090145D6" w14:textId="46D31606"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Accepted: </w:t>
      </w:r>
      <w:bookmarkStart w:id="0" w:name="OLE_LINK15"/>
      <w:bookmarkStart w:id="1" w:name="OLE_LINK33"/>
      <w:bookmarkStart w:id="2" w:name="OLE_LINK48"/>
      <w:r w:rsidR="00F129C7" w:rsidRPr="006A140B">
        <w:rPr>
          <w:rFonts w:ascii="Book Antiqua" w:eastAsia="宋体" w:hAnsi="Book Antiqua"/>
          <w:color w:val="000000" w:themeColor="text1"/>
        </w:rPr>
        <w:t>J</w:t>
      </w:r>
      <w:r w:rsidR="00F129C7" w:rsidRPr="006A140B">
        <w:rPr>
          <w:rFonts w:ascii="Book Antiqua" w:eastAsia="宋体" w:hAnsi="Book Antiqua" w:hint="eastAsia"/>
          <w:color w:val="000000" w:themeColor="text1"/>
        </w:rPr>
        <w:t>une</w:t>
      </w:r>
      <w:r w:rsidR="00F129C7" w:rsidRPr="006A140B">
        <w:rPr>
          <w:rFonts w:ascii="Book Antiqua" w:eastAsia="宋体" w:hAnsi="Book Antiqua"/>
          <w:color w:val="000000" w:themeColor="text1"/>
        </w:rPr>
        <w:t xml:space="preserve"> 16, 2021</w:t>
      </w:r>
      <w:bookmarkEnd w:id="0"/>
      <w:bookmarkEnd w:id="1"/>
      <w:bookmarkEnd w:id="2"/>
    </w:p>
    <w:p w14:paraId="10E0C5E3" w14:textId="2A4B88C5"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Published online: </w:t>
      </w:r>
      <w:r w:rsidR="00331827" w:rsidRPr="006A140B">
        <w:rPr>
          <w:rFonts w:ascii="Book Antiqua" w:hAnsi="Book Antiqua" w:cs="Book Antiqua"/>
          <w:bCs/>
          <w:color w:val="000000"/>
          <w:lang w:eastAsia="zh-CN"/>
        </w:rPr>
        <w:t>July 14, 2021</w:t>
      </w:r>
    </w:p>
    <w:p w14:paraId="1A145036" w14:textId="77777777" w:rsidR="00A77B3E" w:rsidRPr="006A140B" w:rsidRDefault="00A77B3E" w:rsidP="00495B7C">
      <w:pPr>
        <w:spacing w:line="360" w:lineRule="auto"/>
        <w:jc w:val="both"/>
        <w:rPr>
          <w:rFonts w:ascii="Book Antiqua" w:hAnsi="Book Antiqua"/>
        </w:rPr>
        <w:sectPr w:rsidR="00A77B3E" w:rsidRPr="006A140B">
          <w:footerReference w:type="default" r:id="rId8"/>
          <w:pgSz w:w="12240" w:h="15840"/>
          <w:pgMar w:top="1440" w:right="1440" w:bottom="1440" w:left="1440" w:header="720" w:footer="720" w:gutter="0"/>
          <w:cols w:space="720"/>
          <w:docGrid w:linePitch="360"/>
        </w:sectPr>
      </w:pPr>
    </w:p>
    <w:p w14:paraId="6FE14E4D" w14:textId="77777777" w:rsidR="00EB2F47" w:rsidRPr="006A140B" w:rsidRDefault="00EB2F47" w:rsidP="00495B7C">
      <w:pPr>
        <w:spacing w:line="360" w:lineRule="auto"/>
        <w:jc w:val="both"/>
        <w:rPr>
          <w:rFonts w:ascii="Book Antiqua" w:hAnsi="Book Antiqua" w:cs="Book Antiqua"/>
          <w:b/>
          <w:color w:val="000000"/>
          <w:lang w:eastAsia="zh-CN"/>
        </w:rPr>
      </w:pPr>
    </w:p>
    <w:p w14:paraId="1855EAAE"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Abstract</w:t>
      </w:r>
    </w:p>
    <w:p w14:paraId="3318DE7E" w14:textId="71263593"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color w:val="000000"/>
        </w:rPr>
        <w:t xml:space="preserve">The population of patients with hepatocellular carcinoma (HCC) overlaps to a high degree with those for chronic kidney disease (CKD) and end-stage renal disease (ESRD). The degrees of renal dysfunction vary, from the various stages of CKD to dialysis-dependent ESRD, which often affects the prognosis and treatment choice of patients with HCC. In addition, renal dysfunction makes treatment more difficult and may negatively affect treatment outcomes. This study summarized the possible causes of the high comorbidity of HCC and renal dysfunction. The possible mechanisms of CKD causing HCC involve uremia itself, long-term dialysis status, immunosuppressive agents for postrenal transplant status, and miscellaneous factors such as hormone alterations and dysbiosis. The possible mechanisms of HCC affecting renal function include direct tumor invasion and hepatorenal syndrome. Finally, we categorized the risk factors that could lead to both HCC and CKD into four categories: </w:t>
      </w:r>
      <w:r w:rsidR="00095161" w:rsidRPr="006A140B">
        <w:rPr>
          <w:rFonts w:ascii="Book Antiqua" w:eastAsia="Book Antiqua" w:hAnsi="Book Antiqua" w:cs="Book Antiqua"/>
          <w:color w:val="000000"/>
        </w:rPr>
        <w:t>E</w:t>
      </w:r>
      <w:r w:rsidRPr="006A140B">
        <w:rPr>
          <w:rFonts w:ascii="Book Antiqua" w:eastAsia="Book Antiqua" w:hAnsi="Book Antiqua" w:cs="Book Antiqua"/>
          <w:color w:val="000000"/>
        </w:rPr>
        <w:t>nvironmental toxins, viral hepatitis, metabolic syndrome, and vasoactive factors. Both CKD and ESRD have been reported to negatively affect HCC prognosis, but more research is warranted to confirm this. Furthermore, ESRD status itself ought not to prevent patients receiving aggressive treatments. This study then adopted the well-known Barcelona Clinic Liver Cancer guidelines as a framework to discuss the indicators for each stage of HCC treatment, treatment-related adverse renal effects, and concerns that are specific to patients with pre-existing renal dysfunction when undergoing aggressive treatments against CKD and ESRD. Such aggressive treatments include liver resection, simultaneous liver kidney transplantation, radiofrequency ablation, and transarterial chemoembolization. Finally, focusing on patients unable to receive active treatment, this study compiled information on the latest systemic pharmacological therapies, including targeted and immunotherapeutic drugs. Based on available clinical studies and Food and Drug Administration labels, this study details the drug indications, side effects, and dose adjustments for patients with renal dysfunction. It also provides a comprehensive review of information on HCC patients with renal dysfunction from disease onset to treatment.</w:t>
      </w:r>
    </w:p>
    <w:p w14:paraId="5C1C53F9" w14:textId="77777777" w:rsidR="00A77B3E" w:rsidRPr="006A140B" w:rsidRDefault="00A77B3E" w:rsidP="00495B7C">
      <w:pPr>
        <w:spacing w:line="360" w:lineRule="auto"/>
        <w:jc w:val="both"/>
        <w:rPr>
          <w:rFonts w:ascii="Book Antiqua" w:hAnsi="Book Antiqua"/>
        </w:rPr>
      </w:pPr>
    </w:p>
    <w:p w14:paraId="45CE6D3F"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Key Words: </w:t>
      </w:r>
      <w:r w:rsidRPr="006A140B">
        <w:rPr>
          <w:rFonts w:ascii="Book Antiqua" w:eastAsia="Book Antiqua" w:hAnsi="Book Antiqua" w:cs="Book Antiqua"/>
          <w:color w:val="000000"/>
        </w:rPr>
        <w:t>Hepatocellular carcinoma; Chronic kidney disease; End-stage renal disease; Hemodialysis; Cancer prognosis; Cancer therapeutics</w:t>
      </w:r>
    </w:p>
    <w:p w14:paraId="7938B43F" w14:textId="77777777" w:rsidR="006A140B" w:rsidRPr="006A140B" w:rsidRDefault="006A140B" w:rsidP="006A140B">
      <w:pPr>
        <w:spacing w:line="360" w:lineRule="auto"/>
        <w:jc w:val="both"/>
        <w:rPr>
          <w:lang w:eastAsia="zh-CN"/>
        </w:rPr>
      </w:pPr>
    </w:p>
    <w:p w14:paraId="0F67D46B" w14:textId="77777777" w:rsidR="006A140B" w:rsidRPr="006A140B" w:rsidRDefault="006A140B" w:rsidP="006A140B">
      <w:pPr>
        <w:spacing w:line="360" w:lineRule="auto"/>
        <w:jc w:val="both"/>
        <w:rPr>
          <w:rFonts w:ascii="Book Antiqua" w:eastAsia="Book Antiqua" w:hAnsi="Book Antiqua" w:cs="Book Antiqua"/>
          <w:color w:val="000000"/>
        </w:rPr>
      </w:pPr>
      <w:r w:rsidRPr="006A140B">
        <w:rPr>
          <w:rFonts w:ascii="Book Antiqua" w:eastAsia="Book Antiqua" w:hAnsi="Book Antiqua" w:cs="Book Antiqua" w:hint="eastAsia"/>
          <w:b/>
          <w:color w:val="000000"/>
        </w:rPr>
        <w:t>©</w:t>
      </w:r>
      <w:r w:rsidRPr="006A140B">
        <w:rPr>
          <w:rFonts w:ascii="Book Antiqua" w:eastAsia="Book Antiqua" w:hAnsi="Book Antiqua" w:cs="Book Antiqua"/>
          <w:b/>
          <w:color w:val="000000"/>
        </w:rPr>
        <w:t>The</w:t>
      </w:r>
      <w:r w:rsidRPr="006A140B">
        <w:rPr>
          <w:rFonts w:ascii="Book Antiqua" w:eastAsia="Book Antiqua" w:hAnsi="Book Antiqua" w:cs="Book Antiqua"/>
          <w:color w:val="000000"/>
        </w:rPr>
        <w:t xml:space="preserve"> </w:t>
      </w:r>
      <w:r w:rsidRPr="006A140B">
        <w:rPr>
          <w:rFonts w:ascii="Book Antiqua" w:eastAsia="Book Antiqua" w:hAnsi="Book Antiqua" w:cs="Book Antiqua"/>
          <w:b/>
          <w:color w:val="000000"/>
        </w:rPr>
        <w:t xml:space="preserve">Author(s) 2021. </w:t>
      </w:r>
      <w:r w:rsidRPr="006A140B">
        <w:rPr>
          <w:rFonts w:ascii="Book Antiqua" w:eastAsia="Book Antiqua" w:hAnsi="Book Antiqua" w:cs="Book Antiqua"/>
          <w:color w:val="000000"/>
        </w:rPr>
        <w:t xml:space="preserve">Published by Baishideng Publishing Group Inc. All rights reserved. </w:t>
      </w:r>
    </w:p>
    <w:p w14:paraId="1B41D20C" w14:textId="77777777" w:rsidR="00A77B3E" w:rsidRPr="006A140B" w:rsidRDefault="00A77B3E" w:rsidP="00495B7C">
      <w:pPr>
        <w:spacing w:line="360" w:lineRule="auto"/>
        <w:jc w:val="both"/>
        <w:rPr>
          <w:rFonts w:ascii="Book Antiqua" w:hAnsi="Book Antiqua"/>
        </w:rPr>
      </w:pPr>
    </w:p>
    <w:p w14:paraId="30136A7D" w14:textId="5C724298" w:rsidR="005840FE" w:rsidRPr="006A140B" w:rsidRDefault="005840FE" w:rsidP="00495B7C">
      <w:pPr>
        <w:spacing w:line="360" w:lineRule="auto"/>
        <w:jc w:val="both"/>
        <w:rPr>
          <w:rFonts w:ascii="Book Antiqua" w:hAnsi="Book Antiqua" w:cs="Book Antiqua" w:hint="eastAsia"/>
          <w:color w:val="000000"/>
          <w:lang w:eastAsia="zh-CN"/>
        </w:rPr>
      </w:pPr>
      <w:r w:rsidRPr="006A140B">
        <w:rPr>
          <w:rFonts w:ascii="Book Antiqua" w:hAnsi="Book Antiqua" w:cs="Book Antiqua" w:hint="eastAsia"/>
          <w:b/>
          <w:color w:val="000000"/>
          <w:lang w:eastAsia="zh-CN"/>
        </w:rPr>
        <w:t xml:space="preserve">Citation: </w:t>
      </w:r>
      <w:r w:rsidR="007D6307" w:rsidRPr="006A140B">
        <w:rPr>
          <w:rFonts w:ascii="Book Antiqua" w:eastAsia="Book Antiqua" w:hAnsi="Book Antiqua" w:cs="Book Antiqua"/>
          <w:color w:val="000000"/>
        </w:rPr>
        <w:t xml:space="preserve">Yeh H, Chiang CC, Yen TH. </w:t>
      </w:r>
      <w:r w:rsidR="000C1CDC" w:rsidRPr="006A140B">
        <w:rPr>
          <w:rFonts w:ascii="Book Antiqua" w:eastAsia="Book Antiqua" w:hAnsi="Book Antiqua" w:cs="Book Antiqua"/>
          <w:color w:val="000000"/>
        </w:rPr>
        <w:t>Hepatocellular carcinoma in patients with renal dysfunction: Pathophysiology, prognosis, and treatment challenges</w:t>
      </w:r>
      <w:r w:rsidR="007D6307" w:rsidRPr="006A140B">
        <w:rPr>
          <w:rFonts w:ascii="Book Antiqua" w:eastAsia="Book Antiqua" w:hAnsi="Book Antiqua" w:cs="Book Antiqua"/>
          <w:color w:val="000000"/>
        </w:rPr>
        <w:t xml:space="preserve">. </w:t>
      </w:r>
      <w:r w:rsidR="007D6307" w:rsidRPr="006A140B">
        <w:rPr>
          <w:rFonts w:ascii="Book Antiqua" w:eastAsia="Book Antiqua" w:hAnsi="Book Antiqua" w:cs="Book Antiqua"/>
          <w:i/>
          <w:iCs/>
          <w:color w:val="000000"/>
        </w:rPr>
        <w:t>World J Gastroenterol</w:t>
      </w:r>
      <w:r w:rsidR="007D6307" w:rsidRPr="006A140B">
        <w:rPr>
          <w:rFonts w:ascii="Book Antiqua" w:eastAsia="Book Antiqua" w:hAnsi="Book Antiqua" w:cs="Book Antiqua"/>
          <w:color w:val="000000"/>
        </w:rPr>
        <w:t xml:space="preserve"> 2021; </w:t>
      </w:r>
      <w:r w:rsidR="00C6667E" w:rsidRPr="006A140B">
        <w:rPr>
          <w:rFonts w:ascii="Book Antiqua" w:eastAsia="Book Antiqua" w:hAnsi="Book Antiqua" w:cs="Book Antiqua"/>
          <w:color w:val="000000"/>
        </w:rPr>
        <w:t xml:space="preserve">27(26): </w:t>
      </w:r>
      <w:r w:rsidRPr="006A140B">
        <w:rPr>
          <w:rFonts w:ascii="Book Antiqua" w:eastAsia="Book Antiqua" w:hAnsi="Book Antiqua" w:cs="Book Antiqua"/>
          <w:color w:val="000000"/>
        </w:rPr>
        <w:t>4104-4142</w:t>
      </w:r>
      <w:r w:rsidR="00C6667E" w:rsidRPr="006A140B">
        <w:rPr>
          <w:rFonts w:ascii="Book Antiqua" w:eastAsia="Book Antiqua" w:hAnsi="Book Antiqua" w:cs="Book Antiqua"/>
          <w:color w:val="000000"/>
        </w:rPr>
        <w:t xml:space="preserve"> </w:t>
      </w:r>
    </w:p>
    <w:p w14:paraId="50E89B84" w14:textId="77777777" w:rsidR="005840FE" w:rsidRPr="006A140B" w:rsidRDefault="00C6667E" w:rsidP="00495B7C">
      <w:pPr>
        <w:spacing w:line="360" w:lineRule="auto"/>
        <w:jc w:val="both"/>
        <w:rPr>
          <w:rFonts w:ascii="Book Antiqua" w:hAnsi="Book Antiqua" w:cs="Book Antiqua" w:hint="eastAsia"/>
          <w:color w:val="000000"/>
          <w:lang w:eastAsia="zh-CN"/>
        </w:rPr>
      </w:pPr>
      <w:r w:rsidRPr="006A140B">
        <w:rPr>
          <w:rFonts w:ascii="Book Antiqua" w:eastAsia="Book Antiqua" w:hAnsi="Book Antiqua" w:cs="Book Antiqua"/>
          <w:b/>
          <w:color w:val="000000"/>
        </w:rPr>
        <w:t xml:space="preserve">URL: </w:t>
      </w:r>
      <w:r w:rsidRPr="006A140B">
        <w:rPr>
          <w:rFonts w:ascii="Book Antiqua" w:eastAsia="Book Antiqua" w:hAnsi="Book Antiqua" w:cs="Book Antiqua"/>
          <w:color w:val="000000"/>
        </w:rPr>
        <w:t>https://www.wjgnet.com/1007-9327/full/v27/i26/</w:t>
      </w:r>
      <w:r w:rsidR="005840FE" w:rsidRPr="006A140B">
        <w:rPr>
          <w:rFonts w:ascii="Book Antiqua" w:eastAsia="Book Antiqua" w:hAnsi="Book Antiqua" w:cs="Book Antiqua"/>
          <w:color w:val="000000"/>
        </w:rPr>
        <w:t>4104</w:t>
      </w:r>
      <w:r w:rsidRPr="006A140B">
        <w:rPr>
          <w:rFonts w:ascii="Book Antiqua" w:eastAsia="Book Antiqua" w:hAnsi="Book Antiqua" w:cs="Book Antiqua"/>
          <w:color w:val="000000"/>
        </w:rPr>
        <w:t xml:space="preserve">.htm </w:t>
      </w:r>
    </w:p>
    <w:p w14:paraId="4723C6C3" w14:textId="06A2F118" w:rsidR="00A77B3E" w:rsidRPr="006A140B" w:rsidRDefault="00C6667E" w:rsidP="00495B7C">
      <w:pPr>
        <w:spacing w:line="360" w:lineRule="auto"/>
        <w:jc w:val="both"/>
        <w:rPr>
          <w:rFonts w:ascii="Book Antiqua" w:hAnsi="Book Antiqua"/>
        </w:rPr>
      </w:pPr>
      <w:r w:rsidRPr="006A140B">
        <w:rPr>
          <w:rFonts w:ascii="Book Antiqua" w:eastAsia="Book Antiqua" w:hAnsi="Book Antiqua" w:cs="Book Antiqua"/>
          <w:b/>
          <w:color w:val="000000"/>
        </w:rPr>
        <w:t>DOI:</w:t>
      </w:r>
      <w:r w:rsidRPr="006A140B">
        <w:rPr>
          <w:rFonts w:ascii="Book Antiqua" w:eastAsia="Book Antiqua" w:hAnsi="Book Antiqua" w:cs="Book Antiqua"/>
          <w:color w:val="000000"/>
        </w:rPr>
        <w:t xml:space="preserve"> https://dx.doi.org/10.3748/wjg.v27.i26.</w:t>
      </w:r>
      <w:r w:rsidR="005840FE" w:rsidRPr="006A140B">
        <w:rPr>
          <w:rFonts w:ascii="Book Antiqua" w:eastAsia="Book Antiqua" w:hAnsi="Book Antiqua" w:cs="Book Antiqua"/>
          <w:color w:val="000000"/>
        </w:rPr>
        <w:t>4104</w:t>
      </w:r>
    </w:p>
    <w:p w14:paraId="428D0DB7" w14:textId="77777777" w:rsidR="00A77B3E" w:rsidRPr="006A140B" w:rsidRDefault="00A77B3E" w:rsidP="00495B7C">
      <w:pPr>
        <w:spacing w:line="360" w:lineRule="auto"/>
        <w:jc w:val="both"/>
        <w:rPr>
          <w:rFonts w:ascii="Book Antiqua" w:hAnsi="Book Antiqua"/>
        </w:rPr>
      </w:pPr>
    </w:p>
    <w:p w14:paraId="38540E62" w14:textId="0E328CE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Core Tip: </w:t>
      </w:r>
      <w:r w:rsidRPr="006A140B">
        <w:rPr>
          <w:rFonts w:ascii="Book Antiqua" w:eastAsia="Book Antiqua" w:hAnsi="Book Antiqua" w:cs="Book Antiqua"/>
          <w:color w:val="000000"/>
        </w:rPr>
        <w:t>The varying degrees of renal dysfunction, from the various stages of chronic kidney disease to dialysis-dependent end-stage renal disease, often affect the choice of treatment and prognosis of patients with hepatocellular carcinoma (HCC). This complicates HCC treatment. This review encompasses the presumptive causes of the high degree of comorbidity of HCC and renal dysfunction, the impact of renal dysfunction on HCC prognosis, and the concerns that are specific to patients with pre-existing renal dysfunction for each stage of HCC treatment.</w:t>
      </w:r>
    </w:p>
    <w:p w14:paraId="0BB88478" w14:textId="77777777" w:rsidR="00A77B3E" w:rsidRPr="006A140B" w:rsidRDefault="00A77B3E" w:rsidP="00495B7C">
      <w:pPr>
        <w:spacing w:line="360" w:lineRule="auto"/>
        <w:jc w:val="both"/>
        <w:rPr>
          <w:rFonts w:ascii="Book Antiqua" w:hAnsi="Book Antiqua"/>
        </w:rPr>
      </w:pPr>
    </w:p>
    <w:p w14:paraId="40BEB248" w14:textId="0C33A143" w:rsidR="00A77B3E" w:rsidRPr="006A140B" w:rsidRDefault="00393830" w:rsidP="00495B7C">
      <w:pPr>
        <w:spacing w:line="360" w:lineRule="auto"/>
        <w:jc w:val="both"/>
        <w:rPr>
          <w:rFonts w:ascii="Book Antiqua" w:hAnsi="Book Antiqua"/>
        </w:rPr>
      </w:pPr>
      <w:r w:rsidRPr="006A140B">
        <w:rPr>
          <w:rFonts w:ascii="Book Antiqua" w:eastAsia="Book Antiqua" w:hAnsi="Book Antiqua" w:cs="Book Antiqua"/>
          <w:b/>
          <w:caps/>
          <w:color w:val="000000"/>
          <w:u w:val="single"/>
        </w:rPr>
        <w:br w:type="page"/>
      </w:r>
      <w:r w:rsidR="007D6307" w:rsidRPr="006A140B">
        <w:rPr>
          <w:rFonts w:ascii="Book Antiqua" w:eastAsia="Book Antiqua" w:hAnsi="Book Antiqua" w:cs="Book Antiqua"/>
          <w:b/>
          <w:caps/>
          <w:color w:val="000000"/>
          <w:u w:val="single"/>
        </w:rPr>
        <w:t>INTRODUCTION</w:t>
      </w:r>
    </w:p>
    <w:p w14:paraId="0C5E764D" w14:textId="413FD209" w:rsidR="00A77B3E" w:rsidRPr="006A140B" w:rsidRDefault="007D6307" w:rsidP="002F0524">
      <w:pPr>
        <w:spacing w:line="360" w:lineRule="auto"/>
        <w:jc w:val="both"/>
        <w:rPr>
          <w:rFonts w:ascii="Book Antiqua" w:hAnsi="Book Antiqua"/>
        </w:rPr>
      </w:pPr>
      <w:r w:rsidRPr="006A140B">
        <w:rPr>
          <w:rFonts w:ascii="Book Antiqua" w:eastAsia="Book Antiqua" w:hAnsi="Book Antiqua" w:cs="Book Antiqua"/>
          <w:color w:val="000000"/>
        </w:rPr>
        <w:t>Hepatocellular carcinoma (HCC) is a common malignancy worldwide and accounts for substantial morbidity and mortality</w:t>
      </w:r>
      <w:r w:rsidRPr="006A140B">
        <w:rPr>
          <w:rFonts w:ascii="Book Antiqua" w:eastAsia="Book Antiqua" w:hAnsi="Book Antiqua" w:cs="Book Antiqua"/>
          <w:color w:val="000000"/>
          <w:vertAlign w:val="superscript"/>
        </w:rPr>
        <w:t>[1,2]</w:t>
      </w:r>
      <w:r w:rsidRPr="006A140B">
        <w:rPr>
          <w:rFonts w:ascii="Book Antiqua" w:eastAsia="Book Antiqua" w:hAnsi="Book Antiqua" w:cs="Book Antiqua"/>
          <w:color w:val="000000"/>
        </w:rPr>
        <w:t>. However, the</w:t>
      </w:r>
      <w:r w:rsidRPr="006A140B">
        <w:rPr>
          <w:rFonts w:ascii="Book Antiqua" w:eastAsia="Book Antiqua" w:hAnsi="Book Antiqua" w:cs="Book Antiqua"/>
          <w:color w:val="000000"/>
          <w:shd w:val="clear" w:color="auto" w:fill="FFFFFF"/>
        </w:rPr>
        <w:t xml:space="preserve"> etiology, incidence, and mortality of HCC are geographically uneven.</w:t>
      </w:r>
      <w:r w:rsidR="00B54B18"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 xml:space="preserve">Most HCC cases are found in </w:t>
      </w:r>
      <w:r w:rsidRPr="006A140B">
        <w:rPr>
          <w:rFonts w:ascii="Book Antiqua" w:eastAsia="Book Antiqua" w:hAnsi="Book Antiqua" w:cs="Book Antiqua"/>
          <w:color w:val="000000"/>
        </w:rPr>
        <w:t xml:space="preserve">East Asia and Sub-Saharan Africa. Although the incidence </w:t>
      </w:r>
      <w:r w:rsidRPr="006A140B">
        <w:rPr>
          <w:rFonts w:ascii="Book Antiqua" w:eastAsia="Book Antiqua" w:hAnsi="Book Antiqua" w:cs="Book Antiqua"/>
          <w:color w:val="000000"/>
          <w:shd w:val="clear" w:color="auto" w:fill="FFFFFF"/>
        </w:rPr>
        <w:t>rates are relatively lower in Western countries, the mortality rates remain high</w:t>
      </w:r>
      <w:r w:rsidRPr="006A140B">
        <w:rPr>
          <w:rFonts w:ascii="Book Antiqua" w:eastAsia="Book Antiqua" w:hAnsi="Book Antiqua" w:cs="Book Antiqua"/>
          <w:color w:val="000000"/>
          <w:shd w:val="clear" w:color="auto" w:fill="FFFFFF"/>
          <w:vertAlign w:val="superscript"/>
        </w:rPr>
        <w:t>[1]</w:t>
      </w:r>
      <w:r w:rsidRPr="006A140B">
        <w:rPr>
          <w:rFonts w:ascii="Book Antiqua" w:eastAsia="Book Antiqua" w:hAnsi="Book Antiqua" w:cs="Book Antiqua"/>
          <w:color w:val="000000"/>
          <w:shd w:val="clear" w:color="auto" w:fill="FFFFFF"/>
        </w:rPr>
        <w:t xml:space="preserve">. The major risk factors for HCC include chronic </w:t>
      </w:r>
      <w:r w:rsidRPr="006A140B">
        <w:rPr>
          <w:rFonts w:ascii="Book Antiqua" w:eastAsia="Book Antiqua" w:hAnsi="Book Antiqua" w:cs="Book Antiqua"/>
          <w:color w:val="000000"/>
        </w:rPr>
        <w:t>hepatitis B virus (HBV), chronic hepatitis C virus (HCV), cirrhosis, alcoholic liver disease, and nonalcoholic steatohepatitis (NASH)</w:t>
      </w:r>
      <w:r w:rsidRPr="006A140B">
        <w:rPr>
          <w:rFonts w:ascii="Book Antiqua" w:eastAsia="Book Antiqua" w:hAnsi="Book Antiqua" w:cs="Book Antiqua"/>
          <w:color w:val="000000"/>
          <w:vertAlign w:val="superscript"/>
        </w:rPr>
        <w:t>[3]</w:t>
      </w:r>
      <w:r w:rsidRPr="006A140B">
        <w:rPr>
          <w:rFonts w:ascii="Book Antiqua" w:eastAsia="Book Antiqua" w:hAnsi="Book Antiqua" w:cs="Book Antiqua"/>
          <w:color w:val="000000"/>
        </w:rPr>
        <w:t>. Another leading cause of morbidity and mortality worldwide is renal dysfunction, which includes chronic kidney disease (CKD) and end-stage renal disease (ESRD). Caring for patients with renal diseases has greatly burdened health care systems</w:t>
      </w:r>
      <w:r w:rsidRPr="006A140B">
        <w:rPr>
          <w:rFonts w:ascii="Book Antiqua" w:eastAsia="Book Antiqua" w:hAnsi="Book Antiqua" w:cs="Book Antiqua"/>
          <w:color w:val="000000"/>
          <w:vertAlign w:val="superscript"/>
        </w:rPr>
        <w:t>[4]</w:t>
      </w:r>
      <w:r w:rsidRPr="006A140B">
        <w:rPr>
          <w:rFonts w:ascii="Book Antiqua" w:eastAsia="Book Antiqua" w:hAnsi="Book Antiqua" w:cs="Book Antiqua"/>
          <w:color w:val="000000"/>
        </w:rPr>
        <w:t>. Notably, patients with renal dysfunction have a higher prevalence of cancer, including liver cancer, compared with the general population</w:t>
      </w:r>
      <w:r w:rsidRPr="006A140B">
        <w:rPr>
          <w:rFonts w:ascii="Book Antiqua" w:eastAsia="Book Antiqua" w:hAnsi="Book Antiqua" w:cs="Book Antiqua"/>
          <w:color w:val="000000"/>
          <w:vertAlign w:val="superscript"/>
        </w:rPr>
        <w:t>[5,6]</w:t>
      </w:r>
      <w:r w:rsidRPr="006A140B">
        <w:rPr>
          <w:rFonts w:ascii="Book Antiqua" w:eastAsia="Book Antiqua" w:hAnsi="Book Antiqua" w:cs="Book Antiqua"/>
          <w:color w:val="000000"/>
        </w:rPr>
        <w:t>. Furthermore, such patients—especially those on maintenance dialysis for ESRD—were reported to have a higher prevalence of viral hepatitis compared with the general population</w:t>
      </w:r>
      <w:r w:rsidRPr="006A140B">
        <w:rPr>
          <w:rFonts w:ascii="Book Antiqua" w:eastAsia="Book Antiqua" w:hAnsi="Book Antiqua" w:cs="Book Antiqua"/>
          <w:color w:val="000000"/>
          <w:vertAlign w:val="superscript"/>
        </w:rPr>
        <w:t>[7]</w:t>
      </w:r>
      <w:r w:rsidRPr="006A140B">
        <w:rPr>
          <w:rFonts w:ascii="Book Antiqua" w:eastAsia="Book Antiqua" w:hAnsi="Book Antiqua" w:cs="Book Antiqua"/>
          <w:color w:val="000000"/>
        </w:rPr>
        <w:t>. In certain regions where both renal dysfunction and HCC are highly prevalent, the two conditions are highly comorbid</w:t>
      </w:r>
      <w:r w:rsidRPr="006A140B">
        <w:rPr>
          <w:rFonts w:ascii="Book Antiqua" w:eastAsia="Book Antiqua" w:hAnsi="Book Antiqua" w:cs="Book Antiqua"/>
          <w:color w:val="000000"/>
          <w:vertAlign w:val="superscript"/>
        </w:rPr>
        <w:t>[8]</w:t>
      </w:r>
      <w:r w:rsidRPr="006A140B">
        <w:rPr>
          <w:rFonts w:ascii="Book Antiqua" w:eastAsia="Book Antiqua" w:hAnsi="Book Antiqua" w:cs="Book Antiqua"/>
          <w:color w:val="000000"/>
        </w:rPr>
        <w:t>. In the present study, we searched and organized the available evidence-based literature to provide a comprehensive review guided by the following research questions:</w:t>
      </w:r>
      <w:r w:rsidR="002F0524" w:rsidRPr="006A140B">
        <w:rPr>
          <w:rFonts w:ascii="Book Antiqua" w:hAnsi="Book Antiqua" w:hint="eastAsia"/>
          <w:lang w:eastAsia="zh-CN"/>
        </w:rPr>
        <w:t xml:space="preserve"> </w:t>
      </w:r>
      <w:r w:rsidR="002F0524" w:rsidRPr="006A140B">
        <w:rPr>
          <w:rFonts w:ascii="Book Antiqua" w:eastAsia="Book Antiqua" w:hAnsi="Book Antiqua" w:cs="Book Antiqua"/>
          <w:color w:val="000000"/>
        </w:rPr>
        <w:t>(</w:t>
      </w:r>
      <w:r w:rsidRPr="006A140B">
        <w:rPr>
          <w:rFonts w:ascii="Book Antiqua" w:eastAsia="Book Antiqua" w:hAnsi="Book Antiqua" w:cs="Book Antiqua"/>
          <w:color w:val="000000"/>
        </w:rPr>
        <w:t>1</w:t>
      </w:r>
      <w:r w:rsidR="002F0524"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Does any correlation or causality exist between renal dysfunction and the development of HCC?</w:t>
      </w:r>
      <w:r w:rsidR="002F0524" w:rsidRPr="006A140B">
        <w:rPr>
          <w:rFonts w:ascii="Book Antiqua" w:hAnsi="Book Antiqua" w:hint="eastAsia"/>
          <w:lang w:eastAsia="zh-CN"/>
        </w:rPr>
        <w:t xml:space="preserve"> </w:t>
      </w:r>
      <w:r w:rsidR="002F0524" w:rsidRPr="006A140B">
        <w:rPr>
          <w:rFonts w:ascii="Book Antiqua" w:eastAsia="Book Antiqua" w:hAnsi="Book Antiqua" w:cs="Book Antiqua"/>
          <w:color w:val="000000"/>
        </w:rPr>
        <w:t>(2)</w:t>
      </w:r>
      <w:r w:rsidRPr="006A140B">
        <w:rPr>
          <w:rFonts w:ascii="Book Antiqua" w:eastAsia="Book Antiqua" w:hAnsi="Book Antiqua" w:cs="Book Antiqua"/>
          <w:color w:val="000000"/>
        </w:rPr>
        <w:t xml:space="preserve"> Would renal dysfunction, including CKD and ESRD status, affect the prognosis and treatment outcomes of HCC?</w:t>
      </w:r>
      <w:r w:rsidR="002F0524" w:rsidRPr="006A140B">
        <w:rPr>
          <w:rFonts w:ascii="Book Antiqua" w:hAnsi="Book Antiqua" w:hint="eastAsia"/>
          <w:lang w:eastAsia="zh-CN"/>
        </w:rPr>
        <w:t xml:space="preserve"> </w:t>
      </w:r>
      <w:r w:rsidR="002F0524" w:rsidRPr="006A140B">
        <w:rPr>
          <w:rFonts w:ascii="Book Antiqua" w:eastAsia="Book Antiqua" w:hAnsi="Book Antiqua" w:cs="Book Antiqua"/>
          <w:color w:val="000000"/>
        </w:rPr>
        <w:t>(3)</w:t>
      </w:r>
      <w:r w:rsidRPr="006A140B">
        <w:rPr>
          <w:rFonts w:ascii="Book Antiqua" w:eastAsia="Book Antiqua" w:hAnsi="Book Antiqua" w:cs="Book Antiqua"/>
          <w:color w:val="000000"/>
        </w:rPr>
        <w:t xml:space="preserve"> What are the challenges of treating HCC in patients with renal dysfunction in all categories of the Barcelona Clinic Liver Cancer (BCLC) system algorithm?</w:t>
      </w:r>
    </w:p>
    <w:p w14:paraId="1EED32AE" w14:textId="77777777"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Despite the lack of a validated international consensus on the management of patients with both renal dysfunction and HCC, we aimed to summarize information that is critical to the development of preventive and therapeutic strategies for this specific population.</w:t>
      </w:r>
    </w:p>
    <w:p w14:paraId="0CBDF45D" w14:textId="77777777" w:rsidR="00A77B3E" w:rsidRPr="006A140B" w:rsidRDefault="00A77B3E" w:rsidP="00495B7C">
      <w:pPr>
        <w:spacing w:line="360" w:lineRule="auto"/>
        <w:ind w:firstLine="480"/>
        <w:jc w:val="both"/>
        <w:rPr>
          <w:rFonts w:ascii="Book Antiqua" w:hAnsi="Book Antiqua"/>
        </w:rPr>
      </w:pPr>
    </w:p>
    <w:p w14:paraId="6E543B45" w14:textId="77777777" w:rsidR="00A77B3E" w:rsidRPr="006A140B" w:rsidRDefault="007D6307" w:rsidP="00495B7C">
      <w:pPr>
        <w:spacing w:line="360" w:lineRule="auto"/>
        <w:jc w:val="both"/>
        <w:rPr>
          <w:rFonts w:ascii="Book Antiqua" w:hAnsi="Book Antiqua"/>
          <w:u w:val="single"/>
        </w:rPr>
      </w:pPr>
      <w:r w:rsidRPr="006A140B">
        <w:rPr>
          <w:rFonts w:ascii="Book Antiqua" w:eastAsia="Book Antiqua" w:hAnsi="Book Antiqua" w:cs="Book Antiqua"/>
          <w:b/>
          <w:bCs/>
          <w:color w:val="000000"/>
          <w:u w:val="single"/>
        </w:rPr>
        <w:t>ASSOCIATION AND POSSIBLE PATHOPHYSIOLOGICAL MECHANISMS BETWEEN RENAL DYSFUNCTION AND HCC</w:t>
      </w:r>
    </w:p>
    <w:p w14:paraId="3072BBB5" w14:textId="277CA007" w:rsidR="00A77B3E" w:rsidRPr="006A140B" w:rsidRDefault="007D6307" w:rsidP="008D3F53">
      <w:pPr>
        <w:spacing w:line="360" w:lineRule="auto"/>
        <w:jc w:val="both"/>
        <w:rPr>
          <w:rFonts w:ascii="Book Antiqua" w:hAnsi="Book Antiqua"/>
        </w:rPr>
      </w:pPr>
      <w:r w:rsidRPr="006A140B">
        <w:rPr>
          <w:rFonts w:ascii="Book Antiqua" w:eastAsia="Book Antiqua" w:hAnsi="Book Antiqua" w:cs="Book Antiqua"/>
          <w:color w:val="000000"/>
        </w:rPr>
        <w:t xml:space="preserve">A high incidence of cancer has been reported in patients with renal dysfunction. Both CKD and ESRD were reported to be bidirectionally connected to cancer: </w:t>
      </w:r>
      <w:r w:rsidR="008D3F53" w:rsidRPr="006A140B">
        <w:rPr>
          <w:rFonts w:ascii="Book Antiqua" w:eastAsia="Book Antiqua" w:hAnsi="Book Antiqua" w:cs="Book Antiqua"/>
          <w:color w:val="000000"/>
        </w:rPr>
        <w:t>R</w:t>
      </w:r>
      <w:r w:rsidRPr="006A140B">
        <w:rPr>
          <w:rFonts w:ascii="Book Antiqua" w:eastAsia="Book Antiqua" w:hAnsi="Book Antiqua" w:cs="Book Antiqua"/>
          <w:color w:val="000000"/>
        </w:rPr>
        <w:t>enal dysfunction can serve as a risk factor for cancers including HCC, whereas cancer and related treatments can directly or indirectly lead to or aggravate renal dysfunction</w:t>
      </w:r>
      <w:r w:rsidRPr="006A140B">
        <w:rPr>
          <w:rFonts w:ascii="Book Antiqua" w:eastAsia="Book Antiqua" w:hAnsi="Book Antiqua" w:cs="Book Antiqua"/>
          <w:color w:val="000000"/>
          <w:vertAlign w:val="superscript"/>
        </w:rPr>
        <w:t>[6]</w:t>
      </w:r>
      <w:r w:rsidRPr="006A140B">
        <w:rPr>
          <w:rFonts w:ascii="Book Antiqua" w:eastAsia="Book Antiqua" w:hAnsi="Book Antiqua" w:cs="Book Antiqua"/>
          <w:color w:val="000000"/>
        </w:rPr>
        <w:t>. In addition to the mutual relationship between renal dysfunction and cancer, renal dysfunction and HCC share common risk factors that complicate the association between the two diseases. These risk factors can be categorized into vasoactive factors and those related to environmental toxins, viral hepatitis, and metabolic diseases (Table 1). The complex pathways linking renal dysfunction and HCC are depicted in Figure 1. The following subsections summarize the studies that provide evidence for each of these links.</w:t>
      </w:r>
    </w:p>
    <w:p w14:paraId="3C97C920" w14:textId="77777777" w:rsidR="00A77B3E" w:rsidRPr="006A140B" w:rsidRDefault="00A77B3E" w:rsidP="00495B7C">
      <w:pPr>
        <w:spacing w:line="360" w:lineRule="auto"/>
        <w:ind w:firstLine="480"/>
        <w:jc w:val="both"/>
        <w:rPr>
          <w:rFonts w:ascii="Book Antiqua" w:hAnsi="Book Antiqua"/>
        </w:rPr>
      </w:pPr>
    </w:p>
    <w:p w14:paraId="260B9736" w14:textId="47F02CEF"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i/>
          <w:iCs/>
          <w:color w:val="000000"/>
        </w:rPr>
        <w:t>Renal dysfunction as a cause of or risk factor for HCC</w:t>
      </w:r>
    </w:p>
    <w:p w14:paraId="25B4AA24" w14:textId="5519AAE8" w:rsidR="00A77B3E" w:rsidRPr="006A140B" w:rsidRDefault="007D6307" w:rsidP="008D3F53">
      <w:pPr>
        <w:spacing w:line="360" w:lineRule="auto"/>
        <w:jc w:val="both"/>
        <w:rPr>
          <w:rFonts w:ascii="Book Antiqua" w:hAnsi="Book Antiqua"/>
        </w:rPr>
      </w:pPr>
      <w:r w:rsidRPr="006A140B">
        <w:rPr>
          <w:rFonts w:ascii="Book Antiqua" w:eastAsia="Book Antiqua" w:hAnsi="Book Antiqua" w:cs="Book Antiqua"/>
          <w:color w:val="000000"/>
          <w:shd w:val="clear" w:color="auto" w:fill="FFFFFF"/>
        </w:rPr>
        <w:t>Cancer risk has been reported to be elevated in patients with renal dysfunction. Numerous studies have demonstrated an increased risk of liver cancer in patients with ESRD on dialysis</w:t>
      </w:r>
      <w:r w:rsidRPr="006A140B">
        <w:rPr>
          <w:rFonts w:ascii="Book Antiqua" w:eastAsia="Book Antiqua" w:hAnsi="Book Antiqua" w:cs="Book Antiqua"/>
          <w:color w:val="000000"/>
          <w:shd w:val="clear" w:color="auto" w:fill="FFFFFF"/>
          <w:vertAlign w:val="superscript"/>
        </w:rPr>
        <w:t>[9-11]</w:t>
      </w:r>
      <w:r w:rsidRPr="006A140B">
        <w:rPr>
          <w:rFonts w:ascii="Book Antiqua" w:eastAsia="Book Antiqua" w:hAnsi="Book Antiqua" w:cs="Book Antiqua"/>
          <w:color w:val="000000"/>
          <w:shd w:val="clear" w:color="auto" w:fill="FFFFFF"/>
        </w:rPr>
        <w:t xml:space="preserve">. Limited data are available on whether less advanced </w:t>
      </w:r>
      <w:r w:rsidR="00095161" w:rsidRPr="006A140B">
        <w:rPr>
          <w:rFonts w:ascii="Book Antiqua" w:eastAsia="Book Antiqua" w:hAnsi="Book Antiqua" w:cs="Book Antiqua"/>
          <w:color w:val="000000"/>
        </w:rPr>
        <w:t>CKD</w:t>
      </w:r>
      <w:r w:rsidRPr="006A140B">
        <w:rPr>
          <w:rFonts w:ascii="Book Antiqua" w:eastAsia="Book Antiqua" w:hAnsi="Book Antiqua" w:cs="Book Antiqua"/>
          <w:color w:val="000000"/>
          <w:shd w:val="clear" w:color="auto" w:fill="FFFFFF"/>
        </w:rPr>
        <w:t>, where dialysis is not needed, can increase the risk of liver cancer</w:t>
      </w:r>
      <w:r w:rsidRPr="006A140B">
        <w:rPr>
          <w:rFonts w:ascii="Book Antiqua" w:eastAsia="Book Antiqua" w:hAnsi="Book Antiqua" w:cs="Book Antiqua"/>
          <w:color w:val="000000"/>
          <w:shd w:val="clear" w:color="auto" w:fill="FFFFFF"/>
          <w:vertAlign w:val="superscript"/>
        </w:rPr>
        <w:t>[12,13]</w:t>
      </w:r>
      <w:r w:rsidRPr="006A140B">
        <w:rPr>
          <w:rFonts w:ascii="Book Antiqua" w:eastAsia="Book Antiqua" w:hAnsi="Book Antiqua" w:cs="Book Antiqua"/>
          <w:color w:val="000000"/>
          <w:shd w:val="clear" w:color="auto" w:fill="FFFFFF"/>
        </w:rPr>
        <w:t>. Several hypotheses have been proposed for these correlations, including a dysregulated immune system, defective DNA repair mechanism, impaired antioxidant defense, accumulation of carcinogenic compounds caused by reduced renal elimination, and the uremia milieu</w:t>
      </w:r>
      <w:r w:rsidRPr="006A140B">
        <w:rPr>
          <w:rFonts w:ascii="Book Antiqua" w:eastAsia="Book Antiqua" w:hAnsi="Book Antiqua" w:cs="Book Antiqua"/>
          <w:color w:val="000000"/>
          <w:shd w:val="clear" w:color="auto" w:fill="FFFFFF"/>
          <w:vertAlign w:val="superscript"/>
        </w:rPr>
        <w:t>[14]</w:t>
      </w:r>
      <w:r w:rsidRPr="006A140B">
        <w:rPr>
          <w:rFonts w:ascii="Book Antiqua" w:eastAsia="Book Antiqua" w:hAnsi="Book Antiqua" w:cs="Book Antiqua"/>
          <w:color w:val="000000"/>
          <w:shd w:val="clear" w:color="auto" w:fill="FFFFFF"/>
        </w:rPr>
        <w:t>. Because it is well-established that kidney transplant recipients have an increased cancer risk because of the aggressive administration of immunosuppressive agents</w:t>
      </w:r>
      <w:r w:rsidRPr="006A140B">
        <w:rPr>
          <w:rFonts w:ascii="Book Antiqua" w:eastAsia="Book Antiqua" w:hAnsi="Book Antiqua" w:cs="Book Antiqua"/>
          <w:color w:val="000000"/>
          <w:shd w:val="clear" w:color="auto" w:fill="FFFFFF"/>
          <w:vertAlign w:val="superscript"/>
        </w:rPr>
        <w:t>[15]</w:t>
      </w:r>
      <w:r w:rsidRPr="006A140B">
        <w:rPr>
          <w:rFonts w:ascii="Book Antiqua" w:eastAsia="Book Antiqua" w:hAnsi="Book Antiqua" w:cs="Book Antiqua"/>
          <w:color w:val="000000"/>
          <w:shd w:val="clear" w:color="auto" w:fill="FFFFFF"/>
        </w:rPr>
        <w:t>, it is reasonable to have a separate discussion for post-kidney-transplantation status.</w:t>
      </w:r>
    </w:p>
    <w:p w14:paraId="1EEFF169" w14:textId="77777777" w:rsidR="00A77B3E" w:rsidRPr="006A140B" w:rsidRDefault="00A77B3E" w:rsidP="00495B7C">
      <w:pPr>
        <w:spacing w:line="360" w:lineRule="auto"/>
        <w:ind w:firstLine="480"/>
        <w:jc w:val="both"/>
        <w:rPr>
          <w:rFonts w:ascii="Book Antiqua" w:hAnsi="Book Antiqua"/>
        </w:rPr>
      </w:pPr>
    </w:p>
    <w:p w14:paraId="6C582504" w14:textId="134BBF97" w:rsidR="00A77B3E" w:rsidRPr="006A140B" w:rsidRDefault="007D6307" w:rsidP="008D3F53">
      <w:pPr>
        <w:spacing w:line="360" w:lineRule="auto"/>
        <w:jc w:val="both"/>
        <w:rPr>
          <w:rFonts w:ascii="Book Antiqua" w:hAnsi="Book Antiqua"/>
        </w:rPr>
      </w:pPr>
      <w:r w:rsidRPr="006A140B">
        <w:rPr>
          <w:rFonts w:ascii="Book Antiqua" w:eastAsia="Book Antiqua" w:hAnsi="Book Antiqua" w:cs="Book Antiqua"/>
          <w:b/>
          <w:bCs/>
          <w:color w:val="000000"/>
        </w:rPr>
        <w:t>CKD without dialysis</w:t>
      </w:r>
      <w:r w:rsidR="0011643C" w:rsidRPr="006A140B">
        <w:rPr>
          <w:rFonts w:ascii="Book Antiqua" w:eastAsia="Book Antiqua" w:hAnsi="Book Antiqua" w:cs="Book Antiqua"/>
          <w:b/>
          <w:bCs/>
          <w:color w:val="000000"/>
        </w:rPr>
        <w:t xml:space="preserve"> </w:t>
      </w:r>
      <w:r w:rsidR="0011643C" w:rsidRPr="006A140B">
        <w:rPr>
          <w:rFonts w:eastAsia="Book Antiqua"/>
          <w:b/>
          <w:bCs/>
          <w:color w:val="000000"/>
        </w:rPr>
        <w:t>−</w:t>
      </w:r>
      <w:r w:rsidR="0011643C" w:rsidRPr="006A140B">
        <w:rPr>
          <w:rFonts w:ascii="Book Antiqua" w:eastAsia="Book Antiqua" w:hAnsi="Book Antiqua" w:cs="Book Antiqua"/>
          <w:b/>
          <w:bCs/>
          <w:color w:val="000000"/>
        </w:rPr>
        <w:t xml:space="preserve"> a</w:t>
      </w:r>
      <w:r w:rsidRPr="006A140B">
        <w:rPr>
          <w:rFonts w:ascii="Book Antiqua" w:eastAsia="Book Antiqua" w:hAnsi="Book Antiqua" w:cs="Book Antiqua"/>
          <w:b/>
          <w:bCs/>
          <w:color w:val="000000"/>
        </w:rPr>
        <w:t>ccumulation of uremic toxins and elevated serum levels of cytokines</w:t>
      </w:r>
      <w:r w:rsidR="00C87896" w:rsidRPr="006A140B">
        <w:rPr>
          <w:rFonts w:ascii="Book Antiqua" w:eastAsia="Book Antiqua" w:hAnsi="Book Antiqua" w:cs="Book Antiqua"/>
          <w:b/>
          <w:bCs/>
          <w:color w:val="000000"/>
        </w:rPr>
        <w:t>:</w:t>
      </w:r>
      <w:r w:rsidR="00C87896" w:rsidRPr="006A140B">
        <w:rPr>
          <w:rFonts w:ascii="Book Antiqua" w:hAnsi="Book Antiqua" w:hint="eastAsia"/>
          <w:lang w:eastAsia="zh-CN"/>
        </w:rPr>
        <w:t xml:space="preserve"> </w:t>
      </w:r>
      <w:r w:rsidRPr="006A140B">
        <w:rPr>
          <w:rFonts w:ascii="Book Antiqua" w:eastAsia="Book Antiqua" w:hAnsi="Book Antiqua" w:cs="Book Antiqua"/>
          <w:color w:val="000000"/>
        </w:rPr>
        <w:t>The well-documented phenomenon of patients with impaired renal function having increased cancer risk raises the following question: Could uremic toxin accumulation, one of the direct consequences of renal dysfunction, be carcinogenic?</w:t>
      </w:r>
    </w:p>
    <w:p w14:paraId="0C90FE5F" w14:textId="73B5A074"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P-Cresyl sulfate (PCS), a protein-bound uremic toxin</w:t>
      </w:r>
      <w:r w:rsidR="008D3F53"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prototype that cannot be efficiently removed through routine dialysis procedures, has been found to be fibrogenic in the kidney and vascular system of mice through epithelial-to-mesenchymal transition (EMT)</w:t>
      </w:r>
      <w:r w:rsidRPr="006A140B">
        <w:rPr>
          <w:rFonts w:ascii="Book Antiqua" w:eastAsia="Book Antiqua" w:hAnsi="Book Antiqua" w:cs="Book Antiqua"/>
          <w:color w:val="000000"/>
          <w:vertAlign w:val="superscript"/>
        </w:rPr>
        <w:t>[16-18]</w:t>
      </w:r>
      <w:r w:rsidRPr="006A140B">
        <w:rPr>
          <w:rFonts w:ascii="Book Antiqua" w:eastAsia="Book Antiqua" w:hAnsi="Book Antiqua" w:cs="Book Antiqua"/>
          <w:color w:val="000000"/>
        </w:rPr>
        <w:t>. EMT is an irreversible process through which epithelial cells lose their cell polarity and cell–cell adhesion and acquire migratory properties to become mesenchymal cells. EMT has also been implicated in the development of liver fibrosis and cirrhosis</w:t>
      </w:r>
      <w:r w:rsidRPr="006A140B">
        <w:rPr>
          <w:rFonts w:ascii="Book Antiqua" w:eastAsia="Book Antiqua" w:hAnsi="Book Antiqua" w:cs="Book Antiqua"/>
          <w:color w:val="000000"/>
          <w:vertAlign w:val="superscript"/>
        </w:rPr>
        <w:t>[19-22]</w:t>
      </w:r>
      <w:r w:rsidRPr="006A140B">
        <w:rPr>
          <w:rFonts w:ascii="Book Antiqua" w:eastAsia="Book Antiqua" w:hAnsi="Book Antiqua" w:cs="Book Antiqua"/>
          <w:color w:val="000000"/>
        </w:rPr>
        <w:t>. It has been widely accepted that transforming growth factor-beta (TGF-β) plays a crucial role in hepatic EMT through stellate cell activation and excessive matrix synthesis</w:t>
      </w:r>
      <w:r w:rsidRPr="006A140B">
        <w:rPr>
          <w:rFonts w:ascii="Book Antiqua" w:eastAsia="Book Antiqua" w:hAnsi="Book Antiqua" w:cs="Book Antiqua"/>
          <w:color w:val="000000"/>
          <w:vertAlign w:val="superscript"/>
        </w:rPr>
        <w:t>[19,20,23,24]</w:t>
      </w:r>
      <w:r w:rsidRPr="006A140B">
        <w:rPr>
          <w:rFonts w:ascii="Book Antiqua" w:eastAsia="Book Antiqua" w:hAnsi="Book Antiqua" w:cs="Book Antiqua"/>
          <w:color w:val="000000"/>
        </w:rPr>
        <w:t xml:space="preserve">. The sequential progression from chronic liver fibrosis to cirrhosis culminates in the development of HCC, which </w:t>
      </w:r>
      <w:r w:rsidR="003550E2" w:rsidRPr="006A140B">
        <w:rPr>
          <w:rFonts w:ascii="Book Antiqua" w:eastAsia="Book Antiqua" w:hAnsi="Book Antiqua" w:cs="Book Antiqua"/>
          <w:color w:val="000000"/>
        </w:rPr>
        <w:t xml:space="preserve">is </w:t>
      </w:r>
      <w:r w:rsidRPr="006A140B">
        <w:rPr>
          <w:rFonts w:ascii="Book Antiqua" w:eastAsia="Book Antiqua" w:hAnsi="Book Antiqua" w:cs="Book Antiqua"/>
          <w:color w:val="000000"/>
        </w:rPr>
        <w:t>a major cause of death in patients with compensated cirrhosis</w:t>
      </w:r>
      <w:r w:rsidRPr="006A140B">
        <w:rPr>
          <w:rFonts w:ascii="Book Antiqua" w:eastAsia="Book Antiqua" w:hAnsi="Book Antiqua" w:cs="Book Antiqua"/>
          <w:color w:val="000000"/>
          <w:vertAlign w:val="superscript"/>
        </w:rPr>
        <w:t>[25,26]</w:t>
      </w:r>
      <w:r w:rsidRPr="006A140B">
        <w:rPr>
          <w:rFonts w:ascii="Book Antiqua" w:eastAsia="Book Antiqua" w:hAnsi="Book Antiqua" w:cs="Book Antiqua"/>
          <w:color w:val="000000"/>
        </w:rPr>
        <w:t>. A study in Taiwan found that PCS increased the incidence of liver fibrosis in people with HBV and HCV</w:t>
      </w:r>
      <w:r w:rsidRPr="006A140B">
        <w:rPr>
          <w:rFonts w:ascii="Book Antiqua" w:eastAsia="Book Antiqua" w:hAnsi="Book Antiqua" w:cs="Book Antiqua"/>
          <w:color w:val="000000"/>
          <w:vertAlign w:val="superscript"/>
        </w:rPr>
        <w:t>[27]</w:t>
      </w:r>
      <w:r w:rsidRPr="006A140B">
        <w:rPr>
          <w:rFonts w:ascii="Book Antiqua" w:eastAsia="Book Antiqua" w:hAnsi="Book Antiqua" w:cs="Book Antiqua"/>
          <w:color w:val="000000"/>
        </w:rPr>
        <w:t xml:space="preserve">. Although limited data exist on whether the PCS can directly induce EMT in the liver, we postulate that PCS accumulation secondary to renal dysfunction influences liver fibrosis, cirrhosis, and eventually the risk of HCC. </w:t>
      </w:r>
      <w:r w:rsidR="0018699C" w:rsidRPr="006A140B">
        <w:rPr>
          <w:rFonts w:ascii="Book Antiqua" w:hAnsi="Book Antiqua"/>
        </w:rPr>
        <w:t>Hwang</w:t>
      </w:r>
      <w:r w:rsidRPr="006A140B">
        <w:rPr>
          <w:rFonts w:ascii="Book Antiqua" w:eastAsia="Book Antiqua" w:hAnsi="Book Antiqua" w:cs="Book Antiqua"/>
          <w:color w:val="000000"/>
        </w:rPr>
        <w:t xml:space="preserve"> </w:t>
      </w:r>
      <w:r w:rsidRPr="006A140B">
        <w:rPr>
          <w:rFonts w:ascii="Book Antiqua" w:eastAsia="Book Antiqua" w:hAnsi="Book Antiqua" w:cs="Book Antiqua"/>
          <w:i/>
          <w:iCs/>
          <w:color w:val="000000"/>
        </w:rPr>
        <w:t>et al</w:t>
      </w:r>
      <w:r w:rsidR="0018699C" w:rsidRPr="006A140B">
        <w:rPr>
          <w:rFonts w:ascii="Book Antiqua" w:eastAsia="Book Antiqua" w:hAnsi="Book Antiqua" w:cs="Book Antiqua"/>
          <w:color w:val="000000"/>
          <w:vertAlign w:val="superscript"/>
        </w:rPr>
        <w:t>[28]</w:t>
      </w:r>
      <w:r w:rsidRPr="006A140B">
        <w:rPr>
          <w:rFonts w:ascii="Book Antiqua" w:eastAsia="Book Antiqua" w:hAnsi="Book Antiqua" w:cs="Book Antiqua"/>
          <w:color w:val="000000"/>
        </w:rPr>
        <w:t xml:space="preserve"> conducted a population-based study to examine the mechanism behind the high incidence of HCC in ESRD, and they found PCS to be positively correlated with HCC occurrence</w:t>
      </w:r>
      <w:r w:rsidRPr="006A140B">
        <w:rPr>
          <w:rFonts w:ascii="Book Antiqua" w:eastAsia="Book Antiqua" w:hAnsi="Book Antiqua" w:cs="Book Antiqua"/>
          <w:color w:val="000000"/>
          <w:vertAlign w:val="superscript"/>
        </w:rPr>
        <w:t>[28]</w:t>
      </w:r>
      <w:r w:rsidRPr="006A140B">
        <w:rPr>
          <w:rFonts w:ascii="Book Antiqua" w:eastAsia="Book Antiqua" w:hAnsi="Book Antiqua" w:cs="Book Antiqua"/>
          <w:color w:val="000000"/>
        </w:rPr>
        <w:t>. However, in that study, ESRD was no longer associated with a higher incidence of HCC than in the general population after matching was conducted for hepatitis and liver cirrhosis. Those authors concluded that the high incidence of HCC in patients with ESRD was caused by a high viral hepatitis rate rather than by uremia</w:t>
      </w:r>
      <w:r w:rsidR="0018699C" w:rsidRPr="006A140B">
        <w:rPr>
          <w:rFonts w:ascii="Book Antiqua" w:eastAsia="Book Antiqua" w:hAnsi="Book Antiqua" w:cs="Book Antiqua"/>
          <w:color w:val="000000"/>
        </w:rPr>
        <w:t xml:space="preserve"> </w:t>
      </w:r>
      <w:r w:rsidRPr="006A140B">
        <w:rPr>
          <w:rFonts w:ascii="Book Antiqua" w:eastAsia="Book Antiqua" w:hAnsi="Book Antiqua" w:cs="Book Antiqua"/>
          <w:i/>
          <w:iCs/>
          <w:color w:val="000000"/>
        </w:rPr>
        <w:t>per se</w:t>
      </w:r>
      <w:r w:rsidRPr="006A140B">
        <w:rPr>
          <w:rFonts w:ascii="Book Antiqua" w:eastAsia="Book Antiqua" w:hAnsi="Book Antiqua" w:cs="Book Antiqua"/>
          <w:color w:val="000000"/>
          <w:vertAlign w:val="superscript"/>
        </w:rPr>
        <w:t>[28]</w:t>
      </w:r>
      <w:r w:rsidRPr="006A140B">
        <w:rPr>
          <w:rFonts w:ascii="Book Antiqua" w:eastAsia="Book Antiqua" w:hAnsi="Book Antiqua" w:cs="Book Antiqua"/>
          <w:color w:val="000000"/>
        </w:rPr>
        <w:t>. This does not violate our aforementioned assumption, despite appearing to do so, that PCS indirectly contributes to HCC occurrence through liver inflammation and cirrhosis. Further studies are warranted to clarify the link between PCS and HCC.</w:t>
      </w:r>
    </w:p>
    <w:p w14:paraId="317B35FD" w14:textId="63C60CE3"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Cytokines constitute another topic worthy of discussion. Renal dysfunction is also known to increase the level of cytokines in the body, such as interleukin (IL</w:t>
      </w:r>
      <w:r w:rsidR="0018699C" w:rsidRPr="006A140B">
        <w:rPr>
          <w:rFonts w:ascii="Book Antiqua" w:eastAsia="Book Antiqua" w:hAnsi="Book Antiqua" w:cs="Book Antiqua"/>
          <w:color w:val="000000"/>
        </w:rPr>
        <w:t>)</w:t>
      </w:r>
      <w:r w:rsidRPr="006A140B">
        <w:rPr>
          <w:rFonts w:ascii="Book Antiqua" w:eastAsia="Book Antiqua" w:hAnsi="Book Antiqua" w:cs="Book Antiqua"/>
          <w:color w:val="000000"/>
        </w:rPr>
        <w:t>-1, IL-6, and tumor necrosis factor-α (TNF-α)</w:t>
      </w:r>
      <w:r w:rsidRPr="006A140B">
        <w:rPr>
          <w:rFonts w:ascii="Book Antiqua" w:eastAsia="Book Antiqua" w:hAnsi="Book Antiqua" w:cs="Book Antiqua"/>
          <w:color w:val="000000"/>
          <w:vertAlign w:val="superscript"/>
        </w:rPr>
        <w:t>[29-32]</w:t>
      </w:r>
      <w:r w:rsidRPr="006A140B">
        <w:rPr>
          <w:rFonts w:ascii="Book Antiqua" w:eastAsia="Book Antiqua" w:hAnsi="Book Antiqua" w:cs="Book Antiqua"/>
          <w:color w:val="000000"/>
        </w:rPr>
        <w:t xml:space="preserve">. Several studies have reported that IL-6, TNF-α, and other cytokines are associated with more severe problems in liver necrosis, tissue repair and regeneration, and the </w:t>
      </w:r>
      <w:r w:rsidRPr="006A140B">
        <w:rPr>
          <w:rFonts w:ascii="Book Antiqua" w:eastAsia="Book Antiqua" w:hAnsi="Book Antiqua" w:cs="Book Antiqua"/>
          <w:color w:val="000000"/>
          <w:shd w:val="clear" w:color="auto" w:fill="FFFFFF"/>
        </w:rPr>
        <w:t>accumulation of mutations caused by aberrant cell proliferation, thus increasing the transformation potential of hepatocytes</w:t>
      </w:r>
      <w:r w:rsidRPr="006A140B">
        <w:rPr>
          <w:rFonts w:ascii="Book Antiqua" w:eastAsia="Book Antiqua" w:hAnsi="Book Antiqua" w:cs="Book Antiqua"/>
          <w:color w:val="000000"/>
        </w:rPr>
        <w:t xml:space="preserve"> and the risk of HCC</w:t>
      </w:r>
      <w:r w:rsidRPr="006A140B">
        <w:rPr>
          <w:rFonts w:ascii="Book Antiqua" w:eastAsia="Book Antiqua" w:hAnsi="Book Antiqua" w:cs="Book Antiqua"/>
          <w:color w:val="000000"/>
          <w:vertAlign w:val="superscript"/>
        </w:rPr>
        <w:t>[33,34]</w:t>
      </w:r>
      <w:r w:rsidRPr="006A140B">
        <w:rPr>
          <w:rFonts w:ascii="Book Antiqua" w:eastAsia="Book Antiqua" w:hAnsi="Book Antiqua" w:cs="Book Antiqua"/>
          <w:color w:val="000000"/>
        </w:rPr>
        <w:t>. More studies focusing on the underlying pathophysiology are required to determine whether these cytokines lead to hepatic carcinogenesis, either directly or indirectly. In addition to proinflammatory properties, uremia has been recognized to compromise normal immune response by enhancing the apoptosis of activated immune cells</w:t>
      </w:r>
      <w:r w:rsidRPr="006A140B">
        <w:rPr>
          <w:rFonts w:ascii="Book Antiqua" w:eastAsia="Book Antiqua" w:hAnsi="Book Antiqua" w:cs="Book Antiqua"/>
          <w:color w:val="000000"/>
          <w:vertAlign w:val="superscript"/>
        </w:rPr>
        <w:t>[35-37]</w:t>
      </w:r>
      <w:r w:rsidRPr="006A140B">
        <w:rPr>
          <w:rFonts w:ascii="Book Antiqua" w:eastAsia="Book Antiqua" w:hAnsi="Book Antiqua" w:cs="Book Antiqua"/>
          <w:color w:val="000000"/>
        </w:rPr>
        <w:t>. The immune</w:t>
      </w:r>
      <w:r w:rsidRPr="006A140B">
        <w:rPr>
          <w:rFonts w:ascii="Book Antiqua" w:eastAsia="Book Antiqua" w:hAnsi="Book Antiqua" w:cs="Book Antiqua"/>
          <w:color w:val="000000"/>
          <w:shd w:val="clear" w:color="auto" w:fill="FFFFFF"/>
        </w:rPr>
        <w:t xml:space="preserve"> alterations associated with uremia possibly contribute to cancer occurrence. </w:t>
      </w:r>
      <w:r w:rsidRPr="006A140B">
        <w:rPr>
          <w:rFonts w:ascii="Book Antiqua" w:eastAsia="Book Antiqua" w:hAnsi="Book Antiqua" w:cs="Book Antiqua"/>
          <w:color w:val="000000"/>
        </w:rPr>
        <w:t>However,</w:t>
      </w:r>
      <w:r w:rsidRPr="006A140B">
        <w:rPr>
          <w:rFonts w:ascii="Book Antiqua" w:eastAsia="Book Antiqua" w:hAnsi="Book Antiqua" w:cs="Book Antiqua"/>
          <w:color w:val="000000"/>
          <w:shd w:val="clear" w:color="auto" w:fill="FFFFFF"/>
        </w:rPr>
        <w:t xml:space="preserve"> data on</w:t>
      </w:r>
      <w:r w:rsidRPr="006A140B">
        <w:rPr>
          <w:rFonts w:ascii="Book Antiqua" w:eastAsia="Book Antiqua" w:hAnsi="Book Antiqua" w:cs="Book Antiqua"/>
          <w:color w:val="000000"/>
        </w:rPr>
        <w:t xml:space="preserve"> site-specific cancers such as HCC</w:t>
      </w:r>
      <w:r w:rsidRPr="006A140B">
        <w:rPr>
          <w:rFonts w:ascii="Book Antiqua" w:eastAsia="Book Antiqua" w:hAnsi="Book Antiqua" w:cs="Book Antiqua"/>
          <w:color w:val="000000"/>
          <w:shd w:val="clear" w:color="auto" w:fill="FFFFFF"/>
        </w:rPr>
        <w:t xml:space="preserve"> are lacking</w:t>
      </w:r>
      <w:r w:rsidRPr="006A140B">
        <w:rPr>
          <w:rFonts w:ascii="Book Antiqua" w:eastAsia="Book Antiqua" w:hAnsi="Book Antiqua" w:cs="Book Antiqua"/>
          <w:color w:val="000000"/>
        </w:rPr>
        <w:t>, and further studies are required to delineate the relationships between uremia, immune dysfunction, and HCC.</w:t>
      </w:r>
    </w:p>
    <w:p w14:paraId="5ED2FC95" w14:textId="77777777" w:rsidR="00A77B3E" w:rsidRPr="006A140B" w:rsidRDefault="00A77B3E" w:rsidP="00495B7C">
      <w:pPr>
        <w:spacing w:line="360" w:lineRule="auto"/>
        <w:ind w:firstLine="480"/>
        <w:jc w:val="both"/>
        <w:rPr>
          <w:rFonts w:ascii="Book Antiqua" w:hAnsi="Book Antiqua"/>
        </w:rPr>
      </w:pPr>
    </w:p>
    <w:p w14:paraId="6B49F18A" w14:textId="481CB279"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Effect of </w:t>
      </w:r>
      <w:r w:rsidR="00095161" w:rsidRPr="006A140B">
        <w:rPr>
          <w:rFonts w:ascii="Book Antiqua" w:eastAsia="Book Antiqua" w:hAnsi="Book Antiqua" w:cs="Book Antiqua"/>
          <w:b/>
          <w:bCs/>
          <w:color w:val="000000"/>
        </w:rPr>
        <w:t>ESRD</w:t>
      </w:r>
      <w:r w:rsidRPr="006A140B">
        <w:rPr>
          <w:rFonts w:ascii="Book Antiqua" w:eastAsia="Book Antiqua" w:hAnsi="Book Antiqua" w:cs="Book Antiqua"/>
          <w:b/>
          <w:bCs/>
          <w:color w:val="000000"/>
        </w:rPr>
        <w:t xml:space="preserve"> on chronic dialysis status</w:t>
      </w:r>
      <w:r w:rsidR="00C87896" w:rsidRPr="006A140B">
        <w:rPr>
          <w:rFonts w:ascii="Book Antiqua" w:eastAsia="Book Antiqua" w:hAnsi="Book Antiqua" w:cs="Book Antiqua"/>
          <w:b/>
          <w:bCs/>
          <w:color w:val="000000"/>
        </w:rPr>
        <w:t>:</w:t>
      </w:r>
      <w:r w:rsidR="00C87896" w:rsidRPr="006A140B">
        <w:rPr>
          <w:rFonts w:ascii="Book Antiqua" w:hAnsi="Book Antiqua" w:hint="eastAsia"/>
          <w:lang w:eastAsia="zh-CN"/>
        </w:rPr>
        <w:t xml:space="preserve"> </w:t>
      </w:r>
      <w:r w:rsidRPr="006A140B">
        <w:rPr>
          <w:rFonts w:ascii="Book Antiqua" w:eastAsia="Book Antiqua" w:hAnsi="Book Antiqua" w:cs="Book Antiqua"/>
          <w:color w:val="000000"/>
          <w:shd w:val="clear" w:color="auto" w:fill="FFFFFF"/>
        </w:rPr>
        <w:t>Studies have suggested that the overall cancer risk in chronic dialysis patients is significantly higher than that in the general population, for both HCC and cancers of other primary sites</w:t>
      </w:r>
      <w:r w:rsidRPr="006A140B">
        <w:rPr>
          <w:rFonts w:ascii="Book Antiqua" w:eastAsia="Book Antiqua" w:hAnsi="Book Antiqua" w:cs="Book Antiqua"/>
          <w:color w:val="000000"/>
          <w:shd w:val="clear" w:color="auto" w:fill="FFFFFF"/>
          <w:vertAlign w:val="superscript"/>
        </w:rPr>
        <w:t>[10,12,13]</w:t>
      </w:r>
      <w:r w:rsidRPr="006A140B">
        <w:rPr>
          <w:rFonts w:ascii="Book Antiqua" w:eastAsia="Book Antiqua" w:hAnsi="Book Antiqua" w:cs="Book Antiqua"/>
          <w:color w:val="000000"/>
          <w:shd w:val="clear" w:color="auto" w:fill="FFFFFF"/>
        </w:rPr>
        <w:t>. Whether such carcinogenic effects originate from the dialysis procedure itself or other ESRD-related factors remains to be determined</w:t>
      </w:r>
      <w:r w:rsidRPr="006A140B">
        <w:rPr>
          <w:rFonts w:ascii="Book Antiqua" w:eastAsia="Book Antiqua" w:hAnsi="Book Antiqua" w:cs="Book Antiqua"/>
          <w:color w:val="000000"/>
          <w:shd w:val="clear" w:color="auto" w:fill="FFFFFF"/>
          <w:vertAlign w:val="superscript"/>
        </w:rPr>
        <w:t>[38]</w:t>
      </w:r>
      <w:r w:rsidRPr="006A140B">
        <w:rPr>
          <w:rFonts w:ascii="Book Antiqua" w:eastAsia="Book Antiqua" w:hAnsi="Book Antiqua" w:cs="Book Antiqua"/>
          <w:color w:val="000000"/>
          <w:shd w:val="clear" w:color="auto" w:fill="FFFFFF"/>
        </w:rPr>
        <w:t xml:space="preserve">. Wong </w:t>
      </w:r>
      <w:r w:rsidRPr="006A140B">
        <w:rPr>
          <w:rFonts w:ascii="Book Antiqua" w:eastAsia="Book Antiqua" w:hAnsi="Book Antiqua" w:cs="Book Antiqua"/>
          <w:i/>
          <w:iCs/>
          <w:color w:val="000000"/>
          <w:shd w:val="clear" w:color="auto" w:fill="FFFFFF"/>
        </w:rPr>
        <w:t>et al</w:t>
      </w:r>
      <w:r w:rsidR="00833B15" w:rsidRPr="006A140B">
        <w:rPr>
          <w:rFonts w:ascii="Book Antiqua" w:eastAsia="Book Antiqua" w:hAnsi="Book Antiqua" w:cs="Book Antiqua"/>
          <w:color w:val="000000"/>
          <w:shd w:val="clear" w:color="auto" w:fill="FFFFFF"/>
          <w:vertAlign w:val="superscript"/>
        </w:rPr>
        <w:t>[39]</w:t>
      </w:r>
      <w:r w:rsidRPr="006A140B">
        <w:rPr>
          <w:rFonts w:ascii="Book Antiqua" w:eastAsia="Book Antiqua" w:hAnsi="Book Antiqua" w:cs="Book Antiqua"/>
          <w:color w:val="000000"/>
          <w:shd w:val="clear" w:color="auto" w:fill="FFFFFF"/>
        </w:rPr>
        <w:t xml:space="preserve"> found an increased dialysis time to be a significant risk factor for common solid organ cancers regardless of age. They demonstrated that a dose-dependent relationship exists between the duration of maintenance</w:t>
      </w:r>
      <w:r w:rsidR="00833B15"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rPr>
        <w:t>dialysis</w:t>
      </w:r>
      <w:r w:rsidR="00833B15"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and overall cumulative</w:t>
      </w:r>
      <w:r w:rsidR="00833B15"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rPr>
        <w:t>cancer</w:t>
      </w:r>
      <w:r w:rsidR="00833B15"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 xml:space="preserve">risk, and this relationship was independent of the </w:t>
      </w:r>
      <w:r w:rsidRPr="006A140B">
        <w:rPr>
          <w:rFonts w:ascii="Book Antiqua" w:eastAsia="Book Antiqua" w:hAnsi="Book Antiqua" w:cs="Book Antiqua"/>
          <w:color w:val="000000"/>
        </w:rPr>
        <w:t>dialysis</w:t>
      </w:r>
      <w:r w:rsidR="00833B15"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modality. The findings were attributed to the immunodeficient and chronic inflammatory status in uremia and to the substances the patient was exposed to during dialysis, including nitrites, chloramines, and other unknown elements</w:t>
      </w:r>
      <w:r w:rsidRPr="006A140B">
        <w:rPr>
          <w:rFonts w:ascii="Book Antiqua" w:eastAsia="Book Antiqua" w:hAnsi="Book Antiqua" w:cs="Book Antiqua"/>
          <w:color w:val="000000"/>
          <w:shd w:val="clear" w:color="auto" w:fill="FFFFFF"/>
          <w:vertAlign w:val="superscript"/>
        </w:rPr>
        <w:t>[39]</w:t>
      </w:r>
      <w:r w:rsidRPr="006A140B">
        <w:rPr>
          <w:rFonts w:ascii="Book Antiqua" w:eastAsia="Book Antiqua" w:hAnsi="Book Antiqua" w:cs="Book Antiqua"/>
          <w:color w:val="000000"/>
          <w:shd w:val="clear" w:color="auto" w:fill="FFFFFF"/>
        </w:rPr>
        <w:t>. Another study on th</w:t>
      </w:r>
      <w:r w:rsidRPr="006A140B">
        <w:rPr>
          <w:rFonts w:ascii="Book Antiqua" w:eastAsia="Book Antiqua" w:hAnsi="Book Antiqua" w:cs="Book Antiqua"/>
          <w:color w:val="000000"/>
        </w:rPr>
        <w:t>e pattern of excess cancer in dialysis and transplantation reported that dialysis was associated with a small increase in immune deficiency–related cancers, including liver cancer; however, the risk of liver cancer was not particularly high in patients on dialysis [standardized incidence ratio (SIR) 2.2, 95% confidence interval (CI): 1.2</w:t>
      </w:r>
      <w:r w:rsidR="0011643C" w:rsidRPr="006A140B">
        <w:rPr>
          <w:rFonts w:ascii="Book Antiqua" w:eastAsia="Book Antiqua" w:hAnsi="Book Antiqua" w:cs="Book Antiqua"/>
          <w:color w:val="000000"/>
        </w:rPr>
        <w:t>-</w:t>
      </w:r>
      <w:r w:rsidRPr="006A140B">
        <w:rPr>
          <w:rFonts w:ascii="Book Antiqua" w:eastAsia="Book Antiqua" w:hAnsi="Book Antiqua" w:cs="Book Antiqua"/>
          <w:color w:val="000000"/>
        </w:rPr>
        <w:t>3.7] relative to other types of immune deficiency–related cancers. Moreover, the overall findings for such cancers would be unchanged if liver cancer was excluded from the group</w:t>
      </w:r>
      <w:r w:rsidRPr="006A140B">
        <w:rPr>
          <w:rFonts w:ascii="Book Antiqua" w:eastAsia="Book Antiqua" w:hAnsi="Book Antiqua" w:cs="Book Antiqua"/>
          <w:color w:val="000000"/>
          <w:shd w:val="clear" w:color="auto" w:fill="FFFFFF"/>
          <w:vertAlign w:val="superscript"/>
        </w:rPr>
        <w:t>[5]</w:t>
      </w:r>
      <w:r w:rsidRPr="006A140B">
        <w:rPr>
          <w:rFonts w:ascii="Book Antiqua" w:eastAsia="Book Antiqua" w:hAnsi="Book Antiqua" w:cs="Book Antiqua"/>
          <w:color w:val="000000"/>
          <w:shd w:val="clear" w:color="auto" w:fill="FFFFFF"/>
        </w:rPr>
        <w:t>. Because both HBV and HCV are prevalent in patients on hemodialysis</w:t>
      </w:r>
      <w:r w:rsidRPr="006A140B">
        <w:rPr>
          <w:rFonts w:ascii="Book Antiqua" w:eastAsia="Book Antiqua" w:hAnsi="Book Antiqua" w:cs="Book Antiqua"/>
          <w:color w:val="000000"/>
          <w:shd w:val="clear" w:color="auto" w:fill="FFFFFF"/>
          <w:vertAlign w:val="superscript"/>
        </w:rPr>
        <w:t>[40-42]</w:t>
      </w:r>
      <w:r w:rsidRPr="006A140B">
        <w:rPr>
          <w:rFonts w:ascii="Book Antiqua" w:eastAsia="Book Antiqua" w:hAnsi="Book Antiqua" w:cs="Book Antiqua"/>
          <w:color w:val="000000"/>
          <w:shd w:val="clear" w:color="auto" w:fill="FFFFFF"/>
        </w:rPr>
        <w:t>, studies have attributed HCC incidence in part to exposure to oncogenic virus infection in dialysis populations through blood transfusion and contamination. Furthermore, a nationwide study in Taiwan revealed that liver cancer was the second most common cancer found in patients receiving dialysis and that the SIR of liver cancer in chronic dialysis patients was also higher than that of their healthy counterparts</w:t>
      </w:r>
      <w:r w:rsidRPr="006A140B">
        <w:rPr>
          <w:rFonts w:ascii="Book Antiqua" w:eastAsia="Book Antiqua" w:hAnsi="Book Antiqua" w:cs="Book Antiqua"/>
          <w:color w:val="000000"/>
          <w:shd w:val="clear" w:color="auto" w:fill="FFFFFF"/>
          <w:vertAlign w:val="superscript"/>
        </w:rPr>
        <w:t>[9]</w:t>
      </w:r>
      <w:r w:rsidRPr="006A140B">
        <w:rPr>
          <w:rFonts w:ascii="Book Antiqua" w:eastAsia="Book Antiqua" w:hAnsi="Book Antiqua" w:cs="Book Antiqua"/>
          <w:color w:val="000000"/>
          <w:shd w:val="clear" w:color="auto" w:fill="FFFFFF"/>
        </w:rPr>
        <w:t>. This result is inconsistent with the relatively lower frequency of liver cancer found in an international collaborative study</w:t>
      </w:r>
      <w:r w:rsidRPr="006A140B">
        <w:rPr>
          <w:rFonts w:ascii="Book Antiqua" w:eastAsia="Book Antiqua" w:hAnsi="Book Antiqua" w:cs="Book Antiqua"/>
          <w:color w:val="000000"/>
          <w:shd w:val="clear" w:color="auto" w:fill="FFFFFF"/>
          <w:vertAlign w:val="superscript"/>
        </w:rPr>
        <w:t>[10]</w:t>
      </w:r>
      <w:r w:rsidRPr="006A140B">
        <w:rPr>
          <w:rFonts w:ascii="Book Antiqua" w:eastAsia="Book Antiqua" w:hAnsi="Book Antiqua" w:cs="Book Antiqua"/>
          <w:color w:val="000000"/>
          <w:shd w:val="clear" w:color="auto" w:fill="FFFFFF"/>
        </w:rPr>
        <w:t>. A high frequency of liver cancer among the dialysis population might be explained by HBV and HCV infection being endemic to Taiwan</w:t>
      </w:r>
      <w:r w:rsidRPr="006A140B">
        <w:rPr>
          <w:rFonts w:ascii="Book Antiqua" w:eastAsia="Book Antiqua" w:hAnsi="Book Antiqua" w:cs="Book Antiqua"/>
          <w:color w:val="000000"/>
          <w:shd w:val="clear" w:color="auto" w:fill="FFFFFF"/>
          <w:vertAlign w:val="superscript"/>
        </w:rPr>
        <w:t>[9]</w:t>
      </w:r>
      <w:r w:rsidRPr="006A140B">
        <w:rPr>
          <w:rFonts w:ascii="Book Antiqua" w:eastAsia="Book Antiqua" w:hAnsi="Book Antiqua" w:cs="Book Antiqua"/>
          <w:color w:val="000000"/>
          <w:shd w:val="clear" w:color="auto" w:fill="FFFFFF"/>
        </w:rPr>
        <w:t>. In the aforementioned studies, except for the effects of infection-related factors, whether the dialysis procedure itself increases HCC risk remains inconclusive.</w:t>
      </w:r>
    </w:p>
    <w:p w14:paraId="0EC42D40" w14:textId="77777777" w:rsidR="00A77B3E" w:rsidRPr="006A140B" w:rsidRDefault="00A77B3E" w:rsidP="00495B7C">
      <w:pPr>
        <w:spacing w:line="360" w:lineRule="auto"/>
        <w:jc w:val="both"/>
        <w:rPr>
          <w:rFonts w:ascii="Book Antiqua" w:hAnsi="Book Antiqua"/>
        </w:rPr>
      </w:pPr>
    </w:p>
    <w:p w14:paraId="452CBDD3" w14:textId="3DB1BE25" w:rsidR="00A77B3E" w:rsidRPr="006A140B" w:rsidRDefault="007D6307" w:rsidP="00495B7C">
      <w:pPr>
        <w:spacing w:line="360" w:lineRule="auto"/>
        <w:jc w:val="both"/>
        <w:rPr>
          <w:rFonts w:ascii="Book Antiqua" w:eastAsia="Book Antiqua" w:hAnsi="Book Antiqua" w:cs="Book Antiqua"/>
          <w:b/>
          <w:bCs/>
          <w:color w:val="000000"/>
        </w:rPr>
      </w:pPr>
      <w:r w:rsidRPr="006A140B">
        <w:rPr>
          <w:rFonts w:ascii="Book Antiqua" w:eastAsia="Book Antiqua" w:hAnsi="Book Antiqua" w:cs="Book Antiqua"/>
          <w:b/>
          <w:bCs/>
          <w:color w:val="000000"/>
        </w:rPr>
        <w:t>Kidney transplantation</w:t>
      </w:r>
      <w:r w:rsidR="00C87896" w:rsidRPr="006A140B">
        <w:rPr>
          <w:rFonts w:ascii="Book Antiqua" w:eastAsia="Book Antiqua" w:hAnsi="Book Antiqua" w:cs="Book Antiqua" w:hint="eastAsia"/>
          <w:b/>
          <w:bCs/>
          <w:color w:val="000000"/>
        </w:rPr>
        <w:t>:</w:t>
      </w:r>
      <w:r w:rsidRPr="006A140B">
        <w:rPr>
          <w:rFonts w:ascii="Book Antiqua" w:eastAsia="Book Antiqua" w:hAnsi="Book Antiqua" w:cs="Book Antiqua"/>
          <w:b/>
          <w:bCs/>
          <w:color w:val="000000"/>
        </w:rPr>
        <w:t xml:space="preserve"> </w:t>
      </w:r>
      <w:r w:rsidRPr="006A140B">
        <w:rPr>
          <w:rFonts w:ascii="Book Antiqua" w:eastAsia="Book Antiqua" w:hAnsi="Book Antiqua" w:cs="Book Antiqua"/>
          <w:color w:val="000000"/>
          <w:shd w:val="clear" w:color="auto" w:fill="FFFFFF"/>
        </w:rPr>
        <w:t>Kidney transplantation is known to be associated with a marked increase in cancer risk at various sites</w:t>
      </w:r>
      <w:r w:rsidRPr="006A140B">
        <w:rPr>
          <w:rFonts w:ascii="Book Antiqua" w:eastAsia="Book Antiqua" w:hAnsi="Book Antiqua" w:cs="Book Antiqua"/>
          <w:color w:val="000000"/>
          <w:shd w:val="clear" w:color="auto" w:fill="FFFFFF"/>
          <w:vertAlign w:val="superscript"/>
        </w:rPr>
        <w:t>[12]</w:t>
      </w:r>
      <w:r w:rsidRPr="006A140B">
        <w:rPr>
          <w:rFonts w:ascii="Book Antiqua" w:eastAsia="Book Antiqua" w:hAnsi="Book Antiqua" w:cs="Book Antiqua"/>
          <w:color w:val="000000"/>
          <w:shd w:val="clear" w:color="auto" w:fill="FFFFFF"/>
        </w:rPr>
        <w:t>. In the late 1960s, the immunosuppressive agents administered to patients who underwent a transplant were discovered to increase the risk of cancer; compared with that in recipients of a cardiac or hepatic transplant, the aforementioned risk is a major outcome factor in recipients of a kidney transplant because of their longer survival owing to dialysis being widely available</w:t>
      </w:r>
      <w:r w:rsidRPr="006A140B">
        <w:rPr>
          <w:rFonts w:ascii="Book Antiqua" w:eastAsia="Book Antiqua" w:hAnsi="Book Antiqua" w:cs="Book Antiqua"/>
          <w:color w:val="000000"/>
          <w:shd w:val="clear" w:color="auto" w:fill="FFFFFF"/>
          <w:vertAlign w:val="superscript"/>
        </w:rPr>
        <w:t>[43]</w:t>
      </w:r>
      <w:r w:rsidRPr="006A140B">
        <w:rPr>
          <w:rFonts w:ascii="Book Antiqua" w:eastAsia="Book Antiqua" w:hAnsi="Book Antiqua" w:cs="Book Antiqua"/>
          <w:color w:val="000000"/>
          <w:shd w:val="clear" w:color="auto" w:fill="FFFFFF"/>
        </w:rPr>
        <w:t>. However, studies that have discussed HCC separately have reported mixed results on whether kidney transplant increases the incidence, reporting either no trend</w:t>
      </w:r>
      <w:r w:rsidRPr="006A140B">
        <w:rPr>
          <w:rFonts w:ascii="Book Antiqua" w:eastAsia="Book Antiqua" w:hAnsi="Book Antiqua" w:cs="Book Antiqua"/>
          <w:color w:val="000000"/>
          <w:shd w:val="clear" w:color="auto" w:fill="FFFFFF"/>
          <w:vertAlign w:val="superscript"/>
        </w:rPr>
        <w:t>[5]</w:t>
      </w:r>
      <w:r w:rsidRPr="006A140B">
        <w:rPr>
          <w:rFonts w:ascii="Book Antiqua" w:eastAsia="Book Antiqua" w:hAnsi="Book Antiqua" w:cs="Book Antiqua"/>
          <w:color w:val="000000"/>
          <w:shd w:val="clear" w:color="auto" w:fill="FFFFFF"/>
        </w:rPr>
        <w:t xml:space="preserve"> or only a moderately increased risk</w:t>
      </w:r>
      <w:r w:rsidRPr="006A140B">
        <w:rPr>
          <w:rFonts w:ascii="Book Antiqua" w:eastAsia="Book Antiqua" w:hAnsi="Book Antiqua" w:cs="Book Antiqua"/>
          <w:color w:val="000000"/>
          <w:shd w:val="clear" w:color="auto" w:fill="FFFFFF"/>
          <w:vertAlign w:val="superscript"/>
        </w:rPr>
        <w:t>[12,44]</w:t>
      </w:r>
      <w:r w:rsidRPr="006A140B">
        <w:rPr>
          <w:rFonts w:ascii="Book Antiqua" w:eastAsia="Book Antiqua" w:hAnsi="Book Antiqua" w:cs="Book Antiqua"/>
          <w:color w:val="000000"/>
          <w:shd w:val="clear" w:color="auto" w:fill="FFFFFF"/>
        </w:rPr>
        <w:t>. Therefore, studies have provided limited support for the theory that kidney transplantation and the related application of immunosuppressive agents increases the risk of HCC.</w:t>
      </w:r>
    </w:p>
    <w:p w14:paraId="607B180C" w14:textId="77777777" w:rsidR="00A77B3E" w:rsidRPr="006A140B" w:rsidRDefault="00A77B3E" w:rsidP="00495B7C">
      <w:pPr>
        <w:spacing w:line="360" w:lineRule="auto"/>
        <w:jc w:val="both"/>
        <w:rPr>
          <w:rFonts w:ascii="Book Antiqua" w:hAnsi="Book Antiqua"/>
        </w:rPr>
      </w:pPr>
    </w:p>
    <w:p w14:paraId="2A95C095" w14:textId="1EE6E1F6"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Miscellaneous factors</w:t>
      </w:r>
      <w:r w:rsidR="00C87896" w:rsidRPr="006A140B">
        <w:rPr>
          <w:rFonts w:ascii="Book Antiqua" w:eastAsia="Book Antiqua" w:hAnsi="Book Antiqua" w:cs="Book Antiqua"/>
          <w:b/>
          <w:bCs/>
          <w:color w:val="000000"/>
        </w:rPr>
        <w:t>:</w:t>
      </w:r>
      <w:r w:rsidR="00C87896" w:rsidRPr="006A140B">
        <w:rPr>
          <w:rFonts w:ascii="Book Antiqua" w:hAnsi="Book Antiqua" w:hint="eastAsia"/>
          <w:lang w:eastAsia="zh-CN"/>
        </w:rPr>
        <w:t xml:space="preserve"> </w:t>
      </w:r>
      <w:r w:rsidRPr="006A140B">
        <w:rPr>
          <w:rFonts w:ascii="Book Antiqua" w:eastAsia="Book Antiqua" w:hAnsi="Book Antiqua" w:cs="Book Antiqua"/>
          <w:color w:val="000000"/>
        </w:rPr>
        <w:t>HCC is more prevalent in men than in women. Both androgen and estrogen sex steroids can contribute to the gender disparity in HCC prevalence, where their effects are distinct to each sex</w:t>
      </w:r>
      <w:r w:rsidRPr="006A140B">
        <w:rPr>
          <w:rFonts w:ascii="Book Antiqua" w:eastAsia="Book Antiqua" w:hAnsi="Book Antiqua" w:cs="Book Antiqua"/>
          <w:color w:val="000000"/>
          <w:vertAlign w:val="superscript"/>
        </w:rPr>
        <w:t>[45]</w:t>
      </w:r>
      <w:r w:rsidRPr="006A140B">
        <w:rPr>
          <w:rFonts w:ascii="Book Antiqua" w:eastAsia="Book Antiqua" w:hAnsi="Book Antiqua" w:cs="Book Antiqua"/>
          <w:color w:val="000000"/>
        </w:rPr>
        <w:t>. Higher levels of androgen signaling are associated with an increased risk of HBV-related HCC</w:t>
      </w:r>
      <w:r w:rsidRPr="006A140B">
        <w:rPr>
          <w:rFonts w:ascii="Book Antiqua" w:eastAsia="Book Antiqua" w:hAnsi="Book Antiqua" w:cs="Book Antiqua"/>
          <w:color w:val="000000"/>
          <w:vertAlign w:val="superscript"/>
        </w:rPr>
        <w:t>[46,47]</w:t>
      </w:r>
      <w:r w:rsidRPr="006A140B">
        <w:rPr>
          <w:rFonts w:ascii="Book Antiqua" w:eastAsia="Book Antiqua" w:hAnsi="Book Antiqua" w:cs="Book Antiqua"/>
          <w:color w:val="000000"/>
        </w:rPr>
        <w:t xml:space="preserve">, whereas higher estrogen pathway activity plays a protective role in female hepatocarcinogenesis. </w:t>
      </w:r>
      <w:r w:rsidRPr="006A140B">
        <w:rPr>
          <w:rFonts w:ascii="Book Antiqua" w:eastAsia="Book Antiqua" w:hAnsi="Book Antiqua" w:cs="Book Antiqua"/>
          <w:color w:val="000000"/>
          <w:shd w:val="clear" w:color="auto" w:fill="FFFFFF"/>
        </w:rPr>
        <w:t xml:space="preserve">The estrogen axis is critical for maintaining a lower serum IL-6 </w:t>
      </w:r>
      <w:r w:rsidR="00833B15" w:rsidRPr="006A140B">
        <w:rPr>
          <w:rFonts w:ascii="Book Antiqua" w:eastAsia="Book Antiqua" w:hAnsi="Book Antiqua" w:cs="Book Antiqua"/>
          <w:color w:val="000000"/>
          <w:shd w:val="clear" w:color="auto" w:fill="FFFFFF"/>
        </w:rPr>
        <w:t>l</w:t>
      </w:r>
      <w:r w:rsidRPr="006A140B">
        <w:rPr>
          <w:rFonts w:ascii="Book Antiqua" w:eastAsia="Book Antiqua" w:hAnsi="Book Antiqua" w:cs="Book Antiqua"/>
          <w:color w:val="000000"/>
          <w:shd w:val="clear" w:color="auto" w:fill="FFFFFF"/>
        </w:rPr>
        <w:t>evel, thus reducing liver cancer risk in women</w:t>
      </w:r>
      <w:r w:rsidRPr="006A140B">
        <w:rPr>
          <w:rFonts w:ascii="Book Antiqua" w:eastAsia="Book Antiqua" w:hAnsi="Book Antiqua" w:cs="Book Antiqua"/>
          <w:color w:val="000000"/>
          <w:shd w:val="clear" w:color="auto" w:fill="FFFFFF"/>
          <w:vertAlign w:val="superscript"/>
        </w:rPr>
        <w:t>[48,49]</w:t>
      </w:r>
      <w:r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rPr>
        <w:t>A large cohort study</w:t>
      </w:r>
      <w:r w:rsidRPr="006A140B">
        <w:rPr>
          <w:rFonts w:ascii="Book Antiqua" w:eastAsia="Book Antiqua" w:hAnsi="Book Antiqua" w:cs="Book Antiqua"/>
          <w:color w:val="000000"/>
          <w:vertAlign w:val="superscript"/>
        </w:rPr>
        <w:t>[50]</w:t>
      </w:r>
      <w:r w:rsidRPr="006A140B">
        <w:rPr>
          <w:rFonts w:ascii="Book Antiqua" w:eastAsia="Book Antiqua" w:hAnsi="Book Antiqua" w:cs="Book Antiqua"/>
          <w:color w:val="000000"/>
        </w:rPr>
        <w:t xml:space="preserve"> found CKD to increase liver cancer mortality in women and, to a lesser extent, in men; the gender disparity is likely explained by CKD-related hypogonadism, but this remains to be examined. The following sections discuss other possible risk factors shared by HCC and CKD, including environmental toxins, metabolic diseases, and genetic factors and their connections with CKD. However, the causal effects between these factors with CKD and HCC are still being debated.</w:t>
      </w:r>
    </w:p>
    <w:p w14:paraId="4E09D996" w14:textId="2235F8EE"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Dysbiosis, which refers to the qualitative and quantitative alteration of gut microbiota, has been commonly observed in CKD patients. The imbalance of pathogenic flora and symbiotic flora was also implicated in the progression of CKD, increased cardiovascular risk, uremic toxicity, and inflammation</w:t>
      </w:r>
      <w:r w:rsidRPr="006A140B">
        <w:rPr>
          <w:rFonts w:ascii="Book Antiqua" w:eastAsia="Book Antiqua" w:hAnsi="Book Antiqua" w:cs="Book Antiqua"/>
          <w:color w:val="000000"/>
          <w:vertAlign w:val="superscript"/>
        </w:rPr>
        <w:t>[51]</w:t>
      </w:r>
      <w:r w:rsidRPr="006A140B">
        <w:rPr>
          <w:rFonts w:ascii="Book Antiqua" w:eastAsia="Book Antiqua" w:hAnsi="Book Antiqua" w:cs="Book Antiqua"/>
          <w:color w:val="000000"/>
        </w:rPr>
        <w:t>.</w:t>
      </w:r>
      <w:r w:rsidRPr="006A140B">
        <w:rPr>
          <w:rFonts w:ascii="Book Antiqua" w:eastAsia="Book Antiqua" w:hAnsi="Book Antiqua" w:cs="Book Antiqua"/>
          <w:color w:val="000000"/>
          <w:shd w:val="clear" w:color="auto" w:fill="FFFFFF"/>
        </w:rPr>
        <w:t xml:space="preserve"> An enhanced permeability of the intestinal barrier, allowing the passage of endotoxins and other bacterial products into the blood, was also reported in CKD</w:t>
      </w:r>
      <w:r w:rsidRPr="006A140B">
        <w:rPr>
          <w:rFonts w:ascii="Book Antiqua" w:eastAsia="Book Antiqua" w:hAnsi="Book Antiqua" w:cs="Book Antiqua"/>
          <w:color w:val="000000"/>
          <w:shd w:val="clear" w:color="auto" w:fill="FFFFFF"/>
          <w:vertAlign w:val="superscript"/>
        </w:rPr>
        <w:t>[52]</w:t>
      </w:r>
      <w:r w:rsidRPr="006A140B">
        <w:rPr>
          <w:rFonts w:ascii="Book Antiqua" w:eastAsia="Book Antiqua" w:hAnsi="Book Antiqua" w:cs="Book Antiqua"/>
          <w:color w:val="000000"/>
          <w:shd w:val="clear" w:color="auto" w:fill="FFFFFF"/>
        </w:rPr>
        <w:t xml:space="preserve">. Notably, dysbiosis </w:t>
      </w:r>
      <w:r w:rsidRPr="006A140B">
        <w:rPr>
          <w:rFonts w:ascii="Book Antiqua" w:eastAsia="Book Antiqua" w:hAnsi="Book Antiqua" w:cs="Book Antiqua"/>
          <w:color w:val="000000"/>
        </w:rPr>
        <w:t>is another possible risk factor for HCC that has been identified in recent years. Enterohepatic circulation is accompanied by low-grade exposure to gut microbiota–derived metabolites and products, often termed microbiota-associated molecular patterns (MAMPs)</w:t>
      </w:r>
      <w:r w:rsidRPr="006A140B">
        <w:rPr>
          <w:rFonts w:ascii="Book Antiqua" w:eastAsia="Book Antiqua" w:hAnsi="Book Antiqua" w:cs="Book Antiqua"/>
          <w:color w:val="000000"/>
          <w:vertAlign w:val="superscript"/>
        </w:rPr>
        <w:t>[53]</w:t>
      </w:r>
      <w:r w:rsidRPr="006A140B">
        <w:rPr>
          <w:rFonts w:ascii="Book Antiqua" w:eastAsia="Book Antiqua" w:hAnsi="Book Antiqua" w:cs="Book Antiqua"/>
          <w:color w:val="000000"/>
        </w:rPr>
        <w:t>. Changes in the intestinal barrier cause leakiness, leading to hepatic exposure to MAMPs. Accumulating evidence from the last decade, mostly from animal studies in rodents, suggests a key role of gut microbiota in the progression of chronic liver disease and in the development of HCC. The HCC risk induced by several types of carcinogens has been found to be profoundly reduced in gut-sterilized mice</w:t>
      </w:r>
      <w:r w:rsidRPr="006A140B">
        <w:rPr>
          <w:rFonts w:ascii="Book Antiqua" w:eastAsia="Book Antiqua" w:hAnsi="Book Antiqua" w:cs="Book Antiqua"/>
          <w:color w:val="000000"/>
          <w:vertAlign w:val="superscript"/>
        </w:rPr>
        <w:t>[54-56]</w:t>
      </w:r>
      <w:r w:rsidRPr="006A140B">
        <w:rPr>
          <w:rFonts w:ascii="Book Antiqua" w:eastAsia="Book Antiqua" w:hAnsi="Book Antiqua" w:cs="Book Antiqua"/>
          <w:color w:val="000000"/>
        </w:rPr>
        <w:t>. In a study exploring the differences between the gut microbiota of patients with nonalcoholic fatty liver disease (NAFLD)-related cirrhosis with and without HCC and in healthy controls, gut microbiota profile and systemic inflammation were significantly correlated and can occur together in the process of hepatocarcinogenesis</w:t>
      </w:r>
      <w:r w:rsidRPr="006A140B">
        <w:rPr>
          <w:rFonts w:ascii="Book Antiqua" w:eastAsia="Book Antiqua" w:hAnsi="Book Antiqua" w:cs="Book Antiqua"/>
          <w:color w:val="000000"/>
          <w:vertAlign w:val="superscript"/>
        </w:rPr>
        <w:t>[57]</w:t>
      </w:r>
      <w:r w:rsidRPr="006A140B">
        <w:rPr>
          <w:rFonts w:ascii="Book Antiqua" w:eastAsia="Book Antiqua" w:hAnsi="Book Antiqua" w:cs="Book Antiqua"/>
          <w:color w:val="000000"/>
        </w:rPr>
        <w:t xml:space="preserve">. It remains unclear </w:t>
      </w:r>
      <w:r w:rsidRPr="006A140B">
        <w:rPr>
          <w:rFonts w:ascii="Book Antiqua" w:eastAsia="Book Antiqua" w:hAnsi="Book Antiqua" w:cs="Book Antiqua"/>
          <w:color w:val="000000"/>
          <w:shd w:val="clear" w:color="auto" w:fill="FFFFFF"/>
        </w:rPr>
        <w:t>whether chronic inflammation driven by the translocation of MAMPs from a leaky gut is the dominant contributor to HCC or whether the carcinogenic effect is limited to specific cases such as NAFLD, as does whether dysbiosis could serve as a causal link bridging CKD to HC</w:t>
      </w:r>
      <w:r w:rsidRPr="006A140B">
        <w:rPr>
          <w:rFonts w:ascii="Book Antiqua" w:eastAsia="Book Antiqua" w:hAnsi="Book Antiqua" w:cs="Book Antiqua"/>
          <w:color w:val="000000"/>
        </w:rPr>
        <w:t>C</w:t>
      </w:r>
      <w:r w:rsidRPr="006A140B">
        <w:rPr>
          <w:rFonts w:ascii="Book Antiqua" w:eastAsia="Book Antiqua" w:hAnsi="Book Antiqua" w:cs="Book Antiqua"/>
          <w:color w:val="000000"/>
          <w:vertAlign w:val="superscript"/>
        </w:rPr>
        <w:t>[58]</w:t>
      </w:r>
      <w:r w:rsidRPr="006A140B">
        <w:rPr>
          <w:rFonts w:ascii="Book Antiqua" w:eastAsia="Book Antiqua" w:hAnsi="Book Antiqua" w:cs="Book Antiqua"/>
          <w:color w:val="000000"/>
        </w:rPr>
        <w:t>. Further studies targeting dysbiosis may elucidate the association between CKD and HCC.</w:t>
      </w:r>
    </w:p>
    <w:p w14:paraId="6AED37F1" w14:textId="77777777" w:rsidR="00A77B3E" w:rsidRPr="006A140B" w:rsidRDefault="00A77B3E" w:rsidP="00495B7C">
      <w:pPr>
        <w:spacing w:line="360" w:lineRule="auto"/>
        <w:ind w:firstLine="480"/>
        <w:jc w:val="both"/>
        <w:rPr>
          <w:rFonts w:ascii="Book Antiqua" w:hAnsi="Book Antiqua"/>
        </w:rPr>
      </w:pPr>
    </w:p>
    <w:p w14:paraId="2987FA55" w14:textId="0B9B89A5"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i/>
          <w:iCs/>
          <w:color w:val="000000"/>
        </w:rPr>
        <w:t>HCC and associated comorbidities causing renal dysfunction</w:t>
      </w:r>
    </w:p>
    <w:p w14:paraId="609B6A5D" w14:textId="3FE37EFF" w:rsidR="00A77B3E" w:rsidRPr="006A140B" w:rsidRDefault="007D6307" w:rsidP="005C6FD2">
      <w:pPr>
        <w:spacing w:line="360" w:lineRule="auto"/>
        <w:jc w:val="both"/>
        <w:rPr>
          <w:rFonts w:ascii="Book Antiqua" w:hAnsi="Book Antiqua"/>
        </w:rPr>
      </w:pPr>
      <w:r w:rsidRPr="006A140B">
        <w:rPr>
          <w:rFonts w:ascii="Book Antiqua" w:eastAsia="Book Antiqua" w:hAnsi="Book Antiqua" w:cs="Book Antiqua"/>
          <w:color w:val="000000"/>
        </w:rPr>
        <w:t>A study found a significant prevalence of CKD in patients with cancer, particularly a higher rate of hematologic malignancy and liver cancer</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vertAlign w:val="superscript"/>
        </w:rPr>
        <w:t>59]</w:t>
      </w:r>
      <w:r w:rsidRPr="006A140B">
        <w:rPr>
          <w:rFonts w:ascii="Book Antiqua" w:eastAsia="Book Antiqua" w:hAnsi="Book Antiqua" w:cs="Book Antiqua"/>
          <w:color w:val="000000"/>
          <w:shd w:val="clear" w:color="auto" w:fill="FFFFFF"/>
        </w:rPr>
        <w:t xml:space="preserve">. </w:t>
      </w:r>
      <w:r w:rsidR="00161EAE" w:rsidRPr="006A140B">
        <w:rPr>
          <w:rFonts w:ascii="Book Antiqua" w:eastAsia="Book Antiqua" w:hAnsi="Book Antiqua" w:cs="Book Antiqua"/>
          <w:color w:val="000000"/>
          <w:shd w:val="clear" w:color="auto" w:fill="FFFFFF"/>
        </w:rPr>
        <w:t>Hepatorenal syndrome (HRS)</w:t>
      </w:r>
      <w:r w:rsidRPr="006A140B">
        <w:rPr>
          <w:rFonts w:ascii="Book Antiqua" w:eastAsia="Book Antiqua" w:hAnsi="Book Antiqua" w:cs="Book Antiqua"/>
          <w:color w:val="000000"/>
          <w:shd w:val="clear" w:color="auto" w:fill="FFFFFF"/>
        </w:rPr>
        <w:t>, either with or without cirrhosis, is a major cause of CKD in patients with HCC. Direct invasion of the renal parenchyma by tumor cells is a rare cause but has been reported in the literature.</w:t>
      </w:r>
    </w:p>
    <w:p w14:paraId="454C69AC" w14:textId="77777777" w:rsidR="00A77B3E" w:rsidRPr="006A140B" w:rsidRDefault="00A77B3E" w:rsidP="00495B7C">
      <w:pPr>
        <w:spacing w:line="360" w:lineRule="auto"/>
        <w:ind w:firstLine="480"/>
        <w:jc w:val="both"/>
        <w:rPr>
          <w:rFonts w:ascii="Book Antiqua" w:hAnsi="Book Antiqua"/>
        </w:rPr>
      </w:pPr>
    </w:p>
    <w:p w14:paraId="5B3CEBA7" w14:textId="2CED9A45" w:rsidR="00A77B3E" w:rsidRPr="006A140B" w:rsidRDefault="007D6307" w:rsidP="00F22E43">
      <w:pPr>
        <w:spacing w:line="360" w:lineRule="auto"/>
        <w:jc w:val="both"/>
        <w:rPr>
          <w:rFonts w:ascii="Book Antiqua" w:hAnsi="Book Antiqua"/>
        </w:rPr>
      </w:pPr>
      <w:r w:rsidRPr="006A140B">
        <w:rPr>
          <w:rFonts w:ascii="Book Antiqua" w:eastAsia="Book Antiqua" w:hAnsi="Book Antiqua" w:cs="Book Antiqua"/>
          <w:b/>
          <w:bCs/>
          <w:color w:val="000000"/>
        </w:rPr>
        <w:t>H</w:t>
      </w:r>
      <w:r w:rsidR="00161EAE" w:rsidRPr="006A140B">
        <w:rPr>
          <w:rFonts w:ascii="Book Antiqua" w:eastAsia="Book Antiqua" w:hAnsi="Book Antiqua" w:cs="Book Antiqua"/>
          <w:b/>
          <w:bCs/>
          <w:color w:val="000000"/>
        </w:rPr>
        <w:t>RS</w:t>
      </w:r>
      <w:r w:rsidR="00F22E43" w:rsidRPr="006A140B">
        <w:rPr>
          <w:rFonts w:ascii="Book Antiqua" w:hAnsi="Book Antiqua" w:hint="eastAsia"/>
          <w:lang w:eastAsia="zh-CN"/>
        </w:rPr>
        <w:t>:</w:t>
      </w:r>
      <w:r w:rsidR="00F22E43" w:rsidRPr="006A140B">
        <w:rPr>
          <w:rFonts w:ascii="Book Antiqua" w:hAnsi="Book Antiqua"/>
          <w:lang w:eastAsia="zh-CN"/>
        </w:rPr>
        <w:t xml:space="preserve"> </w:t>
      </w:r>
      <w:r w:rsidRPr="006A140B">
        <w:rPr>
          <w:rFonts w:ascii="Book Antiqua" w:eastAsia="Book Antiqua" w:hAnsi="Book Antiqua" w:cs="Book Antiqua"/>
          <w:color w:val="000000"/>
          <w:shd w:val="clear" w:color="auto" w:fill="FFFFFF"/>
        </w:rPr>
        <w:t>HRS is a unique type of kidney failure that usually occurs in advanced cirrhosis. HRS is characterized by functional impairment of the kidneys caused by vasoconstriction of the renal arteries in the absence of tubular dysfunction, proteinuria, or other histologic changes in the kidneys</w:t>
      </w:r>
      <w:r w:rsidRPr="006A140B">
        <w:rPr>
          <w:rFonts w:ascii="Book Antiqua" w:eastAsia="Book Antiqua" w:hAnsi="Book Antiqua" w:cs="Book Antiqua"/>
          <w:color w:val="000000"/>
          <w:shd w:val="clear" w:color="auto" w:fill="FFFFFF"/>
          <w:vertAlign w:val="superscript"/>
        </w:rPr>
        <w:t>[54]</w:t>
      </w:r>
      <w:r w:rsidRPr="006A140B">
        <w:rPr>
          <w:rFonts w:ascii="Book Antiqua" w:eastAsia="Book Antiqua" w:hAnsi="Book Antiqua" w:cs="Book Antiqua"/>
          <w:color w:val="000000"/>
          <w:shd w:val="clear" w:color="auto" w:fill="FFFFFF"/>
        </w:rPr>
        <w:t>. The exact mechanism of HRS is not completely understood, but its hallmark is severe vasodilation of the splanchnic arteries owing to portal hypertension, which compromises the effective arterial blood volume and arterial pressure</w:t>
      </w:r>
      <w:r w:rsidRPr="006A140B">
        <w:rPr>
          <w:rFonts w:ascii="Book Antiqua" w:eastAsia="Book Antiqua" w:hAnsi="Book Antiqua" w:cs="Book Antiqua"/>
          <w:color w:val="000000"/>
          <w:shd w:val="clear" w:color="auto" w:fill="FFFFFF"/>
          <w:vertAlign w:val="superscript"/>
        </w:rPr>
        <w:t>[60]</w:t>
      </w:r>
      <w:r w:rsidRPr="006A140B">
        <w:rPr>
          <w:rFonts w:ascii="Book Antiqua" w:eastAsia="Book Antiqua" w:hAnsi="Book Antiqua" w:cs="Book Antiqua"/>
          <w:color w:val="000000"/>
          <w:shd w:val="clear" w:color="auto" w:fill="FFFFFF"/>
        </w:rPr>
        <w:t>. HRS has two subtypes, which differ in terms of disease course and the presence of detectable precipitating factors</w:t>
      </w:r>
      <w:r w:rsidRPr="006A140B">
        <w:rPr>
          <w:rFonts w:ascii="Book Antiqua" w:eastAsia="Book Antiqua" w:hAnsi="Book Antiqua" w:cs="Book Antiqua"/>
          <w:color w:val="000000"/>
          <w:shd w:val="clear" w:color="auto" w:fill="FFFFFF"/>
          <w:vertAlign w:val="superscript"/>
        </w:rPr>
        <w:t>[61]</w:t>
      </w:r>
      <w:r w:rsidRPr="006A140B">
        <w:rPr>
          <w:rFonts w:ascii="Book Antiqua" w:eastAsia="Book Antiqua" w:hAnsi="Book Antiqua" w:cs="Book Antiqua"/>
          <w:color w:val="000000"/>
          <w:shd w:val="clear" w:color="auto" w:fill="FFFFFF"/>
        </w:rPr>
        <w:t>. Type 1 HRS is characterized by the rapid progression of renal failure, with the serum creatinine value increasing to greater than 2.5 mg/dL within 2 wk. It is often triggered by a precipitating event, such as bacterial infection, hypotension, or multiple organ failure. By definition, the renal dysfunction caused by type 1 HRS often falls into the category of acute kidney injury (AKI) or an acute deterioration of CKD termed</w:t>
      </w:r>
      <w:r w:rsidR="00161EAE"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rPr>
        <w:t xml:space="preserve">acute-on-chronic kidney injury. </w:t>
      </w:r>
      <w:r w:rsidRPr="006A140B">
        <w:rPr>
          <w:rFonts w:ascii="Book Antiqua" w:eastAsia="Book Antiqua" w:hAnsi="Book Antiqua" w:cs="Book Antiqua"/>
          <w:color w:val="000000"/>
          <w:shd w:val="clear" w:color="auto" w:fill="FFFFFF"/>
        </w:rPr>
        <w:t>By contrast, type 2 HRS is associated with gradual or insidious renal failure with a moderate rise in serum creatinine to 1.5</w:t>
      </w:r>
      <w:r w:rsidR="0011643C" w:rsidRPr="006A140B">
        <w:rPr>
          <w:rFonts w:ascii="Book Antiqua" w:eastAsia="Book Antiqua" w:hAnsi="Book Antiqua" w:cs="Book Antiqua"/>
          <w:color w:val="000000"/>
          <w:shd w:val="clear" w:color="auto" w:fill="FFFFFF"/>
        </w:rPr>
        <w:t>-</w:t>
      </w:r>
      <w:r w:rsidRPr="006A140B">
        <w:rPr>
          <w:rFonts w:ascii="Book Antiqua" w:eastAsia="Book Antiqua" w:hAnsi="Book Antiqua" w:cs="Book Antiqua"/>
          <w:color w:val="000000"/>
          <w:shd w:val="clear" w:color="auto" w:fill="FFFFFF"/>
        </w:rPr>
        <w:t>2.5 mg/dL. One of the major clinical manifestations of type 2 HRS is refractory ascites, for which a specific trigger is often lacking. With a median survival of 6 mo, Type 2 HRS has a superior prognosis compared with type 1 HRS, which has a median survival of less than 2 wk. The relatively moderate disease course is more consonant with the present article’s focus on CKD.</w:t>
      </w:r>
    </w:p>
    <w:p w14:paraId="4B295709" w14:textId="4A7C377E"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shd w:val="clear" w:color="auto" w:fill="FFFFFF"/>
        </w:rPr>
        <w:t>Advanced cirrhosis, a critical precursor lesion of liver cancer, can cause portal hypertension, which may subsequently lead to HRS and result in kidney function deterioration</w:t>
      </w:r>
      <w:r w:rsidRPr="006A140B">
        <w:rPr>
          <w:rFonts w:ascii="Book Antiqua" w:eastAsia="Book Antiqua" w:hAnsi="Book Antiqua" w:cs="Book Antiqua"/>
          <w:color w:val="000000"/>
          <w:shd w:val="clear" w:color="auto" w:fill="FFFFFF"/>
          <w:vertAlign w:val="superscript"/>
        </w:rPr>
        <w:t>[62]</w:t>
      </w:r>
      <w:r w:rsidRPr="006A140B">
        <w:rPr>
          <w:rFonts w:ascii="Book Antiqua" w:eastAsia="Book Antiqua" w:hAnsi="Book Antiqua" w:cs="Book Antiqua"/>
          <w:color w:val="000000"/>
          <w:shd w:val="clear" w:color="auto" w:fill="FFFFFF"/>
        </w:rPr>
        <w:t>. In a 49-year-old man with HCC, ascites, and measured portal hypertension but no cirrhosis of the liver, the hypertension was secondary to microscopic invasion of the central and small portal veins</w:t>
      </w:r>
      <w:r w:rsidRPr="006A140B">
        <w:rPr>
          <w:rFonts w:ascii="Book Antiqua" w:eastAsia="Book Antiqua" w:hAnsi="Book Antiqua" w:cs="Book Antiqua"/>
          <w:color w:val="000000"/>
          <w:shd w:val="clear" w:color="auto" w:fill="FFFFFF"/>
          <w:vertAlign w:val="superscript"/>
        </w:rPr>
        <w:t>[63]</w:t>
      </w:r>
      <w:r w:rsidRPr="006A140B">
        <w:rPr>
          <w:rFonts w:ascii="Book Antiqua" w:eastAsia="Book Antiqua" w:hAnsi="Book Antiqua" w:cs="Book Antiqua"/>
          <w:color w:val="000000"/>
          <w:shd w:val="clear" w:color="auto" w:fill="FFFFFF"/>
        </w:rPr>
        <w:t>. Therefore, isolated liver cancer with high tumor burden has also been found to cause portal hypertension and HRS regardless of the presence of comorbid cirrhosis.</w:t>
      </w:r>
    </w:p>
    <w:p w14:paraId="15067863" w14:textId="77777777" w:rsidR="00161EAE" w:rsidRPr="006A140B" w:rsidRDefault="00161EAE" w:rsidP="00495B7C">
      <w:pPr>
        <w:spacing w:line="360" w:lineRule="auto"/>
        <w:jc w:val="both"/>
        <w:rPr>
          <w:rFonts w:ascii="Book Antiqua" w:eastAsia="Book Antiqua" w:hAnsi="Book Antiqua" w:cs="Book Antiqua"/>
          <w:b/>
          <w:bCs/>
          <w:i/>
          <w:iCs/>
          <w:color w:val="000000"/>
        </w:rPr>
      </w:pPr>
    </w:p>
    <w:p w14:paraId="7B76459C" w14:textId="02F3BE74" w:rsidR="00A77B3E" w:rsidRPr="006A140B" w:rsidRDefault="007D6307" w:rsidP="00161EAE">
      <w:pPr>
        <w:spacing w:line="360" w:lineRule="auto"/>
        <w:jc w:val="both"/>
        <w:rPr>
          <w:rFonts w:ascii="Book Antiqua" w:hAnsi="Book Antiqua"/>
        </w:rPr>
      </w:pPr>
      <w:r w:rsidRPr="006A140B">
        <w:rPr>
          <w:rFonts w:ascii="Book Antiqua" w:eastAsia="Book Antiqua" w:hAnsi="Book Antiqua" w:cs="Book Antiqua"/>
          <w:b/>
          <w:bCs/>
          <w:color w:val="000000"/>
        </w:rPr>
        <w:t>Direct tumor metastasis to the kidney</w:t>
      </w:r>
      <w:r w:rsidR="00161EAE" w:rsidRPr="006A140B">
        <w:rPr>
          <w:rFonts w:ascii="Book Antiqua" w:eastAsia="Book Antiqua" w:hAnsi="Book Antiqua" w:cs="Book Antiqua"/>
          <w:b/>
          <w:bCs/>
          <w:color w:val="000000"/>
        </w:rPr>
        <w:t>:</w:t>
      </w:r>
      <w:r w:rsidRPr="006A140B">
        <w:rPr>
          <w:rFonts w:ascii="Book Antiqua" w:eastAsia="Book Antiqua" w:hAnsi="Book Antiqua" w:cs="Book Antiqua"/>
          <w:b/>
          <w:bCs/>
          <w:color w:val="000000"/>
        </w:rPr>
        <w:t xml:space="preserve"> </w:t>
      </w:r>
      <w:r w:rsidRPr="006A140B">
        <w:rPr>
          <w:rFonts w:ascii="Book Antiqua" w:eastAsia="Book Antiqua" w:hAnsi="Book Antiqua" w:cs="Book Antiqua"/>
          <w:color w:val="000000"/>
          <w:shd w:val="clear" w:color="auto" w:fill="FFFFFF"/>
        </w:rPr>
        <w:t>Renal metastasis of HCC is exceedingly rare. A literature search yielded only a few cases of renal metastasis from HCC</w:t>
      </w:r>
      <w:r w:rsidRPr="006A140B">
        <w:rPr>
          <w:rFonts w:ascii="Book Antiqua" w:eastAsia="Book Antiqua" w:hAnsi="Book Antiqua" w:cs="Book Antiqua"/>
          <w:color w:val="000000"/>
          <w:shd w:val="clear" w:color="auto" w:fill="FFFFFF"/>
          <w:vertAlign w:val="superscript"/>
        </w:rPr>
        <w:t>[64]</w:t>
      </w:r>
      <w:r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rPr>
        <w:t>Most renal metastases are small, bilateral, and multifocal; however, large and solitary metastatic tumors do occur. These tumors may cause difficulty in diagnosis because they often have no specific radiologic findings to distinguish them from primary renal neoplasms</w:t>
      </w:r>
      <w:r w:rsidRPr="006A140B">
        <w:rPr>
          <w:rFonts w:ascii="Book Antiqua" w:eastAsia="Book Antiqua" w:hAnsi="Book Antiqua" w:cs="Book Antiqua"/>
          <w:color w:val="000000"/>
          <w:vertAlign w:val="superscript"/>
        </w:rPr>
        <w:t>[65]</w:t>
      </w:r>
      <w:r w:rsidRPr="006A140B">
        <w:rPr>
          <w:rFonts w:ascii="Book Antiqua" w:eastAsia="Book Antiqua" w:hAnsi="Book Antiqua" w:cs="Book Antiqua"/>
          <w:color w:val="000000"/>
        </w:rPr>
        <w:t>. In some cases, metastatic tumors do not necessarily result in declined renal function. Nevertheless, in one case of HCC metastasis to the kidney mimicking renal cell carcinoma, a prolonged elevated serum creatinine level of 2.24 mg/dL was observed</w:t>
      </w:r>
      <w:r w:rsidRPr="006A140B">
        <w:rPr>
          <w:rFonts w:ascii="Book Antiqua" w:eastAsia="Book Antiqua" w:hAnsi="Book Antiqua" w:cs="Book Antiqua"/>
          <w:color w:val="000000"/>
          <w:vertAlign w:val="superscript"/>
        </w:rPr>
        <w:t>[66]</w:t>
      </w:r>
      <w:r w:rsidRPr="006A140B">
        <w:rPr>
          <w:rFonts w:ascii="Book Antiqua" w:eastAsia="Book Antiqua" w:hAnsi="Book Antiqua" w:cs="Book Antiqua"/>
          <w:color w:val="000000"/>
        </w:rPr>
        <w:t xml:space="preserve">. Therefore, </w:t>
      </w:r>
      <w:r w:rsidRPr="006A140B">
        <w:rPr>
          <w:rFonts w:ascii="Book Antiqua" w:eastAsia="Book Antiqua" w:hAnsi="Book Antiqua" w:cs="Book Antiqua"/>
          <w:color w:val="000000"/>
          <w:shd w:val="clear" w:color="auto" w:fill="FFFFFF"/>
        </w:rPr>
        <w:t xml:space="preserve">direct invasion of the renal parenchyma by metastatic tumor cells still constitutes a </w:t>
      </w:r>
      <w:r w:rsidRPr="006A140B">
        <w:rPr>
          <w:rFonts w:ascii="Book Antiqua" w:eastAsia="Book Antiqua" w:hAnsi="Book Antiqua" w:cs="Book Antiqua"/>
          <w:color w:val="000000"/>
        </w:rPr>
        <w:t>differential diagnosis of renal dysfunction that should not be ignored in patients with HCC.</w:t>
      </w:r>
    </w:p>
    <w:p w14:paraId="035968D0" w14:textId="77777777" w:rsidR="00A77B3E" w:rsidRPr="006A140B" w:rsidRDefault="00A77B3E" w:rsidP="00495B7C">
      <w:pPr>
        <w:spacing w:line="360" w:lineRule="auto"/>
        <w:ind w:firstLine="480"/>
        <w:jc w:val="both"/>
        <w:rPr>
          <w:rFonts w:ascii="Book Antiqua" w:hAnsi="Book Antiqua"/>
        </w:rPr>
      </w:pPr>
    </w:p>
    <w:p w14:paraId="36FF08B9" w14:textId="02427E5C" w:rsidR="00A77B3E" w:rsidRPr="006A140B" w:rsidRDefault="007D6307" w:rsidP="00DF5208">
      <w:pPr>
        <w:spacing w:line="360" w:lineRule="auto"/>
        <w:jc w:val="both"/>
        <w:rPr>
          <w:rFonts w:ascii="Book Antiqua" w:hAnsi="Book Antiqua"/>
        </w:rPr>
      </w:pPr>
      <w:r w:rsidRPr="006A140B">
        <w:rPr>
          <w:rFonts w:ascii="Book Antiqua" w:eastAsia="Book Antiqua" w:hAnsi="Book Antiqua" w:cs="Book Antiqua"/>
          <w:b/>
          <w:bCs/>
          <w:color w:val="000000"/>
        </w:rPr>
        <w:t>Paraneoplastic syndrome</w:t>
      </w:r>
      <w:r w:rsidR="00DF5208" w:rsidRPr="006A140B">
        <w:rPr>
          <w:rFonts w:ascii="Book Antiqua" w:eastAsia="Book Antiqua" w:hAnsi="Book Antiqua" w:cs="Book Antiqua"/>
          <w:b/>
          <w:bCs/>
          <w:color w:val="000000"/>
        </w:rPr>
        <w:t>:</w:t>
      </w:r>
      <w:r w:rsidR="00DF5208" w:rsidRPr="006A140B">
        <w:rPr>
          <w:rFonts w:ascii="Book Antiqua" w:hAnsi="Book Antiqua" w:hint="eastAsia"/>
          <w:lang w:eastAsia="zh-CN"/>
        </w:rPr>
        <w:t xml:space="preserve"> </w:t>
      </w:r>
      <w:r w:rsidRPr="006A140B">
        <w:rPr>
          <w:rFonts w:ascii="Book Antiqua" w:eastAsia="Book Antiqua" w:hAnsi="Book Antiqua" w:cs="Book Antiqua"/>
          <w:color w:val="000000"/>
        </w:rPr>
        <w:t>Paraneoplastic syndromes arise from the tumor secretion of hormones, peptides, or cytokines or from immune cross-reactivity between malignant and normal tissues. These disorders may affect diverse organ systems, most notably the endocrine, nervous, dermatological, rheumatological, and hematological systems</w:t>
      </w:r>
      <w:r w:rsidRPr="006A140B">
        <w:rPr>
          <w:rFonts w:ascii="Book Antiqua" w:eastAsia="Book Antiqua" w:hAnsi="Book Antiqua" w:cs="Book Antiqua"/>
          <w:color w:val="000000"/>
          <w:vertAlign w:val="superscript"/>
        </w:rPr>
        <w:t>[67</w:t>
      </w:r>
      <w:r w:rsidR="008712C4" w:rsidRPr="006A140B">
        <w:rPr>
          <w:rFonts w:ascii="Book Antiqua" w:eastAsia="Book Antiqua" w:hAnsi="Book Antiqua" w:cs="Book Antiqua"/>
          <w:color w:val="000000"/>
          <w:vertAlign w:val="superscript"/>
        </w:rPr>
        <w:t>,68</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HCC may present with a wide range of paraneoplastic phenomena, which may precede local manifestations of the tumor, including hypercholesterolemia, erythrocytosis, hypoglycemia, and hypercalcemia. Hypercalcemia is a well-known paraneoplastic metabolic condition associated with numerous malignancies. In HCC, hypercalcemia accounts for 7.8% of paraneoplastic syndromes, and it mainly occurs as a terminal event</w:t>
      </w:r>
      <w:r w:rsidRPr="006A140B">
        <w:rPr>
          <w:rFonts w:ascii="Book Antiqua" w:eastAsia="Book Antiqua" w:hAnsi="Book Antiqua" w:cs="Book Antiqua"/>
          <w:color w:val="000000"/>
          <w:vertAlign w:val="superscript"/>
        </w:rPr>
        <w:t>[6</w:t>
      </w:r>
      <w:r w:rsidR="008712C4" w:rsidRPr="006A140B">
        <w:rPr>
          <w:rFonts w:ascii="Book Antiqua" w:eastAsia="Book Antiqua" w:hAnsi="Book Antiqua" w:cs="Book Antiqua"/>
          <w:color w:val="000000"/>
          <w:vertAlign w:val="superscript"/>
        </w:rPr>
        <w:t>9</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Most malignancies associated with hypercalcemia have been verified to be caused by parathyroid hormone (PTH)-related peptide. The metastasis of malignancies to the bone can also cause osteolysis and lead to hypercalcemia. In rare cases, hypercalcemia may result from ectopic PTH production by tumors. Patients with hypercalcemia typically present with volume depletion, which might lead to a reduction in glomerular filtration rate (GFR) and calcium clearance</w:t>
      </w:r>
      <w:r w:rsidRPr="006A140B">
        <w:rPr>
          <w:rFonts w:ascii="Book Antiqua" w:eastAsia="Book Antiqua" w:hAnsi="Book Antiqua" w:cs="Book Antiqua"/>
          <w:color w:val="000000"/>
          <w:vertAlign w:val="superscript"/>
        </w:rPr>
        <w:t>[</w:t>
      </w:r>
      <w:r w:rsidR="008712C4" w:rsidRPr="006A140B">
        <w:rPr>
          <w:rFonts w:ascii="Book Antiqua" w:eastAsia="Book Antiqua" w:hAnsi="Book Antiqua" w:cs="Book Antiqua"/>
          <w:color w:val="000000"/>
          <w:vertAlign w:val="superscript"/>
        </w:rPr>
        <w:t>70</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Hypercalcemia may also provoke AKI or hypertension, or aggravate the tubular necrosis frequently found in cases of AKI</w:t>
      </w:r>
      <w:r w:rsidRPr="006A140B">
        <w:rPr>
          <w:rFonts w:ascii="Book Antiqua" w:eastAsia="Book Antiqua" w:hAnsi="Book Antiqua" w:cs="Book Antiqua"/>
          <w:color w:val="000000"/>
          <w:vertAlign w:val="superscript"/>
        </w:rPr>
        <w:t>[7</w:t>
      </w:r>
      <w:r w:rsidR="008712C4" w:rsidRPr="006A140B">
        <w:rPr>
          <w:rFonts w:ascii="Book Antiqua" w:eastAsia="Book Antiqua" w:hAnsi="Book Antiqua" w:cs="Book Antiqua"/>
          <w:color w:val="000000"/>
          <w:vertAlign w:val="superscript"/>
        </w:rPr>
        <w:t>1</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Case reports on HCC-induced hypercalcemia have been published, but little information about renal function has been reported in these studies</w:t>
      </w:r>
      <w:r w:rsidRPr="006A140B">
        <w:rPr>
          <w:rFonts w:ascii="Book Antiqua" w:eastAsia="Book Antiqua" w:hAnsi="Book Antiqua" w:cs="Book Antiqua"/>
          <w:color w:val="000000"/>
          <w:vertAlign w:val="superscript"/>
        </w:rPr>
        <w:t>[7</w:t>
      </w:r>
      <w:r w:rsidR="008712C4"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A case of combined HCC and neuroendocrine carcinoma with ectopic secretion of PTH was documented</w:t>
      </w:r>
      <w:r w:rsidRPr="006A140B">
        <w:rPr>
          <w:rFonts w:ascii="Book Antiqua" w:eastAsia="Book Antiqua" w:hAnsi="Book Antiqua" w:cs="Book Antiqua"/>
          <w:color w:val="000000"/>
          <w:vertAlign w:val="superscript"/>
        </w:rPr>
        <w:t>[7</w:t>
      </w:r>
      <w:r w:rsidR="008712C4" w:rsidRPr="006A140B">
        <w:rPr>
          <w:rFonts w:ascii="Book Antiqua" w:eastAsia="Book Antiqua" w:hAnsi="Book Antiqua" w:cs="Book Antiqua"/>
          <w:color w:val="000000"/>
          <w:vertAlign w:val="superscript"/>
        </w:rPr>
        <w:t>3</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authors observed impaired renal function (creatinine = 2.16 mg/dL), and continuous renal replacement therapy was applied to treat acute renal failure induced by hypercalcemia. However, the patient died during the study period. It is relatively certain that HCC may cause AKI through the paraneoplastic effect of hypercalcemia; nevertheless, more clinical observations and studies are warranted to determine whether HCC-related hypercalcemia causes sustained, even irreversible, renal dysfunction.</w:t>
      </w:r>
    </w:p>
    <w:p w14:paraId="70FE6038" w14:textId="77777777" w:rsidR="00A77B3E" w:rsidRPr="006A140B" w:rsidRDefault="00A77B3E" w:rsidP="00495B7C">
      <w:pPr>
        <w:spacing w:line="360" w:lineRule="auto"/>
        <w:ind w:firstLine="480"/>
        <w:jc w:val="both"/>
        <w:rPr>
          <w:rFonts w:ascii="Book Antiqua" w:hAnsi="Book Antiqua"/>
        </w:rPr>
      </w:pPr>
    </w:p>
    <w:p w14:paraId="69BE3B54" w14:textId="3B8AC93F"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i/>
          <w:iCs/>
          <w:color w:val="000000"/>
        </w:rPr>
        <w:t>Risk factors shared by HCC and renal dysfunction</w:t>
      </w:r>
    </w:p>
    <w:p w14:paraId="41F6F070" w14:textId="77777777" w:rsidR="00A77B3E" w:rsidRPr="006A140B" w:rsidRDefault="007D6307" w:rsidP="00DF5208">
      <w:pPr>
        <w:spacing w:line="360" w:lineRule="auto"/>
        <w:jc w:val="both"/>
        <w:rPr>
          <w:rFonts w:ascii="Book Antiqua" w:hAnsi="Book Antiqua"/>
        </w:rPr>
      </w:pPr>
      <w:r w:rsidRPr="006A140B">
        <w:rPr>
          <w:rFonts w:ascii="Book Antiqua" w:eastAsia="Book Antiqua" w:hAnsi="Book Antiqua" w:cs="Book Antiqua"/>
          <w:color w:val="000000"/>
        </w:rPr>
        <w:t>In the investigation of the relationship between CKD and HCC, some common risk factors have been found. The overlap of these risk factors leads to a high degree of comorbidities between HCC and renal dysfunction. These risk factors may cause the two diseases separately; however, little evidence exists for whether these factors serve as a causal link from HCC to CKD or vice versa. Hence, in this article we attempt to list these risk factors to provide clinicians and researchers with a useful summary. These risk factors can be further divided into several categories, including those of toxic, infectious, metabolic, and vascular origins (Table 1).</w:t>
      </w:r>
    </w:p>
    <w:p w14:paraId="3972DA3F" w14:textId="77777777" w:rsidR="00A77B3E" w:rsidRPr="006A140B" w:rsidRDefault="00A77B3E" w:rsidP="00495B7C">
      <w:pPr>
        <w:spacing w:line="360" w:lineRule="auto"/>
        <w:ind w:firstLine="480"/>
        <w:jc w:val="both"/>
        <w:rPr>
          <w:rFonts w:ascii="Book Antiqua" w:hAnsi="Book Antiqua"/>
        </w:rPr>
      </w:pPr>
    </w:p>
    <w:p w14:paraId="4A771E9C" w14:textId="2C01B06F" w:rsidR="00A77B3E" w:rsidRPr="006A140B" w:rsidRDefault="007D6307" w:rsidP="00DF5208">
      <w:pPr>
        <w:spacing w:line="360" w:lineRule="auto"/>
        <w:jc w:val="both"/>
        <w:rPr>
          <w:rFonts w:ascii="Book Antiqua" w:hAnsi="Book Antiqua"/>
        </w:rPr>
      </w:pPr>
      <w:r w:rsidRPr="006A140B">
        <w:rPr>
          <w:rFonts w:ascii="Book Antiqua" w:eastAsia="Book Antiqua" w:hAnsi="Book Antiqua" w:cs="Book Antiqua"/>
          <w:b/>
          <w:bCs/>
          <w:color w:val="000000"/>
        </w:rPr>
        <w:t>Environmental toxins</w:t>
      </w:r>
      <w:r w:rsidR="00DF5208"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According to epidemiological and animal studies, several environmental toxins, including arsenic, cadmium, mycotoxins, and aristolochic acid</w:t>
      </w:r>
      <w:r w:rsidR="00DF5208" w:rsidRPr="006A140B">
        <w:rPr>
          <w:rFonts w:ascii="Book Antiqua" w:eastAsia="Book Antiqua" w:hAnsi="Book Antiqua" w:cs="Book Antiqua"/>
          <w:color w:val="000000"/>
        </w:rPr>
        <w:t xml:space="preserve"> (AA)</w:t>
      </w:r>
      <w:r w:rsidRPr="006A140B">
        <w:rPr>
          <w:rFonts w:ascii="Book Antiqua" w:eastAsia="Book Antiqua" w:hAnsi="Book Antiqua" w:cs="Book Antiqua"/>
          <w:color w:val="000000"/>
        </w:rPr>
        <w:t>, are associated with both renal impairment and liver cancer</w:t>
      </w:r>
      <w:r w:rsidRPr="006A140B">
        <w:rPr>
          <w:rFonts w:ascii="Book Antiqua" w:eastAsia="Book Antiqua" w:hAnsi="Book Antiqua" w:cs="Book Antiqua"/>
          <w:color w:val="000000"/>
          <w:vertAlign w:val="superscript"/>
        </w:rPr>
        <w:t>[50]</w:t>
      </w:r>
      <w:r w:rsidRPr="006A140B">
        <w:rPr>
          <w:rFonts w:ascii="Book Antiqua" w:eastAsia="Book Antiqua" w:hAnsi="Book Antiqua" w:cs="Book Antiqua"/>
          <w:color w:val="000000"/>
        </w:rPr>
        <w:t>.</w:t>
      </w:r>
    </w:p>
    <w:p w14:paraId="56DE151F" w14:textId="2F68E66C"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In renal proximal tubules, arsenic or cadmium can cause the depletion of intracellular glutathione stores. This leads to the incremental production of free radicals and results in inflammation and apoptosis</w:t>
      </w:r>
      <w:r w:rsidRPr="006A140B">
        <w:rPr>
          <w:rFonts w:ascii="Book Antiqua" w:eastAsia="Book Antiqua" w:hAnsi="Book Antiqua" w:cs="Book Antiqua"/>
          <w:color w:val="000000"/>
          <w:vertAlign w:val="superscript"/>
        </w:rPr>
        <w:t>[74,75]</w:t>
      </w:r>
      <w:r w:rsidRPr="006A140B">
        <w:rPr>
          <w:rFonts w:ascii="Book Antiqua" w:eastAsia="Book Antiqua" w:hAnsi="Book Antiqua" w:cs="Book Antiqua"/>
          <w:color w:val="000000"/>
        </w:rPr>
        <w:t>. A high arsenic level in drinking water was discovered to be a cause for ESRD, independent of other documented risk factors</w:t>
      </w:r>
      <w:r w:rsidRPr="006A140B">
        <w:rPr>
          <w:rFonts w:ascii="Book Antiqua" w:eastAsia="Book Antiqua" w:hAnsi="Book Antiqua" w:cs="Book Antiqua"/>
          <w:color w:val="000000"/>
          <w:vertAlign w:val="superscript"/>
        </w:rPr>
        <w:t>[76]</w:t>
      </w:r>
      <w:r w:rsidRPr="006A140B">
        <w:rPr>
          <w:rFonts w:ascii="Book Antiqua" w:eastAsia="Book Antiqua" w:hAnsi="Book Antiqua" w:cs="Book Antiqua"/>
          <w:color w:val="000000"/>
        </w:rPr>
        <w:t>. Continual cadmium exposure can also progress to renal Fanconi syndrome and ultimately CKD</w:t>
      </w:r>
      <w:r w:rsidRPr="006A140B">
        <w:rPr>
          <w:rFonts w:ascii="Book Antiqua" w:eastAsia="Book Antiqua" w:hAnsi="Book Antiqua" w:cs="Book Antiqua"/>
          <w:color w:val="000000"/>
          <w:vertAlign w:val="superscript"/>
        </w:rPr>
        <w:t>[75]</w:t>
      </w:r>
      <w:r w:rsidRPr="006A140B">
        <w:rPr>
          <w:rFonts w:ascii="Book Antiqua" w:eastAsia="Book Antiqua" w:hAnsi="Book Antiqua" w:cs="Book Antiqua"/>
          <w:color w:val="000000"/>
        </w:rPr>
        <w:t>. By contrast, arsenic and cadmium carcinogenesis targets the liver</w:t>
      </w:r>
      <w:r w:rsidRPr="006A140B">
        <w:rPr>
          <w:rFonts w:ascii="Book Antiqua" w:eastAsia="Book Antiqua" w:hAnsi="Book Antiqua" w:cs="Book Antiqua"/>
          <w:color w:val="000000"/>
          <w:vertAlign w:val="superscript"/>
        </w:rPr>
        <w:t>[77]</w:t>
      </w:r>
      <w:r w:rsidRPr="006A140B">
        <w:rPr>
          <w:rFonts w:ascii="Book Antiqua" w:eastAsia="Book Antiqua" w:hAnsi="Book Antiqua" w:cs="Book Antiqua"/>
          <w:color w:val="000000"/>
        </w:rPr>
        <w:t>. Dimethylarsinic acid and trimethylarsine oxide, the organic metabolites of inorganic arsenic, have been found to cause oxidative DNA damage and enhance cell proliferation in rats</w:t>
      </w:r>
      <w:r w:rsidRPr="006A140B">
        <w:rPr>
          <w:rFonts w:ascii="Book Antiqua" w:eastAsia="Book Antiqua" w:hAnsi="Book Antiqua" w:cs="Book Antiqua"/>
          <w:color w:val="000000"/>
          <w:vertAlign w:val="superscript"/>
        </w:rPr>
        <w:t>[78,79]</w:t>
      </w:r>
      <w:r w:rsidRPr="006A140B">
        <w:rPr>
          <w:rFonts w:ascii="Book Antiqua" w:eastAsia="Book Antiqua" w:hAnsi="Book Antiqua" w:cs="Book Antiqua"/>
          <w:color w:val="000000"/>
        </w:rPr>
        <w:t>. In humans, arsenic exposure has also been potentially linked to HCC and other liver tumors or paraneoplastic lesions; for example, hepatomegaly, hepatoportal sclerosis, fibrosis, or cirrhosis often occurs after chronic arsenic exposure</w:t>
      </w:r>
      <w:r w:rsidRPr="006A140B">
        <w:rPr>
          <w:rFonts w:ascii="Book Antiqua" w:eastAsia="Book Antiqua" w:hAnsi="Book Antiqua" w:cs="Book Antiqua"/>
          <w:color w:val="000000"/>
          <w:vertAlign w:val="superscript"/>
        </w:rPr>
        <w:t>[80-82]</w:t>
      </w:r>
      <w:r w:rsidRPr="006A140B">
        <w:rPr>
          <w:rFonts w:ascii="Book Antiqua" w:eastAsia="Book Antiqua" w:hAnsi="Book Antiqua" w:cs="Book Antiqua"/>
          <w:color w:val="000000"/>
        </w:rPr>
        <w:t xml:space="preserve">. According to an </w:t>
      </w:r>
      <w:r w:rsidRPr="006A140B">
        <w:rPr>
          <w:rFonts w:ascii="Book Antiqua" w:eastAsia="Book Antiqua" w:hAnsi="Book Antiqua" w:cs="Book Antiqua"/>
          <w:i/>
          <w:iCs/>
          <w:color w:val="000000"/>
        </w:rPr>
        <w:t>in vitro</w:t>
      </w:r>
      <w:r w:rsidRPr="006A140B">
        <w:rPr>
          <w:rFonts w:ascii="Book Antiqua" w:eastAsia="Book Antiqua" w:hAnsi="Book Antiqua" w:cs="Book Antiqua"/>
          <w:color w:val="000000"/>
        </w:rPr>
        <w:t xml:space="preserve"> experiment, cadmium is specifically internalized by Kupffer cells, which could lead to the release of various proinflammatory cytokines such as IL-6 and TNF-α</w:t>
      </w:r>
      <w:r w:rsidRPr="006A140B">
        <w:rPr>
          <w:rFonts w:ascii="Book Antiqua" w:eastAsia="Book Antiqua" w:hAnsi="Book Antiqua" w:cs="Book Antiqua"/>
          <w:color w:val="000000"/>
          <w:vertAlign w:val="superscript"/>
        </w:rPr>
        <w:t>[83,84]</w:t>
      </w:r>
      <w:r w:rsidRPr="006A140B">
        <w:rPr>
          <w:rFonts w:ascii="Book Antiqua" w:eastAsia="Book Antiqua" w:hAnsi="Book Antiqua" w:cs="Book Antiqua"/>
          <w:color w:val="000000"/>
        </w:rPr>
        <w:t>. Studies have also examined the potential effects of long-term cadmium exposure on the expression of cytochrome P450 (CYP) enzymes in the liver and its impact on the activation and clearance of therapeutic drugs, alcohol, and environmental substances. Under chronic cadmium exposure, DNA adducts associated with CYP-mediated metabolism are produced; they accumulate in liver cells and result in mutations, altered gene expression, and eventually carcinogenesis</w:t>
      </w:r>
      <w:r w:rsidRPr="006A140B">
        <w:rPr>
          <w:rFonts w:ascii="Book Antiqua" w:eastAsia="Book Antiqua" w:hAnsi="Book Antiqua" w:cs="Book Antiqua"/>
          <w:color w:val="000000"/>
          <w:vertAlign w:val="superscript"/>
        </w:rPr>
        <w:t>[85-87]</w:t>
      </w:r>
      <w:r w:rsidRPr="006A140B">
        <w:rPr>
          <w:rFonts w:ascii="Book Antiqua" w:eastAsia="Book Antiqua" w:hAnsi="Book Antiqua" w:cs="Book Antiqua"/>
          <w:color w:val="000000"/>
        </w:rPr>
        <w:t>. In epidemiological studies, elevated blood and urine cadmium levels have been found to play a role in HCC, although a direct effect has not been confirmed</w:t>
      </w:r>
      <w:r w:rsidRPr="006A140B">
        <w:rPr>
          <w:rFonts w:ascii="Book Antiqua" w:eastAsia="Book Antiqua" w:hAnsi="Book Antiqua" w:cs="Book Antiqua"/>
          <w:color w:val="000000"/>
          <w:vertAlign w:val="superscript"/>
        </w:rPr>
        <w:t>[77,88]</w:t>
      </w:r>
      <w:r w:rsidRPr="006A140B">
        <w:rPr>
          <w:rFonts w:ascii="Book Antiqua" w:eastAsia="Book Antiqua" w:hAnsi="Book Antiqua" w:cs="Book Antiqua"/>
          <w:color w:val="000000"/>
        </w:rPr>
        <w:t>.</w:t>
      </w:r>
    </w:p>
    <w:p w14:paraId="20DD26EC" w14:textId="3383AB6D"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Aflatoxins (AFs) are highly toxic secondary metabolites that are synthesized by</w:t>
      </w:r>
      <w:r w:rsidR="00DF5208" w:rsidRPr="006A140B">
        <w:rPr>
          <w:rFonts w:ascii="Book Antiqua" w:eastAsia="Book Antiqua" w:hAnsi="Book Antiqua" w:cs="Book Antiqua"/>
          <w:i/>
          <w:iCs/>
          <w:color w:val="000000"/>
        </w:rPr>
        <w:t xml:space="preserve"> </w:t>
      </w:r>
      <w:r w:rsidRPr="006A140B">
        <w:rPr>
          <w:rFonts w:ascii="Book Antiqua" w:eastAsia="Book Antiqua" w:hAnsi="Book Antiqua" w:cs="Book Antiqua"/>
          <w:i/>
          <w:iCs/>
          <w:color w:val="000000"/>
        </w:rPr>
        <w:t>Aspergillus flavus</w:t>
      </w:r>
      <w:r w:rsidR="00DF5208"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and</w:t>
      </w:r>
      <w:r w:rsidR="00DF5208" w:rsidRPr="006A140B">
        <w:rPr>
          <w:rFonts w:ascii="Book Antiqua" w:eastAsia="Book Antiqua" w:hAnsi="Book Antiqua" w:cs="Book Antiqua"/>
          <w:i/>
          <w:iCs/>
          <w:color w:val="000000"/>
        </w:rPr>
        <w:t xml:space="preserve"> </w:t>
      </w:r>
      <w:r w:rsidRPr="006A140B">
        <w:rPr>
          <w:rFonts w:ascii="Book Antiqua" w:eastAsia="Book Antiqua" w:hAnsi="Book Antiqua" w:cs="Book Antiqua"/>
          <w:i/>
          <w:iCs/>
          <w:color w:val="000000"/>
        </w:rPr>
        <w:t>Aspergillus parasiticu</w:t>
      </w:r>
      <w:r w:rsidRPr="006A140B">
        <w:rPr>
          <w:rFonts w:ascii="Book Antiqua" w:eastAsia="Book Antiqua" w:hAnsi="Book Antiqua" w:cs="Book Antiqua"/>
          <w:color w:val="000000"/>
          <w:vertAlign w:val="superscript"/>
        </w:rPr>
        <w:t>[89]</w:t>
      </w:r>
      <w:r w:rsidRPr="006A140B">
        <w:rPr>
          <w:rFonts w:ascii="Book Antiqua" w:eastAsia="Book Antiqua" w:hAnsi="Book Antiqua" w:cs="Book Antiqua"/>
          <w:i/>
          <w:iCs/>
          <w:color w:val="000000"/>
        </w:rPr>
        <w:t>.</w:t>
      </w:r>
      <w:r w:rsidRPr="006A140B">
        <w:rPr>
          <w:rFonts w:ascii="Book Antiqua" w:eastAsia="Book Antiqua" w:hAnsi="Book Antiqua" w:cs="Book Antiqua"/>
          <w:color w:val="000000"/>
        </w:rPr>
        <w:t xml:space="preserve"> Afs are the most toxic of all mycotoxins, causing considerable health problems and economic loss through the contamination of food and animal feed. Cereal crops, oil crops, and dairy products are frequently contaminated. Afs can be divided into AFB1 and AFB2, which emit blue fluorescence, and AFG1 and AFG2, which emit green fluorescence under chromatographic and fluorescence analysis</w:t>
      </w:r>
      <w:r w:rsidRPr="006A140B">
        <w:rPr>
          <w:rFonts w:ascii="Book Antiqua" w:eastAsia="Book Antiqua" w:hAnsi="Book Antiqua" w:cs="Book Antiqua"/>
          <w:color w:val="000000"/>
          <w:vertAlign w:val="superscript"/>
        </w:rPr>
        <w:t>[89]</w:t>
      </w:r>
      <w:r w:rsidRPr="006A140B">
        <w:rPr>
          <w:rFonts w:ascii="Book Antiqua" w:eastAsia="Book Antiqua" w:hAnsi="Book Antiqua" w:cs="Book Antiqua"/>
          <w:color w:val="000000"/>
        </w:rPr>
        <w:t>. Similar to cadmium, aflatoxin is metabolized by CYP enzymes into aflatoxin-8,9-exo-epoxide. The exo-epoxide can form derivatives with DNA, RNA, and proteins, including the p53 tumor suppressor gene. Moreover, the exo-epoxide can bind DNA to form the predominant promutagenic 8,9-dihydro-8-(N7 guanyl)-9-hydroxy AFB1 adduct (AFB1-N7-Gua), which may secondarily form the more mutagenic AFB1-formamidopyrimidine. These derivatives generate a risk of malignancy over time</w:t>
      </w:r>
      <w:r w:rsidRPr="006A140B">
        <w:rPr>
          <w:rFonts w:ascii="Book Antiqua" w:eastAsia="Book Antiqua" w:hAnsi="Book Antiqua" w:cs="Book Antiqua"/>
          <w:color w:val="000000"/>
          <w:vertAlign w:val="superscript"/>
        </w:rPr>
        <w:t>[89,90]</w:t>
      </w:r>
      <w:r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shd w:val="clear" w:color="auto" w:fill="FFFFFF"/>
        </w:rPr>
        <w:t>A review of the epidemiological evidence also indicated that AF is a critical contributor to the high incidence rates of HCC in Asia and Sub-Saharan Africa</w:t>
      </w:r>
      <w:r w:rsidRPr="006A140B">
        <w:rPr>
          <w:rFonts w:ascii="Book Antiqua" w:eastAsia="Book Antiqua" w:hAnsi="Book Antiqua" w:cs="Book Antiqua"/>
          <w:color w:val="000000"/>
          <w:shd w:val="clear" w:color="auto" w:fill="FFFFFF"/>
          <w:vertAlign w:val="superscript"/>
        </w:rPr>
        <w:t>[91]</w:t>
      </w:r>
      <w:r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i/>
          <w:iCs/>
          <w:color w:val="000000"/>
        </w:rPr>
        <w:t>In vitro</w:t>
      </w:r>
      <w:r w:rsidRPr="006A140B">
        <w:rPr>
          <w:rFonts w:ascii="Book Antiqua" w:eastAsia="Book Antiqua" w:hAnsi="Book Antiqua" w:cs="Book Antiqua"/>
          <w:color w:val="000000"/>
        </w:rPr>
        <w:t xml:space="preserve"> and</w:t>
      </w:r>
      <w:r w:rsidRPr="006A140B">
        <w:rPr>
          <w:rFonts w:ascii="Book Antiqua" w:eastAsia="Book Antiqua" w:hAnsi="Book Antiqua" w:cs="Book Antiqua"/>
          <w:i/>
          <w:iCs/>
          <w:color w:val="000000"/>
        </w:rPr>
        <w:t xml:space="preserve"> in vivo</w:t>
      </w:r>
      <w:r w:rsidRPr="006A140B">
        <w:rPr>
          <w:rFonts w:ascii="Book Antiqua" w:eastAsia="Book Antiqua" w:hAnsi="Book Antiqua" w:cs="Book Antiqua"/>
          <w:color w:val="000000"/>
        </w:rPr>
        <w:t xml:space="preserve"> studies have revealed that AFB1 and AFM1 cause kidney toxicity through oxidative stress by altering the expression of proline dehydrogenase and L-proline levels, leading to downstream apoptosis</w:t>
      </w:r>
      <w:r w:rsidRPr="006A140B">
        <w:rPr>
          <w:rFonts w:ascii="Book Antiqua" w:eastAsia="Book Antiqua" w:hAnsi="Book Antiqua" w:cs="Book Antiqua"/>
          <w:color w:val="000000"/>
          <w:vertAlign w:val="superscript"/>
        </w:rPr>
        <w:t>[89]</w:t>
      </w:r>
      <w:r w:rsidRPr="006A140B">
        <w:rPr>
          <w:rFonts w:ascii="Book Antiqua" w:eastAsia="Book Antiqua" w:hAnsi="Book Antiqua" w:cs="Book Antiqua"/>
          <w:color w:val="000000"/>
        </w:rPr>
        <w:t>. More population-based research is warranted to verify whether Afs are associated with renal dysfunction in humans. However, theoretically aflatoxin is likely to be a common risk factor shared by CKD and HCC.</w:t>
      </w:r>
    </w:p>
    <w:p w14:paraId="5F2AEB59" w14:textId="2ACCC7E3"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Another factor worthy of discussion is AA. AA is traditionally known as the main culprit of Chinese herb nephropathy, a type of rapidly progressive renal failure characterized by severe anemia, glycosuria, leukocyturia, mild hypertension, and asymmetric kidneys</w:t>
      </w:r>
      <w:r w:rsidRPr="006A140B">
        <w:rPr>
          <w:rFonts w:ascii="Book Antiqua" w:eastAsia="Book Antiqua" w:hAnsi="Book Antiqua" w:cs="Book Antiqua"/>
          <w:color w:val="000000"/>
          <w:vertAlign w:val="superscript"/>
        </w:rPr>
        <w:t>[92]</w:t>
      </w:r>
      <w:r w:rsidRPr="006A140B">
        <w:rPr>
          <w:rFonts w:ascii="Book Antiqua" w:eastAsia="Book Antiqua" w:hAnsi="Book Antiqua" w:cs="Book Antiqua"/>
          <w:color w:val="000000"/>
        </w:rPr>
        <w:t>. Apart from being responsible for renal toxicity, AA has also been implicated in the genesis of urothelial carcinoma. AA-derived DNA adducts and</w:t>
      </w:r>
      <w:r w:rsidR="00DF5208"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TP53</w:t>
      </w:r>
      <w:r w:rsidR="00DF5208"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mutations have been found in ureteric tissues, indicating the carcinogenic potential of AA on the urothelium</w:t>
      </w:r>
      <w:r w:rsidRPr="006A140B">
        <w:rPr>
          <w:rFonts w:ascii="Book Antiqua" w:eastAsia="Book Antiqua" w:hAnsi="Book Antiqua" w:cs="Book Antiqua"/>
          <w:color w:val="000000"/>
          <w:vertAlign w:val="superscript"/>
        </w:rPr>
        <w:t>[93,94]</w:t>
      </w:r>
      <w:r w:rsidRPr="006A140B">
        <w:rPr>
          <w:rFonts w:ascii="Book Antiqua" w:eastAsia="Book Antiqua" w:hAnsi="Book Antiqua" w:cs="Book Antiqua"/>
          <w:color w:val="000000"/>
        </w:rPr>
        <w:t>. AA can also result in significant DNA adduct formation and mutation in the liver, albeit at a lower level than in the kidneys</w:t>
      </w:r>
      <w:r w:rsidRPr="006A140B">
        <w:rPr>
          <w:rFonts w:ascii="Book Antiqua" w:eastAsia="Book Antiqua" w:hAnsi="Book Antiqua" w:cs="Book Antiqua"/>
          <w:color w:val="000000"/>
          <w:vertAlign w:val="superscript"/>
        </w:rPr>
        <w:t>[95]</w:t>
      </w:r>
      <w:r w:rsidRPr="006A140B">
        <w:rPr>
          <w:rFonts w:ascii="Book Antiqua" w:eastAsia="Book Antiqua" w:hAnsi="Book Antiqua" w:cs="Book Antiqua"/>
          <w:color w:val="000000"/>
        </w:rPr>
        <w:t xml:space="preserve">. Several epidemiological studies have implicated AA in the development of HCC in Asia, but more data are required to evaluate the impact of AA exposure on </w:t>
      </w:r>
      <w:r w:rsidR="00095161" w:rsidRPr="006A140B">
        <w:rPr>
          <w:rFonts w:ascii="Book Antiqua" w:eastAsia="Book Antiqua" w:hAnsi="Book Antiqua" w:cs="Book Antiqua"/>
          <w:color w:val="000000"/>
        </w:rPr>
        <w:t>HCC</w:t>
      </w:r>
      <w:r w:rsidRPr="006A140B">
        <w:rPr>
          <w:rFonts w:ascii="Book Antiqua" w:eastAsia="Book Antiqua" w:hAnsi="Book Antiqua" w:cs="Book Antiqua"/>
          <w:color w:val="000000"/>
        </w:rPr>
        <w:t xml:space="preserve"> occurrence worldwide</w:t>
      </w:r>
      <w:r w:rsidRPr="006A140B">
        <w:rPr>
          <w:rFonts w:ascii="Book Antiqua" w:eastAsia="Book Antiqua" w:hAnsi="Book Antiqua" w:cs="Book Antiqua"/>
          <w:color w:val="000000"/>
          <w:vertAlign w:val="superscript"/>
        </w:rPr>
        <w:t>[96,97]</w:t>
      </w:r>
      <w:r w:rsidRPr="006A140B">
        <w:rPr>
          <w:rFonts w:ascii="Book Antiqua" w:eastAsia="Book Antiqua" w:hAnsi="Book Antiqua" w:cs="Book Antiqua"/>
          <w:color w:val="000000"/>
        </w:rPr>
        <w:t>.</w:t>
      </w:r>
    </w:p>
    <w:p w14:paraId="0C939757" w14:textId="77777777" w:rsidR="00A77B3E" w:rsidRPr="006A140B" w:rsidRDefault="00A77B3E" w:rsidP="00495B7C">
      <w:pPr>
        <w:spacing w:line="360" w:lineRule="auto"/>
        <w:ind w:firstLine="480"/>
        <w:jc w:val="both"/>
        <w:rPr>
          <w:rFonts w:ascii="Book Antiqua" w:hAnsi="Book Antiqua"/>
        </w:rPr>
      </w:pPr>
    </w:p>
    <w:p w14:paraId="48328881" w14:textId="2A85FCAE" w:rsidR="00A77B3E" w:rsidRPr="006A140B" w:rsidRDefault="00A8326E" w:rsidP="00DF5208">
      <w:pPr>
        <w:spacing w:line="360" w:lineRule="auto"/>
        <w:jc w:val="both"/>
        <w:rPr>
          <w:rFonts w:ascii="Book Antiqua" w:hAnsi="Book Antiqua"/>
        </w:rPr>
      </w:pPr>
      <w:hyperlink r:id="rId9" w:history="1">
        <w:r w:rsidR="007D6307" w:rsidRPr="006A140B">
          <w:rPr>
            <w:rFonts w:ascii="Book Antiqua" w:eastAsia="Book Antiqua" w:hAnsi="Book Antiqua" w:cs="Book Antiqua"/>
            <w:b/>
            <w:bCs/>
            <w:color w:val="000000"/>
            <w:u w:color="0000FF"/>
          </w:rPr>
          <w:t>Viral hepatitis</w:t>
        </w:r>
      </w:hyperlink>
      <w:r w:rsidR="00DF5208" w:rsidRPr="006A140B">
        <w:rPr>
          <w:rFonts w:ascii="Book Antiqua" w:eastAsia="Book Antiqua" w:hAnsi="Book Antiqua" w:cs="Book Antiqua"/>
          <w:b/>
          <w:bCs/>
          <w:color w:val="000000"/>
          <w:u w:color="0000FF"/>
        </w:rPr>
        <w:t>:</w:t>
      </w:r>
      <w:r w:rsidR="00DF5208" w:rsidRPr="006A140B">
        <w:rPr>
          <w:rFonts w:ascii="Book Antiqua" w:hAnsi="Book Antiqua" w:hint="eastAsia"/>
          <w:lang w:eastAsia="zh-CN"/>
        </w:rPr>
        <w:t xml:space="preserve"> </w:t>
      </w:r>
      <w:r w:rsidR="007D6307" w:rsidRPr="006A140B">
        <w:rPr>
          <w:rFonts w:ascii="Book Antiqua" w:eastAsia="Book Antiqua" w:hAnsi="Book Antiqua" w:cs="Book Antiqua"/>
          <w:color w:val="000000"/>
        </w:rPr>
        <w:t>Chronic HBV and HCV infections are known to be dominant risk factors for HCC. HBV is the most frequent underlying cause of HCC. Case-control studies have demonstrated that chronic HBV carriers have a five- to fifteen-fold increased risk of HCC compared with the general population</w:t>
      </w:r>
      <w:r w:rsidR="007D6307" w:rsidRPr="006A140B">
        <w:rPr>
          <w:rFonts w:ascii="Book Antiqua" w:eastAsia="Book Antiqua" w:hAnsi="Book Antiqua" w:cs="Book Antiqua"/>
          <w:color w:val="000000"/>
          <w:vertAlign w:val="superscript"/>
        </w:rPr>
        <w:t>[98]</w:t>
      </w:r>
      <w:r w:rsidR="007D6307" w:rsidRPr="006A140B">
        <w:rPr>
          <w:rFonts w:ascii="Book Antiqua" w:eastAsia="Book Antiqua" w:hAnsi="Book Antiqua" w:cs="Book Antiqua"/>
          <w:color w:val="000000"/>
        </w:rPr>
        <w:t>. Approximately 70% to 90% of HBV-related HCCs develop in patients with cirrhosis, but HBV can also cause HCC in the absence of cirrhosis</w:t>
      </w:r>
      <w:r w:rsidR="007D6307" w:rsidRPr="006A140B">
        <w:rPr>
          <w:rFonts w:ascii="Book Antiqua" w:eastAsia="Book Antiqua" w:hAnsi="Book Antiqua" w:cs="Book Antiqua"/>
          <w:color w:val="000000"/>
          <w:vertAlign w:val="superscript"/>
        </w:rPr>
        <w:t>[99]</w:t>
      </w:r>
      <w:r w:rsidR="007D6307" w:rsidRPr="006A140B">
        <w:rPr>
          <w:rFonts w:ascii="Book Antiqua" w:eastAsia="Book Antiqua" w:hAnsi="Book Antiqua" w:cs="Book Antiqua"/>
          <w:color w:val="000000"/>
        </w:rPr>
        <w:t>. Generally, two processes are involved in the hepatocarcinogenesis of HBV infection. D</w:t>
      </w:r>
      <w:r w:rsidR="007D6307" w:rsidRPr="006A140B">
        <w:rPr>
          <w:rFonts w:ascii="Book Antiqua" w:eastAsia="Book Antiqua" w:hAnsi="Book Antiqua" w:cs="Book Antiqua"/>
          <w:color w:val="000000"/>
          <w:shd w:val="clear" w:color="auto" w:fill="FFFFFF"/>
        </w:rPr>
        <w:t>irect mechanisms of hepatocyte transformation include a role for HBV DNA integration, virus mutations, transcriptional activation of growth regulatory genes by HBV-encoded proteins as well as effects on apoptosis, cellular signaling, and DNA repair. The progression of chronic hepatic disease and its associated inflammation, regenerative hyperplasia, and transcriptional deregulation to neoplasia contribute to the indirect pathogenesis of HCC</w:t>
      </w:r>
      <w:r w:rsidR="007D6307" w:rsidRPr="006A140B">
        <w:rPr>
          <w:rFonts w:ascii="Book Antiqua" w:eastAsia="Book Antiqua" w:hAnsi="Book Antiqua" w:cs="Book Antiqua"/>
          <w:color w:val="000000"/>
          <w:shd w:val="clear" w:color="auto" w:fill="FFFFFF"/>
          <w:vertAlign w:val="superscript"/>
        </w:rPr>
        <w:t>[100,101]</w:t>
      </w:r>
      <w:r w:rsidR="007D6307" w:rsidRPr="006A140B">
        <w:rPr>
          <w:rFonts w:ascii="Book Antiqua" w:eastAsia="Book Antiqua" w:hAnsi="Book Antiqua" w:cs="Book Antiqua"/>
          <w:color w:val="000000"/>
          <w:shd w:val="clear" w:color="auto" w:fill="FFFFFF"/>
        </w:rPr>
        <w:t xml:space="preserve">. </w:t>
      </w:r>
      <w:r w:rsidR="007D6307" w:rsidRPr="006A140B">
        <w:rPr>
          <w:rFonts w:ascii="Book Antiqua" w:eastAsia="Book Antiqua" w:hAnsi="Book Antiqua" w:cs="Book Antiqua"/>
          <w:color w:val="000000"/>
        </w:rPr>
        <w:t>By contrast</w:t>
      </w:r>
      <w:r w:rsidR="007D6307" w:rsidRPr="006A140B">
        <w:rPr>
          <w:rFonts w:ascii="Book Antiqua" w:eastAsia="Book Antiqua" w:hAnsi="Book Antiqua" w:cs="Book Antiqua"/>
          <w:color w:val="000000"/>
          <w:shd w:val="clear" w:color="auto" w:fill="FFFFFF"/>
        </w:rPr>
        <w:t>, the mechanisms underlying HCV-associated carcinogenesis are mainly indirect effects of virus-deregulating host cellular processes, including virus-induced inflammation, oxidative stress, and host immune responses; the resulting genomic instability and mitochondrial damage; and the accompanying increased hepatocyte proliferation and steatosis</w:t>
      </w:r>
      <w:r w:rsidR="007D6307" w:rsidRPr="006A140B">
        <w:rPr>
          <w:rFonts w:ascii="Book Antiqua" w:eastAsia="Book Antiqua" w:hAnsi="Book Antiqua" w:cs="Book Antiqua"/>
          <w:color w:val="000000"/>
          <w:shd w:val="clear" w:color="auto" w:fill="FFFFFF"/>
          <w:vertAlign w:val="superscript"/>
        </w:rPr>
        <w:t>[102]</w:t>
      </w:r>
      <w:r w:rsidR="007D6307" w:rsidRPr="006A140B">
        <w:rPr>
          <w:rFonts w:ascii="Book Antiqua" w:eastAsia="Book Antiqua" w:hAnsi="Book Antiqua" w:cs="Book Antiqua"/>
          <w:color w:val="000000"/>
          <w:shd w:val="clear" w:color="auto" w:fill="FFFFFF"/>
        </w:rPr>
        <w:t>.</w:t>
      </w:r>
    </w:p>
    <w:p w14:paraId="55AB8D8F" w14:textId="7FA84A4B"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 xml:space="preserve">In addition, HBV and HCV infection are also established risk factors for CKD. According to epidemiological studies, </w:t>
      </w:r>
      <w:r w:rsidR="00E45529" w:rsidRPr="006A140B">
        <w:rPr>
          <w:rFonts w:ascii="Book Antiqua" w:eastAsia="Book Antiqua" w:hAnsi="Book Antiqua" w:cs="Book Antiqua"/>
          <w:color w:val="000000"/>
        </w:rPr>
        <w:t>hepatitis B surface antigen</w:t>
      </w:r>
      <w:r w:rsidRPr="006A140B">
        <w:rPr>
          <w:rFonts w:ascii="Book Antiqua" w:eastAsia="Book Antiqua" w:hAnsi="Book Antiqua" w:cs="Book Antiqua"/>
          <w:color w:val="000000"/>
        </w:rPr>
        <w:t xml:space="preserve"> positivity in serum is associated with higher risks of CKD and proteinuria</w:t>
      </w:r>
      <w:r w:rsidRPr="006A140B">
        <w:rPr>
          <w:rFonts w:ascii="Book Antiqua" w:eastAsia="Book Antiqua" w:hAnsi="Book Antiqua" w:cs="Book Antiqua"/>
          <w:color w:val="000000"/>
          <w:vertAlign w:val="superscript"/>
        </w:rPr>
        <w:t>[103]</w:t>
      </w:r>
      <w:r w:rsidRPr="006A140B">
        <w:rPr>
          <w:rFonts w:ascii="Book Antiqua" w:eastAsia="Book Antiqua" w:hAnsi="Book Antiqua" w:cs="Book Antiqua"/>
          <w:color w:val="000000"/>
        </w:rPr>
        <w:t>. HBV-related nephropathies include membranous glomerulonephritis, polyarteritis nodosa, and membranoproliferative glomerulonephritis (MPGN)</w:t>
      </w:r>
      <w:r w:rsidRPr="006A140B">
        <w:rPr>
          <w:rFonts w:ascii="Book Antiqua" w:eastAsia="Book Antiqua" w:hAnsi="Book Antiqua" w:cs="Book Antiqua"/>
          <w:color w:val="000000"/>
          <w:vertAlign w:val="superscript"/>
        </w:rPr>
        <w:t>[104]</w:t>
      </w:r>
      <w:r w:rsidRPr="006A140B">
        <w:rPr>
          <w:rFonts w:ascii="Book Antiqua" w:eastAsia="Book Antiqua" w:hAnsi="Book Antiqua" w:cs="Book Antiqua"/>
          <w:color w:val="000000"/>
        </w:rPr>
        <w:t>. Moreover, a clinical study reported that HBV causes apoptosis in renal tubular Fas upregulation</w:t>
      </w:r>
      <w:r w:rsidRPr="006A140B">
        <w:rPr>
          <w:rFonts w:ascii="Book Antiqua" w:eastAsia="Book Antiqua" w:hAnsi="Book Antiqua" w:cs="Book Antiqua"/>
          <w:color w:val="000000"/>
          <w:vertAlign w:val="superscript"/>
        </w:rPr>
        <w:t>[105]</w:t>
      </w:r>
      <w:r w:rsidRPr="006A140B">
        <w:rPr>
          <w:rFonts w:ascii="Book Antiqua" w:eastAsia="Book Antiqua" w:hAnsi="Book Antiqua" w:cs="Book Antiqua"/>
          <w:color w:val="000000"/>
        </w:rPr>
        <w:t>. HCV has been associated with the development of MPGN and cryoglobulinemia, and it has also been found to increase the risk of CKD</w:t>
      </w:r>
      <w:r w:rsidRPr="006A140B">
        <w:rPr>
          <w:rFonts w:ascii="Book Antiqua" w:eastAsia="Book Antiqua" w:hAnsi="Book Antiqua" w:cs="Book Antiqua"/>
          <w:color w:val="000000"/>
          <w:vertAlign w:val="superscript"/>
        </w:rPr>
        <w:t>[106,107]</w:t>
      </w:r>
      <w:r w:rsidRPr="006A140B">
        <w:rPr>
          <w:rFonts w:ascii="Book Antiqua" w:eastAsia="Book Antiqua" w:hAnsi="Book Antiqua" w:cs="Book Antiqua"/>
          <w:color w:val="000000"/>
        </w:rPr>
        <w:t>. Taken together, the aforementioned studies have indicated that both HBV and HCV can be considered critical shared factors in the high comorbidity of HCC and CKD. However, more research is required to verify whether these two infections are causally linked with HCC and CKD.</w:t>
      </w:r>
    </w:p>
    <w:p w14:paraId="316298D7" w14:textId="77777777" w:rsidR="00A77B3E" w:rsidRPr="006A140B" w:rsidRDefault="00A77B3E" w:rsidP="00495B7C">
      <w:pPr>
        <w:spacing w:line="360" w:lineRule="auto"/>
        <w:ind w:firstLine="480"/>
        <w:jc w:val="both"/>
        <w:rPr>
          <w:rFonts w:ascii="Book Antiqua" w:hAnsi="Book Antiqua"/>
        </w:rPr>
      </w:pPr>
    </w:p>
    <w:p w14:paraId="24419461" w14:textId="2521802F" w:rsidR="00A77B3E" w:rsidRPr="006A140B" w:rsidRDefault="00A8326E" w:rsidP="00043F19">
      <w:pPr>
        <w:spacing w:line="360" w:lineRule="auto"/>
        <w:jc w:val="both"/>
        <w:rPr>
          <w:rFonts w:ascii="Book Antiqua" w:hAnsi="Book Antiqua"/>
        </w:rPr>
      </w:pPr>
      <w:hyperlink r:id="rId10" w:history="1">
        <w:r w:rsidR="007D6307" w:rsidRPr="006A140B">
          <w:rPr>
            <w:rFonts w:ascii="Book Antiqua" w:eastAsia="Book Antiqua" w:hAnsi="Book Antiqua" w:cs="Book Antiqua"/>
            <w:b/>
            <w:bCs/>
            <w:color w:val="000000"/>
            <w:u w:color="0000FF"/>
          </w:rPr>
          <w:t>Metabolic diseases</w:t>
        </w:r>
      </w:hyperlink>
      <w:r w:rsidR="00043F19" w:rsidRPr="006A140B">
        <w:rPr>
          <w:rFonts w:ascii="Book Antiqua" w:eastAsia="Book Antiqua" w:hAnsi="Book Antiqua" w:cs="Book Antiqua"/>
          <w:b/>
          <w:bCs/>
          <w:color w:val="000000"/>
          <w:u w:color="0000FF"/>
        </w:rPr>
        <w:t>:</w:t>
      </w:r>
      <w:r w:rsidR="00043F19" w:rsidRPr="006A140B">
        <w:rPr>
          <w:rFonts w:ascii="Book Antiqua" w:hAnsi="Book Antiqua" w:hint="eastAsia"/>
          <w:lang w:eastAsia="zh-CN"/>
        </w:rPr>
        <w:t xml:space="preserve"> </w:t>
      </w:r>
      <w:r w:rsidR="007D6307" w:rsidRPr="006A140B">
        <w:rPr>
          <w:rFonts w:ascii="Book Antiqua" w:eastAsia="Book Antiqua" w:hAnsi="Book Antiqua" w:cs="Book Antiqua"/>
          <w:color w:val="000000"/>
        </w:rPr>
        <w:t>Abundant</w:t>
      </w:r>
      <w:r w:rsidR="00043F19" w:rsidRPr="006A140B">
        <w:rPr>
          <w:rFonts w:ascii="Book Antiqua" w:eastAsia="Book Antiqua" w:hAnsi="Book Antiqua" w:cs="Book Antiqua"/>
          <w:color w:val="000000"/>
        </w:rPr>
        <w:t xml:space="preserve"> </w:t>
      </w:r>
      <w:r w:rsidR="007D6307" w:rsidRPr="006A140B">
        <w:rPr>
          <w:rFonts w:ascii="Book Antiqua" w:eastAsia="Book Antiqua" w:hAnsi="Book Antiqua" w:cs="Book Antiqua"/>
          <w:color w:val="000000"/>
        </w:rPr>
        <w:t>epidemiological evidence suggests a correlation between noninsulin-dependent diabetes mellitus (NIDDM, or type 2 diabetes mellitus) and cancers, including HCC</w:t>
      </w:r>
      <w:r w:rsidR="007D6307" w:rsidRPr="006A140B">
        <w:rPr>
          <w:rFonts w:ascii="Book Antiqua" w:eastAsia="Book Antiqua" w:hAnsi="Book Antiqua" w:cs="Book Antiqua"/>
          <w:color w:val="000000"/>
          <w:vertAlign w:val="superscript"/>
        </w:rPr>
        <w:t>[108-110]</w:t>
      </w:r>
      <w:r w:rsidR="007D6307" w:rsidRPr="006A140B">
        <w:rPr>
          <w:rFonts w:ascii="Book Antiqua" w:eastAsia="Book Antiqua" w:hAnsi="Book Antiqua" w:cs="Book Antiqua"/>
          <w:color w:val="000000"/>
        </w:rPr>
        <w:t>. Several mechanisms likely explain such an association. Insulin or its precursors may stimulate mitogenesis or carcinogenesis in hepatocytes</w:t>
      </w:r>
      <w:r w:rsidR="007D6307" w:rsidRPr="006A140B">
        <w:rPr>
          <w:rFonts w:ascii="Book Antiqua" w:eastAsia="Book Antiqua" w:hAnsi="Book Antiqua" w:cs="Book Antiqua"/>
          <w:color w:val="000000"/>
          <w:vertAlign w:val="superscript"/>
        </w:rPr>
        <w:t>[111]</w:t>
      </w:r>
      <w:r w:rsidR="007D6307" w:rsidRPr="006A140B">
        <w:rPr>
          <w:rFonts w:ascii="Book Antiqua" w:eastAsia="Book Antiqua" w:hAnsi="Book Antiqua" w:cs="Book Antiqua"/>
          <w:color w:val="000000"/>
        </w:rPr>
        <w:t xml:space="preserve">. Augmented inflammation as measured by TNF-α and IL-6 </w:t>
      </w:r>
      <w:r w:rsidR="00043F19" w:rsidRPr="006A140B">
        <w:rPr>
          <w:rFonts w:ascii="Book Antiqua" w:eastAsia="Book Antiqua" w:hAnsi="Book Antiqua" w:cs="Book Antiqua"/>
          <w:color w:val="000000"/>
        </w:rPr>
        <w:t>l</w:t>
      </w:r>
      <w:r w:rsidR="007D6307" w:rsidRPr="006A140B">
        <w:rPr>
          <w:rFonts w:ascii="Book Antiqua" w:eastAsia="Book Antiqua" w:hAnsi="Book Antiqua" w:cs="Book Antiqua"/>
          <w:color w:val="000000"/>
        </w:rPr>
        <w:t>evels has been found in diabetes</w:t>
      </w:r>
      <w:r w:rsidR="007D6307" w:rsidRPr="006A140B">
        <w:rPr>
          <w:rFonts w:ascii="Book Antiqua" w:eastAsia="Book Antiqua" w:hAnsi="Book Antiqua" w:cs="Book Antiqua"/>
          <w:color w:val="000000"/>
          <w:vertAlign w:val="superscript"/>
        </w:rPr>
        <w:t>[112,113]</w:t>
      </w:r>
      <w:r w:rsidR="007D6307" w:rsidRPr="006A140B">
        <w:rPr>
          <w:rFonts w:ascii="Book Antiqua" w:eastAsia="Book Antiqua" w:hAnsi="Book Antiqua" w:cs="Book Antiqua"/>
          <w:color w:val="000000"/>
        </w:rPr>
        <w:t xml:space="preserve">. Diabetes may also increase the risk of HCC through the development of NASH. Up to </w:t>
      </w:r>
      <w:r w:rsidR="007D6307" w:rsidRPr="006A140B">
        <w:rPr>
          <w:rFonts w:ascii="Book Antiqua" w:eastAsia="Book Antiqua" w:hAnsi="Book Antiqua" w:cs="Book Antiqua"/>
          <w:color w:val="000000"/>
          <w:shd w:val="clear" w:color="auto" w:fill="FFFFFF"/>
        </w:rPr>
        <w:t>40% of patients with type 1 or type 2 diabetes develop diabetic nephropathy, which is the leading cause of CKD in patients starting renal replacement therapy in developed countries</w:t>
      </w:r>
      <w:r w:rsidR="007D6307" w:rsidRPr="006A140B">
        <w:rPr>
          <w:rFonts w:ascii="Book Antiqua" w:eastAsia="Book Antiqua" w:hAnsi="Book Antiqua" w:cs="Book Antiqua"/>
          <w:color w:val="000000"/>
          <w:shd w:val="clear" w:color="auto" w:fill="FFFFFF"/>
          <w:vertAlign w:val="superscript"/>
        </w:rPr>
        <w:t>[114]</w:t>
      </w:r>
      <w:r w:rsidR="007D6307" w:rsidRPr="006A140B">
        <w:rPr>
          <w:rFonts w:ascii="Book Antiqua" w:eastAsia="Book Antiqua" w:hAnsi="Book Antiqua" w:cs="Book Antiqua"/>
          <w:color w:val="000000"/>
          <w:shd w:val="clear" w:color="auto" w:fill="FFFFFF"/>
        </w:rPr>
        <w:t xml:space="preserve">. Consequently, </w:t>
      </w:r>
      <w:r w:rsidR="007D6307" w:rsidRPr="006A140B">
        <w:rPr>
          <w:rFonts w:ascii="Book Antiqua" w:eastAsia="Book Antiqua" w:hAnsi="Book Antiqua" w:cs="Book Antiqua"/>
          <w:color w:val="000000"/>
        </w:rPr>
        <w:t>NIDDM is a non-negligible factor contributing to the high comorbidity of HCC and CKD. Likewise, fatty liver disease is a common risk factor for both HCC and CKD. The prevalence of NAFLD is 10%–30% in adults and tends to be higher in developed countries because of the prevalence of obesity and metabolic syndrome</w:t>
      </w:r>
      <w:r w:rsidR="007D6307" w:rsidRPr="006A140B">
        <w:rPr>
          <w:rFonts w:ascii="Book Antiqua" w:eastAsia="Book Antiqua" w:hAnsi="Book Antiqua" w:cs="Book Antiqua"/>
          <w:color w:val="000000"/>
          <w:vertAlign w:val="superscript"/>
        </w:rPr>
        <w:t>[115,116]</w:t>
      </w:r>
      <w:r w:rsidR="007D6307" w:rsidRPr="006A140B">
        <w:rPr>
          <w:rFonts w:ascii="Book Antiqua" w:eastAsia="Book Antiqua" w:hAnsi="Book Antiqua" w:cs="Book Antiqua"/>
          <w:color w:val="000000"/>
        </w:rPr>
        <w:t>. NASH belongs to the spectrum of NAFLD and is characterized by hepatic inflammation. In a study conducted to clarify the etiology of non-B, non-C HCC, a total 1374 patients with HCC were enrolled from 1995 to 2009. NASH was noted to be a critical risk factor for HCC, and cirrhosis was detected in 65% of NASH-HCC cases</w:t>
      </w:r>
      <w:r w:rsidR="007D6307" w:rsidRPr="006A140B">
        <w:rPr>
          <w:rFonts w:ascii="Book Antiqua" w:eastAsia="Book Antiqua" w:hAnsi="Book Antiqua" w:cs="Book Antiqua"/>
          <w:color w:val="000000"/>
          <w:vertAlign w:val="superscript"/>
        </w:rPr>
        <w:t>[117]</w:t>
      </w:r>
      <w:r w:rsidR="007D6307" w:rsidRPr="006A140B">
        <w:rPr>
          <w:rFonts w:ascii="Book Antiqua" w:eastAsia="Book Antiqua" w:hAnsi="Book Antiqua" w:cs="Book Antiqua"/>
          <w:color w:val="000000"/>
        </w:rPr>
        <w:t>. Studies have defined various factors involved in the necroinflammatory response of NASH, including cytokines, hormones, and neurotransmitters</w:t>
      </w:r>
      <w:r w:rsidR="007D6307" w:rsidRPr="006A140B">
        <w:rPr>
          <w:rFonts w:ascii="Book Antiqua" w:eastAsia="Book Antiqua" w:hAnsi="Book Antiqua" w:cs="Book Antiqua"/>
          <w:color w:val="000000"/>
          <w:vertAlign w:val="superscript"/>
        </w:rPr>
        <w:t>[118]</w:t>
      </w:r>
      <w:r w:rsidR="007D6307" w:rsidRPr="006A140B">
        <w:rPr>
          <w:rFonts w:ascii="Book Antiqua" w:eastAsia="Book Antiqua" w:hAnsi="Book Antiqua" w:cs="Book Antiqua"/>
          <w:color w:val="000000"/>
        </w:rPr>
        <w:t>. Rodent animal studies have demonstrated that NASH induced by a high-fat diet is associated with elevated TNF-α and nuclear factor kappa-light-chain-enhancer of activated B cells (NF-κB) with hepatocyte proliferation</w:t>
      </w:r>
      <w:r w:rsidR="007D6307" w:rsidRPr="006A140B">
        <w:rPr>
          <w:rFonts w:ascii="Book Antiqua" w:eastAsia="Book Antiqua" w:hAnsi="Book Antiqua" w:cs="Book Antiqua"/>
          <w:color w:val="000000"/>
          <w:vertAlign w:val="superscript"/>
        </w:rPr>
        <w:t>[113,119]</w:t>
      </w:r>
      <w:r w:rsidR="007D6307" w:rsidRPr="006A140B">
        <w:rPr>
          <w:rFonts w:ascii="Book Antiqua" w:eastAsia="Book Antiqua" w:hAnsi="Book Antiqua" w:cs="Book Antiqua"/>
          <w:color w:val="000000"/>
        </w:rPr>
        <w:t>. Hypoadiponectinemia possibly participates in NASH-HCC carcinogenesis, as verified by a adiponectin knock-out mice model</w:t>
      </w:r>
      <w:r w:rsidR="007D6307" w:rsidRPr="006A140B">
        <w:rPr>
          <w:rFonts w:ascii="Book Antiqua" w:eastAsia="Book Antiqua" w:hAnsi="Book Antiqua" w:cs="Book Antiqua"/>
          <w:color w:val="000000"/>
          <w:vertAlign w:val="superscript"/>
        </w:rPr>
        <w:t>[120]</w:t>
      </w:r>
      <w:r w:rsidR="007D6307" w:rsidRPr="006A140B">
        <w:rPr>
          <w:rFonts w:ascii="Book Antiqua" w:eastAsia="Book Antiqua" w:hAnsi="Book Antiqua" w:cs="Book Antiqua"/>
          <w:color w:val="000000"/>
        </w:rPr>
        <w:t>. Intriguingly, NAFLD was also found to be a driver of CKD</w:t>
      </w:r>
      <w:r w:rsidR="007D6307" w:rsidRPr="006A140B">
        <w:rPr>
          <w:rFonts w:ascii="Book Antiqua" w:eastAsia="Book Antiqua" w:hAnsi="Book Antiqua" w:cs="Book Antiqua"/>
          <w:color w:val="000000"/>
          <w:vertAlign w:val="superscript"/>
        </w:rPr>
        <w:t>[121]</w:t>
      </w:r>
      <w:r w:rsidR="007D6307" w:rsidRPr="006A140B">
        <w:rPr>
          <w:rFonts w:ascii="Book Antiqua" w:eastAsia="Book Antiqua" w:hAnsi="Book Antiqua" w:cs="Book Antiqua"/>
          <w:color w:val="000000"/>
        </w:rPr>
        <w:t>. The presence and severity of NAFLD were noted to be strongly and positively correlated with the prevalence and incidence of CKD, independent of obesity, hypertension, NIDDM, or other common risk factors</w:t>
      </w:r>
      <w:r w:rsidR="007D6307" w:rsidRPr="006A140B">
        <w:rPr>
          <w:rFonts w:ascii="Book Antiqua" w:eastAsia="Book Antiqua" w:hAnsi="Book Antiqua" w:cs="Book Antiqua"/>
          <w:color w:val="000000"/>
          <w:vertAlign w:val="superscript"/>
        </w:rPr>
        <w:t>[122]</w:t>
      </w:r>
      <w:r w:rsidR="007D6307" w:rsidRPr="006A140B">
        <w:rPr>
          <w:rFonts w:ascii="Book Antiqua" w:eastAsia="Book Antiqua" w:hAnsi="Book Antiqua" w:cs="Book Antiqua"/>
          <w:color w:val="000000"/>
        </w:rPr>
        <w:t xml:space="preserve">. Targher </w:t>
      </w:r>
      <w:r w:rsidR="007D6307" w:rsidRPr="006A140B">
        <w:rPr>
          <w:rFonts w:ascii="Book Antiqua" w:eastAsia="Book Antiqua" w:hAnsi="Book Antiqua" w:cs="Book Antiqua"/>
          <w:i/>
          <w:iCs/>
          <w:color w:val="000000"/>
        </w:rPr>
        <w:t>et</w:t>
      </w:r>
      <w:r w:rsidR="00215026" w:rsidRPr="006A140B">
        <w:rPr>
          <w:rFonts w:ascii="Book Antiqua" w:eastAsia="Book Antiqua" w:hAnsi="Book Antiqua" w:cs="Book Antiqua"/>
          <w:i/>
          <w:iCs/>
          <w:color w:val="000000"/>
        </w:rPr>
        <w:t xml:space="preserve"> </w:t>
      </w:r>
      <w:r w:rsidR="007D6307" w:rsidRPr="006A140B">
        <w:rPr>
          <w:rFonts w:ascii="Book Antiqua" w:eastAsia="Book Antiqua" w:hAnsi="Book Antiqua" w:cs="Book Antiqua"/>
          <w:i/>
          <w:iCs/>
          <w:color w:val="000000"/>
        </w:rPr>
        <w:t>al</w:t>
      </w:r>
      <w:r w:rsidR="00215026" w:rsidRPr="006A140B">
        <w:rPr>
          <w:rFonts w:ascii="Book Antiqua" w:eastAsia="Book Antiqua" w:hAnsi="Book Antiqua" w:cs="Book Antiqua"/>
          <w:color w:val="000000"/>
          <w:vertAlign w:val="superscript"/>
        </w:rPr>
        <w:t>[123]</w:t>
      </w:r>
      <w:r w:rsidR="007D6307" w:rsidRPr="006A140B">
        <w:rPr>
          <w:rFonts w:ascii="Book Antiqua" w:eastAsia="Book Antiqua" w:hAnsi="Book Antiqua" w:cs="Book Antiqua"/>
          <w:color w:val="000000"/>
        </w:rPr>
        <w:t xml:space="preserve"> found that higher levels of patatin-like phospholipase domain–containing protein 3</w:t>
      </w:r>
      <w:r w:rsidR="005B2FC9" w:rsidRPr="006A140B">
        <w:rPr>
          <w:rFonts w:ascii="Book Antiqua" w:eastAsia="Book Antiqua" w:hAnsi="Book Antiqua" w:cs="Book Antiqua"/>
          <w:color w:val="000000"/>
        </w:rPr>
        <w:t xml:space="preserve"> </w:t>
      </w:r>
      <w:r w:rsidR="007D6307" w:rsidRPr="006A140B">
        <w:rPr>
          <w:rFonts w:ascii="Book Antiqua" w:eastAsia="Book Antiqua" w:hAnsi="Book Antiqua" w:cs="Book Antiqua"/>
          <w:color w:val="000000"/>
        </w:rPr>
        <w:t>GG genotype are independently associated with a lower estimated GFR (eGFR) and increased 24-h proteinuria in patients with NAFLD. This single nucleotide polymorphism may be useful for identifying those patients with NAFLD who are also prone to developing CKD</w:t>
      </w:r>
      <w:r w:rsidR="007D6307" w:rsidRPr="006A140B">
        <w:rPr>
          <w:rFonts w:ascii="Book Antiqua" w:eastAsia="Book Antiqua" w:hAnsi="Book Antiqua" w:cs="Book Antiqua"/>
          <w:color w:val="000000"/>
          <w:vertAlign w:val="superscript"/>
        </w:rPr>
        <w:t>[123]</w:t>
      </w:r>
      <w:r w:rsidR="007D6307" w:rsidRPr="006A140B">
        <w:rPr>
          <w:rFonts w:ascii="Book Antiqua" w:eastAsia="Book Antiqua" w:hAnsi="Book Antiqua" w:cs="Book Antiqua"/>
          <w:color w:val="000000"/>
        </w:rPr>
        <w:t>.</w:t>
      </w:r>
    </w:p>
    <w:p w14:paraId="02E620A3" w14:textId="77777777" w:rsidR="00A77B3E" w:rsidRPr="006A140B" w:rsidRDefault="00A77B3E" w:rsidP="005B2FC9">
      <w:pPr>
        <w:spacing w:line="360" w:lineRule="auto"/>
        <w:jc w:val="both"/>
        <w:rPr>
          <w:rFonts w:ascii="Book Antiqua" w:hAnsi="Book Antiqua"/>
        </w:rPr>
      </w:pPr>
    </w:p>
    <w:p w14:paraId="07A76CFC" w14:textId="751CCFC8" w:rsidR="00A77B3E" w:rsidRPr="006A140B" w:rsidRDefault="007D6307" w:rsidP="005B2FC9">
      <w:pPr>
        <w:spacing w:line="360" w:lineRule="auto"/>
        <w:jc w:val="both"/>
        <w:rPr>
          <w:rFonts w:ascii="Book Antiqua" w:hAnsi="Book Antiqua"/>
        </w:rPr>
      </w:pPr>
      <w:r w:rsidRPr="006A140B">
        <w:rPr>
          <w:rFonts w:ascii="Book Antiqua" w:eastAsia="Book Antiqua" w:hAnsi="Book Antiqua" w:cs="Book Antiqua"/>
          <w:b/>
          <w:bCs/>
          <w:color w:val="000000"/>
        </w:rPr>
        <w:t>Vasoactive factors</w:t>
      </w:r>
      <w:r w:rsidR="0011643C" w:rsidRPr="006A140B">
        <w:rPr>
          <w:rFonts w:ascii="Book Antiqua" w:eastAsia="Book Antiqua" w:hAnsi="Book Antiqua" w:cs="Book Antiqua"/>
          <w:b/>
          <w:bCs/>
          <w:color w:val="000000"/>
        </w:rPr>
        <w:t xml:space="preserve"> </w:t>
      </w:r>
      <w:r w:rsidR="0011643C" w:rsidRPr="006A140B">
        <w:rPr>
          <w:rFonts w:eastAsia="Book Antiqua"/>
          <w:b/>
          <w:bCs/>
          <w:color w:val="000000"/>
        </w:rPr>
        <w:t>−</w:t>
      </w:r>
      <w:r w:rsidR="0011643C" w:rsidRPr="006A140B">
        <w:rPr>
          <w:rFonts w:ascii="Book Antiqua" w:eastAsia="Book Antiqua" w:hAnsi="Book Antiqua" w:cs="Book Antiqua"/>
          <w:b/>
          <w:bCs/>
          <w:color w:val="000000"/>
        </w:rPr>
        <w:t xml:space="preserve"> a</w:t>
      </w:r>
      <w:r w:rsidRPr="006A140B">
        <w:rPr>
          <w:rFonts w:ascii="Book Antiqua" w:eastAsia="Book Antiqua" w:hAnsi="Book Antiqua" w:cs="Book Antiqua"/>
          <w:b/>
          <w:bCs/>
          <w:color w:val="000000"/>
        </w:rPr>
        <w:t>ctivation of the renin–angiotensin system</w:t>
      </w:r>
      <w:r w:rsidR="005B2FC9" w:rsidRPr="006A140B">
        <w:rPr>
          <w:rFonts w:ascii="Book Antiqua" w:eastAsia="Book Antiqua" w:hAnsi="Book Antiqua" w:cs="Book Antiqua"/>
          <w:b/>
          <w:bCs/>
          <w:color w:val="000000"/>
        </w:rPr>
        <w:t>:</w:t>
      </w:r>
      <w:r w:rsidR="005B2FC9" w:rsidRPr="006A140B">
        <w:rPr>
          <w:rFonts w:ascii="Book Antiqua" w:hAnsi="Book Antiqua" w:hint="eastAsia"/>
          <w:lang w:eastAsia="zh-CN"/>
        </w:rPr>
        <w:t xml:space="preserve"> </w:t>
      </w:r>
      <w:r w:rsidRPr="006A140B">
        <w:rPr>
          <w:rFonts w:ascii="Book Antiqua" w:eastAsia="Book Antiqua" w:hAnsi="Book Antiqua" w:cs="Book Antiqua"/>
          <w:color w:val="000000"/>
        </w:rPr>
        <w:t>The systemic renin–angiotensin system (RAS) regulates blood pressure and maintains normal kidney function. In addition to the traditionally known circulating RAS, scientists have uncovered the existence of a local angiotensin-generating system in several tissues, including the heart, liver, and kidney. The tissue RAS can act locally as a paracrine or autocrine factor to meet the needs of individual tissues, independently of or in cooperation with the circulating counterpart</w:t>
      </w:r>
      <w:r w:rsidRPr="006A140B">
        <w:rPr>
          <w:rFonts w:ascii="Book Antiqua" w:eastAsia="Book Antiqua" w:hAnsi="Book Antiqua" w:cs="Book Antiqua"/>
          <w:color w:val="000000"/>
          <w:vertAlign w:val="superscript"/>
        </w:rPr>
        <w:t>[124]</w:t>
      </w:r>
      <w:r w:rsidRPr="006A140B">
        <w:rPr>
          <w:rFonts w:ascii="Book Antiqua" w:eastAsia="Book Antiqua" w:hAnsi="Book Antiqua" w:cs="Book Antiqua"/>
          <w:color w:val="000000"/>
        </w:rPr>
        <w:t>.</w:t>
      </w:r>
      <w:r w:rsidR="005B2FC9"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The crucial role of the RAS in the pathogenesis of CKD has been well documented since the 1980s in experimental and clinical studies</w:t>
      </w:r>
      <w:r w:rsidRPr="006A140B">
        <w:rPr>
          <w:rFonts w:ascii="Book Antiqua" w:eastAsia="Book Antiqua" w:hAnsi="Book Antiqua" w:cs="Book Antiqua"/>
          <w:color w:val="000000"/>
          <w:vertAlign w:val="superscript"/>
        </w:rPr>
        <w:t>[125]</w:t>
      </w:r>
      <w:r w:rsidRPr="006A140B">
        <w:rPr>
          <w:rFonts w:ascii="Book Antiqua" w:eastAsia="Book Antiqua" w:hAnsi="Book Antiqua" w:cs="Book Antiqua"/>
          <w:color w:val="000000"/>
        </w:rPr>
        <w:t>. An activated RAS aggravates both systemic and glomerular capillary hypertension, causing hemodynamic injury to the vascular endothelium and glomerulus. Angiotensin II and the downstream product, aldosterone, also exert direct proinflammatory and profibrotic actions, which may promote kidney damage</w:t>
      </w:r>
      <w:r w:rsidRPr="006A140B">
        <w:rPr>
          <w:rFonts w:ascii="Book Antiqua" w:eastAsia="Book Antiqua" w:hAnsi="Book Antiqua" w:cs="Book Antiqua"/>
          <w:color w:val="000000"/>
          <w:vertAlign w:val="superscript"/>
        </w:rPr>
        <w:t>[126,127]</w:t>
      </w:r>
      <w:r w:rsidRPr="006A140B">
        <w:rPr>
          <w:rFonts w:ascii="Book Antiqua" w:eastAsia="Book Antiqua" w:hAnsi="Book Antiqua" w:cs="Book Antiqua"/>
          <w:color w:val="000000"/>
        </w:rPr>
        <w:t>. Angiotensin-converting-enzyme inhibition has exhibited considerable therapeutic efficacy in the control of systemic hypertension and the prevention of progressive kidney injury</w:t>
      </w:r>
      <w:r w:rsidRPr="006A140B">
        <w:rPr>
          <w:rFonts w:ascii="Book Antiqua" w:eastAsia="Book Antiqua" w:hAnsi="Book Antiqua" w:cs="Book Antiqua"/>
          <w:color w:val="000000"/>
          <w:vertAlign w:val="superscript"/>
        </w:rPr>
        <w:t>[128,129]</w:t>
      </w:r>
      <w:r w:rsidRPr="006A140B">
        <w:rPr>
          <w:rFonts w:ascii="Book Antiqua" w:eastAsia="Book Antiqua" w:hAnsi="Book Antiqua" w:cs="Book Antiqua"/>
          <w:color w:val="000000"/>
        </w:rPr>
        <w:t>.</w:t>
      </w:r>
    </w:p>
    <w:p w14:paraId="3D0CC48E" w14:textId="2A8ED5A7"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shd w:val="clear" w:color="auto" w:fill="FFFFFF"/>
        </w:rPr>
        <w:t>An increasing body of evidence has suggested that the RAS also contributes to liver fibrosis and hepatocarcinogenesis, although probably less so than it does for the kidneys</w:t>
      </w:r>
      <w:r w:rsidRPr="006A140B">
        <w:rPr>
          <w:rFonts w:ascii="Book Antiqua" w:eastAsia="Book Antiqua" w:hAnsi="Book Antiqua" w:cs="Book Antiqua"/>
          <w:color w:val="000000"/>
          <w:shd w:val="clear" w:color="auto" w:fill="FFFFFF"/>
          <w:vertAlign w:val="superscript"/>
        </w:rPr>
        <w:t>[130]</w:t>
      </w:r>
      <w:r w:rsidRPr="006A140B">
        <w:rPr>
          <w:rFonts w:ascii="Book Antiqua" w:eastAsia="Book Antiqua" w:hAnsi="Book Antiqua" w:cs="Book Antiqua"/>
          <w:color w:val="000000"/>
          <w:shd w:val="clear" w:color="auto" w:fill="FFFFFF"/>
        </w:rPr>
        <w:t>.</w:t>
      </w:r>
      <w:r w:rsidRPr="006A140B">
        <w:rPr>
          <w:rFonts w:ascii="Book Antiqua" w:eastAsia="Book Antiqua" w:hAnsi="Book Antiqua" w:cs="Book Antiqua"/>
          <w:color w:val="000000"/>
        </w:rPr>
        <w:t xml:space="preserve"> The main source of the RAS comes from hepatocytes and Kupffer cells, but it has also been found in the bile duct epithelium of the liver</w:t>
      </w:r>
      <w:r w:rsidRPr="006A140B">
        <w:rPr>
          <w:rFonts w:ascii="Book Antiqua" w:eastAsia="Book Antiqua" w:hAnsi="Book Antiqua" w:cs="Book Antiqua"/>
          <w:color w:val="000000"/>
          <w:vertAlign w:val="superscript"/>
        </w:rPr>
        <w:t>[54]</w:t>
      </w:r>
      <w:r w:rsidRPr="006A140B">
        <w:rPr>
          <w:rFonts w:ascii="Book Antiqua" w:eastAsia="Book Antiqua" w:hAnsi="Book Antiqua" w:cs="Book Antiqua"/>
          <w:color w:val="000000"/>
        </w:rPr>
        <w:t xml:space="preserve">. In the liver, angiotensin II regulates cell growth, inflammation, and fibrosis. The expression of angiotensin receptors was found to increase activated hepatic satellite cells (HSCs) following injury. </w:t>
      </w:r>
      <w:r w:rsidRPr="006A140B">
        <w:rPr>
          <w:rFonts w:ascii="Book Antiqua" w:eastAsia="Book Antiqua" w:hAnsi="Book Antiqua" w:cs="Book Antiqua"/>
          <w:color w:val="000000"/>
          <w:shd w:val="clear" w:color="auto" w:fill="FFFFFF"/>
        </w:rPr>
        <w:t xml:space="preserve">By acting through </w:t>
      </w:r>
      <w:r w:rsidRPr="006A140B">
        <w:rPr>
          <w:rFonts w:ascii="Book Antiqua" w:eastAsia="Book Antiqua" w:hAnsi="Book Antiqua" w:cs="Book Antiqua"/>
          <w:color w:val="000000"/>
        </w:rPr>
        <w:t xml:space="preserve">angiotensin receptors, </w:t>
      </w:r>
      <w:r w:rsidRPr="006A140B">
        <w:rPr>
          <w:rFonts w:ascii="Book Antiqua" w:eastAsia="Book Antiqua" w:hAnsi="Book Antiqua" w:cs="Book Antiqua"/>
          <w:color w:val="000000"/>
          <w:shd w:val="clear" w:color="auto" w:fill="FFFFFF"/>
        </w:rPr>
        <w:t>angiotensin II can be mitogenic for human-activated HSCs, elicit a marked dose-dependent increase in intracellular calcium levels, and induce cell contraction. Angiotensin II also stimulates DNA synthesis and cell proliferation</w:t>
      </w:r>
      <w:r w:rsidRPr="006A140B">
        <w:rPr>
          <w:rFonts w:ascii="Book Antiqua" w:eastAsia="Book Antiqua" w:hAnsi="Book Antiqua" w:cs="Book Antiqua"/>
          <w:color w:val="000000"/>
          <w:shd w:val="clear" w:color="auto" w:fill="FFFFFF"/>
          <w:vertAlign w:val="superscript"/>
        </w:rPr>
        <w:t>[131]</w:t>
      </w:r>
      <w:r w:rsidRPr="006A140B">
        <w:rPr>
          <w:rFonts w:ascii="Book Antiqua" w:eastAsia="Book Antiqua" w:hAnsi="Book Antiqua" w:cs="Book Antiqua"/>
          <w:color w:val="000000"/>
          <w:shd w:val="clear" w:color="auto" w:fill="FFFFFF"/>
        </w:rPr>
        <w:t>. Angi</w:t>
      </w:r>
      <w:r w:rsidRPr="006A140B">
        <w:rPr>
          <w:rFonts w:ascii="Book Antiqua" w:eastAsia="Book Antiqua" w:hAnsi="Book Antiqua" w:cs="Book Antiqua"/>
          <w:color w:val="000000"/>
        </w:rPr>
        <w:t>otensin receptor blockers block the profibrotic and proinflammatory effects of angiotensin II on HSCs, including the expressions of inflammatory cytokines and growth factors (such as TGF-β1, IL-1β, NF-κB, and connective tissue growth factor) and the production of the extracellular matrix</w:t>
      </w:r>
      <w:r w:rsidRPr="006A140B">
        <w:rPr>
          <w:rFonts w:ascii="Book Antiqua" w:eastAsia="Book Antiqua" w:hAnsi="Book Antiqua" w:cs="Book Antiqua"/>
          <w:color w:val="000000"/>
          <w:vertAlign w:val="superscript"/>
        </w:rPr>
        <w:t>[132,133]</w:t>
      </w:r>
      <w:r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rPr>
        <w:t>RAS might participate in the development of HCC because of the aforementioned proliferative and profibrotic effects. Moreover, angiotensin II was found to enhance vascular endothelial growth factor (VEGF), a potent angiogenic factor that plays an essential role in tumor growth and metastasis</w:t>
      </w:r>
      <w:r w:rsidRPr="006A140B">
        <w:rPr>
          <w:rFonts w:ascii="Book Antiqua" w:eastAsia="Book Antiqua" w:hAnsi="Book Antiqua" w:cs="Book Antiqua"/>
          <w:color w:val="000000"/>
          <w:vertAlign w:val="superscript"/>
        </w:rPr>
        <w:t>[134]</w:t>
      </w:r>
      <w:r w:rsidRPr="006A140B">
        <w:rPr>
          <w:rFonts w:ascii="Book Antiqua" w:eastAsia="Book Antiqua" w:hAnsi="Book Antiqua" w:cs="Book Antiqua"/>
          <w:color w:val="000000"/>
        </w:rPr>
        <w:t>. All these findings suggest that the RAS becomes involved in not only kidney injury but also HCC development.</w:t>
      </w:r>
    </w:p>
    <w:p w14:paraId="2DDD6097" w14:textId="77777777" w:rsidR="00A77B3E" w:rsidRPr="006A140B" w:rsidRDefault="00A77B3E" w:rsidP="00495B7C">
      <w:pPr>
        <w:spacing w:line="360" w:lineRule="auto"/>
        <w:ind w:firstLine="480"/>
        <w:jc w:val="both"/>
        <w:rPr>
          <w:rFonts w:ascii="Book Antiqua" w:hAnsi="Book Antiqua"/>
        </w:rPr>
      </w:pPr>
    </w:p>
    <w:p w14:paraId="20CF5501" w14:textId="77777777" w:rsidR="00A77B3E" w:rsidRPr="006A140B" w:rsidRDefault="007D6307" w:rsidP="00495B7C">
      <w:pPr>
        <w:spacing w:line="360" w:lineRule="auto"/>
        <w:jc w:val="both"/>
        <w:rPr>
          <w:rFonts w:ascii="Book Antiqua" w:hAnsi="Book Antiqua"/>
          <w:u w:val="single"/>
        </w:rPr>
      </w:pPr>
      <w:r w:rsidRPr="006A140B">
        <w:rPr>
          <w:rFonts w:ascii="Book Antiqua" w:eastAsia="Book Antiqua" w:hAnsi="Book Antiqua" w:cs="Book Antiqua"/>
          <w:b/>
          <w:bCs/>
          <w:color w:val="000000"/>
          <w:u w:val="single"/>
        </w:rPr>
        <w:t>EFFECT OF RENAL DYSFUNCTION ON THE OVERALL PROGNOSIS OF PATIENTS WITH HCC</w:t>
      </w:r>
    </w:p>
    <w:p w14:paraId="4CFCBA2A" w14:textId="77777777" w:rsidR="00A77B3E" w:rsidRPr="006A140B" w:rsidRDefault="007D6307" w:rsidP="005B2FC9">
      <w:pPr>
        <w:spacing w:line="360" w:lineRule="auto"/>
        <w:jc w:val="both"/>
        <w:rPr>
          <w:rFonts w:ascii="Book Antiqua" w:hAnsi="Book Antiqua"/>
        </w:rPr>
      </w:pPr>
      <w:r w:rsidRPr="006A140B">
        <w:rPr>
          <w:rFonts w:ascii="Book Antiqua" w:eastAsia="Book Antiqua" w:hAnsi="Book Antiqua" w:cs="Book Antiqua"/>
          <w:color w:val="000000"/>
        </w:rPr>
        <w:t>Few studies have investigated the impact of comorbid renal dysfunction on the prognosis of patients with HCC. However, several studies have examined the influences of CKD or ESRD on specific treatment outcomes and prognosis, which are summarized in the next section. Before we discuss each of these topics in detail, we first provide a concise review of the literature on how renal dysfunction affects the prognosis of patients with HCC.</w:t>
      </w:r>
    </w:p>
    <w:p w14:paraId="167EBCF2" w14:textId="19C588BA"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CKD increases the risk of death in cancer patients. A retrospective study investigating the association between CKD and mortality in cancer patients found an inverse relationship between eGFR and adjusted hazard ratios (HRs)</w:t>
      </w:r>
      <w:r w:rsidRPr="006A140B">
        <w:rPr>
          <w:rFonts w:ascii="Book Antiqua" w:eastAsia="Book Antiqua" w:hAnsi="Book Antiqua" w:cs="Book Antiqua"/>
          <w:color w:val="000000"/>
          <w:vertAlign w:val="superscript"/>
        </w:rPr>
        <w:t>[59]</w:t>
      </w:r>
      <w:r w:rsidRPr="006A140B">
        <w:rPr>
          <w:rFonts w:ascii="Book Antiqua" w:eastAsia="Book Antiqua" w:hAnsi="Book Antiqua" w:cs="Book Antiqua"/>
          <w:color w:val="000000"/>
        </w:rPr>
        <w:t>. A single-center study that recruited 440 patients with both CKD and HCC reported that survival from stage 4 and stage 5 CKD was inferior to that of stages 1 and 2. In a prospective population-based analysis, CKD was related to increased cancer-related mortality in liver, kidney, and urinary tract malignancies, with adjusted HRs of 1.74, 3.3, and 7.3, respectively</w:t>
      </w:r>
      <w:r w:rsidRPr="006A140B">
        <w:rPr>
          <w:rFonts w:ascii="Book Antiqua" w:eastAsia="Book Antiqua" w:hAnsi="Book Antiqua" w:cs="Book Antiqua"/>
          <w:color w:val="000000"/>
          <w:vertAlign w:val="superscript"/>
        </w:rPr>
        <w:t>[50]</w:t>
      </w:r>
      <w:r w:rsidRPr="006A140B">
        <w:rPr>
          <w:rFonts w:ascii="Book Antiqua" w:eastAsia="Book Antiqua" w:hAnsi="Book Antiqua" w:cs="Book Antiqua"/>
          <w:color w:val="000000"/>
        </w:rPr>
        <w:t>. However, in that study, the percentage of cancer-related mortality decreased, whereas the percentage of cardiovascular mortality markedly increased in patients in more advanced CKD stages. Taken together, we infer from these findings that CKD negatively affects both overall and cancer-related mortality in liver cancer, but some heterogeneity is possible in the etiology of mortality among different stages.</w:t>
      </w:r>
    </w:p>
    <w:p w14:paraId="172341AB" w14:textId="4BEDE779"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In terms of the prognosis of HCC patients with ESRD on long-term dialysis, studies have reported inconsistent results. In a single-centered observational study comparing the mortality rates of 1298 patients with HCC who were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172) or were not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1126) on long-term hemodialysis, those on hemodialysis had a 2.036-fold greater chance of death than did patients not on hemodialysis. However, cancer-related mortality was not reported and that study was limited by its retrospective nature and short follow-up duration</w:t>
      </w:r>
      <w:r w:rsidRPr="006A140B">
        <w:rPr>
          <w:rFonts w:ascii="Book Antiqua" w:eastAsia="Book Antiqua" w:hAnsi="Book Antiqua" w:cs="Book Antiqua"/>
          <w:color w:val="000000"/>
          <w:vertAlign w:val="superscript"/>
        </w:rPr>
        <w:t>[135]</w:t>
      </w:r>
      <w:r w:rsidRPr="006A140B">
        <w:rPr>
          <w:rFonts w:ascii="Book Antiqua" w:eastAsia="Book Antiqua" w:hAnsi="Book Antiqua" w:cs="Book Antiqua"/>
          <w:color w:val="000000"/>
        </w:rPr>
        <w:t>. In another single-center study including 2500 patients with HCC, with only a minority group (1.2%) having ESRD on maintenance dialysis, no significant overall survival difference between dialysis and nondialysis patients was found, although those receiving dialysis had a significantly higher serum bilirubin level, lower serum sodium level, more ascites, and worse performance status</w:t>
      </w:r>
      <w:r w:rsidRPr="006A140B">
        <w:rPr>
          <w:rFonts w:ascii="Book Antiqua" w:eastAsia="Book Antiqua" w:hAnsi="Book Antiqua" w:cs="Book Antiqua"/>
          <w:color w:val="000000"/>
          <w:vertAlign w:val="superscript"/>
        </w:rPr>
        <w:t>[136]</w:t>
      </w:r>
      <w:r w:rsidRPr="006A140B">
        <w:rPr>
          <w:rFonts w:ascii="Book Antiqua" w:eastAsia="Book Antiqua" w:hAnsi="Book Antiqua" w:cs="Book Antiqua"/>
          <w:color w:val="000000"/>
        </w:rPr>
        <w:t xml:space="preserve">. Because 63% of patients undergoing dialysis in that study had undergone nonpalliative management </w:t>
      </w:r>
      <w:r w:rsidR="006B7CB7"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resection, local ablation, or transarterial chemoembolization </w:t>
      </w:r>
      <w:r w:rsidR="006B7CB7" w:rsidRPr="006A140B">
        <w:rPr>
          <w:rFonts w:ascii="Book Antiqua" w:eastAsia="Book Antiqua" w:hAnsi="Book Antiqua" w:cs="Book Antiqua"/>
          <w:color w:val="000000"/>
        </w:rPr>
        <w:t>(</w:t>
      </w:r>
      <w:r w:rsidRPr="006A140B">
        <w:rPr>
          <w:rFonts w:ascii="Book Antiqua" w:eastAsia="Book Antiqua" w:hAnsi="Book Antiqua" w:cs="Book Antiqua"/>
          <w:color w:val="000000"/>
        </w:rPr>
        <w:t>TACE</w:t>
      </w:r>
      <w:r w:rsidR="006B7CB7"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for HCC, the authors attributed the unexpectedly good outcomes of the dialysis group to early and aggressive treatment. The authors further concluded that dialysis </w:t>
      </w:r>
      <w:r w:rsidRPr="006A140B">
        <w:rPr>
          <w:rFonts w:ascii="Book Antiqua" w:eastAsia="Book Antiqua" w:hAnsi="Book Antiqua" w:cs="Book Antiqua"/>
          <w:i/>
          <w:iCs/>
          <w:color w:val="000000"/>
        </w:rPr>
        <w:t>per se</w:t>
      </w:r>
      <w:r w:rsidRPr="006A140B">
        <w:rPr>
          <w:rFonts w:ascii="Book Antiqua" w:eastAsia="Book Antiqua" w:hAnsi="Book Antiqua" w:cs="Book Antiqua"/>
          <w:color w:val="000000"/>
        </w:rPr>
        <w:t xml:space="preserve"> does not predict poor outcomes in patients with HCC and should not be considered a contraindication for active anticancer treatment. In summary, dialysis should not hamper the indicated group from receiving anticancer therapy according to currently available data, and whether dialysis affects the prognosis of HCC remains to be determined.</w:t>
      </w:r>
    </w:p>
    <w:p w14:paraId="3E9B07FA" w14:textId="77777777" w:rsidR="00A77B3E" w:rsidRPr="006A140B" w:rsidRDefault="00A77B3E" w:rsidP="00495B7C">
      <w:pPr>
        <w:spacing w:line="360" w:lineRule="auto"/>
        <w:ind w:firstLine="480"/>
        <w:jc w:val="both"/>
        <w:rPr>
          <w:rFonts w:ascii="Book Antiqua" w:hAnsi="Book Antiqua"/>
        </w:rPr>
      </w:pPr>
    </w:p>
    <w:p w14:paraId="5C8DC6E7" w14:textId="77777777" w:rsidR="00A77B3E" w:rsidRPr="006A140B" w:rsidRDefault="007D6307" w:rsidP="00495B7C">
      <w:pPr>
        <w:spacing w:line="360" w:lineRule="auto"/>
        <w:jc w:val="both"/>
        <w:rPr>
          <w:rFonts w:ascii="Book Antiqua" w:hAnsi="Book Antiqua"/>
          <w:u w:val="single"/>
        </w:rPr>
      </w:pPr>
      <w:r w:rsidRPr="006A140B">
        <w:rPr>
          <w:rFonts w:ascii="Book Antiqua" w:eastAsia="Book Antiqua" w:hAnsi="Book Antiqua" w:cs="Book Antiqua"/>
          <w:b/>
          <w:bCs/>
          <w:color w:val="000000"/>
          <w:u w:val="single"/>
        </w:rPr>
        <w:t>CHALLENGES OF TREATING HCC IN PATIENTS WITH RENAL DYSFUNCTION</w:t>
      </w:r>
    </w:p>
    <w:p w14:paraId="1A4835DB" w14:textId="58014CE8" w:rsidR="00A77B3E" w:rsidRPr="006A140B" w:rsidRDefault="007D6307" w:rsidP="005B2FC9">
      <w:pPr>
        <w:spacing w:line="360" w:lineRule="auto"/>
        <w:jc w:val="both"/>
        <w:rPr>
          <w:rFonts w:ascii="Book Antiqua" w:hAnsi="Book Antiqua"/>
        </w:rPr>
      </w:pPr>
      <w:r w:rsidRPr="006A140B">
        <w:rPr>
          <w:rFonts w:ascii="Book Antiqua" w:eastAsia="Book Antiqua" w:hAnsi="Book Antiqua" w:cs="Book Antiqua"/>
          <w:color w:val="000000"/>
        </w:rPr>
        <w:t>Most patients with HCC have concomitant liver diseases such as chronic hepatitis or cirrhosis. Therefore, the benefits of treating the tumor must be weighed against the potential damage to liver function. This complexity in the management of HCC calls for a multidisciplinary approach, including expertise in hepatology, hepatobiliary surgery, pathology, oncology, radiology, and specialized nursing</w:t>
      </w:r>
      <w:r w:rsidRPr="006A140B">
        <w:rPr>
          <w:rFonts w:ascii="Book Antiqua" w:eastAsia="Book Antiqua" w:hAnsi="Book Antiqua" w:cs="Book Antiqua"/>
          <w:color w:val="000000"/>
          <w:vertAlign w:val="superscript"/>
        </w:rPr>
        <w:t>[137]</w:t>
      </w:r>
      <w:r w:rsidRPr="006A140B">
        <w:rPr>
          <w:rFonts w:ascii="Book Antiqua" w:eastAsia="Book Antiqua" w:hAnsi="Book Antiqua" w:cs="Book Antiqua"/>
          <w:color w:val="000000"/>
        </w:rPr>
        <w:t>. The BCLC algorithm classifies patients into one of five stages, taking not only the tumor burden but also the extent of liver dysfunction and the patients’ performance status into consideration</w:t>
      </w:r>
      <w:r w:rsidRPr="006A140B">
        <w:rPr>
          <w:rFonts w:ascii="Book Antiqua" w:eastAsia="Book Antiqua" w:hAnsi="Book Antiqua" w:cs="Book Antiqua"/>
          <w:color w:val="000000"/>
          <w:vertAlign w:val="superscript"/>
        </w:rPr>
        <w:t>[138]</w:t>
      </w:r>
      <w:r w:rsidRPr="006A140B">
        <w:rPr>
          <w:rFonts w:ascii="Book Antiqua" w:eastAsia="Book Antiqua" w:hAnsi="Book Antiqua" w:cs="Book Antiqua"/>
          <w:color w:val="000000"/>
        </w:rPr>
        <w:t>. The tumor burden is quantified according to the number and size of nodules, along with the presence or absence of macrovascular tumor invasion or extrahepatic spread. The traditional Child–Turcotte–Pugh (CTP) score provides a subjective assessment of liver function but does not adequately capture the hepatic functional reserve. Alternatives include the Model for End-Stage Liver Disease (MELD) score and the albumin–bilirubin grade</w:t>
      </w:r>
      <w:r w:rsidRPr="006A140B">
        <w:rPr>
          <w:rFonts w:ascii="Book Antiqua" w:eastAsia="Book Antiqua" w:hAnsi="Book Antiqua" w:cs="Book Antiqua"/>
          <w:color w:val="000000"/>
          <w:vertAlign w:val="superscript"/>
        </w:rPr>
        <w:t>[139]</w:t>
      </w:r>
      <w:r w:rsidRPr="006A140B">
        <w:rPr>
          <w:rFonts w:ascii="Book Antiqua" w:eastAsia="Book Antiqua" w:hAnsi="Book Antiqua" w:cs="Book Antiqua"/>
          <w:color w:val="000000"/>
        </w:rPr>
        <w:t>. The algorithm then provides treatment recommendations for each stage. Ever since its release in 1999, the BCLC algorithm</w:t>
      </w:r>
      <w:r w:rsidR="005B2FC9"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 xml:space="preserve">has been a widely used scoring strategy for HCC. In the very early (0) and early stage (A), patients with a solitary lesion or with up to three nodules less than 3 cm in diameter (without macrovascular invasion or extrahepatic spread) and with preserved liver function are suitable for radical therapies—namely resection, transplantation, or percutaneous treatment. Patients in the intermediate stage (B) do not exhibit symptoms but have large, multifocal tumors without vascular invasion or any spread beyond the liver. If liver function is preserved, these patients could be candidates for TACE. Patients at the advanced stage (C) have symptomatic tumors </w:t>
      </w:r>
      <w:r w:rsidR="005B2FC9"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grades 1 and 2 according to the Eastern Cooperative Oncology Group </w:t>
      </w:r>
      <w:r w:rsidR="005B2FC9" w:rsidRPr="006A140B">
        <w:rPr>
          <w:rFonts w:ascii="Book Antiqua" w:eastAsia="Book Antiqua" w:hAnsi="Book Antiqua" w:cs="Book Antiqua"/>
          <w:color w:val="000000"/>
        </w:rPr>
        <w:t>(</w:t>
      </w:r>
      <w:r w:rsidRPr="006A140B">
        <w:rPr>
          <w:rFonts w:ascii="Book Antiqua" w:eastAsia="Book Antiqua" w:hAnsi="Book Antiqua" w:cs="Book Antiqua"/>
          <w:color w:val="000000"/>
        </w:rPr>
        <w:t>ECOG</w:t>
      </w:r>
      <w:r w:rsidR="005B2FC9"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Performance Status</w:t>
      </w:r>
      <w:r w:rsidR="005B2FC9"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or an invasive tumoral pattern of vascular invasion/extrahepatic spread. This group of patients may benefit from systemic medical treatment, which can be categorized into targeted therapy and immunotherapy depending on which of the various pharmacological mechanisms are at work. Finally, patients with terminal disease (D) have poor liver function or marked cancer-related symptoms (ECOG Performance Status &gt;</w:t>
      </w:r>
      <w:r w:rsidR="005B2FC9"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2). These patients have an extremely poor prognosis and require palliative care</w:t>
      </w:r>
      <w:r w:rsidRPr="006A140B">
        <w:rPr>
          <w:rFonts w:ascii="Book Antiqua" w:eastAsia="Book Antiqua" w:hAnsi="Book Antiqua" w:cs="Book Antiqua"/>
          <w:color w:val="000000"/>
          <w:vertAlign w:val="superscript"/>
        </w:rPr>
        <w:t>[140]</w:t>
      </w:r>
      <w:r w:rsidRPr="006A140B">
        <w:rPr>
          <w:rFonts w:ascii="Book Antiqua" w:eastAsia="Book Antiqua" w:hAnsi="Book Antiqua" w:cs="Book Antiqua"/>
          <w:color w:val="000000"/>
        </w:rPr>
        <w:t>.</w:t>
      </w:r>
    </w:p>
    <w:p w14:paraId="5F46C5BC" w14:textId="578E486B"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As mentioned in the previous section, CKD was reported to be an independent risk factor for the survival of cancer patients</w:t>
      </w:r>
      <w:r w:rsidRPr="006A140B">
        <w:rPr>
          <w:rFonts w:ascii="Book Antiqua" w:eastAsia="Book Antiqua" w:hAnsi="Book Antiqua" w:cs="Book Antiqua"/>
          <w:color w:val="000000"/>
          <w:vertAlign w:val="superscript"/>
        </w:rPr>
        <w:t>[59]</w:t>
      </w:r>
      <w:r w:rsidRPr="006A140B">
        <w:rPr>
          <w:rFonts w:ascii="Book Antiqua" w:eastAsia="Book Antiqua" w:hAnsi="Book Antiqua" w:cs="Book Antiqua"/>
          <w:color w:val="000000"/>
        </w:rPr>
        <w:t>. Treating HCC is difficult in patients with CKD because renal impairment may limit therapeutic options when effective therapy is sought</w:t>
      </w:r>
      <w:r w:rsidRPr="006A140B">
        <w:rPr>
          <w:rFonts w:ascii="Book Antiqua" w:eastAsia="Book Antiqua" w:hAnsi="Book Antiqua" w:cs="Book Antiqua"/>
          <w:color w:val="000000"/>
          <w:vertAlign w:val="superscript"/>
        </w:rPr>
        <w:t>[137]</w:t>
      </w:r>
      <w:r w:rsidRPr="006A140B">
        <w:rPr>
          <w:rFonts w:ascii="Book Antiqua" w:eastAsia="Book Antiqua" w:hAnsi="Book Antiqua" w:cs="Book Antiqua"/>
          <w:color w:val="000000"/>
        </w:rPr>
        <w:t>. Currently, perhaps because of the paucity of data regarding HCC outcomes in patients with renal dysfunction, no international treatment consensus exists for this specific population. In the following subsections, we use the BCLC algorithm as a template to discuss special concerns when treating HCC patients with different stages of renal dysfunction compared with the general population. Through reviewing the available literature, we hope to provide the necessary information for developing a modified BCLC for patients with CKD or ESRD (Table 1).</w:t>
      </w:r>
    </w:p>
    <w:p w14:paraId="391C9976" w14:textId="77777777" w:rsidR="00A77B3E" w:rsidRPr="006A140B" w:rsidRDefault="00A77B3E" w:rsidP="00495B7C">
      <w:pPr>
        <w:spacing w:line="360" w:lineRule="auto"/>
        <w:ind w:firstLine="480"/>
        <w:jc w:val="both"/>
        <w:rPr>
          <w:rFonts w:ascii="Book Antiqua" w:hAnsi="Book Antiqua"/>
        </w:rPr>
      </w:pPr>
    </w:p>
    <w:p w14:paraId="19380761" w14:textId="77777777" w:rsidR="00A77B3E" w:rsidRPr="006A140B" w:rsidRDefault="007D6307" w:rsidP="005B2FC9">
      <w:pPr>
        <w:spacing w:line="360" w:lineRule="auto"/>
        <w:jc w:val="both"/>
        <w:rPr>
          <w:rFonts w:ascii="Book Antiqua" w:hAnsi="Book Antiqua"/>
        </w:rPr>
      </w:pPr>
      <w:r w:rsidRPr="006A140B">
        <w:rPr>
          <w:rFonts w:ascii="Book Antiqua" w:eastAsia="Book Antiqua" w:hAnsi="Book Antiqua" w:cs="Book Antiqua"/>
          <w:b/>
          <w:bCs/>
          <w:i/>
          <w:iCs/>
          <w:color w:val="000000"/>
        </w:rPr>
        <w:t>Liver resection</w:t>
      </w:r>
    </w:p>
    <w:p w14:paraId="157FE0F8" w14:textId="0A8EDABD" w:rsidR="00A77B3E" w:rsidRPr="006A140B" w:rsidRDefault="007D6307" w:rsidP="005B2FC9">
      <w:pPr>
        <w:spacing w:line="360" w:lineRule="auto"/>
        <w:jc w:val="both"/>
        <w:rPr>
          <w:rFonts w:ascii="Book Antiqua" w:hAnsi="Book Antiqua"/>
        </w:rPr>
      </w:pPr>
      <w:r w:rsidRPr="006A140B">
        <w:rPr>
          <w:rFonts w:ascii="Book Antiqua" w:eastAsia="Book Antiqua" w:hAnsi="Book Antiqua" w:cs="Book Antiqua"/>
          <w:color w:val="000000"/>
        </w:rPr>
        <w:t>Liver resection is the treatment of choice in noncirrhotic patients and one of the main curative options for early HCC in selected patients with cirrhosis</w:t>
      </w:r>
      <w:r w:rsidRPr="006A140B">
        <w:rPr>
          <w:rFonts w:ascii="Book Antiqua" w:eastAsia="Book Antiqua" w:hAnsi="Book Antiqua" w:cs="Book Antiqua"/>
          <w:color w:val="000000"/>
          <w:vertAlign w:val="superscript"/>
        </w:rPr>
        <w:t>[141-144]</w:t>
      </w:r>
      <w:r w:rsidRPr="006A140B">
        <w:rPr>
          <w:rFonts w:ascii="Book Antiqua" w:eastAsia="Book Antiqua" w:hAnsi="Book Antiqua" w:cs="Book Antiqua"/>
          <w:color w:val="000000"/>
        </w:rPr>
        <w:t>. In the last decades, improved surgical techniques and perioperative management as well as improved patient selection have enabled the indications for liver resection to be expanded</w:t>
      </w:r>
      <w:r w:rsidRPr="006A140B">
        <w:rPr>
          <w:rFonts w:ascii="Book Antiqua" w:eastAsia="Book Antiqua" w:hAnsi="Book Antiqua" w:cs="Book Antiqua"/>
          <w:color w:val="000000"/>
          <w:vertAlign w:val="superscript"/>
        </w:rPr>
        <w:t>[145-148]</w:t>
      </w:r>
      <w:r w:rsidRPr="006A140B">
        <w:rPr>
          <w:rFonts w:ascii="Book Antiqua" w:eastAsia="Book Antiqua" w:hAnsi="Book Antiqua" w:cs="Book Antiqua"/>
          <w:color w:val="000000"/>
        </w:rPr>
        <w:t>. In a nationwide study using the National Surgical Quality Improvement Program database to investigate the impact of CKD and ESRD on outcomes following major abdominal surgery, 24572 patients were included, of whom only 149 (0.6%) were on hemodialysis preoperatively. In the dialysis group, 30-d postoperative mortality and the overall complication rate (pneumonia and sepsis particularly) were significantly higher than those in the nondialysis group. Furthermore, any degree of preoperative renal impairment, even mild or asymptomatic disease, was associated with clinically significant increases in 30-d postoperative mortality and morbidity following major abdominal surgery</w:t>
      </w:r>
      <w:r w:rsidRPr="006A140B">
        <w:rPr>
          <w:rFonts w:ascii="Book Antiqua" w:eastAsia="Book Antiqua" w:hAnsi="Book Antiqua" w:cs="Book Antiqua"/>
          <w:color w:val="000000"/>
          <w:vertAlign w:val="superscript"/>
        </w:rPr>
        <w:t>[149]</w:t>
      </w:r>
      <w:r w:rsidRPr="006A140B">
        <w:rPr>
          <w:rFonts w:ascii="Book Antiqua" w:eastAsia="Book Antiqua" w:hAnsi="Book Antiqua" w:cs="Book Antiqua"/>
          <w:color w:val="000000"/>
        </w:rPr>
        <w:t>. Therefore, the safety and outcomes of liver resection in HCC patients with abnormal renal function deserve a detailed investigation.</w:t>
      </w:r>
    </w:p>
    <w:p w14:paraId="65E63D91" w14:textId="77777777" w:rsidR="00A77B3E" w:rsidRPr="006A140B" w:rsidRDefault="00A77B3E" w:rsidP="00495B7C">
      <w:pPr>
        <w:spacing w:line="360" w:lineRule="auto"/>
        <w:ind w:firstLine="480"/>
        <w:jc w:val="both"/>
        <w:rPr>
          <w:rFonts w:ascii="Book Antiqua" w:hAnsi="Book Antiqua"/>
        </w:rPr>
      </w:pPr>
    </w:p>
    <w:p w14:paraId="1CFDAE82" w14:textId="007A54A3" w:rsidR="00A77B3E" w:rsidRPr="006A140B" w:rsidRDefault="007D6307" w:rsidP="005B2FC9">
      <w:pPr>
        <w:spacing w:line="360" w:lineRule="auto"/>
        <w:jc w:val="both"/>
        <w:rPr>
          <w:rFonts w:ascii="Book Antiqua" w:hAnsi="Book Antiqua"/>
        </w:rPr>
      </w:pPr>
      <w:r w:rsidRPr="006A140B">
        <w:rPr>
          <w:rFonts w:ascii="Book Antiqua" w:eastAsia="Book Antiqua" w:hAnsi="Book Antiqua" w:cs="Book Antiqua"/>
          <w:b/>
          <w:bCs/>
          <w:color w:val="000000"/>
        </w:rPr>
        <w:t>Liver resection for HCC in patients with CKD</w:t>
      </w:r>
      <w:r w:rsidR="005B2FC9" w:rsidRPr="006A140B">
        <w:rPr>
          <w:rFonts w:ascii="Book Antiqua" w:eastAsia="Book Antiqua" w:hAnsi="Book Antiqua" w:cs="Book Antiqua"/>
          <w:b/>
          <w:bCs/>
          <w:color w:val="000000"/>
        </w:rPr>
        <w:t>:</w:t>
      </w:r>
      <w:r w:rsidR="005B2FC9" w:rsidRPr="006A140B">
        <w:rPr>
          <w:rFonts w:ascii="Book Antiqua" w:hAnsi="Book Antiqua" w:hint="eastAsia"/>
          <w:lang w:eastAsia="zh-CN"/>
        </w:rPr>
        <w:t xml:space="preserve"> </w:t>
      </w:r>
      <w:r w:rsidRPr="006A140B">
        <w:rPr>
          <w:rFonts w:ascii="Book Antiqua" w:eastAsia="Book Antiqua" w:hAnsi="Book Antiqua" w:cs="Book Antiqua"/>
          <w:color w:val="000000"/>
        </w:rPr>
        <w:t xml:space="preserve">Few studies have reported on the efficacy and safety of hepatectomy for HCC patients with renal dysfunction. Toshima </w:t>
      </w:r>
      <w:r w:rsidRPr="006A140B">
        <w:rPr>
          <w:rFonts w:ascii="Book Antiqua" w:eastAsia="Book Antiqua" w:hAnsi="Book Antiqua" w:cs="Book Antiqua"/>
          <w:i/>
          <w:iCs/>
          <w:color w:val="000000"/>
        </w:rPr>
        <w:t>et al</w:t>
      </w:r>
      <w:r w:rsidR="00B978A9" w:rsidRPr="006A140B">
        <w:rPr>
          <w:rFonts w:ascii="Book Antiqua" w:eastAsia="Book Antiqua" w:hAnsi="Book Antiqua" w:cs="Book Antiqua"/>
          <w:color w:val="000000"/>
          <w:shd w:val="clear" w:color="auto" w:fill="FFFFFF"/>
          <w:vertAlign w:val="superscript"/>
        </w:rPr>
        <w:t>[150]</w:t>
      </w:r>
      <w:r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shd w:val="clear" w:color="auto" w:fill="FFFFFF"/>
        </w:rPr>
        <w:t>retrospectively reviewed the</w:t>
      </w:r>
      <w:r w:rsidR="005B2FC9"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clinical features of 722 patients with HCC undergoing curative hepatectomy between 1986 and 2009. Seventeen patients (2.4%) with preoperative serum creatinine levels &gt;</w:t>
      </w:r>
      <w:r w:rsidR="005B2FC9"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 xml:space="preserve">2.0 mg/dL were defined as the </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group. Clinicopathological characteristics and postoperative outcomes were compared between the </w:t>
      </w:r>
      <w:r w:rsidRPr="006A140B">
        <w:rPr>
          <w:rFonts w:ascii="Book Antiqua" w:eastAsia="Book Antiqua" w:hAnsi="Book Antiqua" w:cs="Book Antiqua"/>
          <w:color w:val="000000"/>
        </w:rPr>
        <w:t xml:space="preserve">renal dysfunction </w:t>
      </w:r>
      <w:r w:rsidRPr="006A140B">
        <w:rPr>
          <w:rFonts w:ascii="Book Antiqua" w:eastAsia="Book Antiqua" w:hAnsi="Book Antiqua" w:cs="Book Antiqua"/>
          <w:color w:val="000000"/>
          <w:shd w:val="clear" w:color="auto" w:fill="FFFFFF"/>
        </w:rPr>
        <w:t>group (</w:t>
      </w:r>
      <w:r w:rsidR="005B2FC9" w:rsidRPr="006A140B">
        <w:rPr>
          <w:rFonts w:ascii="Book Antiqua" w:eastAsia="Book Antiqua" w:hAnsi="Book Antiqua" w:cs="Book Antiqua"/>
          <w:i/>
          <w:iCs/>
          <w:color w:val="000000"/>
          <w:shd w:val="clear" w:color="auto" w:fill="FFFFFF"/>
        </w:rPr>
        <w:t>n</w:t>
      </w:r>
      <w:r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i/>
          <w:iCs/>
          <w:color w:val="000000"/>
          <w:shd w:val="clear" w:color="auto" w:fill="FFFFFF"/>
        </w:rPr>
        <w:t xml:space="preserve">= </w:t>
      </w:r>
      <w:r w:rsidRPr="006A140B">
        <w:rPr>
          <w:rFonts w:ascii="Book Antiqua" w:eastAsia="Book Antiqua" w:hAnsi="Book Antiqua" w:cs="Book Antiqua"/>
          <w:color w:val="000000"/>
          <w:shd w:val="clear" w:color="auto" w:fill="FFFFFF"/>
        </w:rPr>
        <w:t>17) and the non</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group (</w:t>
      </w:r>
      <w:r w:rsidR="005B2FC9" w:rsidRPr="006A140B">
        <w:rPr>
          <w:rFonts w:ascii="Book Antiqua" w:eastAsia="Book Antiqua" w:hAnsi="Book Antiqua" w:cs="Book Antiqua"/>
          <w:i/>
          <w:iCs/>
          <w:color w:val="000000"/>
          <w:shd w:val="clear" w:color="auto" w:fill="FFFFFF"/>
        </w:rPr>
        <w:t>n</w:t>
      </w:r>
      <w:r w:rsidRPr="006A140B">
        <w:rPr>
          <w:rFonts w:ascii="Book Antiqua" w:eastAsia="Book Antiqua" w:hAnsi="Book Antiqua" w:cs="Book Antiqua"/>
          <w:color w:val="000000"/>
          <w:shd w:val="clear" w:color="auto" w:fill="FFFFFF"/>
        </w:rPr>
        <w:t xml:space="preserve"> = 705). Overall survival (</w:t>
      </w:r>
      <w:r w:rsidRPr="006A140B">
        <w:rPr>
          <w:rFonts w:ascii="Book Antiqua" w:eastAsia="Book Antiqua" w:hAnsi="Book Antiqua" w:cs="Book Antiqua"/>
          <w:i/>
          <w:iCs/>
          <w:color w:val="000000"/>
          <w:shd w:val="clear" w:color="auto" w:fill="FFFFFF"/>
        </w:rPr>
        <w:t>P</w:t>
      </w:r>
      <w:r w:rsidRPr="006A140B">
        <w:rPr>
          <w:rFonts w:ascii="Book Antiqua" w:eastAsia="Book Antiqua" w:hAnsi="Book Antiqua" w:cs="Book Antiqua"/>
          <w:color w:val="000000"/>
          <w:shd w:val="clear" w:color="auto" w:fill="FFFFFF"/>
        </w:rPr>
        <w:t xml:space="preserve"> = 0.177) and disease-free survival (</w:t>
      </w:r>
      <w:r w:rsidRPr="006A140B">
        <w:rPr>
          <w:rFonts w:ascii="Book Antiqua" w:eastAsia="Book Antiqua" w:hAnsi="Book Antiqua" w:cs="Book Antiqua"/>
          <w:i/>
          <w:iCs/>
          <w:color w:val="000000"/>
          <w:shd w:val="clear" w:color="auto" w:fill="FFFFFF"/>
        </w:rPr>
        <w:t>P</w:t>
      </w:r>
      <w:r w:rsidRPr="006A140B">
        <w:rPr>
          <w:rFonts w:ascii="Book Antiqua" w:eastAsia="Book Antiqua" w:hAnsi="Book Antiqua" w:cs="Book Antiqua"/>
          <w:color w:val="000000"/>
          <w:shd w:val="clear" w:color="auto" w:fill="FFFFFF"/>
        </w:rPr>
        <w:t xml:space="preserve"> = 0.942) after hepatectomy did not differ significantly. The incidence rates of massive ascites (35.3% </w:t>
      </w:r>
      <w:r w:rsidRPr="006A140B">
        <w:rPr>
          <w:rFonts w:ascii="Book Antiqua" w:eastAsia="Book Antiqua" w:hAnsi="Book Antiqua" w:cs="Book Antiqua"/>
          <w:i/>
          <w:iCs/>
          <w:color w:val="000000"/>
          <w:shd w:val="clear" w:color="auto" w:fill="FFFFFF"/>
        </w:rPr>
        <w:t>vs</w:t>
      </w:r>
      <w:r w:rsidRPr="006A140B">
        <w:rPr>
          <w:rFonts w:ascii="Book Antiqua" w:eastAsia="Book Antiqua" w:hAnsi="Book Antiqua" w:cs="Book Antiqua"/>
          <w:color w:val="000000"/>
          <w:shd w:val="clear" w:color="auto" w:fill="FFFFFF"/>
        </w:rPr>
        <w:t xml:space="preserve"> 14.3%;</w:t>
      </w:r>
      <w:r w:rsidR="00B978A9"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i/>
          <w:iCs/>
          <w:color w:val="000000"/>
          <w:shd w:val="clear" w:color="auto" w:fill="FFFFFF"/>
        </w:rPr>
        <w:t xml:space="preserve">P </w:t>
      </w:r>
      <w:r w:rsidRPr="006A140B">
        <w:rPr>
          <w:rFonts w:ascii="Book Antiqua" w:eastAsia="Book Antiqua" w:hAnsi="Book Antiqua" w:cs="Book Antiqua"/>
          <w:color w:val="000000"/>
          <w:shd w:val="clear" w:color="auto" w:fill="FFFFFF"/>
        </w:rPr>
        <w:t xml:space="preserve">= 0.034) and pleural effusion (52.9% </w:t>
      </w:r>
      <w:r w:rsidRPr="006A140B">
        <w:rPr>
          <w:rFonts w:ascii="Book Antiqua" w:eastAsia="Book Antiqua" w:hAnsi="Book Antiqua" w:cs="Book Antiqua"/>
          <w:i/>
          <w:iCs/>
          <w:color w:val="000000"/>
          <w:shd w:val="clear" w:color="auto" w:fill="FFFFFF"/>
        </w:rPr>
        <w:t>vs</w:t>
      </w:r>
      <w:r w:rsidRPr="006A140B">
        <w:rPr>
          <w:rFonts w:ascii="Book Antiqua" w:eastAsia="Book Antiqua" w:hAnsi="Book Antiqua" w:cs="Book Antiqua"/>
          <w:color w:val="000000"/>
          <w:shd w:val="clear" w:color="auto" w:fill="FFFFFF"/>
        </w:rPr>
        <w:t xml:space="preserve"> 17.6%;</w:t>
      </w:r>
      <w:r w:rsidR="00B978A9"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i/>
          <w:iCs/>
          <w:color w:val="000000"/>
          <w:shd w:val="clear" w:color="auto" w:fill="FFFFFF"/>
        </w:rPr>
        <w:t>P</w:t>
      </w:r>
      <w:r w:rsidRPr="006A140B">
        <w:rPr>
          <w:rFonts w:ascii="Book Antiqua" w:eastAsia="Book Antiqua" w:hAnsi="Book Antiqua" w:cs="Book Antiqua"/>
          <w:color w:val="000000"/>
          <w:shd w:val="clear" w:color="auto" w:fill="FFFFFF"/>
        </w:rPr>
        <w:t xml:space="preserve"> = 0.001), defined as massive effusion (ME), were significantly higher in the </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group than in the non</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group. Hypoalbuminemia (≤</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2.8 g/dL;</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i/>
          <w:iCs/>
          <w:color w:val="000000"/>
          <w:shd w:val="clear" w:color="auto" w:fill="FFFFFF"/>
        </w:rPr>
        <w:t>P</w:t>
      </w:r>
      <w:r w:rsidRPr="006A140B">
        <w:rPr>
          <w:rFonts w:ascii="Book Antiqua" w:eastAsia="Book Antiqua" w:hAnsi="Book Antiqua" w:cs="Book Antiqua"/>
          <w:color w:val="000000"/>
          <w:shd w:val="clear" w:color="auto" w:fill="FFFFFF"/>
        </w:rPr>
        <w:t xml:space="preserve"> = 0.031), heavy blood loss (≥</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1000 mL;</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i/>
          <w:iCs/>
          <w:color w:val="000000"/>
          <w:shd w:val="clear" w:color="auto" w:fill="FFFFFF"/>
        </w:rPr>
        <w:t>P</w:t>
      </w:r>
      <w:r w:rsidRPr="006A140B">
        <w:rPr>
          <w:rFonts w:ascii="Book Antiqua" w:eastAsia="Book Antiqua" w:hAnsi="Book Antiqua" w:cs="Book Antiqua"/>
          <w:color w:val="000000"/>
          <w:shd w:val="clear" w:color="auto" w:fill="FFFFFF"/>
        </w:rPr>
        <w:t xml:space="preserve"> = 0.012), and intraoperative blood transfusion (</w:t>
      </w:r>
      <w:r w:rsidRPr="006A140B">
        <w:rPr>
          <w:rFonts w:ascii="Book Antiqua" w:eastAsia="Book Antiqua" w:hAnsi="Book Antiqua" w:cs="Book Antiqua"/>
          <w:i/>
          <w:iCs/>
          <w:color w:val="000000"/>
          <w:shd w:val="clear" w:color="auto" w:fill="FFFFFF"/>
        </w:rPr>
        <w:t>P</w:t>
      </w:r>
      <w:r w:rsidRPr="006A140B">
        <w:rPr>
          <w:rFonts w:ascii="Book Antiqua" w:eastAsia="Book Antiqua" w:hAnsi="Book Antiqua" w:cs="Book Antiqua"/>
          <w:color w:val="000000"/>
          <w:shd w:val="clear" w:color="auto" w:fill="FFFFFF"/>
        </w:rPr>
        <w:t xml:space="preserve"> = 0.007) were risk factors for ME. The authors concluded that preoperative improvement of anemia and reduction of blood loss by meticulous surgical techniques may prevent major complications in patients with </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who require hepatectomy for HCC. In another study</w:t>
      </w:r>
      <w:r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shd w:val="clear" w:color="auto" w:fill="FFFFFF"/>
        </w:rPr>
        <w:t>data from 735 patients undergoing primary liver resection for HCC between 2002 and 2014 were analyzed</w:t>
      </w:r>
      <w:r w:rsidRPr="006A140B">
        <w:rPr>
          <w:rFonts w:ascii="Book Antiqua" w:eastAsia="Book Antiqua" w:hAnsi="Book Antiqua" w:cs="Book Antiqua"/>
          <w:color w:val="000000"/>
          <w:shd w:val="clear" w:color="auto" w:fill="FFFFFF"/>
          <w:vertAlign w:val="superscript"/>
        </w:rPr>
        <w:t>[151]</w:t>
      </w:r>
      <w:r w:rsidRPr="006A140B">
        <w:rPr>
          <w:rFonts w:ascii="Book Antiqua" w:eastAsia="Book Antiqua" w:hAnsi="Book Antiqua" w:cs="Book Antiqua"/>
          <w:color w:val="000000"/>
          <w:shd w:val="clear" w:color="auto" w:fill="FFFFFF"/>
        </w:rPr>
        <w:t xml:space="preserve">. Short- and long-term outcomes were compared between a </w:t>
      </w:r>
      <w:r w:rsidRPr="006A140B">
        <w:rPr>
          <w:rFonts w:ascii="Book Antiqua" w:eastAsia="Book Antiqua" w:hAnsi="Book Antiqua" w:cs="Book Antiqua"/>
          <w:color w:val="000000"/>
        </w:rPr>
        <w:t xml:space="preserve">renal dysfunction </w:t>
      </w:r>
      <w:r w:rsidRPr="006A140B">
        <w:rPr>
          <w:rFonts w:ascii="Book Antiqua" w:eastAsia="Book Antiqua" w:hAnsi="Book Antiqua" w:cs="Book Antiqua"/>
          <w:color w:val="000000"/>
          <w:shd w:val="clear" w:color="auto" w:fill="FFFFFF"/>
        </w:rPr>
        <w:t xml:space="preserve">group, defined by a preoperative </w:t>
      </w:r>
      <w:r w:rsidRPr="006A140B">
        <w:rPr>
          <w:rFonts w:ascii="Book Antiqua" w:eastAsia="Book Antiqua" w:hAnsi="Book Antiqua" w:cs="Book Antiqua"/>
          <w:color w:val="000000"/>
        </w:rPr>
        <w:t>eGFR</w:t>
      </w:r>
      <w:r w:rsidRPr="006A140B">
        <w:rPr>
          <w:rFonts w:ascii="Book Antiqua" w:eastAsia="Book Antiqua" w:hAnsi="Book Antiqua" w:cs="Book Antiqua"/>
          <w:color w:val="000000"/>
          <w:shd w:val="clear" w:color="auto" w:fill="FFFFFF"/>
        </w:rPr>
        <w:t xml:space="preserve"> of &lt;</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45</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mL/min/1.73</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m</w:t>
      </w:r>
      <w:r w:rsidRPr="006A140B">
        <w:rPr>
          <w:rFonts w:ascii="Book Antiqua" w:eastAsia="Book Antiqua" w:hAnsi="Book Antiqua" w:cs="Book Antiqua"/>
          <w:color w:val="000000"/>
          <w:shd w:val="clear" w:color="auto" w:fill="FFFFFF"/>
          <w:vertAlign w:val="superscript"/>
        </w:rPr>
        <w:t>2</w:t>
      </w:r>
      <w:r w:rsidRPr="006A140B">
        <w:rPr>
          <w:rFonts w:ascii="Book Antiqua" w:eastAsia="Book Antiqua" w:hAnsi="Book Antiqua" w:cs="Book Antiqua"/>
          <w:color w:val="000000"/>
          <w:shd w:val="clear" w:color="auto" w:fill="FFFFFF"/>
        </w:rPr>
        <w:t>, and a non</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group. The incidence rates of postoperative pleural effusion (24% </w:t>
      </w:r>
      <w:r w:rsidRPr="006A140B">
        <w:rPr>
          <w:rFonts w:ascii="Book Antiqua" w:eastAsia="Book Antiqua" w:hAnsi="Book Antiqua" w:cs="Book Antiqua"/>
          <w:i/>
          <w:iCs/>
          <w:color w:val="000000"/>
          <w:shd w:val="clear" w:color="auto" w:fill="FFFFFF"/>
        </w:rPr>
        <w:t>vs</w:t>
      </w:r>
      <w:r w:rsidRPr="006A140B">
        <w:rPr>
          <w:rFonts w:ascii="Book Antiqua" w:eastAsia="Book Antiqua" w:hAnsi="Book Antiqua" w:cs="Book Antiqua"/>
          <w:color w:val="000000"/>
          <w:shd w:val="clear" w:color="auto" w:fill="FFFFFF"/>
        </w:rPr>
        <w:t xml:space="preserve"> 11%;</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i/>
          <w:iCs/>
          <w:color w:val="000000"/>
          <w:shd w:val="clear" w:color="auto" w:fill="FFFFFF"/>
        </w:rPr>
        <w:t>P</w:t>
      </w:r>
      <w:r w:rsidRPr="006A140B">
        <w:rPr>
          <w:rFonts w:ascii="Book Antiqua" w:eastAsia="Book Antiqua" w:hAnsi="Book Antiqua" w:cs="Book Antiqua"/>
          <w:color w:val="000000"/>
          <w:shd w:val="clear" w:color="auto" w:fill="FFFFFF"/>
        </w:rPr>
        <w:t xml:space="preserve"> =</w:t>
      </w:r>
      <w:r w:rsidRPr="006A140B">
        <w:rPr>
          <w:rFonts w:ascii="MS Gothic" w:eastAsia="MS Gothic" w:hAnsi="MS Gothic" w:cs="MS Gothic" w:hint="eastAsia"/>
          <w:color w:val="000000"/>
          <w:shd w:val="clear" w:color="auto" w:fill="FFFFFF"/>
        </w:rPr>
        <w:t> </w:t>
      </w:r>
      <w:r w:rsidRPr="006A140B">
        <w:rPr>
          <w:rFonts w:ascii="Book Antiqua" w:eastAsia="Book Antiqua" w:hAnsi="Book Antiqua" w:cs="Book Antiqua"/>
          <w:color w:val="000000"/>
          <w:shd w:val="clear" w:color="auto" w:fill="FFFFFF"/>
        </w:rPr>
        <w:t xml:space="preserve">0.007) and major complications (31% </w:t>
      </w:r>
      <w:r w:rsidRPr="006A140B">
        <w:rPr>
          <w:rFonts w:ascii="Book Antiqua" w:eastAsia="Book Antiqua" w:hAnsi="Book Antiqua" w:cs="Book Antiqua"/>
          <w:i/>
          <w:iCs/>
          <w:color w:val="000000"/>
          <w:shd w:val="clear" w:color="auto" w:fill="FFFFFF"/>
        </w:rPr>
        <w:t>vs</w:t>
      </w:r>
      <w:r w:rsidRPr="006A140B">
        <w:rPr>
          <w:rFonts w:ascii="Book Antiqua" w:eastAsia="Book Antiqua" w:hAnsi="Book Antiqua" w:cs="Book Antiqua"/>
          <w:color w:val="000000"/>
          <w:shd w:val="clear" w:color="auto" w:fill="FFFFFF"/>
        </w:rPr>
        <w:t xml:space="preserve"> 15%;</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i/>
          <w:iCs/>
          <w:color w:val="000000"/>
          <w:shd w:val="clear" w:color="auto" w:fill="FFFFFF"/>
        </w:rPr>
        <w:t>P</w:t>
      </w:r>
      <w:r w:rsidRPr="006A140B">
        <w:rPr>
          <w:rFonts w:ascii="Book Antiqua" w:eastAsia="Book Antiqua" w:hAnsi="Book Antiqua" w:cs="Book Antiqua"/>
          <w:color w:val="000000"/>
          <w:shd w:val="clear" w:color="auto" w:fill="FFFFFF"/>
        </w:rPr>
        <w:t xml:space="preserve"> = 0.003) were significantly higher in the 62 patients with </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compared with the non</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group. In patients with </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with CTP score A, the 90-d mortality rate (1.9%) and median survival time (6.11</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 xml:space="preserve">years) were comparable to those of patients without </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By contrast,</w:t>
      </w:r>
      <w:r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shd w:val="clear" w:color="auto" w:fill="FFFFFF"/>
        </w:rPr>
        <w:t xml:space="preserve">patients with </w:t>
      </w:r>
      <w:r w:rsidRPr="006A140B">
        <w:rPr>
          <w:rFonts w:ascii="Book Antiqua" w:eastAsia="Book Antiqua" w:hAnsi="Book Antiqua" w:cs="Book Antiqua"/>
          <w:color w:val="000000"/>
        </w:rPr>
        <w:t xml:space="preserve">renal dysfunction </w:t>
      </w:r>
      <w:r w:rsidRPr="006A140B">
        <w:rPr>
          <w:rFonts w:ascii="Book Antiqua" w:eastAsia="Book Antiqua" w:hAnsi="Book Antiqua" w:cs="Book Antiqua"/>
          <w:color w:val="000000"/>
          <w:shd w:val="clear" w:color="auto" w:fill="FFFFFF"/>
        </w:rPr>
        <w:t xml:space="preserve">with CTP score B had a very high 90-d mortality rate (22.2%), and a significantly shorter median survival time compared with patients without </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(1.19 </w:t>
      </w:r>
      <w:r w:rsidRPr="006A140B">
        <w:rPr>
          <w:rFonts w:ascii="Book Antiqua" w:eastAsia="Book Antiqua" w:hAnsi="Book Antiqua" w:cs="Book Antiqua"/>
          <w:i/>
          <w:iCs/>
          <w:color w:val="000000"/>
          <w:shd w:val="clear" w:color="auto" w:fill="FFFFFF"/>
        </w:rPr>
        <w:t>vs</w:t>
      </w:r>
      <w:r w:rsidRPr="006A140B">
        <w:rPr>
          <w:rFonts w:ascii="Book Antiqua" w:eastAsia="Book Antiqua" w:hAnsi="Book Antiqua" w:cs="Book Antiqua"/>
          <w:color w:val="000000"/>
          <w:shd w:val="clear" w:color="auto" w:fill="FFFFFF"/>
        </w:rPr>
        <w:t xml:space="preserve"> 4.84</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years;</w:t>
      </w:r>
      <w:r w:rsidR="006B2B4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i/>
          <w:iCs/>
          <w:color w:val="000000"/>
          <w:shd w:val="clear" w:color="auto" w:fill="FFFFFF"/>
        </w:rPr>
        <w:t>P</w:t>
      </w:r>
      <w:r w:rsidRPr="006A140B">
        <w:rPr>
          <w:rFonts w:ascii="Book Antiqua" w:eastAsia="Book Antiqua" w:hAnsi="Book Antiqua" w:cs="Book Antiqua"/>
          <w:color w:val="000000"/>
          <w:shd w:val="clear" w:color="auto" w:fill="FFFFFF"/>
        </w:rPr>
        <w:t xml:space="preserve"> = 0.001). The authors concluded that liver resection is safe for CTP-A patients with </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who have comparable oncological outcomes to patients without </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however, liver resection for CTP-B patients with </w:t>
      </w:r>
      <w:r w:rsidRPr="006A140B">
        <w:rPr>
          <w:rFonts w:ascii="Book Antiqua" w:eastAsia="Book Antiqua" w:hAnsi="Book Antiqua" w:cs="Book Antiqua"/>
          <w:color w:val="000000"/>
        </w:rPr>
        <w:t>renal dysfunction</w:t>
      </w:r>
      <w:r w:rsidRPr="006A140B">
        <w:rPr>
          <w:rFonts w:ascii="Book Antiqua" w:eastAsia="Book Antiqua" w:hAnsi="Book Antiqua" w:cs="Book Antiqua"/>
          <w:color w:val="000000"/>
          <w:shd w:val="clear" w:color="auto" w:fill="FFFFFF"/>
        </w:rPr>
        <w:t xml:space="preserve"> should be subject to stricter consideration. These findings jointly indicate that CKD status may not necessarily affect overall survival but may lead to more surgical complications. The safety and efficacy of hepatectomy for HCC in patients with CKD could be acceptable if the appropriate patient group is carefully selected, along with judicious pre- and postoperative care.</w:t>
      </w:r>
    </w:p>
    <w:p w14:paraId="4B1C7F74" w14:textId="77777777" w:rsidR="00A77B3E" w:rsidRPr="006A140B" w:rsidRDefault="00A77B3E" w:rsidP="00495B7C">
      <w:pPr>
        <w:spacing w:line="360" w:lineRule="auto"/>
        <w:ind w:firstLine="480"/>
        <w:jc w:val="both"/>
        <w:rPr>
          <w:rFonts w:ascii="Book Antiqua" w:hAnsi="Book Antiqua"/>
        </w:rPr>
      </w:pPr>
    </w:p>
    <w:p w14:paraId="33F62D2B" w14:textId="2869C46E" w:rsidR="00A77B3E" w:rsidRPr="006A140B" w:rsidRDefault="007D6307" w:rsidP="006B2B4B">
      <w:pPr>
        <w:spacing w:line="360" w:lineRule="auto"/>
        <w:jc w:val="both"/>
        <w:rPr>
          <w:rFonts w:ascii="Book Antiqua" w:hAnsi="Book Antiqua"/>
        </w:rPr>
      </w:pPr>
      <w:r w:rsidRPr="006A140B">
        <w:rPr>
          <w:rFonts w:ascii="Book Antiqua" w:eastAsia="Book Antiqua" w:hAnsi="Book Antiqua" w:cs="Book Antiqua"/>
          <w:b/>
          <w:bCs/>
          <w:color w:val="000000"/>
        </w:rPr>
        <w:t>Liver resection for HCC in patients with ESRD on dialysis</w:t>
      </w:r>
      <w:r w:rsidR="006B2B4B" w:rsidRPr="006A140B">
        <w:rPr>
          <w:rFonts w:ascii="Book Antiqua" w:eastAsia="Book Antiqua" w:hAnsi="Book Antiqua" w:cs="Book Antiqua"/>
          <w:b/>
          <w:bCs/>
          <w:color w:val="000000"/>
        </w:rPr>
        <w:t>:</w:t>
      </w:r>
      <w:r w:rsidR="006B2B4B" w:rsidRPr="006A140B">
        <w:rPr>
          <w:rFonts w:ascii="Book Antiqua" w:hAnsi="Book Antiqua" w:hint="eastAsia"/>
          <w:lang w:eastAsia="zh-CN"/>
        </w:rPr>
        <w:t xml:space="preserve"> </w:t>
      </w:r>
      <w:r w:rsidRPr="006A140B">
        <w:rPr>
          <w:rFonts w:ascii="Book Antiqua" w:eastAsia="Book Antiqua" w:hAnsi="Book Antiqua" w:cs="Book Antiqua"/>
          <w:color w:val="000000"/>
        </w:rPr>
        <w:t xml:space="preserve">Compared with studies on the CKD population, studies on HCC patients with ESRD on dialysis undergoing hepatic resection are more abundant, probably because these patients’ characteristics are well defined and more effectively targeted. To clarify the role of liver resection in treating HCC in patients with ESRD, Cheng </w:t>
      </w:r>
      <w:r w:rsidRPr="006A140B">
        <w:rPr>
          <w:rFonts w:ascii="Book Antiqua" w:eastAsia="Book Antiqua" w:hAnsi="Book Antiqua" w:cs="Book Antiqua"/>
          <w:i/>
          <w:iCs/>
          <w:color w:val="000000"/>
        </w:rPr>
        <w:t>et al</w:t>
      </w:r>
      <w:r w:rsidR="006B2B4B" w:rsidRPr="006A140B">
        <w:rPr>
          <w:rFonts w:ascii="Book Antiqua" w:eastAsia="Book Antiqua" w:hAnsi="Book Antiqua" w:cs="Book Antiqua"/>
          <w:color w:val="000000"/>
          <w:vertAlign w:val="superscript"/>
        </w:rPr>
        <w:t>[152]</w:t>
      </w:r>
      <w:r w:rsidRPr="006A140B">
        <w:rPr>
          <w:rFonts w:ascii="Book Antiqua" w:eastAsia="Book Antiqua" w:hAnsi="Book Antiqua" w:cs="Book Antiqua"/>
          <w:color w:val="000000"/>
        </w:rPr>
        <w:t xml:space="preserve"> conducted a retrospective study to compare the clinicopathological characteristics and operative results of 12 patients with ESRD receiving resection for HCC with those of the other 456 patients without ESRD</w:t>
      </w:r>
      <w:r w:rsidRPr="006A140B">
        <w:rPr>
          <w:rFonts w:ascii="Book Antiqua" w:eastAsia="Book Antiqua" w:hAnsi="Book Antiqua" w:cs="Book Antiqua"/>
          <w:color w:val="000000"/>
          <w:vertAlign w:val="superscript"/>
        </w:rPr>
        <w:t>[152]</w:t>
      </w:r>
      <w:r w:rsidRPr="006A140B">
        <w:rPr>
          <w:rFonts w:ascii="Book Antiqua" w:eastAsia="Book Antiqua" w:hAnsi="Book Antiqua" w:cs="Book Antiqua"/>
          <w:color w:val="000000"/>
        </w:rPr>
        <w:t>. The 5-year disease-free survival rates for ESRD and non-ESRD groups were 35.0% and 34.2% (</w:t>
      </w:r>
      <w:r w:rsidRPr="006A140B">
        <w:rPr>
          <w:rFonts w:ascii="Book Antiqua" w:eastAsia="Book Antiqua" w:hAnsi="Book Antiqua" w:cs="Book Antiqua"/>
          <w:i/>
          <w:iCs/>
          <w:color w:val="000000"/>
        </w:rPr>
        <w:t>P</w:t>
      </w:r>
      <w:r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shd w:val="clear" w:color="auto" w:fill="FFFFFF"/>
        </w:rPr>
        <w:t>=</w:t>
      </w:r>
      <w:r w:rsidRPr="006A140B">
        <w:rPr>
          <w:rFonts w:ascii="Book Antiqua" w:eastAsia="Book Antiqua" w:hAnsi="Book Antiqua" w:cs="Book Antiqua"/>
          <w:color w:val="000000"/>
        </w:rPr>
        <w:t xml:space="preserve"> 0.31), whereas the 5-year overall survival rates were 67.8% and 53.3% (</w:t>
      </w:r>
      <w:r w:rsidRPr="006A140B">
        <w:rPr>
          <w:rFonts w:ascii="Book Antiqua" w:eastAsia="Book Antiqua" w:hAnsi="Book Antiqua" w:cs="Book Antiqua"/>
          <w:i/>
          <w:iCs/>
          <w:color w:val="000000"/>
        </w:rPr>
        <w:t>P</w:t>
      </w:r>
      <w:r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shd w:val="clear" w:color="auto" w:fill="FFFFFF"/>
        </w:rPr>
        <w:t>=</w:t>
      </w:r>
      <w:r w:rsidRPr="006A140B">
        <w:rPr>
          <w:rFonts w:ascii="Book Antiqua" w:eastAsia="Book Antiqua" w:hAnsi="Book Antiqua" w:cs="Book Antiqua"/>
          <w:color w:val="000000"/>
        </w:rPr>
        <w:t xml:space="preserve"> 0.54), respectively. The author commented that liver resection for HCC is justified in select patients with ESRD. In another retrospective study comparing the clinical features of 26 patients with ESRD and HCC with 1198 HCC patients without ESRD undergoing liver resection</w:t>
      </w:r>
      <w:r w:rsidRPr="006A140B">
        <w:rPr>
          <w:rFonts w:ascii="Book Antiqua" w:eastAsia="Book Antiqua" w:hAnsi="Book Antiqua" w:cs="Book Antiqua"/>
          <w:color w:val="000000"/>
          <w:vertAlign w:val="superscript"/>
        </w:rPr>
        <w:t>[153]</w:t>
      </w:r>
      <w:r w:rsidRPr="006A140B">
        <w:rPr>
          <w:rFonts w:ascii="Book Antiqua" w:eastAsia="Book Antiqua" w:hAnsi="Book Antiqua" w:cs="Book Antiqua"/>
          <w:color w:val="000000"/>
        </w:rPr>
        <w:t xml:space="preserve">, elevated BUN and creatinine were the only two main independent factors differentiating patients with ESRD and HCC from their counterparts with HCC, and overall and disease-free survival rates were similar between the two groups. Lee </w:t>
      </w:r>
      <w:r w:rsidRPr="006A140B">
        <w:rPr>
          <w:rFonts w:ascii="Book Antiqua" w:eastAsia="Book Antiqua" w:hAnsi="Book Antiqua" w:cs="Book Antiqua"/>
          <w:i/>
          <w:iCs/>
          <w:color w:val="000000"/>
        </w:rPr>
        <w:t>et al</w:t>
      </w:r>
      <w:r w:rsidR="00A62641" w:rsidRPr="006A140B">
        <w:rPr>
          <w:rFonts w:ascii="Book Antiqua" w:eastAsia="Book Antiqua" w:hAnsi="Book Antiqua" w:cs="Book Antiqua"/>
          <w:color w:val="000000"/>
          <w:vertAlign w:val="superscript"/>
        </w:rPr>
        <w:t>[136]</w:t>
      </w:r>
      <w:r w:rsidRPr="006A140B">
        <w:rPr>
          <w:rFonts w:ascii="Book Antiqua" w:eastAsia="Book Antiqua" w:hAnsi="Book Antiqua" w:cs="Book Antiqua"/>
          <w:color w:val="000000"/>
        </w:rPr>
        <w:t xml:space="preserve"> conducted a retrospective matched-control trial to compare long-term survival between patients with HCC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2472) who were undergoing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30) </w:t>
      </w:r>
      <w:r w:rsidRPr="006A140B">
        <w:rPr>
          <w:rFonts w:ascii="Book Antiqua" w:eastAsia="Book Antiqua" w:hAnsi="Book Antiqua" w:cs="Book Antiqua"/>
          <w:i/>
          <w:iCs/>
          <w:color w:val="000000"/>
        </w:rPr>
        <w:t>vs</w:t>
      </w:r>
      <w:r w:rsidRPr="006A140B">
        <w:rPr>
          <w:rFonts w:ascii="Book Antiqua" w:eastAsia="Book Antiqua" w:hAnsi="Book Antiqua" w:cs="Book Antiqua"/>
          <w:color w:val="000000"/>
        </w:rPr>
        <w:t xml:space="preserve"> not undergoing dialysis</w:t>
      </w:r>
      <w:r w:rsidRPr="006A140B">
        <w:rPr>
          <w:rFonts w:ascii="Book Antiqua" w:eastAsia="Book Antiqua" w:hAnsi="Book Antiqua" w:cs="Book Antiqua"/>
          <w:color w:val="000000"/>
          <w:vertAlign w:val="superscript"/>
        </w:rPr>
        <w:t>[136]</w:t>
      </w:r>
      <w:r w:rsidRPr="006A140B">
        <w:rPr>
          <w:rFonts w:ascii="Book Antiqua" w:eastAsia="Book Antiqua" w:hAnsi="Book Antiqua" w:cs="Book Antiqua"/>
          <w:color w:val="000000"/>
        </w:rPr>
        <w:t xml:space="preserve">. The patients undergoing dialysis had dual HBV and </w:t>
      </w:r>
      <w:r w:rsidR="003550E2" w:rsidRPr="006A140B">
        <w:rPr>
          <w:rFonts w:ascii="Book Antiqua" w:eastAsia="Book Antiqua" w:hAnsi="Book Antiqua" w:cs="Book Antiqua"/>
          <w:color w:val="000000"/>
        </w:rPr>
        <w:t xml:space="preserve">HCV </w:t>
      </w:r>
      <w:r w:rsidRPr="006A140B">
        <w:rPr>
          <w:rFonts w:ascii="Book Antiqua" w:eastAsia="Book Antiqua" w:hAnsi="Book Antiqua" w:cs="Book Antiqua"/>
          <w:color w:val="000000"/>
        </w:rPr>
        <w:t>infection, lower serum α-fetoprotein level (AFP), worse performance status, and higher MELD scores than did the matched controls and patients not undergoing dialysis. No significant difference existed in long-term survival when patients undergoing dialysis were compared with patients who were not or with the matched controls (</w:t>
      </w:r>
      <w:r w:rsidRPr="006A140B">
        <w:rPr>
          <w:rFonts w:ascii="Book Antiqua" w:eastAsia="Book Antiqua" w:hAnsi="Book Antiqua" w:cs="Book Antiqua"/>
          <w:i/>
          <w:iCs/>
          <w:color w:val="000000"/>
        </w:rPr>
        <w:t>P</w:t>
      </w:r>
      <w:r w:rsidRPr="006A140B">
        <w:rPr>
          <w:rFonts w:ascii="Book Antiqua" w:eastAsia="Book Antiqua" w:hAnsi="Book Antiqua" w:cs="Book Antiqua"/>
          <w:color w:val="000000"/>
        </w:rPr>
        <w:t xml:space="preserve"> = 0.684 and 0.373, respectively). Yeh </w:t>
      </w:r>
      <w:r w:rsidRPr="006A140B">
        <w:rPr>
          <w:rFonts w:ascii="Book Antiqua" w:eastAsia="Book Antiqua" w:hAnsi="Book Antiqua" w:cs="Book Antiqua"/>
          <w:i/>
          <w:iCs/>
          <w:color w:val="000000"/>
        </w:rPr>
        <w:t>et al</w:t>
      </w:r>
      <w:r w:rsidR="00A62641" w:rsidRPr="006A140B">
        <w:rPr>
          <w:rFonts w:ascii="Book Antiqua" w:eastAsia="Book Antiqua" w:hAnsi="Book Antiqua" w:cs="Book Antiqua"/>
          <w:color w:val="000000"/>
          <w:vertAlign w:val="superscript"/>
        </w:rPr>
        <w:t>[154]</w:t>
      </w:r>
      <w:r w:rsidRPr="006A140B">
        <w:rPr>
          <w:rFonts w:ascii="Book Antiqua" w:eastAsia="Book Antiqua" w:hAnsi="Book Antiqua" w:cs="Book Antiqua"/>
          <w:color w:val="000000"/>
        </w:rPr>
        <w:t xml:space="preserve"> used Taiwan’s National Health Institute Research Database to compare the disease-free survival, overall survival, and perioperative complications between 596 nonuremic controls and 149 patients with uremia and HCC who were also undergoing liver resection. The survival outcomes were comparable between the uremia–HCC cohort and controls, regardless of the extent of hepatic resection. However, the aforementioned had a higher risk of postoperative infections requiring invasive interventions as well as an increased risk of life-threatening heart-associated complications relative to the controls. In summary, ESRD on dialysis does not seem to exert a particular influence on the survival outcomes of patients receiving liver resection for HCC. With careful operative techniques and perioperative care, comparable overall and disease-free survival can be achieved in select patients with ESRD and HCC undergoing liver resection. ESRD on dialysis is not expected to be an obstacle to hepatectomy in the indicated patient group.</w:t>
      </w:r>
    </w:p>
    <w:p w14:paraId="062FAB82" w14:textId="77777777" w:rsidR="00A77B3E" w:rsidRPr="006A140B" w:rsidRDefault="00A77B3E" w:rsidP="00495B7C">
      <w:pPr>
        <w:spacing w:line="360" w:lineRule="auto"/>
        <w:ind w:firstLine="480"/>
        <w:jc w:val="both"/>
        <w:rPr>
          <w:rFonts w:ascii="Book Antiqua" w:hAnsi="Book Antiqua"/>
        </w:rPr>
      </w:pPr>
    </w:p>
    <w:p w14:paraId="6DD34861" w14:textId="77777777" w:rsidR="00A77B3E" w:rsidRPr="006A140B" w:rsidRDefault="007D6307" w:rsidP="00A62641">
      <w:pPr>
        <w:spacing w:line="360" w:lineRule="auto"/>
        <w:jc w:val="both"/>
        <w:rPr>
          <w:rFonts w:ascii="Book Antiqua" w:hAnsi="Book Antiqua"/>
        </w:rPr>
      </w:pPr>
      <w:r w:rsidRPr="006A140B">
        <w:rPr>
          <w:rFonts w:ascii="Book Antiqua" w:eastAsia="Book Antiqua" w:hAnsi="Book Antiqua" w:cs="Book Antiqua"/>
          <w:b/>
          <w:bCs/>
          <w:i/>
          <w:iCs/>
          <w:color w:val="000000"/>
        </w:rPr>
        <w:t>Transplantation</w:t>
      </w:r>
    </w:p>
    <w:p w14:paraId="5D8CAD3E" w14:textId="28FE320B" w:rsidR="00A77B3E" w:rsidRPr="006A140B" w:rsidRDefault="007D6307" w:rsidP="00A62641">
      <w:pPr>
        <w:spacing w:line="360" w:lineRule="auto"/>
        <w:jc w:val="both"/>
        <w:rPr>
          <w:rFonts w:ascii="Book Antiqua" w:hAnsi="Book Antiqua"/>
        </w:rPr>
      </w:pPr>
      <w:r w:rsidRPr="006A140B">
        <w:rPr>
          <w:rFonts w:ascii="Book Antiqua" w:eastAsia="Book Antiqua" w:hAnsi="Book Antiqua" w:cs="Book Antiqua"/>
          <w:color w:val="000000"/>
        </w:rPr>
        <w:t>Liver transplantation (LT) is considered the gold standard surgical therapy for early-stage HCC co-occurring with cirrhosis or chronic liver disease. The Milan criteria function as the most reliable border for transplantation feasibility both in Western and Asian HCC guidelines</w:t>
      </w:r>
      <w:r w:rsidRPr="006A140B">
        <w:rPr>
          <w:rFonts w:ascii="Book Antiqua" w:eastAsia="Book Antiqua" w:hAnsi="Book Antiqua" w:cs="Book Antiqua"/>
          <w:color w:val="000000"/>
          <w:vertAlign w:val="superscript"/>
        </w:rPr>
        <w:t>[155]</w:t>
      </w:r>
      <w:r w:rsidRPr="006A140B">
        <w:rPr>
          <w:rFonts w:ascii="Book Antiqua" w:eastAsia="Book Antiqua" w:hAnsi="Book Antiqua" w:cs="Book Antiqua"/>
          <w:color w:val="000000"/>
        </w:rPr>
        <w:t>. The expected 5-year survival rates of LT for HCC that meets the conventional Milan criteria (single tumor ≤</w:t>
      </w:r>
      <w:r w:rsidR="00A62641"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5</w:t>
      </w:r>
      <w:r w:rsidRPr="006A140B">
        <w:rPr>
          <w:rFonts w:eastAsia="Book Antiqua"/>
          <w:color w:val="000000"/>
        </w:rPr>
        <w:t> </w:t>
      </w:r>
      <w:r w:rsidRPr="006A140B">
        <w:rPr>
          <w:rFonts w:ascii="Book Antiqua" w:eastAsia="Book Antiqua" w:hAnsi="Book Antiqua" w:cs="Book Antiqua"/>
          <w:color w:val="000000"/>
        </w:rPr>
        <w:t>cm or multiple tumors ≤</w:t>
      </w:r>
      <w:r w:rsidR="00A62641"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3 nodules ≤</w:t>
      </w:r>
      <w:r w:rsidR="00A62641"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3</w:t>
      </w:r>
      <w:r w:rsidRPr="006A140B">
        <w:rPr>
          <w:rFonts w:eastAsia="Book Antiqua"/>
          <w:color w:val="000000"/>
        </w:rPr>
        <w:t> </w:t>
      </w:r>
      <w:r w:rsidRPr="006A140B">
        <w:rPr>
          <w:rFonts w:ascii="Book Antiqua" w:eastAsia="Book Antiqua" w:hAnsi="Book Antiqua" w:cs="Book Antiqua"/>
          <w:color w:val="000000"/>
        </w:rPr>
        <w:t>cm in size, without vascular invasion) are 65%</w:t>
      </w:r>
      <w:r w:rsidR="00D707B0" w:rsidRPr="006A140B">
        <w:rPr>
          <w:rFonts w:ascii="Book Antiqua" w:eastAsia="Book Antiqua" w:hAnsi="Book Antiqua" w:cs="Book Antiqua"/>
          <w:color w:val="000000"/>
        </w:rPr>
        <w:t>-</w:t>
      </w:r>
      <w:r w:rsidRPr="006A140B">
        <w:rPr>
          <w:rFonts w:ascii="Book Antiqua" w:eastAsia="Book Antiqua" w:hAnsi="Book Antiqua" w:cs="Book Antiqua"/>
          <w:color w:val="000000"/>
        </w:rPr>
        <w:t>80%, and patients meeting the Milan criteria have a significant survival advantage over patients who do not. LT is recommended as the first-line option for HCC within the Milan criteria but is unsuitable for resection. However, given the distinguished clinicopathological features of patients with renal dysfunction, whether the survival advantage of LT can be extended to this specific population is a more complicated matter. Can patients with renal dysfunction receive LT similar to the general population? How should one assess the feasibility of simultaneous liver kidney transplantation (SLKT)? The following paragraphs address these questions.</w:t>
      </w:r>
    </w:p>
    <w:p w14:paraId="78DF1509" w14:textId="592B77F9"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LT carries the risk of complications, which occur both immediately after transplantation and in the long term</w:t>
      </w:r>
      <w:r w:rsidRPr="006A140B">
        <w:rPr>
          <w:rFonts w:ascii="Book Antiqua" w:eastAsia="Book Antiqua" w:hAnsi="Book Antiqua" w:cs="Book Antiqua"/>
          <w:color w:val="000000"/>
          <w:vertAlign w:val="superscript"/>
        </w:rPr>
        <w:t>[156]</w:t>
      </w:r>
      <w:r w:rsidRPr="006A140B">
        <w:rPr>
          <w:rFonts w:ascii="Book Antiqua" w:eastAsia="Book Antiqua" w:hAnsi="Book Antiqua" w:cs="Book Antiqua"/>
          <w:color w:val="000000"/>
        </w:rPr>
        <w:t>. The main complications in the immediate postoperative period are related to graft dysfunction and rejection and to the surgical technique, infections, and dysfunction involved in the pulmonary, renal, or neurological systems. In the long term, complications are typically a consequence of prolonged immunosuppressive therapy, and they include diabetes mellitus, systemic arterial hypertension, de novo neoplasia, and organ toxicities</w:t>
      </w:r>
      <w:r w:rsidRPr="006A140B">
        <w:rPr>
          <w:rFonts w:ascii="Book Antiqua" w:eastAsia="Book Antiqua" w:hAnsi="Book Antiqua" w:cs="Book Antiqua"/>
          <w:color w:val="000000"/>
          <w:vertAlign w:val="superscript"/>
        </w:rPr>
        <w:t>[157]</w:t>
      </w:r>
      <w:r w:rsidRPr="006A140B">
        <w:rPr>
          <w:rFonts w:ascii="Book Antiqua" w:eastAsia="Book Antiqua" w:hAnsi="Book Antiqua" w:cs="Book Antiqua"/>
          <w:color w:val="000000"/>
        </w:rPr>
        <w:t>. AKI is a main complication of LT, especially in the early postoperative period. The reported incidence of AKI after transplantation varies widely because of the different diagnostic criteria used, ranging from 19.26% to 94%</w:t>
      </w:r>
      <w:r w:rsidRPr="006A140B">
        <w:rPr>
          <w:rFonts w:ascii="Book Antiqua" w:eastAsia="Book Antiqua" w:hAnsi="Book Antiqua" w:cs="Book Antiqua"/>
          <w:color w:val="000000"/>
          <w:vertAlign w:val="superscript"/>
        </w:rPr>
        <w:t>[158-161]</w:t>
      </w:r>
      <w:r w:rsidRPr="006A140B">
        <w:rPr>
          <w:rFonts w:ascii="Book Antiqua" w:eastAsia="Book Antiqua" w:hAnsi="Book Antiqua" w:cs="Book Antiqua"/>
          <w:color w:val="000000"/>
        </w:rPr>
        <w:t>. Hemodynamic changes during surgery, blood loss, and other stress may cause prerenal AKI or even acute tubular necrosis immediately after surgery</w:t>
      </w:r>
      <w:r w:rsidRPr="006A140B">
        <w:rPr>
          <w:rFonts w:ascii="Book Antiqua" w:eastAsia="Book Antiqua" w:hAnsi="Book Antiqua" w:cs="Book Antiqua"/>
          <w:color w:val="000000"/>
          <w:vertAlign w:val="superscript"/>
        </w:rPr>
        <w:t>[162,163]</w:t>
      </w:r>
      <w:r w:rsidRPr="006A140B">
        <w:rPr>
          <w:rFonts w:ascii="Book Antiqua" w:eastAsia="Book Antiqua" w:hAnsi="Book Antiqua" w:cs="Book Antiqua"/>
          <w:color w:val="000000"/>
        </w:rPr>
        <w:t>. Patients who developed AKI tended to have a markedly higher mortality rates</w:t>
      </w:r>
      <w:r w:rsidRPr="006A140B">
        <w:rPr>
          <w:rFonts w:ascii="Book Antiqua" w:eastAsia="Book Antiqua" w:hAnsi="Book Antiqua" w:cs="Book Antiqua"/>
          <w:color w:val="000000"/>
          <w:vertAlign w:val="superscript"/>
        </w:rPr>
        <w:t>[164,165]</w:t>
      </w:r>
      <w:r w:rsidRPr="006A140B">
        <w:rPr>
          <w:rFonts w:ascii="Book Antiqua" w:eastAsia="Book Antiqua" w:hAnsi="Book Antiqua" w:cs="Book Antiqua"/>
          <w:color w:val="000000"/>
        </w:rPr>
        <w:t>. It is unclear whether AKI after LT is the primary driver of poorer mortality outcomes or whether this is merely a correlation</w:t>
      </w:r>
      <w:r w:rsidRPr="006A140B">
        <w:rPr>
          <w:rFonts w:ascii="Book Antiqua" w:eastAsia="Book Antiqua" w:hAnsi="Book Antiqua" w:cs="Book Antiqua"/>
          <w:color w:val="000000"/>
          <w:vertAlign w:val="superscript"/>
        </w:rPr>
        <w:t>[166]</w:t>
      </w:r>
      <w:r w:rsidRPr="006A140B">
        <w:rPr>
          <w:rFonts w:ascii="Book Antiqua" w:eastAsia="Book Antiqua" w:hAnsi="Book Antiqua" w:cs="Book Antiqua"/>
          <w:color w:val="000000"/>
        </w:rPr>
        <w:t>. CKD is also a common complication after LT with an incidence ranging between 20% and 80%</w:t>
      </w:r>
      <w:r w:rsidRPr="006A140B">
        <w:rPr>
          <w:rFonts w:ascii="Book Antiqua" w:eastAsia="Book Antiqua" w:hAnsi="Book Antiqua" w:cs="Book Antiqua"/>
          <w:color w:val="000000"/>
          <w:vertAlign w:val="superscript"/>
        </w:rPr>
        <w:t>[167,168]</w:t>
      </w:r>
      <w:r w:rsidRPr="006A140B">
        <w:rPr>
          <w:rFonts w:ascii="Book Antiqua" w:eastAsia="Book Antiqua" w:hAnsi="Book Antiqua" w:cs="Book Antiqua"/>
          <w:color w:val="000000"/>
        </w:rPr>
        <w:t>.</w:t>
      </w:r>
      <w:r w:rsidR="00A62641"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Numerous observations have implicated calcineurin-inhibitor (CNI) as a major risk factor of CKD in recipients of a transplant</w:t>
      </w:r>
      <w:r w:rsidRPr="006A140B">
        <w:rPr>
          <w:rFonts w:ascii="Book Antiqua" w:eastAsia="Book Antiqua" w:hAnsi="Book Antiqua" w:cs="Book Antiqua"/>
          <w:color w:val="000000"/>
          <w:vertAlign w:val="superscript"/>
        </w:rPr>
        <w:t>[169-171]</w:t>
      </w:r>
      <w:r w:rsidRPr="006A140B">
        <w:rPr>
          <w:rFonts w:ascii="Book Antiqua" w:eastAsia="Book Antiqua" w:hAnsi="Book Antiqua" w:cs="Book Antiqua"/>
          <w:color w:val="000000"/>
        </w:rPr>
        <w:t>, and some studies have advocated the use of tacrolimus or mycophenolate mofetil instead of cyclosporin to reduce the incidence of chronic renal dysfunction after transplantation</w:t>
      </w:r>
      <w:r w:rsidRPr="006A140B">
        <w:rPr>
          <w:rFonts w:ascii="Book Antiqua" w:eastAsia="Book Antiqua" w:hAnsi="Book Antiqua" w:cs="Book Antiqua"/>
          <w:color w:val="000000"/>
          <w:vertAlign w:val="superscript"/>
        </w:rPr>
        <w:t>[170,172]</w:t>
      </w:r>
      <w:r w:rsidRPr="006A140B">
        <w:rPr>
          <w:rFonts w:ascii="Book Antiqua" w:eastAsia="Book Antiqua" w:hAnsi="Book Antiqua" w:cs="Book Antiqua"/>
          <w:color w:val="000000"/>
        </w:rPr>
        <w:t>. However, other studies have been unable to show that CNI fully explained post-transplant renal abnormalities</w:t>
      </w:r>
      <w:r w:rsidRPr="006A140B">
        <w:rPr>
          <w:rFonts w:ascii="Book Antiqua" w:eastAsia="Book Antiqua" w:hAnsi="Book Antiqua" w:cs="Book Antiqua"/>
          <w:color w:val="000000"/>
          <w:vertAlign w:val="superscript"/>
        </w:rPr>
        <w:t>[171,173]</w:t>
      </w:r>
      <w:r w:rsidRPr="006A140B">
        <w:rPr>
          <w:rFonts w:ascii="Book Antiqua" w:eastAsia="Book Antiqua" w:hAnsi="Book Antiqua" w:cs="Book Antiqua"/>
          <w:color w:val="000000"/>
        </w:rPr>
        <w:t>. Therefore, the hypothesis that CNI use is a major cause of renal dysfunction after LT remains unverified, and CNI’s effect may be overestimated.</w:t>
      </w:r>
    </w:p>
    <w:p w14:paraId="21370198" w14:textId="35F32DB8"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Patients with renal dysfunction have been reported to experience poor surgical outcomes following LT. An early study using the National Institute of Diabetes and Digestive and Kidney Diseases L</w:t>
      </w:r>
      <w:r w:rsidR="00A62641" w:rsidRPr="006A140B">
        <w:rPr>
          <w:rFonts w:ascii="Book Antiqua" w:eastAsia="Book Antiqua" w:hAnsi="Book Antiqua" w:cs="Book Antiqua"/>
          <w:color w:val="000000"/>
        </w:rPr>
        <w:t>T</w:t>
      </w:r>
      <w:r w:rsidRPr="006A140B">
        <w:rPr>
          <w:rFonts w:ascii="Book Antiqua" w:eastAsia="Book Antiqua" w:hAnsi="Book Antiqua" w:cs="Book Antiqua"/>
          <w:color w:val="000000"/>
        </w:rPr>
        <w:t xml:space="preserve"> Database investigated the effect of renal insufficiency in patients with fulminant hepatic failure or chronic liver disease (cirrhosis); that study found that renal insufficiency in fulminant hepatic failure and renal insufficiency requiring dialysis or SLKT in cirrhosis predicts lower patient and graft survival rates after a transplant</w:t>
      </w:r>
      <w:r w:rsidRPr="006A140B">
        <w:rPr>
          <w:rFonts w:ascii="Book Antiqua" w:eastAsia="Book Antiqua" w:hAnsi="Book Antiqua" w:cs="Book Antiqua"/>
          <w:color w:val="000000"/>
          <w:vertAlign w:val="superscript"/>
        </w:rPr>
        <w:t>[174]</w:t>
      </w:r>
      <w:r w:rsidRPr="006A140B">
        <w:rPr>
          <w:rFonts w:ascii="Book Antiqua" w:eastAsia="Book Antiqua" w:hAnsi="Book Antiqua" w:cs="Book Antiqua"/>
          <w:color w:val="000000"/>
        </w:rPr>
        <w:t xml:space="preserve">. In another study reviewing the postoperative courses of 115 </w:t>
      </w:r>
      <w:r w:rsidR="00A62641" w:rsidRPr="006A140B">
        <w:rPr>
          <w:rFonts w:ascii="Book Antiqua" w:eastAsia="Book Antiqua" w:hAnsi="Book Antiqua" w:cs="Book Antiqua"/>
          <w:color w:val="000000"/>
        </w:rPr>
        <w:t>l</w:t>
      </w:r>
      <w:r w:rsidRPr="006A140B">
        <w:rPr>
          <w:rFonts w:ascii="Book Antiqua" w:eastAsia="Book Antiqua" w:hAnsi="Book Antiqua" w:cs="Book Antiqua"/>
          <w:color w:val="000000"/>
        </w:rPr>
        <w:t>iver transplant recipients for liver cirrhosis, the population was divided into two groups based on the threshold of preoperative serum creatinine &lt; 1.0 mg/dL</w:t>
      </w:r>
      <w:r w:rsidRPr="006A140B">
        <w:rPr>
          <w:rFonts w:ascii="Book Antiqua" w:eastAsia="Book Antiqua" w:hAnsi="Book Antiqua" w:cs="Book Antiqua"/>
          <w:color w:val="000000"/>
          <w:vertAlign w:val="superscript"/>
        </w:rPr>
        <w:t>[175]</w:t>
      </w:r>
      <w:r w:rsidRPr="006A140B">
        <w:rPr>
          <w:rFonts w:ascii="Book Antiqua" w:eastAsia="Book Antiqua" w:hAnsi="Book Antiqua" w:cs="Book Antiqua"/>
          <w:color w:val="000000"/>
        </w:rPr>
        <w:t xml:space="preserve">. Patients with preoperative serum creatinine &gt; 1.0 mg/dL had significantly longer </w:t>
      </w:r>
      <w:r w:rsidR="007A0047" w:rsidRPr="006A140B">
        <w:rPr>
          <w:rFonts w:ascii="Book Antiqua" w:eastAsia="Book Antiqua" w:hAnsi="Book Antiqua" w:cs="Book Antiqua"/>
          <w:color w:val="000000"/>
        </w:rPr>
        <w:t>intensive care unit</w:t>
      </w:r>
      <w:r w:rsidRPr="006A140B">
        <w:rPr>
          <w:rFonts w:ascii="Book Antiqua" w:eastAsia="Book Antiqua" w:hAnsi="Book Antiqua" w:cs="Book Antiqua"/>
          <w:color w:val="000000"/>
        </w:rPr>
        <w:t xml:space="preserve"> stays, higher rates of acute renal failure requiring dialysis, and a greatly increased mortality rate. In a study comparing the LT outcomes of patients with low and high MELD scores, renal function was the most crucial variable associated with morbidity and length of hospital stay</w:t>
      </w:r>
      <w:r w:rsidRPr="006A140B">
        <w:rPr>
          <w:rFonts w:ascii="Book Antiqua" w:eastAsia="Book Antiqua" w:hAnsi="Book Antiqua" w:cs="Book Antiqua"/>
          <w:color w:val="000000"/>
          <w:vertAlign w:val="superscript"/>
        </w:rPr>
        <w:t>[176]</w:t>
      </w:r>
      <w:r w:rsidRPr="006A140B">
        <w:rPr>
          <w:rFonts w:ascii="Book Antiqua" w:eastAsia="Book Antiqua" w:hAnsi="Book Antiqua" w:cs="Book Antiqua"/>
          <w:color w:val="000000"/>
        </w:rPr>
        <w:t>. The data not only called for special attention during the perioperative period of renal dysfunction but also cast doubt on whether patients with renal dysfunction are ideal candidates for LT.</w:t>
      </w:r>
    </w:p>
    <w:p w14:paraId="5644D97E" w14:textId="2160B17C"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Several early studies have found that SLKT could be feasible in patients who have both advanced hepatic and renal dysfunction. In a study compared 16 patients with SLKT and 32 patients with LT matched by age, sex, date, and indication for transplantation; that study reported that both groups had similar levels of reoperation due to bleeding, bacterial infections, liver rejection, arterial hypertension, and median creatinine levels at the 1</w:t>
      </w:r>
      <w:r w:rsidRPr="006A140B">
        <w:rPr>
          <w:rFonts w:ascii="Book Antiqua" w:eastAsia="Book Antiqua" w:hAnsi="Book Antiqua" w:cs="Book Antiqua"/>
          <w:color w:val="000000"/>
          <w:vertAlign w:val="superscript"/>
        </w:rPr>
        <w:t>st</w:t>
      </w:r>
      <w:r w:rsidRPr="006A140B">
        <w:rPr>
          <w:rFonts w:ascii="Book Antiqua" w:eastAsia="Book Antiqua" w:hAnsi="Book Antiqua" w:cs="Book Antiqua"/>
          <w:color w:val="000000"/>
        </w:rPr>
        <w:t xml:space="preserve"> and 3</w:t>
      </w:r>
      <w:r w:rsidRPr="006A140B">
        <w:rPr>
          <w:rFonts w:ascii="Book Antiqua" w:eastAsia="Book Antiqua" w:hAnsi="Book Antiqua" w:cs="Book Antiqua"/>
          <w:color w:val="000000"/>
          <w:vertAlign w:val="superscript"/>
        </w:rPr>
        <w:t>rd</w:t>
      </w:r>
      <w:r w:rsidRPr="006A140B">
        <w:rPr>
          <w:rFonts w:ascii="Book Antiqua" w:eastAsia="Book Antiqua" w:hAnsi="Book Antiqua" w:cs="Book Antiqua"/>
          <w:color w:val="000000"/>
        </w:rPr>
        <w:t xml:space="preserve"> years</w:t>
      </w:r>
      <w:r w:rsidRPr="006A140B">
        <w:rPr>
          <w:rFonts w:ascii="Book Antiqua" w:eastAsia="Book Antiqua" w:hAnsi="Book Antiqua" w:cs="Book Antiqua"/>
          <w:color w:val="000000"/>
          <w:vertAlign w:val="superscript"/>
        </w:rPr>
        <w:t>[177]</w:t>
      </w:r>
      <w:r w:rsidRPr="006A140B">
        <w:rPr>
          <w:rFonts w:ascii="Book Antiqua" w:eastAsia="Book Antiqua" w:hAnsi="Book Antiqua" w:cs="Book Antiqua"/>
          <w:color w:val="000000"/>
        </w:rPr>
        <w:t>. However, early post-transplant dialysis was higher in SLKT than in LT. Survival rates at the 1</w:t>
      </w:r>
      <w:r w:rsidRPr="006A140B">
        <w:rPr>
          <w:rFonts w:ascii="Book Antiqua" w:eastAsia="Book Antiqua" w:hAnsi="Book Antiqua" w:cs="Book Antiqua"/>
          <w:color w:val="000000"/>
          <w:vertAlign w:val="superscript"/>
        </w:rPr>
        <w:t>st</w:t>
      </w:r>
      <w:r w:rsidRPr="006A140B">
        <w:rPr>
          <w:rFonts w:ascii="Book Antiqua" w:eastAsia="Book Antiqua" w:hAnsi="Book Antiqua" w:cs="Book Antiqua"/>
          <w:color w:val="000000"/>
        </w:rPr>
        <w:t>, 3</w:t>
      </w:r>
      <w:r w:rsidRPr="006A140B">
        <w:rPr>
          <w:rFonts w:ascii="Book Antiqua" w:eastAsia="Book Antiqua" w:hAnsi="Book Antiqua" w:cs="Book Antiqua"/>
          <w:color w:val="000000"/>
          <w:vertAlign w:val="superscript"/>
        </w:rPr>
        <w:t>rd</w:t>
      </w:r>
      <w:r w:rsidRPr="006A140B">
        <w:rPr>
          <w:rFonts w:ascii="Book Antiqua" w:eastAsia="Book Antiqua" w:hAnsi="Book Antiqua" w:cs="Book Antiqua"/>
          <w:color w:val="000000"/>
        </w:rPr>
        <w:t>, 5</w:t>
      </w:r>
      <w:r w:rsidRPr="006A140B">
        <w:rPr>
          <w:rFonts w:ascii="Book Antiqua" w:eastAsia="Book Antiqua" w:hAnsi="Book Antiqua" w:cs="Book Antiqua"/>
          <w:color w:val="000000"/>
          <w:vertAlign w:val="superscript"/>
        </w:rPr>
        <w:t>th</w:t>
      </w:r>
      <w:r w:rsidRPr="006A140B">
        <w:rPr>
          <w:rFonts w:ascii="Book Antiqua" w:eastAsia="Book Antiqua" w:hAnsi="Book Antiqua" w:cs="Book Antiqua"/>
          <w:color w:val="000000"/>
        </w:rPr>
        <w:t>, and 7</w:t>
      </w:r>
      <w:r w:rsidRPr="006A140B">
        <w:rPr>
          <w:rFonts w:ascii="Book Antiqua" w:eastAsia="Book Antiqua" w:hAnsi="Book Antiqua" w:cs="Book Antiqua"/>
          <w:color w:val="000000"/>
          <w:vertAlign w:val="superscript"/>
        </w:rPr>
        <w:t>th</w:t>
      </w:r>
      <w:r w:rsidRPr="006A140B">
        <w:rPr>
          <w:rFonts w:ascii="Book Antiqua" w:eastAsia="Book Antiqua" w:hAnsi="Book Antiqua" w:cs="Book Antiqua"/>
          <w:color w:val="000000"/>
        </w:rPr>
        <w:t xml:space="preserve"> years were similar in both groups (87.5%, 74%, 74%, and 66% </w:t>
      </w:r>
      <w:r w:rsidRPr="006A140B">
        <w:rPr>
          <w:rFonts w:ascii="Book Antiqua" w:eastAsia="Book Antiqua" w:hAnsi="Book Antiqua" w:cs="Book Antiqua"/>
          <w:i/>
          <w:iCs/>
          <w:color w:val="000000"/>
        </w:rPr>
        <w:t>vs</w:t>
      </w:r>
      <w:r w:rsidRPr="006A140B">
        <w:rPr>
          <w:rFonts w:ascii="Book Antiqua" w:eastAsia="Book Antiqua" w:hAnsi="Book Antiqua" w:cs="Book Antiqua"/>
          <w:color w:val="000000"/>
        </w:rPr>
        <w:t xml:space="preserve"> 81%, 75%, 75%, and 75% in LT and LKT, respectively). That author inferred that SLKT is an effective therapeutic option in patients with end-stage liver and kidney disease, with most early and late complications and long-term survival being similar to those observed in LT. In one study evaluating the success of SLKT, 20 patients (aged 14</w:t>
      </w:r>
      <w:r w:rsidR="00D707B0" w:rsidRPr="006A140B">
        <w:rPr>
          <w:rFonts w:ascii="Book Antiqua" w:eastAsia="Book Antiqua" w:hAnsi="Book Antiqua" w:cs="Book Antiqua"/>
          <w:color w:val="000000"/>
        </w:rPr>
        <w:t>-</w:t>
      </w:r>
      <w:r w:rsidRPr="006A140B">
        <w:rPr>
          <w:rFonts w:ascii="Book Antiqua" w:eastAsia="Book Antiqua" w:hAnsi="Book Antiqua" w:cs="Book Antiqua"/>
          <w:color w:val="000000"/>
        </w:rPr>
        <w:t>64 years) received a total of 21 LT and 31 kidney transplantation procedures</w:t>
      </w:r>
      <w:r w:rsidRPr="006A140B">
        <w:rPr>
          <w:rFonts w:ascii="Book Antiqua" w:eastAsia="Book Antiqua" w:hAnsi="Book Antiqua" w:cs="Book Antiqua"/>
          <w:color w:val="000000"/>
          <w:vertAlign w:val="superscript"/>
        </w:rPr>
        <w:t>[178]</w:t>
      </w:r>
      <w:r w:rsidRPr="006A140B">
        <w:rPr>
          <w:rFonts w:ascii="Book Antiqua" w:eastAsia="Book Antiqua" w:hAnsi="Book Antiqua" w:cs="Book Antiqua"/>
          <w:color w:val="000000"/>
        </w:rPr>
        <w:t>. SLKT was performed in 14 patients, of whom five required further replacement of one or the other of the grafted organs. That study revealed that patients with liver cirrhosis had a very poor prognosis due to their poor overall clinical state at the time of terminal renal failure, whereas patients without liver cirrhosis were more appropriate candidates for SLKT. The author concluded that in general, the indication for SLKT ought to be considered earlier in this case than in the case of transplantation involving only one organ. Notably, a study found that pretransplantation renal dysfunction and exposure to dialysis might affect SLKT treatment outcomes</w:t>
      </w:r>
      <w:r w:rsidRPr="006A140B">
        <w:rPr>
          <w:rFonts w:ascii="Book Antiqua" w:eastAsia="Book Antiqua" w:hAnsi="Book Antiqua" w:cs="Book Antiqua"/>
          <w:color w:val="000000"/>
          <w:vertAlign w:val="superscript"/>
        </w:rPr>
        <w:t>[179]</w:t>
      </w:r>
      <w:r w:rsidRPr="006A140B">
        <w:rPr>
          <w:rFonts w:ascii="Book Antiqua" w:eastAsia="Book Antiqua" w:hAnsi="Book Antiqua" w:cs="Book Antiqua"/>
          <w:color w:val="000000"/>
        </w:rPr>
        <w:t>. Adult recipients receiving LT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2700) or SLKT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1361) with moderate renal insufficiency between 2003 and 2013 were included, and the study cohort was stratified into four groups based on serum creatinine level (Scr &lt; 2 mg/dL </w:t>
      </w:r>
      <w:r w:rsidRPr="006A140B">
        <w:rPr>
          <w:rFonts w:ascii="Book Antiqua" w:eastAsia="Book Antiqua" w:hAnsi="Book Antiqua" w:cs="Book Antiqua"/>
          <w:i/>
          <w:iCs/>
          <w:color w:val="000000"/>
        </w:rPr>
        <w:t>vs</w:t>
      </w:r>
      <w:r w:rsidRPr="006A140B">
        <w:rPr>
          <w:rFonts w:ascii="Book Antiqua" w:eastAsia="Book Antiqua" w:hAnsi="Book Antiqua" w:cs="Book Antiqua"/>
          <w:color w:val="000000"/>
        </w:rPr>
        <w:t xml:space="preserve"> Scr ≥ 2 mg/dL) and on dialysis status at both listing and transplant. SLKT administration led to a greater decrease in post-transplant mortality compared with LT administration across all four groups, but only reached statistical significance (HR 0.77; 95%CI</w:t>
      </w:r>
      <w:r w:rsidR="00995F0A"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0.62–0.96) in recipients not exposed to dialysis and with Scr ≥ 2 mg/dL at transplant. The study indicated the possible advantage of SLKT in patients with both severe liver disease and renal abnormalities. Some studies have indicated that the liver immunologically protects the kidneys after combined liver–kidney transplantation</w:t>
      </w:r>
      <w:r w:rsidRPr="006A140B">
        <w:rPr>
          <w:rFonts w:ascii="Book Antiqua" w:eastAsia="Book Antiqua" w:hAnsi="Book Antiqua" w:cs="Book Antiqua"/>
          <w:color w:val="000000"/>
          <w:vertAlign w:val="superscript"/>
        </w:rPr>
        <w:t>[180,181]</w:t>
      </w:r>
      <w:r w:rsidRPr="006A140B">
        <w:rPr>
          <w:rFonts w:ascii="Book Antiqua" w:eastAsia="Book Antiqua" w:hAnsi="Book Antiqua" w:cs="Book Antiqua"/>
          <w:color w:val="000000"/>
        </w:rPr>
        <w:t>. Therefore, patients with end-stage hepatic and renal anomalies may indeed benefit from SLKT. However, this technique faces limitations in being administered widely among HCC patients with renal dysfunction. For example, significant heterogeneity exists in the criteria for SLKT when it comes to noncirrhotic or compensated liver diseases and when it comes to liver transplant candidates with a moderate-to-severe reduction in GFR. To promote discussion and unify the criteria for the indication of SLKT by liver transplant groups, the Spanish L</w:t>
      </w:r>
      <w:r w:rsidR="00A62641" w:rsidRPr="006A140B">
        <w:rPr>
          <w:rFonts w:ascii="Book Antiqua" w:eastAsia="Book Antiqua" w:hAnsi="Book Antiqua" w:cs="Book Antiqua"/>
          <w:color w:val="000000"/>
        </w:rPr>
        <w:t>T</w:t>
      </w:r>
      <w:r w:rsidRPr="006A140B">
        <w:rPr>
          <w:rFonts w:ascii="Book Antiqua" w:eastAsia="Book Antiqua" w:hAnsi="Book Antiqua" w:cs="Book Antiqua"/>
          <w:color w:val="000000"/>
        </w:rPr>
        <w:t xml:space="preserve"> Society (</w:t>
      </w:r>
      <w:r w:rsidRPr="006A140B">
        <w:rPr>
          <w:rFonts w:ascii="Book Antiqua" w:eastAsia="Book Antiqua" w:hAnsi="Book Antiqua" w:cs="Book Antiqua"/>
          <w:i/>
          <w:iCs/>
          <w:color w:val="000000"/>
        </w:rPr>
        <w:t>La Sociedad Española de Trasplante Hepático</w:t>
      </w:r>
      <w:r w:rsidRPr="006A140B">
        <w:rPr>
          <w:rFonts w:ascii="Book Antiqua" w:eastAsia="Book Antiqua" w:hAnsi="Book Antiqua" w:cs="Book Antiqua"/>
          <w:color w:val="000000"/>
        </w:rPr>
        <w:t>) held the 6</w:t>
      </w:r>
      <w:r w:rsidRPr="006A140B">
        <w:rPr>
          <w:rFonts w:ascii="Book Antiqua" w:eastAsia="Book Antiqua" w:hAnsi="Book Antiqua" w:cs="Book Antiqua"/>
          <w:color w:val="000000"/>
          <w:vertAlign w:val="superscript"/>
        </w:rPr>
        <w:t>th</w:t>
      </w:r>
      <w:r w:rsidRPr="006A140B">
        <w:rPr>
          <w:rFonts w:ascii="Book Antiqua" w:eastAsia="Book Antiqua" w:hAnsi="Book Antiqua" w:cs="Book Antiqua"/>
          <w:color w:val="000000"/>
        </w:rPr>
        <w:t xml:space="preserve"> Consensus Document Meeting on October 20, 2016, in which experts from the 24 authorized Spanish LT programs participated</w:t>
      </w:r>
      <w:r w:rsidRPr="006A140B">
        <w:rPr>
          <w:rFonts w:ascii="Book Antiqua" w:eastAsia="Book Antiqua" w:hAnsi="Book Antiqua" w:cs="Book Antiqua"/>
          <w:color w:val="000000"/>
          <w:vertAlign w:val="superscript"/>
        </w:rPr>
        <w:t>[182]</w:t>
      </w:r>
      <w:r w:rsidRPr="006A140B">
        <w:rPr>
          <w:rFonts w:ascii="Book Antiqua" w:eastAsia="Book Antiqua" w:hAnsi="Book Antiqua" w:cs="Book Antiqua"/>
          <w:color w:val="000000"/>
        </w:rPr>
        <w:t>. According to the consensus, SLKT is recommended in patients with liver transplant criteria plus one of the following: (1) CKD in chronic dialysis or eGFR &gt; 30 mL/min</w:t>
      </w:r>
      <w:r w:rsidR="00995F0A"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or (2) CKD with eGFR between 30 and 40 mL/min and some signs of poor renal prognosis</w:t>
      </w:r>
      <w:r w:rsidR="00D707B0"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w:t>
      </w:r>
      <w:r w:rsidR="00D707B0"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such as proteinuria &gt;</w:t>
      </w:r>
      <w:r w:rsidR="00995F0A"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1</w:t>
      </w:r>
      <w:r w:rsidR="00995F0A"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g/d (&gt;</w:t>
      </w:r>
      <w:r w:rsidR="00995F0A"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3 mo) and/or diabetic nephropathy</w:t>
      </w:r>
      <w:r w:rsidR="00D707B0"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w:t>
      </w:r>
      <w:r w:rsidR="00D707B0"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and/or histological findings of poor prognosis in renal biopsy (more than 30% glomerulosclerosis or more than 30% interstitial fibrosis). SLKT is also recommended in patients who are candidates for LT with acute kidney disease requiring dialysis for 6 consecutive weeks, either continuously or intermittently.</w:t>
      </w:r>
    </w:p>
    <w:p w14:paraId="2A58963C" w14:textId="0DC2070B"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 xml:space="preserve">Several more recent studies have specifically focused on the outcomes of patients receiving SLKT for HCC. A study included 2606 patients (mean age: 53 years) receiving SLKT for primary biliary cirrhosis (PBC,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76), primary sclerosing cholangitis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81), HBV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98), HCV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945), alcoholic liver disease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495), alcohol and HCV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152), cryptogenic cirrhosis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289), NASH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221), or HCC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249); that study reported that HCV, NASH, and HCC had worse outcomes for liver graft (72%, 66%, and 72% </w:t>
      </w:r>
      <w:r w:rsidRPr="006A140B">
        <w:rPr>
          <w:rFonts w:ascii="Book Antiqua" w:eastAsia="Book Antiqua" w:hAnsi="Book Antiqua" w:cs="Book Antiqua"/>
          <w:i/>
          <w:iCs/>
          <w:color w:val="000000"/>
        </w:rPr>
        <w:t>vs</w:t>
      </w:r>
      <w:r w:rsidRPr="006A140B">
        <w:rPr>
          <w:rFonts w:ascii="Book Antiqua" w:eastAsia="Book Antiqua" w:hAnsi="Book Antiqua" w:cs="Book Antiqua"/>
          <w:color w:val="000000"/>
        </w:rPr>
        <w:t xml:space="preserve"> 82%; HR: 2.5</w:t>
      </w:r>
      <w:r w:rsidR="00F5400E"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3.1), kidney graft (71, 65%, and 71% </w:t>
      </w:r>
      <w:r w:rsidRPr="006A140B">
        <w:rPr>
          <w:rFonts w:ascii="Book Antiqua" w:eastAsia="Book Antiqua" w:hAnsi="Book Antiqua" w:cs="Book Antiqua"/>
          <w:i/>
          <w:iCs/>
          <w:color w:val="000000"/>
        </w:rPr>
        <w:t>vs</w:t>
      </w:r>
      <w:r w:rsidRPr="006A140B">
        <w:rPr>
          <w:rFonts w:ascii="Book Antiqua" w:eastAsia="Book Antiqua" w:hAnsi="Book Antiqua" w:cs="Book Antiqua"/>
          <w:color w:val="000000"/>
        </w:rPr>
        <w:t xml:space="preserve"> 80%; HR: 2.3</w:t>
      </w:r>
      <w:r w:rsidR="00F5400E"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2.8), and patient survival (74, 69, and 69% </w:t>
      </w:r>
      <w:r w:rsidRPr="006A140B">
        <w:rPr>
          <w:rFonts w:ascii="Book Antiqua" w:eastAsia="Book Antiqua" w:hAnsi="Book Antiqua" w:cs="Book Antiqua"/>
          <w:i/>
          <w:iCs/>
          <w:color w:val="000000"/>
        </w:rPr>
        <w:t>vs</w:t>
      </w:r>
      <w:r w:rsidRPr="006A140B">
        <w:rPr>
          <w:rFonts w:ascii="Book Antiqua" w:eastAsia="Book Antiqua" w:hAnsi="Book Antiqua" w:cs="Book Antiqua"/>
          <w:color w:val="000000"/>
        </w:rPr>
        <w:t xml:space="preserve"> 82%; HR</w:t>
      </w:r>
      <w:r w:rsidR="00F5400E"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2.4</w:t>
      </w:r>
      <w:r w:rsidR="00F5400E" w:rsidRPr="006A140B">
        <w:rPr>
          <w:rFonts w:ascii="Book Antiqua" w:eastAsia="Book Antiqua" w:hAnsi="Book Antiqua" w:cs="Book Antiqua"/>
          <w:color w:val="000000"/>
        </w:rPr>
        <w:t>-</w:t>
      </w:r>
      <w:r w:rsidRPr="006A140B">
        <w:rPr>
          <w:rFonts w:ascii="Book Antiqua" w:eastAsia="Book Antiqua" w:hAnsi="Book Antiqua" w:cs="Book Antiqua"/>
          <w:color w:val="000000"/>
        </w:rPr>
        <w:t>2.7) compared with PBC</w:t>
      </w:r>
      <w:r w:rsidRPr="006A140B">
        <w:rPr>
          <w:rFonts w:ascii="Book Antiqua" w:eastAsia="Book Antiqua" w:hAnsi="Book Antiqua" w:cs="Book Antiqua"/>
          <w:color w:val="000000"/>
          <w:vertAlign w:val="superscript"/>
        </w:rPr>
        <w:t>[183]</w:t>
      </w:r>
      <w:r w:rsidRPr="006A140B">
        <w:rPr>
          <w:rFonts w:ascii="Book Antiqua" w:eastAsia="Book Antiqua" w:hAnsi="Book Antiqua" w:cs="Book Antiqua"/>
          <w:color w:val="000000"/>
        </w:rPr>
        <w:t>. In another retrospective analysis of SLKT from the United Network for Organ Sharing registry</w:t>
      </w:r>
      <w:r w:rsidRPr="006A140B">
        <w:rPr>
          <w:rFonts w:ascii="Book Antiqua" w:eastAsia="Book Antiqua" w:hAnsi="Book Antiqua" w:cs="Book Antiqua"/>
          <w:color w:val="000000"/>
          <w:vertAlign w:val="superscript"/>
        </w:rPr>
        <w:t>[184]</w:t>
      </w:r>
      <w:r w:rsidRPr="006A140B">
        <w:rPr>
          <w:rFonts w:ascii="Book Antiqua" w:eastAsia="Book Antiqua" w:hAnsi="Book Antiqua" w:cs="Book Antiqua"/>
          <w:color w:val="000000"/>
        </w:rPr>
        <w:t>, the authors compared the outcomes of HCC with other transplant indications. HCC was not associated with post-transplant survival among all patients (HR: 1.15; 95%CI: 0.84</w:t>
      </w:r>
      <w:r w:rsidR="00D707B0" w:rsidRPr="006A140B">
        <w:rPr>
          <w:rFonts w:ascii="Book Antiqua" w:eastAsia="Book Antiqua" w:hAnsi="Book Antiqua" w:cs="Book Antiqua"/>
          <w:color w:val="000000"/>
        </w:rPr>
        <w:t>-</w:t>
      </w:r>
      <w:r w:rsidRPr="006A140B">
        <w:rPr>
          <w:rFonts w:ascii="Book Antiqua" w:eastAsia="Book Antiqua" w:hAnsi="Book Antiqua" w:cs="Book Antiqua"/>
          <w:color w:val="000000"/>
        </w:rPr>
        <w:t>1.58) or the propensity score-matched cohort (HR: 0.97; 95%CI: 0.64</w:t>
      </w:r>
      <w:r w:rsidR="00D707B0"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1.47). SLKT-HCC patients had similar rates of acute rejection (13.3% </w:t>
      </w:r>
      <w:r w:rsidRPr="006A140B">
        <w:rPr>
          <w:rFonts w:ascii="Book Antiqua" w:eastAsia="Book Antiqua" w:hAnsi="Book Antiqua" w:cs="Book Antiqua"/>
          <w:i/>
          <w:iCs/>
          <w:color w:val="000000"/>
        </w:rPr>
        <w:t>vs</w:t>
      </w:r>
      <w:r w:rsidRPr="006A140B">
        <w:rPr>
          <w:rFonts w:ascii="Book Antiqua" w:eastAsia="Book Antiqua" w:hAnsi="Book Antiqua" w:cs="Book Antiqua"/>
          <w:color w:val="000000"/>
        </w:rPr>
        <w:t xml:space="preserve"> 10.5%, </w:t>
      </w:r>
      <w:r w:rsidRPr="006A140B">
        <w:rPr>
          <w:rFonts w:ascii="Book Antiqua" w:eastAsia="Book Antiqua" w:hAnsi="Book Antiqua" w:cs="Book Antiqua"/>
          <w:i/>
          <w:iCs/>
          <w:color w:val="000000"/>
        </w:rPr>
        <w:t>P</w:t>
      </w:r>
      <w:r w:rsidRPr="006A140B">
        <w:rPr>
          <w:rFonts w:ascii="Book Antiqua" w:eastAsia="Book Antiqua" w:hAnsi="Book Antiqua" w:cs="Book Antiqua"/>
          <w:color w:val="000000"/>
        </w:rPr>
        <w:t xml:space="preserve"> = 0.36) and liver graft failure requiring retransplantation (3.2% </w:t>
      </w:r>
      <w:r w:rsidRPr="006A140B">
        <w:rPr>
          <w:rFonts w:ascii="Book Antiqua" w:eastAsia="Book Antiqua" w:hAnsi="Book Antiqua" w:cs="Book Antiqua"/>
          <w:i/>
          <w:iCs/>
          <w:color w:val="000000"/>
        </w:rPr>
        <w:t>vs</w:t>
      </w:r>
      <w:r w:rsidRPr="006A140B">
        <w:rPr>
          <w:rFonts w:ascii="Book Antiqua" w:eastAsia="Book Antiqua" w:hAnsi="Book Antiqua" w:cs="Book Antiqua"/>
          <w:color w:val="000000"/>
        </w:rPr>
        <w:t xml:space="preserve"> 2.3%, </w:t>
      </w:r>
      <w:r w:rsidRPr="006A140B">
        <w:rPr>
          <w:rFonts w:ascii="Book Antiqua" w:eastAsia="Book Antiqua" w:hAnsi="Book Antiqua" w:cs="Book Antiqua"/>
          <w:i/>
          <w:iCs/>
          <w:color w:val="000000"/>
        </w:rPr>
        <w:t>P</w:t>
      </w:r>
      <w:r w:rsidRPr="006A140B">
        <w:rPr>
          <w:rFonts w:ascii="Book Antiqua" w:eastAsia="Book Antiqua" w:hAnsi="Book Antiqua" w:cs="Book Antiqua"/>
          <w:color w:val="000000"/>
        </w:rPr>
        <w:t xml:space="preserve"> = 0.44). The author commented that liver transplant candidates with advanced renal dysfunction and HCC may be considered for SLKT</w:t>
      </w:r>
      <w:r w:rsidRPr="006A140B">
        <w:rPr>
          <w:rFonts w:ascii="Book Antiqua" w:eastAsia="Book Antiqua" w:hAnsi="Book Antiqua" w:cs="Book Antiqua"/>
          <w:color w:val="000000"/>
          <w:vertAlign w:val="superscript"/>
        </w:rPr>
        <w:t>[184]</w:t>
      </w:r>
      <w:r w:rsidRPr="006A140B">
        <w:rPr>
          <w:rFonts w:ascii="Book Antiqua" w:eastAsia="Book Antiqua" w:hAnsi="Book Antiqua" w:cs="Book Antiqua"/>
          <w:color w:val="000000"/>
        </w:rPr>
        <w:t>. SLKT seems to be a treatment of choice for HCC patients with advanced renal dysfunction. However, more studies specifically targeting patients with HCC as the main indication for SLKT are warranted to support the safety and efficacy of this treatment.</w:t>
      </w:r>
    </w:p>
    <w:p w14:paraId="23883F02" w14:textId="77777777" w:rsidR="00A77B3E" w:rsidRPr="006A140B" w:rsidRDefault="00A77B3E" w:rsidP="00495B7C">
      <w:pPr>
        <w:spacing w:line="360" w:lineRule="auto"/>
        <w:ind w:firstLine="480"/>
        <w:jc w:val="both"/>
        <w:rPr>
          <w:rFonts w:ascii="Book Antiqua" w:hAnsi="Book Antiqua"/>
        </w:rPr>
      </w:pPr>
    </w:p>
    <w:p w14:paraId="3CE606F2" w14:textId="77777777" w:rsidR="00A77B3E" w:rsidRPr="006A140B" w:rsidRDefault="007D6307" w:rsidP="00390A7F">
      <w:pPr>
        <w:spacing w:line="360" w:lineRule="auto"/>
        <w:jc w:val="both"/>
        <w:rPr>
          <w:rFonts w:ascii="Book Antiqua" w:hAnsi="Book Antiqua"/>
        </w:rPr>
      </w:pPr>
      <w:r w:rsidRPr="006A140B">
        <w:rPr>
          <w:rFonts w:ascii="Book Antiqua" w:eastAsia="Book Antiqua" w:hAnsi="Book Antiqua" w:cs="Book Antiqua"/>
          <w:b/>
          <w:bCs/>
          <w:i/>
          <w:iCs/>
          <w:color w:val="000000"/>
        </w:rPr>
        <w:t>Radiofrequency ablation</w:t>
      </w:r>
    </w:p>
    <w:p w14:paraId="5FA535DF" w14:textId="7FA16C5F" w:rsidR="00A77B3E" w:rsidRPr="006A140B" w:rsidRDefault="007D6307" w:rsidP="00390A7F">
      <w:pPr>
        <w:spacing w:line="360" w:lineRule="auto"/>
        <w:jc w:val="both"/>
        <w:rPr>
          <w:rFonts w:ascii="Book Antiqua" w:hAnsi="Book Antiqua"/>
        </w:rPr>
      </w:pPr>
      <w:r w:rsidRPr="006A140B">
        <w:rPr>
          <w:rFonts w:ascii="Book Antiqua" w:eastAsia="Book Antiqua" w:hAnsi="Book Antiqua" w:cs="Book Antiqua"/>
          <w:color w:val="000000"/>
        </w:rPr>
        <w:t>Since the early 1990s, radiofrequency ablation (RFA) has been introduced to clinical practices and has rapidly become the first-choice local treatment for small (≤</w:t>
      </w:r>
      <w:r w:rsidR="00390A7F"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3 cm) HCC lesions. Based on the BCLC staging system, RFA is applied for the treatment of patients having very early (Stage 0) and early stage (Stage A) HCC (Figure 2)</w:t>
      </w:r>
      <w:r w:rsidRPr="006A140B">
        <w:rPr>
          <w:rFonts w:ascii="Book Antiqua" w:eastAsia="Book Antiqua" w:hAnsi="Book Antiqua" w:cs="Book Antiqua"/>
          <w:color w:val="000000"/>
          <w:vertAlign w:val="superscript"/>
        </w:rPr>
        <w:t>[138]</w:t>
      </w:r>
      <w:r w:rsidRPr="006A140B">
        <w:rPr>
          <w:rFonts w:ascii="Book Antiqua" w:eastAsia="Book Antiqua" w:hAnsi="Book Antiqua" w:cs="Book Antiqua"/>
          <w:color w:val="000000"/>
        </w:rPr>
        <w:t>.</w:t>
      </w:r>
      <w:r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CFCFC"/>
        </w:rPr>
        <w:t>F</w:t>
      </w:r>
      <w:r w:rsidRPr="006A140B">
        <w:rPr>
          <w:rFonts w:ascii="Book Antiqua" w:eastAsia="Book Antiqua" w:hAnsi="Book Antiqua" w:cs="Book Antiqua"/>
          <w:color w:val="000000"/>
        </w:rPr>
        <w:t xml:space="preserve">or most appropriate patients selected, this treatment is safe and efficient. However, reports of complications are common. Livraghi </w:t>
      </w:r>
      <w:r w:rsidRPr="006A140B">
        <w:rPr>
          <w:rFonts w:ascii="Book Antiqua" w:eastAsia="Book Antiqua" w:hAnsi="Book Antiqua" w:cs="Book Antiqua"/>
          <w:i/>
          <w:iCs/>
          <w:color w:val="000000"/>
        </w:rPr>
        <w:t>et al</w:t>
      </w:r>
      <w:r w:rsidR="00390A7F" w:rsidRPr="006A140B">
        <w:rPr>
          <w:rFonts w:ascii="Book Antiqua" w:eastAsia="Book Antiqua" w:hAnsi="Book Antiqua" w:cs="Book Antiqua"/>
          <w:color w:val="000000"/>
          <w:vertAlign w:val="superscript"/>
        </w:rPr>
        <w:t>[185]</w:t>
      </w:r>
      <w:r w:rsidR="00390A7F"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and Takaki</w:t>
      </w:r>
      <w:r w:rsidRPr="006A140B">
        <w:rPr>
          <w:rFonts w:ascii="Book Antiqua" w:eastAsia="Book Antiqua" w:hAnsi="Book Antiqua" w:cs="Book Antiqua"/>
          <w:i/>
          <w:iCs/>
          <w:color w:val="000000"/>
        </w:rPr>
        <w:t xml:space="preserve"> et al</w:t>
      </w:r>
      <w:r w:rsidR="00390A7F" w:rsidRPr="006A140B">
        <w:rPr>
          <w:rFonts w:ascii="Book Antiqua" w:eastAsia="Book Antiqua" w:hAnsi="Book Antiqua" w:cs="Book Antiqua"/>
          <w:color w:val="000000"/>
          <w:vertAlign w:val="superscript"/>
        </w:rPr>
        <w:t>[186]</w:t>
      </w:r>
      <w:r w:rsidRPr="006A140B">
        <w:rPr>
          <w:rFonts w:ascii="Book Antiqua" w:eastAsia="Book Antiqua" w:hAnsi="Book Antiqua" w:cs="Book Antiqua"/>
          <w:color w:val="000000"/>
        </w:rPr>
        <w:t xml:space="preserve"> reported mortality rates between 0.1% and 0.3%</w:t>
      </w:r>
      <w:r w:rsidRPr="006A140B">
        <w:rPr>
          <w:rFonts w:ascii="Book Antiqua" w:eastAsia="Book Antiqua" w:hAnsi="Book Antiqua" w:cs="Book Antiqua"/>
          <w:color w:val="000000"/>
          <w:vertAlign w:val="superscript"/>
        </w:rPr>
        <w:t>[185,186]</w:t>
      </w:r>
      <w:r w:rsidRPr="006A140B">
        <w:rPr>
          <w:rFonts w:ascii="Book Antiqua" w:eastAsia="Book Antiqua" w:hAnsi="Book Antiqua" w:cs="Book Antiqua"/>
          <w:color w:val="000000"/>
        </w:rPr>
        <w:t>. The major complication rate was estimated at 2.2% to 2.8%. The causes of death were bowel perforation, peritonitis, tumor rupture, and liver failure due to biliary stricture. The most frequent major complications were hemorrhage and tumor seeding, followed by liver abscess, bowel perforation, hemothorax, and liver failure. Minor complications included acute skin burn, self-limiting intraperitoneal bleeding, subcapsular or intrahepatic hematoma, arterioportal shunt, biliary portal shunt with hemobilia, transient liver decompensation, and direct renal tissue damage. In less common cases, the procedure may cause renal dysfunction or related side effects. Thermal injury could lead to hemolysis and rhabdomyolysis</w:t>
      </w:r>
      <w:r w:rsidRPr="006A140B">
        <w:rPr>
          <w:rFonts w:ascii="Book Antiqua" w:eastAsia="Book Antiqua" w:hAnsi="Book Antiqua" w:cs="Book Antiqua"/>
          <w:color w:val="000000"/>
          <w:vertAlign w:val="superscript"/>
        </w:rPr>
        <w:t>[187-189]</w:t>
      </w:r>
      <w:r w:rsidRPr="006A140B">
        <w:rPr>
          <w:rFonts w:ascii="Book Antiqua" w:eastAsia="Book Antiqua" w:hAnsi="Book Antiqua" w:cs="Book Antiqua"/>
          <w:color w:val="000000"/>
        </w:rPr>
        <w:t>, and the extensive breakdown and transcellular shift of potassium may lead to varying (and even life-threatening) degrees of hyperkalemia, either in patients with normal baseline renal function or CKD</w:t>
      </w:r>
      <w:r w:rsidRPr="006A140B">
        <w:rPr>
          <w:rFonts w:ascii="Book Antiqua" w:eastAsia="Book Antiqua" w:hAnsi="Book Antiqua" w:cs="Book Antiqua"/>
          <w:color w:val="000000"/>
          <w:vertAlign w:val="superscript"/>
        </w:rPr>
        <w:t>[190]</w:t>
      </w:r>
      <w:r w:rsidRPr="006A140B">
        <w:rPr>
          <w:rFonts w:ascii="Book Antiqua" w:eastAsia="Book Antiqua" w:hAnsi="Book Antiqua" w:cs="Book Antiqua"/>
          <w:color w:val="000000"/>
        </w:rPr>
        <w:t xml:space="preserve">. This clinical implication is anticipated in case of prolonged ablation, and </w:t>
      </w:r>
      <w:r w:rsidRPr="006A140B">
        <w:rPr>
          <w:rFonts w:ascii="Book Antiqua" w:eastAsia="Book Antiqua" w:hAnsi="Book Antiqua" w:cs="Book Antiqua"/>
          <w:color w:val="000000"/>
          <w:shd w:val="clear" w:color="auto" w:fill="FFFFFF"/>
        </w:rPr>
        <w:t>laboratory monitoring during extensive or prolonged RFA procedures is recommended to detect hemolysis early. Laboratory tests including hematocrit, serum potassium, urine hemoglobin, and serum creatine phosphokinase level should be considered</w:t>
      </w:r>
      <w:r w:rsidRPr="006A140B">
        <w:rPr>
          <w:rFonts w:ascii="Book Antiqua" w:eastAsia="Book Antiqua" w:hAnsi="Book Antiqua" w:cs="Book Antiqua"/>
          <w:color w:val="000000"/>
          <w:shd w:val="clear" w:color="auto" w:fill="FFFFFF"/>
          <w:vertAlign w:val="superscript"/>
        </w:rPr>
        <w:t>[188]</w:t>
      </w:r>
      <w:r w:rsidRPr="006A140B">
        <w:rPr>
          <w:rFonts w:ascii="Book Antiqua" w:eastAsia="Book Antiqua" w:hAnsi="Book Antiqua" w:cs="Book Antiqua"/>
          <w:color w:val="000000"/>
          <w:shd w:val="clear" w:color="auto" w:fill="FFFFFF"/>
        </w:rPr>
        <w:t>. Hemolysis and rhabdomyolysis could also result in AKI</w:t>
      </w:r>
      <w:r w:rsidRPr="006A140B">
        <w:rPr>
          <w:rFonts w:ascii="Book Antiqua" w:eastAsia="Book Antiqua" w:hAnsi="Book Antiqua" w:cs="Book Antiqua"/>
          <w:color w:val="000000"/>
          <w:shd w:val="clear" w:color="auto" w:fill="FFFFFF"/>
          <w:vertAlign w:val="superscript"/>
        </w:rPr>
        <w:t>[188,189,191,192]</w:t>
      </w:r>
      <w:r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rPr>
        <w:t>Most patients experience moderately impacted renal function and a slight increase in serum creatinine without deterioration. However, the hemoglobin-mediated obstruction of renal tubules might cause more severe AKI, oliguria, and sometimes even death. One case report even documented progression to CKD</w:t>
      </w:r>
      <w:r w:rsidRPr="006A140B">
        <w:rPr>
          <w:rFonts w:ascii="Book Antiqua" w:eastAsia="Book Antiqua" w:hAnsi="Book Antiqua" w:cs="Book Antiqua"/>
          <w:color w:val="000000"/>
          <w:vertAlign w:val="superscript"/>
        </w:rPr>
        <w:t>[193]</w:t>
      </w:r>
      <w:r w:rsidRPr="006A140B">
        <w:rPr>
          <w:rFonts w:ascii="Book Antiqua" w:eastAsia="Book Antiqua" w:hAnsi="Book Antiqua" w:cs="Book Antiqua"/>
          <w:color w:val="000000"/>
        </w:rPr>
        <w:t>.</w:t>
      </w:r>
    </w:p>
    <w:p w14:paraId="6010A28C" w14:textId="73AB1093"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Few original studies or systematic reviews have discussed whether pre-existing renal dysfunction before RFA is related to treatment outcomes, although much more evidence indicating treatment outcomes in patients with ESRD on dialysis receiving RFA for HCC have been emerging. To examine the efficacy and safety of RFA in treating HCC in patients with HD, a study enrolled 108 HD patients with naïve HCC at 15 institutions between 1988 and 2014</w:t>
      </w:r>
      <w:r w:rsidRPr="006A140B">
        <w:rPr>
          <w:rFonts w:ascii="Book Antiqua" w:eastAsia="Book Antiqua" w:hAnsi="Book Antiqua" w:cs="Book Antiqua"/>
          <w:color w:val="000000"/>
          <w:vertAlign w:val="superscript"/>
        </w:rPr>
        <w:t>[194]</w:t>
      </w:r>
      <w:r w:rsidRPr="006A140B">
        <w:rPr>
          <w:rFonts w:ascii="Book Antiqua" w:eastAsia="Book Antiqua" w:hAnsi="Book Antiqua" w:cs="Book Antiqua"/>
          <w:color w:val="000000"/>
        </w:rPr>
        <w:t>. Fifty-eight patients with appropriate indications treated with either hepatectomy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23) or RFA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35) were compared with respect to their clinical features, complications, and prognosis. The two treatments did not significantly differ in their overall survival and disease-free survival rates. The author concluded that RFA had a therapeutic efficacy in HD patients with naïve HCC that is comparable to liver resection. Another study included 14 carefully selected HD patients with HCC (five naïve, nine recurrent) who underwent a total of 19 </w:t>
      </w:r>
      <w:r w:rsidR="006B7CB7" w:rsidRPr="006A140B">
        <w:rPr>
          <w:rFonts w:ascii="Book Antiqua" w:eastAsia="Book Antiqua" w:hAnsi="Book Antiqua" w:cs="Book Antiqua"/>
          <w:color w:val="000000"/>
        </w:rPr>
        <w:t>RFA</w:t>
      </w:r>
      <w:r w:rsidRPr="006A140B">
        <w:rPr>
          <w:rFonts w:ascii="Book Antiqua" w:eastAsia="Book Antiqua" w:hAnsi="Book Antiqua" w:cs="Book Antiqua"/>
          <w:color w:val="000000"/>
        </w:rPr>
        <w:t xml:space="preserve"> treatments, and revealed no major complications, suggesting that the safety and effectiveness of </w:t>
      </w:r>
      <w:r w:rsidR="006B7CB7" w:rsidRPr="006A140B">
        <w:rPr>
          <w:rFonts w:ascii="Book Antiqua" w:eastAsia="Book Antiqua" w:hAnsi="Book Antiqua" w:cs="Book Antiqua"/>
          <w:color w:val="000000"/>
        </w:rPr>
        <w:t>RFA</w:t>
      </w:r>
      <w:r w:rsidRPr="006A140B">
        <w:rPr>
          <w:rFonts w:ascii="Book Antiqua" w:eastAsia="Book Antiqua" w:hAnsi="Book Antiqua" w:cs="Book Antiqua"/>
          <w:color w:val="000000"/>
        </w:rPr>
        <w:t xml:space="preserve"> were not compromised in this specific population</w:t>
      </w:r>
      <w:r w:rsidRPr="006A140B">
        <w:rPr>
          <w:rFonts w:ascii="Book Antiqua" w:eastAsia="Book Antiqua" w:hAnsi="Book Antiqua" w:cs="Book Antiqua"/>
          <w:color w:val="000000"/>
          <w:vertAlign w:val="superscript"/>
        </w:rPr>
        <w:t>[195]</w:t>
      </w:r>
      <w:r w:rsidRPr="006A140B">
        <w:rPr>
          <w:rFonts w:ascii="Book Antiqua" w:eastAsia="Book Antiqua" w:hAnsi="Book Antiqua" w:cs="Book Antiqua"/>
          <w:color w:val="000000"/>
        </w:rPr>
        <w:t xml:space="preserve">. </w:t>
      </w:r>
      <w:r w:rsidR="006B7CB7" w:rsidRPr="006A140B">
        <w:rPr>
          <w:rFonts w:ascii="Book Antiqua" w:eastAsia="Book Antiqua" w:hAnsi="Book Antiqua" w:cs="Book Antiqua"/>
          <w:color w:val="000000"/>
        </w:rPr>
        <w:t>RFA</w:t>
      </w:r>
      <w:r w:rsidRPr="006A140B">
        <w:rPr>
          <w:rFonts w:ascii="Book Antiqua" w:eastAsia="Book Antiqua" w:hAnsi="Book Antiqua" w:cs="Book Antiqua"/>
          <w:color w:val="000000"/>
        </w:rPr>
        <w:t xml:space="preserve"> seems to be a promising option for small HCC in patients undergoing regular HD. By contrast, a study using the Japanese Diagnosis Procedure Combination database compared the treatment outcomes in matched-pair samples of 437 dialyzed and 1345 nondialyzed patients</w:t>
      </w:r>
      <w:r w:rsidRPr="006A140B">
        <w:rPr>
          <w:rFonts w:ascii="Book Antiqua" w:eastAsia="Book Antiqua" w:hAnsi="Book Antiqua" w:cs="Book Antiqua"/>
          <w:color w:val="000000"/>
          <w:vertAlign w:val="superscript"/>
        </w:rPr>
        <w:t>[196]</w:t>
      </w:r>
      <w:r w:rsidRPr="006A140B">
        <w:rPr>
          <w:rFonts w:ascii="Book Antiqua" w:eastAsia="Book Antiqua" w:hAnsi="Book Antiqua" w:cs="Book Antiqua"/>
          <w:color w:val="000000"/>
        </w:rPr>
        <w:t>. In-hospital mortality and hemorrhagic complications were significantly higher in dialyzed patients with ESRD than in nondialyzed patients. In patients on HD for ESRD, mortality was significantly lower for those aged ≤</w:t>
      </w:r>
      <w:r w:rsidR="004B52F0"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70 years than for those aged older than that (</w:t>
      </w:r>
      <w:r w:rsidRPr="006A140B">
        <w:rPr>
          <w:rFonts w:ascii="Book Antiqua" w:eastAsia="Book Antiqua" w:hAnsi="Book Antiqua" w:cs="Book Antiqua"/>
          <w:i/>
          <w:iCs/>
          <w:color w:val="000000"/>
        </w:rPr>
        <w:t>P</w:t>
      </w:r>
      <w:r w:rsidRPr="006A140B">
        <w:rPr>
          <w:rFonts w:ascii="Book Antiqua" w:eastAsia="Book Antiqua" w:hAnsi="Book Antiqua" w:cs="Book Antiqua"/>
          <w:color w:val="000000"/>
        </w:rPr>
        <w:t xml:space="preserve"> = 0.02). Patient age may be a useful indicator when considering RFA for HCC in patients with ESRD on HD. Hyperkalemia was also reported in a patient with ESRD on regular HD after RFA for HCC</w:t>
      </w:r>
      <w:r w:rsidRPr="006A140B">
        <w:rPr>
          <w:rFonts w:ascii="Book Antiqua" w:eastAsia="Book Antiqua" w:hAnsi="Book Antiqua" w:cs="Book Antiqua"/>
          <w:color w:val="000000"/>
          <w:vertAlign w:val="superscript"/>
        </w:rPr>
        <w:t>[197]</w:t>
      </w:r>
      <w:r w:rsidRPr="006A140B">
        <w:rPr>
          <w:rFonts w:ascii="Book Antiqua" w:eastAsia="Book Antiqua" w:hAnsi="Book Antiqua" w:cs="Book Antiqua"/>
          <w:color w:val="000000"/>
        </w:rPr>
        <w:t xml:space="preserve">. Therefore, the indications for RFA in dialysis-dependent patients should be considered carefully. </w:t>
      </w:r>
    </w:p>
    <w:p w14:paraId="7938BC55" w14:textId="77777777" w:rsidR="00A77B3E" w:rsidRPr="006A140B" w:rsidRDefault="00A77B3E" w:rsidP="00495B7C">
      <w:pPr>
        <w:spacing w:line="360" w:lineRule="auto"/>
        <w:ind w:firstLine="480"/>
        <w:jc w:val="both"/>
        <w:rPr>
          <w:rFonts w:ascii="Book Antiqua" w:hAnsi="Book Antiqua"/>
        </w:rPr>
      </w:pPr>
    </w:p>
    <w:p w14:paraId="109E032A" w14:textId="745B9303" w:rsidR="00A77B3E" w:rsidRPr="006A140B" w:rsidRDefault="007D6307" w:rsidP="006B7CB7">
      <w:pPr>
        <w:spacing w:line="360" w:lineRule="auto"/>
        <w:jc w:val="both"/>
        <w:rPr>
          <w:rFonts w:ascii="Book Antiqua" w:hAnsi="Book Antiqua"/>
          <w:i/>
          <w:iCs/>
        </w:rPr>
      </w:pPr>
      <w:r w:rsidRPr="006A140B">
        <w:rPr>
          <w:rFonts w:ascii="Book Antiqua" w:eastAsia="Book Antiqua" w:hAnsi="Book Antiqua" w:cs="Book Antiqua"/>
          <w:b/>
          <w:bCs/>
          <w:i/>
          <w:iCs/>
          <w:color w:val="000000"/>
        </w:rPr>
        <w:t>T</w:t>
      </w:r>
      <w:r w:rsidR="006B7CB7" w:rsidRPr="006A140B">
        <w:rPr>
          <w:rFonts w:ascii="Book Antiqua" w:eastAsia="Book Antiqua" w:hAnsi="Book Antiqua" w:cs="Book Antiqua"/>
          <w:b/>
          <w:bCs/>
          <w:i/>
          <w:iCs/>
          <w:color w:val="000000"/>
        </w:rPr>
        <w:t>ACE</w:t>
      </w:r>
    </w:p>
    <w:p w14:paraId="18EC2685" w14:textId="17391C6F" w:rsidR="00A77B3E" w:rsidRPr="006A140B" w:rsidRDefault="007D6307" w:rsidP="006B7CB7">
      <w:pPr>
        <w:spacing w:line="360" w:lineRule="auto"/>
        <w:jc w:val="both"/>
        <w:rPr>
          <w:rFonts w:ascii="Book Antiqua" w:hAnsi="Book Antiqua"/>
        </w:rPr>
      </w:pPr>
      <w:r w:rsidRPr="006A140B">
        <w:rPr>
          <w:rFonts w:ascii="Book Antiqua" w:eastAsia="Book Antiqua" w:hAnsi="Book Antiqua" w:cs="Book Antiqua"/>
          <w:color w:val="000000"/>
        </w:rPr>
        <w:t>Transarterial therapy is a standard treatment for unresectable HCC and patients unfit for surgical resection due to compromised hepatic reserve or nonliver general comorbidities</w:t>
      </w:r>
      <w:r w:rsidRPr="006A140B">
        <w:rPr>
          <w:rFonts w:ascii="Book Antiqua" w:eastAsia="Book Antiqua" w:hAnsi="Book Antiqua" w:cs="Book Antiqua"/>
          <w:color w:val="000000"/>
          <w:vertAlign w:val="superscript"/>
        </w:rPr>
        <w:t>[138,198]</w:t>
      </w:r>
      <w:r w:rsidRPr="006A140B">
        <w:rPr>
          <w:rFonts w:ascii="Book Antiqua" w:eastAsia="Book Antiqua" w:hAnsi="Book Antiqua" w:cs="Book Antiqua"/>
          <w:color w:val="000000"/>
        </w:rPr>
        <w:t>, following which regular contrast-enhanced imaging for residual disease is recommended. The chemotherapeutic agents used in TACE cause tumor necrosis through the combined effects of targeted chemotherapy and arterial embolization</w:t>
      </w:r>
      <w:r w:rsidRPr="006A140B">
        <w:rPr>
          <w:rFonts w:ascii="Book Antiqua" w:eastAsia="Book Antiqua" w:hAnsi="Book Antiqua" w:cs="Book Antiqua"/>
          <w:color w:val="000000"/>
          <w:vertAlign w:val="superscript"/>
        </w:rPr>
        <w:t>[199]</w:t>
      </w:r>
      <w:r w:rsidRPr="006A140B">
        <w:rPr>
          <w:rFonts w:ascii="Book Antiqua" w:eastAsia="Book Antiqua" w:hAnsi="Book Antiqua" w:cs="Book Antiqua"/>
          <w:color w:val="000000"/>
        </w:rPr>
        <w:t>. However, the use of a water-soluble iodinated contrast medium in TACE may induce renal failure, especially in high-risk patients with liver cirrhosis-associated nephropathy</w:t>
      </w:r>
      <w:r w:rsidRPr="006A140B">
        <w:rPr>
          <w:rFonts w:ascii="Book Antiqua" w:eastAsia="Book Antiqua" w:hAnsi="Book Antiqua" w:cs="Book Antiqua"/>
          <w:color w:val="000000"/>
          <w:vertAlign w:val="superscript"/>
        </w:rPr>
        <w:t>[200]</w:t>
      </w:r>
      <w:r w:rsidRPr="006A140B">
        <w:rPr>
          <w:rFonts w:ascii="Book Antiqua" w:eastAsia="Book Antiqua" w:hAnsi="Book Antiqua" w:cs="Book Antiqua"/>
          <w:color w:val="000000"/>
        </w:rPr>
        <w:t xml:space="preserve">. AKI is a common complication found after TACE in patients with HCC, and </w:t>
      </w:r>
      <w:r w:rsidRPr="006A140B">
        <w:rPr>
          <w:rFonts w:ascii="Book Antiqua" w:eastAsia="Book Antiqua" w:hAnsi="Book Antiqua" w:cs="Book Antiqua"/>
          <w:color w:val="000000"/>
          <w:shd w:val="clear" w:color="auto" w:fill="FFFFFF"/>
        </w:rPr>
        <w:t>patients with post-TACE AKI have a higher risk of developing complications such as progression to CKD, ESRD, and death</w:t>
      </w:r>
      <w:r w:rsidRPr="006A140B">
        <w:rPr>
          <w:rFonts w:ascii="Book Antiqua" w:eastAsia="Book Antiqua" w:hAnsi="Book Antiqua" w:cs="Book Antiqua"/>
          <w:color w:val="000000"/>
          <w:shd w:val="clear" w:color="auto" w:fill="FFFFFF"/>
          <w:vertAlign w:val="superscript"/>
        </w:rPr>
        <w:t>[200-204]</w:t>
      </w:r>
      <w:r w:rsidRPr="006A140B">
        <w:rPr>
          <w:rFonts w:ascii="Book Antiqua" w:eastAsia="Book Antiqua" w:hAnsi="Book Antiqua" w:cs="Book Antiqua"/>
          <w:color w:val="000000"/>
          <w:shd w:val="clear" w:color="auto" w:fill="FFFFFF"/>
        </w:rPr>
        <w:t>.</w:t>
      </w:r>
      <w:r w:rsidR="00C05A6B"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Preoperative CTP score, age, proteinuria, hemoglobin, serum total bilirubin, serum uric acid, aminotransferase level, post-TACE gastrointestinal bleeding, and previous post-TACE AKI history have been reported to be predictors of post-TACE AKI in HCC patients</w:t>
      </w:r>
      <w:r w:rsidRPr="006A140B">
        <w:rPr>
          <w:rFonts w:ascii="Book Antiqua" w:eastAsia="Book Antiqua" w:hAnsi="Book Antiqua" w:cs="Book Antiqua"/>
          <w:color w:val="000000"/>
          <w:shd w:val="clear" w:color="auto" w:fill="FFFFFF"/>
          <w:vertAlign w:val="superscript"/>
        </w:rPr>
        <w:t>[201,205,206]</w:t>
      </w:r>
      <w:r w:rsidRPr="006A140B">
        <w:rPr>
          <w:rFonts w:ascii="Book Antiqua" w:eastAsia="Book Antiqua" w:hAnsi="Book Antiqua" w:cs="Book Antiqua"/>
          <w:color w:val="000000"/>
          <w:shd w:val="clear" w:color="auto" w:fill="FFFFFF"/>
        </w:rPr>
        <w:t>.</w:t>
      </w:r>
    </w:p>
    <w:p w14:paraId="368E8200" w14:textId="20DFD98B"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Given the nephrotoxicity inherent in the intervention, the application of TACE for HCC in patients with underlying renal dysfunction is challenging. According to a retrospective study that investigated the outcomes of TACE in patients with HCC and CKD, more post-therapy complications, including acute renal failure and sepsis, were found in the CKD group than in the non-CKD group</w:t>
      </w:r>
      <w:r w:rsidRPr="006A140B">
        <w:rPr>
          <w:rFonts w:ascii="Book Antiqua" w:eastAsia="Book Antiqua" w:hAnsi="Book Antiqua" w:cs="Book Antiqua"/>
          <w:color w:val="000000"/>
          <w:vertAlign w:val="superscript"/>
        </w:rPr>
        <w:t>[207]</w:t>
      </w:r>
      <w:r w:rsidRPr="006A140B">
        <w:rPr>
          <w:rFonts w:ascii="Book Antiqua" w:eastAsia="Book Antiqua" w:hAnsi="Book Antiqua" w:cs="Book Antiqua"/>
          <w:color w:val="000000"/>
        </w:rPr>
        <w:t>. Overall survival in the CKD group was significantly poor (10.9</w:t>
      </w:r>
      <w:r w:rsidRPr="006A140B">
        <w:rPr>
          <w:rFonts w:ascii="微软雅黑" w:eastAsia="微软雅黑" w:hAnsi="微软雅黑" w:cs="微软雅黑" w:hint="eastAsia"/>
          <w:color w:val="000000"/>
        </w:rPr>
        <w:t> </w:t>
      </w:r>
      <w:r w:rsidR="00F47652" w:rsidRPr="006A140B">
        <w:rPr>
          <w:rFonts w:ascii="微软雅黑" w:eastAsia="微软雅黑" w:hAnsi="微软雅黑" w:cs="微软雅黑"/>
          <w:color w:val="000000"/>
          <w:lang w:eastAsia="zh-CN"/>
        </w:rPr>
        <w:t xml:space="preserve"> </w:t>
      </w:r>
      <w:r w:rsidRPr="006A140B">
        <w:rPr>
          <w:rFonts w:ascii="Book Antiqua" w:eastAsia="Book Antiqua" w:hAnsi="Book Antiqua" w:cs="Book Antiqua"/>
          <w:color w:val="000000"/>
        </w:rPr>
        <w:t>±</w:t>
      </w:r>
      <w:r w:rsidRPr="006A140B">
        <w:rPr>
          <w:rFonts w:ascii="微软雅黑" w:eastAsia="微软雅黑" w:hAnsi="微软雅黑" w:cs="微软雅黑" w:hint="eastAsia"/>
          <w:color w:val="000000"/>
        </w:rPr>
        <w:t> </w:t>
      </w:r>
      <w:r w:rsidR="00C05A6B" w:rsidRPr="006A140B">
        <w:rPr>
          <w:rFonts w:ascii="微软雅黑" w:eastAsia="微软雅黑" w:hAnsi="微软雅黑" w:cs="微软雅黑" w:hint="eastAsia"/>
          <w:color w:val="000000"/>
          <w:lang w:eastAsia="zh-CN"/>
        </w:rPr>
        <w:t xml:space="preserve"> </w:t>
      </w:r>
      <w:r w:rsidRPr="006A140B">
        <w:rPr>
          <w:rFonts w:ascii="Book Antiqua" w:eastAsia="Book Antiqua" w:hAnsi="Book Antiqua" w:cs="Book Antiqua"/>
          <w:color w:val="000000"/>
        </w:rPr>
        <w:t xml:space="preserve">8.5 </w:t>
      </w:r>
      <w:r w:rsidRPr="006A140B">
        <w:rPr>
          <w:rFonts w:ascii="Book Antiqua" w:eastAsia="Book Antiqua" w:hAnsi="Book Antiqua" w:cs="Book Antiqua"/>
          <w:i/>
          <w:iCs/>
          <w:color w:val="000000"/>
        </w:rPr>
        <w:t>vs</w:t>
      </w:r>
      <w:r w:rsidRPr="006A140B">
        <w:rPr>
          <w:rFonts w:ascii="Book Antiqua" w:eastAsia="Book Antiqua" w:hAnsi="Book Antiqua" w:cs="Book Antiqua"/>
          <w:color w:val="000000"/>
        </w:rPr>
        <w:t xml:space="preserve"> 23.5</w:t>
      </w:r>
      <w:r w:rsidRPr="006A140B">
        <w:rPr>
          <w:rFonts w:ascii="微软雅黑" w:eastAsia="微软雅黑" w:hAnsi="微软雅黑" w:cs="微软雅黑" w:hint="eastAsia"/>
          <w:color w:val="000000"/>
        </w:rPr>
        <w:t> </w:t>
      </w:r>
      <w:r w:rsidR="00C05A6B" w:rsidRPr="006A140B">
        <w:rPr>
          <w:rFonts w:ascii="微软雅黑" w:eastAsia="微软雅黑" w:hAnsi="微软雅黑" w:cs="微软雅黑" w:hint="eastAsia"/>
          <w:color w:val="000000"/>
          <w:lang w:eastAsia="zh-CN"/>
        </w:rPr>
        <w:t xml:space="preserve"> </w:t>
      </w:r>
      <w:r w:rsidRPr="006A140B">
        <w:rPr>
          <w:rFonts w:ascii="Book Antiqua" w:eastAsia="Book Antiqua" w:hAnsi="Book Antiqua" w:cs="Book Antiqua"/>
          <w:color w:val="000000"/>
        </w:rPr>
        <w:t>±</w:t>
      </w:r>
      <w:r w:rsidR="00C05A6B" w:rsidRPr="006A140B">
        <w:rPr>
          <w:rFonts w:ascii="Book Antiqua" w:eastAsia="Book Antiqua" w:hAnsi="Book Antiqua" w:cs="Book Antiqua"/>
          <w:color w:val="000000"/>
        </w:rPr>
        <w:t xml:space="preserve"> </w:t>
      </w:r>
      <w:r w:rsidRPr="006A140B">
        <w:rPr>
          <w:rFonts w:ascii="微软雅黑" w:eastAsia="微软雅黑" w:hAnsi="微软雅黑" w:cs="微软雅黑" w:hint="eastAsia"/>
          <w:color w:val="000000"/>
        </w:rPr>
        <w:t> </w:t>
      </w:r>
      <w:r w:rsidRPr="006A140B">
        <w:rPr>
          <w:rFonts w:ascii="Book Antiqua" w:eastAsia="Book Antiqua" w:hAnsi="Book Antiqua" w:cs="Book Antiqua"/>
          <w:color w:val="000000"/>
        </w:rPr>
        <w:t>16.3 mo,</w:t>
      </w:r>
      <w:r w:rsidR="00C05A6B" w:rsidRPr="006A140B">
        <w:rPr>
          <w:rFonts w:ascii="Book Antiqua" w:eastAsia="Book Antiqua" w:hAnsi="Book Antiqua" w:cs="Book Antiqua"/>
          <w:color w:val="000000"/>
        </w:rPr>
        <w:t xml:space="preserve"> </w:t>
      </w:r>
      <w:r w:rsidRPr="006A140B">
        <w:rPr>
          <w:rFonts w:ascii="Book Antiqua" w:eastAsia="Book Antiqua" w:hAnsi="Book Antiqua" w:cs="Book Antiqua"/>
          <w:i/>
          <w:iCs/>
          <w:color w:val="000000"/>
        </w:rPr>
        <w:t>P</w:t>
      </w:r>
      <w:r w:rsidRPr="006A140B">
        <w:rPr>
          <w:rFonts w:ascii="Book Antiqua" w:eastAsia="Book Antiqua" w:hAnsi="Book Antiqua" w:cs="Book Antiqua"/>
          <w:color w:val="000000"/>
        </w:rPr>
        <w:t xml:space="preserve"> &lt;</w:t>
      </w:r>
      <w:r w:rsidRPr="006A140B">
        <w:rPr>
          <w:rFonts w:ascii="微软雅黑" w:eastAsia="微软雅黑" w:hAnsi="微软雅黑" w:cs="微软雅黑" w:hint="eastAsia"/>
          <w:color w:val="000000"/>
        </w:rPr>
        <w:t> </w:t>
      </w:r>
      <w:r w:rsidR="00C05A6B" w:rsidRPr="006A140B">
        <w:rPr>
          <w:rFonts w:ascii="微软雅黑" w:eastAsia="微软雅黑" w:hAnsi="微软雅黑" w:cs="微软雅黑" w:hint="eastAsia"/>
          <w:color w:val="000000"/>
          <w:lang w:eastAsia="zh-CN"/>
        </w:rPr>
        <w:t xml:space="preserve"> </w:t>
      </w:r>
      <w:r w:rsidRPr="006A140B">
        <w:rPr>
          <w:rFonts w:ascii="Book Antiqua" w:eastAsia="Book Antiqua" w:hAnsi="Book Antiqua" w:cs="Book Antiqua"/>
          <w:color w:val="000000"/>
        </w:rPr>
        <w:t xml:space="preserve">0.01). However, in another study conducted to clarify the benefits and risk of TACE in patients with HCC and CKD, 35 patients receiving TACE were enrolled and classified into a CKD group [including nondialysis </w:t>
      </w:r>
      <w:r w:rsidR="00095161" w:rsidRPr="006A140B">
        <w:rPr>
          <w:rFonts w:ascii="Book Antiqua" w:eastAsia="Book Antiqua" w:hAnsi="Book Antiqua" w:cs="Book Antiqua"/>
          <w:color w:val="000000"/>
        </w:rPr>
        <w:t>CKD</w:t>
      </w:r>
      <w:r w:rsidRPr="006A140B">
        <w:rPr>
          <w:rFonts w:ascii="Book Antiqua" w:eastAsia="Book Antiqua" w:hAnsi="Book Antiqua" w:cs="Book Antiqua"/>
          <w:color w:val="000000"/>
        </w:rPr>
        <w:t xml:space="preserve"> (NDCKD),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10 and ESRD,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9], and a non-CKD group (</w:t>
      </w:r>
      <w:r w:rsidRPr="006A140B">
        <w:rPr>
          <w:rFonts w:ascii="Book Antiqua" w:eastAsia="Book Antiqua" w:hAnsi="Book Antiqua" w:cs="Book Antiqua"/>
          <w:i/>
          <w:iCs/>
          <w:color w:val="000000"/>
        </w:rPr>
        <w:t>n</w:t>
      </w:r>
      <w:r w:rsidRPr="006A140B">
        <w:rPr>
          <w:rFonts w:ascii="Book Antiqua" w:eastAsia="Book Antiqua" w:hAnsi="Book Antiqua" w:cs="Book Antiqua"/>
          <w:color w:val="000000"/>
        </w:rPr>
        <w:t xml:space="preserve"> = 16)</w:t>
      </w:r>
      <w:r w:rsidRPr="006A140B">
        <w:rPr>
          <w:rFonts w:ascii="Book Antiqua" w:eastAsia="Book Antiqua" w:hAnsi="Book Antiqua" w:cs="Book Antiqua"/>
          <w:color w:val="000000"/>
          <w:vertAlign w:val="superscript"/>
        </w:rPr>
        <w:t>[208]</w:t>
      </w:r>
      <w:r w:rsidRPr="006A140B">
        <w:rPr>
          <w:rFonts w:ascii="Book Antiqua" w:eastAsia="Book Antiqua" w:hAnsi="Book Antiqua" w:cs="Book Antiqua"/>
          <w:color w:val="000000"/>
        </w:rPr>
        <w:t xml:space="preserve">. The 2- and 5-year survival rates from initial diagnosis were comparable between the CKD and non-CKD groups. The 2- and 5-year survival rates were also similar in patients with NDCKD and those with ESRD. Of note is the strategy of “preventive HD” adopted in that study: </w:t>
      </w:r>
      <w:r w:rsidR="00C05A6B" w:rsidRPr="006A140B">
        <w:rPr>
          <w:rFonts w:ascii="Book Antiqua" w:eastAsia="Book Antiqua" w:hAnsi="Book Antiqua" w:cs="Book Antiqua"/>
          <w:color w:val="000000"/>
        </w:rPr>
        <w:t>A</w:t>
      </w:r>
      <w:r w:rsidRPr="006A140B">
        <w:rPr>
          <w:rFonts w:ascii="Book Antiqua" w:eastAsia="Book Antiqua" w:hAnsi="Book Antiqua" w:cs="Book Antiqua"/>
          <w:color w:val="000000"/>
        </w:rPr>
        <w:t>ll patients with CKD consulted a nephrologist, and HD was performed within 4 h after 20 of the 32 transarterial therapies in the 10 patients with NDCKD to prevent contrast-induced nephropathy in the CKD group. The authors concluded that TACE can be made feasible in patients with CKD by instituting periprocedural HD with survival rates that are similar to those of patients without CKD.</w:t>
      </w:r>
    </w:p>
    <w:p w14:paraId="141E10FF" w14:textId="03284BCE"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For patients already on regular hemodialysis for ESRD at the time of TACE, data are lacking because invasive treatment is rarely performed in this specific population. A Japanese pair-matched cohort using a nationwide database was recruited to evaluate the in-hospital mortality and complication rates following TACE in this population</w:t>
      </w:r>
      <w:r w:rsidRPr="006A140B">
        <w:rPr>
          <w:rFonts w:ascii="Book Antiqua" w:eastAsia="Book Antiqua" w:hAnsi="Book Antiqua" w:cs="Book Antiqua"/>
          <w:color w:val="000000"/>
          <w:vertAlign w:val="superscript"/>
        </w:rPr>
        <w:t>[209]</w:t>
      </w:r>
      <w:r w:rsidRPr="006A140B">
        <w:rPr>
          <w:rFonts w:ascii="Book Antiqua" w:eastAsia="Book Antiqua" w:hAnsi="Book Antiqua" w:cs="Book Antiqua"/>
          <w:color w:val="000000"/>
        </w:rPr>
        <w:t>. A total of 1551 dialyzed and 5585 nondialyzed patients with ESRD were enrolled. The complication rates did not differ between dialyzed and nondialyzed patients, but the in-hospital mortality rate was, at 2.2%, twice as high in dialyzed patients. Among the dialyzed patients, the mortality rate was not significantly associated with sex, age, or Charlson Comorbidity Index. The author concluded that indications for TACE in HD-dependent patients should be considered cautiously by weighing the benefits against the</w:t>
      </w:r>
      <w:r w:rsidR="00C05A6B"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risks.</w:t>
      </w:r>
    </w:p>
    <w:p w14:paraId="607EB5B1" w14:textId="77777777"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In summary, the available data regarding TACE in patients with pre-existing renal dysfunction are limited. More studies are warranted before we can definitely determine the safety and feasibility of TACE in patients with CKD or ESRD. Patients with advanced renal dysfunction may benefit from perioperative preventive HD, but further investigations are required to confirm the efficacy and safety of the measure. Because both the CKD and ESRD groups have reported worse prognoses after TACE compared with HCC patients without renal dysfunction, caution should be taken during the treatment planning process, and patients should be well-informed of the risks and complications involved.</w:t>
      </w:r>
    </w:p>
    <w:p w14:paraId="780D23D6" w14:textId="77777777" w:rsidR="00A77B3E" w:rsidRPr="006A140B" w:rsidRDefault="00A77B3E" w:rsidP="00495B7C">
      <w:pPr>
        <w:spacing w:line="360" w:lineRule="auto"/>
        <w:ind w:firstLine="480"/>
        <w:jc w:val="both"/>
        <w:rPr>
          <w:rFonts w:ascii="Book Antiqua" w:hAnsi="Book Antiqua"/>
        </w:rPr>
      </w:pPr>
    </w:p>
    <w:p w14:paraId="2B24AF19" w14:textId="77777777" w:rsidR="00A77B3E" w:rsidRPr="006A140B" w:rsidRDefault="007D6307" w:rsidP="00C05A6B">
      <w:pPr>
        <w:spacing w:line="360" w:lineRule="auto"/>
        <w:jc w:val="both"/>
        <w:rPr>
          <w:rFonts w:ascii="Book Antiqua" w:hAnsi="Book Antiqua"/>
        </w:rPr>
      </w:pPr>
      <w:r w:rsidRPr="006A140B">
        <w:rPr>
          <w:rFonts w:ascii="Book Antiqua" w:eastAsia="Book Antiqua" w:hAnsi="Book Antiqua" w:cs="Book Antiqua"/>
          <w:b/>
          <w:bCs/>
          <w:i/>
          <w:iCs/>
          <w:color w:val="000000"/>
        </w:rPr>
        <w:t>Systemic therapy</w:t>
      </w:r>
    </w:p>
    <w:p w14:paraId="395E0A5B" w14:textId="1CD1BBF0" w:rsidR="00A77B3E" w:rsidRPr="006A140B" w:rsidRDefault="007D6307" w:rsidP="00C05A6B">
      <w:pPr>
        <w:spacing w:line="360" w:lineRule="auto"/>
        <w:jc w:val="both"/>
        <w:rPr>
          <w:rFonts w:ascii="Book Antiqua" w:hAnsi="Book Antiqua"/>
        </w:rPr>
      </w:pPr>
      <w:r w:rsidRPr="006A140B">
        <w:rPr>
          <w:rFonts w:ascii="Book Antiqua" w:eastAsia="Book Antiqua" w:hAnsi="Book Antiqua" w:cs="Book Antiqua"/>
          <w:color w:val="000000"/>
        </w:rPr>
        <w:t>If HCC is diagnosed at an early stage, a wide array of treatment options that increase overall survival and improve quality of life are available. However, because late diagnosis is common, 70</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to 80% of advanced HCC cases will not benefit from tumor resection</w:t>
      </w:r>
      <w:r w:rsidRPr="006A140B">
        <w:rPr>
          <w:rFonts w:ascii="Book Antiqua" w:eastAsia="Book Antiqua" w:hAnsi="Book Antiqua" w:cs="Book Antiqua"/>
          <w:color w:val="000000"/>
          <w:vertAlign w:val="superscript"/>
        </w:rPr>
        <w:t>[3]</w:t>
      </w:r>
      <w:r w:rsidRPr="006A140B">
        <w:rPr>
          <w:rFonts w:ascii="Book Antiqua" w:eastAsia="Book Antiqua" w:hAnsi="Book Antiqua" w:cs="Book Antiqua"/>
          <w:color w:val="000000"/>
        </w:rPr>
        <w:t>, and only one-third of patients are eligible for curative therapeutic approaches</w:t>
      </w:r>
      <w:r w:rsidRPr="006A140B">
        <w:rPr>
          <w:rFonts w:ascii="Book Antiqua" w:eastAsia="Book Antiqua" w:hAnsi="Book Antiqua" w:cs="Book Antiqua"/>
          <w:color w:val="000000"/>
          <w:vertAlign w:val="superscript"/>
        </w:rPr>
        <w:t>[210]</w:t>
      </w:r>
      <w:r w:rsidRPr="006A140B">
        <w:rPr>
          <w:rFonts w:ascii="Book Antiqua" w:eastAsia="Book Antiqua" w:hAnsi="Book Antiqua" w:cs="Book Antiqua"/>
          <w:color w:val="000000"/>
        </w:rPr>
        <w:t>.</w:t>
      </w:r>
      <w:r w:rsidR="00C05A6B"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 xml:space="preserve">Current treatment options for patients with unresectable HCC include TACE and systemic medical treatments. Systemic treatments can generally be divided into two categories according to their mechanism of action: </w:t>
      </w:r>
      <w:r w:rsidR="00A05C58" w:rsidRPr="006A140B">
        <w:rPr>
          <w:rFonts w:ascii="Book Antiqua" w:eastAsia="Book Antiqua" w:hAnsi="Book Antiqua" w:cs="Book Antiqua"/>
          <w:color w:val="000000"/>
        </w:rPr>
        <w:t>T</w:t>
      </w:r>
      <w:r w:rsidRPr="006A140B">
        <w:rPr>
          <w:rFonts w:ascii="Book Antiqua" w:eastAsia="Book Antiqua" w:hAnsi="Book Antiqua" w:cs="Book Antiqua"/>
          <w:color w:val="000000"/>
        </w:rPr>
        <w:t xml:space="preserve">argeted therapy </w:t>
      </w:r>
      <w:r w:rsidR="00C05A6B"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mainly tyrosine kinase inhibitor </w:t>
      </w:r>
      <w:r w:rsidR="00C05A6B" w:rsidRPr="006A140B">
        <w:rPr>
          <w:rFonts w:ascii="Book Antiqua" w:eastAsia="Book Antiqua" w:hAnsi="Book Antiqua" w:cs="Book Antiqua"/>
          <w:color w:val="000000"/>
        </w:rPr>
        <w:t>(</w:t>
      </w:r>
      <w:r w:rsidRPr="006A140B">
        <w:rPr>
          <w:rFonts w:ascii="Book Antiqua" w:eastAsia="Book Antiqua" w:hAnsi="Book Antiqua" w:cs="Book Antiqua"/>
          <w:color w:val="000000"/>
        </w:rPr>
        <w:t>TKI</w:t>
      </w:r>
      <w:r w:rsidR="00C05A6B"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and immunotherapy. The following subsections concentrate on the mechanism of action, common adverse effects, and points of caution for people with renal dysfunction with respect to two groups of drugs.</w:t>
      </w:r>
    </w:p>
    <w:p w14:paraId="49E4668C" w14:textId="77777777" w:rsidR="00C05A6B" w:rsidRPr="006A140B" w:rsidRDefault="00C05A6B" w:rsidP="00495B7C">
      <w:pPr>
        <w:spacing w:line="360" w:lineRule="auto"/>
        <w:jc w:val="both"/>
        <w:rPr>
          <w:rFonts w:ascii="Book Antiqua" w:eastAsia="Book Antiqua" w:hAnsi="Book Antiqua" w:cs="Book Antiqua"/>
          <w:b/>
          <w:bCs/>
          <w:i/>
          <w:iCs/>
          <w:color w:val="000000"/>
        </w:rPr>
      </w:pPr>
    </w:p>
    <w:p w14:paraId="4D0CF627" w14:textId="2CE4B403" w:rsidR="00A77B3E" w:rsidRPr="006A140B" w:rsidRDefault="007D6307" w:rsidP="00C05A6B">
      <w:pPr>
        <w:spacing w:line="360" w:lineRule="auto"/>
        <w:jc w:val="both"/>
        <w:rPr>
          <w:rFonts w:ascii="Book Antiqua" w:hAnsi="Book Antiqua"/>
        </w:rPr>
      </w:pPr>
      <w:r w:rsidRPr="006A140B">
        <w:rPr>
          <w:rFonts w:ascii="Book Antiqua" w:eastAsia="Book Antiqua" w:hAnsi="Book Antiqua" w:cs="Book Antiqua"/>
          <w:b/>
          <w:bCs/>
          <w:color w:val="000000"/>
        </w:rPr>
        <w:t>Targeted therapy</w:t>
      </w:r>
      <w:r w:rsidR="00C05A6B" w:rsidRPr="006A140B">
        <w:rPr>
          <w:rFonts w:ascii="Book Antiqua" w:eastAsia="Book Antiqua" w:hAnsi="Book Antiqua" w:cs="Book Antiqua"/>
          <w:b/>
          <w:bCs/>
          <w:color w:val="000000"/>
        </w:rPr>
        <w:t>:</w:t>
      </w:r>
      <w:r w:rsidR="00C05A6B" w:rsidRPr="006A140B">
        <w:rPr>
          <w:rFonts w:ascii="Book Antiqua" w:hAnsi="Book Antiqua" w:hint="eastAsia"/>
          <w:lang w:eastAsia="zh-CN"/>
        </w:rPr>
        <w:t xml:space="preserve"> </w:t>
      </w:r>
      <w:r w:rsidRPr="006A140B">
        <w:rPr>
          <w:rFonts w:ascii="Book Antiqua" w:eastAsia="Book Antiqua" w:hAnsi="Book Antiqua" w:cs="Book Antiqua"/>
          <w:color w:val="000000"/>
          <w:shd w:val="clear" w:color="auto" w:fill="FFFFFF"/>
        </w:rPr>
        <w:t xml:space="preserve">The key signal transduction pathways participating in the pathogenesis of HCC include the Wnt-β catenin, EGFR-RAS-MAPK, and c-MET pathways as well as the </w:t>
      </w:r>
      <w:r w:rsidR="00C05A6B" w:rsidRPr="006A140B">
        <w:rPr>
          <w:rFonts w:ascii="Book Antiqua" w:eastAsia="Book Antiqua" w:hAnsi="Book Antiqua" w:cs="Book Antiqua"/>
          <w:color w:val="000000"/>
          <w:shd w:val="clear" w:color="auto" w:fill="FFFFFF"/>
        </w:rPr>
        <w:t>insulin-like growth factor</w:t>
      </w:r>
      <w:r w:rsidRPr="006A140B">
        <w:rPr>
          <w:rFonts w:ascii="Book Antiqua" w:eastAsia="Book Antiqua" w:hAnsi="Book Antiqua" w:cs="Book Antiqua"/>
          <w:color w:val="000000"/>
          <w:shd w:val="clear" w:color="auto" w:fill="FFFFFF"/>
        </w:rPr>
        <w:t xml:space="preserve"> signaling, Akt/mTOR signaling, and VEGF and </w:t>
      </w:r>
      <w:r w:rsidR="00A95EEF" w:rsidRPr="006A140B">
        <w:rPr>
          <w:rFonts w:ascii="Book Antiqua" w:eastAsia="Book Antiqua" w:hAnsi="Book Antiqua" w:cs="Book Antiqua"/>
          <w:color w:val="000000"/>
        </w:rPr>
        <w:t>platelet-derived growth factor receptor</w:t>
      </w:r>
      <w:r w:rsidRPr="006A140B">
        <w:rPr>
          <w:rFonts w:ascii="Book Antiqua" w:eastAsia="Book Antiqua" w:hAnsi="Book Antiqua" w:cs="Book Antiqua"/>
          <w:color w:val="000000"/>
        </w:rPr>
        <w:t xml:space="preserve"> sig</w:t>
      </w:r>
      <w:r w:rsidRPr="006A140B">
        <w:rPr>
          <w:rFonts w:ascii="Book Antiqua" w:eastAsia="Book Antiqua" w:hAnsi="Book Antiqua" w:cs="Book Antiqua"/>
          <w:color w:val="000000"/>
          <w:shd w:val="clear" w:color="auto" w:fill="FFFFFF"/>
        </w:rPr>
        <w:t>naling cascades</w:t>
      </w:r>
      <w:r w:rsidRPr="006A140B">
        <w:rPr>
          <w:rFonts w:ascii="Book Antiqua" w:eastAsia="Book Antiqua" w:hAnsi="Book Antiqua" w:cs="Book Antiqua"/>
          <w:color w:val="000000"/>
          <w:shd w:val="clear" w:color="auto" w:fill="FFFFFF"/>
          <w:vertAlign w:val="superscript"/>
        </w:rPr>
        <w:t>[211]</w:t>
      </w:r>
      <w:r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rPr>
        <w:t>TKIs are small molecules that inhibit the multiple receptor tyrosine kinases involved in tumor growth, angiogenesis, pathologic bone remodeling, drug resistance, and metastatic progression of cancer</w:t>
      </w:r>
      <w:r w:rsidRPr="006A140B">
        <w:rPr>
          <w:rFonts w:ascii="Book Antiqua" w:eastAsia="Book Antiqua" w:hAnsi="Book Antiqua" w:cs="Book Antiqua"/>
          <w:color w:val="000000"/>
          <w:vertAlign w:val="superscript"/>
        </w:rPr>
        <w:t>[204]</w:t>
      </w:r>
      <w:r w:rsidRPr="006A140B">
        <w:rPr>
          <w:rFonts w:ascii="Book Antiqua" w:eastAsia="Book Antiqua" w:hAnsi="Book Antiqua" w:cs="Book Antiqua"/>
          <w:color w:val="000000"/>
        </w:rPr>
        <w:t>.</w:t>
      </w:r>
      <w:r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rPr>
        <w:t>In 2007, a multi-kinase inhibitor (MKI) named sorafenib was approved as the first systemic agent for treating advanced unresectable HCC because a SHARP trial had suggested a survival benefit of approximately 3 mo</w:t>
      </w:r>
      <w:r w:rsidRPr="006A140B">
        <w:rPr>
          <w:rFonts w:ascii="Book Antiqua" w:eastAsia="Book Antiqua" w:hAnsi="Book Antiqua" w:cs="Book Antiqua"/>
          <w:color w:val="000000"/>
          <w:vertAlign w:val="superscript"/>
        </w:rPr>
        <w:t>[212,213]</w:t>
      </w:r>
      <w:r w:rsidRPr="006A140B">
        <w:rPr>
          <w:rFonts w:ascii="Book Antiqua" w:eastAsia="Book Antiqua" w:hAnsi="Book Antiqua" w:cs="Book Antiqua"/>
          <w:color w:val="000000"/>
        </w:rPr>
        <w:t>. Sorafenib is an oral MKI that blocks tyrosine kinase receptors (VEGFR-2/3, PDGFR-β, c-Kit, FLT-3, and RET) and other targets (c-Raf and B-Raf)</w:t>
      </w:r>
      <w:r w:rsidRPr="006A140B">
        <w:rPr>
          <w:rFonts w:ascii="Book Antiqua" w:eastAsia="Book Antiqua" w:hAnsi="Book Antiqua" w:cs="Book Antiqua"/>
          <w:color w:val="000000"/>
          <w:vertAlign w:val="superscript"/>
        </w:rPr>
        <w:t>[214]</w:t>
      </w:r>
      <w:r w:rsidRPr="006A140B">
        <w:rPr>
          <w:rFonts w:ascii="Book Antiqua" w:eastAsia="Book Antiqua" w:hAnsi="Book Antiqua" w:cs="Book Antiqua"/>
          <w:color w:val="000000"/>
        </w:rPr>
        <w:t>. In the kidneys, glomerular podocytes express VEGF and glomerular endothelial cells express VEGF receptors</w:t>
      </w:r>
      <w:r w:rsidRPr="006A140B">
        <w:rPr>
          <w:rFonts w:ascii="Book Antiqua" w:eastAsia="Book Antiqua" w:hAnsi="Book Antiqua" w:cs="Book Antiqua"/>
          <w:color w:val="000000"/>
          <w:vertAlign w:val="superscript"/>
        </w:rPr>
        <w:t>[215,216]</w:t>
      </w:r>
      <w:r w:rsidRPr="006A140B">
        <w:rPr>
          <w:rFonts w:ascii="Book Antiqua" w:eastAsia="Book Antiqua" w:hAnsi="Book Antiqua" w:cs="Book Antiqua"/>
          <w:color w:val="000000"/>
        </w:rPr>
        <w:t>. Podocyte-specific deletion of a single VEGF allele caused proteinuria and capillary endotheliosis in rodents, and disrupted glomerular VEGF signaling was strongly implicated in the pathogenesis of human preeclampsia</w:t>
      </w:r>
      <w:r w:rsidRPr="006A140B">
        <w:rPr>
          <w:rFonts w:ascii="Book Antiqua" w:eastAsia="Book Antiqua" w:hAnsi="Book Antiqua" w:cs="Book Antiqua"/>
          <w:color w:val="000000"/>
          <w:vertAlign w:val="superscript"/>
        </w:rPr>
        <w:t>[208]</w:t>
      </w:r>
      <w:r w:rsidRPr="006A140B">
        <w:rPr>
          <w:rFonts w:ascii="Book Antiqua" w:eastAsia="Book Antiqua" w:hAnsi="Book Antiqua" w:cs="Book Antiqua"/>
          <w:color w:val="000000"/>
        </w:rPr>
        <w:t>. Sorafenib’s mechanism of action clearly indicates its ability to induce significant adverse effects on the kidneys, including proteinuria, nephrotic syndrome, and preeclampsia-like syndrome</w:t>
      </w:r>
      <w:r w:rsidRPr="006A140B">
        <w:rPr>
          <w:rFonts w:ascii="Book Antiqua" w:eastAsia="Book Antiqua" w:hAnsi="Book Antiqua" w:cs="Book Antiqua"/>
          <w:color w:val="000000"/>
          <w:vertAlign w:val="superscript"/>
        </w:rPr>
        <w:t>[217,218]</w:t>
      </w:r>
      <w:r w:rsidRPr="006A140B">
        <w:rPr>
          <w:rFonts w:ascii="Book Antiqua" w:eastAsia="Book Antiqua" w:hAnsi="Book Antiqua" w:cs="Book Antiqua"/>
          <w:color w:val="000000"/>
        </w:rPr>
        <w:t>. Cases of renal failure, thrombotic microangiopathy (TMA), and focal segmental glomerulosclerosis (FSGS) have also been documented</w:t>
      </w:r>
      <w:r w:rsidRPr="006A140B">
        <w:rPr>
          <w:rFonts w:ascii="Book Antiqua" w:eastAsia="Book Antiqua" w:hAnsi="Book Antiqua" w:cs="Book Antiqua"/>
          <w:color w:val="000000"/>
          <w:vertAlign w:val="superscript"/>
        </w:rPr>
        <w:t>[213,219]</w:t>
      </w:r>
      <w:r w:rsidRPr="006A140B">
        <w:rPr>
          <w:rFonts w:ascii="Book Antiqua" w:eastAsia="Book Antiqua" w:hAnsi="Book Antiqua" w:cs="Book Antiqua"/>
          <w:color w:val="000000"/>
        </w:rPr>
        <w:t>. In patients on sorafenib with pre-existing renal dysfunction, studies have found no trend in pharmacokinetic parameters for sorafenib or its metabolites among any renal function group</w:t>
      </w:r>
      <w:r w:rsidRPr="006A140B">
        <w:rPr>
          <w:rFonts w:ascii="Book Antiqua" w:eastAsia="Book Antiqua" w:hAnsi="Book Antiqua" w:cs="Book Antiqua"/>
          <w:color w:val="000000"/>
          <w:vertAlign w:val="superscript"/>
        </w:rPr>
        <w:t>[220,221]</w:t>
      </w:r>
      <w:r w:rsidRPr="006A140B">
        <w:rPr>
          <w:rFonts w:ascii="Book Antiqua" w:eastAsia="Book Antiqua" w:hAnsi="Book Antiqua" w:cs="Book Antiqua"/>
          <w:color w:val="000000"/>
        </w:rPr>
        <w:t>. Renal impairment appears to have no clinically relevant effect on the pharmacokinetics of sorafenib and its metabolites; therefore, no dose adjustment was indicated</w:t>
      </w:r>
      <w:r w:rsidRPr="006A140B">
        <w:rPr>
          <w:rFonts w:ascii="Book Antiqua" w:eastAsia="Book Antiqua" w:hAnsi="Book Antiqua" w:cs="Book Antiqua"/>
          <w:color w:val="000000"/>
          <w:vertAlign w:val="superscript"/>
        </w:rPr>
        <w:t>[221]</w:t>
      </w:r>
      <w:r w:rsidRPr="006A140B">
        <w:rPr>
          <w:rFonts w:ascii="Book Antiqua" w:eastAsia="Book Antiqua" w:hAnsi="Book Antiqua" w:cs="Book Antiqua"/>
          <w:color w:val="000000"/>
        </w:rPr>
        <w:t>. According to the Food and Drug Administration</w:t>
      </w:r>
      <w:r w:rsidR="0039369D"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(FDA), the pharmacokinetics of sorafenib have not been thoroughly confirmed in patients on dialysis</w:t>
      </w:r>
      <w:r w:rsidRPr="006A140B">
        <w:rPr>
          <w:rFonts w:ascii="Book Antiqua" w:eastAsia="Book Antiqua" w:hAnsi="Book Antiqua" w:cs="Book Antiqua"/>
          <w:color w:val="000000"/>
          <w:vertAlign w:val="superscript"/>
        </w:rPr>
        <w:t>[222]</w:t>
      </w:r>
      <w:r w:rsidRPr="006A140B">
        <w:rPr>
          <w:rFonts w:ascii="Book Antiqua" w:eastAsia="Book Antiqua" w:hAnsi="Book Antiqua" w:cs="Book Antiqua"/>
          <w:color w:val="000000"/>
        </w:rPr>
        <w:t>. However, an Italian retrospective study investigating the safety and efficacy</w:t>
      </w:r>
      <w:r w:rsidR="0039369D"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of sorafenib in patients with renal cell carcinoma and ESRD reported no unexpected major side effects, and the author concluded that sorafenib is not contraindicated in HD groups</w:t>
      </w:r>
      <w:r w:rsidRPr="006A140B">
        <w:rPr>
          <w:rFonts w:ascii="Book Antiqua" w:eastAsia="Book Antiqua" w:hAnsi="Book Antiqua" w:cs="Book Antiqua"/>
          <w:color w:val="000000"/>
          <w:vertAlign w:val="superscript"/>
        </w:rPr>
        <w:t>[223]</w:t>
      </w:r>
      <w:r w:rsidRPr="006A140B">
        <w:rPr>
          <w:rFonts w:ascii="Book Antiqua" w:eastAsia="Book Antiqua" w:hAnsi="Book Antiqua" w:cs="Book Antiqua"/>
          <w:color w:val="000000"/>
        </w:rPr>
        <w:t>. In a Japanese study, a 63-year-old man with ESRD on HD started sorafenib therapy (200 mg/d) 8 d after TACE</w:t>
      </w:r>
      <w:r w:rsidRPr="006A140B">
        <w:rPr>
          <w:rFonts w:ascii="Book Antiqua" w:eastAsia="Book Antiqua" w:hAnsi="Book Antiqua" w:cs="Book Antiqua"/>
          <w:color w:val="000000"/>
          <w:vertAlign w:val="superscript"/>
        </w:rPr>
        <w:t>[221]</w:t>
      </w:r>
      <w:r w:rsidRPr="006A140B">
        <w:rPr>
          <w:rFonts w:ascii="Book Antiqua" w:eastAsia="Book Antiqua" w:hAnsi="Book Antiqua" w:cs="Book Antiqua"/>
          <w:color w:val="000000"/>
        </w:rPr>
        <w:t>. The pharmacokinetic parameters of sorafenib and its active metabolite M-2 were within the reference levels of patients with normal renal function 8 and 9 d after the initiation of sorafenib. The authors concluded that sorafenib was well tolerated at an initial dose of 200 mg/d for a patient with HCC undergoing HD, thus indicating that renal failure is not necessarily a contraindication for sorafenib therapy.</w:t>
      </w:r>
    </w:p>
    <w:p w14:paraId="054C1C60" w14:textId="426C088C"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After the success of sorafenib, various clinical trials were designed in the hope to outperform the efficacy of it. Nevertheless, not until in recent decade had some trials demonstrated the comparable efficacy with sorafenib or survival benefits after first-line treatment failure</w:t>
      </w:r>
      <w:r w:rsidRPr="006A140B">
        <w:rPr>
          <w:rFonts w:ascii="Book Antiqua" w:eastAsia="Book Antiqua" w:hAnsi="Book Antiqua" w:cs="Book Antiqua"/>
          <w:color w:val="000000"/>
          <w:vertAlign w:val="superscript"/>
        </w:rPr>
        <w:t>[224]</w:t>
      </w:r>
      <w:r w:rsidRPr="006A140B">
        <w:rPr>
          <w:rFonts w:ascii="Book Antiqua" w:eastAsia="Book Antiqua" w:hAnsi="Book Antiqua" w:cs="Book Antiqua"/>
          <w:color w:val="000000"/>
        </w:rPr>
        <w:t>. The notable novel agents include lenvatinib, regorafenib, cabozantinib, ramucirumab, and bevacizumab.</w:t>
      </w:r>
    </w:p>
    <w:p w14:paraId="53E9390F" w14:textId="11B823CB"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Lenvatinib was approved for first-line therapy in advanced HCC following the results of the REFLECT trial, a randomized phase III noninferiority trial by</w:t>
      </w:r>
      <w:r w:rsidR="0039369D"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 xml:space="preserve">Kudo </w:t>
      </w:r>
      <w:r w:rsidRPr="006A140B">
        <w:rPr>
          <w:rFonts w:ascii="Book Antiqua" w:eastAsia="Book Antiqua" w:hAnsi="Book Antiqua" w:cs="Book Antiqua"/>
          <w:i/>
          <w:iCs/>
          <w:color w:val="000000"/>
        </w:rPr>
        <w:t>et al</w:t>
      </w:r>
      <w:r w:rsidR="0039369D" w:rsidRPr="006A140B">
        <w:rPr>
          <w:rFonts w:ascii="Book Antiqua" w:eastAsia="Book Antiqua" w:hAnsi="Book Antiqua" w:cs="Book Antiqua"/>
          <w:color w:val="000000"/>
          <w:vertAlign w:val="superscript"/>
        </w:rPr>
        <w:t>[225]</w:t>
      </w:r>
      <w:r w:rsidRPr="006A140B">
        <w:rPr>
          <w:rFonts w:ascii="Book Antiqua" w:eastAsia="Book Antiqua" w:hAnsi="Book Antiqua" w:cs="Book Antiqua"/>
          <w:color w:val="000000"/>
        </w:rPr>
        <w:t>, which showed that lenvatinib was not inferior to sorafenib in overall survival in untreated advanced HCC</w:t>
      </w:r>
      <w:r w:rsidRPr="006A140B">
        <w:rPr>
          <w:rFonts w:ascii="Book Antiqua" w:eastAsia="Book Antiqua" w:hAnsi="Book Antiqua" w:cs="Book Antiqua"/>
          <w:color w:val="000000"/>
          <w:vertAlign w:val="superscript"/>
        </w:rPr>
        <w:t>[225]</w:t>
      </w:r>
      <w:r w:rsidRPr="006A140B">
        <w:rPr>
          <w:rFonts w:ascii="Book Antiqua" w:eastAsia="Book Antiqua" w:hAnsi="Book Antiqua" w:cs="Book Antiqua"/>
          <w:color w:val="000000"/>
        </w:rPr>
        <w:t>. Further multicenter findings have confirmed the efficacy of lenvatinib with or without previous TKI therapies</w:t>
      </w:r>
      <w:r w:rsidRPr="006A140B">
        <w:rPr>
          <w:rFonts w:ascii="Book Antiqua" w:eastAsia="Book Antiqua" w:hAnsi="Book Antiqua" w:cs="Book Antiqua"/>
          <w:color w:val="000000"/>
          <w:vertAlign w:val="superscript"/>
        </w:rPr>
        <w:t>[226,227]</w:t>
      </w:r>
      <w:r w:rsidRPr="006A140B">
        <w:rPr>
          <w:rFonts w:ascii="Book Antiqua" w:eastAsia="Book Antiqua" w:hAnsi="Book Antiqua" w:cs="Book Antiqua"/>
          <w:color w:val="000000"/>
        </w:rPr>
        <w:t>. Lenvatinib’s nephrotoxic profile is similar to that sorafenib, including proteinuria, renal failure, TMA, and FSGS</w:t>
      </w:r>
      <w:r w:rsidRPr="006A140B">
        <w:rPr>
          <w:rFonts w:ascii="Book Antiqua" w:eastAsia="Book Antiqua" w:hAnsi="Book Antiqua" w:cs="Book Antiqua"/>
          <w:color w:val="000000"/>
          <w:vertAlign w:val="superscript"/>
        </w:rPr>
        <w:t>[225,228-23</w:t>
      </w:r>
      <w:r w:rsidR="009C4B68" w:rsidRPr="006A140B">
        <w:rPr>
          <w:rFonts w:ascii="Book Antiqua" w:eastAsia="Book Antiqua" w:hAnsi="Book Antiqua" w:cs="Book Antiqua"/>
          <w:color w:val="000000"/>
          <w:vertAlign w:val="superscript"/>
        </w:rPr>
        <w:t>1</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r w:rsidRPr="006A140B">
        <w:rPr>
          <w:rFonts w:ascii="Book Antiqua" w:eastAsia="Book Antiqua" w:hAnsi="Book Antiqua" w:cs="Book Antiqua"/>
          <w:color w:val="000000"/>
          <w:shd w:val="clear" w:color="auto" w:fill="FFFFFF"/>
          <w:vertAlign w:val="superscript"/>
        </w:rPr>
        <w:t xml:space="preserve"> </w:t>
      </w:r>
      <w:r w:rsidRPr="006A140B">
        <w:rPr>
          <w:rFonts w:ascii="Book Antiqua" w:eastAsia="Book Antiqua" w:hAnsi="Book Antiqua" w:cs="Book Antiqua"/>
          <w:color w:val="000000"/>
        </w:rPr>
        <w:t>The enrollment criteria in the original REFLECT trial included adequate renal function, which was defined as creatinine clearance (CCR) &gt; 30 mL/min as calculated using the Cockcroft–Gault formula</w:t>
      </w:r>
      <w:r w:rsidRPr="006A140B">
        <w:rPr>
          <w:rFonts w:ascii="Book Antiqua" w:eastAsia="Book Antiqua" w:hAnsi="Book Antiqua" w:cs="Book Antiqua"/>
          <w:color w:val="000000"/>
          <w:vertAlign w:val="superscript"/>
        </w:rPr>
        <w:t>[225]</w:t>
      </w:r>
      <w:r w:rsidRPr="006A140B">
        <w:rPr>
          <w:rFonts w:ascii="Book Antiqua" w:eastAsia="Book Antiqua" w:hAnsi="Book Antiqua" w:cs="Book Antiqua"/>
          <w:color w:val="000000"/>
        </w:rPr>
        <w:t>. In the FDA label, no dose adjustment is recommended for patients with mild (CCR 60</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89 mL/min) or moderate (CCR 30</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59 mL/min) renal impairment. Lenvatinib concentrations may increase in patients with differentiated thyroid cancer (DTC) or renal cell carcinoma (RCC) and severe (CCR 15</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29 mL/min) renal impairment. It is recommended to reduce the dose for patients with DTC or RCC who also have severe renal impairment. However, there exists no recommended dose for lenvatinib in patients with HCC and severe renal impairment. Lenvatinib has not been studied in patients with ESRD</w:t>
      </w:r>
      <w:r w:rsidRPr="006A140B">
        <w:rPr>
          <w:rFonts w:ascii="Book Antiqua" w:eastAsia="Book Antiqua" w:hAnsi="Book Antiqua" w:cs="Book Antiqua"/>
          <w:color w:val="000000"/>
          <w:vertAlign w:val="superscript"/>
        </w:rPr>
        <w:t>[23</w:t>
      </w:r>
      <w:r w:rsidR="009C4B68"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p>
    <w:p w14:paraId="353ED868" w14:textId="0BFF0C25"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Regorafenib was approved as the second-line therapy for advanced HCC following the results of the RESORCE trial. This randomized, double-blind, placebo-controlled phase III trial demonstrated the effectiveness of regorafenib in patients progressing after sorafenib treatment. The study confirmed the potential of second-line agents and ushered in the era of second-line therapy</w:t>
      </w:r>
      <w:r w:rsidRPr="006A140B">
        <w:rPr>
          <w:rFonts w:ascii="Book Antiqua" w:eastAsia="Book Antiqua" w:hAnsi="Book Antiqua" w:cs="Book Antiqua"/>
          <w:color w:val="000000"/>
          <w:vertAlign w:val="superscript"/>
        </w:rPr>
        <w:t>[23</w:t>
      </w:r>
      <w:r w:rsidR="009C4B68" w:rsidRPr="006A140B">
        <w:rPr>
          <w:rFonts w:ascii="Book Antiqua" w:eastAsia="Book Antiqua" w:hAnsi="Book Antiqua" w:cs="Book Antiqua"/>
          <w:color w:val="000000"/>
          <w:vertAlign w:val="superscript"/>
        </w:rPr>
        <w:t>3</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Further multicenter studies have verified the efficacy and safety indicated in the RESORCE trial</w:t>
      </w:r>
      <w:r w:rsidRPr="006A140B">
        <w:rPr>
          <w:rFonts w:ascii="Book Antiqua" w:eastAsia="Book Antiqua" w:hAnsi="Book Antiqua" w:cs="Book Antiqua"/>
          <w:color w:val="000000"/>
          <w:vertAlign w:val="superscript"/>
        </w:rPr>
        <w:t>[23</w:t>
      </w:r>
      <w:r w:rsidR="009C4B68" w:rsidRPr="006A140B">
        <w:rPr>
          <w:rFonts w:ascii="Book Antiqua" w:eastAsia="Book Antiqua" w:hAnsi="Book Antiqua" w:cs="Book Antiqua"/>
          <w:color w:val="000000"/>
          <w:vertAlign w:val="superscript"/>
        </w:rPr>
        <w:t>4</w:t>
      </w:r>
      <w:r w:rsidRPr="006A140B">
        <w:rPr>
          <w:rFonts w:ascii="Book Antiqua" w:eastAsia="Book Antiqua" w:hAnsi="Book Antiqua" w:cs="Book Antiqua"/>
          <w:color w:val="000000"/>
          <w:vertAlign w:val="superscript"/>
        </w:rPr>
        <w:t>,23</w:t>
      </w:r>
      <w:r w:rsidR="009C4B68" w:rsidRPr="006A140B">
        <w:rPr>
          <w:rFonts w:ascii="Book Antiqua" w:eastAsia="Book Antiqua" w:hAnsi="Book Antiqua" w:cs="Book Antiqua"/>
          <w:color w:val="000000"/>
          <w:vertAlign w:val="superscript"/>
        </w:rPr>
        <w:t>5</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nephrotoxic effects include proteinuria and renal failure</w:t>
      </w:r>
      <w:r w:rsidRPr="006A140B">
        <w:rPr>
          <w:rFonts w:ascii="Book Antiqua" w:eastAsia="Book Antiqua" w:hAnsi="Book Antiqua" w:cs="Book Antiqua"/>
          <w:color w:val="000000"/>
          <w:vertAlign w:val="superscript"/>
        </w:rPr>
        <w:t>[23</w:t>
      </w:r>
      <w:r w:rsidR="009C4B68" w:rsidRPr="006A140B">
        <w:rPr>
          <w:rFonts w:ascii="Book Antiqua" w:eastAsia="Book Antiqua" w:hAnsi="Book Antiqua" w:cs="Book Antiqua"/>
          <w:color w:val="000000"/>
          <w:vertAlign w:val="superscript"/>
        </w:rPr>
        <w:t>6</w:t>
      </w:r>
      <w:r w:rsidRPr="006A140B">
        <w:rPr>
          <w:rFonts w:ascii="Book Antiqua" w:eastAsia="Book Antiqua" w:hAnsi="Book Antiqua" w:cs="Book Antiqua"/>
          <w:color w:val="000000"/>
          <w:vertAlign w:val="superscript"/>
        </w:rPr>
        <w:t>,23</w:t>
      </w:r>
      <w:r w:rsidR="009C4B68" w:rsidRPr="006A140B">
        <w:rPr>
          <w:rFonts w:ascii="Book Antiqua" w:eastAsia="Book Antiqua" w:hAnsi="Book Antiqua" w:cs="Book Antiqua"/>
          <w:color w:val="000000"/>
          <w:vertAlign w:val="superscript"/>
        </w:rPr>
        <w:t>7</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xml:space="preserve">. In regorafenib monotherapy for previously treated metastatic colorectal cancer (CORRECT), an international, multicenter, randomized, placebo-controlled, and phase III trial reported </w:t>
      </w:r>
      <w:r w:rsidRPr="006A140B">
        <w:rPr>
          <w:rFonts w:ascii="Book Antiqua" w:eastAsia="Book Antiqua" w:hAnsi="Book Antiqua" w:cs="Book Antiqua"/>
          <w:color w:val="000000"/>
          <w:shd w:val="clear" w:color="auto" w:fill="FFFFFF"/>
        </w:rPr>
        <w:t>diarrhea in 34% of patients, with 7% experiencing grade 3 or 4 diarrhea, leading to fluid and electrolyte depletion. The sequelae of fluid and electrolyte depletion may result in dehydration, renal failure, and potential cardiovascular compromise</w:t>
      </w:r>
      <w:r w:rsidRPr="006A140B">
        <w:rPr>
          <w:rFonts w:ascii="Book Antiqua" w:eastAsia="Book Antiqua" w:hAnsi="Book Antiqua" w:cs="Book Antiqua"/>
          <w:color w:val="000000"/>
          <w:shd w:val="clear" w:color="auto" w:fill="FFFFFF"/>
          <w:vertAlign w:val="superscript"/>
        </w:rPr>
        <w:t>[23</w:t>
      </w:r>
      <w:r w:rsidR="009C4B68" w:rsidRPr="006A140B">
        <w:rPr>
          <w:rFonts w:ascii="Book Antiqua" w:eastAsia="Book Antiqua" w:hAnsi="Book Antiqua" w:cs="Book Antiqua"/>
          <w:color w:val="000000"/>
          <w:shd w:val="clear" w:color="auto" w:fill="FFFFFF"/>
          <w:vertAlign w:val="superscript"/>
        </w:rPr>
        <w:t>8</w:t>
      </w:r>
      <w:r w:rsidRPr="006A140B">
        <w:rPr>
          <w:rFonts w:ascii="Book Antiqua" w:eastAsia="Book Antiqua" w:hAnsi="Book Antiqua" w:cs="Book Antiqua"/>
          <w:color w:val="000000"/>
          <w:shd w:val="clear" w:color="auto" w:fill="FFFFFF"/>
          <w:vertAlign w:val="superscript"/>
        </w:rPr>
        <w:t>]</w:t>
      </w:r>
      <w:r w:rsidRPr="006A140B">
        <w:rPr>
          <w:rFonts w:ascii="Book Antiqua" w:eastAsia="Book Antiqua" w:hAnsi="Book Antiqua" w:cs="Book Antiqua"/>
          <w:color w:val="000000"/>
          <w:shd w:val="clear" w:color="auto" w:fill="FFFFFF"/>
        </w:rPr>
        <w:t>. According to a pharmacokinetic modeling and simulation</w:t>
      </w:r>
      <w:r w:rsidR="0039369D"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study,</w:t>
      </w:r>
      <w:r w:rsidR="0039369D"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the</w:t>
      </w:r>
      <w:r w:rsidRPr="006A140B">
        <w:rPr>
          <w:rFonts w:ascii="Book Antiqua" w:eastAsia="Book Antiqua" w:hAnsi="Book Antiqua" w:cs="Book Antiqua"/>
          <w:color w:val="000000"/>
        </w:rPr>
        <w:t xml:space="preserve"> pharmacokinetics</w:t>
      </w:r>
      <w:r w:rsidRPr="006A140B">
        <w:rPr>
          <w:rFonts w:ascii="Book Antiqua" w:eastAsia="Book Antiqua" w:hAnsi="Book Antiqua" w:cs="Book Antiqua"/>
          <w:color w:val="000000"/>
          <w:shd w:val="clear" w:color="auto" w:fill="FFFFFF"/>
        </w:rPr>
        <w:t xml:space="preserve"> of regorafenib are unlikely to be impacted by any stage of renal impairment</w:t>
      </w:r>
      <w:r w:rsidRPr="006A140B">
        <w:rPr>
          <w:rFonts w:ascii="Book Antiqua" w:eastAsia="Book Antiqua" w:hAnsi="Book Antiqua" w:cs="Book Antiqua"/>
          <w:color w:val="000000"/>
          <w:shd w:val="clear" w:color="auto" w:fill="FFFFFF"/>
          <w:vertAlign w:val="superscript"/>
        </w:rPr>
        <w:t>[23</w:t>
      </w:r>
      <w:r w:rsidR="009C4B68" w:rsidRPr="006A140B">
        <w:rPr>
          <w:rFonts w:ascii="Book Antiqua" w:eastAsia="Book Antiqua" w:hAnsi="Book Antiqua" w:cs="Book Antiqua"/>
          <w:color w:val="000000"/>
          <w:shd w:val="clear" w:color="auto" w:fill="FFFFFF"/>
          <w:vertAlign w:val="superscript"/>
        </w:rPr>
        <w:t>9</w:t>
      </w:r>
      <w:r w:rsidRPr="006A140B">
        <w:rPr>
          <w:rFonts w:ascii="Book Antiqua" w:eastAsia="Book Antiqua" w:hAnsi="Book Antiqua" w:cs="Book Antiqua"/>
          <w:color w:val="000000"/>
          <w:shd w:val="clear" w:color="auto" w:fill="FFFFFF"/>
          <w:vertAlign w:val="superscript"/>
        </w:rPr>
        <w:t>]</w:t>
      </w:r>
      <w:r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rPr>
        <w:t>The FDA label suggests that no dose adjustment is recommended for patients with renal impairment. The pharmacokinetics of regorafenib have not been studied in patients on dialysis and there exists no recommended dose for this patient population</w:t>
      </w:r>
      <w:r w:rsidRPr="006A140B">
        <w:rPr>
          <w:rFonts w:ascii="Book Antiqua" w:eastAsia="Book Antiqua" w:hAnsi="Book Antiqua" w:cs="Book Antiqua"/>
          <w:color w:val="000000"/>
          <w:vertAlign w:val="superscript"/>
        </w:rPr>
        <w:t>[2</w:t>
      </w:r>
      <w:r w:rsidR="009C4B68" w:rsidRPr="006A140B">
        <w:rPr>
          <w:rFonts w:ascii="Book Antiqua" w:eastAsia="Book Antiqua" w:hAnsi="Book Antiqua" w:cs="Book Antiqua"/>
          <w:color w:val="000000"/>
          <w:vertAlign w:val="superscript"/>
        </w:rPr>
        <w:t>40</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p>
    <w:p w14:paraId="4700CD18" w14:textId="4163F591"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 xml:space="preserve">Cabozantinib is another TKI that blocks the receptors involved in oncogenesis and angiogenesis, including VEGFR 1, 2, and 3; hepatocyte growth factor receptor (MET); AXL; and the angiopoietin receptors TIE-2, RET, c-Kit, and FLT-3 </w:t>
      </w:r>
      <w:r w:rsidRPr="006A140B">
        <w:rPr>
          <w:rFonts w:ascii="Book Antiqua" w:eastAsia="Book Antiqua" w:hAnsi="Book Antiqua" w:cs="Book Antiqua"/>
          <w:i/>
          <w:iCs/>
          <w:color w:val="000000"/>
        </w:rPr>
        <w:t>in vitro</w:t>
      </w:r>
      <w:r w:rsidRPr="006A140B">
        <w:rPr>
          <w:rFonts w:ascii="Book Antiqua" w:eastAsia="Book Antiqua" w:hAnsi="Book Antiqua" w:cs="Book Antiqua"/>
          <w:color w:val="000000"/>
        </w:rPr>
        <w:t xml:space="preserve"> and </w:t>
      </w:r>
      <w:r w:rsidRPr="006A140B">
        <w:rPr>
          <w:rFonts w:ascii="Book Antiqua" w:eastAsia="Book Antiqua" w:hAnsi="Book Antiqua" w:cs="Book Antiqua"/>
          <w:i/>
          <w:iCs/>
          <w:color w:val="000000"/>
        </w:rPr>
        <w:t>in vivo</w:t>
      </w:r>
      <w:r w:rsidRPr="006A140B">
        <w:rPr>
          <w:rFonts w:ascii="Book Antiqua" w:eastAsia="Book Antiqua" w:hAnsi="Book Antiqua" w:cs="Book Antiqua"/>
          <w:color w:val="000000"/>
        </w:rPr>
        <w:t>. Cabozantinib was also indicated to be a second-line treatment in the progression of HCC with acquired resistance to sorafenib</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1</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In the CELESTIAL trial, cabozantinib achieved significantly superior overall survival compared with the placebo group and was thus approved by the FDA</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nephrotoxic profile of cabozantinib is similar to those of sorafenib and lenvatinib, including renal failure, proteinuria, and TMA</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3</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5</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xml:space="preserve">. However, in the CELESTIAL trial, grade 5 adverse events considered to be related to the drug were reported in six patients in the cabozantinib group (one event each of hepatic failure, bronchoesophageal fistula, portal-vein thrombosis, upper gastrointestinal hemorrhage, pulmonary embolism, and </w:t>
      </w:r>
      <w:r w:rsidR="00161EAE" w:rsidRPr="006A140B">
        <w:rPr>
          <w:rFonts w:ascii="Book Antiqua" w:eastAsia="Book Antiqua" w:hAnsi="Book Antiqua" w:cs="Book Antiqua"/>
          <w:color w:val="000000"/>
        </w:rPr>
        <w:t>HRS</w:t>
      </w:r>
      <w:r w:rsidRPr="006A140B">
        <w:rPr>
          <w:rFonts w:ascii="Book Antiqua" w:eastAsia="Book Antiqua" w:hAnsi="Book Antiqua" w:cs="Book Antiqua"/>
          <w:color w:val="000000"/>
        </w:rPr>
        <w:t>)</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enrollment criteria for the CELESTIAL trial included serum creatinine ≤</w:t>
      </w:r>
      <w:r w:rsidR="0039369D"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1.5 times the upper normal limit or calculated CCR ≥ 40 mL/min using the Cockcroft–Gault formula occurring in conjunction with either urine protein/creatinine ratio ≤ 1 mg/mg or 24-h urine protein &lt; 1 g</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Two clinical pharmacology studies were conducted to characterize the single-dose pharmacokinetics of cabozantinib in individuals with renal and hepatic impairment, respectively</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3</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Although mild-to-moderate renal impairment (eGFR ≥</w:t>
      </w:r>
      <w:r w:rsidR="0039369D"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30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did not result in a clinically relevant difference in the pharmacokinetics of cabozantinib, the author concluded that cabozantinib should be used cautiously in individuals with mild or moderate renal impairment. According to the FDA label, no dose adjustment is recommended in patients with mild or moderate renal impairment</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6</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No experience of cabozantinib in patients with severe renal impairment or requiring dialysis has been documented.</w:t>
      </w:r>
    </w:p>
    <w:p w14:paraId="04C8FE38" w14:textId="5B5EFC60"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 xml:space="preserve">Ramucirumab is a fully human recombinant </w:t>
      </w:r>
      <w:r w:rsidR="0039369D" w:rsidRPr="006A140B">
        <w:rPr>
          <w:rFonts w:ascii="Book Antiqua" w:eastAsia="Book Antiqua" w:hAnsi="Book Antiqua" w:cs="Book Antiqua"/>
          <w:color w:val="000000"/>
        </w:rPr>
        <w:t xml:space="preserve">immunoglobulin G (IgG) </w:t>
      </w:r>
      <w:r w:rsidRPr="006A140B">
        <w:rPr>
          <w:rFonts w:ascii="Book Antiqua" w:eastAsia="Book Antiqua" w:hAnsi="Book Antiqua" w:cs="Book Antiqua"/>
          <w:color w:val="000000"/>
        </w:rPr>
        <w:t>1 monoclonal antibody targeting the VEGF2 receptor. A randomized, multicenter, double-blind, placebo-controlled, and phase III trial (REACH) was conducted to examine the safety and efficacy of ramucirumab as a second-line agent for HCC</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7</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In the REACH trial, although the second-line treatment with ramucirumab did not significantly improve survival over placebo in patients with advanced HCC, a subgroup analysis revealed better survival in patients with AFP ≥ 400</w:t>
      </w:r>
      <w:r w:rsidRPr="006A140B">
        <w:rPr>
          <w:rFonts w:ascii="MS Gothic" w:eastAsia="MS Gothic" w:hAnsi="MS Gothic" w:cs="MS Gothic" w:hint="eastAsia"/>
          <w:color w:val="000000"/>
        </w:rPr>
        <w:t> </w:t>
      </w:r>
      <w:r w:rsidRPr="006A140B">
        <w:rPr>
          <w:rFonts w:ascii="Book Antiqua" w:eastAsia="Book Antiqua" w:hAnsi="Book Antiqua" w:cs="Book Antiqua"/>
          <w:color w:val="000000"/>
        </w:rPr>
        <w:t>ng/mL</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8</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9</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This was later verified in the REACH-2 trial, which was the first positive phase III trial conducted in a biomarker-selected patient population with HCC</w:t>
      </w:r>
      <w:r w:rsidRPr="006A140B">
        <w:rPr>
          <w:rFonts w:ascii="Book Antiqua" w:eastAsia="Book Antiqua" w:hAnsi="Book Antiqua" w:cs="Book Antiqua"/>
          <w:color w:val="000000"/>
          <w:vertAlign w:val="superscript"/>
        </w:rPr>
        <w:t>[2</w:t>
      </w:r>
      <w:r w:rsidR="009C4B68" w:rsidRPr="006A140B">
        <w:rPr>
          <w:rFonts w:ascii="Book Antiqua" w:eastAsia="Book Antiqua" w:hAnsi="Book Antiqua" w:cs="Book Antiqua"/>
          <w:color w:val="000000"/>
          <w:vertAlign w:val="superscript"/>
        </w:rPr>
        <w:t>50</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Therefore, ramucirumab was approved by the FDA as a second-line treatment for advanced HCC. The renal toxicity profile of ramucirumab includes proteinuria and nephrotic syndrome</w:t>
      </w:r>
      <w:r w:rsidRPr="006A140B">
        <w:rPr>
          <w:rFonts w:ascii="Book Antiqua" w:eastAsia="Book Antiqua" w:hAnsi="Book Antiqua" w:cs="Book Antiqua"/>
          <w:color w:val="000000"/>
          <w:vertAlign w:val="superscript"/>
        </w:rPr>
        <w:t>[25</w:t>
      </w:r>
      <w:r w:rsidR="009C4B68" w:rsidRPr="006A140B">
        <w:rPr>
          <w:rFonts w:ascii="Book Antiqua" w:eastAsia="Book Antiqua" w:hAnsi="Book Antiqua" w:cs="Book Antiqua"/>
          <w:color w:val="000000"/>
          <w:vertAlign w:val="superscript"/>
        </w:rPr>
        <w:t>1</w:t>
      </w:r>
      <w:r w:rsidRPr="006A140B">
        <w:rPr>
          <w:rFonts w:ascii="Book Antiqua" w:eastAsia="Book Antiqua" w:hAnsi="Book Antiqua" w:cs="Book Antiqua"/>
          <w:color w:val="000000"/>
          <w:vertAlign w:val="superscript"/>
        </w:rPr>
        <w:t>,25</w:t>
      </w:r>
      <w:r w:rsidR="009C4B68"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Renal failure and TMA have also been reported</w:t>
      </w:r>
      <w:r w:rsidRPr="006A140B">
        <w:rPr>
          <w:rFonts w:ascii="Book Antiqua" w:eastAsia="Book Antiqua" w:hAnsi="Book Antiqua" w:cs="Book Antiqua"/>
          <w:color w:val="000000"/>
          <w:vertAlign w:val="superscript"/>
        </w:rPr>
        <w:t>[2</w:t>
      </w:r>
      <w:r w:rsidR="009C4B68" w:rsidRPr="006A140B">
        <w:rPr>
          <w:rFonts w:ascii="Book Antiqua" w:eastAsia="Book Antiqua" w:hAnsi="Book Antiqua" w:cs="Book Antiqua"/>
          <w:color w:val="000000"/>
          <w:vertAlign w:val="superscript"/>
        </w:rPr>
        <w:t>50</w:t>
      </w:r>
      <w:r w:rsidRPr="006A140B">
        <w:rPr>
          <w:rFonts w:ascii="Book Antiqua" w:eastAsia="Book Antiqua" w:hAnsi="Book Antiqua" w:cs="Book Antiqua"/>
          <w:color w:val="000000"/>
          <w:vertAlign w:val="superscript"/>
        </w:rPr>
        <w:t>,25</w:t>
      </w:r>
      <w:r w:rsidR="009C4B68" w:rsidRPr="006A140B">
        <w:rPr>
          <w:rFonts w:ascii="Book Antiqua" w:eastAsia="Book Antiqua" w:hAnsi="Book Antiqua" w:cs="Book Antiqua"/>
          <w:color w:val="000000"/>
          <w:vertAlign w:val="superscript"/>
        </w:rPr>
        <w:t>3</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Notably, several predictors of ramucirumab-induced proteinuria have been identified, including systemic blood pressure, the number of cycles, and calcium channel blocker use</w:t>
      </w:r>
      <w:r w:rsidRPr="006A140B">
        <w:rPr>
          <w:rFonts w:ascii="Book Antiqua" w:eastAsia="Book Antiqua" w:hAnsi="Book Antiqua" w:cs="Book Antiqua"/>
          <w:color w:val="000000"/>
          <w:vertAlign w:val="superscript"/>
        </w:rPr>
        <w:t>[24</w:t>
      </w:r>
      <w:r w:rsidR="009C4B68" w:rsidRPr="006A140B">
        <w:rPr>
          <w:rFonts w:ascii="Book Antiqua" w:eastAsia="Book Antiqua" w:hAnsi="Book Antiqua" w:cs="Book Antiqua"/>
          <w:color w:val="000000"/>
          <w:vertAlign w:val="superscript"/>
        </w:rPr>
        <w:t>8</w:t>
      </w:r>
      <w:r w:rsidRPr="006A140B">
        <w:rPr>
          <w:rFonts w:ascii="Book Antiqua" w:eastAsia="Book Antiqua" w:hAnsi="Book Antiqua" w:cs="Book Antiqua"/>
          <w:color w:val="000000"/>
          <w:vertAlign w:val="superscript"/>
        </w:rPr>
        <w:t>,25</w:t>
      </w:r>
      <w:r w:rsidR="009C4B68" w:rsidRPr="006A140B">
        <w:rPr>
          <w:rFonts w:ascii="Book Antiqua" w:eastAsia="Book Antiqua" w:hAnsi="Book Antiqua" w:cs="Book Antiqua"/>
          <w:color w:val="000000"/>
          <w:vertAlign w:val="superscript"/>
        </w:rPr>
        <w:t>4</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xml:space="preserve">. Notably, in the REACH-2 trial, three deaths in the ramucirumab group were judged to be related to study treatment: one each from AKI, </w:t>
      </w:r>
      <w:r w:rsidR="00161EAE" w:rsidRPr="006A140B">
        <w:rPr>
          <w:rFonts w:ascii="Book Antiqua" w:eastAsia="Book Antiqua" w:hAnsi="Book Antiqua" w:cs="Book Antiqua"/>
          <w:color w:val="000000"/>
        </w:rPr>
        <w:t>HRS</w:t>
      </w:r>
      <w:r w:rsidRPr="006A140B">
        <w:rPr>
          <w:rFonts w:ascii="Book Antiqua" w:eastAsia="Book Antiqua" w:hAnsi="Book Antiqua" w:cs="Book Antiqua"/>
          <w:color w:val="000000"/>
        </w:rPr>
        <w:t>, and renal failure</w:t>
      </w:r>
      <w:r w:rsidRPr="006A140B">
        <w:rPr>
          <w:rFonts w:ascii="Book Antiqua" w:eastAsia="Book Antiqua" w:hAnsi="Book Antiqua" w:cs="Book Antiqua"/>
          <w:color w:val="000000"/>
          <w:vertAlign w:val="superscript"/>
        </w:rPr>
        <w:t>[2</w:t>
      </w:r>
      <w:r w:rsidR="009C4B68" w:rsidRPr="006A140B">
        <w:rPr>
          <w:rFonts w:ascii="Book Antiqua" w:eastAsia="Book Antiqua" w:hAnsi="Book Antiqua" w:cs="Book Antiqua"/>
          <w:color w:val="000000"/>
          <w:vertAlign w:val="superscript"/>
        </w:rPr>
        <w:t>50</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FDA label reports no clinically meaningful effect on the pharmacokinetics of ramucirumab in patients with renal impairment (CCR calculated using Cockcroft–Gault, 15</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89 mL/min), and thus, no dose adjustment is suggested</w:t>
      </w:r>
      <w:r w:rsidRPr="006A140B">
        <w:rPr>
          <w:rFonts w:ascii="Book Antiqua" w:eastAsia="Book Antiqua" w:hAnsi="Book Antiqua" w:cs="Book Antiqua"/>
          <w:color w:val="000000"/>
          <w:vertAlign w:val="superscript"/>
        </w:rPr>
        <w:t>[25</w:t>
      </w:r>
      <w:r w:rsidR="009C4B68" w:rsidRPr="006A140B">
        <w:rPr>
          <w:rFonts w:ascii="Book Antiqua" w:eastAsia="Book Antiqua" w:hAnsi="Book Antiqua" w:cs="Book Antiqua"/>
          <w:color w:val="000000"/>
          <w:vertAlign w:val="superscript"/>
        </w:rPr>
        <w:t>5</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pharmacokinetics of ramucirumab in patients with ESRD are unknown.</w:t>
      </w:r>
    </w:p>
    <w:p w14:paraId="2DCD5E6C" w14:textId="6604CB42"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Bevacizumab is a humanized anti-VEGF monoclonal antibody that was previously approved by the FDA as a first-line treatment for metastatic colorectal cancer in combination with chemotherapy. In a global, open-label, and phase III trial conducted in 2020, patients with unresectable HCC who had not previously received systemic treatment were randomly assigned at a 2:1 ratio to receive either atezolizumab (discussed later in the text) plus bevacizumab or sorafenib until unacceptable toxic effects or a loss of clinical benefit occurred</w:t>
      </w:r>
      <w:r w:rsidRPr="006A140B">
        <w:rPr>
          <w:rFonts w:ascii="Book Antiqua" w:eastAsia="Book Antiqua" w:hAnsi="Book Antiqua" w:cs="Book Antiqua"/>
          <w:color w:val="000000"/>
          <w:vertAlign w:val="superscript"/>
        </w:rPr>
        <w:t>[25</w:t>
      </w:r>
      <w:r w:rsidR="009C4B68" w:rsidRPr="006A140B">
        <w:rPr>
          <w:rFonts w:ascii="Book Antiqua" w:eastAsia="Book Antiqua" w:hAnsi="Book Antiqua" w:cs="Book Antiqua"/>
          <w:color w:val="000000"/>
          <w:vertAlign w:val="superscript"/>
        </w:rPr>
        <w:t>6</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primary end points were overall survival and progression-free survival in the intention-to-treat population, as assessed at an independent review facility according to the Response Evaluation Criteria in Solid Tumors, version 1.1. The study revealed that in patients with unresectable HCC, atezolizumab combined with bevacizumab resulted in superior overall and progression-free survival outcomes than sorafenib did, which led to the combined therapy of atezolimumab plus bevacizumab being approved as the first-line treatment for unresectable HCC by the FDA. Similar to other anti-VEGF or VEGFR blocking agents, the renal toxicity profile of bevacizumab encompasses renal failure</w:t>
      </w:r>
      <w:r w:rsidRPr="006A140B">
        <w:rPr>
          <w:rFonts w:ascii="Book Antiqua" w:eastAsia="Book Antiqua" w:hAnsi="Book Antiqua" w:cs="Book Antiqua"/>
          <w:color w:val="000000"/>
          <w:vertAlign w:val="superscript"/>
        </w:rPr>
        <w:t>[25</w:t>
      </w:r>
      <w:r w:rsidR="009C4B68" w:rsidRPr="006A140B">
        <w:rPr>
          <w:rFonts w:ascii="Book Antiqua" w:eastAsia="Book Antiqua" w:hAnsi="Book Antiqua" w:cs="Book Antiqua"/>
          <w:color w:val="000000"/>
          <w:vertAlign w:val="superscript"/>
        </w:rPr>
        <w:t>7</w:t>
      </w:r>
      <w:r w:rsidRPr="006A140B">
        <w:rPr>
          <w:rFonts w:ascii="Book Antiqua" w:eastAsia="Book Antiqua" w:hAnsi="Book Antiqua" w:cs="Book Antiqua"/>
          <w:color w:val="000000"/>
          <w:vertAlign w:val="superscript"/>
        </w:rPr>
        <w:t>,25</w:t>
      </w:r>
      <w:r w:rsidR="009C4B68" w:rsidRPr="006A140B">
        <w:rPr>
          <w:rFonts w:ascii="Book Antiqua" w:eastAsia="Book Antiqua" w:hAnsi="Book Antiqua" w:cs="Book Antiqua"/>
          <w:color w:val="000000"/>
          <w:vertAlign w:val="superscript"/>
        </w:rPr>
        <w:t>8</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proteinuria, and nephrotic syndrome</w:t>
      </w:r>
      <w:r w:rsidRPr="006A140B">
        <w:rPr>
          <w:rFonts w:ascii="Book Antiqua" w:eastAsia="Book Antiqua" w:hAnsi="Book Antiqua" w:cs="Book Antiqua"/>
          <w:color w:val="000000"/>
          <w:vertAlign w:val="superscript"/>
        </w:rPr>
        <w:t>[25</w:t>
      </w:r>
      <w:r w:rsidR="009C4B68" w:rsidRPr="006A140B">
        <w:rPr>
          <w:rFonts w:ascii="Book Antiqua" w:eastAsia="Book Antiqua" w:hAnsi="Book Antiqua" w:cs="Book Antiqua"/>
          <w:color w:val="000000"/>
          <w:vertAlign w:val="superscript"/>
        </w:rPr>
        <w:t>9</w:t>
      </w:r>
      <w:r w:rsidRPr="006A140B">
        <w:rPr>
          <w:rFonts w:ascii="Book Antiqua" w:eastAsia="Book Antiqua" w:hAnsi="Book Antiqua" w:cs="Book Antiqua"/>
          <w:color w:val="000000"/>
          <w:vertAlign w:val="superscript"/>
        </w:rPr>
        <w:t>,2</w:t>
      </w:r>
      <w:r w:rsidR="009C4B68" w:rsidRPr="006A140B">
        <w:rPr>
          <w:rFonts w:ascii="Book Antiqua" w:eastAsia="Book Antiqua" w:hAnsi="Book Antiqua" w:cs="Book Antiqua"/>
          <w:color w:val="000000"/>
          <w:vertAlign w:val="superscript"/>
        </w:rPr>
        <w:t>60</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Microvascular diseases such as TMA or hemolytic uremic syndrome are not particularly uncommon</w:t>
      </w:r>
      <w:r w:rsidRPr="006A140B">
        <w:rPr>
          <w:rFonts w:ascii="Book Antiqua" w:eastAsia="Book Antiqua" w:hAnsi="Book Antiqua" w:cs="Book Antiqua"/>
          <w:color w:val="000000"/>
          <w:vertAlign w:val="superscript"/>
        </w:rPr>
        <w:t>[26</w:t>
      </w:r>
      <w:r w:rsidR="009C4B68" w:rsidRPr="006A140B">
        <w:rPr>
          <w:rFonts w:ascii="Book Antiqua" w:eastAsia="Book Antiqua" w:hAnsi="Book Antiqua" w:cs="Book Antiqua"/>
          <w:color w:val="000000"/>
          <w:vertAlign w:val="superscript"/>
        </w:rPr>
        <w:t>1</w:t>
      </w:r>
      <w:r w:rsidRPr="006A140B">
        <w:rPr>
          <w:rFonts w:ascii="Book Antiqua" w:eastAsia="Book Antiqua" w:hAnsi="Book Antiqua" w:cs="Book Antiqua"/>
          <w:color w:val="000000"/>
          <w:vertAlign w:val="superscript"/>
        </w:rPr>
        <w:t>-26</w:t>
      </w:r>
      <w:r w:rsidR="009C4B68" w:rsidRPr="006A140B">
        <w:rPr>
          <w:rFonts w:ascii="Book Antiqua" w:eastAsia="Book Antiqua" w:hAnsi="Book Antiqua" w:cs="Book Antiqua"/>
          <w:color w:val="000000"/>
          <w:vertAlign w:val="superscript"/>
        </w:rPr>
        <w:t>3</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In addition, sporadic cases of interstitial nephritis have been documented, as verified by renal biopsy findings, improvement after steroid treatment, and cessation of the offending agents</w:t>
      </w:r>
      <w:r w:rsidRPr="006A140B">
        <w:rPr>
          <w:rFonts w:ascii="Book Antiqua" w:eastAsia="Book Antiqua" w:hAnsi="Book Antiqua" w:cs="Book Antiqua"/>
          <w:color w:val="000000"/>
          <w:vertAlign w:val="superscript"/>
        </w:rPr>
        <w:t>[26</w:t>
      </w:r>
      <w:r w:rsidR="00C478B7" w:rsidRPr="006A140B">
        <w:rPr>
          <w:rFonts w:ascii="Book Antiqua" w:eastAsia="Book Antiqua" w:hAnsi="Book Antiqua" w:cs="Book Antiqua"/>
          <w:color w:val="000000"/>
          <w:vertAlign w:val="superscript"/>
        </w:rPr>
        <w:t>4</w:t>
      </w:r>
      <w:r w:rsidRPr="006A140B">
        <w:rPr>
          <w:rFonts w:ascii="Book Antiqua" w:eastAsia="Book Antiqua" w:hAnsi="Book Antiqua" w:cs="Book Antiqua"/>
          <w:color w:val="000000"/>
          <w:vertAlign w:val="superscript"/>
        </w:rPr>
        <w:t>,26</w:t>
      </w:r>
      <w:r w:rsidR="00C478B7" w:rsidRPr="006A140B">
        <w:rPr>
          <w:rFonts w:ascii="Book Antiqua" w:eastAsia="Book Antiqua" w:hAnsi="Book Antiqua" w:cs="Book Antiqua"/>
          <w:color w:val="000000"/>
          <w:vertAlign w:val="superscript"/>
        </w:rPr>
        <w:t>5</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A case of minimal change disease was also reported</w:t>
      </w:r>
      <w:r w:rsidRPr="006A140B">
        <w:rPr>
          <w:rFonts w:ascii="Book Antiqua" w:eastAsia="Book Antiqua" w:hAnsi="Book Antiqua" w:cs="Book Antiqua"/>
          <w:color w:val="000000"/>
          <w:vertAlign w:val="superscript"/>
        </w:rPr>
        <w:t>[26</w:t>
      </w:r>
      <w:r w:rsidR="00C478B7" w:rsidRPr="006A140B">
        <w:rPr>
          <w:rFonts w:ascii="Book Antiqua" w:eastAsia="Book Antiqua" w:hAnsi="Book Antiqua" w:cs="Book Antiqua"/>
          <w:color w:val="000000"/>
          <w:vertAlign w:val="superscript"/>
        </w:rPr>
        <w:t>6</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r w:rsidRPr="006A140B">
        <w:rPr>
          <w:rFonts w:ascii="Book Antiqua" w:eastAsia="Book Antiqua" w:hAnsi="Book Antiqua" w:cs="Book Antiqua"/>
          <w:i/>
          <w:iCs/>
          <w:color w:val="000000"/>
        </w:rPr>
        <w:t xml:space="preserve"> Per </w:t>
      </w:r>
      <w:r w:rsidRPr="006A140B">
        <w:rPr>
          <w:rFonts w:ascii="Book Antiqua" w:eastAsia="Book Antiqua" w:hAnsi="Book Antiqua" w:cs="Book Antiqua"/>
          <w:color w:val="000000"/>
        </w:rPr>
        <w:t>the manufacturer’s instructions, no studies have investigated the pharmacokinetics of bevacizumab in patients with CKD because the kidneys are not major organs for bevacizumab metabolism or excretion</w:t>
      </w:r>
      <w:r w:rsidRPr="006A140B">
        <w:rPr>
          <w:rFonts w:ascii="Book Antiqua" w:eastAsia="Book Antiqua" w:hAnsi="Book Antiqua" w:cs="Book Antiqua"/>
          <w:color w:val="000000"/>
          <w:vertAlign w:val="superscript"/>
        </w:rPr>
        <w:t>[26</w:t>
      </w:r>
      <w:r w:rsidR="00C478B7" w:rsidRPr="006A140B">
        <w:rPr>
          <w:rFonts w:ascii="Book Antiqua" w:eastAsia="Book Antiqua" w:hAnsi="Book Antiqua" w:cs="Book Antiqua"/>
          <w:color w:val="000000"/>
          <w:vertAlign w:val="superscript"/>
        </w:rPr>
        <w:t>7</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Only one report has been published about the pharmacokinetics of bevacizumab in a dialysis-dependent patient with metastatic renal cancer, who received 5 mg/kg every 2 wk</w:t>
      </w:r>
      <w:r w:rsidRPr="006A140B">
        <w:rPr>
          <w:rFonts w:ascii="Book Antiqua" w:eastAsia="Book Antiqua" w:hAnsi="Book Antiqua" w:cs="Book Antiqua"/>
          <w:color w:val="000000"/>
          <w:vertAlign w:val="superscript"/>
        </w:rPr>
        <w:t>[26</w:t>
      </w:r>
      <w:r w:rsidR="00C478B7" w:rsidRPr="006A140B">
        <w:rPr>
          <w:rFonts w:ascii="Book Antiqua" w:eastAsia="Book Antiqua" w:hAnsi="Book Antiqua" w:cs="Book Antiqua"/>
          <w:color w:val="000000"/>
          <w:vertAlign w:val="superscript"/>
        </w:rPr>
        <w:t>8</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drug was not dialyzable, and its pharmacokinetic parameters were similar to the reference values of patients with normal renal function. The author concluded that the drug can be administered any time before or after hemodialysis. The FDA label does not provide information on dose adjustment in patients with renal dysfunction</w:t>
      </w:r>
      <w:r w:rsidRPr="006A140B">
        <w:rPr>
          <w:rFonts w:ascii="Book Antiqua" w:eastAsia="Book Antiqua" w:hAnsi="Book Antiqua" w:cs="Book Antiqua"/>
          <w:color w:val="000000"/>
          <w:vertAlign w:val="superscript"/>
        </w:rPr>
        <w:t>[26</w:t>
      </w:r>
      <w:r w:rsidR="00C478B7" w:rsidRPr="006A140B">
        <w:rPr>
          <w:rFonts w:ascii="Book Antiqua" w:eastAsia="Book Antiqua" w:hAnsi="Book Antiqua" w:cs="Book Antiqua"/>
          <w:color w:val="000000"/>
          <w:vertAlign w:val="superscript"/>
        </w:rPr>
        <w:t>7</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p>
    <w:p w14:paraId="3AAC11ED" w14:textId="77777777" w:rsidR="00A77B3E" w:rsidRPr="006A140B" w:rsidRDefault="00A77B3E" w:rsidP="00495B7C">
      <w:pPr>
        <w:spacing w:line="360" w:lineRule="auto"/>
        <w:ind w:firstLine="480"/>
        <w:jc w:val="both"/>
        <w:rPr>
          <w:rFonts w:ascii="Book Antiqua" w:hAnsi="Book Antiqua"/>
        </w:rPr>
      </w:pPr>
    </w:p>
    <w:p w14:paraId="72F4A252" w14:textId="483D1408" w:rsidR="00A77B3E" w:rsidRPr="006A140B" w:rsidRDefault="007D6307" w:rsidP="00AA7DD2">
      <w:pPr>
        <w:spacing w:line="360" w:lineRule="auto"/>
        <w:jc w:val="both"/>
        <w:rPr>
          <w:rFonts w:ascii="Book Antiqua" w:hAnsi="Book Antiqua"/>
        </w:rPr>
      </w:pPr>
      <w:r w:rsidRPr="006A140B">
        <w:rPr>
          <w:rFonts w:ascii="Book Antiqua" w:eastAsia="Book Antiqua" w:hAnsi="Book Antiqua" w:cs="Book Antiqua"/>
          <w:b/>
          <w:bCs/>
          <w:color w:val="000000"/>
        </w:rPr>
        <w:t>Immunotherapy</w:t>
      </w:r>
      <w:r w:rsidR="00AA7DD2" w:rsidRPr="006A140B">
        <w:rPr>
          <w:rFonts w:ascii="Book Antiqua" w:eastAsia="Book Antiqua" w:hAnsi="Book Antiqua" w:cs="Book Antiqua"/>
          <w:b/>
          <w:bCs/>
          <w:color w:val="000000"/>
        </w:rPr>
        <w:t>:</w:t>
      </w:r>
      <w:r w:rsidR="00AA7DD2" w:rsidRPr="006A140B">
        <w:rPr>
          <w:rFonts w:ascii="Book Antiqua" w:hAnsi="Book Antiqua" w:hint="eastAsia"/>
          <w:lang w:eastAsia="zh-CN"/>
        </w:rPr>
        <w:t xml:space="preserve"> </w:t>
      </w:r>
      <w:r w:rsidRPr="006A140B">
        <w:rPr>
          <w:rFonts w:ascii="Book Antiqua" w:eastAsia="Book Antiqua" w:hAnsi="Book Antiqua" w:cs="Book Antiqua"/>
          <w:color w:val="000000"/>
        </w:rPr>
        <w:t>Immunotherapy has been proven to be effective and safe in treating various solid tumors, prolonging overall survival, and offering a tolerable toxicity profile</w:t>
      </w:r>
      <w:r w:rsidRPr="006A140B">
        <w:rPr>
          <w:rFonts w:ascii="Book Antiqua" w:eastAsia="Book Antiqua" w:hAnsi="Book Antiqua" w:cs="Book Antiqua"/>
          <w:color w:val="000000"/>
          <w:vertAlign w:val="superscript"/>
        </w:rPr>
        <w:t>[26</w:t>
      </w:r>
      <w:r w:rsidR="000C6A98" w:rsidRPr="006A140B">
        <w:rPr>
          <w:rFonts w:ascii="Book Antiqua" w:eastAsia="Book Antiqua" w:hAnsi="Book Antiqua" w:cs="Book Antiqua"/>
          <w:color w:val="000000"/>
          <w:vertAlign w:val="superscript"/>
        </w:rPr>
        <w:t>9</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Immunotherapy negates tumor-expressed extracellular ligands that suppress intrinsic immune response and can be achieved through three main approaches</w:t>
      </w:r>
      <w:r w:rsidRPr="006A140B">
        <w:rPr>
          <w:rFonts w:ascii="Book Antiqua" w:eastAsia="Book Antiqua" w:hAnsi="Book Antiqua" w:cs="Book Antiqua"/>
          <w:color w:val="000000"/>
          <w:vertAlign w:val="superscript"/>
        </w:rPr>
        <w:t>[2</w:t>
      </w:r>
      <w:r w:rsidR="000C6A98" w:rsidRPr="006A140B">
        <w:rPr>
          <w:rFonts w:ascii="Book Antiqua" w:eastAsia="Book Antiqua" w:hAnsi="Book Antiqua" w:cs="Book Antiqua"/>
          <w:color w:val="000000"/>
          <w:vertAlign w:val="superscript"/>
        </w:rPr>
        <w:t>70</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One approach is to target the inhibitory proteins that prevent T cells from recognizing and eliminating cancer cells and allow regulatory cells to avoid autoimmune destruction by downregulating T-cell activation</w:t>
      </w:r>
      <w:r w:rsidRPr="006A140B">
        <w:rPr>
          <w:rFonts w:ascii="Book Antiqua" w:eastAsia="Book Antiqua" w:hAnsi="Book Antiqua" w:cs="Book Antiqua"/>
          <w:color w:val="000000"/>
          <w:vertAlign w:val="superscript"/>
        </w:rPr>
        <w:t>[26</w:t>
      </w:r>
      <w:r w:rsidR="00A42496" w:rsidRPr="006A140B">
        <w:rPr>
          <w:rFonts w:ascii="Book Antiqua" w:eastAsia="Book Antiqua" w:hAnsi="Book Antiqua" w:cs="Book Antiqua"/>
          <w:color w:val="000000"/>
          <w:vertAlign w:val="superscript"/>
        </w:rPr>
        <w:t>9</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Examples of these molecules are cytotoxic T-lymphocyte-associated antigen 4 (CTLA-4), programmed cell death protein-1 (PD-1) in addition to its ligand PD-L1, and T cell immunoglobulin and mucin domain-containing protein 3 (TIM-3)</w:t>
      </w:r>
      <w:r w:rsidRPr="006A140B">
        <w:rPr>
          <w:rFonts w:ascii="Book Antiqua" w:eastAsia="Book Antiqua" w:hAnsi="Book Antiqua" w:cs="Book Antiqua"/>
          <w:color w:val="000000"/>
          <w:vertAlign w:val="superscript"/>
        </w:rPr>
        <w:t>[27</w:t>
      </w:r>
      <w:r w:rsidR="00A42496" w:rsidRPr="006A140B">
        <w:rPr>
          <w:rFonts w:ascii="Book Antiqua" w:eastAsia="Book Antiqua" w:hAnsi="Book Antiqua" w:cs="Book Antiqua"/>
          <w:color w:val="000000"/>
          <w:vertAlign w:val="superscript"/>
        </w:rPr>
        <w:t>1</w:t>
      </w:r>
      <w:r w:rsidRPr="006A140B">
        <w:rPr>
          <w:rFonts w:ascii="Book Antiqua" w:eastAsia="Book Antiqua" w:hAnsi="Book Antiqua" w:cs="Book Antiqua"/>
          <w:color w:val="000000"/>
          <w:vertAlign w:val="superscript"/>
        </w:rPr>
        <w:t>,27</w:t>
      </w:r>
      <w:r w:rsidR="00A42496"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Checkpoint inhibitors are antibodies that activate T-cell mediated antitumor responses by selectively blocking the checkpoint receptors PD-1, PD-L1, and CTLA-4</w:t>
      </w:r>
      <w:r w:rsidRPr="006A140B">
        <w:rPr>
          <w:rFonts w:ascii="Book Antiqua" w:eastAsia="Book Antiqua" w:hAnsi="Book Antiqua" w:cs="Book Antiqua"/>
          <w:color w:val="000000"/>
          <w:vertAlign w:val="superscript"/>
        </w:rPr>
        <w:t>[27</w:t>
      </w:r>
      <w:r w:rsidR="00A42496" w:rsidRPr="006A140B">
        <w:rPr>
          <w:rFonts w:ascii="Book Antiqua" w:eastAsia="Book Antiqua" w:hAnsi="Book Antiqua" w:cs="Book Antiqua"/>
          <w:color w:val="000000"/>
          <w:vertAlign w:val="superscript"/>
        </w:rPr>
        <w:t>1</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xml:space="preserve">. Conversely, therapeutic cancer vaccines that use a tumor-associated antigen (TAA) originating either from whole-cell tumor lysates and recombinant tumor peptides or recombinant viruses encoding for TAAs bring new prospects in treating cancers. TAAs are transferred and presented by major histocompatibility complex class I molecules in </w:t>
      </w:r>
      <w:r w:rsidR="00AA7DD2" w:rsidRPr="006A140B">
        <w:rPr>
          <w:rFonts w:ascii="Book Antiqua" w:eastAsia="Book Antiqua" w:hAnsi="Book Antiqua" w:cs="Book Antiqua"/>
          <w:color w:val="000000"/>
        </w:rPr>
        <w:t>atrial premature complexes</w:t>
      </w:r>
      <w:r w:rsidRPr="006A140B">
        <w:rPr>
          <w:rFonts w:ascii="Book Antiqua" w:eastAsia="Book Antiqua" w:hAnsi="Book Antiqua" w:cs="Book Antiqua"/>
          <w:color w:val="000000"/>
        </w:rPr>
        <w:t xml:space="preserve"> to effectively induce the activation of cytotoxic T-lymphocytes</w:t>
      </w:r>
      <w:r w:rsidRPr="006A140B">
        <w:rPr>
          <w:rFonts w:ascii="Book Antiqua" w:eastAsia="Book Antiqua" w:hAnsi="Book Antiqua" w:cs="Book Antiqua"/>
          <w:color w:val="000000"/>
          <w:vertAlign w:val="superscript"/>
        </w:rPr>
        <w:t>[27</w:t>
      </w:r>
      <w:r w:rsidR="00A42496" w:rsidRPr="006A140B">
        <w:rPr>
          <w:rFonts w:ascii="Book Antiqua" w:eastAsia="Book Antiqua" w:hAnsi="Book Antiqua" w:cs="Book Antiqua"/>
          <w:color w:val="000000"/>
          <w:vertAlign w:val="superscript"/>
        </w:rPr>
        <w:t>3</w:t>
      </w:r>
      <w:r w:rsidRPr="006A140B">
        <w:rPr>
          <w:rFonts w:ascii="Book Antiqua" w:eastAsia="Book Antiqua" w:hAnsi="Book Antiqua" w:cs="Book Antiqua"/>
          <w:color w:val="000000"/>
          <w:vertAlign w:val="superscript"/>
        </w:rPr>
        <w:t>,27</w:t>
      </w:r>
      <w:r w:rsidR="00A42496" w:rsidRPr="006A140B">
        <w:rPr>
          <w:rFonts w:ascii="Book Antiqua" w:eastAsia="Book Antiqua" w:hAnsi="Book Antiqua" w:cs="Book Antiqua"/>
          <w:color w:val="000000"/>
          <w:vertAlign w:val="superscript"/>
        </w:rPr>
        <w:t>4</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Another strategy in immune-regulated antitumor response is that of adoptive cell transfer. Immune cells are extracted from patients’ peripheral blood and undergo genetic engineering to express chimeric antigen receptors. These cell membrane proteins bind to specific cancer antigens and stimulate the immune destruction of tumor cells</w:t>
      </w:r>
      <w:r w:rsidRPr="006A140B">
        <w:rPr>
          <w:rFonts w:ascii="Book Antiqua" w:eastAsia="Book Antiqua" w:hAnsi="Book Antiqua" w:cs="Book Antiqua"/>
          <w:color w:val="000000"/>
          <w:vertAlign w:val="superscript"/>
        </w:rPr>
        <w:t>[27</w:t>
      </w:r>
      <w:r w:rsidR="00A42496" w:rsidRPr="006A140B">
        <w:rPr>
          <w:rFonts w:ascii="Book Antiqua" w:eastAsia="Book Antiqua" w:hAnsi="Book Antiqua" w:cs="Book Antiqua"/>
          <w:color w:val="000000"/>
          <w:vertAlign w:val="superscript"/>
        </w:rPr>
        <w:t>5</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p>
    <w:p w14:paraId="2E042019" w14:textId="555A81EF"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In HCC, two categories of immune checkpoint inhibitors have been thoroughly examined in clinical trials, namely PD-1/PD-L1 and CTLA-4. Other promising markers are being investigated in animal models, and new agents are being tested in clinical trials</w:t>
      </w:r>
      <w:r w:rsidRPr="006A140B">
        <w:rPr>
          <w:rFonts w:ascii="Book Antiqua" w:eastAsia="Book Antiqua" w:hAnsi="Book Antiqua" w:cs="Book Antiqua"/>
          <w:color w:val="000000"/>
          <w:vertAlign w:val="superscript"/>
        </w:rPr>
        <w:t>[27</w:t>
      </w:r>
      <w:r w:rsidR="00A42496"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Currently, the FDA has approved checkpoint inhibitors for advanced HCC, including atezolizumab, pembrolizumab, nivolumab, and ipilimumab. The following paragraphs discuss the mechanism of action, common adverse effects, and points of caution for people with renal dysfunction in the use of these agents. The anticipating checkpoint molecule TIM-3 blockade and the related clinical trials are mentioned as well.</w:t>
      </w:r>
    </w:p>
    <w:p w14:paraId="6F501FBE" w14:textId="55C0AB26"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Atezolizumab is an engineered IgG1 monoclonal antibody targeting PD-L1. Patients with unresectable HCC who had not previously received systemic treatment were randomly assigned at a 2:1 ratio to receive either atezolizumab plus bevacizumab or sorafenib until unacceptable toxic effects or a loss of clinical benefit occurred</w:t>
      </w:r>
      <w:r w:rsidRPr="006A140B">
        <w:rPr>
          <w:rFonts w:ascii="Book Antiqua" w:eastAsia="Book Antiqua" w:hAnsi="Book Antiqua" w:cs="Book Antiqua"/>
          <w:color w:val="000000"/>
          <w:vertAlign w:val="superscript"/>
        </w:rPr>
        <w:t>[2</w:t>
      </w:r>
      <w:r w:rsidR="00A42496" w:rsidRPr="006A140B">
        <w:rPr>
          <w:rFonts w:ascii="Book Antiqua" w:eastAsia="Book Antiqua" w:hAnsi="Book Antiqua" w:cs="Book Antiqua"/>
          <w:color w:val="000000"/>
          <w:vertAlign w:val="superscript"/>
        </w:rPr>
        <w:t>56</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Atezolizumab combined with bevacizumab resulted in superior overall and progression-free survival outcomes than did sorafenib, which led to the FDA approving the combined therapy of atezolizumab plus bevacizumab as the first-line treatment for unresectable HCC (see the preceding paragraph on bevacizumab). In a study focusing on the use of atezolizumab in patients with renal insufficiency, the efficacy and safety of atezolizumab in these special subpopulations from an expanded access program was reported</w:t>
      </w:r>
      <w:r w:rsidRPr="006A140B">
        <w:rPr>
          <w:rFonts w:ascii="Book Antiqua" w:eastAsia="Book Antiqua" w:hAnsi="Book Antiqua" w:cs="Book Antiqua"/>
          <w:color w:val="000000"/>
          <w:vertAlign w:val="superscript"/>
        </w:rPr>
        <w:t>[27</w:t>
      </w:r>
      <w:r w:rsidR="00AF330D" w:rsidRPr="006A140B">
        <w:rPr>
          <w:rFonts w:ascii="Book Antiqua" w:eastAsia="Book Antiqua" w:hAnsi="Book Antiqua" w:cs="Book Antiqua"/>
          <w:color w:val="000000"/>
          <w:vertAlign w:val="superscript"/>
        </w:rPr>
        <w:t>6</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Objective responses occurred in 0/6 (0%), 4/19 (21%), 1/27 (3.7%), and 12/62 (19%) of evaluable patients with CCR &lt;</w:t>
      </w:r>
      <w:r w:rsidR="003847C8"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30, 30</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45, 45</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60, and ≥</w:t>
      </w:r>
      <w:r w:rsidR="003847C8"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60 mL/min, respectively, and stable disease course was observed in three patients with CCR &lt;</w:t>
      </w:r>
      <w:r w:rsidR="003847C8"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30 mL/min. The author concluded that these findings verified the clinical benefit of atezolizumab in patients with compromised renal function. In one case report, a male patient with metastatic urothelial cell carcinoma and ESRD on dialysis was safely treated with atezolizumab</w:t>
      </w:r>
      <w:r w:rsidRPr="006A140B">
        <w:rPr>
          <w:rFonts w:ascii="Book Antiqua" w:eastAsia="Book Antiqua" w:hAnsi="Book Antiqua" w:cs="Book Antiqua"/>
          <w:color w:val="000000"/>
          <w:vertAlign w:val="superscript"/>
        </w:rPr>
        <w:t>[27</w:t>
      </w:r>
      <w:r w:rsidR="00AF330D" w:rsidRPr="006A140B">
        <w:rPr>
          <w:rFonts w:ascii="Book Antiqua" w:eastAsia="Book Antiqua" w:hAnsi="Book Antiqua" w:cs="Book Antiqua"/>
          <w:color w:val="000000"/>
          <w:vertAlign w:val="superscript"/>
        </w:rPr>
        <w:t>7</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main kidney-related side effect caused by atezolizumab is acute tubulointerstitial nephritis, as reported in biopsy-proven cases</w:t>
      </w:r>
      <w:r w:rsidRPr="006A140B">
        <w:rPr>
          <w:rFonts w:ascii="Book Antiqua" w:eastAsia="Book Antiqua" w:hAnsi="Book Antiqua" w:cs="Book Antiqua"/>
          <w:color w:val="000000"/>
          <w:vertAlign w:val="superscript"/>
        </w:rPr>
        <w:t>[27</w:t>
      </w:r>
      <w:r w:rsidR="00AF330D" w:rsidRPr="006A140B">
        <w:rPr>
          <w:rFonts w:ascii="Book Antiqua" w:eastAsia="Book Antiqua" w:hAnsi="Book Antiqua" w:cs="Book Antiqua"/>
          <w:color w:val="000000"/>
          <w:vertAlign w:val="superscript"/>
        </w:rPr>
        <w:t>8</w:t>
      </w:r>
      <w:r w:rsidRPr="006A140B">
        <w:rPr>
          <w:rFonts w:ascii="Book Antiqua" w:eastAsia="Book Antiqua" w:hAnsi="Book Antiqua" w:cs="Book Antiqua"/>
          <w:color w:val="000000"/>
          <w:vertAlign w:val="superscript"/>
        </w:rPr>
        <w:t>,27</w:t>
      </w:r>
      <w:r w:rsidR="00AF330D" w:rsidRPr="006A140B">
        <w:rPr>
          <w:rFonts w:ascii="Book Antiqua" w:eastAsia="Book Antiqua" w:hAnsi="Book Antiqua" w:cs="Book Antiqua"/>
          <w:color w:val="000000"/>
          <w:vertAlign w:val="superscript"/>
        </w:rPr>
        <w:t>9</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Based on the FDA label, mild or moderate renal impairment (eGFR 30</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89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has no clinically significant effect on systemic exposure to atezolizumab; however, the effects of severe renal impairment (eGFR &lt; 30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or severe hepatic impairment on the pharmacokinetics of atezolizumab is unknown</w:t>
      </w:r>
      <w:r w:rsidRPr="006A140B">
        <w:rPr>
          <w:rFonts w:ascii="Book Antiqua" w:eastAsia="Book Antiqua" w:hAnsi="Book Antiqua" w:cs="Book Antiqua"/>
          <w:color w:val="000000"/>
          <w:vertAlign w:val="superscript"/>
        </w:rPr>
        <w:t>[2</w:t>
      </w:r>
      <w:r w:rsidR="00AF330D" w:rsidRPr="006A140B">
        <w:rPr>
          <w:rFonts w:ascii="Book Antiqua" w:eastAsia="Book Antiqua" w:hAnsi="Book Antiqua" w:cs="Book Antiqua"/>
          <w:color w:val="000000"/>
          <w:vertAlign w:val="superscript"/>
        </w:rPr>
        <w:t>80</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p>
    <w:p w14:paraId="6FDEB2DB" w14:textId="4E878A39"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Pembrolizumab is an anti-PD-1 monoclonal antibody. The antitumor effects of pembrolizumab were examined in a phase II trial in patients who were previously treated with advanced HCC (KEYNOTE-224)</w:t>
      </w:r>
      <w:r w:rsidRPr="006A140B">
        <w:rPr>
          <w:rFonts w:ascii="Book Antiqua" w:eastAsia="Book Antiqua" w:hAnsi="Book Antiqua" w:cs="Book Antiqua"/>
          <w:color w:val="000000"/>
          <w:vertAlign w:val="superscript"/>
        </w:rPr>
        <w:t>[28</w:t>
      </w:r>
      <w:r w:rsidR="00AF330D" w:rsidRPr="006A140B">
        <w:rPr>
          <w:rFonts w:ascii="Book Antiqua" w:eastAsia="Book Antiqua" w:hAnsi="Book Antiqua" w:cs="Book Antiqua"/>
          <w:color w:val="000000"/>
          <w:vertAlign w:val="superscript"/>
        </w:rPr>
        <w:t>1</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Subsequently, a randomized, double-blind, and phase III study (KEYNOTE-240) was conducted to further verify the efficacy and safety of pembrolizumab in this population</w:t>
      </w:r>
      <w:r w:rsidRPr="006A140B">
        <w:rPr>
          <w:rFonts w:ascii="Book Antiqua" w:eastAsia="Book Antiqua" w:hAnsi="Book Antiqua" w:cs="Book Antiqua"/>
          <w:color w:val="000000"/>
          <w:vertAlign w:val="superscript"/>
        </w:rPr>
        <w:t>[28</w:t>
      </w:r>
      <w:r w:rsidR="00AF330D"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study indicated a favorable risk-to-benefit ratio for pembrolizumab in this population, but the overall and progression-free survival did not reach statistical significance</w:t>
      </w:r>
      <w:r w:rsidRPr="006A140B">
        <w:rPr>
          <w:rFonts w:ascii="Book Antiqua" w:eastAsia="Book Antiqua" w:hAnsi="Book Antiqua" w:cs="Book Antiqua"/>
          <w:i/>
          <w:iCs/>
          <w:color w:val="000000"/>
        </w:rPr>
        <w:t xml:space="preserve"> per </w:t>
      </w:r>
      <w:r w:rsidRPr="006A140B">
        <w:rPr>
          <w:rFonts w:ascii="Book Antiqua" w:eastAsia="Book Antiqua" w:hAnsi="Book Antiqua" w:cs="Book Antiqua"/>
          <w:color w:val="000000"/>
        </w:rPr>
        <w:t>the specified criteria. Based on the aforementioned trials, the FDA</w:t>
      </w:r>
      <w:r w:rsidR="00450B0A"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granted accelerated approval to pembrolizumab for patients with HCC who have been previously treated with sorafenib. Several adverse renal effects have been noted during the use of pembrolizumab, including acute tubular injury, acute interstitial nephritis, and minimal change disease; moreover, kidney biopsy was recommended for suspected pembrolizumab-related cases of AKI</w:t>
      </w:r>
      <w:r w:rsidRPr="006A140B">
        <w:rPr>
          <w:rFonts w:ascii="Book Antiqua" w:eastAsia="Book Antiqua" w:hAnsi="Book Antiqua" w:cs="Book Antiqua"/>
          <w:color w:val="000000"/>
          <w:vertAlign w:val="superscript"/>
        </w:rPr>
        <w:t>[28</w:t>
      </w:r>
      <w:r w:rsidR="00AF330D" w:rsidRPr="006A140B">
        <w:rPr>
          <w:rFonts w:ascii="Book Antiqua" w:eastAsia="Book Antiqua" w:hAnsi="Book Antiqua" w:cs="Book Antiqua"/>
          <w:color w:val="000000"/>
          <w:vertAlign w:val="superscript"/>
        </w:rPr>
        <w:t>3</w:t>
      </w:r>
      <w:r w:rsidRPr="006A140B">
        <w:rPr>
          <w:rFonts w:ascii="Book Antiqua" w:eastAsia="Book Antiqua" w:hAnsi="Book Antiqua" w:cs="Book Antiqua"/>
          <w:color w:val="000000"/>
          <w:vertAlign w:val="superscript"/>
        </w:rPr>
        <w:t>-28</w:t>
      </w:r>
      <w:r w:rsidR="00AF330D" w:rsidRPr="006A140B">
        <w:rPr>
          <w:rFonts w:ascii="Book Antiqua" w:eastAsia="Book Antiqua" w:hAnsi="Book Antiqua" w:cs="Book Antiqua"/>
          <w:color w:val="000000"/>
          <w:vertAlign w:val="superscript"/>
        </w:rPr>
        <w:t>5</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According to the FDA label, regarding the risk of immune-mediated nephritis, changes in renal function should be monitored during use. The FDA also advised withholding pembrolizumab and administering corticosteroids for grade 2 nephritis or higher, and they also advised permanently discontinuing the drug for severe (Grade 3) or life-threatening (Grade 4) nephritis. Renal impairment (eGFR ≥</w:t>
      </w:r>
      <w:r w:rsidR="00450B0A"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15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has no clinically significant effect on the clearance of pembrolizumab. Insufficient information exists regarding whether clinically important differences exist in the clearance of pembrolizumab in patients with eGFR &lt; 15 mL/min/1.73 m</w:t>
      </w:r>
      <w:r w:rsidRPr="006A140B">
        <w:rPr>
          <w:rFonts w:ascii="Book Antiqua" w:eastAsia="Book Antiqua" w:hAnsi="Book Antiqua" w:cs="Book Antiqua"/>
          <w:color w:val="000000"/>
          <w:vertAlign w:val="superscript"/>
        </w:rPr>
        <w:t>2[28</w:t>
      </w:r>
      <w:r w:rsidR="00AF330D" w:rsidRPr="006A140B">
        <w:rPr>
          <w:rFonts w:ascii="Book Antiqua" w:eastAsia="Book Antiqua" w:hAnsi="Book Antiqua" w:cs="Book Antiqua"/>
          <w:color w:val="000000"/>
          <w:vertAlign w:val="superscript"/>
        </w:rPr>
        <w:t>6</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p>
    <w:p w14:paraId="4D807F0F" w14:textId="7D4DF590"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Nivolumab is another anti-PD-1 monoclonal antibody. An open-label, noncomparative, phase 1/2, and dose escalation and expansion trial (CheckMate-040) was conducted to assess the safety and efficacy of nivolumab in patients with advanced HCC with or without chronic viral hepatitis</w:t>
      </w:r>
      <w:r w:rsidRPr="006A140B">
        <w:rPr>
          <w:rFonts w:ascii="Book Antiqua" w:eastAsia="Book Antiqua" w:hAnsi="Book Antiqua" w:cs="Book Antiqua"/>
          <w:color w:val="000000"/>
          <w:vertAlign w:val="superscript"/>
        </w:rPr>
        <w:t>[28</w:t>
      </w:r>
      <w:r w:rsidR="00AF330D" w:rsidRPr="006A140B">
        <w:rPr>
          <w:rFonts w:ascii="Book Antiqua" w:eastAsia="Book Antiqua" w:hAnsi="Book Antiqua" w:cs="Book Antiqua"/>
          <w:color w:val="000000"/>
          <w:vertAlign w:val="superscript"/>
        </w:rPr>
        <w:t>7</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FDA later granted accelerated approval to nivolumab for patients with HCC who have previously been treated with sorafenib.</w:t>
      </w:r>
      <w:r w:rsidR="00450B0A"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 xml:space="preserve">A randomized, multicenter phase III study (CheckMate-459) of nivolumab </w:t>
      </w:r>
      <w:r w:rsidRPr="006A140B">
        <w:rPr>
          <w:rFonts w:ascii="Book Antiqua" w:eastAsia="Book Antiqua" w:hAnsi="Book Antiqua" w:cs="Book Antiqua"/>
          <w:i/>
          <w:iCs/>
          <w:color w:val="000000"/>
        </w:rPr>
        <w:t>vs</w:t>
      </w:r>
      <w:r w:rsidRPr="006A140B">
        <w:rPr>
          <w:rFonts w:ascii="Book Antiqua" w:eastAsia="Book Antiqua" w:hAnsi="Book Antiqua" w:cs="Book Antiqua"/>
          <w:color w:val="000000"/>
        </w:rPr>
        <w:t xml:space="preserve"> sorafenib in patients with advanced HCC is currently ongoing to examine the use of nivolumab as a first-line treatment</w:t>
      </w:r>
      <w:r w:rsidRPr="006A140B">
        <w:rPr>
          <w:rFonts w:ascii="Book Antiqua" w:eastAsia="Book Antiqua" w:hAnsi="Book Antiqua" w:cs="Book Antiqua"/>
          <w:color w:val="000000"/>
          <w:vertAlign w:val="superscript"/>
        </w:rPr>
        <w:t>[28</w:t>
      </w:r>
      <w:r w:rsidR="00AF330D" w:rsidRPr="006A140B">
        <w:rPr>
          <w:rFonts w:ascii="Book Antiqua" w:eastAsia="Book Antiqua" w:hAnsi="Book Antiqua" w:cs="Book Antiqua"/>
          <w:color w:val="000000"/>
          <w:vertAlign w:val="superscript"/>
        </w:rPr>
        <w:t>8</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renal toxicity profile of nivolumab is similar to that of pembrolizumab, including AKI, acute tubular injury, and immune complex-mediated glomerulonephritis</w:t>
      </w:r>
      <w:r w:rsidRPr="006A140B">
        <w:rPr>
          <w:rFonts w:ascii="Book Antiqua" w:eastAsia="Book Antiqua" w:hAnsi="Book Antiqua" w:cs="Book Antiqua"/>
          <w:color w:val="000000"/>
          <w:vertAlign w:val="superscript"/>
        </w:rPr>
        <w:t>[28</w:t>
      </w:r>
      <w:r w:rsidR="00AF330D" w:rsidRPr="006A140B">
        <w:rPr>
          <w:rFonts w:ascii="Book Antiqua" w:eastAsia="Book Antiqua" w:hAnsi="Book Antiqua" w:cs="Book Antiqua"/>
          <w:color w:val="000000"/>
          <w:vertAlign w:val="superscript"/>
        </w:rPr>
        <w:t>4</w:t>
      </w:r>
      <w:r w:rsidRPr="006A140B">
        <w:rPr>
          <w:rFonts w:ascii="Book Antiqua" w:eastAsia="Book Antiqua" w:hAnsi="Book Antiqua" w:cs="Book Antiqua"/>
          <w:color w:val="000000"/>
          <w:vertAlign w:val="superscript"/>
        </w:rPr>
        <w:t>,28</w:t>
      </w:r>
      <w:r w:rsidR="00AF330D" w:rsidRPr="006A140B">
        <w:rPr>
          <w:rFonts w:ascii="Book Antiqua" w:eastAsia="Book Antiqua" w:hAnsi="Book Antiqua" w:cs="Book Antiqua"/>
          <w:color w:val="000000"/>
          <w:vertAlign w:val="superscript"/>
        </w:rPr>
        <w:t>9</w:t>
      </w:r>
      <w:r w:rsidRPr="006A140B">
        <w:rPr>
          <w:rFonts w:ascii="Book Antiqua" w:eastAsia="Book Antiqua" w:hAnsi="Book Antiqua" w:cs="Book Antiqua"/>
          <w:color w:val="000000"/>
          <w:vertAlign w:val="superscript"/>
        </w:rPr>
        <w:t>,2</w:t>
      </w:r>
      <w:r w:rsidR="00AF330D" w:rsidRPr="006A140B">
        <w:rPr>
          <w:rFonts w:ascii="Book Antiqua" w:eastAsia="Book Antiqua" w:hAnsi="Book Antiqua" w:cs="Book Antiqua"/>
          <w:color w:val="000000"/>
          <w:vertAlign w:val="superscript"/>
        </w:rPr>
        <w:t>90</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FDA label contains special warnings, prescribes precaution for immune-mediated nephritis and renal dysfunction during use, and advises that patients should be monitored for changes in renal function. The drug should be withdrawn in cases of moderate or severe serum creatinine elevation and permanently discontinued in cases of life-threatening serum creatinine elevation. The effect of renal impairment on the clearance of nivolumab was evaluated through a population pharmacokinetics analysis in patients with mild (eGFR: 60</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89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moderate (eGFR: 30</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59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or severe (eGFR: 15</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29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renal impairment. No clinically important differences in the clearance of nivolumab were found between patients with renal impairment and those with normal renal function. The FDA suggests no dose adjustment in patients with renal impairment</w:t>
      </w:r>
      <w:r w:rsidRPr="006A140B">
        <w:rPr>
          <w:rFonts w:ascii="Book Antiqua" w:eastAsia="Book Antiqua" w:hAnsi="Book Antiqua" w:cs="Book Antiqua"/>
          <w:color w:val="000000"/>
          <w:vertAlign w:val="superscript"/>
        </w:rPr>
        <w:t>[29</w:t>
      </w:r>
      <w:r w:rsidR="00AF330D" w:rsidRPr="006A140B">
        <w:rPr>
          <w:rFonts w:ascii="Book Antiqua" w:eastAsia="Book Antiqua" w:hAnsi="Book Antiqua" w:cs="Book Antiqua"/>
          <w:color w:val="000000"/>
          <w:vertAlign w:val="superscript"/>
        </w:rPr>
        <w:t>1</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p>
    <w:p w14:paraId="559733E5" w14:textId="271224AC"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Ipilimumab is a CTLA-4 immune checkpoint inhibitor. The anti-HCC effect of ipilimumab was demonstrated in the nivolumab plus ipilimumab cohort in CheckMate-040, a multicenter, open-label, and phase 1/2 study (described in the preceding paragraph on nivolumab)</w:t>
      </w:r>
      <w:r w:rsidRPr="006A140B">
        <w:rPr>
          <w:rFonts w:ascii="Book Antiqua" w:eastAsia="Book Antiqua" w:hAnsi="Book Antiqua" w:cs="Book Antiqua"/>
          <w:color w:val="000000"/>
          <w:vertAlign w:val="superscript"/>
        </w:rPr>
        <w:t>[29</w:t>
      </w:r>
      <w:r w:rsidR="00AF330D"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FDA granted accelerated approval to the combination of nivolumab and ipilimumab for patients with HCC who have previously been treated with sorafenib.</w:t>
      </w:r>
      <w:r w:rsidRPr="006A140B">
        <w:rPr>
          <w:rFonts w:ascii="Book Antiqua" w:eastAsia="Book Antiqua" w:hAnsi="Book Antiqua" w:cs="Book Antiqua"/>
          <w:color w:val="000000"/>
          <w:shd w:val="clear" w:color="auto" w:fill="FFFFFF"/>
        </w:rPr>
        <w:t xml:space="preserve"> As with those for other immunotherapy agents, evidence of the adverse renal effects of ipilimumab has indicated their presence in the forms of acute interstitial nephritis and AKI, constituting a cause for alarm</w:t>
      </w:r>
      <w:r w:rsidRPr="006A140B">
        <w:rPr>
          <w:rFonts w:ascii="Book Antiqua" w:eastAsia="Book Antiqua" w:hAnsi="Book Antiqua" w:cs="Book Antiqua"/>
          <w:color w:val="000000"/>
          <w:shd w:val="clear" w:color="auto" w:fill="FFFFFF"/>
          <w:vertAlign w:val="superscript"/>
        </w:rPr>
        <w:t>[29</w:t>
      </w:r>
      <w:r w:rsidR="00AF330D" w:rsidRPr="006A140B">
        <w:rPr>
          <w:rFonts w:ascii="Book Antiqua" w:eastAsia="Book Antiqua" w:hAnsi="Book Antiqua" w:cs="Book Antiqua"/>
          <w:color w:val="000000"/>
          <w:shd w:val="clear" w:color="auto" w:fill="FFFFFF"/>
          <w:vertAlign w:val="superscript"/>
        </w:rPr>
        <w:t>3</w:t>
      </w:r>
      <w:r w:rsidRPr="006A140B">
        <w:rPr>
          <w:rFonts w:ascii="Book Antiqua" w:eastAsia="Book Antiqua" w:hAnsi="Book Antiqua" w:cs="Book Antiqua"/>
          <w:color w:val="000000"/>
          <w:shd w:val="clear" w:color="auto" w:fill="FFFFFF"/>
          <w:vertAlign w:val="superscript"/>
        </w:rPr>
        <w:t>]</w:t>
      </w:r>
      <w:r w:rsidRPr="006A140B">
        <w:rPr>
          <w:rFonts w:ascii="Book Antiqua" w:eastAsia="Book Antiqua" w:hAnsi="Book Antiqua" w:cs="Book Antiqua"/>
          <w:color w:val="000000"/>
          <w:shd w:val="clear" w:color="auto" w:fill="FFFFFF"/>
        </w:rPr>
        <w:t>. However, the onset of kidney injury as indicated by CTLA-4 antagonist-related renal injury occurs earlier (2–3 mo) than that indicated by PD-1 inhibitors (3–10 mo)</w:t>
      </w:r>
      <w:r w:rsidRPr="006A140B">
        <w:rPr>
          <w:rFonts w:ascii="Book Antiqua" w:eastAsia="Book Antiqua" w:hAnsi="Book Antiqua" w:cs="Book Antiqua"/>
          <w:color w:val="000000"/>
          <w:shd w:val="clear" w:color="auto" w:fill="FFFFFF"/>
          <w:vertAlign w:val="superscript"/>
        </w:rPr>
        <w:t>[28</w:t>
      </w:r>
      <w:r w:rsidR="00F968EA" w:rsidRPr="006A140B">
        <w:rPr>
          <w:rFonts w:ascii="Book Antiqua" w:eastAsia="Book Antiqua" w:hAnsi="Book Antiqua" w:cs="Book Antiqua"/>
          <w:color w:val="000000"/>
          <w:shd w:val="clear" w:color="auto" w:fill="FFFFFF"/>
          <w:vertAlign w:val="superscript"/>
        </w:rPr>
        <w:t>4</w:t>
      </w:r>
      <w:r w:rsidRPr="006A140B">
        <w:rPr>
          <w:rFonts w:ascii="Book Antiqua" w:eastAsia="Book Antiqua" w:hAnsi="Book Antiqua" w:cs="Book Antiqua"/>
          <w:color w:val="000000"/>
          <w:shd w:val="clear" w:color="auto" w:fill="FFFFFF"/>
          <w:vertAlign w:val="superscript"/>
        </w:rPr>
        <w:t>,29</w:t>
      </w:r>
      <w:r w:rsidR="00F968EA" w:rsidRPr="006A140B">
        <w:rPr>
          <w:rFonts w:ascii="Book Antiqua" w:eastAsia="Book Antiqua" w:hAnsi="Book Antiqua" w:cs="Book Antiqua"/>
          <w:color w:val="000000"/>
          <w:shd w:val="clear" w:color="auto" w:fill="FFFFFF"/>
          <w:vertAlign w:val="superscript"/>
        </w:rPr>
        <w:t>4</w:t>
      </w:r>
      <w:r w:rsidRPr="006A140B">
        <w:rPr>
          <w:rFonts w:ascii="Book Antiqua" w:eastAsia="Book Antiqua" w:hAnsi="Book Antiqua" w:cs="Book Antiqua"/>
          <w:color w:val="000000"/>
          <w:shd w:val="clear" w:color="auto" w:fill="FFFFFF"/>
          <w:vertAlign w:val="superscript"/>
        </w:rPr>
        <w:t>]</w:t>
      </w:r>
      <w:r w:rsidRPr="006A140B">
        <w:rPr>
          <w:rFonts w:ascii="Book Antiqua" w:eastAsia="Book Antiqua" w:hAnsi="Book Antiqua" w:cs="Book Antiqua"/>
          <w:color w:val="000000"/>
          <w:shd w:val="clear" w:color="auto" w:fill="FFFFFF"/>
        </w:rPr>
        <w:t>. Furthermore, a case of ipilimumab-induced lupus nephritis was also reported</w:t>
      </w:r>
      <w:r w:rsidRPr="006A140B">
        <w:rPr>
          <w:rFonts w:ascii="Book Antiqua" w:eastAsia="Book Antiqua" w:hAnsi="Book Antiqua" w:cs="Book Antiqua"/>
          <w:color w:val="000000"/>
          <w:shd w:val="clear" w:color="auto" w:fill="FFFFFF"/>
          <w:vertAlign w:val="superscript"/>
        </w:rPr>
        <w:t>[29</w:t>
      </w:r>
      <w:r w:rsidR="00F968EA" w:rsidRPr="006A140B">
        <w:rPr>
          <w:rFonts w:ascii="Book Antiqua" w:eastAsia="Book Antiqua" w:hAnsi="Book Antiqua" w:cs="Book Antiqua"/>
          <w:color w:val="000000"/>
          <w:shd w:val="clear" w:color="auto" w:fill="FFFFFF"/>
          <w:vertAlign w:val="superscript"/>
        </w:rPr>
        <w:t>5</w:t>
      </w:r>
      <w:r w:rsidRPr="006A140B">
        <w:rPr>
          <w:rFonts w:ascii="Book Antiqua" w:eastAsia="Book Antiqua" w:hAnsi="Book Antiqua" w:cs="Book Antiqua"/>
          <w:color w:val="000000"/>
          <w:shd w:val="clear" w:color="auto" w:fill="FFFFFF"/>
          <w:vertAlign w:val="superscript"/>
        </w:rPr>
        <w:t>]</w:t>
      </w:r>
      <w:r w:rsidRPr="006A140B">
        <w:rPr>
          <w:rFonts w:ascii="Book Antiqua" w:eastAsia="Book Antiqua" w:hAnsi="Book Antiqua" w:cs="Book Antiqua"/>
          <w:color w:val="000000"/>
          <w:shd w:val="clear" w:color="auto" w:fill="FFFFFF"/>
        </w:rPr>
        <w:t xml:space="preserve">. Notably, </w:t>
      </w:r>
      <w:r w:rsidRPr="006A140B">
        <w:rPr>
          <w:rFonts w:ascii="Book Antiqua" w:eastAsia="Book Antiqua" w:hAnsi="Book Antiqua" w:cs="Book Antiqua"/>
          <w:color w:val="000000"/>
        </w:rPr>
        <w:t>i</w:t>
      </w:r>
      <w:r w:rsidRPr="006A140B">
        <w:rPr>
          <w:rFonts w:ascii="Book Antiqua" w:eastAsia="Book Antiqua" w:hAnsi="Book Antiqua" w:cs="Book Antiqua"/>
          <w:color w:val="000000"/>
          <w:shd w:val="clear" w:color="auto" w:fill="FFFFFF"/>
        </w:rPr>
        <w:t>pilimumab has also been associated with electrolyte disturbances. Ipilimumab-induced hyponatremia caused by pituitary hypophysitis has been documented in case reports</w:t>
      </w:r>
      <w:r w:rsidRPr="006A140B">
        <w:rPr>
          <w:rFonts w:ascii="Book Antiqua" w:eastAsia="Book Antiqua" w:hAnsi="Book Antiqua" w:cs="Book Antiqua"/>
          <w:color w:val="000000"/>
          <w:shd w:val="clear" w:color="auto" w:fill="FFFFFF"/>
          <w:vertAlign w:val="superscript"/>
        </w:rPr>
        <w:t>[29</w:t>
      </w:r>
      <w:r w:rsidR="00F968EA" w:rsidRPr="006A140B">
        <w:rPr>
          <w:rFonts w:ascii="Book Antiqua" w:eastAsia="Book Antiqua" w:hAnsi="Book Antiqua" w:cs="Book Antiqua"/>
          <w:color w:val="000000"/>
          <w:shd w:val="clear" w:color="auto" w:fill="FFFFFF"/>
          <w:vertAlign w:val="superscript"/>
        </w:rPr>
        <w:t>6</w:t>
      </w:r>
      <w:r w:rsidRPr="006A140B">
        <w:rPr>
          <w:rFonts w:ascii="Book Antiqua" w:eastAsia="Book Antiqua" w:hAnsi="Book Antiqua" w:cs="Book Antiqua"/>
          <w:color w:val="000000"/>
          <w:shd w:val="clear" w:color="auto" w:fill="FFFFFF"/>
          <w:vertAlign w:val="superscript"/>
        </w:rPr>
        <w:t>,29</w:t>
      </w:r>
      <w:r w:rsidR="00F968EA" w:rsidRPr="006A140B">
        <w:rPr>
          <w:rFonts w:ascii="Book Antiqua" w:eastAsia="Book Antiqua" w:hAnsi="Book Antiqua" w:cs="Book Antiqua"/>
          <w:color w:val="000000"/>
          <w:shd w:val="clear" w:color="auto" w:fill="FFFFFF"/>
          <w:vertAlign w:val="superscript"/>
        </w:rPr>
        <w:t>7</w:t>
      </w:r>
      <w:r w:rsidRPr="006A140B">
        <w:rPr>
          <w:rFonts w:ascii="Book Antiqua" w:eastAsia="Book Antiqua" w:hAnsi="Book Antiqua" w:cs="Book Antiqua"/>
          <w:color w:val="000000"/>
          <w:shd w:val="clear" w:color="auto" w:fill="FFFFFF"/>
          <w:vertAlign w:val="superscript"/>
        </w:rPr>
        <w:t>]</w:t>
      </w:r>
      <w:r w:rsidRPr="006A140B">
        <w:rPr>
          <w:rFonts w:ascii="Book Antiqua" w:eastAsia="Book Antiqua" w:hAnsi="Book Antiqua" w:cs="Book Antiqua"/>
          <w:color w:val="000000"/>
          <w:shd w:val="clear" w:color="auto" w:fill="FFFFFF"/>
        </w:rPr>
        <w:t xml:space="preserve">. The FDA label suggests that </w:t>
      </w:r>
      <w:r w:rsidRPr="006A140B">
        <w:rPr>
          <w:rFonts w:ascii="Book Antiqua" w:eastAsia="Book Antiqua" w:hAnsi="Book Antiqua" w:cs="Book Antiqua"/>
          <w:color w:val="000000"/>
        </w:rPr>
        <w:t>patients should be monitored for changes in renal function. Furthermore, the drug should be withdrawn in cases of moderate or severe serum creatinine elevation and permanently discontinued in cases of life-threatening serum creatinine elevation. The effect of renal impairment on the clearance of ipilimumab was evaluated in patients with mild (eGFR: 60</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89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moderate (eGFR: 30</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59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or severe (eGFR: 15</w:t>
      </w:r>
      <w:r w:rsidR="00031119" w:rsidRPr="006A140B">
        <w:rPr>
          <w:rFonts w:ascii="Book Antiqua" w:eastAsia="Book Antiqua" w:hAnsi="Book Antiqua" w:cs="Book Antiqua"/>
          <w:color w:val="000000"/>
        </w:rPr>
        <w:t>-</w:t>
      </w:r>
      <w:r w:rsidRPr="006A140B">
        <w:rPr>
          <w:rFonts w:ascii="Book Antiqua" w:eastAsia="Book Antiqua" w:hAnsi="Book Antiqua" w:cs="Book Antiqua"/>
          <w:color w:val="000000"/>
        </w:rPr>
        <w:t>29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renal impairment compared with patients with normal renal function (eGFR: ≥</w:t>
      </w:r>
      <w:r w:rsidR="00450B0A"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90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 in a population pharmacokinetics analysis. No clinically important differences in the clearance of ipilimumab were found between patients with renal impairment and patients with normal renal function. The FDA recommended no dose adjustment for patients with renal impairment</w:t>
      </w:r>
      <w:r w:rsidRPr="006A140B">
        <w:rPr>
          <w:rFonts w:ascii="Book Antiqua" w:eastAsia="Book Antiqua" w:hAnsi="Book Antiqua" w:cs="Book Antiqua"/>
          <w:color w:val="000000"/>
          <w:vertAlign w:val="superscript"/>
        </w:rPr>
        <w:t>[29</w:t>
      </w:r>
      <w:r w:rsidR="00F968EA" w:rsidRPr="006A140B">
        <w:rPr>
          <w:rFonts w:ascii="Book Antiqua" w:eastAsia="Book Antiqua" w:hAnsi="Book Antiqua" w:cs="Book Antiqua"/>
          <w:color w:val="000000"/>
          <w:vertAlign w:val="superscript"/>
        </w:rPr>
        <w:t>8</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p>
    <w:p w14:paraId="24AEC30B" w14:textId="77F792B7"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In addition to antibodies against CTLA-4 and PD-1/PD-L1, checkpoint inhibitor targeting TIM-3 is another potential and promising candidate of immunotherapy for cancer treatment</w:t>
      </w:r>
      <w:r w:rsidRPr="006A140B">
        <w:rPr>
          <w:rFonts w:ascii="Book Antiqua" w:eastAsia="Book Antiqua" w:hAnsi="Book Antiqua" w:cs="Book Antiqua"/>
          <w:color w:val="000000"/>
          <w:shd w:val="clear" w:color="auto" w:fill="FFFFFF"/>
          <w:vertAlign w:val="superscript"/>
        </w:rPr>
        <w:t>[</w:t>
      </w:r>
      <w:r w:rsidRPr="006A140B">
        <w:rPr>
          <w:rFonts w:ascii="Book Antiqua" w:eastAsia="Book Antiqua" w:hAnsi="Book Antiqua" w:cs="Book Antiqua"/>
          <w:color w:val="000000"/>
          <w:vertAlign w:val="superscript"/>
        </w:rPr>
        <w:t>27</w:t>
      </w:r>
      <w:r w:rsidR="00F968EA"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vertAlign w:val="superscript"/>
        </w:rPr>
        <w:t>,29</w:t>
      </w:r>
      <w:r w:rsidR="00F968EA" w:rsidRPr="006A140B">
        <w:rPr>
          <w:rFonts w:ascii="Book Antiqua" w:eastAsia="Book Antiqua" w:hAnsi="Book Antiqua" w:cs="Book Antiqua"/>
          <w:color w:val="000000"/>
          <w:vertAlign w:val="superscript"/>
        </w:rPr>
        <w:t>9</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xml:space="preserve">. TIM-3, a type I surface glycoproteins encoded by the gene on chromosome 5q33.2, was first discovered in 2001 and identified as an immune checkpoint that specifically expressed on </w:t>
      </w:r>
      <w:r w:rsidR="00450B0A" w:rsidRPr="006A140B">
        <w:rPr>
          <w:rFonts w:ascii="Book Antiqua" w:eastAsia="Book Antiqua" w:hAnsi="Book Antiqua" w:cs="Book Antiqua"/>
          <w:color w:val="000000"/>
        </w:rPr>
        <w:t>interferon</w:t>
      </w:r>
      <w:r w:rsidRPr="006A140B">
        <w:rPr>
          <w:rFonts w:ascii="Book Antiqua" w:eastAsia="Book Antiqua" w:hAnsi="Book Antiqua" w:cs="Book Antiqua"/>
          <w:color w:val="000000"/>
        </w:rPr>
        <w:t>-γ-secreting CD4(+) T helper 1 and CD8(+) T cytotoxic cells in both mice and humans</w:t>
      </w:r>
      <w:r w:rsidRPr="006A140B">
        <w:rPr>
          <w:rFonts w:ascii="Book Antiqua" w:eastAsia="Book Antiqua" w:hAnsi="Book Antiqua" w:cs="Book Antiqua"/>
          <w:color w:val="000000"/>
          <w:shd w:val="clear" w:color="auto" w:fill="FFFFFF"/>
          <w:vertAlign w:val="superscript"/>
        </w:rPr>
        <w:t>[</w:t>
      </w:r>
      <w:r w:rsidR="00F968EA" w:rsidRPr="006A140B">
        <w:rPr>
          <w:rFonts w:ascii="Book Antiqua" w:eastAsia="Book Antiqua" w:hAnsi="Book Antiqua" w:cs="Book Antiqua"/>
          <w:color w:val="000000"/>
          <w:vertAlign w:val="superscript"/>
        </w:rPr>
        <w:t>300</w:t>
      </w:r>
      <w:r w:rsidRPr="006A140B">
        <w:rPr>
          <w:rFonts w:ascii="Book Antiqua" w:eastAsia="Book Antiqua" w:hAnsi="Book Antiqua" w:cs="Book Antiqua"/>
          <w:color w:val="000000"/>
          <w:vertAlign w:val="superscript"/>
        </w:rPr>
        <w:t>,</w:t>
      </w:r>
      <w:r w:rsidR="00F968EA" w:rsidRPr="006A140B">
        <w:rPr>
          <w:rFonts w:ascii="Book Antiqua" w:eastAsia="Book Antiqua" w:hAnsi="Book Antiqua" w:cs="Book Antiqua"/>
          <w:color w:val="000000"/>
          <w:vertAlign w:val="superscript"/>
        </w:rPr>
        <w:t>301</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xml:space="preserve">. TIM-3 acts as a negative regulator of T cell function by </w:t>
      </w:r>
      <w:r w:rsidRPr="006A140B">
        <w:rPr>
          <w:rFonts w:ascii="Book Antiqua" w:eastAsia="Book Antiqua" w:hAnsi="Book Antiqua" w:cs="Book Antiqua"/>
          <w:color w:val="000000"/>
          <w:shd w:val="clear" w:color="auto" w:fill="FFFFFF"/>
        </w:rPr>
        <w:t>triggering cell death upon interaction with its ligand, galectin-9. TIM-3 overexpression has been implicated in the suppression of T-cell responses and T-cell dysfunction; a state referred to as T-cell exhaustion</w:t>
      </w:r>
      <w:r w:rsidRPr="006A140B">
        <w:rPr>
          <w:rFonts w:ascii="Book Antiqua" w:eastAsia="Book Antiqua" w:hAnsi="Book Antiqua" w:cs="Book Antiqua"/>
          <w:color w:val="000000"/>
          <w:shd w:val="clear" w:color="auto" w:fill="FFFFFF"/>
          <w:vertAlign w:val="superscript"/>
        </w:rPr>
        <w:t>[</w:t>
      </w:r>
      <w:r w:rsidR="00F968EA" w:rsidRPr="006A140B">
        <w:rPr>
          <w:rFonts w:ascii="Book Antiqua" w:eastAsia="Book Antiqua" w:hAnsi="Book Antiqua" w:cs="Book Antiqua"/>
          <w:color w:val="000000"/>
          <w:shd w:val="clear" w:color="auto" w:fill="FFFFFF"/>
          <w:vertAlign w:val="superscript"/>
        </w:rPr>
        <w:t>302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rPr>
        <w:t>. TIM-3 also has other ligands and is expressed on other cell types like dendritic cells</w:t>
      </w:r>
      <w:r w:rsidRPr="006A140B">
        <w:rPr>
          <w:rFonts w:ascii="Book Antiqua" w:eastAsia="Book Antiqua" w:hAnsi="Book Antiqua" w:cs="Book Antiqua"/>
          <w:color w:val="000000"/>
          <w:shd w:val="clear" w:color="auto" w:fill="FFFFFF"/>
          <w:vertAlign w:val="superscript"/>
        </w:rPr>
        <w:t>[</w:t>
      </w:r>
      <w:r w:rsidR="00F968EA" w:rsidRPr="006A140B">
        <w:rPr>
          <w:rFonts w:ascii="Book Antiqua" w:eastAsia="Book Antiqua" w:hAnsi="Book Antiqua" w:cs="Book Antiqua"/>
          <w:color w:val="000000"/>
          <w:shd w:val="clear" w:color="auto" w:fill="FFFFFF"/>
          <w:vertAlign w:val="superscript"/>
        </w:rPr>
        <w:t>303</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rPr>
        <w:t>, monocytes</w:t>
      </w:r>
      <w:r w:rsidRPr="006A140B">
        <w:rPr>
          <w:rFonts w:ascii="Book Antiqua" w:eastAsia="Book Antiqua" w:hAnsi="Book Antiqua" w:cs="Book Antiqua"/>
          <w:color w:val="000000"/>
          <w:shd w:val="clear" w:color="auto" w:fill="FFFFFF"/>
          <w:vertAlign w:val="superscript"/>
        </w:rPr>
        <w:t>[</w:t>
      </w:r>
      <w:r w:rsidR="00F968EA" w:rsidRPr="006A140B">
        <w:rPr>
          <w:rFonts w:ascii="Book Antiqua" w:eastAsia="Book Antiqua" w:hAnsi="Book Antiqua" w:cs="Book Antiqua"/>
          <w:color w:val="000000"/>
          <w:shd w:val="clear" w:color="auto" w:fill="FFFFFF"/>
          <w:vertAlign w:val="superscript"/>
        </w:rPr>
        <w:t>304</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rPr>
        <w:t>, and mast cells</w:t>
      </w:r>
      <w:r w:rsidRPr="006A140B">
        <w:rPr>
          <w:rFonts w:ascii="Book Antiqua" w:eastAsia="Book Antiqua" w:hAnsi="Book Antiqua" w:cs="Book Antiqua"/>
          <w:color w:val="000000"/>
          <w:shd w:val="clear" w:color="auto" w:fill="FFFFFF"/>
          <w:vertAlign w:val="superscript"/>
        </w:rPr>
        <w:t>[</w:t>
      </w:r>
      <w:r w:rsidR="00F968EA" w:rsidRPr="006A140B">
        <w:rPr>
          <w:rFonts w:ascii="Book Antiqua" w:eastAsia="Book Antiqua" w:hAnsi="Book Antiqua" w:cs="Book Antiqua"/>
          <w:color w:val="000000"/>
          <w:shd w:val="clear" w:color="auto" w:fill="FFFFFF"/>
          <w:vertAlign w:val="superscript"/>
        </w:rPr>
        <w:t>305</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rPr>
        <w:t>.</w:t>
      </w:r>
      <w:r w:rsidR="00450B0A"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In chronic HBV infection, TIM-3 expression is elevated in T helper cells, cytotoxic T lymphocytes, dendritic cells, macrophages, and natural killer cells, accompanied by impaired function of these immunocytes</w:t>
      </w:r>
      <w:r w:rsidRPr="006A140B">
        <w:rPr>
          <w:rFonts w:ascii="Book Antiqua" w:eastAsia="Book Antiqua" w:hAnsi="Book Antiqua" w:cs="Book Antiqua"/>
          <w:color w:val="000000"/>
          <w:shd w:val="clear" w:color="auto" w:fill="FFFFFF"/>
          <w:vertAlign w:val="superscript"/>
        </w:rPr>
        <w:t>[</w:t>
      </w:r>
      <w:r w:rsidR="002D29DA" w:rsidRPr="006A140B">
        <w:rPr>
          <w:rFonts w:ascii="Book Antiqua" w:eastAsia="Book Antiqua" w:hAnsi="Book Antiqua" w:cs="Book Antiqua"/>
          <w:color w:val="000000"/>
          <w:shd w:val="clear" w:color="auto" w:fill="FFFFFF"/>
          <w:vertAlign w:val="superscript"/>
        </w:rPr>
        <w:t>306</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rPr>
        <w:t>. The TIM</w:t>
      </w:r>
      <w:r w:rsidR="00450B0A" w:rsidRPr="006A140B">
        <w:rPr>
          <w:rFonts w:ascii="宋体" w:eastAsia="宋体" w:hAnsi="宋体" w:cs="宋体" w:hint="eastAsia"/>
          <w:color w:val="000000"/>
          <w:shd w:val="clear" w:color="auto" w:fill="FFFFFF"/>
          <w:lang w:eastAsia="zh-CN"/>
        </w:rPr>
        <w:t>-</w:t>
      </w:r>
      <w:r w:rsidRPr="006A140B">
        <w:rPr>
          <w:rFonts w:ascii="Book Antiqua" w:eastAsia="Book Antiqua" w:hAnsi="Book Antiqua" w:cs="Book Antiqua"/>
          <w:color w:val="000000"/>
          <w:shd w:val="clear" w:color="auto" w:fill="FFFFFF"/>
        </w:rPr>
        <w:t>3/galectin</w:t>
      </w:r>
      <w:r w:rsidR="00450B0A" w:rsidRPr="006A140B">
        <w:rPr>
          <w:rFonts w:ascii="宋体" w:eastAsia="宋体" w:hAnsi="宋体" w:cs="宋体" w:hint="eastAsia"/>
          <w:color w:val="000000"/>
          <w:shd w:val="clear" w:color="auto" w:fill="FFFFFF"/>
          <w:lang w:eastAsia="zh-CN"/>
        </w:rPr>
        <w:t>-</w:t>
      </w:r>
      <w:r w:rsidRPr="006A140B">
        <w:rPr>
          <w:rFonts w:ascii="Book Antiqua" w:eastAsia="Book Antiqua" w:hAnsi="Book Antiqua" w:cs="Book Antiqua"/>
          <w:color w:val="000000"/>
          <w:shd w:val="clear" w:color="auto" w:fill="FFFFFF"/>
        </w:rPr>
        <w:t>9 signaling pathway was found to mediate T</w:t>
      </w:r>
      <w:r w:rsidR="00450B0A" w:rsidRPr="006A140B">
        <w:rPr>
          <w:rFonts w:ascii="宋体" w:eastAsia="宋体" w:hAnsi="宋体" w:cs="宋体" w:hint="eastAsia"/>
          <w:color w:val="000000"/>
          <w:shd w:val="clear" w:color="auto" w:fill="FFFFFF"/>
          <w:lang w:eastAsia="zh-CN"/>
        </w:rPr>
        <w:t>-</w:t>
      </w:r>
      <w:r w:rsidRPr="006A140B">
        <w:rPr>
          <w:rFonts w:ascii="Book Antiqua" w:eastAsia="Book Antiqua" w:hAnsi="Book Antiqua" w:cs="Book Antiqua"/>
          <w:color w:val="000000"/>
          <w:shd w:val="clear" w:color="auto" w:fill="FFFFFF"/>
        </w:rPr>
        <w:t>cell senescence in HBV</w:t>
      </w:r>
      <w:r w:rsidR="00450B0A" w:rsidRPr="006A140B">
        <w:rPr>
          <w:rFonts w:ascii="宋体" w:eastAsia="宋体" w:hAnsi="宋体" w:cs="宋体" w:hint="eastAsia"/>
          <w:color w:val="000000"/>
          <w:shd w:val="clear" w:color="auto" w:fill="FFFFFF"/>
          <w:lang w:eastAsia="zh-CN"/>
        </w:rPr>
        <w:t>-</w:t>
      </w:r>
      <w:r w:rsidRPr="006A140B">
        <w:rPr>
          <w:rFonts w:ascii="Book Antiqua" w:eastAsia="Book Antiqua" w:hAnsi="Book Antiqua" w:cs="Book Antiqua"/>
          <w:color w:val="000000"/>
          <w:shd w:val="clear" w:color="auto" w:fill="FFFFFF"/>
        </w:rPr>
        <w:t>associated HCC</w:t>
      </w:r>
      <w:r w:rsidRPr="006A140B">
        <w:rPr>
          <w:rFonts w:ascii="Book Antiqua" w:eastAsia="Book Antiqua" w:hAnsi="Book Antiqua" w:cs="Book Antiqua"/>
          <w:color w:val="000000"/>
          <w:shd w:val="clear" w:color="auto" w:fill="FFFFFF"/>
          <w:vertAlign w:val="superscript"/>
        </w:rPr>
        <w:t>[</w:t>
      </w:r>
      <w:r w:rsidR="002D29DA" w:rsidRPr="006A140B">
        <w:rPr>
          <w:rFonts w:ascii="Book Antiqua" w:eastAsia="Book Antiqua" w:hAnsi="Book Antiqua" w:cs="Book Antiqua"/>
          <w:color w:val="000000"/>
          <w:shd w:val="clear" w:color="auto" w:fill="FFFFFF"/>
          <w:vertAlign w:val="superscript"/>
        </w:rPr>
        <w:t>307</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rPr>
        <w:t>.</w:t>
      </w:r>
      <w:r w:rsidR="00450B0A"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In addition to the immunomodulation effect, the expression of TIM-3 on tumor cells has been found to regulate the function of tumor cells directly</w:t>
      </w:r>
      <w:r w:rsidRPr="006A140B">
        <w:rPr>
          <w:rFonts w:ascii="Book Antiqua" w:eastAsia="Book Antiqua" w:hAnsi="Book Antiqua" w:cs="Book Antiqua"/>
          <w:color w:val="000000"/>
          <w:shd w:val="clear" w:color="auto" w:fill="FFFFFF"/>
          <w:vertAlign w:val="superscript"/>
        </w:rPr>
        <w:t>[</w:t>
      </w:r>
      <w:r w:rsidR="002D29DA" w:rsidRPr="006A140B">
        <w:rPr>
          <w:rFonts w:ascii="Book Antiqua" w:eastAsia="Book Antiqua" w:hAnsi="Book Antiqua" w:cs="Book Antiqua"/>
          <w:color w:val="000000"/>
          <w:shd w:val="clear" w:color="auto" w:fill="FFFFFF"/>
          <w:vertAlign w:val="superscript"/>
        </w:rPr>
        <w:t>308</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rPr>
        <w:t xml:space="preserve">. A mechanistic study showed that TIM-3 expressed by malignant hepatocytes served as a tumor cell-intrinsic receptor to promote tumor growth </w:t>
      </w:r>
      <w:r w:rsidRPr="006A140B">
        <w:rPr>
          <w:rFonts w:ascii="Book Antiqua" w:eastAsia="Book Antiqua" w:hAnsi="Book Antiqua" w:cs="Book Antiqua"/>
          <w:i/>
          <w:iCs/>
          <w:color w:val="000000"/>
          <w:shd w:val="clear" w:color="auto" w:fill="FFFFFF"/>
        </w:rPr>
        <w:t>via</w:t>
      </w:r>
      <w:r w:rsidRPr="006A140B">
        <w:rPr>
          <w:rFonts w:ascii="Book Antiqua" w:eastAsia="Book Antiqua" w:hAnsi="Book Antiqua" w:cs="Book Antiqua"/>
          <w:color w:val="000000"/>
          <w:shd w:val="clear" w:color="auto" w:fill="FFFFFF"/>
        </w:rPr>
        <w:t xml:space="preserve"> triggering NF-κB/IL-6/STAT3 axis</w:t>
      </w:r>
      <w:r w:rsidRPr="006A140B">
        <w:rPr>
          <w:rFonts w:ascii="Book Antiqua" w:eastAsia="Book Antiqua" w:hAnsi="Book Antiqua" w:cs="Book Antiqua"/>
          <w:color w:val="000000"/>
          <w:shd w:val="clear" w:color="auto" w:fill="FFFFFF"/>
          <w:vertAlign w:val="superscript"/>
        </w:rPr>
        <w:t>[</w:t>
      </w:r>
      <w:r w:rsidR="002D29DA" w:rsidRPr="006A140B">
        <w:rPr>
          <w:rFonts w:ascii="Book Antiqua" w:eastAsia="Book Antiqua" w:hAnsi="Book Antiqua" w:cs="Book Antiqua"/>
          <w:color w:val="000000"/>
          <w:shd w:val="clear" w:color="auto" w:fill="FFFFFF"/>
          <w:vertAlign w:val="superscript"/>
        </w:rPr>
        <w:t>309</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rPr>
        <w:t xml:space="preserve">. Therefore, TIM-3 is a drug target for treating both chronic viral infection and HCC. </w:t>
      </w:r>
    </w:p>
    <w:p w14:paraId="5F7D3138" w14:textId="3BB71302"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shd w:val="clear" w:color="auto" w:fill="FFFFFF"/>
        </w:rPr>
        <w:t>Several clinical trials about the use of anti-TIM-3 monoclonal antibodies in different types of cancer have been registered on ClinicalTrials.gov. MBG453, an anti-TIM-3 monoclonal antibody, was tested for the safety and efficacy of a single agent or in combination with PDR001 (anti-PD-1 antibody) in adult patients with advanced malignancies in a phase I-Ib/II open-label multicenter study</w:t>
      </w:r>
      <w:r w:rsidR="00450B0A"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w:t>
      </w:r>
      <w:hyperlink r:id="rId11" w:history="1">
        <w:r w:rsidRPr="006A140B">
          <w:rPr>
            <w:rFonts w:ascii="Book Antiqua" w:eastAsia="Book Antiqua" w:hAnsi="Book Antiqua" w:cs="Book Antiqua"/>
            <w:color w:val="000000"/>
            <w:u w:color="0000FF"/>
            <w:shd w:val="clear" w:color="auto" w:fill="FFFFFF"/>
          </w:rPr>
          <w:t>NCT02608268</w:t>
        </w:r>
      </w:hyperlink>
      <w:r w:rsidRPr="006A140B">
        <w:rPr>
          <w:rFonts w:ascii="Book Antiqua" w:eastAsia="Book Antiqua" w:hAnsi="Book Antiqua" w:cs="Book Antiqua"/>
          <w:color w:val="000000"/>
          <w:shd w:val="clear" w:color="auto" w:fill="FFFFFF"/>
        </w:rPr>
        <w:t>). TSR-022 is another anti-TIM-3 monoclonal antibody and its safety and efficacy are assessed alone in patients with advanced solid tumors (</w:t>
      </w:r>
      <w:r w:rsidRPr="006A140B">
        <w:rPr>
          <w:rFonts w:ascii="Book Antiqua" w:eastAsia="Book Antiqua" w:hAnsi="Book Antiqua" w:cs="Book Antiqua"/>
          <w:color w:val="000000"/>
        </w:rPr>
        <w:t>NCT02817633</w:t>
      </w:r>
      <w:r w:rsidRPr="006A140B">
        <w:rPr>
          <w:rFonts w:ascii="Book Antiqua" w:eastAsia="Book Antiqua" w:hAnsi="Book Antiqua" w:cs="Book Antiqua"/>
          <w:color w:val="000000"/>
          <w:shd w:val="clear" w:color="auto" w:fill="FFFFFF"/>
        </w:rPr>
        <w:t>) or in combination with TSR-042 (anti-PD-1 antibody) (</w:t>
      </w:r>
      <w:r w:rsidRPr="006A140B">
        <w:rPr>
          <w:rFonts w:ascii="Book Antiqua" w:eastAsia="Book Antiqua" w:hAnsi="Book Antiqua" w:cs="Book Antiqua"/>
          <w:color w:val="000000"/>
        </w:rPr>
        <w:t>NCT03307785</w:t>
      </w:r>
      <w:r w:rsidRPr="006A140B">
        <w:rPr>
          <w:rFonts w:ascii="Book Antiqua" w:eastAsia="Book Antiqua" w:hAnsi="Book Antiqua" w:cs="Book Antiqua"/>
          <w:color w:val="000000"/>
          <w:shd w:val="clear" w:color="auto" w:fill="FFFFFF"/>
        </w:rPr>
        <w:t>).</w:t>
      </w:r>
      <w:r w:rsidR="00450B0A"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 xml:space="preserve">Notably, a phase II trial studying the effect of TSR-022 with TSR-042 in the treatment of patients with locally advanced or metastatic liver cancer is recruiting and results are pending in October 2023 </w:t>
      </w:r>
      <w:r w:rsidRPr="006A140B">
        <w:rPr>
          <w:rFonts w:ascii="Book Antiqua" w:eastAsia="Book Antiqua" w:hAnsi="Book Antiqua" w:cs="Book Antiqua"/>
          <w:color w:val="000000"/>
          <w:u w:color="0000FF"/>
        </w:rPr>
        <w:t>(</w:t>
      </w:r>
      <w:r w:rsidRPr="006A140B">
        <w:rPr>
          <w:rFonts w:ascii="Book Antiqua" w:eastAsia="Book Antiqua" w:hAnsi="Book Antiqua" w:cs="Book Antiqua"/>
          <w:color w:val="000000"/>
        </w:rPr>
        <w:t>NCT03680508</w:t>
      </w:r>
      <w:r w:rsidRPr="006A140B">
        <w:rPr>
          <w:rFonts w:ascii="Book Antiqua" w:eastAsia="Book Antiqua" w:hAnsi="Book Antiqua" w:cs="Book Antiqua"/>
          <w:color w:val="000000"/>
          <w:u w:color="0000FF"/>
        </w:rPr>
        <w:t>)</w:t>
      </w:r>
      <w:r w:rsidRPr="006A140B">
        <w:rPr>
          <w:rFonts w:ascii="Book Antiqua" w:eastAsia="Book Antiqua" w:hAnsi="Book Antiqua" w:cs="Book Antiqua"/>
          <w:color w:val="000000"/>
          <w:shd w:val="clear" w:color="auto" w:fill="FFFFFF"/>
        </w:rPr>
        <w:t>. There are also various TIM-3 inhibitors studied in the phase I trials, including Sym023</w:t>
      </w:r>
      <w:r w:rsidR="00450B0A" w:rsidRPr="006A140B">
        <w:rPr>
          <w:rFonts w:ascii="Book Antiqua" w:eastAsia="Book Antiqua" w:hAnsi="Book Antiqua" w:cs="Book Antiqua"/>
          <w:color w:val="000000"/>
          <w:shd w:val="clear" w:color="auto" w:fill="FFFFFF"/>
        </w:rPr>
        <w:t xml:space="preserve"> </w:t>
      </w:r>
      <w:r w:rsidRPr="006A140B">
        <w:rPr>
          <w:rFonts w:ascii="Book Antiqua" w:eastAsia="Book Antiqua" w:hAnsi="Book Antiqua" w:cs="Book Antiqua"/>
          <w:color w:val="000000"/>
          <w:shd w:val="clear" w:color="auto" w:fill="FFFFFF"/>
        </w:rPr>
        <w:t>(</w:t>
      </w:r>
      <w:hyperlink r:id="rId12" w:history="1">
        <w:r w:rsidRPr="006A140B">
          <w:rPr>
            <w:rFonts w:ascii="Book Antiqua" w:eastAsia="Book Antiqua" w:hAnsi="Book Antiqua" w:cs="Book Antiqua"/>
            <w:color w:val="000000"/>
            <w:u w:color="0000FF"/>
            <w:shd w:val="clear" w:color="auto" w:fill="FFFFFF"/>
          </w:rPr>
          <w:t>NCT03489343</w:t>
        </w:r>
      </w:hyperlink>
      <w:r w:rsidRPr="006A140B">
        <w:rPr>
          <w:rFonts w:ascii="Book Antiqua" w:eastAsia="Book Antiqua" w:hAnsi="Book Antiqua" w:cs="Book Antiqua"/>
          <w:color w:val="000000"/>
          <w:shd w:val="clear" w:color="auto" w:fill="FFFFFF"/>
        </w:rPr>
        <w:t xml:space="preserve">), BMS986258 (NCT3446040), and RO7121661 (NCT03708328). </w:t>
      </w:r>
    </w:p>
    <w:p w14:paraId="60D62255" w14:textId="10943549"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shd w:val="clear" w:color="auto" w:fill="FFFFFF"/>
        </w:rPr>
        <w:t>In the mice model of nephrotoxic serum nephritis, TIM-3 was found up-regulated in kidneys and exerted a protective role. Administration of the anti-TIM-3 antibody aggravated nephritis as shown by significantly increased albuminuria, respective histological changes, and expression of the renal injury molecule lipocalin-2</w:t>
      </w:r>
      <w:r w:rsidRPr="006A140B">
        <w:rPr>
          <w:rFonts w:ascii="Book Antiqua" w:eastAsia="Book Antiqua" w:hAnsi="Book Antiqua" w:cs="Book Antiqua"/>
          <w:color w:val="000000"/>
          <w:shd w:val="clear" w:color="auto" w:fill="FFFFFF"/>
          <w:vertAlign w:val="superscript"/>
        </w:rPr>
        <w:t>[</w:t>
      </w:r>
      <w:r w:rsidR="002D29DA" w:rsidRPr="006A140B">
        <w:rPr>
          <w:rFonts w:ascii="Book Antiqua" w:eastAsia="Book Antiqua" w:hAnsi="Book Antiqua" w:cs="Book Antiqua"/>
          <w:color w:val="000000"/>
          <w:shd w:val="clear" w:color="auto" w:fill="FFFFFF"/>
          <w:vertAlign w:val="superscript"/>
        </w:rPr>
        <w:t>310</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rPr>
        <w:t xml:space="preserve">. Paradoxically, in the other mice model of diabetic nephropathy, TIM-3 was found to worsen the disease </w:t>
      </w:r>
      <w:r w:rsidRPr="006A140B">
        <w:rPr>
          <w:rFonts w:ascii="Book Antiqua" w:eastAsia="Book Antiqua" w:hAnsi="Book Antiqua" w:cs="Book Antiqua"/>
          <w:i/>
          <w:iCs/>
          <w:color w:val="000000"/>
          <w:shd w:val="clear" w:color="auto" w:fill="FFFFFF"/>
        </w:rPr>
        <w:t>via</w:t>
      </w:r>
      <w:r w:rsidRPr="006A140B">
        <w:rPr>
          <w:rFonts w:ascii="Book Antiqua" w:eastAsia="Book Antiqua" w:hAnsi="Book Antiqua" w:cs="Book Antiqua"/>
          <w:color w:val="000000"/>
          <w:shd w:val="clear" w:color="auto" w:fill="FFFFFF"/>
        </w:rPr>
        <w:t xml:space="preserve"> the NF-κB/TNF-α pathway, and its performance in macrophage worsened podocyte injury both </w:t>
      </w:r>
      <w:r w:rsidRPr="006A140B">
        <w:rPr>
          <w:rFonts w:ascii="Book Antiqua" w:eastAsia="Book Antiqua" w:hAnsi="Book Antiqua" w:cs="Book Antiqua"/>
          <w:i/>
          <w:iCs/>
          <w:color w:val="000000"/>
          <w:shd w:val="clear" w:color="auto" w:fill="FFFFFF"/>
        </w:rPr>
        <w:t>in vivo</w:t>
      </w:r>
      <w:r w:rsidRPr="006A140B">
        <w:rPr>
          <w:rFonts w:ascii="Book Antiqua" w:eastAsia="Book Antiqua" w:hAnsi="Book Antiqua" w:cs="Book Antiqua"/>
          <w:color w:val="000000"/>
          <w:shd w:val="clear" w:color="auto" w:fill="FFFFFF"/>
        </w:rPr>
        <w:t xml:space="preserve"> and </w:t>
      </w:r>
      <w:r w:rsidRPr="006A140B">
        <w:rPr>
          <w:rFonts w:ascii="Book Antiqua" w:eastAsia="Book Antiqua" w:hAnsi="Book Antiqua" w:cs="Book Antiqua"/>
          <w:i/>
          <w:iCs/>
          <w:color w:val="000000"/>
          <w:shd w:val="clear" w:color="auto" w:fill="FFFFFF"/>
        </w:rPr>
        <w:t>in vitro</w:t>
      </w:r>
      <w:r w:rsidRPr="006A140B">
        <w:rPr>
          <w:rFonts w:ascii="Book Antiqua" w:eastAsia="Book Antiqua" w:hAnsi="Book Antiqua" w:cs="Book Antiqua"/>
          <w:color w:val="000000"/>
          <w:shd w:val="clear" w:color="auto" w:fill="FFFFFF"/>
        </w:rPr>
        <w:t xml:space="preserve"> studies</w:t>
      </w:r>
      <w:r w:rsidRPr="006A140B">
        <w:rPr>
          <w:rFonts w:ascii="Book Antiqua" w:eastAsia="Book Antiqua" w:hAnsi="Book Antiqua" w:cs="Book Antiqua"/>
          <w:color w:val="000000"/>
          <w:shd w:val="clear" w:color="auto" w:fill="FFFFFF"/>
          <w:vertAlign w:val="superscript"/>
        </w:rPr>
        <w:t>[3</w:t>
      </w:r>
      <w:r w:rsidR="00CA68DA" w:rsidRPr="006A140B">
        <w:rPr>
          <w:rFonts w:ascii="Book Antiqua" w:eastAsia="Book Antiqua" w:hAnsi="Book Antiqua" w:cs="Book Antiqua"/>
          <w:color w:val="000000"/>
          <w:shd w:val="clear" w:color="auto" w:fill="FFFFFF"/>
          <w:vertAlign w:val="superscript"/>
        </w:rPr>
        <w:t>11</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shd w:val="clear" w:color="auto" w:fill="FFFFFF"/>
        </w:rPr>
        <w:t>. Given that limited data is available, its exact role in the development of renal diseases remains unclear. Currently, the renal side effects of anti-TIM-3 antibodies in humans are still unknown. The renal safety profile from the clinical trials is still awaited.</w:t>
      </w:r>
    </w:p>
    <w:p w14:paraId="11F013CA" w14:textId="77777777" w:rsidR="00A77B3E" w:rsidRPr="006A140B" w:rsidRDefault="00A77B3E" w:rsidP="00495B7C">
      <w:pPr>
        <w:spacing w:line="360" w:lineRule="auto"/>
        <w:ind w:firstLine="480"/>
        <w:jc w:val="both"/>
        <w:rPr>
          <w:rFonts w:ascii="Book Antiqua" w:hAnsi="Book Antiqua"/>
        </w:rPr>
      </w:pPr>
    </w:p>
    <w:p w14:paraId="4233D7FE" w14:textId="77777777" w:rsidR="00A77B3E" w:rsidRPr="006A140B" w:rsidRDefault="007D6307" w:rsidP="00E0614F">
      <w:pPr>
        <w:spacing w:line="360" w:lineRule="auto"/>
        <w:jc w:val="both"/>
        <w:rPr>
          <w:rFonts w:ascii="Book Antiqua" w:hAnsi="Book Antiqua"/>
        </w:rPr>
      </w:pPr>
      <w:r w:rsidRPr="006A140B">
        <w:rPr>
          <w:rFonts w:ascii="Book Antiqua" w:eastAsia="Book Antiqua" w:hAnsi="Book Antiqua" w:cs="Book Antiqua"/>
          <w:b/>
          <w:bCs/>
          <w:i/>
          <w:iCs/>
          <w:color w:val="000000"/>
        </w:rPr>
        <w:t>Antivirals use during HCC treatment</w:t>
      </w:r>
    </w:p>
    <w:p w14:paraId="59F1FA2C" w14:textId="25046CC5" w:rsidR="00A77B3E" w:rsidRPr="006A140B" w:rsidRDefault="007D6307" w:rsidP="00E0614F">
      <w:pPr>
        <w:spacing w:line="360" w:lineRule="auto"/>
        <w:jc w:val="both"/>
        <w:rPr>
          <w:rFonts w:ascii="Book Antiqua" w:hAnsi="Book Antiqua"/>
        </w:rPr>
      </w:pPr>
      <w:r w:rsidRPr="006A140B">
        <w:rPr>
          <w:rFonts w:ascii="Book Antiqua" w:eastAsia="Book Antiqua" w:hAnsi="Book Antiqua" w:cs="Book Antiqua"/>
          <w:color w:val="000000"/>
        </w:rPr>
        <w:t>Concomitant antiviral therapy is common during HCC treatment, especially the use of anti-HBV nucleoside or nucleotide analogues (NUCs). NUCs therapy could suppress HBV viral replication, achieve biochemical remission, and ameliorate liver inflammation</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12</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15</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xml:space="preserve">. In addition, NUCs therapy could reduce the incidence of liver decompensation, particularly in HCC patients undergoing </w:t>
      </w:r>
      <w:r w:rsidR="00A62641" w:rsidRPr="006A140B">
        <w:rPr>
          <w:rFonts w:ascii="Book Antiqua" w:eastAsia="Book Antiqua" w:hAnsi="Book Antiqua" w:cs="Book Antiqua"/>
          <w:color w:val="000000"/>
        </w:rPr>
        <w:t>LT</w:t>
      </w:r>
      <w:r w:rsidRPr="006A140B">
        <w:rPr>
          <w:rFonts w:ascii="Book Antiqua" w:eastAsia="Book Antiqua" w:hAnsi="Book Antiqua" w:cs="Book Antiqua"/>
          <w:color w:val="000000"/>
        </w:rPr>
        <w:t xml:space="preserve"> on immunosuppressant and TACE which are prone to cause HBV reactivation or flare</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16-319</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Though there is emerging evidence shows NUCs could decrease HCC incidence and recurrence</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15</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20</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25</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extent to which NUCs therapy may reduce the risk for HCC has been debated</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26</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28</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Recent mainstay therapies for HBV include NUCs with high potency and high genetic barriers, such as entecavir</w:t>
      </w:r>
      <w:r w:rsidR="00E0614F" w:rsidRPr="006A140B">
        <w:rPr>
          <w:rFonts w:ascii="Book Antiqua" w:eastAsia="Book Antiqua" w:hAnsi="Book Antiqua" w:cs="Book Antiqua"/>
          <w:color w:val="000000"/>
        </w:rPr>
        <w:t xml:space="preserve"> (ETV)</w:t>
      </w:r>
      <w:r w:rsidRPr="006A140B">
        <w:rPr>
          <w:rFonts w:ascii="Book Antiqua" w:eastAsia="Book Antiqua" w:hAnsi="Book Antiqua" w:cs="Book Antiqua"/>
          <w:color w:val="000000"/>
        </w:rPr>
        <w:t>, tenofovir disoproxil fumarate</w:t>
      </w:r>
      <w:r w:rsidR="00E0614F" w:rsidRPr="006A140B">
        <w:rPr>
          <w:rFonts w:ascii="Book Antiqua" w:eastAsia="Book Antiqua" w:hAnsi="Book Antiqua" w:cs="Book Antiqua"/>
          <w:color w:val="000000"/>
        </w:rPr>
        <w:t xml:space="preserve"> (TDF)</w:t>
      </w:r>
      <w:r w:rsidRPr="006A140B">
        <w:rPr>
          <w:rFonts w:ascii="Book Antiqua" w:eastAsia="Book Antiqua" w:hAnsi="Book Antiqua" w:cs="Book Antiqua"/>
          <w:color w:val="000000"/>
        </w:rPr>
        <w:t>, and tenofovir alafenamide</w:t>
      </w:r>
      <w:r w:rsidR="00E0614F" w:rsidRPr="006A140B">
        <w:rPr>
          <w:rFonts w:ascii="Book Antiqua" w:eastAsia="Book Antiqua" w:hAnsi="Book Antiqua" w:cs="Book Antiqua"/>
          <w:color w:val="000000"/>
        </w:rPr>
        <w:t xml:space="preserve"> (TAF)</w:t>
      </w:r>
      <w:r w:rsidRPr="006A140B">
        <w:rPr>
          <w:rFonts w:ascii="Book Antiqua" w:eastAsia="Book Antiqua" w:hAnsi="Book Antiqua" w:cs="Book Antiqua"/>
          <w:color w:val="000000"/>
        </w:rPr>
        <w:t>. However, when using in patients with renal dysfunction, there are special considerations that need to be watched.</w:t>
      </w:r>
    </w:p>
    <w:p w14:paraId="201B959C" w14:textId="206CFFC8" w:rsidR="00A77B3E" w:rsidRPr="006A140B" w:rsidRDefault="00E0614F" w:rsidP="00E0614F">
      <w:pPr>
        <w:spacing w:line="360" w:lineRule="auto"/>
        <w:ind w:firstLineChars="200" w:firstLine="480"/>
        <w:jc w:val="both"/>
        <w:rPr>
          <w:rFonts w:ascii="Book Antiqua" w:hAnsi="Book Antiqua"/>
        </w:rPr>
      </w:pPr>
      <w:r w:rsidRPr="006A140B">
        <w:rPr>
          <w:rFonts w:ascii="Book Antiqua" w:eastAsia="Book Antiqua" w:hAnsi="Book Antiqua" w:cs="Book Antiqua"/>
          <w:color w:val="000000"/>
        </w:rPr>
        <w:t>ETV</w:t>
      </w:r>
      <w:r w:rsidR="007D6307" w:rsidRPr="006A140B">
        <w:rPr>
          <w:rFonts w:ascii="Book Antiqua" w:eastAsia="Book Antiqua" w:hAnsi="Book Antiqua" w:cs="Book Antiqua"/>
          <w:color w:val="000000"/>
        </w:rPr>
        <w:t xml:space="preserve"> belongs to a nucleoside analogue with high potency. However, it has lower efficacy if lamivudine resistance presents previously</w:t>
      </w:r>
      <w:r w:rsidR="007D6307"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29</w:t>
      </w:r>
      <w:r w:rsidR="007D6307" w:rsidRPr="006A140B">
        <w:rPr>
          <w:rFonts w:ascii="Book Antiqua" w:eastAsia="Book Antiqua" w:hAnsi="Book Antiqua" w:cs="Book Antiqua"/>
          <w:color w:val="000000"/>
          <w:vertAlign w:val="superscript"/>
        </w:rPr>
        <w:t>]</w:t>
      </w:r>
      <w:r w:rsidR="007D6307" w:rsidRPr="006A140B">
        <w:rPr>
          <w:rFonts w:ascii="Book Antiqua" w:eastAsia="Book Antiqua" w:hAnsi="Book Antiqua" w:cs="Book Antiqua"/>
          <w:color w:val="000000"/>
        </w:rPr>
        <w:t>. Relatively safe renal safety profiles were reported both in rats and humans</w:t>
      </w:r>
      <w:r w:rsidR="007D6307"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30</w:t>
      </w:r>
      <w:r w:rsidR="007D6307"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33</w:t>
      </w:r>
      <w:r w:rsidR="007D6307" w:rsidRPr="006A140B">
        <w:rPr>
          <w:rFonts w:ascii="Book Antiqua" w:eastAsia="Book Antiqua" w:hAnsi="Book Antiqua" w:cs="Book Antiqua"/>
          <w:color w:val="000000"/>
          <w:vertAlign w:val="superscript"/>
        </w:rPr>
        <w:t>]</w:t>
      </w:r>
      <w:r w:rsidR="007D6307" w:rsidRPr="006A140B">
        <w:rPr>
          <w:rFonts w:ascii="Book Antiqua" w:eastAsia="Book Antiqua" w:hAnsi="Book Antiqua" w:cs="Book Antiqua"/>
          <w:color w:val="000000"/>
        </w:rPr>
        <w:t>. Since ETV is eliminated primarily from kidneys, renal dose adjustment is needed in patients with CCR less than 50</w:t>
      </w:r>
      <w:r w:rsidRPr="006A140B">
        <w:rPr>
          <w:rFonts w:ascii="Book Antiqua" w:eastAsia="Book Antiqua" w:hAnsi="Book Antiqua" w:cs="Book Antiqua"/>
          <w:color w:val="000000"/>
        </w:rPr>
        <w:t xml:space="preserve"> </w:t>
      </w:r>
      <w:r w:rsidR="007D6307" w:rsidRPr="006A140B">
        <w:rPr>
          <w:rFonts w:ascii="Book Antiqua" w:eastAsia="Book Antiqua" w:hAnsi="Book Antiqua" w:cs="Book Antiqua"/>
          <w:color w:val="000000"/>
        </w:rPr>
        <w:t>mL/min to avoid over-exposure to this drug</w:t>
      </w:r>
      <w:r w:rsidR="007D6307"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34</w:t>
      </w:r>
      <w:r w:rsidR="007D6307" w:rsidRPr="006A140B">
        <w:rPr>
          <w:rFonts w:ascii="Book Antiqua" w:eastAsia="Book Antiqua" w:hAnsi="Book Antiqua" w:cs="Book Antiqua"/>
          <w:color w:val="000000"/>
          <w:vertAlign w:val="superscript"/>
        </w:rPr>
        <w:t>,</w:t>
      </w:r>
      <w:r w:rsidR="00FB0CD9" w:rsidRPr="006A140B">
        <w:rPr>
          <w:rFonts w:ascii="Book Antiqua" w:eastAsia="Book Antiqua" w:hAnsi="Book Antiqua" w:cs="Book Antiqua"/>
          <w:color w:val="000000"/>
          <w:vertAlign w:val="superscript"/>
        </w:rPr>
        <w:t>335</w:t>
      </w:r>
      <w:r w:rsidR="007D6307" w:rsidRPr="006A140B">
        <w:rPr>
          <w:rFonts w:ascii="Book Antiqua" w:eastAsia="Book Antiqua" w:hAnsi="Book Antiqua" w:cs="Book Antiqua"/>
          <w:color w:val="000000"/>
          <w:vertAlign w:val="superscript"/>
        </w:rPr>
        <w:t>]</w:t>
      </w:r>
      <w:r w:rsidR="007D6307" w:rsidRPr="006A140B">
        <w:rPr>
          <w:rFonts w:ascii="Book Antiqua" w:eastAsia="Book Antiqua" w:hAnsi="Book Antiqua" w:cs="Book Antiqua"/>
          <w:color w:val="000000"/>
        </w:rPr>
        <w:t>.</w:t>
      </w:r>
    </w:p>
    <w:p w14:paraId="115E5281" w14:textId="754A34CC" w:rsidR="00A77B3E" w:rsidRPr="006A140B" w:rsidRDefault="007D6307" w:rsidP="00E0614F">
      <w:pPr>
        <w:spacing w:line="360" w:lineRule="auto"/>
        <w:ind w:firstLineChars="200" w:firstLine="480"/>
        <w:jc w:val="both"/>
        <w:rPr>
          <w:rFonts w:ascii="Book Antiqua" w:hAnsi="Book Antiqua"/>
        </w:rPr>
      </w:pPr>
      <w:r w:rsidRPr="006A140B">
        <w:rPr>
          <w:rFonts w:ascii="Book Antiqua" w:eastAsia="Book Antiqua" w:hAnsi="Book Antiqua" w:cs="Book Antiqua"/>
          <w:color w:val="000000"/>
        </w:rPr>
        <w:t>TDF, a nucleotide analogue, is a prodrug of tenofovir that is absorbed from the intestine and cleaved to release tenofovir, which is then phosphorylated inside hepatocytes to form active tenofovir diphosphate targeting viral reverse transcriptase</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36</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The adverse effects of long-term use include elevated creatinine, Fanconi syndrome, and osteoporosis</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37</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38</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TDF is also eliminated by the kidneys in the majority and is not suggested in patients with CCR less than 50</w:t>
      </w:r>
      <w:r w:rsidR="00E0614F"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mL/min by some society guidelines because of its nephrotoxicity to proximal renal tubules</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39</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Furthermore, when using in the scenario of HCC treatment, renal functions of patients receiving repeated computed tomography exams should be closely followed in case of deterioration</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40</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p>
    <w:p w14:paraId="6A8FD482" w14:textId="77777777" w:rsidR="00A77B3E" w:rsidRPr="006A140B" w:rsidRDefault="00A77B3E" w:rsidP="00495B7C">
      <w:pPr>
        <w:spacing w:line="360" w:lineRule="auto"/>
        <w:ind w:firstLine="480"/>
        <w:jc w:val="both"/>
        <w:rPr>
          <w:rFonts w:ascii="Book Antiqua" w:hAnsi="Book Antiqua"/>
        </w:rPr>
      </w:pPr>
    </w:p>
    <w:p w14:paraId="2AD88187" w14:textId="7BC9EAAC" w:rsidR="00A77B3E" w:rsidRPr="006A140B" w:rsidRDefault="007D6307" w:rsidP="00495B7C">
      <w:pPr>
        <w:spacing w:line="360" w:lineRule="auto"/>
        <w:ind w:firstLine="480"/>
        <w:jc w:val="both"/>
        <w:rPr>
          <w:rFonts w:ascii="Book Antiqua" w:hAnsi="Book Antiqua"/>
        </w:rPr>
      </w:pPr>
      <w:r w:rsidRPr="006A140B">
        <w:rPr>
          <w:rFonts w:ascii="Book Antiqua" w:eastAsia="Book Antiqua" w:hAnsi="Book Antiqua" w:cs="Book Antiqua"/>
          <w:color w:val="000000"/>
        </w:rPr>
        <w:t xml:space="preserve">TAF is the other novel prodrug of tenofovir. In an </w:t>
      </w:r>
      <w:r w:rsidRPr="006A140B">
        <w:rPr>
          <w:rFonts w:ascii="Book Antiqua" w:eastAsia="Book Antiqua" w:hAnsi="Book Antiqua" w:cs="Book Antiqua"/>
          <w:i/>
          <w:iCs/>
          <w:color w:val="000000"/>
        </w:rPr>
        <w:t>in vitro</w:t>
      </w:r>
      <w:r w:rsidRPr="006A140B">
        <w:rPr>
          <w:rFonts w:ascii="Book Antiqua" w:eastAsia="Book Antiqua" w:hAnsi="Book Antiqua" w:cs="Book Antiqua"/>
          <w:color w:val="000000"/>
        </w:rPr>
        <w:t xml:space="preserve"> study, TAF resulted in high levels of the pharmacologically active metabolite tenofovir diphosphate than TDF</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41</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A recent study showed comparable viral suppression and serologic response between TAF and TDF in non-cirrhotic HBV patients</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42</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Besides, TAF has no proximal renal transporter-dependent cytotoxicity, which may lead to an improved renal safety profile</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43</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 Nevertheless, there was insufficient data in patients whose CCR below 15mL/min not receiving chronic hemodialysis and thus TAF is not recommended in this patient group</w:t>
      </w:r>
      <w:r w:rsidRPr="006A140B">
        <w:rPr>
          <w:rFonts w:ascii="Book Antiqua" w:eastAsia="Book Antiqua" w:hAnsi="Book Antiqua" w:cs="Book Antiqua"/>
          <w:color w:val="000000"/>
          <w:vertAlign w:val="superscript"/>
        </w:rPr>
        <w:t>[3</w:t>
      </w:r>
      <w:r w:rsidR="00FB0CD9" w:rsidRPr="006A140B">
        <w:rPr>
          <w:rFonts w:ascii="Book Antiqua" w:eastAsia="Book Antiqua" w:hAnsi="Book Antiqua" w:cs="Book Antiqua"/>
          <w:color w:val="000000"/>
          <w:vertAlign w:val="superscript"/>
        </w:rPr>
        <w:t>44</w:t>
      </w:r>
      <w:r w:rsidRPr="006A140B">
        <w:rPr>
          <w:rFonts w:ascii="Book Antiqua" w:eastAsia="Book Antiqua" w:hAnsi="Book Antiqua" w:cs="Book Antiqua"/>
          <w:color w:val="000000"/>
          <w:vertAlign w:val="superscript"/>
        </w:rPr>
        <w:t>]</w:t>
      </w:r>
      <w:r w:rsidRPr="006A140B">
        <w:rPr>
          <w:rFonts w:ascii="Book Antiqua" w:eastAsia="Book Antiqua" w:hAnsi="Book Antiqua" w:cs="Book Antiqua"/>
          <w:color w:val="000000"/>
        </w:rPr>
        <w:t>.</w:t>
      </w:r>
    </w:p>
    <w:p w14:paraId="4EEDED03" w14:textId="77777777" w:rsidR="00A77B3E" w:rsidRPr="006A140B" w:rsidRDefault="00A77B3E" w:rsidP="00495B7C">
      <w:pPr>
        <w:spacing w:line="360" w:lineRule="auto"/>
        <w:ind w:firstLine="480"/>
        <w:jc w:val="both"/>
        <w:rPr>
          <w:rFonts w:ascii="Book Antiqua" w:hAnsi="Book Antiqua"/>
        </w:rPr>
      </w:pPr>
    </w:p>
    <w:p w14:paraId="18AA652F"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aps/>
          <w:color w:val="000000"/>
          <w:u w:val="single"/>
        </w:rPr>
        <w:t>CONCLUSION</w:t>
      </w:r>
    </w:p>
    <w:p w14:paraId="5BF86E6D"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color w:val="000000"/>
        </w:rPr>
        <w:t>The HCC patient population highly overlaps with those for CKD and ESRD. This article summarized the possible causes of the high comorbidity of HCC and renal dysfunction (Figure 1), including the possible mechanisms of CKD causing HCC, the pathophysiology of HCC affecting renal function, and the common risk factors shared by both HCC and CKD (Table 1). Both CKD and ESRD have been reported to negatively affect the prognosis of HCC. The article then adopted the well-known BCLC guidelines as a template (Figure 2) to discuss the indications for each stage of HCC treatment, the treatment-related adverse renal effects, and the concerns that are specific to patients with pre-existing renal dysfunction in the application of aggressive treatments such as liver resection, SLKT, RFA, and TACE, and in the use of the latest systemic target and immunotherapy approaches among the CKD and ESRD population. This article provides a comprehensive review of HCC patients with renal dysfunction from disease onset to treatment; the findings are expected to aid clinicians and scholars.</w:t>
      </w:r>
    </w:p>
    <w:p w14:paraId="64B127D5" w14:textId="77777777" w:rsidR="00A77B3E" w:rsidRPr="006A140B" w:rsidRDefault="00A77B3E" w:rsidP="00495B7C">
      <w:pPr>
        <w:spacing w:line="360" w:lineRule="auto"/>
        <w:jc w:val="both"/>
        <w:rPr>
          <w:rFonts w:ascii="Book Antiqua" w:hAnsi="Book Antiqua"/>
        </w:rPr>
      </w:pPr>
    </w:p>
    <w:p w14:paraId="7B520738"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aps/>
          <w:color w:val="000000"/>
          <w:u w:val="single"/>
        </w:rPr>
        <w:t>ACKNOWLEDGEMENTS</w:t>
      </w:r>
    </w:p>
    <w:p w14:paraId="14EBDE51"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color w:val="000000"/>
        </w:rPr>
        <w:t>The authors wish to thank Miss Ingrid Kuo and the Center for Big Data Analytics and Statistics at Chang Gung Memorial Hospital for creating the illustrations used herein.</w:t>
      </w:r>
    </w:p>
    <w:p w14:paraId="37BC7D5A" w14:textId="77777777" w:rsidR="00A77B3E" w:rsidRPr="006A140B" w:rsidRDefault="00A77B3E" w:rsidP="00495B7C">
      <w:pPr>
        <w:spacing w:line="360" w:lineRule="auto"/>
        <w:jc w:val="both"/>
        <w:rPr>
          <w:rFonts w:ascii="Book Antiqua" w:hAnsi="Book Antiqua"/>
        </w:rPr>
      </w:pPr>
    </w:p>
    <w:p w14:paraId="5521BAD0"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REFERENCES</w:t>
      </w:r>
    </w:p>
    <w:p w14:paraId="799F1075" w14:textId="77777777" w:rsidR="00495B7C" w:rsidRPr="006A140B" w:rsidRDefault="00495B7C" w:rsidP="00495B7C">
      <w:pPr>
        <w:spacing w:line="360" w:lineRule="auto"/>
        <w:jc w:val="both"/>
        <w:rPr>
          <w:rFonts w:ascii="Book Antiqua" w:hAnsi="Book Antiqua"/>
        </w:rPr>
      </w:pPr>
      <w:bookmarkStart w:id="3" w:name="OLE_LINK22"/>
      <w:bookmarkStart w:id="4" w:name="_Hlk74178944"/>
      <w:r w:rsidRPr="006A140B">
        <w:rPr>
          <w:rFonts w:ascii="Book Antiqua" w:hAnsi="Book Antiqua"/>
        </w:rPr>
        <w:t xml:space="preserve">1 </w:t>
      </w:r>
      <w:r w:rsidRPr="006A140B">
        <w:rPr>
          <w:rFonts w:ascii="Book Antiqua" w:hAnsi="Book Antiqua"/>
          <w:b/>
          <w:bCs/>
        </w:rPr>
        <w:t>Baecker A</w:t>
      </w:r>
      <w:r w:rsidRPr="006A140B">
        <w:rPr>
          <w:rFonts w:ascii="Book Antiqua" w:hAnsi="Book Antiqua"/>
        </w:rPr>
        <w:t xml:space="preserve">, Liu X, La Vecchia C, Zhang ZF. Worldwide incidence of hepatocellular carcinoma cases attributable to major risk factors. </w:t>
      </w:r>
      <w:r w:rsidRPr="006A140B">
        <w:rPr>
          <w:rFonts w:ascii="Book Antiqua" w:hAnsi="Book Antiqua"/>
          <w:i/>
          <w:iCs/>
        </w:rPr>
        <w:t>Eur J Cancer Prev</w:t>
      </w:r>
      <w:r w:rsidRPr="006A140B">
        <w:rPr>
          <w:rFonts w:ascii="Book Antiqua" w:hAnsi="Book Antiqua"/>
        </w:rPr>
        <w:t xml:space="preserve"> 2018; </w:t>
      </w:r>
      <w:r w:rsidRPr="006A140B">
        <w:rPr>
          <w:rFonts w:ascii="Book Antiqua" w:hAnsi="Book Antiqua"/>
          <w:b/>
          <w:bCs/>
        </w:rPr>
        <w:t>27</w:t>
      </w:r>
      <w:r w:rsidRPr="006A140B">
        <w:rPr>
          <w:rFonts w:ascii="Book Antiqua" w:hAnsi="Book Antiqua"/>
        </w:rPr>
        <w:t>: 205-212 [PMID: 29489473 DOI: 10.1097/CEJ.0000000000000428]</w:t>
      </w:r>
    </w:p>
    <w:p w14:paraId="6647649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 </w:t>
      </w:r>
      <w:r w:rsidRPr="006A140B">
        <w:rPr>
          <w:rFonts w:ascii="Book Antiqua" w:hAnsi="Book Antiqua"/>
          <w:b/>
          <w:bCs/>
        </w:rPr>
        <w:t>Mak LY</w:t>
      </w:r>
      <w:r w:rsidRPr="006A140B">
        <w:rPr>
          <w:rFonts w:ascii="Book Antiqua" w:hAnsi="Book Antiqua"/>
        </w:rPr>
        <w:t xml:space="preserve">, Cruz-Ramón V, Chinchilla-López P, Torres HA, LoConte NK, Rice JP, Foxhall LE, Sturgis EM, Merrill JK, Bailey HH, Méndez-Sánchez N, Yuen MF, Hwang JP. Global Epidemiology, Prevention, and Management of Hepatocellular Carcinoma. </w:t>
      </w:r>
      <w:r w:rsidRPr="006A140B">
        <w:rPr>
          <w:rFonts w:ascii="Book Antiqua" w:hAnsi="Book Antiqua"/>
          <w:i/>
          <w:iCs/>
        </w:rPr>
        <w:t>Am Soc Clin Oncol Educ Book</w:t>
      </w:r>
      <w:r w:rsidRPr="006A140B">
        <w:rPr>
          <w:rFonts w:ascii="Book Antiqua" w:hAnsi="Book Antiqua"/>
        </w:rPr>
        <w:t xml:space="preserve"> 2018; </w:t>
      </w:r>
      <w:r w:rsidRPr="006A140B">
        <w:rPr>
          <w:rFonts w:ascii="Book Antiqua" w:hAnsi="Book Antiqua"/>
          <w:b/>
          <w:bCs/>
        </w:rPr>
        <w:t>38</w:t>
      </w:r>
      <w:r w:rsidRPr="006A140B">
        <w:rPr>
          <w:rFonts w:ascii="Book Antiqua" w:hAnsi="Book Antiqua"/>
        </w:rPr>
        <w:t>: 262-279 [PMID: 30231359 DOI: 10.1200/EDBK_200939]</w:t>
      </w:r>
    </w:p>
    <w:p w14:paraId="5BEBF50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 </w:t>
      </w:r>
      <w:r w:rsidRPr="006A140B">
        <w:rPr>
          <w:rFonts w:ascii="Book Antiqua" w:hAnsi="Book Antiqua"/>
          <w:b/>
          <w:bCs/>
        </w:rPr>
        <w:t>El-Serag HB</w:t>
      </w:r>
      <w:r w:rsidRPr="006A140B">
        <w:rPr>
          <w:rFonts w:ascii="Book Antiqua" w:hAnsi="Book Antiqua"/>
        </w:rPr>
        <w:t xml:space="preserve">, Rudolph KL. Hepatocellular carcinoma: epidemiology and molecular carcinogenesis. </w:t>
      </w:r>
      <w:r w:rsidRPr="006A140B">
        <w:rPr>
          <w:rFonts w:ascii="Book Antiqua" w:hAnsi="Book Antiqua"/>
          <w:i/>
          <w:iCs/>
        </w:rPr>
        <w:t>Gastroenterology</w:t>
      </w:r>
      <w:r w:rsidRPr="006A140B">
        <w:rPr>
          <w:rFonts w:ascii="Book Antiqua" w:hAnsi="Book Antiqua"/>
        </w:rPr>
        <w:t xml:space="preserve"> 2007; </w:t>
      </w:r>
      <w:r w:rsidRPr="006A140B">
        <w:rPr>
          <w:rFonts w:ascii="Book Antiqua" w:hAnsi="Book Antiqua"/>
          <w:b/>
          <w:bCs/>
        </w:rPr>
        <w:t>132</w:t>
      </w:r>
      <w:r w:rsidRPr="006A140B">
        <w:rPr>
          <w:rFonts w:ascii="Book Antiqua" w:hAnsi="Book Antiqua"/>
        </w:rPr>
        <w:t>: 2557-2576 [PMID: 17570226 DOI: 10.1053/j.gastro.2007.04.061]</w:t>
      </w:r>
    </w:p>
    <w:p w14:paraId="0623585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 </w:t>
      </w:r>
      <w:r w:rsidRPr="006A140B">
        <w:rPr>
          <w:rFonts w:ascii="Book Antiqua" w:hAnsi="Book Antiqua"/>
          <w:b/>
          <w:bCs/>
        </w:rPr>
        <w:t>El Nahas M</w:t>
      </w:r>
      <w:r w:rsidRPr="006A140B">
        <w:rPr>
          <w:rFonts w:ascii="Book Antiqua" w:hAnsi="Book Antiqua"/>
        </w:rPr>
        <w:t xml:space="preserve">. The global challenge of chronic kidney disease. </w:t>
      </w:r>
      <w:r w:rsidRPr="006A140B">
        <w:rPr>
          <w:rFonts w:ascii="Book Antiqua" w:hAnsi="Book Antiqua"/>
          <w:i/>
          <w:iCs/>
        </w:rPr>
        <w:t>Kidney Int</w:t>
      </w:r>
      <w:r w:rsidRPr="006A140B">
        <w:rPr>
          <w:rFonts w:ascii="Book Antiqua" w:hAnsi="Book Antiqua"/>
        </w:rPr>
        <w:t xml:space="preserve"> 2005; </w:t>
      </w:r>
      <w:r w:rsidRPr="006A140B">
        <w:rPr>
          <w:rFonts w:ascii="Book Antiqua" w:hAnsi="Book Antiqua"/>
          <w:b/>
          <w:bCs/>
        </w:rPr>
        <w:t>68</w:t>
      </w:r>
      <w:r w:rsidRPr="006A140B">
        <w:rPr>
          <w:rFonts w:ascii="Book Antiqua" w:hAnsi="Book Antiqua"/>
        </w:rPr>
        <w:t>: 2918-2929 [PMID: 16316385 DOI: 10.1111/j.1523-1755.2005.00774.x]</w:t>
      </w:r>
    </w:p>
    <w:p w14:paraId="1501032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5 </w:t>
      </w:r>
      <w:r w:rsidRPr="006A140B">
        <w:rPr>
          <w:rFonts w:ascii="Book Antiqua" w:hAnsi="Book Antiqua"/>
          <w:b/>
          <w:bCs/>
        </w:rPr>
        <w:t>Stewart JH</w:t>
      </w:r>
      <w:r w:rsidRPr="006A140B">
        <w:rPr>
          <w:rFonts w:ascii="Book Antiqua" w:hAnsi="Book Antiqua"/>
        </w:rPr>
        <w:t xml:space="preserve">, Vajdic CM, van Leeuwen MT, Amin J, Webster AC, Chapman JR, McDonald SP, Grulich AE, McCredie MR. The pattern of excess cancer in dialysis and transplantation. </w:t>
      </w:r>
      <w:r w:rsidRPr="006A140B">
        <w:rPr>
          <w:rFonts w:ascii="Book Antiqua" w:hAnsi="Book Antiqua"/>
          <w:i/>
          <w:iCs/>
        </w:rPr>
        <w:t>Nephrol Dial Transplant</w:t>
      </w:r>
      <w:r w:rsidRPr="006A140B">
        <w:rPr>
          <w:rFonts w:ascii="Book Antiqua" w:hAnsi="Book Antiqua"/>
        </w:rPr>
        <w:t xml:space="preserve"> 2009; </w:t>
      </w:r>
      <w:r w:rsidRPr="006A140B">
        <w:rPr>
          <w:rFonts w:ascii="Book Antiqua" w:hAnsi="Book Antiqua"/>
          <w:b/>
          <w:bCs/>
        </w:rPr>
        <w:t>24</w:t>
      </w:r>
      <w:r w:rsidRPr="006A140B">
        <w:rPr>
          <w:rFonts w:ascii="Book Antiqua" w:hAnsi="Book Antiqua"/>
        </w:rPr>
        <w:t>: 3225-3231 [PMID: 19589786 DOI: 10.1093/ndt/gfp331]</w:t>
      </w:r>
    </w:p>
    <w:p w14:paraId="62E2F18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6 </w:t>
      </w:r>
      <w:r w:rsidRPr="006A140B">
        <w:rPr>
          <w:rFonts w:ascii="Book Antiqua" w:hAnsi="Book Antiqua"/>
          <w:b/>
          <w:bCs/>
        </w:rPr>
        <w:t>Stengel B</w:t>
      </w:r>
      <w:r w:rsidRPr="006A140B">
        <w:rPr>
          <w:rFonts w:ascii="Book Antiqua" w:hAnsi="Book Antiqua"/>
        </w:rPr>
        <w:t xml:space="preserve">. Chronic kidney disease and cancer: a troubling connection. </w:t>
      </w:r>
      <w:r w:rsidRPr="006A140B">
        <w:rPr>
          <w:rFonts w:ascii="Book Antiqua" w:hAnsi="Book Antiqua"/>
          <w:i/>
          <w:iCs/>
        </w:rPr>
        <w:t>J Nephrol</w:t>
      </w:r>
      <w:r w:rsidRPr="006A140B">
        <w:rPr>
          <w:rFonts w:ascii="Book Antiqua" w:hAnsi="Book Antiqua"/>
        </w:rPr>
        <w:t xml:space="preserve"> 2010; </w:t>
      </w:r>
      <w:r w:rsidRPr="006A140B">
        <w:rPr>
          <w:rFonts w:ascii="Book Antiqua" w:hAnsi="Book Antiqua"/>
          <w:b/>
          <w:bCs/>
        </w:rPr>
        <w:t>23</w:t>
      </w:r>
      <w:r w:rsidRPr="006A140B">
        <w:rPr>
          <w:rFonts w:ascii="Book Antiqua" w:hAnsi="Book Antiqua"/>
        </w:rPr>
        <w:t>: 253-262 [PMID: 20349418]</w:t>
      </w:r>
    </w:p>
    <w:p w14:paraId="37593D6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7 </w:t>
      </w:r>
      <w:r w:rsidRPr="006A140B">
        <w:rPr>
          <w:rFonts w:ascii="Book Antiqua" w:hAnsi="Book Antiqua"/>
          <w:b/>
          <w:bCs/>
        </w:rPr>
        <w:t>Zacks SL</w:t>
      </w:r>
      <w:r w:rsidRPr="006A140B">
        <w:rPr>
          <w:rFonts w:ascii="Book Antiqua" w:hAnsi="Book Antiqua"/>
        </w:rPr>
        <w:t xml:space="preserve">, Fried MW. Hepatitis B and C and renal failure. </w:t>
      </w:r>
      <w:r w:rsidRPr="006A140B">
        <w:rPr>
          <w:rFonts w:ascii="Book Antiqua" w:hAnsi="Book Antiqua"/>
          <w:i/>
          <w:iCs/>
        </w:rPr>
        <w:t>Infect Dis Clin North Am</w:t>
      </w:r>
      <w:r w:rsidRPr="006A140B">
        <w:rPr>
          <w:rFonts w:ascii="Book Antiqua" w:hAnsi="Book Antiqua"/>
        </w:rPr>
        <w:t xml:space="preserve"> 2001; </w:t>
      </w:r>
      <w:r w:rsidRPr="006A140B">
        <w:rPr>
          <w:rFonts w:ascii="Book Antiqua" w:hAnsi="Book Antiqua"/>
          <w:b/>
          <w:bCs/>
        </w:rPr>
        <w:t>15</w:t>
      </w:r>
      <w:r w:rsidRPr="006A140B">
        <w:rPr>
          <w:rFonts w:ascii="Book Antiqua" w:hAnsi="Book Antiqua"/>
        </w:rPr>
        <w:t>: 877-899 [PMID: 11570146 DOI: 10.1016/s0891-5520(05)70177-x]</w:t>
      </w:r>
    </w:p>
    <w:p w14:paraId="7596A04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8 </w:t>
      </w:r>
      <w:r w:rsidRPr="006A140B">
        <w:rPr>
          <w:rFonts w:ascii="Book Antiqua" w:hAnsi="Book Antiqua"/>
          <w:b/>
          <w:bCs/>
        </w:rPr>
        <w:t>Chen YC</w:t>
      </w:r>
      <w:r w:rsidRPr="006A140B">
        <w:rPr>
          <w:rFonts w:ascii="Book Antiqua" w:hAnsi="Book Antiqua"/>
        </w:rPr>
        <w:t xml:space="preserve">, Su YC, Li CY, Wu CP, Lee MS. A nationwide cohort study suggests chronic hepatitis B virus infection increases the risk of end-stage renal disease among patients in Taiwan. </w:t>
      </w:r>
      <w:r w:rsidRPr="006A140B">
        <w:rPr>
          <w:rFonts w:ascii="Book Antiqua" w:hAnsi="Book Antiqua"/>
          <w:i/>
          <w:iCs/>
        </w:rPr>
        <w:t>Kidney Int</w:t>
      </w:r>
      <w:r w:rsidRPr="006A140B">
        <w:rPr>
          <w:rFonts w:ascii="Book Antiqua" w:hAnsi="Book Antiqua"/>
        </w:rPr>
        <w:t xml:space="preserve"> 2015; </w:t>
      </w:r>
      <w:r w:rsidRPr="006A140B">
        <w:rPr>
          <w:rFonts w:ascii="Book Antiqua" w:hAnsi="Book Antiqua"/>
          <w:b/>
          <w:bCs/>
        </w:rPr>
        <w:t>87</w:t>
      </w:r>
      <w:r w:rsidRPr="006A140B">
        <w:rPr>
          <w:rFonts w:ascii="Book Antiqua" w:hAnsi="Book Antiqua"/>
        </w:rPr>
        <w:t>: 1030-1038 [PMID: 25426815 DOI: 10.1038/ki.2014.363]</w:t>
      </w:r>
    </w:p>
    <w:p w14:paraId="2E90365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 </w:t>
      </w:r>
      <w:r w:rsidRPr="006A140B">
        <w:rPr>
          <w:rFonts w:ascii="Book Antiqua" w:hAnsi="Book Antiqua"/>
          <w:b/>
          <w:bCs/>
        </w:rPr>
        <w:t>Lin HF</w:t>
      </w:r>
      <w:r w:rsidRPr="006A140B">
        <w:rPr>
          <w:rFonts w:ascii="Book Antiqua" w:hAnsi="Book Antiqua"/>
        </w:rPr>
        <w:t xml:space="preserve">, Li YH, Wang CH, Chou CL, Kuo DJ, Fang TC. Increased risk of cancer in chronic dialysis patients: a population-based cohort study in Taiwan. </w:t>
      </w:r>
      <w:r w:rsidRPr="006A140B">
        <w:rPr>
          <w:rFonts w:ascii="Book Antiqua" w:hAnsi="Book Antiqua"/>
          <w:i/>
          <w:iCs/>
        </w:rPr>
        <w:t>Nephrol Dial Transplant</w:t>
      </w:r>
      <w:r w:rsidRPr="006A140B">
        <w:rPr>
          <w:rFonts w:ascii="Book Antiqua" w:hAnsi="Book Antiqua"/>
        </w:rPr>
        <w:t xml:space="preserve"> 2012; </w:t>
      </w:r>
      <w:r w:rsidRPr="006A140B">
        <w:rPr>
          <w:rFonts w:ascii="Book Antiqua" w:hAnsi="Book Antiqua"/>
          <w:b/>
          <w:bCs/>
        </w:rPr>
        <w:t>27</w:t>
      </w:r>
      <w:r w:rsidRPr="006A140B">
        <w:rPr>
          <w:rFonts w:ascii="Book Antiqua" w:hAnsi="Book Antiqua"/>
        </w:rPr>
        <w:t>: 1585-1590 [PMID: 21862456 DOI: 10.1093/ndt/gfr464]</w:t>
      </w:r>
    </w:p>
    <w:p w14:paraId="6D815A0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 </w:t>
      </w:r>
      <w:r w:rsidRPr="006A140B">
        <w:rPr>
          <w:rFonts w:ascii="Book Antiqua" w:hAnsi="Book Antiqua"/>
          <w:b/>
          <w:bCs/>
        </w:rPr>
        <w:t>Maisonneuve P</w:t>
      </w:r>
      <w:r w:rsidRPr="006A140B">
        <w:rPr>
          <w:rFonts w:ascii="Book Antiqua" w:hAnsi="Book Antiqua"/>
        </w:rPr>
        <w:t xml:space="preserve">, Agodoa L, Gellert R, Stewart JH, Buccianti G, Lowenfels AB, Wolfe RA, Jones E, Disney AP, Briggs D, McCredie M, Boyle P. Cancer in patients on dialysis for end-stage renal disease: an international collaborative study. </w:t>
      </w:r>
      <w:r w:rsidRPr="006A140B">
        <w:rPr>
          <w:rFonts w:ascii="Book Antiqua" w:hAnsi="Book Antiqua"/>
          <w:i/>
          <w:iCs/>
        </w:rPr>
        <w:t>Lancet</w:t>
      </w:r>
      <w:r w:rsidRPr="006A140B">
        <w:rPr>
          <w:rFonts w:ascii="Book Antiqua" w:hAnsi="Book Antiqua"/>
        </w:rPr>
        <w:t xml:space="preserve"> 1999; </w:t>
      </w:r>
      <w:r w:rsidRPr="006A140B">
        <w:rPr>
          <w:rFonts w:ascii="Book Antiqua" w:hAnsi="Book Antiqua"/>
          <w:b/>
          <w:bCs/>
        </w:rPr>
        <w:t>354</w:t>
      </w:r>
      <w:r w:rsidRPr="006A140B">
        <w:rPr>
          <w:rFonts w:ascii="Book Antiqua" w:hAnsi="Book Antiqua"/>
        </w:rPr>
        <w:t>: 93-99 [PMID: 10408483]</w:t>
      </w:r>
    </w:p>
    <w:p w14:paraId="1667C81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 </w:t>
      </w:r>
      <w:r w:rsidRPr="006A140B">
        <w:rPr>
          <w:rFonts w:ascii="Book Antiqua" w:hAnsi="Book Antiqua"/>
          <w:b/>
          <w:bCs/>
        </w:rPr>
        <w:t>Chan-Yeung M</w:t>
      </w:r>
      <w:r w:rsidRPr="006A140B">
        <w:rPr>
          <w:rFonts w:ascii="Book Antiqua" w:hAnsi="Book Antiqua"/>
        </w:rPr>
        <w:t xml:space="preserve">. A clinician's approach to determine the diagnosis, prognosis, and therapy of occupational asthma. </w:t>
      </w:r>
      <w:r w:rsidRPr="006A140B">
        <w:rPr>
          <w:rFonts w:ascii="Book Antiqua" w:hAnsi="Book Antiqua"/>
          <w:i/>
          <w:iCs/>
        </w:rPr>
        <w:t>Med Clin North Am</w:t>
      </w:r>
      <w:r w:rsidRPr="006A140B">
        <w:rPr>
          <w:rFonts w:ascii="Book Antiqua" w:hAnsi="Book Antiqua"/>
        </w:rPr>
        <w:t xml:space="preserve"> 1990; </w:t>
      </w:r>
      <w:r w:rsidRPr="006A140B">
        <w:rPr>
          <w:rFonts w:ascii="Book Antiqua" w:hAnsi="Book Antiqua"/>
          <w:b/>
          <w:bCs/>
        </w:rPr>
        <w:t>74</w:t>
      </w:r>
      <w:r w:rsidRPr="006A140B">
        <w:rPr>
          <w:rFonts w:ascii="Book Antiqua" w:hAnsi="Book Antiqua"/>
        </w:rPr>
        <w:t>: 811-822 [PMID: 2186245 DOI: 10.1016/s0025-7125(16)30554-5]</w:t>
      </w:r>
    </w:p>
    <w:p w14:paraId="2674C6E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 </w:t>
      </w:r>
      <w:r w:rsidRPr="006A140B">
        <w:rPr>
          <w:rFonts w:ascii="Book Antiqua" w:hAnsi="Book Antiqua"/>
          <w:b/>
          <w:bCs/>
        </w:rPr>
        <w:t>Vajdic CM</w:t>
      </w:r>
      <w:r w:rsidRPr="006A140B">
        <w:rPr>
          <w:rFonts w:ascii="Book Antiqua" w:hAnsi="Book Antiqua"/>
        </w:rPr>
        <w:t xml:space="preserve">, McDonald SP, McCredie MR, van Leeuwen MT, Stewart JH, Law M, Chapman JR, Webster AC, Kaldor JM, Grulich AE. Cancer incidence before and after kidney transplantation. </w:t>
      </w:r>
      <w:r w:rsidRPr="006A140B">
        <w:rPr>
          <w:rFonts w:ascii="Book Antiqua" w:hAnsi="Book Antiqua"/>
          <w:i/>
          <w:iCs/>
        </w:rPr>
        <w:t>JAMA</w:t>
      </w:r>
      <w:r w:rsidRPr="006A140B">
        <w:rPr>
          <w:rFonts w:ascii="Book Antiqua" w:hAnsi="Book Antiqua"/>
        </w:rPr>
        <w:t xml:space="preserve"> 2006; </w:t>
      </w:r>
      <w:r w:rsidRPr="006A140B">
        <w:rPr>
          <w:rFonts w:ascii="Book Antiqua" w:hAnsi="Book Antiqua"/>
          <w:b/>
          <w:bCs/>
        </w:rPr>
        <w:t>296</w:t>
      </w:r>
      <w:r w:rsidRPr="006A140B">
        <w:rPr>
          <w:rFonts w:ascii="Book Antiqua" w:hAnsi="Book Antiqua"/>
        </w:rPr>
        <w:t>: 2823-2831 [PMID: 17179459 DOI: 10.1001/jama.296.23.2823]</w:t>
      </w:r>
    </w:p>
    <w:p w14:paraId="68FF082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13 </w:t>
      </w:r>
      <w:r w:rsidRPr="006A140B">
        <w:rPr>
          <w:rFonts w:ascii="Book Antiqua" w:hAnsi="Book Antiqua"/>
          <w:b/>
          <w:bCs/>
        </w:rPr>
        <w:t>Chapman JR</w:t>
      </w:r>
      <w:r w:rsidRPr="006A140B">
        <w:rPr>
          <w:rFonts w:ascii="Book Antiqua" w:hAnsi="Book Antiqua"/>
        </w:rPr>
        <w:t xml:space="preserve">, Webster AC, Wong G. Cancer in the transplant recipient. </w:t>
      </w:r>
      <w:r w:rsidRPr="006A140B">
        <w:rPr>
          <w:rFonts w:ascii="Book Antiqua" w:hAnsi="Book Antiqua"/>
          <w:i/>
          <w:iCs/>
        </w:rPr>
        <w:t>Cold Spring Harb Perspect Med</w:t>
      </w:r>
      <w:r w:rsidRPr="006A140B">
        <w:rPr>
          <w:rFonts w:ascii="Book Antiqua" w:hAnsi="Book Antiqua"/>
        </w:rPr>
        <w:t xml:space="preserve"> 2013; </w:t>
      </w:r>
      <w:r w:rsidRPr="006A140B">
        <w:rPr>
          <w:rFonts w:ascii="Book Antiqua" w:hAnsi="Book Antiqua"/>
          <w:b/>
          <w:bCs/>
        </w:rPr>
        <w:t>3</w:t>
      </w:r>
      <w:r w:rsidRPr="006A140B">
        <w:rPr>
          <w:rFonts w:ascii="Book Antiqua" w:hAnsi="Book Antiqua"/>
        </w:rPr>
        <w:t xml:space="preserve"> [PMID: 23818517 DOI: 10.1101/cshperspect.a015677]</w:t>
      </w:r>
    </w:p>
    <w:p w14:paraId="1AE956A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 </w:t>
      </w:r>
      <w:r w:rsidRPr="006A140B">
        <w:rPr>
          <w:rFonts w:ascii="Book Antiqua" w:hAnsi="Book Antiqua"/>
          <w:b/>
          <w:bCs/>
        </w:rPr>
        <w:t>Vamvakas S</w:t>
      </w:r>
      <w:r w:rsidRPr="006A140B">
        <w:rPr>
          <w:rFonts w:ascii="Book Antiqua" w:hAnsi="Book Antiqua"/>
        </w:rPr>
        <w:t xml:space="preserve">, Bahner U, Heidland A. Cancer in end-stage renal disease: potential factors involved -editorial-. </w:t>
      </w:r>
      <w:r w:rsidRPr="006A140B">
        <w:rPr>
          <w:rFonts w:ascii="Book Antiqua" w:hAnsi="Book Antiqua"/>
          <w:i/>
          <w:iCs/>
        </w:rPr>
        <w:t>Am J Nephrol</w:t>
      </w:r>
      <w:r w:rsidRPr="006A140B">
        <w:rPr>
          <w:rFonts w:ascii="Book Antiqua" w:hAnsi="Book Antiqua"/>
        </w:rPr>
        <w:t xml:space="preserve"> 1998; </w:t>
      </w:r>
      <w:r w:rsidRPr="006A140B">
        <w:rPr>
          <w:rFonts w:ascii="Book Antiqua" w:hAnsi="Book Antiqua"/>
          <w:b/>
          <w:bCs/>
        </w:rPr>
        <w:t>18</w:t>
      </w:r>
      <w:r w:rsidRPr="006A140B">
        <w:rPr>
          <w:rFonts w:ascii="Book Antiqua" w:hAnsi="Book Antiqua"/>
        </w:rPr>
        <w:t>: 89-95 [PMID: 9569948]</w:t>
      </w:r>
    </w:p>
    <w:p w14:paraId="04AF0AC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 </w:t>
      </w:r>
      <w:r w:rsidRPr="006A140B">
        <w:rPr>
          <w:rFonts w:ascii="Book Antiqua" w:hAnsi="Book Antiqua"/>
          <w:b/>
          <w:bCs/>
        </w:rPr>
        <w:t>Grulich AE</w:t>
      </w:r>
      <w:r w:rsidRPr="006A140B">
        <w:rPr>
          <w:rFonts w:ascii="Book Antiqua" w:hAnsi="Book Antiqua"/>
        </w:rPr>
        <w:t xml:space="preserve">, van Leeuwen MT, Falster MO, Vajdic CM. Incidence of cancers in people with HIV/AIDS compared with immunosuppressed transplant recipients: a meta-analysis. </w:t>
      </w:r>
      <w:r w:rsidRPr="006A140B">
        <w:rPr>
          <w:rFonts w:ascii="Book Antiqua" w:hAnsi="Book Antiqua"/>
          <w:i/>
          <w:iCs/>
        </w:rPr>
        <w:t>Lancet</w:t>
      </w:r>
      <w:r w:rsidRPr="006A140B">
        <w:rPr>
          <w:rFonts w:ascii="Book Antiqua" w:hAnsi="Book Antiqua"/>
        </w:rPr>
        <w:t xml:space="preserve"> 2007; </w:t>
      </w:r>
      <w:r w:rsidRPr="006A140B">
        <w:rPr>
          <w:rFonts w:ascii="Book Antiqua" w:hAnsi="Book Antiqua"/>
          <w:b/>
          <w:bCs/>
        </w:rPr>
        <w:t>370</w:t>
      </w:r>
      <w:r w:rsidRPr="006A140B">
        <w:rPr>
          <w:rFonts w:ascii="Book Antiqua" w:hAnsi="Book Antiqua"/>
        </w:rPr>
        <w:t>: 59-67 [PMID: 17617273 DOI: 10.1016/S0140-6736(07)61050-2]</w:t>
      </w:r>
    </w:p>
    <w:p w14:paraId="4A3C7B2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 </w:t>
      </w:r>
      <w:r w:rsidRPr="006A140B">
        <w:rPr>
          <w:rFonts w:ascii="Book Antiqua" w:hAnsi="Book Antiqua"/>
          <w:b/>
          <w:bCs/>
        </w:rPr>
        <w:t>Sun CY</w:t>
      </w:r>
      <w:r w:rsidRPr="006A140B">
        <w:rPr>
          <w:rFonts w:ascii="Book Antiqua" w:hAnsi="Book Antiqua"/>
        </w:rPr>
        <w:t xml:space="preserve">, Chang SC, Wu MS. Uremic toxins induce kidney fibrosis by activating intrarenal renin-angiotensin-aldosterone system associated epithelial-to-mesenchymal transition. </w:t>
      </w:r>
      <w:r w:rsidRPr="006A140B">
        <w:rPr>
          <w:rFonts w:ascii="Book Antiqua" w:hAnsi="Book Antiqua"/>
          <w:i/>
          <w:iCs/>
        </w:rPr>
        <w:t>PLoS One</w:t>
      </w:r>
      <w:r w:rsidRPr="006A140B">
        <w:rPr>
          <w:rFonts w:ascii="Book Antiqua" w:hAnsi="Book Antiqua"/>
        </w:rPr>
        <w:t xml:space="preserve"> 2012; </w:t>
      </w:r>
      <w:r w:rsidRPr="006A140B">
        <w:rPr>
          <w:rFonts w:ascii="Book Antiqua" w:hAnsi="Book Antiqua"/>
          <w:b/>
          <w:bCs/>
        </w:rPr>
        <w:t>7</w:t>
      </w:r>
      <w:r w:rsidRPr="006A140B">
        <w:rPr>
          <w:rFonts w:ascii="Book Antiqua" w:hAnsi="Book Antiqua"/>
        </w:rPr>
        <w:t>: e34026 [PMID: 22479508 DOI: 10.1371/journal.pone.0034026]</w:t>
      </w:r>
    </w:p>
    <w:p w14:paraId="0D4CAC3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17 </w:t>
      </w:r>
      <w:r w:rsidRPr="006A140B">
        <w:rPr>
          <w:rFonts w:ascii="Book Antiqua" w:hAnsi="Book Antiqua"/>
          <w:b/>
          <w:bCs/>
        </w:rPr>
        <w:t>Han H</w:t>
      </w:r>
      <w:r w:rsidRPr="006A140B">
        <w:rPr>
          <w:rFonts w:ascii="Book Antiqua" w:hAnsi="Book Antiqua"/>
        </w:rPr>
        <w:t xml:space="preserve">, Chen Y, Zhu Z, Su X, Ni J, Du R, Zhang R, Jin W. p-Cresyl sulfate promotes the formation of atherosclerotic lesions and induces plaque instability by targeting vascular smooth muscle cells. </w:t>
      </w:r>
      <w:r w:rsidRPr="006A140B">
        <w:rPr>
          <w:rFonts w:ascii="Book Antiqua" w:hAnsi="Book Antiqua"/>
          <w:i/>
          <w:iCs/>
        </w:rPr>
        <w:t>Front Med</w:t>
      </w:r>
      <w:r w:rsidRPr="006A140B">
        <w:rPr>
          <w:rFonts w:ascii="Book Antiqua" w:hAnsi="Book Antiqua"/>
        </w:rPr>
        <w:t xml:space="preserve"> 2016; </w:t>
      </w:r>
      <w:r w:rsidRPr="006A140B">
        <w:rPr>
          <w:rFonts w:ascii="Book Antiqua" w:hAnsi="Book Antiqua"/>
          <w:b/>
          <w:bCs/>
        </w:rPr>
        <w:t>10</w:t>
      </w:r>
      <w:r w:rsidRPr="006A140B">
        <w:rPr>
          <w:rFonts w:ascii="Book Antiqua" w:hAnsi="Book Antiqua"/>
        </w:rPr>
        <w:t>: 320-329 [PMID: 27527366 DOI: 10.1007/s11684-016-0463-x]</w:t>
      </w:r>
    </w:p>
    <w:p w14:paraId="5177337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 </w:t>
      </w:r>
      <w:r w:rsidRPr="006A140B">
        <w:rPr>
          <w:rFonts w:ascii="Book Antiqua" w:hAnsi="Book Antiqua"/>
          <w:b/>
          <w:bCs/>
        </w:rPr>
        <w:t>Opdebeeck B</w:t>
      </w:r>
      <w:r w:rsidRPr="006A140B">
        <w:rPr>
          <w:rFonts w:ascii="Book Antiqua" w:hAnsi="Book Antiqua"/>
        </w:rPr>
        <w:t xml:space="preserve">, Maudsley S, Azmi A, De Maré A, De Leger W, Meijers B, Verhulst A, Evenepoel P, D'Haese PC, Neven E. Indoxyl Sulfate and p-Cresyl Sulfate Promote Vascular Calcification and Associate with Glucose Intolerance. </w:t>
      </w:r>
      <w:r w:rsidRPr="006A140B">
        <w:rPr>
          <w:rFonts w:ascii="Book Antiqua" w:hAnsi="Book Antiqua"/>
          <w:i/>
          <w:iCs/>
        </w:rPr>
        <w:t>J Am Soc Nephrol</w:t>
      </w:r>
      <w:r w:rsidRPr="006A140B">
        <w:rPr>
          <w:rFonts w:ascii="Book Antiqua" w:hAnsi="Book Antiqua"/>
        </w:rPr>
        <w:t xml:space="preserve"> 2019; </w:t>
      </w:r>
      <w:r w:rsidRPr="006A140B">
        <w:rPr>
          <w:rFonts w:ascii="Book Antiqua" w:hAnsi="Book Antiqua"/>
          <w:b/>
          <w:bCs/>
        </w:rPr>
        <w:t>30</w:t>
      </w:r>
      <w:r w:rsidRPr="006A140B">
        <w:rPr>
          <w:rFonts w:ascii="Book Antiqua" w:hAnsi="Book Antiqua"/>
        </w:rPr>
        <w:t>: 751-766 [PMID: 30940651 DOI: 10.1681/ASN.2018060609]</w:t>
      </w:r>
    </w:p>
    <w:p w14:paraId="64FE174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 </w:t>
      </w:r>
      <w:r w:rsidRPr="006A140B">
        <w:rPr>
          <w:rFonts w:ascii="Book Antiqua" w:hAnsi="Book Antiqua"/>
          <w:b/>
          <w:bCs/>
        </w:rPr>
        <w:t>Nitta T</w:t>
      </w:r>
      <w:r w:rsidRPr="006A140B">
        <w:rPr>
          <w:rFonts w:ascii="Book Antiqua" w:hAnsi="Book Antiqua"/>
        </w:rPr>
        <w:t xml:space="preserve">, Kim JS, Mohuczy D, Behrns KE. Murine cirrhosis induces hepatocyte epithelial mesenchymal transition and alterations in survival signaling pathways. </w:t>
      </w:r>
      <w:r w:rsidRPr="006A140B">
        <w:rPr>
          <w:rFonts w:ascii="Book Antiqua" w:hAnsi="Book Antiqua"/>
          <w:i/>
          <w:iCs/>
        </w:rPr>
        <w:t>Hepatology</w:t>
      </w:r>
      <w:r w:rsidRPr="006A140B">
        <w:rPr>
          <w:rFonts w:ascii="Book Antiqua" w:hAnsi="Book Antiqua"/>
        </w:rPr>
        <w:t xml:space="preserve"> 2008; </w:t>
      </w:r>
      <w:r w:rsidRPr="006A140B">
        <w:rPr>
          <w:rFonts w:ascii="Book Antiqua" w:hAnsi="Book Antiqua"/>
          <w:b/>
          <w:bCs/>
        </w:rPr>
        <w:t>48</w:t>
      </w:r>
      <w:r w:rsidRPr="006A140B">
        <w:rPr>
          <w:rFonts w:ascii="Book Antiqua" w:hAnsi="Book Antiqua"/>
        </w:rPr>
        <w:t>: 909-919 [PMID: 18712785 DOI: 10.1002/hep.22397]</w:t>
      </w:r>
    </w:p>
    <w:p w14:paraId="02CFB75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 </w:t>
      </w:r>
      <w:r w:rsidRPr="006A140B">
        <w:rPr>
          <w:rFonts w:ascii="Book Antiqua" w:hAnsi="Book Antiqua"/>
          <w:b/>
          <w:bCs/>
        </w:rPr>
        <w:t>Dooley S</w:t>
      </w:r>
      <w:r w:rsidRPr="006A140B">
        <w:rPr>
          <w:rFonts w:ascii="Book Antiqua" w:hAnsi="Book Antiqua"/>
        </w:rPr>
        <w:t xml:space="preserve">, Hamzavi J, Ciuclan L, Godoy P, Ilkavets I, Ehnert S, Ueberham E, Gebhardt R, Kanzler S, Geier A, Breitkopf K, Weng H, Mertens PR. Hepatocyte-specific Smad7 expression attenuates TGF-beta-mediated fibrogenesis and protects against liver damage. </w:t>
      </w:r>
      <w:r w:rsidRPr="006A140B">
        <w:rPr>
          <w:rFonts w:ascii="Book Antiqua" w:hAnsi="Book Antiqua"/>
          <w:i/>
          <w:iCs/>
        </w:rPr>
        <w:t>Gastroenterology</w:t>
      </w:r>
      <w:r w:rsidRPr="006A140B">
        <w:rPr>
          <w:rFonts w:ascii="Book Antiqua" w:hAnsi="Book Antiqua"/>
        </w:rPr>
        <w:t xml:space="preserve"> 2008; </w:t>
      </w:r>
      <w:r w:rsidRPr="006A140B">
        <w:rPr>
          <w:rFonts w:ascii="Book Antiqua" w:hAnsi="Book Antiqua"/>
          <w:b/>
          <w:bCs/>
        </w:rPr>
        <w:t>135</w:t>
      </w:r>
      <w:r w:rsidRPr="006A140B">
        <w:rPr>
          <w:rFonts w:ascii="Book Antiqua" w:hAnsi="Book Antiqua"/>
        </w:rPr>
        <w:t>: 642-659 [PMID: 18602923 DOI: 10.1053/j.gastro.2008.04.038]</w:t>
      </w:r>
    </w:p>
    <w:p w14:paraId="75BA49F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 </w:t>
      </w:r>
      <w:r w:rsidRPr="006A140B">
        <w:rPr>
          <w:rFonts w:ascii="Book Antiqua" w:hAnsi="Book Antiqua"/>
          <w:b/>
          <w:bCs/>
        </w:rPr>
        <w:t>Popov Y</w:t>
      </w:r>
      <w:r w:rsidRPr="006A140B">
        <w:rPr>
          <w:rFonts w:ascii="Book Antiqua" w:hAnsi="Book Antiqua"/>
        </w:rPr>
        <w:t xml:space="preserve">, Schuppan D. Epithelial-to-mesenchymal transition in liver fibrosis: dead or alive? </w:t>
      </w:r>
      <w:r w:rsidRPr="006A140B">
        <w:rPr>
          <w:rFonts w:ascii="Book Antiqua" w:hAnsi="Book Antiqua"/>
          <w:i/>
          <w:iCs/>
        </w:rPr>
        <w:t>Gastroenterology</w:t>
      </w:r>
      <w:r w:rsidRPr="006A140B">
        <w:rPr>
          <w:rFonts w:ascii="Book Antiqua" w:hAnsi="Book Antiqua"/>
        </w:rPr>
        <w:t xml:space="preserve"> 2010; </w:t>
      </w:r>
      <w:r w:rsidRPr="006A140B">
        <w:rPr>
          <w:rFonts w:ascii="Book Antiqua" w:hAnsi="Book Antiqua"/>
          <w:b/>
          <w:bCs/>
        </w:rPr>
        <w:t>139</w:t>
      </w:r>
      <w:r w:rsidRPr="006A140B">
        <w:rPr>
          <w:rFonts w:ascii="Book Antiqua" w:hAnsi="Book Antiqua"/>
        </w:rPr>
        <w:t>: 722-725 [PMID: 20682361 DOI: 10.1053/j.gastro.2010.07.015]</w:t>
      </w:r>
    </w:p>
    <w:p w14:paraId="06B3969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22 </w:t>
      </w:r>
      <w:r w:rsidRPr="006A140B">
        <w:rPr>
          <w:rFonts w:ascii="Book Antiqua" w:hAnsi="Book Antiqua"/>
          <w:b/>
          <w:bCs/>
        </w:rPr>
        <w:t>Wells RG</w:t>
      </w:r>
      <w:r w:rsidRPr="006A140B">
        <w:rPr>
          <w:rFonts w:ascii="Book Antiqua" w:hAnsi="Book Antiqua"/>
        </w:rPr>
        <w:t xml:space="preserve">. The epithelial-to-mesenchymal transition in liver fibrosis: here today, gone tomorrow? </w:t>
      </w:r>
      <w:r w:rsidRPr="006A140B">
        <w:rPr>
          <w:rFonts w:ascii="Book Antiqua" w:hAnsi="Book Antiqua"/>
          <w:i/>
          <w:iCs/>
        </w:rPr>
        <w:t>Hepatology</w:t>
      </w:r>
      <w:r w:rsidRPr="006A140B">
        <w:rPr>
          <w:rFonts w:ascii="Book Antiqua" w:hAnsi="Book Antiqua"/>
        </w:rPr>
        <w:t xml:space="preserve"> 2010; </w:t>
      </w:r>
      <w:r w:rsidRPr="006A140B">
        <w:rPr>
          <w:rFonts w:ascii="Book Antiqua" w:hAnsi="Book Antiqua"/>
          <w:b/>
          <w:bCs/>
        </w:rPr>
        <w:t>51</w:t>
      </w:r>
      <w:r w:rsidRPr="006A140B">
        <w:rPr>
          <w:rFonts w:ascii="Book Antiqua" w:hAnsi="Book Antiqua"/>
        </w:rPr>
        <w:t>: 737-740 [PMID: 20198628 DOI: 10.1002/hep.23529]</w:t>
      </w:r>
    </w:p>
    <w:p w14:paraId="32A603B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23 </w:t>
      </w:r>
      <w:r w:rsidRPr="006A140B">
        <w:rPr>
          <w:rFonts w:ascii="Book Antiqua" w:hAnsi="Book Antiqua"/>
          <w:b/>
          <w:bCs/>
        </w:rPr>
        <w:t>Lee WR</w:t>
      </w:r>
      <w:r w:rsidRPr="006A140B">
        <w:rPr>
          <w:rFonts w:ascii="Book Antiqua" w:hAnsi="Book Antiqua"/>
        </w:rPr>
        <w:t xml:space="preserve">, Kim KH, An HJ, Kim JY, Lee SJ, Han SM, Pak SC, Park KK. Apamin inhibits hepatic fibrosis through suppression of transforming growth factor β1-induced hepatocyte epithelial-mesenchymal transition. </w:t>
      </w:r>
      <w:r w:rsidRPr="006A140B">
        <w:rPr>
          <w:rFonts w:ascii="Book Antiqua" w:hAnsi="Book Antiqua"/>
          <w:i/>
          <w:iCs/>
        </w:rPr>
        <w:t>Biochem Biophys Res Commun</w:t>
      </w:r>
      <w:r w:rsidRPr="006A140B">
        <w:rPr>
          <w:rFonts w:ascii="Book Antiqua" w:hAnsi="Book Antiqua"/>
        </w:rPr>
        <w:t xml:space="preserve"> 2014; </w:t>
      </w:r>
      <w:r w:rsidRPr="006A140B">
        <w:rPr>
          <w:rFonts w:ascii="Book Antiqua" w:hAnsi="Book Antiqua"/>
          <w:b/>
          <w:bCs/>
        </w:rPr>
        <w:t>450</w:t>
      </w:r>
      <w:r w:rsidRPr="006A140B">
        <w:rPr>
          <w:rFonts w:ascii="Book Antiqua" w:hAnsi="Book Antiqua"/>
        </w:rPr>
        <w:t>: 195-201 [PMID: 24878534 DOI: 10.1016/j.bbrc.2014.05.089]</w:t>
      </w:r>
    </w:p>
    <w:p w14:paraId="25EA496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24 </w:t>
      </w:r>
      <w:r w:rsidRPr="006A140B">
        <w:rPr>
          <w:rFonts w:ascii="Book Antiqua" w:hAnsi="Book Antiqua"/>
          <w:b/>
          <w:bCs/>
        </w:rPr>
        <w:t>Kong D</w:t>
      </w:r>
      <w:r w:rsidRPr="006A140B">
        <w:rPr>
          <w:rFonts w:ascii="Book Antiqua" w:hAnsi="Book Antiqua"/>
        </w:rPr>
        <w:t xml:space="preserve">, Zhang F, Shao J, Wu L, Zhang X, Chen L, Lu Y, Zheng S. Curcumin inhibits cobalt chloride-induced epithelial-to-mesenchymal transition associated with interference with TGF-β/Smad signaling in hepatocytes. </w:t>
      </w:r>
      <w:r w:rsidRPr="006A140B">
        <w:rPr>
          <w:rFonts w:ascii="Book Antiqua" w:hAnsi="Book Antiqua"/>
          <w:i/>
          <w:iCs/>
        </w:rPr>
        <w:t>Lab Invest</w:t>
      </w:r>
      <w:r w:rsidRPr="006A140B">
        <w:rPr>
          <w:rFonts w:ascii="Book Antiqua" w:hAnsi="Book Antiqua"/>
        </w:rPr>
        <w:t xml:space="preserve"> 2015; </w:t>
      </w:r>
      <w:r w:rsidRPr="006A140B">
        <w:rPr>
          <w:rFonts w:ascii="Book Antiqua" w:hAnsi="Book Antiqua"/>
          <w:b/>
          <w:bCs/>
        </w:rPr>
        <w:t>95</w:t>
      </w:r>
      <w:r w:rsidRPr="006A140B">
        <w:rPr>
          <w:rFonts w:ascii="Book Antiqua" w:hAnsi="Book Antiqua"/>
        </w:rPr>
        <w:t>: 1234-1245 [PMID: 26302188 DOI: 10.1038/labinvest.2015.107]</w:t>
      </w:r>
    </w:p>
    <w:p w14:paraId="280F6CF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25 </w:t>
      </w:r>
      <w:r w:rsidRPr="006A140B">
        <w:rPr>
          <w:rFonts w:ascii="Book Antiqua" w:hAnsi="Book Antiqua"/>
          <w:b/>
          <w:bCs/>
        </w:rPr>
        <w:t>Ramakrishna G</w:t>
      </w:r>
      <w:r w:rsidRPr="006A140B">
        <w:rPr>
          <w:rFonts w:ascii="Book Antiqua" w:hAnsi="Book Antiqua"/>
        </w:rPr>
        <w:t xml:space="preserve">, Rastogi A, Trehanpati N, Sen B, Khosla R, Sarin SK. From cirrhosis to hepatocellular carcinoma: new molecular insights on inflammation and cellular senescence. </w:t>
      </w:r>
      <w:r w:rsidRPr="006A140B">
        <w:rPr>
          <w:rFonts w:ascii="Book Antiqua" w:hAnsi="Book Antiqua"/>
          <w:i/>
          <w:iCs/>
        </w:rPr>
        <w:t>Liver Cancer</w:t>
      </w:r>
      <w:r w:rsidRPr="006A140B">
        <w:rPr>
          <w:rFonts w:ascii="Book Antiqua" w:hAnsi="Book Antiqua"/>
        </w:rPr>
        <w:t xml:space="preserve"> 2013; </w:t>
      </w:r>
      <w:r w:rsidRPr="006A140B">
        <w:rPr>
          <w:rFonts w:ascii="Book Antiqua" w:hAnsi="Book Antiqua"/>
          <w:b/>
          <w:bCs/>
        </w:rPr>
        <w:t>2</w:t>
      </w:r>
      <w:r w:rsidRPr="006A140B">
        <w:rPr>
          <w:rFonts w:ascii="Book Antiqua" w:hAnsi="Book Antiqua"/>
        </w:rPr>
        <w:t>: 367-383 [PMID: 24400224 DOI: 10.1159/000343852]</w:t>
      </w:r>
    </w:p>
    <w:p w14:paraId="72D3B9B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26 </w:t>
      </w:r>
      <w:r w:rsidRPr="006A140B">
        <w:rPr>
          <w:rFonts w:ascii="Book Antiqua" w:hAnsi="Book Antiqua"/>
          <w:b/>
          <w:bCs/>
        </w:rPr>
        <w:t>Fattovich G</w:t>
      </w:r>
      <w:r w:rsidRPr="006A140B">
        <w:rPr>
          <w:rFonts w:ascii="Book Antiqua" w:hAnsi="Book Antiqua"/>
        </w:rPr>
        <w:t xml:space="preserve">, Stroffolini T, Zagni I, Donato F. Hepatocellular carcinoma in cirrhosis: incidence and risk factors. </w:t>
      </w:r>
      <w:r w:rsidRPr="006A140B">
        <w:rPr>
          <w:rFonts w:ascii="Book Antiqua" w:hAnsi="Book Antiqua"/>
          <w:i/>
          <w:iCs/>
        </w:rPr>
        <w:t>Gastroenterology</w:t>
      </w:r>
      <w:r w:rsidRPr="006A140B">
        <w:rPr>
          <w:rFonts w:ascii="Book Antiqua" w:hAnsi="Book Antiqua"/>
        </w:rPr>
        <w:t xml:space="preserve"> 2004; </w:t>
      </w:r>
      <w:r w:rsidRPr="006A140B">
        <w:rPr>
          <w:rFonts w:ascii="Book Antiqua" w:hAnsi="Book Antiqua"/>
          <w:b/>
          <w:bCs/>
        </w:rPr>
        <w:t>127</w:t>
      </w:r>
      <w:r w:rsidRPr="006A140B">
        <w:rPr>
          <w:rFonts w:ascii="Book Antiqua" w:hAnsi="Book Antiqua"/>
        </w:rPr>
        <w:t>: S35-S50 [PMID: 15508101 DOI: 10.1053/j.gastro.2004.09.014]</w:t>
      </w:r>
    </w:p>
    <w:p w14:paraId="3F894D1E" w14:textId="1114FAF5" w:rsidR="00495B7C" w:rsidRPr="006A140B" w:rsidRDefault="00495B7C" w:rsidP="00495B7C">
      <w:pPr>
        <w:spacing w:line="360" w:lineRule="auto"/>
        <w:jc w:val="both"/>
        <w:rPr>
          <w:rFonts w:ascii="Book Antiqua" w:hAnsi="Book Antiqua"/>
        </w:rPr>
      </w:pPr>
      <w:r w:rsidRPr="006A140B">
        <w:rPr>
          <w:rFonts w:ascii="Book Antiqua" w:hAnsi="Book Antiqua"/>
        </w:rPr>
        <w:t xml:space="preserve">27 </w:t>
      </w:r>
      <w:r w:rsidR="007A6E7F" w:rsidRPr="006A140B">
        <w:rPr>
          <w:rFonts w:ascii="Book Antiqua" w:hAnsi="Book Antiqua"/>
          <w:b/>
          <w:bCs/>
        </w:rPr>
        <w:t>Tsai IT,</w:t>
      </w:r>
      <w:r w:rsidR="007A6E7F" w:rsidRPr="006A140B">
        <w:rPr>
          <w:rFonts w:ascii="Book Antiqua" w:hAnsi="Book Antiqua"/>
        </w:rPr>
        <w:t xml:space="preserve"> Wang CP, Yu TH, Lu YC, Lin CW, Lu LF, Wu CC, Chung FM, Lee YJ, Hung WC, Hsu CC. Circulating visfatin level is associated with hepatocellular carcinoma in chronic hepatitis B or C virus infection. </w:t>
      </w:r>
      <w:r w:rsidR="007A6E7F" w:rsidRPr="006A140B">
        <w:rPr>
          <w:rFonts w:ascii="Book Antiqua" w:hAnsi="Book Antiqua"/>
          <w:i/>
          <w:iCs/>
        </w:rPr>
        <w:t>Cytokine</w:t>
      </w:r>
      <w:r w:rsidR="007A6E7F" w:rsidRPr="006A140B">
        <w:rPr>
          <w:rFonts w:ascii="Book Antiqua" w:hAnsi="Book Antiqua"/>
        </w:rPr>
        <w:t xml:space="preserve"> 2017; </w:t>
      </w:r>
      <w:r w:rsidR="007A6E7F" w:rsidRPr="006A140B">
        <w:rPr>
          <w:rFonts w:ascii="Book Antiqua" w:hAnsi="Book Antiqua"/>
          <w:b/>
          <w:bCs/>
        </w:rPr>
        <w:t>90:</w:t>
      </w:r>
      <w:r w:rsidR="007A6E7F" w:rsidRPr="006A140B">
        <w:rPr>
          <w:rFonts w:ascii="Book Antiqua" w:hAnsi="Book Antiqua"/>
        </w:rPr>
        <w:t xml:space="preserve"> 54-59 [PMID: 27770715 DOI: 10.1016/j.cyto.2016.10.007]</w:t>
      </w:r>
    </w:p>
    <w:p w14:paraId="1160606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28 </w:t>
      </w:r>
      <w:r w:rsidRPr="006A140B">
        <w:rPr>
          <w:rFonts w:ascii="Book Antiqua" w:hAnsi="Book Antiqua"/>
          <w:b/>
          <w:bCs/>
        </w:rPr>
        <w:t>Hwang JC</w:t>
      </w:r>
      <w:r w:rsidRPr="006A140B">
        <w:rPr>
          <w:rFonts w:ascii="Book Antiqua" w:hAnsi="Book Antiqua"/>
        </w:rPr>
        <w:t xml:space="preserve">, Weng SF, Weng RH. High incidence of hepatocellular carcinoma in ESRD patients: caused by high hepatitis rate or 'uremia'? a population-based study. </w:t>
      </w:r>
      <w:r w:rsidRPr="006A140B">
        <w:rPr>
          <w:rFonts w:ascii="Book Antiqua" w:hAnsi="Book Antiqua"/>
          <w:i/>
          <w:iCs/>
        </w:rPr>
        <w:t>Jpn J Clin Oncol</w:t>
      </w:r>
      <w:r w:rsidRPr="006A140B">
        <w:rPr>
          <w:rFonts w:ascii="Book Antiqua" w:hAnsi="Book Antiqua"/>
        </w:rPr>
        <w:t xml:space="preserve"> 2012; </w:t>
      </w:r>
      <w:r w:rsidRPr="006A140B">
        <w:rPr>
          <w:rFonts w:ascii="Book Antiqua" w:hAnsi="Book Antiqua"/>
          <w:b/>
          <w:bCs/>
        </w:rPr>
        <w:t>42</w:t>
      </w:r>
      <w:r w:rsidRPr="006A140B">
        <w:rPr>
          <w:rFonts w:ascii="Book Antiqua" w:hAnsi="Book Antiqua"/>
        </w:rPr>
        <w:t>: 780-786 [PMID: 22782961 DOI: 10.1093/jjco/hys100]</w:t>
      </w:r>
    </w:p>
    <w:p w14:paraId="395FF7F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29 </w:t>
      </w:r>
      <w:r w:rsidRPr="006A140B">
        <w:rPr>
          <w:rFonts w:ascii="Book Antiqua" w:hAnsi="Book Antiqua"/>
          <w:b/>
          <w:bCs/>
        </w:rPr>
        <w:t>Cavaillon JM</w:t>
      </w:r>
      <w:r w:rsidRPr="006A140B">
        <w:rPr>
          <w:rFonts w:ascii="Book Antiqua" w:hAnsi="Book Antiqua"/>
        </w:rPr>
        <w:t xml:space="preserve">, Poignet JL, Fitting C, Delons S. Serum interleukin-6 in long-term hemodialyzed patients. </w:t>
      </w:r>
      <w:r w:rsidRPr="006A140B">
        <w:rPr>
          <w:rFonts w:ascii="Book Antiqua" w:hAnsi="Book Antiqua"/>
          <w:i/>
          <w:iCs/>
        </w:rPr>
        <w:t>Nephron</w:t>
      </w:r>
      <w:r w:rsidRPr="006A140B">
        <w:rPr>
          <w:rFonts w:ascii="Book Antiqua" w:hAnsi="Book Antiqua"/>
        </w:rPr>
        <w:t xml:space="preserve"> 1992; </w:t>
      </w:r>
      <w:r w:rsidRPr="006A140B">
        <w:rPr>
          <w:rFonts w:ascii="Book Antiqua" w:hAnsi="Book Antiqua"/>
          <w:b/>
          <w:bCs/>
        </w:rPr>
        <w:t>60</w:t>
      </w:r>
      <w:r w:rsidRPr="006A140B">
        <w:rPr>
          <w:rFonts w:ascii="Book Antiqua" w:hAnsi="Book Antiqua"/>
        </w:rPr>
        <w:t>: 307-313 [PMID: 1565183 DOI: 10.1159/000186770]</w:t>
      </w:r>
    </w:p>
    <w:p w14:paraId="31B955D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 </w:t>
      </w:r>
      <w:r w:rsidRPr="006A140B">
        <w:rPr>
          <w:rFonts w:ascii="Book Antiqua" w:hAnsi="Book Antiqua"/>
          <w:b/>
          <w:bCs/>
        </w:rPr>
        <w:t>Herbelin A</w:t>
      </w:r>
      <w:r w:rsidRPr="006A140B">
        <w:rPr>
          <w:rFonts w:ascii="Book Antiqua" w:hAnsi="Book Antiqua"/>
        </w:rPr>
        <w:t xml:space="preserve">, Nguyen AT, Zingraff J, Ureña P, Descamps-Latscha B. Influence of uremia and hemodialysis on circulating interleukin-1 and tumor necrosis factor alpha. </w:t>
      </w:r>
      <w:r w:rsidRPr="006A140B">
        <w:rPr>
          <w:rFonts w:ascii="Book Antiqua" w:hAnsi="Book Antiqua"/>
          <w:i/>
          <w:iCs/>
        </w:rPr>
        <w:t>Kidney Int</w:t>
      </w:r>
      <w:r w:rsidRPr="006A140B">
        <w:rPr>
          <w:rFonts w:ascii="Book Antiqua" w:hAnsi="Book Antiqua"/>
        </w:rPr>
        <w:t xml:space="preserve"> 1990; </w:t>
      </w:r>
      <w:r w:rsidRPr="006A140B">
        <w:rPr>
          <w:rFonts w:ascii="Book Antiqua" w:hAnsi="Book Antiqua"/>
          <w:b/>
          <w:bCs/>
        </w:rPr>
        <w:t>37</w:t>
      </w:r>
      <w:r w:rsidRPr="006A140B">
        <w:rPr>
          <w:rFonts w:ascii="Book Antiqua" w:hAnsi="Book Antiqua"/>
        </w:rPr>
        <w:t>: 116-125 [PMID: 2299797 DOI: 10.1038/ki.1990.16]</w:t>
      </w:r>
    </w:p>
    <w:p w14:paraId="2E1EE40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31 </w:t>
      </w:r>
      <w:r w:rsidRPr="006A140B">
        <w:rPr>
          <w:rFonts w:ascii="Book Antiqua" w:hAnsi="Book Antiqua"/>
          <w:b/>
          <w:bCs/>
        </w:rPr>
        <w:t>Descamps-Latscha B</w:t>
      </w:r>
      <w:r w:rsidRPr="006A140B">
        <w:rPr>
          <w:rFonts w:ascii="Book Antiqua" w:hAnsi="Book Antiqua"/>
        </w:rPr>
        <w:t xml:space="preserve">, Herbelin A, Nguyen AT, Roux-Lombard P, Zingraff J, Moynot A, Verger C, Dahmane D, de Groote D, Jungers P. Balance between IL-1 beta, TNF-alpha, and their specific inhibitors in chronic renal failure and maintenance dialysis. Relationships with activation markers of T cells, B cells, and monocytes. </w:t>
      </w:r>
      <w:r w:rsidRPr="006A140B">
        <w:rPr>
          <w:rFonts w:ascii="Book Antiqua" w:hAnsi="Book Antiqua"/>
          <w:i/>
          <w:iCs/>
        </w:rPr>
        <w:t>J Immunol</w:t>
      </w:r>
      <w:r w:rsidRPr="006A140B">
        <w:rPr>
          <w:rFonts w:ascii="Book Antiqua" w:hAnsi="Book Antiqua"/>
        </w:rPr>
        <w:t xml:space="preserve"> 1995; </w:t>
      </w:r>
      <w:r w:rsidRPr="006A140B">
        <w:rPr>
          <w:rFonts w:ascii="Book Antiqua" w:hAnsi="Book Antiqua"/>
          <w:b/>
          <w:bCs/>
        </w:rPr>
        <w:t>154</w:t>
      </w:r>
      <w:r w:rsidRPr="006A140B">
        <w:rPr>
          <w:rFonts w:ascii="Book Antiqua" w:hAnsi="Book Antiqua"/>
        </w:rPr>
        <w:t>: 882-892 [PMID: 7814891]</w:t>
      </w:r>
    </w:p>
    <w:p w14:paraId="721EF95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32 </w:t>
      </w:r>
      <w:r w:rsidRPr="006A140B">
        <w:rPr>
          <w:rFonts w:ascii="Book Antiqua" w:hAnsi="Book Antiqua"/>
          <w:b/>
          <w:bCs/>
        </w:rPr>
        <w:t>Rapa SF</w:t>
      </w:r>
      <w:r w:rsidRPr="006A140B">
        <w:rPr>
          <w:rFonts w:ascii="Book Antiqua" w:hAnsi="Book Antiqua"/>
        </w:rPr>
        <w:t xml:space="preserve">, Di Iorio BR, Campiglia P, Heidland A, Marzocco S. Inflammation and Oxidative Stress in Chronic Kidney Disease-Potential Therapeutic Role of Minerals, Vitamins and Plant-Derived Metabolites. </w:t>
      </w:r>
      <w:r w:rsidRPr="006A140B">
        <w:rPr>
          <w:rFonts w:ascii="Book Antiqua" w:hAnsi="Book Antiqua"/>
          <w:i/>
          <w:iCs/>
        </w:rPr>
        <w:t>Int J Mol Sci</w:t>
      </w:r>
      <w:r w:rsidRPr="006A140B">
        <w:rPr>
          <w:rFonts w:ascii="Book Antiqua" w:hAnsi="Book Antiqua"/>
        </w:rPr>
        <w:t xml:space="preserve"> 2019; </w:t>
      </w:r>
      <w:r w:rsidRPr="006A140B">
        <w:rPr>
          <w:rFonts w:ascii="Book Antiqua" w:hAnsi="Book Antiqua"/>
          <w:b/>
          <w:bCs/>
        </w:rPr>
        <w:t>21</w:t>
      </w:r>
      <w:r w:rsidRPr="006A140B">
        <w:rPr>
          <w:rFonts w:ascii="Book Antiqua" w:hAnsi="Book Antiqua"/>
        </w:rPr>
        <w:t xml:space="preserve"> [PMID: 31906008 DOI: 10.3390/ijms21010263]</w:t>
      </w:r>
    </w:p>
    <w:p w14:paraId="294FA6A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33 </w:t>
      </w:r>
      <w:r w:rsidRPr="006A140B">
        <w:rPr>
          <w:rFonts w:ascii="Book Antiqua" w:hAnsi="Book Antiqua"/>
          <w:b/>
          <w:bCs/>
        </w:rPr>
        <w:t>Rapicetta M</w:t>
      </w:r>
      <w:r w:rsidRPr="006A140B">
        <w:rPr>
          <w:rFonts w:ascii="Book Antiqua" w:hAnsi="Book Antiqua"/>
        </w:rPr>
        <w:t xml:space="preserve">, Ferrari C, Levrero M. Viral determinants and host immune responses in the pathogenesis of HBV infection. </w:t>
      </w:r>
      <w:r w:rsidRPr="006A140B">
        <w:rPr>
          <w:rFonts w:ascii="Book Antiqua" w:hAnsi="Book Antiqua"/>
          <w:i/>
          <w:iCs/>
        </w:rPr>
        <w:t>J Med Virol</w:t>
      </w:r>
      <w:r w:rsidRPr="006A140B">
        <w:rPr>
          <w:rFonts w:ascii="Book Antiqua" w:hAnsi="Book Antiqua"/>
        </w:rPr>
        <w:t xml:space="preserve"> 2002; </w:t>
      </w:r>
      <w:r w:rsidRPr="006A140B">
        <w:rPr>
          <w:rFonts w:ascii="Book Antiqua" w:hAnsi="Book Antiqua"/>
          <w:b/>
          <w:bCs/>
        </w:rPr>
        <w:t>67</w:t>
      </w:r>
      <w:r w:rsidRPr="006A140B">
        <w:rPr>
          <w:rFonts w:ascii="Book Antiqua" w:hAnsi="Book Antiqua"/>
        </w:rPr>
        <w:t>: 454-457 [PMID: 12116045 DOI: 10.1002/jmv.10096]</w:t>
      </w:r>
    </w:p>
    <w:p w14:paraId="6FB8B22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34 </w:t>
      </w:r>
      <w:r w:rsidRPr="006A140B">
        <w:rPr>
          <w:rFonts w:ascii="Book Antiqua" w:hAnsi="Book Antiqua"/>
          <w:b/>
          <w:bCs/>
        </w:rPr>
        <w:t>Freeman AJ</w:t>
      </w:r>
      <w:r w:rsidRPr="006A140B">
        <w:rPr>
          <w:rFonts w:ascii="Book Antiqua" w:hAnsi="Book Antiqua"/>
        </w:rPr>
        <w:t xml:space="preserve">, Marinos G, Ffrench RA, Lloyd AR. Immunopathogenesis of hepatitis C virus infection. </w:t>
      </w:r>
      <w:r w:rsidRPr="006A140B">
        <w:rPr>
          <w:rFonts w:ascii="Book Antiqua" w:hAnsi="Book Antiqua"/>
          <w:i/>
          <w:iCs/>
        </w:rPr>
        <w:t>Immunol Cell Biol</w:t>
      </w:r>
      <w:r w:rsidRPr="006A140B">
        <w:rPr>
          <w:rFonts w:ascii="Book Antiqua" w:hAnsi="Book Antiqua"/>
        </w:rPr>
        <w:t xml:space="preserve"> 2001; </w:t>
      </w:r>
      <w:r w:rsidRPr="006A140B">
        <w:rPr>
          <w:rFonts w:ascii="Book Antiqua" w:hAnsi="Book Antiqua"/>
          <w:b/>
          <w:bCs/>
        </w:rPr>
        <w:t>79</w:t>
      </w:r>
      <w:r w:rsidRPr="006A140B">
        <w:rPr>
          <w:rFonts w:ascii="Book Antiqua" w:hAnsi="Book Antiqua"/>
        </w:rPr>
        <w:t>: 515-536 [PMID: 11903612 DOI: 10.1046/j.1440-1711.2001.01036.x]</w:t>
      </w:r>
    </w:p>
    <w:p w14:paraId="1B96599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35 </w:t>
      </w:r>
      <w:r w:rsidRPr="006A140B">
        <w:rPr>
          <w:rFonts w:ascii="Book Antiqua" w:hAnsi="Book Antiqua"/>
          <w:b/>
          <w:bCs/>
        </w:rPr>
        <w:t>Fernández-Fresnedo G</w:t>
      </w:r>
      <w:r w:rsidRPr="006A140B">
        <w:rPr>
          <w:rFonts w:ascii="Book Antiqua" w:hAnsi="Book Antiqua"/>
        </w:rPr>
        <w:t xml:space="preserve">, Ramos MA, González-Pardo MC, de Francisco AL, López-Hoyos M, Arias M. B lymphopenia in uremia is related to an accelerated in vitro apoptosis and dysregulation of Bcl-2. </w:t>
      </w:r>
      <w:r w:rsidRPr="006A140B">
        <w:rPr>
          <w:rFonts w:ascii="Book Antiqua" w:hAnsi="Book Antiqua"/>
          <w:i/>
          <w:iCs/>
        </w:rPr>
        <w:t>Nephrol Dial Transplant</w:t>
      </w:r>
      <w:r w:rsidRPr="006A140B">
        <w:rPr>
          <w:rFonts w:ascii="Book Antiqua" w:hAnsi="Book Antiqua"/>
        </w:rPr>
        <w:t xml:space="preserve"> 2000; </w:t>
      </w:r>
      <w:r w:rsidRPr="006A140B">
        <w:rPr>
          <w:rFonts w:ascii="Book Antiqua" w:hAnsi="Book Antiqua"/>
          <w:b/>
          <w:bCs/>
        </w:rPr>
        <w:t>15</w:t>
      </w:r>
      <w:r w:rsidRPr="006A140B">
        <w:rPr>
          <w:rFonts w:ascii="Book Antiqua" w:hAnsi="Book Antiqua"/>
        </w:rPr>
        <w:t>: 502-510 [PMID: 10727545 DOI: 10.1093/ndt/15.4.502]</w:t>
      </w:r>
    </w:p>
    <w:p w14:paraId="71F7689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36 </w:t>
      </w:r>
      <w:r w:rsidRPr="006A140B">
        <w:rPr>
          <w:rFonts w:ascii="Book Antiqua" w:hAnsi="Book Antiqua"/>
          <w:b/>
          <w:bCs/>
        </w:rPr>
        <w:t>Schmidt S</w:t>
      </w:r>
      <w:r w:rsidRPr="006A140B">
        <w:rPr>
          <w:rFonts w:ascii="Book Antiqua" w:hAnsi="Book Antiqua"/>
        </w:rPr>
        <w:t xml:space="preserve">, Westhoff TH, Krauser P, Ignatius R, Jankowski J, Jankowski V, Zidek W, van der Giet M. The uraemic toxin phenylacetic acid impairs macrophage function. </w:t>
      </w:r>
      <w:r w:rsidRPr="006A140B">
        <w:rPr>
          <w:rFonts w:ascii="Book Antiqua" w:hAnsi="Book Antiqua"/>
          <w:i/>
          <w:iCs/>
        </w:rPr>
        <w:t>Nephrol Dial Transplant</w:t>
      </w:r>
      <w:r w:rsidRPr="006A140B">
        <w:rPr>
          <w:rFonts w:ascii="Book Antiqua" w:hAnsi="Book Antiqua"/>
        </w:rPr>
        <w:t xml:space="preserve"> 2008; </w:t>
      </w:r>
      <w:r w:rsidRPr="006A140B">
        <w:rPr>
          <w:rFonts w:ascii="Book Antiqua" w:hAnsi="Book Antiqua"/>
          <w:b/>
          <w:bCs/>
        </w:rPr>
        <w:t>23</w:t>
      </w:r>
      <w:r w:rsidRPr="006A140B">
        <w:rPr>
          <w:rFonts w:ascii="Book Antiqua" w:hAnsi="Book Antiqua"/>
        </w:rPr>
        <w:t>: 3485-3493 [PMID: 18480077 DOI: 10.1093/ndt/gfn266]</w:t>
      </w:r>
    </w:p>
    <w:p w14:paraId="3B74634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37 </w:t>
      </w:r>
      <w:r w:rsidRPr="006A140B">
        <w:rPr>
          <w:rFonts w:ascii="Book Antiqua" w:hAnsi="Book Antiqua"/>
          <w:b/>
          <w:bCs/>
        </w:rPr>
        <w:t>Meier P</w:t>
      </w:r>
      <w:r w:rsidRPr="006A140B">
        <w:rPr>
          <w:rFonts w:ascii="Book Antiqua" w:hAnsi="Book Antiqua"/>
        </w:rPr>
        <w:t xml:space="preserve">, Dayer E, Blanc E, Wauters JP. Early T cell activation correlates with expression of apoptosis markers in patients with end-stage renal disease. </w:t>
      </w:r>
      <w:r w:rsidRPr="006A140B">
        <w:rPr>
          <w:rFonts w:ascii="Book Antiqua" w:hAnsi="Book Antiqua"/>
          <w:i/>
          <w:iCs/>
        </w:rPr>
        <w:t>J Am Soc Nephrol</w:t>
      </w:r>
      <w:r w:rsidRPr="006A140B">
        <w:rPr>
          <w:rFonts w:ascii="Book Antiqua" w:hAnsi="Book Antiqua"/>
        </w:rPr>
        <w:t xml:space="preserve"> 2002; </w:t>
      </w:r>
      <w:r w:rsidRPr="006A140B">
        <w:rPr>
          <w:rFonts w:ascii="Book Antiqua" w:hAnsi="Book Antiqua"/>
          <w:b/>
          <w:bCs/>
        </w:rPr>
        <w:t>13</w:t>
      </w:r>
      <w:r w:rsidRPr="006A140B">
        <w:rPr>
          <w:rFonts w:ascii="Book Antiqua" w:hAnsi="Book Antiqua"/>
        </w:rPr>
        <w:t>: 204-212 [PMID: 11752039 DOI: 10.1681/ASN.V131204]</w:t>
      </w:r>
    </w:p>
    <w:p w14:paraId="7B11E03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38 </w:t>
      </w:r>
      <w:r w:rsidRPr="006A140B">
        <w:rPr>
          <w:rFonts w:ascii="Book Antiqua" w:hAnsi="Book Antiqua"/>
          <w:b/>
          <w:bCs/>
        </w:rPr>
        <w:t>Taborelli M</w:t>
      </w:r>
      <w:r w:rsidRPr="006A140B">
        <w:rPr>
          <w:rFonts w:ascii="Book Antiqua" w:hAnsi="Book Antiqua"/>
        </w:rPr>
        <w:t xml:space="preserve">, Toffolutti F, Del Zotto S, Clagnan E, Furian L, Piselli P, Citterio F, Zanier L, Boscutti G, Serraino D; Italian Transplant &amp; Cancer Cohort Study. Increased cancer risk in patients undergoing dialysis: a population-based cohort study in North-Eastern Italy. </w:t>
      </w:r>
      <w:r w:rsidRPr="006A140B">
        <w:rPr>
          <w:rFonts w:ascii="Book Antiqua" w:hAnsi="Book Antiqua"/>
          <w:i/>
          <w:iCs/>
        </w:rPr>
        <w:t>BMC Nephrol</w:t>
      </w:r>
      <w:r w:rsidRPr="006A140B">
        <w:rPr>
          <w:rFonts w:ascii="Book Antiqua" w:hAnsi="Book Antiqua"/>
        </w:rPr>
        <w:t xml:space="preserve"> 2019; </w:t>
      </w:r>
      <w:r w:rsidRPr="006A140B">
        <w:rPr>
          <w:rFonts w:ascii="Book Antiqua" w:hAnsi="Book Antiqua"/>
          <w:b/>
          <w:bCs/>
        </w:rPr>
        <w:t>20</w:t>
      </w:r>
      <w:r w:rsidRPr="006A140B">
        <w:rPr>
          <w:rFonts w:ascii="Book Antiqua" w:hAnsi="Book Antiqua"/>
        </w:rPr>
        <w:t>: 107 [PMID: 30922296 DOI: 10.1186/s12882-019-1283-4]</w:t>
      </w:r>
    </w:p>
    <w:p w14:paraId="77D402C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39 </w:t>
      </w:r>
      <w:r w:rsidRPr="006A140B">
        <w:rPr>
          <w:rFonts w:ascii="Book Antiqua" w:hAnsi="Book Antiqua"/>
          <w:b/>
          <w:bCs/>
        </w:rPr>
        <w:t>Wong G</w:t>
      </w:r>
      <w:r w:rsidRPr="006A140B">
        <w:rPr>
          <w:rFonts w:ascii="Book Antiqua" w:hAnsi="Book Antiqua"/>
        </w:rPr>
        <w:t xml:space="preserve">, Turner RM, Chapman JR, Howell M, Lim WH, Webster AC, Craig JC. Time on dialysis and cancer risk after kidney transplantation. </w:t>
      </w:r>
      <w:r w:rsidRPr="006A140B">
        <w:rPr>
          <w:rFonts w:ascii="Book Antiqua" w:hAnsi="Book Antiqua"/>
          <w:i/>
          <w:iCs/>
        </w:rPr>
        <w:t>Transplantation</w:t>
      </w:r>
      <w:r w:rsidRPr="006A140B">
        <w:rPr>
          <w:rFonts w:ascii="Book Antiqua" w:hAnsi="Book Antiqua"/>
        </w:rPr>
        <w:t xml:space="preserve"> 2013; </w:t>
      </w:r>
      <w:r w:rsidRPr="006A140B">
        <w:rPr>
          <w:rFonts w:ascii="Book Antiqua" w:hAnsi="Book Antiqua"/>
          <w:b/>
          <w:bCs/>
        </w:rPr>
        <w:t>95</w:t>
      </w:r>
      <w:r w:rsidRPr="006A140B">
        <w:rPr>
          <w:rFonts w:ascii="Book Antiqua" w:hAnsi="Book Antiqua"/>
        </w:rPr>
        <w:t>: 114-121 [PMID: 23222892 DOI: 10.1097/TP.0b013e31827743b4]</w:t>
      </w:r>
    </w:p>
    <w:p w14:paraId="1B7CB53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40 </w:t>
      </w:r>
      <w:r w:rsidRPr="006A140B">
        <w:rPr>
          <w:rFonts w:ascii="Book Antiqua" w:hAnsi="Book Antiqua"/>
          <w:b/>
          <w:bCs/>
        </w:rPr>
        <w:t>Duong MC</w:t>
      </w:r>
      <w:r w:rsidRPr="006A140B">
        <w:rPr>
          <w:rFonts w:ascii="Book Antiqua" w:hAnsi="Book Antiqua"/>
        </w:rPr>
        <w:t xml:space="preserve">, Nguyen VTT, Otsu S, McLaws ML. Prevalence of hepatitis B and C virus infections in hemodialysis patients in Vietnam: A systematic review and meta-analysis. </w:t>
      </w:r>
      <w:r w:rsidRPr="006A140B">
        <w:rPr>
          <w:rFonts w:ascii="Book Antiqua" w:hAnsi="Book Antiqua"/>
          <w:i/>
          <w:iCs/>
        </w:rPr>
        <w:t>JGH Open</w:t>
      </w:r>
      <w:r w:rsidRPr="006A140B">
        <w:rPr>
          <w:rFonts w:ascii="Book Antiqua" w:hAnsi="Book Antiqua"/>
        </w:rPr>
        <w:t xml:space="preserve"> 2020; </w:t>
      </w:r>
      <w:r w:rsidRPr="006A140B">
        <w:rPr>
          <w:rFonts w:ascii="Book Antiqua" w:hAnsi="Book Antiqua"/>
          <w:b/>
          <w:bCs/>
        </w:rPr>
        <w:t>4</w:t>
      </w:r>
      <w:r w:rsidRPr="006A140B">
        <w:rPr>
          <w:rFonts w:ascii="Book Antiqua" w:hAnsi="Book Antiqua"/>
        </w:rPr>
        <w:t>: 29-38 [PMID: 32055694 DOI: 10.1002/jgh3.12199]</w:t>
      </w:r>
    </w:p>
    <w:p w14:paraId="1A40B5C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41 </w:t>
      </w:r>
      <w:r w:rsidRPr="006A140B">
        <w:rPr>
          <w:rFonts w:ascii="Book Antiqua" w:hAnsi="Book Antiqua"/>
          <w:b/>
          <w:bCs/>
        </w:rPr>
        <w:t>Fabrizi F</w:t>
      </w:r>
      <w:r w:rsidRPr="006A140B">
        <w:rPr>
          <w:rFonts w:ascii="Book Antiqua" w:hAnsi="Book Antiqua"/>
        </w:rPr>
        <w:t xml:space="preserve">, Poordad FF, Martin P. Hepatitis C infection and the patient with end-stage renal disease. </w:t>
      </w:r>
      <w:r w:rsidRPr="006A140B">
        <w:rPr>
          <w:rFonts w:ascii="Book Antiqua" w:hAnsi="Book Antiqua"/>
          <w:i/>
          <w:iCs/>
        </w:rPr>
        <w:t>Hepatology</w:t>
      </w:r>
      <w:r w:rsidRPr="006A140B">
        <w:rPr>
          <w:rFonts w:ascii="Book Antiqua" w:hAnsi="Book Antiqua"/>
        </w:rPr>
        <w:t xml:space="preserve"> 2002; </w:t>
      </w:r>
      <w:r w:rsidRPr="006A140B">
        <w:rPr>
          <w:rFonts w:ascii="Book Antiqua" w:hAnsi="Book Antiqua"/>
          <w:b/>
          <w:bCs/>
        </w:rPr>
        <w:t>36</w:t>
      </w:r>
      <w:r w:rsidRPr="006A140B">
        <w:rPr>
          <w:rFonts w:ascii="Book Antiqua" w:hAnsi="Book Antiqua"/>
        </w:rPr>
        <w:t>: 3-10 [PMID: 12085342 DOI: 10.1053/jhep.2002.34613]</w:t>
      </w:r>
    </w:p>
    <w:p w14:paraId="3F897E7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42 </w:t>
      </w:r>
      <w:r w:rsidRPr="006A140B">
        <w:rPr>
          <w:rFonts w:ascii="Book Antiqua" w:hAnsi="Book Antiqua"/>
          <w:b/>
          <w:bCs/>
        </w:rPr>
        <w:t>Fabrizi F</w:t>
      </w:r>
      <w:r w:rsidRPr="006A140B">
        <w:rPr>
          <w:rFonts w:ascii="Book Antiqua" w:hAnsi="Book Antiqua"/>
        </w:rPr>
        <w:t xml:space="preserve">, Lunghi G, Martin P. Hepatitis B virus infection in hemodialysis: recent discoveries. </w:t>
      </w:r>
      <w:r w:rsidRPr="006A140B">
        <w:rPr>
          <w:rFonts w:ascii="Book Antiqua" w:hAnsi="Book Antiqua"/>
          <w:i/>
          <w:iCs/>
        </w:rPr>
        <w:t>J Nephrol</w:t>
      </w:r>
      <w:r w:rsidRPr="006A140B">
        <w:rPr>
          <w:rFonts w:ascii="Book Antiqua" w:hAnsi="Book Antiqua"/>
        </w:rPr>
        <w:t xml:space="preserve"> 2002; </w:t>
      </w:r>
      <w:r w:rsidRPr="006A140B">
        <w:rPr>
          <w:rFonts w:ascii="Book Antiqua" w:hAnsi="Book Antiqua"/>
          <w:b/>
          <w:bCs/>
        </w:rPr>
        <w:t>15</w:t>
      </w:r>
      <w:r w:rsidRPr="006A140B">
        <w:rPr>
          <w:rFonts w:ascii="Book Antiqua" w:hAnsi="Book Antiqua"/>
        </w:rPr>
        <w:t>: 463-468 [PMID: 12455711]</w:t>
      </w:r>
    </w:p>
    <w:p w14:paraId="18C63EE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43 </w:t>
      </w:r>
      <w:r w:rsidRPr="006A140B">
        <w:rPr>
          <w:rFonts w:ascii="Book Antiqua" w:hAnsi="Book Antiqua"/>
          <w:b/>
          <w:bCs/>
        </w:rPr>
        <w:t>Vial T</w:t>
      </w:r>
      <w:r w:rsidRPr="006A140B">
        <w:rPr>
          <w:rFonts w:ascii="Book Antiqua" w:hAnsi="Book Antiqua"/>
        </w:rPr>
        <w:t xml:space="preserve">, Descotes J. Immunosuppressive drugs and cancer. </w:t>
      </w:r>
      <w:r w:rsidRPr="006A140B">
        <w:rPr>
          <w:rFonts w:ascii="Book Antiqua" w:hAnsi="Book Antiqua"/>
          <w:i/>
          <w:iCs/>
        </w:rPr>
        <w:t>Toxicology</w:t>
      </w:r>
      <w:r w:rsidRPr="006A140B">
        <w:rPr>
          <w:rFonts w:ascii="Book Antiqua" w:hAnsi="Book Antiqua"/>
        </w:rPr>
        <w:t xml:space="preserve"> 2003; </w:t>
      </w:r>
      <w:r w:rsidRPr="006A140B">
        <w:rPr>
          <w:rFonts w:ascii="Book Antiqua" w:hAnsi="Book Antiqua"/>
          <w:b/>
          <w:bCs/>
        </w:rPr>
        <w:t>185</w:t>
      </w:r>
      <w:r w:rsidRPr="006A140B">
        <w:rPr>
          <w:rFonts w:ascii="Book Antiqua" w:hAnsi="Book Antiqua"/>
        </w:rPr>
        <w:t>: 229-240 [PMID: 12581698 DOI: 10.1016/s0300-483x(02)00612-1]</w:t>
      </w:r>
    </w:p>
    <w:p w14:paraId="0868E8D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44 </w:t>
      </w:r>
      <w:r w:rsidRPr="006A140B">
        <w:rPr>
          <w:rFonts w:ascii="Book Antiqua" w:hAnsi="Book Antiqua"/>
          <w:b/>
          <w:bCs/>
        </w:rPr>
        <w:t>Kasiske BL</w:t>
      </w:r>
      <w:r w:rsidRPr="006A140B">
        <w:rPr>
          <w:rFonts w:ascii="Book Antiqua" w:hAnsi="Book Antiqua"/>
        </w:rPr>
        <w:t xml:space="preserve">, Snyder JJ, Gilbertson DT, Wang C. Cancer after kidney transplantation in the United States. </w:t>
      </w:r>
      <w:r w:rsidRPr="006A140B">
        <w:rPr>
          <w:rFonts w:ascii="Book Antiqua" w:hAnsi="Book Antiqua"/>
          <w:i/>
          <w:iCs/>
        </w:rPr>
        <w:t>Am J Transplant</w:t>
      </w:r>
      <w:r w:rsidRPr="006A140B">
        <w:rPr>
          <w:rFonts w:ascii="Book Antiqua" w:hAnsi="Book Antiqua"/>
        </w:rPr>
        <w:t xml:space="preserve"> 2004; </w:t>
      </w:r>
      <w:r w:rsidRPr="006A140B">
        <w:rPr>
          <w:rFonts w:ascii="Book Antiqua" w:hAnsi="Book Antiqua"/>
          <w:b/>
          <w:bCs/>
        </w:rPr>
        <w:t>4</w:t>
      </w:r>
      <w:r w:rsidRPr="006A140B">
        <w:rPr>
          <w:rFonts w:ascii="Book Antiqua" w:hAnsi="Book Antiqua"/>
        </w:rPr>
        <w:t>: 905-913 [PMID: 15147424 DOI: 10.1111/j.1600-6143.2004.00450.x]</w:t>
      </w:r>
    </w:p>
    <w:p w14:paraId="3BB8177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45 </w:t>
      </w:r>
      <w:r w:rsidRPr="006A140B">
        <w:rPr>
          <w:rFonts w:ascii="Book Antiqua" w:hAnsi="Book Antiqua"/>
          <w:b/>
          <w:bCs/>
        </w:rPr>
        <w:t>Yeh SH</w:t>
      </w:r>
      <w:r w:rsidRPr="006A140B">
        <w:rPr>
          <w:rFonts w:ascii="Book Antiqua" w:hAnsi="Book Antiqua"/>
        </w:rPr>
        <w:t xml:space="preserve">, Chen PJ. Gender disparity of hepatocellular carcinoma: the roles of sex hormones. </w:t>
      </w:r>
      <w:r w:rsidRPr="006A140B">
        <w:rPr>
          <w:rFonts w:ascii="Book Antiqua" w:hAnsi="Book Antiqua"/>
          <w:i/>
          <w:iCs/>
        </w:rPr>
        <w:t>Oncology</w:t>
      </w:r>
      <w:r w:rsidRPr="006A140B">
        <w:rPr>
          <w:rFonts w:ascii="Book Antiqua" w:hAnsi="Book Antiqua"/>
        </w:rPr>
        <w:t xml:space="preserve"> 2010; </w:t>
      </w:r>
      <w:r w:rsidRPr="006A140B">
        <w:rPr>
          <w:rFonts w:ascii="Book Antiqua" w:hAnsi="Book Antiqua"/>
          <w:b/>
          <w:bCs/>
        </w:rPr>
        <w:t>78 Suppl 1</w:t>
      </w:r>
      <w:r w:rsidRPr="006A140B">
        <w:rPr>
          <w:rFonts w:ascii="Book Antiqua" w:hAnsi="Book Antiqua"/>
        </w:rPr>
        <w:t>: 172-179 [PMID: 20616601 DOI: 10.1159/000315247]</w:t>
      </w:r>
    </w:p>
    <w:p w14:paraId="2068973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46 </w:t>
      </w:r>
      <w:r w:rsidRPr="006A140B">
        <w:rPr>
          <w:rFonts w:ascii="Book Antiqua" w:hAnsi="Book Antiqua"/>
          <w:b/>
          <w:bCs/>
        </w:rPr>
        <w:t>Chiu CM</w:t>
      </w:r>
      <w:r w:rsidRPr="006A140B">
        <w:rPr>
          <w:rFonts w:ascii="Book Antiqua" w:hAnsi="Book Antiqua"/>
        </w:rPr>
        <w:t xml:space="preserve">, Yeh SH, Chen PJ, Kuo TJ, Chang CJ, Chen PJ, Yang WJ, Chen DS. Hepatitis B virus X protein enhances androgen receptor-responsive gene expression depending on androgen level. </w:t>
      </w:r>
      <w:r w:rsidRPr="006A140B">
        <w:rPr>
          <w:rFonts w:ascii="Book Antiqua" w:hAnsi="Book Antiqua"/>
          <w:i/>
          <w:iCs/>
        </w:rPr>
        <w:t>Proc Natl Acad Sci U S A</w:t>
      </w:r>
      <w:r w:rsidRPr="006A140B">
        <w:rPr>
          <w:rFonts w:ascii="Book Antiqua" w:hAnsi="Book Antiqua"/>
        </w:rPr>
        <w:t xml:space="preserve"> 2007; </w:t>
      </w:r>
      <w:r w:rsidRPr="006A140B">
        <w:rPr>
          <w:rFonts w:ascii="Book Antiqua" w:hAnsi="Book Antiqua"/>
          <w:b/>
          <w:bCs/>
        </w:rPr>
        <w:t>104</w:t>
      </w:r>
      <w:r w:rsidRPr="006A140B">
        <w:rPr>
          <w:rFonts w:ascii="Book Antiqua" w:hAnsi="Book Antiqua"/>
        </w:rPr>
        <w:t>: 2571-2578 [PMID: 17259306 DOI: 10.1073/pnas.0609498104]</w:t>
      </w:r>
    </w:p>
    <w:p w14:paraId="677D8C7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47 </w:t>
      </w:r>
      <w:r w:rsidRPr="006A140B">
        <w:rPr>
          <w:rFonts w:ascii="Book Antiqua" w:hAnsi="Book Antiqua"/>
          <w:b/>
          <w:bCs/>
        </w:rPr>
        <w:t>Yu MW</w:t>
      </w:r>
      <w:r w:rsidRPr="006A140B">
        <w:rPr>
          <w:rFonts w:ascii="Book Antiqua" w:hAnsi="Book Antiqua"/>
        </w:rPr>
        <w:t xml:space="preserve">, Cheng SW, Lin MW, Yang SY, Liaw YF, Chang HC, Hsiao TJ, Lin SM, Lee SD, Chen PJ, Liu CJ, Chen CJ. Androgen-receptor gene CAG repeats, plasma testosterone levels, and risk of hepatitis B-related hepatocellular carcinoma. </w:t>
      </w:r>
      <w:r w:rsidRPr="006A140B">
        <w:rPr>
          <w:rFonts w:ascii="Book Antiqua" w:hAnsi="Book Antiqua"/>
          <w:i/>
          <w:iCs/>
        </w:rPr>
        <w:t>J Natl Cancer Inst</w:t>
      </w:r>
      <w:r w:rsidRPr="006A140B">
        <w:rPr>
          <w:rFonts w:ascii="Book Antiqua" w:hAnsi="Book Antiqua"/>
        </w:rPr>
        <w:t xml:space="preserve"> 2000; </w:t>
      </w:r>
      <w:r w:rsidRPr="006A140B">
        <w:rPr>
          <w:rFonts w:ascii="Book Antiqua" w:hAnsi="Book Antiqua"/>
          <w:b/>
          <w:bCs/>
        </w:rPr>
        <w:t>92</w:t>
      </w:r>
      <w:r w:rsidRPr="006A140B">
        <w:rPr>
          <w:rFonts w:ascii="Book Antiqua" w:hAnsi="Book Antiqua"/>
        </w:rPr>
        <w:t>: 2023-2028 [PMID: 11121465 DOI: 10.1093/jnci/92.24.2023]</w:t>
      </w:r>
    </w:p>
    <w:p w14:paraId="5682A49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48 </w:t>
      </w:r>
      <w:r w:rsidRPr="006A140B">
        <w:rPr>
          <w:rFonts w:ascii="Book Antiqua" w:hAnsi="Book Antiqua"/>
          <w:b/>
          <w:bCs/>
        </w:rPr>
        <w:t>Naugler WE</w:t>
      </w:r>
      <w:r w:rsidRPr="006A140B">
        <w:rPr>
          <w:rFonts w:ascii="Book Antiqua" w:hAnsi="Book Antiqua"/>
        </w:rPr>
        <w:t xml:space="preserve">, Sakurai T, Kim S, Maeda S, Kim K, Elsharkawy AM, Karin M. Gender disparity in liver cancer due to sex differences in MyD88-dependent IL-6 production. </w:t>
      </w:r>
      <w:r w:rsidRPr="006A140B">
        <w:rPr>
          <w:rFonts w:ascii="Book Antiqua" w:hAnsi="Book Antiqua"/>
          <w:i/>
          <w:iCs/>
        </w:rPr>
        <w:t>Science</w:t>
      </w:r>
      <w:r w:rsidRPr="006A140B">
        <w:rPr>
          <w:rFonts w:ascii="Book Antiqua" w:hAnsi="Book Antiqua"/>
        </w:rPr>
        <w:t xml:space="preserve"> 2007; </w:t>
      </w:r>
      <w:r w:rsidRPr="006A140B">
        <w:rPr>
          <w:rFonts w:ascii="Book Antiqua" w:hAnsi="Book Antiqua"/>
          <w:b/>
          <w:bCs/>
        </w:rPr>
        <w:t>317</w:t>
      </w:r>
      <w:r w:rsidRPr="006A140B">
        <w:rPr>
          <w:rFonts w:ascii="Book Antiqua" w:hAnsi="Book Antiqua"/>
        </w:rPr>
        <w:t>: 121-124 [PMID: 17615358 DOI: 10.1126/science.1140485]</w:t>
      </w:r>
    </w:p>
    <w:p w14:paraId="6CF2371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49 </w:t>
      </w:r>
      <w:r w:rsidRPr="006A140B">
        <w:rPr>
          <w:rFonts w:ascii="Book Antiqua" w:hAnsi="Book Antiqua"/>
          <w:b/>
          <w:bCs/>
        </w:rPr>
        <w:t>Prieto J</w:t>
      </w:r>
      <w:r w:rsidRPr="006A140B">
        <w:rPr>
          <w:rFonts w:ascii="Book Antiqua" w:hAnsi="Book Antiqua"/>
        </w:rPr>
        <w:t xml:space="preserve">. Inflammation, HCC and sex: IL-6 in the centre of the triangle. </w:t>
      </w:r>
      <w:r w:rsidRPr="006A140B">
        <w:rPr>
          <w:rFonts w:ascii="Book Antiqua" w:hAnsi="Book Antiqua"/>
          <w:i/>
          <w:iCs/>
        </w:rPr>
        <w:t>J Hepatol</w:t>
      </w:r>
      <w:r w:rsidRPr="006A140B">
        <w:rPr>
          <w:rFonts w:ascii="Book Antiqua" w:hAnsi="Book Antiqua"/>
        </w:rPr>
        <w:t xml:space="preserve"> 2008; </w:t>
      </w:r>
      <w:r w:rsidRPr="006A140B">
        <w:rPr>
          <w:rFonts w:ascii="Book Antiqua" w:hAnsi="Book Antiqua"/>
          <w:b/>
          <w:bCs/>
        </w:rPr>
        <w:t>48</w:t>
      </w:r>
      <w:r w:rsidRPr="006A140B">
        <w:rPr>
          <w:rFonts w:ascii="Book Antiqua" w:hAnsi="Book Antiqua"/>
        </w:rPr>
        <w:t>: 380-381 [PMID: 18093689 DOI: 10.1016/j.jhep.2007.11.007]</w:t>
      </w:r>
    </w:p>
    <w:p w14:paraId="233914B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50 </w:t>
      </w:r>
      <w:r w:rsidRPr="006A140B">
        <w:rPr>
          <w:rFonts w:ascii="Book Antiqua" w:hAnsi="Book Antiqua"/>
          <w:b/>
          <w:bCs/>
        </w:rPr>
        <w:t>Weng PH</w:t>
      </w:r>
      <w:r w:rsidRPr="006A140B">
        <w:rPr>
          <w:rFonts w:ascii="Book Antiqua" w:hAnsi="Book Antiqua"/>
        </w:rPr>
        <w:t xml:space="preserve">, Hung KY, Huang HL, Chen JH, Sung PK, Huang KC. Cancer-specific mortality in chronic kidney disease: longitudinal follow-up of a large cohort. </w:t>
      </w:r>
      <w:r w:rsidRPr="006A140B">
        <w:rPr>
          <w:rFonts w:ascii="Book Antiqua" w:hAnsi="Book Antiqua"/>
          <w:i/>
          <w:iCs/>
        </w:rPr>
        <w:t>Clin J Am Soc Nephrol</w:t>
      </w:r>
      <w:r w:rsidRPr="006A140B">
        <w:rPr>
          <w:rFonts w:ascii="Book Antiqua" w:hAnsi="Book Antiqua"/>
        </w:rPr>
        <w:t xml:space="preserve"> 2011; </w:t>
      </w:r>
      <w:r w:rsidRPr="006A140B">
        <w:rPr>
          <w:rFonts w:ascii="Book Antiqua" w:hAnsi="Book Antiqua"/>
          <w:b/>
          <w:bCs/>
        </w:rPr>
        <w:t>6</w:t>
      </w:r>
      <w:r w:rsidRPr="006A140B">
        <w:rPr>
          <w:rFonts w:ascii="Book Antiqua" w:hAnsi="Book Antiqua"/>
        </w:rPr>
        <w:t>: 1121-1128 [PMID: 21511834 DOI: 10.2215/CJN.09011010]</w:t>
      </w:r>
    </w:p>
    <w:p w14:paraId="5FDCD83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51 </w:t>
      </w:r>
      <w:r w:rsidRPr="006A140B">
        <w:rPr>
          <w:rFonts w:ascii="Book Antiqua" w:hAnsi="Book Antiqua"/>
          <w:b/>
          <w:bCs/>
        </w:rPr>
        <w:t>Nallu A</w:t>
      </w:r>
      <w:r w:rsidRPr="006A140B">
        <w:rPr>
          <w:rFonts w:ascii="Book Antiqua" w:hAnsi="Book Antiqua"/>
        </w:rPr>
        <w:t xml:space="preserve">, Sharma S, Ramezani A, Muralidharan J, Raj D. Gut microbiome in chronic kidney disease: challenges and opportunities. </w:t>
      </w:r>
      <w:r w:rsidRPr="006A140B">
        <w:rPr>
          <w:rFonts w:ascii="Book Antiqua" w:hAnsi="Book Antiqua"/>
          <w:i/>
          <w:iCs/>
        </w:rPr>
        <w:t>Transl Res</w:t>
      </w:r>
      <w:r w:rsidRPr="006A140B">
        <w:rPr>
          <w:rFonts w:ascii="Book Antiqua" w:hAnsi="Book Antiqua"/>
        </w:rPr>
        <w:t xml:space="preserve"> 2017; </w:t>
      </w:r>
      <w:r w:rsidRPr="006A140B">
        <w:rPr>
          <w:rFonts w:ascii="Book Antiqua" w:hAnsi="Book Antiqua"/>
          <w:b/>
          <w:bCs/>
        </w:rPr>
        <w:t>179</w:t>
      </w:r>
      <w:r w:rsidRPr="006A140B">
        <w:rPr>
          <w:rFonts w:ascii="Book Antiqua" w:hAnsi="Book Antiqua"/>
        </w:rPr>
        <w:t>: 24-37 [PMID: 27187743 DOI: 10.1016/j.trsl.2016.04.007]</w:t>
      </w:r>
    </w:p>
    <w:p w14:paraId="3660B6F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52 </w:t>
      </w:r>
      <w:r w:rsidRPr="006A140B">
        <w:rPr>
          <w:rFonts w:ascii="Book Antiqua" w:hAnsi="Book Antiqua"/>
          <w:b/>
          <w:bCs/>
        </w:rPr>
        <w:t>Cigarran Guldris S</w:t>
      </w:r>
      <w:r w:rsidRPr="006A140B">
        <w:rPr>
          <w:rFonts w:ascii="Book Antiqua" w:hAnsi="Book Antiqua"/>
        </w:rPr>
        <w:t xml:space="preserve">, González Parra E, Cases Amenós A. Gut microbiota in chronic kidney disease. </w:t>
      </w:r>
      <w:r w:rsidRPr="006A140B">
        <w:rPr>
          <w:rFonts w:ascii="Book Antiqua" w:hAnsi="Book Antiqua"/>
          <w:i/>
          <w:iCs/>
        </w:rPr>
        <w:t>Nefrologia</w:t>
      </w:r>
      <w:r w:rsidRPr="006A140B">
        <w:rPr>
          <w:rFonts w:ascii="Book Antiqua" w:hAnsi="Book Antiqua"/>
        </w:rPr>
        <w:t xml:space="preserve"> 2017; </w:t>
      </w:r>
      <w:r w:rsidRPr="006A140B">
        <w:rPr>
          <w:rFonts w:ascii="Book Antiqua" w:hAnsi="Book Antiqua"/>
          <w:b/>
          <w:bCs/>
        </w:rPr>
        <w:t>37</w:t>
      </w:r>
      <w:r w:rsidRPr="006A140B">
        <w:rPr>
          <w:rFonts w:ascii="Book Antiqua" w:hAnsi="Book Antiqua"/>
        </w:rPr>
        <w:t>: 9-19 [PMID: 27553986 DOI: 10.1016/j.nefro.2016.05.008]</w:t>
      </w:r>
    </w:p>
    <w:p w14:paraId="3757DF8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53 </w:t>
      </w:r>
      <w:r w:rsidRPr="006A140B">
        <w:rPr>
          <w:rFonts w:ascii="Book Antiqua" w:hAnsi="Book Antiqua"/>
          <w:b/>
          <w:bCs/>
        </w:rPr>
        <w:t>Zitvogel L</w:t>
      </w:r>
      <w:r w:rsidRPr="006A140B">
        <w:rPr>
          <w:rFonts w:ascii="Book Antiqua" w:hAnsi="Book Antiqua"/>
        </w:rPr>
        <w:t xml:space="preserve">, Galluzzi L, Viaud S, Vétizou M, Daillère R, Merad M, Kroemer G. Cancer and the gut microbiota: an unexpected link. </w:t>
      </w:r>
      <w:r w:rsidRPr="006A140B">
        <w:rPr>
          <w:rFonts w:ascii="Book Antiqua" w:hAnsi="Book Antiqua"/>
          <w:i/>
          <w:iCs/>
        </w:rPr>
        <w:t>Sci Transl Med</w:t>
      </w:r>
      <w:r w:rsidRPr="006A140B">
        <w:rPr>
          <w:rFonts w:ascii="Book Antiqua" w:hAnsi="Book Antiqua"/>
        </w:rPr>
        <w:t xml:space="preserve"> 2015; </w:t>
      </w:r>
      <w:r w:rsidRPr="006A140B">
        <w:rPr>
          <w:rFonts w:ascii="Book Antiqua" w:hAnsi="Book Antiqua"/>
          <w:b/>
          <w:bCs/>
        </w:rPr>
        <w:t>7</w:t>
      </w:r>
      <w:r w:rsidRPr="006A140B">
        <w:rPr>
          <w:rFonts w:ascii="Book Antiqua" w:hAnsi="Book Antiqua"/>
        </w:rPr>
        <w:t>: 271ps1 [PMID: 25609166 DOI: 10.1126/scitranslmed.3010473]</w:t>
      </w:r>
    </w:p>
    <w:p w14:paraId="4127D214" w14:textId="041EF30F" w:rsidR="00495B7C" w:rsidRPr="006A140B" w:rsidRDefault="00495B7C" w:rsidP="00495B7C">
      <w:pPr>
        <w:spacing w:line="360" w:lineRule="auto"/>
        <w:jc w:val="both"/>
        <w:rPr>
          <w:rFonts w:ascii="Book Antiqua" w:hAnsi="Book Antiqua"/>
        </w:rPr>
      </w:pPr>
      <w:r w:rsidRPr="006A140B">
        <w:rPr>
          <w:rFonts w:ascii="Book Antiqua" w:hAnsi="Book Antiqua"/>
        </w:rPr>
        <w:t xml:space="preserve">54 Chemical composition of alcoholic beverages, additives and contaminants. </w:t>
      </w:r>
      <w:r w:rsidRPr="006A140B">
        <w:rPr>
          <w:rFonts w:ascii="Book Antiqua" w:hAnsi="Book Antiqua"/>
          <w:i/>
          <w:iCs/>
        </w:rPr>
        <w:t>IARC Monogr Eval Carcinog Risks Hum</w:t>
      </w:r>
      <w:r w:rsidRPr="006A140B">
        <w:rPr>
          <w:rFonts w:ascii="Book Antiqua" w:hAnsi="Book Antiqua"/>
        </w:rPr>
        <w:t xml:space="preserve"> 1988; </w:t>
      </w:r>
      <w:r w:rsidRPr="006A140B">
        <w:rPr>
          <w:rFonts w:ascii="Book Antiqua" w:hAnsi="Book Antiqua"/>
          <w:b/>
          <w:bCs/>
        </w:rPr>
        <w:t>44</w:t>
      </w:r>
      <w:r w:rsidRPr="006A140B">
        <w:rPr>
          <w:rFonts w:ascii="Book Antiqua" w:hAnsi="Book Antiqua"/>
        </w:rPr>
        <w:t>: 71-99 [PMID: 3271892]</w:t>
      </w:r>
    </w:p>
    <w:p w14:paraId="2FB3296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55 </w:t>
      </w:r>
      <w:r w:rsidRPr="006A140B">
        <w:rPr>
          <w:rFonts w:ascii="Book Antiqua" w:hAnsi="Book Antiqua"/>
          <w:b/>
          <w:bCs/>
        </w:rPr>
        <w:t>Yu LX</w:t>
      </w:r>
      <w:r w:rsidRPr="006A140B">
        <w:rPr>
          <w:rFonts w:ascii="Book Antiqua" w:hAnsi="Book Antiqua"/>
        </w:rPr>
        <w:t xml:space="preserve">, Yan HX, Liu Q, Yang W, Wu HP, Dong W, Tang L, Lin Y, He YQ, Zou SS, Wang C, Zhang HL, Cao GW, Wu MC, Wang HY. Endotoxin accumulation prevents carcinogen-induced apoptosis and promotes liver tumorigenesis in rodents. </w:t>
      </w:r>
      <w:r w:rsidRPr="006A140B">
        <w:rPr>
          <w:rFonts w:ascii="Book Antiqua" w:hAnsi="Book Antiqua"/>
          <w:i/>
          <w:iCs/>
        </w:rPr>
        <w:t>Hepatology</w:t>
      </w:r>
      <w:r w:rsidRPr="006A140B">
        <w:rPr>
          <w:rFonts w:ascii="Book Antiqua" w:hAnsi="Book Antiqua"/>
        </w:rPr>
        <w:t xml:space="preserve"> 2010; </w:t>
      </w:r>
      <w:r w:rsidRPr="006A140B">
        <w:rPr>
          <w:rFonts w:ascii="Book Antiqua" w:hAnsi="Book Antiqua"/>
          <w:b/>
          <w:bCs/>
        </w:rPr>
        <w:t>52</w:t>
      </w:r>
      <w:r w:rsidRPr="006A140B">
        <w:rPr>
          <w:rFonts w:ascii="Book Antiqua" w:hAnsi="Book Antiqua"/>
        </w:rPr>
        <w:t>: 1322-1333 [PMID: 20803560 DOI: 10.1002/hep.23845]</w:t>
      </w:r>
    </w:p>
    <w:p w14:paraId="0748099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56 </w:t>
      </w:r>
      <w:r w:rsidRPr="006A140B">
        <w:rPr>
          <w:rFonts w:ascii="Book Antiqua" w:hAnsi="Book Antiqua"/>
          <w:b/>
          <w:bCs/>
        </w:rPr>
        <w:t>Yamada S</w:t>
      </w:r>
      <w:r w:rsidRPr="006A140B">
        <w:rPr>
          <w:rFonts w:ascii="Book Antiqua" w:hAnsi="Book Antiqua"/>
        </w:rPr>
        <w:t xml:space="preserve">, Takashina Y, Watanabe M, Nagamine R, Saito Y, Kamada N, Saito H. Bile acid metabolism regulated by the gut microbiota promotes non-alcoholic steatohepatitis-associated hepatocellular carcinoma in mice. </w:t>
      </w:r>
      <w:r w:rsidRPr="006A140B">
        <w:rPr>
          <w:rFonts w:ascii="Book Antiqua" w:hAnsi="Book Antiqua"/>
          <w:i/>
          <w:iCs/>
        </w:rPr>
        <w:t>Oncotarget</w:t>
      </w:r>
      <w:r w:rsidRPr="006A140B">
        <w:rPr>
          <w:rFonts w:ascii="Book Antiqua" w:hAnsi="Book Antiqua"/>
        </w:rPr>
        <w:t xml:space="preserve"> 2018; </w:t>
      </w:r>
      <w:r w:rsidRPr="006A140B">
        <w:rPr>
          <w:rFonts w:ascii="Book Antiqua" w:hAnsi="Book Antiqua"/>
          <w:b/>
          <w:bCs/>
        </w:rPr>
        <w:t>9</w:t>
      </w:r>
      <w:r w:rsidRPr="006A140B">
        <w:rPr>
          <w:rFonts w:ascii="Book Antiqua" w:hAnsi="Book Antiqua"/>
        </w:rPr>
        <w:t>: 9925-9939 [PMID: 29515780 DOI: 10.18632/oncotarget.24066]</w:t>
      </w:r>
    </w:p>
    <w:p w14:paraId="71A5CAE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57 </w:t>
      </w:r>
      <w:r w:rsidRPr="006A140B">
        <w:rPr>
          <w:rFonts w:ascii="Book Antiqua" w:hAnsi="Book Antiqua"/>
          <w:b/>
          <w:bCs/>
        </w:rPr>
        <w:t>Ponziani FR</w:t>
      </w:r>
      <w:r w:rsidRPr="006A140B">
        <w:rPr>
          <w:rFonts w:ascii="Book Antiqua" w:hAnsi="Book Antiqua"/>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Pr="006A140B">
        <w:rPr>
          <w:rFonts w:ascii="Book Antiqua" w:hAnsi="Book Antiqua"/>
          <w:i/>
          <w:iCs/>
        </w:rPr>
        <w:t>Hepatology</w:t>
      </w:r>
      <w:r w:rsidRPr="006A140B">
        <w:rPr>
          <w:rFonts w:ascii="Book Antiqua" w:hAnsi="Book Antiqua"/>
        </w:rPr>
        <w:t xml:space="preserve"> 2019; </w:t>
      </w:r>
      <w:r w:rsidRPr="006A140B">
        <w:rPr>
          <w:rFonts w:ascii="Book Antiqua" w:hAnsi="Book Antiqua"/>
          <w:b/>
          <w:bCs/>
        </w:rPr>
        <w:t>69</w:t>
      </w:r>
      <w:r w:rsidRPr="006A140B">
        <w:rPr>
          <w:rFonts w:ascii="Book Antiqua" w:hAnsi="Book Antiqua"/>
        </w:rPr>
        <w:t>: 107-120 [PMID: 29665135 DOI: 10.1002/hep.30036]</w:t>
      </w:r>
    </w:p>
    <w:p w14:paraId="0065542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58 </w:t>
      </w:r>
      <w:r w:rsidRPr="006A140B">
        <w:rPr>
          <w:rFonts w:ascii="Book Antiqua" w:hAnsi="Book Antiqua"/>
          <w:b/>
          <w:bCs/>
        </w:rPr>
        <w:t>Schwabe RF</w:t>
      </w:r>
      <w:r w:rsidRPr="006A140B">
        <w:rPr>
          <w:rFonts w:ascii="Book Antiqua" w:hAnsi="Book Antiqua"/>
        </w:rPr>
        <w:t xml:space="preserve">, Greten TF. Gut microbiome in HCC - Mechanisms, diagnosis and therapy. </w:t>
      </w:r>
      <w:r w:rsidRPr="006A140B">
        <w:rPr>
          <w:rFonts w:ascii="Book Antiqua" w:hAnsi="Book Antiqua"/>
          <w:i/>
          <w:iCs/>
        </w:rPr>
        <w:t>J Hepatol</w:t>
      </w:r>
      <w:r w:rsidRPr="006A140B">
        <w:rPr>
          <w:rFonts w:ascii="Book Antiqua" w:hAnsi="Book Antiqua"/>
        </w:rPr>
        <w:t xml:space="preserve"> 2020; </w:t>
      </w:r>
      <w:r w:rsidRPr="006A140B">
        <w:rPr>
          <w:rFonts w:ascii="Book Antiqua" w:hAnsi="Book Antiqua"/>
          <w:b/>
          <w:bCs/>
        </w:rPr>
        <w:t>72</w:t>
      </w:r>
      <w:r w:rsidRPr="006A140B">
        <w:rPr>
          <w:rFonts w:ascii="Book Antiqua" w:hAnsi="Book Antiqua"/>
        </w:rPr>
        <w:t>: 230-238 [PMID: 31954488 DOI: 10.1016/j.jhep.2019.08.016]</w:t>
      </w:r>
    </w:p>
    <w:p w14:paraId="4A5A7FB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59 </w:t>
      </w:r>
      <w:r w:rsidRPr="006A140B">
        <w:rPr>
          <w:rFonts w:ascii="Book Antiqua" w:hAnsi="Book Antiqua"/>
          <w:b/>
          <w:bCs/>
        </w:rPr>
        <w:t>Na SY</w:t>
      </w:r>
      <w:r w:rsidRPr="006A140B">
        <w:rPr>
          <w:rFonts w:ascii="Book Antiqua" w:hAnsi="Book Antiqua"/>
        </w:rPr>
        <w:t xml:space="preserve">, Sung JY, Chang JH, Kim S, Lee HH, Park YH, Chung W, Oh KH, Jung JY. Chronic kidney disease in cancer patients: an independent predictor of cancer-specific mortality. </w:t>
      </w:r>
      <w:r w:rsidRPr="006A140B">
        <w:rPr>
          <w:rFonts w:ascii="Book Antiqua" w:hAnsi="Book Antiqua"/>
          <w:i/>
          <w:iCs/>
        </w:rPr>
        <w:t>Am J Nephrol</w:t>
      </w:r>
      <w:r w:rsidRPr="006A140B">
        <w:rPr>
          <w:rFonts w:ascii="Book Antiqua" w:hAnsi="Book Antiqua"/>
        </w:rPr>
        <w:t xml:space="preserve"> 2011; </w:t>
      </w:r>
      <w:r w:rsidRPr="006A140B">
        <w:rPr>
          <w:rFonts w:ascii="Book Antiqua" w:hAnsi="Book Antiqua"/>
          <w:b/>
          <w:bCs/>
        </w:rPr>
        <w:t>33</w:t>
      </w:r>
      <w:r w:rsidRPr="006A140B">
        <w:rPr>
          <w:rFonts w:ascii="Book Antiqua" w:hAnsi="Book Antiqua"/>
        </w:rPr>
        <w:t>: 121-130 [PMID: 21242672 DOI: 10.1159/000323740]</w:t>
      </w:r>
    </w:p>
    <w:p w14:paraId="0CE33D2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60 </w:t>
      </w:r>
      <w:r w:rsidRPr="006A140B">
        <w:rPr>
          <w:rFonts w:ascii="Book Antiqua" w:hAnsi="Book Antiqua"/>
          <w:b/>
          <w:bCs/>
        </w:rPr>
        <w:t>Erly B</w:t>
      </w:r>
      <w:r w:rsidRPr="006A140B">
        <w:rPr>
          <w:rFonts w:ascii="Book Antiqua" w:hAnsi="Book Antiqua"/>
        </w:rPr>
        <w:t xml:space="preserve">, Carey WD, Kapoor B, McKinney JM, Tam M, Wang W. Hepatorenal Syndrome: A Review of Pathophysiology and Current Treatment Options. </w:t>
      </w:r>
      <w:r w:rsidRPr="006A140B">
        <w:rPr>
          <w:rFonts w:ascii="Book Antiqua" w:hAnsi="Book Antiqua"/>
          <w:i/>
          <w:iCs/>
        </w:rPr>
        <w:t>Semin Intervent Radiol</w:t>
      </w:r>
      <w:r w:rsidRPr="006A140B">
        <w:rPr>
          <w:rFonts w:ascii="Book Antiqua" w:hAnsi="Book Antiqua"/>
        </w:rPr>
        <w:t xml:space="preserve"> 2015; </w:t>
      </w:r>
      <w:r w:rsidRPr="006A140B">
        <w:rPr>
          <w:rFonts w:ascii="Book Antiqua" w:hAnsi="Book Antiqua"/>
          <w:b/>
          <w:bCs/>
        </w:rPr>
        <w:t>32</w:t>
      </w:r>
      <w:r w:rsidRPr="006A140B">
        <w:rPr>
          <w:rFonts w:ascii="Book Antiqua" w:hAnsi="Book Antiqua"/>
        </w:rPr>
        <w:t>: 445-454 [PMID: 26622108 DOI: 10.1055/s-0035-1564794]</w:t>
      </w:r>
    </w:p>
    <w:p w14:paraId="04AD813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61 </w:t>
      </w:r>
      <w:r w:rsidRPr="006A140B">
        <w:rPr>
          <w:rFonts w:ascii="Book Antiqua" w:hAnsi="Book Antiqua"/>
          <w:b/>
          <w:bCs/>
        </w:rPr>
        <w:t>Licata A</w:t>
      </w:r>
      <w:r w:rsidRPr="006A140B">
        <w:rPr>
          <w:rFonts w:ascii="Book Antiqua" w:hAnsi="Book Antiqua"/>
        </w:rPr>
        <w:t xml:space="preserve">, Maida M, Bonaccorso A, Macaluso FS, Cappello M, Craxì A, Almasio PL. Clinical course and prognostic factors of hepatorenal syndrome: A retrospective single-center cohort study. </w:t>
      </w:r>
      <w:r w:rsidRPr="006A140B">
        <w:rPr>
          <w:rFonts w:ascii="Book Antiqua" w:hAnsi="Book Antiqua"/>
          <w:i/>
          <w:iCs/>
        </w:rPr>
        <w:t>World J Hepatol</w:t>
      </w:r>
      <w:r w:rsidRPr="006A140B">
        <w:rPr>
          <w:rFonts w:ascii="Book Antiqua" w:hAnsi="Book Antiqua"/>
        </w:rPr>
        <w:t xml:space="preserve"> 2013; </w:t>
      </w:r>
      <w:r w:rsidRPr="006A140B">
        <w:rPr>
          <w:rFonts w:ascii="Book Antiqua" w:hAnsi="Book Antiqua"/>
          <w:b/>
          <w:bCs/>
        </w:rPr>
        <w:t>5</w:t>
      </w:r>
      <w:r w:rsidRPr="006A140B">
        <w:rPr>
          <w:rFonts w:ascii="Book Antiqua" w:hAnsi="Book Antiqua"/>
        </w:rPr>
        <w:t>: 685-691 [PMID: 24432185 DOI: 10.4254/wjh.v5.i12.685]</w:t>
      </w:r>
    </w:p>
    <w:p w14:paraId="0F44085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62 </w:t>
      </w:r>
      <w:r w:rsidRPr="006A140B">
        <w:rPr>
          <w:rFonts w:ascii="Book Antiqua" w:hAnsi="Book Antiqua"/>
          <w:b/>
          <w:bCs/>
        </w:rPr>
        <w:t>D'Amico G</w:t>
      </w:r>
      <w:r w:rsidRPr="006A140B">
        <w:rPr>
          <w:rFonts w:ascii="Book Antiqua" w:hAnsi="Book Antiqua"/>
        </w:rPr>
        <w:t xml:space="preserve">, Garcia-Tsao G, Pagliaro L. Natural history and prognostic indicators of survival in cirrhosis: a systematic review of 118 studies. </w:t>
      </w:r>
      <w:r w:rsidRPr="006A140B">
        <w:rPr>
          <w:rFonts w:ascii="Book Antiqua" w:hAnsi="Book Antiqua"/>
          <w:i/>
          <w:iCs/>
        </w:rPr>
        <w:t>J Hepatol</w:t>
      </w:r>
      <w:r w:rsidRPr="006A140B">
        <w:rPr>
          <w:rFonts w:ascii="Book Antiqua" w:hAnsi="Book Antiqua"/>
        </w:rPr>
        <w:t xml:space="preserve"> 2006; </w:t>
      </w:r>
      <w:r w:rsidRPr="006A140B">
        <w:rPr>
          <w:rFonts w:ascii="Book Antiqua" w:hAnsi="Book Antiqua"/>
          <w:b/>
          <w:bCs/>
        </w:rPr>
        <w:t>44</w:t>
      </w:r>
      <w:r w:rsidRPr="006A140B">
        <w:rPr>
          <w:rFonts w:ascii="Book Antiqua" w:hAnsi="Book Antiqua"/>
        </w:rPr>
        <w:t>: 217-231 [PMID: 16298014 DOI: 10.1016/j.jhep.2005.10.013]</w:t>
      </w:r>
    </w:p>
    <w:p w14:paraId="4000726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63 </w:t>
      </w:r>
      <w:r w:rsidRPr="006A140B">
        <w:rPr>
          <w:rFonts w:ascii="Book Antiqua" w:hAnsi="Book Antiqua"/>
          <w:b/>
          <w:bCs/>
        </w:rPr>
        <w:t>Cooney TG</w:t>
      </w:r>
      <w:r w:rsidRPr="006A140B">
        <w:rPr>
          <w:rFonts w:ascii="Book Antiqua" w:hAnsi="Book Antiqua"/>
        </w:rPr>
        <w:t xml:space="preserve">, Bauer DC, Knauer CM. Portal hypertension associated with hepatocellular carcinoma with cirrhosis. </w:t>
      </w:r>
      <w:r w:rsidRPr="006A140B">
        <w:rPr>
          <w:rFonts w:ascii="Book Antiqua" w:hAnsi="Book Antiqua"/>
          <w:i/>
          <w:iCs/>
        </w:rPr>
        <w:t>Am J Gastroenterol</w:t>
      </w:r>
      <w:r w:rsidRPr="006A140B">
        <w:rPr>
          <w:rFonts w:ascii="Book Antiqua" w:hAnsi="Book Antiqua"/>
        </w:rPr>
        <w:t xml:space="preserve"> 1980; </w:t>
      </w:r>
      <w:r w:rsidRPr="006A140B">
        <w:rPr>
          <w:rFonts w:ascii="Book Antiqua" w:hAnsi="Book Antiqua"/>
          <w:b/>
          <w:bCs/>
        </w:rPr>
        <w:t>74</w:t>
      </w:r>
      <w:r w:rsidRPr="006A140B">
        <w:rPr>
          <w:rFonts w:ascii="Book Antiqua" w:hAnsi="Book Antiqua"/>
        </w:rPr>
        <w:t>: 436-438 [PMID: 6263084]</w:t>
      </w:r>
    </w:p>
    <w:p w14:paraId="6C32BFB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64 </w:t>
      </w:r>
      <w:r w:rsidRPr="006A140B">
        <w:rPr>
          <w:rFonts w:ascii="Book Antiqua" w:hAnsi="Book Antiqua"/>
          <w:b/>
          <w:bCs/>
        </w:rPr>
        <w:t>Aron M</w:t>
      </w:r>
      <w:r w:rsidRPr="006A140B">
        <w:rPr>
          <w:rFonts w:ascii="Book Antiqua" w:hAnsi="Book Antiqua"/>
        </w:rPr>
        <w:t xml:space="preserve">, Nair M, Hemal AK. Renal metastasis from primary hepatocellular carcinoma. A case report and review of the literature. </w:t>
      </w:r>
      <w:r w:rsidRPr="006A140B">
        <w:rPr>
          <w:rFonts w:ascii="Book Antiqua" w:hAnsi="Book Antiqua"/>
          <w:i/>
          <w:iCs/>
        </w:rPr>
        <w:t>Urol Int</w:t>
      </w:r>
      <w:r w:rsidRPr="006A140B">
        <w:rPr>
          <w:rFonts w:ascii="Book Antiqua" w:hAnsi="Book Antiqua"/>
        </w:rPr>
        <w:t xml:space="preserve"> 2004; </w:t>
      </w:r>
      <w:r w:rsidRPr="006A140B">
        <w:rPr>
          <w:rFonts w:ascii="Book Antiqua" w:hAnsi="Book Antiqua"/>
          <w:b/>
          <w:bCs/>
        </w:rPr>
        <w:t>73</w:t>
      </w:r>
      <w:r w:rsidRPr="006A140B">
        <w:rPr>
          <w:rFonts w:ascii="Book Antiqua" w:hAnsi="Book Antiqua"/>
        </w:rPr>
        <w:t>: 89-91 [PMID: 15263801 DOI: 10.1159/000078812]</w:t>
      </w:r>
    </w:p>
    <w:p w14:paraId="71F20D4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65 </w:t>
      </w:r>
      <w:r w:rsidRPr="006A140B">
        <w:rPr>
          <w:rFonts w:ascii="Book Antiqua" w:hAnsi="Book Antiqua"/>
          <w:b/>
          <w:bCs/>
        </w:rPr>
        <w:t>D'Antonio A</w:t>
      </w:r>
      <w:r w:rsidRPr="006A140B">
        <w:rPr>
          <w:rFonts w:ascii="Book Antiqua" w:hAnsi="Book Antiqua"/>
        </w:rPr>
        <w:t xml:space="preserve">, Caleo A, Caleo O, Addesso M, Boscaino A. Hepatocellular carcinoma metastatic to the kidney mimicking renal oncocytoma. </w:t>
      </w:r>
      <w:r w:rsidRPr="006A140B">
        <w:rPr>
          <w:rFonts w:ascii="Book Antiqua" w:hAnsi="Book Antiqua"/>
          <w:i/>
          <w:iCs/>
        </w:rPr>
        <w:t>Hepatobiliary Pancreat Dis Int</w:t>
      </w:r>
      <w:r w:rsidRPr="006A140B">
        <w:rPr>
          <w:rFonts w:ascii="Book Antiqua" w:hAnsi="Book Antiqua"/>
        </w:rPr>
        <w:t xml:space="preserve"> 2010; </w:t>
      </w:r>
      <w:r w:rsidRPr="006A140B">
        <w:rPr>
          <w:rFonts w:ascii="Book Antiqua" w:hAnsi="Book Antiqua"/>
          <w:b/>
          <w:bCs/>
        </w:rPr>
        <w:t>9</w:t>
      </w:r>
      <w:r w:rsidRPr="006A140B">
        <w:rPr>
          <w:rFonts w:ascii="Book Antiqua" w:hAnsi="Book Antiqua"/>
        </w:rPr>
        <w:t>: 550-552 [PMID: 20943467]</w:t>
      </w:r>
    </w:p>
    <w:p w14:paraId="6DF4140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66 </w:t>
      </w:r>
      <w:r w:rsidRPr="006A140B">
        <w:rPr>
          <w:rFonts w:ascii="Book Antiqua" w:hAnsi="Book Antiqua"/>
          <w:b/>
          <w:bCs/>
        </w:rPr>
        <w:t>Jang TY</w:t>
      </w:r>
      <w:r w:rsidRPr="006A140B">
        <w:rPr>
          <w:rFonts w:ascii="Book Antiqua" w:hAnsi="Book Antiqua"/>
        </w:rPr>
        <w:t xml:space="preserve">, Yeh ML. Hepatocellular carcinoma metastatic to kidney mimicking renal cell carcinoma. </w:t>
      </w:r>
      <w:r w:rsidRPr="006A140B">
        <w:rPr>
          <w:rFonts w:ascii="Book Antiqua" w:hAnsi="Book Antiqua"/>
          <w:i/>
          <w:iCs/>
        </w:rPr>
        <w:t>Kaohsiung J Med Sci</w:t>
      </w:r>
      <w:r w:rsidRPr="006A140B">
        <w:rPr>
          <w:rFonts w:ascii="Book Antiqua" w:hAnsi="Book Antiqua"/>
        </w:rPr>
        <w:t xml:space="preserve"> 2017; </w:t>
      </w:r>
      <w:r w:rsidRPr="006A140B">
        <w:rPr>
          <w:rFonts w:ascii="Book Antiqua" w:hAnsi="Book Antiqua"/>
          <w:b/>
          <w:bCs/>
        </w:rPr>
        <w:t>33</w:t>
      </w:r>
      <w:r w:rsidRPr="006A140B">
        <w:rPr>
          <w:rFonts w:ascii="Book Antiqua" w:hAnsi="Book Antiqua"/>
        </w:rPr>
        <w:t>: 161-162 [PMID: 28254120 DOI: 10.1016/j.kjms.2016.10.009]</w:t>
      </w:r>
    </w:p>
    <w:p w14:paraId="47B0B25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67 </w:t>
      </w:r>
      <w:r w:rsidRPr="006A140B">
        <w:rPr>
          <w:rFonts w:ascii="Book Antiqua" w:hAnsi="Book Antiqua"/>
          <w:b/>
          <w:bCs/>
        </w:rPr>
        <w:t>Thomas DM</w:t>
      </w:r>
      <w:r w:rsidRPr="006A140B">
        <w:rPr>
          <w:rFonts w:ascii="Book Antiqua" w:hAnsi="Book Antiqua"/>
        </w:rPr>
        <w:t xml:space="preserve">, Nasim MM, Gullick WJ, Alison MR. Immunoreactivity of transforming growth factor alpha in the normal adult gastrointestinal tract. </w:t>
      </w:r>
      <w:r w:rsidRPr="006A140B">
        <w:rPr>
          <w:rFonts w:ascii="Book Antiqua" w:hAnsi="Book Antiqua"/>
          <w:i/>
          <w:iCs/>
        </w:rPr>
        <w:t>Gut</w:t>
      </w:r>
      <w:r w:rsidRPr="006A140B">
        <w:rPr>
          <w:rFonts w:ascii="Book Antiqua" w:hAnsi="Book Antiqua"/>
        </w:rPr>
        <w:t xml:space="preserve"> 1992; </w:t>
      </w:r>
      <w:r w:rsidRPr="006A140B">
        <w:rPr>
          <w:rFonts w:ascii="Book Antiqua" w:hAnsi="Book Antiqua"/>
          <w:b/>
          <w:bCs/>
        </w:rPr>
        <w:t>33</w:t>
      </w:r>
      <w:r w:rsidRPr="006A140B">
        <w:rPr>
          <w:rFonts w:ascii="Book Antiqua" w:hAnsi="Book Antiqua"/>
        </w:rPr>
        <w:t>: 628-631 [PMID: 1612477]</w:t>
      </w:r>
    </w:p>
    <w:p w14:paraId="60B6D28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68 </w:t>
      </w:r>
      <w:r w:rsidRPr="006A140B">
        <w:rPr>
          <w:rFonts w:ascii="Book Antiqua" w:hAnsi="Book Antiqua"/>
          <w:b/>
          <w:bCs/>
        </w:rPr>
        <w:t>Pelosof LC</w:t>
      </w:r>
      <w:r w:rsidRPr="006A140B">
        <w:rPr>
          <w:rFonts w:ascii="Book Antiqua" w:hAnsi="Book Antiqua"/>
        </w:rPr>
        <w:t xml:space="preserve">, Gerber DE. Paraneoplastic syndromes: an approach to diagnosis and treatment. </w:t>
      </w:r>
      <w:r w:rsidRPr="006A140B">
        <w:rPr>
          <w:rFonts w:ascii="Book Antiqua" w:hAnsi="Book Antiqua"/>
          <w:i/>
          <w:iCs/>
        </w:rPr>
        <w:t>Mayo Clin Proc</w:t>
      </w:r>
      <w:r w:rsidRPr="006A140B">
        <w:rPr>
          <w:rFonts w:ascii="Book Antiqua" w:hAnsi="Book Antiqua"/>
        </w:rPr>
        <w:t xml:space="preserve"> 2010; </w:t>
      </w:r>
      <w:r w:rsidRPr="006A140B">
        <w:rPr>
          <w:rFonts w:ascii="Book Antiqua" w:hAnsi="Book Antiqua"/>
          <w:b/>
          <w:bCs/>
        </w:rPr>
        <w:t>85</w:t>
      </w:r>
      <w:r w:rsidRPr="006A140B">
        <w:rPr>
          <w:rFonts w:ascii="Book Antiqua" w:hAnsi="Book Antiqua"/>
        </w:rPr>
        <w:t>: 838-854 [PMID: 20810794 DOI: 10.4065/mcp.2010.0099]</w:t>
      </w:r>
    </w:p>
    <w:p w14:paraId="60B768D9" w14:textId="0A07227E" w:rsidR="00495B7C" w:rsidRPr="006A140B" w:rsidRDefault="00495B7C" w:rsidP="00495B7C">
      <w:pPr>
        <w:spacing w:line="360" w:lineRule="auto"/>
        <w:jc w:val="both"/>
        <w:rPr>
          <w:rFonts w:ascii="Book Antiqua" w:hAnsi="Book Antiqua"/>
          <w:lang w:val="pt-BR"/>
        </w:rPr>
      </w:pPr>
      <w:r w:rsidRPr="006A140B">
        <w:rPr>
          <w:rFonts w:ascii="Book Antiqua" w:hAnsi="Book Antiqua"/>
        </w:rPr>
        <w:t xml:space="preserve">69 </w:t>
      </w:r>
      <w:r w:rsidRPr="006A140B">
        <w:rPr>
          <w:rFonts w:ascii="Book Antiqua" w:hAnsi="Book Antiqua"/>
          <w:b/>
          <w:bCs/>
        </w:rPr>
        <w:t>Hyun HS</w:t>
      </w:r>
      <w:r w:rsidRPr="006A140B">
        <w:rPr>
          <w:rFonts w:ascii="Book Antiqua" w:hAnsi="Book Antiqua"/>
        </w:rPr>
        <w:t xml:space="preserve">, Park PG, Kim JC, Hong KT, Kang HJ, Park KD, Shin HY, Kang HG, Ha IS, Cheong HI. A Case of Severe Hypercalcemia Causing Acute Kidney Injury: An Unusual Presentation of Acute Lymphoblastic Leukemia. </w:t>
      </w:r>
      <w:r w:rsidRPr="006A140B">
        <w:rPr>
          <w:rFonts w:ascii="Book Antiqua" w:hAnsi="Book Antiqua"/>
          <w:i/>
          <w:iCs/>
          <w:lang w:val="pt-BR"/>
        </w:rPr>
        <w:t>Child Kidney Dis</w:t>
      </w:r>
      <w:r w:rsidRPr="006A140B">
        <w:rPr>
          <w:rFonts w:ascii="Book Antiqua" w:hAnsi="Book Antiqua"/>
          <w:lang w:val="pt-BR"/>
        </w:rPr>
        <w:t xml:space="preserve"> 2017; </w:t>
      </w:r>
      <w:r w:rsidRPr="006A140B">
        <w:rPr>
          <w:rFonts w:ascii="Book Antiqua" w:hAnsi="Book Antiqua"/>
          <w:b/>
          <w:bCs/>
          <w:lang w:val="pt-BR"/>
        </w:rPr>
        <w:t>21</w:t>
      </w:r>
      <w:r w:rsidRPr="006A140B">
        <w:rPr>
          <w:rFonts w:ascii="Book Antiqua" w:hAnsi="Book Antiqua"/>
          <w:lang w:val="pt-BR"/>
        </w:rPr>
        <w:t>: 21-25 [DOI: 10.3339/jkspn.2017.21.1.21]</w:t>
      </w:r>
    </w:p>
    <w:p w14:paraId="773E2492" w14:textId="77777777" w:rsidR="00495B7C" w:rsidRPr="006A140B" w:rsidRDefault="00495B7C" w:rsidP="00495B7C">
      <w:pPr>
        <w:spacing w:line="360" w:lineRule="auto"/>
        <w:jc w:val="both"/>
        <w:rPr>
          <w:rFonts w:ascii="Book Antiqua" w:hAnsi="Book Antiqua"/>
        </w:rPr>
      </w:pPr>
      <w:r w:rsidRPr="006A140B">
        <w:rPr>
          <w:rFonts w:ascii="Book Antiqua" w:hAnsi="Book Antiqua"/>
          <w:lang w:val="pt-BR"/>
        </w:rPr>
        <w:t xml:space="preserve">70 </w:t>
      </w:r>
      <w:r w:rsidRPr="006A140B">
        <w:rPr>
          <w:rFonts w:ascii="Book Antiqua" w:hAnsi="Book Antiqua"/>
          <w:b/>
          <w:bCs/>
          <w:lang w:val="pt-BR"/>
        </w:rPr>
        <w:t>Moysés-Neto M</w:t>
      </w:r>
      <w:r w:rsidRPr="006A140B">
        <w:rPr>
          <w:rFonts w:ascii="Book Antiqua" w:hAnsi="Book Antiqua"/>
          <w:lang w:val="pt-BR"/>
        </w:rPr>
        <w:t xml:space="preserve">, Guimarães FM, Ayoub FH, Vieira-Neto OM, Costa JA, Dantas M. Acute renal failure and hypercalcemia. </w:t>
      </w:r>
      <w:r w:rsidRPr="006A140B">
        <w:rPr>
          <w:rFonts w:ascii="Book Antiqua" w:hAnsi="Book Antiqua"/>
          <w:i/>
          <w:iCs/>
        </w:rPr>
        <w:t>Ren Fail</w:t>
      </w:r>
      <w:r w:rsidRPr="006A140B">
        <w:rPr>
          <w:rFonts w:ascii="Book Antiqua" w:hAnsi="Book Antiqua"/>
        </w:rPr>
        <w:t xml:space="preserve"> 2006; </w:t>
      </w:r>
      <w:r w:rsidRPr="006A140B">
        <w:rPr>
          <w:rFonts w:ascii="Book Antiqua" w:hAnsi="Book Antiqua"/>
          <w:b/>
          <w:bCs/>
        </w:rPr>
        <w:t>28</w:t>
      </w:r>
      <w:r w:rsidRPr="006A140B">
        <w:rPr>
          <w:rFonts w:ascii="Book Antiqua" w:hAnsi="Book Antiqua"/>
        </w:rPr>
        <w:t>: 153-159 [PMID: 16538974 DOI: 10.1080/08860220500531005]</w:t>
      </w:r>
    </w:p>
    <w:p w14:paraId="260DE9C7" w14:textId="77777777" w:rsidR="00495B7C" w:rsidRPr="006A140B" w:rsidRDefault="00495B7C" w:rsidP="00495B7C">
      <w:pPr>
        <w:spacing w:line="360" w:lineRule="auto"/>
        <w:jc w:val="both"/>
        <w:rPr>
          <w:rFonts w:ascii="Book Antiqua" w:hAnsi="Book Antiqua"/>
          <w:lang w:val="pt-BR"/>
        </w:rPr>
      </w:pPr>
      <w:r w:rsidRPr="006A140B">
        <w:rPr>
          <w:rFonts w:ascii="Book Antiqua" w:hAnsi="Book Antiqua"/>
        </w:rPr>
        <w:t xml:space="preserve">71 </w:t>
      </w:r>
      <w:r w:rsidRPr="006A140B">
        <w:rPr>
          <w:rFonts w:ascii="Book Antiqua" w:hAnsi="Book Antiqua"/>
          <w:b/>
          <w:bCs/>
        </w:rPr>
        <w:t>Yen TC</w:t>
      </w:r>
      <w:r w:rsidRPr="006A140B">
        <w:rPr>
          <w:rFonts w:ascii="Book Antiqua" w:hAnsi="Book Antiqua"/>
        </w:rPr>
        <w:t xml:space="preserve">, Hwang SJ, Wang CC, Lee SD, Yeh SH. Hypercalcemia and parathyroid hormone-related protein in hepatocellular carcinoma. </w:t>
      </w:r>
      <w:r w:rsidRPr="006A140B">
        <w:rPr>
          <w:rFonts w:ascii="Book Antiqua" w:hAnsi="Book Antiqua"/>
          <w:i/>
          <w:iCs/>
          <w:lang w:val="pt-BR"/>
        </w:rPr>
        <w:t>Liver</w:t>
      </w:r>
      <w:r w:rsidRPr="006A140B">
        <w:rPr>
          <w:rFonts w:ascii="Book Antiqua" w:hAnsi="Book Antiqua"/>
          <w:lang w:val="pt-BR"/>
        </w:rPr>
        <w:t xml:space="preserve"> 1993; </w:t>
      </w:r>
      <w:r w:rsidRPr="006A140B">
        <w:rPr>
          <w:rFonts w:ascii="Book Antiqua" w:hAnsi="Book Antiqua"/>
          <w:b/>
          <w:bCs/>
          <w:lang w:val="pt-BR"/>
        </w:rPr>
        <w:t>13</w:t>
      </w:r>
      <w:r w:rsidRPr="006A140B">
        <w:rPr>
          <w:rFonts w:ascii="Book Antiqua" w:hAnsi="Book Antiqua"/>
          <w:lang w:val="pt-BR"/>
        </w:rPr>
        <w:t>: 311-315 [PMID: 8295494 DOI: 10.1111/j.1600-0676.1993.tb00651.x]</w:t>
      </w:r>
    </w:p>
    <w:p w14:paraId="7ECE5121" w14:textId="77777777" w:rsidR="00495B7C" w:rsidRPr="006A140B" w:rsidRDefault="00495B7C" w:rsidP="00495B7C">
      <w:pPr>
        <w:spacing w:line="360" w:lineRule="auto"/>
        <w:jc w:val="both"/>
        <w:rPr>
          <w:rFonts w:ascii="Book Antiqua" w:hAnsi="Book Antiqua"/>
        </w:rPr>
      </w:pPr>
      <w:r w:rsidRPr="006A140B">
        <w:rPr>
          <w:rFonts w:ascii="Book Antiqua" w:hAnsi="Book Antiqua"/>
          <w:lang w:val="pt-BR"/>
        </w:rPr>
        <w:t xml:space="preserve">72 </w:t>
      </w:r>
      <w:r w:rsidRPr="006A140B">
        <w:rPr>
          <w:rFonts w:ascii="Book Antiqua" w:hAnsi="Book Antiqua"/>
          <w:b/>
          <w:bCs/>
          <w:lang w:val="pt-BR"/>
        </w:rPr>
        <w:t>Leone N</w:t>
      </w:r>
      <w:r w:rsidRPr="006A140B">
        <w:rPr>
          <w:rFonts w:ascii="Book Antiqua" w:hAnsi="Book Antiqua"/>
          <w:lang w:val="pt-BR"/>
        </w:rPr>
        <w:t xml:space="preserve">, Debernardi-Venon W, Marzano A, Massari M, Rizzetto M. Hypercalcaemia secondary to hepatocellular carcinoma. </w:t>
      </w:r>
      <w:r w:rsidRPr="006A140B">
        <w:rPr>
          <w:rFonts w:ascii="Book Antiqua" w:hAnsi="Book Antiqua"/>
          <w:i/>
          <w:iCs/>
        </w:rPr>
        <w:t>Ital J Gastroenterol Hepatol</w:t>
      </w:r>
      <w:r w:rsidRPr="006A140B">
        <w:rPr>
          <w:rFonts w:ascii="Book Antiqua" w:hAnsi="Book Antiqua"/>
        </w:rPr>
        <w:t xml:space="preserve"> 1999; </w:t>
      </w:r>
      <w:r w:rsidRPr="006A140B">
        <w:rPr>
          <w:rFonts w:ascii="Book Antiqua" w:hAnsi="Book Antiqua"/>
          <w:b/>
          <w:bCs/>
        </w:rPr>
        <w:t>31</w:t>
      </w:r>
      <w:r w:rsidRPr="006A140B">
        <w:rPr>
          <w:rFonts w:ascii="Book Antiqua" w:hAnsi="Book Antiqua"/>
        </w:rPr>
        <w:t>: 604-606 [PMID: 10604102]</w:t>
      </w:r>
    </w:p>
    <w:p w14:paraId="4C0B570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73 </w:t>
      </w:r>
      <w:r w:rsidRPr="006A140B">
        <w:rPr>
          <w:rFonts w:ascii="Book Antiqua" w:hAnsi="Book Antiqua"/>
          <w:b/>
          <w:bCs/>
        </w:rPr>
        <w:t>Kwon HJ</w:t>
      </w:r>
      <w:r w:rsidRPr="006A140B">
        <w:rPr>
          <w:rFonts w:ascii="Book Antiqua" w:hAnsi="Book Antiqua"/>
        </w:rPr>
        <w:t xml:space="preserve">, Kim JW, Kim H, Choi Y, Ahn S. Combined Hepatocellular Carcinoma and Neuroendocrine Carcinoma with Ectopic Secretion of Parathyroid Hormone: A Case Report and Review of the Literature. </w:t>
      </w:r>
      <w:r w:rsidRPr="006A140B">
        <w:rPr>
          <w:rFonts w:ascii="Book Antiqua" w:hAnsi="Book Antiqua"/>
          <w:i/>
          <w:iCs/>
        </w:rPr>
        <w:t>J Pathol Transl Med</w:t>
      </w:r>
      <w:r w:rsidRPr="006A140B">
        <w:rPr>
          <w:rFonts w:ascii="Book Antiqua" w:hAnsi="Book Antiqua"/>
        </w:rPr>
        <w:t xml:space="preserve"> 2018; </w:t>
      </w:r>
      <w:r w:rsidRPr="006A140B">
        <w:rPr>
          <w:rFonts w:ascii="Book Antiqua" w:hAnsi="Book Antiqua"/>
          <w:b/>
          <w:bCs/>
        </w:rPr>
        <w:t>52</w:t>
      </w:r>
      <w:r w:rsidRPr="006A140B">
        <w:rPr>
          <w:rFonts w:ascii="Book Antiqua" w:hAnsi="Book Antiqua"/>
        </w:rPr>
        <w:t>: 232-237 [PMID: 29794961 DOI: 10.4132/jptm.2018.05.17]</w:t>
      </w:r>
    </w:p>
    <w:p w14:paraId="6A165AB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74 </w:t>
      </w:r>
      <w:r w:rsidRPr="006A140B">
        <w:rPr>
          <w:rFonts w:ascii="Book Antiqua" w:hAnsi="Book Antiqua"/>
          <w:b/>
          <w:bCs/>
        </w:rPr>
        <w:t>Jimi S</w:t>
      </w:r>
      <w:r w:rsidRPr="006A140B">
        <w:rPr>
          <w:rFonts w:ascii="Book Antiqua" w:hAnsi="Book Antiqua"/>
        </w:rPr>
        <w:t xml:space="preserve">, Uchiyama M, Takaki A, Suzumiya J, Hara S. Mechanisms of cell death induced by cadmium and arsenic. </w:t>
      </w:r>
      <w:r w:rsidRPr="006A140B">
        <w:rPr>
          <w:rFonts w:ascii="Book Antiqua" w:hAnsi="Book Antiqua"/>
          <w:i/>
          <w:iCs/>
        </w:rPr>
        <w:t>Ann N Y Acad Sci</w:t>
      </w:r>
      <w:r w:rsidRPr="006A140B">
        <w:rPr>
          <w:rFonts w:ascii="Book Antiqua" w:hAnsi="Book Antiqua"/>
        </w:rPr>
        <w:t xml:space="preserve"> 2004; </w:t>
      </w:r>
      <w:r w:rsidRPr="006A140B">
        <w:rPr>
          <w:rFonts w:ascii="Book Antiqua" w:hAnsi="Book Antiqua"/>
          <w:b/>
          <w:bCs/>
        </w:rPr>
        <w:t>1011</w:t>
      </w:r>
      <w:r w:rsidRPr="006A140B">
        <w:rPr>
          <w:rFonts w:ascii="Book Antiqua" w:hAnsi="Book Antiqua"/>
        </w:rPr>
        <w:t>: 325-331 [PMID: 15126309 DOI: 10.1007/978-3-662-41088-2_32]</w:t>
      </w:r>
    </w:p>
    <w:p w14:paraId="76A3210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75 </w:t>
      </w:r>
      <w:r w:rsidRPr="006A140B">
        <w:rPr>
          <w:rFonts w:ascii="Book Antiqua" w:hAnsi="Book Antiqua"/>
          <w:b/>
          <w:bCs/>
        </w:rPr>
        <w:t>Johri N</w:t>
      </w:r>
      <w:r w:rsidRPr="006A140B">
        <w:rPr>
          <w:rFonts w:ascii="Book Antiqua" w:hAnsi="Book Antiqua"/>
        </w:rPr>
        <w:t xml:space="preserve">, Jacquillet G, Unwin R. Heavy metal poisoning: the effects of cadmium on the kidney. </w:t>
      </w:r>
      <w:r w:rsidRPr="006A140B">
        <w:rPr>
          <w:rFonts w:ascii="Book Antiqua" w:hAnsi="Book Antiqua"/>
          <w:i/>
          <w:iCs/>
        </w:rPr>
        <w:t>Biometals</w:t>
      </w:r>
      <w:r w:rsidRPr="006A140B">
        <w:rPr>
          <w:rFonts w:ascii="Book Antiqua" w:hAnsi="Book Antiqua"/>
        </w:rPr>
        <w:t xml:space="preserve"> 2010; </w:t>
      </w:r>
      <w:r w:rsidRPr="006A140B">
        <w:rPr>
          <w:rFonts w:ascii="Book Antiqua" w:hAnsi="Book Antiqua"/>
          <w:b/>
          <w:bCs/>
        </w:rPr>
        <w:t>23</w:t>
      </w:r>
      <w:r w:rsidRPr="006A140B">
        <w:rPr>
          <w:rFonts w:ascii="Book Antiqua" w:hAnsi="Book Antiqua"/>
        </w:rPr>
        <w:t>: 783-792 [PMID: 20354761 DOI: 10.1007/s10534-010-9328-y]</w:t>
      </w:r>
    </w:p>
    <w:p w14:paraId="6B360D3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76 </w:t>
      </w:r>
      <w:r w:rsidRPr="006A140B">
        <w:rPr>
          <w:rFonts w:ascii="Book Antiqua" w:hAnsi="Book Antiqua"/>
          <w:b/>
          <w:bCs/>
        </w:rPr>
        <w:t>Cheng YY</w:t>
      </w:r>
      <w:r w:rsidRPr="006A140B">
        <w:rPr>
          <w:rFonts w:ascii="Book Antiqua" w:hAnsi="Book Antiqua"/>
        </w:rPr>
        <w:t xml:space="preserve">, Huang NC, Chang YT, Sung JM, Shen KH, Tsai CC, Guo HR. Associations between arsenic in drinking water and the progression of chronic kidney disease: A nationwide study in Taiwan. </w:t>
      </w:r>
      <w:r w:rsidRPr="006A140B">
        <w:rPr>
          <w:rFonts w:ascii="Book Antiqua" w:hAnsi="Book Antiqua"/>
          <w:i/>
          <w:iCs/>
        </w:rPr>
        <w:t>J Hazard Mater</w:t>
      </w:r>
      <w:r w:rsidRPr="006A140B">
        <w:rPr>
          <w:rFonts w:ascii="Book Antiqua" w:hAnsi="Book Antiqua"/>
        </w:rPr>
        <w:t xml:space="preserve"> 2017; </w:t>
      </w:r>
      <w:r w:rsidRPr="006A140B">
        <w:rPr>
          <w:rFonts w:ascii="Book Antiqua" w:hAnsi="Book Antiqua"/>
          <w:b/>
          <w:bCs/>
        </w:rPr>
        <w:t>321</w:t>
      </w:r>
      <w:r w:rsidRPr="006A140B">
        <w:rPr>
          <w:rFonts w:ascii="Book Antiqua" w:hAnsi="Book Antiqua"/>
        </w:rPr>
        <w:t>: 432-439 [PMID: 27669384 DOI: 10.1016/j.jhazmat.2016.09.032]</w:t>
      </w:r>
    </w:p>
    <w:p w14:paraId="13A6A9F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77 </w:t>
      </w:r>
      <w:r w:rsidRPr="006A140B">
        <w:rPr>
          <w:rFonts w:ascii="Book Antiqua" w:hAnsi="Book Antiqua"/>
          <w:b/>
          <w:bCs/>
        </w:rPr>
        <w:t>Satarug S</w:t>
      </w:r>
      <w:r w:rsidRPr="006A140B">
        <w:rPr>
          <w:rFonts w:ascii="Book Antiqua" w:hAnsi="Book Antiqua"/>
        </w:rPr>
        <w:t xml:space="preserve">. Long-term exposure to cadmium in food and cigarette smoke, liver effects and hepatocellular carcinoma. </w:t>
      </w:r>
      <w:r w:rsidRPr="006A140B">
        <w:rPr>
          <w:rFonts w:ascii="Book Antiqua" w:hAnsi="Book Antiqua"/>
          <w:i/>
          <w:iCs/>
        </w:rPr>
        <w:t>Curr Drug Metab</w:t>
      </w:r>
      <w:r w:rsidRPr="006A140B">
        <w:rPr>
          <w:rFonts w:ascii="Book Antiqua" w:hAnsi="Book Antiqua"/>
        </w:rPr>
        <w:t xml:space="preserve"> 2012; </w:t>
      </w:r>
      <w:r w:rsidRPr="006A140B">
        <w:rPr>
          <w:rFonts w:ascii="Book Antiqua" w:hAnsi="Book Antiqua"/>
          <w:b/>
          <w:bCs/>
        </w:rPr>
        <w:t>13</w:t>
      </w:r>
      <w:r w:rsidRPr="006A140B">
        <w:rPr>
          <w:rFonts w:ascii="Book Antiqua" w:hAnsi="Book Antiqua"/>
        </w:rPr>
        <w:t>: 257-271 [PMID: 22455552 DOI: 10.2174/138920012799320446]</w:t>
      </w:r>
    </w:p>
    <w:p w14:paraId="7BD3233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78 </w:t>
      </w:r>
      <w:r w:rsidRPr="006A140B">
        <w:rPr>
          <w:rFonts w:ascii="Book Antiqua" w:hAnsi="Book Antiqua"/>
          <w:b/>
          <w:bCs/>
        </w:rPr>
        <w:t>Shen J</w:t>
      </w:r>
      <w:r w:rsidRPr="006A140B">
        <w:rPr>
          <w:rFonts w:ascii="Book Antiqua" w:hAnsi="Book Antiqua"/>
        </w:rPr>
        <w:t xml:space="preserve">, Wanibuchi H, Salim EI, Wei M, Kinoshita A, Yoshida K, Endo G, Fukushima S. Liver tumorigenicity of trimethylarsine oxide in male Fischer 344 rats--association with oxidative DNA damage and enhanced cell proliferation. </w:t>
      </w:r>
      <w:r w:rsidRPr="006A140B">
        <w:rPr>
          <w:rFonts w:ascii="Book Antiqua" w:hAnsi="Book Antiqua"/>
          <w:i/>
          <w:iCs/>
        </w:rPr>
        <w:t>Carcinogenesis</w:t>
      </w:r>
      <w:r w:rsidRPr="006A140B">
        <w:rPr>
          <w:rFonts w:ascii="Book Antiqua" w:hAnsi="Book Antiqua"/>
        </w:rPr>
        <w:t xml:space="preserve"> 2003; </w:t>
      </w:r>
      <w:r w:rsidRPr="006A140B">
        <w:rPr>
          <w:rFonts w:ascii="Book Antiqua" w:hAnsi="Book Antiqua"/>
          <w:b/>
          <w:bCs/>
        </w:rPr>
        <w:t>24</w:t>
      </w:r>
      <w:r w:rsidRPr="006A140B">
        <w:rPr>
          <w:rFonts w:ascii="Book Antiqua" w:hAnsi="Book Antiqua"/>
        </w:rPr>
        <w:t>: 1827-1835 [PMID: 12919961 DOI: 10.1093/carcin/bgg143]</w:t>
      </w:r>
    </w:p>
    <w:p w14:paraId="6DFC22C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79 </w:t>
      </w:r>
      <w:r w:rsidRPr="006A140B">
        <w:rPr>
          <w:rFonts w:ascii="Book Antiqua" w:hAnsi="Book Antiqua"/>
          <w:b/>
          <w:bCs/>
        </w:rPr>
        <w:t>Yamamoto S</w:t>
      </w:r>
      <w:r w:rsidRPr="006A140B">
        <w:rPr>
          <w:rFonts w:ascii="Book Antiqua" w:hAnsi="Book Antiqua"/>
        </w:rPr>
        <w:t xml:space="preserve">, Konishi Y, Matsuda T, Murai T, Shibata MA, Matsui-Yuasa I, Otani S, Kuroda K, Endo G, Fukushima S. Cancer induction by an organic arsenic compound, dimethylarsinic acid (cacodylic acid), in F344/DuCrj rats after pretreatment with five carcinogens. </w:t>
      </w:r>
      <w:r w:rsidRPr="006A140B">
        <w:rPr>
          <w:rFonts w:ascii="Book Antiqua" w:hAnsi="Book Antiqua"/>
          <w:i/>
          <w:iCs/>
        </w:rPr>
        <w:t>Cancer Res</w:t>
      </w:r>
      <w:r w:rsidRPr="006A140B">
        <w:rPr>
          <w:rFonts w:ascii="Book Antiqua" w:hAnsi="Book Antiqua"/>
        </w:rPr>
        <w:t xml:space="preserve"> 1995; </w:t>
      </w:r>
      <w:r w:rsidRPr="006A140B">
        <w:rPr>
          <w:rFonts w:ascii="Book Antiqua" w:hAnsi="Book Antiqua"/>
          <w:b/>
          <w:bCs/>
        </w:rPr>
        <w:t>55</w:t>
      </w:r>
      <w:r w:rsidRPr="006A140B">
        <w:rPr>
          <w:rFonts w:ascii="Book Antiqua" w:hAnsi="Book Antiqua"/>
        </w:rPr>
        <w:t>: 1271-1276 [PMID: 7882321]</w:t>
      </w:r>
    </w:p>
    <w:p w14:paraId="7CCEB53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80 </w:t>
      </w:r>
      <w:r w:rsidRPr="006A140B">
        <w:rPr>
          <w:rFonts w:ascii="Book Antiqua" w:hAnsi="Book Antiqua"/>
          <w:b/>
          <w:bCs/>
        </w:rPr>
        <w:t>Chiu HF</w:t>
      </w:r>
      <w:r w:rsidRPr="006A140B">
        <w:rPr>
          <w:rFonts w:ascii="Book Antiqua" w:hAnsi="Book Antiqua"/>
        </w:rPr>
        <w:t xml:space="preserve">, Ho SC, Wang LY, Wu TN, Yang CY. Does arsenic exposure increase the risk for liver cancer? </w:t>
      </w:r>
      <w:r w:rsidRPr="006A140B">
        <w:rPr>
          <w:rFonts w:ascii="Book Antiqua" w:hAnsi="Book Antiqua"/>
          <w:i/>
          <w:iCs/>
        </w:rPr>
        <w:t>J Toxicol Environ Health A</w:t>
      </w:r>
      <w:r w:rsidRPr="006A140B">
        <w:rPr>
          <w:rFonts w:ascii="Book Antiqua" w:hAnsi="Book Antiqua"/>
        </w:rPr>
        <w:t xml:space="preserve"> 2004; </w:t>
      </w:r>
      <w:r w:rsidRPr="006A140B">
        <w:rPr>
          <w:rFonts w:ascii="Book Antiqua" w:hAnsi="Book Antiqua"/>
          <w:b/>
          <w:bCs/>
        </w:rPr>
        <w:t>67</w:t>
      </w:r>
      <w:r w:rsidRPr="006A140B">
        <w:rPr>
          <w:rFonts w:ascii="Book Antiqua" w:hAnsi="Book Antiqua"/>
        </w:rPr>
        <w:t>: 1491-1500 [PMID: 15371225 DOI: 10.1080/15287390490486806]</w:t>
      </w:r>
    </w:p>
    <w:p w14:paraId="210AA3C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81 </w:t>
      </w:r>
      <w:r w:rsidRPr="006A140B">
        <w:rPr>
          <w:rFonts w:ascii="Book Antiqua" w:hAnsi="Book Antiqua"/>
          <w:b/>
          <w:bCs/>
        </w:rPr>
        <w:t>Smith AH</w:t>
      </w:r>
      <w:r w:rsidRPr="006A140B">
        <w:rPr>
          <w:rFonts w:ascii="Book Antiqua" w:hAnsi="Book Antiqua"/>
        </w:rPr>
        <w:t xml:space="preserve">, Hopenhayn-Rich C, Bates MN, Goeden HM, Hertz-Picciotto I, Duggan HM, Wood R, Kosnett MJ, Smith MT. Cancer risks from arsenic in drinking water. </w:t>
      </w:r>
      <w:r w:rsidRPr="006A140B">
        <w:rPr>
          <w:rFonts w:ascii="Book Antiqua" w:hAnsi="Book Antiqua"/>
          <w:i/>
          <w:iCs/>
        </w:rPr>
        <w:t>Environ Health Perspect</w:t>
      </w:r>
      <w:r w:rsidRPr="006A140B">
        <w:rPr>
          <w:rFonts w:ascii="Book Antiqua" w:hAnsi="Book Antiqua"/>
        </w:rPr>
        <w:t xml:space="preserve"> 1992; </w:t>
      </w:r>
      <w:r w:rsidRPr="006A140B">
        <w:rPr>
          <w:rFonts w:ascii="Book Antiqua" w:hAnsi="Book Antiqua"/>
          <w:b/>
          <w:bCs/>
        </w:rPr>
        <w:t>97</w:t>
      </w:r>
      <w:r w:rsidRPr="006A140B">
        <w:rPr>
          <w:rFonts w:ascii="Book Antiqua" w:hAnsi="Book Antiqua"/>
        </w:rPr>
        <w:t>: 259-267 [PMID: 1396465 DOI: 10.1289/ehp.9297259]</w:t>
      </w:r>
    </w:p>
    <w:p w14:paraId="30399D9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82 </w:t>
      </w:r>
      <w:r w:rsidRPr="006A140B">
        <w:rPr>
          <w:rFonts w:ascii="Book Antiqua" w:hAnsi="Book Antiqua"/>
          <w:b/>
          <w:bCs/>
        </w:rPr>
        <w:t>Liu J</w:t>
      </w:r>
      <w:r w:rsidRPr="006A140B">
        <w:rPr>
          <w:rFonts w:ascii="Book Antiqua" w:hAnsi="Book Antiqua"/>
        </w:rPr>
        <w:t xml:space="preserve">, Waalkes MP. Liver is a target of arsenic carcinogenesis. </w:t>
      </w:r>
      <w:r w:rsidRPr="006A140B">
        <w:rPr>
          <w:rFonts w:ascii="Book Antiqua" w:hAnsi="Book Antiqua"/>
          <w:i/>
          <w:iCs/>
        </w:rPr>
        <w:t>Toxicol Sci</w:t>
      </w:r>
      <w:r w:rsidRPr="006A140B">
        <w:rPr>
          <w:rFonts w:ascii="Book Antiqua" w:hAnsi="Book Antiqua"/>
        </w:rPr>
        <w:t xml:space="preserve"> 2008; </w:t>
      </w:r>
      <w:r w:rsidRPr="006A140B">
        <w:rPr>
          <w:rFonts w:ascii="Book Antiqua" w:hAnsi="Book Antiqua"/>
          <w:b/>
          <w:bCs/>
        </w:rPr>
        <w:t>105</w:t>
      </w:r>
      <w:r w:rsidRPr="006A140B">
        <w:rPr>
          <w:rFonts w:ascii="Book Antiqua" w:hAnsi="Book Antiqua"/>
        </w:rPr>
        <w:t>: 24-32 [PMID: 18566022 DOI: 10.1093/toxsci/kfn120]</w:t>
      </w:r>
    </w:p>
    <w:p w14:paraId="2D5FD90A" w14:textId="77777777" w:rsidR="00495B7C" w:rsidRPr="006A140B" w:rsidRDefault="00495B7C" w:rsidP="00495B7C">
      <w:pPr>
        <w:spacing w:line="360" w:lineRule="auto"/>
        <w:jc w:val="both"/>
        <w:rPr>
          <w:rFonts w:ascii="Book Antiqua" w:hAnsi="Book Antiqua"/>
          <w:lang w:val="pt-BR"/>
        </w:rPr>
      </w:pPr>
      <w:r w:rsidRPr="006A140B">
        <w:rPr>
          <w:rFonts w:ascii="Book Antiqua" w:hAnsi="Book Antiqua"/>
        </w:rPr>
        <w:t xml:space="preserve">83 </w:t>
      </w:r>
      <w:r w:rsidRPr="006A140B">
        <w:rPr>
          <w:rFonts w:ascii="Book Antiqua" w:hAnsi="Book Antiqua"/>
          <w:b/>
          <w:bCs/>
        </w:rPr>
        <w:t>Sabolić I</w:t>
      </w:r>
      <w:r w:rsidRPr="006A140B">
        <w:rPr>
          <w:rFonts w:ascii="Book Antiqua" w:hAnsi="Book Antiqua"/>
        </w:rPr>
        <w:t xml:space="preserve">, Breljak D, Skarica M, Herak-Kramberger CM. Role of metallothionein in cadmium traffic and toxicity in kidneys and other mammalian organs. </w:t>
      </w:r>
      <w:r w:rsidRPr="006A140B">
        <w:rPr>
          <w:rFonts w:ascii="Book Antiqua" w:hAnsi="Book Antiqua"/>
          <w:i/>
          <w:iCs/>
          <w:lang w:val="pt-BR"/>
        </w:rPr>
        <w:t>Biometals</w:t>
      </w:r>
      <w:r w:rsidRPr="006A140B">
        <w:rPr>
          <w:rFonts w:ascii="Book Antiqua" w:hAnsi="Book Antiqua"/>
          <w:lang w:val="pt-BR"/>
        </w:rPr>
        <w:t xml:space="preserve"> 2010; </w:t>
      </w:r>
      <w:r w:rsidRPr="006A140B">
        <w:rPr>
          <w:rFonts w:ascii="Book Antiqua" w:hAnsi="Book Antiqua"/>
          <w:b/>
          <w:bCs/>
          <w:lang w:val="pt-BR"/>
        </w:rPr>
        <w:t>23</w:t>
      </w:r>
      <w:r w:rsidRPr="006A140B">
        <w:rPr>
          <w:rFonts w:ascii="Book Antiqua" w:hAnsi="Book Antiqua"/>
          <w:lang w:val="pt-BR"/>
        </w:rPr>
        <w:t>: 897-926 [PMID: 20549307 DOI: 10.1007/s10534-010-9351-z]</w:t>
      </w:r>
    </w:p>
    <w:p w14:paraId="51162208" w14:textId="77777777" w:rsidR="00495B7C" w:rsidRPr="006A140B" w:rsidRDefault="00495B7C" w:rsidP="00495B7C">
      <w:pPr>
        <w:spacing w:line="360" w:lineRule="auto"/>
        <w:jc w:val="both"/>
        <w:rPr>
          <w:rFonts w:ascii="Book Antiqua" w:hAnsi="Book Antiqua"/>
        </w:rPr>
      </w:pPr>
      <w:r w:rsidRPr="006A140B">
        <w:rPr>
          <w:rFonts w:ascii="Book Antiqua" w:hAnsi="Book Antiqua"/>
          <w:lang w:val="pt-BR"/>
        </w:rPr>
        <w:t xml:space="preserve">84 </w:t>
      </w:r>
      <w:r w:rsidRPr="006A140B">
        <w:rPr>
          <w:rFonts w:ascii="Book Antiqua" w:hAnsi="Book Antiqua"/>
          <w:b/>
          <w:bCs/>
          <w:lang w:val="pt-BR"/>
        </w:rPr>
        <w:t>Souza V</w:t>
      </w:r>
      <w:r w:rsidRPr="006A140B">
        <w:rPr>
          <w:rFonts w:ascii="Book Antiqua" w:hAnsi="Book Antiqua"/>
          <w:lang w:val="pt-BR"/>
        </w:rPr>
        <w:t xml:space="preserve">, Escobar Md Mdel C, Gómez-Quiroz L, Bucio L, Hernández E, Cossio EC, Gutiérrez-Ruiz MC. </w:t>
      </w:r>
      <w:r w:rsidRPr="006A140B">
        <w:rPr>
          <w:rFonts w:ascii="Book Antiqua" w:hAnsi="Book Antiqua"/>
        </w:rPr>
        <w:t xml:space="preserve">Acute cadmium exposure enhances AP-1 DNA binding and induces cytokines expression and heat shock protein 70 in HepG2 cells. </w:t>
      </w:r>
      <w:r w:rsidRPr="006A140B">
        <w:rPr>
          <w:rFonts w:ascii="Book Antiqua" w:hAnsi="Book Antiqua"/>
          <w:i/>
          <w:iCs/>
        </w:rPr>
        <w:t>Toxicology</w:t>
      </w:r>
      <w:r w:rsidRPr="006A140B">
        <w:rPr>
          <w:rFonts w:ascii="Book Antiqua" w:hAnsi="Book Antiqua"/>
        </w:rPr>
        <w:t xml:space="preserve"> 2004; </w:t>
      </w:r>
      <w:r w:rsidRPr="006A140B">
        <w:rPr>
          <w:rFonts w:ascii="Book Antiqua" w:hAnsi="Book Antiqua"/>
          <w:b/>
          <w:bCs/>
        </w:rPr>
        <w:t>197</w:t>
      </w:r>
      <w:r w:rsidRPr="006A140B">
        <w:rPr>
          <w:rFonts w:ascii="Book Antiqua" w:hAnsi="Book Antiqua"/>
        </w:rPr>
        <w:t>: 213-228 [PMID: 15033544 DOI: 10.1016/j.tox.2004.01.006]</w:t>
      </w:r>
    </w:p>
    <w:p w14:paraId="59247F1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85 </w:t>
      </w:r>
      <w:r w:rsidRPr="006A140B">
        <w:rPr>
          <w:rFonts w:ascii="Book Antiqua" w:hAnsi="Book Antiqua"/>
          <w:b/>
          <w:bCs/>
        </w:rPr>
        <w:t>Hong F</w:t>
      </w:r>
      <w:r w:rsidRPr="006A140B">
        <w:rPr>
          <w:rFonts w:ascii="Book Antiqua" w:hAnsi="Book Antiqua"/>
        </w:rPr>
        <w:t xml:space="preserve">, Si C, Gao P, Cederbaum AI, Xiong H, Lu Y. The role of CYP2A5 in liver injury and fibrosis: chemical-specific difference. </w:t>
      </w:r>
      <w:r w:rsidRPr="006A140B">
        <w:rPr>
          <w:rFonts w:ascii="Book Antiqua" w:hAnsi="Book Antiqua"/>
          <w:i/>
          <w:iCs/>
        </w:rPr>
        <w:t>Naunyn Schmiedebergs Arch Pharmacol</w:t>
      </w:r>
      <w:r w:rsidRPr="006A140B">
        <w:rPr>
          <w:rFonts w:ascii="Book Antiqua" w:hAnsi="Book Antiqua"/>
        </w:rPr>
        <w:t xml:space="preserve"> 2016; </w:t>
      </w:r>
      <w:r w:rsidRPr="006A140B">
        <w:rPr>
          <w:rFonts w:ascii="Book Antiqua" w:hAnsi="Book Antiqua"/>
          <w:b/>
          <w:bCs/>
        </w:rPr>
        <w:t>389</w:t>
      </w:r>
      <w:r w:rsidRPr="006A140B">
        <w:rPr>
          <w:rFonts w:ascii="Book Antiqua" w:hAnsi="Book Antiqua"/>
        </w:rPr>
        <w:t>: 33-43 [PMID: 26363552 DOI: 10.1007/s00210-015-1172-8]</w:t>
      </w:r>
    </w:p>
    <w:p w14:paraId="682CB50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86 </w:t>
      </w:r>
      <w:r w:rsidRPr="006A140B">
        <w:rPr>
          <w:rFonts w:ascii="Book Antiqua" w:hAnsi="Book Antiqua"/>
          <w:b/>
          <w:bCs/>
        </w:rPr>
        <w:t>Baker JR</w:t>
      </w:r>
      <w:r w:rsidRPr="006A140B">
        <w:rPr>
          <w:rFonts w:ascii="Book Antiqua" w:hAnsi="Book Antiqua"/>
        </w:rPr>
        <w:t xml:space="preserve">, Edwards RJ, Lasker JM, Moore MR, Satarug S. Renal and hepatic accumulation of cadmium and lead in the expression of CYP4F2 and CYP2E1. </w:t>
      </w:r>
      <w:r w:rsidRPr="006A140B">
        <w:rPr>
          <w:rFonts w:ascii="Book Antiqua" w:hAnsi="Book Antiqua"/>
          <w:i/>
          <w:iCs/>
        </w:rPr>
        <w:t>Toxicol Lett</w:t>
      </w:r>
      <w:r w:rsidRPr="006A140B">
        <w:rPr>
          <w:rFonts w:ascii="Book Antiqua" w:hAnsi="Book Antiqua"/>
        </w:rPr>
        <w:t xml:space="preserve"> 2005; </w:t>
      </w:r>
      <w:r w:rsidRPr="006A140B">
        <w:rPr>
          <w:rFonts w:ascii="Book Antiqua" w:hAnsi="Book Antiqua"/>
          <w:b/>
          <w:bCs/>
        </w:rPr>
        <w:t>159</w:t>
      </w:r>
      <w:r w:rsidRPr="006A140B">
        <w:rPr>
          <w:rFonts w:ascii="Book Antiqua" w:hAnsi="Book Antiqua"/>
        </w:rPr>
        <w:t>: 182-191 [PMID: 15994032 DOI: 10.1016/j.toxlet.2005.05.016]</w:t>
      </w:r>
    </w:p>
    <w:p w14:paraId="1629AA4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87 </w:t>
      </w:r>
      <w:r w:rsidRPr="006A140B">
        <w:rPr>
          <w:rFonts w:ascii="Book Antiqua" w:hAnsi="Book Antiqua"/>
          <w:b/>
          <w:bCs/>
        </w:rPr>
        <w:t>Baker JR</w:t>
      </w:r>
      <w:r w:rsidRPr="006A140B">
        <w:rPr>
          <w:rFonts w:ascii="Book Antiqua" w:hAnsi="Book Antiqua"/>
        </w:rPr>
        <w:t xml:space="preserve">, Satarug S, Reilly PE, Edwards RJ, Ariyoshi N, Kamataki T, Moore MR, Williams DJ. Relationships between non-occupational cadmium exposure and expression of nine cytochrome P450 forms in human liver and kidney cortex samples. </w:t>
      </w:r>
      <w:r w:rsidRPr="006A140B">
        <w:rPr>
          <w:rFonts w:ascii="Book Antiqua" w:hAnsi="Book Antiqua"/>
          <w:i/>
          <w:iCs/>
        </w:rPr>
        <w:t>Biochem Pharmacol</w:t>
      </w:r>
      <w:r w:rsidRPr="006A140B">
        <w:rPr>
          <w:rFonts w:ascii="Book Antiqua" w:hAnsi="Book Antiqua"/>
        </w:rPr>
        <w:t xml:space="preserve"> 2001; </w:t>
      </w:r>
      <w:r w:rsidRPr="006A140B">
        <w:rPr>
          <w:rFonts w:ascii="Book Antiqua" w:hAnsi="Book Antiqua"/>
          <w:b/>
          <w:bCs/>
        </w:rPr>
        <w:t>62</w:t>
      </w:r>
      <w:r w:rsidRPr="006A140B">
        <w:rPr>
          <w:rFonts w:ascii="Book Antiqua" w:hAnsi="Book Antiqua"/>
        </w:rPr>
        <w:t>: 713-721 [PMID: 11551516 DOI: 10.1016/s0006-2952(01)00716-x]</w:t>
      </w:r>
    </w:p>
    <w:p w14:paraId="5777473B" w14:textId="2C15FEFE" w:rsidR="00495B7C" w:rsidRPr="006A140B" w:rsidRDefault="00495B7C" w:rsidP="00495B7C">
      <w:pPr>
        <w:spacing w:line="360" w:lineRule="auto"/>
        <w:jc w:val="both"/>
        <w:rPr>
          <w:rFonts w:ascii="Book Antiqua" w:hAnsi="Book Antiqua"/>
        </w:rPr>
      </w:pPr>
      <w:r w:rsidRPr="006A140B">
        <w:rPr>
          <w:rFonts w:ascii="Book Antiqua" w:hAnsi="Book Antiqua"/>
        </w:rPr>
        <w:t>88 Hepatocellular Carcinoma in Relation to Occupational and Environmental Heavy metals Exposure.</w:t>
      </w:r>
      <w:r w:rsidR="00886362" w:rsidRPr="006A140B">
        <w:rPr>
          <w:rFonts w:ascii="Book Antiqua" w:hAnsi="Book Antiqua"/>
        </w:rPr>
        <w:t xml:space="preserve"> </w:t>
      </w:r>
      <w:r w:rsidR="00886362" w:rsidRPr="006A140B">
        <w:rPr>
          <w:rFonts w:ascii="Book Antiqua" w:hAnsi="Book Antiqua"/>
          <w:i/>
          <w:iCs/>
        </w:rPr>
        <w:t>Eur</w:t>
      </w:r>
      <w:r w:rsidRPr="006A140B">
        <w:rPr>
          <w:rFonts w:ascii="Book Antiqua" w:hAnsi="Book Antiqua"/>
        </w:rPr>
        <w:t xml:space="preserve"> </w:t>
      </w:r>
      <w:r w:rsidRPr="006A140B">
        <w:rPr>
          <w:rFonts w:ascii="Book Antiqua" w:hAnsi="Book Antiqua"/>
          <w:i/>
          <w:iCs/>
        </w:rPr>
        <w:t>J Community Med</w:t>
      </w:r>
      <w:r w:rsidRPr="006A140B">
        <w:rPr>
          <w:rFonts w:ascii="Book Antiqua" w:hAnsi="Book Antiqua"/>
        </w:rPr>
        <w:t xml:space="preserve"> 2015; </w:t>
      </w:r>
      <w:r w:rsidRPr="006A140B">
        <w:rPr>
          <w:rFonts w:ascii="Book Antiqua" w:hAnsi="Book Antiqua"/>
          <w:b/>
          <w:bCs/>
        </w:rPr>
        <w:t>33</w:t>
      </w:r>
      <w:r w:rsidRPr="006A140B">
        <w:rPr>
          <w:rFonts w:ascii="Book Antiqua" w:hAnsi="Book Antiqua"/>
        </w:rPr>
        <w:t>: 33-46 [DOI: 10.21608/ejcm.2015.714]</w:t>
      </w:r>
    </w:p>
    <w:p w14:paraId="15F4748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89 </w:t>
      </w:r>
      <w:r w:rsidRPr="006A140B">
        <w:rPr>
          <w:rFonts w:ascii="Book Antiqua" w:hAnsi="Book Antiqua"/>
          <w:b/>
          <w:bCs/>
        </w:rPr>
        <w:t>Li H</w:t>
      </w:r>
      <w:r w:rsidRPr="006A140B">
        <w:rPr>
          <w:rFonts w:ascii="Book Antiqua" w:hAnsi="Book Antiqua"/>
        </w:rPr>
        <w:t xml:space="preserve">, Xing L, Zhang M, Wang J, Zheng N. The Toxic Effects of Aflatoxin B1 and Aflatoxin M1 on Kidney through Regulating L-Proline and Downstream Apoptosis. </w:t>
      </w:r>
      <w:r w:rsidRPr="006A140B">
        <w:rPr>
          <w:rFonts w:ascii="Book Antiqua" w:hAnsi="Book Antiqua"/>
          <w:i/>
          <w:iCs/>
        </w:rPr>
        <w:t>Biomed Res Int</w:t>
      </w:r>
      <w:r w:rsidRPr="006A140B">
        <w:rPr>
          <w:rFonts w:ascii="Book Antiqua" w:hAnsi="Book Antiqua"/>
        </w:rPr>
        <w:t xml:space="preserve"> 2018; </w:t>
      </w:r>
      <w:r w:rsidRPr="006A140B">
        <w:rPr>
          <w:rFonts w:ascii="Book Antiqua" w:hAnsi="Book Antiqua"/>
          <w:b/>
          <w:bCs/>
        </w:rPr>
        <w:t>2018</w:t>
      </w:r>
      <w:r w:rsidRPr="006A140B">
        <w:rPr>
          <w:rFonts w:ascii="Book Antiqua" w:hAnsi="Book Antiqua"/>
        </w:rPr>
        <w:t>: 9074861 [PMID: 30159329 DOI: 10.1155/2018/9074861]</w:t>
      </w:r>
    </w:p>
    <w:p w14:paraId="5E28486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90 </w:t>
      </w:r>
      <w:r w:rsidRPr="006A140B">
        <w:rPr>
          <w:rFonts w:ascii="Book Antiqua" w:hAnsi="Book Antiqua"/>
          <w:b/>
          <w:bCs/>
        </w:rPr>
        <w:t>Kew MC</w:t>
      </w:r>
      <w:r w:rsidRPr="006A140B">
        <w:rPr>
          <w:rFonts w:ascii="Book Antiqua" w:hAnsi="Book Antiqua"/>
        </w:rPr>
        <w:t xml:space="preserve">. Aflatoxins as a cause of hepatocellular carcinoma. </w:t>
      </w:r>
      <w:r w:rsidRPr="006A140B">
        <w:rPr>
          <w:rFonts w:ascii="Book Antiqua" w:hAnsi="Book Antiqua"/>
          <w:i/>
          <w:iCs/>
        </w:rPr>
        <w:t>J Gastrointestin Liver Dis</w:t>
      </w:r>
      <w:r w:rsidRPr="006A140B">
        <w:rPr>
          <w:rFonts w:ascii="Book Antiqua" w:hAnsi="Book Antiqua"/>
        </w:rPr>
        <w:t xml:space="preserve"> 2013; </w:t>
      </w:r>
      <w:r w:rsidRPr="006A140B">
        <w:rPr>
          <w:rFonts w:ascii="Book Antiqua" w:hAnsi="Book Antiqua"/>
          <w:b/>
          <w:bCs/>
        </w:rPr>
        <w:t>22</w:t>
      </w:r>
      <w:r w:rsidRPr="006A140B">
        <w:rPr>
          <w:rFonts w:ascii="Book Antiqua" w:hAnsi="Book Antiqua"/>
        </w:rPr>
        <w:t>: 305-310 [PMID: 24078988]</w:t>
      </w:r>
    </w:p>
    <w:p w14:paraId="4A6F331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91 </w:t>
      </w:r>
      <w:r w:rsidRPr="006A140B">
        <w:rPr>
          <w:rFonts w:ascii="Book Antiqua" w:hAnsi="Book Antiqua"/>
          <w:b/>
          <w:bCs/>
        </w:rPr>
        <w:t>Wu HC</w:t>
      </w:r>
      <w:r w:rsidRPr="006A140B">
        <w:rPr>
          <w:rFonts w:ascii="Book Antiqua" w:hAnsi="Book Antiqua"/>
        </w:rPr>
        <w:t xml:space="preserve">, Santella R. The role of aflatoxins in hepatocellular carcinoma. </w:t>
      </w:r>
      <w:r w:rsidRPr="006A140B">
        <w:rPr>
          <w:rFonts w:ascii="Book Antiqua" w:hAnsi="Book Antiqua"/>
          <w:i/>
          <w:iCs/>
        </w:rPr>
        <w:t>Hepat Mon</w:t>
      </w:r>
      <w:r w:rsidRPr="006A140B">
        <w:rPr>
          <w:rFonts w:ascii="Book Antiqua" w:hAnsi="Book Antiqua"/>
        </w:rPr>
        <w:t xml:space="preserve"> 2012; </w:t>
      </w:r>
      <w:r w:rsidRPr="006A140B">
        <w:rPr>
          <w:rFonts w:ascii="Book Antiqua" w:hAnsi="Book Antiqua"/>
          <w:b/>
          <w:bCs/>
        </w:rPr>
        <w:t>12</w:t>
      </w:r>
      <w:r w:rsidRPr="006A140B">
        <w:rPr>
          <w:rFonts w:ascii="Book Antiqua" w:hAnsi="Book Antiqua"/>
        </w:rPr>
        <w:t>: e7238 [PMID: 23162603 DOI: 10.5812/hepatmon.7238]</w:t>
      </w:r>
    </w:p>
    <w:p w14:paraId="2708141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92 </w:t>
      </w:r>
      <w:r w:rsidRPr="006A140B">
        <w:rPr>
          <w:rFonts w:ascii="Book Antiqua" w:hAnsi="Book Antiqua"/>
          <w:b/>
          <w:bCs/>
        </w:rPr>
        <w:t>Reginster F</w:t>
      </w:r>
      <w:r w:rsidRPr="006A140B">
        <w:rPr>
          <w:rFonts w:ascii="Book Antiqua" w:hAnsi="Book Antiqua"/>
        </w:rPr>
        <w:t xml:space="preserve">, Jadoul M, van Ypersele de Strihou C. Chinese herbs nephropathy presentation, natural history and fate after transplantation. </w:t>
      </w:r>
      <w:r w:rsidRPr="006A140B">
        <w:rPr>
          <w:rFonts w:ascii="Book Antiqua" w:hAnsi="Book Antiqua"/>
          <w:i/>
          <w:iCs/>
        </w:rPr>
        <w:t>Nephrol Dial Transplant</w:t>
      </w:r>
      <w:r w:rsidRPr="006A140B">
        <w:rPr>
          <w:rFonts w:ascii="Book Antiqua" w:hAnsi="Book Antiqua"/>
        </w:rPr>
        <w:t xml:space="preserve"> 1997; </w:t>
      </w:r>
      <w:r w:rsidRPr="006A140B">
        <w:rPr>
          <w:rFonts w:ascii="Book Antiqua" w:hAnsi="Book Antiqua"/>
          <w:b/>
          <w:bCs/>
        </w:rPr>
        <w:t>12</w:t>
      </w:r>
      <w:r w:rsidRPr="006A140B">
        <w:rPr>
          <w:rFonts w:ascii="Book Antiqua" w:hAnsi="Book Antiqua"/>
        </w:rPr>
        <w:t>: 81-86 [PMID: 9027778 DOI: 10.1093/ndt/12.1.81]</w:t>
      </w:r>
    </w:p>
    <w:p w14:paraId="7BF746D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93 </w:t>
      </w:r>
      <w:r w:rsidRPr="006A140B">
        <w:rPr>
          <w:rFonts w:ascii="Book Antiqua" w:hAnsi="Book Antiqua"/>
          <w:b/>
          <w:bCs/>
        </w:rPr>
        <w:t>Lord GM</w:t>
      </w:r>
      <w:r w:rsidRPr="006A140B">
        <w:rPr>
          <w:rFonts w:ascii="Book Antiqua" w:hAnsi="Book Antiqua"/>
        </w:rPr>
        <w:t xml:space="preserve">, Tagore R, Cook T, Gower P, Pusey CD. Nephropathy caused by Chinese herbs in the UK. </w:t>
      </w:r>
      <w:r w:rsidRPr="006A140B">
        <w:rPr>
          <w:rFonts w:ascii="Book Antiqua" w:hAnsi="Book Antiqua"/>
          <w:i/>
          <w:iCs/>
        </w:rPr>
        <w:t>Lancet</w:t>
      </w:r>
      <w:r w:rsidRPr="006A140B">
        <w:rPr>
          <w:rFonts w:ascii="Book Antiqua" w:hAnsi="Book Antiqua"/>
        </w:rPr>
        <w:t xml:space="preserve"> 1999; </w:t>
      </w:r>
      <w:r w:rsidRPr="006A140B">
        <w:rPr>
          <w:rFonts w:ascii="Book Antiqua" w:hAnsi="Book Antiqua"/>
          <w:b/>
          <w:bCs/>
        </w:rPr>
        <w:t>354</w:t>
      </w:r>
      <w:r w:rsidRPr="006A140B">
        <w:rPr>
          <w:rFonts w:ascii="Book Antiqua" w:hAnsi="Book Antiqua"/>
        </w:rPr>
        <w:t>: 481-482 [PMID: 10465175 DOI: 10.1016/S0140-6736(99)03380-2]</w:t>
      </w:r>
    </w:p>
    <w:p w14:paraId="58657E7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94 </w:t>
      </w:r>
      <w:r w:rsidRPr="006A140B">
        <w:rPr>
          <w:rFonts w:ascii="Book Antiqua" w:hAnsi="Book Antiqua"/>
          <w:b/>
          <w:bCs/>
        </w:rPr>
        <w:t>Lord GM</w:t>
      </w:r>
      <w:r w:rsidRPr="006A140B">
        <w:rPr>
          <w:rFonts w:ascii="Book Antiqua" w:hAnsi="Book Antiqua"/>
        </w:rPr>
        <w:t xml:space="preserve">, Cook T, Arlt VM, Schmeiser HH, Williams G, Pusey CD. Urothelial malignant disease and Chinese herbal nephropathy. </w:t>
      </w:r>
      <w:r w:rsidRPr="006A140B">
        <w:rPr>
          <w:rFonts w:ascii="Book Antiqua" w:hAnsi="Book Antiqua"/>
          <w:i/>
          <w:iCs/>
        </w:rPr>
        <w:t>Lancet</w:t>
      </w:r>
      <w:r w:rsidRPr="006A140B">
        <w:rPr>
          <w:rFonts w:ascii="Book Antiqua" w:hAnsi="Book Antiqua"/>
        </w:rPr>
        <w:t xml:space="preserve"> 2001; </w:t>
      </w:r>
      <w:r w:rsidRPr="006A140B">
        <w:rPr>
          <w:rFonts w:ascii="Book Antiqua" w:hAnsi="Book Antiqua"/>
          <w:b/>
          <w:bCs/>
        </w:rPr>
        <w:t>358</w:t>
      </w:r>
      <w:r w:rsidRPr="006A140B">
        <w:rPr>
          <w:rFonts w:ascii="Book Antiqua" w:hAnsi="Book Antiqua"/>
        </w:rPr>
        <w:t>: 1515-1516 [PMID: 11705569 DOI: 10.1016/s0140-6736(01)06576-x]</w:t>
      </w:r>
    </w:p>
    <w:p w14:paraId="48B0BB3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95 </w:t>
      </w:r>
      <w:r w:rsidRPr="006A140B">
        <w:rPr>
          <w:rFonts w:ascii="Book Antiqua" w:hAnsi="Book Antiqua"/>
          <w:b/>
          <w:bCs/>
        </w:rPr>
        <w:t>Mei N</w:t>
      </w:r>
      <w:r w:rsidRPr="006A140B">
        <w:rPr>
          <w:rFonts w:ascii="Book Antiqua" w:hAnsi="Book Antiqua"/>
        </w:rPr>
        <w:t xml:space="preserve">, Arlt VM, Phillips DH, Heflich RH, Chen T. DNA adduct formation and mutation induction by aristolochic acid in rat kidney and liver. </w:t>
      </w:r>
      <w:r w:rsidRPr="006A140B">
        <w:rPr>
          <w:rFonts w:ascii="Book Antiqua" w:hAnsi="Book Antiqua"/>
          <w:i/>
          <w:iCs/>
        </w:rPr>
        <w:t>Mutat Res</w:t>
      </w:r>
      <w:r w:rsidRPr="006A140B">
        <w:rPr>
          <w:rFonts w:ascii="Book Antiqua" w:hAnsi="Book Antiqua"/>
        </w:rPr>
        <w:t xml:space="preserve"> 2006; </w:t>
      </w:r>
      <w:r w:rsidRPr="006A140B">
        <w:rPr>
          <w:rFonts w:ascii="Book Antiqua" w:hAnsi="Book Antiqua"/>
          <w:b/>
          <w:bCs/>
        </w:rPr>
        <w:t>602</w:t>
      </w:r>
      <w:r w:rsidRPr="006A140B">
        <w:rPr>
          <w:rFonts w:ascii="Book Antiqua" w:hAnsi="Book Antiqua"/>
        </w:rPr>
        <w:t>: 83-91 [PMID: 17010389 DOI: 10.1016/j.mrfmmm.2006.08.004]</w:t>
      </w:r>
    </w:p>
    <w:p w14:paraId="3F0C45F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96 </w:t>
      </w:r>
      <w:r w:rsidRPr="006A140B">
        <w:rPr>
          <w:rFonts w:ascii="Book Antiqua" w:hAnsi="Book Antiqua"/>
          <w:b/>
          <w:bCs/>
        </w:rPr>
        <w:t>Ng AWT</w:t>
      </w:r>
      <w:r w:rsidRPr="006A140B">
        <w:rPr>
          <w:rFonts w:ascii="Book Antiqua" w:hAnsi="Book Antiqua"/>
        </w:rPr>
        <w:t xml:space="preserve">, Poon SL, Huang MN, Lim JQ, Boot A, Yu W, Suzuki Y, Thangaraju S, Ng CCY, Tan P, Pang ST, Huang HY, Yu MC, Lee PH, Hsieh SY, Chang AY, Teh BT, Rozen SG. Aristolochic acids and their derivatives are widely implicated in liver cancers in Taiwan and throughout Asia. </w:t>
      </w:r>
      <w:r w:rsidRPr="006A140B">
        <w:rPr>
          <w:rFonts w:ascii="Book Antiqua" w:hAnsi="Book Antiqua"/>
          <w:i/>
          <w:iCs/>
        </w:rPr>
        <w:t>Sci Transl Med</w:t>
      </w:r>
      <w:r w:rsidRPr="006A140B">
        <w:rPr>
          <w:rFonts w:ascii="Book Antiqua" w:hAnsi="Book Antiqua"/>
        </w:rPr>
        <w:t xml:space="preserve"> 2017; </w:t>
      </w:r>
      <w:r w:rsidRPr="006A140B">
        <w:rPr>
          <w:rFonts w:ascii="Book Antiqua" w:hAnsi="Book Antiqua"/>
          <w:b/>
          <w:bCs/>
        </w:rPr>
        <w:t>9</w:t>
      </w:r>
      <w:r w:rsidRPr="006A140B">
        <w:rPr>
          <w:rFonts w:ascii="Book Antiqua" w:hAnsi="Book Antiqua"/>
        </w:rPr>
        <w:t xml:space="preserve"> [PMID: 29046434 DOI: 10.1126/scitranslmed.aan6446]</w:t>
      </w:r>
    </w:p>
    <w:p w14:paraId="54E3F12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97 </w:t>
      </w:r>
      <w:r w:rsidRPr="006A140B">
        <w:rPr>
          <w:rFonts w:ascii="Book Antiqua" w:hAnsi="Book Antiqua"/>
          <w:b/>
          <w:bCs/>
        </w:rPr>
        <w:t>Nault JC</w:t>
      </w:r>
      <w:r w:rsidRPr="006A140B">
        <w:rPr>
          <w:rFonts w:ascii="Book Antiqua" w:hAnsi="Book Antiqua"/>
        </w:rPr>
        <w:t xml:space="preserve">, Letouzé E. Mutational Processes in Hepatocellular Carcinoma: The Story of Aristolochic Acid. </w:t>
      </w:r>
      <w:r w:rsidRPr="006A140B">
        <w:rPr>
          <w:rFonts w:ascii="Book Antiqua" w:hAnsi="Book Antiqua"/>
          <w:i/>
          <w:iCs/>
        </w:rPr>
        <w:t>Semin Liver Dis</w:t>
      </w:r>
      <w:r w:rsidRPr="006A140B">
        <w:rPr>
          <w:rFonts w:ascii="Book Antiqua" w:hAnsi="Book Antiqua"/>
        </w:rPr>
        <w:t xml:space="preserve"> 2019; </w:t>
      </w:r>
      <w:r w:rsidRPr="006A140B">
        <w:rPr>
          <w:rFonts w:ascii="Book Antiqua" w:hAnsi="Book Antiqua"/>
          <w:b/>
          <w:bCs/>
        </w:rPr>
        <w:t>39</w:t>
      </w:r>
      <w:r w:rsidRPr="006A140B">
        <w:rPr>
          <w:rFonts w:ascii="Book Antiqua" w:hAnsi="Book Antiqua"/>
        </w:rPr>
        <w:t>: 334-340 [PMID: 31041788 DOI: 10.1055/s-0039-1685516]</w:t>
      </w:r>
    </w:p>
    <w:p w14:paraId="47A79E1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98 </w:t>
      </w:r>
      <w:r w:rsidRPr="006A140B">
        <w:rPr>
          <w:rFonts w:ascii="Book Antiqua" w:hAnsi="Book Antiqua"/>
          <w:b/>
          <w:bCs/>
        </w:rPr>
        <w:t>Shi J</w:t>
      </w:r>
      <w:r w:rsidRPr="006A140B">
        <w:rPr>
          <w:rFonts w:ascii="Book Antiqua" w:hAnsi="Book Antiqua"/>
        </w:rPr>
        <w:t xml:space="preserve">, Zhu L, Liu S, Xie WF. A meta-analysis of case-control studies on the combined effect of hepatitis B and C virus infections in causing hepatocellular carcinoma in China. </w:t>
      </w:r>
      <w:r w:rsidRPr="006A140B">
        <w:rPr>
          <w:rFonts w:ascii="Book Antiqua" w:hAnsi="Book Antiqua"/>
          <w:i/>
          <w:iCs/>
        </w:rPr>
        <w:t>Br J Cancer</w:t>
      </w:r>
      <w:r w:rsidRPr="006A140B">
        <w:rPr>
          <w:rFonts w:ascii="Book Antiqua" w:hAnsi="Book Antiqua"/>
        </w:rPr>
        <w:t xml:space="preserve"> 2005; </w:t>
      </w:r>
      <w:r w:rsidRPr="006A140B">
        <w:rPr>
          <w:rFonts w:ascii="Book Antiqua" w:hAnsi="Book Antiqua"/>
          <w:b/>
          <w:bCs/>
        </w:rPr>
        <w:t>92</w:t>
      </w:r>
      <w:r w:rsidRPr="006A140B">
        <w:rPr>
          <w:rFonts w:ascii="Book Antiqua" w:hAnsi="Book Antiqua"/>
        </w:rPr>
        <w:t>: 607-612 [PMID: 15685242 DOI: 10.1038/sj.bjc.6602333]</w:t>
      </w:r>
    </w:p>
    <w:p w14:paraId="0468BD4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99 </w:t>
      </w:r>
      <w:r w:rsidRPr="006A140B">
        <w:rPr>
          <w:rFonts w:ascii="Book Antiqua" w:hAnsi="Book Antiqua"/>
          <w:b/>
          <w:bCs/>
        </w:rPr>
        <w:t>Arbuthnot P</w:t>
      </w:r>
      <w:r w:rsidRPr="006A140B">
        <w:rPr>
          <w:rFonts w:ascii="Book Antiqua" w:hAnsi="Book Antiqua"/>
        </w:rPr>
        <w:t xml:space="preserve">, Kew M. Hepatitis B virus and hepatocellular carcinoma. </w:t>
      </w:r>
      <w:r w:rsidRPr="006A140B">
        <w:rPr>
          <w:rFonts w:ascii="Book Antiqua" w:hAnsi="Book Antiqua"/>
          <w:i/>
          <w:iCs/>
        </w:rPr>
        <w:t>Int J Exp Pathol</w:t>
      </w:r>
      <w:r w:rsidRPr="006A140B">
        <w:rPr>
          <w:rFonts w:ascii="Book Antiqua" w:hAnsi="Book Antiqua"/>
        </w:rPr>
        <w:t xml:space="preserve"> 2001; </w:t>
      </w:r>
      <w:r w:rsidRPr="006A140B">
        <w:rPr>
          <w:rFonts w:ascii="Book Antiqua" w:hAnsi="Book Antiqua"/>
          <w:b/>
          <w:bCs/>
        </w:rPr>
        <w:t>82</w:t>
      </w:r>
      <w:r w:rsidRPr="006A140B">
        <w:rPr>
          <w:rFonts w:ascii="Book Antiqua" w:hAnsi="Book Antiqua"/>
        </w:rPr>
        <w:t>: 77-100 [PMID: 11454100 DOI: 10.1111/j.1365-2613.2001.iep0082-0077-x]</w:t>
      </w:r>
    </w:p>
    <w:p w14:paraId="413266B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100 </w:t>
      </w:r>
      <w:r w:rsidRPr="006A140B">
        <w:rPr>
          <w:rFonts w:ascii="Book Antiqua" w:hAnsi="Book Antiqua"/>
          <w:b/>
          <w:bCs/>
        </w:rPr>
        <w:t>Beasley RP</w:t>
      </w:r>
      <w:r w:rsidRPr="006A140B">
        <w:rPr>
          <w:rFonts w:ascii="Book Antiqua" w:hAnsi="Book Antiqua"/>
        </w:rPr>
        <w:t xml:space="preserve">, Hwang LY, Lin CC, Chien CS. Hepatocellular carcinoma and hepatitis B virus. A prospective study of 22 707 men in Taiwan. </w:t>
      </w:r>
      <w:r w:rsidRPr="006A140B">
        <w:rPr>
          <w:rFonts w:ascii="Book Antiqua" w:hAnsi="Book Antiqua"/>
          <w:i/>
          <w:iCs/>
        </w:rPr>
        <w:t>Lancet</w:t>
      </w:r>
      <w:r w:rsidRPr="006A140B">
        <w:rPr>
          <w:rFonts w:ascii="Book Antiqua" w:hAnsi="Book Antiqua"/>
        </w:rPr>
        <w:t xml:space="preserve"> 1981; </w:t>
      </w:r>
      <w:r w:rsidRPr="006A140B">
        <w:rPr>
          <w:rFonts w:ascii="Book Antiqua" w:hAnsi="Book Antiqua"/>
          <w:b/>
          <w:bCs/>
        </w:rPr>
        <w:t>2</w:t>
      </w:r>
      <w:r w:rsidRPr="006A140B">
        <w:rPr>
          <w:rFonts w:ascii="Book Antiqua" w:hAnsi="Book Antiqua"/>
        </w:rPr>
        <w:t>: 1129-1133 [PMID: 6118576 DOI: 10.1016/s0140-6736(81)90585-7]</w:t>
      </w:r>
    </w:p>
    <w:p w14:paraId="459A97F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101 </w:t>
      </w:r>
      <w:r w:rsidRPr="006A140B">
        <w:rPr>
          <w:rFonts w:ascii="Book Antiqua" w:hAnsi="Book Antiqua"/>
          <w:b/>
          <w:bCs/>
        </w:rPr>
        <w:t>Chisari FV</w:t>
      </w:r>
      <w:r w:rsidRPr="006A140B">
        <w:rPr>
          <w:rFonts w:ascii="Book Antiqua" w:hAnsi="Book Antiqua"/>
        </w:rPr>
        <w:t xml:space="preserve">, Klopchin K, Moriyama T, Pasquinelli C, Dunsford HA, Sell S, Pinkert CA, Brinster RL, Palmiter RD. Molecular pathogenesis of hepatocellular carcinoma in hepatitis B virus transgenic mice. </w:t>
      </w:r>
      <w:r w:rsidRPr="006A140B">
        <w:rPr>
          <w:rFonts w:ascii="Book Antiqua" w:hAnsi="Book Antiqua"/>
          <w:i/>
          <w:iCs/>
        </w:rPr>
        <w:t>Cell</w:t>
      </w:r>
      <w:r w:rsidRPr="006A140B">
        <w:rPr>
          <w:rFonts w:ascii="Book Antiqua" w:hAnsi="Book Antiqua"/>
        </w:rPr>
        <w:t xml:space="preserve"> 1989; </w:t>
      </w:r>
      <w:r w:rsidRPr="006A140B">
        <w:rPr>
          <w:rFonts w:ascii="Book Antiqua" w:hAnsi="Book Antiqua"/>
          <w:b/>
          <w:bCs/>
        </w:rPr>
        <w:t>59</w:t>
      </w:r>
      <w:r w:rsidRPr="006A140B">
        <w:rPr>
          <w:rFonts w:ascii="Book Antiqua" w:hAnsi="Book Antiqua"/>
        </w:rPr>
        <w:t>: 1145-1156 [PMID: 2598264 DOI: 10.1016/0092-8674(89)90770-8]</w:t>
      </w:r>
    </w:p>
    <w:p w14:paraId="56C4249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102 </w:t>
      </w:r>
      <w:r w:rsidRPr="006A140B">
        <w:rPr>
          <w:rFonts w:ascii="Book Antiqua" w:hAnsi="Book Antiqua"/>
          <w:b/>
          <w:bCs/>
        </w:rPr>
        <w:t>Ringelhan M</w:t>
      </w:r>
      <w:r w:rsidRPr="006A140B">
        <w:rPr>
          <w:rFonts w:ascii="Book Antiqua" w:hAnsi="Book Antiqua"/>
        </w:rPr>
        <w:t xml:space="preserve">, McKeating JA, Protzer U. Viral hepatitis and liver cancer. </w:t>
      </w:r>
      <w:r w:rsidRPr="006A140B">
        <w:rPr>
          <w:rFonts w:ascii="Book Antiqua" w:hAnsi="Book Antiqua"/>
          <w:i/>
          <w:iCs/>
        </w:rPr>
        <w:t>Philos Trans R Soc Lond B Biol Sci</w:t>
      </w:r>
      <w:r w:rsidRPr="006A140B">
        <w:rPr>
          <w:rFonts w:ascii="Book Antiqua" w:hAnsi="Book Antiqua"/>
        </w:rPr>
        <w:t xml:space="preserve"> 2017; </w:t>
      </w:r>
      <w:r w:rsidRPr="006A140B">
        <w:rPr>
          <w:rFonts w:ascii="Book Antiqua" w:hAnsi="Book Antiqua"/>
          <w:b/>
          <w:bCs/>
        </w:rPr>
        <w:t>372</w:t>
      </w:r>
      <w:r w:rsidRPr="006A140B">
        <w:rPr>
          <w:rFonts w:ascii="Book Antiqua" w:hAnsi="Book Antiqua"/>
        </w:rPr>
        <w:t xml:space="preserve"> [PMID: 28893941 DOI: 10.1098/rstb.2016.0274]</w:t>
      </w:r>
    </w:p>
    <w:p w14:paraId="3DBC6A2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103 </w:t>
      </w:r>
      <w:r w:rsidRPr="006A140B">
        <w:rPr>
          <w:rFonts w:ascii="Book Antiqua" w:hAnsi="Book Antiqua"/>
          <w:b/>
          <w:bCs/>
        </w:rPr>
        <w:t>Hong YS</w:t>
      </w:r>
      <w:r w:rsidRPr="006A140B">
        <w:rPr>
          <w:rFonts w:ascii="Book Antiqua" w:hAnsi="Book Antiqua"/>
        </w:rPr>
        <w:t xml:space="preserve">, Ryu S, Chang Y, Caínzos-Achirica M, Kwon MJ, Zhao D, Shafi T, Lazo M, Pastor-Barriuso R, Shin H, Cho J, Guallar E. Hepatitis B virus infection and development of chronic kidney disease: a cohort study. </w:t>
      </w:r>
      <w:r w:rsidRPr="006A140B">
        <w:rPr>
          <w:rFonts w:ascii="Book Antiqua" w:hAnsi="Book Antiqua"/>
          <w:i/>
          <w:iCs/>
        </w:rPr>
        <w:t>BMC Nephrol</w:t>
      </w:r>
      <w:r w:rsidRPr="006A140B">
        <w:rPr>
          <w:rFonts w:ascii="Book Antiqua" w:hAnsi="Book Antiqua"/>
        </w:rPr>
        <w:t xml:space="preserve"> 2018; </w:t>
      </w:r>
      <w:r w:rsidRPr="006A140B">
        <w:rPr>
          <w:rFonts w:ascii="Book Antiqua" w:hAnsi="Book Antiqua"/>
          <w:b/>
          <w:bCs/>
        </w:rPr>
        <w:t>19</w:t>
      </w:r>
      <w:r w:rsidRPr="006A140B">
        <w:rPr>
          <w:rFonts w:ascii="Book Antiqua" w:hAnsi="Book Antiqua"/>
        </w:rPr>
        <w:t>: 353 [PMID: 30537940 DOI: 10.1186/s12882-018-1154-4]</w:t>
      </w:r>
    </w:p>
    <w:p w14:paraId="0040537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104 </w:t>
      </w:r>
      <w:r w:rsidRPr="006A140B">
        <w:rPr>
          <w:rFonts w:ascii="Book Antiqua" w:hAnsi="Book Antiqua"/>
          <w:b/>
          <w:bCs/>
        </w:rPr>
        <w:t>Bhimma R</w:t>
      </w:r>
      <w:r w:rsidRPr="006A140B">
        <w:rPr>
          <w:rFonts w:ascii="Book Antiqua" w:hAnsi="Book Antiqua"/>
        </w:rPr>
        <w:t xml:space="preserve">, Coovadia HM. Hepatitis B virus-associated nephropathy. </w:t>
      </w:r>
      <w:r w:rsidRPr="006A140B">
        <w:rPr>
          <w:rFonts w:ascii="Book Antiqua" w:hAnsi="Book Antiqua"/>
          <w:i/>
          <w:iCs/>
        </w:rPr>
        <w:t>Am J Nephrol</w:t>
      </w:r>
      <w:r w:rsidRPr="006A140B">
        <w:rPr>
          <w:rFonts w:ascii="Book Antiqua" w:hAnsi="Book Antiqua"/>
        </w:rPr>
        <w:t xml:space="preserve"> 2004; </w:t>
      </w:r>
      <w:r w:rsidRPr="006A140B">
        <w:rPr>
          <w:rFonts w:ascii="Book Antiqua" w:hAnsi="Book Antiqua"/>
          <w:b/>
          <w:bCs/>
        </w:rPr>
        <w:t>24</w:t>
      </w:r>
      <w:r w:rsidRPr="006A140B">
        <w:rPr>
          <w:rFonts w:ascii="Book Antiqua" w:hAnsi="Book Antiqua"/>
        </w:rPr>
        <w:t>: 198-211 [PMID: 14988643 DOI: 10.1159/000077065]</w:t>
      </w:r>
    </w:p>
    <w:p w14:paraId="3ECE25F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105 </w:t>
      </w:r>
      <w:r w:rsidRPr="006A140B">
        <w:rPr>
          <w:rFonts w:ascii="Book Antiqua" w:hAnsi="Book Antiqua"/>
          <w:b/>
          <w:bCs/>
        </w:rPr>
        <w:t>Deng CL</w:t>
      </w:r>
      <w:r w:rsidRPr="006A140B">
        <w:rPr>
          <w:rFonts w:ascii="Book Antiqua" w:hAnsi="Book Antiqua"/>
        </w:rPr>
        <w:t xml:space="preserve">, Song XW, Liang HJ, Feng C, Sheng YJ, Wang MY. Chronic hepatitis B serum promotes apoptotic damage in human renal tubular cells. </w:t>
      </w:r>
      <w:r w:rsidRPr="006A140B">
        <w:rPr>
          <w:rFonts w:ascii="Book Antiqua" w:hAnsi="Book Antiqua"/>
          <w:i/>
          <w:iCs/>
        </w:rPr>
        <w:t>World J Gastroenterol</w:t>
      </w:r>
      <w:r w:rsidRPr="006A140B">
        <w:rPr>
          <w:rFonts w:ascii="Book Antiqua" w:hAnsi="Book Antiqua"/>
        </w:rPr>
        <w:t xml:space="preserve"> 2006; </w:t>
      </w:r>
      <w:r w:rsidRPr="006A140B">
        <w:rPr>
          <w:rFonts w:ascii="Book Antiqua" w:hAnsi="Book Antiqua"/>
          <w:b/>
          <w:bCs/>
        </w:rPr>
        <w:t>12</w:t>
      </w:r>
      <w:r w:rsidRPr="006A140B">
        <w:rPr>
          <w:rFonts w:ascii="Book Antiqua" w:hAnsi="Book Antiqua"/>
        </w:rPr>
        <w:t>: 1752-1756 [PMID: 16586546 DOI: 10.3748/wjg.v12.i11.1752]</w:t>
      </w:r>
    </w:p>
    <w:p w14:paraId="0594322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106 </w:t>
      </w:r>
      <w:r w:rsidRPr="006A140B">
        <w:rPr>
          <w:rFonts w:ascii="Book Antiqua" w:hAnsi="Book Antiqua"/>
          <w:b/>
          <w:bCs/>
        </w:rPr>
        <w:t>Si J</w:t>
      </w:r>
      <w:r w:rsidRPr="006A140B">
        <w:rPr>
          <w:rFonts w:ascii="Book Antiqua" w:hAnsi="Book Antiqua"/>
        </w:rPr>
        <w:t xml:space="preserve">, Yu C, Guo Y, Bian Z, Qin C, Yang L, Chen Y, Yin L, Li H, Lan J, Chen J, Chen Z, Lv J, Li L; China Kadoorie Biobank Collaborative Group. Chronic hepatitis B virus infection and risk of chronic kidney disease: a population-based prospective cohort study of 0.5 million Chinese adults. </w:t>
      </w:r>
      <w:r w:rsidRPr="006A140B">
        <w:rPr>
          <w:rFonts w:ascii="Book Antiqua" w:hAnsi="Book Antiqua"/>
          <w:i/>
          <w:iCs/>
        </w:rPr>
        <w:t>BMC Med</w:t>
      </w:r>
      <w:r w:rsidRPr="006A140B">
        <w:rPr>
          <w:rFonts w:ascii="Book Antiqua" w:hAnsi="Book Antiqua"/>
        </w:rPr>
        <w:t xml:space="preserve"> 2018; </w:t>
      </w:r>
      <w:r w:rsidRPr="006A140B">
        <w:rPr>
          <w:rFonts w:ascii="Book Antiqua" w:hAnsi="Book Antiqua"/>
          <w:b/>
          <w:bCs/>
        </w:rPr>
        <w:t>16</w:t>
      </w:r>
      <w:r w:rsidRPr="006A140B">
        <w:rPr>
          <w:rFonts w:ascii="Book Antiqua" w:hAnsi="Book Antiqua"/>
        </w:rPr>
        <w:t>: 93 [PMID: 29909773 DOI: 10.1186/s12916-018-1084-9]</w:t>
      </w:r>
    </w:p>
    <w:p w14:paraId="2153EE5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107 </w:t>
      </w:r>
      <w:r w:rsidRPr="006A140B">
        <w:rPr>
          <w:rFonts w:ascii="Book Antiqua" w:hAnsi="Book Antiqua"/>
          <w:b/>
          <w:bCs/>
        </w:rPr>
        <w:t>Chen YC</w:t>
      </w:r>
      <w:r w:rsidRPr="006A140B">
        <w:rPr>
          <w:rFonts w:ascii="Book Antiqua" w:hAnsi="Book Antiqua"/>
        </w:rPr>
        <w:t xml:space="preserve">, Lin HY, Li CY, Lee MS, Su YC. A nationwide cohort study suggests that hepatitis C virus infection is associated with increased risk of chronic kidney disease. </w:t>
      </w:r>
      <w:r w:rsidRPr="006A140B">
        <w:rPr>
          <w:rFonts w:ascii="Book Antiqua" w:hAnsi="Book Antiqua"/>
          <w:i/>
          <w:iCs/>
        </w:rPr>
        <w:t>Kidney Int</w:t>
      </w:r>
      <w:r w:rsidRPr="006A140B">
        <w:rPr>
          <w:rFonts w:ascii="Book Antiqua" w:hAnsi="Book Antiqua"/>
        </w:rPr>
        <w:t xml:space="preserve"> 2014; </w:t>
      </w:r>
      <w:r w:rsidRPr="006A140B">
        <w:rPr>
          <w:rFonts w:ascii="Book Antiqua" w:hAnsi="Book Antiqua"/>
          <w:b/>
          <w:bCs/>
        </w:rPr>
        <w:t>85</w:t>
      </w:r>
      <w:r w:rsidRPr="006A140B">
        <w:rPr>
          <w:rFonts w:ascii="Book Antiqua" w:hAnsi="Book Antiqua"/>
        </w:rPr>
        <w:t>: 1200-1207 [PMID: 24257691 DOI: 10.1038/ki.2013.455]</w:t>
      </w:r>
    </w:p>
    <w:p w14:paraId="2BEB249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108 </w:t>
      </w:r>
      <w:r w:rsidRPr="006A140B">
        <w:rPr>
          <w:rFonts w:ascii="Book Antiqua" w:hAnsi="Book Antiqua"/>
          <w:b/>
          <w:bCs/>
        </w:rPr>
        <w:t>Giovannucci E</w:t>
      </w:r>
      <w:r w:rsidRPr="006A140B">
        <w:rPr>
          <w:rFonts w:ascii="Book Antiqua" w:hAnsi="Book Antiqua"/>
        </w:rPr>
        <w:t xml:space="preserve">, Harlan DM, Archer MC, Bergenstal RM, Gapstur SM, Habel LA, Pollak M, Regensteiner JG, Yee D. Diabetes and cancer: a consensus report. </w:t>
      </w:r>
      <w:r w:rsidRPr="006A140B">
        <w:rPr>
          <w:rFonts w:ascii="Book Antiqua" w:hAnsi="Book Antiqua"/>
          <w:i/>
          <w:iCs/>
        </w:rPr>
        <w:t>Diabetes Care</w:t>
      </w:r>
      <w:r w:rsidRPr="006A140B">
        <w:rPr>
          <w:rFonts w:ascii="Book Antiqua" w:hAnsi="Book Antiqua"/>
        </w:rPr>
        <w:t xml:space="preserve"> 2010; </w:t>
      </w:r>
      <w:r w:rsidRPr="006A140B">
        <w:rPr>
          <w:rFonts w:ascii="Book Antiqua" w:hAnsi="Book Antiqua"/>
          <w:b/>
          <w:bCs/>
        </w:rPr>
        <w:t>33</w:t>
      </w:r>
      <w:r w:rsidRPr="006A140B">
        <w:rPr>
          <w:rFonts w:ascii="Book Antiqua" w:hAnsi="Book Antiqua"/>
        </w:rPr>
        <w:t>: 1674-1685 [PMID: 20587728 DOI: 10.2337/dc10-0666]</w:t>
      </w:r>
    </w:p>
    <w:p w14:paraId="76E8B74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109 </w:t>
      </w:r>
      <w:r w:rsidRPr="006A140B">
        <w:rPr>
          <w:rFonts w:ascii="Book Antiqua" w:hAnsi="Book Antiqua"/>
          <w:b/>
          <w:bCs/>
        </w:rPr>
        <w:t>El-Serag HB</w:t>
      </w:r>
      <w:r w:rsidRPr="006A140B">
        <w:rPr>
          <w:rFonts w:ascii="Book Antiqua" w:hAnsi="Book Antiqua"/>
        </w:rPr>
        <w:t xml:space="preserve">, Tran T, Everhart JE. Diabetes increases the risk of chronic liver disease and hepatocellular carcinoma. </w:t>
      </w:r>
      <w:r w:rsidRPr="006A140B">
        <w:rPr>
          <w:rFonts w:ascii="Book Antiqua" w:hAnsi="Book Antiqua"/>
          <w:i/>
          <w:iCs/>
        </w:rPr>
        <w:t>Gastroenterology</w:t>
      </w:r>
      <w:r w:rsidRPr="006A140B">
        <w:rPr>
          <w:rFonts w:ascii="Book Antiqua" w:hAnsi="Book Antiqua"/>
        </w:rPr>
        <w:t xml:space="preserve"> 2004; </w:t>
      </w:r>
      <w:r w:rsidRPr="006A140B">
        <w:rPr>
          <w:rFonts w:ascii="Book Antiqua" w:hAnsi="Book Antiqua"/>
          <w:b/>
          <w:bCs/>
        </w:rPr>
        <w:t>126</w:t>
      </w:r>
      <w:r w:rsidRPr="006A140B">
        <w:rPr>
          <w:rFonts w:ascii="Book Antiqua" w:hAnsi="Book Antiqua"/>
        </w:rPr>
        <w:t>: 460-468 [PMID: 14762783 DOI: 10.1053/j.gastro.2003.10.065]</w:t>
      </w:r>
    </w:p>
    <w:p w14:paraId="58CB547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110 </w:t>
      </w:r>
      <w:r w:rsidRPr="006A140B">
        <w:rPr>
          <w:rFonts w:ascii="Book Antiqua" w:hAnsi="Book Antiqua"/>
          <w:b/>
          <w:bCs/>
        </w:rPr>
        <w:t>El-Serag HB</w:t>
      </w:r>
      <w:r w:rsidRPr="006A140B">
        <w:rPr>
          <w:rFonts w:ascii="Book Antiqua" w:hAnsi="Book Antiqua"/>
        </w:rPr>
        <w:t xml:space="preserve">, Hampel H, Javadi F. The association between diabetes and hepatocellular carcinoma: a systematic review of epidemiologic evidence. </w:t>
      </w:r>
      <w:r w:rsidRPr="006A140B">
        <w:rPr>
          <w:rFonts w:ascii="Book Antiqua" w:hAnsi="Book Antiqua"/>
          <w:i/>
          <w:iCs/>
        </w:rPr>
        <w:t>Clin Gastroenterol Hepatol</w:t>
      </w:r>
      <w:r w:rsidRPr="006A140B">
        <w:rPr>
          <w:rFonts w:ascii="Book Antiqua" w:hAnsi="Book Antiqua"/>
        </w:rPr>
        <w:t xml:space="preserve"> 2006; </w:t>
      </w:r>
      <w:r w:rsidRPr="006A140B">
        <w:rPr>
          <w:rFonts w:ascii="Book Antiqua" w:hAnsi="Book Antiqua"/>
          <w:b/>
          <w:bCs/>
        </w:rPr>
        <w:t>4</w:t>
      </w:r>
      <w:r w:rsidRPr="006A140B">
        <w:rPr>
          <w:rFonts w:ascii="Book Antiqua" w:hAnsi="Book Antiqua"/>
        </w:rPr>
        <w:t>: 369-380 [PMID: 16527702 DOI: 10.1016/j.cgh.2005.12.007]</w:t>
      </w:r>
    </w:p>
    <w:p w14:paraId="0B742BE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111 </w:t>
      </w:r>
      <w:r w:rsidRPr="006A140B">
        <w:rPr>
          <w:rFonts w:ascii="Book Antiqua" w:hAnsi="Book Antiqua"/>
          <w:b/>
          <w:bCs/>
        </w:rPr>
        <w:t>Moore MA</w:t>
      </w:r>
      <w:r w:rsidRPr="006A140B">
        <w:rPr>
          <w:rFonts w:ascii="Book Antiqua" w:hAnsi="Book Antiqua"/>
        </w:rPr>
        <w:t xml:space="preserve">, Park CB, Tsuda H. Implications of the hyperinsulinaemia-diabetes-cancer link for preventive efforts. </w:t>
      </w:r>
      <w:r w:rsidRPr="006A140B">
        <w:rPr>
          <w:rFonts w:ascii="Book Antiqua" w:hAnsi="Book Antiqua"/>
          <w:i/>
          <w:iCs/>
        </w:rPr>
        <w:t>Eur J Cancer Prev</w:t>
      </w:r>
      <w:r w:rsidRPr="006A140B">
        <w:rPr>
          <w:rFonts w:ascii="Book Antiqua" w:hAnsi="Book Antiqua"/>
        </w:rPr>
        <w:t xml:space="preserve"> 1998; </w:t>
      </w:r>
      <w:r w:rsidRPr="006A140B">
        <w:rPr>
          <w:rFonts w:ascii="Book Antiqua" w:hAnsi="Book Antiqua"/>
          <w:b/>
          <w:bCs/>
        </w:rPr>
        <w:t>7</w:t>
      </w:r>
      <w:r w:rsidRPr="006A140B">
        <w:rPr>
          <w:rFonts w:ascii="Book Antiqua" w:hAnsi="Book Antiqua"/>
        </w:rPr>
        <w:t>: 89-107 [PMID: 9818771]</w:t>
      </w:r>
    </w:p>
    <w:p w14:paraId="02C417A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112 </w:t>
      </w:r>
      <w:r w:rsidRPr="006A140B">
        <w:rPr>
          <w:rFonts w:ascii="Book Antiqua" w:hAnsi="Book Antiqua"/>
          <w:b/>
          <w:bCs/>
        </w:rPr>
        <w:t>Goyal R</w:t>
      </w:r>
      <w:r w:rsidRPr="006A140B">
        <w:rPr>
          <w:rFonts w:ascii="Book Antiqua" w:hAnsi="Book Antiqua"/>
        </w:rPr>
        <w:t xml:space="preserve">, Faizy AF, Siddiqui SS, Singhai M. Evaluation of TNF-α and IL-6 Levels in Obese and Non-obese Diabetics: Pre- and Postinsulin Effects. </w:t>
      </w:r>
      <w:r w:rsidRPr="006A140B">
        <w:rPr>
          <w:rFonts w:ascii="Book Antiqua" w:hAnsi="Book Antiqua"/>
          <w:i/>
          <w:iCs/>
        </w:rPr>
        <w:t>N Am J Med Sci</w:t>
      </w:r>
      <w:r w:rsidRPr="006A140B">
        <w:rPr>
          <w:rFonts w:ascii="Book Antiqua" w:hAnsi="Book Antiqua"/>
        </w:rPr>
        <w:t xml:space="preserve"> 2012; </w:t>
      </w:r>
      <w:r w:rsidRPr="006A140B">
        <w:rPr>
          <w:rFonts w:ascii="Book Antiqua" w:hAnsi="Book Antiqua"/>
          <w:b/>
          <w:bCs/>
        </w:rPr>
        <w:t>4</w:t>
      </w:r>
      <w:r w:rsidRPr="006A140B">
        <w:rPr>
          <w:rFonts w:ascii="Book Antiqua" w:hAnsi="Book Antiqua"/>
        </w:rPr>
        <w:t>: 180-184 [PMID: 22536561 DOI: 10.4103/1947-2714.94944]</w:t>
      </w:r>
    </w:p>
    <w:p w14:paraId="37CB3A8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113 </w:t>
      </w:r>
      <w:r w:rsidRPr="006A140B">
        <w:rPr>
          <w:rFonts w:ascii="Book Antiqua" w:hAnsi="Book Antiqua"/>
          <w:b/>
          <w:bCs/>
        </w:rPr>
        <w:t>Park EJ</w:t>
      </w:r>
      <w:r w:rsidRPr="006A140B">
        <w:rPr>
          <w:rFonts w:ascii="Book Antiqua" w:hAnsi="Book Antiqua"/>
        </w:rPr>
        <w:t xml:space="preserve">, Lee JH, Yu GY, He G, Ali SR, Holzer RG, Osterreicher CH, Takahashi H, Karin M. Dietary and genetic obesity promote liver inflammation and tumorigenesis by enhancing IL-6 and TNF expression. </w:t>
      </w:r>
      <w:r w:rsidRPr="006A140B">
        <w:rPr>
          <w:rFonts w:ascii="Book Antiqua" w:hAnsi="Book Antiqua"/>
          <w:i/>
          <w:iCs/>
        </w:rPr>
        <w:t>Cell</w:t>
      </w:r>
      <w:r w:rsidRPr="006A140B">
        <w:rPr>
          <w:rFonts w:ascii="Book Antiqua" w:hAnsi="Book Antiqua"/>
        </w:rPr>
        <w:t xml:space="preserve"> 2010; </w:t>
      </w:r>
      <w:r w:rsidRPr="006A140B">
        <w:rPr>
          <w:rFonts w:ascii="Book Antiqua" w:hAnsi="Book Antiqua"/>
          <w:b/>
          <w:bCs/>
        </w:rPr>
        <w:t>140</w:t>
      </w:r>
      <w:r w:rsidRPr="006A140B">
        <w:rPr>
          <w:rFonts w:ascii="Book Antiqua" w:hAnsi="Book Antiqua"/>
        </w:rPr>
        <w:t>: 197-208 [PMID: 20141834 DOI: 10.1016/j.cell.2009.12.052]</w:t>
      </w:r>
    </w:p>
    <w:p w14:paraId="0A90377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114 </w:t>
      </w:r>
      <w:r w:rsidRPr="006A140B">
        <w:rPr>
          <w:rFonts w:ascii="Book Antiqua" w:hAnsi="Book Antiqua"/>
          <w:b/>
          <w:bCs/>
        </w:rPr>
        <w:t>Gross JL</w:t>
      </w:r>
      <w:r w:rsidRPr="006A140B">
        <w:rPr>
          <w:rFonts w:ascii="Book Antiqua" w:hAnsi="Book Antiqua"/>
        </w:rPr>
        <w:t xml:space="preserve">, de Azevedo MJ, Silveiro SP, Canani LH, Caramori ML, Zelmanovitz T. Diabetic nephropathy: diagnosis, prevention, and treatment. </w:t>
      </w:r>
      <w:r w:rsidRPr="006A140B">
        <w:rPr>
          <w:rFonts w:ascii="Book Antiqua" w:hAnsi="Book Antiqua"/>
          <w:i/>
          <w:iCs/>
        </w:rPr>
        <w:t>Diabetes Care</w:t>
      </w:r>
      <w:r w:rsidRPr="006A140B">
        <w:rPr>
          <w:rFonts w:ascii="Book Antiqua" w:hAnsi="Book Antiqua"/>
        </w:rPr>
        <w:t xml:space="preserve"> 2005; </w:t>
      </w:r>
      <w:r w:rsidRPr="006A140B">
        <w:rPr>
          <w:rFonts w:ascii="Book Antiqua" w:hAnsi="Book Antiqua"/>
          <w:b/>
          <w:bCs/>
        </w:rPr>
        <w:t>28</w:t>
      </w:r>
      <w:r w:rsidRPr="006A140B">
        <w:rPr>
          <w:rFonts w:ascii="Book Antiqua" w:hAnsi="Book Antiqua"/>
        </w:rPr>
        <w:t>: 164-176 [PMID: 15616252]</w:t>
      </w:r>
    </w:p>
    <w:p w14:paraId="59AD91F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115 </w:t>
      </w:r>
      <w:r w:rsidRPr="006A140B">
        <w:rPr>
          <w:rFonts w:ascii="Book Antiqua" w:hAnsi="Book Antiqua"/>
          <w:b/>
          <w:bCs/>
        </w:rPr>
        <w:t>Takuma Y</w:t>
      </w:r>
      <w:r w:rsidRPr="006A140B">
        <w:rPr>
          <w:rFonts w:ascii="Book Antiqua" w:hAnsi="Book Antiqua"/>
        </w:rPr>
        <w:t xml:space="preserve">, Nouso K. Nonalcoholic steatohepatitis-associated hepatocellular carcinoma: our case series and literature review. </w:t>
      </w:r>
      <w:r w:rsidRPr="006A140B">
        <w:rPr>
          <w:rFonts w:ascii="Book Antiqua" w:hAnsi="Book Antiqua"/>
          <w:i/>
          <w:iCs/>
        </w:rPr>
        <w:t>World J Gastroenterol</w:t>
      </w:r>
      <w:r w:rsidRPr="006A140B">
        <w:rPr>
          <w:rFonts w:ascii="Book Antiqua" w:hAnsi="Book Antiqua"/>
        </w:rPr>
        <w:t xml:space="preserve"> 2010; </w:t>
      </w:r>
      <w:r w:rsidRPr="006A140B">
        <w:rPr>
          <w:rFonts w:ascii="Book Antiqua" w:hAnsi="Book Antiqua"/>
          <w:b/>
          <w:bCs/>
        </w:rPr>
        <w:t>16</w:t>
      </w:r>
      <w:r w:rsidRPr="006A140B">
        <w:rPr>
          <w:rFonts w:ascii="Book Antiqua" w:hAnsi="Book Antiqua"/>
        </w:rPr>
        <w:t>: 1436-1441 [PMID: 20333782 DOI: 10.3748/wjg.v16.i12.1436]</w:t>
      </w:r>
    </w:p>
    <w:p w14:paraId="72C5D5F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116 </w:t>
      </w:r>
      <w:r w:rsidRPr="006A140B">
        <w:rPr>
          <w:rFonts w:ascii="Book Antiqua" w:hAnsi="Book Antiqua"/>
          <w:b/>
          <w:bCs/>
        </w:rPr>
        <w:t>Dhamija E</w:t>
      </w:r>
      <w:r w:rsidRPr="006A140B">
        <w:rPr>
          <w:rFonts w:ascii="Book Antiqua" w:hAnsi="Book Antiqua"/>
        </w:rPr>
        <w:t xml:space="preserve">, Paul SB, Kedia S. Non-alcoholic fatty liver disease associated with hepatocellular carcinoma: An increasing concern. </w:t>
      </w:r>
      <w:r w:rsidRPr="006A140B">
        <w:rPr>
          <w:rFonts w:ascii="Book Antiqua" w:hAnsi="Book Antiqua"/>
          <w:i/>
          <w:iCs/>
        </w:rPr>
        <w:t>Indian J Med Res</w:t>
      </w:r>
      <w:r w:rsidRPr="006A140B">
        <w:rPr>
          <w:rFonts w:ascii="Book Antiqua" w:hAnsi="Book Antiqua"/>
        </w:rPr>
        <w:t xml:space="preserve"> 2019; </w:t>
      </w:r>
      <w:r w:rsidRPr="006A140B">
        <w:rPr>
          <w:rFonts w:ascii="Book Antiqua" w:hAnsi="Book Antiqua"/>
          <w:b/>
          <w:bCs/>
        </w:rPr>
        <w:t>149</w:t>
      </w:r>
      <w:r w:rsidRPr="006A140B">
        <w:rPr>
          <w:rFonts w:ascii="Book Antiqua" w:hAnsi="Book Antiqua"/>
        </w:rPr>
        <w:t>: 9-17 [PMID: 31115369 DOI: 10.4103/ijmr.IJMR_1456_17]</w:t>
      </w:r>
    </w:p>
    <w:p w14:paraId="2AAD929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117 </w:t>
      </w:r>
      <w:r w:rsidRPr="006A140B">
        <w:rPr>
          <w:rFonts w:ascii="Book Antiqua" w:hAnsi="Book Antiqua"/>
          <w:b/>
          <w:bCs/>
        </w:rPr>
        <w:t>Nagaoki Y</w:t>
      </w:r>
      <w:r w:rsidRPr="006A140B">
        <w:rPr>
          <w:rFonts w:ascii="Book Antiqua" w:hAnsi="Book Antiqua"/>
        </w:rPr>
        <w:t xml:space="preserve">, Hyogo H, Aikata H, Tanaka M, Naeshiro N, Nakahara T, Honda Y, Miyaki D, Kawaoka T, Takaki S, Hiramatsu A, Waki K, Imamura M, Kawakami Y, Takahashi S, Chayama K. Recent trend of clinical features in patients with hepatocellular carcinoma. </w:t>
      </w:r>
      <w:r w:rsidRPr="006A140B">
        <w:rPr>
          <w:rFonts w:ascii="Book Antiqua" w:hAnsi="Book Antiqua"/>
          <w:i/>
          <w:iCs/>
        </w:rPr>
        <w:t>Hepatol Res</w:t>
      </w:r>
      <w:r w:rsidRPr="006A140B">
        <w:rPr>
          <w:rFonts w:ascii="Book Antiqua" w:hAnsi="Book Antiqua"/>
        </w:rPr>
        <w:t xml:space="preserve"> 2012; </w:t>
      </w:r>
      <w:r w:rsidRPr="006A140B">
        <w:rPr>
          <w:rFonts w:ascii="Book Antiqua" w:hAnsi="Book Antiqua"/>
          <w:b/>
          <w:bCs/>
        </w:rPr>
        <w:t>42</w:t>
      </w:r>
      <w:r w:rsidRPr="006A140B">
        <w:rPr>
          <w:rFonts w:ascii="Book Antiqua" w:hAnsi="Book Antiqua"/>
        </w:rPr>
        <w:t>: 368-375 [PMID: 22151896 DOI: 10.1111/j.1872-034X.2011.00929.x]</w:t>
      </w:r>
    </w:p>
    <w:p w14:paraId="5FDE418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118 </w:t>
      </w:r>
      <w:r w:rsidRPr="006A140B">
        <w:rPr>
          <w:rFonts w:ascii="Book Antiqua" w:hAnsi="Book Antiqua"/>
          <w:b/>
          <w:bCs/>
        </w:rPr>
        <w:t>Diehl AM</w:t>
      </w:r>
      <w:r w:rsidRPr="006A140B">
        <w:rPr>
          <w:rFonts w:ascii="Book Antiqua" w:hAnsi="Book Antiqua"/>
        </w:rPr>
        <w:t xml:space="preserve">, Li ZP, Lin HZ, Yang SQ. Cytokines and the pathogenesis of non-alcoholic steatohepatitis. </w:t>
      </w:r>
      <w:r w:rsidRPr="006A140B">
        <w:rPr>
          <w:rFonts w:ascii="Book Antiqua" w:hAnsi="Book Antiqua"/>
          <w:i/>
          <w:iCs/>
        </w:rPr>
        <w:t>Gut</w:t>
      </w:r>
      <w:r w:rsidRPr="006A140B">
        <w:rPr>
          <w:rFonts w:ascii="Book Antiqua" w:hAnsi="Book Antiqua"/>
        </w:rPr>
        <w:t xml:space="preserve"> 2005; </w:t>
      </w:r>
      <w:r w:rsidRPr="006A140B">
        <w:rPr>
          <w:rFonts w:ascii="Book Antiqua" w:hAnsi="Book Antiqua"/>
          <w:b/>
          <w:bCs/>
        </w:rPr>
        <w:t>54</w:t>
      </w:r>
      <w:r w:rsidRPr="006A140B">
        <w:rPr>
          <w:rFonts w:ascii="Book Antiqua" w:hAnsi="Book Antiqua"/>
        </w:rPr>
        <w:t>: 303-306 [PMID: 15647199 DOI: 10.1136/gut.2003.024935]</w:t>
      </w:r>
    </w:p>
    <w:p w14:paraId="6C842C6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119 </w:t>
      </w:r>
      <w:r w:rsidRPr="006A140B">
        <w:rPr>
          <w:rFonts w:ascii="Book Antiqua" w:hAnsi="Book Antiqua"/>
          <w:b/>
          <w:bCs/>
        </w:rPr>
        <w:t>Wang Y</w:t>
      </w:r>
      <w:r w:rsidRPr="006A140B">
        <w:rPr>
          <w:rFonts w:ascii="Book Antiqua" w:hAnsi="Book Antiqua"/>
        </w:rPr>
        <w:t xml:space="preserve">, Ausman LM, Greenberg AS, Russell RM, Wang XD. Nonalcoholic steatohepatitis induced by a high-fat diet promotes diethylnitrosamine-initiated early hepatocarcinogenesis in rats. </w:t>
      </w:r>
      <w:r w:rsidRPr="006A140B">
        <w:rPr>
          <w:rFonts w:ascii="Book Antiqua" w:hAnsi="Book Antiqua"/>
          <w:i/>
          <w:iCs/>
        </w:rPr>
        <w:t>Int J Cancer</w:t>
      </w:r>
      <w:r w:rsidRPr="006A140B">
        <w:rPr>
          <w:rFonts w:ascii="Book Antiqua" w:hAnsi="Book Antiqua"/>
        </w:rPr>
        <w:t xml:space="preserve"> 2009; </w:t>
      </w:r>
      <w:r w:rsidRPr="006A140B">
        <w:rPr>
          <w:rFonts w:ascii="Book Antiqua" w:hAnsi="Book Antiqua"/>
          <w:b/>
          <w:bCs/>
        </w:rPr>
        <w:t>124</w:t>
      </w:r>
      <w:r w:rsidRPr="006A140B">
        <w:rPr>
          <w:rFonts w:ascii="Book Antiqua" w:hAnsi="Book Antiqua"/>
        </w:rPr>
        <w:t>: 540-546 [PMID: 19004024 DOI: 10.1002/ijc.23995]</w:t>
      </w:r>
    </w:p>
    <w:p w14:paraId="25A9831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120 </w:t>
      </w:r>
      <w:r w:rsidRPr="006A140B">
        <w:rPr>
          <w:rFonts w:ascii="Book Antiqua" w:hAnsi="Book Antiqua"/>
          <w:b/>
          <w:bCs/>
        </w:rPr>
        <w:t>Kamada Y</w:t>
      </w:r>
      <w:r w:rsidRPr="006A140B">
        <w:rPr>
          <w:rFonts w:ascii="Book Antiqua" w:hAnsi="Book Antiqua"/>
        </w:rPr>
        <w:t xml:space="preserve">, Matsumoto H, Tamura S, Fukushima J, Kiso S, Fukui K, Igura T, Maeda N, Kihara S, Funahashi T, Matsuzawa Y, Shimomura I, Hayashi N. Hypoadiponectinemia accelerates hepatic tumor formation in a nonalcoholic steatohepatitis mouse model. </w:t>
      </w:r>
      <w:r w:rsidRPr="006A140B">
        <w:rPr>
          <w:rFonts w:ascii="Book Antiqua" w:hAnsi="Book Antiqua"/>
          <w:i/>
          <w:iCs/>
        </w:rPr>
        <w:t>J Hepatol</w:t>
      </w:r>
      <w:r w:rsidRPr="006A140B">
        <w:rPr>
          <w:rFonts w:ascii="Book Antiqua" w:hAnsi="Book Antiqua"/>
        </w:rPr>
        <w:t xml:space="preserve"> 2007; </w:t>
      </w:r>
      <w:r w:rsidRPr="006A140B">
        <w:rPr>
          <w:rFonts w:ascii="Book Antiqua" w:hAnsi="Book Antiqua"/>
          <w:b/>
          <w:bCs/>
        </w:rPr>
        <w:t>47</w:t>
      </w:r>
      <w:r w:rsidRPr="006A140B">
        <w:rPr>
          <w:rFonts w:ascii="Book Antiqua" w:hAnsi="Book Antiqua"/>
        </w:rPr>
        <w:t>: 556-564 [PMID: 17459514 DOI: 10.1016/j.jhep.2007.03.020]</w:t>
      </w:r>
    </w:p>
    <w:p w14:paraId="7317621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121 </w:t>
      </w:r>
      <w:r w:rsidRPr="006A140B">
        <w:rPr>
          <w:rFonts w:ascii="Book Antiqua" w:hAnsi="Book Antiqua"/>
          <w:b/>
          <w:bCs/>
        </w:rPr>
        <w:t>Byrne CD</w:t>
      </w:r>
      <w:r w:rsidRPr="006A140B">
        <w:rPr>
          <w:rFonts w:ascii="Book Antiqua" w:hAnsi="Book Antiqua"/>
        </w:rPr>
        <w:t xml:space="preserve">, Targher G. NAFLD as a driver of chronic kidney disease. </w:t>
      </w:r>
      <w:r w:rsidRPr="006A140B">
        <w:rPr>
          <w:rFonts w:ascii="Book Antiqua" w:hAnsi="Book Antiqua"/>
          <w:i/>
          <w:iCs/>
        </w:rPr>
        <w:t>J Hepatol</w:t>
      </w:r>
      <w:r w:rsidRPr="006A140B">
        <w:rPr>
          <w:rFonts w:ascii="Book Antiqua" w:hAnsi="Book Antiqua"/>
        </w:rPr>
        <w:t xml:space="preserve"> 2020; </w:t>
      </w:r>
      <w:r w:rsidRPr="006A140B">
        <w:rPr>
          <w:rFonts w:ascii="Book Antiqua" w:hAnsi="Book Antiqua"/>
          <w:b/>
          <w:bCs/>
        </w:rPr>
        <w:t>72</w:t>
      </w:r>
      <w:r w:rsidRPr="006A140B">
        <w:rPr>
          <w:rFonts w:ascii="Book Antiqua" w:hAnsi="Book Antiqua"/>
        </w:rPr>
        <w:t>: 785-801 [PMID: 32059982 DOI: 10.1016/j.jhep.2020.01.013]</w:t>
      </w:r>
    </w:p>
    <w:p w14:paraId="631C2BC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122 </w:t>
      </w:r>
      <w:r w:rsidRPr="006A140B">
        <w:rPr>
          <w:rFonts w:ascii="Book Antiqua" w:hAnsi="Book Antiqua"/>
          <w:b/>
          <w:bCs/>
        </w:rPr>
        <w:t>Park H</w:t>
      </w:r>
      <w:r w:rsidRPr="006A140B">
        <w:rPr>
          <w:rFonts w:ascii="Book Antiqua" w:hAnsi="Book Antiqua"/>
        </w:rPr>
        <w:t xml:space="preserve">, Dawwas GK, Liu X, Nguyen MH. Nonalcoholic fatty liver disease increases risk of incident advanced chronic kidney disease: a propensity-matched cohort study. </w:t>
      </w:r>
      <w:r w:rsidRPr="006A140B">
        <w:rPr>
          <w:rFonts w:ascii="Book Antiqua" w:hAnsi="Book Antiqua"/>
          <w:i/>
          <w:iCs/>
        </w:rPr>
        <w:t>J Intern Med</w:t>
      </w:r>
      <w:r w:rsidRPr="006A140B">
        <w:rPr>
          <w:rFonts w:ascii="Book Antiqua" w:hAnsi="Book Antiqua"/>
        </w:rPr>
        <w:t xml:space="preserve"> 2019; </w:t>
      </w:r>
      <w:r w:rsidRPr="006A140B">
        <w:rPr>
          <w:rFonts w:ascii="Book Antiqua" w:hAnsi="Book Antiqua"/>
          <w:b/>
          <w:bCs/>
        </w:rPr>
        <w:t>286</w:t>
      </w:r>
      <w:r w:rsidRPr="006A140B">
        <w:rPr>
          <w:rFonts w:ascii="Book Antiqua" w:hAnsi="Book Antiqua"/>
        </w:rPr>
        <w:t>: 711-722 [PMID: 31359543 DOI: 10.1111/joim.12964]</w:t>
      </w:r>
    </w:p>
    <w:p w14:paraId="4AC78BE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123 </w:t>
      </w:r>
      <w:r w:rsidRPr="006A140B">
        <w:rPr>
          <w:rFonts w:ascii="Book Antiqua" w:hAnsi="Book Antiqua"/>
          <w:b/>
          <w:bCs/>
        </w:rPr>
        <w:t>Targher G</w:t>
      </w:r>
      <w:r w:rsidRPr="006A140B">
        <w:rPr>
          <w:rFonts w:ascii="Book Antiqua" w:hAnsi="Book Antiqua"/>
        </w:rPr>
        <w:t xml:space="preserve">, Mantovani A, Alisi A, Mosca A, Panera N, Byrne CD, Nobili V. Relationship Between PNPLA3 rs738409 Polymorphism and Decreased Kidney Function in Children With NAFLD. </w:t>
      </w:r>
      <w:r w:rsidRPr="006A140B">
        <w:rPr>
          <w:rFonts w:ascii="Book Antiqua" w:hAnsi="Book Antiqua"/>
          <w:i/>
          <w:iCs/>
        </w:rPr>
        <w:t>Hepatology</w:t>
      </w:r>
      <w:r w:rsidRPr="006A140B">
        <w:rPr>
          <w:rFonts w:ascii="Book Antiqua" w:hAnsi="Book Antiqua"/>
        </w:rPr>
        <w:t xml:space="preserve"> 2019; </w:t>
      </w:r>
      <w:r w:rsidRPr="006A140B">
        <w:rPr>
          <w:rFonts w:ascii="Book Antiqua" w:hAnsi="Book Antiqua"/>
          <w:b/>
          <w:bCs/>
        </w:rPr>
        <w:t>70</w:t>
      </w:r>
      <w:r w:rsidRPr="006A140B">
        <w:rPr>
          <w:rFonts w:ascii="Book Antiqua" w:hAnsi="Book Antiqua"/>
        </w:rPr>
        <w:t>: 142-153 [PMID: 30912854 DOI: 10.1002/hep.30625]</w:t>
      </w:r>
    </w:p>
    <w:p w14:paraId="644F731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124 </w:t>
      </w:r>
      <w:r w:rsidRPr="006A140B">
        <w:rPr>
          <w:rFonts w:ascii="Book Antiqua" w:hAnsi="Book Antiqua"/>
          <w:b/>
          <w:bCs/>
        </w:rPr>
        <w:t>Leung PS</w:t>
      </w:r>
      <w:r w:rsidRPr="006A140B">
        <w:rPr>
          <w:rFonts w:ascii="Book Antiqua" w:hAnsi="Book Antiqua"/>
        </w:rPr>
        <w:t xml:space="preserve">, Carlsson PO. Tissue renin-angiotensin system: its expression, localization, regulation and potential role in the pancreas. </w:t>
      </w:r>
      <w:r w:rsidRPr="006A140B">
        <w:rPr>
          <w:rFonts w:ascii="Book Antiqua" w:hAnsi="Book Antiqua"/>
          <w:i/>
          <w:iCs/>
        </w:rPr>
        <w:t>J Mol Endocrinol</w:t>
      </w:r>
      <w:r w:rsidRPr="006A140B">
        <w:rPr>
          <w:rFonts w:ascii="Book Antiqua" w:hAnsi="Book Antiqua"/>
        </w:rPr>
        <w:t xml:space="preserve"> 2001; </w:t>
      </w:r>
      <w:r w:rsidRPr="006A140B">
        <w:rPr>
          <w:rFonts w:ascii="Book Antiqua" w:hAnsi="Book Antiqua"/>
          <w:b/>
          <w:bCs/>
        </w:rPr>
        <w:t>26</w:t>
      </w:r>
      <w:r w:rsidRPr="006A140B">
        <w:rPr>
          <w:rFonts w:ascii="Book Antiqua" w:hAnsi="Book Antiqua"/>
        </w:rPr>
        <w:t>: 155-164 [PMID: 11432370 DOI: 10.1677/jme.0.0260155]</w:t>
      </w:r>
    </w:p>
    <w:p w14:paraId="56FE0B9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125 </w:t>
      </w:r>
      <w:r w:rsidRPr="006A140B">
        <w:rPr>
          <w:rFonts w:ascii="Book Antiqua" w:hAnsi="Book Antiqua"/>
          <w:b/>
          <w:bCs/>
        </w:rPr>
        <w:t>Siragy HM</w:t>
      </w:r>
      <w:r w:rsidRPr="006A140B">
        <w:rPr>
          <w:rFonts w:ascii="Book Antiqua" w:hAnsi="Book Antiqua"/>
        </w:rPr>
        <w:t xml:space="preserve">, Carey RM. Role of the intrarenal renin-angiotensin-aldosterone system in chronic kidney disease. </w:t>
      </w:r>
      <w:r w:rsidRPr="006A140B">
        <w:rPr>
          <w:rFonts w:ascii="Book Antiqua" w:hAnsi="Book Antiqua"/>
          <w:i/>
          <w:iCs/>
        </w:rPr>
        <w:t>Am J Nephrol</w:t>
      </w:r>
      <w:r w:rsidRPr="006A140B">
        <w:rPr>
          <w:rFonts w:ascii="Book Antiqua" w:hAnsi="Book Antiqua"/>
        </w:rPr>
        <w:t xml:space="preserve"> 2010; </w:t>
      </w:r>
      <w:r w:rsidRPr="006A140B">
        <w:rPr>
          <w:rFonts w:ascii="Book Antiqua" w:hAnsi="Book Antiqua"/>
          <w:b/>
          <w:bCs/>
        </w:rPr>
        <w:t>31</w:t>
      </w:r>
      <w:r w:rsidRPr="006A140B">
        <w:rPr>
          <w:rFonts w:ascii="Book Antiqua" w:hAnsi="Book Antiqua"/>
        </w:rPr>
        <w:t>: 541-550 [PMID: 20484892 DOI: 10.1159/000313363]</w:t>
      </w:r>
    </w:p>
    <w:p w14:paraId="6B0FBDC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126 </w:t>
      </w:r>
      <w:r w:rsidRPr="006A140B">
        <w:rPr>
          <w:rFonts w:ascii="Book Antiqua" w:hAnsi="Book Antiqua"/>
          <w:b/>
          <w:bCs/>
        </w:rPr>
        <w:t>Brewster UC</w:t>
      </w:r>
      <w:r w:rsidRPr="006A140B">
        <w:rPr>
          <w:rFonts w:ascii="Book Antiqua" w:hAnsi="Book Antiqua"/>
        </w:rPr>
        <w:t xml:space="preserve">, Perazella MA. The renin-angiotensin-aldosterone system and the kidney: effects on kidney disease. </w:t>
      </w:r>
      <w:r w:rsidRPr="006A140B">
        <w:rPr>
          <w:rFonts w:ascii="Book Antiqua" w:hAnsi="Book Antiqua"/>
          <w:i/>
          <w:iCs/>
        </w:rPr>
        <w:t>Am J Med</w:t>
      </w:r>
      <w:r w:rsidRPr="006A140B">
        <w:rPr>
          <w:rFonts w:ascii="Book Antiqua" w:hAnsi="Book Antiqua"/>
        </w:rPr>
        <w:t xml:space="preserve"> 2004; </w:t>
      </w:r>
      <w:r w:rsidRPr="006A140B">
        <w:rPr>
          <w:rFonts w:ascii="Book Antiqua" w:hAnsi="Book Antiqua"/>
          <w:b/>
          <w:bCs/>
        </w:rPr>
        <w:t>116</w:t>
      </w:r>
      <w:r w:rsidRPr="006A140B">
        <w:rPr>
          <w:rFonts w:ascii="Book Antiqua" w:hAnsi="Book Antiqua"/>
        </w:rPr>
        <w:t>: 263-272 [PMID: 14969655 DOI: 10.1016/j.amjmed.2003.09.034]</w:t>
      </w:r>
    </w:p>
    <w:p w14:paraId="55F15DC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127 </w:t>
      </w:r>
      <w:r w:rsidRPr="006A140B">
        <w:rPr>
          <w:rFonts w:ascii="Book Antiqua" w:hAnsi="Book Antiqua"/>
          <w:b/>
          <w:bCs/>
        </w:rPr>
        <w:t>Remuzzi G</w:t>
      </w:r>
      <w:r w:rsidRPr="006A140B">
        <w:rPr>
          <w:rFonts w:ascii="Book Antiqua" w:hAnsi="Book Antiqua"/>
        </w:rPr>
        <w:t xml:space="preserve">, Benigni A, Remuzzi A. Mechanisms of progression and regression of renal lesions of chronic nephropathies and diabetes. </w:t>
      </w:r>
      <w:r w:rsidRPr="006A140B">
        <w:rPr>
          <w:rFonts w:ascii="Book Antiqua" w:hAnsi="Book Antiqua"/>
          <w:i/>
          <w:iCs/>
        </w:rPr>
        <w:t>J Clin Invest</w:t>
      </w:r>
      <w:r w:rsidRPr="006A140B">
        <w:rPr>
          <w:rFonts w:ascii="Book Antiqua" w:hAnsi="Book Antiqua"/>
        </w:rPr>
        <w:t xml:space="preserve"> 2006; </w:t>
      </w:r>
      <w:r w:rsidRPr="006A140B">
        <w:rPr>
          <w:rFonts w:ascii="Book Antiqua" w:hAnsi="Book Antiqua"/>
          <w:b/>
          <w:bCs/>
        </w:rPr>
        <w:t>116</w:t>
      </w:r>
      <w:r w:rsidRPr="006A140B">
        <w:rPr>
          <w:rFonts w:ascii="Book Antiqua" w:hAnsi="Book Antiqua"/>
        </w:rPr>
        <w:t>: 288-296 [PMID: 16453013 DOI: 10.1172/JCI27699]</w:t>
      </w:r>
    </w:p>
    <w:p w14:paraId="27A7825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128 </w:t>
      </w:r>
      <w:r w:rsidRPr="006A140B">
        <w:rPr>
          <w:rFonts w:ascii="Book Antiqua" w:hAnsi="Book Antiqua"/>
          <w:b/>
          <w:bCs/>
        </w:rPr>
        <w:t>Anderson S</w:t>
      </w:r>
      <w:r w:rsidRPr="006A140B">
        <w:rPr>
          <w:rFonts w:ascii="Book Antiqua" w:hAnsi="Book Antiqua"/>
        </w:rPr>
        <w:t xml:space="preserve">, Rennke HG, Brenner BM. Therapeutic advantage of converting enzyme inhibitors in arresting progressive renal disease associated with systemic hypertension in the rat. </w:t>
      </w:r>
      <w:r w:rsidRPr="006A140B">
        <w:rPr>
          <w:rFonts w:ascii="Book Antiqua" w:hAnsi="Book Antiqua"/>
          <w:i/>
          <w:iCs/>
        </w:rPr>
        <w:t>J Clin Invest</w:t>
      </w:r>
      <w:r w:rsidRPr="006A140B">
        <w:rPr>
          <w:rFonts w:ascii="Book Antiqua" w:hAnsi="Book Antiqua"/>
        </w:rPr>
        <w:t xml:space="preserve"> 1986; </w:t>
      </w:r>
      <w:r w:rsidRPr="006A140B">
        <w:rPr>
          <w:rFonts w:ascii="Book Antiqua" w:hAnsi="Book Antiqua"/>
          <w:b/>
          <w:bCs/>
        </w:rPr>
        <w:t>77</w:t>
      </w:r>
      <w:r w:rsidRPr="006A140B">
        <w:rPr>
          <w:rFonts w:ascii="Book Antiqua" w:hAnsi="Book Antiqua"/>
        </w:rPr>
        <w:t>: 1993-2000 [PMID: 3011863 DOI: 10.1172/JCI112528]</w:t>
      </w:r>
    </w:p>
    <w:p w14:paraId="603F544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129 </w:t>
      </w:r>
      <w:r w:rsidRPr="006A140B">
        <w:rPr>
          <w:rFonts w:ascii="Book Antiqua" w:hAnsi="Book Antiqua"/>
          <w:b/>
          <w:bCs/>
        </w:rPr>
        <w:t>Lewis EJ</w:t>
      </w:r>
      <w:r w:rsidRPr="006A140B">
        <w:rPr>
          <w:rFonts w:ascii="Book Antiqua" w:hAnsi="Book Antiqua"/>
        </w:rPr>
        <w:t xml:space="preserve">, Hunsicker LG, Bain RP, Rohde RD. The effect of angiotensin-converting-enzyme inhibition on diabetic nephropathy. The Collaborative Study Group. </w:t>
      </w:r>
      <w:r w:rsidRPr="006A140B">
        <w:rPr>
          <w:rFonts w:ascii="Book Antiqua" w:hAnsi="Book Antiqua"/>
          <w:i/>
          <w:iCs/>
        </w:rPr>
        <w:t>N Engl J Med</w:t>
      </w:r>
      <w:r w:rsidRPr="006A140B">
        <w:rPr>
          <w:rFonts w:ascii="Book Antiqua" w:hAnsi="Book Antiqua"/>
        </w:rPr>
        <w:t xml:space="preserve"> 1993; </w:t>
      </w:r>
      <w:r w:rsidRPr="006A140B">
        <w:rPr>
          <w:rFonts w:ascii="Book Antiqua" w:hAnsi="Book Antiqua"/>
          <w:b/>
          <w:bCs/>
        </w:rPr>
        <w:t>329</w:t>
      </w:r>
      <w:r w:rsidRPr="006A140B">
        <w:rPr>
          <w:rFonts w:ascii="Book Antiqua" w:hAnsi="Book Antiqua"/>
        </w:rPr>
        <w:t>: 1456-1462 [PMID: 8413456 DOI: 10.1056/NEJM199311113292004]</w:t>
      </w:r>
    </w:p>
    <w:p w14:paraId="78906B53" w14:textId="77777777" w:rsidR="00495B7C" w:rsidRPr="006A140B" w:rsidRDefault="00495B7C" w:rsidP="00495B7C">
      <w:pPr>
        <w:spacing w:line="360" w:lineRule="auto"/>
        <w:jc w:val="both"/>
        <w:rPr>
          <w:rFonts w:ascii="Book Antiqua" w:hAnsi="Book Antiqua"/>
        </w:rPr>
      </w:pPr>
      <w:r w:rsidRPr="006A140B">
        <w:rPr>
          <w:rFonts w:ascii="Book Antiqua" w:hAnsi="Book Antiqua"/>
          <w:lang w:val="pt-BR"/>
        </w:rPr>
        <w:t xml:space="preserve">130 </w:t>
      </w:r>
      <w:r w:rsidRPr="006A140B">
        <w:rPr>
          <w:rFonts w:ascii="Book Antiqua" w:hAnsi="Book Antiqua"/>
          <w:b/>
          <w:bCs/>
          <w:lang w:val="pt-BR"/>
        </w:rPr>
        <w:t>Simões E Silva AC</w:t>
      </w:r>
      <w:r w:rsidRPr="006A140B">
        <w:rPr>
          <w:rFonts w:ascii="Book Antiqua" w:hAnsi="Book Antiqua"/>
          <w:lang w:val="pt-BR"/>
        </w:rPr>
        <w:t xml:space="preserve">, Miranda AS, Rocha NP, Teixeira AL. </w:t>
      </w:r>
      <w:r w:rsidRPr="006A140B">
        <w:rPr>
          <w:rFonts w:ascii="Book Antiqua" w:hAnsi="Book Antiqua"/>
        </w:rPr>
        <w:t xml:space="preserve">Renin angiotensin system in liver diseases: Friend or foe? </w:t>
      </w:r>
      <w:r w:rsidRPr="006A140B">
        <w:rPr>
          <w:rFonts w:ascii="Book Antiqua" w:hAnsi="Book Antiqua"/>
          <w:i/>
          <w:iCs/>
        </w:rPr>
        <w:t>World J Gastroenterol</w:t>
      </w:r>
      <w:r w:rsidRPr="006A140B">
        <w:rPr>
          <w:rFonts w:ascii="Book Antiqua" w:hAnsi="Book Antiqua"/>
        </w:rPr>
        <w:t xml:space="preserve"> 2017; </w:t>
      </w:r>
      <w:r w:rsidRPr="006A140B">
        <w:rPr>
          <w:rFonts w:ascii="Book Antiqua" w:hAnsi="Book Antiqua"/>
          <w:b/>
          <w:bCs/>
        </w:rPr>
        <w:t>23</w:t>
      </w:r>
      <w:r w:rsidRPr="006A140B">
        <w:rPr>
          <w:rFonts w:ascii="Book Antiqua" w:hAnsi="Book Antiqua"/>
        </w:rPr>
        <w:t>: 3396-3406 [PMID: 28596676 DOI: 10.3748/wjg.v23.i19.3396]</w:t>
      </w:r>
    </w:p>
    <w:p w14:paraId="577238F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131 </w:t>
      </w:r>
      <w:r w:rsidRPr="006A140B">
        <w:rPr>
          <w:rFonts w:ascii="Book Antiqua" w:hAnsi="Book Antiqua"/>
          <w:b/>
          <w:bCs/>
        </w:rPr>
        <w:t>Bataller R</w:t>
      </w:r>
      <w:r w:rsidRPr="006A140B">
        <w:rPr>
          <w:rFonts w:ascii="Book Antiqua" w:hAnsi="Book Antiqua"/>
        </w:rPr>
        <w:t xml:space="preserve">, Ginès P, Nicolás JM, Görbig MN, Garcia-Ramallo E, Gasull X, Bosch J, Arroyo V, Rodés J. Angiotensin II induces contraction and proliferation of human hepatic stellate cells. </w:t>
      </w:r>
      <w:r w:rsidRPr="006A140B">
        <w:rPr>
          <w:rFonts w:ascii="Book Antiqua" w:hAnsi="Book Antiqua"/>
          <w:i/>
          <w:iCs/>
        </w:rPr>
        <w:t>Gastroenterology</w:t>
      </w:r>
      <w:r w:rsidRPr="006A140B">
        <w:rPr>
          <w:rFonts w:ascii="Book Antiqua" w:hAnsi="Book Antiqua"/>
        </w:rPr>
        <w:t xml:space="preserve"> 2000; </w:t>
      </w:r>
      <w:r w:rsidRPr="006A140B">
        <w:rPr>
          <w:rFonts w:ascii="Book Antiqua" w:hAnsi="Book Antiqua"/>
          <w:b/>
          <w:bCs/>
        </w:rPr>
        <w:t>118</w:t>
      </w:r>
      <w:r w:rsidRPr="006A140B">
        <w:rPr>
          <w:rFonts w:ascii="Book Antiqua" w:hAnsi="Book Antiqua"/>
        </w:rPr>
        <w:t>: 1149-1156 [PMID: 10833490 DOI: 10.1016/s0016-5085(00)70368-4]</w:t>
      </w:r>
    </w:p>
    <w:p w14:paraId="53FFAE6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132 </w:t>
      </w:r>
      <w:r w:rsidRPr="006A140B">
        <w:rPr>
          <w:rFonts w:ascii="Book Antiqua" w:hAnsi="Book Antiqua"/>
          <w:b/>
          <w:bCs/>
        </w:rPr>
        <w:t>Tuncer I</w:t>
      </w:r>
      <w:r w:rsidRPr="006A140B">
        <w:rPr>
          <w:rFonts w:ascii="Book Antiqua" w:hAnsi="Book Antiqua"/>
        </w:rPr>
        <w:t xml:space="preserve">, Ozbek H, Ugras S, Bayram I. Anti-fibrogenic effects of captopril and candesartan cilexetil on the hepatic fibrosis development in rat. The effect of AT1-R blocker on the hepatic fibrosis. </w:t>
      </w:r>
      <w:r w:rsidRPr="006A140B">
        <w:rPr>
          <w:rFonts w:ascii="Book Antiqua" w:hAnsi="Book Antiqua"/>
          <w:i/>
          <w:iCs/>
        </w:rPr>
        <w:t>Exp Toxicol Pathol</w:t>
      </w:r>
      <w:r w:rsidRPr="006A140B">
        <w:rPr>
          <w:rFonts w:ascii="Book Antiqua" w:hAnsi="Book Antiqua"/>
        </w:rPr>
        <w:t xml:space="preserve"> 2003; </w:t>
      </w:r>
      <w:r w:rsidRPr="006A140B">
        <w:rPr>
          <w:rFonts w:ascii="Book Antiqua" w:hAnsi="Book Antiqua"/>
          <w:b/>
          <w:bCs/>
        </w:rPr>
        <w:t>55</w:t>
      </w:r>
      <w:r w:rsidRPr="006A140B">
        <w:rPr>
          <w:rFonts w:ascii="Book Antiqua" w:hAnsi="Book Antiqua"/>
        </w:rPr>
        <w:t>: 159-166 [PMID: 14620537 DOI: 10.1078/0940-2993-00309]</w:t>
      </w:r>
    </w:p>
    <w:p w14:paraId="12D25D0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133 </w:t>
      </w:r>
      <w:r w:rsidRPr="006A140B">
        <w:rPr>
          <w:rFonts w:ascii="Book Antiqua" w:hAnsi="Book Antiqua"/>
          <w:b/>
          <w:bCs/>
        </w:rPr>
        <w:t>Wei YH</w:t>
      </w:r>
      <w:r w:rsidRPr="006A140B">
        <w:rPr>
          <w:rFonts w:ascii="Book Antiqua" w:hAnsi="Book Antiqua"/>
        </w:rPr>
        <w:t xml:space="preserve">, Jun L, Qiang CJ. Effect of losartan, an angiotensin II antagonist, on hepatic fibrosis induced by CCl4 in rats. </w:t>
      </w:r>
      <w:r w:rsidRPr="006A140B">
        <w:rPr>
          <w:rFonts w:ascii="Book Antiqua" w:hAnsi="Book Antiqua"/>
          <w:i/>
          <w:iCs/>
        </w:rPr>
        <w:t>Dig Dis Sci</w:t>
      </w:r>
      <w:r w:rsidRPr="006A140B">
        <w:rPr>
          <w:rFonts w:ascii="Book Antiqua" w:hAnsi="Book Antiqua"/>
        </w:rPr>
        <w:t xml:space="preserve"> 2004; </w:t>
      </w:r>
      <w:r w:rsidRPr="006A140B">
        <w:rPr>
          <w:rFonts w:ascii="Book Antiqua" w:hAnsi="Book Antiqua"/>
          <w:b/>
          <w:bCs/>
        </w:rPr>
        <w:t>49</w:t>
      </w:r>
      <w:r w:rsidRPr="006A140B">
        <w:rPr>
          <w:rFonts w:ascii="Book Antiqua" w:hAnsi="Book Antiqua"/>
        </w:rPr>
        <w:t>: 1589-1594 [PMID: 15573910 DOI: 10.1023/b:ddas.0000043369.88701.5b]</w:t>
      </w:r>
    </w:p>
    <w:p w14:paraId="2B4733C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134 </w:t>
      </w:r>
      <w:r w:rsidRPr="006A140B">
        <w:rPr>
          <w:rFonts w:ascii="Book Antiqua" w:hAnsi="Book Antiqua"/>
          <w:b/>
          <w:bCs/>
        </w:rPr>
        <w:t>Yoshiji H</w:t>
      </w:r>
      <w:r w:rsidRPr="006A140B">
        <w:rPr>
          <w:rFonts w:ascii="Book Antiqua" w:hAnsi="Book Antiqua"/>
        </w:rPr>
        <w:t xml:space="preserve">, Noguchi R, Kuriyama S, Yoshii J, Ikenaka Y, Yanase K, Namisaki T, Kitade M, Yamazaki M, Uemura M, Fukui H. Suppression of renin-angiotensin system attenuates hepatocarcinogenesis via angiogenesis inhibition in rats. </w:t>
      </w:r>
      <w:r w:rsidRPr="006A140B">
        <w:rPr>
          <w:rFonts w:ascii="Book Antiqua" w:hAnsi="Book Antiqua"/>
          <w:i/>
          <w:iCs/>
        </w:rPr>
        <w:t>Anticancer Res</w:t>
      </w:r>
      <w:r w:rsidRPr="006A140B">
        <w:rPr>
          <w:rFonts w:ascii="Book Antiqua" w:hAnsi="Book Antiqua"/>
        </w:rPr>
        <w:t xml:space="preserve"> 2005; </w:t>
      </w:r>
      <w:r w:rsidRPr="006A140B">
        <w:rPr>
          <w:rFonts w:ascii="Book Antiqua" w:hAnsi="Book Antiqua"/>
          <w:b/>
          <w:bCs/>
        </w:rPr>
        <w:t>25</w:t>
      </w:r>
      <w:r w:rsidRPr="006A140B">
        <w:rPr>
          <w:rFonts w:ascii="Book Antiqua" w:hAnsi="Book Antiqua"/>
        </w:rPr>
        <w:t>: 3335-3340 [PMID: 16101147]</w:t>
      </w:r>
    </w:p>
    <w:p w14:paraId="659929A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135 </w:t>
      </w:r>
      <w:r w:rsidRPr="006A140B">
        <w:rPr>
          <w:rFonts w:ascii="Book Antiqua" w:hAnsi="Book Antiqua"/>
          <w:b/>
          <w:bCs/>
        </w:rPr>
        <w:t>Lee CH</w:t>
      </w:r>
      <w:r w:rsidRPr="006A140B">
        <w:rPr>
          <w:rFonts w:ascii="Book Antiqua" w:hAnsi="Book Antiqua"/>
        </w:rPr>
        <w:t xml:space="preserve">, Hsieh SY, Chang CC, Wang IK, Huang WH, Weng CH, Hsu CW, Yen TH. Hepatocellular carcinoma in hemodialysis patients. </w:t>
      </w:r>
      <w:r w:rsidRPr="006A140B">
        <w:rPr>
          <w:rFonts w:ascii="Book Antiqua" w:hAnsi="Book Antiqua"/>
          <w:i/>
          <w:iCs/>
        </w:rPr>
        <w:t>Oncotarget</w:t>
      </w:r>
      <w:r w:rsidRPr="006A140B">
        <w:rPr>
          <w:rFonts w:ascii="Book Antiqua" w:hAnsi="Book Antiqua"/>
        </w:rPr>
        <w:t xml:space="preserve"> 2017; </w:t>
      </w:r>
      <w:r w:rsidRPr="006A140B">
        <w:rPr>
          <w:rFonts w:ascii="Book Antiqua" w:hAnsi="Book Antiqua"/>
          <w:b/>
          <w:bCs/>
        </w:rPr>
        <w:t>8</w:t>
      </w:r>
      <w:r w:rsidRPr="006A140B">
        <w:rPr>
          <w:rFonts w:ascii="Book Antiqua" w:hAnsi="Book Antiqua"/>
        </w:rPr>
        <w:t>: 73154-73161 [PMID: 29069858 DOI: 10.18632/oncotarget.17127]</w:t>
      </w:r>
    </w:p>
    <w:p w14:paraId="3FE01B3A" w14:textId="77777777" w:rsidR="00495B7C" w:rsidRPr="006A140B" w:rsidRDefault="00495B7C" w:rsidP="00495B7C">
      <w:pPr>
        <w:spacing w:line="360" w:lineRule="auto"/>
        <w:jc w:val="both"/>
        <w:rPr>
          <w:rFonts w:ascii="Book Antiqua" w:hAnsi="Book Antiqua"/>
          <w:lang w:val="pt-BR"/>
        </w:rPr>
      </w:pPr>
      <w:r w:rsidRPr="006A140B">
        <w:rPr>
          <w:rFonts w:ascii="Book Antiqua" w:hAnsi="Book Antiqua"/>
        </w:rPr>
        <w:t xml:space="preserve">136 </w:t>
      </w:r>
      <w:r w:rsidRPr="006A140B">
        <w:rPr>
          <w:rFonts w:ascii="Book Antiqua" w:hAnsi="Book Antiqua"/>
          <w:b/>
          <w:bCs/>
        </w:rPr>
        <w:t>Lee YH</w:t>
      </w:r>
      <w:r w:rsidRPr="006A140B">
        <w:rPr>
          <w:rFonts w:ascii="Book Antiqua" w:hAnsi="Book Antiqua"/>
        </w:rPr>
        <w:t xml:space="preserve">, Hsu CY, Hsia CY, Huang YH, Su CW, Lin HC, Lee RC, Chiou YY, Huo TI. Hepatocellular carcinoma in uremic patients: is there evidence for an increased risk of mortality? </w:t>
      </w:r>
      <w:r w:rsidRPr="006A140B">
        <w:rPr>
          <w:rFonts w:ascii="Book Antiqua" w:hAnsi="Book Antiqua"/>
          <w:i/>
          <w:iCs/>
          <w:lang w:val="pt-BR"/>
        </w:rPr>
        <w:t>J Gastroenterol Hepatol</w:t>
      </w:r>
      <w:r w:rsidRPr="006A140B">
        <w:rPr>
          <w:rFonts w:ascii="Book Antiqua" w:hAnsi="Book Antiqua"/>
          <w:lang w:val="pt-BR"/>
        </w:rPr>
        <w:t xml:space="preserve"> 2013; </w:t>
      </w:r>
      <w:r w:rsidRPr="006A140B">
        <w:rPr>
          <w:rFonts w:ascii="Book Antiqua" w:hAnsi="Book Antiqua"/>
          <w:b/>
          <w:bCs/>
          <w:lang w:val="pt-BR"/>
        </w:rPr>
        <w:t>28</w:t>
      </w:r>
      <w:r w:rsidRPr="006A140B">
        <w:rPr>
          <w:rFonts w:ascii="Book Antiqua" w:hAnsi="Book Antiqua"/>
          <w:lang w:val="pt-BR"/>
        </w:rPr>
        <w:t>: 348-356 [PMID: 23190248 DOI: 10.1111/jgh.12062]</w:t>
      </w:r>
    </w:p>
    <w:p w14:paraId="138149F4" w14:textId="77777777" w:rsidR="00495B7C" w:rsidRPr="006A140B" w:rsidRDefault="00495B7C" w:rsidP="00495B7C">
      <w:pPr>
        <w:spacing w:line="360" w:lineRule="auto"/>
        <w:jc w:val="both"/>
        <w:rPr>
          <w:rFonts w:ascii="Book Antiqua" w:hAnsi="Book Antiqua"/>
        </w:rPr>
      </w:pPr>
      <w:r w:rsidRPr="006A140B">
        <w:rPr>
          <w:rFonts w:ascii="Book Antiqua" w:hAnsi="Book Antiqua"/>
          <w:lang w:val="pt-BR"/>
        </w:rPr>
        <w:t xml:space="preserve">137 </w:t>
      </w:r>
      <w:r w:rsidRPr="006A140B">
        <w:rPr>
          <w:rFonts w:ascii="Book Antiqua" w:hAnsi="Book Antiqua"/>
          <w:b/>
          <w:bCs/>
          <w:lang w:val="pt-BR"/>
        </w:rPr>
        <w:t>Sarno G</w:t>
      </w:r>
      <w:r w:rsidRPr="006A140B">
        <w:rPr>
          <w:rFonts w:ascii="Book Antiqua" w:hAnsi="Book Antiqua"/>
          <w:lang w:val="pt-BR"/>
        </w:rPr>
        <w:t xml:space="preserve">, Montalti R, Giglio MC, Rompianesi G, Tomassini F, Scarpellini E, De Simone G, De Palma GD, Troisi RI. </w:t>
      </w:r>
      <w:r w:rsidRPr="006A140B">
        <w:rPr>
          <w:rFonts w:ascii="Book Antiqua" w:hAnsi="Book Antiqua"/>
        </w:rPr>
        <w:t xml:space="preserve">Hepatocellular carcinoma in patients with chronic renal disease: Challenges of interventional treatment. </w:t>
      </w:r>
      <w:r w:rsidRPr="006A140B">
        <w:rPr>
          <w:rFonts w:ascii="Book Antiqua" w:hAnsi="Book Antiqua"/>
          <w:i/>
          <w:iCs/>
        </w:rPr>
        <w:t>Surg Oncol</w:t>
      </w:r>
      <w:r w:rsidRPr="006A140B">
        <w:rPr>
          <w:rFonts w:ascii="Book Antiqua" w:hAnsi="Book Antiqua"/>
        </w:rPr>
        <w:t xml:space="preserve"> 2021; </w:t>
      </w:r>
      <w:r w:rsidRPr="006A140B">
        <w:rPr>
          <w:rFonts w:ascii="Book Antiqua" w:hAnsi="Book Antiqua"/>
          <w:b/>
          <w:bCs/>
        </w:rPr>
        <w:t>36</w:t>
      </w:r>
      <w:r w:rsidRPr="006A140B">
        <w:rPr>
          <w:rFonts w:ascii="Book Antiqua" w:hAnsi="Book Antiqua"/>
        </w:rPr>
        <w:t>: 42-50 [PMID: 33307490 DOI: 10.1016/j.suronc.2020.11.007]</w:t>
      </w:r>
    </w:p>
    <w:p w14:paraId="61FECCD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138 </w:t>
      </w:r>
      <w:r w:rsidRPr="006A140B">
        <w:rPr>
          <w:rFonts w:ascii="Book Antiqua" w:hAnsi="Book Antiqua"/>
          <w:b/>
          <w:bCs/>
        </w:rPr>
        <w:t>Llovet JM</w:t>
      </w:r>
      <w:r w:rsidRPr="006A140B">
        <w:rPr>
          <w:rFonts w:ascii="Book Antiqua" w:hAnsi="Book Antiqua"/>
        </w:rPr>
        <w:t xml:space="preserve">, Brú C, Bruix J. Prognosis of hepatocellular carcinoma: the BCLC staging classification. </w:t>
      </w:r>
      <w:r w:rsidRPr="006A140B">
        <w:rPr>
          <w:rFonts w:ascii="Book Antiqua" w:hAnsi="Book Antiqua"/>
          <w:i/>
          <w:iCs/>
        </w:rPr>
        <w:t>Semin Liver Dis</w:t>
      </w:r>
      <w:r w:rsidRPr="006A140B">
        <w:rPr>
          <w:rFonts w:ascii="Book Antiqua" w:hAnsi="Book Antiqua"/>
        </w:rPr>
        <w:t xml:space="preserve"> 1999; </w:t>
      </w:r>
      <w:r w:rsidRPr="006A140B">
        <w:rPr>
          <w:rFonts w:ascii="Book Antiqua" w:hAnsi="Book Antiqua"/>
          <w:b/>
          <w:bCs/>
        </w:rPr>
        <w:t>19</w:t>
      </w:r>
      <w:r w:rsidRPr="006A140B">
        <w:rPr>
          <w:rFonts w:ascii="Book Antiqua" w:hAnsi="Book Antiqua"/>
        </w:rPr>
        <w:t>: 329-338 [PMID: 10518312 DOI: 10.1055/s-2007-1007122]</w:t>
      </w:r>
    </w:p>
    <w:p w14:paraId="07060F1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139 </w:t>
      </w:r>
      <w:r w:rsidRPr="006A140B">
        <w:rPr>
          <w:rFonts w:ascii="Book Antiqua" w:hAnsi="Book Antiqua"/>
          <w:b/>
          <w:bCs/>
        </w:rPr>
        <w:t>Villanueva A</w:t>
      </w:r>
      <w:r w:rsidRPr="006A140B">
        <w:rPr>
          <w:rFonts w:ascii="Book Antiqua" w:hAnsi="Book Antiqua"/>
        </w:rPr>
        <w:t xml:space="preserve">. Hepatocellular Carcinoma. </w:t>
      </w:r>
      <w:r w:rsidRPr="006A140B">
        <w:rPr>
          <w:rFonts w:ascii="Book Antiqua" w:hAnsi="Book Antiqua"/>
          <w:i/>
          <w:iCs/>
        </w:rPr>
        <w:t>N Engl J Med</w:t>
      </w:r>
      <w:r w:rsidRPr="006A140B">
        <w:rPr>
          <w:rFonts w:ascii="Book Antiqua" w:hAnsi="Book Antiqua"/>
        </w:rPr>
        <w:t xml:space="preserve"> 2019; </w:t>
      </w:r>
      <w:r w:rsidRPr="006A140B">
        <w:rPr>
          <w:rFonts w:ascii="Book Antiqua" w:hAnsi="Book Antiqua"/>
          <w:b/>
          <w:bCs/>
        </w:rPr>
        <w:t>380</w:t>
      </w:r>
      <w:r w:rsidRPr="006A140B">
        <w:rPr>
          <w:rFonts w:ascii="Book Antiqua" w:hAnsi="Book Antiqua"/>
        </w:rPr>
        <w:t>: 1450-1462 [PMID: 30970190 DOI: 10.1056/NEJMra1713263]</w:t>
      </w:r>
    </w:p>
    <w:p w14:paraId="0E7E49F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140 </w:t>
      </w:r>
      <w:r w:rsidRPr="006A140B">
        <w:rPr>
          <w:rFonts w:ascii="Book Antiqua" w:hAnsi="Book Antiqua"/>
          <w:b/>
          <w:bCs/>
        </w:rPr>
        <w:t>Forner A</w:t>
      </w:r>
      <w:r w:rsidRPr="006A140B">
        <w:rPr>
          <w:rFonts w:ascii="Book Antiqua" w:hAnsi="Book Antiqua"/>
        </w:rPr>
        <w:t xml:space="preserve">, Reig M, Bruix J. Hepatocellular carcinoma. </w:t>
      </w:r>
      <w:r w:rsidRPr="006A140B">
        <w:rPr>
          <w:rFonts w:ascii="Book Antiqua" w:hAnsi="Book Antiqua"/>
          <w:i/>
          <w:iCs/>
        </w:rPr>
        <w:t>Lancet</w:t>
      </w:r>
      <w:r w:rsidRPr="006A140B">
        <w:rPr>
          <w:rFonts w:ascii="Book Antiqua" w:hAnsi="Book Antiqua"/>
        </w:rPr>
        <w:t xml:space="preserve"> 2018; </w:t>
      </w:r>
      <w:r w:rsidRPr="006A140B">
        <w:rPr>
          <w:rFonts w:ascii="Book Antiqua" w:hAnsi="Book Antiqua"/>
          <w:b/>
          <w:bCs/>
        </w:rPr>
        <w:t>391</w:t>
      </w:r>
      <w:r w:rsidRPr="006A140B">
        <w:rPr>
          <w:rFonts w:ascii="Book Antiqua" w:hAnsi="Book Antiqua"/>
        </w:rPr>
        <w:t>: 1301-1314 [PMID: 29307467 DOI: 10.1016/S0140-6736(18)30010-2]</w:t>
      </w:r>
    </w:p>
    <w:p w14:paraId="1DE8435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141 </w:t>
      </w:r>
      <w:r w:rsidRPr="006A140B">
        <w:rPr>
          <w:rFonts w:ascii="Book Antiqua" w:hAnsi="Book Antiqua"/>
          <w:b/>
          <w:bCs/>
        </w:rPr>
        <w:t>Thelen A</w:t>
      </w:r>
      <w:r w:rsidRPr="006A140B">
        <w:rPr>
          <w:rFonts w:ascii="Book Antiqua" w:hAnsi="Book Antiqua"/>
        </w:rPr>
        <w:t xml:space="preserve">, Benckert C, Tautenhahn HM, Hau HM, Bartels M, Linnemann J, Bertolini J, Moche M, Wittekind C, Jonas S. Liver resection for hepatocellular carcinoma in patients without cirrhosis. </w:t>
      </w:r>
      <w:r w:rsidRPr="006A140B">
        <w:rPr>
          <w:rFonts w:ascii="Book Antiqua" w:hAnsi="Book Antiqua"/>
          <w:i/>
          <w:iCs/>
        </w:rPr>
        <w:t>Br J Surg</w:t>
      </w:r>
      <w:r w:rsidRPr="006A140B">
        <w:rPr>
          <w:rFonts w:ascii="Book Antiqua" w:hAnsi="Book Antiqua"/>
        </w:rPr>
        <w:t xml:space="preserve"> 2013; </w:t>
      </w:r>
      <w:r w:rsidRPr="006A140B">
        <w:rPr>
          <w:rFonts w:ascii="Book Antiqua" w:hAnsi="Book Antiqua"/>
          <w:b/>
          <w:bCs/>
        </w:rPr>
        <w:t>100</w:t>
      </w:r>
      <w:r w:rsidRPr="006A140B">
        <w:rPr>
          <w:rFonts w:ascii="Book Antiqua" w:hAnsi="Book Antiqua"/>
        </w:rPr>
        <w:t>: 130-137 [PMID: 23132620 DOI: 10.1002/bjs.8962]</w:t>
      </w:r>
    </w:p>
    <w:p w14:paraId="726BA2A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142 </w:t>
      </w:r>
      <w:r w:rsidRPr="006A140B">
        <w:rPr>
          <w:rFonts w:ascii="Book Antiqua" w:hAnsi="Book Antiqua"/>
          <w:b/>
          <w:bCs/>
        </w:rPr>
        <w:t>Smoot RL</w:t>
      </w:r>
      <w:r w:rsidRPr="006A140B">
        <w:rPr>
          <w:rFonts w:ascii="Book Antiqua" w:hAnsi="Book Antiqua"/>
        </w:rPr>
        <w:t xml:space="preserve">, Nagorney DM, Chandan VS, Que FG, Schleck CD, Harmsen WS, Kendrick ML. Resection of hepatocellular carcinoma in patients without cirrhosis. </w:t>
      </w:r>
      <w:r w:rsidRPr="006A140B">
        <w:rPr>
          <w:rFonts w:ascii="Book Antiqua" w:hAnsi="Book Antiqua"/>
          <w:i/>
          <w:iCs/>
        </w:rPr>
        <w:t>Br J Surg</w:t>
      </w:r>
      <w:r w:rsidRPr="006A140B">
        <w:rPr>
          <w:rFonts w:ascii="Book Antiqua" w:hAnsi="Book Antiqua"/>
        </w:rPr>
        <w:t xml:space="preserve"> 2011; </w:t>
      </w:r>
      <w:r w:rsidRPr="006A140B">
        <w:rPr>
          <w:rFonts w:ascii="Book Antiqua" w:hAnsi="Book Antiqua"/>
          <w:b/>
          <w:bCs/>
        </w:rPr>
        <w:t>98</w:t>
      </w:r>
      <w:r w:rsidRPr="006A140B">
        <w:rPr>
          <w:rFonts w:ascii="Book Antiqua" w:hAnsi="Book Antiqua"/>
        </w:rPr>
        <w:t>: 697-703 [PMID: 21280030 DOI: 10.1002/bjs.7401]</w:t>
      </w:r>
    </w:p>
    <w:p w14:paraId="264B3F1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143 </w:t>
      </w:r>
      <w:r w:rsidRPr="006A140B">
        <w:rPr>
          <w:rFonts w:ascii="Book Antiqua" w:hAnsi="Book Antiqua"/>
          <w:b/>
          <w:bCs/>
        </w:rPr>
        <w:t>Ercolani G</w:t>
      </w:r>
      <w:r w:rsidRPr="006A140B">
        <w:rPr>
          <w:rFonts w:ascii="Book Antiqua" w:hAnsi="Book Antiqua"/>
        </w:rPr>
        <w:t xml:space="preserve">, Grazi GL, Ravaioli M, Del Gaudio M, Gardini A, Cescon M, Varotti G, Cetta F, Cavallari A. Liver resection for hepatocellular carcinoma on cirrhosis: univariate and multivariate analysis of risk factors for intrahepatic recurrence. </w:t>
      </w:r>
      <w:r w:rsidRPr="006A140B">
        <w:rPr>
          <w:rFonts w:ascii="Book Antiqua" w:hAnsi="Book Antiqua"/>
          <w:i/>
          <w:iCs/>
        </w:rPr>
        <w:t>Ann Surg</w:t>
      </w:r>
      <w:r w:rsidRPr="006A140B">
        <w:rPr>
          <w:rFonts w:ascii="Book Antiqua" w:hAnsi="Book Antiqua"/>
        </w:rPr>
        <w:t xml:space="preserve"> 2003; </w:t>
      </w:r>
      <w:r w:rsidRPr="006A140B">
        <w:rPr>
          <w:rFonts w:ascii="Book Antiqua" w:hAnsi="Book Antiqua"/>
          <w:b/>
          <w:bCs/>
        </w:rPr>
        <w:t>237</w:t>
      </w:r>
      <w:r w:rsidRPr="006A140B">
        <w:rPr>
          <w:rFonts w:ascii="Book Antiqua" w:hAnsi="Book Antiqua"/>
        </w:rPr>
        <w:t>: 536-543 [PMID: 12677151 DOI: 10.1097/01.SLA.0000059988.22416.F2]</w:t>
      </w:r>
    </w:p>
    <w:p w14:paraId="2FC093E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144 </w:t>
      </w:r>
      <w:r w:rsidRPr="006A140B">
        <w:rPr>
          <w:rFonts w:ascii="Book Antiqua" w:hAnsi="Book Antiqua"/>
          <w:b/>
          <w:bCs/>
        </w:rPr>
        <w:t>Santambrogio R</w:t>
      </w:r>
      <w:r w:rsidRPr="006A140B">
        <w:rPr>
          <w:rFonts w:ascii="Book Antiqua" w:hAnsi="Book Antiqua"/>
        </w:rPr>
        <w:t xml:space="preserve">, Kluger MD, Costa M, Belli A, Barabino M, Laurent A, Opocher E, Azoulay D, Cherqui D. Hepatic resection for hepatocellular carcinoma in patients with Child-Pugh's A cirrhosis: is clinical evidence of portal hypertension a contraindication? </w:t>
      </w:r>
      <w:r w:rsidRPr="006A140B">
        <w:rPr>
          <w:rFonts w:ascii="Book Antiqua" w:hAnsi="Book Antiqua"/>
          <w:i/>
          <w:iCs/>
        </w:rPr>
        <w:t>HPB (Oxford)</w:t>
      </w:r>
      <w:r w:rsidRPr="006A140B">
        <w:rPr>
          <w:rFonts w:ascii="Book Antiqua" w:hAnsi="Book Antiqua"/>
        </w:rPr>
        <w:t xml:space="preserve"> 2013; </w:t>
      </w:r>
      <w:r w:rsidRPr="006A140B">
        <w:rPr>
          <w:rFonts w:ascii="Book Antiqua" w:hAnsi="Book Antiqua"/>
          <w:b/>
          <w:bCs/>
        </w:rPr>
        <w:t>15</w:t>
      </w:r>
      <w:r w:rsidRPr="006A140B">
        <w:rPr>
          <w:rFonts w:ascii="Book Antiqua" w:hAnsi="Book Antiqua"/>
        </w:rPr>
        <w:t>: 78-84 [PMID: 23216782 DOI: 10.1111/j.1477-2574.2012.00594.x]</w:t>
      </w:r>
    </w:p>
    <w:p w14:paraId="09F6B50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145 </w:t>
      </w:r>
      <w:r w:rsidRPr="006A140B">
        <w:rPr>
          <w:rFonts w:ascii="Book Antiqua" w:hAnsi="Book Antiqua"/>
          <w:b/>
          <w:bCs/>
        </w:rPr>
        <w:t>Marrero JA</w:t>
      </w:r>
      <w:r w:rsidRPr="006A140B">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6A140B">
        <w:rPr>
          <w:rFonts w:ascii="Book Antiqua" w:hAnsi="Book Antiqua"/>
          <w:i/>
          <w:iCs/>
        </w:rPr>
        <w:t>Hepatology</w:t>
      </w:r>
      <w:r w:rsidRPr="006A140B">
        <w:rPr>
          <w:rFonts w:ascii="Book Antiqua" w:hAnsi="Book Antiqua"/>
        </w:rPr>
        <w:t xml:space="preserve"> 2018; </w:t>
      </w:r>
      <w:r w:rsidRPr="006A140B">
        <w:rPr>
          <w:rFonts w:ascii="Book Antiqua" w:hAnsi="Book Antiqua"/>
          <w:b/>
          <w:bCs/>
        </w:rPr>
        <w:t>68</w:t>
      </w:r>
      <w:r w:rsidRPr="006A140B">
        <w:rPr>
          <w:rFonts w:ascii="Book Antiqua" w:hAnsi="Book Antiqua"/>
        </w:rPr>
        <w:t>: 723-750 [PMID: 29624699 DOI: 10.1002/hep.29913]</w:t>
      </w:r>
    </w:p>
    <w:p w14:paraId="588B722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146 </w:t>
      </w:r>
      <w:r w:rsidRPr="006A140B">
        <w:rPr>
          <w:rFonts w:ascii="Book Antiqua" w:hAnsi="Book Antiqua"/>
          <w:b/>
          <w:bCs/>
        </w:rPr>
        <w:t>European Association For The Study Of The Liver.</w:t>
      </w:r>
      <w:r w:rsidRPr="006A140B">
        <w:rPr>
          <w:rFonts w:ascii="Book Antiqua" w:hAnsi="Book Antiqua"/>
        </w:rPr>
        <w:t xml:space="preserve">; European Organisation For Research And Treatment Of Cancer. EASL-EORTC clinical practice guidelines: management of hepatocellular carcinoma. </w:t>
      </w:r>
      <w:r w:rsidRPr="006A140B">
        <w:rPr>
          <w:rFonts w:ascii="Book Antiqua" w:hAnsi="Book Antiqua"/>
          <w:i/>
          <w:iCs/>
        </w:rPr>
        <w:t>J Hepatol</w:t>
      </w:r>
      <w:r w:rsidRPr="006A140B">
        <w:rPr>
          <w:rFonts w:ascii="Book Antiqua" w:hAnsi="Book Antiqua"/>
        </w:rPr>
        <w:t xml:space="preserve"> 2012; </w:t>
      </w:r>
      <w:r w:rsidRPr="006A140B">
        <w:rPr>
          <w:rFonts w:ascii="Book Antiqua" w:hAnsi="Book Antiqua"/>
          <w:b/>
          <w:bCs/>
        </w:rPr>
        <w:t>56</w:t>
      </w:r>
      <w:r w:rsidRPr="006A140B">
        <w:rPr>
          <w:rFonts w:ascii="Book Antiqua" w:hAnsi="Book Antiqua"/>
        </w:rPr>
        <w:t>: 908-943 [PMID: 22424438 DOI: 10.1016/j.jhep.2011.12.001]</w:t>
      </w:r>
    </w:p>
    <w:p w14:paraId="78A8481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147 </w:t>
      </w:r>
      <w:r w:rsidRPr="006A140B">
        <w:rPr>
          <w:rFonts w:ascii="Book Antiqua" w:hAnsi="Book Antiqua"/>
          <w:b/>
          <w:bCs/>
        </w:rPr>
        <w:t>Omata M</w:t>
      </w:r>
      <w:r w:rsidRPr="006A140B">
        <w:rPr>
          <w:rFonts w:ascii="Book Antiqua" w:hAnsi="Book Antiqua"/>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6A140B">
        <w:rPr>
          <w:rFonts w:ascii="Book Antiqua" w:hAnsi="Book Antiqua"/>
          <w:i/>
          <w:iCs/>
        </w:rPr>
        <w:t>Hepatol Int</w:t>
      </w:r>
      <w:r w:rsidRPr="006A140B">
        <w:rPr>
          <w:rFonts w:ascii="Book Antiqua" w:hAnsi="Book Antiqua"/>
        </w:rPr>
        <w:t xml:space="preserve"> 2017; </w:t>
      </w:r>
      <w:r w:rsidRPr="006A140B">
        <w:rPr>
          <w:rFonts w:ascii="Book Antiqua" w:hAnsi="Book Antiqua"/>
          <w:b/>
          <w:bCs/>
        </w:rPr>
        <w:t>11</w:t>
      </w:r>
      <w:r w:rsidRPr="006A140B">
        <w:rPr>
          <w:rFonts w:ascii="Book Antiqua" w:hAnsi="Book Antiqua"/>
        </w:rPr>
        <w:t>: 317-370 [PMID: 28620797 DOI: 10.1007/s12072-017-9799-9]</w:t>
      </w:r>
    </w:p>
    <w:p w14:paraId="6AE2A47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148 </w:t>
      </w:r>
      <w:r w:rsidRPr="006A140B">
        <w:rPr>
          <w:rFonts w:ascii="Book Antiqua" w:hAnsi="Book Antiqua"/>
          <w:b/>
          <w:bCs/>
        </w:rPr>
        <w:t>Allaire M</w:t>
      </w:r>
      <w:r w:rsidRPr="006A140B">
        <w:rPr>
          <w:rFonts w:ascii="Book Antiqua" w:hAnsi="Book Antiqua"/>
        </w:rPr>
        <w:t xml:space="preserve">, Goumard C, Lim C, Le Cleach A, Wagner M, Scatton O. New frontiers in liver resection for hepatocellular carcinoma. </w:t>
      </w:r>
      <w:r w:rsidRPr="006A140B">
        <w:rPr>
          <w:rFonts w:ascii="Book Antiqua" w:hAnsi="Book Antiqua"/>
          <w:i/>
          <w:iCs/>
        </w:rPr>
        <w:t>JHEP Rep</w:t>
      </w:r>
      <w:r w:rsidRPr="006A140B">
        <w:rPr>
          <w:rFonts w:ascii="Book Antiqua" w:hAnsi="Book Antiqua"/>
        </w:rPr>
        <w:t xml:space="preserve"> 2020; </w:t>
      </w:r>
      <w:r w:rsidRPr="006A140B">
        <w:rPr>
          <w:rFonts w:ascii="Book Antiqua" w:hAnsi="Book Antiqua"/>
          <w:b/>
          <w:bCs/>
        </w:rPr>
        <w:t>2</w:t>
      </w:r>
      <w:r w:rsidRPr="006A140B">
        <w:rPr>
          <w:rFonts w:ascii="Book Antiqua" w:hAnsi="Book Antiqua"/>
        </w:rPr>
        <w:t>: 100134 [PMID: 32695968 DOI: 10.1016/j.jhepr.2020.100134]</w:t>
      </w:r>
    </w:p>
    <w:p w14:paraId="13CBA0A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149 </w:t>
      </w:r>
      <w:r w:rsidRPr="006A140B">
        <w:rPr>
          <w:rFonts w:ascii="Book Antiqua" w:hAnsi="Book Antiqua"/>
          <w:b/>
          <w:bCs/>
        </w:rPr>
        <w:t>Cloyd JM</w:t>
      </w:r>
      <w:r w:rsidRPr="006A140B">
        <w:rPr>
          <w:rFonts w:ascii="Book Antiqua" w:hAnsi="Book Antiqua"/>
        </w:rPr>
        <w:t xml:space="preserve">, Ma Y, Morton JM, Kurella Tamura M, Poultsides GA, Visser BC. Does chronic kidney disease affect outcomes after major abdominal surgery? Results from the National Surgical Quality Improvement Program. </w:t>
      </w:r>
      <w:r w:rsidRPr="006A140B">
        <w:rPr>
          <w:rFonts w:ascii="Book Antiqua" w:hAnsi="Book Antiqua"/>
          <w:i/>
          <w:iCs/>
        </w:rPr>
        <w:t>J Gastrointest Surg</w:t>
      </w:r>
      <w:r w:rsidRPr="006A140B">
        <w:rPr>
          <w:rFonts w:ascii="Book Antiqua" w:hAnsi="Book Antiqua"/>
        </w:rPr>
        <w:t xml:space="preserve"> 2014; </w:t>
      </w:r>
      <w:r w:rsidRPr="006A140B">
        <w:rPr>
          <w:rFonts w:ascii="Book Antiqua" w:hAnsi="Book Antiqua"/>
          <w:b/>
          <w:bCs/>
        </w:rPr>
        <w:t>18</w:t>
      </w:r>
      <w:r w:rsidRPr="006A140B">
        <w:rPr>
          <w:rFonts w:ascii="Book Antiqua" w:hAnsi="Book Antiqua"/>
        </w:rPr>
        <w:t>: 605-612 [PMID: 24241964 DOI: 10.1007/s11605-013-2390-3]</w:t>
      </w:r>
    </w:p>
    <w:p w14:paraId="05DDF3A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150 </w:t>
      </w:r>
      <w:r w:rsidRPr="006A140B">
        <w:rPr>
          <w:rFonts w:ascii="Book Antiqua" w:hAnsi="Book Antiqua"/>
          <w:b/>
          <w:bCs/>
        </w:rPr>
        <w:t>Toshima T</w:t>
      </w:r>
      <w:r w:rsidRPr="006A140B">
        <w:rPr>
          <w:rFonts w:ascii="Book Antiqua" w:hAnsi="Book Antiqua"/>
        </w:rPr>
        <w:t xml:space="preserve">, Shirabe K, Yoshiya S, Muto J, Ikegami T, Yoshizumi T, Maehara Y. Outcome of hepatectomy for hepatocellular carcinoma in patients with renal dysfunction. </w:t>
      </w:r>
      <w:r w:rsidRPr="006A140B">
        <w:rPr>
          <w:rFonts w:ascii="Book Antiqua" w:hAnsi="Book Antiqua"/>
          <w:i/>
          <w:iCs/>
        </w:rPr>
        <w:t>HPB (Oxford)</w:t>
      </w:r>
      <w:r w:rsidRPr="006A140B">
        <w:rPr>
          <w:rFonts w:ascii="Book Antiqua" w:hAnsi="Book Antiqua"/>
        </w:rPr>
        <w:t xml:space="preserve"> 2012; </w:t>
      </w:r>
      <w:r w:rsidRPr="006A140B">
        <w:rPr>
          <w:rFonts w:ascii="Book Antiqua" w:hAnsi="Book Antiqua"/>
          <w:b/>
          <w:bCs/>
        </w:rPr>
        <w:t>14</w:t>
      </w:r>
      <w:r w:rsidRPr="006A140B">
        <w:rPr>
          <w:rFonts w:ascii="Book Antiqua" w:hAnsi="Book Antiqua"/>
        </w:rPr>
        <w:t>: 317-324 [PMID: 22487069 DOI: 10.1111/j.1477-2574.2012.00452.x]</w:t>
      </w:r>
    </w:p>
    <w:p w14:paraId="2ED99CE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151 </w:t>
      </w:r>
      <w:r w:rsidRPr="006A140B">
        <w:rPr>
          <w:rFonts w:ascii="Book Antiqua" w:hAnsi="Book Antiqua"/>
          <w:b/>
          <w:bCs/>
        </w:rPr>
        <w:t>Shirata C</w:t>
      </w:r>
      <w:r w:rsidRPr="006A140B">
        <w:rPr>
          <w:rFonts w:ascii="Book Antiqua" w:hAnsi="Book Antiqua"/>
        </w:rPr>
        <w:t xml:space="preserve">, Hasegawa K, Kokudo T, Yamashita S, Yamamoto S, Arita J, Akamatsu N, Kaneko J, Sakamoto Y, Kokudo N. Liver Resection for Hepatocellular Carcinoma in Patients with Renal Dysfunction. </w:t>
      </w:r>
      <w:r w:rsidRPr="006A140B">
        <w:rPr>
          <w:rFonts w:ascii="Book Antiqua" w:hAnsi="Book Antiqua"/>
          <w:i/>
          <w:iCs/>
        </w:rPr>
        <w:t>World J Surg</w:t>
      </w:r>
      <w:r w:rsidRPr="006A140B">
        <w:rPr>
          <w:rFonts w:ascii="Book Antiqua" w:hAnsi="Book Antiqua"/>
        </w:rPr>
        <w:t xml:space="preserve"> 2018; </w:t>
      </w:r>
      <w:r w:rsidRPr="006A140B">
        <w:rPr>
          <w:rFonts w:ascii="Book Antiqua" w:hAnsi="Book Antiqua"/>
          <w:b/>
          <w:bCs/>
        </w:rPr>
        <w:t>42</w:t>
      </w:r>
      <w:r w:rsidRPr="006A140B">
        <w:rPr>
          <w:rFonts w:ascii="Book Antiqua" w:hAnsi="Book Antiqua"/>
        </w:rPr>
        <w:t>: 4054-4062 [PMID: 29947980 DOI: 10.1007/s00268-018-4698-3]</w:t>
      </w:r>
    </w:p>
    <w:p w14:paraId="6D65CD3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152 </w:t>
      </w:r>
      <w:r w:rsidRPr="006A140B">
        <w:rPr>
          <w:rFonts w:ascii="Book Antiqua" w:hAnsi="Book Antiqua"/>
          <w:b/>
          <w:bCs/>
        </w:rPr>
        <w:t>Cheng SB</w:t>
      </w:r>
      <w:r w:rsidRPr="006A140B">
        <w:rPr>
          <w:rFonts w:ascii="Book Antiqua" w:hAnsi="Book Antiqua"/>
        </w:rPr>
        <w:t xml:space="preserve">, Wu CC, Shu KH, Ho WL, Chen JT, Yeh DC, Liu TJ, P'eng FK. Liver resection for hepatocellular carcinoma in patients with end-stage renal failure. </w:t>
      </w:r>
      <w:r w:rsidRPr="006A140B">
        <w:rPr>
          <w:rFonts w:ascii="Book Antiqua" w:hAnsi="Book Antiqua"/>
          <w:i/>
          <w:iCs/>
        </w:rPr>
        <w:t>J Surg Oncol</w:t>
      </w:r>
      <w:r w:rsidRPr="006A140B">
        <w:rPr>
          <w:rFonts w:ascii="Book Antiqua" w:hAnsi="Book Antiqua"/>
        </w:rPr>
        <w:t xml:space="preserve"> 2001; </w:t>
      </w:r>
      <w:r w:rsidRPr="006A140B">
        <w:rPr>
          <w:rFonts w:ascii="Book Antiqua" w:hAnsi="Book Antiqua"/>
          <w:b/>
          <w:bCs/>
        </w:rPr>
        <w:t>78</w:t>
      </w:r>
      <w:r w:rsidRPr="006A140B">
        <w:rPr>
          <w:rFonts w:ascii="Book Antiqua" w:hAnsi="Book Antiqua"/>
        </w:rPr>
        <w:t>: 241-6; discussion 246-7 [PMID: 11745817]</w:t>
      </w:r>
    </w:p>
    <w:p w14:paraId="757FB69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153 </w:t>
      </w:r>
      <w:r w:rsidRPr="006A140B">
        <w:rPr>
          <w:rFonts w:ascii="Book Antiqua" w:hAnsi="Book Antiqua"/>
          <w:b/>
          <w:bCs/>
        </w:rPr>
        <w:t>Yeh CN</w:t>
      </w:r>
      <w:r w:rsidRPr="006A140B">
        <w:rPr>
          <w:rFonts w:ascii="Book Antiqua" w:hAnsi="Book Antiqua"/>
        </w:rPr>
        <w:t xml:space="preserve">, Lee WC, Chen MF. Hepatic resection for hepatocellular carcinoma in end-stage renal disease patients: two decades of experience at Chang Gung Memorial Hospital. </w:t>
      </w:r>
      <w:r w:rsidRPr="006A140B">
        <w:rPr>
          <w:rFonts w:ascii="Book Antiqua" w:hAnsi="Book Antiqua"/>
          <w:i/>
          <w:iCs/>
        </w:rPr>
        <w:t>World J Gastroenterol</w:t>
      </w:r>
      <w:r w:rsidRPr="006A140B">
        <w:rPr>
          <w:rFonts w:ascii="Book Antiqua" w:hAnsi="Book Antiqua"/>
        </w:rPr>
        <w:t xml:space="preserve"> 2005; </w:t>
      </w:r>
      <w:r w:rsidRPr="006A140B">
        <w:rPr>
          <w:rFonts w:ascii="Book Antiqua" w:hAnsi="Book Antiqua"/>
          <w:b/>
          <w:bCs/>
        </w:rPr>
        <w:t>11</w:t>
      </w:r>
      <w:r w:rsidRPr="006A140B">
        <w:rPr>
          <w:rFonts w:ascii="Book Antiqua" w:hAnsi="Book Antiqua"/>
        </w:rPr>
        <w:t>: 2067-2071 [PMID: 15810070]</w:t>
      </w:r>
    </w:p>
    <w:p w14:paraId="3F8D7EE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154 </w:t>
      </w:r>
      <w:r w:rsidRPr="006A140B">
        <w:rPr>
          <w:rFonts w:ascii="Book Antiqua" w:hAnsi="Book Antiqua"/>
          <w:b/>
          <w:bCs/>
        </w:rPr>
        <w:t>Yeh CC</w:t>
      </w:r>
      <w:r w:rsidRPr="006A140B">
        <w:rPr>
          <w:rFonts w:ascii="Book Antiqua" w:hAnsi="Book Antiqua"/>
        </w:rPr>
        <w:t xml:space="preserve">, Lin JT, Jeng LB, Charalampos I, Chen TT, Lee TY, Wu MS, Kuo KN, Liu YY, Wu CY. Hepatic resection for hepatocellular carcinoma patients on hemodialysis for uremia: a nationwide cohort study. </w:t>
      </w:r>
      <w:r w:rsidRPr="006A140B">
        <w:rPr>
          <w:rFonts w:ascii="Book Antiqua" w:hAnsi="Book Antiqua"/>
          <w:i/>
          <w:iCs/>
        </w:rPr>
        <w:t>World J Surg</w:t>
      </w:r>
      <w:r w:rsidRPr="006A140B">
        <w:rPr>
          <w:rFonts w:ascii="Book Antiqua" w:hAnsi="Book Antiqua"/>
        </w:rPr>
        <w:t xml:space="preserve"> 2013; </w:t>
      </w:r>
      <w:r w:rsidRPr="006A140B">
        <w:rPr>
          <w:rFonts w:ascii="Book Antiqua" w:hAnsi="Book Antiqua"/>
          <w:b/>
          <w:bCs/>
        </w:rPr>
        <w:t>37</w:t>
      </w:r>
      <w:r w:rsidRPr="006A140B">
        <w:rPr>
          <w:rFonts w:ascii="Book Antiqua" w:hAnsi="Book Antiqua"/>
        </w:rPr>
        <w:t>: 2402-2409 [PMID: 23811792 DOI: 10.1007/s00268-013-2137-z]</w:t>
      </w:r>
    </w:p>
    <w:p w14:paraId="3249291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155 </w:t>
      </w:r>
      <w:r w:rsidRPr="006A140B">
        <w:rPr>
          <w:rFonts w:ascii="Book Antiqua" w:hAnsi="Book Antiqua"/>
          <w:b/>
          <w:bCs/>
        </w:rPr>
        <w:t>Mazzaferro V</w:t>
      </w:r>
      <w:r w:rsidRPr="006A140B">
        <w:rPr>
          <w:rFonts w:ascii="Book Antiqua" w:hAnsi="Book Antiqua"/>
        </w:rPr>
        <w:t xml:space="preserve">, Bhoori S, Sposito C, Bongini M, Langer M, Miceli R, Mariani L. Milan criteria in liver transplantation for hepatocellular carcinoma: an evidence-based analysis of 15 years of experience. </w:t>
      </w:r>
      <w:r w:rsidRPr="006A140B">
        <w:rPr>
          <w:rFonts w:ascii="Book Antiqua" w:hAnsi="Book Antiqua"/>
          <w:i/>
          <w:iCs/>
        </w:rPr>
        <w:t>Liver Transpl</w:t>
      </w:r>
      <w:r w:rsidRPr="006A140B">
        <w:rPr>
          <w:rFonts w:ascii="Book Antiqua" w:hAnsi="Book Antiqua"/>
        </w:rPr>
        <w:t xml:space="preserve"> 2011; </w:t>
      </w:r>
      <w:r w:rsidRPr="006A140B">
        <w:rPr>
          <w:rFonts w:ascii="Book Antiqua" w:hAnsi="Book Antiqua"/>
          <w:b/>
          <w:bCs/>
        </w:rPr>
        <w:t>17 Suppl 2</w:t>
      </w:r>
      <w:r w:rsidRPr="006A140B">
        <w:rPr>
          <w:rFonts w:ascii="Book Antiqua" w:hAnsi="Book Antiqua"/>
        </w:rPr>
        <w:t>: S44-S57 [PMID: 21695773 DOI: 10.1002/lt.22365]</w:t>
      </w:r>
    </w:p>
    <w:p w14:paraId="3BBB6A9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156 </w:t>
      </w:r>
      <w:r w:rsidRPr="006A140B">
        <w:rPr>
          <w:rFonts w:ascii="Book Antiqua" w:hAnsi="Book Antiqua"/>
          <w:b/>
          <w:bCs/>
        </w:rPr>
        <w:t>Moreno R</w:t>
      </w:r>
      <w:r w:rsidRPr="006A140B">
        <w:rPr>
          <w:rFonts w:ascii="Book Antiqua" w:hAnsi="Book Antiqua"/>
        </w:rPr>
        <w:t xml:space="preserve">, Berenguer M. Post-liver transplantation medical complications. </w:t>
      </w:r>
      <w:r w:rsidRPr="006A140B">
        <w:rPr>
          <w:rFonts w:ascii="Book Antiqua" w:hAnsi="Book Antiqua"/>
          <w:i/>
          <w:iCs/>
        </w:rPr>
        <w:t>Ann Hepatol</w:t>
      </w:r>
      <w:r w:rsidRPr="006A140B">
        <w:rPr>
          <w:rFonts w:ascii="Book Antiqua" w:hAnsi="Book Antiqua"/>
        </w:rPr>
        <w:t xml:space="preserve"> 2006; </w:t>
      </w:r>
      <w:r w:rsidRPr="006A140B">
        <w:rPr>
          <w:rFonts w:ascii="Book Antiqua" w:hAnsi="Book Antiqua"/>
          <w:b/>
          <w:bCs/>
        </w:rPr>
        <w:t>5</w:t>
      </w:r>
      <w:r w:rsidRPr="006A140B">
        <w:rPr>
          <w:rFonts w:ascii="Book Antiqua" w:hAnsi="Book Antiqua"/>
        </w:rPr>
        <w:t>: 77-85 [PMID: 16807513]</w:t>
      </w:r>
    </w:p>
    <w:p w14:paraId="1FF61FD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157 </w:t>
      </w:r>
      <w:r w:rsidRPr="006A140B">
        <w:rPr>
          <w:rFonts w:ascii="Book Antiqua" w:hAnsi="Book Antiqua"/>
          <w:b/>
          <w:bCs/>
        </w:rPr>
        <w:t>Liu LU</w:t>
      </w:r>
      <w:r w:rsidRPr="006A140B">
        <w:rPr>
          <w:rFonts w:ascii="Book Antiqua" w:hAnsi="Book Antiqua"/>
        </w:rPr>
        <w:t xml:space="preserve">, Schiano TD. Long-term care of the liver transplant recipient. </w:t>
      </w:r>
      <w:r w:rsidRPr="006A140B">
        <w:rPr>
          <w:rFonts w:ascii="Book Antiqua" w:hAnsi="Book Antiqua"/>
          <w:i/>
          <w:iCs/>
        </w:rPr>
        <w:t>Clin Liver Dis</w:t>
      </w:r>
      <w:r w:rsidRPr="006A140B">
        <w:rPr>
          <w:rFonts w:ascii="Book Antiqua" w:hAnsi="Book Antiqua"/>
        </w:rPr>
        <w:t xml:space="preserve"> 2007; </w:t>
      </w:r>
      <w:r w:rsidRPr="006A140B">
        <w:rPr>
          <w:rFonts w:ascii="Book Antiqua" w:hAnsi="Book Antiqua"/>
          <w:b/>
          <w:bCs/>
        </w:rPr>
        <w:t>11</w:t>
      </w:r>
      <w:r w:rsidRPr="006A140B">
        <w:rPr>
          <w:rFonts w:ascii="Book Antiqua" w:hAnsi="Book Antiqua"/>
        </w:rPr>
        <w:t>: 397-416 [PMID: 17606214 DOI: 10.1016/j.cld.2007.04.003]</w:t>
      </w:r>
    </w:p>
    <w:p w14:paraId="403153C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158 </w:t>
      </w:r>
      <w:r w:rsidRPr="006A140B">
        <w:rPr>
          <w:rFonts w:ascii="Book Antiqua" w:hAnsi="Book Antiqua"/>
          <w:b/>
          <w:bCs/>
        </w:rPr>
        <w:t>McCauley J</w:t>
      </w:r>
      <w:r w:rsidRPr="006A140B">
        <w:rPr>
          <w:rFonts w:ascii="Book Antiqua" w:hAnsi="Book Antiqua"/>
        </w:rPr>
        <w:t xml:space="preserve">, Van Thiel DH, Starzl TE, Puschett JB. Acute and chronic renal failure in liver transplantation. </w:t>
      </w:r>
      <w:r w:rsidRPr="006A140B">
        <w:rPr>
          <w:rFonts w:ascii="Book Antiqua" w:hAnsi="Book Antiqua"/>
          <w:i/>
          <w:iCs/>
        </w:rPr>
        <w:t>Nephron</w:t>
      </w:r>
      <w:r w:rsidRPr="006A140B">
        <w:rPr>
          <w:rFonts w:ascii="Book Antiqua" w:hAnsi="Book Antiqua"/>
        </w:rPr>
        <w:t xml:space="preserve"> 1990; </w:t>
      </w:r>
      <w:r w:rsidRPr="006A140B">
        <w:rPr>
          <w:rFonts w:ascii="Book Antiqua" w:hAnsi="Book Antiqua"/>
          <w:b/>
          <w:bCs/>
        </w:rPr>
        <w:t>55</w:t>
      </w:r>
      <w:r w:rsidRPr="006A140B">
        <w:rPr>
          <w:rFonts w:ascii="Book Antiqua" w:hAnsi="Book Antiqua"/>
        </w:rPr>
        <w:t>: 121-128 [PMID: 2362625 DOI: 10.1159/000185938]</w:t>
      </w:r>
    </w:p>
    <w:p w14:paraId="3F67C1C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159 </w:t>
      </w:r>
      <w:r w:rsidRPr="006A140B">
        <w:rPr>
          <w:rFonts w:ascii="Book Antiqua" w:hAnsi="Book Antiqua"/>
          <w:b/>
          <w:bCs/>
        </w:rPr>
        <w:t>Karapanagiotou A</w:t>
      </w:r>
      <w:r w:rsidRPr="006A140B">
        <w:rPr>
          <w:rFonts w:ascii="Book Antiqua" w:hAnsi="Book Antiqua"/>
        </w:rPr>
        <w:t xml:space="preserve">, Kydona C, Dimitriadis C, Sgourou K, Giasnetsova T, Fouzas I, Imvrios G, Gritsi-Gerogianni N. Acute kidney injury after orthotopic liver transplantation. </w:t>
      </w:r>
      <w:r w:rsidRPr="006A140B">
        <w:rPr>
          <w:rFonts w:ascii="Book Antiqua" w:hAnsi="Book Antiqua"/>
          <w:i/>
          <w:iCs/>
        </w:rPr>
        <w:t>Transplant Proc</w:t>
      </w:r>
      <w:r w:rsidRPr="006A140B">
        <w:rPr>
          <w:rFonts w:ascii="Book Antiqua" w:hAnsi="Book Antiqua"/>
        </w:rPr>
        <w:t xml:space="preserve"> 2012; </w:t>
      </w:r>
      <w:r w:rsidRPr="006A140B">
        <w:rPr>
          <w:rFonts w:ascii="Book Antiqua" w:hAnsi="Book Antiqua"/>
          <w:b/>
          <w:bCs/>
        </w:rPr>
        <w:t>44</w:t>
      </w:r>
      <w:r w:rsidRPr="006A140B">
        <w:rPr>
          <w:rFonts w:ascii="Book Antiqua" w:hAnsi="Book Antiqua"/>
        </w:rPr>
        <w:t>: 2727-2729 [PMID: 23146506 DOI: 10.1016/j.transproceed.2012.09.096]</w:t>
      </w:r>
    </w:p>
    <w:p w14:paraId="0A80AF0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160 </w:t>
      </w:r>
      <w:r w:rsidRPr="006A140B">
        <w:rPr>
          <w:rFonts w:ascii="Book Antiqua" w:hAnsi="Book Antiqua"/>
          <w:b/>
          <w:bCs/>
        </w:rPr>
        <w:t>Bilbao I</w:t>
      </w:r>
      <w:r w:rsidRPr="006A140B">
        <w:rPr>
          <w:rFonts w:ascii="Book Antiqua" w:hAnsi="Book Antiqua"/>
        </w:rPr>
        <w:t xml:space="preserve">, Charco R, Balsells J, Lazaro JL, Hidalgo E, Llopart L, Murio E, Margarit C. Risk factors for acute renal failure requiring dialysis after liver transplantation. </w:t>
      </w:r>
      <w:r w:rsidRPr="006A140B">
        <w:rPr>
          <w:rFonts w:ascii="Book Antiqua" w:hAnsi="Book Antiqua"/>
          <w:i/>
          <w:iCs/>
        </w:rPr>
        <w:t>Clin Transplant</w:t>
      </w:r>
      <w:r w:rsidRPr="006A140B">
        <w:rPr>
          <w:rFonts w:ascii="Book Antiqua" w:hAnsi="Book Antiqua"/>
        </w:rPr>
        <w:t xml:space="preserve"> 1998; </w:t>
      </w:r>
      <w:r w:rsidRPr="006A140B">
        <w:rPr>
          <w:rFonts w:ascii="Book Antiqua" w:hAnsi="Book Antiqua"/>
          <w:b/>
          <w:bCs/>
        </w:rPr>
        <w:t>12</w:t>
      </w:r>
      <w:r w:rsidRPr="006A140B">
        <w:rPr>
          <w:rFonts w:ascii="Book Antiqua" w:hAnsi="Book Antiqua"/>
        </w:rPr>
        <w:t>: 123-129 [PMID: 9575400]</w:t>
      </w:r>
    </w:p>
    <w:p w14:paraId="05C775F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161 </w:t>
      </w:r>
      <w:r w:rsidRPr="006A140B">
        <w:rPr>
          <w:rFonts w:ascii="Book Antiqua" w:hAnsi="Book Antiqua"/>
          <w:b/>
          <w:bCs/>
        </w:rPr>
        <w:t>Klaus F</w:t>
      </w:r>
      <w:r w:rsidRPr="006A140B">
        <w:rPr>
          <w:rFonts w:ascii="Book Antiqua" w:hAnsi="Book Antiqua"/>
        </w:rPr>
        <w:t xml:space="preserve">, Keitel da Silva C, Meinerz G, Carvalho LM, Goldani JC, Cantisani G, Zanotelli ML, Duro Garcia V, Keitel E. Acute kidney injury after liver transplantation: incidence and mortality. </w:t>
      </w:r>
      <w:r w:rsidRPr="006A140B">
        <w:rPr>
          <w:rFonts w:ascii="Book Antiqua" w:hAnsi="Book Antiqua"/>
          <w:i/>
          <w:iCs/>
        </w:rPr>
        <w:t>Transplant Proc</w:t>
      </w:r>
      <w:r w:rsidRPr="006A140B">
        <w:rPr>
          <w:rFonts w:ascii="Book Antiqua" w:hAnsi="Book Antiqua"/>
        </w:rPr>
        <w:t xml:space="preserve"> 2014; </w:t>
      </w:r>
      <w:r w:rsidRPr="006A140B">
        <w:rPr>
          <w:rFonts w:ascii="Book Antiqua" w:hAnsi="Book Antiqua"/>
          <w:b/>
          <w:bCs/>
        </w:rPr>
        <w:t>46</w:t>
      </w:r>
      <w:r w:rsidRPr="006A140B">
        <w:rPr>
          <w:rFonts w:ascii="Book Antiqua" w:hAnsi="Book Antiqua"/>
        </w:rPr>
        <w:t>: 1819-1821 [PMID: 25131045 DOI: 10.1016/j.transproceed.2014.05.053]</w:t>
      </w:r>
    </w:p>
    <w:p w14:paraId="50043C3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162 </w:t>
      </w:r>
      <w:r w:rsidRPr="006A140B">
        <w:rPr>
          <w:rFonts w:ascii="Book Antiqua" w:hAnsi="Book Antiqua"/>
          <w:b/>
          <w:bCs/>
        </w:rPr>
        <w:t>Chen X</w:t>
      </w:r>
      <w:r w:rsidRPr="006A140B">
        <w:rPr>
          <w:rFonts w:ascii="Book Antiqua" w:hAnsi="Book Antiqua"/>
        </w:rPr>
        <w:t xml:space="preserve">, Ding X, Shen B, Teng J, Zou J, Wang T, Zhou J, Chen N, Zhang B. Incidence and outcomes of acute kidney injury in patients with hepatocellular carcinoma after liver transplantation. </w:t>
      </w:r>
      <w:r w:rsidRPr="006A140B">
        <w:rPr>
          <w:rFonts w:ascii="Book Antiqua" w:hAnsi="Book Antiqua"/>
          <w:i/>
          <w:iCs/>
        </w:rPr>
        <w:t>J Cancer Res Clin Oncol</w:t>
      </w:r>
      <w:r w:rsidRPr="006A140B">
        <w:rPr>
          <w:rFonts w:ascii="Book Antiqua" w:hAnsi="Book Antiqua"/>
        </w:rPr>
        <w:t xml:space="preserve"> 2017; </w:t>
      </w:r>
      <w:r w:rsidRPr="006A140B">
        <w:rPr>
          <w:rFonts w:ascii="Book Antiqua" w:hAnsi="Book Antiqua"/>
          <w:b/>
          <w:bCs/>
        </w:rPr>
        <w:t>143</w:t>
      </w:r>
      <w:r w:rsidRPr="006A140B">
        <w:rPr>
          <w:rFonts w:ascii="Book Antiqua" w:hAnsi="Book Antiqua"/>
        </w:rPr>
        <w:t>: 1337-1346 [PMID: 28289896 DOI: 10.1007/s00432-017-2376-8]</w:t>
      </w:r>
    </w:p>
    <w:p w14:paraId="4D872DD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163 </w:t>
      </w:r>
      <w:r w:rsidRPr="006A140B">
        <w:rPr>
          <w:rFonts w:ascii="Book Antiqua" w:hAnsi="Book Antiqua"/>
          <w:b/>
          <w:bCs/>
        </w:rPr>
        <w:t>Fraley DS</w:t>
      </w:r>
      <w:r w:rsidRPr="006A140B">
        <w:rPr>
          <w:rFonts w:ascii="Book Antiqua" w:hAnsi="Book Antiqua"/>
        </w:rPr>
        <w:t xml:space="preserve">, Burr R, Bernardini J, Angus D, Kramer DJ, Johnson JP. Impact of acute renal failure on mortality in end-stage liver disease with or without transplantation. </w:t>
      </w:r>
      <w:r w:rsidRPr="006A140B">
        <w:rPr>
          <w:rFonts w:ascii="Book Antiqua" w:hAnsi="Book Antiqua"/>
          <w:i/>
          <w:iCs/>
        </w:rPr>
        <w:t>Kidney Int</w:t>
      </w:r>
      <w:r w:rsidRPr="006A140B">
        <w:rPr>
          <w:rFonts w:ascii="Book Antiqua" w:hAnsi="Book Antiqua"/>
        </w:rPr>
        <w:t xml:space="preserve"> 1998; </w:t>
      </w:r>
      <w:r w:rsidRPr="006A140B">
        <w:rPr>
          <w:rFonts w:ascii="Book Antiqua" w:hAnsi="Book Antiqua"/>
          <w:b/>
          <w:bCs/>
        </w:rPr>
        <w:t>54</w:t>
      </w:r>
      <w:r w:rsidRPr="006A140B">
        <w:rPr>
          <w:rFonts w:ascii="Book Antiqua" w:hAnsi="Book Antiqua"/>
        </w:rPr>
        <w:t>: 518-524 [PMID: 9690218 DOI: 10.1046/j.1523-1755.1998.00004.x]</w:t>
      </w:r>
    </w:p>
    <w:p w14:paraId="55F6C13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164 </w:t>
      </w:r>
      <w:r w:rsidRPr="006A140B">
        <w:rPr>
          <w:rFonts w:ascii="Book Antiqua" w:hAnsi="Book Antiqua"/>
          <w:b/>
          <w:bCs/>
        </w:rPr>
        <w:t>Zhu M</w:t>
      </w:r>
      <w:r w:rsidRPr="006A140B">
        <w:rPr>
          <w:rFonts w:ascii="Book Antiqua" w:hAnsi="Book Antiqua"/>
        </w:rPr>
        <w:t xml:space="preserve">, Li Y, Xia Q, Wang S, Qiu Y, Che M, Dai H, Qian J, Ni Z, Axelsson J, Yan Y. Strong impact of acute kidney injury on survival after liver transplantation. </w:t>
      </w:r>
      <w:r w:rsidRPr="006A140B">
        <w:rPr>
          <w:rFonts w:ascii="Book Antiqua" w:hAnsi="Book Antiqua"/>
          <w:i/>
          <w:iCs/>
        </w:rPr>
        <w:t>Transplant Proc</w:t>
      </w:r>
      <w:r w:rsidRPr="006A140B">
        <w:rPr>
          <w:rFonts w:ascii="Book Antiqua" w:hAnsi="Book Antiqua"/>
        </w:rPr>
        <w:t xml:space="preserve"> 2010; </w:t>
      </w:r>
      <w:r w:rsidRPr="006A140B">
        <w:rPr>
          <w:rFonts w:ascii="Book Antiqua" w:hAnsi="Book Antiqua"/>
          <w:b/>
          <w:bCs/>
        </w:rPr>
        <w:t>42</w:t>
      </w:r>
      <w:r w:rsidRPr="006A140B">
        <w:rPr>
          <w:rFonts w:ascii="Book Antiqua" w:hAnsi="Book Antiqua"/>
        </w:rPr>
        <w:t>: 3634-3638 [PMID: 21094830 DOI: 10.1016/j.transproceed.2010.08.059]</w:t>
      </w:r>
    </w:p>
    <w:p w14:paraId="765E22B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165 </w:t>
      </w:r>
      <w:r w:rsidRPr="006A140B">
        <w:rPr>
          <w:rFonts w:ascii="Book Antiqua" w:hAnsi="Book Antiqua"/>
          <w:b/>
          <w:bCs/>
        </w:rPr>
        <w:t>Barri YM</w:t>
      </w:r>
      <w:r w:rsidRPr="006A140B">
        <w:rPr>
          <w:rFonts w:ascii="Book Antiqua" w:hAnsi="Book Antiqua"/>
        </w:rPr>
        <w:t xml:space="preserve">, Sanchez EQ, Jennings LW, Melton LB, Hays S, Levy MF, Klintmalm GB. Acute kidney injury following liver transplantation: definition and outcome. </w:t>
      </w:r>
      <w:r w:rsidRPr="006A140B">
        <w:rPr>
          <w:rFonts w:ascii="Book Antiqua" w:hAnsi="Book Antiqua"/>
          <w:i/>
          <w:iCs/>
        </w:rPr>
        <w:t>Liver Transpl</w:t>
      </w:r>
      <w:r w:rsidRPr="006A140B">
        <w:rPr>
          <w:rFonts w:ascii="Book Antiqua" w:hAnsi="Book Antiqua"/>
        </w:rPr>
        <w:t xml:space="preserve"> 2009; </w:t>
      </w:r>
      <w:r w:rsidRPr="006A140B">
        <w:rPr>
          <w:rFonts w:ascii="Book Antiqua" w:hAnsi="Book Antiqua"/>
          <w:b/>
          <w:bCs/>
        </w:rPr>
        <w:t>15</w:t>
      </w:r>
      <w:r w:rsidRPr="006A140B">
        <w:rPr>
          <w:rFonts w:ascii="Book Antiqua" w:hAnsi="Book Antiqua"/>
        </w:rPr>
        <w:t>: 475-483 [PMID: 19399734 DOI: 10.1002/lt.21682]</w:t>
      </w:r>
    </w:p>
    <w:p w14:paraId="1467470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166 </w:t>
      </w:r>
      <w:r w:rsidRPr="006A140B">
        <w:rPr>
          <w:rFonts w:ascii="Book Antiqua" w:hAnsi="Book Antiqua"/>
          <w:b/>
          <w:bCs/>
        </w:rPr>
        <w:t>Weber ML</w:t>
      </w:r>
      <w:r w:rsidRPr="006A140B">
        <w:rPr>
          <w:rFonts w:ascii="Book Antiqua" w:hAnsi="Book Antiqua"/>
        </w:rPr>
        <w:t xml:space="preserve">, Ibrahim HN, Lake JR. Renal dysfunction in liver transplant recipients: evaluation of the critical issues. </w:t>
      </w:r>
      <w:r w:rsidRPr="006A140B">
        <w:rPr>
          <w:rFonts w:ascii="Book Antiqua" w:hAnsi="Book Antiqua"/>
          <w:i/>
          <w:iCs/>
        </w:rPr>
        <w:t>Liver Transpl</w:t>
      </w:r>
      <w:r w:rsidRPr="006A140B">
        <w:rPr>
          <w:rFonts w:ascii="Book Antiqua" w:hAnsi="Book Antiqua"/>
        </w:rPr>
        <w:t xml:space="preserve"> 2012; </w:t>
      </w:r>
      <w:r w:rsidRPr="006A140B">
        <w:rPr>
          <w:rFonts w:ascii="Book Antiqua" w:hAnsi="Book Antiqua"/>
          <w:b/>
          <w:bCs/>
        </w:rPr>
        <w:t>18</w:t>
      </w:r>
      <w:r w:rsidRPr="006A140B">
        <w:rPr>
          <w:rFonts w:ascii="Book Antiqua" w:hAnsi="Book Antiqua"/>
        </w:rPr>
        <w:t>: 1290-1301 [PMID: 22847917 DOI: 10.1002/lt.23522]</w:t>
      </w:r>
    </w:p>
    <w:p w14:paraId="591CFBB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167 </w:t>
      </w:r>
      <w:r w:rsidRPr="006A140B">
        <w:rPr>
          <w:rFonts w:ascii="Book Antiqua" w:hAnsi="Book Antiqua"/>
          <w:b/>
          <w:bCs/>
        </w:rPr>
        <w:t>Herrero JI</w:t>
      </w:r>
      <w:r w:rsidRPr="006A140B">
        <w:rPr>
          <w:rFonts w:ascii="Book Antiqua" w:hAnsi="Book Antiqua"/>
        </w:rPr>
        <w:t xml:space="preserve">, Cuervas-Mons V, Gómez-Bravo MÁ, Fabregat J, Otero A, Bilbao I, Salcedo MM, González-Diéguez ML, Fernández JR, Serrano MT, Jiménez M, Rodrigo JM, Narváez I, Sánchez G. Prevalence and progression of chronic kidney disease after liver transplant: a prospective, real-life, observational, two-year multicenter study. </w:t>
      </w:r>
      <w:r w:rsidRPr="006A140B">
        <w:rPr>
          <w:rFonts w:ascii="Book Antiqua" w:hAnsi="Book Antiqua"/>
          <w:i/>
          <w:iCs/>
        </w:rPr>
        <w:t>Rev Esp Enferm Dig</w:t>
      </w:r>
      <w:r w:rsidRPr="006A140B">
        <w:rPr>
          <w:rFonts w:ascii="Book Antiqua" w:hAnsi="Book Antiqua"/>
        </w:rPr>
        <w:t xml:space="preserve"> 2018; </w:t>
      </w:r>
      <w:r w:rsidRPr="006A140B">
        <w:rPr>
          <w:rFonts w:ascii="Book Antiqua" w:hAnsi="Book Antiqua"/>
          <w:b/>
          <w:bCs/>
        </w:rPr>
        <w:t>110</w:t>
      </w:r>
      <w:r w:rsidRPr="006A140B">
        <w:rPr>
          <w:rFonts w:ascii="Book Antiqua" w:hAnsi="Book Antiqua"/>
        </w:rPr>
        <w:t>: 538-543 [PMID: 29893577 DOI: 10.17235/reed.2018.5431/2017]</w:t>
      </w:r>
    </w:p>
    <w:p w14:paraId="47F14DF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168 </w:t>
      </w:r>
      <w:r w:rsidRPr="006A140B">
        <w:rPr>
          <w:rFonts w:ascii="Book Antiqua" w:hAnsi="Book Antiqua"/>
          <w:b/>
          <w:bCs/>
        </w:rPr>
        <w:t>Kalisvaart M</w:t>
      </w:r>
      <w:r w:rsidRPr="006A140B">
        <w:rPr>
          <w:rFonts w:ascii="Book Antiqua" w:hAnsi="Book Antiqua"/>
        </w:rPr>
        <w:t xml:space="preserve">, Schlegel A, Trivedi PJ, Roberts K, Mirza DF, Perera T, Isaac JI, Ferguson J, de Jonge J, Muiesan P. Chronic Kidney Disease After Liver Transplantation: Impact of Extended Criteria Grafts. </w:t>
      </w:r>
      <w:r w:rsidRPr="006A140B">
        <w:rPr>
          <w:rFonts w:ascii="Book Antiqua" w:hAnsi="Book Antiqua"/>
          <w:i/>
          <w:iCs/>
        </w:rPr>
        <w:t>Liver Transpl</w:t>
      </w:r>
      <w:r w:rsidRPr="006A140B">
        <w:rPr>
          <w:rFonts w:ascii="Book Antiqua" w:hAnsi="Book Antiqua"/>
        </w:rPr>
        <w:t xml:space="preserve"> 2019; </w:t>
      </w:r>
      <w:r w:rsidRPr="006A140B">
        <w:rPr>
          <w:rFonts w:ascii="Book Antiqua" w:hAnsi="Book Antiqua"/>
          <w:b/>
          <w:bCs/>
        </w:rPr>
        <w:t>25</w:t>
      </w:r>
      <w:r w:rsidRPr="006A140B">
        <w:rPr>
          <w:rFonts w:ascii="Book Antiqua" w:hAnsi="Book Antiqua"/>
        </w:rPr>
        <w:t>: 922-933 [PMID: 30947384 DOI: 10.1002/lt.25468]</w:t>
      </w:r>
    </w:p>
    <w:p w14:paraId="0F49805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169 </w:t>
      </w:r>
      <w:r w:rsidRPr="006A140B">
        <w:rPr>
          <w:rFonts w:ascii="Book Antiqua" w:hAnsi="Book Antiqua"/>
          <w:b/>
          <w:bCs/>
        </w:rPr>
        <w:t>Mason J</w:t>
      </w:r>
      <w:r w:rsidRPr="006A140B">
        <w:rPr>
          <w:rFonts w:ascii="Book Antiqua" w:hAnsi="Book Antiqua"/>
        </w:rPr>
        <w:t xml:space="preserve">. The effect of cyclosporin on renal function. </w:t>
      </w:r>
      <w:r w:rsidRPr="006A140B">
        <w:rPr>
          <w:rFonts w:ascii="Book Antiqua" w:hAnsi="Book Antiqua"/>
          <w:i/>
          <w:iCs/>
        </w:rPr>
        <w:t>J Autoimmun</w:t>
      </w:r>
      <w:r w:rsidRPr="006A140B">
        <w:rPr>
          <w:rFonts w:ascii="Book Antiqua" w:hAnsi="Book Antiqua"/>
        </w:rPr>
        <w:t xml:space="preserve"> 1992; </w:t>
      </w:r>
      <w:r w:rsidRPr="006A140B">
        <w:rPr>
          <w:rFonts w:ascii="Book Antiqua" w:hAnsi="Book Antiqua"/>
          <w:b/>
          <w:bCs/>
        </w:rPr>
        <w:t>5 Suppl A</w:t>
      </w:r>
      <w:r w:rsidRPr="006A140B">
        <w:rPr>
          <w:rFonts w:ascii="Book Antiqua" w:hAnsi="Book Antiqua"/>
        </w:rPr>
        <w:t>: 349-354 [PMID: 1503631 DOI: 10.1016/0896-8411(92)90053-s]</w:t>
      </w:r>
    </w:p>
    <w:p w14:paraId="11CE0BA9" w14:textId="77777777" w:rsidR="00495B7C" w:rsidRPr="006A140B" w:rsidRDefault="00495B7C" w:rsidP="00495B7C">
      <w:pPr>
        <w:spacing w:line="360" w:lineRule="auto"/>
        <w:jc w:val="both"/>
        <w:rPr>
          <w:rFonts w:ascii="Book Antiqua" w:hAnsi="Book Antiqua"/>
        </w:rPr>
      </w:pPr>
      <w:r w:rsidRPr="006A140B">
        <w:rPr>
          <w:rFonts w:ascii="Book Antiqua" w:hAnsi="Book Antiqua"/>
          <w:lang w:val="pt-BR"/>
        </w:rPr>
        <w:t xml:space="preserve">170 </w:t>
      </w:r>
      <w:r w:rsidRPr="006A140B">
        <w:rPr>
          <w:rFonts w:ascii="Book Antiqua" w:hAnsi="Book Antiqua"/>
          <w:b/>
          <w:bCs/>
          <w:lang w:val="pt-BR"/>
        </w:rPr>
        <w:t>O'Riordan A</w:t>
      </w:r>
      <w:r w:rsidRPr="006A140B">
        <w:rPr>
          <w:rFonts w:ascii="Book Antiqua" w:hAnsi="Book Antiqua"/>
          <w:lang w:val="pt-BR"/>
        </w:rPr>
        <w:t xml:space="preserve">, Dutt N, Cairns H, Rela M, O'Grady JG, Heaton N, Hendry BM. </w:t>
      </w:r>
      <w:r w:rsidRPr="006A140B">
        <w:rPr>
          <w:rFonts w:ascii="Book Antiqua" w:hAnsi="Book Antiqua"/>
        </w:rPr>
        <w:t xml:space="preserve">Renal biopsy in liver transplant recipients. </w:t>
      </w:r>
      <w:r w:rsidRPr="006A140B">
        <w:rPr>
          <w:rFonts w:ascii="Book Antiqua" w:hAnsi="Book Antiqua"/>
          <w:i/>
          <w:iCs/>
        </w:rPr>
        <w:t>Nephrol Dial Transplant</w:t>
      </w:r>
      <w:r w:rsidRPr="006A140B">
        <w:rPr>
          <w:rFonts w:ascii="Book Antiqua" w:hAnsi="Book Antiqua"/>
        </w:rPr>
        <w:t xml:space="preserve"> 2009; </w:t>
      </w:r>
      <w:r w:rsidRPr="006A140B">
        <w:rPr>
          <w:rFonts w:ascii="Book Antiqua" w:hAnsi="Book Antiqua"/>
          <w:b/>
          <w:bCs/>
        </w:rPr>
        <w:t>24</w:t>
      </w:r>
      <w:r w:rsidRPr="006A140B">
        <w:rPr>
          <w:rFonts w:ascii="Book Antiqua" w:hAnsi="Book Antiqua"/>
        </w:rPr>
        <w:t>: 2276-2282 [PMID: 19293134 DOI: 10.1093/ndt/gfp112]</w:t>
      </w:r>
    </w:p>
    <w:p w14:paraId="28A21BC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171 </w:t>
      </w:r>
      <w:r w:rsidRPr="006A140B">
        <w:rPr>
          <w:rFonts w:ascii="Book Antiqua" w:hAnsi="Book Antiqua"/>
          <w:b/>
          <w:bCs/>
        </w:rPr>
        <w:t>Ojo AO</w:t>
      </w:r>
      <w:r w:rsidRPr="006A140B">
        <w:rPr>
          <w:rFonts w:ascii="Book Antiqua" w:hAnsi="Book Antiqua"/>
        </w:rPr>
        <w:t xml:space="preserve">, Held PJ, Port FK, Wolfe RA, Leichtman AB, Young EW, Arndorfer J, Christensen L, Merion RM. Chronic renal failure after transplantation of a nonrenal organ. </w:t>
      </w:r>
      <w:r w:rsidRPr="006A140B">
        <w:rPr>
          <w:rFonts w:ascii="Book Antiqua" w:hAnsi="Book Antiqua"/>
          <w:i/>
          <w:iCs/>
        </w:rPr>
        <w:t>N Engl J Med</w:t>
      </w:r>
      <w:r w:rsidRPr="006A140B">
        <w:rPr>
          <w:rFonts w:ascii="Book Antiqua" w:hAnsi="Book Antiqua"/>
        </w:rPr>
        <w:t xml:space="preserve"> 2003; </w:t>
      </w:r>
      <w:r w:rsidRPr="006A140B">
        <w:rPr>
          <w:rFonts w:ascii="Book Antiqua" w:hAnsi="Book Antiqua"/>
          <w:b/>
          <w:bCs/>
        </w:rPr>
        <w:t>349</w:t>
      </w:r>
      <w:r w:rsidRPr="006A140B">
        <w:rPr>
          <w:rFonts w:ascii="Book Antiqua" w:hAnsi="Book Antiqua"/>
        </w:rPr>
        <w:t>: 931-940 [PMID: 12954741 DOI: 10.1056/NEJMoa021744]</w:t>
      </w:r>
    </w:p>
    <w:p w14:paraId="6E0F67E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172 </w:t>
      </w:r>
      <w:r w:rsidRPr="006A140B">
        <w:rPr>
          <w:rFonts w:ascii="Book Antiqua" w:hAnsi="Book Antiqua"/>
          <w:b/>
          <w:bCs/>
        </w:rPr>
        <w:t>Herrero JI</w:t>
      </w:r>
      <w:r w:rsidRPr="006A140B">
        <w:rPr>
          <w:rFonts w:ascii="Book Antiqua" w:hAnsi="Book Antiqua"/>
        </w:rPr>
        <w:t xml:space="preserve">, Quiroga J, Sangro B, Girala M, Gómez-Manero N, Pardo F, Alvárez-Cienfuegos J, Prieto J. Conversion of liver transplant recipients on cyclosporine with renal impairment to mycophenolate mofetil. </w:t>
      </w:r>
      <w:r w:rsidRPr="006A140B">
        <w:rPr>
          <w:rFonts w:ascii="Book Antiqua" w:hAnsi="Book Antiqua"/>
          <w:i/>
          <w:iCs/>
        </w:rPr>
        <w:t>Liver Transpl Surg</w:t>
      </w:r>
      <w:r w:rsidRPr="006A140B">
        <w:rPr>
          <w:rFonts w:ascii="Book Antiqua" w:hAnsi="Book Antiqua"/>
        </w:rPr>
        <w:t xml:space="preserve"> 1999; </w:t>
      </w:r>
      <w:r w:rsidRPr="006A140B">
        <w:rPr>
          <w:rFonts w:ascii="Book Antiqua" w:hAnsi="Book Antiqua"/>
          <w:b/>
          <w:bCs/>
        </w:rPr>
        <w:t>5</w:t>
      </w:r>
      <w:r w:rsidRPr="006A140B">
        <w:rPr>
          <w:rFonts w:ascii="Book Antiqua" w:hAnsi="Book Antiqua"/>
        </w:rPr>
        <w:t>: 414-420 [PMID: 10477843 DOI: 10.1002/lt.500050513]</w:t>
      </w:r>
    </w:p>
    <w:p w14:paraId="6012940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173 </w:t>
      </w:r>
      <w:r w:rsidRPr="006A140B">
        <w:rPr>
          <w:rFonts w:ascii="Book Antiqua" w:hAnsi="Book Antiqua"/>
          <w:b/>
          <w:bCs/>
        </w:rPr>
        <w:t>Fisher NC</w:t>
      </w:r>
      <w:r w:rsidRPr="006A140B">
        <w:rPr>
          <w:rFonts w:ascii="Book Antiqua" w:hAnsi="Book Antiqua"/>
        </w:rPr>
        <w:t xml:space="preserve">, Nightingale PG, Gunson BK, Lipkin GW, Neuberger JM. Chronic renal failure following liver transplantation: a retrospective analysis. </w:t>
      </w:r>
      <w:r w:rsidRPr="006A140B">
        <w:rPr>
          <w:rFonts w:ascii="Book Antiqua" w:hAnsi="Book Antiqua"/>
          <w:i/>
          <w:iCs/>
        </w:rPr>
        <w:t>Transplantation</w:t>
      </w:r>
      <w:r w:rsidRPr="006A140B">
        <w:rPr>
          <w:rFonts w:ascii="Book Antiqua" w:hAnsi="Book Antiqua"/>
        </w:rPr>
        <w:t xml:space="preserve"> 1998; </w:t>
      </w:r>
      <w:r w:rsidRPr="006A140B">
        <w:rPr>
          <w:rFonts w:ascii="Book Antiqua" w:hAnsi="Book Antiqua"/>
          <w:b/>
          <w:bCs/>
        </w:rPr>
        <w:t>66</w:t>
      </w:r>
      <w:r w:rsidRPr="006A140B">
        <w:rPr>
          <w:rFonts w:ascii="Book Antiqua" w:hAnsi="Book Antiqua"/>
        </w:rPr>
        <w:t>: 59-66 [PMID: 9679823 DOI: 10.1097/00007890-199807150-00010]</w:t>
      </w:r>
    </w:p>
    <w:p w14:paraId="43C60C3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174 </w:t>
      </w:r>
      <w:r w:rsidRPr="006A140B">
        <w:rPr>
          <w:rFonts w:ascii="Book Antiqua" w:hAnsi="Book Antiqua"/>
          <w:b/>
          <w:bCs/>
        </w:rPr>
        <w:t>Brown RS Jr</w:t>
      </w:r>
      <w:r w:rsidRPr="006A140B">
        <w:rPr>
          <w:rFonts w:ascii="Book Antiqua" w:hAnsi="Book Antiqua"/>
        </w:rPr>
        <w:t xml:space="preserve">, Lombardero M, Lake JR. Outcome of patients with renal insufficiency undergoing liver or liver-kidney transplantation. </w:t>
      </w:r>
      <w:r w:rsidRPr="006A140B">
        <w:rPr>
          <w:rFonts w:ascii="Book Antiqua" w:hAnsi="Book Antiqua"/>
          <w:i/>
          <w:iCs/>
        </w:rPr>
        <w:t>Transplantation</w:t>
      </w:r>
      <w:r w:rsidRPr="006A140B">
        <w:rPr>
          <w:rFonts w:ascii="Book Antiqua" w:hAnsi="Book Antiqua"/>
        </w:rPr>
        <w:t xml:space="preserve"> 1996; </w:t>
      </w:r>
      <w:r w:rsidRPr="006A140B">
        <w:rPr>
          <w:rFonts w:ascii="Book Antiqua" w:hAnsi="Book Antiqua"/>
          <w:b/>
          <w:bCs/>
        </w:rPr>
        <w:t>62</w:t>
      </w:r>
      <w:r w:rsidRPr="006A140B">
        <w:rPr>
          <w:rFonts w:ascii="Book Antiqua" w:hAnsi="Book Antiqua"/>
        </w:rPr>
        <w:t>: 1788-1793 [PMID: 8990364 DOI: 10.1097/00007890-199612270-00018]</w:t>
      </w:r>
    </w:p>
    <w:p w14:paraId="1FD05A6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175 </w:t>
      </w:r>
      <w:r w:rsidRPr="006A140B">
        <w:rPr>
          <w:rFonts w:ascii="Book Antiqua" w:hAnsi="Book Antiqua"/>
          <w:b/>
          <w:bCs/>
        </w:rPr>
        <w:t>Lafayette RA</w:t>
      </w:r>
      <w:r w:rsidRPr="006A140B">
        <w:rPr>
          <w:rFonts w:ascii="Book Antiqua" w:hAnsi="Book Antiqua"/>
        </w:rPr>
        <w:t xml:space="preserve">, Paré G, Schmid CH, King AJ, Rohrer RJ, Nasraway SA. Pretransplant renal dysfunction predicts poorer outcome in liver transplantation. </w:t>
      </w:r>
      <w:r w:rsidRPr="006A140B">
        <w:rPr>
          <w:rFonts w:ascii="Book Antiqua" w:hAnsi="Book Antiqua"/>
          <w:i/>
          <w:iCs/>
        </w:rPr>
        <w:t>Clin Nephrol</w:t>
      </w:r>
      <w:r w:rsidRPr="006A140B">
        <w:rPr>
          <w:rFonts w:ascii="Book Antiqua" w:hAnsi="Book Antiqua"/>
        </w:rPr>
        <w:t xml:space="preserve"> 1997; </w:t>
      </w:r>
      <w:r w:rsidRPr="006A140B">
        <w:rPr>
          <w:rFonts w:ascii="Book Antiqua" w:hAnsi="Book Antiqua"/>
          <w:b/>
          <w:bCs/>
        </w:rPr>
        <w:t>48</w:t>
      </w:r>
      <w:r w:rsidRPr="006A140B">
        <w:rPr>
          <w:rFonts w:ascii="Book Antiqua" w:hAnsi="Book Antiqua"/>
        </w:rPr>
        <w:t>: 159-164 [PMID: 9342487]</w:t>
      </w:r>
    </w:p>
    <w:p w14:paraId="1727E307" w14:textId="77777777" w:rsidR="00495B7C" w:rsidRPr="006A140B" w:rsidRDefault="00495B7C" w:rsidP="00495B7C">
      <w:pPr>
        <w:spacing w:line="360" w:lineRule="auto"/>
        <w:jc w:val="both"/>
        <w:rPr>
          <w:rFonts w:ascii="Book Antiqua" w:hAnsi="Book Antiqua"/>
        </w:rPr>
      </w:pPr>
      <w:r w:rsidRPr="006A140B">
        <w:rPr>
          <w:rFonts w:ascii="Book Antiqua" w:hAnsi="Book Antiqua"/>
          <w:lang w:val="pt-BR"/>
        </w:rPr>
        <w:t xml:space="preserve">176 </w:t>
      </w:r>
      <w:r w:rsidRPr="006A140B">
        <w:rPr>
          <w:rFonts w:ascii="Book Antiqua" w:hAnsi="Book Antiqua"/>
          <w:b/>
          <w:bCs/>
          <w:lang w:val="pt-BR"/>
        </w:rPr>
        <w:t>David AI</w:t>
      </w:r>
      <w:r w:rsidRPr="006A140B">
        <w:rPr>
          <w:rFonts w:ascii="Book Antiqua" w:hAnsi="Book Antiqua"/>
          <w:lang w:val="pt-BR"/>
        </w:rPr>
        <w:t xml:space="preserve">, Coelho MP, Paes AT, Leite AK, Della Guardia B, de Almeida MD, Meira SP, de Rezende MB, Afonso RC, Ferraz-Neto BH. </w:t>
      </w:r>
      <w:r w:rsidRPr="006A140B">
        <w:rPr>
          <w:rFonts w:ascii="Book Antiqua" w:hAnsi="Book Antiqua"/>
        </w:rPr>
        <w:t xml:space="preserve">Liver transplant outcome: a comparison between high and low MELD score recipients. </w:t>
      </w:r>
      <w:r w:rsidRPr="006A140B">
        <w:rPr>
          <w:rFonts w:ascii="Book Antiqua" w:hAnsi="Book Antiqua"/>
          <w:i/>
          <w:iCs/>
        </w:rPr>
        <w:t>Einstein (Sao Paulo)</w:t>
      </w:r>
      <w:r w:rsidRPr="006A140B">
        <w:rPr>
          <w:rFonts w:ascii="Book Antiqua" w:hAnsi="Book Antiqua"/>
        </w:rPr>
        <w:t xml:space="preserve"> 2012; </w:t>
      </w:r>
      <w:r w:rsidRPr="006A140B">
        <w:rPr>
          <w:rFonts w:ascii="Book Antiqua" w:hAnsi="Book Antiqua"/>
          <w:b/>
          <w:bCs/>
        </w:rPr>
        <w:t>10</w:t>
      </w:r>
      <w:r w:rsidRPr="006A140B">
        <w:rPr>
          <w:rFonts w:ascii="Book Antiqua" w:hAnsi="Book Antiqua"/>
        </w:rPr>
        <w:t>: 57-61 [PMID: 23045827 DOI: 10.1590/s1679-45082012000100012]</w:t>
      </w:r>
    </w:p>
    <w:p w14:paraId="703D485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177 </w:t>
      </w:r>
      <w:r w:rsidRPr="006A140B">
        <w:rPr>
          <w:rFonts w:ascii="Book Antiqua" w:hAnsi="Book Antiqua"/>
          <w:b/>
          <w:bCs/>
        </w:rPr>
        <w:t>Aguilera V</w:t>
      </w:r>
      <w:r w:rsidRPr="006A140B">
        <w:rPr>
          <w:rFonts w:ascii="Book Antiqua" w:hAnsi="Book Antiqua"/>
        </w:rPr>
        <w:t xml:space="preserve">, Ferrer I, Berenguer M, Rivera J, Rubín Á, Moya Á, Pareja E, Sánchez J, Prieto M, Mir J. Comparison of results of combined liver-kidney transplantation vs. isolated liver transplantation. </w:t>
      </w:r>
      <w:r w:rsidRPr="006A140B">
        <w:rPr>
          <w:rFonts w:ascii="Book Antiqua" w:hAnsi="Book Antiqua"/>
          <w:i/>
          <w:iCs/>
        </w:rPr>
        <w:t>Ann Hepatol</w:t>
      </w:r>
      <w:r w:rsidRPr="006A140B">
        <w:rPr>
          <w:rFonts w:ascii="Book Antiqua" w:hAnsi="Book Antiqua"/>
        </w:rPr>
        <w:t xml:space="preserve"> 2013; </w:t>
      </w:r>
      <w:r w:rsidRPr="006A140B">
        <w:rPr>
          <w:rFonts w:ascii="Book Antiqua" w:hAnsi="Book Antiqua"/>
          <w:b/>
          <w:bCs/>
        </w:rPr>
        <w:t>12</w:t>
      </w:r>
      <w:r w:rsidRPr="006A140B">
        <w:rPr>
          <w:rFonts w:ascii="Book Antiqua" w:hAnsi="Book Antiqua"/>
        </w:rPr>
        <w:t>: 274-281 [PMID: 23396739]</w:t>
      </w:r>
    </w:p>
    <w:p w14:paraId="7A0C8E9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178 </w:t>
      </w:r>
      <w:r w:rsidRPr="006A140B">
        <w:rPr>
          <w:rFonts w:ascii="Book Antiqua" w:hAnsi="Book Antiqua"/>
          <w:b/>
          <w:bCs/>
        </w:rPr>
        <w:t>Kliem V</w:t>
      </w:r>
      <w:r w:rsidRPr="006A140B">
        <w:rPr>
          <w:rFonts w:ascii="Book Antiqua" w:hAnsi="Book Antiqua"/>
        </w:rPr>
        <w:t xml:space="preserve">, Ringe B, Frei U, Pichlmayr R. Single-center experience of combined liver and kidney transplantation. </w:t>
      </w:r>
      <w:r w:rsidRPr="006A140B">
        <w:rPr>
          <w:rFonts w:ascii="Book Antiqua" w:hAnsi="Book Antiqua"/>
          <w:i/>
          <w:iCs/>
        </w:rPr>
        <w:t>Clin Transplant</w:t>
      </w:r>
      <w:r w:rsidRPr="006A140B">
        <w:rPr>
          <w:rFonts w:ascii="Book Antiqua" w:hAnsi="Book Antiqua"/>
        </w:rPr>
        <w:t xml:space="preserve"> 1995; </w:t>
      </w:r>
      <w:r w:rsidRPr="006A140B">
        <w:rPr>
          <w:rFonts w:ascii="Book Antiqua" w:hAnsi="Book Antiqua"/>
          <w:b/>
          <w:bCs/>
        </w:rPr>
        <w:t>9</w:t>
      </w:r>
      <w:r w:rsidRPr="006A140B">
        <w:rPr>
          <w:rFonts w:ascii="Book Antiqua" w:hAnsi="Book Antiqua"/>
        </w:rPr>
        <w:t>: 39-44 [PMID: 7742582]</w:t>
      </w:r>
    </w:p>
    <w:p w14:paraId="4EC7FD9E" w14:textId="4029E45E" w:rsidR="00495B7C" w:rsidRPr="006A140B" w:rsidRDefault="00495B7C" w:rsidP="00495B7C">
      <w:pPr>
        <w:spacing w:line="360" w:lineRule="auto"/>
        <w:jc w:val="both"/>
        <w:rPr>
          <w:rFonts w:ascii="Book Antiqua" w:hAnsi="Book Antiqua"/>
        </w:rPr>
      </w:pPr>
      <w:r w:rsidRPr="006A140B">
        <w:rPr>
          <w:rFonts w:ascii="Book Antiqua" w:hAnsi="Book Antiqua"/>
        </w:rPr>
        <w:t xml:space="preserve">179 </w:t>
      </w:r>
      <w:r w:rsidRPr="006A140B">
        <w:rPr>
          <w:rFonts w:ascii="Book Antiqua" w:hAnsi="Book Antiqua"/>
          <w:b/>
          <w:bCs/>
        </w:rPr>
        <w:t>Tanriover B</w:t>
      </w:r>
      <w:r w:rsidRPr="006A140B">
        <w:rPr>
          <w:rFonts w:ascii="Book Antiqua" w:hAnsi="Book Antiqua"/>
        </w:rPr>
        <w:t>, MacConmara MP, Parekh J, Arce C, Zhang S, Gao A, Mufti A, Levea SL, Sandikci B, Ayvaci MU, Ariyamuthu VK, Hwang C, Mohan S, Mete M, Vazquez MA, Marrero JA. S</w:t>
      </w:r>
      <w:r w:rsidR="00441A23" w:rsidRPr="006A140B">
        <w:rPr>
          <w:rFonts w:ascii="Book Antiqua" w:hAnsi="Book Antiqua"/>
        </w:rPr>
        <w:t>imultaneous liver kidney transplantation in liver transplant candidates with renal dysfunction:</w:t>
      </w:r>
      <w:r w:rsidRPr="006A140B">
        <w:rPr>
          <w:rFonts w:ascii="Book Antiqua" w:hAnsi="Book Antiqua"/>
        </w:rPr>
        <w:t xml:space="preserve"> I</w:t>
      </w:r>
      <w:r w:rsidR="00441A23" w:rsidRPr="006A140B">
        <w:rPr>
          <w:rFonts w:ascii="Book Antiqua" w:hAnsi="Book Antiqua"/>
        </w:rPr>
        <w:t>mportance of creatinine levels, dialysis, and organ quality in survival</w:t>
      </w:r>
      <w:r w:rsidRPr="006A140B">
        <w:rPr>
          <w:rFonts w:ascii="Book Antiqua" w:hAnsi="Book Antiqua"/>
        </w:rPr>
        <w:t xml:space="preserve">. </w:t>
      </w:r>
      <w:r w:rsidRPr="006A140B">
        <w:rPr>
          <w:rFonts w:ascii="Book Antiqua" w:hAnsi="Book Antiqua"/>
          <w:i/>
          <w:iCs/>
        </w:rPr>
        <w:t>Kidney Int Rep</w:t>
      </w:r>
      <w:r w:rsidRPr="006A140B">
        <w:rPr>
          <w:rFonts w:ascii="Book Antiqua" w:hAnsi="Book Antiqua"/>
        </w:rPr>
        <w:t xml:space="preserve"> 2016; </w:t>
      </w:r>
      <w:r w:rsidRPr="006A140B">
        <w:rPr>
          <w:rFonts w:ascii="Book Antiqua" w:hAnsi="Book Antiqua"/>
          <w:b/>
          <w:bCs/>
        </w:rPr>
        <w:t>1</w:t>
      </w:r>
      <w:r w:rsidRPr="006A140B">
        <w:rPr>
          <w:rFonts w:ascii="Book Antiqua" w:hAnsi="Book Antiqua"/>
        </w:rPr>
        <w:t>: 221-229 [PMID: 27942610 DOI: 10.1016/j.ekir.2016.07.008]</w:t>
      </w:r>
    </w:p>
    <w:p w14:paraId="6959757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180 </w:t>
      </w:r>
      <w:r w:rsidRPr="006A140B">
        <w:rPr>
          <w:rFonts w:ascii="Book Antiqua" w:hAnsi="Book Antiqua"/>
          <w:b/>
          <w:bCs/>
        </w:rPr>
        <w:t>Margreiter R</w:t>
      </w:r>
      <w:r w:rsidRPr="006A140B">
        <w:rPr>
          <w:rFonts w:ascii="Book Antiqua" w:hAnsi="Book Antiqua"/>
        </w:rPr>
        <w:t xml:space="preserve">, Steurer W, Spechtenhauser B, Königsrainer A. Kidney transplantation together with another solid organ from the same donor--a single-center progress report. </w:t>
      </w:r>
      <w:r w:rsidRPr="006A140B">
        <w:rPr>
          <w:rFonts w:ascii="Book Antiqua" w:hAnsi="Book Antiqua"/>
          <w:i/>
          <w:iCs/>
        </w:rPr>
        <w:t>Clin Nephrol</w:t>
      </w:r>
      <w:r w:rsidRPr="006A140B">
        <w:rPr>
          <w:rFonts w:ascii="Book Antiqua" w:hAnsi="Book Antiqua"/>
        </w:rPr>
        <w:t xml:space="preserve"> 2000; </w:t>
      </w:r>
      <w:r w:rsidRPr="006A140B">
        <w:rPr>
          <w:rFonts w:ascii="Book Antiqua" w:hAnsi="Book Antiqua"/>
          <w:b/>
          <w:bCs/>
        </w:rPr>
        <w:t>53</w:t>
      </w:r>
      <w:r w:rsidRPr="006A140B">
        <w:rPr>
          <w:rFonts w:ascii="Book Antiqua" w:hAnsi="Book Antiqua"/>
        </w:rPr>
        <w:t>: suppl 38-suppl 43 [PMID: 10809434]</w:t>
      </w:r>
    </w:p>
    <w:p w14:paraId="27FCDCC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181 </w:t>
      </w:r>
      <w:r w:rsidRPr="006A140B">
        <w:rPr>
          <w:rFonts w:ascii="Book Antiqua" w:hAnsi="Book Antiqua"/>
          <w:b/>
          <w:bCs/>
        </w:rPr>
        <w:t>Zhu XF</w:t>
      </w:r>
      <w:r w:rsidRPr="006A140B">
        <w:rPr>
          <w:rFonts w:ascii="Book Antiqua" w:hAnsi="Book Antiqua"/>
        </w:rPr>
        <w:t xml:space="preserve">, He XS, Chen GH, Chen LZ, Wang CX, Huang JF. Combined liver and kidney transplantation in Guangzhou, China. </w:t>
      </w:r>
      <w:r w:rsidRPr="006A140B">
        <w:rPr>
          <w:rFonts w:ascii="Book Antiqua" w:hAnsi="Book Antiqua"/>
          <w:i/>
          <w:iCs/>
        </w:rPr>
        <w:t>Hepatobiliary Pancreat Dis Int</w:t>
      </w:r>
      <w:r w:rsidRPr="006A140B">
        <w:rPr>
          <w:rFonts w:ascii="Book Antiqua" w:hAnsi="Book Antiqua"/>
        </w:rPr>
        <w:t xml:space="preserve"> 2007; </w:t>
      </w:r>
      <w:r w:rsidRPr="006A140B">
        <w:rPr>
          <w:rFonts w:ascii="Book Antiqua" w:hAnsi="Book Antiqua"/>
          <w:b/>
          <w:bCs/>
        </w:rPr>
        <w:t>6</w:t>
      </w:r>
      <w:r w:rsidRPr="006A140B">
        <w:rPr>
          <w:rFonts w:ascii="Book Antiqua" w:hAnsi="Book Antiqua"/>
        </w:rPr>
        <w:t>: 585-589 [PMID: 18086622]</w:t>
      </w:r>
    </w:p>
    <w:p w14:paraId="2AAEAA1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182 </w:t>
      </w:r>
      <w:r w:rsidRPr="006A140B">
        <w:rPr>
          <w:rFonts w:ascii="Book Antiqua" w:hAnsi="Book Antiqua"/>
          <w:b/>
          <w:bCs/>
        </w:rPr>
        <w:t>Pardo F</w:t>
      </w:r>
      <w:r w:rsidRPr="006A140B">
        <w:rPr>
          <w:rFonts w:ascii="Book Antiqua" w:hAnsi="Book Antiqua"/>
        </w:rPr>
        <w:t xml:space="preserve">, Pons JA, Castells L, Colmenero J, Gómez MÁ, Lladó L, Pérez B, Prieto M, Briceño J. VI consensus document by the Spanish Liver Transplantation Society. </w:t>
      </w:r>
      <w:r w:rsidRPr="006A140B">
        <w:rPr>
          <w:rFonts w:ascii="Book Antiqua" w:hAnsi="Book Antiqua"/>
          <w:i/>
          <w:iCs/>
        </w:rPr>
        <w:t>Gastroenterol Hepatol</w:t>
      </w:r>
      <w:r w:rsidRPr="006A140B">
        <w:rPr>
          <w:rFonts w:ascii="Book Antiqua" w:hAnsi="Book Antiqua"/>
        </w:rPr>
        <w:t xml:space="preserve"> 2018; </w:t>
      </w:r>
      <w:r w:rsidRPr="006A140B">
        <w:rPr>
          <w:rFonts w:ascii="Book Antiqua" w:hAnsi="Book Antiqua"/>
          <w:b/>
          <w:bCs/>
        </w:rPr>
        <w:t>41</w:t>
      </w:r>
      <w:r w:rsidRPr="006A140B">
        <w:rPr>
          <w:rFonts w:ascii="Book Antiqua" w:hAnsi="Book Antiqua"/>
        </w:rPr>
        <w:t>: 406-421 [PMID: 29866511 DOI: 10.1016/j.gastrohep.2018.05.012]</w:t>
      </w:r>
    </w:p>
    <w:p w14:paraId="09C102F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183 </w:t>
      </w:r>
      <w:r w:rsidRPr="006A140B">
        <w:rPr>
          <w:rFonts w:ascii="Book Antiqua" w:hAnsi="Book Antiqua"/>
          <w:b/>
          <w:bCs/>
        </w:rPr>
        <w:t>Singal AK</w:t>
      </w:r>
      <w:r w:rsidRPr="006A140B">
        <w:rPr>
          <w:rFonts w:ascii="Book Antiqua" w:hAnsi="Book Antiqua"/>
        </w:rPr>
        <w:t xml:space="preserve">, Salameh H, Kuo YF, Wiesner RH. Evolving frequency and outcomes of simultaneous liver kidney transplants based on liver disease etiology. </w:t>
      </w:r>
      <w:r w:rsidRPr="006A140B">
        <w:rPr>
          <w:rFonts w:ascii="Book Antiqua" w:hAnsi="Book Antiqua"/>
          <w:i/>
          <w:iCs/>
        </w:rPr>
        <w:t>Transplantation</w:t>
      </w:r>
      <w:r w:rsidRPr="006A140B">
        <w:rPr>
          <w:rFonts w:ascii="Book Antiqua" w:hAnsi="Book Antiqua"/>
        </w:rPr>
        <w:t xml:space="preserve"> 2014; </w:t>
      </w:r>
      <w:r w:rsidRPr="006A140B">
        <w:rPr>
          <w:rFonts w:ascii="Book Antiqua" w:hAnsi="Book Antiqua"/>
          <w:b/>
          <w:bCs/>
        </w:rPr>
        <w:t>98</w:t>
      </w:r>
      <w:r w:rsidRPr="006A140B">
        <w:rPr>
          <w:rFonts w:ascii="Book Antiqua" w:hAnsi="Book Antiqua"/>
        </w:rPr>
        <w:t>: 216-221 [PMID: 24621538 DOI: 10.1097/TP.0000000000000048]</w:t>
      </w:r>
    </w:p>
    <w:p w14:paraId="4C9C5F5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184 </w:t>
      </w:r>
      <w:r w:rsidRPr="006A140B">
        <w:rPr>
          <w:rFonts w:ascii="Book Antiqua" w:hAnsi="Book Antiqua"/>
          <w:b/>
          <w:bCs/>
        </w:rPr>
        <w:t>Rich N</w:t>
      </w:r>
      <w:r w:rsidRPr="006A140B">
        <w:rPr>
          <w:rFonts w:ascii="Book Antiqua" w:hAnsi="Book Antiqua"/>
        </w:rPr>
        <w:t xml:space="preserve">, Tanriover B, Singal AG, Marrero JA. Outcomes of Simultaneous Liver Kidney Transplantation in Patients With Hepatocellular Carcinoma. </w:t>
      </w:r>
      <w:r w:rsidRPr="006A140B">
        <w:rPr>
          <w:rFonts w:ascii="Book Antiqua" w:hAnsi="Book Antiqua"/>
          <w:i/>
          <w:iCs/>
        </w:rPr>
        <w:t>Transplantation</w:t>
      </w:r>
      <w:r w:rsidRPr="006A140B">
        <w:rPr>
          <w:rFonts w:ascii="Book Antiqua" w:hAnsi="Book Antiqua"/>
        </w:rPr>
        <w:t xml:space="preserve"> 2017; </w:t>
      </w:r>
      <w:r w:rsidRPr="006A140B">
        <w:rPr>
          <w:rFonts w:ascii="Book Antiqua" w:hAnsi="Book Antiqua"/>
          <w:b/>
          <w:bCs/>
        </w:rPr>
        <w:t>101</w:t>
      </w:r>
      <w:r w:rsidRPr="006A140B">
        <w:rPr>
          <w:rFonts w:ascii="Book Antiqua" w:hAnsi="Book Antiqua"/>
        </w:rPr>
        <w:t>: e12-e19 [PMID: 28009759 DOI: 10.1097/TP.0000000000001515]</w:t>
      </w:r>
    </w:p>
    <w:p w14:paraId="2601F4E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185 </w:t>
      </w:r>
      <w:r w:rsidRPr="006A140B">
        <w:rPr>
          <w:rFonts w:ascii="Book Antiqua" w:hAnsi="Book Antiqua"/>
          <w:b/>
          <w:bCs/>
        </w:rPr>
        <w:t>Livraghi T</w:t>
      </w:r>
      <w:r w:rsidRPr="006A140B">
        <w:rPr>
          <w:rFonts w:ascii="Book Antiqua" w:hAnsi="Book Antiqua"/>
        </w:rPr>
        <w:t xml:space="preserve">, Solbiati L, Meloni MF, Gazelle GS, Halpern EF, Goldberg SN. Treatment of focal liver tumors with percutaneous radio-frequency ablation: complications encountered in a multicenter study. </w:t>
      </w:r>
      <w:r w:rsidRPr="006A140B">
        <w:rPr>
          <w:rFonts w:ascii="Book Antiqua" w:hAnsi="Book Antiqua"/>
          <w:i/>
          <w:iCs/>
        </w:rPr>
        <w:t>Radiology</w:t>
      </w:r>
      <w:r w:rsidRPr="006A140B">
        <w:rPr>
          <w:rFonts w:ascii="Book Antiqua" w:hAnsi="Book Antiqua"/>
        </w:rPr>
        <w:t xml:space="preserve"> 2003; </w:t>
      </w:r>
      <w:r w:rsidRPr="006A140B">
        <w:rPr>
          <w:rFonts w:ascii="Book Antiqua" w:hAnsi="Book Antiqua"/>
          <w:b/>
          <w:bCs/>
        </w:rPr>
        <w:t>226</w:t>
      </w:r>
      <w:r w:rsidRPr="006A140B">
        <w:rPr>
          <w:rFonts w:ascii="Book Antiqua" w:hAnsi="Book Antiqua"/>
        </w:rPr>
        <w:t>: 441-451 [PMID: 12563138 DOI: 10.1148/radiol.2262012198]</w:t>
      </w:r>
    </w:p>
    <w:p w14:paraId="341E190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186 </w:t>
      </w:r>
      <w:r w:rsidRPr="006A140B">
        <w:rPr>
          <w:rFonts w:ascii="Book Antiqua" w:hAnsi="Book Antiqua"/>
          <w:b/>
          <w:bCs/>
        </w:rPr>
        <w:t>Takaki H</w:t>
      </w:r>
      <w:r w:rsidRPr="006A140B">
        <w:rPr>
          <w:rFonts w:ascii="Book Antiqua" w:hAnsi="Book Antiqua"/>
        </w:rPr>
        <w:t xml:space="preserve">, Yamakado K, Nakatsuka A, Yamada T, Shiraki K, Takei Y, Takeda K. Frequency of and risk factors for complications after liver radiofrequency ablation under CT fluoroscopic guidance in 1500 sessions: single-center experience. </w:t>
      </w:r>
      <w:r w:rsidRPr="006A140B">
        <w:rPr>
          <w:rFonts w:ascii="Book Antiqua" w:hAnsi="Book Antiqua"/>
          <w:i/>
          <w:iCs/>
        </w:rPr>
        <w:t>AJR Am J Roentgenol</w:t>
      </w:r>
      <w:r w:rsidRPr="006A140B">
        <w:rPr>
          <w:rFonts w:ascii="Book Antiqua" w:hAnsi="Book Antiqua"/>
        </w:rPr>
        <w:t xml:space="preserve"> 2013; </w:t>
      </w:r>
      <w:r w:rsidRPr="006A140B">
        <w:rPr>
          <w:rFonts w:ascii="Book Antiqua" w:hAnsi="Book Antiqua"/>
          <w:b/>
          <w:bCs/>
        </w:rPr>
        <w:t>200</w:t>
      </w:r>
      <w:r w:rsidRPr="006A140B">
        <w:rPr>
          <w:rFonts w:ascii="Book Antiqua" w:hAnsi="Book Antiqua"/>
        </w:rPr>
        <w:t>: 658-664 [PMID: 23436859 DOI: 10.2214/AJR.12.8691]</w:t>
      </w:r>
    </w:p>
    <w:p w14:paraId="01B27E0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187 </w:t>
      </w:r>
      <w:r w:rsidRPr="006A140B">
        <w:rPr>
          <w:rFonts w:ascii="Book Antiqua" w:hAnsi="Book Antiqua"/>
          <w:b/>
          <w:bCs/>
        </w:rPr>
        <w:t>Li H</w:t>
      </w:r>
      <w:r w:rsidRPr="006A140B">
        <w:rPr>
          <w:rFonts w:ascii="Book Antiqua" w:hAnsi="Book Antiqua"/>
        </w:rPr>
        <w:t xml:space="preserve">, Li B, Wei Y, Liu F. Hemolysis as a complication of radiofrequency ablation for hepatocellular carcinoma must be paid more attention. </w:t>
      </w:r>
      <w:r w:rsidRPr="006A140B">
        <w:rPr>
          <w:rFonts w:ascii="Book Antiqua" w:hAnsi="Book Antiqua"/>
          <w:i/>
          <w:iCs/>
        </w:rPr>
        <w:t>Dig Dis Sci</w:t>
      </w:r>
      <w:r w:rsidRPr="006A140B">
        <w:rPr>
          <w:rFonts w:ascii="Book Antiqua" w:hAnsi="Book Antiqua"/>
        </w:rPr>
        <w:t xml:space="preserve"> 2011; </w:t>
      </w:r>
      <w:r w:rsidRPr="006A140B">
        <w:rPr>
          <w:rFonts w:ascii="Book Antiqua" w:hAnsi="Book Antiqua"/>
          <w:b/>
          <w:bCs/>
        </w:rPr>
        <w:t>56</w:t>
      </w:r>
      <w:r w:rsidRPr="006A140B">
        <w:rPr>
          <w:rFonts w:ascii="Book Antiqua" w:hAnsi="Book Antiqua"/>
        </w:rPr>
        <w:t>: 3391-3392 [PMID: 21567191 DOI: 10.1007/s10620-011-1737-4]</w:t>
      </w:r>
    </w:p>
    <w:p w14:paraId="3799A8A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188 </w:t>
      </w:r>
      <w:r w:rsidRPr="006A140B">
        <w:rPr>
          <w:rFonts w:ascii="Book Antiqua" w:hAnsi="Book Antiqua"/>
          <w:b/>
          <w:bCs/>
        </w:rPr>
        <w:t>Keltner JR</w:t>
      </w:r>
      <w:r w:rsidRPr="006A140B">
        <w:rPr>
          <w:rFonts w:ascii="Book Antiqua" w:hAnsi="Book Antiqua"/>
        </w:rPr>
        <w:t xml:space="preserve">, Donegan E, Hynson JM, Shapiro WA. Acute renal failure after radiofrequency liver ablation of metastatic carcinoid tumor. </w:t>
      </w:r>
      <w:r w:rsidRPr="006A140B">
        <w:rPr>
          <w:rFonts w:ascii="Book Antiqua" w:hAnsi="Book Antiqua"/>
          <w:i/>
          <w:iCs/>
        </w:rPr>
        <w:t>Anesth Analg</w:t>
      </w:r>
      <w:r w:rsidRPr="006A140B">
        <w:rPr>
          <w:rFonts w:ascii="Book Antiqua" w:hAnsi="Book Antiqua"/>
        </w:rPr>
        <w:t xml:space="preserve"> 2001; </w:t>
      </w:r>
      <w:r w:rsidRPr="006A140B">
        <w:rPr>
          <w:rFonts w:ascii="Book Antiqua" w:hAnsi="Book Antiqua"/>
          <w:b/>
          <w:bCs/>
        </w:rPr>
        <w:t>93</w:t>
      </w:r>
      <w:r w:rsidRPr="006A140B">
        <w:rPr>
          <w:rFonts w:ascii="Book Antiqua" w:hAnsi="Book Antiqua"/>
        </w:rPr>
        <w:t>: 587-589 [PMID: 11524322 DOI: 10.1097/00000539-200109000-00011]</w:t>
      </w:r>
    </w:p>
    <w:p w14:paraId="1CE743B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189 </w:t>
      </w:r>
      <w:r w:rsidRPr="006A140B">
        <w:rPr>
          <w:rFonts w:ascii="Book Antiqua" w:hAnsi="Book Antiqua"/>
          <w:b/>
          <w:bCs/>
        </w:rPr>
        <w:t>Tsui SL</w:t>
      </w:r>
      <w:r w:rsidRPr="006A140B">
        <w:rPr>
          <w:rFonts w:ascii="Book Antiqua" w:hAnsi="Book Antiqua"/>
        </w:rPr>
        <w:t xml:space="preserve">, Lee AK, Lui SK, Poon RT, Fan ST. Acute intraoperative hemolysis and hemoglobinuria during radiofrequency ablation of hepatocellular carcinoma. </w:t>
      </w:r>
      <w:r w:rsidRPr="006A140B">
        <w:rPr>
          <w:rFonts w:ascii="Book Antiqua" w:hAnsi="Book Antiqua"/>
          <w:i/>
          <w:iCs/>
        </w:rPr>
        <w:t>Hepatogastroenterology</w:t>
      </w:r>
      <w:r w:rsidRPr="006A140B">
        <w:rPr>
          <w:rFonts w:ascii="Book Antiqua" w:hAnsi="Book Antiqua"/>
        </w:rPr>
        <w:t xml:space="preserve"> 2003; </w:t>
      </w:r>
      <w:r w:rsidRPr="006A140B">
        <w:rPr>
          <w:rFonts w:ascii="Book Antiqua" w:hAnsi="Book Antiqua"/>
          <w:b/>
          <w:bCs/>
        </w:rPr>
        <w:t>50</w:t>
      </w:r>
      <w:r w:rsidRPr="006A140B">
        <w:rPr>
          <w:rFonts w:ascii="Book Antiqua" w:hAnsi="Book Antiqua"/>
        </w:rPr>
        <w:t>: 526-529 [PMID: 12749264]</w:t>
      </w:r>
    </w:p>
    <w:p w14:paraId="6F1EA84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190 </w:t>
      </w:r>
      <w:r w:rsidRPr="006A140B">
        <w:rPr>
          <w:rFonts w:ascii="Book Antiqua" w:hAnsi="Book Antiqua"/>
          <w:b/>
          <w:bCs/>
        </w:rPr>
        <w:t>Metzner J</w:t>
      </w:r>
      <w:r w:rsidRPr="006A140B">
        <w:rPr>
          <w:rFonts w:ascii="Book Antiqua" w:hAnsi="Book Antiqua"/>
        </w:rPr>
        <w:t xml:space="preserve">, Evans JL, Domino KB. Life-threatening hyperkalemia during radiofrequency ablation of hepatocellular carcinoma. </w:t>
      </w:r>
      <w:r w:rsidRPr="006A140B">
        <w:rPr>
          <w:rFonts w:ascii="Book Antiqua" w:hAnsi="Book Antiqua"/>
          <w:i/>
          <w:iCs/>
        </w:rPr>
        <w:t>J Clin Anesth</w:t>
      </w:r>
      <w:r w:rsidRPr="006A140B">
        <w:rPr>
          <w:rFonts w:ascii="Book Antiqua" w:hAnsi="Book Antiqua"/>
        </w:rPr>
        <w:t xml:space="preserve"> 2010; </w:t>
      </w:r>
      <w:r w:rsidRPr="006A140B">
        <w:rPr>
          <w:rFonts w:ascii="Book Antiqua" w:hAnsi="Book Antiqua"/>
          <w:b/>
          <w:bCs/>
        </w:rPr>
        <w:t>22</w:t>
      </w:r>
      <w:r w:rsidRPr="006A140B">
        <w:rPr>
          <w:rFonts w:ascii="Book Antiqua" w:hAnsi="Book Antiqua"/>
        </w:rPr>
        <w:t>: 473-476 [PMID: 20868971 DOI: 10.1016/j.jclinane.2009.08.008]</w:t>
      </w:r>
    </w:p>
    <w:p w14:paraId="062AF7A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191 </w:t>
      </w:r>
      <w:r w:rsidRPr="006A140B">
        <w:rPr>
          <w:rFonts w:ascii="Book Antiqua" w:hAnsi="Book Antiqua"/>
          <w:b/>
          <w:bCs/>
        </w:rPr>
        <w:t>Jiao LR</w:t>
      </w:r>
      <w:r w:rsidRPr="006A140B">
        <w:rPr>
          <w:rFonts w:ascii="Book Antiqua" w:hAnsi="Book Antiqua"/>
        </w:rPr>
        <w:t xml:space="preserve">, Hansen PD, Havlik R, Mitry RR, Pignatelli M, Habib N. Clinical short-term results of radiofrequency ablation in primary and secondary liver tumors. </w:t>
      </w:r>
      <w:r w:rsidRPr="006A140B">
        <w:rPr>
          <w:rFonts w:ascii="Book Antiqua" w:hAnsi="Book Antiqua"/>
          <w:i/>
          <w:iCs/>
        </w:rPr>
        <w:t>Am J Surg</w:t>
      </w:r>
      <w:r w:rsidRPr="006A140B">
        <w:rPr>
          <w:rFonts w:ascii="Book Antiqua" w:hAnsi="Book Antiqua"/>
        </w:rPr>
        <w:t xml:space="preserve"> 1999; </w:t>
      </w:r>
      <w:r w:rsidRPr="006A140B">
        <w:rPr>
          <w:rFonts w:ascii="Book Antiqua" w:hAnsi="Book Antiqua"/>
          <w:b/>
          <w:bCs/>
        </w:rPr>
        <w:t>177</w:t>
      </w:r>
      <w:r w:rsidRPr="006A140B">
        <w:rPr>
          <w:rFonts w:ascii="Book Antiqua" w:hAnsi="Book Antiqua"/>
        </w:rPr>
        <w:t>: 303-306 [PMID: 10326848 DOI: 10.1016/s0002-9610(99)00043-4]</w:t>
      </w:r>
    </w:p>
    <w:p w14:paraId="396C64C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192 </w:t>
      </w:r>
      <w:r w:rsidRPr="006A140B">
        <w:rPr>
          <w:rFonts w:ascii="Book Antiqua" w:hAnsi="Book Antiqua"/>
          <w:b/>
          <w:bCs/>
        </w:rPr>
        <w:t>Hargreaves GM</w:t>
      </w:r>
      <w:r w:rsidRPr="006A140B">
        <w:rPr>
          <w:rFonts w:ascii="Book Antiqua" w:hAnsi="Book Antiqua"/>
        </w:rPr>
        <w:t xml:space="preserve">, Adam R, Bismuth H. Results after nonsurgical local treatment of primary liver malignancies. </w:t>
      </w:r>
      <w:r w:rsidRPr="006A140B">
        <w:rPr>
          <w:rFonts w:ascii="Book Antiqua" w:hAnsi="Book Antiqua"/>
          <w:i/>
          <w:iCs/>
        </w:rPr>
        <w:t>Langenbecks Arch Surg</w:t>
      </w:r>
      <w:r w:rsidRPr="006A140B">
        <w:rPr>
          <w:rFonts w:ascii="Book Antiqua" w:hAnsi="Book Antiqua"/>
        </w:rPr>
        <w:t xml:space="preserve"> 2000; </w:t>
      </w:r>
      <w:r w:rsidRPr="006A140B">
        <w:rPr>
          <w:rFonts w:ascii="Book Antiqua" w:hAnsi="Book Antiqua"/>
          <w:b/>
          <w:bCs/>
        </w:rPr>
        <w:t>385</w:t>
      </w:r>
      <w:r w:rsidRPr="006A140B">
        <w:rPr>
          <w:rFonts w:ascii="Book Antiqua" w:hAnsi="Book Antiqua"/>
        </w:rPr>
        <w:t>: 185-193 [PMID: 10857489 DOI: 10.1007/s004230050263]</w:t>
      </w:r>
    </w:p>
    <w:p w14:paraId="0E62808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193 </w:t>
      </w:r>
      <w:r w:rsidRPr="006A140B">
        <w:rPr>
          <w:rFonts w:ascii="Book Antiqua" w:hAnsi="Book Antiqua"/>
          <w:b/>
          <w:bCs/>
        </w:rPr>
        <w:t>Fukumori K</w:t>
      </w:r>
      <w:r w:rsidRPr="006A140B">
        <w:rPr>
          <w:rFonts w:ascii="Book Antiqua" w:hAnsi="Book Antiqua"/>
        </w:rPr>
        <w:t xml:space="preserve">, Shakado S, Makihata T, Takemoto R, Fukuizumi K, Miyahara T, Yasumori K, Muranaka T, Watanabe J, Saitsu H, Sakai H, Sata M. [A case of chronic renal failure caused hyperkalemia following percutaneous radiofrequency ablation therapy for hepatocellular carcinoma]. </w:t>
      </w:r>
      <w:r w:rsidRPr="006A140B">
        <w:rPr>
          <w:rFonts w:ascii="Book Antiqua" w:hAnsi="Book Antiqua"/>
          <w:i/>
          <w:iCs/>
        </w:rPr>
        <w:t>Nihon Shokakibyo Gakkai Zasshi</w:t>
      </w:r>
      <w:r w:rsidRPr="006A140B">
        <w:rPr>
          <w:rFonts w:ascii="Book Antiqua" w:hAnsi="Book Antiqua"/>
        </w:rPr>
        <w:t xml:space="preserve"> 2003; </w:t>
      </w:r>
      <w:r w:rsidRPr="006A140B">
        <w:rPr>
          <w:rFonts w:ascii="Book Antiqua" w:hAnsi="Book Antiqua"/>
          <w:b/>
          <w:bCs/>
        </w:rPr>
        <w:t>100</w:t>
      </w:r>
      <w:r w:rsidRPr="006A140B">
        <w:rPr>
          <w:rFonts w:ascii="Book Antiqua" w:hAnsi="Book Antiqua"/>
        </w:rPr>
        <w:t>: 702-706 [PMID: 12833866]</w:t>
      </w:r>
    </w:p>
    <w:p w14:paraId="73E9A64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194 </w:t>
      </w:r>
      <w:r w:rsidRPr="006A140B">
        <w:rPr>
          <w:rFonts w:ascii="Book Antiqua" w:hAnsi="Book Antiqua"/>
          <w:b/>
          <w:bCs/>
        </w:rPr>
        <w:t>Hiraoka A</w:t>
      </w:r>
      <w:r w:rsidRPr="006A140B">
        <w:rPr>
          <w:rFonts w:ascii="Book Antiqua" w:hAnsi="Book Antiqua"/>
        </w:rPr>
        <w:t xml:space="preserve">, Kumada T, Michitaka K, Toyoda H, Tada T, Takaguchi K, Tsuji K, Itobayashi E, Takizawa D, Hirooka M, Koizumi Y, Ochi H, Joko K, Kisaka Y, Shimizu Y, Tajiri K, Tani J, Taniguchi T, Toshimori A, Fujioka S; Real-Life Practice Experts For Hepatocellular Carcinoma (HCC) (RELPEC) Study Group and The HCC 48 Group (HCC experts from 48 clinics). Clinical features of hemodialysis patients treated for hepatocellular carcinoma: Comparison between resection and radiofrequency ablation. </w:t>
      </w:r>
      <w:r w:rsidRPr="006A140B">
        <w:rPr>
          <w:rFonts w:ascii="Book Antiqua" w:hAnsi="Book Antiqua"/>
          <w:i/>
          <w:iCs/>
        </w:rPr>
        <w:t>Mol Clin Oncol</w:t>
      </w:r>
      <w:r w:rsidRPr="006A140B">
        <w:rPr>
          <w:rFonts w:ascii="Book Antiqua" w:hAnsi="Book Antiqua"/>
        </w:rPr>
        <w:t xml:space="preserve"> 2017; </w:t>
      </w:r>
      <w:r w:rsidRPr="006A140B">
        <w:rPr>
          <w:rFonts w:ascii="Book Antiqua" w:hAnsi="Book Antiqua"/>
          <w:b/>
          <w:bCs/>
        </w:rPr>
        <w:t>6</w:t>
      </w:r>
      <w:r w:rsidRPr="006A140B">
        <w:rPr>
          <w:rFonts w:ascii="Book Antiqua" w:hAnsi="Book Antiqua"/>
        </w:rPr>
        <w:t>: 455-461 [PMID: 28413650 DOI: 10.3892/mco.2017.1192]</w:t>
      </w:r>
    </w:p>
    <w:p w14:paraId="659C55C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195 </w:t>
      </w:r>
      <w:r w:rsidRPr="006A140B">
        <w:rPr>
          <w:rFonts w:ascii="Book Antiqua" w:hAnsi="Book Antiqua"/>
          <w:b/>
          <w:bCs/>
        </w:rPr>
        <w:t>Kondo Y</w:t>
      </w:r>
      <w:r w:rsidRPr="006A140B">
        <w:rPr>
          <w:rFonts w:ascii="Book Antiqua" w:hAnsi="Book Antiqua"/>
        </w:rPr>
        <w:t xml:space="preserve">, Yoshida H, Tomizawa Y, Tateishi R, Shiina S, Tagawa K, Omata M. Percutaneous radiofrequency ablation of hepatocellular carcinoma in 14 patients undergoing regular hemodialysis for end-stage renal disease. </w:t>
      </w:r>
      <w:r w:rsidRPr="006A140B">
        <w:rPr>
          <w:rFonts w:ascii="Book Antiqua" w:hAnsi="Book Antiqua"/>
          <w:i/>
          <w:iCs/>
        </w:rPr>
        <w:t>AJR Am J Roentgenol</w:t>
      </w:r>
      <w:r w:rsidRPr="006A140B">
        <w:rPr>
          <w:rFonts w:ascii="Book Antiqua" w:hAnsi="Book Antiqua"/>
        </w:rPr>
        <w:t xml:space="preserve"> 2009; </w:t>
      </w:r>
      <w:r w:rsidRPr="006A140B">
        <w:rPr>
          <w:rFonts w:ascii="Book Antiqua" w:hAnsi="Book Antiqua"/>
          <w:b/>
          <w:bCs/>
        </w:rPr>
        <w:t>193</w:t>
      </w:r>
      <w:r w:rsidRPr="006A140B">
        <w:rPr>
          <w:rFonts w:ascii="Book Antiqua" w:hAnsi="Book Antiqua"/>
        </w:rPr>
        <w:t>: 964-969 [PMID: 19770317 DOI: 10.2214/AJR.08.2236]</w:t>
      </w:r>
    </w:p>
    <w:p w14:paraId="3993431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196 </w:t>
      </w:r>
      <w:r w:rsidRPr="006A140B">
        <w:rPr>
          <w:rFonts w:ascii="Book Antiqua" w:hAnsi="Book Antiqua"/>
          <w:b/>
          <w:bCs/>
        </w:rPr>
        <w:t>Sato M</w:t>
      </w:r>
      <w:r w:rsidRPr="006A140B">
        <w:rPr>
          <w:rFonts w:ascii="Book Antiqua" w:hAnsi="Book Antiqua"/>
        </w:rPr>
        <w:t xml:space="preserve">, Tateishi R, Yasunaga H, Matsui H, Horiguchi H, Fushimi K, Koike K. Mortality and hemorrhagic complications associated with radiofrequency ablation for treatment of hepatocellular carcinoma in patients on hemodialysis for end-stage renal disease: A nationwide survey. </w:t>
      </w:r>
      <w:r w:rsidRPr="006A140B">
        <w:rPr>
          <w:rFonts w:ascii="Book Antiqua" w:hAnsi="Book Antiqua"/>
          <w:i/>
          <w:iCs/>
        </w:rPr>
        <w:t>J Gastroenterol Hepatol</w:t>
      </w:r>
      <w:r w:rsidRPr="006A140B">
        <w:rPr>
          <w:rFonts w:ascii="Book Antiqua" w:hAnsi="Book Antiqua"/>
        </w:rPr>
        <w:t xml:space="preserve"> 2017; </w:t>
      </w:r>
      <w:r w:rsidRPr="006A140B">
        <w:rPr>
          <w:rFonts w:ascii="Book Antiqua" w:hAnsi="Book Antiqua"/>
          <w:b/>
          <w:bCs/>
        </w:rPr>
        <w:t>32</w:t>
      </w:r>
      <w:r w:rsidRPr="006A140B">
        <w:rPr>
          <w:rFonts w:ascii="Book Antiqua" w:hAnsi="Book Antiqua"/>
        </w:rPr>
        <w:t>: 1873-1878 [PMID: 28266772 DOI: 10.1111/jgh.13780]</w:t>
      </w:r>
    </w:p>
    <w:p w14:paraId="618222C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197 </w:t>
      </w:r>
      <w:r w:rsidRPr="006A140B">
        <w:rPr>
          <w:rFonts w:ascii="Book Antiqua" w:hAnsi="Book Antiqua"/>
          <w:b/>
          <w:bCs/>
        </w:rPr>
        <w:t>Verhoeven BH</w:t>
      </w:r>
      <w:r w:rsidRPr="006A140B">
        <w:rPr>
          <w:rFonts w:ascii="Book Antiqua" w:hAnsi="Book Antiqua"/>
        </w:rPr>
        <w:t xml:space="preserve">, Haagsma EB, Appeltans BM, Slooff MJ, de Jong KP. Hyperkalaemia after radiofrequency ablation of hepatocellular carcinoma. </w:t>
      </w:r>
      <w:r w:rsidRPr="006A140B">
        <w:rPr>
          <w:rFonts w:ascii="Book Antiqua" w:hAnsi="Book Antiqua"/>
          <w:i/>
          <w:iCs/>
        </w:rPr>
        <w:t>Eur J Gastroenterol Hepatol</w:t>
      </w:r>
      <w:r w:rsidRPr="006A140B">
        <w:rPr>
          <w:rFonts w:ascii="Book Antiqua" w:hAnsi="Book Antiqua"/>
        </w:rPr>
        <w:t xml:space="preserve"> 2002; </w:t>
      </w:r>
      <w:r w:rsidRPr="006A140B">
        <w:rPr>
          <w:rFonts w:ascii="Book Antiqua" w:hAnsi="Book Antiqua"/>
          <w:b/>
          <w:bCs/>
        </w:rPr>
        <w:t>14</w:t>
      </w:r>
      <w:r w:rsidRPr="006A140B">
        <w:rPr>
          <w:rFonts w:ascii="Book Antiqua" w:hAnsi="Book Antiqua"/>
        </w:rPr>
        <w:t>: 1023-1024 [PMID: 12352224 DOI: 10.1097/00042737-200209000-00015]</w:t>
      </w:r>
    </w:p>
    <w:p w14:paraId="587DCA9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198 </w:t>
      </w:r>
      <w:r w:rsidRPr="006A140B">
        <w:rPr>
          <w:rFonts w:ascii="Book Antiqua" w:hAnsi="Book Antiqua"/>
          <w:b/>
          <w:bCs/>
        </w:rPr>
        <w:t>Waghray A</w:t>
      </w:r>
      <w:r w:rsidRPr="006A140B">
        <w:rPr>
          <w:rFonts w:ascii="Book Antiqua" w:hAnsi="Book Antiqua"/>
        </w:rPr>
        <w:t xml:space="preserve">, Murali AR, Menon KN. Hepatocellular carcinoma: From diagnosis to treatment. </w:t>
      </w:r>
      <w:r w:rsidRPr="006A140B">
        <w:rPr>
          <w:rFonts w:ascii="Book Antiqua" w:hAnsi="Book Antiqua"/>
          <w:i/>
          <w:iCs/>
        </w:rPr>
        <w:t>World J Hepatol</w:t>
      </w:r>
      <w:r w:rsidRPr="006A140B">
        <w:rPr>
          <w:rFonts w:ascii="Book Antiqua" w:hAnsi="Book Antiqua"/>
        </w:rPr>
        <w:t xml:space="preserve"> 2015; </w:t>
      </w:r>
      <w:r w:rsidRPr="006A140B">
        <w:rPr>
          <w:rFonts w:ascii="Book Antiqua" w:hAnsi="Book Antiqua"/>
          <w:b/>
          <w:bCs/>
        </w:rPr>
        <w:t>7</w:t>
      </w:r>
      <w:r w:rsidRPr="006A140B">
        <w:rPr>
          <w:rFonts w:ascii="Book Antiqua" w:hAnsi="Book Antiqua"/>
        </w:rPr>
        <w:t>: 1020-1029 [PMID: 26052391 DOI: 10.4254/wjh.v7.i8.1020]</w:t>
      </w:r>
    </w:p>
    <w:p w14:paraId="6CD204E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199 </w:t>
      </w:r>
      <w:r w:rsidRPr="006A140B">
        <w:rPr>
          <w:rFonts w:ascii="Book Antiqua" w:hAnsi="Book Antiqua"/>
          <w:b/>
          <w:bCs/>
        </w:rPr>
        <w:t>Lee BC</w:t>
      </w:r>
      <w:r w:rsidRPr="006A140B">
        <w:rPr>
          <w:rFonts w:ascii="Book Antiqua" w:hAnsi="Book Antiqua"/>
        </w:rPr>
        <w:t xml:space="preserve">, Liu KL, Lin CL, Kao CH. Risk of acute kidney injury after transarterial chemoembolisation in hepatocellular carcinoma patients: A nationwide population-based cohort study. </w:t>
      </w:r>
      <w:r w:rsidRPr="006A140B">
        <w:rPr>
          <w:rFonts w:ascii="Book Antiqua" w:hAnsi="Book Antiqua"/>
          <w:i/>
          <w:iCs/>
        </w:rPr>
        <w:t>Eur Radiol</w:t>
      </w:r>
      <w:r w:rsidRPr="006A140B">
        <w:rPr>
          <w:rFonts w:ascii="Book Antiqua" w:hAnsi="Book Antiqua"/>
        </w:rPr>
        <w:t xml:space="preserve"> 2017; </w:t>
      </w:r>
      <w:r w:rsidRPr="006A140B">
        <w:rPr>
          <w:rFonts w:ascii="Book Antiqua" w:hAnsi="Book Antiqua"/>
          <w:b/>
          <w:bCs/>
        </w:rPr>
        <w:t>27</w:t>
      </w:r>
      <w:r w:rsidRPr="006A140B">
        <w:rPr>
          <w:rFonts w:ascii="Book Antiqua" w:hAnsi="Book Antiqua"/>
        </w:rPr>
        <w:t>: 4482-4489 [PMID: 28593432 DOI: 10.1007/s00330-017-4893-x]</w:t>
      </w:r>
    </w:p>
    <w:p w14:paraId="501404E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200 </w:t>
      </w:r>
      <w:r w:rsidRPr="006A140B">
        <w:rPr>
          <w:rFonts w:ascii="Book Antiqua" w:hAnsi="Book Antiqua"/>
          <w:b/>
          <w:bCs/>
        </w:rPr>
        <w:t>Hsu CY</w:t>
      </w:r>
      <w:r w:rsidRPr="006A140B">
        <w:rPr>
          <w:rFonts w:ascii="Book Antiqua" w:hAnsi="Book Antiqua"/>
        </w:rPr>
        <w:t xml:space="preserve">, Huang YH, Su CW, Lin HC, Chiang JH, Lee PC, Lee FY, Huo TI, Lee SD. Renal failure in patients with hepatocellular carcinoma and ascites undergoing transarterial chemoembolization. </w:t>
      </w:r>
      <w:r w:rsidRPr="006A140B">
        <w:rPr>
          <w:rFonts w:ascii="Book Antiqua" w:hAnsi="Book Antiqua"/>
          <w:i/>
          <w:iCs/>
        </w:rPr>
        <w:t>Liver Int</w:t>
      </w:r>
      <w:r w:rsidRPr="006A140B">
        <w:rPr>
          <w:rFonts w:ascii="Book Antiqua" w:hAnsi="Book Antiqua"/>
        </w:rPr>
        <w:t xml:space="preserve"> 2010; </w:t>
      </w:r>
      <w:r w:rsidRPr="006A140B">
        <w:rPr>
          <w:rFonts w:ascii="Book Antiqua" w:hAnsi="Book Antiqua"/>
          <w:b/>
          <w:bCs/>
        </w:rPr>
        <w:t>30</w:t>
      </w:r>
      <w:r w:rsidRPr="006A140B">
        <w:rPr>
          <w:rFonts w:ascii="Book Antiqua" w:hAnsi="Book Antiqua"/>
        </w:rPr>
        <w:t>: 77-84 [PMID: 19818004 DOI: 10.1111/j.1478-3231.2009.02128.x]</w:t>
      </w:r>
    </w:p>
    <w:p w14:paraId="2B0C5DF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201 </w:t>
      </w:r>
      <w:r w:rsidRPr="006A140B">
        <w:rPr>
          <w:rFonts w:ascii="Book Antiqua" w:hAnsi="Book Antiqua"/>
          <w:b/>
          <w:bCs/>
        </w:rPr>
        <w:t>Zhou C</w:t>
      </w:r>
      <w:r w:rsidRPr="006A140B">
        <w:rPr>
          <w:rFonts w:ascii="Book Antiqua" w:hAnsi="Book Antiqua"/>
        </w:rPr>
        <w:t xml:space="preserve">, Wang R, Ding Y, Du L, Hou C, Lu D, Hao L, Lv W. Prognostic factors for acute kidney injury following transarterial chemoembolization in patients with hepatocellular carcinoma. </w:t>
      </w:r>
      <w:r w:rsidRPr="006A140B">
        <w:rPr>
          <w:rFonts w:ascii="Book Antiqua" w:hAnsi="Book Antiqua"/>
          <w:i/>
          <w:iCs/>
        </w:rPr>
        <w:t>Int J Clin Exp Pathol</w:t>
      </w:r>
      <w:r w:rsidRPr="006A140B">
        <w:rPr>
          <w:rFonts w:ascii="Book Antiqua" w:hAnsi="Book Antiqua"/>
        </w:rPr>
        <w:t xml:space="preserve"> 2014; </w:t>
      </w:r>
      <w:r w:rsidRPr="006A140B">
        <w:rPr>
          <w:rFonts w:ascii="Book Antiqua" w:hAnsi="Book Antiqua"/>
          <w:b/>
          <w:bCs/>
        </w:rPr>
        <w:t>7</w:t>
      </w:r>
      <w:r w:rsidRPr="006A140B">
        <w:rPr>
          <w:rFonts w:ascii="Book Antiqua" w:hAnsi="Book Antiqua"/>
        </w:rPr>
        <w:t>: 2579-2586 [PMID: 24966972]</w:t>
      </w:r>
    </w:p>
    <w:p w14:paraId="147EB7D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202 </w:t>
      </w:r>
      <w:r w:rsidRPr="006A140B">
        <w:rPr>
          <w:rFonts w:ascii="Book Antiqua" w:hAnsi="Book Antiqua"/>
          <w:b/>
          <w:bCs/>
        </w:rPr>
        <w:t>Huo TI</w:t>
      </w:r>
      <w:r w:rsidRPr="006A140B">
        <w:rPr>
          <w:rFonts w:ascii="Book Antiqua" w:hAnsi="Book Antiqua"/>
        </w:rPr>
        <w:t xml:space="preserve">, Wu JC, Lee PC, Chang FY, Lee SD. Incidence and risk factors for acute renal failure in patients with hepatocellular carcinoma undergoing transarterial chemoembolization: a prospective study. </w:t>
      </w:r>
      <w:r w:rsidRPr="006A140B">
        <w:rPr>
          <w:rFonts w:ascii="Book Antiqua" w:hAnsi="Book Antiqua"/>
          <w:i/>
          <w:iCs/>
        </w:rPr>
        <w:t>Liver Int</w:t>
      </w:r>
      <w:r w:rsidRPr="006A140B">
        <w:rPr>
          <w:rFonts w:ascii="Book Antiqua" w:hAnsi="Book Antiqua"/>
        </w:rPr>
        <w:t xml:space="preserve"> 2004; </w:t>
      </w:r>
      <w:r w:rsidRPr="006A140B">
        <w:rPr>
          <w:rFonts w:ascii="Book Antiqua" w:hAnsi="Book Antiqua"/>
          <w:b/>
          <w:bCs/>
        </w:rPr>
        <w:t>24</w:t>
      </w:r>
      <w:r w:rsidRPr="006A140B">
        <w:rPr>
          <w:rFonts w:ascii="Book Antiqua" w:hAnsi="Book Antiqua"/>
        </w:rPr>
        <w:t>: 210-215 [PMID: 15189271 DOI: 10.1111/j.1478-3231.2004.00911.x]</w:t>
      </w:r>
    </w:p>
    <w:p w14:paraId="5C5F490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203 </w:t>
      </w:r>
      <w:r w:rsidRPr="006A140B">
        <w:rPr>
          <w:rFonts w:ascii="Book Antiqua" w:hAnsi="Book Antiqua"/>
          <w:b/>
          <w:bCs/>
        </w:rPr>
        <w:t>Aspelin P</w:t>
      </w:r>
      <w:r w:rsidRPr="006A140B">
        <w:rPr>
          <w:rFonts w:ascii="Book Antiqua" w:hAnsi="Book Antiqua"/>
        </w:rPr>
        <w:t xml:space="preserve">, Aubry P, Fransson SG, Strasser R, Willenbrock R, Berg KJ; Nephrotoxicity in High-Risk Patients Study of Iso-Osmolar and Low-Osmolar Non-Ionic Contrast Media Study Investigators. Nephrotoxic effects in high-risk patients undergoing angiography. </w:t>
      </w:r>
      <w:r w:rsidRPr="006A140B">
        <w:rPr>
          <w:rFonts w:ascii="Book Antiqua" w:hAnsi="Book Antiqua"/>
          <w:i/>
          <w:iCs/>
        </w:rPr>
        <w:t>N Engl J Med</w:t>
      </w:r>
      <w:r w:rsidRPr="006A140B">
        <w:rPr>
          <w:rFonts w:ascii="Book Antiqua" w:hAnsi="Book Antiqua"/>
        </w:rPr>
        <w:t xml:space="preserve"> 2003; </w:t>
      </w:r>
      <w:r w:rsidRPr="006A140B">
        <w:rPr>
          <w:rFonts w:ascii="Book Antiqua" w:hAnsi="Book Antiqua"/>
          <w:b/>
          <w:bCs/>
        </w:rPr>
        <w:t>348</w:t>
      </w:r>
      <w:r w:rsidRPr="006A140B">
        <w:rPr>
          <w:rFonts w:ascii="Book Antiqua" w:hAnsi="Book Antiqua"/>
        </w:rPr>
        <w:t>: 491-499 [PMID: 12571256 DOI: 10.1056/NEJMoa021833]</w:t>
      </w:r>
    </w:p>
    <w:p w14:paraId="4E82A6C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204 </w:t>
      </w:r>
      <w:r w:rsidRPr="006A140B">
        <w:rPr>
          <w:rFonts w:ascii="Book Antiqua" w:hAnsi="Book Antiqua"/>
          <w:b/>
          <w:bCs/>
        </w:rPr>
        <w:t>Hong CX</w:t>
      </w:r>
      <w:r w:rsidRPr="006A140B">
        <w:rPr>
          <w:rFonts w:ascii="Book Antiqua" w:hAnsi="Book Antiqua"/>
        </w:rPr>
        <w:t xml:space="preserve">, Lv LW, Hua LZ, Bo S, Sen CX, Xin NY, Wei YJ, Rui XJ, Qiang DX, Zhou ZJ. Epidemiology and Management of Acute Kidney Injury in Hepatocellular Carcinoma Patients Undergoing Transcatheter Arterial Chemoembolization. </w:t>
      </w:r>
      <w:r w:rsidRPr="006A140B">
        <w:rPr>
          <w:rFonts w:ascii="Book Antiqua" w:hAnsi="Book Antiqua"/>
          <w:i/>
          <w:iCs/>
        </w:rPr>
        <w:t>Curr Protein Pept Sci</w:t>
      </w:r>
      <w:r w:rsidRPr="006A140B">
        <w:rPr>
          <w:rFonts w:ascii="Book Antiqua" w:hAnsi="Book Antiqua"/>
        </w:rPr>
        <w:t xml:space="preserve"> 2017; </w:t>
      </w:r>
      <w:r w:rsidRPr="006A140B">
        <w:rPr>
          <w:rFonts w:ascii="Book Antiqua" w:hAnsi="Book Antiqua"/>
          <w:b/>
          <w:bCs/>
        </w:rPr>
        <w:t>18</w:t>
      </w:r>
      <w:r w:rsidRPr="006A140B">
        <w:rPr>
          <w:rFonts w:ascii="Book Antiqua" w:hAnsi="Book Antiqua"/>
        </w:rPr>
        <w:t>: 1218-1223 [PMID: 27634445 DOI: 10.2174/1389203717666160909124305]</w:t>
      </w:r>
    </w:p>
    <w:p w14:paraId="05441FF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205 </w:t>
      </w:r>
      <w:r w:rsidRPr="006A140B">
        <w:rPr>
          <w:rFonts w:ascii="Book Antiqua" w:hAnsi="Book Antiqua"/>
          <w:b/>
          <w:bCs/>
        </w:rPr>
        <w:t>Hao JF</w:t>
      </w:r>
      <w:r w:rsidRPr="006A140B">
        <w:rPr>
          <w:rFonts w:ascii="Book Antiqua" w:hAnsi="Book Antiqua"/>
        </w:rPr>
        <w:t xml:space="preserve">, Zhang LW, Bai JX, Li YJ, Liu JN, Zhang XL, Han JM, Li X, Jiang H, Cao N. Incidence, risk factors, and prognosis of acute kidney injury following transarterial chemoembolization in patients with hepatocellular carcinoma: a prospective cohort study. </w:t>
      </w:r>
      <w:r w:rsidRPr="006A140B">
        <w:rPr>
          <w:rFonts w:ascii="Book Antiqua" w:hAnsi="Book Antiqua"/>
          <w:i/>
          <w:iCs/>
        </w:rPr>
        <w:t>Indian J Cancer</w:t>
      </w:r>
      <w:r w:rsidRPr="006A140B">
        <w:rPr>
          <w:rFonts w:ascii="Book Antiqua" w:hAnsi="Book Antiqua"/>
        </w:rPr>
        <w:t xml:space="preserve"> 2015; </w:t>
      </w:r>
      <w:r w:rsidRPr="006A140B">
        <w:rPr>
          <w:rFonts w:ascii="Book Antiqua" w:hAnsi="Book Antiqua"/>
          <w:b/>
          <w:bCs/>
        </w:rPr>
        <w:t>51 Suppl 2</w:t>
      </w:r>
      <w:r w:rsidRPr="006A140B">
        <w:rPr>
          <w:rFonts w:ascii="Book Antiqua" w:hAnsi="Book Antiqua"/>
        </w:rPr>
        <w:t>: e3-e8 [PMID: 25712839 DOI: 10.4103/0019-509X.151984]</w:t>
      </w:r>
    </w:p>
    <w:p w14:paraId="218A349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206 </w:t>
      </w:r>
      <w:r w:rsidRPr="006A140B">
        <w:rPr>
          <w:rFonts w:ascii="Book Antiqua" w:hAnsi="Book Antiqua"/>
          <w:b/>
          <w:bCs/>
        </w:rPr>
        <w:t>Hsu CY</w:t>
      </w:r>
      <w:r w:rsidRPr="006A140B">
        <w:rPr>
          <w:rFonts w:ascii="Book Antiqua" w:hAnsi="Book Antiqua"/>
        </w:rPr>
        <w:t xml:space="preserve">, Huang YH, Su CW, Chiang JH, Lin HC, Lee PC, Lee FY, Huo TI, Lee SD. Transarterial chemoembolization in patients with hepatocellular carcinoma and renal insufficiency. </w:t>
      </w:r>
      <w:r w:rsidRPr="006A140B">
        <w:rPr>
          <w:rFonts w:ascii="Book Antiqua" w:hAnsi="Book Antiqua"/>
          <w:i/>
          <w:iCs/>
        </w:rPr>
        <w:t>J Clin Gastroenterol</w:t>
      </w:r>
      <w:r w:rsidRPr="006A140B">
        <w:rPr>
          <w:rFonts w:ascii="Book Antiqua" w:hAnsi="Book Antiqua"/>
        </w:rPr>
        <w:t xml:space="preserve"> 2010; </w:t>
      </w:r>
      <w:r w:rsidRPr="006A140B">
        <w:rPr>
          <w:rFonts w:ascii="Book Antiqua" w:hAnsi="Book Antiqua"/>
          <w:b/>
          <w:bCs/>
        </w:rPr>
        <w:t>44</w:t>
      </w:r>
      <w:r w:rsidRPr="006A140B">
        <w:rPr>
          <w:rFonts w:ascii="Book Antiqua" w:hAnsi="Book Antiqua"/>
        </w:rPr>
        <w:t>: e171-e177 [PMID: 20048685 DOI: 10.1097/MCG.0b013e3181c88235]</w:t>
      </w:r>
    </w:p>
    <w:p w14:paraId="4E1189F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207 </w:t>
      </w:r>
      <w:r w:rsidRPr="006A140B">
        <w:rPr>
          <w:rFonts w:ascii="Book Antiqua" w:hAnsi="Book Antiqua"/>
          <w:b/>
          <w:bCs/>
        </w:rPr>
        <w:t>Lin WC</w:t>
      </w:r>
      <w:r w:rsidRPr="006A140B">
        <w:rPr>
          <w:rFonts w:ascii="Book Antiqua" w:hAnsi="Book Antiqua"/>
        </w:rPr>
        <w:t xml:space="preserve">, Chang CW, Chang CW, Wang TE, Chen MJ, Wang HY. Challenges of transarterial therapy for hepatocellular carcinoma in patients with chronic kidney disease. </w:t>
      </w:r>
      <w:r w:rsidRPr="006A140B">
        <w:rPr>
          <w:rFonts w:ascii="Book Antiqua" w:hAnsi="Book Antiqua"/>
          <w:i/>
          <w:iCs/>
        </w:rPr>
        <w:t>Medicine (Baltimore)</w:t>
      </w:r>
      <w:r w:rsidRPr="006A140B">
        <w:rPr>
          <w:rFonts w:ascii="Book Antiqua" w:hAnsi="Book Antiqua"/>
        </w:rPr>
        <w:t xml:space="preserve"> 2019; </w:t>
      </w:r>
      <w:r w:rsidRPr="006A140B">
        <w:rPr>
          <w:rFonts w:ascii="Book Antiqua" w:hAnsi="Book Antiqua"/>
          <w:b/>
          <w:bCs/>
        </w:rPr>
        <w:t>98</w:t>
      </w:r>
      <w:r w:rsidRPr="006A140B">
        <w:rPr>
          <w:rFonts w:ascii="Book Antiqua" w:hAnsi="Book Antiqua"/>
        </w:rPr>
        <w:t>: e17007 [PMID: 31464957 DOI: 10.1097/MD.0000000000017007]</w:t>
      </w:r>
    </w:p>
    <w:p w14:paraId="11E65FD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208 </w:t>
      </w:r>
      <w:r w:rsidRPr="006A140B">
        <w:rPr>
          <w:rFonts w:ascii="Book Antiqua" w:hAnsi="Book Antiqua"/>
          <w:b/>
          <w:bCs/>
        </w:rPr>
        <w:t>Watanabe M</w:t>
      </w:r>
      <w:r w:rsidRPr="006A140B">
        <w:rPr>
          <w:rFonts w:ascii="Book Antiqua" w:hAnsi="Book Antiqua"/>
        </w:rPr>
        <w:t xml:space="preserve">, Shibuya A, Minamino T, Murano J, Matsunaga K, Fujii K, Ogasawara G, Irie T, Woodhams R, Koizumi W. Benefits and problems of transarterial therapy in patients with hepatocellular carcinoma and chronic kidney disease. </w:t>
      </w:r>
      <w:r w:rsidRPr="006A140B">
        <w:rPr>
          <w:rFonts w:ascii="Book Antiqua" w:hAnsi="Book Antiqua"/>
          <w:i/>
          <w:iCs/>
        </w:rPr>
        <w:t>J Vasc Interv Radiol</w:t>
      </w:r>
      <w:r w:rsidRPr="006A140B">
        <w:rPr>
          <w:rFonts w:ascii="Book Antiqua" w:hAnsi="Book Antiqua"/>
        </w:rPr>
        <w:t xml:space="preserve"> 2014; </w:t>
      </w:r>
      <w:r w:rsidRPr="006A140B">
        <w:rPr>
          <w:rFonts w:ascii="Book Antiqua" w:hAnsi="Book Antiqua"/>
          <w:b/>
          <w:bCs/>
        </w:rPr>
        <w:t>25</w:t>
      </w:r>
      <w:r w:rsidRPr="006A140B">
        <w:rPr>
          <w:rFonts w:ascii="Book Antiqua" w:hAnsi="Book Antiqua"/>
        </w:rPr>
        <w:t>: 1947-55; quiz 1955 [PMID: 25306225 DOI: 10.1016/j.jvir.2014.08.024]</w:t>
      </w:r>
    </w:p>
    <w:p w14:paraId="4DF65FF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209 </w:t>
      </w:r>
      <w:r w:rsidRPr="006A140B">
        <w:rPr>
          <w:rFonts w:ascii="Book Antiqua" w:hAnsi="Book Antiqua"/>
          <w:b/>
          <w:bCs/>
        </w:rPr>
        <w:t>Sato M</w:t>
      </w:r>
      <w:r w:rsidRPr="006A140B">
        <w:rPr>
          <w:rFonts w:ascii="Book Antiqua" w:hAnsi="Book Antiqua"/>
        </w:rPr>
        <w:t xml:space="preserve">, Tateishi R, Yasunaga H, Matsui H, Fushimi K, Ikeda H, Yatomi Y, Koike K. In-hospital mortality associated with transcatheter arterial embolization for treatment of hepatocellular carcinoma in patients on hemodialysis for end stage renal disease: a matched-pair cohort study using a nationwide database. </w:t>
      </w:r>
      <w:r w:rsidRPr="006A140B">
        <w:rPr>
          <w:rFonts w:ascii="Book Antiqua" w:hAnsi="Book Antiqua"/>
          <w:i/>
          <w:iCs/>
        </w:rPr>
        <w:t>BJR Open</w:t>
      </w:r>
      <w:r w:rsidRPr="006A140B">
        <w:rPr>
          <w:rFonts w:ascii="Book Antiqua" w:hAnsi="Book Antiqua"/>
        </w:rPr>
        <w:t xml:space="preserve"> 2019; </w:t>
      </w:r>
      <w:r w:rsidRPr="006A140B">
        <w:rPr>
          <w:rFonts w:ascii="Book Antiqua" w:hAnsi="Book Antiqua"/>
          <w:b/>
          <w:bCs/>
        </w:rPr>
        <w:t>1</w:t>
      </w:r>
      <w:r w:rsidRPr="006A140B">
        <w:rPr>
          <w:rFonts w:ascii="Book Antiqua" w:hAnsi="Book Antiqua"/>
        </w:rPr>
        <w:t>: 20190004 [PMID: 33178938 DOI: 10.1259/bjro.20190004]</w:t>
      </w:r>
    </w:p>
    <w:p w14:paraId="7FCB6EE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210 </w:t>
      </w:r>
      <w:r w:rsidRPr="006A140B">
        <w:rPr>
          <w:rFonts w:ascii="Book Antiqua" w:hAnsi="Book Antiqua"/>
          <w:b/>
          <w:bCs/>
        </w:rPr>
        <w:t>Llovet JM</w:t>
      </w:r>
      <w:r w:rsidRPr="006A140B">
        <w:rPr>
          <w:rFonts w:ascii="Book Antiqua" w:hAnsi="Book Antiqua"/>
        </w:rPr>
        <w:t xml:space="preserve">, Villanueva A, Lachenmayer A, Finn RS. Advances in targeted therapies for hepatocellular carcinoma in the genomic era. </w:t>
      </w:r>
      <w:r w:rsidRPr="006A140B">
        <w:rPr>
          <w:rFonts w:ascii="Book Antiqua" w:hAnsi="Book Antiqua"/>
          <w:i/>
          <w:iCs/>
        </w:rPr>
        <w:t>Nat Rev Clin Oncol</w:t>
      </w:r>
      <w:r w:rsidRPr="006A140B">
        <w:rPr>
          <w:rFonts w:ascii="Book Antiqua" w:hAnsi="Book Antiqua"/>
        </w:rPr>
        <w:t xml:space="preserve"> 2015; </w:t>
      </w:r>
      <w:r w:rsidRPr="006A140B">
        <w:rPr>
          <w:rFonts w:ascii="Book Antiqua" w:hAnsi="Book Antiqua"/>
          <w:b/>
          <w:bCs/>
        </w:rPr>
        <w:t>12</w:t>
      </w:r>
      <w:r w:rsidRPr="006A140B">
        <w:rPr>
          <w:rFonts w:ascii="Book Antiqua" w:hAnsi="Book Antiqua"/>
        </w:rPr>
        <w:t>: 408-424 [PMID: 26054909 DOI: 10.1038/nrclinonc.2015.103]</w:t>
      </w:r>
    </w:p>
    <w:p w14:paraId="3A6B53C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211 </w:t>
      </w:r>
      <w:r w:rsidRPr="006A140B">
        <w:rPr>
          <w:rFonts w:ascii="Book Antiqua" w:hAnsi="Book Antiqua"/>
          <w:b/>
          <w:bCs/>
        </w:rPr>
        <w:t>Roberts LR</w:t>
      </w:r>
      <w:r w:rsidRPr="006A140B">
        <w:rPr>
          <w:rFonts w:ascii="Book Antiqua" w:hAnsi="Book Antiqua"/>
        </w:rPr>
        <w:t xml:space="preserve">, Gores GJ. Hepatocellular carcinoma: molecular pathways and new therapeutic targets. </w:t>
      </w:r>
      <w:r w:rsidRPr="006A140B">
        <w:rPr>
          <w:rFonts w:ascii="Book Antiqua" w:hAnsi="Book Antiqua"/>
          <w:i/>
          <w:iCs/>
        </w:rPr>
        <w:t>Semin Liver Dis</w:t>
      </w:r>
      <w:r w:rsidRPr="006A140B">
        <w:rPr>
          <w:rFonts w:ascii="Book Antiqua" w:hAnsi="Book Antiqua"/>
        </w:rPr>
        <w:t xml:space="preserve"> 2005; </w:t>
      </w:r>
      <w:r w:rsidRPr="006A140B">
        <w:rPr>
          <w:rFonts w:ascii="Book Antiqua" w:hAnsi="Book Antiqua"/>
          <w:b/>
          <w:bCs/>
        </w:rPr>
        <w:t>25</w:t>
      </w:r>
      <w:r w:rsidRPr="006A140B">
        <w:rPr>
          <w:rFonts w:ascii="Book Antiqua" w:hAnsi="Book Antiqua"/>
        </w:rPr>
        <w:t>: 212-225 [PMID: 15918149 DOI: 10.1055/s-2005-871200]</w:t>
      </w:r>
    </w:p>
    <w:p w14:paraId="427A303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212 </w:t>
      </w:r>
      <w:r w:rsidRPr="006A140B">
        <w:rPr>
          <w:rFonts w:ascii="Book Antiqua" w:hAnsi="Book Antiqua"/>
          <w:b/>
          <w:bCs/>
        </w:rPr>
        <w:t>Chen S</w:t>
      </w:r>
      <w:r w:rsidRPr="006A140B">
        <w:rPr>
          <w:rFonts w:ascii="Book Antiqua" w:hAnsi="Book Antiqua"/>
        </w:rPr>
        <w:t xml:space="preserve">, Cao Q, Wen W, Wang H. Targeted therapy for hepatocellular carcinoma: Challenges and opportunities. </w:t>
      </w:r>
      <w:r w:rsidRPr="006A140B">
        <w:rPr>
          <w:rFonts w:ascii="Book Antiqua" w:hAnsi="Book Antiqua"/>
          <w:i/>
          <w:iCs/>
        </w:rPr>
        <w:t>Cancer Lett</w:t>
      </w:r>
      <w:r w:rsidRPr="006A140B">
        <w:rPr>
          <w:rFonts w:ascii="Book Antiqua" w:hAnsi="Book Antiqua"/>
        </w:rPr>
        <w:t xml:space="preserve"> 2019; </w:t>
      </w:r>
      <w:r w:rsidRPr="006A140B">
        <w:rPr>
          <w:rFonts w:ascii="Book Antiqua" w:hAnsi="Book Antiqua"/>
          <w:b/>
          <w:bCs/>
        </w:rPr>
        <w:t>460</w:t>
      </w:r>
      <w:r w:rsidRPr="006A140B">
        <w:rPr>
          <w:rFonts w:ascii="Book Antiqua" w:hAnsi="Book Antiqua"/>
        </w:rPr>
        <w:t>: 1-9 [PMID: 31207320 DOI: 10.1016/j.canlet.2019.114428]</w:t>
      </w:r>
    </w:p>
    <w:p w14:paraId="6497B06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213 </w:t>
      </w:r>
      <w:r w:rsidRPr="006A140B">
        <w:rPr>
          <w:rFonts w:ascii="Book Antiqua" w:hAnsi="Book Antiqua"/>
          <w:b/>
          <w:bCs/>
        </w:rPr>
        <w:t>Llovet JM</w:t>
      </w:r>
      <w:r w:rsidRPr="006A140B">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6A140B">
        <w:rPr>
          <w:rFonts w:ascii="Book Antiqua" w:hAnsi="Book Antiqua"/>
          <w:i/>
          <w:iCs/>
        </w:rPr>
        <w:t>N Engl J Med</w:t>
      </w:r>
      <w:r w:rsidRPr="006A140B">
        <w:rPr>
          <w:rFonts w:ascii="Book Antiqua" w:hAnsi="Book Antiqua"/>
        </w:rPr>
        <w:t xml:space="preserve"> 2008; </w:t>
      </w:r>
      <w:r w:rsidRPr="006A140B">
        <w:rPr>
          <w:rFonts w:ascii="Book Antiqua" w:hAnsi="Book Antiqua"/>
          <w:b/>
          <w:bCs/>
        </w:rPr>
        <w:t>359</w:t>
      </w:r>
      <w:r w:rsidRPr="006A140B">
        <w:rPr>
          <w:rFonts w:ascii="Book Antiqua" w:hAnsi="Book Antiqua"/>
        </w:rPr>
        <w:t>: 378-390 [PMID: 18650514 DOI: 10.1056/NEJMoa0708857]</w:t>
      </w:r>
    </w:p>
    <w:p w14:paraId="2A5728C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214 </w:t>
      </w:r>
      <w:r w:rsidRPr="006A140B">
        <w:rPr>
          <w:rFonts w:ascii="Book Antiqua" w:hAnsi="Book Antiqua"/>
          <w:b/>
          <w:bCs/>
        </w:rPr>
        <w:t>Wilhelm S</w:t>
      </w:r>
      <w:r w:rsidRPr="006A140B">
        <w:rPr>
          <w:rFonts w:ascii="Book Antiqua" w:hAnsi="Book Antiqua"/>
        </w:rPr>
        <w:t xml:space="preserve">, Carter C, Lynch M, Lowinger T, Dumas J, Smith RA, Schwartz B, Simantov R, Kelley S. Discovery and development of sorafenib: a multikinase inhibitor for treating cancer. </w:t>
      </w:r>
      <w:r w:rsidRPr="006A140B">
        <w:rPr>
          <w:rFonts w:ascii="Book Antiqua" w:hAnsi="Book Antiqua"/>
          <w:i/>
          <w:iCs/>
        </w:rPr>
        <w:t>Nat Rev Drug Discov</w:t>
      </w:r>
      <w:r w:rsidRPr="006A140B">
        <w:rPr>
          <w:rFonts w:ascii="Book Antiqua" w:hAnsi="Book Antiqua"/>
        </w:rPr>
        <w:t xml:space="preserve"> 2006; </w:t>
      </w:r>
      <w:r w:rsidRPr="006A140B">
        <w:rPr>
          <w:rFonts w:ascii="Book Antiqua" w:hAnsi="Book Antiqua"/>
          <w:b/>
          <w:bCs/>
        </w:rPr>
        <w:t>5</w:t>
      </w:r>
      <w:r w:rsidRPr="006A140B">
        <w:rPr>
          <w:rFonts w:ascii="Book Antiqua" w:hAnsi="Book Antiqua"/>
        </w:rPr>
        <w:t>: 835-844 [PMID: 17016424 DOI: 10.1038/nrd2130]</w:t>
      </w:r>
    </w:p>
    <w:p w14:paraId="6CC4071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215 </w:t>
      </w:r>
      <w:r w:rsidRPr="006A140B">
        <w:rPr>
          <w:rFonts w:ascii="Book Antiqua" w:hAnsi="Book Antiqua"/>
          <w:b/>
          <w:bCs/>
        </w:rPr>
        <w:t>Eremina V</w:t>
      </w:r>
      <w:r w:rsidRPr="006A140B">
        <w:rPr>
          <w:rFonts w:ascii="Book Antiqua" w:hAnsi="Book Antiqua"/>
        </w:rPr>
        <w:t xml:space="preserve">, Sood M, Haigh J, Nagy A, Lajoie G, Ferrara N, Gerber HP, Kikkawa Y, Miner JH, Quaggin SE. Glomerular-specific alterations of VEGF-A expression lead to distinct congenital and acquired renal diseases. </w:t>
      </w:r>
      <w:r w:rsidRPr="006A140B">
        <w:rPr>
          <w:rFonts w:ascii="Book Antiqua" w:hAnsi="Book Antiqua"/>
          <w:i/>
          <w:iCs/>
        </w:rPr>
        <w:t>J Clin Invest</w:t>
      </w:r>
      <w:r w:rsidRPr="006A140B">
        <w:rPr>
          <w:rFonts w:ascii="Book Antiqua" w:hAnsi="Book Antiqua"/>
        </w:rPr>
        <w:t xml:space="preserve"> 2003; </w:t>
      </w:r>
      <w:r w:rsidRPr="006A140B">
        <w:rPr>
          <w:rFonts w:ascii="Book Antiqua" w:hAnsi="Book Antiqua"/>
          <w:b/>
          <w:bCs/>
        </w:rPr>
        <w:t>111</w:t>
      </w:r>
      <w:r w:rsidRPr="006A140B">
        <w:rPr>
          <w:rFonts w:ascii="Book Antiqua" w:hAnsi="Book Antiqua"/>
        </w:rPr>
        <w:t>: 707-716 [PMID: 12618525 DOI: 10.1172/JCI17423]</w:t>
      </w:r>
    </w:p>
    <w:p w14:paraId="37513BC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216 </w:t>
      </w:r>
      <w:r w:rsidRPr="006A140B">
        <w:rPr>
          <w:rFonts w:ascii="Book Antiqua" w:hAnsi="Book Antiqua"/>
          <w:b/>
          <w:bCs/>
        </w:rPr>
        <w:t>Maynard S</w:t>
      </w:r>
      <w:r w:rsidRPr="006A140B">
        <w:rPr>
          <w:rFonts w:ascii="Book Antiqua" w:hAnsi="Book Antiqua"/>
        </w:rPr>
        <w:t xml:space="preserve">, Epstein FH, Karumanchi SA. Preeclampsia and angiogenic imbalance. </w:t>
      </w:r>
      <w:r w:rsidRPr="006A140B">
        <w:rPr>
          <w:rFonts w:ascii="Book Antiqua" w:hAnsi="Book Antiqua"/>
          <w:i/>
          <w:iCs/>
        </w:rPr>
        <w:t>Annu Rev Med</w:t>
      </w:r>
      <w:r w:rsidRPr="006A140B">
        <w:rPr>
          <w:rFonts w:ascii="Book Antiqua" w:hAnsi="Book Antiqua"/>
        </w:rPr>
        <w:t xml:space="preserve"> 2008; </w:t>
      </w:r>
      <w:r w:rsidRPr="006A140B">
        <w:rPr>
          <w:rFonts w:ascii="Book Antiqua" w:hAnsi="Book Antiqua"/>
          <w:b/>
          <w:bCs/>
        </w:rPr>
        <w:t>59</w:t>
      </w:r>
      <w:r w:rsidRPr="006A140B">
        <w:rPr>
          <w:rFonts w:ascii="Book Antiqua" w:hAnsi="Book Antiqua"/>
        </w:rPr>
        <w:t>: 61-78 [PMID: 17937587 DOI: 10.1146/annurev.med.59.110106.214058]</w:t>
      </w:r>
    </w:p>
    <w:p w14:paraId="426DFD5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217 </w:t>
      </w:r>
      <w:r w:rsidRPr="006A140B">
        <w:rPr>
          <w:rFonts w:ascii="Book Antiqua" w:hAnsi="Book Antiqua"/>
          <w:b/>
          <w:bCs/>
        </w:rPr>
        <w:t>Patel TV</w:t>
      </w:r>
      <w:r w:rsidRPr="006A140B">
        <w:rPr>
          <w:rFonts w:ascii="Book Antiqua" w:hAnsi="Book Antiqua"/>
        </w:rPr>
        <w:t xml:space="preserve">, Morgan JA, Demetri GD, George S, Maki RG, Quigley M, Humphreys BD. A preeclampsia-like syndrome characterized by reversible hypertension and proteinuria induced by the multitargeted kinase inhibitors sunitinib and sorafenib. </w:t>
      </w:r>
      <w:r w:rsidRPr="006A140B">
        <w:rPr>
          <w:rFonts w:ascii="Book Antiqua" w:hAnsi="Book Antiqua"/>
          <w:i/>
          <w:iCs/>
        </w:rPr>
        <w:t>J Natl Cancer Inst</w:t>
      </w:r>
      <w:r w:rsidRPr="006A140B">
        <w:rPr>
          <w:rFonts w:ascii="Book Antiqua" w:hAnsi="Book Antiqua"/>
        </w:rPr>
        <w:t xml:space="preserve"> 2008; </w:t>
      </w:r>
      <w:r w:rsidRPr="006A140B">
        <w:rPr>
          <w:rFonts w:ascii="Book Antiqua" w:hAnsi="Book Antiqua"/>
          <w:b/>
          <w:bCs/>
        </w:rPr>
        <w:t>100</w:t>
      </w:r>
      <w:r w:rsidRPr="006A140B">
        <w:rPr>
          <w:rFonts w:ascii="Book Antiqua" w:hAnsi="Book Antiqua"/>
        </w:rPr>
        <w:t>: 282-284 [PMID: 18270341 DOI: 10.1093/jnci/djm311]</w:t>
      </w:r>
    </w:p>
    <w:p w14:paraId="109D664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218 </w:t>
      </w:r>
      <w:r w:rsidRPr="006A140B">
        <w:rPr>
          <w:rFonts w:ascii="Book Antiqua" w:hAnsi="Book Antiqua"/>
          <w:b/>
          <w:bCs/>
        </w:rPr>
        <w:t>Okuno Y</w:t>
      </w:r>
      <w:r w:rsidRPr="006A140B">
        <w:rPr>
          <w:rFonts w:ascii="Book Antiqua" w:hAnsi="Book Antiqua"/>
        </w:rPr>
        <w:t xml:space="preserve">, Kume H, Hosoda C, Homma Y. Development of nephrotic syndrome after administration of sorafenib in a case of metastatic renal cell carcinoma. </w:t>
      </w:r>
      <w:r w:rsidRPr="006A140B">
        <w:rPr>
          <w:rFonts w:ascii="Book Antiqua" w:hAnsi="Book Antiqua"/>
          <w:i/>
          <w:iCs/>
        </w:rPr>
        <w:t>Case Rep Med</w:t>
      </w:r>
      <w:r w:rsidRPr="006A140B">
        <w:rPr>
          <w:rFonts w:ascii="Book Antiqua" w:hAnsi="Book Antiqua"/>
        </w:rPr>
        <w:t xml:space="preserve"> 2011; </w:t>
      </w:r>
      <w:r w:rsidRPr="006A140B">
        <w:rPr>
          <w:rFonts w:ascii="Book Antiqua" w:hAnsi="Book Antiqua"/>
          <w:b/>
          <w:bCs/>
        </w:rPr>
        <w:t>2011</w:t>
      </w:r>
      <w:r w:rsidRPr="006A140B">
        <w:rPr>
          <w:rFonts w:ascii="Book Antiqua" w:hAnsi="Book Antiqua"/>
        </w:rPr>
        <w:t>: 710216 [PMID: 22007236 DOI: 10.1155/2011/710216]</w:t>
      </w:r>
    </w:p>
    <w:p w14:paraId="0169599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219 </w:t>
      </w:r>
      <w:r w:rsidRPr="006A140B">
        <w:rPr>
          <w:rFonts w:ascii="Book Antiqua" w:hAnsi="Book Antiqua"/>
          <w:b/>
          <w:bCs/>
        </w:rPr>
        <w:t>Hanna RM</w:t>
      </w:r>
      <w:r w:rsidRPr="006A140B">
        <w:rPr>
          <w:rFonts w:ascii="Book Antiqua" w:hAnsi="Book Antiqua"/>
        </w:rPr>
        <w:t xml:space="preserve">, Selamet U, Hasnain H, El-Masry M, Saab S, Wallace WD, Yanny B, Wilson J. Development of Focal Segmental Glomerulosclerosis and Thrombotic Microangiopathy in a Liver Transplant Patient on Sorafenib for Hepatocellular Carcinoma: A Case Report. </w:t>
      </w:r>
      <w:r w:rsidRPr="006A140B">
        <w:rPr>
          <w:rFonts w:ascii="Book Antiqua" w:hAnsi="Book Antiqua"/>
          <w:i/>
          <w:iCs/>
        </w:rPr>
        <w:t>Transplant Proc</w:t>
      </w:r>
      <w:r w:rsidRPr="006A140B">
        <w:rPr>
          <w:rFonts w:ascii="Book Antiqua" w:hAnsi="Book Antiqua"/>
        </w:rPr>
        <w:t xml:space="preserve"> 2018; </w:t>
      </w:r>
      <w:r w:rsidRPr="006A140B">
        <w:rPr>
          <w:rFonts w:ascii="Book Antiqua" w:hAnsi="Book Antiqua"/>
          <w:b/>
          <w:bCs/>
        </w:rPr>
        <w:t>50</w:t>
      </w:r>
      <w:r w:rsidRPr="006A140B">
        <w:rPr>
          <w:rFonts w:ascii="Book Antiqua" w:hAnsi="Book Antiqua"/>
        </w:rPr>
        <w:t>: 4033-4037 [PMID: 30577309 DOI: 10.1016/j.transproceed.2018.07.020]</w:t>
      </w:r>
    </w:p>
    <w:p w14:paraId="419E6DE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220 </w:t>
      </w:r>
      <w:r w:rsidRPr="006A140B">
        <w:rPr>
          <w:rFonts w:ascii="Book Antiqua" w:hAnsi="Book Antiqua"/>
          <w:b/>
          <w:bCs/>
        </w:rPr>
        <w:t>Hilger RA</w:t>
      </w:r>
      <w:r w:rsidRPr="006A140B">
        <w:rPr>
          <w:rFonts w:ascii="Book Antiqua" w:hAnsi="Book Antiqua"/>
        </w:rPr>
        <w:t xml:space="preserve">, Richly H, Grubert M, Kredtke S, Thyssen D, Eberhardt W, Hense J, Schuler M, Scheulen ME. Pharmacokinetics of sorafenib in patients with renal impairment undergoing hemodialysis. </w:t>
      </w:r>
      <w:r w:rsidRPr="006A140B">
        <w:rPr>
          <w:rFonts w:ascii="Book Antiqua" w:hAnsi="Book Antiqua"/>
          <w:i/>
          <w:iCs/>
        </w:rPr>
        <w:t>Int J Clin Pharmacol Ther</w:t>
      </w:r>
      <w:r w:rsidRPr="006A140B">
        <w:rPr>
          <w:rFonts w:ascii="Book Antiqua" w:hAnsi="Book Antiqua"/>
        </w:rPr>
        <w:t xml:space="preserve"> 2009; </w:t>
      </w:r>
      <w:r w:rsidRPr="006A140B">
        <w:rPr>
          <w:rFonts w:ascii="Book Antiqua" w:hAnsi="Book Antiqua"/>
          <w:b/>
          <w:bCs/>
        </w:rPr>
        <w:t>47</w:t>
      </w:r>
      <w:r w:rsidRPr="006A140B">
        <w:rPr>
          <w:rFonts w:ascii="Book Antiqua" w:hAnsi="Book Antiqua"/>
        </w:rPr>
        <w:t>: 61-64 [PMID: 19203541 DOI: 10.5414/cpp47061]</w:t>
      </w:r>
    </w:p>
    <w:p w14:paraId="75EB7A1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221 </w:t>
      </w:r>
      <w:r w:rsidRPr="006A140B">
        <w:rPr>
          <w:rFonts w:ascii="Book Antiqua" w:hAnsi="Book Antiqua"/>
          <w:b/>
          <w:bCs/>
        </w:rPr>
        <w:t>Ishii T</w:t>
      </w:r>
      <w:r w:rsidRPr="006A140B">
        <w:rPr>
          <w:rFonts w:ascii="Book Antiqua" w:hAnsi="Book Antiqua"/>
        </w:rPr>
        <w:t xml:space="preserve">, Hatano E, Taura K, Mizuno T, Kawai T, Fukudo M, Katsura T, Uemoto S. Sorafenib in a hepatocellular carcinoma patient with end-stage renal failure: A pharmacokinetic study. </w:t>
      </w:r>
      <w:r w:rsidRPr="006A140B">
        <w:rPr>
          <w:rFonts w:ascii="Book Antiqua" w:hAnsi="Book Antiqua"/>
          <w:i/>
          <w:iCs/>
        </w:rPr>
        <w:t>Hepatol Res</w:t>
      </w:r>
      <w:r w:rsidRPr="006A140B">
        <w:rPr>
          <w:rFonts w:ascii="Book Antiqua" w:hAnsi="Book Antiqua"/>
        </w:rPr>
        <w:t xml:space="preserve"> 2014; </w:t>
      </w:r>
      <w:r w:rsidRPr="006A140B">
        <w:rPr>
          <w:rFonts w:ascii="Book Antiqua" w:hAnsi="Book Antiqua"/>
          <w:b/>
          <w:bCs/>
        </w:rPr>
        <w:t>44</w:t>
      </w:r>
      <w:r w:rsidRPr="006A140B">
        <w:rPr>
          <w:rFonts w:ascii="Book Antiqua" w:hAnsi="Book Antiqua"/>
        </w:rPr>
        <w:t>: 685-688 [PMID: 23639221 DOI: 10.1111/hepr.12156]</w:t>
      </w:r>
    </w:p>
    <w:p w14:paraId="65B849C7" w14:textId="66B4A9F3" w:rsidR="00495B7C" w:rsidRPr="006A140B" w:rsidRDefault="00495B7C" w:rsidP="00495B7C">
      <w:pPr>
        <w:spacing w:line="360" w:lineRule="auto"/>
        <w:jc w:val="both"/>
        <w:rPr>
          <w:rFonts w:ascii="Book Antiqua" w:hAnsi="Book Antiqua"/>
        </w:rPr>
      </w:pPr>
      <w:r w:rsidRPr="006A140B">
        <w:rPr>
          <w:rFonts w:ascii="Book Antiqua" w:hAnsi="Book Antiqua"/>
        </w:rPr>
        <w:t xml:space="preserve">222 </w:t>
      </w:r>
      <w:r w:rsidRPr="006A140B">
        <w:rPr>
          <w:rFonts w:ascii="Book Antiqua" w:hAnsi="Book Antiqua"/>
          <w:b/>
          <w:bCs/>
        </w:rPr>
        <w:t xml:space="preserve">Bayer HealthCare Pharmaceuticals Inc. </w:t>
      </w:r>
      <w:r w:rsidRPr="006A140B">
        <w:rPr>
          <w:rFonts w:ascii="Book Antiqua" w:hAnsi="Book Antiqua"/>
        </w:rPr>
        <w:t>NEXAVAR (sorafenib) [package insert]. U.S. Food and Drug Administration website.</w:t>
      </w:r>
      <w:r w:rsidR="00866FE4" w:rsidRPr="006A140B">
        <w:rPr>
          <w:rFonts w:ascii="Book Antiqua" w:hAnsi="Book Antiqua"/>
        </w:rPr>
        <w:t xml:space="preserve"> [cited 12 March 2021].</w:t>
      </w:r>
      <w:r w:rsidRPr="006A140B">
        <w:rPr>
          <w:rFonts w:ascii="Book Antiqua" w:hAnsi="Book Antiqua"/>
          <w:b/>
          <w:bCs/>
        </w:rPr>
        <w:t xml:space="preserve"> </w:t>
      </w:r>
      <w:r w:rsidR="00530093" w:rsidRPr="006A140B">
        <w:rPr>
          <w:rFonts w:ascii="Book Antiqua" w:eastAsia="宋体" w:hAnsi="Book Antiqua" w:cs="Arial"/>
          <w:bCs/>
        </w:rPr>
        <w:t xml:space="preserve">Available from: </w:t>
      </w:r>
      <w:r w:rsidRPr="006A140B">
        <w:rPr>
          <w:rFonts w:ascii="Book Antiqua" w:hAnsi="Book Antiqua"/>
        </w:rPr>
        <w:t>https://www.accessdata.fda.gov/drugsatfda_docs/label/2020/021923s024lblrpl.pdf</w:t>
      </w:r>
    </w:p>
    <w:p w14:paraId="69F34DC1" w14:textId="77777777" w:rsidR="00495B7C" w:rsidRPr="006A140B" w:rsidRDefault="00495B7C" w:rsidP="00495B7C">
      <w:pPr>
        <w:spacing w:line="360" w:lineRule="auto"/>
        <w:jc w:val="both"/>
        <w:rPr>
          <w:rFonts w:ascii="Book Antiqua" w:hAnsi="Book Antiqua"/>
        </w:rPr>
      </w:pPr>
      <w:r w:rsidRPr="006A140B">
        <w:rPr>
          <w:rFonts w:ascii="Book Antiqua" w:hAnsi="Book Antiqua"/>
          <w:lang w:val="pt-BR"/>
        </w:rPr>
        <w:t xml:space="preserve">223 </w:t>
      </w:r>
      <w:r w:rsidRPr="006A140B">
        <w:rPr>
          <w:rFonts w:ascii="Book Antiqua" w:hAnsi="Book Antiqua"/>
          <w:b/>
          <w:bCs/>
          <w:lang w:val="pt-BR"/>
        </w:rPr>
        <w:t>Masini C</w:t>
      </w:r>
      <w:r w:rsidRPr="006A140B">
        <w:rPr>
          <w:rFonts w:ascii="Book Antiqua" w:hAnsi="Book Antiqua"/>
          <w:lang w:val="pt-BR"/>
        </w:rPr>
        <w:t xml:space="preserve">, Sabbatini R, Porta C, Procopio G, Di Lorenzo G, Onofri A, Buti S, Iacovelli R, Invernizzi R, Moscetti L, Aste MG, Pagano M, Grosso F, Lucia Manenti A, Ortega C, Cosmai L, Del Giovane C, Conte PF. </w:t>
      </w:r>
      <w:r w:rsidRPr="006A140B">
        <w:rPr>
          <w:rFonts w:ascii="Book Antiqua" w:hAnsi="Book Antiqua"/>
        </w:rPr>
        <w:t xml:space="preserve">Use of tyrosine kinase inhibitors in patients with metastatic kidney cancer receiving haemodialysis: a retrospective Italian survey. </w:t>
      </w:r>
      <w:r w:rsidRPr="006A140B">
        <w:rPr>
          <w:rFonts w:ascii="Book Antiqua" w:hAnsi="Book Antiqua"/>
          <w:i/>
          <w:iCs/>
        </w:rPr>
        <w:t>BJU Int</w:t>
      </w:r>
      <w:r w:rsidRPr="006A140B">
        <w:rPr>
          <w:rFonts w:ascii="Book Antiqua" w:hAnsi="Book Antiqua"/>
        </w:rPr>
        <w:t xml:space="preserve"> 2012; </w:t>
      </w:r>
      <w:r w:rsidRPr="006A140B">
        <w:rPr>
          <w:rFonts w:ascii="Book Antiqua" w:hAnsi="Book Antiqua"/>
          <w:b/>
          <w:bCs/>
        </w:rPr>
        <w:t>110</w:t>
      </w:r>
      <w:r w:rsidRPr="006A140B">
        <w:rPr>
          <w:rFonts w:ascii="Book Antiqua" w:hAnsi="Book Antiqua"/>
        </w:rPr>
        <w:t>: 692-698 [PMID: 22364110 DOI: 10.1111/j.1464-410X.2012.10946.x]</w:t>
      </w:r>
    </w:p>
    <w:p w14:paraId="35FAC59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224 </w:t>
      </w:r>
      <w:r w:rsidRPr="006A140B">
        <w:rPr>
          <w:rFonts w:ascii="Book Antiqua" w:hAnsi="Book Antiqua"/>
          <w:b/>
          <w:bCs/>
        </w:rPr>
        <w:t>Huang A</w:t>
      </w:r>
      <w:r w:rsidRPr="006A140B">
        <w:rPr>
          <w:rFonts w:ascii="Book Antiqua" w:hAnsi="Book Antiqua"/>
        </w:rPr>
        <w:t xml:space="preserve">, Yang XR, Chung WY, Dennison AR, Zhou J. Targeted therapy for hepatocellular carcinoma. </w:t>
      </w:r>
      <w:r w:rsidRPr="006A140B">
        <w:rPr>
          <w:rFonts w:ascii="Book Antiqua" w:hAnsi="Book Antiqua"/>
          <w:i/>
          <w:iCs/>
        </w:rPr>
        <w:t>Signal Transduct Target Ther</w:t>
      </w:r>
      <w:r w:rsidRPr="006A140B">
        <w:rPr>
          <w:rFonts w:ascii="Book Antiqua" w:hAnsi="Book Antiqua"/>
        </w:rPr>
        <w:t xml:space="preserve"> 2020; </w:t>
      </w:r>
      <w:r w:rsidRPr="006A140B">
        <w:rPr>
          <w:rFonts w:ascii="Book Antiqua" w:hAnsi="Book Antiqua"/>
          <w:b/>
          <w:bCs/>
        </w:rPr>
        <w:t>5</w:t>
      </w:r>
      <w:r w:rsidRPr="006A140B">
        <w:rPr>
          <w:rFonts w:ascii="Book Antiqua" w:hAnsi="Book Antiqua"/>
        </w:rPr>
        <w:t>: 146 [PMID: 32782275 DOI: 10.1038/s41392-020-00264-x]</w:t>
      </w:r>
    </w:p>
    <w:p w14:paraId="707C3CC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225 </w:t>
      </w:r>
      <w:r w:rsidRPr="006A140B">
        <w:rPr>
          <w:rFonts w:ascii="Book Antiqua" w:hAnsi="Book Antiqua"/>
          <w:b/>
          <w:bCs/>
        </w:rPr>
        <w:t>Kudo M</w:t>
      </w:r>
      <w:r w:rsidRPr="006A140B">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6A140B">
        <w:rPr>
          <w:rFonts w:ascii="Book Antiqua" w:hAnsi="Book Antiqua"/>
          <w:i/>
          <w:iCs/>
        </w:rPr>
        <w:t>Lancet</w:t>
      </w:r>
      <w:r w:rsidRPr="006A140B">
        <w:rPr>
          <w:rFonts w:ascii="Book Antiqua" w:hAnsi="Book Antiqua"/>
        </w:rPr>
        <w:t xml:space="preserve"> 2018; </w:t>
      </w:r>
      <w:r w:rsidRPr="006A140B">
        <w:rPr>
          <w:rFonts w:ascii="Book Antiqua" w:hAnsi="Book Antiqua"/>
          <w:b/>
          <w:bCs/>
        </w:rPr>
        <w:t>391</w:t>
      </w:r>
      <w:r w:rsidRPr="006A140B">
        <w:rPr>
          <w:rFonts w:ascii="Book Antiqua" w:hAnsi="Book Antiqua"/>
        </w:rPr>
        <w:t>: 1163-1173 [PMID: 29433850 DOI: 10.1016/S0140-6736(18)30207-1]</w:t>
      </w:r>
    </w:p>
    <w:p w14:paraId="69356EB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226 </w:t>
      </w:r>
      <w:r w:rsidRPr="006A140B">
        <w:rPr>
          <w:rFonts w:ascii="Book Antiqua" w:hAnsi="Book Antiqua"/>
          <w:b/>
          <w:bCs/>
        </w:rPr>
        <w:t>Hiraoka A</w:t>
      </w:r>
      <w:r w:rsidRPr="006A140B">
        <w:rPr>
          <w:rFonts w:ascii="Book Antiqua" w:hAnsi="Book Antiqua"/>
        </w:rPr>
        <w:t xml:space="preserve">, Kumada T, Kariyama K, Takaguchi K, Itobayashi E, Shimada N, Tajiri K, Tsuji K, Ishikawa T, Ochi H, Hirooka M, Tsutsui A, Shibata H, Tada T, Toyoda H, Nouso K, Joko K, Hiasa Y, Michitaka K; Real-life Practice Experts for HCC (RELPEC) Study Group and the HCC 48 Group (hepatocellular carcinoma experts from 48 clinics in Japan). Therapeutic potential of lenvatinib for unresectable hepatocellular carcinoma in clinical practice: Multicenter analysis. </w:t>
      </w:r>
      <w:r w:rsidRPr="006A140B">
        <w:rPr>
          <w:rFonts w:ascii="Book Antiqua" w:hAnsi="Book Antiqua"/>
          <w:i/>
          <w:iCs/>
        </w:rPr>
        <w:t>Hepatol Res</w:t>
      </w:r>
      <w:r w:rsidRPr="006A140B">
        <w:rPr>
          <w:rFonts w:ascii="Book Antiqua" w:hAnsi="Book Antiqua"/>
        </w:rPr>
        <w:t xml:space="preserve"> 2019; </w:t>
      </w:r>
      <w:r w:rsidRPr="006A140B">
        <w:rPr>
          <w:rFonts w:ascii="Book Antiqua" w:hAnsi="Book Antiqua"/>
          <w:b/>
          <w:bCs/>
        </w:rPr>
        <w:t>49</w:t>
      </w:r>
      <w:r w:rsidRPr="006A140B">
        <w:rPr>
          <w:rFonts w:ascii="Book Antiqua" w:hAnsi="Book Antiqua"/>
        </w:rPr>
        <w:t>: 111-117 [PMID: 30144256 DOI: 10.1111/hepr.13243]</w:t>
      </w:r>
    </w:p>
    <w:p w14:paraId="41E5789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227 </w:t>
      </w:r>
      <w:r w:rsidRPr="006A140B">
        <w:rPr>
          <w:rFonts w:ascii="Book Antiqua" w:hAnsi="Book Antiqua"/>
          <w:b/>
          <w:bCs/>
        </w:rPr>
        <w:t>Takeda H</w:t>
      </w:r>
      <w:r w:rsidRPr="006A140B">
        <w:rPr>
          <w:rFonts w:ascii="Book Antiqua" w:hAnsi="Book Antiqua"/>
        </w:rPr>
        <w:t xml:space="preserve">, Nishijima N, Nasu A, Komekado H, Kita R, Kimura T, Kudo M, Osaki Y. Long-term antitumor effect of lenvatinib on unresectable hepatocellular carcinoma with portal vein invasion. </w:t>
      </w:r>
      <w:r w:rsidRPr="006A140B">
        <w:rPr>
          <w:rFonts w:ascii="Book Antiqua" w:hAnsi="Book Antiqua"/>
          <w:i/>
          <w:iCs/>
        </w:rPr>
        <w:t>Hepatol Res</w:t>
      </w:r>
      <w:r w:rsidRPr="006A140B">
        <w:rPr>
          <w:rFonts w:ascii="Book Antiqua" w:hAnsi="Book Antiqua"/>
        </w:rPr>
        <w:t xml:space="preserve"> 2019; </w:t>
      </w:r>
      <w:r w:rsidRPr="006A140B">
        <w:rPr>
          <w:rFonts w:ascii="Book Antiqua" w:hAnsi="Book Antiqua"/>
          <w:b/>
          <w:bCs/>
        </w:rPr>
        <w:t>49</w:t>
      </w:r>
      <w:r w:rsidRPr="006A140B">
        <w:rPr>
          <w:rFonts w:ascii="Book Antiqua" w:hAnsi="Book Antiqua"/>
        </w:rPr>
        <w:t>: 594-599 [PMID: 30499247 DOI: 10.1111/hepr.13294]</w:t>
      </w:r>
    </w:p>
    <w:p w14:paraId="1B4EFF7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228 </w:t>
      </w:r>
      <w:r w:rsidRPr="006A140B">
        <w:rPr>
          <w:rFonts w:ascii="Book Antiqua" w:hAnsi="Book Antiqua"/>
          <w:b/>
          <w:bCs/>
        </w:rPr>
        <w:t>Hiraoka A</w:t>
      </w:r>
      <w:r w:rsidRPr="006A140B">
        <w:rPr>
          <w:rFonts w:ascii="Book Antiqua" w:hAnsi="Book Antiqua"/>
        </w:rPr>
        <w:t xml:space="preserve">, Kumada T, Kariyama K, Takaguchi K, Atsukawa M, Itobayashi E, Tsuji K, Tajiri K, Hirooka M, Shimada N, Shibata H, Ishikawa T, Ochi H, Tada T, Toyoda H, Nouso K, Tsutsui A, Itokawa N, Imai M, Joko K, Hiasa Y, Michitaka K; Real-life Practice Experts for HCC (RELPEC) Study Group, HCC 48 Group (hepatocellular carcinoma experts from 48 clinics in Japan). Clinical features of lenvatinib for unresectable hepatocellular carcinoma in real-world conditions: Multicenter analysis. </w:t>
      </w:r>
      <w:r w:rsidRPr="006A140B">
        <w:rPr>
          <w:rFonts w:ascii="Book Antiqua" w:hAnsi="Book Antiqua"/>
          <w:i/>
          <w:iCs/>
        </w:rPr>
        <w:t>Cancer Med</w:t>
      </w:r>
      <w:r w:rsidRPr="006A140B">
        <w:rPr>
          <w:rFonts w:ascii="Book Antiqua" w:hAnsi="Book Antiqua"/>
        </w:rPr>
        <w:t xml:space="preserve"> 2019; </w:t>
      </w:r>
      <w:r w:rsidRPr="006A140B">
        <w:rPr>
          <w:rFonts w:ascii="Book Antiqua" w:hAnsi="Book Antiqua"/>
          <w:b/>
          <w:bCs/>
        </w:rPr>
        <w:t>8</w:t>
      </w:r>
      <w:r w:rsidRPr="006A140B">
        <w:rPr>
          <w:rFonts w:ascii="Book Antiqua" w:hAnsi="Book Antiqua"/>
        </w:rPr>
        <w:t>: 137-146 [PMID: 30575325 DOI: 10.1002/cam4.1909]</w:t>
      </w:r>
    </w:p>
    <w:p w14:paraId="40AC035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229 </w:t>
      </w:r>
      <w:r w:rsidRPr="006A140B">
        <w:rPr>
          <w:rFonts w:ascii="Book Antiqua" w:hAnsi="Book Antiqua"/>
          <w:b/>
          <w:bCs/>
        </w:rPr>
        <w:t>Iwasaki H</w:t>
      </w:r>
      <w:r w:rsidRPr="006A140B">
        <w:rPr>
          <w:rFonts w:ascii="Book Antiqua" w:hAnsi="Book Antiqua"/>
        </w:rPr>
        <w:t xml:space="preserve">, Yamazaki H, Takasaki H, Suganuma N, Sakai R, Nakayama H, Toda S, Masudo K. Renal dysfunction in patients with radioactive iodine-refractory thyroid cancer treated with tyrosine kinase inhibitors: A retrospective study. </w:t>
      </w:r>
      <w:r w:rsidRPr="006A140B">
        <w:rPr>
          <w:rFonts w:ascii="Book Antiqua" w:hAnsi="Book Antiqua"/>
          <w:i/>
          <w:iCs/>
        </w:rPr>
        <w:t>Medicine (Baltimore)</w:t>
      </w:r>
      <w:r w:rsidRPr="006A140B">
        <w:rPr>
          <w:rFonts w:ascii="Book Antiqua" w:hAnsi="Book Antiqua"/>
        </w:rPr>
        <w:t xml:space="preserve"> 2019; </w:t>
      </w:r>
      <w:r w:rsidRPr="006A140B">
        <w:rPr>
          <w:rFonts w:ascii="Book Antiqua" w:hAnsi="Book Antiqua"/>
          <w:b/>
          <w:bCs/>
        </w:rPr>
        <w:t>98</w:t>
      </w:r>
      <w:r w:rsidRPr="006A140B">
        <w:rPr>
          <w:rFonts w:ascii="Book Antiqua" w:hAnsi="Book Antiqua"/>
        </w:rPr>
        <w:t>: e17588 [PMID: 31626129 DOI: 10.1097/MD.0000000000017588]</w:t>
      </w:r>
    </w:p>
    <w:p w14:paraId="22095C3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230 </w:t>
      </w:r>
      <w:r w:rsidRPr="006A140B">
        <w:rPr>
          <w:rFonts w:ascii="Book Antiqua" w:hAnsi="Book Antiqua"/>
          <w:b/>
          <w:bCs/>
        </w:rPr>
        <w:t>Hyogo Y</w:t>
      </w:r>
      <w:r w:rsidRPr="006A140B">
        <w:rPr>
          <w:rFonts w:ascii="Book Antiqua" w:hAnsi="Book Antiqua"/>
        </w:rPr>
        <w:t xml:space="preserve">, Kiyota N, Otsuki N, Goto S, Imamura Y, Chayahara N, Toyoda M, Nibu KI, Hyodo T, Hara S, Masuoka H, Kasahara T, Ito Y, Miya A, Hirokawa M, Miyauchi A, Minami H. Thrombotic Microangiopathy with Severe Proteinuria Induced by Lenvatinib for Radioactive Iodine-Refractory Papillary Thyroid Carcinoma. </w:t>
      </w:r>
      <w:r w:rsidRPr="006A140B">
        <w:rPr>
          <w:rFonts w:ascii="Book Antiqua" w:hAnsi="Book Antiqua"/>
          <w:i/>
          <w:iCs/>
        </w:rPr>
        <w:t>Case Rep Oncol</w:t>
      </w:r>
      <w:r w:rsidRPr="006A140B">
        <w:rPr>
          <w:rFonts w:ascii="Book Antiqua" w:hAnsi="Book Antiqua"/>
        </w:rPr>
        <w:t xml:space="preserve"> 2018; </w:t>
      </w:r>
      <w:r w:rsidRPr="006A140B">
        <w:rPr>
          <w:rFonts w:ascii="Book Antiqua" w:hAnsi="Book Antiqua"/>
          <w:b/>
          <w:bCs/>
        </w:rPr>
        <w:t>11</w:t>
      </w:r>
      <w:r w:rsidRPr="006A140B">
        <w:rPr>
          <w:rFonts w:ascii="Book Antiqua" w:hAnsi="Book Antiqua"/>
        </w:rPr>
        <w:t>: 735-741 [PMID: 30519176 DOI: 10.1159/000494080]</w:t>
      </w:r>
    </w:p>
    <w:p w14:paraId="5C23F05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231 </w:t>
      </w:r>
      <w:r w:rsidRPr="006A140B">
        <w:rPr>
          <w:rFonts w:ascii="Book Antiqua" w:hAnsi="Book Antiqua"/>
          <w:b/>
          <w:bCs/>
        </w:rPr>
        <w:t>Furuto Y</w:t>
      </w:r>
      <w:r w:rsidRPr="006A140B">
        <w:rPr>
          <w:rFonts w:ascii="Book Antiqua" w:hAnsi="Book Antiqua"/>
        </w:rPr>
        <w:t xml:space="preserve">, Hashimoto H, Namikawa A, Outi H, Takahashi H, Horiuti H, Honda K, Shibuya Y. Focal segmental glomerulosclerosis lesion associated with inhibition of tyrosine kinases by lenvatinib: a case report. </w:t>
      </w:r>
      <w:r w:rsidRPr="006A140B">
        <w:rPr>
          <w:rFonts w:ascii="Book Antiqua" w:hAnsi="Book Antiqua"/>
          <w:i/>
          <w:iCs/>
        </w:rPr>
        <w:t>BMC Nephrol</w:t>
      </w:r>
      <w:r w:rsidRPr="006A140B">
        <w:rPr>
          <w:rFonts w:ascii="Book Antiqua" w:hAnsi="Book Antiqua"/>
        </w:rPr>
        <w:t xml:space="preserve"> 2018; </w:t>
      </w:r>
      <w:r w:rsidRPr="006A140B">
        <w:rPr>
          <w:rFonts w:ascii="Book Antiqua" w:hAnsi="Book Antiqua"/>
          <w:b/>
          <w:bCs/>
        </w:rPr>
        <w:t>19</w:t>
      </w:r>
      <w:r w:rsidRPr="006A140B">
        <w:rPr>
          <w:rFonts w:ascii="Book Antiqua" w:hAnsi="Book Antiqua"/>
        </w:rPr>
        <w:t>: 273 [PMID: 30340546 DOI: 10.1186/s12882-018-1074-3]</w:t>
      </w:r>
    </w:p>
    <w:p w14:paraId="69C725B2" w14:textId="248FBBC1" w:rsidR="00495B7C" w:rsidRPr="006A140B" w:rsidRDefault="00495B7C" w:rsidP="00495B7C">
      <w:pPr>
        <w:spacing w:line="360" w:lineRule="auto"/>
        <w:jc w:val="both"/>
        <w:rPr>
          <w:rFonts w:ascii="Book Antiqua" w:hAnsi="Book Antiqua"/>
        </w:rPr>
      </w:pPr>
      <w:r w:rsidRPr="006A140B">
        <w:rPr>
          <w:rFonts w:ascii="Book Antiqua" w:hAnsi="Book Antiqua"/>
        </w:rPr>
        <w:t xml:space="preserve">232 </w:t>
      </w:r>
      <w:r w:rsidRPr="006A140B">
        <w:rPr>
          <w:rFonts w:ascii="Book Antiqua" w:hAnsi="Book Antiqua"/>
          <w:b/>
          <w:bCs/>
        </w:rPr>
        <w:t xml:space="preserve">Eisai Inc. </w:t>
      </w:r>
      <w:r w:rsidRPr="006A140B">
        <w:rPr>
          <w:rFonts w:ascii="Book Antiqua" w:hAnsi="Book Antiqua"/>
        </w:rPr>
        <w:t xml:space="preserve">LENVIMA (lenvatinib) [package insert]. U.S. Food and Drug Administration website. </w:t>
      </w:r>
      <w:r w:rsidR="001F3EC6" w:rsidRPr="006A140B">
        <w:rPr>
          <w:rFonts w:ascii="Book Antiqua" w:hAnsi="Book Antiqua"/>
        </w:rPr>
        <w:t xml:space="preserve">[cited 12 March 2021]. </w:t>
      </w:r>
      <w:r w:rsidR="001F3EC6" w:rsidRPr="006A140B">
        <w:rPr>
          <w:rFonts w:ascii="Book Antiqua" w:eastAsia="宋体" w:hAnsi="Book Antiqua" w:cs="Arial"/>
        </w:rPr>
        <w:t xml:space="preserve">Available from: </w:t>
      </w:r>
      <w:r w:rsidRPr="006A140B">
        <w:rPr>
          <w:rFonts w:ascii="Book Antiqua" w:hAnsi="Book Antiqua"/>
        </w:rPr>
        <w:t>https://www.accessdata.fda.gov/drugsatfda_docs/label/2020/206947s018lbl.pdf</w:t>
      </w:r>
    </w:p>
    <w:p w14:paraId="17FE087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233 </w:t>
      </w:r>
      <w:r w:rsidRPr="006A140B">
        <w:rPr>
          <w:rFonts w:ascii="Book Antiqua" w:hAnsi="Book Antiqua"/>
          <w:b/>
          <w:bCs/>
        </w:rPr>
        <w:t>Bruix J</w:t>
      </w:r>
      <w:r w:rsidRPr="006A140B">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6A140B">
        <w:rPr>
          <w:rFonts w:ascii="Book Antiqua" w:hAnsi="Book Antiqua"/>
          <w:i/>
          <w:iCs/>
        </w:rPr>
        <w:t>Lancet</w:t>
      </w:r>
      <w:r w:rsidRPr="006A140B">
        <w:rPr>
          <w:rFonts w:ascii="Book Antiqua" w:hAnsi="Book Antiqua"/>
        </w:rPr>
        <w:t xml:space="preserve"> 2017; </w:t>
      </w:r>
      <w:r w:rsidRPr="006A140B">
        <w:rPr>
          <w:rFonts w:ascii="Book Antiqua" w:hAnsi="Book Antiqua"/>
          <w:b/>
          <w:bCs/>
        </w:rPr>
        <w:t>389</w:t>
      </w:r>
      <w:r w:rsidRPr="006A140B">
        <w:rPr>
          <w:rFonts w:ascii="Book Antiqua" w:hAnsi="Book Antiqua"/>
        </w:rPr>
        <w:t>: 56-66 [PMID: 27932229 DOI: 10.1016/S0140-6736(16)32453-9]</w:t>
      </w:r>
    </w:p>
    <w:p w14:paraId="0796845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234 </w:t>
      </w:r>
      <w:r w:rsidRPr="006A140B">
        <w:rPr>
          <w:rFonts w:ascii="Book Antiqua" w:hAnsi="Book Antiqua"/>
          <w:b/>
          <w:bCs/>
        </w:rPr>
        <w:t>Yoo C</w:t>
      </w:r>
      <w:r w:rsidRPr="006A140B">
        <w:rPr>
          <w:rFonts w:ascii="Book Antiqua" w:hAnsi="Book Antiqua"/>
        </w:rPr>
        <w:t xml:space="preserve">, Park JW, Kim YJ, Kim DY, Yu SJ, Lim TS, Lee SJ, Ryoo BY, Lim HY. Multicenter retrospective analysis of the safety and efficacy of regorafenib after progression on sorafenib in Korean patients with hepatocellular carcinoma. </w:t>
      </w:r>
      <w:r w:rsidRPr="006A140B">
        <w:rPr>
          <w:rFonts w:ascii="Book Antiqua" w:hAnsi="Book Antiqua"/>
          <w:i/>
          <w:iCs/>
        </w:rPr>
        <w:t>Invest New Drugs</w:t>
      </w:r>
      <w:r w:rsidRPr="006A140B">
        <w:rPr>
          <w:rFonts w:ascii="Book Antiqua" w:hAnsi="Book Antiqua"/>
        </w:rPr>
        <w:t xml:space="preserve"> 2019; </w:t>
      </w:r>
      <w:r w:rsidRPr="006A140B">
        <w:rPr>
          <w:rFonts w:ascii="Book Antiqua" w:hAnsi="Book Antiqua"/>
          <w:b/>
          <w:bCs/>
        </w:rPr>
        <w:t>37</w:t>
      </w:r>
      <w:r w:rsidRPr="006A140B">
        <w:rPr>
          <w:rFonts w:ascii="Book Antiqua" w:hAnsi="Book Antiqua"/>
        </w:rPr>
        <w:t>: 567-572 [PMID: 30523474 DOI: 10.1007/s10637-018-0707-5]</w:t>
      </w:r>
    </w:p>
    <w:p w14:paraId="345E997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235 </w:t>
      </w:r>
      <w:r w:rsidRPr="006A140B">
        <w:rPr>
          <w:rFonts w:ascii="Book Antiqua" w:hAnsi="Book Antiqua"/>
          <w:b/>
          <w:bCs/>
        </w:rPr>
        <w:t>Finn RS</w:t>
      </w:r>
      <w:r w:rsidRPr="006A140B">
        <w:rPr>
          <w:rFonts w:ascii="Book Antiqua" w:hAnsi="Book Antiqua"/>
        </w:rPr>
        <w:t xml:space="preserve">, Merle P, Granito A, Huang YH, Bodoky G, Pracht M, Yokosuka O, Rosmorduc O, Gerolami R, Caparello C, Cabrera R, Chang C, Sun W, LeBerre MA, Baumhauer A, Meinhardt G, Bruix J. Outcomes of sequential treatment with sorafenib followed by regorafenib for HCC: Additional analyses from the phase III RESORCE trial. </w:t>
      </w:r>
      <w:r w:rsidRPr="006A140B">
        <w:rPr>
          <w:rFonts w:ascii="Book Antiqua" w:hAnsi="Book Antiqua"/>
          <w:i/>
          <w:iCs/>
        </w:rPr>
        <w:t>J Hepatol</w:t>
      </w:r>
      <w:r w:rsidRPr="006A140B">
        <w:rPr>
          <w:rFonts w:ascii="Book Antiqua" w:hAnsi="Book Antiqua"/>
        </w:rPr>
        <w:t xml:space="preserve"> 2018; </w:t>
      </w:r>
      <w:r w:rsidRPr="006A140B">
        <w:rPr>
          <w:rFonts w:ascii="Book Antiqua" w:hAnsi="Book Antiqua"/>
          <w:b/>
          <w:bCs/>
        </w:rPr>
        <w:t>69</w:t>
      </w:r>
      <w:r w:rsidRPr="006A140B">
        <w:rPr>
          <w:rFonts w:ascii="Book Antiqua" w:hAnsi="Book Antiqua"/>
        </w:rPr>
        <w:t>: 353-358 [PMID: 29704513 DOI: 10.1016/j.jhep.2018.04.010]</w:t>
      </w:r>
    </w:p>
    <w:p w14:paraId="2C31A6F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236 </w:t>
      </w:r>
      <w:r w:rsidRPr="006A140B">
        <w:rPr>
          <w:rFonts w:ascii="Book Antiqua" w:hAnsi="Book Antiqua"/>
          <w:b/>
          <w:bCs/>
        </w:rPr>
        <w:t>Eisen T</w:t>
      </w:r>
      <w:r w:rsidRPr="006A140B">
        <w:rPr>
          <w:rFonts w:ascii="Book Antiqua" w:hAnsi="Book Antiqua"/>
        </w:rPr>
        <w:t xml:space="preserve">, Joensuu H, Nathan PD, Harper PG, Wojtukiewicz MZ, Nicholson S, Bahl A, Tomczak P, Pyrhonen S, Fife K, Bono P, Boxall J, Wagner A, Jeffers M, Lin T, Quinn DI. Regorafenib for patients with previously untreated metastatic or unresectable renal-cell carcinoma: a single-group phase 2 trial. </w:t>
      </w:r>
      <w:r w:rsidRPr="006A140B">
        <w:rPr>
          <w:rFonts w:ascii="Book Antiqua" w:hAnsi="Book Antiqua"/>
          <w:i/>
          <w:iCs/>
        </w:rPr>
        <w:t>Lancet Oncol</w:t>
      </w:r>
      <w:r w:rsidRPr="006A140B">
        <w:rPr>
          <w:rFonts w:ascii="Book Antiqua" w:hAnsi="Book Antiqua"/>
        </w:rPr>
        <w:t xml:space="preserve"> 2012; </w:t>
      </w:r>
      <w:r w:rsidRPr="006A140B">
        <w:rPr>
          <w:rFonts w:ascii="Book Antiqua" w:hAnsi="Book Antiqua"/>
          <w:b/>
          <w:bCs/>
        </w:rPr>
        <w:t>13</w:t>
      </w:r>
      <w:r w:rsidRPr="006A140B">
        <w:rPr>
          <w:rFonts w:ascii="Book Antiqua" w:hAnsi="Book Antiqua"/>
        </w:rPr>
        <w:t>: 1055-1062 [PMID: 22959186 DOI: 10.1016/S1470-2045(12)70364-9]</w:t>
      </w:r>
    </w:p>
    <w:p w14:paraId="07DE676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237 </w:t>
      </w:r>
      <w:r w:rsidRPr="006A140B">
        <w:rPr>
          <w:rFonts w:ascii="Book Antiqua" w:hAnsi="Book Antiqua"/>
          <w:b/>
          <w:bCs/>
        </w:rPr>
        <w:t>Grothey A</w:t>
      </w:r>
      <w:r w:rsidRPr="006A140B">
        <w:rPr>
          <w:rFonts w:ascii="Book Antiqua" w:hAnsi="Book Antiqua"/>
        </w:rPr>
        <w:t xml:space="preserve">, Van Cutsem E, Sobrero A, Siena S, Falcone A, Ychou M, Humblet Y, Bouché O, Mineur L, Barone C, Adenis A, Tabernero J, Yoshino T, Lenz HJ, Goldberg RM, Sargent DJ, Cihon F, Cupit L, Wagner A, Laurent D; CORRECT Study Group. Regorafenib monotherapy for previously treated metastatic colorectal cancer (CORRECT): an international, multicentre, randomised, placebo-controlled, phase 3 trial. </w:t>
      </w:r>
      <w:r w:rsidRPr="006A140B">
        <w:rPr>
          <w:rFonts w:ascii="Book Antiqua" w:hAnsi="Book Antiqua"/>
          <w:i/>
          <w:iCs/>
        </w:rPr>
        <w:t>Lancet</w:t>
      </w:r>
      <w:r w:rsidRPr="006A140B">
        <w:rPr>
          <w:rFonts w:ascii="Book Antiqua" w:hAnsi="Book Antiqua"/>
        </w:rPr>
        <w:t xml:space="preserve"> 2013; </w:t>
      </w:r>
      <w:r w:rsidRPr="006A140B">
        <w:rPr>
          <w:rFonts w:ascii="Book Antiqua" w:hAnsi="Book Antiqua"/>
          <w:b/>
          <w:bCs/>
        </w:rPr>
        <w:t>381</w:t>
      </w:r>
      <w:r w:rsidRPr="006A140B">
        <w:rPr>
          <w:rFonts w:ascii="Book Antiqua" w:hAnsi="Book Antiqua"/>
        </w:rPr>
        <w:t>: 303-312 [PMID: 23177514 DOI: 10.1016/S0140-6736(12)61900-X]</w:t>
      </w:r>
    </w:p>
    <w:p w14:paraId="7A31E44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238 </w:t>
      </w:r>
      <w:r w:rsidRPr="006A140B">
        <w:rPr>
          <w:rFonts w:ascii="Book Antiqua" w:hAnsi="Book Antiqua"/>
          <w:b/>
          <w:bCs/>
        </w:rPr>
        <w:t>Krishnamoorthy SK</w:t>
      </w:r>
      <w:r w:rsidRPr="006A140B">
        <w:rPr>
          <w:rFonts w:ascii="Book Antiqua" w:hAnsi="Book Antiqua"/>
        </w:rPr>
        <w:t xml:space="preserve">, Relias V, Sebastian S, Jayaraman V, Saif MW. Management of regorafenib-related toxicities: a review. </w:t>
      </w:r>
      <w:r w:rsidRPr="006A140B">
        <w:rPr>
          <w:rFonts w:ascii="Book Antiqua" w:hAnsi="Book Antiqua"/>
          <w:i/>
          <w:iCs/>
        </w:rPr>
        <w:t>Therap Adv Gastroenterol</w:t>
      </w:r>
      <w:r w:rsidRPr="006A140B">
        <w:rPr>
          <w:rFonts w:ascii="Book Antiqua" w:hAnsi="Book Antiqua"/>
        </w:rPr>
        <w:t xml:space="preserve"> 2015; </w:t>
      </w:r>
      <w:r w:rsidRPr="006A140B">
        <w:rPr>
          <w:rFonts w:ascii="Book Antiqua" w:hAnsi="Book Antiqua"/>
          <w:b/>
          <w:bCs/>
        </w:rPr>
        <w:t>8</w:t>
      </w:r>
      <w:r w:rsidRPr="006A140B">
        <w:rPr>
          <w:rFonts w:ascii="Book Antiqua" w:hAnsi="Book Antiqua"/>
        </w:rPr>
        <w:t>: 285-297 [PMID: 26327919 DOI: 10.1177/1756283X15580743]</w:t>
      </w:r>
    </w:p>
    <w:p w14:paraId="670FA6C0" w14:textId="7458F148" w:rsidR="00495B7C" w:rsidRPr="006A140B" w:rsidRDefault="00495B7C" w:rsidP="00495B7C">
      <w:pPr>
        <w:spacing w:line="360" w:lineRule="auto"/>
        <w:jc w:val="both"/>
        <w:rPr>
          <w:rFonts w:ascii="Book Antiqua" w:hAnsi="Book Antiqua"/>
        </w:rPr>
      </w:pPr>
      <w:r w:rsidRPr="006A140B">
        <w:rPr>
          <w:rFonts w:ascii="Book Antiqua" w:hAnsi="Book Antiqua"/>
        </w:rPr>
        <w:t xml:space="preserve">239 </w:t>
      </w:r>
      <w:r w:rsidRPr="006A140B">
        <w:rPr>
          <w:rFonts w:ascii="Book Antiqua" w:hAnsi="Book Antiqua"/>
          <w:b/>
          <w:bCs/>
        </w:rPr>
        <w:t>Sturm</w:t>
      </w:r>
      <w:r w:rsidR="00661B74" w:rsidRPr="006A140B">
        <w:rPr>
          <w:rFonts w:ascii="Book Antiqua" w:hAnsi="Book Antiqua"/>
          <w:b/>
          <w:bCs/>
        </w:rPr>
        <w:t xml:space="preserve"> </w:t>
      </w:r>
      <w:r w:rsidRPr="006A140B">
        <w:rPr>
          <w:rFonts w:ascii="Book Antiqua" w:hAnsi="Book Antiqua"/>
          <w:b/>
          <w:bCs/>
        </w:rPr>
        <w:t xml:space="preserve">A. </w:t>
      </w:r>
      <w:r w:rsidRPr="006A140B">
        <w:rPr>
          <w:rFonts w:ascii="Book Antiqua" w:hAnsi="Book Antiqua"/>
        </w:rPr>
        <w:t xml:space="preserve">Cleton MBBPJGKSMGF-THSRFHZJTI. Evaluation of exposure of regorafenib and its metabolites in cancer patients with renal impairment by modelling, simulation, and clinical study. </w:t>
      </w:r>
      <w:r w:rsidRPr="006A140B">
        <w:rPr>
          <w:rFonts w:ascii="Book Antiqua" w:hAnsi="Book Antiqua"/>
          <w:i/>
          <w:iCs/>
        </w:rPr>
        <w:t>Ann Oncol</w:t>
      </w:r>
      <w:r w:rsidRPr="006A140B">
        <w:rPr>
          <w:rFonts w:ascii="Book Antiqua" w:hAnsi="Book Antiqua"/>
        </w:rPr>
        <w:t xml:space="preserve"> 2016; </w:t>
      </w:r>
      <w:r w:rsidRPr="006A140B">
        <w:rPr>
          <w:rFonts w:ascii="Book Antiqua" w:hAnsi="Book Antiqua"/>
          <w:b/>
          <w:bCs/>
        </w:rPr>
        <w:t>27</w:t>
      </w:r>
      <w:r w:rsidRPr="006A140B">
        <w:rPr>
          <w:rFonts w:ascii="Book Antiqua" w:hAnsi="Book Antiqua"/>
        </w:rPr>
        <w:t>: vi526</w:t>
      </w:r>
      <w:r w:rsidR="00031119" w:rsidRPr="006A140B">
        <w:rPr>
          <w:rFonts w:ascii="Book Antiqua" w:hAnsi="Book Antiqua"/>
        </w:rPr>
        <w:t>-</w:t>
      </w:r>
      <w:r w:rsidRPr="006A140B">
        <w:rPr>
          <w:rFonts w:ascii="Book Antiqua" w:hAnsi="Book Antiqua"/>
        </w:rPr>
        <w:t>vi544</w:t>
      </w:r>
      <w:r w:rsidR="00661B74" w:rsidRPr="006A140B">
        <w:rPr>
          <w:rFonts w:ascii="Book Antiqua" w:hAnsi="Book Antiqua"/>
        </w:rPr>
        <w:t xml:space="preserve"> [DOI: 10.1093/annonc/mdw392.37]</w:t>
      </w:r>
    </w:p>
    <w:p w14:paraId="5E7CF2AF" w14:textId="22EEAB56" w:rsidR="00495B7C" w:rsidRPr="006A140B" w:rsidRDefault="00495B7C" w:rsidP="00495B7C">
      <w:pPr>
        <w:spacing w:line="360" w:lineRule="auto"/>
        <w:jc w:val="both"/>
        <w:rPr>
          <w:rFonts w:ascii="Book Antiqua" w:hAnsi="Book Antiqua"/>
        </w:rPr>
      </w:pPr>
      <w:r w:rsidRPr="006A140B">
        <w:rPr>
          <w:rFonts w:ascii="Book Antiqua" w:hAnsi="Book Antiqua"/>
        </w:rPr>
        <w:t xml:space="preserve">240 </w:t>
      </w:r>
      <w:r w:rsidRPr="006A140B">
        <w:rPr>
          <w:rFonts w:ascii="Book Antiqua" w:hAnsi="Book Antiqua"/>
          <w:b/>
          <w:bCs/>
        </w:rPr>
        <w:t xml:space="preserve">Bayer HealthCare Pharmaceuticals Inc. </w:t>
      </w:r>
      <w:r w:rsidRPr="006A140B">
        <w:rPr>
          <w:rFonts w:ascii="Book Antiqua" w:hAnsi="Book Antiqua"/>
        </w:rPr>
        <w:t>STIVARGA (regorafenib) [package insert]. U.S. Food and Drug Administration website.</w:t>
      </w:r>
      <w:r w:rsidR="008C3BFB" w:rsidRPr="006A140B">
        <w:rPr>
          <w:rFonts w:ascii="Book Antiqua" w:hAnsi="Book Antiqua"/>
        </w:rPr>
        <w:t xml:space="preserve"> [cited 12 March 2021].</w:t>
      </w:r>
      <w:r w:rsidRPr="006A140B">
        <w:rPr>
          <w:rFonts w:ascii="Book Antiqua" w:hAnsi="Book Antiqua"/>
        </w:rPr>
        <w:t xml:space="preserve"> </w:t>
      </w:r>
      <w:r w:rsidR="008C3BFB" w:rsidRPr="006A140B">
        <w:rPr>
          <w:rFonts w:ascii="Book Antiqua" w:eastAsia="宋体" w:hAnsi="Book Antiqua" w:cs="Arial"/>
          <w:bCs/>
        </w:rPr>
        <w:t xml:space="preserve">Available from: </w:t>
      </w:r>
      <w:r w:rsidRPr="006A140B">
        <w:rPr>
          <w:rFonts w:ascii="Book Antiqua" w:hAnsi="Book Antiqua"/>
        </w:rPr>
        <w:t>https://www.accessdata.fda.gov/drugsatfda_docs/label/2020/203085s013lbl.pdf</w:t>
      </w:r>
    </w:p>
    <w:p w14:paraId="7A7702B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241 </w:t>
      </w:r>
      <w:r w:rsidRPr="006A140B">
        <w:rPr>
          <w:rFonts w:ascii="Book Antiqua" w:hAnsi="Book Antiqua"/>
          <w:b/>
          <w:bCs/>
        </w:rPr>
        <w:t>Cochin V</w:t>
      </w:r>
      <w:r w:rsidRPr="006A140B">
        <w:rPr>
          <w:rFonts w:ascii="Book Antiqua" w:hAnsi="Book Antiqua"/>
        </w:rPr>
        <w:t xml:space="preserve">, Gross-Goupil M, Ravaud A, Godbert Y, Le Moulec S. [Cabozantinib: Mechanism of action, efficacy and indications]. </w:t>
      </w:r>
      <w:r w:rsidRPr="006A140B">
        <w:rPr>
          <w:rFonts w:ascii="Book Antiqua" w:hAnsi="Book Antiqua"/>
          <w:i/>
          <w:iCs/>
        </w:rPr>
        <w:t>Bull Cancer</w:t>
      </w:r>
      <w:r w:rsidRPr="006A140B">
        <w:rPr>
          <w:rFonts w:ascii="Book Antiqua" w:hAnsi="Book Antiqua"/>
        </w:rPr>
        <w:t xml:space="preserve"> 2017; </w:t>
      </w:r>
      <w:r w:rsidRPr="006A140B">
        <w:rPr>
          <w:rFonts w:ascii="Book Antiqua" w:hAnsi="Book Antiqua"/>
          <w:b/>
          <w:bCs/>
        </w:rPr>
        <w:t>104</w:t>
      </w:r>
      <w:r w:rsidRPr="006A140B">
        <w:rPr>
          <w:rFonts w:ascii="Book Antiqua" w:hAnsi="Book Antiqua"/>
        </w:rPr>
        <w:t>: 393-401 [PMID: 28477875 DOI: 10.1016/j.bulcan.2017.03.013]</w:t>
      </w:r>
    </w:p>
    <w:p w14:paraId="42B0B3F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242 </w:t>
      </w:r>
      <w:r w:rsidRPr="006A140B">
        <w:rPr>
          <w:rFonts w:ascii="Book Antiqua" w:hAnsi="Book Antiqua"/>
          <w:b/>
          <w:bCs/>
        </w:rPr>
        <w:t>Abou-Alfa GK</w:t>
      </w:r>
      <w:r w:rsidRPr="006A140B">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6A140B">
        <w:rPr>
          <w:rFonts w:ascii="Book Antiqua" w:hAnsi="Book Antiqua"/>
          <w:i/>
          <w:iCs/>
        </w:rPr>
        <w:t>N Engl J Med</w:t>
      </w:r>
      <w:r w:rsidRPr="006A140B">
        <w:rPr>
          <w:rFonts w:ascii="Book Antiqua" w:hAnsi="Book Antiqua"/>
        </w:rPr>
        <w:t xml:space="preserve"> 2018; </w:t>
      </w:r>
      <w:r w:rsidRPr="006A140B">
        <w:rPr>
          <w:rFonts w:ascii="Book Antiqua" w:hAnsi="Book Antiqua"/>
          <w:b/>
          <w:bCs/>
        </w:rPr>
        <w:t>379</w:t>
      </w:r>
      <w:r w:rsidRPr="006A140B">
        <w:rPr>
          <w:rFonts w:ascii="Book Antiqua" w:hAnsi="Book Antiqua"/>
        </w:rPr>
        <w:t>: 54-63 [PMID: 29972759 DOI: 10.1056/NEJMoa1717002]</w:t>
      </w:r>
    </w:p>
    <w:p w14:paraId="0FF6256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243 </w:t>
      </w:r>
      <w:r w:rsidRPr="006A140B">
        <w:rPr>
          <w:rFonts w:ascii="Book Antiqua" w:hAnsi="Book Antiqua"/>
          <w:b/>
          <w:bCs/>
        </w:rPr>
        <w:t>Nguyen L</w:t>
      </w:r>
      <w:r w:rsidRPr="006A140B">
        <w:rPr>
          <w:rFonts w:ascii="Book Antiqua" w:hAnsi="Book Antiqua"/>
        </w:rPr>
        <w:t xml:space="preserve">, Holland J, Ramies D, Mamelok R, Benrimoh N, Ciric S, Marbury T, Preston RA, Heuman DM, Gavis E, Lacy S. Effect of Renal and Hepatic Impairment on the Pharmacokinetics of Cabozantinib. </w:t>
      </w:r>
      <w:r w:rsidRPr="006A140B">
        <w:rPr>
          <w:rFonts w:ascii="Book Antiqua" w:hAnsi="Book Antiqua"/>
          <w:i/>
          <w:iCs/>
        </w:rPr>
        <w:t>J Clin Pharmacol</w:t>
      </w:r>
      <w:r w:rsidRPr="006A140B">
        <w:rPr>
          <w:rFonts w:ascii="Book Antiqua" w:hAnsi="Book Antiqua"/>
        </w:rPr>
        <w:t xml:space="preserve"> 2016; </w:t>
      </w:r>
      <w:r w:rsidRPr="006A140B">
        <w:rPr>
          <w:rFonts w:ascii="Book Antiqua" w:hAnsi="Book Antiqua"/>
          <w:b/>
          <w:bCs/>
        </w:rPr>
        <w:t>56</w:t>
      </w:r>
      <w:r w:rsidRPr="006A140B">
        <w:rPr>
          <w:rFonts w:ascii="Book Antiqua" w:hAnsi="Book Antiqua"/>
        </w:rPr>
        <w:t>: 1130-1140 [PMID: 26865195 DOI: 10.1002/jcph.714]</w:t>
      </w:r>
    </w:p>
    <w:p w14:paraId="71061CE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244 </w:t>
      </w:r>
      <w:r w:rsidRPr="006A140B">
        <w:rPr>
          <w:rFonts w:ascii="Book Antiqua" w:hAnsi="Book Antiqua"/>
          <w:b/>
          <w:bCs/>
        </w:rPr>
        <w:t>Cappagli V</w:t>
      </w:r>
      <w:r w:rsidRPr="006A140B">
        <w:rPr>
          <w:rFonts w:ascii="Book Antiqua" w:hAnsi="Book Antiqua"/>
        </w:rPr>
        <w:t xml:space="preserve">, Moriconi D, Bonadio AG, Giannese D, La Manna G, Egidi MF, Comai G, Vischini G, Bottici V, Elisei R, Viola D. Proteinuria is a late-onset adverse event in patients treated with cabozantinib. </w:t>
      </w:r>
      <w:r w:rsidRPr="006A140B">
        <w:rPr>
          <w:rFonts w:ascii="Book Antiqua" w:hAnsi="Book Antiqua"/>
          <w:i/>
          <w:iCs/>
        </w:rPr>
        <w:t>J Endocrinol Invest</w:t>
      </w:r>
      <w:r w:rsidRPr="006A140B">
        <w:rPr>
          <w:rFonts w:ascii="Book Antiqua" w:hAnsi="Book Antiqua"/>
        </w:rPr>
        <w:t xml:space="preserve"> 2021; </w:t>
      </w:r>
      <w:r w:rsidRPr="006A140B">
        <w:rPr>
          <w:rFonts w:ascii="Book Antiqua" w:hAnsi="Book Antiqua"/>
          <w:b/>
          <w:bCs/>
        </w:rPr>
        <w:t>44</w:t>
      </w:r>
      <w:r w:rsidRPr="006A140B">
        <w:rPr>
          <w:rFonts w:ascii="Book Antiqua" w:hAnsi="Book Antiqua"/>
        </w:rPr>
        <w:t>: 95-103 [PMID: 32363491 DOI: 10.1007/s40618-020-01272-y]</w:t>
      </w:r>
    </w:p>
    <w:p w14:paraId="1290FD5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245 </w:t>
      </w:r>
      <w:r w:rsidRPr="006A140B">
        <w:rPr>
          <w:rFonts w:ascii="Book Antiqua" w:hAnsi="Book Antiqua"/>
          <w:b/>
          <w:bCs/>
        </w:rPr>
        <w:t>Paschke L</w:t>
      </w:r>
      <w:r w:rsidRPr="006A140B">
        <w:rPr>
          <w:rFonts w:ascii="Book Antiqua" w:hAnsi="Book Antiqua"/>
        </w:rPr>
        <w:t xml:space="preserve">, Lincke T, Mühlberg KS, Jabs WJ, Lindner TH, Paschke R. Anti VEGF-TKI Treatment and New Renal Adverse Events Not Reported in Phase III Trials. </w:t>
      </w:r>
      <w:r w:rsidRPr="006A140B">
        <w:rPr>
          <w:rFonts w:ascii="Book Antiqua" w:hAnsi="Book Antiqua"/>
          <w:i/>
          <w:iCs/>
        </w:rPr>
        <w:t>Eur Thyroid J</w:t>
      </w:r>
      <w:r w:rsidRPr="006A140B">
        <w:rPr>
          <w:rFonts w:ascii="Book Antiqua" w:hAnsi="Book Antiqua"/>
        </w:rPr>
        <w:t xml:space="preserve"> 2018; </w:t>
      </w:r>
      <w:r w:rsidRPr="006A140B">
        <w:rPr>
          <w:rFonts w:ascii="Book Antiqua" w:hAnsi="Book Antiqua"/>
          <w:b/>
          <w:bCs/>
        </w:rPr>
        <w:t>7</w:t>
      </w:r>
      <w:r w:rsidRPr="006A140B">
        <w:rPr>
          <w:rFonts w:ascii="Book Antiqua" w:hAnsi="Book Antiqua"/>
        </w:rPr>
        <w:t>: 308-312 [PMID: 30574461 DOI: 10.1159/000491387]</w:t>
      </w:r>
    </w:p>
    <w:p w14:paraId="5F5346C5" w14:textId="0B17A5AF" w:rsidR="00495B7C" w:rsidRPr="006A140B" w:rsidRDefault="00495B7C" w:rsidP="00495B7C">
      <w:pPr>
        <w:spacing w:line="360" w:lineRule="auto"/>
        <w:jc w:val="both"/>
        <w:rPr>
          <w:rFonts w:ascii="Book Antiqua" w:hAnsi="Book Antiqua"/>
        </w:rPr>
      </w:pPr>
      <w:r w:rsidRPr="006A140B">
        <w:rPr>
          <w:rFonts w:ascii="Book Antiqua" w:hAnsi="Book Antiqua"/>
        </w:rPr>
        <w:t xml:space="preserve">246 </w:t>
      </w:r>
      <w:r w:rsidRPr="006A140B">
        <w:rPr>
          <w:rFonts w:ascii="Book Antiqua" w:hAnsi="Book Antiqua"/>
          <w:b/>
          <w:bCs/>
        </w:rPr>
        <w:t xml:space="preserve">Exelixis, Inc. </w:t>
      </w:r>
      <w:r w:rsidRPr="006A140B">
        <w:rPr>
          <w:rFonts w:ascii="Book Antiqua" w:hAnsi="Book Antiqua"/>
        </w:rPr>
        <w:t xml:space="preserve">COMETRIQ (cabozantinib) [package insert]. U.S. Food and Drug Administration website. </w:t>
      </w:r>
      <w:r w:rsidR="003A1627" w:rsidRPr="006A140B">
        <w:rPr>
          <w:rFonts w:ascii="Book Antiqua" w:hAnsi="Book Antiqua"/>
        </w:rPr>
        <w:t xml:space="preserve">[cited 12 March 2021]. </w:t>
      </w:r>
      <w:r w:rsidR="003A1627" w:rsidRPr="006A140B">
        <w:rPr>
          <w:rFonts w:ascii="Book Antiqua" w:eastAsia="宋体" w:hAnsi="Book Antiqua" w:cs="Arial"/>
          <w:bCs/>
        </w:rPr>
        <w:t xml:space="preserve">Available from: </w:t>
      </w:r>
      <w:r w:rsidRPr="006A140B">
        <w:rPr>
          <w:rFonts w:ascii="Book Antiqua" w:hAnsi="Book Antiqua"/>
        </w:rPr>
        <w:t>https://www.accessdata.fda.gov/drugsatfda_docs/label/2020/203756s009lbl.pdf</w:t>
      </w:r>
    </w:p>
    <w:p w14:paraId="18CEE9C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247 </w:t>
      </w:r>
      <w:r w:rsidRPr="006A140B">
        <w:rPr>
          <w:rFonts w:ascii="Book Antiqua" w:hAnsi="Book Antiqua"/>
          <w:b/>
          <w:bCs/>
        </w:rPr>
        <w:t>Zhu AX</w:t>
      </w:r>
      <w:r w:rsidRPr="006A140B">
        <w:rPr>
          <w:rFonts w:ascii="Book Antiqua" w:hAnsi="Book Antiqua"/>
        </w:rPr>
        <w:t xml:space="preserve">, Park JO, Ryoo BY, Yen CJ, Poon R, Pastorelli D, Blanc JF, Chung HC, Baron AD, Pfiffer TE, Okusaka T, Kubackova K, Trojan J, Sastre J, Chau I, Chang SC, Abada PB, Yang L, Schwartz JD, Kudo M; REACH Trial Investigators. Ramucirumab versus placebo as second-line treatment in patients with advanced hepatocellular carcinoma following first-line therapy with sorafenib (REACH): a randomised, double-blind, multicentre, phase 3 trial. </w:t>
      </w:r>
      <w:r w:rsidRPr="006A140B">
        <w:rPr>
          <w:rFonts w:ascii="Book Antiqua" w:hAnsi="Book Antiqua"/>
          <w:i/>
          <w:iCs/>
        </w:rPr>
        <w:t>Lancet Oncol</w:t>
      </w:r>
      <w:r w:rsidRPr="006A140B">
        <w:rPr>
          <w:rFonts w:ascii="Book Antiqua" w:hAnsi="Book Antiqua"/>
        </w:rPr>
        <w:t xml:space="preserve"> 2015; </w:t>
      </w:r>
      <w:r w:rsidRPr="006A140B">
        <w:rPr>
          <w:rFonts w:ascii="Book Antiqua" w:hAnsi="Book Antiqua"/>
          <w:b/>
          <w:bCs/>
        </w:rPr>
        <w:t>16</w:t>
      </w:r>
      <w:r w:rsidRPr="006A140B">
        <w:rPr>
          <w:rFonts w:ascii="Book Antiqua" w:hAnsi="Book Antiqua"/>
        </w:rPr>
        <w:t>: 859-870 [PMID: 26095784 DOI: 10.1016/S1470-2045(15)00050-9]</w:t>
      </w:r>
    </w:p>
    <w:p w14:paraId="54EC4F7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248 </w:t>
      </w:r>
      <w:r w:rsidRPr="006A140B">
        <w:rPr>
          <w:rFonts w:ascii="Book Antiqua" w:hAnsi="Book Antiqua"/>
          <w:b/>
          <w:bCs/>
        </w:rPr>
        <w:t>Park JO</w:t>
      </w:r>
      <w:r w:rsidRPr="006A140B">
        <w:rPr>
          <w:rFonts w:ascii="Book Antiqua" w:hAnsi="Book Antiqua"/>
        </w:rPr>
        <w:t xml:space="preserve">, Ryoo BY, Yen CJ, Kudo M, Yang L, Abada PB, Cheng R, Orlando M, Zhu AX, Okusaka T. Second-line ramucirumab therapy for advanced hepatocellular carcinoma (REACH): an East Asian and non-East Asian subgroup analysis. </w:t>
      </w:r>
      <w:r w:rsidRPr="006A140B">
        <w:rPr>
          <w:rFonts w:ascii="Book Antiqua" w:hAnsi="Book Antiqua"/>
          <w:i/>
          <w:iCs/>
        </w:rPr>
        <w:t>Oncotarget</w:t>
      </w:r>
      <w:r w:rsidRPr="006A140B">
        <w:rPr>
          <w:rFonts w:ascii="Book Antiqua" w:hAnsi="Book Antiqua"/>
        </w:rPr>
        <w:t xml:space="preserve"> 2016; </w:t>
      </w:r>
      <w:r w:rsidRPr="006A140B">
        <w:rPr>
          <w:rFonts w:ascii="Book Antiqua" w:hAnsi="Book Antiqua"/>
          <w:b/>
          <w:bCs/>
        </w:rPr>
        <w:t>7</w:t>
      </w:r>
      <w:r w:rsidRPr="006A140B">
        <w:rPr>
          <w:rFonts w:ascii="Book Antiqua" w:hAnsi="Book Antiqua"/>
        </w:rPr>
        <w:t>: 75482-75491 [PMID: 27776351 DOI: 10.18632/oncotarget.12780]</w:t>
      </w:r>
    </w:p>
    <w:p w14:paraId="08B0601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249 </w:t>
      </w:r>
      <w:r w:rsidRPr="006A140B">
        <w:rPr>
          <w:rFonts w:ascii="Book Antiqua" w:hAnsi="Book Antiqua"/>
          <w:b/>
          <w:bCs/>
        </w:rPr>
        <w:t>Zhu AX</w:t>
      </w:r>
      <w:r w:rsidRPr="006A140B">
        <w:rPr>
          <w:rFonts w:ascii="Book Antiqua" w:hAnsi="Book Antiqua"/>
        </w:rPr>
        <w:t xml:space="preserve">, Baron AD, Malfertheiner P, Kudo M, Kawazoe S, Pezet D, Weissinger F, Brandi G, Barone CA, Okusaka T, Wada Y, Park JO, Ryoo BY, Cho JY, Chung HC, Li CP, Yen CJ, Lee KD, Chang SC, Yang L, Abada PB, Chau I. Ramucirumab as Second-Line Treatment in Patients With Advanced Hepatocellular Carcinoma: Analysis of REACH Trial Results by Child-Pugh Score. </w:t>
      </w:r>
      <w:r w:rsidRPr="006A140B">
        <w:rPr>
          <w:rFonts w:ascii="Book Antiqua" w:hAnsi="Book Antiqua"/>
          <w:i/>
          <w:iCs/>
        </w:rPr>
        <w:t>JAMA Oncol</w:t>
      </w:r>
      <w:r w:rsidRPr="006A140B">
        <w:rPr>
          <w:rFonts w:ascii="Book Antiqua" w:hAnsi="Book Antiqua"/>
        </w:rPr>
        <w:t xml:space="preserve"> 2017; </w:t>
      </w:r>
      <w:r w:rsidRPr="006A140B">
        <w:rPr>
          <w:rFonts w:ascii="Book Antiqua" w:hAnsi="Book Antiqua"/>
          <w:b/>
          <w:bCs/>
        </w:rPr>
        <w:t>3</w:t>
      </w:r>
      <w:r w:rsidRPr="006A140B">
        <w:rPr>
          <w:rFonts w:ascii="Book Antiqua" w:hAnsi="Book Antiqua"/>
        </w:rPr>
        <w:t>: 235-243 [PMID: 27657674 DOI: 10.1001/jamaoncol.2016.4115]</w:t>
      </w:r>
    </w:p>
    <w:p w14:paraId="71633B7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250 </w:t>
      </w:r>
      <w:r w:rsidRPr="006A140B">
        <w:rPr>
          <w:rFonts w:ascii="Book Antiqua" w:hAnsi="Book Antiqua"/>
          <w:b/>
          <w:bCs/>
        </w:rPr>
        <w:t>Zhu AX</w:t>
      </w:r>
      <w:r w:rsidRPr="006A140B">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6A140B">
        <w:rPr>
          <w:rFonts w:ascii="Book Antiqua" w:hAnsi="Book Antiqua"/>
          <w:i/>
          <w:iCs/>
        </w:rPr>
        <w:t>Lancet Oncol</w:t>
      </w:r>
      <w:r w:rsidRPr="006A140B">
        <w:rPr>
          <w:rFonts w:ascii="Book Antiqua" w:hAnsi="Book Antiqua"/>
        </w:rPr>
        <w:t xml:space="preserve"> 2019; </w:t>
      </w:r>
      <w:r w:rsidRPr="006A140B">
        <w:rPr>
          <w:rFonts w:ascii="Book Antiqua" w:hAnsi="Book Antiqua"/>
          <w:b/>
          <w:bCs/>
        </w:rPr>
        <w:t>20</w:t>
      </w:r>
      <w:r w:rsidRPr="006A140B">
        <w:rPr>
          <w:rFonts w:ascii="Book Antiqua" w:hAnsi="Book Antiqua"/>
        </w:rPr>
        <w:t>: 282-296 [PMID: 30665869 DOI: 10.1016/S1470-2045(18)30937-9]</w:t>
      </w:r>
    </w:p>
    <w:p w14:paraId="06EDB17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251 </w:t>
      </w:r>
      <w:r w:rsidRPr="006A140B">
        <w:rPr>
          <w:rFonts w:ascii="Book Antiqua" w:hAnsi="Book Antiqua"/>
          <w:b/>
          <w:bCs/>
        </w:rPr>
        <w:t>Fujii T</w:t>
      </w:r>
      <w:r w:rsidRPr="006A140B">
        <w:rPr>
          <w:rFonts w:ascii="Book Antiqua" w:hAnsi="Book Antiqua"/>
        </w:rPr>
        <w:t xml:space="preserve">, Kawasoe K, Tonooka A, Ohta A, Nitta K. Nephrotic syndrome associated with ramucirumab therapy: A single-center case series and literature review. </w:t>
      </w:r>
      <w:r w:rsidRPr="006A140B">
        <w:rPr>
          <w:rFonts w:ascii="Book Antiqua" w:hAnsi="Book Antiqua"/>
          <w:i/>
          <w:iCs/>
        </w:rPr>
        <w:t>Medicine (Baltimore)</w:t>
      </w:r>
      <w:r w:rsidRPr="006A140B">
        <w:rPr>
          <w:rFonts w:ascii="Book Antiqua" w:hAnsi="Book Antiqua"/>
        </w:rPr>
        <w:t xml:space="preserve"> 2019; </w:t>
      </w:r>
      <w:r w:rsidRPr="006A140B">
        <w:rPr>
          <w:rFonts w:ascii="Book Antiqua" w:hAnsi="Book Antiqua"/>
          <w:b/>
          <w:bCs/>
        </w:rPr>
        <w:t>98</w:t>
      </w:r>
      <w:r w:rsidRPr="006A140B">
        <w:rPr>
          <w:rFonts w:ascii="Book Antiqua" w:hAnsi="Book Antiqua"/>
        </w:rPr>
        <w:t>: e16236 [PMID: 31277139 DOI: 10.1097/MD.0000000000016236]</w:t>
      </w:r>
    </w:p>
    <w:p w14:paraId="67BD8BF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252 </w:t>
      </w:r>
      <w:r w:rsidRPr="006A140B">
        <w:rPr>
          <w:rFonts w:ascii="Book Antiqua" w:hAnsi="Book Antiqua"/>
          <w:b/>
          <w:bCs/>
        </w:rPr>
        <w:t>Abdel-Rahman O</w:t>
      </w:r>
      <w:r w:rsidRPr="006A140B">
        <w:rPr>
          <w:rFonts w:ascii="Book Antiqua" w:hAnsi="Book Antiqua"/>
        </w:rPr>
        <w:t xml:space="preserve">, ElHalawani H. Proteinuria in Patients with Solid Tumors Treated with Ramucirumab: A Systematic Review and Meta-Analysis. </w:t>
      </w:r>
      <w:r w:rsidRPr="006A140B">
        <w:rPr>
          <w:rFonts w:ascii="Book Antiqua" w:hAnsi="Book Antiqua"/>
          <w:i/>
          <w:iCs/>
        </w:rPr>
        <w:t>Chemotherapy</w:t>
      </w:r>
      <w:r w:rsidRPr="006A140B">
        <w:rPr>
          <w:rFonts w:ascii="Book Antiqua" w:hAnsi="Book Antiqua"/>
        </w:rPr>
        <w:t xml:space="preserve"> 2014; </w:t>
      </w:r>
      <w:r w:rsidRPr="006A140B">
        <w:rPr>
          <w:rFonts w:ascii="Book Antiqua" w:hAnsi="Book Antiqua"/>
          <w:b/>
          <w:bCs/>
        </w:rPr>
        <w:t>60</w:t>
      </w:r>
      <w:r w:rsidRPr="006A140B">
        <w:rPr>
          <w:rFonts w:ascii="Book Antiqua" w:hAnsi="Book Antiqua"/>
        </w:rPr>
        <w:t>: 325-333 [PMID: 26302785 DOI: 10.1159/000437253]</w:t>
      </w:r>
    </w:p>
    <w:p w14:paraId="6DAFD1A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253 </w:t>
      </w:r>
      <w:r w:rsidRPr="006A140B">
        <w:rPr>
          <w:rFonts w:ascii="Book Antiqua" w:hAnsi="Book Antiqua"/>
          <w:b/>
          <w:bCs/>
        </w:rPr>
        <w:t>Yamada R</w:t>
      </w:r>
      <w:r w:rsidRPr="006A140B">
        <w:rPr>
          <w:rFonts w:ascii="Book Antiqua" w:hAnsi="Book Antiqua"/>
        </w:rPr>
        <w:t xml:space="preserve">, Okawa T, Matsuo K, Suzuki M, Mori N, Mori K. Renal-limited thrombotic microangiopathy after switching from bevacizumab to ramucirumab: a case report. </w:t>
      </w:r>
      <w:r w:rsidRPr="006A140B">
        <w:rPr>
          <w:rFonts w:ascii="Book Antiqua" w:hAnsi="Book Antiqua"/>
          <w:i/>
          <w:iCs/>
        </w:rPr>
        <w:t>BMC Nephrol</w:t>
      </w:r>
      <w:r w:rsidRPr="006A140B">
        <w:rPr>
          <w:rFonts w:ascii="Book Antiqua" w:hAnsi="Book Antiqua"/>
        </w:rPr>
        <w:t xml:space="preserve"> 2019; </w:t>
      </w:r>
      <w:r w:rsidRPr="006A140B">
        <w:rPr>
          <w:rFonts w:ascii="Book Antiqua" w:hAnsi="Book Antiqua"/>
          <w:b/>
          <w:bCs/>
        </w:rPr>
        <w:t>20</w:t>
      </w:r>
      <w:r w:rsidRPr="006A140B">
        <w:rPr>
          <w:rFonts w:ascii="Book Antiqua" w:hAnsi="Book Antiqua"/>
        </w:rPr>
        <w:t>: 14 [PMID: 30634936 DOI: 10.1186/s12882-018-1194-9]</w:t>
      </w:r>
    </w:p>
    <w:p w14:paraId="0D0BF49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254 </w:t>
      </w:r>
      <w:r w:rsidRPr="006A140B">
        <w:rPr>
          <w:rFonts w:ascii="Book Antiqua" w:hAnsi="Book Antiqua"/>
          <w:b/>
          <w:bCs/>
        </w:rPr>
        <w:t>Hirai T</w:t>
      </w:r>
      <w:r w:rsidRPr="006A140B">
        <w:rPr>
          <w:rFonts w:ascii="Book Antiqua" w:hAnsi="Book Antiqua"/>
        </w:rPr>
        <w:t xml:space="preserve">, Shuji Y, Takiyama M, Hanada K, Itoh T. Renin-angiotensin system inhibitors for countering proteinuria induced by angiogenesis inhibitors: a retrospective observational analysis. </w:t>
      </w:r>
      <w:r w:rsidRPr="006A140B">
        <w:rPr>
          <w:rFonts w:ascii="Book Antiqua" w:hAnsi="Book Antiqua"/>
          <w:i/>
          <w:iCs/>
        </w:rPr>
        <w:t>Cancer Chemother Pharmacol</w:t>
      </w:r>
      <w:r w:rsidRPr="006A140B">
        <w:rPr>
          <w:rFonts w:ascii="Book Antiqua" w:hAnsi="Book Antiqua"/>
        </w:rPr>
        <w:t xml:space="preserve"> 2019; </w:t>
      </w:r>
      <w:r w:rsidRPr="006A140B">
        <w:rPr>
          <w:rFonts w:ascii="Book Antiqua" w:hAnsi="Book Antiqua"/>
          <w:b/>
          <w:bCs/>
        </w:rPr>
        <w:t>84</w:t>
      </w:r>
      <w:r w:rsidRPr="006A140B">
        <w:rPr>
          <w:rFonts w:ascii="Book Antiqua" w:hAnsi="Book Antiqua"/>
        </w:rPr>
        <w:t>: 195-202 [PMID: 31119376 DOI: 10.1007/s00280-019-03876-5]</w:t>
      </w:r>
    </w:p>
    <w:p w14:paraId="1EB288B1" w14:textId="0A6697DE" w:rsidR="00495B7C" w:rsidRPr="006A140B" w:rsidRDefault="00495B7C" w:rsidP="00495B7C">
      <w:pPr>
        <w:spacing w:line="360" w:lineRule="auto"/>
        <w:jc w:val="both"/>
        <w:rPr>
          <w:rFonts w:ascii="Book Antiqua" w:hAnsi="Book Antiqua"/>
        </w:rPr>
      </w:pPr>
      <w:r w:rsidRPr="006A140B">
        <w:rPr>
          <w:rFonts w:ascii="Book Antiqua" w:hAnsi="Book Antiqua"/>
        </w:rPr>
        <w:t xml:space="preserve">255 </w:t>
      </w:r>
      <w:r w:rsidRPr="006A140B">
        <w:rPr>
          <w:rFonts w:ascii="Book Antiqua" w:hAnsi="Book Antiqua"/>
          <w:b/>
          <w:bCs/>
        </w:rPr>
        <w:t xml:space="preserve">Eli Lilly and Company. </w:t>
      </w:r>
      <w:r w:rsidRPr="006A140B">
        <w:rPr>
          <w:rFonts w:ascii="Book Antiqua" w:hAnsi="Book Antiqua"/>
        </w:rPr>
        <w:t xml:space="preserve">CYRAMZA (ramucirumab) [package insert]. U.S. Food and Drug Administration website. </w:t>
      </w:r>
      <w:r w:rsidR="003E2B95" w:rsidRPr="006A140B">
        <w:rPr>
          <w:rFonts w:ascii="Book Antiqua" w:hAnsi="Book Antiqua"/>
        </w:rPr>
        <w:t xml:space="preserve">[cited 12 March 2021]. </w:t>
      </w:r>
      <w:r w:rsidR="003E2B95" w:rsidRPr="006A140B">
        <w:rPr>
          <w:rFonts w:ascii="Book Antiqua" w:eastAsia="宋体" w:hAnsi="Book Antiqua" w:cs="Arial"/>
        </w:rPr>
        <w:t xml:space="preserve">Available from: </w:t>
      </w:r>
      <w:r w:rsidRPr="006A140B">
        <w:rPr>
          <w:rFonts w:ascii="Book Antiqua" w:hAnsi="Book Antiqua"/>
        </w:rPr>
        <w:t>https://www.accessdata.fda.gov/drugsatfda_docs/label/2020/125477s037lbl.pdf</w:t>
      </w:r>
    </w:p>
    <w:p w14:paraId="4232A73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256 </w:t>
      </w:r>
      <w:r w:rsidRPr="006A140B">
        <w:rPr>
          <w:rFonts w:ascii="Book Antiqua" w:hAnsi="Book Antiqua"/>
          <w:b/>
          <w:bCs/>
        </w:rPr>
        <w:t>Finn RS</w:t>
      </w:r>
      <w:r w:rsidRPr="006A140B">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6A140B">
        <w:rPr>
          <w:rFonts w:ascii="Book Antiqua" w:hAnsi="Book Antiqua"/>
          <w:i/>
          <w:iCs/>
        </w:rPr>
        <w:t>N Engl J Med</w:t>
      </w:r>
      <w:r w:rsidRPr="006A140B">
        <w:rPr>
          <w:rFonts w:ascii="Book Antiqua" w:hAnsi="Book Antiqua"/>
        </w:rPr>
        <w:t xml:space="preserve"> 2020; </w:t>
      </w:r>
      <w:r w:rsidRPr="006A140B">
        <w:rPr>
          <w:rFonts w:ascii="Book Antiqua" w:hAnsi="Book Antiqua"/>
          <w:b/>
          <w:bCs/>
        </w:rPr>
        <w:t>382</w:t>
      </w:r>
      <w:r w:rsidRPr="006A140B">
        <w:rPr>
          <w:rFonts w:ascii="Book Antiqua" w:hAnsi="Book Antiqua"/>
        </w:rPr>
        <w:t>: 1894-1905 [PMID: 32402160 DOI: 10.1056/NEJMoa1915745]</w:t>
      </w:r>
    </w:p>
    <w:p w14:paraId="2C46F78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257 </w:t>
      </w:r>
      <w:r w:rsidRPr="006A140B">
        <w:rPr>
          <w:rFonts w:ascii="Book Antiqua" w:hAnsi="Book Antiqua"/>
          <w:b/>
          <w:bCs/>
        </w:rPr>
        <w:t>Sassier M</w:t>
      </w:r>
      <w:r w:rsidRPr="006A140B">
        <w:rPr>
          <w:rFonts w:ascii="Book Antiqua" w:hAnsi="Book Antiqua"/>
        </w:rPr>
        <w:t xml:space="preserve">, Dugué AE, Clarisse B, Lesueur P, Avrillon V, Bizieux-Thaminy A, Auliac JB, Kaluzinski L, Tillon J, Robinet G, Le Caer H, Monnet I, Madroszyk A, Boza G, Falchero L, Fournel P, Egenod T, Toffart AC, Leiber N, Do P, Gervais R. Renal insufficiency is the leading cause of double maintenance (bevacizumab and pemetrexed) discontinuation for toxicity to advanced non-small cell lung cancer in real world setting. </w:t>
      </w:r>
      <w:r w:rsidRPr="006A140B">
        <w:rPr>
          <w:rFonts w:ascii="Book Antiqua" w:hAnsi="Book Antiqua"/>
          <w:i/>
          <w:iCs/>
        </w:rPr>
        <w:t>Lung Cancer</w:t>
      </w:r>
      <w:r w:rsidRPr="006A140B">
        <w:rPr>
          <w:rFonts w:ascii="Book Antiqua" w:hAnsi="Book Antiqua"/>
        </w:rPr>
        <w:t xml:space="preserve"> 2015; </w:t>
      </w:r>
      <w:r w:rsidRPr="006A140B">
        <w:rPr>
          <w:rFonts w:ascii="Book Antiqua" w:hAnsi="Book Antiqua"/>
          <w:b/>
          <w:bCs/>
        </w:rPr>
        <w:t>89</w:t>
      </w:r>
      <w:r w:rsidRPr="006A140B">
        <w:rPr>
          <w:rFonts w:ascii="Book Antiqua" w:hAnsi="Book Antiqua"/>
        </w:rPr>
        <w:t>: 161-166 [PMID: 26037036 DOI: 10.1016/j.lungcan.2015.05.005]</w:t>
      </w:r>
    </w:p>
    <w:p w14:paraId="3992AF2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258 </w:t>
      </w:r>
      <w:r w:rsidRPr="006A140B">
        <w:rPr>
          <w:rFonts w:ascii="Book Antiqua" w:hAnsi="Book Antiqua"/>
          <w:b/>
          <w:bCs/>
        </w:rPr>
        <w:t>Zhao J</w:t>
      </w:r>
      <w:r w:rsidRPr="006A140B">
        <w:rPr>
          <w:rFonts w:ascii="Book Antiqua" w:hAnsi="Book Antiqua"/>
        </w:rPr>
        <w:t xml:space="preserve">, Li H, Wang M. Acute renal failure in a patient receiving anti-VEGF therapy for advanced non-small cell lung cancer. </w:t>
      </w:r>
      <w:r w:rsidRPr="006A140B">
        <w:rPr>
          <w:rFonts w:ascii="Book Antiqua" w:hAnsi="Book Antiqua"/>
          <w:i/>
          <w:iCs/>
        </w:rPr>
        <w:t>J Thorac Oncol</w:t>
      </w:r>
      <w:r w:rsidRPr="006A140B">
        <w:rPr>
          <w:rFonts w:ascii="Book Antiqua" w:hAnsi="Book Antiqua"/>
        </w:rPr>
        <w:t xml:space="preserve"> 2009; </w:t>
      </w:r>
      <w:r w:rsidRPr="006A140B">
        <w:rPr>
          <w:rFonts w:ascii="Book Antiqua" w:hAnsi="Book Antiqua"/>
          <w:b/>
          <w:bCs/>
        </w:rPr>
        <w:t>4</w:t>
      </w:r>
      <w:r w:rsidRPr="006A140B">
        <w:rPr>
          <w:rFonts w:ascii="Book Antiqua" w:hAnsi="Book Antiqua"/>
        </w:rPr>
        <w:t>: 1185-1187 [PMID: 19704343 DOI: 10.1097/JTO.0b013e3181b2362f]</w:t>
      </w:r>
    </w:p>
    <w:p w14:paraId="4B55BB4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259 </w:t>
      </w:r>
      <w:r w:rsidRPr="006A140B">
        <w:rPr>
          <w:rFonts w:ascii="Book Antiqua" w:hAnsi="Book Antiqua"/>
          <w:b/>
          <w:bCs/>
        </w:rPr>
        <w:t>Wu S</w:t>
      </w:r>
      <w:r w:rsidRPr="006A140B">
        <w:rPr>
          <w:rFonts w:ascii="Book Antiqua" w:hAnsi="Book Antiqua"/>
        </w:rPr>
        <w:t xml:space="preserve">, Kim C, Baer L, Zhu X. Bevacizumab increases risk for severe proteinuria in cancer patients. </w:t>
      </w:r>
      <w:r w:rsidRPr="006A140B">
        <w:rPr>
          <w:rFonts w:ascii="Book Antiqua" w:hAnsi="Book Antiqua"/>
          <w:i/>
          <w:iCs/>
        </w:rPr>
        <w:t>J Am Soc Nephrol</w:t>
      </w:r>
      <w:r w:rsidRPr="006A140B">
        <w:rPr>
          <w:rFonts w:ascii="Book Antiqua" w:hAnsi="Book Antiqua"/>
        </w:rPr>
        <w:t xml:space="preserve"> 2010; </w:t>
      </w:r>
      <w:r w:rsidRPr="006A140B">
        <w:rPr>
          <w:rFonts w:ascii="Book Antiqua" w:hAnsi="Book Antiqua"/>
          <w:b/>
          <w:bCs/>
        </w:rPr>
        <w:t>21</w:t>
      </w:r>
      <w:r w:rsidRPr="006A140B">
        <w:rPr>
          <w:rFonts w:ascii="Book Antiqua" w:hAnsi="Book Antiqua"/>
        </w:rPr>
        <w:t>: 1381-1389 [PMID: 20538785 DOI: 10.1681/ASN.2010020167]</w:t>
      </w:r>
    </w:p>
    <w:p w14:paraId="32FEDD1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260 </w:t>
      </w:r>
      <w:r w:rsidRPr="006A140B">
        <w:rPr>
          <w:rFonts w:ascii="Book Antiqua" w:hAnsi="Book Antiqua"/>
          <w:b/>
          <w:bCs/>
        </w:rPr>
        <w:t>Zhao T</w:t>
      </w:r>
      <w:r w:rsidRPr="006A140B">
        <w:rPr>
          <w:rFonts w:ascii="Book Antiqua" w:hAnsi="Book Antiqua"/>
        </w:rPr>
        <w:t xml:space="preserve">, Wang X, Xu T, Xu X, Liu Z. Bevacizumab significantly increases the risks of hypertension and proteinuria in cancer patients: A systematic review and comprehensive meta-analysis. </w:t>
      </w:r>
      <w:r w:rsidRPr="006A140B">
        <w:rPr>
          <w:rFonts w:ascii="Book Antiqua" w:hAnsi="Book Antiqua"/>
          <w:i/>
          <w:iCs/>
        </w:rPr>
        <w:t>Oncotarget</w:t>
      </w:r>
      <w:r w:rsidRPr="006A140B">
        <w:rPr>
          <w:rFonts w:ascii="Book Antiqua" w:hAnsi="Book Antiqua"/>
        </w:rPr>
        <w:t xml:space="preserve"> 2017; </w:t>
      </w:r>
      <w:r w:rsidRPr="006A140B">
        <w:rPr>
          <w:rFonts w:ascii="Book Antiqua" w:hAnsi="Book Antiqua"/>
          <w:b/>
          <w:bCs/>
        </w:rPr>
        <w:t>8</w:t>
      </w:r>
      <w:r w:rsidRPr="006A140B">
        <w:rPr>
          <w:rFonts w:ascii="Book Antiqua" w:hAnsi="Book Antiqua"/>
        </w:rPr>
        <w:t>: 51492-51506 [PMID: 28881662 DOI: 10.18632/oncotarget.18190]</w:t>
      </w:r>
    </w:p>
    <w:p w14:paraId="7674F26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261 </w:t>
      </w:r>
      <w:r w:rsidRPr="006A140B">
        <w:rPr>
          <w:rFonts w:ascii="Book Antiqua" w:hAnsi="Book Antiqua"/>
          <w:b/>
          <w:bCs/>
        </w:rPr>
        <w:t>Usui J</w:t>
      </w:r>
      <w:r w:rsidRPr="006A140B">
        <w:rPr>
          <w:rFonts w:ascii="Book Antiqua" w:hAnsi="Book Antiqua"/>
        </w:rPr>
        <w:t xml:space="preserve">, Glezerman IG, Salvatore SP, Chandran CB, Flombaum CD, Seshan SV. Clinicopathological spectrum of kidney diseases in cancer patients treated with vascular endothelial growth factor inhibitors: a report of 5 cases and review of literature. </w:t>
      </w:r>
      <w:r w:rsidRPr="006A140B">
        <w:rPr>
          <w:rFonts w:ascii="Book Antiqua" w:hAnsi="Book Antiqua"/>
          <w:i/>
          <w:iCs/>
        </w:rPr>
        <w:t>Hum Pathol</w:t>
      </w:r>
      <w:r w:rsidRPr="006A140B">
        <w:rPr>
          <w:rFonts w:ascii="Book Antiqua" w:hAnsi="Book Antiqua"/>
        </w:rPr>
        <w:t xml:space="preserve"> 2014; </w:t>
      </w:r>
      <w:r w:rsidRPr="006A140B">
        <w:rPr>
          <w:rFonts w:ascii="Book Antiqua" w:hAnsi="Book Antiqua"/>
          <w:b/>
          <w:bCs/>
        </w:rPr>
        <w:t>45</w:t>
      </w:r>
      <w:r w:rsidRPr="006A140B">
        <w:rPr>
          <w:rFonts w:ascii="Book Antiqua" w:hAnsi="Book Antiqua"/>
        </w:rPr>
        <w:t>: 1918-1927 [PMID: 25087655 DOI: 10.1016/j.humpath.2014.05.015]</w:t>
      </w:r>
    </w:p>
    <w:p w14:paraId="7F844FF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262 </w:t>
      </w:r>
      <w:r w:rsidRPr="006A140B">
        <w:rPr>
          <w:rFonts w:ascii="Book Antiqua" w:hAnsi="Book Antiqua"/>
          <w:b/>
          <w:bCs/>
        </w:rPr>
        <w:t>Uy AL</w:t>
      </w:r>
      <w:r w:rsidRPr="006A140B">
        <w:rPr>
          <w:rFonts w:ascii="Book Antiqua" w:hAnsi="Book Antiqua"/>
        </w:rPr>
        <w:t xml:space="preserve">, Simper NB, Champeaux AL, Perkins RM. Progressive bevacizumab-associated renal thrombotic microangiopathy. </w:t>
      </w:r>
      <w:r w:rsidRPr="006A140B">
        <w:rPr>
          <w:rFonts w:ascii="Book Antiqua" w:hAnsi="Book Antiqua"/>
          <w:i/>
          <w:iCs/>
        </w:rPr>
        <w:t>NDT Plus</w:t>
      </w:r>
      <w:r w:rsidRPr="006A140B">
        <w:rPr>
          <w:rFonts w:ascii="Book Antiqua" w:hAnsi="Book Antiqua"/>
        </w:rPr>
        <w:t xml:space="preserve"> 2009; </w:t>
      </w:r>
      <w:r w:rsidRPr="006A140B">
        <w:rPr>
          <w:rFonts w:ascii="Book Antiqua" w:hAnsi="Book Antiqua"/>
          <w:b/>
          <w:bCs/>
        </w:rPr>
        <w:t>2</w:t>
      </w:r>
      <w:r w:rsidRPr="006A140B">
        <w:rPr>
          <w:rFonts w:ascii="Book Antiqua" w:hAnsi="Book Antiqua"/>
        </w:rPr>
        <w:t>: 36-39 [PMID: 25949282 DOI: 10.1093/ndtplus/sfn168]</w:t>
      </w:r>
    </w:p>
    <w:p w14:paraId="11FC2B4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263 </w:t>
      </w:r>
      <w:r w:rsidRPr="006A140B">
        <w:rPr>
          <w:rFonts w:ascii="Book Antiqua" w:hAnsi="Book Antiqua"/>
          <w:b/>
          <w:bCs/>
        </w:rPr>
        <w:t>Vakiti A</w:t>
      </w:r>
      <w:r w:rsidRPr="006A140B">
        <w:rPr>
          <w:rFonts w:ascii="Book Antiqua" w:hAnsi="Book Antiqua"/>
        </w:rPr>
        <w:t xml:space="preserve">, Singh D, Pilla R, Alhaj-Moustafa M, Fitzpatrick KW. Bevacizumab-induced atypical hemolytic uremic syndrome and treatment with eculizumab. </w:t>
      </w:r>
      <w:r w:rsidRPr="006A140B">
        <w:rPr>
          <w:rFonts w:ascii="Book Antiqua" w:hAnsi="Book Antiqua"/>
          <w:i/>
          <w:iCs/>
        </w:rPr>
        <w:t>J Oncol Pharm Pract</w:t>
      </w:r>
      <w:r w:rsidRPr="006A140B">
        <w:rPr>
          <w:rFonts w:ascii="Book Antiqua" w:hAnsi="Book Antiqua"/>
        </w:rPr>
        <w:t xml:space="preserve"> 2019; </w:t>
      </w:r>
      <w:r w:rsidRPr="006A140B">
        <w:rPr>
          <w:rFonts w:ascii="Book Antiqua" w:hAnsi="Book Antiqua"/>
          <w:b/>
          <w:bCs/>
        </w:rPr>
        <w:t>25</w:t>
      </w:r>
      <w:r w:rsidRPr="006A140B">
        <w:rPr>
          <w:rFonts w:ascii="Book Antiqua" w:hAnsi="Book Antiqua"/>
        </w:rPr>
        <w:t>: 1011-1015 [PMID: 29768958 DOI: 10.1177/1078155218774895]</w:t>
      </w:r>
    </w:p>
    <w:p w14:paraId="1214B1A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264 </w:t>
      </w:r>
      <w:r w:rsidRPr="006A140B">
        <w:rPr>
          <w:rFonts w:ascii="Book Antiqua" w:hAnsi="Book Antiqua"/>
          <w:b/>
          <w:bCs/>
        </w:rPr>
        <w:t>Lomax AJ</w:t>
      </w:r>
      <w:r w:rsidRPr="006A140B">
        <w:rPr>
          <w:rFonts w:ascii="Book Antiqua" w:hAnsi="Book Antiqua"/>
        </w:rPr>
        <w:t xml:space="preserve">, Hill PA, Ashley DM. Case report of interstitial nephritis induced by bevacizumab therapy for glioblastoma multiforme. </w:t>
      </w:r>
      <w:r w:rsidRPr="006A140B">
        <w:rPr>
          <w:rFonts w:ascii="Book Antiqua" w:hAnsi="Book Antiqua"/>
          <w:i/>
          <w:iCs/>
        </w:rPr>
        <w:t>J Oncol Pharm Pract</w:t>
      </w:r>
      <w:r w:rsidRPr="006A140B">
        <w:rPr>
          <w:rFonts w:ascii="Book Antiqua" w:hAnsi="Book Antiqua"/>
        </w:rPr>
        <w:t xml:space="preserve"> 2013; </w:t>
      </w:r>
      <w:r w:rsidRPr="006A140B">
        <w:rPr>
          <w:rFonts w:ascii="Book Antiqua" w:hAnsi="Book Antiqua"/>
          <w:b/>
          <w:bCs/>
        </w:rPr>
        <w:t>19</w:t>
      </w:r>
      <w:r w:rsidRPr="006A140B">
        <w:rPr>
          <w:rFonts w:ascii="Book Antiqua" w:hAnsi="Book Antiqua"/>
        </w:rPr>
        <w:t>: 365-368 [PMID: 23235917 DOI: 10.1177/1078155212466421]</w:t>
      </w:r>
    </w:p>
    <w:p w14:paraId="3EEF7D3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265 </w:t>
      </w:r>
      <w:r w:rsidRPr="006A140B">
        <w:rPr>
          <w:rFonts w:ascii="Book Antiqua" w:hAnsi="Book Antiqua"/>
          <w:b/>
          <w:bCs/>
        </w:rPr>
        <w:t>Barakat RK</w:t>
      </w:r>
      <w:r w:rsidRPr="006A140B">
        <w:rPr>
          <w:rFonts w:ascii="Book Antiqua" w:hAnsi="Book Antiqua"/>
        </w:rPr>
        <w:t xml:space="preserve">, Singh N, Lal R, Verani RR, Finkel KW, Foringer JR. Interstitial nephritis secondary to bevacizumab treatment in metastatic leiomyosarcoma. </w:t>
      </w:r>
      <w:r w:rsidRPr="006A140B">
        <w:rPr>
          <w:rFonts w:ascii="Book Antiqua" w:hAnsi="Book Antiqua"/>
          <w:i/>
          <w:iCs/>
        </w:rPr>
        <w:t>Ann Pharmacother</w:t>
      </w:r>
      <w:r w:rsidRPr="006A140B">
        <w:rPr>
          <w:rFonts w:ascii="Book Antiqua" w:hAnsi="Book Antiqua"/>
        </w:rPr>
        <w:t xml:space="preserve"> 2007; </w:t>
      </w:r>
      <w:r w:rsidRPr="006A140B">
        <w:rPr>
          <w:rFonts w:ascii="Book Antiqua" w:hAnsi="Book Antiqua"/>
          <w:b/>
          <w:bCs/>
        </w:rPr>
        <w:t>41</w:t>
      </w:r>
      <w:r w:rsidRPr="006A140B">
        <w:rPr>
          <w:rFonts w:ascii="Book Antiqua" w:hAnsi="Book Antiqua"/>
        </w:rPr>
        <w:t>: 707-710 [PMID: 17374619 DOI: 10.1345/aph.1H635]</w:t>
      </w:r>
    </w:p>
    <w:p w14:paraId="04A2F63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266 </w:t>
      </w:r>
      <w:r w:rsidRPr="006A140B">
        <w:rPr>
          <w:rFonts w:ascii="Book Antiqua" w:hAnsi="Book Antiqua"/>
          <w:b/>
          <w:bCs/>
        </w:rPr>
        <w:t>Hanna RM</w:t>
      </w:r>
      <w:r w:rsidRPr="006A140B">
        <w:rPr>
          <w:rFonts w:ascii="Book Antiqua" w:hAnsi="Book Antiqua"/>
        </w:rPr>
        <w:t xml:space="preserve">, Lopez E, Wilson J, Barathan S, Cohen AH. Minimal change disease onset observed after bevacizumab administration. </w:t>
      </w:r>
      <w:r w:rsidRPr="006A140B">
        <w:rPr>
          <w:rFonts w:ascii="Book Antiqua" w:hAnsi="Book Antiqua"/>
          <w:i/>
          <w:iCs/>
        </w:rPr>
        <w:t>Clin Kidney J</w:t>
      </w:r>
      <w:r w:rsidRPr="006A140B">
        <w:rPr>
          <w:rFonts w:ascii="Book Antiqua" w:hAnsi="Book Antiqua"/>
        </w:rPr>
        <w:t xml:space="preserve"> 2016; </w:t>
      </w:r>
      <w:r w:rsidRPr="006A140B">
        <w:rPr>
          <w:rFonts w:ascii="Book Antiqua" w:hAnsi="Book Antiqua"/>
          <w:b/>
          <w:bCs/>
        </w:rPr>
        <w:t>9</w:t>
      </w:r>
      <w:r w:rsidRPr="006A140B">
        <w:rPr>
          <w:rFonts w:ascii="Book Antiqua" w:hAnsi="Book Antiqua"/>
        </w:rPr>
        <w:t>: 239-244 [PMID: 26985375 DOI: 10.1093/ckj/sfv139]</w:t>
      </w:r>
    </w:p>
    <w:p w14:paraId="7ACBF936" w14:textId="049605C8" w:rsidR="00495B7C" w:rsidRPr="006A140B" w:rsidRDefault="00495B7C" w:rsidP="00495B7C">
      <w:pPr>
        <w:spacing w:line="360" w:lineRule="auto"/>
        <w:jc w:val="both"/>
        <w:rPr>
          <w:rFonts w:ascii="Book Antiqua" w:hAnsi="Book Antiqua"/>
        </w:rPr>
      </w:pPr>
      <w:r w:rsidRPr="006A140B">
        <w:rPr>
          <w:rFonts w:ascii="Book Antiqua" w:hAnsi="Book Antiqua"/>
        </w:rPr>
        <w:t xml:space="preserve">267 </w:t>
      </w:r>
      <w:r w:rsidRPr="006A140B">
        <w:rPr>
          <w:rFonts w:ascii="Book Antiqua" w:hAnsi="Book Antiqua"/>
          <w:b/>
          <w:bCs/>
        </w:rPr>
        <w:t>Genentech, Inc.</w:t>
      </w:r>
      <w:r w:rsidRPr="006A140B">
        <w:rPr>
          <w:rFonts w:ascii="Book Antiqua" w:hAnsi="Book Antiqua"/>
        </w:rPr>
        <w:t xml:space="preserve"> AVASTIN (bevacizumab) [package insert]. U.S. Food and Drug Administration website. </w:t>
      </w:r>
      <w:r w:rsidR="00DA4F2A" w:rsidRPr="006A140B">
        <w:rPr>
          <w:rFonts w:ascii="Book Antiqua" w:hAnsi="Book Antiqua"/>
        </w:rPr>
        <w:t xml:space="preserve">[cited 12 March 2021]. </w:t>
      </w:r>
      <w:r w:rsidR="00DA4F2A" w:rsidRPr="006A140B">
        <w:rPr>
          <w:rFonts w:ascii="Book Antiqua" w:eastAsia="宋体" w:hAnsi="Book Antiqua" w:cs="Arial"/>
          <w:bCs/>
        </w:rPr>
        <w:t xml:space="preserve">Available from: </w:t>
      </w:r>
      <w:r w:rsidRPr="006A140B">
        <w:rPr>
          <w:rFonts w:ascii="Book Antiqua" w:hAnsi="Book Antiqua"/>
        </w:rPr>
        <w:t>https://www.accessdata.fda.gov/drugsatfda_docs/label/2020/125085s337lbl.pdf</w:t>
      </w:r>
    </w:p>
    <w:p w14:paraId="7E24820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268 </w:t>
      </w:r>
      <w:r w:rsidRPr="006A140B">
        <w:rPr>
          <w:rFonts w:ascii="Book Antiqua" w:hAnsi="Book Antiqua"/>
          <w:b/>
          <w:bCs/>
        </w:rPr>
        <w:t>Garnier-Viougeat N</w:t>
      </w:r>
      <w:r w:rsidRPr="006A140B">
        <w:rPr>
          <w:rFonts w:ascii="Book Antiqua" w:hAnsi="Book Antiqua"/>
        </w:rPr>
        <w:t xml:space="preserve">, Rixe O, Paintaud G, Ternant D, Degenne D, Mouawad R, Deray G, Izzedine H. Pharmacokinetics of bevacizumab in haemodialysis. </w:t>
      </w:r>
      <w:r w:rsidRPr="006A140B">
        <w:rPr>
          <w:rFonts w:ascii="Book Antiqua" w:hAnsi="Book Antiqua"/>
          <w:i/>
          <w:iCs/>
        </w:rPr>
        <w:t>Nephrol Dial Transplant</w:t>
      </w:r>
      <w:r w:rsidRPr="006A140B">
        <w:rPr>
          <w:rFonts w:ascii="Book Antiqua" w:hAnsi="Book Antiqua"/>
        </w:rPr>
        <w:t xml:space="preserve"> 2007; </w:t>
      </w:r>
      <w:r w:rsidRPr="006A140B">
        <w:rPr>
          <w:rFonts w:ascii="Book Antiqua" w:hAnsi="Book Antiqua"/>
          <w:b/>
          <w:bCs/>
        </w:rPr>
        <w:t>22</w:t>
      </w:r>
      <w:r w:rsidRPr="006A140B">
        <w:rPr>
          <w:rFonts w:ascii="Book Antiqua" w:hAnsi="Book Antiqua"/>
        </w:rPr>
        <w:t>: 975 [PMID: 17093010 DOI: 10.1093/ndt/gfl664]</w:t>
      </w:r>
    </w:p>
    <w:p w14:paraId="599D38A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269 </w:t>
      </w:r>
      <w:r w:rsidRPr="006A140B">
        <w:rPr>
          <w:rFonts w:ascii="Book Antiqua" w:hAnsi="Book Antiqua"/>
          <w:b/>
          <w:bCs/>
        </w:rPr>
        <w:t>Pardoll DM</w:t>
      </w:r>
      <w:r w:rsidRPr="006A140B">
        <w:rPr>
          <w:rFonts w:ascii="Book Antiqua" w:hAnsi="Book Antiqua"/>
        </w:rPr>
        <w:t xml:space="preserve">. The blockade of immune checkpoints in cancer immunotherapy. </w:t>
      </w:r>
      <w:r w:rsidRPr="006A140B">
        <w:rPr>
          <w:rFonts w:ascii="Book Antiqua" w:hAnsi="Book Antiqua"/>
          <w:i/>
          <w:iCs/>
        </w:rPr>
        <w:t>Nat Rev Cancer</w:t>
      </w:r>
      <w:r w:rsidRPr="006A140B">
        <w:rPr>
          <w:rFonts w:ascii="Book Antiqua" w:hAnsi="Book Antiqua"/>
        </w:rPr>
        <w:t xml:space="preserve"> 2012; </w:t>
      </w:r>
      <w:r w:rsidRPr="006A140B">
        <w:rPr>
          <w:rFonts w:ascii="Book Antiqua" w:hAnsi="Book Antiqua"/>
          <w:b/>
          <w:bCs/>
        </w:rPr>
        <w:t>12</w:t>
      </w:r>
      <w:r w:rsidRPr="006A140B">
        <w:rPr>
          <w:rFonts w:ascii="Book Antiqua" w:hAnsi="Book Antiqua"/>
        </w:rPr>
        <w:t>: 252-264 [PMID: 22437870 DOI: 10.1038/nrc3239]</w:t>
      </w:r>
    </w:p>
    <w:p w14:paraId="7F93777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270 </w:t>
      </w:r>
      <w:r w:rsidRPr="006A140B">
        <w:rPr>
          <w:rFonts w:ascii="Book Antiqua" w:hAnsi="Book Antiqua"/>
          <w:b/>
          <w:bCs/>
        </w:rPr>
        <w:t>Kole C</w:t>
      </w:r>
      <w:r w:rsidRPr="006A140B">
        <w:rPr>
          <w:rFonts w:ascii="Book Antiqua" w:hAnsi="Book Antiqua"/>
        </w:rPr>
        <w:t xml:space="preserve">, Charalampakis N, Tsakatikas S, Vailas M, Moris D, Gkotsis E, Kykalos S, Karamouzis MV, Schizas D. Immunotherapy for Hepatocellular Carcinoma: A 2021 Update. </w:t>
      </w:r>
      <w:r w:rsidRPr="006A140B">
        <w:rPr>
          <w:rFonts w:ascii="Book Antiqua" w:hAnsi="Book Antiqua"/>
          <w:i/>
          <w:iCs/>
        </w:rPr>
        <w:t>Cancers (Basel)</w:t>
      </w:r>
      <w:r w:rsidRPr="006A140B">
        <w:rPr>
          <w:rFonts w:ascii="Book Antiqua" w:hAnsi="Book Antiqua"/>
        </w:rPr>
        <w:t xml:space="preserve"> 2020; </w:t>
      </w:r>
      <w:r w:rsidRPr="006A140B">
        <w:rPr>
          <w:rFonts w:ascii="Book Antiqua" w:hAnsi="Book Antiqua"/>
          <w:b/>
          <w:bCs/>
        </w:rPr>
        <w:t>12</w:t>
      </w:r>
      <w:r w:rsidRPr="006A140B">
        <w:rPr>
          <w:rFonts w:ascii="Book Antiqua" w:hAnsi="Book Antiqua"/>
        </w:rPr>
        <w:t xml:space="preserve"> [PMID: 33020428 DOI: 10.3390/cancers12102859]</w:t>
      </w:r>
    </w:p>
    <w:p w14:paraId="575A384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271 </w:t>
      </w:r>
      <w:r w:rsidRPr="006A140B">
        <w:rPr>
          <w:rFonts w:ascii="Book Antiqua" w:hAnsi="Book Antiqua"/>
          <w:b/>
          <w:bCs/>
        </w:rPr>
        <w:t>Rosenberg SA</w:t>
      </w:r>
      <w:r w:rsidRPr="006A140B">
        <w:rPr>
          <w:rFonts w:ascii="Book Antiqua" w:hAnsi="Book Antiqua"/>
        </w:rPr>
        <w:t xml:space="preserve">. Decade in review-cancer immunotherapy: entering the mainstream of cancer treatment. </w:t>
      </w:r>
      <w:r w:rsidRPr="006A140B">
        <w:rPr>
          <w:rFonts w:ascii="Book Antiqua" w:hAnsi="Book Antiqua"/>
          <w:i/>
          <w:iCs/>
        </w:rPr>
        <w:t>Nat Rev Clin Oncol</w:t>
      </w:r>
      <w:r w:rsidRPr="006A140B">
        <w:rPr>
          <w:rFonts w:ascii="Book Antiqua" w:hAnsi="Book Antiqua"/>
        </w:rPr>
        <w:t xml:space="preserve"> 2014; </w:t>
      </w:r>
      <w:r w:rsidRPr="006A140B">
        <w:rPr>
          <w:rFonts w:ascii="Book Antiqua" w:hAnsi="Book Antiqua"/>
          <w:b/>
          <w:bCs/>
        </w:rPr>
        <w:t>11</w:t>
      </w:r>
      <w:r w:rsidRPr="006A140B">
        <w:rPr>
          <w:rFonts w:ascii="Book Antiqua" w:hAnsi="Book Antiqua"/>
        </w:rPr>
        <w:t>: 630-632 [PMID: 25311350 DOI: 10.1038/nrclinonc.2014.174]</w:t>
      </w:r>
    </w:p>
    <w:p w14:paraId="3B2D5940" w14:textId="77777777" w:rsidR="00495B7C" w:rsidRPr="006A140B" w:rsidRDefault="00495B7C" w:rsidP="00495B7C">
      <w:pPr>
        <w:spacing w:line="360" w:lineRule="auto"/>
        <w:jc w:val="both"/>
        <w:rPr>
          <w:rFonts w:ascii="Book Antiqua" w:hAnsi="Book Antiqua"/>
          <w:lang w:val="pt-BR"/>
        </w:rPr>
      </w:pPr>
      <w:r w:rsidRPr="006A140B">
        <w:rPr>
          <w:rFonts w:ascii="Book Antiqua" w:hAnsi="Book Antiqua"/>
        </w:rPr>
        <w:t xml:space="preserve">272 </w:t>
      </w:r>
      <w:r w:rsidRPr="006A140B">
        <w:rPr>
          <w:rFonts w:ascii="Book Antiqua" w:hAnsi="Book Antiqua"/>
          <w:b/>
          <w:bCs/>
        </w:rPr>
        <w:t>Greten TF</w:t>
      </w:r>
      <w:r w:rsidRPr="006A140B">
        <w:rPr>
          <w:rFonts w:ascii="Book Antiqua" w:hAnsi="Book Antiqua"/>
        </w:rPr>
        <w:t xml:space="preserve">, Sangro B. Targets for immunotherapy of liver cancer. </w:t>
      </w:r>
      <w:r w:rsidRPr="006A140B">
        <w:rPr>
          <w:rFonts w:ascii="Book Antiqua" w:hAnsi="Book Antiqua"/>
          <w:i/>
          <w:iCs/>
          <w:lang w:val="pt-BR"/>
        </w:rPr>
        <w:t>J Hepatol</w:t>
      </w:r>
      <w:r w:rsidRPr="006A140B">
        <w:rPr>
          <w:rFonts w:ascii="Book Antiqua" w:hAnsi="Book Antiqua"/>
          <w:lang w:val="pt-BR"/>
        </w:rPr>
        <w:t xml:space="preserve"> 2017 [PMID: 28923358 DOI: 10.1016/j.jhep.2017.09.007]</w:t>
      </w:r>
    </w:p>
    <w:p w14:paraId="55C5D034" w14:textId="77777777" w:rsidR="00495B7C" w:rsidRPr="006A140B" w:rsidRDefault="00495B7C" w:rsidP="00495B7C">
      <w:pPr>
        <w:spacing w:line="360" w:lineRule="auto"/>
        <w:jc w:val="both"/>
        <w:rPr>
          <w:rFonts w:ascii="Book Antiqua" w:hAnsi="Book Antiqua"/>
        </w:rPr>
      </w:pPr>
      <w:r w:rsidRPr="006A140B">
        <w:rPr>
          <w:rFonts w:ascii="Book Antiqua" w:hAnsi="Book Antiqua"/>
          <w:lang w:val="pt-BR"/>
        </w:rPr>
        <w:t xml:space="preserve">273 </w:t>
      </w:r>
      <w:r w:rsidRPr="006A140B">
        <w:rPr>
          <w:rFonts w:ascii="Book Antiqua" w:hAnsi="Book Antiqua"/>
          <w:b/>
          <w:bCs/>
          <w:lang w:val="pt-BR"/>
        </w:rPr>
        <w:t>Cerezo D</w:t>
      </w:r>
      <w:r w:rsidRPr="006A140B">
        <w:rPr>
          <w:rFonts w:ascii="Book Antiqua" w:hAnsi="Book Antiqua"/>
          <w:lang w:val="pt-BR"/>
        </w:rPr>
        <w:t xml:space="preserve">, Peña MJ, Mijares M, Martínez G, Blanca I, De Sanctis JB. </w:t>
      </w:r>
      <w:r w:rsidRPr="006A140B">
        <w:rPr>
          <w:rFonts w:ascii="Book Antiqua" w:hAnsi="Book Antiqua"/>
        </w:rPr>
        <w:t xml:space="preserve">Peptide vaccines for cancer therapy. </w:t>
      </w:r>
      <w:r w:rsidRPr="006A140B">
        <w:rPr>
          <w:rFonts w:ascii="Book Antiqua" w:hAnsi="Book Antiqua"/>
          <w:i/>
          <w:iCs/>
        </w:rPr>
        <w:t>Recent Pat Inflamm Allergy Drug Discov</w:t>
      </w:r>
      <w:r w:rsidRPr="006A140B">
        <w:rPr>
          <w:rFonts w:ascii="Book Antiqua" w:hAnsi="Book Antiqua"/>
        </w:rPr>
        <w:t xml:space="preserve"> 2015; </w:t>
      </w:r>
      <w:r w:rsidRPr="006A140B">
        <w:rPr>
          <w:rFonts w:ascii="Book Antiqua" w:hAnsi="Book Antiqua"/>
          <w:b/>
          <w:bCs/>
        </w:rPr>
        <w:t>9</w:t>
      </w:r>
      <w:r w:rsidRPr="006A140B">
        <w:rPr>
          <w:rFonts w:ascii="Book Antiqua" w:hAnsi="Book Antiqua"/>
        </w:rPr>
        <w:t>: 38-45 [PMID: 25642777 DOI: 10.2174/1872213x09666150131141953]</w:t>
      </w:r>
    </w:p>
    <w:p w14:paraId="20D1409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274 </w:t>
      </w:r>
      <w:r w:rsidRPr="006A140B">
        <w:rPr>
          <w:rFonts w:ascii="Book Antiqua" w:hAnsi="Book Antiqua"/>
          <w:b/>
          <w:bCs/>
        </w:rPr>
        <w:t>Parmiani G</w:t>
      </w:r>
      <w:r w:rsidRPr="006A140B">
        <w:rPr>
          <w:rFonts w:ascii="Book Antiqua" w:hAnsi="Book Antiqua"/>
        </w:rPr>
        <w:t xml:space="preserve">, Russo V, Maccalli C, Parolini D, Rizzo N, Maio M. Peptide-based vaccines for cancer therapy. </w:t>
      </w:r>
      <w:r w:rsidRPr="006A140B">
        <w:rPr>
          <w:rFonts w:ascii="Book Antiqua" w:hAnsi="Book Antiqua"/>
          <w:i/>
          <w:iCs/>
        </w:rPr>
        <w:t>Hum Vaccin Immunother</w:t>
      </w:r>
      <w:r w:rsidRPr="006A140B">
        <w:rPr>
          <w:rFonts w:ascii="Book Antiqua" w:hAnsi="Book Antiqua"/>
        </w:rPr>
        <w:t xml:space="preserve"> 2014; </w:t>
      </w:r>
      <w:r w:rsidRPr="006A140B">
        <w:rPr>
          <w:rFonts w:ascii="Book Antiqua" w:hAnsi="Book Antiqua"/>
          <w:b/>
          <w:bCs/>
        </w:rPr>
        <w:t>10</w:t>
      </w:r>
      <w:r w:rsidRPr="006A140B">
        <w:rPr>
          <w:rFonts w:ascii="Book Antiqua" w:hAnsi="Book Antiqua"/>
        </w:rPr>
        <w:t>: 3175-3178 [PMID: 25483658 DOI: 10.4161/hv.29418]</w:t>
      </w:r>
    </w:p>
    <w:p w14:paraId="16A6E72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275 </w:t>
      </w:r>
      <w:r w:rsidRPr="006A140B">
        <w:rPr>
          <w:rFonts w:ascii="Book Antiqua" w:hAnsi="Book Antiqua"/>
          <w:b/>
          <w:bCs/>
        </w:rPr>
        <w:t>Akce M</w:t>
      </w:r>
      <w:r w:rsidRPr="006A140B">
        <w:rPr>
          <w:rFonts w:ascii="Book Antiqua" w:hAnsi="Book Antiqua"/>
        </w:rPr>
        <w:t xml:space="preserve">, Zaidi MY, Waller EK, El-Rayes BF, Lesinski GB. The Potential of CAR T Cell Therapy in Pancreatic Cancer. </w:t>
      </w:r>
      <w:r w:rsidRPr="006A140B">
        <w:rPr>
          <w:rFonts w:ascii="Book Antiqua" w:hAnsi="Book Antiqua"/>
          <w:i/>
          <w:iCs/>
        </w:rPr>
        <w:t>Front Immunol</w:t>
      </w:r>
      <w:r w:rsidRPr="006A140B">
        <w:rPr>
          <w:rFonts w:ascii="Book Antiqua" w:hAnsi="Book Antiqua"/>
        </w:rPr>
        <w:t xml:space="preserve"> 2018; </w:t>
      </w:r>
      <w:r w:rsidRPr="006A140B">
        <w:rPr>
          <w:rFonts w:ascii="Book Antiqua" w:hAnsi="Book Antiqua"/>
          <w:b/>
          <w:bCs/>
        </w:rPr>
        <w:t>9</w:t>
      </w:r>
      <w:r w:rsidRPr="006A140B">
        <w:rPr>
          <w:rFonts w:ascii="Book Antiqua" w:hAnsi="Book Antiqua"/>
        </w:rPr>
        <w:t>: 2166 [PMID: 30319627 DOI: 10.3389/fimmu.2018.02166]</w:t>
      </w:r>
    </w:p>
    <w:p w14:paraId="1BFF5D6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276 </w:t>
      </w:r>
      <w:r w:rsidRPr="006A140B">
        <w:rPr>
          <w:rFonts w:ascii="Book Antiqua" w:hAnsi="Book Antiqua"/>
          <w:b/>
          <w:bCs/>
        </w:rPr>
        <w:t>Hoffman-Censits J</w:t>
      </w:r>
      <w:r w:rsidRPr="006A140B">
        <w:rPr>
          <w:rFonts w:ascii="Book Antiqua" w:hAnsi="Book Antiqua"/>
        </w:rPr>
        <w:t xml:space="preserve">, Pal S, Kaiser C, Ding B, Bellmunt J. Atezolizumab in patients with renal insufficiency and mixed variant histology: analyses from an expanded access program in platinum-treated locally advanced or metastatic urothelial carcinoma. </w:t>
      </w:r>
      <w:r w:rsidRPr="006A140B">
        <w:rPr>
          <w:rFonts w:ascii="Book Antiqua" w:hAnsi="Book Antiqua"/>
          <w:i/>
          <w:iCs/>
        </w:rPr>
        <w:t>J Immunother Cancer</w:t>
      </w:r>
      <w:r w:rsidRPr="006A140B">
        <w:rPr>
          <w:rFonts w:ascii="Book Antiqua" w:hAnsi="Book Antiqua"/>
        </w:rPr>
        <w:t xml:space="preserve"> 2020; </w:t>
      </w:r>
      <w:r w:rsidRPr="006A140B">
        <w:rPr>
          <w:rFonts w:ascii="Book Antiqua" w:hAnsi="Book Antiqua"/>
          <w:b/>
          <w:bCs/>
        </w:rPr>
        <w:t>8</w:t>
      </w:r>
      <w:r w:rsidRPr="006A140B">
        <w:rPr>
          <w:rFonts w:ascii="Book Antiqua" w:hAnsi="Book Antiqua"/>
        </w:rPr>
        <w:t xml:space="preserve"> [PMID: 32641319 DOI: 10.1136/jitc-2019-000419]</w:t>
      </w:r>
    </w:p>
    <w:p w14:paraId="2EAFDB4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277 </w:t>
      </w:r>
      <w:r w:rsidRPr="006A140B">
        <w:rPr>
          <w:rFonts w:ascii="Book Antiqua" w:hAnsi="Book Antiqua"/>
          <w:b/>
          <w:bCs/>
        </w:rPr>
        <w:t>Parisi A</w:t>
      </w:r>
      <w:r w:rsidRPr="006A140B">
        <w:rPr>
          <w:rFonts w:ascii="Book Antiqua" w:hAnsi="Book Antiqua"/>
        </w:rPr>
        <w:t xml:space="preserve">, Cortellini A, Cannita K, Bersanelli M, Ficorella C. Safe Administration of anti-PD-L1 Atezolizumab in a Patient with Metastatic Urothelial Cell Carcinoma and End-Stage Renal Disease on Dialysis. </w:t>
      </w:r>
      <w:r w:rsidRPr="006A140B">
        <w:rPr>
          <w:rFonts w:ascii="Book Antiqua" w:hAnsi="Book Antiqua"/>
          <w:i/>
          <w:iCs/>
        </w:rPr>
        <w:t>Case Rep Oncol Med</w:t>
      </w:r>
      <w:r w:rsidRPr="006A140B">
        <w:rPr>
          <w:rFonts w:ascii="Book Antiqua" w:hAnsi="Book Antiqua"/>
        </w:rPr>
        <w:t xml:space="preserve"> 2019; </w:t>
      </w:r>
      <w:r w:rsidRPr="006A140B">
        <w:rPr>
          <w:rFonts w:ascii="Book Antiqua" w:hAnsi="Book Antiqua"/>
          <w:b/>
          <w:bCs/>
        </w:rPr>
        <w:t>2019</w:t>
      </w:r>
      <w:r w:rsidRPr="006A140B">
        <w:rPr>
          <w:rFonts w:ascii="Book Antiqua" w:hAnsi="Book Antiqua"/>
        </w:rPr>
        <w:t>: 3452762 [PMID: 30881713 DOI: 10.1155/2019/3452762]</w:t>
      </w:r>
    </w:p>
    <w:p w14:paraId="2B7C84A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278 </w:t>
      </w:r>
      <w:r w:rsidRPr="006A140B">
        <w:rPr>
          <w:rFonts w:ascii="Book Antiqua" w:hAnsi="Book Antiqua"/>
          <w:b/>
          <w:bCs/>
        </w:rPr>
        <w:t>McDermott DF</w:t>
      </w:r>
      <w:r w:rsidRPr="006A140B">
        <w:rPr>
          <w:rFonts w:ascii="Book Antiqua" w:hAnsi="Book Antiqua"/>
        </w:rPr>
        <w:t xml:space="preserve">, Huseni MA, Atkins MB, Motzer RJ, Rini BI, Escudier B, Fong L, Joseph RW, Pal SK, Reeves JA, Sznol M, Hainsworth J, Rathmell WK, Stadler WM, Hutson T, Gore ME, Ravaud A, Bracarda S, Suárez C, Danielli R, Gruenwald V, Choueiri TK, Nickles D, Jhunjhunwala S, Piault-Louis E, Thobhani A, Qiu J, Chen DS, Hegde PS, Schiff C, Fine GD, Powles T. Clinical activity and molecular correlates of response to atezolizumab alone or in combination with bevacizumab versus sunitinib in renal cell carcinoma. </w:t>
      </w:r>
      <w:r w:rsidRPr="006A140B">
        <w:rPr>
          <w:rFonts w:ascii="Book Antiqua" w:hAnsi="Book Antiqua"/>
          <w:i/>
          <w:iCs/>
        </w:rPr>
        <w:t>Nat Med</w:t>
      </w:r>
      <w:r w:rsidRPr="006A140B">
        <w:rPr>
          <w:rFonts w:ascii="Book Antiqua" w:hAnsi="Book Antiqua"/>
        </w:rPr>
        <w:t xml:space="preserve"> 2018; </w:t>
      </w:r>
      <w:r w:rsidRPr="006A140B">
        <w:rPr>
          <w:rFonts w:ascii="Book Antiqua" w:hAnsi="Book Antiqua"/>
          <w:b/>
          <w:bCs/>
        </w:rPr>
        <w:t>24</w:t>
      </w:r>
      <w:r w:rsidRPr="006A140B">
        <w:rPr>
          <w:rFonts w:ascii="Book Antiqua" w:hAnsi="Book Antiqua"/>
        </w:rPr>
        <w:t>: 749-757 [PMID: 29867230 DOI: 10.1038/s41591-018-0053-3]</w:t>
      </w:r>
    </w:p>
    <w:p w14:paraId="62FA655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279 </w:t>
      </w:r>
      <w:r w:rsidRPr="006A140B">
        <w:rPr>
          <w:rFonts w:ascii="Book Antiqua" w:hAnsi="Book Antiqua"/>
          <w:b/>
          <w:bCs/>
        </w:rPr>
        <w:t>McDermott DF</w:t>
      </w:r>
      <w:r w:rsidRPr="006A140B">
        <w:rPr>
          <w:rFonts w:ascii="Book Antiqua" w:hAnsi="Book Antiqua"/>
        </w:rPr>
        <w:t xml:space="preserve">, Sosman JA, Sznol M, Massard C, Gordon MS, Hamid O, Powderly JD, Infante JR, Fassò M, Wang YV, Zou W, Hegde PS, Fine GD, Powles T. Atezolizumab, an Anti-Programmed Death-Ligand 1 Antibody, in Metastatic Renal Cell Carcinoma: Long-Term Safety, Clinical Activity, and Immune Correlates From a Phase Ia Study. </w:t>
      </w:r>
      <w:r w:rsidRPr="006A140B">
        <w:rPr>
          <w:rFonts w:ascii="Book Antiqua" w:hAnsi="Book Antiqua"/>
          <w:i/>
          <w:iCs/>
        </w:rPr>
        <w:t>J Clin Oncol</w:t>
      </w:r>
      <w:r w:rsidRPr="006A140B">
        <w:rPr>
          <w:rFonts w:ascii="Book Antiqua" w:hAnsi="Book Antiqua"/>
        </w:rPr>
        <w:t xml:space="preserve"> 2016; </w:t>
      </w:r>
      <w:r w:rsidRPr="006A140B">
        <w:rPr>
          <w:rFonts w:ascii="Book Antiqua" w:hAnsi="Book Antiqua"/>
          <w:b/>
          <w:bCs/>
        </w:rPr>
        <w:t>34</w:t>
      </w:r>
      <w:r w:rsidRPr="006A140B">
        <w:rPr>
          <w:rFonts w:ascii="Book Antiqua" w:hAnsi="Book Antiqua"/>
        </w:rPr>
        <w:t>: 833-842 [PMID: 26755520 DOI: 10.1200/JCO.2015.63.7421]</w:t>
      </w:r>
    </w:p>
    <w:p w14:paraId="3B0EB6EA" w14:textId="06FF9BB1" w:rsidR="00495B7C" w:rsidRPr="006A140B" w:rsidRDefault="00495B7C" w:rsidP="00495B7C">
      <w:pPr>
        <w:spacing w:line="360" w:lineRule="auto"/>
        <w:jc w:val="both"/>
        <w:rPr>
          <w:rFonts w:ascii="Book Antiqua" w:hAnsi="Book Antiqua"/>
        </w:rPr>
      </w:pPr>
      <w:r w:rsidRPr="006A140B">
        <w:rPr>
          <w:rFonts w:ascii="Book Antiqua" w:hAnsi="Book Antiqua"/>
        </w:rPr>
        <w:t xml:space="preserve">280 </w:t>
      </w:r>
      <w:r w:rsidRPr="006A140B">
        <w:rPr>
          <w:rFonts w:ascii="Book Antiqua" w:hAnsi="Book Antiqua"/>
          <w:b/>
          <w:bCs/>
        </w:rPr>
        <w:t>Genentech,</w:t>
      </w:r>
      <w:r w:rsidRPr="006A140B">
        <w:rPr>
          <w:rFonts w:ascii="Book Antiqua" w:hAnsi="Book Antiqua"/>
        </w:rPr>
        <w:t xml:space="preserve"> </w:t>
      </w:r>
      <w:r w:rsidRPr="006A140B">
        <w:rPr>
          <w:rFonts w:ascii="Book Antiqua" w:hAnsi="Book Antiqua"/>
          <w:b/>
          <w:bCs/>
        </w:rPr>
        <w:t xml:space="preserve">Inc. </w:t>
      </w:r>
      <w:r w:rsidRPr="006A140B">
        <w:rPr>
          <w:rFonts w:ascii="Book Antiqua" w:hAnsi="Book Antiqua"/>
        </w:rPr>
        <w:t xml:space="preserve">TECENTRIQ (atezolizumab) [package insert]. U.S. Food and Drug Administration website. </w:t>
      </w:r>
      <w:r w:rsidR="00A24665" w:rsidRPr="006A140B">
        <w:rPr>
          <w:rFonts w:ascii="Book Antiqua" w:hAnsi="Book Antiqua"/>
        </w:rPr>
        <w:t xml:space="preserve">[cited 12 March 2021]. </w:t>
      </w:r>
      <w:r w:rsidR="00A24665" w:rsidRPr="006A140B">
        <w:rPr>
          <w:rFonts w:ascii="Book Antiqua" w:eastAsia="宋体" w:hAnsi="Book Antiqua" w:cs="Arial"/>
          <w:bCs/>
        </w:rPr>
        <w:t xml:space="preserve">Available from: </w:t>
      </w:r>
      <w:r w:rsidRPr="006A140B">
        <w:rPr>
          <w:rFonts w:ascii="Book Antiqua" w:hAnsi="Book Antiqua"/>
        </w:rPr>
        <w:t xml:space="preserve">https://www.accessdata.fda.gov/drugsatfda_docs/label/2020/761034s020lbl.pdf </w:t>
      </w:r>
    </w:p>
    <w:p w14:paraId="3E8BEF9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281 </w:t>
      </w:r>
      <w:r w:rsidRPr="006A140B">
        <w:rPr>
          <w:rFonts w:ascii="Book Antiqua" w:hAnsi="Book Antiqua"/>
          <w:b/>
          <w:bCs/>
        </w:rPr>
        <w:t>Zhu AX</w:t>
      </w:r>
      <w:r w:rsidRPr="006A140B">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6A140B">
        <w:rPr>
          <w:rFonts w:ascii="Book Antiqua" w:hAnsi="Book Antiqua"/>
          <w:i/>
          <w:iCs/>
        </w:rPr>
        <w:t>Lancet Oncol</w:t>
      </w:r>
      <w:r w:rsidRPr="006A140B">
        <w:rPr>
          <w:rFonts w:ascii="Book Antiqua" w:hAnsi="Book Antiqua"/>
        </w:rPr>
        <w:t xml:space="preserve"> 2018; </w:t>
      </w:r>
      <w:r w:rsidRPr="006A140B">
        <w:rPr>
          <w:rFonts w:ascii="Book Antiqua" w:hAnsi="Book Antiqua"/>
          <w:b/>
          <w:bCs/>
        </w:rPr>
        <w:t>19</w:t>
      </w:r>
      <w:r w:rsidRPr="006A140B">
        <w:rPr>
          <w:rFonts w:ascii="Book Antiqua" w:hAnsi="Book Antiqua"/>
        </w:rPr>
        <w:t>: 940-952 [PMID: 29875066 DOI: 10.1016/S1470-2045(18)30351-6]</w:t>
      </w:r>
    </w:p>
    <w:p w14:paraId="19738A1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282 </w:t>
      </w:r>
      <w:r w:rsidRPr="006A140B">
        <w:rPr>
          <w:rFonts w:ascii="Book Antiqua" w:hAnsi="Book Antiqua"/>
          <w:b/>
          <w:bCs/>
        </w:rPr>
        <w:t>Finn RS</w:t>
      </w:r>
      <w:r w:rsidRPr="006A140B">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6A140B">
        <w:rPr>
          <w:rFonts w:ascii="Book Antiqua" w:hAnsi="Book Antiqua"/>
          <w:i/>
          <w:iCs/>
        </w:rPr>
        <w:t>J Clin Oncol</w:t>
      </w:r>
      <w:r w:rsidRPr="006A140B">
        <w:rPr>
          <w:rFonts w:ascii="Book Antiqua" w:hAnsi="Book Antiqua"/>
        </w:rPr>
        <w:t xml:space="preserve"> 2020; </w:t>
      </w:r>
      <w:r w:rsidRPr="006A140B">
        <w:rPr>
          <w:rFonts w:ascii="Book Antiqua" w:hAnsi="Book Antiqua"/>
          <w:b/>
          <w:bCs/>
        </w:rPr>
        <w:t>38</w:t>
      </w:r>
      <w:r w:rsidRPr="006A140B">
        <w:rPr>
          <w:rFonts w:ascii="Book Antiqua" w:hAnsi="Book Antiqua"/>
        </w:rPr>
        <w:t>: 193-202 [PMID: 31790344 DOI: 10.1200/JCO.19.01307]</w:t>
      </w:r>
    </w:p>
    <w:p w14:paraId="00854F1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283 </w:t>
      </w:r>
      <w:r w:rsidRPr="006A140B">
        <w:rPr>
          <w:rFonts w:ascii="Book Antiqua" w:hAnsi="Book Antiqua"/>
          <w:b/>
          <w:bCs/>
        </w:rPr>
        <w:t>Izzedine H</w:t>
      </w:r>
      <w:r w:rsidRPr="006A140B">
        <w:rPr>
          <w:rFonts w:ascii="Book Antiqua" w:hAnsi="Book Antiqua"/>
        </w:rPr>
        <w:t xml:space="preserve">, Mathian A, Champiat S, Picard C, Mateus C, Routier E, Varga A, Malka D, Leary A, Michels J, Michot JM, Marabelle A, Lambotte O, Amoura Z, Soria JC, Kaaki S, Quellard N, Goujon JM, Brocheriou I. Renal toxicities associated with pembrolizumab. </w:t>
      </w:r>
      <w:r w:rsidRPr="006A140B">
        <w:rPr>
          <w:rFonts w:ascii="Book Antiqua" w:hAnsi="Book Antiqua"/>
          <w:i/>
          <w:iCs/>
        </w:rPr>
        <w:t>Clin Kidney J</w:t>
      </w:r>
      <w:r w:rsidRPr="006A140B">
        <w:rPr>
          <w:rFonts w:ascii="Book Antiqua" w:hAnsi="Book Antiqua"/>
        </w:rPr>
        <w:t xml:space="preserve"> 2019; </w:t>
      </w:r>
      <w:r w:rsidRPr="006A140B">
        <w:rPr>
          <w:rFonts w:ascii="Book Antiqua" w:hAnsi="Book Antiqua"/>
          <w:b/>
          <w:bCs/>
        </w:rPr>
        <w:t>12</w:t>
      </w:r>
      <w:r w:rsidRPr="006A140B">
        <w:rPr>
          <w:rFonts w:ascii="Book Antiqua" w:hAnsi="Book Antiqua"/>
        </w:rPr>
        <w:t>: 81-88 [PMID: 30746132 DOI: 10.1093/ckj/sfy100]</w:t>
      </w:r>
    </w:p>
    <w:p w14:paraId="15385B8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284 </w:t>
      </w:r>
      <w:r w:rsidRPr="006A140B">
        <w:rPr>
          <w:rFonts w:ascii="Book Antiqua" w:hAnsi="Book Antiqua"/>
          <w:b/>
          <w:bCs/>
        </w:rPr>
        <w:t>Wanchoo R</w:t>
      </w:r>
      <w:r w:rsidRPr="006A140B">
        <w:rPr>
          <w:rFonts w:ascii="Book Antiqua" w:hAnsi="Book Antiqua"/>
        </w:rPr>
        <w:t xml:space="preserve">, Karam S, Uppal NN, Barta VS, Deray G, Devoe C, Launay-Vacher V, Jhaveri KD; Cancer and Kidney International Network Workgroup on Immune Checkpoint Inhibitors. Adverse Renal Effects of Immune Checkpoint Inhibitors: A Narrative Review. </w:t>
      </w:r>
      <w:r w:rsidRPr="006A140B">
        <w:rPr>
          <w:rFonts w:ascii="Book Antiqua" w:hAnsi="Book Antiqua"/>
          <w:i/>
          <w:iCs/>
        </w:rPr>
        <w:t>Am J Nephrol</w:t>
      </w:r>
      <w:r w:rsidRPr="006A140B">
        <w:rPr>
          <w:rFonts w:ascii="Book Antiqua" w:hAnsi="Book Antiqua"/>
        </w:rPr>
        <w:t xml:space="preserve"> 2017; </w:t>
      </w:r>
      <w:r w:rsidRPr="006A140B">
        <w:rPr>
          <w:rFonts w:ascii="Book Antiqua" w:hAnsi="Book Antiqua"/>
          <w:b/>
          <w:bCs/>
        </w:rPr>
        <w:t>45</w:t>
      </w:r>
      <w:r w:rsidRPr="006A140B">
        <w:rPr>
          <w:rFonts w:ascii="Book Antiqua" w:hAnsi="Book Antiqua"/>
        </w:rPr>
        <w:t>: 160-169 [PMID: 28076863 DOI: 10.1159/000455014]</w:t>
      </w:r>
    </w:p>
    <w:p w14:paraId="2E1B538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285 </w:t>
      </w:r>
      <w:r w:rsidRPr="006A140B">
        <w:rPr>
          <w:rFonts w:ascii="Book Antiqua" w:hAnsi="Book Antiqua"/>
          <w:b/>
          <w:bCs/>
        </w:rPr>
        <w:t>Mamlouk O</w:t>
      </w:r>
      <w:r w:rsidRPr="006A140B">
        <w:rPr>
          <w:rFonts w:ascii="Book Antiqua" w:hAnsi="Book Antiqua"/>
        </w:rPr>
        <w:t xml:space="preserve">, Selamet U, Machado S, Abdelrahim M, Glass WF, Tchakarov A, Gaber L, Lahoti A, Workeneh B, Chen S, Lin J, Abdel-Wahab N, Tayar J, Lu H, Suarez-Almazor M, Tannir N, Yee C, Diab A, Abudayyeh A. Nephrotoxicity of immune checkpoint inhibitors beyond tubulointerstitial nephritis: single-center experience. </w:t>
      </w:r>
      <w:r w:rsidRPr="006A140B">
        <w:rPr>
          <w:rFonts w:ascii="Book Antiqua" w:hAnsi="Book Antiqua"/>
          <w:i/>
          <w:iCs/>
        </w:rPr>
        <w:t>J Immunother Cancer</w:t>
      </w:r>
      <w:r w:rsidRPr="006A140B">
        <w:rPr>
          <w:rFonts w:ascii="Book Antiqua" w:hAnsi="Book Antiqua"/>
        </w:rPr>
        <w:t xml:space="preserve"> 2019; </w:t>
      </w:r>
      <w:r w:rsidRPr="006A140B">
        <w:rPr>
          <w:rFonts w:ascii="Book Antiqua" w:hAnsi="Book Antiqua"/>
          <w:b/>
          <w:bCs/>
        </w:rPr>
        <w:t>7</w:t>
      </w:r>
      <w:r w:rsidRPr="006A140B">
        <w:rPr>
          <w:rFonts w:ascii="Book Antiqua" w:hAnsi="Book Antiqua"/>
        </w:rPr>
        <w:t>: 2 [PMID: 30612580 DOI: 10.1186/s40425-018-0478-8]</w:t>
      </w:r>
    </w:p>
    <w:p w14:paraId="695F79EE" w14:textId="594E6367" w:rsidR="00495B7C" w:rsidRPr="006A140B" w:rsidRDefault="00495B7C" w:rsidP="00495B7C">
      <w:pPr>
        <w:spacing w:line="360" w:lineRule="auto"/>
        <w:jc w:val="both"/>
        <w:rPr>
          <w:rFonts w:ascii="Book Antiqua" w:hAnsi="Book Antiqua"/>
        </w:rPr>
      </w:pPr>
      <w:r w:rsidRPr="006A140B">
        <w:rPr>
          <w:rFonts w:ascii="Book Antiqua" w:hAnsi="Book Antiqua"/>
        </w:rPr>
        <w:t xml:space="preserve">286 </w:t>
      </w:r>
      <w:r w:rsidRPr="006A140B">
        <w:rPr>
          <w:rFonts w:ascii="Book Antiqua" w:hAnsi="Book Antiqua"/>
          <w:b/>
          <w:bCs/>
        </w:rPr>
        <w:t xml:space="preserve">Merck Sharp &amp; Dohme Corp. </w:t>
      </w:r>
      <w:r w:rsidRPr="006A140B">
        <w:rPr>
          <w:rFonts w:ascii="Book Antiqua" w:hAnsi="Book Antiqua"/>
        </w:rPr>
        <w:t xml:space="preserve">KEYTRUDA (pembrolizumab) [package insert]. U.S. Food and Drug Administration website. </w:t>
      </w:r>
      <w:r w:rsidR="00A24665" w:rsidRPr="006A140B">
        <w:rPr>
          <w:rFonts w:ascii="Book Antiqua" w:hAnsi="Book Antiqua"/>
        </w:rPr>
        <w:t xml:space="preserve">[cited 12 March 2021]. </w:t>
      </w:r>
      <w:r w:rsidR="00A24665" w:rsidRPr="006A140B">
        <w:rPr>
          <w:rFonts w:ascii="Book Antiqua" w:eastAsia="宋体" w:hAnsi="Book Antiqua" w:cs="Arial"/>
          <w:bCs/>
        </w:rPr>
        <w:t xml:space="preserve">Available from: </w:t>
      </w:r>
      <w:r w:rsidRPr="006A140B">
        <w:rPr>
          <w:rFonts w:ascii="Book Antiqua" w:hAnsi="Book Antiqua"/>
        </w:rPr>
        <w:t>https://www.accessdata.fda.gov/drugsatfda_docs/label/2020/125514s088lbl.pdf</w:t>
      </w:r>
    </w:p>
    <w:p w14:paraId="0ED57D8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287 </w:t>
      </w:r>
      <w:r w:rsidRPr="006A140B">
        <w:rPr>
          <w:rFonts w:ascii="Book Antiqua" w:hAnsi="Book Antiqua"/>
          <w:b/>
          <w:bCs/>
        </w:rPr>
        <w:t>El-Khoueiry AB</w:t>
      </w:r>
      <w:r w:rsidRPr="006A140B">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6A140B">
        <w:rPr>
          <w:rFonts w:ascii="Book Antiqua" w:hAnsi="Book Antiqua"/>
          <w:i/>
          <w:iCs/>
        </w:rPr>
        <w:t>Lancet</w:t>
      </w:r>
      <w:r w:rsidRPr="006A140B">
        <w:rPr>
          <w:rFonts w:ascii="Book Antiqua" w:hAnsi="Book Antiqua"/>
        </w:rPr>
        <w:t xml:space="preserve"> 2017; </w:t>
      </w:r>
      <w:r w:rsidRPr="006A140B">
        <w:rPr>
          <w:rFonts w:ascii="Book Antiqua" w:hAnsi="Book Antiqua"/>
          <w:b/>
          <w:bCs/>
        </w:rPr>
        <w:t>389</w:t>
      </w:r>
      <w:r w:rsidRPr="006A140B">
        <w:rPr>
          <w:rFonts w:ascii="Book Antiqua" w:hAnsi="Book Antiqua"/>
        </w:rPr>
        <w:t>: 2492-2502 [PMID: 28434648 DOI: 10.1016/S0140-6736(17)31046-2]</w:t>
      </w:r>
    </w:p>
    <w:p w14:paraId="2F3DB94D" w14:textId="132D563D" w:rsidR="00495B7C" w:rsidRPr="006A140B" w:rsidRDefault="00495B7C" w:rsidP="00495B7C">
      <w:pPr>
        <w:spacing w:line="360" w:lineRule="auto"/>
        <w:jc w:val="both"/>
        <w:rPr>
          <w:rFonts w:ascii="Book Antiqua" w:hAnsi="Book Antiqua"/>
        </w:rPr>
      </w:pPr>
      <w:r w:rsidRPr="006A140B">
        <w:rPr>
          <w:rFonts w:ascii="Book Antiqua" w:hAnsi="Book Antiqua"/>
        </w:rPr>
        <w:t xml:space="preserve">288 </w:t>
      </w:r>
      <w:r w:rsidRPr="006A140B">
        <w:rPr>
          <w:rFonts w:ascii="Book Antiqua" w:hAnsi="Book Antiqua"/>
          <w:b/>
          <w:bCs/>
        </w:rPr>
        <w:t>Sangro B,</w:t>
      </w:r>
      <w:r w:rsidRPr="006A140B">
        <w:rPr>
          <w:rFonts w:ascii="Book Antiqua" w:hAnsi="Book Antiqua"/>
        </w:rPr>
        <w:t xml:space="preserve"> Park J-W, Cruz CMD, Anderson J, Lang L, Neely J, Shaw JW, Cheng AL. A randomized, multicenter, phase 3 study of nivolumab vs sorafenib as first-line treatment in patients (pts) with advanced hepatocellular carcinoma (HCC): CheckMate-459.</w:t>
      </w:r>
      <w:r w:rsidR="00DF27D2" w:rsidRPr="006A140B">
        <w:rPr>
          <w:rFonts w:ascii="Book Antiqua" w:hAnsi="Book Antiqua"/>
        </w:rPr>
        <w:t xml:space="preserve"> </w:t>
      </w:r>
      <w:r w:rsidR="00DF27D2" w:rsidRPr="006A140B">
        <w:rPr>
          <w:rFonts w:ascii="Book Antiqua" w:hAnsi="Book Antiqua"/>
          <w:i/>
          <w:iCs/>
        </w:rPr>
        <w:t>J Clin Oncol</w:t>
      </w:r>
      <w:r w:rsidRPr="006A140B">
        <w:rPr>
          <w:rFonts w:ascii="Book Antiqua" w:hAnsi="Book Antiqua"/>
        </w:rPr>
        <w:t xml:space="preserve"> 2016; </w:t>
      </w:r>
      <w:r w:rsidRPr="006A140B">
        <w:rPr>
          <w:rFonts w:ascii="Book Antiqua" w:hAnsi="Book Antiqua"/>
          <w:b/>
          <w:bCs/>
        </w:rPr>
        <w:t>34</w:t>
      </w:r>
      <w:r w:rsidRPr="006A140B">
        <w:rPr>
          <w:rFonts w:ascii="Book Antiqua" w:hAnsi="Book Antiqua"/>
        </w:rPr>
        <w:t>: TPS4147-TPS4147 [DOI: 10.1200/JCO.2016.34.15_suppl.TPS4147]</w:t>
      </w:r>
    </w:p>
    <w:p w14:paraId="6DFA923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289 </w:t>
      </w:r>
      <w:r w:rsidRPr="006A140B">
        <w:rPr>
          <w:rFonts w:ascii="Book Antiqua" w:hAnsi="Book Antiqua"/>
          <w:b/>
          <w:bCs/>
        </w:rPr>
        <w:t>Jung K</w:t>
      </w:r>
      <w:r w:rsidRPr="006A140B">
        <w:rPr>
          <w:rFonts w:ascii="Book Antiqua" w:hAnsi="Book Antiqua"/>
        </w:rPr>
        <w:t xml:space="preserve">, Zeng X, Bilusic M. Nivolumab-associated acute glomerulonephritis: a case report and literature review. </w:t>
      </w:r>
      <w:r w:rsidRPr="006A140B">
        <w:rPr>
          <w:rFonts w:ascii="Book Antiqua" w:hAnsi="Book Antiqua"/>
          <w:i/>
          <w:iCs/>
        </w:rPr>
        <w:t>BMC Nephrol</w:t>
      </w:r>
      <w:r w:rsidRPr="006A140B">
        <w:rPr>
          <w:rFonts w:ascii="Book Antiqua" w:hAnsi="Book Antiqua"/>
        </w:rPr>
        <w:t xml:space="preserve"> 2016; </w:t>
      </w:r>
      <w:r w:rsidRPr="006A140B">
        <w:rPr>
          <w:rFonts w:ascii="Book Antiqua" w:hAnsi="Book Antiqua"/>
          <w:b/>
          <w:bCs/>
        </w:rPr>
        <w:t>17</w:t>
      </w:r>
      <w:r w:rsidRPr="006A140B">
        <w:rPr>
          <w:rFonts w:ascii="Book Antiqua" w:hAnsi="Book Antiqua"/>
        </w:rPr>
        <w:t>: 188 [PMID: 27876011 DOI: 10.1186/s12882-016-0408-2]</w:t>
      </w:r>
    </w:p>
    <w:p w14:paraId="40C8409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290 </w:t>
      </w:r>
      <w:r w:rsidRPr="006A140B">
        <w:rPr>
          <w:rFonts w:ascii="Book Antiqua" w:hAnsi="Book Antiqua"/>
          <w:b/>
          <w:bCs/>
        </w:rPr>
        <w:t>Uchida N</w:t>
      </w:r>
      <w:r w:rsidRPr="006A140B">
        <w:rPr>
          <w:rFonts w:ascii="Book Antiqua" w:hAnsi="Book Antiqua"/>
        </w:rPr>
        <w:t xml:space="preserve">, Tsuji S, Fujita K, Koizumi M, Moriyoshi K, Mio T. Nivolumab-induced severe acute kidney injury with a long latent phase in a patient with non-small-cell lung cancer: A case report. </w:t>
      </w:r>
      <w:r w:rsidRPr="006A140B">
        <w:rPr>
          <w:rFonts w:ascii="Book Antiqua" w:hAnsi="Book Antiqua"/>
          <w:i/>
          <w:iCs/>
        </w:rPr>
        <w:t>Clin Case Rep</w:t>
      </w:r>
      <w:r w:rsidRPr="006A140B">
        <w:rPr>
          <w:rFonts w:ascii="Book Antiqua" w:hAnsi="Book Antiqua"/>
        </w:rPr>
        <w:t xml:space="preserve"> 2018; </w:t>
      </w:r>
      <w:r w:rsidRPr="006A140B">
        <w:rPr>
          <w:rFonts w:ascii="Book Antiqua" w:hAnsi="Book Antiqua"/>
          <w:b/>
          <w:bCs/>
        </w:rPr>
        <w:t>6</w:t>
      </w:r>
      <w:r w:rsidRPr="006A140B">
        <w:rPr>
          <w:rFonts w:ascii="Book Antiqua" w:hAnsi="Book Antiqua"/>
        </w:rPr>
        <w:t>: 2185-2188 [PMID: 30455917 DOI: 10.1002/ccr3.1848]</w:t>
      </w:r>
    </w:p>
    <w:p w14:paraId="5D63B1F5" w14:textId="6809E609" w:rsidR="00495B7C" w:rsidRPr="006A140B" w:rsidRDefault="00495B7C" w:rsidP="00495B7C">
      <w:pPr>
        <w:spacing w:line="360" w:lineRule="auto"/>
        <w:jc w:val="both"/>
        <w:rPr>
          <w:rFonts w:ascii="Book Antiqua" w:hAnsi="Book Antiqua"/>
        </w:rPr>
      </w:pPr>
      <w:r w:rsidRPr="006A140B">
        <w:rPr>
          <w:rFonts w:ascii="Book Antiqua" w:hAnsi="Book Antiqua"/>
        </w:rPr>
        <w:t xml:space="preserve">291 </w:t>
      </w:r>
      <w:r w:rsidRPr="006A140B">
        <w:rPr>
          <w:rFonts w:ascii="Book Antiqua" w:hAnsi="Book Antiqua"/>
          <w:b/>
          <w:bCs/>
        </w:rPr>
        <w:t xml:space="preserve">Bristol-Myers Squibb Company. </w:t>
      </w:r>
      <w:r w:rsidRPr="006A140B">
        <w:rPr>
          <w:rFonts w:ascii="Book Antiqua" w:hAnsi="Book Antiqua"/>
        </w:rPr>
        <w:t xml:space="preserve">OPDIVO (nivolumab) [package insert]. U.S. Food and Drug Administration website. </w:t>
      </w:r>
      <w:r w:rsidR="00E176D8" w:rsidRPr="006A140B">
        <w:rPr>
          <w:rFonts w:ascii="Book Antiqua" w:hAnsi="Book Antiqua"/>
        </w:rPr>
        <w:t xml:space="preserve">[cited 12 March 2021]. </w:t>
      </w:r>
      <w:r w:rsidR="00E176D8" w:rsidRPr="006A140B">
        <w:rPr>
          <w:rFonts w:ascii="Book Antiqua" w:eastAsia="宋体" w:hAnsi="Book Antiqua" w:cs="Arial"/>
          <w:bCs/>
        </w:rPr>
        <w:t xml:space="preserve">Available from: </w:t>
      </w:r>
      <w:r w:rsidRPr="006A140B">
        <w:rPr>
          <w:rFonts w:ascii="Book Antiqua" w:hAnsi="Book Antiqua"/>
        </w:rPr>
        <w:t>https://www.accessdata.fda.gov/drugsatfda_docs/label/2015/125527s000lbl.pdf</w:t>
      </w:r>
    </w:p>
    <w:p w14:paraId="54AEE58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292 </w:t>
      </w:r>
      <w:r w:rsidRPr="006A140B">
        <w:rPr>
          <w:rFonts w:ascii="Book Antiqua" w:hAnsi="Book Antiqua"/>
          <w:b/>
          <w:bCs/>
        </w:rPr>
        <w:t>Yau T</w:t>
      </w:r>
      <w:r w:rsidRPr="006A140B">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6A140B">
        <w:rPr>
          <w:rFonts w:ascii="Book Antiqua" w:hAnsi="Book Antiqua"/>
          <w:i/>
          <w:iCs/>
        </w:rPr>
        <w:t>JAMA Oncol</w:t>
      </w:r>
      <w:r w:rsidRPr="006A140B">
        <w:rPr>
          <w:rFonts w:ascii="Book Antiqua" w:hAnsi="Book Antiqua"/>
        </w:rPr>
        <w:t xml:space="preserve"> 2020; </w:t>
      </w:r>
      <w:r w:rsidRPr="006A140B">
        <w:rPr>
          <w:rFonts w:ascii="Book Antiqua" w:hAnsi="Book Antiqua"/>
          <w:b/>
          <w:bCs/>
        </w:rPr>
        <w:t>6</w:t>
      </w:r>
      <w:r w:rsidRPr="006A140B">
        <w:rPr>
          <w:rFonts w:ascii="Book Antiqua" w:hAnsi="Book Antiqua"/>
        </w:rPr>
        <w:t>: e204564 [PMID: 33001135 DOI: 10.1001/jamaoncol.2020.4564]</w:t>
      </w:r>
    </w:p>
    <w:p w14:paraId="54A98BD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293 </w:t>
      </w:r>
      <w:r w:rsidRPr="006A140B">
        <w:rPr>
          <w:rFonts w:ascii="Book Antiqua" w:hAnsi="Book Antiqua"/>
          <w:b/>
          <w:bCs/>
        </w:rPr>
        <w:t>Cortazar FB</w:t>
      </w:r>
      <w:r w:rsidRPr="006A140B">
        <w:rPr>
          <w:rFonts w:ascii="Book Antiqua" w:hAnsi="Book Antiqua"/>
        </w:rPr>
        <w:t xml:space="preserve">, Marrone KA, Troxell ML, Ralto KM, Hoenig MP, Brahmer JR, Le DT, Lipson EJ, Glezerman IG, Wolchok J, Cornell LD, Feldman P, Stokes MB, Zapata SA, Hodi FS, Ott PA, Yamashita M, Leaf DE. Clinicopathological features of acute kidney injury associated with immune checkpoint inhibitors. </w:t>
      </w:r>
      <w:r w:rsidRPr="006A140B">
        <w:rPr>
          <w:rFonts w:ascii="Book Antiqua" w:hAnsi="Book Antiqua"/>
          <w:i/>
          <w:iCs/>
        </w:rPr>
        <w:t>Kidney Int</w:t>
      </w:r>
      <w:r w:rsidRPr="006A140B">
        <w:rPr>
          <w:rFonts w:ascii="Book Antiqua" w:hAnsi="Book Antiqua"/>
        </w:rPr>
        <w:t xml:space="preserve"> 2016; </w:t>
      </w:r>
      <w:r w:rsidRPr="006A140B">
        <w:rPr>
          <w:rFonts w:ascii="Book Antiqua" w:hAnsi="Book Antiqua"/>
          <w:b/>
          <w:bCs/>
        </w:rPr>
        <w:t>90</w:t>
      </w:r>
      <w:r w:rsidRPr="006A140B">
        <w:rPr>
          <w:rFonts w:ascii="Book Antiqua" w:hAnsi="Book Antiqua"/>
        </w:rPr>
        <w:t>: 638-647 [PMID: 27282937 DOI: 10.1016/j.kint.2016.04.008]</w:t>
      </w:r>
    </w:p>
    <w:p w14:paraId="0765CE3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294 </w:t>
      </w:r>
      <w:r w:rsidRPr="006A140B">
        <w:rPr>
          <w:rFonts w:ascii="Book Antiqua" w:hAnsi="Book Antiqua"/>
          <w:b/>
          <w:bCs/>
        </w:rPr>
        <w:t>Iannello A</w:t>
      </w:r>
      <w:r w:rsidRPr="006A140B">
        <w:rPr>
          <w:rFonts w:ascii="Book Antiqua" w:hAnsi="Book Antiqua"/>
        </w:rPr>
        <w:t xml:space="preserve">, Thompson TW, Ardolino M, Marcus A, Raulet DH. Immunosurveillance and immunotherapy of tumors by innate immune cells. </w:t>
      </w:r>
      <w:r w:rsidRPr="006A140B">
        <w:rPr>
          <w:rFonts w:ascii="Book Antiqua" w:hAnsi="Book Antiqua"/>
          <w:i/>
          <w:iCs/>
        </w:rPr>
        <w:t>Curr Opin Immunol</w:t>
      </w:r>
      <w:r w:rsidRPr="006A140B">
        <w:rPr>
          <w:rFonts w:ascii="Book Antiqua" w:hAnsi="Book Antiqua"/>
        </w:rPr>
        <w:t xml:space="preserve"> 2016; </w:t>
      </w:r>
      <w:r w:rsidRPr="006A140B">
        <w:rPr>
          <w:rFonts w:ascii="Book Antiqua" w:hAnsi="Book Antiqua"/>
          <w:b/>
          <w:bCs/>
        </w:rPr>
        <w:t>38</w:t>
      </w:r>
      <w:r w:rsidRPr="006A140B">
        <w:rPr>
          <w:rFonts w:ascii="Book Antiqua" w:hAnsi="Book Antiqua"/>
        </w:rPr>
        <w:t>: 52-58 [PMID: 26686774 DOI: 10.1016/j.coi.2015.11.001]</w:t>
      </w:r>
    </w:p>
    <w:p w14:paraId="67A495B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295 </w:t>
      </w:r>
      <w:r w:rsidRPr="006A140B">
        <w:rPr>
          <w:rFonts w:ascii="Book Antiqua" w:hAnsi="Book Antiqua"/>
          <w:b/>
          <w:bCs/>
        </w:rPr>
        <w:t>Fadel F</w:t>
      </w:r>
      <w:r w:rsidRPr="006A140B">
        <w:rPr>
          <w:rFonts w:ascii="Book Antiqua" w:hAnsi="Book Antiqua"/>
        </w:rPr>
        <w:t xml:space="preserve">, El Karoui K, Knebelmann B. Anti-CTLA4 antibody-induced lupus nephritis. </w:t>
      </w:r>
      <w:r w:rsidRPr="006A140B">
        <w:rPr>
          <w:rFonts w:ascii="Book Antiqua" w:hAnsi="Book Antiqua"/>
          <w:i/>
          <w:iCs/>
        </w:rPr>
        <w:t>N Engl J Med</w:t>
      </w:r>
      <w:r w:rsidRPr="006A140B">
        <w:rPr>
          <w:rFonts w:ascii="Book Antiqua" w:hAnsi="Book Antiqua"/>
        </w:rPr>
        <w:t xml:space="preserve"> 2009; </w:t>
      </w:r>
      <w:r w:rsidRPr="006A140B">
        <w:rPr>
          <w:rFonts w:ascii="Book Antiqua" w:hAnsi="Book Antiqua"/>
          <w:b/>
          <w:bCs/>
        </w:rPr>
        <w:t>361</w:t>
      </w:r>
      <w:r w:rsidRPr="006A140B">
        <w:rPr>
          <w:rFonts w:ascii="Book Antiqua" w:hAnsi="Book Antiqua"/>
        </w:rPr>
        <w:t>: 211-212 [PMID: 19587352 DOI: 10.1056/NEJMc0904283]</w:t>
      </w:r>
    </w:p>
    <w:p w14:paraId="300FFB0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296 </w:t>
      </w:r>
      <w:r w:rsidRPr="006A140B">
        <w:rPr>
          <w:rFonts w:ascii="Book Antiqua" w:hAnsi="Book Antiqua"/>
          <w:b/>
          <w:bCs/>
        </w:rPr>
        <w:t>Barnard ZR</w:t>
      </w:r>
      <w:r w:rsidRPr="006A140B">
        <w:rPr>
          <w:rFonts w:ascii="Book Antiqua" w:hAnsi="Book Antiqua"/>
        </w:rPr>
        <w:t xml:space="preserve">, Walcott BP, Kahle KT, Nahed BV, Coumans JV. Hyponatremia associated with Ipilimumab-induced hypophysitis. </w:t>
      </w:r>
      <w:r w:rsidRPr="006A140B">
        <w:rPr>
          <w:rFonts w:ascii="Book Antiqua" w:hAnsi="Book Antiqua"/>
          <w:i/>
          <w:iCs/>
        </w:rPr>
        <w:t>Med Oncol</w:t>
      </w:r>
      <w:r w:rsidRPr="006A140B">
        <w:rPr>
          <w:rFonts w:ascii="Book Antiqua" w:hAnsi="Book Antiqua"/>
        </w:rPr>
        <w:t xml:space="preserve"> 2012; </w:t>
      </w:r>
      <w:r w:rsidRPr="006A140B">
        <w:rPr>
          <w:rFonts w:ascii="Book Antiqua" w:hAnsi="Book Antiqua"/>
          <w:b/>
          <w:bCs/>
        </w:rPr>
        <w:t>29</w:t>
      </w:r>
      <w:r w:rsidRPr="006A140B">
        <w:rPr>
          <w:rFonts w:ascii="Book Antiqua" w:hAnsi="Book Antiqua"/>
        </w:rPr>
        <w:t>: 374-377 [PMID: 21264545 DOI: 10.1007/s12032-010-9794-7]</w:t>
      </w:r>
    </w:p>
    <w:p w14:paraId="701EE15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297 </w:t>
      </w:r>
      <w:r w:rsidRPr="006A140B">
        <w:rPr>
          <w:rFonts w:ascii="Book Antiqua" w:hAnsi="Book Antiqua"/>
          <w:b/>
          <w:bCs/>
        </w:rPr>
        <w:t>Chodakiewitz Y</w:t>
      </w:r>
      <w:r w:rsidRPr="006A140B">
        <w:rPr>
          <w:rFonts w:ascii="Book Antiqua" w:hAnsi="Book Antiqua"/>
        </w:rPr>
        <w:t xml:space="preserve">, Brown S, Boxerman JL, Brody JM, Rogg JM. Ipilimumab treatment associated pituitary hypophysitis: clinical presentation and imaging diagnosis. </w:t>
      </w:r>
      <w:r w:rsidRPr="006A140B">
        <w:rPr>
          <w:rFonts w:ascii="Book Antiqua" w:hAnsi="Book Antiqua"/>
          <w:i/>
          <w:iCs/>
        </w:rPr>
        <w:t>Clin Neurol Neurosurg</w:t>
      </w:r>
      <w:r w:rsidRPr="006A140B">
        <w:rPr>
          <w:rFonts w:ascii="Book Antiqua" w:hAnsi="Book Antiqua"/>
        </w:rPr>
        <w:t xml:space="preserve"> 2014; </w:t>
      </w:r>
      <w:r w:rsidRPr="006A140B">
        <w:rPr>
          <w:rFonts w:ascii="Book Antiqua" w:hAnsi="Book Antiqua"/>
          <w:b/>
          <w:bCs/>
        </w:rPr>
        <w:t>125</w:t>
      </w:r>
      <w:r w:rsidRPr="006A140B">
        <w:rPr>
          <w:rFonts w:ascii="Book Antiqua" w:hAnsi="Book Antiqua"/>
        </w:rPr>
        <w:t>: 125-130 [PMID: 25127260 DOI: 10.1016/j.clineuro.2014.06.011]</w:t>
      </w:r>
    </w:p>
    <w:p w14:paraId="6BB7823F" w14:textId="4FF1DDB3" w:rsidR="00495B7C" w:rsidRPr="006A140B" w:rsidRDefault="00495B7C" w:rsidP="00495B7C">
      <w:pPr>
        <w:spacing w:line="360" w:lineRule="auto"/>
        <w:jc w:val="both"/>
        <w:rPr>
          <w:rFonts w:ascii="Book Antiqua" w:hAnsi="Book Antiqua"/>
        </w:rPr>
      </w:pPr>
      <w:r w:rsidRPr="006A140B">
        <w:rPr>
          <w:rFonts w:ascii="Book Antiqua" w:hAnsi="Book Antiqua"/>
        </w:rPr>
        <w:t xml:space="preserve">298 </w:t>
      </w:r>
      <w:r w:rsidRPr="006A140B">
        <w:rPr>
          <w:rFonts w:ascii="Book Antiqua" w:hAnsi="Book Antiqua"/>
          <w:b/>
          <w:bCs/>
        </w:rPr>
        <w:t xml:space="preserve">Bristol-Myers Squibb Company. </w:t>
      </w:r>
      <w:r w:rsidRPr="006A140B">
        <w:rPr>
          <w:rFonts w:ascii="Book Antiqua" w:hAnsi="Book Antiqua"/>
        </w:rPr>
        <w:t xml:space="preserve">YERVOY (ipilimumab) [package insert]. U.S. Food and Drug Administration website. </w:t>
      </w:r>
      <w:r w:rsidR="00BA0CCC" w:rsidRPr="006A140B">
        <w:rPr>
          <w:rFonts w:ascii="Book Antiqua" w:hAnsi="Book Antiqua"/>
        </w:rPr>
        <w:t xml:space="preserve">[cited 12 March 2021]. </w:t>
      </w:r>
      <w:r w:rsidR="00BA0CCC" w:rsidRPr="006A140B">
        <w:rPr>
          <w:rFonts w:ascii="Book Antiqua" w:eastAsia="宋体" w:hAnsi="Book Antiqua" w:cs="Arial"/>
          <w:bCs/>
        </w:rPr>
        <w:t xml:space="preserve">Available from: </w:t>
      </w:r>
      <w:r w:rsidRPr="006A140B">
        <w:rPr>
          <w:rFonts w:ascii="Book Antiqua" w:hAnsi="Book Antiqua"/>
        </w:rPr>
        <w:t>https://www.accessdata.fda.gov/drugsatfda_docs/label/2020/125377s119lbl.pdf</w:t>
      </w:r>
    </w:p>
    <w:p w14:paraId="7A0C9B3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299 </w:t>
      </w:r>
      <w:r w:rsidRPr="006A140B">
        <w:rPr>
          <w:rFonts w:ascii="Book Antiqua" w:hAnsi="Book Antiqua"/>
          <w:b/>
          <w:bCs/>
        </w:rPr>
        <w:t>Wang Z</w:t>
      </w:r>
      <w:r w:rsidRPr="006A140B">
        <w:rPr>
          <w:rFonts w:ascii="Book Antiqua" w:hAnsi="Book Antiqua"/>
        </w:rPr>
        <w:t xml:space="preserve">, Yin N, Zhang Z, Zhang Y, Zhang G, Chen W. Upregulation of T-cell Immunoglobulin and Mucin-Domain Containing-3 (Tim-3) in Monocytes/Macrophages Associates with Gastric Cancer Progression. </w:t>
      </w:r>
      <w:r w:rsidRPr="006A140B">
        <w:rPr>
          <w:rFonts w:ascii="Book Antiqua" w:hAnsi="Book Antiqua"/>
          <w:i/>
          <w:iCs/>
        </w:rPr>
        <w:t>Immunol Invest</w:t>
      </w:r>
      <w:r w:rsidRPr="006A140B">
        <w:rPr>
          <w:rFonts w:ascii="Book Antiqua" w:hAnsi="Book Antiqua"/>
        </w:rPr>
        <w:t xml:space="preserve"> 2017; </w:t>
      </w:r>
      <w:r w:rsidRPr="006A140B">
        <w:rPr>
          <w:rFonts w:ascii="Book Antiqua" w:hAnsi="Book Antiqua"/>
          <w:b/>
          <w:bCs/>
        </w:rPr>
        <w:t>46</w:t>
      </w:r>
      <w:r w:rsidRPr="006A140B">
        <w:rPr>
          <w:rFonts w:ascii="Book Antiqua" w:hAnsi="Book Antiqua"/>
        </w:rPr>
        <w:t>: 134-148 [PMID: 27911104 DOI: 10.1080/08820139.2016.1229790]</w:t>
      </w:r>
    </w:p>
    <w:p w14:paraId="50AAFE8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300 </w:t>
      </w:r>
      <w:r w:rsidRPr="006A140B">
        <w:rPr>
          <w:rFonts w:ascii="Book Antiqua" w:hAnsi="Book Antiqua"/>
          <w:b/>
          <w:bCs/>
        </w:rPr>
        <w:t>Ganjalikhani Hakemi M</w:t>
      </w:r>
      <w:r w:rsidRPr="006A140B">
        <w:rPr>
          <w:rFonts w:ascii="Book Antiqua" w:hAnsi="Book Antiqua"/>
        </w:rPr>
        <w:t xml:space="preserve">, Jafarinia M, Azizi M, Rezaeepoor M, Isayev O, Bazhin AV. The Role of TIM-3 in Hepatocellular Carcinoma: A Promising Target for Immunotherapy? </w:t>
      </w:r>
      <w:r w:rsidRPr="006A140B">
        <w:rPr>
          <w:rFonts w:ascii="Book Antiqua" w:hAnsi="Book Antiqua"/>
          <w:i/>
          <w:iCs/>
        </w:rPr>
        <w:t>Front Oncol</w:t>
      </w:r>
      <w:r w:rsidRPr="006A140B">
        <w:rPr>
          <w:rFonts w:ascii="Book Antiqua" w:hAnsi="Book Antiqua"/>
        </w:rPr>
        <w:t xml:space="preserve"> 2020; </w:t>
      </w:r>
      <w:r w:rsidRPr="006A140B">
        <w:rPr>
          <w:rFonts w:ascii="Book Antiqua" w:hAnsi="Book Antiqua"/>
          <w:b/>
          <w:bCs/>
        </w:rPr>
        <w:t>10</w:t>
      </w:r>
      <w:r w:rsidRPr="006A140B">
        <w:rPr>
          <w:rFonts w:ascii="Book Antiqua" w:hAnsi="Book Antiqua"/>
        </w:rPr>
        <w:t>: 601661 [PMID: 33425759 DOI: 10.3389/fonc.2020.601661]</w:t>
      </w:r>
    </w:p>
    <w:p w14:paraId="4AF30C0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301 </w:t>
      </w:r>
      <w:r w:rsidRPr="006A140B">
        <w:rPr>
          <w:rFonts w:ascii="Book Antiqua" w:hAnsi="Book Antiqua"/>
          <w:b/>
          <w:bCs/>
        </w:rPr>
        <w:t>Zhu C</w:t>
      </w:r>
      <w:r w:rsidRPr="006A140B">
        <w:rPr>
          <w:rFonts w:ascii="Book Antiqua" w:hAnsi="Book Antiqua"/>
        </w:rPr>
        <w:t xml:space="preserve">, Anderson AC, Kuchroo VK. TIM-3 and its regulatory role in immune responses. </w:t>
      </w:r>
      <w:r w:rsidRPr="006A140B">
        <w:rPr>
          <w:rFonts w:ascii="Book Antiqua" w:hAnsi="Book Antiqua"/>
          <w:i/>
          <w:iCs/>
        </w:rPr>
        <w:t>Curr Top Microbiol Immunol</w:t>
      </w:r>
      <w:r w:rsidRPr="006A140B">
        <w:rPr>
          <w:rFonts w:ascii="Book Antiqua" w:hAnsi="Book Antiqua"/>
        </w:rPr>
        <w:t xml:space="preserve"> 2011; </w:t>
      </w:r>
      <w:r w:rsidRPr="006A140B">
        <w:rPr>
          <w:rFonts w:ascii="Book Antiqua" w:hAnsi="Book Antiqua"/>
          <w:b/>
          <w:bCs/>
        </w:rPr>
        <w:t>350</w:t>
      </w:r>
      <w:r w:rsidRPr="006A140B">
        <w:rPr>
          <w:rFonts w:ascii="Book Antiqua" w:hAnsi="Book Antiqua"/>
        </w:rPr>
        <w:t>: 1-15 [PMID: 20700701 DOI: 10.1007/82_2010_84]</w:t>
      </w:r>
    </w:p>
    <w:p w14:paraId="692269D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302 </w:t>
      </w:r>
      <w:r w:rsidRPr="006A140B">
        <w:rPr>
          <w:rFonts w:ascii="Book Antiqua" w:hAnsi="Book Antiqua"/>
          <w:b/>
          <w:bCs/>
        </w:rPr>
        <w:t>Sakuishi K</w:t>
      </w:r>
      <w:r w:rsidRPr="006A140B">
        <w:rPr>
          <w:rFonts w:ascii="Book Antiqua" w:hAnsi="Book Antiqua"/>
        </w:rPr>
        <w:t xml:space="preserve">, Apetoh L, Sullivan JM, Blazar BR, Kuchroo VK, Anderson AC. Targeting Tim-3 and PD-1 pathways to reverse T cell exhaustion and restore anti-tumor immunity. </w:t>
      </w:r>
      <w:r w:rsidRPr="006A140B">
        <w:rPr>
          <w:rFonts w:ascii="Book Antiqua" w:hAnsi="Book Antiqua"/>
          <w:i/>
          <w:iCs/>
        </w:rPr>
        <w:t>J Exp Med</w:t>
      </w:r>
      <w:r w:rsidRPr="006A140B">
        <w:rPr>
          <w:rFonts w:ascii="Book Antiqua" w:hAnsi="Book Antiqua"/>
        </w:rPr>
        <w:t xml:space="preserve"> 2010; </w:t>
      </w:r>
      <w:r w:rsidRPr="006A140B">
        <w:rPr>
          <w:rFonts w:ascii="Book Antiqua" w:hAnsi="Book Antiqua"/>
          <w:b/>
          <w:bCs/>
        </w:rPr>
        <w:t>207</w:t>
      </w:r>
      <w:r w:rsidRPr="006A140B">
        <w:rPr>
          <w:rFonts w:ascii="Book Antiqua" w:hAnsi="Book Antiqua"/>
        </w:rPr>
        <w:t>: 2187-2194 [PMID: 20819927 DOI: 10.1084/jem.20100643]</w:t>
      </w:r>
    </w:p>
    <w:p w14:paraId="68429D5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303 </w:t>
      </w:r>
      <w:r w:rsidRPr="006A140B">
        <w:rPr>
          <w:rFonts w:ascii="Book Antiqua" w:hAnsi="Book Antiqua"/>
          <w:b/>
          <w:bCs/>
        </w:rPr>
        <w:t>Anderson AC</w:t>
      </w:r>
      <w:r w:rsidRPr="006A140B">
        <w:rPr>
          <w:rFonts w:ascii="Book Antiqua" w:hAnsi="Book Antiqua"/>
        </w:rPr>
        <w:t xml:space="preserve">, Anderson DE, Bregoli L, Hastings WD, Kassam N, Lei C, Chandwaskar R, Karman J, Su EW, Hirashima M, Bruce JN, Kane LP, Kuchroo VK, Hafler DA. Promotion of tissue inflammation by the immune receptor Tim-3 expressed on innate immune cells. </w:t>
      </w:r>
      <w:r w:rsidRPr="006A140B">
        <w:rPr>
          <w:rFonts w:ascii="Book Antiqua" w:hAnsi="Book Antiqua"/>
          <w:i/>
          <w:iCs/>
        </w:rPr>
        <w:t>Science</w:t>
      </w:r>
      <w:r w:rsidRPr="006A140B">
        <w:rPr>
          <w:rFonts w:ascii="Book Antiqua" w:hAnsi="Book Antiqua"/>
        </w:rPr>
        <w:t xml:space="preserve"> 2007; </w:t>
      </w:r>
      <w:r w:rsidRPr="006A140B">
        <w:rPr>
          <w:rFonts w:ascii="Book Antiqua" w:hAnsi="Book Antiqua"/>
          <w:b/>
          <w:bCs/>
        </w:rPr>
        <w:t>318</w:t>
      </w:r>
      <w:r w:rsidRPr="006A140B">
        <w:rPr>
          <w:rFonts w:ascii="Book Antiqua" w:hAnsi="Book Antiqua"/>
        </w:rPr>
        <w:t>: 1141-1143 [PMID: 18006747 DOI: 10.1126/science.1148536]</w:t>
      </w:r>
    </w:p>
    <w:p w14:paraId="5E9AFCB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304 </w:t>
      </w:r>
      <w:r w:rsidRPr="006A140B">
        <w:rPr>
          <w:rFonts w:ascii="Book Antiqua" w:hAnsi="Book Antiqua"/>
          <w:b/>
          <w:bCs/>
        </w:rPr>
        <w:t>Monney L</w:t>
      </w:r>
      <w:r w:rsidRPr="006A140B">
        <w:rPr>
          <w:rFonts w:ascii="Book Antiqua" w:hAnsi="Book Antiqua"/>
        </w:rPr>
        <w:t xml:space="preserve">, Sabatos CA, Gaglia JL, Ryu A, Waldner H, Chernova T, Manning S, Greenfield EA, Coyle AJ, Sobel RA, Freeman GJ, Kuchroo VK. Th1-specific cell surface protein Tim-3 regulates macrophage activation and severity of an autoimmune disease. </w:t>
      </w:r>
      <w:r w:rsidRPr="006A140B">
        <w:rPr>
          <w:rFonts w:ascii="Book Antiqua" w:hAnsi="Book Antiqua"/>
          <w:i/>
          <w:iCs/>
        </w:rPr>
        <w:t>Nature</w:t>
      </w:r>
      <w:r w:rsidRPr="006A140B">
        <w:rPr>
          <w:rFonts w:ascii="Book Antiqua" w:hAnsi="Book Antiqua"/>
        </w:rPr>
        <w:t xml:space="preserve"> 2002; </w:t>
      </w:r>
      <w:r w:rsidRPr="006A140B">
        <w:rPr>
          <w:rFonts w:ascii="Book Antiqua" w:hAnsi="Book Antiqua"/>
          <w:b/>
          <w:bCs/>
        </w:rPr>
        <w:t>415</w:t>
      </w:r>
      <w:r w:rsidRPr="006A140B">
        <w:rPr>
          <w:rFonts w:ascii="Book Antiqua" w:hAnsi="Book Antiqua"/>
        </w:rPr>
        <w:t>: 536-541 [PMID: 11823861 DOI: 10.1038/415536a]</w:t>
      </w:r>
    </w:p>
    <w:p w14:paraId="7ADD670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305 </w:t>
      </w:r>
      <w:r w:rsidRPr="006A140B">
        <w:rPr>
          <w:rFonts w:ascii="Book Antiqua" w:hAnsi="Book Antiqua"/>
          <w:b/>
          <w:bCs/>
        </w:rPr>
        <w:t>Wiener Z</w:t>
      </w:r>
      <w:r w:rsidRPr="006A140B">
        <w:rPr>
          <w:rFonts w:ascii="Book Antiqua" w:hAnsi="Book Antiqua"/>
        </w:rPr>
        <w:t xml:space="preserve">, Kohalmi B, Pocza P, Jeager J, Tolgyesi G, Toth S, Gorbe E, Papp Z, Falus A. TIM-3 is expressed in melanoma cells and is upregulated in TGF-beta stimulated mast cells. </w:t>
      </w:r>
      <w:r w:rsidRPr="006A140B">
        <w:rPr>
          <w:rFonts w:ascii="Book Antiqua" w:hAnsi="Book Antiqua"/>
          <w:i/>
          <w:iCs/>
        </w:rPr>
        <w:t>J Invest Dermatol</w:t>
      </w:r>
      <w:r w:rsidRPr="006A140B">
        <w:rPr>
          <w:rFonts w:ascii="Book Antiqua" w:hAnsi="Book Antiqua"/>
        </w:rPr>
        <w:t xml:space="preserve"> 2007; </w:t>
      </w:r>
      <w:r w:rsidRPr="006A140B">
        <w:rPr>
          <w:rFonts w:ascii="Book Antiqua" w:hAnsi="Book Antiqua"/>
          <w:b/>
          <w:bCs/>
        </w:rPr>
        <w:t>127</w:t>
      </w:r>
      <w:r w:rsidRPr="006A140B">
        <w:rPr>
          <w:rFonts w:ascii="Book Antiqua" w:hAnsi="Book Antiqua"/>
        </w:rPr>
        <w:t>: 906-914 [PMID: 17096021 DOI: 10.1038/sj.jid.5700616]</w:t>
      </w:r>
    </w:p>
    <w:p w14:paraId="1AC61EA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306 </w:t>
      </w:r>
      <w:r w:rsidRPr="006A140B">
        <w:rPr>
          <w:rFonts w:ascii="Book Antiqua" w:hAnsi="Book Antiqua"/>
          <w:b/>
          <w:bCs/>
        </w:rPr>
        <w:t>Pfeffer CR</w:t>
      </w:r>
      <w:r w:rsidRPr="006A140B">
        <w:rPr>
          <w:rFonts w:ascii="Book Antiqua" w:hAnsi="Book Antiqua"/>
        </w:rPr>
        <w:t xml:space="preserve">. Assessment of suicidal children and adolescents. </w:t>
      </w:r>
      <w:r w:rsidRPr="006A140B">
        <w:rPr>
          <w:rFonts w:ascii="Book Antiqua" w:hAnsi="Book Antiqua"/>
          <w:i/>
          <w:iCs/>
        </w:rPr>
        <w:t>Psychiatr Clin North Am</w:t>
      </w:r>
      <w:r w:rsidRPr="006A140B">
        <w:rPr>
          <w:rFonts w:ascii="Book Antiqua" w:hAnsi="Book Antiqua"/>
        </w:rPr>
        <w:t xml:space="preserve"> 1989; </w:t>
      </w:r>
      <w:r w:rsidRPr="006A140B">
        <w:rPr>
          <w:rFonts w:ascii="Book Antiqua" w:hAnsi="Book Antiqua"/>
          <w:b/>
          <w:bCs/>
        </w:rPr>
        <w:t>12</w:t>
      </w:r>
      <w:r w:rsidRPr="006A140B">
        <w:rPr>
          <w:rFonts w:ascii="Book Antiqua" w:hAnsi="Book Antiqua"/>
        </w:rPr>
        <w:t>: 861-872 [PMID: 2690029]</w:t>
      </w:r>
    </w:p>
    <w:p w14:paraId="3D92E5F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307 </w:t>
      </w:r>
      <w:r w:rsidRPr="006A140B">
        <w:rPr>
          <w:rFonts w:ascii="Book Antiqua" w:hAnsi="Book Antiqua"/>
          <w:b/>
          <w:bCs/>
        </w:rPr>
        <w:t>Li H</w:t>
      </w:r>
      <w:r w:rsidRPr="006A140B">
        <w:rPr>
          <w:rFonts w:ascii="Book Antiqua" w:hAnsi="Book Antiqua"/>
        </w:rPr>
        <w:t xml:space="preserve">, Wu K, Tao K, Chen L, Zheng Q, Lu X, Liu J, Shi L, Liu C, Wang G, Zou W. Tim-3/galectin-9 signaling pathway mediates T-cell dysfunction and predicts poor prognosis in patients with hepatitis B virus-associated hepatocellular carcinoma. </w:t>
      </w:r>
      <w:r w:rsidRPr="006A140B">
        <w:rPr>
          <w:rFonts w:ascii="Book Antiqua" w:hAnsi="Book Antiqua"/>
          <w:i/>
          <w:iCs/>
        </w:rPr>
        <w:t>Hepatology</w:t>
      </w:r>
      <w:r w:rsidRPr="006A140B">
        <w:rPr>
          <w:rFonts w:ascii="Book Antiqua" w:hAnsi="Book Antiqua"/>
        </w:rPr>
        <w:t xml:space="preserve"> 2012; </w:t>
      </w:r>
      <w:r w:rsidRPr="006A140B">
        <w:rPr>
          <w:rFonts w:ascii="Book Antiqua" w:hAnsi="Book Antiqua"/>
          <w:b/>
          <w:bCs/>
        </w:rPr>
        <w:t>56</w:t>
      </w:r>
      <w:r w:rsidRPr="006A140B">
        <w:rPr>
          <w:rFonts w:ascii="Book Antiqua" w:hAnsi="Book Antiqua"/>
        </w:rPr>
        <w:t>: 1342-1351 [PMID: 22505239 DOI: 10.1002/hep.25777]</w:t>
      </w:r>
    </w:p>
    <w:p w14:paraId="478D849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308 </w:t>
      </w:r>
      <w:r w:rsidRPr="006A140B">
        <w:rPr>
          <w:rFonts w:ascii="Book Antiqua" w:hAnsi="Book Antiqua"/>
          <w:b/>
          <w:bCs/>
        </w:rPr>
        <w:t>Liu F</w:t>
      </w:r>
      <w:r w:rsidRPr="006A140B">
        <w:rPr>
          <w:rFonts w:ascii="Book Antiqua" w:hAnsi="Book Antiqua"/>
        </w:rPr>
        <w:t xml:space="preserve">, Liu Y, Chen Z. Tim-3 expression and its role in hepatocellular carcinoma. </w:t>
      </w:r>
      <w:r w:rsidRPr="006A140B">
        <w:rPr>
          <w:rFonts w:ascii="Book Antiqua" w:hAnsi="Book Antiqua"/>
          <w:i/>
          <w:iCs/>
        </w:rPr>
        <w:t>J Hematol Oncol</w:t>
      </w:r>
      <w:r w:rsidRPr="006A140B">
        <w:rPr>
          <w:rFonts w:ascii="Book Antiqua" w:hAnsi="Book Antiqua"/>
        </w:rPr>
        <w:t xml:space="preserve"> 2018; </w:t>
      </w:r>
      <w:r w:rsidRPr="006A140B">
        <w:rPr>
          <w:rFonts w:ascii="Book Antiqua" w:hAnsi="Book Antiqua"/>
          <w:b/>
          <w:bCs/>
        </w:rPr>
        <w:t>11</w:t>
      </w:r>
      <w:r w:rsidRPr="006A140B">
        <w:rPr>
          <w:rFonts w:ascii="Book Antiqua" w:hAnsi="Book Antiqua"/>
        </w:rPr>
        <w:t>: 126 [PMID: 30309387 DOI: 10.1186/s13045-018-0667-4]</w:t>
      </w:r>
    </w:p>
    <w:p w14:paraId="1B241D06"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309 </w:t>
      </w:r>
      <w:r w:rsidRPr="006A140B">
        <w:rPr>
          <w:rFonts w:ascii="Book Antiqua" w:hAnsi="Book Antiqua"/>
          <w:b/>
          <w:bCs/>
        </w:rPr>
        <w:t>Zhang H</w:t>
      </w:r>
      <w:r w:rsidRPr="006A140B">
        <w:rPr>
          <w:rFonts w:ascii="Book Antiqua" w:hAnsi="Book Antiqua"/>
        </w:rPr>
        <w:t xml:space="preserve">, Song Y, Yang H, Liu Z, Gao L, Liang X, Ma C. Tumor cell-intrinsic Tim-3 promotes liver cancer via NF-κB/IL-6/STAT3 axis. </w:t>
      </w:r>
      <w:r w:rsidRPr="006A140B">
        <w:rPr>
          <w:rFonts w:ascii="Book Antiqua" w:hAnsi="Book Antiqua"/>
          <w:i/>
          <w:iCs/>
        </w:rPr>
        <w:t>Oncogene</w:t>
      </w:r>
      <w:r w:rsidRPr="006A140B">
        <w:rPr>
          <w:rFonts w:ascii="Book Antiqua" w:hAnsi="Book Antiqua"/>
        </w:rPr>
        <w:t xml:space="preserve"> 2018; </w:t>
      </w:r>
      <w:r w:rsidRPr="006A140B">
        <w:rPr>
          <w:rFonts w:ascii="Book Antiqua" w:hAnsi="Book Antiqua"/>
          <w:b/>
          <w:bCs/>
        </w:rPr>
        <w:t>37</w:t>
      </w:r>
      <w:r w:rsidRPr="006A140B">
        <w:rPr>
          <w:rFonts w:ascii="Book Antiqua" w:hAnsi="Book Antiqua"/>
        </w:rPr>
        <w:t>: 2456-2468 [PMID: 29449693 DOI: 10.1038/s41388-018-0140-4]</w:t>
      </w:r>
    </w:p>
    <w:p w14:paraId="537A414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310 </w:t>
      </w:r>
      <w:r w:rsidRPr="006A140B">
        <w:rPr>
          <w:rFonts w:ascii="Book Antiqua" w:hAnsi="Book Antiqua"/>
          <w:b/>
          <w:bCs/>
        </w:rPr>
        <w:t>Schroll A</w:t>
      </w:r>
      <w:r w:rsidRPr="006A140B">
        <w:rPr>
          <w:rFonts w:ascii="Book Antiqua" w:hAnsi="Book Antiqua"/>
        </w:rPr>
        <w:t xml:space="preserve">, Eller K, Huber JM, Theurl IM, Wolf AM, Weiss G, Rosenkranz AR. Tim3 is upregulated and protective in nephrotoxic serum nephritis. </w:t>
      </w:r>
      <w:r w:rsidRPr="006A140B">
        <w:rPr>
          <w:rFonts w:ascii="Book Antiqua" w:hAnsi="Book Antiqua"/>
          <w:i/>
          <w:iCs/>
        </w:rPr>
        <w:t>Am J Pathol</w:t>
      </w:r>
      <w:r w:rsidRPr="006A140B">
        <w:rPr>
          <w:rFonts w:ascii="Book Antiqua" w:hAnsi="Book Antiqua"/>
        </w:rPr>
        <w:t xml:space="preserve"> 2010; </w:t>
      </w:r>
      <w:r w:rsidRPr="006A140B">
        <w:rPr>
          <w:rFonts w:ascii="Book Antiqua" w:hAnsi="Book Antiqua"/>
          <w:b/>
          <w:bCs/>
        </w:rPr>
        <w:t>176</w:t>
      </w:r>
      <w:r w:rsidRPr="006A140B">
        <w:rPr>
          <w:rFonts w:ascii="Book Antiqua" w:hAnsi="Book Antiqua"/>
        </w:rPr>
        <w:t>: 1716-1724 [PMID: 20167865 DOI: 10.2353/ajpath.2010.090859]</w:t>
      </w:r>
    </w:p>
    <w:p w14:paraId="142803D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311 </w:t>
      </w:r>
      <w:r w:rsidRPr="006A140B">
        <w:rPr>
          <w:rFonts w:ascii="Book Antiqua" w:hAnsi="Book Antiqua"/>
          <w:b/>
          <w:bCs/>
        </w:rPr>
        <w:t>Yang H</w:t>
      </w:r>
      <w:r w:rsidRPr="006A140B">
        <w:rPr>
          <w:rFonts w:ascii="Book Antiqua" w:hAnsi="Book Antiqua"/>
        </w:rPr>
        <w:t xml:space="preserve">, Xie T, Li D, Du X, Wang T, Li C, Song X, Xu L, Yi F, Liang X, Gao L, Yang X, Ma C. Tim-3 aggravates podocyte injury in diabetic nephropathy by promoting macrophage activation via the NF-κB/TNF-α pathway. </w:t>
      </w:r>
      <w:r w:rsidRPr="006A140B">
        <w:rPr>
          <w:rFonts w:ascii="Book Antiqua" w:hAnsi="Book Antiqua"/>
          <w:i/>
          <w:iCs/>
        </w:rPr>
        <w:t>Mol Metab</w:t>
      </w:r>
      <w:r w:rsidRPr="006A140B">
        <w:rPr>
          <w:rFonts w:ascii="Book Antiqua" w:hAnsi="Book Antiqua"/>
        </w:rPr>
        <w:t xml:space="preserve"> 2019; </w:t>
      </w:r>
      <w:r w:rsidRPr="006A140B">
        <w:rPr>
          <w:rFonts w:ascii="Book Antiqua" w:hAnsi="Book Antiqua"/>
          <w:b/>
          <w:bCs/>
        </w:rPr>
        <w:t>23</w:t>
      </w:r>
      <w:r w:rsidRPr="006A140B">
        <w:rPr>
          <w:rFonts w:ascii="Book Antiqua" w:hAnsi="Book Antiqua"/>
        </w:rPr>
        <w:t>: 24-36 [PMID: 30862474 DOI: 10.1016/j.molmet.2019.02.007]</w:t>
      </w:r>
    </w:p>
    <w:p w14:paraId="5E26F80F"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312 </w:t>
      </w:r>
      <w:r w:rsidRPr="006A140B">
        <w:rPr>
          <w:rFonts w:ascii="Book Antiqua" w:hAnsi="Book Antiqua"/>
          <w:b/>
          <w:bCs/>
        </w:rPr>
        <w:t>Berg T</w:t>
      </w:r>
      <w:r w:rsidRPr="006A140B">
        <w:rPr>
          <w:rFonts w:ascii="Book Antiqua" w:hAnsi="Book Antiqua"/>
        </w:rPr>
        <w:t xml:space="preserve">, Zoulim F, Moeller B, Trinh H, Marcellin P, Chan S, Kitrinos KM, Dinh P, Flaherty JF Jr, McHutchison JG, Manns M. Long-term efficacy and safety of emtricitabine plus tenofovir DF vs. tenofovir DF monotherapy in adefovir-experienced chronic hepatitis B patients. </w:t>
      </w:r>
      <w:r w:rsidRPr="006A140B">
        <w:rPr>
          <w:rFonts w:ascii="Book Antiqua" w:hAnsi="Book Antiqua"/>
          <w:i/>
          <w:iCs/>
        </w:rPr>
        <w:t>J Hepatol</w:t>
      </w:r>
      <w:r w:rsidRPr="006A140B">
        <w:rPr>
          <w:rFonts w:ascii="Book Antiqua" w:hAnsi="Book Antiqua"/>
        </w:rPr>
        <w:t xml:space="preserve"> 2014; </w:t>
      </w:r>
      <w:r w:rsidRPr="006A140B">
        <w:rPr>
          <w:rFonts w:ascii="Book Antiqua" w:hAnsi="Book Antiqua"/>
          <w:b/>
          <w:bCs/>
        </w:rPr>
        <w:t>60</w:t>
      </w:r>
      <w:r w:rsidRPr="006A140B">
        <w:rPr>
          <w:rFonts w:ascii="Book Antiqua" w:hAnsi="Book Antiqua"/>
        </w:rPr>
        <w:t>: 715-722 [PMID: 24295873 DOI: 10.1016/j.jhep.2013.11.024]</w:t>
      </w:r>
    </w:p>
    <w:p w14:paraId="18074BD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313 </w:t>
      </w:r>
      <w:r w:rsidRPr="006A140B">
        <w:rPr>
          <w:rFonts w:ascii="Book Antiqua" w:hAnsi="Book Antiqua"/>
          <w:b/>
          <w:bCs/>
        </w:rPr>
        <w:t>Buti M</w:t>
      </w:r>
      <w:r w:rsidRPr="006A140B">
        <w:rPr>
          <w:rFonts w:ascii="Book Antiqua" w:hAnsi="Book Antiqua"/>
        </w:rPr>
        <w:t xml:space="preserve">, Tsai N, Petersen J, Flisiak R, Gurel S, Krastev Z, Aguilar Schall R, Flaherty JF, Martins EB, Charuworn P, Kitrinos KM, Subramanian GM, Gane E, Marcellin P. Seven-year efficacy and safety of treatment with tenofovir disoproxil fumarate for chronic hepatitis B virus infection. </w:t>
      </w:r>
      <w:r w:rsidRPr="006A140B">
        <w:rPr>
          <w:rFonts w:ascii="Book Antiqua" w:hAnsi="Book Antiqua"/>
          <w:i/>
          <w:iCs/>
        </w:rPr>
        <w:t>Dig Dis Sci</w:t>
      </w:r>
      <w:r w:rsidRPr="006A140B">
        <w:rPr>
          <w:rFonts w:ascii="Book Antiqua" w:hAnsi="Book Antiqua"/>
        </w:rPr>
        <w:t xml:space="preserve"> 2015; </w:t>
      </w:r>
      <w:r w:rsidRPr="006A140B">
        <w:rPr>
          <w:rFonts w:ascii="Book Antiqua" w:hAnsi="Book Antiqua"/>
          <w:b/>
          <w:bCs/>
        </w:rPr>
        <w:t>60</w:t>
      </w:r>
      <w:r w:rsidRPr="006A140B">
        <w:rPr>
          <w:rFonts w:ascii="Book Antiqua" w:hAnsi="Book Antiqua"/>
        </w:rPr>
        <w:t>: 1457-1464 [PMID: 25532501 DOI: 10.1007/s10620-014-3486-7]</w:t>
      </w:r>
    </w:p>
    <w:p w14:paraId="6AF447C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314 </w:t>
      </w:r>
      <w:r w:rsidRPr="006A140B">
        <w:rPr>
          <w:rFonts w:ascii="Book Antiqua" w:hAnsi="Book Antiqua"/>
          <w:b/>
          <w:bCs/>
        </w:rPr>
        <w:t>Ahn J</w:t>
      </w:r>
      <w:r w:rsidRPr="006A140B">
        <w:rPr>
          <w:rFonts w:ascii="Book Antiqua" w:hAnsi="Book Antiqua"/>
        </w:rPr>
        <w:t xml:space="preserve">, Lee HM, Lim JK, Pan CQ, Nguyen MH, Ray Kim W, Mannalithara A, Trinh H, Chu D, Tran T, Min A, Do S, Te H, Reddy KR, Lok AS. Entecavir safety and effectiveness in a national cohort of treatment-naïve chronic hepatitis B patients in the US - the ENUMERATE study. </w:t>
      </w:r>
      <w:r w:rsidRPr="006A140B">
        <w:rPr>
          <w:rFonts w:ascii="Book Antiqua" w:hAnsi="Book Antiqua"/>
          <w:i/>
          <w:iCs/>
        </w:rPr>
        <w:t>Aliment Pharmacol Ther</w:t>
      </w:r>
      <w:r w:rsidRPr="006A140B">
        <w:rPr>
          <w:rFonts w:ascii="Book Antiqua" w:hAnsi="Book Antiqua"/>
        </w:rPr>
        <w:t xml:space="preserve"> 2016; </w:t>
      </w:r>
      <w:r w:rsidRPr="006A140B">
        <w:rPr>
          <w:rFonts w:ascii="Book Antiqua" w:hAnsi="Book Antiqua"/>
          <w:b/>
          <w:bCs/>
        </w:rPr>
        <w:t>43</w:t>
      </w:r>
      <w:r w:rsidRPr="006A140B">
        <w:rPr>
          <w:rFonts w:ascii="Book Antiqua" w:hAnsi="Book Antiqua"/>
        </w:rPr>
        <w:t>: 134-144 [PMID: 26510638 DOI: 10.1111/apt.13440]</w:t>
      </w:r>
    </w:p>
    <w:p w14:paraId="38724F45"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315 </w:t>
      </w:r>
      <w:r w:rsidRPr="006A140B">
        <w:rPr>
          <w:rFonts w:ascii="Book Antiqua" w:hAnsi="Book Antiqua"/>
          <w:b/>
          <w:bCs/>
        </w:rPr>
        <w:t>Watanabe T</w:t>
      </w:r>
      <w:r w:rsidRPr="006A140B">
        <w:rPr>
          <w:rFonts w:ascii="Book Antiqua" w:hAnsi="Book Antiqua"/>
        </w:rPr>
        <w:t xml:space="preserve">, Tokumoto Y, Joko K, Michitaka K, Mashiba T, Hiraoka A, Ochi H, Koizumi Y, Tada F, Hirooka M, Yoshida O, Imai Y, Abe M, Hiasa Y. Effects of long-term entecavir treatment on the incidence of hepatocellular carcinoma in chronic hepatitis B patients. </w:t>
      </w:r>
      <w:r w:rsidRPr="006A140B">
        <w:rPr>
          <w:rFonts w:ascii="Book Antiqua" w:hAnsi="Book Antiqua"/>
          <w:i/>
          <w:iCs/>
        </w:rPr>
        <w:t>Hepatol Int</w:t>
      </w:r>
      <w:r w:rsidRPr="006A140B">
        <w:rPr>
          <w:rFonts w:ascii="Book Antiqua" w:hAnsi="Book Antiqua"/>
        </w:rPr>
        <w:t xml:space="preserve"> 2016; </w:t>
      </w:r>
      <w:r w:rsidRPr="006A140B">
        <w:rPr>
          <w:rFonts w:ascii="Book Antiqua" w:hAnsi="Book Antiqua"/>
          <w:b/>
          <w:bCs/>
        </w:rPr>
        <w:t>10</w:t>
      </w:r>
      <w:r w:rsidRPr="006A140B">
        <w:rPr>
          <w:rFonts w:ascii="Book Antiqua" w:hAnsi="Book Antiqua"/>
        </w:rPr>
        <w:t>: 320-327 [PMID: 26198757 DOI: 10.1007/s12072-015-9647-8]</w:t>
      </w:r>
    </w:p>
    <w:p w14:paraId="1457E9E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316 </w:t>
      </w:r>
      <w:r w:rsidRPr="006A140B">
        <w:rPr>
          <w:rFonts w:ascii="Book Antiqua" w:hAnsi="Book Antiqua"/>
          <w:b/>
          <w:bCs/>
        </w:rPr>
        <w:t>Loomba R</w:t>
      </w:r>
      <w:r w:rsidRPr="006A140B">
        <w:rPr>
          <w:rFonts w:ascii="Book Antiqua" w:hAnsi="Book Antiqua"/>
        </w:rPr>
        <w:t xml:space="preserve">, Liang TJ. Hepatitis B Reactivation Associated With Immune Suppressive and Biological Modifier Therapies: Current Concepts, Management Strategies, and Future Directions. </w:t>
      </w:r>
      <w:r w:rsidRPr="006A140B">
        <w:rPr>
          <w:rFonts w:ascii="Book Antiqua" w:hAnsi="Book Antiqua"/>
          <w:i/>
          <w:iCs/>
        </w:rPr>
        <w:t>Gastroenterology</w:t>
      </w:r>
      <w:r w:rsidRPr="006A140B">
        <w:rPr>
          <w:rFonts w:ascii="Book Antiqua" w:hAnsi="Book Antiqua"/>
        </w:rPr>
        <w:t xml:space="preserve"> 2017; </w:t>
      </w:r>
      <w:r w:rsidRPr="006A140B">
        <w:rPr>
          <w:rFonts w:ascii="Book Antiqua" w:hAnsi="Book Antiqua"/>
          <w:b/>
          <w:bCs/>
        </w:rPr>
        <w:t>152</w:t>
      </w:r>
      <w:r w:rsidRPr="006A140B">
        <w:rPr>
          <w:rFonts w:ascii="Book Antiqua" w:hAnsi="Book Antiqua"/>
        </w:rPr>
        <w:t>: 1297-1309 [PMID: 28219691 DOI: 10.1053/j.gastro.2017.02.009]</w:t>
      </w:r>
    </w:p>
    <w:p w14:paraId="0BB5029C"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317 </w:t>
      </w:r>
      <w:r w:rsidRPr="006A140B">
        <w:rPr>
          <w:rFonts w:ascii="Book Antiqua" w:hAnsi="Book Antiqua"/>
          <w:b/>
          <w:bCs/>
        </w:rPr>
        <w:t>Lok AS</w:t>
      </w:r>
      <w:r w:rsidRPr="006A140B">
        <w:rPr>
          <w:rFonts w:ascii="Book Antiqua" w:hAnsi="Book Antiqua"/>
        </w:rPr>
        <w:t xml:space="preserve">, Ward JW, Perrillo RP, McMahon BJ, Liang TJ. Reactivation of hepatitis B during immunosuppressive therapy: potentially fatal yet preventable. </w:t>
      </w:r>
      <w:r w:rsidRPr="006A140B">
        <w:rPr>
          <w:rFonts w:ascii="Book Antiqua" w:hAnsi="Book Antiqua"/>
          <w:i/>
          <w:iCs/>
        </w:rPr>
        <w:t>Ann Intern Med</w:t>
      </w:r>
      <w:r w:rsidRPr="006A140B">
        <w:rPr>
          <w:rFonts w:ascii="Book Antiqua" w:hAnsi="Book Antiqua"/>
        </w:rPr>
        <w:t xml:space="preserve"> 2012; </w:t>
      </w:r>
      <w:r w:rsidRPr="006A140B">
        <w:rPr>
          <w:rFonts w:ascii="Book Antiqua" w:hAnsi="Book Antiqua"/>
          <w:b/>
          <w:bCs/>
        </w:rPr>
        <w:t>156</w:t>
      </w:r>
      <w:r w:rsidRPr="006A140B">
        <w:rPr>
          <w:rFonts w:ascii="Book Antiqua" w:hAnsi="Book Antiqua"/>
        </w:rPr>
        <w:t>: 743-745 [PMID: 22586011 DOI: 10.7326/0003-4819-156-10-201205150-00013]</w:t>
      </w:r>
    </w:p>
    <w:p w14:paraId="3A31DD4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318 </w:t>
      </w:r>
      <w:r w:rsidRPr="006A140B">
        <w:rPr>
          <w:rFonts w:ascii="Book Antiqua" w:hAnsi="Book Antiqua"/>
          <w:b/>
          <w:bCs/>
        </w:rPr>
        <w:t>Nagington J</w:t>
      </w:r>
      <w:r w:rsidRPr="006A140B">
        <w:rPr>
          <w:rFonts w:ascii="Book Antiqua" w:hAnsi="Book Antiqua"/>
        </w:rPr>
        <w:t xml:space="preserve">. Reactivation of hepatitis b after transplantation operations. </w:t>
      </w:r>
      <w:r w:rsidRPr="006A140B">
        <w:rPr>
          <w:rFonts w:ascii="Book Antiqua" w:hAnsi="Book Antiqua"/>
          <w:i/>
          <w:iCs/>
        </w:rPr>
        <w:t>Lancet</w:t>
      </w:r>
      <w:r w:rsidRPr="006A140B">
        <w:rPr>
          <w:rFonts w:ascii="Book Antiqua" w:hAnsi="Book Antiqua"/>
        </w:rPr>
        <w:t xml:space="preserve"> 1977; </w:t>
      </w:r>
      <w:r w:rsidRPr="006A140B">
        <w:rPr>
          <w:rFonts w:ascii="Book Antiqua" w:hAnsi="Book Antiqua"/>
          <w:b/>
          <w:bCs/>
        </w:rPr>
        <w:t>1</w:t>
      </w:r>
      <w:r w:rsidRPr="006A140B">
        <w:rPr>
          <w:rFonts w:ascii="Book Antiqua" w:hAnsi="Book Antiqua"/>
        </w:rPr>
        <w:t>: 558-560 [PMID: 65656 DOI: 10.1016/s0140-6736(77)91995-x]</w:t>
      </w:r>
    </w:p>
    <w:p w14:paraId="2602FF5B" w14:textId="77777777" w:rsidR="00495B7C" w:rsidRPr="006A140B" w:rsidRDefault="00495B7C" w:rsidP="00495B7C">
      <w:pPr>
        <w:spacing w:line="360" w:lineRule="auto"/>
        <w:jc w:val="both"/>
        <w:rPr>
          <w:rFonts w:ascii="Book Antiqua" w:hAnsi="Book Antiqua"/>
          <w:lang w:val="pt-BR"/>
        </w:rPr>
      </w:pPr>
      <w:r w:rsidRPr="006A140B">
        <w:rPr>
          <w:rFonts w:ascii="Book Antiqua" w:hAnsi="Book Antiqua"/>
        </w:rPr>
        <w:t xml:space="preserve">319 </w:t>
      </w:r>
      <w:r w:rsidRPr="006A140B">
        <w:rPr>
          <w:rFonts w:ascii="Book Antiqua" w:hAnsi="Book Antiqua"/>
          <w:b/>
          <w:bCs/>
        </w:rPr>
        <w:t>Reddy KR</w:t>
      </w:r>
      <w:r w:rsidRPr="006A140B">
        <w:rPr>
          <w:rFonts w:ascii="Book Antiqua" w:hAnsi="Book Antiqua"/>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6A140B">
        <w:rPr>
          <w:rFonts w:ascii="Book Antiqua" w:hAnsi="Book Antiqua"/>
          <w:i/>
          <w:iCs/>
          <w:lang w:val="pt-BR"/>
        </w:rPr>
        <w:t>Gastroenterology</w:t>
      </w:r>
      <w:r w:rsidRPr="006A140B">
        <w:rPr>
          <w:rFonts w:ascii="Book Antiqua" w:hAnsi="Book Antiqua"/>
          <w:lang w:val="pt-BR"/>
        </w:rPr>
        <w:t xml:space="preserve"> 2015; </w:t>
      </w:r>
      <w:r w:rsidRPr="006A140B">
        <w:rPr>
          <w:rFonts w:ascii="Book Antiqua" w:hAnsi="Book Antiqua"/>
          <w:b/>
          <w:bCs/>
          <w:lang w:val="pt-BR"/>
        </w:rPr>
        <w:t>148</w:t>
      </w:r>
      <w:r w:rsidRPr="006A140B">
        <w:rPr>
          <w:rFonts w:ascii="Book Antiqua" w:hAnsi="Book Antiqua"/>
          <w:lang w:val="pt-BR"/>
        </w:rPr>
        <w:t>: 215-9; quiz e16-7 [PMID: 25447850 DOI: 10.1053/j.gastro.2014.10.039]</w:t>
      </w:r>
    </w:p>
    <w:p w14:paraId="5C0B049F" w14:textId="77777777" w:rsidR="00495B7C" w:rsidRPr="006A140B" w:rsidRDefault="00495B7C" w:rsidP="00495B7C">
      <w:pPr>
        <w:spacing w:line="360" w:lineRule="auto"/>
        <w:jc w:val="both"/>
        <w:rPr>
          <w:rFonts w:ascii="Book Antiqua" w:hAnsi="Book Antiqua"/>
          <w:lang w:val="pt-BR"/>
        </w:rPr>
      </w:pPr>
      <w:r w:rsidRPr="006A140B">
        <w:rPr>
          <w:rFonts w:ascii="Book Antiqua" w:hAnsi="Book Antiqua"/>
          <w:lang w:val="pt-BR"/>
        </w:rPr>
        <w:t xml:space="preserve">320 </w:t>
      </w:r>
      <w:r w:rsidRPr="006A140B">
        <w:rPr>
          <w:rFonts w:ascii="Book Antiqua" w:hAnsi="Book Antiqua"/>
          <w:b/>
          <w:bCs/>
          <w:lang w:val="pt-BR"/>
        </w:rPr>
        <w:t>Choi J</w:t>
      </w:r>
      <w:r w:rsidRPr="006A140B">
        <w:rPr>
          <w:rFonts w:ascii="Book Antiqua" w:hAnsi="Book Antiqua"/>
          <w:lang w:val="pt-BR"/>
        </w:rPr>
        <w:t xml:space="preserve">, Jo C, Lim YS. Tenofovir Versus Entecavir on Recurrence of Hepatitis B Virus-Related Hepatocellular Carcinoma After Surgical Resection. </w:t>
      </w:r>
      <w:r w:rsidRPr="006A140B">
        <w:rPr>
          <w:rFonts w:ascii="Book Antiqua" w:hAnsi="Book Antiqua"/>
          <w:i/>
          <w:iCs/>
          <w:lang w:val="pt-BR"/>
        </w:rPr>
        <w:t>Hepatology</w:t>
      </w:r>
      <w:r w:rsidRPr="006A140B">
        <w:rPr>
          <w:rFonts w:ascii="Book Antiqua" w:hAnsi="Book Antiqua"/>
          <w:lang w:val="pt-BR"/>
        </w:rPr>
        <w:t xml:space="preserve"> 2021; </w:t>
      </w:r>
      <w:r w:rsidRPr="006A140B">
        <w:rPr>
          <w:rFonts w:ascii="Book Antiqua" w:hAnsi="Book Antiqua"/>
          <w:b/>
          <w:bCs/>
          <w:lang w:val="pt-BR"/>
        </w:rPr>
        <w:t>73</w:t>
      </w:r>
      <w:r w:rsidRPr="006A140B">
        <w:rPr>
          <w:rFonts w:ascii="Book Antiqua" w:hAnsi="Book Antiqua"/>
          <w:lang w:val="pt-BR"/>
        </w:rPr>
        <w:t>: 661-673 [PMID: 32324905 DOI: 10.1002/hep.31289]</w:t>
      </w:r>
    </w:p>
    <w:p w14:paraId="2DBD3B4D" w14:textId="77777777" w:rsidR="00495B7C" w:rsidRPr="006A140B" w:rsidRDefault="00495B7C" w:rsidP="00495B7C">
      <w:pPr>
        <w:spacing w:line="360" w:lineRule="auto"/>
        <w:jc w:val="both"/>
        <w:rPr>
          <w:rFonts w:ascii="Book Antiqua" w:hAnsi="Book Antiqua"/>
          <w:lang w:val="pt-BR"/>
        </w:rPr>
      </w:pPr>
      <w:r w:rsidRPr="006A140B">
        <w:rPr>
          <w:rFonts w:ascii="Book Antiqua" w:hAnsi="Book Antiqua"/>
          <w:lang w:val="pt-BR"/>
        </w:rPr>
        <w:t xml:space="preserve">321 </w:t>
      </w:r>
      <w:r w:rsidRPr="006A140B">
        <w:rPr>
          <w:rFonts w:ascii="Book Antiqua" w:hAnsi="Book Antiqua"/>
          <w:b/>
          <w:bCs/>
          <w:lang w:val="pt-BR"/>
        </w:rPr>
        <w:t>Hosaka T</w:t>
      </w:r>
      <w:r w:rsidRPr="006A140B">
        <w:rPr>
          <w:rFonts w:ascii="Book Antiqua" w:hAnsi="Book Antiqua"/>
          <w:lang w:val="pt-BR"/>
        </w:rPr>
        <w:t xml:space="preserve">, Suzuki F, Kobayashi M, Seko Y, Kawamura Y, Sezaki H, Akuta N, Suzuki Y, Saitoh S, Arase Y, Ikeda K, Kobayashi M, Kumada H. Long-term entecavir treatment reduces hepatocellular carcinoma incidence in patients with hepatitis B virus infection. </w:t>
      </w:r>
      <w:r w:rsidRPr="006A140B">
        <w:rPr>
          <w:rFonts w:ascii="Book Antiqua" w:hAnsi="Book Antiqua"/>
          <w:i/>
          <w:iCs/>
          <w:lang w:val="pt-BR"/>
        </w:rPr>
        <w:t>Hepatology</w:t>
      </w:r>
      <w:r w:rsidRPr="006A140B">
        <w:rPr>
          <w:rFonts w:ascii="Book Antiqua" w:hAnsi="Book Antiqua"/>
          <w:lang w:val="pt-BR"/>
        </w:rPr>
        <w:t xml:space="preserve"> 2013; </w:t>
      </w:r>
      <w:r w:rsidRPr="006A140B">
        <w:rPr>
          <w:rFonts w:ascii="Book Antiqua" w:hAnsi="Book Antiqua"/>
          <w:b/>
          <w:bCs/>
          <w:lang w:val="pt-BR"/>
        </w:rPr>
        <w:t>58</w:t>
      </w:r>
      <w:r w:rsidRPr="006A140B">
        <w:rPr>
          <w:rFonts w:ascii="Book Antiqua" w:hAnsi="Book Antiqua"/>
          <w:lang w:val="pt-BR"/>
        </w:rPr>
        <w:t>: 98-107 [PMID: 23213040 DOI: 10.1002/hep.26180]</w:t>
      </w:r>
    </w:p>
    <w:p w14:paraId="4F98D642" w14:textId="77777777" w:rsidR="00495B7C" w:rsidRPr="006A140B" w:rsidRDefault="00495B7C" w:rsidP="00495B7C">
      <w:pPr>
        <w:spacing w:line="360" w:lineRule="auto"/>
        <w:jc w:val="both"/>
        <w:rPr>
          <w:rFonts w:ascii="Book Antiqua" w:hAnsi="Book Antiqua"/>
        </w:rPr>
      </w:pPr>
      <w:r w:rsidRPr="006A140B">
        <w:rPr>
          <w:rFonts w:ascii="Book Antiqua" w:hAnsi="Book Antiqua"/>
          <w:lang w:val="pt-BR"/>
        </w:rPr>
        <w:t xml:space="preserve">322 </w:t>
      </w:r>
      <w:r w:rsidRPr="006A140B">
        <w:rPr>
          <w:rFonts w:ascii="Book Antiqua" w:hAnsi="Book Antiqua"/>
          <w:b/>
          <w:bCs/>
          <w:lang w:val="pt-BR"/>
        </w:rPr>
        <w:t>Liaw YF</w:t>
      </w:r>
      <w:r w:rsidRPr="006A140B">
        <w:rPr>
          <w:rFonts w:ascii="Book Antiqua" w:hAnsi="Book Antiqua"/>
          <w:lang w:val="pt-BR"/>
        </w:rPr>
        <w:t xml:space="preserve">, Sung JJ, Chow WC, Farrell G, Lee CZ, Yuen H, Tanwandee T, Tao QM, Shue K, Keene ON, Dixon JS, Gray DF, Sabbat J; Cirrhosis Asian Lamivudine Multicentre Study Group. </w:t>
      </w:r>
      <w:r w:rsidRPr="006A140B">
        <w:rPr>
          <w:rFonts w:ascii="Book Antiqua" w:hAnsi="Book Antiqua"/>
        </w:rPr>
        <w:t xml:space="preserve">Lamivudine for patients with chronic hepatitis B and advanced liver disease. </w:t>
      </w:r>
      <w:r w:rsidRPr="006A140B">
        <w:rPr>
          <w:rFonts w:ascii="Book Antiqua" w:hAnsi="Book Antiqua"/>
          <w:i/>
          <w:iCs/>
        </w:rPr>
        <w:t>N Engl J Med</w:t>
      </w:r>
      <w:r w:rsidRPr="006A140B">
        <w:rPr>
          <w:rFonts w:ascii="Book Antiqua" w:hAnsi="Book Antiqua"/>
        </w:rPr>
        <w:t xml:space="preserve"> 2004; </w:t>
      </w:r>
      <w:r w:rsidRPr="006A140B">
        <w:rPr>
          <w:rFonts w:ascii="Book Antiqua" w:hAnsi="Book Antiqua"/>
          <w:b/>
          <w:bCs/>
        </w:rPr>
        <w:t>351</w:t>
      </w:r>
      <w:r w:rsidRPr="006A140B">
        <w:rPr>
          <w:rFonts w:ascii="Book Antiqua" w:hAnsi="Book Antiqua"/>
        </w:rPr>
        <w:t>: 1521-1531 [PMID: 15470215 DOI: 10.1056/NEJMoa033364]</w:t>
      </w:r>
    </w:p>
    <w:p w14:paraId="35608149"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323 </w:t>
      </w:r>
      <w:r w:rsidRPr="006A140B">
        <w:rPr>
          <w:rFonts w:ascii="Book Antiqua" w:hAnsi="Book Antiqua"/>
          <w:b/>
          <w:bCs/>
        </w:rPr>
        <w:t>Tseng CH</w:t>
      </w:r>
      <w:r w:rsidRPr="006A140B">
        <w:rPr>
          <w:rFonts w:ascii="Book Antiqua" w:hAnsi="Book Antiqua"/>
        </w:rPr>
        <w:t xml:space="preserve">, Hsu YC, Chen TH, Ji F, Chen IS, Tsai YN, Hai H, Thuy LTT, Hosaka T, Sezaki H, Borghi JA, Cheung R, Enomoto M, Nguyen MH. Hepatocellular carcinoma incidence with tenofovir versus entecavir in chronic hepatitis B: a systematic review and meta-analysis. </w:t>
      </w:r>
      <w:r w:rsidRPr="006A140B">
        <w:rPr>
          <w:rFonts w:ascii="Book Antiqua" w:hAnsi="Book Antiqua"/>
          <w:i/>
          <w:iCs/>
        </w:rPr>
        <w:t>Lancet Gastroenterol Hepatol</w:t>
      </w:r>
      <w:r w:rsidRPr="006A140B">
        <w:rPr>
          <w:rFonts w:ascii="Book Antiqua" w:hAnsi="Book Antiqua"/>
        </w:rPr>
        <w:t xml:space="preserve"> 2020; </w:t>
      </w:r>
      <w:r w:rsidRPr="006A140B">
        <w:rPr>
          <w:rFonts w:ascii="Book Antiqua" w:hAnsi="Book Antiqua"/>
          <w:b/>
          <w:bCs/>
        </w:rPr>
        <w:t>5</w:t>
      </w:r>
      <w:r w:rsidRPr="006A140B">
        <w:rPr>
          <w:rFonts w:ascii="Book Antiqua" w:hAnsi="Book Antiqua"/>
        </w:rPr>
        <w:t>: 1039-1052 [PMID: 33007228 DOI: 10.1016/S2468-1253(20)30249-1]</w:t>
      </w:r>
    </w:p>
    <w:p w14:paraId="524CA92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324 </w:t>
      </w:r>
      <w:r w:rsidRPr="006A140B">
        <w:rPr>
          <w:rFonts w:ascii="Book Antiqua" w:hAnsi="Book Antiqua"/>
          <w:b/>
          <w:bCs/>
        </w:rPr>
        <w:t>Yip TC</w:t>
      </w:r>
      <w:r w:rsidRPr="006A140B">
        <w:rPr>
          <w:rFonts w:ascii="Book Antiqua" w:hAnsi="Book Antiqua"/>
        </w:rPr>
        <w:t xml:space="preserve">, Wong VW, Chan HL, Tse YK, Lui GC, Wong GL. Tenofovir Is Associated With Lower Risk of Hepatocellular Carcinoma Than Entecavir in Patients With Chronic HBV Infection in China. </w:t>
      </w:r>
      <w:r w:rsidRPr="006A140B">
        <w:rPr>
          <w:rFonts w:ascii="Book Antiqua" w:hAnsi="Book Antiqua"/>
          <w:i/>
          <w:iCs/>
        </w:rPr>
        <w:t>Gastroenterology</w:t>
      </w:r>
      <w:r w:rsidRPr="006A140B">
        <w:rPr>
          <w:rFonts w:ascii="Book Antiqua" w:hAnsi="Book Antiqua"/>
        </w:rPr>
        <w:t xml:space="preserve"> 2020; </w:t>
      </w:r>
      <w:r w:rsidRPr="006A140B">
        <w:rPr>
          <w:rFonts w:ascii="Book Antiqua" w:hAnsi="Book Antiqua"/>
          <w:b/>
          <w:bCs/>
        </w:rPr>
        <w:t>158</w:t>
      </w:r>
      <w:r w:rsidRPr="006A140B">
        <w:rPr>
          <w:rFonts w:ascii="Book Antiqua" w:hAnsi="Book Antiqua"/>
        </w:rPr>
        <w:t>: 215-225.e6 [PMID: 31574268 DOI: 10.1053/j.gastro.2019.09.025]</w:t>
      </w:r>
    </w:p>
    <w:p w14:paraId="620242F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325 </w:t>
      </w:r>
      <w:r w:rsidRPr="006A140B">
        <w:rPr>
          <w:rFonts w:ascii="Book Antiqua" w:hAnsi="Book Antiqua"/>
          <w:b/>
          <w:bCs/>
        </w:rPr>
        <w:t>Papatheodoridis GV</w:t>
      </w:r>
      <w:r w:rsidRPr="006A140B">
        <w:rPr>
          <w:rFonts w:ascii="Book Antiqua" w:hAnsi="Book Antiqua"/>
        </w:rPr>
        <w:t xml:space="preserve">, Idilman R, Dalekos GN, Buti M, Chi H, van Boemmel F, Calleja JL, Sypsa V, Goulis J, Manolakopoulos S, Loglio A, Siakavellas S, Keskın O, Gatselis N, Hansen BE, Lehretz M, de la Revilla J, Savvidou S, Kourikou A, Vlachogiannakos I, Galanis K, Yurdaydin C, Berg T, Colombo M, Esteban R, Janssen HLA, Lampertico P. The risk of hepatocellular carcinoma decreases after the first 5 years of entecavir or tenofovir in Caucasians with chronic hepatitis B. </w:t>
      </w:r>
      <w:r w:rsidRPr="006A140B">
        <w:rPr>
          <w:rFonts w:ascii="Book Antiqua" w:hAnsi="Book Antiqua"/>
          <w:i/>
          <w:iCs/>
        </w:rPr>
        <w:t>Hepatology</w:t>
      </w:r>
      <w:r w:rsidRPr="006A140B">
        <w:rPr>
          <w:rFonts w:ascii="Book Antiqua" w:hAnsi="Book Antiqua"/>
        </w:rPr>
        <w:t xml:space="preserve"> 2017; </w:t>
      </w:r>
      <w:r w:rsidRPr="006A140B">
        <w:rPr>
          <w:rFonts w:ascii="Book Antiqua" w:hAnsi="Book Antiqua"/>
          <w:b/>
          <w:bCs/>
        </w:rPr>
        <w:t>66</w:t>
      </w:r>
      <w:r w:rsidRPr="006A140B">
        <w:rPr>
          <w:rFonts w:ascii="Book Antiqua" w:hAnsi="Book Antiqua"/>
        </w:rPr>
        <w:t>: 1444-1453 [PMID: 28622419 DOI: 10.1002/hep.29320]</w:t>
      </w:r>
    </w:p>
    <w:p w14:paraId="0BD0CD7D"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326 </w:t>
      </w:r>
      <w:r w:rsidRPr="006A140B">
        <w:rPr>
          <w:rFonts w:ascii="Book Antiqua" w:hAnsi="Book Antiqua"/>
          <w:b/>
          <w:bCs/>
        </w:rPr>
        <w:t>Pellicelli AM</w:t>
      </w:r>
      <w:r w:rsidRPr="006A140B">
        <w:rPr>
          <w:rFonts w:ascii="Book Antiqua" w:hAnsi="Book Antiqua"/>
        </w:rPr>
        <w:t xml:space="preserve">, Vignally P, Messina V, Izzi A, Mazzoni E, Barlattani A, Bacca D, Romano M, Mecenate F, Stroffolini T, Furlan C, Picardi A, Gentilucci UV, Gulminetti R, Bonaventura ME, Villani R, D'Ambrosio C, Paffetti A, Mastropietro C, Marignani M, Fondacaro L, Cerasari G, Andreoli A, Barbarini G. Long term nucleotide and nucleoside analogs treatment in chronic hepatitis B HBeAg negative genotype D patients and risk for hepatocellular carcinoma. </w:t>
      </w:r>
      <w:r w:rsidRPr="006A140B">
        <w:rPr>
          <w:rFonts w:ascii="Book Antiqua" w:hAnsi="Book Antiqua"/>
          <w:i/>
          <w:iCs/>
        </w:rPr>
        <w:t>Ann Hepatol</w:t>
      </w:r>
      <w:r w:rsidRPr="006A140B">
        <w:rPr>
          <w:rFonts w:ascii="Book Antiqua" w:hAnsi="Book Antiqua"/>
        </w:rPr>
        <w:t xml:space="preserve"> 2014; </w:t>
      </w:r>
      <w:r w:rsidRPr="006A140B">
        <w:rPr>
          <w:rFonts w:ascii="Book Antiqua" w:hAnsi="Book Antiqua"/>
          <w:b/>
          <w:bCs/>
        </w:rPr>
        <w:t>13</w:t>
      </w:r>
      <w:r w:rsidRPr="006A140B">
        <w:rPr>
          <w:rFonts w:ascii="Book Antiqua" w:hAnsi="Book Antiqua"/>
        </w:rPr>
        <w:t>: 376-385 [PMID: 24927608]</w:t>
      </w:r>
    </w:p>
    <w:p w14:paraId="6467E54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327 </w:t>
      </w:r>
      <w:r w:rsidRPr="006A140B">
        <w:rPr>
          <w:rFonts w:ascii="Book Antiqua" w:hAnsi="Book Antiqua"/>
          <w:b/>
          <w:bCs/>
        </w:rPr>
        <w:t>Kim SS</w:t>
      </w:r>
      <w:r w:rsidRPr="006A140B">
        <w:rPr>
          <w:rFonts w:ascii="Book Antiqua" w:hAnsi="Book Antiqua"/>
        </w:rPr>
        <w:t xml:space="preserve">, Hwang JC, Lim SG, Ahn SJ, Cheong JY, Cho SW. Effect of virological response to entecavir on the development of hepatocellular carcinoma in hepatitis B viral cirrhotic patients: comparison between compensated and decompensated cirrhosis. </w:t>
      </w:r>
      <w:r w:rsidRPr="006A140B">
        <w:rPr>
          <w:rFonts w:ascii="Book Antiqua" w:hAnsi="Book Antiqua"/>
          <w:i/>
          <w:iCs/>
        </w:rPr>
        <w:t>Am J Gastroenterol</w:t>
      </w:r>
      <w:r w:rsidRPr="006A140B">
        <w:rPr>
          <w:rFonts w:ascii="Book Antiqua" w:hAnsi="Book Antiqua"/>
        </w:rPr>
        <w:t xml:space="preserve"> 2014; </w:t>
      </w:r>
      <w:r w:rsidRPr="006A140B">
        <w:rPr>
          <w:rFonts w:ascii="Book Antiqua" w:hAnsi="Book Antiqua"/>
          <w:b/>
          <w:bCs/>
        </w:rPr>
        <w:t>109</w:t>
      </w:r>
      <w:r w:rsidRPr="006A140B">
        <w:rPr>
          <w:rFonts w:ascii="Book Antiqua" w:hAnsi="Book Antiqua"/>
        </w:rPr>
        <w:t>: 1223-1233 [PMID: 24890440 DOI: 10.1038/ajg.2014.145]</w:t>
      </w:r>
    </w:p>
    <w:p w14:paraId="00D325AB"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328 </w:t>
      </w:r>
      <w:r w:rsidRPr="006A140B">
        <w:rPr>
          <w:rFonts w:ascii="Book Antiqua" w:hAnsi="Book Antiqua"/>
          <w:b/>
          <w:bCs/>
        </w:rPr>
        <w:t>Cho JY</w:t>
      </w:r>
      <w:r w:rsidRPr="006A140B">
        <w:rPr>
          <w:rFonts w:ascii="Book Antiqua" w:hAnsi="Book Antiqua"/>
        </w:rPr>
        <w:t xml:space="preserve">, Paik YH, Sohn W, Cho HC, Gwak GY, Choi MS, Lee JH, Koh KC, Paik SW, Yoo BC. Patients with chronic hepatitis B treated with oral antiviral therapy retain a higher risk for HCC compared with patients with inactive stage disease. </w:t>
      </w:r>
      <w:r w:rsidRPr="006A140B">
        <w:rPr>
          <w:rFonts w:ascii="Book Antiqua" w:hAnsi="Book Antiqua"/>
          <w:i/>
          <w:iCs/>
        </w:rPr>
        <w:t>Gut</w:t>
      </w:r>
      <w:r w:rsidRPr="006A140B">
        <w:rPr>
          <w:rFonts w:ascii="Book Antiqua" w:hAnsi="Book Antiqua"/>
        </w:rPr>
        <w:t xml:space="preserve"> 2014; </w:t>
      </w:r>
      <w:r w:rsidRPr="006A140B">
        <w:rPr>
          <w:rFonts w:ascii="Book Antiqua" w:hAnsi="Book Antiqua"/>
          <w:b/>
          <w:bCs/>
        </w:rPr>
        <w:t>63</w:t>
      </w:r>
      <w:r w:rsidRPr="006A140B">
        <w:rPr>
          <w:rFonts w:ascii="Book Antiqua" w:hAnsi="Book Antiqua"/>
        </w:rPr>
        <w:t>: 1943-1950 [PMID: 24615378 DOI: 10.1136/gutjnl-2013-306409]</w:t>
      </w:r>
    </w:p>
    <w:p w14:paraId="3F58BAE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329 </w:t>
      </w:r>
      <w:r w:rsidRPr="006A140B">
        <w:rPr>
          <w:rFonts w:ascii="Book Antiqua" w:hAnsi="Book Antiqua"/>
          <w:b/>
          <w:bCs/>
        </w:rPr>
        <w:t>Tenney DJ</w:t>
      </w:r>
      <w:r w:rsidRPr="006A140B">
        <w:rPr>
          <w:rFonts w:ascii="Book Antiqua" w:hAnsi="Book Antiqua"/>
        </w:rPr>
        <w:t xml:space="preserve">, Rose RE, Baldick CJ, Levine SM, Pokornowski KA, Walsh AW, Fang J, Yu CF, Zhang S, Mazzucco CE, Eggers B, Hsu M, Plym MJ, Poundstone P, Yang J, Colonno RJ. Two-year assessment of entecavir resistance in Lamivudine-refractory hepatitis B virus patients reveals different clinical outcomes depending on the resistance substitutions present. </w:t>
      </w:r>
      <w:r w:rsidRPr="006A140B">
        <w:rPr>
          <w:rFonts w:ascii="Book Antiqua" w:hAnsi="Book Antiqua"/>
          <w:i/>
          <w:iCs/>
        </w:rPr>
        <w:t>Antimicrob Agents Chemother</w:t>
      </w:r>
      <w:r w:rsidRPr="006A140B">
        <w:rPr>
          <w:rFonts w:ascii="Book Antiqua" w:hAnsi="Book Antiqua"/>
        </w:rPr>
        <w:t xml:space="preserve"> 2007; </w:t>
      </w:r>
      <w:r w:rsidRPr="006A140B">
        <w:rPr>
          <w:rFonts w:ascii="Book Antiqua" w:hAnsi="Book Antiqua"/>
          <w:b/>
          <w:bCs/>
        </w:rPr>
        <w:t>51</w:t>
      </w:r>
      <w:r w:rsidRPr="006A140B">
        <w:rPr>
          <w:rFonts w:ascii="Book Antiqua" w:hAnsi="Book Antiqua"/>
        </w:rPr>
        <w:t>: 902-911 [PMID: 17178796 DOI: 10.1128/AAC.00833-06]</w:t>
      </w:r>
    </w:p>
    <w:p w14:paraId="4A0823F0"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330 </w:t>
      </w:r>
      <w:r w:rsidRPr="006A140B">
        <w:rPr>
          <w:rFonts w:ascii="Book Antiqua" w:hAnsi="Book Antiqua"/>
          <w:b/>
          <w:bCs/>
        </w:rPr>
        <w:t>Tsai MC</w:t>
      </w:r>
      <w:r w:rsidRPr="006A140B">
        <w:rPr>
          <w:rFonts w:ascii="Book Antiqua" w:hAnsi="Book Antiqua"/>
        </w:rPr>
        <w:t xml:space="preserve">, Chen CH, Tseng PL, Hung CH, Chiu KW, Wang JH, Lu SN, Lee CM, Chang KC, Yen YH, Lin MT, Chou YP, Hu TH. Comparison of renal safety and efficacy of telbivudine, entecavir and tenofovir treatment in chronic hepatitis B patients: real world experience. </w:t>
      </w:r>
      <w:r w:rsidRPr="006A140B">
        <w:rPr>
          <w:rFonts w:ascii="Book Antiqua" w:hAnsi="Book Antiqua"/>
          <w:i/>
          <w:iCs/>
        </w:rPr>
        <w:t>Clin Microbiol Infect</w:t>
      </w:r>
      <w:r w:rsidRPr="006A140B">
        <w:rPr>
          <w:rFonts w:ascii="Book Antiqua" w:hAnsi="Book Antiqua"/>
        </w:rPr>
        <w:t xml:space="preserve"> 2016; </w:t>
      </w:r>
      <w:r w:rsidRPr="006A140B">
        <w:rPr>
          <w:rFonts w:ascii="Book Antiqua" w:hAnsi="Book Antiqua"/>
          <w:b/>
          <w:bCs/>
        </w:rPr>
        <w:t>22</w:t>
      </w:r>
      <w:r w:rsidRPr="006A140B">
        <w:rPr>
          <w:rFonts w:ascii="Book Antiqua" w:hAnsi="Book Antiqua"/>
        </w:rPr>
        <w:t>: 95.e1-95.e7 [PMID: 26055419 DOI: 10.1016/j.cmi.2015.05.035]</w:t>
      </w:r>
    </w:p>
    <w:p w14:paraId="35578D92"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331 </w:t>
      </w:r>
      <w:r w:rsidRPr="006A140B">
        <w:rPr>
          <w:rFonts w:ascii="Book Antiqua" w:hAnsi="Book Antiqua"/>
          <w:b/>
          <w:bCs/>
        </w:rPr>
        <w:t>Bryant ML</w:t>
      </w:r>
      <w:r w:rsidRPr="006A140B">
        <w:rPr>
          <w:rFonts w:ascii="Book Antiqua" w:hAnsi="Book Antiqua"/>
        </w:rPr>
        <w:t xml:space="preserve">, Bridges EG, Placidi L, Faraj A, Loi AG, Pierra C, Dukhan D, Gosselin G, Imbach JL, Hernandez B, Juodawlkis A, Tennant B, Korba B, Cote P, Marion P, Cretton-Scott E, Schinazi RF, Sommadossi JP. Antiviral L-nucleosides specific for hepatitis B virus infection. </w:t>
      </w:r>
      <w:r w:rsidRPr="006A140B">
        <w:rPr>
          <w:rFonts w:ascii="Book Antiqua" w:hAnsi="Book Antiqua"/>
          <w:i/>
          <w:iCs/>
        </w:rPr>
        <w:t>Antimicrob Agents Chemother</w:t>
      </w:r>
      <w:r w:rsidRPr="006A140B">
        <w:rPr>
          <w:rFonts w:ascii="Book Antiqua" w:hAnsi="Book Antiqua"/>
        </w:rPr>
        <w:t xml:space="preserve"> 2001; </w:t>
      </w:r>
      <w:r w:rsidRPr="006A140B">
        <w:rPr>
          <w:rFonts w:ascii="Book Antiqua" w:hAnsi="Book Antiqua"/>
          <w:b/>
          <w:bCs/>
        </w:rPr>
        <w:t>45</w:t>
      </w:r>
      <w:r w:rsidRPr="006A140B">
        <w:rPr>
          <w:rFonts w:ascii="Book Antiqua" w:hAnsi="Book Antiqua"/>
        </w:rPr>
        <w:t>: 229-235 [PMID: 11120971 DOI: 10.1128/AAC.45.1.229-235.2001]</w:t>
      </w:r>
    </w:p>
    <w:p w14:paraId="7ADEFCA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332 </w:t>
      </w:r>
      <w:r w:rsidRPr="006A140B">
        <w:rPr>
          <w:rFonts w:ascii="Book Antiqua" w:hAnsi="Book Antiqua"/>
          <w:b/>
          <w:bCs/>
        </w:rPr>
        <w:t>Genovesi EV</w:t>
      </w:r>
      <w:r w:rsidRPr="006A140B">
        <w:rPr>
          <w:rFonts w:ascii="Book Antiqua" w:hAnsi="Book Antiqua"/>
        </w:rPr>
        <w:t xml:space="preserve">, Lamb L, Medina I, Taylor D, Seifer M, Innaimo S, Colonno RJ, Standring DN, Clark JM. Efficacy of the carbocyclic 2'-deoxyguanosine nucleoside BMS-200475 in the woodchuck model of hepatitis B virus infection. </w:t>
      </w:r>
      <w:r w:rsidRPr="006A140B">
        <w:rPr>
          <w:rFonts w:ascii="Book Antiqua" w:hAnsi="Book Antiqua"/>
          <w:i/>
          <w:iCs/>
        </w:rPr>
        <w:t>Antimicrob Agents Chemother</w:t>
      </w:r>
      <w:r w:rsidRPr="006A140B">
        <w:rPr>
          <w:rFonts w:ascii="Book Antiqua" w:hAnsi="Book Antiqua"/>
        </w:rPr>
        <w:t xml:space="preserve"> 1998; </w:t>
      </w:r>
      <w:r w:rsidRPr="006A140B">
        <w:rPr>
          <w:rFonts w:ascii="Book Antiqua" w:hAnsi="Book Antiqua"/>
          <w:b/>
          <w:bCs/>
        </w:rPr>
        <w:t>42</w:t>
      </w:r>
      <w:r w:rsidRPr="006A140B">
        <w:rPr>
          <w:rFonts w:ascii="Book Antiqua" w:hAnsi="Book Antiqua"/>
        </w:rPr>
        <w:t>: 3209-3217 [PMID: 9835516 DOI: 10.1128/AAC.42.12.3209]</w:t>
      </w:r>
    </w:p>
    <w:p w14:paraId="578F2147"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333 </w:t>
      </w:r>
      <w:r w:rsidRPr="006A140B">
        <w:rPr>
          <w:rFonts w:ascii="Book Antiqua" w:hAnsi="Book Antiqua"/>
          <w:b/>
          <w:bCs/>
        </w:rPr>
        <w:t>Suzuki K</w:t>
      </w:r>
      <w:r w:rsidRPr="006A140B">
        <w:rPr>
          <w:rFonts w:ascii="Book Antiqua" w:hAnsi="Book Antiqua"/>
        </w:rPr>
        <w:t xml:space="preserve">, Suda G, Yamamoto Y, Furuya K, Baba M, Kimura M, Maehara O, Shimazaki T, Yamamoto K, Shigesawa T, Nakamura A, Ohara M, Kawagishi N, Nakai M, Sho T, Natsuizaka M, Morikawa K, Ogawa K, Sakamoto N; NORTE Study Group. Entecavir treatment of hepatitis B virus-infected patients with severe renal impairment and those on hemodialysis. </w:t>
      </w:r>
      <w:r w:rsidRPr="006A140B">
        <w:rPr>
          <w:rFonts w:ascii="Book Antiqua" w:hAnsi="Book Antiqua"/>
          <w:i/>
          <w:iCs/>
        </w:rPr>
        <w:t>Hepatol Res</w:t>
      </w:r>
      <w:r w:rsidRPr="006A140B">
        <w:rPr>
          <w:rFonts w:ascii="Book Antiqua" w:hAnsi="Book Antiqua"/>
        </w:rPr>
        <w:t xml:space="preserve"> 2019; </w:t>
      </w:r>
      <w:r w:rsidRPr="006A140B">
        <w:rPr>
          <w:rFonts w:ascii="Book Antiqua" w:hAnsi="Book Antiqua"/>
          <w:b/>
          <w:bCs/>
        </w:rPr>
        <w:t>49</w:t>
      </w:r>
      <w:r w:rsidRPr="006A140B">
        <w:rPr>
          <w:rFonts w:ascii="Book Antiqua" w:hAnsi="Book Antiqua"/>
        </w:rPr>
        <w:t>: 1294-1304 [PMID: 31260579 DOI: 10.1111/hepr.13399]</w:t>
      </w:r>
    </w:p>
    <w:p w14:paraId="28FC8AD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334 </w:t>
      </w:r>
      <w:r w:rsidRPr="006A140B">
        <w:rPr>
          <w:rFonts w:ascii="Book Antiqua" w:hAnsi="Book Antiqua"/>
          <w:b/>
          <w:bCs/>
        </w:rPr>
        <w:t>Matthews SJ</w:t>
      </w:r>
      <w:r w:rsidRPr="006A140B">
        <w:rPr>
          <w:rFonts w:ascii="Book Antiqua" w:hAnsi="Book Antiqua"/>
        </w:rPr>
        <w:t xml:space="preserve">. Entecavir for the treatment of chronic hepatitis B virus infection. </w:t>
      </w:r>
      <w:r w:rsidRPr="006A140B">
        <w:rPr>
          <w:rFonts w:ascii="Book Antiqua" w:hAnsi="Book Antiqua"/>
          <w:i/>
          <w:iCs/>
        </w:rPr>
        <w:t>Clin Ther</w:t>
      </w:r>
      <w:r w:rsidRPr="006A140B">
        <w:rPr>
          <w:rFonts w:ascii="Book Antiqua" w:hAnsi="Book Antiqua"/>
        </w:rPr>
        <w:t xml:space="preserve"> 2006; </w:t>
      </w:r>
      <w:r w:rsidRPr="006A140B">
        <w:rPr>
          <w:rFonts w:ascii="Book Antiqua" w:hAnsi="Book Antiqua"/>
          <w:b/>
          <w:bCs/>
        </w:rPr>
        <w:t>28</w:t>
      </w:r>
      <w:r w:rsidRPr="006A140B">
        <w:rPr>
          <w:rFonts w:ascii="Book Antiqua" w:hAnsi="Book Antiqua"/>
        </w:rPr>
        <w:t>: 184-203 [PMID: 16678641 DOI: 10.1016/j.clinthera.2006.02.012]</w:t>
      </w:r>
    </w:p>
    <w:p w14:paraId="7B664E96" w14:textId="1365E060" w:rsidR="00495B7C" w:rsidRPr="006A140B" w:rsidRDefault="00495B7C" w:rsidP="00495B7C">
      <w:pPr>
        <w:spacing w:line="360" w:lineRule="auto"/>
        <w:jc w:val="both"/>
        <w:rPr>
          <w:rFonts w:ascii="Book Antiqua" w:hAnsi="Book Antiqua"/>
        </w:rPr>
      </w:pPr>
      <w:r w:rsidRPr="006A140B">
        <w:rPr>
          <w:rFonts w:ascii="Book Antiqua" w:hAnsi="Book Antiqua"/>
        </w:rPr>
        <w:t xml:space="preserve">335 </w:t>
      </w:r>
      <w:r w:rsidRPr="006A140B">
        <w:rPr>
          <w:rFonts w:ascii="Book Antiqua" w:hAnsi="Book Antiqua"/>
          <w:b/>
          <w:bCs/>
        </w:rPr>
        <w:t xml:space="preserve">Bristol-Myers Squibb Company. </w:t>
      </w:r>
      <w:r w:rsidRPr="006A140B">
        <w:rPr>
          <w:rFonts w:ascii="Book Antiqua" w:hAnsi="Book Antiqua"/>
        </w:rPr>
        <w:t xml:space="preserve">BARACLUDE (entecavir) [package insert]. U.S. Food and Drug Administration website. </w:t>
      </w:r>
      <w:r w:rsidR="00BA0CCC" w:rsidRPr="006A140B">
        <w:rPr>
          <w:rFonts w:ascii="Book Antiqua" w:hAnsi="Book Antiqua"/>
        </w:rPr>
        <w:t xml:space="preserve">[cited 12 March 2021]. </w:t>
      </w:r>
      <w:r w:rsidR="00BA0CCC" w:rsidRPr="006A140B">
        <w:rPr>
          <w:rFonts w:ascii="Book Antiqua" w:eastAsia="宋体" w:hAnsi="Book Antiqua" w:cs="Arial"/>
          <w:bCs/>
        </w:rPr>
        <w:t xml:space="preserve">Available from: </w:t>
      </w:r>
      <w:r w:rsidRPr="006A140B">
        <w:rPr>
          <w:rFonts w:ascii="Book Antiqua" w:hAnsi="Book Antiqua"/>
        </w:rPr>
        <w:t>https://www.accessdata.fda.gov/drugsatfda_docs/label/2019/021797s023, 021798s024lbl.pdf</w:t>
      </w:r>
    </w:p>
    <w:p w14:paraId="1EE1C874" w14:textId="41AB1D5B" w:rsidR="00495B7C" w:rsidRPr="006A140B" w:rsidRDefault="00495B7C" w:rsidP="00495B7C">
      <w:pPr>
        <w:spacing w:line="360" w:lineRule="auto"/>
        <w:jc w:val="both"/>
        <w:rPr>
          <w:rFonts w:ascii="Book Antiqua" w:hAnsi="Book Antiqua"/>
        </w:rPr>
      </w:pPr>
      <w:r w:rsidRPr="006A140B">
        <w:rPr>
          <w:rFonts w:ascii="Book Antiqua" w:hAnsi="Book Antiqua"/>
        </w:rPr>
        <w:t xml:space="preserve">336 </w:t>
      </w:r>
      <w:r w:rsidRPr="006A140B">
        <w:rPr>
          <w:rFonts w:ascii="Book Antiqua" w:hAnsi="Book Antiqua"/>
          <w:b/>
          <w:bCs/>
        </w:rPr>
        <w:t>Gilead Sciences,</w:t>
      </w:r>
      <w:r w:rsidRPr="006A140B">
        <w:rPr>
          <w:rFonts w:ascii="Book Antiqua" w:hAnsi="Book Antiqua"/>
        </w:rPr>
        <w:t xml:space="preserve"> </w:t>
      </w:r>
      <w:r w:rsidRPr="006A140B">
        <w:rPr>
          <w:rFonts w:ascii="Book Antiqua" w:hAnsi="Book Antiqua"/>
          <w:b/>
          <w:bCs/>
        </w:rPr>
        <w:t xml:space="preserve">Inc. </w:t>
      </w:r>
      <w:r w:rsidRPr="006A140B">
        <w:rPr>
          <w:rFonts w:ascii="Book Antiqua" w:hAnsi="Book Antiqua"/>
        </w:rPr>
        <w:t xml:space="preserve">VIREAD (tenofovir disoproxil fumarate) [package insert]. U.S. Food and Drug Administration website. </w:t>
      </w:r>
      <w:r w:rsidR="00DF71B6" w:rsidRPr="006A140B">
        <w:rPr>
          <w:rFonts w:ascii="Book Antiqua" w:hAnsi="Book Antiqua"/>
        </w:rPr>
        <w:t xml:space="preserve">[cited 12 March 2021]. </w:t>
      </w:r>
      <w:r w:rsidR="00DF71B6" w:rsidRPr="006A140B">
        <w:rPr>
          <w:rFonts w:ascii="Book Antiqua" w:eastAsia="宋体" w:hAnsi="Book Antiqua" w:cs="Arial"/>
          <w:bCs/>
        </w:rPr>
        <w:t xml:space="preserve">Available from: </w:t>
      </w:r>
      <w:r w:rsidRPr="006A140B">
        <w:rPr>
          <w:rFonts w:ascii="Book Antiqua" w:hAnsi="Book Antiqua"/>
        </w:rPr>
        <w:t>https://www.accessdata.fda.gov/drugsatfda_docs/label/2019/021356s058,022577s014lbl.pdf</w:t>
      </w:r>
    </w:p>
    <w:p w14:paraId="56D3DCA3"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337 </w:t>
      </w:r>
      <w:r w:rsidRPr="006A140B">
        <w:rPr>
          <w:rFonts w:ascii="Book Antiqua" w:hAnsi="Book Antiqua"/>
          <w:b/>
          <w:bCs/>
        </w:rPr>
        <w:t>Ustianowski A</w:t>
      </w:r>
      <w:r w:rsidRPr="006A140B">
        <w:rPr>
          <w:rFonts w:ascii="Book Antiqua" w:hAnsi="Book Antiqua"/>
        </w:rPr>
        <w:t xml:space="preserve">, Arends JE. Tenofovir: What We Have Learnt After 7.5 Million Person-Years of Use. </w:t>
      </w:r>
      <w:r w:rsidRPr="006A140B">
        <w:rPr>
          <w:rFonts w:ascii="Book Antiqua" w:hAnsi="Book Antiqua"/>
          <w:i/>
          <w:iCs/>
        </w:rPr>
        <w:t>Infect Dis Ther</w:t>
      </w:r>
      <w:r w:rsidRPr="006A140B">
        <w:rPr>
          <w:rFonts w:ascii="Book Antiqua" w:hAnsi="Book Antiqua"/>
        </w:rPr>
        <w:t xml:space="preserve"> 2015; </w:t>
      </w:r>
      <w:r w:rsidRPr="006A140B">
        <w:rPr>
          <w:rFonts w:ascii="Book Antiqua" w:hAnsi="Book Antiqua"/>
          <w:b/>
          <w:bCs/>
        </w:rPr>
        <w:t>4</w:t>
      </w:r>
      <w:r w:rsidRPr="006A140B">
        <w:rPr>
          <w:rFonts w:ascii="Book Antiqua" w:hAnsi="Book Antiqua"/>
        </w:rPr>
        <w:t>: 145-157 [PMID: 26032649 DOI: 10.1007/s40121-015-0070-1]</w:t>
      </w:r>
    </w:p>
    <w:p w14:paraId="18C43288"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338 </w:t>
      </w:r>
      <w:r w:rsidRPr="006A140B">
        <w:rPr>
          <w:rFonts w:ascii="Book Antiqua" w:hAnsi="Book Antiqua"/>
          <w:b/>
          <w:bCs/>
        </w:rPr>
        <w:t>Morlat P</w:t>
      </w:r>
      <w:r w:rsidRPr="006A140B">
        <w:rPr>
          <w:rFonts w:ascii="Book Antiqua" w:hAnsi="Book Antiqua"/>
        </w:rPr>
        <w:t xml:space="preserve">, Vivot A, Vandenhende MA, Dauchy FA, Asselineau J, Déti E, Gerard Y, Lazaro E, Duffau P, Neau D, Bonnet F, Chêne G; Groupe D’epidémiologie Clinique du Sida en Aquitaine (Gecsa). Role of traditional risk factors and antiretroviral drugs in the incidence of chronic kidney disease, ANRS CO3 Aquitaine cohort, France, 2004-2012. </w:t>
      </w:r>
      <w:r w:rsidRPr="006A140B">
        <w:rPr>
          <w:rFonts w:ascii="Book Antiqua" w:hAnsi="Book Antiqua"/>
          <w:i/>
          <w:iCs/>
        </w:rPr>
        <w:t>PLoS One</w:t>
      </w:r>
      <w:r w:rsidRPr="006A140B">
        <w:rPr>
          <w:rFonts w:ascii="Book Antiqua" w:hAnsi="Book Antiqua"/>
        </w:rPr>
        <w:t xml:space="preserve"> 2013; </w:t>
      </w:r>
      <w:r w:rsidRPr="006A140B">
        <w:rPr>
          <w:rFonts w:ascii="Book Antiqua" w:hAnsi="Book Antiqua"/>
          <w:b/>
          <w:bCs/>
        </w:rPr>
        <w:t>8</w:t>
      </w:r>
      <w:r w:rsidRPr="006A140B">
        <w:rPr>
          <w:rFonts w:ascii="Book Antiqua" w:hAnsi="Book Antiqua"/>
        </w:rPr>
        <w:t>: e66223 [PMID: 23776637 DOI: 10.1371/journal.pone.0066223]</w:t>
      </w:r>
    </w:p>
    <w:p w14:paraId="39D352AA"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339 </w:t>
      </w:r>
      <w:r w:rsidRPr="006A140B">
        <w:rPr>
          <w:rFonts w:ascii="Book Antiqua" w:hAnsi="Book Antiqua"/>
          <w:b/>
          <w:bCs/>
        </w:rPr>
        <w:t>Lucas GM</w:t>
      </w:r>
      <w:r w:rsidRPr="006A140B">
        <w:rPr>
          <w:rFonts w:ascii="Book Antiqua" w:hAnsi="Book Antiqua"/>
        </w:rPr>
        <w:t xml:space="preserve">, Ross MJ, Stock PG, Shlipak MG, Wyatt CM, Gupta SK, Atta MG, Wools-Kaloustian KK, Pham PA, Bruggeman LA, Lennox JL, Ray PE, Kalayjian RC; HIV Medicine Association of the Infectious Diseases Society of America. Clinical practice guideline for the management of chronic kidney disease in patients infected with HIV: 2014 update by the HIV Medicine Association of the Infectious Diseases Society of America. </w:t>
      </w:r>
      <w:r w:rsidRPr="006A140B">
        <w:rPr>
          <w:rFonts w:ascii="Book Antiqua" w:hAnsi="Book Antiqua"/>
          <w:i/>
          <w:iCs/>
        </w:rPr>
        <w:t>Clin Infect Dis</w:t>
      </w:r>
      <w:r w:rsidRPr="006A140B">
        <w:rPr>
          <w:rFonts w:ascii="Book Antiqua" w:hAnsi="Book Antiqua"/>
        </w:rPr>
        <w:t xml:space="preserve"> 2014; </w:t>
      </w:r>
      <w:r w:rsidRPr="006A140B">
        <w:rPr>
          <w:rFonts w:ascii="Book Antiqua" w:hAnsi="Book Antiqua"/>
          <w:b/>
          <w:bCs/>
        </w:rPr>
        <w:t>59</w:t>
      </w:r>
      <w:r w:rsidRPr="006A140B">
        <w:rPr>
          <w:rFonts w:ascii="Book Antiqua" w:hAnsi="Book Antiqua"/>
        </w:rPr>
        <w:t>: e96-138 [PMID: 25234519 DOI: 10.1093/cid/ciu617]</w:t>
      </w:r>
    </w:p>
    <w:p w14:paraId="7B1713A1"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340 </w:t>
      </w:r>
      <w:r w:rsidRPr="006A140B">
        <w:rPr>
          <w:rFonts w:ascii="Book Antiqua" w:hAnsi="Book Antiqua"/>
          <w:b/>
          <w:bCs/>
        </w:rPr>
        <w:t>Jeon MY</w:t>
      </w:r>
      <w:r w:rsidRPr="006A140B">
        <w:rPr>
          <w:rFonts w:ascii="Book Antiqua" w:hAnsi="Book Antiqua"/>
        </w:rPr>
        <w:t xml:space="preserve">, Lee JS, Lee HW, Kim BK, Park JY, Kim DY, Han KH, Ahn SH, Kim SU. Entecavir and tenofovir on renal function in patients with hepatitis B virus-related hepatocellular carcinoma. </w:t>
      </w:r>
      <w:r w:rsidRPr="006A140B">
        <w:rPr>
          <w:rFonts w:ascii="Book Antiqua" w:hAnsi="Book Antiqua"/>
          <w:i/>
          <w:iCs/>
        </w:rPr>
        <w:t>J Viral Hepat</w:t>
      </w:r>
      <w:r w:rsidRPr="006A140B">
        <w:rPr>
          <w:rFonts w:ascii="Book Antiqua" w:hAnsi="Book Antiqua"/>
        </w:rPr>
        <w:t xml:space="preserve"> 2020; </w:t>
      </w:r>
      <w:r w:rsidRPr="006A140B">
        <w:rPr>
          <w:rFonts w:ascii="Book Antiqua" w:hAnsi="Book Antiqua"/>
          <w:b/>
          <w:bCs/>
        </w:rPr>
        <w:t>27</w:t>
      </w:r>
      <w:r w:rsidRPr="006A140B">
        <w:rPr>
          <w:rFonts w:ascii="Book Antiqua" w:hAnsi="Book Antiqua"/>
        </w:rPr>
        <w:t>: 932-940 [PMID: 32365240 DOI: 10.1111/jvh.13313]</w:t>
      </w:r>
    </w:p>
    <w:p w14:paraId="3F58F974"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341 </w:t>
      </w:r>
      <w:r w:rsidRPr="006A140B">
        <w:rPr>
          <w:rFonts w:ascii="Book Antiqua" w:hAnsi="Book Antiqua"/>
          <w:b/>
          <w:bCs/>
        </w:rPr>
        <w:t>Murakami E</w:t>
      </w:r>
      <w:r w:rsidRPr="006A140B">
        <w:rPr>
          <w:rFonts w:ascii="Book Antiqua" w:hAnsi="Book Antiqua"/>
        </w:rPr>
        <w:t xml:space="preserve">, Wang T, Park Y, Hao J, Lepist EI, Babusis D, Ray AS. Implications of efficient hepatic delivery by tenofovir alafenamide (GS-7340) for hepatitis B virus therapy. </w:t>
      </w:r>
      <w:r w:rsidRPr="006A140B">
        <w:rPr>
          <w:rFonts w:ascii="Book Antiqua" w:hAnsi="Book Antiqua"/>
          <w:i/>
          <w:iCs/>
        </w:rPr>
        <w:t>Antimicrob Agents Chemother</w:t>
      </w:r>
      <w:r w:rsidRPr="006A140B">
        <w:rPr>
          <w:rFonts w:ascii="Book Antiqua" w:hAnsi="Book Antiqua"/>
        </w:rPr>
        <w:t xml:space="preserve"> 2015; </w:t>
      </w:r>
      <w:r w:rsidRPr="006A140B">
        <w:rPr>
          <w:rFonts w:ascii="Book Antiqua" w:hAnsi="Book Antiqua"/>
          <w:b/>
          <w:bCs/>
        </w:rPr>
        <w:t>59</w:t>
      </w:r>
      <w:r w:rsidRPr="006A140B">
        <w:rPr>
          <w:rFonts w:ascii="Book Antiqua" w:hAnsi="Book Antiqua"/>
        </w:rPr>
        <w:t>: 3563-3569 [PMID: 25870059 DOI: 10.1128/AAC.00128-15]</w:t>
      </w:r>
    </w:p>
    <w:p w14:paraId="5366BB9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342 </w:t>
      </w:r>
      <w:r w:rsidRPr="006A140B">
        <w:rPr>
          <w:rFonts w:ascii="Book Antiqua" w:hAnsi="Book Antiqua"/>
          <w:b/>
          <w:bCs/>
        </w:rPr>
        <w:t>Agarwal K</w:t>
      </w:r>
      <w:r w:rsidRPr="006A140B">
        <w:rPr>
          <w:rFonts w:ascii="Book Antiqua" w:hAnsi="Book Antiqua"/>
        </w:rPr>
        <w:t>, Brunetto M, Seto WK, Lim YS, Fung S, Marcellin P, Ahn SH, Izumi N, Chuang WL, Bae H, Sharma M, Janssen HLA, Pan CQ, Çelen MK, Furusyo N, Shalimar D, Yoon KT, Trinh H, Flaherty JF, Gaggar A, Lau AH, Cathcart AL, Lin L, Bhardwaj N, Suri V, Mani Subramanian G, Gane EJ, Buti M, Chan HLY; GS-US-320-0110; GS-US-320-0108 Investigators. 96</w:t>
      </w:r>
      <w:r w:rsidRPr="006A140B">
        <w:t> </w:t>
      </w:r>
      <w:r w:rsidRPr="006A140B">
        <w:rPr>
          <w:rFonts w:ascii="Book Antiqua" w:hAnsi="Book Antiqua"/>
        </w:rPr>
        <w:t xml:space="preserve">weeks treatment of tenofovir alafenamide vs. tenofovir disoproxil fumarate for hepatitis B virus infection. </w:t>
      </w:r>
      <w:r w:rsidRPr="006A140B">
        <w:rPr>
          <w:rFonts w:ascii="Book Antiqua" w:hAnsi="Book Antiqua"/>
          <w:i/>
          <w:iCs/>
        </w:rPr>
        <w:t>J Hepatol</w:t>
      </w:r>
      <w:r w:rsidRPr="006A140B">
        <w:rPr>
          <w:rFonts w:ascii="Book Antiqua" w:hAnsi="Book Antiqua"/>
        </w:rPr>
        <w:t xml:space="preserve"> 2018; </w:t>
      </w:r>
      <w:r w:rsidRPr="006A140B">
        <w:rPr>
          <w:rFonts w:ascii="Book Antiqua" w:hAnsi="Book Antiqua"/>
          <w:b/>
          <w:bCs/>
        </w:rPr>
        <w:t>68</w:t>
      </w:r>
      <w:r w:rsidRPr="006A140B">
        <w:rPr>
          <w:rFonts w:ascii="Book Antiqua" w:hAnsi="Book Antiqua"/>
        </w:rPr>
        <w:t>: 672-681 [PMID: 29756595 DOI: 10.1016/j.jhep.2017.11.039]</w:t>
      </w:r>
    </w:p>
    <w:p w14:paraId="27388C7E" w14:textId="77777777" w:rsidR="00495B7C" w:rsidRPr="006A140B" w:rsidRDefault="00495B7C" w:rsidP="00495B7C">
      <w:pPr>
        <w:spacing w:line="360" w:lineRule="auto"/>
        <w:jc w:val="both"/>
        <w:rPr>
          <w:rFonts w:ascii="Book Antiqua" w:hAnsi="Book Antiqua"/>
        </w:rPr>
      </w:pPr>
      <w:r w:rsidRPr="006A140B">
        <w:rPr>
          <w:rFonts w:ascii="Book Antiqua" w:hAnsi="Book Antiqua"/>
        </w:rPr>
        <w:t xml:space="preserve">343 </w:t>
      </w:r>
      <w:r w:rsidRPr="006A140B">
        <w:rPr>
          <w:rFonts w:ascii="Book Antiqua" w:hAnsi="Book Antiqua"/>
          <w:b/>
          <w:bCs/>
        </w:rPr>
        <w:t>Bam RA</w:t>
      </w:r>
      <w:r w:rsidRPr="006A140B">
        <w:rPr>
          <w:rFonts w:ascii="Book Antiqua" w:hAnsi="Book Antiqua"/>
        </w:rPr>
        <w:t xml:space="preserve">, Yant SR, Cihlar T. Tenofovir alafenamide is not a substrate for renal organic anion transporters (OATs) and does not exhibit OAT-dependent cytotoxicity. </w:t>
      </w:r>
      <w:r w:rsidRPr="006A140B">
        <w:rPr>
          <w:rFonts w:ascii="Book Antiqua" w:hAnsi="Book Antiqua"/>
          <w:i/>
          <w:iCs/>
        </w:rPr>
        <w:t>Antivir Ther</w:t>
      </w:r>
      <w:r w:rsidRPr="006A140B">
        <w:rPr>
          <w:rFonts w:ascii="Book Antiqua" w:hAnsi="Book Antiqua"/>
        </w:rPr>
        <w:t xml:space="preserve"> 2014; </w:t>
      </w:r>
      <w:r w:rsidRPr="006A140B">
        <w:rPr>
          <w:rFonts w:ascii="Book Antiqua" w:hAnsi="Book Antiqua"/>
          <w:b/>
          <w:bCs/>
        </w:rPr>
        <w:t>19</w:t>
      </w:r>
      <w:r w:rsidRPr="006A140B">
        <w:rPr>
          <w:rFonts w:ascii="Book Antiqua" w:hAnsi="Book Antiqua"/>
        </w:rPr>
        <w:t>: 687-692 [PMID: 24699134 DOI: 10.3851/IMP2770]</w:t>
      </w:r>
    </w:p>
    <w:p w14:paraId="5D04D947" w14:textId="437541E8"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color w:val="000000"/>
        </w:rPr>
        <w:t>34</w:t>
      </w:r>
      <w:r w:rsidR="009C6ECE" w:rsidRPr="006A140B">
        <w:rPr>
          <w:rFonts w:ascii="Book Antiqua" w:eastAsia="Book Antiqua" w:hAnsi="Book Antiqua" w:cs="Book Antiqua"/>
          <w:color w:val="000000"/>
        </w:rPr>
        <w:t>4</w:t>
      </w:r>
      <w:r w:rsidRPr="006A140B">
        <w:rPr>
          <w:rFonts w:ascii="Book Antiqua" w:eastAsia="Book Antiqua" w:hAnsi="Book Antiqua" w:cs="Book Antiqua"/>
          <w:color w:val="000000"/>
        </w:rPr>
        <w:t xml:space="preserve"> </w:t>
      </w:r>
      <w:r w:rsidRPr="006A140B">
        <w:rPr>
          <w:rFonts w:ascii="Book Antiqua" w:eastAsia="Book Antiqua" w:hAnsi="Book Antiqua" w:cs="Book Antiqua"/>
          <w:b/>
          <w:bCs/>
          <w:color w:val="000000"/>
        </w:rPr>
        <w:t>Gilead Sciences,</w:t>
      </w:r>
      <w:r w:rsidRPr="006A140B">
        <w:rPr>
          <w:rFonts w:ascii="Book Antiqua" w:eastAsia="Book Antiqua" w:hAnsi="Book Antiqua" w:cs="Book Antiqua"/>
          <w:color w:val="000000"/>
        </w:rPr>
        <w:t xml:space="preserve"> </w:t>
      </w:r>
      <w:r w:rsidRPr="006A140B">
        <w:rPr>
          <w:rFonts w:ascii="Book Antiqua" w:eastAsia="Book Antiqua" w:hAnsi="Book Antiqua" w:cs="Book Antiqua"/>
          <w:b/>
          <w:bCs/>
          <w:color w:val="000000"/>
        </w:rPr>
        <w:t>Inc.</w:t>
      </w:r>
      <w:r w:rsidRPr="006A140B">
        <w:rPr>
          <w:rFonts w:ascii="Book Antiqua" w:eastAsia="Book Antiqua" w:hAnsi="Book Antiqua" w:cs="Book Antiqua"/>
          <w:color w:val="000000"/>
        </w:rPr>
        <w:t xml:space="preserve"> VEMLIDY (tenofovir alafenamide) [package insert]. U.S. Food and Drug Administration website. </w:t>
      </w:r>
      <w:r w:rsidR="00CC51C5" w:rsidRPr="006A140B">
        <w:rPr>
          <w:rFonts w:ascii="Book Antiqua" w:eastAsia="Book Antiqua" w:hAnsi="Book Antiqua" w:cs="Book Antiqua"/>
          <w:color w:val="000000"/>
        </w:rPr>
        <w:t xml:space="preserve">[cited </w:t>
      </w:r>
      <w:r w:rsidR="0084712A" w:rsidRPr="006A140B">
        <w:rPr>
          <w:rFonts w:ascii="Book Antiqua" w:eastAsia="Book Antiqua" w:hAnsi="Book Antiqua" w:cs="Book Antiqua"/>
          <w:color w:val="000000"/>
        </w:rPr>
        <w:t xml:space="preserve">12 </w:t>
      </w:r>
      <w:r w:rsidR="00CC51C5" w:rsidRPr="006A140B">
        <w:rPr>
          <w:rFonts w:ascii="Book Antiqua" w:eastAsia="Book Antiqua" w:hAnsi="Book Antiqua" w:cs="Book Antiqua"/>
          <w:color w:val="000000"/>
        </w:rPr>
        <w:t xml:space="preserve">March 2021]. </w:t>
      </w:r>
      <w:r w:rsidR="0075265A" w:rsidRPr="006A140B">
        <w:rPr>
          <w:rFonts w:ascii="Book Antiqua" w:eastAsia="宋体" w:hAnsi="Book Antiqua" w:cs="Arial"/>
          <w:bCs/>
        </w:rPr>
        <w:t xml:space="preserve">Available from: </w:t>
      </w:r>
      <w:r w:rsidRPr="006A140B">
        <w:rPr>
          <w:rFonts w:ascii="Book Antiqua" w:eastAsia="Book Antiqua" w:hAnsi="Book Antiqua" w:cs="Book Antiqua"/>
          <w:color w:val="000000"/>
        </w:rPr>
        <w:t>https://www.accessdata.fda.gov/drugsatfda_docs/Label/2021/208464s012 Lbl.pdf</w:t>
      </w:r>
      <w:bookmarkEnd w:id="3"/>
    </w:p>
    <w:bookmarkEnd w:id="4"/>
    <w:p w14:paraId="1E106E95" w14:textId="77777777" w:rsidR="00A77B3E" w:rsidRPr="006A140B" w:rsidRDefault="00A77B3E" w:rsidP="00495B7C">
      <w:pPr>
        <w:spacing w:line="360" w:lineRule="auto"/>
        <w:jc w:val="both"/>
        <w:rPr>
          <w:rFonts w:ascii="Book Antiqua" w:hAnsi="Book Antiqua"/>
        </w:rPr>
        <w:sectPr w:rsidR="00A77B3E" w:rsidRPr="006A140B">
          <w:pgSz w:w="12240" w:h="15840"/>
          <w:pgMar w:top="1440" w:right="1440" w:bottom="1440" w:left="1440" w:header="720" w:footer="720" w:gutter="0"/>
          <w:cols w:space="720"/>
          <w:docGrid w:linePitch="360"/>
        </w:sectPr>
      </w:pPr>
    </w:p>
    <w:p w14:paraId="585FD7A9" w14:textId="77777777" w:rsidR="00EB2F47" w:rsidRPr="006A140B" w:rsidRDefault="00EB2F47" w:rsidP="00495B7C">
      <w:pPr>
        <w:spacing w:line="360" w:lineRule="auto"/>
        <w:jc w:val="both"/>
        <w:rPr>
          <w:rFonts w:ascii="Book Antiqua" w:hAnsi="Book Antiqua" w:cs="Book Antiqua"/>
          <w:b/>
          <w:color w:val="000000"/>
          <w:lang w:eastAsia="zh-CN"/>
        </w:rPr>
      </w:pPr>
    </w:p>
    <w:p w14:paraId="776F1248"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Footnotes</w:t>
      </w:r>
    </w:p>
    <w:p w14:paraId="7B1D5149"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Conflict-of-interest statement: </w:t>
      </w:r>
      <w:r w:rsidRPr="006A140B">
        <w:rPr>
          <w:rFonts w:ascii="Book Antiqua" w:eastAsia="Book Antiqua" w:hAnsi="Book Antiqua" w:cs="Book Antiqua"/>
          <w:color w:val="000000"/>
        </w:rPr>
        <w:t>The authors declare no competing financial interests.</w:t>
      </w:r>
    </w:p>
    <w:p w14:paraId="2EC4448C" w14:textId="77777777" w:rsidR="00A77B3E" w:rsidRPr="006A140B" w:rsidRDefault="00A77B3E" w:rsidP="00495B7C">
      <w:pPr>
        <w:spacing w:line="360" w:lineRule="auto"/>
        <w:jc w:val="both"/>
        <w:rPr>
          <w:rFonts w:ascii="Book Antiqua" w:hAnsi="Book Antiqua"/>
        </w:rPr>
      </w:pPr>
    </w:p>
    <w:p w14:paraId="3A867F68"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Open-Access: </w:t>
      </w:r>
      <w:r w:rsidRPr="006A140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D29CBC" w14:textId="77777777" w:rsidR="00A77B3E" w:rsidRPr="006A140B" w:rsidRDefault="00A77B3E" w:rsidP="00495B7C">
      <w:pPr>
        <w:spacing w:line="360" w:lineRule="auto"/>
        <w:jc w:val="both"/>
        <w:rPr>
          <w:rFonts w:ascii="Book Antiqua" w:hAnsi="Book Antiqua"/>
        </w:rPr>
      </w:pPr>
    </w:p>
    <w:p w14:paraId="2ED3BDFA" w14:textId="0AA43120"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 xml:space="preserve">Manuscript source: </w:t>
      </w:r>
      <w:r w:rsidRPr="006A140B">
        <w:rPr>
          <w:rFonts w:ascii="Book Antiqua" w:eastAsia="Book Antiqua" w:hAnsi="Book Antiqua" w:cs="Book Antiqua"/>
          <w:color w:val="000000"/>
        </w:rPr>
        <w:t xml:space="preserve">Invited </w:t>
      </w:r>
      <w:r w:rsidR="00617051" w:rsidRPr="006A140B">
        <w:rPr>
          <w:rFonts w:ascii="Book Antiqua" w:eastAsia="Book Antiqua" w:hAnsi="Book Antiqua" w:cs="Book Antiqua"/>
          <w:color w:val="000000"/>
        </w:rPr>
        <w:t>m</w:t>
      </w:r>
      <w:r w:rsidRPr="006A140B">
        <w:rPr>
          <w:rFonts w:ascii="Book Antiqua" w:eastAsia="Book Antiqua" w:hAnsi="Book Antiqua" w:cs="Book Antiqua"/>
          <w:color w:val="000000"/>
        </w:rPr>
        <w:t>anuscript</w:t>
      </w:r>
    </w:p>
    <w:p w14:paraId="0C2BE5F5" w14:textId="77777777" w:rsidR="00A77B3E" w:rsidRPr="006A140B" w:rsidRDefault="00A77B3E" w:rsidP="00495B7C">
      <w:pPr>
        <w:spacing w:line="360" w:lineRule="auto"/>
        <w:jc w:val="both"/>
        <w:rPr>
          <w:rFonts w:ascii="Book Antiqua" w:hAnsi="Book Antiqua"/>
        </w:rPr>
      </w:pPr>
    </w:p>
    <w:p w14:paraId="0B219C15"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 xml:space="preserve">Peer-review started: </w:t>
      </w:r>
      <w:r w:rsidRPr="006A140B">
        <w:rPr>
          <w:rFonts w:ascii="Book Antiqua" w:eastAsia="Book Antiqua" w:hAnsi="Book Antiqua" w:cs="Book Antiqua"/>
          <w:color w:val="000000"/>
        </w:rPr>
        <w:t>January 28, 2021</w:t>
      </w:r>
    </w:p>
    <w:p w14:paraId="236D8E53"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 xml:space="preserve">First decision: </w:t>
      </w:r>
      <w:r w:rsidRPr="006A140B">
        <w:rPr>
          <w:rFonts w:ascii="Book Antiqua" w:eastAsia="Book Antiqua" w:hAnsi="Book Antiqua" w:cs="Book Antiqua"/>
          <w:color w:val="000000"/>
        </w:rPr>
        <w:t>March 6, 2021</w:t>
      </w:r>
    </w:p>
    <w:p w14:paraId="3CF9BE93" w14:textId="6998BBC2"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 xml:space="preserve">Article in press: </w:t>
      </w:r>
      <w:r w:rsidR="008D4CAB" w:rsidRPr="006A140B">
        <w:rPr>
          <w:rFonts w:ascii="Book Antiqua" w:eastAsia="宋体" w:hAnsi="Book Antiqua"/>
          <w:color w:val="000000" w:themeColor="text1"/>
        </w:rPr>
        <w:t>J</w:t>
      </w:r>
      <w:r w:rsidR="008D4CAB" w:rsidRPr="006A140B">
        <w:rPr>
          <w:rFonts w:ascii="Book Antiqua" w:eastAsia="宋体" w:hAnsi="Book Antiqua" w:hint="eastAsia"/>
          <w:color w:val="000000" w:themeColor="text1"/>
        </w:rPr>
        <w:t>une</w:t>
      </w:r>
      <w:r w:rsidR="008D4CAB" w:rsidRPr="006A140B">
        <w:rPr>
          <w:rFonts w:ascii="Book Antiqua" w:eastAsia="宋体" w:hAnsi="Book Antiqua"/>
          <w:color w:val="000000" w:themeColor="text1"/>
        </w:rPr>
        <w:t xml:space="preserve"> 16, 2021</w:t>
      </w:r>
    </w:p>
    <w:p w14:paraId="5410DEA0" w14:textId="77777777" w:rsidR="00A77B3E" w:rsidRPr="006A140B" w:rsidRDefault="00A77B3E" w:rsidP="00495B7C">
      <w:pPr>
        <w:spacing w:line="360" w:lineRule="auto"/>
        <w:jc w:val="both"/>
        <w:rPr>
          <w:rFonts w:ascii="Book Antiqua" w:hAnsi="Book Antiqua"/>
        </w:rPr>
      </w:pPr>
    </w:p>
    <w:p w14:paraId="26397612" w14:textId="03C6D15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 xml:space="preserve">Specialty type: </w:t>
      </w:r>
      <w:r w:rsidRPr="006A140B">
        <w:rPr>
          <w:rFonts w:ascii="Book Antiqua" w:eastAsia="Book Antiqua" w:hAnsi="Book Antiqua" w:cs="Book Antiqua"/>
          <w:color w:val="000000"/>
        </w:rPr>
        <w:t xml:space="preserve">Gastroenterology and </w:t>
      </w:r>
      <w:r w:rsidR="00F64B92" w:rsidRPr="006A140B">
        <w:rPr>
          <w:rFonts w:ascii="Book Antiqua" w:eastAsia="Book Antiqua" w:hAnsi="Book Antiqua" w:cs="Book Antiqua"/>
          <w:color w:val="000000"/>
        </w:rPr>
        <w:t>h</w:t>
      </w:r>
      <w:r w:rsidRPr="006A140B">
        <w:rPr>
          <w:rFonts w:ascii="Book Antiqua" w:eastAsia="Book Antiqua" w:hAnsi="Book Antiqua" w:cs="Book Antiqua"/>
          <w:color w:val="000000"/>
        </w:rPr>
        <w:t>epatology</w:t>
      </w:r>
    </w:p>
    <w:p w14:paraId="05735122"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 xml:space="preserve">Country/Territory of origin: </w:t>
      </w:r>
      <w:r w:rsidRPr="006A140B">
        <w:rPr>
          <w:rFonts w:ascii="Book Antiqua" w:eastAsia="Book Antiqua" w:hAnsi="Book Antiqua" w:cs="Book Antiqua"/>
          <w:color w:val="000000"/>
        </w:rPr>
        <w:t>Taiwan</w:t>
      </w:r>
    </w:p>
    <w:p w14:paraId="33FC287E"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Peer-review report’s scientific quality classification</w:t>
      </w:r>
    </w:p>
    <w:p w14:paraId="6BAA4AE1"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color w:val="000000"/>
        </w:rPr>
        <w:t>Grade A (Excellent): A</w:t>
      </w:r>
    </w:p>
    <w:p w14:paraId="7F078329"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color w:val="000000"/>
        </w:rPr>
        <w:t>Grade B (Very good): 0</w:t>
      </w:r>
    </w:p>
    <w:p w14:paraId="5E3FAB9C"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color w:val="000000"/>
        </w:rPr>
        <w:t>Grade C (Good): C</w:t>
      </w:r>
    </w:p>
    <w:p w14:paraId="4BA77948"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color w:val="000000"/>
        </w:rPr>
        <w:t>Grade D (Fair): 0</w:t>
      </w:r>
    </w:p>
    <w:p w14:paraId="72E4916D"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color w:val="000000"/>
        </w:rPr>
        <w:t>Grade E (Poor): 0</w:t>
      </w:r>
    </w:p>
    <w:p w14:paraId="45ABED5F" w14:textId="77777777" w:rsidR="00A77B3E" w:rsidRPr="006A140B" w:rsidRDefault="00A77B3E" w:rsidP="00495B7C">
      <w:pPr>
        <w:spacing w:line="360" w:lineRule="auto"/>
        <w:jc w:val="both"/>
        <w:rPr>
          <w:rFonts w:ascii="Book Antiqua" w:hAnsi="Book Antiqua"/>
        </w:rPr>
      </w:pPr>
    </w:p>
    <w:p w14:paraId="6FBE2934" w14:textId="090A1AAB" w:rsidR="00A77B3E" w:rsidRPr="006A140B" w:rsidRDefault="007D6307" w:rsidP="00495B7C">
      <w:pPr>
        <w:spacing w:line="360" w:lineRule="auto"/>
        <w:jc w:val="both"/>
        <w:rPr>
          <w:rFonts w:ascii="Book Antiqua" w:hAnsi="Book Antiqua"/>
        </w:rPr>
        <w:sectPr w:rsidR="00A77B3E" w:rsidRPr="006A140B">
          <w:pgSz w:w="12240" w:h="15840"/>
          <w:pgMar w:top="1440" w:right="1440" w:bottom="1440" w:left="1440" w:header="720" w:footer="720" w:gutter="0"/>
          <w:cols w:space="720"/>
          <w:docGrid w:linePitch="360"/>
        </w:sectPr>
      </w:pPr>
      <w:r w:rsidRPr="006A140B">
        <w:rPr>
          <w:rFonts w:ascii="Book Antiqua" w:eastAsia="Book Antiqua" w:hAnsi="Book Antiqua" w:cs="Book Antiqua"/>
          <w:b/>
          <w:color w:val="000000"/>
        </w:rPr>
        <w:t xml:space="preserve">P-Reviewer: </w:t>
      </w:r>
      <w:r w:rsidRPr="006A140B">
        <w:rPr>
          <w:rFonts w:ascii="Book Antiqua" w:eastAsia="Book Antiqua" w:hAnsi="Book Antiqua" w:cs="Book Antiqua"/>
          <w:color w:val="000000"/>
        </w:rPr>
        <w:t>Zhu J</w:t>
      </w:r>
      <w:r w:rsidRPr="006A140B">
        <w:rPr>
          <w:rFonts w:ascii="Book Antiqua" w:eastAsia="Book Antiqua" w:hAnsi="Book Antiqua" w:cs="Book Antiqua"/>
          <w:b/>
          <w:color w:val="000000"/>
        </w:rPr>
        <w:t xml:space="preserve"> S-Editor: </w:t>
      </w:r>
      <w:r w:rsidRPr="006A140B">
        <w:rPr>
          <w:rFonts w:ascii="Book Antiqua" w:eastAsia="Book Antiqua" w:hAnsi="Book Antiqua" w:cs="Book Antiqua"/>
          <w:color w:val="000000"/>
        </w:rPr>
        <w:t>Fan JR</w:t>
      </w:r>
      <w:r w:rsidRPr="006A140B">
        <w:rPr>
          <w:rFonts w:ascii="Book Antiqua" w:eastAsia="Book Antiqua" w:hAnsi="Book Antiqua" w:cs="Book Antiqua"/>
          <w:b/>
          <w:color w:val="000000"/>
        </w:rPr>
        <w:t xml:space="preserve"> L-Editor:</w:t>
      </w:r>
      <w:r w:rsidR="008D4CAB" w:rsidRPr="006A140B">
        <w:rPr>
          <w:rFonts w:ascii="Book Antiqua" w:hAnsi="Book Antiqua" w:cs="Book Antiqua" w:hint="eastAsia"/>
          <w:b/>
          <w:color w:val="000000"/>
          <w:lang w:eastAsia="zh-CN"/>
        </w:rPr>
        <w:t xml:space="preserve"> </w:t>
      </w:r>
      <w:r w:rsidR="008D4CAB" w:rsidRPr="006A140B">
        <w:rPr>
          <w:rFonts w:ascii="Book Antiqua" w:hAnsi="Book Antiqua" w:cs="Book Antiqua" w:hint="eastAsia"/>
          <w:color w:val="000000"/>
          <w:lang w:eastAsia="zh-CN"/>
        </w:rPr>
        <w:t>A</w:t>
      </w:r>
      <w:r w:rsidR="008D4CAB" w:rsidRPr="006A140B">
        <w:rPr>
          <w:rFonts w:ascii="Book Antiqua" w:hAnsi="Book Antiqua" w:cs="Book Antiqua" w:hint="eastAsia"/>
          <w:b/>
          <w:color w:val="000000"/>
          <w:lang w:eastAsia="zh-CN"/>
        </w:rPr>
        <w:t xml:space="preserve"> </w:t>
      </w:r>
      <w:r w:rsidRPr="006A140B">
        <w:rPr>
          <w:rFonts w:ascii="Book Antiqua" w:eastAsia="Book Antiqua" w:hAnsi="Book Antiqua" w:cs="Book Antiqua"/>
          <w:b/>
          <w:color w:val="000000"/>
        </w:rPr>
        <w:t>P-Editor:</w:t>
      </w:r>
      <w:r w:rsidR="008D4CAB" w:rsidRPr="006A140B">
        <w:rPr>
          <w:rFonts w:ascii="Book Antiqua" w:hAnsi="Book Antiqua" w:cs="Book Antiqua" w:hint="eastAsia"/>
          <w:b/>
          <w:color w:val="000000"/>
          <w:lang w:eastAsia="zh-CN"/>
        </w:rPr>
        <w:t xml:space="preserve"> </w:t>
      </w:r>
      <w:r w:rsidR="008D4CAB" w:rsidRPr="006A140B">
        <w:rPr>
          <w:rFonts w:ascii="Book Antiqua" w:eastAsia="Book Antiqua" w:hAnsi="Book Antiqua" w:cs="Book Antiqua"/>
          <w:color w:val="000000"/>
        </w:rPr>
        <w:t>Xing YX</w:t>
      </w:r>
    </w:p>
    <w:p w14:paraId="1A3E0559" w14:textId="77777777" w:rsidR="00EB2F47" w:rsidRPr="006A140B" w:rsidRDefault="00EB2F47" w:rsidP="00495B7C">
      <w:pPr>
        <w:spacing w:line="360" w:lineRule="auto"/>
        <w:jc w:val="both"/>
        <w:rPr>
          <w:rFonts w:ascii="Book Antiqua" w:hAnsi="Book Antiqua" w:cs="Book Antiqua"/>
          <w:b/>
          <w:color w:val="000000"/>
          <w:lang w:eastAsia="zh-CN"/>
        </w:rPr>
      </w:pPr>
    </w:p>
    <w:p w14:paraId="6D3FABF8" w14:textId="77777777"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color w:val="000000"/>
        </w:rPr>
        <w:t>Figure Legends</w:t>
      </w:r>
    </w:p>
    <w:p w14:paraId="6B7B0B41" w14:textId="291088FE" w:rsidR="006014CB" w:rsidRPr="006A140B" w:rsidRDefault="00121B10" w:rsidP="00495B7C">
      <w:pPr>
        <w:spacing w:line="360" w:lineRule="auto"/>
        <w:jc w:val="both"/>
        <w:rPr>
          <w:rFonts w:ascii="Book Antiqua" w:eastAsia="Book Antiqua" w:hAnsi="Book Antiqua" w:cs="Book Antiqua"/>
          <w:color w:val="000000"/>
        </w:rPr>
      </w:pPr>
      <w:r w:rsidRPr="006A140B">
        <w:rPr>
          <w:rFonts w:ascii="Book Antiqua" w:hAnsi="Book Antiqua"/>
          <w:noProof/>
          <w:lang w:eastAsia="zh-CN"/>
        </w:rPr>
        <w:drawing>
          <wp:inline distT="0" distB="0" distL="0" distR="0" wp14:anchorId="7A643111" wp14:editId="0E0AF3D8">
            <wp:extent cx="5943600" cy="3804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04920"/>
                    </a:xfrm>
                    <a:prstGeom prst="rect">
                      <a:avLst/>
                    </a:prstGeom>
                  </pic:spPr>
                </pic:pic>
              </a:graphicData>
            </a:graphic>
          </wp:inline>
        </w:drawing>
      </w:r>
    </w:p>
    <w:p w14:paraId="3EB54181" w14:textId="1AB2D2D8" w:rsidR="00A77B3E" w:rsidRPr="006A140B" w:rsidRDefault="007D6307" w:rsidP="00495B7C">
      <w:pPr>
        <w:spacing w:line="360" w:lineRule="auto"/>
        <w:jc w:val="both"/>
        <w:rPr>
          <w:rFonts w:ascii="Book Antiqua" w:hAnsi="Book Antiqua"/>
        </w:rPr>
      </w:pPr>
      <w:r w:rsidRPr="006A140B">
        <w:rPr>
          <w:rFonts w:ascii="Book Antiqua" w:eastAsia="Book Antiqua" w:hAnsi="Book Antiqua" w:cs="Book Antiqua"/>
          <w:b/>
          <w:bCs/>
          <w:color w:val="000000"/>
        </w:rPr>
        <w:t xml:space="preserve">Figure 1 Association between </w:t>
      </w:r>
      <w:r w:rsidR="006014CB" w:rsidRPr="006A140B">
        <w:rPr>
          <w:rFonts w:ascii="Book Antiqua" w:eastAsia="Book Antiqua" w:hAnsi="Book Antiqua" w:cs="Book Antiqua"/>
          <w:b/>
          <w:bCs/>
          <w:color w:val="000000"/>
        </w:rPr>
        <w:t>hepatocellular carcinoma</w:t>
      </w:r>
      <w:r w:rsidRPr="006A140B">
        <w:rPr>
          <w:rFonts w:ascii="Book Antiqua" w:eastAsia="Book Antiqua" w:hAnsi="Book Antiqua" w:cs="Book Antiqua"/>
          <w:b/>
          <w:bCs/>
          <w:color w:val="000000"/>
        </w:rPr>
        <w:t xml:space="preserve"> and </w:t>
      </w:r>
      <w:r w:rsidR="006014CB" w:rsidRPr="006A140B">
        <w:rPr>
          <w:rFonts w:ascii="Book Antiqua" w:eastAsia="Book Antiqua" w:hAnsi="Book Antiqua" w:cs="Book Antiqua"/>
          <w:b/>
          <w:bCs/>
          <w:color w:val="000000"/>
        </w:rPr>
        <w:t>chronic kidney disease</w:t>
      </w:r>
      <w:r w:rsidRPr="006A140B">
        <w:rPr>
          <w:rFonts w:ascii="Book Antiqua" w:eastAsia="Book Antiqua" w:hAnsi="Book Antiqua" w:cs="Book Antiqua"/>
          <w:b/>
          <w:bCs/>
          <w:color w:val="000000"/>
        </w:rPr>
        <w:t xml:space="preserve">. </w:t>
      </w:r>
      <w:r w:rsidRPr="006A140B">
        <w:rPr>
          <w:rFonts w:ascii="Book Antiqua" w:eastAsia="Book Antiqua" w:hAnsi="Book Antiqua" w:cs="Book Antiqua"/>
          <w:color w:val="000000"/>
        </w:rPr>
        <w:t xml:space="preserve">This figure summarizes the confirmed and presumptive links between </w:t>
      </w:r>
      <w:r w:rsidR="00B0112E" w:rsidRPr="006A140B">
        <w:rPr>
          <w:rFonts w:ascii="Book Antiqua" w:eastAsia="Book Antiqua" w:hAnsi="Book Antiqua" w:cs="Book Antiqua"/>
          <w:color w:val="000000"/>
        </w:rPr>
        <w:t>hepatocellular carcinoma</w:t>
      </w:r>
      <w:r w:rsidRPr="006A140B">
        <w:rPr>
          <w:rFonts w:ascii="Book Antiqua" w:eastAsia="Book Antiqua" w:hAnsi="Book Antiqua" w:cs="Book Antiqua"/>
          <w:color w:val="000000"/>
        </w:rPr>
        <w:t xml:space="preserve"> and renal dysfunction. HCC</w:t>
      </w:r>
      <w:r w:rsidR="0035366F"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121B10" w:rsidRPr="006A140B">
        <w:rPr>
          <w:rFonts w:ascii="Book Antiqua" w:eastAsia="Book Antiqua" w:hAnsi="Book Antiqua" w:cs="Book Antiqua"/>
          <w:color w:val="000000"/>
        </w:rPr>
        <w:t>H</w:t>
      </w:r>
      <w:r w:rsidRPr="006A140B">
        <w:rPr>
          <w:rFonts w:ascii="Book Antiqua" w:eastAsia="Book Antiqua" w:hAnsi="Book Antiqua" w:cs="Book Antiqua"/>
          <w:color w:val="000000"/>
        </w:rPr>
        <w:t>epatocellular carcinoma</w:t>
      </w:r>
      <w:r w:rsidR="0035366F"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CKD</w:t>
      </w:r>
      <w:r w:rsidR="0035366F"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121B10" w:rsidRPr="006A140B">
        <w:rPr>
          <w:rFonts w:ascii="Book Antiqua" w:eastAsia="Book Antiqua" w:hAnsi="Book Antiqua" w:cs="Book Antiqua"/>
          <w:color w:val="000000"/>
        </w:rPr>
        <w:t>C</w:t>
      </w:r>
      <w:r w:rsidRPr="006A140B">
        <w:rPr>
          <w:rFonts w:ascii="Book Antiqua" w:eastAsia="Book Antiqua" w:hAnsi="Book Antiqua" w:cs="Book Antiqua"/>
          <w:color w:val="000000"/>
        </w:rPr>
        <w:t>hronic kidney disease.</w:t>
      </w:r>
    </w:p>
    <w:p w14:paraId="4A9EC7CE" w14:textId="335B534E" w:rsidR="00A77B3E" w:rsidRPr="006A140B" w:rsidRDefault="00B346B8" w:rsidP="00495B7C">
      <w:pPr>
        <w:spacing w:line="360" w:lineRule="auto"/>
        <w:jc w:val="both"/>
        <w:rPr>
          <w:rFonts w:ascii="Book Antiqua" w:hAnsi="Book Antiqua"/>
        </w:rPr>
      </w:pPr>
      <w:r w:rsidRPr="006A140B">
        <w:rPr>
          <w:rFonts w:ascii="Book Antiqua" w:hAnsi="Book Antiqua"/>
        </w:rPr>
        <w:br w:type="page"/>
      </w:r>
      <w:r w:rsidR="008F37AE" w:rsidRPr="006A140B">
        <w:rPr>
          <w:rFonts w:ascii="Book Antiqua" w:hAnsi="Book Antiqua"/>
          <w:noProof/>
          <w:lang w:eastAsia="zh-CN"/>
        </w:rPr>
        <w:drawing>
          <wp:inline distT="0" distB="0" distL="0" distR="0" wp14:anchorId="5197AF4D" wp14:editId="6AC810D4">
            <wp:extent cx="5943600" cy="35447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8156" cy="3547501"/>
                    </a:xfrm>
                    <a:prstGeom prst="rect">
                      <a:avLst/>
                    </a:prstGeom>
                  </pic:spPr>
                </pic:pic>
              </a:graphicData>
            </a:graphic>
          </wp:inline>
        </w:drawing>
      </w:r>
    </w:p>
    <w:p w14:paraId="486410CA" w14:textId="26D906C3" w:rsidR="00A77B3E" w:rsidRPr="006A140B" w:rsidRDefault="007D6307" w:rsidP="00495B7C">
      <w:pPr>
        <w:spacing w:line="360" w:lineRule="auto"/>
        <w:jc w:val="both"/>
        <w:rPr>
          <w:rFonts w:ascii="Book Antiqua" w:eastAsia="Book Antiqua" w:hAnsi="Book Antiqua" w:cs="Book Antiqua"/>
          <w:color w:val="000000"/>
        </w:rPr>
      </w:pPr>
      <w:r w:rsidRPr="006A140B">
        <w:rPr>
          <w:rFonts w:ascii="Book Antiqua" w:eastAsia="Book Antiqua" w:hAnsi="Book Antiqua" w:cs="Book Antiqua"/>
          <w:b/>
          <w:bCs/>
          <w:color w:val="000000"/>
        </w:rPr>
        <w:t>Figure 2 Current treatment</w:t>
      </w:r>
      <w:r w:rsidR="00DF3BF6" w:rsidRPr="006A140B">
        <w:rPr>
          <w:rFonts w:ascii="Book Antiqua" w:eastAsia="Book Antiqua" w:hAnsi="Book Antiqua" w:cs="Book Antiqua"/>
          <w:b/>
          <w:bCs/>
          <w:color w:val="000000"/>
        </w:rPr>
        <w:t xml:space="preserve"> </w:t>
      </w:r>
      <w:r w:rsidRPr="006A140B">
        <w:rPr>
          <w:rFonts w:ascii="Book Antiqua" w:eastAsia="Book Antiqua" w:hAnsi="Book Antiqua" w:cs="Book Antiqua"/>
          <w:b/>
          <w:bCs/>
          <w:color w:val="000000"/>
        </w:rPr>
        <w:t xml:space="preserve">algorithmsfor patients with </w:t>
      </w:r>
      <w:r w:rsidR="0037430A" w:rsidRPr="006A140B">
        <w:rPr>
          <w:rFonts w:ascii="Book Antiqua" w:eastAsia="Book Antiqua" w:hAnsi="Book Antiqua" w:cs="Book Antiqua"/>
          <w:b/>
          <w:bCs/>
          <w:color w:val="000000"/>
        </w:rPr>
        <w:t>hepatocellular carcinoma and chronic kidney disease</w:t>
      </w:r>
      <w:r w:rsidRPr="006A140B">
        <w:rPr>
          <w:rFonts w:ascii="Book Antiqua" w:eastAsia="Book Antiqua" w:hAnsi="Book Antiqua" w:cs="Book Antiqua"/>
          <w:color w:val="000000"/>
        </w:rPr>
        <w:t>. This figure is based on the Barcelona Clinic Liver Cancer algorithm, which classifies patients into five stages taking not only the tumor burden but also the extent of liver dysfunction and the patients’ performance status into consideration.</w:t>
      </w:r>
      <w:r w:rsidR="008F37AE"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 xml:space="preserve">Described in the table are the indications for each stage of </w:t>
      </w:r>
      <w:r w:rsidR="005A055D" w:rsidRPr="006A140B">
        <w:rPr>
          <w:rFonts w:ascii="Book Antiqua" w:eastAsia="Book Antiqua" w:hAnsi="Book Antiqua" w:cs="Book Antiqua"/>
          <w:color w:val="000000"/>
        </w:rPr>
        <w:t>hepatocellular carcinoma</w:t>
      </w:r>
      <w:r w:rsidRPr="006A140B">
        <w:rPr>
          <w:rFonts w:ascii="Book Antiqua" w:eastAsia="Book Antiqua" w:hAnsi="Book Antiqua" w:cs="Book Antiqua"/>
          <w:color w:val="000000"/>
        </w:rPr>
        <w:t xml:space="preserve"> treatment, the treatment-related renal adverse effects, and special concerns for patients with pre-existing renal dysfunction in the applying aggressive treatments and the use of the systemic target and immunotherapy.</w:t>
      </w:r>
      <w:r w:rsidR="00506A15" w:rsidRPr="006A140B">
        <w:rPr>
          <w:rFonts w:ascii="Book Antiqua" w:eastAsia="Book Antiqua" w:hAnsi="Book Antiqua" w:cs="Book Antiqua"/>
          <w:color w:val="000000"/>
        </w:rPr>
        <w:t xml:space="preserve"> </w:t>
      </w:r>
      <w:r w:rsidRPr="006A140B">
        <w:rPr>
          <w:rFonts w:ascii="Book Antiqua" w:eastAsia="Book Antiqua" w:hAnsi="Book Antiqua" w:cs="Book Antiqua"/>
          <w:color w:val="000000"/>
        </w:rPr>
        <w:t>The disease-free survival is compared to the general population without renal impairment. ECOG</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62494C" w:rsidRPr="006A140B">
        <w:rPr>
          <w:rFonts w:ascii="Book Antiqua" w:eastAsia="Book Antiqua" w:hAnsi="Book Antiqua" w:cs="Book Antiqua"/>
          <w:color w:val="000000"/>
        </w:rPr>
        <w:t>T</w:t>
      </w:r>
      <w:r w:rsidRPr="006A140B">
        <w:rPr>
          <w:rFonts w:ascii="Book Antiqua" w:eastAsia="Book Antiqua" w:hAnsi="Book Antiqua" w:cs="Book Antiqua"/>
          <w:color w:val="000000"/>
        </w:rPr>
        <w:t>he Eastern Cooperative Oncology Group performance status</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HCC</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H</w:t>
      </w:r>
      <w:r w:rsidRPr="006A140B">
        <w:rPr>
          <w:rFonts w:ascii="Book Antiqua" w:eastAsia="Book Antiqua" w:hAnsi="Book Antiqua" w:cs="Book Antiqua"/>
          <w:color w:val="000000"/>
        </w:rPr>
        <w:t>epatocellular carcinoma</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CKD</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C</w:t>
      </w:r>
      <w:r w:rsidRPr="006A140B">
        <w:rPr>
          <w:rFonts w:ascii="Book Antiqua" w:eastAsia="Book Antiqua" w:hAnsi="Book Antiqua" w:cs="Book Antiqua"/>
          <w:color w:val="000000"/>
        </w:rPr>
        <w:t>hronic kidney disease</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ESRD</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E</w:t>
      </w:r>
      <w:r w:rsidRPr="006A140B">
        <w:rPr>
          <w:rFonts w:ascii="Book Antiqua" w:eastAsia="Book Antiqua" w:hAnsi="Book Antiqua" w:cs="Book Antiqua"/>
          <w:color w:val="000000"/>
        </w:rPr>
        <w:t>nd stage renal disease</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RRT</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R</w:t>
      </w:r>
      <w:r w:rsidRPr="006A140B">
        <w:rPr>
          <w:rFonts w:ascii="Book Antiqua" w:eastAsia="Book Antiqua" w:hAnsi="Book Antiqua" w:cs="Book Antiqua"/>
          <w:color w:val="000000"/>
        </w:rPr>
        <w:t>enal replacement therapy</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AKI</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A</w:t>
      </w:r>
      <w:r w:rsidRPr="006A140B">
        <w:rPr>
          <w:rFonts w:ascii="Book Antiqua" w:eastAsia="Book Antiqua" w:hAnsi="Book Antiqua" w:cs="Book Antiqua"/>
          <w:color w:val="000000"/>
        </w:rPr>
        <w:t>cute kidney injury</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PT</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P</w:t>
      </w:r>
      <w:r w:rsidRPr="006A140B">
        <w:rPr>
          <w:rFonts w:ascii="Book Antiqua" w:eastAsia="Book Antiqua" w:hAnsi="Book Antiqua" w:cs="Book Antiqua"/>
          <w:color w:val="000000"/>
        </w:rPr>
        <w:t>atient</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LT</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L</w:t>
      </w:r>
      <w:r w:rsidRPr="006A140B">
        <w:rPr>
          <w:rFonts w:ascii="Book Antiqua" w:eastAsia="Book Antiqua" w:hAnsi="Book Antiqua" w:cs="Book Antiqua"/>
          <w:color w:val="000000"/>
        </w:rPr>
        <w:t>iver transplantation</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SLKT</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S</w:t>
      </w:r>
      <w:r w:rsidRPr="006A140B">
        <w:rPr>
          <w:rFonts w:ascii="Book Antiqua" w:eastAsia="Book Antiqua" w:hAnsi="Book Antiqua" w:cs="Book Antiqua"/>
          <w:color w:val="000000"/>
        </w:rPr>
        <w:t>imultaneous liver kidney transplantation</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DFS</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D</w:t>
      </w:r>
      <w:r w:rsidRPr="006A140B">
        <w:rPr>
          <w:rFonts w:ascii="Book Antiqua" w:eastAsia="Book Antiqua" w:hAnsi="Book Antiqua" w:cs="Book Antiqua"/>
          <w:color w:val="000000"/>
        </w:rPr>
        <w:t>isease-free survival</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NS</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N</w:t>
      </w:r>
      <w:r w:rsidRPr="006A140B">
        <w:rPr>
          <w:rFonts w:ascii="Book Antiqua" w:eastAsia="Book Antiqua" w:hAnsi="Book Antiqua" w:cs="Book Antiqua"/>
          <w:color w:val="000000"/>
        </w:rPr>
        <w:t>ephrotic syndrome</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TMA</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T</w:t>
      </w:r>
      <w:r w:rsidRPr="006A140B">
        <w:rPr>
          <w:rFonts w:ascii="Book Antiqua" w:eastAsia="Book Antiqua" w:hAnsi="Book Antiqua" w:cs="Book Antiqua"/>
          <w:color w:val="000000"/>
        </w:rPr>
        <w:t>hrombotic microangiopathy</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FSGS</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F</w:t>
      </w:r>
      <w:r w:rsidRPr="006A140B">
        <w:rPr>
          <w:rFonts w:ascii="Book Antiqua" w:eastAsia="Book Antiqua" w:hAnsi="Book Antiqua" w:cs="Book Antiqua"/>
          <w:color w:val="000000"/>
        </w:rPr>
        <w:t>ocal segmental glomerulosclerosis</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CCR</w:t>
      </w:r>
      <w:r w:rsidR="009D18F5"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9D18F5" w:rsidRPr="006A140B">
        <w:rPr>
          <w:rFonts w:ascii="Book Antiqua" w:eastAsia="Book Antiqua" w:hAnsi="Book Antiqua" w:cs="Book Antiqua"/>
          <w:color w:val="000000"/>
        </w:rPr>
        <w:t>C</w:t>
      </w:r>
      <w:r w:rsidRPr="006A140B">
        <w:rPr>
          <w:rFonts w:ascii="Book Antiqua" w:eastAsia="Book Antiqua" w:hAnsi="Book Antiqua" w:cs="Book Antiqua"/>
          <w:color w:val="000000"/>
        </w:rPr>
        <w:t xml:space="preserve">reatinine clearance (mL/min calculated </w:t>
      </w:r>
      <w:r w:rsidRPr="006A140B">
        <w:rPr>
          <w:rFonts w:ascii="Book Antiqua" w:eastAsia="Book Antiqua" w:hAnsi="Book Antiqua" w:cs="Book Antiqua"/>
          <w:i/>
          <w:iCs/>
          <w:color w:val="000000"/>
        </w:rPr>
        <w:t xml:space="preserve">per </w:t>
      </w:r>
      <w:r w:rsidRPr="006A140B">
        <w:rPr>
          <w:rFonts w:ascii="Book Antiqua" w:eastAsia="Book Antiqua" w:hAnsi="Book Antiqua" w:cs="Book Antiqua"/>
          <w:color w:val="000000"/>
        </w:rPr>
        <w:t>the Cockcroft-Gault formula)</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eGFR</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62494C" w:rsidRPr="006A140B">
        <w:rPr>
          <w:rFonts w:ascii="Book Antiqua" w:eastAsia="Book Antiqua" w:hAnsi="Book Antiqua" w:cs="Book Antiqua"/>
          <w:color w:val="000000"/>
        </w:rPr>
        <w:t>E</w:t>
      </w:r>
      <w:r w:rsidRPr="006A140B">
        <w:rPr>
          <w:rFonts w:ascii="Book Antiqua" w:eastAsia="Book Antiqua" w:hAnsi="Book Antiqua" w:cs="Book Antiqua"/>
          <w:color w:val="000000"/>
        </w:rPr>
        <w:t>stimated glomerular filtration rate (mL/min/1.73 m</w:t>
      </w:r>
      <w:r w:rsidRPr="006A140B">
        <w:rPr>
          <w:rFonts w:ascii="Book Antiqua" w:eastAsia="Book Antiqua" w:hAnsi="Book Antiqua" w:cs="Book Antiqua"/>
          <w:color w:val="000000"/>
          <w:vertAlign w:val="superscript"/>
        </w:rPr>
        <w:t>2</w:t>
      </w:r>
      <w:r w:rsidRPr="006A140B">
        <w:rPr>
          <w:rFonts w:ascii="Book Antiqua" w:eastAsia="Book Antiqua" w:hAnsi="Book Antiqua" w:cs="Book Antiqua"/>
          <w:color w:val="000000"/>
        </w:rPr>
        <w:t>)</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PK</w:t>
      </w:r>
      <w:r w:rsidR="0062494C" w:rsidRPr="006A140B">
        <w:rPr>
          <w:rFonts w:ascii="Book Antiqua" w:eastAsia="Book Antiqua" w:hAnsi="Book Antiqua" w:cs="Book Antiqua"/>
          <w:color w:val="000000"/>
        </w:rPr>
        <w:t>:</w:t>
      </w:r>
      <w:r w:rsidRPr="006A140B">
        <w:rPr>
          <w:rFonts w:ascii="Book Antiqua" w:eastAsia="Book Antiqua" w:hAnsi="Book Antiqua" w:cs="Book Antiqua"/>
          <w:color w:val="000000"/>
        </w:rPr>
        <w:t xml:space="preserve"> </w:t>
      </w:r>
      <w:r w:rsidR="0062494C" w:rsidRPr="006A140B">
        <w:rPr>
          <w:rFonts w:ascii="Book Antiqua" w:eastAsia="Book Antiqua" w:hAnsi="Book Antiqua" w:cs="Book Antiqua"/>
          <w:color w:val="000000"/>
        </w:rPr>
        <w:t>P</w:t>
      </w:r>
      <w:r w:rsidRPr="006A140B">
        <w:rPr>
          <w:rFonts w:ascii="Book Antiqua" w:eastAsia="Book Antiqua" w:hAnsi="Book Antiqua" w:cs="Book Antiqua"/>
          <w:color w:val="000000"/>
        </w:rPr>
        <w:t xml:space="preserve">harmacokinetics. </w:t>
      </w:r>
    </w:p>
    <w:p w14:paraId="6326DC70" w14:textId="1E9F1377" w:rsidR="004640E9" w:rsidRPr="006A140B" w:rsidRDefault="004640E9" w:rsidP="00495B7C">
      <w:pPr>
        <w:spacing w:line="360" w:lineRule="auto"/>
        <w:jc w:val="both"/>
        <w:rPr>
          <w:rFonts w:ascii="Book Antiqua" w:hAnsi="Book Antiqua"/>
          <w:b/>
          <w:bCs/>
        </w:rPr>
      </w:pPr>
      <w:r w:rsidRPr="006A140B">
        <w:rPr>
          <w:rFonts w:ascii="Book Antiqua" w:eastAsia="Book Antiqua" w:hAnsi="Book Antiqua" w:cs="Book Antiqua"/>
          <w:color w:val="000000"/>
        </w:rPr>
        <w:br w:type="page"/>
      </w:r>
      <w:r w:rsidRPr="006A140B">
        <w:rPr>
          <w:rFonts w:ascii="Book Antiqua" w:hAnsi="Book Antiqua"/>
          <w:b/>
          <w:bCs/>
        </w:rPr>
        <w:t xml:space="preserve">Table 1 Shared risk factors for </w:t>
      </w:r>
      <w:r w:rsidR="00E939AB" w:rsidRPr="006A140B">
        <w:rPr>
          <w:rFonts w:ascii="Book Antiqua" w:eastAsia="Book Antiqua" w:hAnsi="Book Antiqua" w:cs="Book Antiqua"/>
          <w:b/>
          <w:bCs/>
          <w:color w:val="000000"/>
        </w:rPr>
        <w:t>hepatocellular carcinoma</w:t>
      </w:r>
      <w:r w:rsidRPr="006A140B">
        <w:rPr>
          <w:rFonts w:ascii="Book Antiqua" w:hAnsi="Book Antiqua"/>
          <w:b/>
          <w:bCs/>
        </w:rPr>
        <w:t xml:space="preserve"> and </w:t>
      </w:r>
      <w:r w:rsidR="00E939AB" w:rsidRPr="006A140B">
        <w:rPr>
          <w:rFonts w:ascii="Book Antiqua" w:eastAsia="Book Antiqua" w:hAnsi="Book Antiqua" w:cs="Book Antiqua"/>
          <w:b/>
          <w:bCs/>
          <w:color w:val="000000"/>
        </w:rPr>
        <w:t xml:space="preserve">chronic kidney disease </w:t>
      </w:r>
    </w:p>
    <w:tbl>
      <w:tblPr>
        <w:tblW w:w="9416" w:type="dxa"/>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4306"/>
        <w:gridCol w:w="5110"/>
      </w:tblGrid>
      <w:tr w:rsidR="005A4798" w:rsidRPr="006A140B" w14:paraId="42CFA404" w14:textId="77777777" w:rsidTr="00E939AB">
        <w:trPr>
          <w:trHeight w:val="536"/>
        </w:trPr>
        <w:tc>
          <w:tcPr>
            <w:tcW w:w="4306" w:type="dxa"/>
            <w:tcBorders>
              <w:top w:val="single" w:sz="4" w:space="0" w:color="auto"/>
              <w:bottom w:val="single" w:sz="4" w:space="0" w:color="auto"/>
            </w:tcBorders>
          </w:tcPr>
          <w:p w14:paraId="281C7CAD" w14:textId="4F5C4506" w:rsidR="005A4798" w:rsidRPr="006A140B" w:rsidRDefault="005A4798" w:rsidP="00495B7C">
            <w:pPr>
              <w:spacing w:line="360" w:lineRule="auto"/>
              <w:jc w:val="both"/>
              <w:rPr>
                <w:rFonts w:ascii="Book Antiqua" w:hAnsi="Book Antiqua"/>
                <w:b/>
                <w:bCs/>
              </w:rPr>
            </w:pPr>
            <w:r w:rsidRPr="006A140B">
              <w:rPr>
                <w:rFonts w:ascii="Book Antiqua" w:hAnsi="Book Antiqua"/>
                <w:b/>
                <w:bCs/>
              </w:rPr>
              <w:t>Risk factors</w:t>
            </w:r>
          </w:p>
        </w:tc>
        <w:tc>
          <w:tcPr>
            <w:tcW w:w="5110" w:type="dxa"/>
            <w:tcBorders>
              <w:top w:val="single" w:sz="4" w:space="0" w:color="auto"/>
              <w:bottom w:val="single" w:sz="4" w:space="0" w:color="auto"/>
            </w:tcBorders>
          </w:tcPr>
          <w:p w14:paraId="67E7CDD0" w14:textId="77777777" w:rsidR="005A4798" w:rsidRPr="006A140B" w:rsidRDefault="005A4798" w:rsidP="00495B7C">
            <w:pPr>
              <w:spacing w:line="360" w:lineRule="auto"/>
              <w:jc w:val="both"/>
              <w:rPr>
                <w:rFonts w:ascii="Book Antiqua" w:hAnsi="Book Antiqua"/>
                <w:kern w:val="24"/>
              </w:rPr>
            </w:pPr>
          </w:p>
        </w:tc>
      </w:tr>
      <w:tr w:rsidR="005A4798" w:rsidRPr="006A140B" w14:paraId="08D07841" w14:textId="77777777" w:rsidTr="00E939AB">
        <w:trPr>
          <w:trHeight w:val="274"/>
        </w:trPr>
        <w:tc>
          <w:tcPr>
            <w:tcW w:w="4306" w:type="dxa"/>
            <w:vMerge w:val="restart"/>
            <w:tcBorders>
              <w:top w:val="single" w:sz="4" w:space="0" w:color="auto"/>
            </w:tcBorders>
          </w:tcPr>
          <w:p w14:paraId="35EE666F" w14:textId="00C54B7E" w:rsidR="005A4798" w:rsidRPr="006A140B" w:rsidRDefault="005A4798" w:rsidP="00495B7C">
            <w:pPr>
              <w:spacing w:line="360" w:lineRule="auto"/>
              <w:jc w:val="both"/>
              <w:rPr>
                <w:rFonts w:ascii="Book Antiqua" w:hAnsi="Book Antiqua"/>
                <w:kern w:val="24"/>
              </w:rPr>
            </w:pPr>
            <w:r w:rsidRPr="006A140B">
              <w:rPr>
                <w:rFonts w:ascii="Book Antiqua" w:hAnsi="Book Antiqua"/>
              </w:rPr>
              <w:t>Environmental toxins</w:t>
            </w:r>
          </w:p>
        </w:tc>
        <w:tc>
          <w:tcPr>
            <w:tcW w:w="5110" w:type="dxa"/>
            <w:tcBorders>
              <w:top w:val="single" w:sz="4" w:space="0" w:color="auto"/>
            </w:tcBorders>
          </w:tcPr>
          <w:p w14:paraId="4EE6D6EF" w14:textId="69CCCCA4" w:rsidR="005A4798" w:rsidRPr="006A140B" w:rsidRDefault="005A4798" w:rsidP="00495B7C">
            <w:pPr>
              <w:spacing w:line="360" w:lineRule="auto"/>
              <w:jc w:val="both"/>
              <w:rPr>
                <w:rFonts w:ascii="Book Antiqua" w:hAnsi="Book Antiqua"/>
              </w:rPr>
            </w:pPr>
            <w:r w:rsidRPr="006A140B">
              <w:rPr>
                <w:rFonts w:ascii="Book Antiqua" w:hAnsi="Book Antiqua"/>
                <w:kern w:val="24"/>
              </w:rPr>
              <w:t>Arsenic</w:t>
            </w:r>
          </w:p>
        </w:tc>
      </w:tr>
      <w:tr w:rsidR="005A4798" w:rsidRPr="006A140B" w14:paraId="2B4B066D" w14:textId="77777777" w:rsidTr="00E939AB">
        <w:trPr>
          <w:trHeight w:val="357"/>
        </w:trPr>
        <w:tc>
          <w:tcPr>
            <w:tcW w:w="4306" w:type="dxa"/>
            <w:vMerge/>
          </w:tcPr>
          <w:p w14:paraId="6451BBD1" w14:textId="77777777" w:rsidR="005A4798" w:rsidRPr="006A140B" w:rsidRDefault="005A4798" w:rsidP="00495B7C">
            <w:pPr>
              <w:spacing w:line="360" w:lineRule="auto"/>
              <w:jc w:val="both"/>
              <w:rPr>
                <w:rFonts w:ascii="Book Antiqua" w:hAnsi="Book Antiqua"/>
              </w:rPr>
            </w:pPr>
          </w:p>
        </w:tc>
        <w:tc>
          <w:tcPr>
            <w:tcW w:w="5110" w:type="dxa"/>
          </w:tcPr>
          <w:p w14:paraId="2E9F2B40" w14:textId="00B719E6" w:rsidR="005A4798" w:rsidRPr="006A140B" w:rsidRDefault="005A4798" w:rsidP="00495B7C">
            <w:pPr>
              <w:spacing w:line="360" w:lineRule="auto"/>
              <w:jc w:val="both"/>
              <w:rPr>
                <w:rFonts w:ascii="Book Antiqua" w:hAnsi="Book Antiqua"/>
                <w:kern w:val="24"/>
              </w:rPr>
            </w:pPr>
            <w:r w:rsidRPr="006A140B">
              <w:rPr>
                <w:rFonts w:ascii="Book Antiqua" w:hAnsi="Book Antiqua"/>
                <w:kern w:val="24"/>
              </w:rPr>
              <w:t>Cadmium</w:t>
            </w:r>
          </w:p>
        </w:tc>
      </w:tr>
      <w:tr w:rsidR="005A4798" w:rsidRPr="006A140B" w14:paraId="02B9EAA8" w14:textId="77777777" w:rsidTr="00E939AB">
        <w:trPr>
          <w:trHeight w:val="283"/>
        </w:trPr>
        <w:tc>
          <w:tcPr>
            <w:tcW w:w="4306" w:type="dxa"/>
            <w:vMerge/>
          </w:tcPr>
          <w:p w14:paraId="61E82C5B" w14:textId="77777777" w:rsidR="005A4798" w:rsidRPr="006A140B" w:rsidRDefault="005A4798" w:rsidP="00495B7C">
            <w:pPr>
              <w:spacing w:line="360" w:lineRule="auto"/>
              <w:jc w:val="both"/>
              <w:rPr>
                <w:rFonts w:ascii="Book Antiqua" w:hAnsi="Book Antiqua"/>
              </w:rPr>
            </w:pPr>
          </w:p>
        </w:tc>
        <w:tc>
          <w:tcPr>
            <w:tcW w:w="5110" w:type="dxa"/>
          </w:tcPr>
          <w:p w14:paraId="22FA9885" w14:textId="3BFC3664" w:rsidR="005A4798" w:rsidRPr="006A140B" w:rsidRDefault="005A4798" w:rsidP="00495B7C">
            <w:pPr>
              <w:spacing w:line="360" w:lineRule="auto"/>
              <w:jc w:val="both"/>
              <w:rPr>
                <w:rFonts w:ascii="Book Antiqua" w:hAnsi="Book Antiqua"/>
              </w:rPr>
            </w:pPr>
            <w:r w:rsidRPr="006A140B">
              <w:rPr>
                <w:rFonts w:ascii="Book Antiqua" w:hAnsi="Book Antiqua"/>
                <w:kern w:val="24"/>
              </w:rPr>
              <w:t>Aflatoxin</w:t>
            </w:r>
          </w:p>
        </w:tc>
      </w:tr>
      <w:tr w:rsidR="005A4798" w:rsidRPr="006A140B" w14:paraId="7047F915" w14:textId="77777777" w:rsidTr="00E939AB">
        <w:trPr>
          <w:trHeight w:val="247"/>
        </w:trPr>
        <w:tc>
          <w:tcPr>
            <w:tcW w:w="4306" w:type="dxa"/>
            <w:vMerge/>
          </w:tcPr>
          <w:p w14:paraId="3CA0BC46" w14:textId="77777777" w:rsidR="005A4798" w:rsidRPr="006A140B" w:rsidRDefault="005A4798" w:rsidP="00495B7C">
            <w:pPr>
              <w:spacing w:line="360" w:lineRule="auto"/>
              <w:jc w:val="both"/>
              <w:rPr>
                <w:rFonts w:ascii="Book Antiqua" w:hAnsi="Book Antiqua"/>
              </w:rPr>
            </w:pPr>
          </w:p>
        </w:tc>
        <w:tc>
          <w:tcPr>
            <w:tcW w:w="5110" w:type="dxa"/>
          </w:tcPr>
          <w:p w14:paraId="7D639494" w14:textId="1E5F8CC0" w:rsidR="005A4798" w:rsidRPr="006A140B" w:rsidRDefault="005A4798" w:rsidP="00495B7C">
            <w:pPr>
              <w:spacing w:line="360" w:lineRule="auto"/>
              <w:jc w:val="both"/>
              <w:rPr>
                <w:rFonts w:ascii="Book Antiqua" w:hAnsi="Book Antiqua"/>
                <w:kern w:val="24"/>
              </w:rPr>
            </w:pPr>
            <w:r w:rsidRPr="006A140B">
              <w:rPr>
                <w:rFonts w:ascii="Book Antiqua" w:hAnsi="Book Antiqua"/>
                <w:kern w:val="24"/>
              </w:rPr>
              <w:t>Aristolochic acid</w:t>
            </w:r>
          </w:p>
        </w:tc>
      </w:tr>
      <w:tr w:rsidR="00321CDA" w:rsidRPr="006A140B" w14:paraId="33CC0EEE" w14:textId="77777777" w:rsidTr="00E939AB">
        <w:trPr>
          <w:trHeight w:val="285"/>
        </w:trPr>
        <w:tc>
          <w:tcPr>
            <w:tcW w:w="4306" w:type="dxa"/>
            <w:vMerge w:val="restart"/>
          </w:tcPr>
          <w:p w14:paraId="56ECF57F" w14:textId="05E77E42" w:rsidR="00321CDA" w:rsidRPr="006A140B" w:rsidRDefault="00321CDA" w:rsidP="00495B7C">
            <w:pPr>
              <w:spacing w:line="360" w:lineRule="auto"/>
              <w:jc w:val="both"/>
              <w:rPr>
                <w:rFonts w:ascii="Book Antiqua" w:hAnsi="Book Antiqua"/>
                <w:kern w:val="24"/>
              </w:rPr>
            </w:pPr>
            <w:r w:rsidRPr="006A140B">
              <w:rPr>
                <w:rFonts w:ascii="Book Antiqua" w:hAnsi="Book Antiqua"/>
              </w:rPr>
              <w:t>Viral hepatitis</w:t>
            </w:r>
          </w:p>
        </w:tc>
        <w:tc>
          <w:tcPr>
            <w:tcW w:w="5110" w:type="dxa"/>
          </w:tcPr>
          <w:p w14:paraId="6985243C" w14:textId="26937B67" w:rsidR="00321CDA" w:rsidRPr="006A140B" w:rsidRDefault="00321CDA" w:rsidP="00495B7C">
            <w:pPr>
              <w:spacing w:line="360" w:lineRule="auto"/>
              <w:jc w:val="both"/>
              <w:rPr>
                <w:rFonts w:ascii="Book Antiqua" w:hAnsi="Book Antiqua"/>
                <w:kern w:val="24"/>
              </w:rPr>
            </w:pPr>
            <w:r w:rsidRPr="006A140B">
              <w:rPr>
                <w:rFonts w:ascii="Book Antiqua" w:hAnsi="Book Antiqua"/>
                <w:kern w:val="24"/>
              </w:rPr>
              <w:t>Hepatitis B virus</w:t>
            </w:r>
          </w:p>
        </w:tc>
      </w:tr>
      <w:tr w:rsidR="00321CDA" w:rsidRPr="006A140B" w14:paraId="097912CC" w14:textId="77777777" w:rsidTr="00E939AB">
        <w:trPr>
          <w:trHeight w:val="229"/>
        </w:trPr>
        <w:tc>
          <w:tcPr>
            <w:tcW w:w="4306" w:type="dxa"/>
            <w:vMerge/>
          </w:tcPr>
          <w:p w14:paraId="1F076144" w14:textId="77777777" w:rsidR="00321CDA" w:rsidRPr="006A140B" w:rsidRDefault="00321CDA" w:rsidP="00495B7C">
            <w:pPr>
              <w:spacing w:line="360" w:lineRule="auto"/>
              <w:jc w:val="both"/>
              <w:rPr>
                <w:rFonts w:ascii="Book Antiqua" w:hAnsi="Book Antiqua"/>
              </w:rPr>
            </w:pPr>
          </w:p>
        </w:tc>
        <w:tc>
          <w:tcPr>
            <w:tcW w:w="5110" w:type="dxa"/>
          </w:tcPr>
          <w:p w14:paraId="792B340F" w14:textId="3D2DF16B" w:rsidR="00321CDA" w:rsidRPr="006A140B" w:rsidRDefault="00321CDA" w:rsidP="00495B7C">
            <w:pPr>
              <w:spacing w:line="360" w:lineRule="auto"/>
              <w:jc w:val="both"/>
              <w:rPr>
                <w:rFonts w:ascii="Book Antiqua" w:hAnsi="Book Antiqua"/>
                <w:kern w:val="24"/>
              </w:rPr>
            </w:pPr>
            <w:r w:rsidRPr="006A140B">
              <w:rPr>
                <w:rFonts w:ascii="Book Antiqua" w:hAnsi="Book Antiqua"/>
                <w:kern w:val="24"/>
              </w:rPr>
              <w:t>Hepatitis C virus</w:t>
            </w:r>
          </w:p>
        </w:tc>
      </w:tr>
      <w:tr w:rsidR="00367FC3" w:rsidRPr="006A140B" w14:paraId="110545C4" w14:textId="77777777" w:rsidTr="00E939AB">
        <w:trPr>
          <w:trHeight w:val="780"/>
        </w:trPr>
        <w:tc>
          <w:tcPr>
            <w:tcW w:w="4306" w:type="dxa"/>
            <w:vMerge w:val="restart"/>
          </w:tcPr>
          <w:p w14:paraId="1BF8C03D" w14:textId="67F1EE04" w:rsidR="00367FC3" w:rsidRPr="006A140B" w:rsidRDefault="00367FC3" w:rsidP="00495B7C">
            <w:pPr>
              <w:spacing w:line="360" w:lineRule="auto"/>
              <w:jc w:val="both"/>
              <w:rPr>
                <w:rFonts w:ascii="Book Antiqua" w:hAnsi="Book Antiqua"/>
                <w:kern w:val="24"/>
              </w:rPr>
            </w:pPr>
            <w:r w:rsidRPr="006A140B">
              <w:rPr>
                <w:rFonts w:ascii="Book Antiqua" w:hAnsi="Book Antiqua"/>
              </w:rPr>
              <w:t>Metabolic syndrome and related disorders</w:t>
            </w:r>
          </w:p>
        </w:tc>
        <w:tc>
          <w:tcPr>
            <w:tcW w:w="5110" w:type="dxa"/>
          </w:tcPr>
          <w:p w14:paraId="1B546DCE" w14:textId="115F2D28" w:rsidR="00367FC3" w:rsidRPr="006A140B" w:rsidRDefault="00367FC3" w:rsidP="00495B7C">
            <w:pPr>
              <w:spacing w:line="360" w:lineRule="auto"/>
              <w:jc w:val="both"/>
              <w:rPr>
                <w:rFonts w:ascii="Book Antiqua" w:hAnsi="Book Antiqua"/>
                <w:kern w:val="24"/>
              </w:rPr>
            </w:pPr>
            <w:r w:rsidRPr="006A140B">
              <w:rPr>
                <w:rFonts w:ascii="Book Antiqua" w:hAnsi="Book Antiqua"/>
                <w:kern w:val="24"/>
              </w:rPr>
              <w:t>Non-alcoholic fatty liver disease</w:t>
            </w:r>
          </w:p>
        </w:tc>
      </w:tr>
      <w:tr w:rsidR="00367FC3" w:rsidRPr="006A140B" w14:paraId="650C4C07" w14:textId="77777777" w:rsidTr="00E939AB">
        <w:trPr>
          <w:trHeight w:val="311"/>
        </w:trPr>
        <w:tc>
          <w:tcPr>
            <w:tcW w:w="4306" w:type="dxa"/>
            <w:vMerge/>
          </w:tcPr>
          <w:p w14:paraId="6D6BAC67" w14:textId="77777777" w:rsidR="00367FC3" w:rsidRPr="006A140B" w:rsidRDefault="00367FC3" w:rsidP="00495B7C">
            <w:pPr>
              <w:spacing w:line="360" w:lineRule="auto"/>
              <w:jc w:val="both"/>
              <w:rPr>
                <w:rFonts w:ascii="Book Antiqua" w:hAnsi="Book Antiqua"/>
              </w:rPr>
            </w:pPr>
          </w:p>
        </w:tc>
        <w:tc>
          <w:tcPr>
            <w:tcW w:w="5110" w:type="dxa"/>
          </w:tcPr>
          <w:p w14:paraId="56C1D4C4" w14:textId="0A198DBC" w:rsidR="00367FC3" w:rsidRPr="006A140B" w:rsidRDefault="00367FC3" w:rsidP="00495B7C">
            <w:pPr>
              <w:spacing w:line="360" w:lineRule="auto"/>
              <w:jc w:val="both"/>
              <w:rPr>
                <w:rFonts w:ascii="Book Antiqua" w:hAnsi="Book Antiqua"/>
                <w:kern w:val="24"/>
              </w:rPr>
            </w:pPr>
            <w:r w:rsidRPr="006A140B">
              <w:rPr>
                <w:rFonts w:ascii="Book Antiqua" w:hAnsi="Book Antiqua"/>
                <w:kern w:val="24"/>
              </w:rPr>
              <w:t>Nonalcoholic steatohepatitis</w:t>
            </w:r>
          </w:p>
        </w:tc>
      </w:tr>
      <w:tr w:rsidR="00367FC3" w:rsidRPr="006A140B" w14:paraId="5D67F9FA" w14:textId="77777777" w:rsidTr="00E939AB">
        <w:trPr>
          <w:trHeight w:val="133"/>
        </w:trPr>
        <w:tc>
          <w:tcPr>
            <w:tcW w:w="4306" w:type="dxa"/>
            <w:vMerge/>
          </w:tcPr>
          <w:p w14:paraId="7B2DF503" w14:textId="77777777" w:rsidR="00367FC3" w:rsidRPr="006A140B" w:rsidRDefault="00367FC3" w:rsidP="00495B7C">
            <w:pPr>
              <w:spacing w:line="360" w:lineRule="auto"/>
              <w:jc w:val="both"/>
              <w:rPr>
                <w:rFonts w:ascii="Book Antiqua" w:hAnsi="Book Antiqua"/>
              </w:rPr>
            </w:pPr>
          </w:p>
        </w:tc>
        <w:tc>
          <w:tcPr>
            <w:tcW w:w="5110" w:type="dxa"/>
          </w:tcPr>
          <w:p w14:paraId="2D1D703F" w14:textId="1A134CBC" w:rsidR="00367FC3" w:rsidRPr="006A140B" w:rsidRDefault="00367FC3" w:rsidP="00495B7C">
            <w:pPr>
              <w:spacing w:line="360" w:lineRule="auto"/>
              <w:jc w:val="both"/>
              <w:rPr>
                <w:rFonts w:ascii="Book Antiqua" w:hAnsi="Book Antiqua"/>
                <w:kern w:val="24"/>
              </w:rPr>
            </w:pPr>
            <w:r w:rsidRPr="006A140B">
              <w:rPr>
                <w:rFonts w:ascii="Book Antiqua" w:hAnsi="Book Antiqua"/>
                <w:kern w:val="24"/>
              </w:rPr>
              <w:t>Diabetes mellitus</w:t>
            </w:r>
          </w:p>
        </w:tc>
      </w:tr>
      <w:tr w:rsidR="005A4798" w:rsidRPr="00495B7C" w14:paraId="4FC2D457" w14:textId="77777777" w:rsidTr="00E939AB">
        <w:trPr>
          <w:trHeight w:val="517"/>
        </w:trPr>
        <w:tc>
          <w:tcPr>
            <w:tcW w:w="4306" w:type="dxa"/>
          </w:tcPr>
          <w:p w14:paraId="15184F77" w14:textId="30823661" w:rsidR="005A4798" w:rsidRPr="006A140B" w:rsidRDefault="005A4798" w:rsidP="00495B7C">
            <w:pPr>
              <w:spacing w:line="360" w:lineRule="auto"/>
              <w:jc w:val="both"/>
              <w:rPr>
                <w:rFonts w:ascii="Book Antiqua" w:hAnsi="Book Antiqua"/>
                <w:kern w:val="24"/>
              </w:rPr>
            </w:pPr>
            <w:r w:rsidRPr="006A140B">
              <w:rPr>
                <w:rFonts w:ascii="Book Antiqua" w:hAnsi="Book Antiqua"/>
              </w:rPr>
              <w:t>Vasoactive factors</w:t>
            </w:r>
          </w:p>
        </w:tc>
        <w:tc>
          <w:tcPr>
            <w:tcW w:w="5110" w:type="dxa"/>
          </w:tcPr>
          <w:p w14:paraId="34482BBD" w14:textId="78199FEF" w:rsidR="005A4798" w:rsidRPr="00495B7C" w:rsidRDefault="005A4798" w:rsidP="00495B7C">
            <w:pPr>
              <w:spacing w:line="360" w:lineRule="auto"/>
              <w:jc w:val="both"/>
              <w:rPr>
                <w:rFonts w:ascii="Book Antiqua" w:hAnsi="Book Antiqua"/>
                <w:kern w:val="24"/>
              </w:rPr>
            </w:pPr>
            <w:r w:rsidRPr="006A140B">
              <w:rPr>
                <w:rFonts w:ascii="Book Antiqua" w:hAnsi="Book Antiqua"/>
                <w:kern w:val="24"/>
              </w:rPr>
              <w:t>Renin-angiotensin system activation</w:t>
            </w:r>
          </w:p>
        </w:tc>
      </w:tr>
    </w:tbl>
    <w:p w14:paraId="7E17E1EA" w14:textId="158DF528" w:rsidR="006A140B" w:rsidRDefault="006A140B" w:rsidP="00495B7C">
      <w:pPr>
        <w:spacing w:line="360" w:lineRule="auto"/>
        <w:jc w:val="both"/>
        <w:rPr>
          <w:rFonts w:ascii="Book Antiqua" w:hAnsi="Book Antiqua"/>
        </w:rPr>
      </w:pPr>
    </w:p>
    <w:p w14:paraId="0202C525" w14:textId="77777777" w:rsidR="006A140B" w:rsidRDefault="006A140B">
      <w:pPr>
        <w:rPr>
          <w:rFonts w:ascii="Book Antiqua" w:hAnsi="Book Antiqua"/>
        </w:rPr>
      </w:pPr>
      <w:r>
        <w:rPr>
          <w:rFonts w:ascii="Book Antiqua" w:hAnsi="Book Antiqua"/>
        </w:rPr>
        <w:br w:type="page"/>
      </w:r>
    </w:p>
    <w:p w14:paraId="05B7EE1D" w14:textId="77777777" w:rsidR="006A140B" w:rsidRDefault="006A140B" w:rsidP="006A140B">
      <w:pPr>
        <w:jc w:val="center"/>
        <w:rPr>
          <w:rFonts w:ascii="Book Antiqua" w:hAnsi="Book Antiqua"/>
          <w:lang w:eastAsia="zh-CN"/>
        </w:rPr>
      </w:pPr>
      <w:bookmarkStart w:id="5" w:name="OLE_LINK1"/>
      <w:bookmarkStart w:id="6" w:name="OLE_LINK2"/>
    </w:p>
    <w:p w14:paraId="7C3691E4" w14:textId="77777777" w:rsidR="006A140B" w:rsidRDefault="006A140B" w:rsidP="006A140B">
      <w:pPr>
        <w:jc w:val="center"/>
        <w:rPr>
          <w:rFonts w:ascii="Book Antiqua" w:hAnsi="Book Antiqua"/>
          <w:lang w:eastAsia="zh-CN"/>
        </w:rPr>
      </w:pPr>
    </w:p>
    <w:p w14:paraId="5487E358" w14:textId="77777777" w:rsidR="006A140B" w:rsidRDefault="006A140B" w:rsidP="006A140B">
      <w:pPr>
        <w:jc w:val="center"/>
        <w:rPr>
          <w:rFonts w:ascii="Book Antiqua" w:hAnsi="Book Antiqua"/>
          <w:lang w:eastAsia="zh-CN"/>
        </w:rPr>
      </w:pPr>
    </w:p>
    <w:p w14:paraId="7C29890C" w14:textId="77777777" w:rsidR="006A140B" w:rsidRDefault="006A140B" w:rsidP="006A140B">
      <w:pPr>
        <w:jc w:val="center"/>
        <w:rPr>
          <w:rFonts w:ascii="Book Antiqua" w:hAnsi="Book Antiqua"/>
          <w:lang w:eastAsia="zh-CN"/>
        </w:rPr>
      </w:pPr>
    </w:p>
    <w:p w14:paraId="607B88A5" w14:textId="77777777" w:rsidR="006A140B" w:rsidRDefault="006A140B" w:rsidP="006A140B">
      <w:pPr>
        <w:jc w:val="center"/>
        <w:rPr>
          <w:rFonts w:ascii="Book Antiqua" w:hAnsi="Book Antiqua"/>
          <w:lang w:eastAsia="zh-CN"/>
        </w:rPr>
      </w:pPr>
    </w:p>
    <w:p w14:paraId="7E36025F" w14:textId="77777777" w:rsidR="006A140B" w:rsidRDefault="006A140B" w:rsidP="006A140B">
      <w:pPr>
        <w:jc w:val="center"/>
        <w:rPr>
          <w:rFonts w:ascii="Book Antiqua" w:hAnsi="Book Antiqua"/>
          <w:lang w:eastAsia="zh-CN"/>
        </w:rPr>
      </w:pPr>
      <w:r>
        <w:rPr>
          <w:rFonts w:ascii="Book Antiqua" w:hAnsi="Book Antiqua"/>
          <w:noProof/>
          <w:lang w:eastAsia="zh-CN"/>
        </w:rPr>
        <w:drawing>
          <wp:inline distT="0" distB="0" distL="0" distR="0" wp14:anchorId="6F2DCFDD" wp14:editId="4B8C45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05EDF2" w14:textId="77777777" w:rsidR="006A140B" w:rsidRDefault="006A140B" w:rsidP="006A140B">
      <w:pPr>
        <w:jc w:val="center"/>
        <w:rPr>
          <w:rFonts w:ascii="Book Antiqua" w:hAnsi="Book Antiqua"/>
          <w:lang w:eastAsia="zh-CN"/>
        </w:rPr>
      </w:pPr>
    </w:p>
    <w:p w14:paraId="73864B48" w14:textId="77777777" w:rsidR="006A140B" w:rsidRPr="00763D22" w:rsidRDefault="006A140B" w:rsidP="006A140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202F86E" w14:textId="77777777" w:rsidR="006A140B" w:rsidRPr="00763D22" w:rsidRDefault="006A140B" w:rsidP="006A140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013D65" w14:textId="77777777" w:rsidR="006A140B" w:rsidRPr="00763D22" w:rsidRDefault="006A140B" w:rsidP="006A140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9D36B2" w14:textId="77777777" w:rsidR="006A140B" w:rsidRPr="00763D22" w:rsidRDefault="006A140B" w:rsidP="006A140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47FD77" w14:textId="77777777" w:rsidR="006A140B" w:rsidRPr="00763D22" w:rsidRDefault="006A140B" w:rsidP="006A140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D39DEA" w14:textId="77777777" w:rsidR="006A140B" w:rsidRPr="00763D22" w:rsidRDefault="006A140B" w:rsidP="006A140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85DF221" w14:textId="77777777" w:rsidR="006A140B" w:rsidRDefault="006A140B" w:rsidP="006A140B">
      <w:pPr>
        <w:jc w:val="center"/>
        <w:rPr>
          <w:rFonts w:ascii="Book Antiqua" w:hAnsi="Book Antiqua"/>
          <w:lang w:eastAsia="zh-CN"/>
        </w:rPr>
      </w:pPr>
    </w:p>
    <w:p w14:paraId="171E807B" w14:textId="77777777" w:rsidR="006A140B" w:rsidRDefault="006A140B" w:rsidP="006A140B">
      <w:pPr>
        <w:jc w:val="center"/>
        <w:rPr>
          <w:rFonts w:ascii="Book Antiqua" w:hAnsi="Book Antiqua"/>
          <w:lang w:eastAsia="zh-CN"/>
        </w:rPr>
      </w:pPr>
    </w:p>
    <w:p w14:paraId="0833B3C5" w14:textId="77777777" w:rsidR="006A140B" w:rsidRDefault="006A140B" w:rsidP="006A140B">
      <w:pPr>
        <w:jc w:val="center"/>
        <w:rPr>
          <w:rFonts w:ascii="Book Antiqua" w:hAnsi="Book Antiqua"/>
          <w:lang w:eastAsia="zh-CN"/>
        </w:rPr>
      </w:pPr>
    </w:p>
    <w:p w14:paraId="4284522D" w14:textId="77777777" w:rsidR="006A140B" w:rsidRDefault="006A140B" w:rsidP="006A140B">
      <w:pPr>
        <w:jc w:val="center"/>
        <w:rPr>
          <w:rFonts w:ascii="Book Antiqua" w:hAnsi="Book Antiqua"/>
          <w:lang w:eastAsia="zh-CN"/>
        </w:rPr>
      </w:pPr>
      <w:r>
        <w:rPr>
          <w:rFonts w:ascii="Book Antiqua" w:hAnsi="Book Antiqua"/>
          <w:noProof/>
          <w:lang w:eastAsia="zh-CN"/>
        </w:rPr>
        <w:drawing>
          <wp:inline distT="0" distB="0" distL="0" distR="0" wp14:anchorId="5F55EEA5" wp14:editId="7EB10C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51585E" w14:textId="77777777" w:rsidR="006A140B" w:rsidRDefault="006A140B" w:rsidP="006A140B">
      <w:pPr>
        <w:jc w:val="center"/>
        <w:rPr>
          <w:rFonts w:ascii="Book Antiqua" w:hAnsi="Book Antiqua"/>
          <w:lang w:eastAsia="zh-CN"/>
        </w:rPr>
      </w:pPr>
    </w:p>
    <w:p w14:paraId="70B80E0C" w14:textId="77777777" w:rsidR="006A140B" w:rsidRDefault="006A140B" w:rsidP="006A140B">
      <w:pPr>
        <w:jc w:val="center"/>
        <w:rPr>
          <w:rFonts w:ascii="Book Antiqua" w:hAnsi="Book Antiqua"/>
          <w:lang w:eastAsia="zh-CN"/>
        </w:rPr>
      </w:pPr>
    </w:p>
    <w:p w14:paraId="5FFFE4E2" w14:textId="77777777" w:rsidR="006A140B" w:rsidRDefault="006A140B" w:rsidP="006A140B">
      <w:pPr>
        <w:jc w:val="center"/>
        <w:rPr>
          <w:rFonts w:ascii="Book Antiqua" w:hAnsi="Book Antiqua"/>
          <w:lang w:eastAsia="zh-CN"/>
        </w:rPr>
      </w:pPr>
    </w:p>
    <w:p w14:paraId="76FC9BF9" w14:textId="77777777" w:rsidR="006A140B" w:rsidRDefault="006A140B" w:rsidP="006A140B">
      <w:pPr>
        <w:jc w:val="center"/>
        <w:rPr>
          <w:rFonts w:ascii="Book Antiqua" w:hAnsi="Book Antiqua"/>
          <w:lang w:eastAsia="zh-CN"/>
        </w:rPr>
      </w:pPr>
    </w:p>
    <w:p w14:paraId="53F8928C" w14:textId="77777777" w:rsidR="006A140B" w:rsidRDefault="006A140B" w:rsidP="006A140B">
      <w:pPr>
        <w:jc w:val="center"/>
        <w:rPr>
          <w:rFonts w:ascii="Book Antiqua" w:hAnsi="Book Antiqua"/>
          <w:lang w:eastAsia="zh-CN"/>
        </w:rPr>
      </w:pPr>
    </w:p>
    <w:p w14:paraId="021ADEB4" w14:textId="77777777" w:rsidR="006A140B" w:rsidRDefault="006A140B" w:rsidP="006A140B">
      <w:pPr>
        <w:jc w:val="center"/>
        <w:rPr>
          <w:rFonts w:ascii="Book Antiqua" w:hAnsi="Book Antiqua"/>
          <w:lang w:eastAsia="zh-CN"/>
        </w:rPr>
      </w:pPr>
    </w:p>
    <w:p w14:paraId="5BDE4AB3" w14:textId="77777777" w:rsidR="006A140B" w:rsidRDefault="006A140B" w:rsidP="006A140B">
      <w:pPr>
        <w:jc w:val="center"/>
        <w:rPr>
          <w:rFonts w:ascii="Book Antiqua" w:hAnsi="Book Antiqua"/>
          <w:lang w:eastAsia="zh-CN"/>
        </w:rPr>
      </w:pPr>
    </w:p>
    <w:p w14:paraId="79E48E6A" w14:textId="77777777" w:rsidR="006A140B" w:rsidRDefault="006A140B" w:rsidP="006A140B">
      <w:pPr>
        <w:jc w:val="center"/>
        <w:rPr>
          <w:rFonts w:ascii="Book Antiqua" w:hAnsi="Book Antiqua"/>
          <w:lang w:eastAsia="zh-CN"/>
        </w:rPr>
      </w:pPr>
    </w:p>
    <w:p w14:paraId="50388419" w14:textId="77777777" w:rsidR="006A140B" w:rsidRDefault="006A140B" w:rsidP="006A140B">
      <w:pPr>
        <w:jc w:val="center"/>
        <w:rPr>
          <w:rFonts w:ascii="Book Antiqua" w:hAnsi="Book Antiqua"/>
          <w:lang w:eastAsia="zh-CN"/>
        </w:rPr>
      </w:pPr>
    </w:p>
    <w:p w14:paraId="23309C35" w14:textId="77777777" w:rsidR="006A140B" w:rsidRPr="00763D22" w:rsidRDefault="006A140B" w:rsidP="006A140B">
      <w:pPr>
        <w:jc w:val="right"/>
        <w:rPr>
          <w:rFonts w:ascii="Book Antiqua" w:hAnsi="Book Antiqua"/>
          <w:color w:val="000000" w:themeColor="text1"/>
          <w:lang w:eastAsia="zh-CN"/>
        </w:rPr>
      </w:pPr>
    </w:p>
    <w:p w14:paraId="1AE57107" w14:textId="77777777" w:rsidR="006A140B" w:rsidRPr="00763D22" w:rsidRDefault="006A140B" w:rsidP="006A140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59F48B39" w14:textId="77777777" w:rsidR="004640E9" w:rsidRPr="00495B7C" w:rsidRDefault="004640E9" w:rsidP="00495B7C">
      <w:pPr>
        <w:spacing w:line="360" w:lineRule="auto"/>
        <w:jc w:val="both"/>
        <w:rPr>
          <w:rFonts w:ascii="Book Antiqua" w:hAnsi="Book Antiqua"/>
        </w:rPr>
      </w:pPr>
      <w:bookmarkStart w:id="7" w:name="_GoBack"/>
      <w:bookmarkEnd w:id="7"/>
    </w:p>
    <w:sectPr w:rsidR="004640E9" w:rsidRPr="00495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68547" w14:textId="77777777" w:rsidR="00A8326E" w:rsidRDefault="00A8326E" w:rsidP="009F4491">
      <w:r>
        <w:separator/>
      </w:r>
    </w:p>
  </w:endnote>
  <w:endnote w:type="continuationSeparator" w:id="0">
    <w:p w14:paraId="78E12AA4" w14:textId="77777777" w:rsidR="00A8326E" w:rsidRDefault="00A8326E" w:rsidP="009F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EB53" w14:textId="77777777" w:rsidR="00331827" w:rsidRPr="009F4491" w:rsidRDefault="00331827" w:rsidP="009F4491">
    <w:pPr>
      <w:pStyle w:val="a4"/>
      <w:jc w:val="right"/>
      <w:rPr>
        <w:rFonts w:ascii="Book Antiqua" w:hAnsi="Book Antiqua"/>
        <w:sz w:val="24"/>
        <w:szCs w:val="24"/>
      </w:rPr>
    </w:pPr>
    <w:r w:rsidRPr="009F4491">
      <w:rPr>
        <w:rFonts w:ascii="Book Antiqua" w:hAnsi="Book Antiqua"/>
        <w:sz w:val="24"/>
        <w:szCs w:val="24"/>
        <w:lang w:val="zh-CN" w:eastAsia="zh-CN"/>
      </w:rPr>
      <w:t xml:space="preserve"> </w:t>
    </w:r>
    <w:r w:rsidRPr="009F4491">
      <w:rPr>
        <w:rFonts w:ascii="Book Antiqua" w:hAnsi="Book Antiqua"/>
        <w:sz w:val="24"/>
        <w:szCs w:val="24"/>
      </w:rPr>
      <w:fldChar w:fldCharType="begin"/>
    </w:r>
    <w:r w:rsidRPr="009F4491">
      <w:rPr>
        <w:rFonts w:ascii="Book Antiqua" w:hAnsi="Book Antiqua"/>
        <w:sz w:val="24"/>
        <w:szCs w:val="24"/>
      </w:rPr>
      <w:instrText>PAGE  \* Arabic  \* MERGEFORMAT</w:instrText>
    </w:r>
    <w:r w:rsidRPr="009F4491">
      <w:rPr>
        <w:rFonts w:ascii="Book Antiqua" w:hAnsi="Book Antiqua"/>
        <w:sz w:val="24"/>
        <w:szCs w:val="24"/>
      </w:rPr>
      <w:fldChar w:fldCharType="separate"/>
    </w:r>
    <w:r w:rsidR="00A8326E" w:rsidRPr="00A8326E">
      <w:rPr>
        <w:rFonts w:ascii="Book Antiqua" w:hAnsi="Book Antiqua"/>
        <w:noProof/>
        <w:sz w:val="24"/>
        <w:szCs w:val="24"/>
        <w:lang w:val="zh-CN" w:eastAsia="zh-CN"/>
      </w:rPr>
      <w:t>1</w:t>
    </w:r>
    <w:r w:rsidRPr="009F4491">
      <w:rPr>
        <w:rFonts w:ascii="Book Antiqua" w:hAnsi="Book Antiqua"/>
        <w:sz w:val="24"/>
        <w:szCs w:val="24"/>
      </w:rPr>
      <w:fldChar w:fldCharType="end"/>
    </w:r>
    <w:r w:rsidRPr="009F4491">
      <w:rPr>
        <w:rFonts w:ascii="Book Antiqua" w:hAnsi="Book Antiqua"/>
        <w:sz w:val="24"/>
        <w:szCs w:val="24"/>
        <w:lang w:val="zh-CN" w:eastAsia="zh-CN"/>
      </w:rPr>
      <w:t xml:space="preserve"> / </w:t>
    </w:r>
    <w:r w:rsidRPr="009F4491">
      <w:rPr>
        <w:rFonts w:ascii="Book Antiqua" w:hAnsi="Book Antiqua"/>
        <w:sz w:val="24"/>
        <w:szCs w:val="24"/>
      </w:rPr>
      <w:fldChar w:fldCharType="begin"/>
    </w:r>
    <w:r w:rsidRPr="009F4491">
      <w:rPr>
        <w:rFonts w:ascii="Book Antiqua" w:hAnsi="Book Antiqua"/>
        <w:sz w:val="24"/>
        <w:szCs w:val="24"/>
      </w:rPr>
      <w:instrText>NUMPAGES  \* Arabic  \* MERGEFORMAT</w:instrText>
    </w:r>
    <w:r w:rsidRPr="009F4491">
      <w:rPr>
        <w:rFonts w:ascii="Book Antiqua" w:hAnsi="Book Antiqua"/>
        <w:sz w:val="24"/>
        <w:szCs w:val="24"/>
      </w:rPr>
      <w:fldChar w:fldCharType="separate"/>
    </w:r>
    <w:r w:rsidR="00A8326E" w:rsidRPr="00A8326E">
      <w:rPr>
        <w:rFonts w:ascii="Book Antiqua" w:hAnsi="Book Antiqua"/>
        <w:noProof/>
        <w:sz w:val="24"/>
        <w:szCs w:val="24"/>
        <w:lang w:val="zh-CN" w:eastAsia="zh-CN"/>
      </w:rPr>
      <w:t>1</w:t>
    </w:r>
    <w:r w:rsidRPr="009F4491">
      <w:rPr>
        <w:rFonts w:ascii="Book Antiqua" w:hAnsi="Book Antiqua"/>
        <w:sz w:val="24"/>
        <w:szCs w:val="24"/>
      </w:rPr>
      <w:fldChar w:fldCharType="end"/>
    </w:r>
  </w:p>
  <w:p w14:paraId="11A7837D" w14:textId="77777777" w:rsidR="00331827" w:rsidRDefault="003318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53274" w14:textId="77777777" w:rsidR="00A8326E" w:rsidRDefault="00A8326E" w:rsidP="009F4491">
      <w:r>
        <w:separator/>
      </w:r>
    </w:p>
  </w:footnote>
  <w:footnote w:type="continuationSeparator" w:id="0">
    <w:p w14:paraId="17049721" w14:textId="77777777" w:rsidR="00A8326E" w:rsidRDefault="00A8326E" w:rsidP="009F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119"/>
    <w:rsid w:val="00043F19"/>
    <w:rsid w:val="00084459"/>
    <w:rsid w:val="00095161"/>
    <w:rsid w:val="000A6EAD"/>
    <w:rsid w:val="000C1CDC"/>
    <w:rsid w:val="000C6A98"/>
    <w:rsid w:val="0011643C"/>
    <w:rsid w:val="00116DE4"/>
    <w:rsid w:val="00121B10"/>
    <w:rsid w:val="00161EAE"/>
    <w:rsid w:val="0018699C"/>
    <w:rsid w:val="001F3EC6"/>
    <w:rsid w:val="00215026"/>
    <w:rsid w:val="00220265"/>
    <w:rsid w:val="00254C53"/>
    <w:rsid w:val="002A74AA"/>
    <w:rsid w:val="002D29DA"/>
    <w:rsid w:val="002E4C73"/>
    <w:rsid w:val="002F0524"/>
    <w:rsid w:val="00301278"/>
    <w:rsid w:val="00311EE5"/>
    <w:rsid w:val="0032020C"/>
    <w:rsid w:val="00321CDA"/>
    <w:rsid w:val="003268C4"/>
    <w:rsid w:val="00331827"/>
    <w:rsid w:val="00344024"/>
    <w:rsid w:val="003524F4"/>
    <w:rsid w:val="0035366F"/>
    <w:rsid w:val="003550E2"/>
    <w:rsid w:val="00367FC3"/>
    <w:rsid w:val="0037430A"/>
    <w:rsid w:val="003847C8"/>
    <w:rsid w:val="00390A7F"/>
    <w:rsid w:val="0039369D"/>
    <w:rsid w:val="00393830"/>
    <w:rsid w:val="003A1627"/>
    <w:rsid w:val="003A369D"/>
    <w:rsid w:val="003B41B3"/>
    <w:rsid w:val="003E2B95"/>
    <w:rsid w:val="00441A23"/>
    <w:rsid w:val="00450B0A"/>
    <w:rsid w:val="004640E9"/>
    <w:rsid w:val="00465478"/>
    <w:rsid w:val="00467D94"/>
    <w:rsid w:val="00495B7C"/>
    <w:rsid w:val="004B52F0"/>
    <w:rsid w:val="004C06B8"/>
    <w:rsid w:val="00506A15"/>
    <w:rsid w:val="00524DC6"/>
    <w:rsid w:val="00530093"/>
    <w:rsid w:val="005347C2"/>
    <w:rsid w:val="005840FE"/>
    <w:rsid w:val="00595969"/>
    <w:rsid w:val="005A055D"/>
    <w:rsid w:val="005A4798"/>
    <w:rsid w:val="005B2FC9"/>
    <w:rsid w:val="005B468C"/>
    <w:rsid w:val="005C6FD2"/>
    <w:rsid w:val="006014CB"/>
    <w:rsid w:val="00617051"/>
    <w:rsid w:val="0062494C"/>
    <w:rsid w:val="00641893"/>
    <w:rsid w:val="00653073"/>
    <w:rsid w:val="00661B74"/>
    <w:rsid w:val="006772E0"/>
    <w:rsid w:val="006A140B"/>
    <w:rsid w:val="006A27A4"/>
    <w:rsid w:val="006B230C"/>
    <w:rsid w:val="006B2B4B"/>
    <w:rsid w:val="006B7CB7"/>
    <w:rsid w:val="00721CDF"/>
    <w:rsid w:val="0075265A"/>
    <w:rsid w:val="007779CD"/>
    <w:rsid w:val="007A0047"/>
    <w:rsid w:val="007A6E7F"/>
    <w:rsid w:val="007B16CA"/>
    <w:rsid w:val="007B4BD2"/>
    <w:rsid w:val="007D6307"/>
    <w:rsid w:val="007E3574"/>
    <w:rsid w:val="0082752F"/>
    <w:rsid w:val="00833B15"/>
    <w:rsid w:val="0084712A"/>
    <w:rsid w:val="008615D6"/>
    <w:rsid w:val="00866FE4"/>
    <w:rsid w:val="008712C4"/>
    <w:rsid w:val="008761AF"/>
    <w:rsid w:val="00886362"/>
    <w:rsid w:val="008C15AD"/>
    <w:rsid w:val="008C3BFB"/>
    <w:rsid w:val="008D3F53"/>
    <w:rsid w:val="008D4CAB"/>
    <w:rsid w:val="008F37AE"/>
    <w:rsid w:val="009138BE"/>
    <w:rsid w:val="00933F81"/>
    <w:rsid w:val="00995F0A"/>
    <w:rsid w:val="009C4AC9"/>
    <w:rsid w:val="009C4B68"/>
    <w:rsid w:val="009C6ECE"/>
    <w:rsid w:val="009D18F5"/>
    <w:rsid w:val="009F4491"/>
    <w:rsid w:val="00A05C58"/>
    <w:rsid w:val="00A24665"/>
    <w:rsid w:val="00A36CFB"/>
    <w:rsid w:val="00A42496"/>
    <w:rsid w:val="00A45140"/>
    <w:rsid w:val="00A62641"/>
    <w:rsid w:val="00A77B3E"/>
    <w:rsid w:val="00A81846"/>
    <w:rsid w:val="00A8326E"/>
    <w:rsid w:val="00A95EEF"/>
    <w:rsid w:val="00AA7DD2"/>
    <w:rsid w:val="00AB543E"/>
    <w:rsid w:val="00AD73F9"/>
    <w:rsid w:val="00AF0748"/>
    <w:rsid w:val="00AF330D"/>
    <w:rsid w:val="00B0112E"/>
    <w:rsid w:val="00B346B8"/>
    <w:rsid w:val="00B54B18"/>
    <w:rsid w:val="00B978A9"/>
    <w:rsid w:val="00BA0CCC"/>
    <w:rsid w:val="00BC421D"/>
    <w:rsid w:val="00BD146F"/>
    <w:rsid w:val="00BD24D5"/>
    <w:rsid w:val="00C05A6B"/>
    <w:rsid w:val="00C478B7"/>
    <w:rsid w:val="00C6667E"/>
    <w:rsid w:val="00C87896"/>
    <w:rsid w:val="00CA2A55"/>
    <w:rsid w:val="00CA68DA"/>
    <w:rsid w:val="00CC51C5"/>
    <w:rsid w:val="00D03DB9"/>
    <w:rsid w:val="00D6309F"/>
    <w:rsid w:val="00D707B0"/>
    <w:rsid w:val="00D72084"/>
    <w:rsid w:val="00D744D4"/>
    <w:rsid w:val="00D9457E"/>
    <w:rsid w:val="00DA4CE4"/>
    <w:rsid w:val="00DA4F2A"/>
    <w:rsid w:val="00DD3DA0"/>
    <w:rsid w:val="00DF27D2"/>
    <w:rsid w:val="00DF3BF6"/>
    <w:rsid w:val="00DF5208"/>
    <w:rsid w:val="00DF71B6"/>
    <w:rsid w:val="00E0614F"/>
    <w:rsid w:val="00E176D8"/>
    <w:rsid w:val="00E304FB"/>
    <w:rsid w:val="00E4107C"/>
    <w:rsid w:val="00E45529"/>
    <w:rsid w:val="00E939AB"/>
    <w:rsid w:val="00EB2F47"/>
    <w:rsid w:val="00ED7F16"/>
    <w:rsid w:val="00F129C7"/>
    <w:rsid w:val="00F22E43"/>
    <w:rsid w:val="00F33438"/>
    <w:rsid w:val="00F47652"/>
    <w:rsid w:val="00F5400E"/>
    <w:rsid w:val="00F64B92"/>
    <w:rsid w:val="00F968EA"/>
    <w:rsid w:val="00F9730F"/>
    <w:rsid w:val="00FB0CD9"/>
    <w:rsid w:val="00FD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7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495B7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495B7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495B7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495B7C"/>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495B7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495B7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F4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4491"/>
    <w:rPr>
      <w:sz w:val="18"/>
      <w:szCs w:val="18"/>
    </w:rPr>
  </w:style>
  <w:style w:type="paragraph" w:styleId="a4">
    <w:name w:val="footer"/>
    <w:basedOn w:val="a"/>
    <w:link w:val="Char0"/>
    <w:uiPriority w:val="99"/>
    <w:unhideWhenUsed/>
    <w:rsid w:val="009F4491"/>
    <w:pPr>
      <w:tabs>
        <w:tab w:val="center" w:pos="4153"/>
        <w:tab w:val="right" w:pos="8306"/>
      </w:tabs>
      <w:snapToGrid w:val="0"/>
    </w:pPr>
    <w:rPr>
      <w:sz w:val="18"/>
      <w:szCs w:val="18"/>
    </w:rPr>
  </w:style>
  <w:style w:type="character" w:customStyle="1" w:styleId="Char0">
    <w:name w:val="页脚 Char"/>
    <w:basedOn w:val="a0"/>
    <w:link w:val="a4"/>
    <w:uiPriority w:val="99"/>
    <w:rsid w:val="009F4491"/>
    <w:rPr>
      <w:sz w:val="18"/>
      <w:szCs w:val="18"/>
    </w:rPr>
  </w:style>
  <w:style w:type="character" w:customStyle="1" w:styleId="1Char">
    <w:name w:val="标题 1 Char"/>
    <w:basedOn w:val="a0"/>
    <w:link w:val="1"/>
    <w:rsid w:val="00495B7C"/>
    <w:rPr>
      <w:rFonts w:ascii="Book Antiqua" w:eastAsia="Book Antiqua" w:hAnsi="Book Antiqua" w:cs="Book Antiqua"/>
      <w:b/>
      <w:bCs/>
      <w:kern w:val="36"/>
      <w:sz w:val="48"/>
      <w:szCs w:val="48"/>
    </w:rPr>
  </w:style>
  <w:style w:type="character" w:customStyle="1" w:styleId="2Char">
    <w:name w:val="标题 2 Char"/>
    <w:basedOn w:val="a0"/>
    <w:link w:val="2"/>
    <w:rsid w:val="00495B7C"/>
    <w:rPr>
      <w:rFonts w:ascii="Book Antiqua" w:eastAsia="Book Antiqua" w:hAnsi="Book Antiqua" w:cs="Book Antiqua"/>
      <w:b/>
      <w:bCs/>
      <w:iCs/>
      <w:sz w:val="36"/>
      <w:szCs w:val="36"/>
    </w:rPr>
  </w:style>
  <w:style w:type="character" w:customStyle="1" w:styleId="3Char">
    <w:name w:val="标题 3 Char"/>
    <w:basedOn w:val="a0"/>
    <w:link w:val="3"/>
    <w:rsid w:val="00495B7C"/>
    <w:rPr>
      <w:rFonts w:ascii="Book Antiqua" w:eastAsia="Book Antiqua" w:hAnsi="Book Antiqua" w:cs="Book Antiqua"/>
      <w:b/>
      <w:bCs/>
      <w:sz w:val="28"/>
      <w:szCs w:val="28"/>
    </w:rPr>
  </w:style>
  <w:style w:type="character" w:customStyle="1" w:styleId="4Char">
    <w:name w:val="标题 4 Char"/>
    <w:basedOn w:val="a0"/>
    <w:link w:val="4"/>
    <w:rsid w:val="00495B7C"/>
    <w:rPr>
      <w:rFonts w:ascii="Book Antiqua" w:eastAsia="Book Antiqua" w:hAnsi="Book Antiqua" w:cs="Book Antiqua"/>
      <w:b/>
      <w:bCs/>
      <w:sz w:val="24"/>
      <w:szCs w:val="24"/>
    </w:rPr>
  </w:style>
  <w:style w:type="character" w:customStyle="1" w:styleId="5Char">
    <w:name w:val="标题 5 Char"/>
    <w:basedOn w:val="a0"/>
    <w:link w:val="5"/>
    <w:rsid w:val="00495B7C"/>
    <w:rPr>
      <w:rFonts w:ascii="Book Antiqua" w:eastAsia="Book Antiqua" w:hAnsi="Book Antiqua" w:cs="Book Antiqua"/>
      <w:b/>
      <w:bCs/>
      <w:iCs/>
    </w:rPr>
  </w:style>
  <w:style w:type="character" w:customStyle="1" w:styleId="6Char">
    <w:name w:val="标题 6 Char"/>
    <w:basedOn w:val="a0"/>
    <w:link w:val="6"/>
    <w:rsid w:val="00495B7C"/>
    <w:rPr>
      <w:rFonts w:ascii="Book Antiqua" w:eastAsia="Book Antiqua" w:hAnsi="Book Antiqua" w:cs="Book Antiqua"/>
      <w:b/>
      <w:bCs/>
      <w:sz w:val="16"/>
      <w:szCs w:val="16"/>
    </w:rPr>
  </w:style>
  <w:style w:type="character" w:styleId="a5">
    <w:name w:val="annotation reference"/>
    <w:basedOn w:val="a0"/>
    <w:semiHidden/>
    <w:unhideWhenUsed/>
    <w:rsid w:val="0082752F"/>
    <w:rPr>
      <w:sz w:val="21"/>
      <w:szCs w:val="21"/>
    </w:rPr>
  </w:style>
  <w:style w:type="paragraph" w:styleId="a6">
    <w:name w:val="annotation text"/>
    <w:basedOn w:val="a"/>
    <w:link w:val="Char1"/>
    <w:unhideWhenUsed/>
    <w:rsid w:val="0082752F"/>
  </w:style>
  <w:style w:type="character" w:customStyle="1" w:styleId="Char1">
    <w:name w:val="批注文字 Char"/>
    <w:basedOn w:val="a0"/>
    <w:link w:val="a6"/>
    <w:rsid w:val="0082752F"/>
    <w:rPr>
      <w:sz w:val="24"/>
      <w:szCs w:val="24"/>
    </w:rPr>
  </w:style>
  <w:style w:type="paragraph" w:styleId="a7">
    <w:name w:val="annotation subject"/>
    <w:basedOn w:val="a6"/>
    <w:next w:val="a6"/>
    <w:link w:val="Char2"/>
    <w:semiHidden/>
    <w:unhideWhenUsed/>
    <w:rsid w:val="0082752F"/>
    <w:rPr>
      <w:b/>
      <w:bCs/>
    </w:rPr>
  </w:style>
  <w:style w:type="character" w:customStyle="1" w:styleId="Char2">
    <w:name w:val="批注主题 Char"/>
    <w:basedOn w:val="Char1"/>
    <w:link w:val="a7"/>
    <w:semiHidden/>
    <w:rsid w:val="0082752F"/>
    <w:rPr>
      <w:b/>
      <w:bCs/>
      <w:sz w:val="24"/>
      <w:szCs w:val="24"/>
    </w:rPr>
  </w:style>
  <w:style w:type="paragraph" w:styleId="a8">
    <w:name w:val="Balloon Text"/>
    <w:basedOn w:val="a"/>
    <w:link w:val="Char3"/>
    <w:rsid w:val="003550E2"/>
    <w:rPr>
      <w:rFonts w:asciiTheme="majorHAnsi" w:eastAsiaTheme="majorEastAsia" w:hAnsiTheme="majorHAnsi" w:cstheme="majorBidi"/>
      <w:sz w:val="18"/>
      <w:szCs w:val="18"/>
    </w:rPr>
  </w:style>
  <w:style w:type="character" w:customStyle="1" w:styleId="Char3">
    <w:name w:val="批注框文本 Char"/>
    <w:basedOn w:val="a0"/>
    <w:link w:val="a8"/>
    <w:rsid w:val="003550E2"/>
    <w:rPr>
      <w:rFonts w:asciiTheme="majorHAnsi" w:eastAsiaTheme="majorEastAsia" w:hAnsiTheme="majorHAnsi" w:cstheme="majorBidi"/>
      <w:sz w:val="18"/>
      <w:szCs w:val="18"/>
    </w:rPr>
  </w:style>
  <w:style w:type="character" w:styleId="a9">
    <w:name w:val="Hyperlink"/>
    <w:basedOn w:val="a0"/>
    <w:unhideWhenUsed/>
    <w:rsid w:val="00584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495B7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495B7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495B7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495B7C"/>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495B7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495B7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F4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4491"/>
    <w:rPr>
      <w:sz w:val="18"/>
      <w:szCs w:val="18"/>
    </w:rPr>
  </w:style>
  <w:style w:type="paragraph" w:styleId="a4">
    <w:name w:val="footer"/>
    <w:basedOn w:val="a"/>
    <w:link w:val="Char0"/>
    <w:uiPriority w:val="99"/>
    <w:unhideWhenUsed/>
    <w:rsid w:val="009F4491"/>
    <w:pPr>
      <w:tabs>
        <w:tab w:val="center" w:pos="4153"/>
        <w:tab w:val="right" w:pos="8306"/>
      </w:tabs>
      <w:snapToGrid w:val="0"/>
    </w:pPr>
    <w:rPr>
      <w:sz w:val="18"/>
      <w:szCs w:val="18"/>
    </w:rPr>
  </w:style>
  <w:style w:type="character" w:customStyle="1" w:styleId="Char0">
    <w:name w:val="页脚 Char"/>
    <w:basedOn w:val="a0"/>
    <w:link w:val="a4"/>
    <w:uiPriority w:val="99"/>
    <w:rsid w:val="009F4491"/>
    <w:rPr>
      <w:sz w:val="18"/>
      <w:szCs w:val="18"/>
    </w:rPr>
  </w:style>
  <w:style w:type="character" w:customStyle="1" w:styleId="1Char">
    <w:name w:val="标题 1 Char"/>
    <w:basedOn w:val="a0"/>
    <w:link w:val="1"/>
    <w:rsid w:val="00495B7C"/>
    <w:rPr>
      <w:rFonts w:ascii="Book Antiqua" w:eastAsia="Book Antiqua" w:hAnsi="Book Antiqua" w:cs="Book Antiqua"/>
      <w:b/>
      <w:bCs/>
      <w:kern w:val="36"/>
      <w:sz w:val="48"/>
      <w:szCs w:val="48"/>
    </w:rPr>
  </w:style>
  <w:style w:type="character" w:customStyle="1" w:styleId="2Char">
    <w:name w:val="标题 2 Char"/>
    <w:basedOn w:val="a0"/>
    <w:link w:val="2"/>
    <w:rsid w:val="00495B7C"/>
    <w:rPr>
      <w:rFonts w:ascii="Book Antiqua" w:eastAsia="Book Antiqua" w:hAnsi="Book Antiqua" w:cs="Book Antiqua"/>
      <w:b/>
      <w:bCs/>
      <w:iCs/>
      <w:sz w:val="36"/>
      <w:szCs w:val="36"/>
    </w:rPr>
  </w:style>
  <w:style w:type="character" w:customStyle="1" w:styleId="3Char">
    <w:name w:val="标题 3 Char"/>
    <w:basedOn w:val="a0"/>
    <w:link w:val="3"/>
    <w:rsid w:val="00495B7C"/>
    <w:rPr>
      <w:rFonts w:ascii="Book Antiqua" w:eastAsia="Book Antiqua" w:hAnsi="Book Antiqua" w:cs="Book Antiqua"/>
      <w:b/>
      <w:bCs/>
      <w:sz w:val="28"/>
      <w:szCs w:val="28"/>
    </w:rPr>
  </w:style>
  <w:style w:type="character" w:customStyle="1" w:styleId="4Char">
    <w:name w:val="标题 4 Char"/>
    <w:basedOn w:val="a0"/>
    <w:link w:val="4"/>
    <w:rsid w:val="00495B7C"/>
    <w:rPr>
      <w:rFonts w:ascii="Book Antiqua" w:eastAsia="Book Antiqua" w:hAnsi="Book Antiqua" w:cs="Book Antiqua"/>
      <w:b/>
      <w:bCs/>
      <w:sz w:val="24"/>
      <w:szCs w:val="24"/>
    </w:rPr>
  </w:style>
  <w:style w:type="character" w:customStyle="1" w:styleId="5Char">
    <w:name w:val="标题 5 Char"/>
    <w:basedOn w:val="a0"/>
    <w:link w:val="5"/>
    <w:rsid w:val="00495B7C"/>
    <w:rPr>
      <w:rFonts w:ascii="Book Antiqua" w:eastAsia="Book Antiqua" w:hAnsi="Book Antiqua" w:cs="Book Antiqua"/>
      <w:b/>
      <w:bCs/>
      <w:iCs/>
    </w:rPr>
  </w:style>
  <w:style w:type="character" w:customStyle="1" w:styleId="6Char">
    <w:name w:val="标题 6 Char"/>
    <w:basedOn w:val="a0"/>
    <w:link w:val="6"/>
    <w:rsid w:val="00495B7C"/>
    <w:rPr>
      <w:rFonts w:ascii="Book Antiqua" w:eastAsia="Book Antiqua" w:hAnsi="Book Antiqua" w:cs="Book Antiqua"/>
      <w:b/>
      <w:bCs/>
      <w:sz w:val="16"/>
      <w:szCs w:val="16"/>
    </w:rPr>
  </w:style>
  <w:style w:type="character" w:styleId="a5">
    <w:name w:val="annotation reference"/>
    <w:basedOn w:val="a0"/>
    <w:semiHidden/>
    <w:unhideWhenUsed/>
    <w:rsid w:val="0082752F"/>
    <w:rPr>
      <w:sz w:val="21"/>
      <w:szCs w:val="21"/>
    </w:rPr>
  </w:style>
  <w:style w:type="paragraph" w:styleId="a6">
    <w:name w:val="annotation text"/>
    <w:basedOn w:val="a"/>
    <w:link w:val="Char1"/>
    <w:unhideWhenUsed/>
    <w:rsid w:val="0082752F"/>
  </w:style>
  <w:style w:type="character" w:customStyle="1" w:styleId="Char1">
    <w:name w:val="批注文字 Char"/>
    <w:basedOn w:val="a0"/>
    <w:link w:val="a6"/>
    <w:rsid w:val="0082752F"/>
    <w:rPr>
      <w:sz w:val="24"/>
      <w:szCs w:val="24"/>
    </w:rPr>
  </w:style>
  <w:style w:type="paragraph" w:styleId="a7">
    <w:name w:val="annotation subject"/>
    <w:basedOn w:val="a6"/>
    <w:next w:val="a6"/>
    <w:link w:val="Char2"/>
    <w:semiHidden/>
    <w:unhideWhenUsed/>
    <w:rsid w:val="0082752F"/>
    <w:rPr>
      <w:b/>
      <w:bCs/>
    </w:rPr>
  </w:style>
  <w:style w:type="character" w:customStyle="1" w:styleId="Char2">
    <w:name w:val="批注主题 Char"/>
    <w:basedOn w:val="Char1"/>
    <w:link w:val="a7"/>
    <w:semiHidden/>
    <w:rsid w:val="0082752F"/>
    <w:rPr>
      <w:b/>
      <w:bCs/>
      <w:sz w:val="24"/>
      <w:szCs w:val="24"/>
    </w:rPr>
  </w:style>
  <w:style w:type="paragraph" w:styleId="a8">
    <w:name w:val="Balloon Text"/>
    <w:basedOn w:val="a"/>
    <w:link w:val="Char3"/>
    <w:rsid w:val="003550E2"/>
    <w:rPr>
      <w:rFonts w:asciiTheme="majorHAnsi" w:eastAsiaTheme="majorEastAsia" w:hAnsiTheme="majorHAnsi" w:cstheme="majorBidi"/>
      <w:sz w:val="18"/>
      <w:szCs w:val="18"/>
    </w:rPr>
  </w:style>
  <w:style w:type="character" w:customStyle="1" w:styleId="Char3">
    <w:name w:val="批注框文本 Char"/>
    <w:basedOn w:val="a0"/>
    <w:link w:val="a8"/>
    <w:rsid w:val="003550E2"/>
    <w:rPr>
      <w:rFonts w:asciiTheme="majorHAnsi" w:eastAsiaTheme="majorEastAsia" w:hAnsiTheme="majorHAnsi" w:cstheme="majorBidi"/>
      <w:sz w:val="18"/>
      <w:szCs w:val="18"/>
    </w:rPr>
  </w:style>
  <w:style w:type="character" w:styleId="a9">
    <w:name w:val="Hyperlink"/>
    <w:basedOn w:val="a0"/>
    <w:unhideWhenUsed/>
    <w:rsid w:val="00584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linicaltrials.gov/ct2/show/NCT034893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2608268"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cambridge.org/core/books/infectious-diseases-microbiology-and-virology/A11001A46BD696E9DDB0558F69C88D9F" TargetMode="External"/><Relationship Id="rId4" Type="http://schemas.openxmlformats.org/officeDocument/2006/relationships/settings" Target="settings.xml"/><Relationship Id="rId9" Type="http://schemas.openxmlformats.org/officeDocument/2006/relationships/hyperlink" Target="https://www.cambridge.org/core/books/infectious-diseases-microbiology-and-virology/A11001A46BD696E9DDB0558F69C88D9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BEDD-EF63-406D-8EF0-E76D836F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96</Pages>
  <Words>28689</Words>
  <Characters>163529</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Yeh Sen</dc:creator>
  <cp:lastModifiedBy>liujihong2008@qq.con</cp:lastModifiedBy>
  <cp:revision>16</cp:revision>
  <dcterms:created xsi:type="dcterms:W3CDTF">2021-06-10T05:27:00Z</dcterms:created>
  <dcterms:modified xsi:type="dcterms:W3CDTF">2021-07-07T10:17:00Z</dcterms:modified>
</cp:coreProperties>
</file>