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E7AD09"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t xml:space="preserve">Name of Journal: </w:t>
      </w:r>
      <w:r w:rsidRPr="00A03975">
        <w:rPr>
          <w:rFonts w:ascii="Book Antiqua" w:eastAsia="Book Antiqua" w:hAnsi="Book Antiqua" w:cs="Book Antiqua"/>
          <w:i/>
          <w:color w:val="000000" w:themeColor="text1"/>
          <w:sz w:val="24"/>
        </w:rPr>
        <w:t>World Journal of Gastroenterology</w:t>
      </w:r>
    </w:p>
    <w:p w14:paraId="72E5E31F"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t xml:space="preserve">Manuscript NO: </w:t>
      </w:r>
      <w:r w:rsidRPr="00A03975">
        <w:rPr>
          <w:rFonts w:ascii="Book Antiqua" w:eastAsia="Book Antiqua" w:hAnsi="Book Antiqua" w:cs="Book Antiqua"/>
          <w:color w:val="000000" w:themeColor="text1"/>
          <w:sz w:val="24"/>
        </w:rPr>
        <w:t>63096</w:t>
      </w:r>
    </w:p>
    <w:p w14:paraId="78470695"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t xml:space="preserve">Manuscript Type: </w:t>
      </w:r>
      <w:r w:rsidRPr="00A03975">
        <w:rPr>
          <w:rFonts w:ascii="Book Antiqua" w:eastAsia="Book Antiqua" w:hAnsi="Book Antiqua" w:cs="Book Antiqua"/>
          <w:color w:val="000000" w:themeColor="text1"/>
          <w:sz w:val="24"/>
        </w:rPr>
        <w:t>REVIEW</w:t>
      </w:r>
    </w:p>
    <w:p w14:paraId="57D478BD" w14:textId="77777777" w:rsidR="000A3E5C" w:rsidRPr="00A03975" w:rsidRDefault="000A3E5C">
      <w:pPr>
        <w:spacing w:line="360" w:lineRule="auto"/>
        <w:jc w:val="both"/>
        <w:rPr>
          <w:color w:val="000000" w:themeColor="text1"/>
        </w:rPr>
      </w:pPr>
    </w:p>
    <w:p w14:paraId="0D28D92F"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Management of cholelithiasis with choledocholithiasis: Endoscopic and surgical approaches</w:t>
      </w:r>
    </w:p>
    <w:p w14:paraId="7320907A" w14:textId="77777777" w:rsidR="000A3E5C" w:rsidRPr="00A03975" w:rsidRDefault="000A3E5C">
      <w:pPr>
        <w:spacing w:line="360" w:lineRule="auto"/>
        <w:jc w:val="both"/>
        <w:rPr>
          <w:color w:val="000000" w:themeColor="text1"/>
        </w:rPr>
      </w:pPr>
    </w:p>
    <w:p w14:paraId="43537F32"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 xml:space="preserve">Cianci P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rPr>
        <w:t>. Benign biliary diseases</w:t>
      </w:r>
    </w:p>
    <w:p w14:paraId="75438A23" w14:textId="77777777" w:rsidR="000A3E5C" w:rsidRPr="00A03975" w:rsidRDefault="000A3E5C">
      <w:pPr>
        <w:spacing w:line="360" w:lineRule="auto"/>
        <w:jc w:val="both"/>
        <w:rPr>
          <w:color w:val="000000" w:themeColor="text1"/>
        </w:rPr>
      </w:pPr>
    </w:p>
    <w:p w14:paraId="3B174CE9"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Pasquale Cianci, Enrico Restini</w:t>
      </w:r>
    </w:p>
    <w:p w14:paraId="07EE6B94" w14:textId="77777777" w:rsidR="000A3E5C" w:rsidRPr="00A03975" w:rsidRDefault="000A3E5C">
      <w:pPr>
        <w:spacing w:line="360" w:lineRule="auto"/>
        <w:jc w:val="both"/>
        <w:rPr>
          <w:color w:val="000000" w:themeColor="text1"/>
        </w:rPr>
      </w:pPr>
    </w:p>
    <w:p w14:paraId="60A1B394"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Pasquale Cianci, Enrico Restini, </w:t>
      </w:r>
      <w:r w:rsidRPr="00A03975">
        <w:rPr>
          <w:rFonts w:ascii="Book Antiqua" w:eastAsia="Book Antiqua" w:hAnsi="Book Antiqua" w:cs="Book Antiqua"/>
          <w:color w:val="000000" w:themeColor="text1"/>
          <w:sz w:val="24"/>
        </w:rPr>
        <w:t>Department of Surgery and Traumatology, Hospital Lorenzo Bonomo, Andria 76123, Italy</w:t>
      </w:r>
    </w:p>
    <w:p w14:paraId="3673120D" w14:textId="77777777" w:rsidR="000A3E5C" w:rsidRPr="00A03975" w:rsidRDefault="000A3E5C">
      <w:pPr>
        <w:spacing w:line="360" w:lineRule="auto"/>
        <w:jc w:val="both"/>
        <w:rPr>
          <w:color w:val="000000" w:themeColor="text1"/>
        </w:rPr>
      </w:pPr>
    </w:p>
    <w:p w14:paraId="77885C07"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Author contributions: </w:t>
      </w:r>
      <w:r w:rsidRPr="00A03975">
        <w:rPr>
          <w:rFonts w:ascii="Book Antiqua" w:eastAsia="Book Antiqua" w:hAnsi="Book Antiqua" w:cs="Book Antiqua"/>
          <w:color w:val="000000" w:themeColor="text1"/>
          <w:sz w:val="24"/>
        </w:rPr>
        <w:t>Cianci P concepted and designed the study, and acquired and interpreted the data; Restini E carried out critical reviews and approved the final version of the manuscript.</w:t>
      </w:r>
    </w:p>
    <w:p w14:paraId="453F7A8B" w14:textId="77777777" w:rsidR="000A3E5C" w:rsidRPr="00A03975" w:rsidRDefault="000A3E5C">
      <w:pPr>
        <w:spacing w:line="360" w:lineRule="auto"/>
        <w:jc w:val="both"/>
        <w:rPr>
          <w:color w:val="000000" w:themeColor="text1"/>
        </w:rPr>
      </w:pPr>
    </w:p>
    <w:p w14:paraId="2F4D0608"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Corresponding author: Pasquale Cianci, MD, AACS, </w:t>
      </w:r>
      <w:r w:rsidRPr="00A03975">
        <w:rPr>
          <w:rFonts w:ascii="Book Antiqua" w:eastAsia="Book Antiqua" w:hAnsi="Book Antiqua" w:cs="Book Antiqua"/>
          <w:color w:val="000000" w:themeColor="text1"/>
          <w:sz w:val="24"/>
        </w:rPr>
        <w:t>Department of Surgery and Traumatology, Hospital Lorenzo Bonomo, 1 Istria Road, Andria 76123, Italy. ciancidoc1@virgilio.it</w:t>
      </w:r>
    </w:p>
    <w:p w14:paraId="38ED2B16" w14:textId="77777777" w:rsidR="000A3E5C" w:rsidRPr="00A03975" w:rsidRDefault="000A3E5C">
      <w:pPr>
        <w:spacing w:line="360" w:lineRule="auto"/>
        <w:jc w:val="both"/>
        <w:rPr>
          <w:color w:val="000000" w:themeColor="text1"/>
        </w:rPr>
      </w:pPr>
    </w:p>
    <w:p w14:paraId="7D9ABE16"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Received: </w:t>
      </w:r>
      <w:r w:rsidRPr="00A03975">
        <w:rPr>
          <w:rFonts w:ascii="Book Antiqua" w:eastAsia="Book Antiqua" w:hAnsi="Book Antiqua" w:cs="Book Antiqua"/>
          <w:color w:val="000000" w:themeColor="text1"/>
          <w:sz w:val="24"/>
        </w:rPr>
        <w:t>January 24, 2021</w:t>
      </w:r>
    </w:p>
    <w:p w14:paraId="347B3CB1"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Revised: </w:t>
      </w:r>
      <w:r w:rsidRPr="00A03975">
        <w:rPr>
          <w:rFonts w:ascii="Book Antiqua" w:eastAsia="Book Antiqua" w:hAnsi="Book Antiqua" w:cs="Book Antiqua"/>
          <w:color w:val="000000" w:themeColor="text1"/>
          <w:sz w:val="24"/>
        </w:rPr>
        <w:t>April 2, 2021</w:t>
      </w:r>
    </w:p>
    <w:p w14:paraId="76D41EF3"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Accepted: </w:t>
      </w:r>
      <w:r w:rsidRPr="00A03975">
        <w:rPr>
          <w:rFonts w:ascii="Book Antiqua" w:eastAsia="Book Antiqua" w:hAnsi="Book Antiqua" w:cs="Book Antiqua"/>
          <w:bCs/>
          <w:color w:val="000000" w:themeColor="text1"/>
          <w:sz w:val="24"/>
        </w:rPr>
        <w:t>June 25, 2021</w:t>
      </w:r>
    </w:p>
    <w:p w14:paraId="42B44983"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Published online: </w:t>
      </w:r>
      <w:r w:rsidR="00C67D86" w:rsidRPr="00A03975">
        <w:rPr>
          <w:rFonts w:ascii="Book Antiqua" w:eastAsia="Book Antiqua" w:hAnsi="Book Antiqua" w:cs="Book Antiqua"/>
          <w:bCs/>
          <w:color w:val="000000" w:themeColor="text1"/>
          <w:sz w:val="24"/>
        </w:rPr>
        <w:t>July 28, 2021</w:t>
      </w:r>
    </w:p>
    <w:p w14:paraId="1974FC89" w14:textId="77777777" w:rsidR="000A3E5C" w:rsidRPr="00A03975" w:rsidRDefault="000A3E5C">
      <w:pPr>
        <w:spacing w:line="360" w:lineRule="auto"/>
        <w:jc w:val="both"/>
        <w:rPr>
          <w:color w:val="000000" w:themeColor="text1"/>
        </w:rPr>
        <w:sectPr w:rsidR="000A3E5C" w:rsidRPr="00A03975">
          <w:footerReference w:type="default" r:id="rId7"/>
          <w:type w:val="nextColumn"/>
          <w:pgSz w:w="12240" w:h="15840"/>
          <w:pgMar w:top="1440" w:right="1440" w:bottom="1440" w:left="1440" w:header="720" w:footer="720" w:gutter="0"/>
          <w:cols w:space="720"/>
          <w:docGrid w:linePitch="360"/>
        </w:sectPr>
      </w:pPr>
    </w:p>
    <w:p w14:paraId="3808D45C"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lastRenderedPageBreak/>
        <w:t>Abstract</w:t>
      </w:r>
    </w:p>
    <w:p w14:paraId="45C796ED"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Gallstone disease and complications from gallstones are a common clinical problem. The clinical presentation ranges between being asymptomatic and recurrent attacks of biliary pain requiring elective or emergency treatment. Bile duct stones are a frequent condition associated with cholelithiasis. Amidst the total cholecystectomies performed every year for cholelithiasis, the presence of bile duct stones is 5%-15%; another small percentage of these will develop common bile duct stones after intervention. To avoid serious complications that can occur in choledocholithiasis, these stones should be removed. Unfortunately, there is no consensus on the ideal management strategy to perform such. For a long time, a direct open surgical approach to the bile duct was the only unique approach. With the advent of advanced endoscopic, radiologic, and minimally invasive surgical techniques, however, therapeutic choices have increased in number, and the management of this pathological situation has become multidisciplinary. To date, there is agreement on preoperative management and the need to treat cholelithiasis with choledocholithiasis, but a debate still exists on how to cure the two diseases at the same time. In the era of laparoscopy and mini-invasiveness, we can say that therapeutic approaches can be performed in two sessions or in one session. Comparison of these two approaches showed equivalent success rates, postoperative morbidity, stone clearance, mortality, conversion to other procedures, total surgery time, and failure rate, but the one-session treatment is characterized by a shorter hospital stay, and more cost benefits. The aim of this review article is to provide the reader with a general summary of gallbladder stone disease in association with the presence of common bile duct stones by discussing their epidemiology, clinical and diagnostic aspects, and possible treatments and their advantages and limitations.</w:t>
      </w:r>
    </w:p>
    <w:p w14:paraId="14F5E335" w14:textId="77777777" w:rsidR="000A3E5C" w:rsidRPr="00A03975" w:rsidRDefault="000A3E5C">
      <w:pPr>
        <w:spacing w:line="360" w:lineRule="auto"/>
        <w:jc w:val="both"/>
        <w:rPr>
          <w:color w:val="000000" w:themeColor="text1"/>
        </w:rPr>
      </w:pPr>
    </w:p>
    <w:p w14:paraId="381A2B51"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Key Words: </w:t>
      </w:r>
      <w:r w:rsidRPr="00A03975">
        <w:rPr>
          <w:rFonts w:ascii="Book Antiqua" w:eastAsia="Book Antiqua" w:hAnsi="Book Antiqua" w:cs="Book Antiqua"/>
          <w:color w:val="000000" w:themeColor="text1"/>
          <w:sz w:val="24"/>
        </w:rPr>
        <w:t>Gallbladder stones;</w:t>
      </w:r>
      <w:r w:rsidRPr="00A03975">
        <w:rPr>
          <w:rFonts w:ascii="Book Antiqua" w:eastAsia="Book Antiqua" w:hAnsi="Book Antiqua" w:cs="Book Antiqua"/>
          <w:b/>
          <w:bCs/>
          <w:color w:val="000000" w:themeColor="text1"/>
          <w:sz w:val="24"/>
        </w:rPr>
        <w:t xml:space="preserve"> </w:t>
      </w:r>
      <w:r w:rsidRPr="00A03975">
        <w:rPr>
          <w:rFonts w:ascii="Book Antiqua" w:eastAsia="Book Antiqua" w:hAnsi="Book Antiqua" w:cs="Book Antiqua"/>
          <w:color w:val="000000" w:themeColor="text1"/>
          <w:sz w:val="24"/>
        </w:rPr>
        <w:t>Choledocholithiasis; Laparoscopic cholecystectomy; Rendezvous technique; Management of biliary lithiasis; Endoscopic retrograde cholangio-pancreatography</w:t>
      </w:r>
    </w:p>
    <w:p w14:paraId="5EFC8BB4" w14:textId="77777777" w:rsidR="000A3E5C" w:rsidRPr="00A03975" w:rsidRDefault="000A3E5C">
      <w:pPr>
        <w:spacing w:line="360" w:lineRule="auto"/>
        <w:jc w:val="both"/>
        <w:rPr>
          <w:rFonts w:hint="eastAsia"/>
          <w:color w:val="000000" w:themeColor="text1"/>
          <w:lang w:eastAsia="zh-CN"/>
        </w:rPr>
      </w:pPr>
    </w:p>
    <w:p w14:paraId="07507C75" w14:textId="77777777" w:rsidR="00D552D0" w:rsidRPr="00A03975" w:rsidRDefault="00D552D0" w:rsidP="00D552D0">
      <w:pPr>
        <w:spacing w:line="360" w:lineRule="auto"/>
        <w:jc w:val="both"/>
        <w:rPr>
          <w:rFonts w:ascii="Book Antiqua" w:eastAsia="Book Antiqua" w:hAnsi="Book Antiqua" w:cs="Book Antiqua"/>
          <w:color w:val="000000" w:themeColor="text1"/>
        </w:rPr>
      </w:pPr>
      <w:r w:rsidRPr="00A03975">
        <w:rPr>
          <w:rFonts w:ascii="Book Antiqua" w:eastAsia="Book Antiqua" w:hAnsi="Book Antiqua" w:cs="Book Antiqua"/>
          <w:b/>
          <w:color w:val="000000" w:themeColor="text1"/>
        </w:rPr>
        <w:t>©The</w:t>
      </w:r>
      <w:r w:rsidRPr="00A03975">
        <w:rPr>
          <w:rFonts w:ascii="Book Antiqua" w:eastAsia="Book Antiqua" w:hAnsi="Book Antiqua" w:cs="Book Antiqua"/>
          <w:color w:val="000000" w:themeColor="text1"/>
        </w:rPr>
        <w:t xml:space="preserve"> </w:t>
      </w:r>
      <w:r w:rsidRPr="00A03975">
        <w:rPr>
          <w:rFonts w:ascii="Book Antiqua" w:eastAsia="Book Antiqua" w:hAnsi="Book Antiqua" w:cs="Book Antiqua"/>
          <w:b/>
          <w:color w:val="000000" w:themeColor="text1"/>
        </w:rPr>
        <w:t xml:space="preserve">Author(s) 2021. </w:t>
      </w:r>
      <w:r w:rsidRPr="00A03975">
        <w:rPr>
          <w:rFonts w:ascii="Book Antiqua" w:eastAsia="Book Antiqua" w:hAnsi="Book Antiqua" w:cs="Book Antiqua"/>
          <w:color w:val="000000" w:themeColor="text1"/>
        </w:rPr>
        <w:t xml:space="preserve">Published by Baishideng Publishing Group Inc. All rights reserved. </w:t>
      </w:r>
    </w:p>
    <w:p w14:paraId="48100D57" w14:textId="77777777" w:rsidR="00D552D0" w:rsidRPr="00A03975" w:rsidRDefault="00D552D0">
      <w:pPr>
        <w:spacing w:line="360" w:lineRule="auto"/>
        <w:jc w:val="both"/>
        <w:rPr>
          <w:rFonts w:hint="eastAsia"/>
          <w:color w:val="000000" w:themeColor="text1"/>
          <w:lang w:eastAsia="zh-CN"/>
        </w:rPr>
      </w:pPr>
    </w:p>
    <w:p w14:paraId="71701872" w14:textId="7C2E860E" w:rsidR="00D552D0" w:rsidRPr="00A03975" w:rsidRDefault="00D552D0">
      <w:pPr>
        <w:spacing w:line="360" w:lineRule="auto"/>
        <w:jc w:val="both"/>
        <w:rPr>
          <w:rFonts w:ascii="Book Antiqua" w:eastAsiaTheme="minorEastAsia" w:hAnsi="Book Antiqua" w:cs="Book Antiqua" w:hint="eastAsia"/>
          <w:color w:val="000000" w:themeColor="text1"/>
          <w:sz w:val="24"/>
          <w:lang w:eastAsia="zh-CN"/>
        </w:rPr>
      </w:pPr>
      <w:r w:rsidRPr="00A03975">
        <w:rPr>
          <w:rFonts w:ascii="Book Antiqua" w:eastAsiaTheme="minorEastAsia" w:hAnsi="Book Antiqua" w:cs="Book Antiqua" w:hint="eastAsia"/>
          <w:b/>
          <w:color w:val="000000" w:themeColor="text1"/>
          <w:sz w:val="24"/>
          <w:lang w:eastAsia="zh-CN"/>
        </w:rPr>
        <w:lastRenderedPageBreak/>
        <w:t xml:space="preserve">Citation: </w:t>
      </w:r>
      <w:r w:rsidR="000A3E5C" w:rsidRPr="00A03975">
        <w:rPr>
          <w:rFonts w:ascii="Book Antiqua" w:eastAsia="Book Antiqua" w:hAnsi="Book Antiqua" w:cs="Book Antiqua"/>
          <w:color w:val="000000" w:themeColor="text1"/>
          <w:sz w:val="24"/>
        </w:rPr>
        <w:t xml:space="preserve">Cianci P, Restini E. Management of cholelithiasis with choledocholithiasis: Endoscopic and surgical approaches. </w:t>
      </w:r>
      <w:r w:rsidR="000A3E5C" w:rsidRPr="00A03975">
        <w:rPr>
          <w:rFonts w:ascii="Book Antiqua" w:eastAsia="Book Antiqua" w:hAnsi="Book Antiqua" w:cs="Book Antiqua"/>
          <w:i/>
          <w:iCs/>
          <w:color w:val="000000" w:themeColor="text1"/>
          <w:sz w:val="24"/>
        </w:rPr>
        <w:t>World J Gastroenterol</w:t>
      </w:r>
      <w:r w:rsidR="000A3E5C" w:rsidRPr="00A03975">
        <w:rPr>
          <w:rFonts w:ascii="Book Antiqua" w:eastAsia="Book Antiqua" w:hAnsi="Book Antiqua" w:cs="Book Antiqua"/>
          <w:color w:val="000000" w:themeColor="text1"/>
          <w:sz w:val="24"/>
        </w:rPr>
        <w:t xml:space="preserve"> 2021; </w:t>
      </w:r>
      <w:r w:rsidR="00750B1F" w:rsidRPr="00A03975">
        <w:rPr>
          <w:rFonts w:ascii="Book Antiqua" w:eastAsia="Book Antiqua" w:hAnsi="Book Antiqua" w:cs="Book Antiqua"/>
          <w:color w:val="000000" w:themeColor="text1"/>
          <w:sz w:val="24"/>
        </w:rPr>
        <w:t xml:space="preserve">27(28): </w:t>
      </w:r>
      <w:r w:rsidRPr="00A03975">
        <w:rPr>
          <w:rFonts w:ascii="Book Antiqua" w:eastAsiaTheme="minorEastAsia" w:hAnsi="Book Antiqua" w:cs="Book Antiqua" w:hint="eastAsia"/>
          <w:color w:val="000000" w:themeColor="text1"/>
          <w:sz w:val="24"/>
          <w:lang w:eastAsia="zh-CN"/>
        </w:rPr>
        <w:t>4536</w:t>
      </w:r>
      <w:r w:rsidR="00750B1F" w:rsidRPr="00A03975">
        <w:rPr>
          <w:rFonts w:ascii="Book Antiqua" w:eastAsia="Book Antiqua" w:hAnsi="Book Antiqua" w:cs="Book Antiqua"/>
          <w:color w:val="000000" w:themeColor="text1"/>
          <w:sz w:val="24"/>
        </w:rPr>
        <w:t>-</w:t>
      </w:r>
      <w:r w:rsidRPr="00A03975">
        <w:rPr>
          <w:rFonts w:ascii="Book Antiqua" w:eastAsiaTheme="minorEastAsia" w:hAnsi="Book Antiqua" w:cs="Book Antiqua" w:hint="eastAsia"/>
          <w:color w:val="000000" w:themeColor="text1"/>
          <w:sz w:val="24"/>
          <w:lang w:eastAsia="zh-CN"/>
        </w:rPr>
        <w:t>4554</w:t>
      </w:r>
      <w:r w:rsidR="00750B1F" w:rsidRPr="00A03975">
        <w:rPr>
          <w:rFonts w:ascii="Book Antiqua" w:eastAsia="Book Antiqua" w:hAnsi="Book Antiqua" w:cs="Book Antiqua"/>
          <w:color w:val="000000" w:themeColor="text1"/>
          <w:sz w:val="24"/>
        </w:rPr>
        <w:t xml:space="preserve">  </w:t>
      </w:r>
    </w:p>
    <w:p w14:paraId="79ECAC23" w14:textId="1F1D0141" w:rsidR="00D552D0" w:rsidRPr="00A03975" w:rsidRDefault="00750B1F">
      <w:pPr>
        <w:spacing w:line="360" w:lineRule="auto"/>
        <w:jc w:val="both"/>
        <w:rPr>
          <w:rFonts w:ascii="Book Antiqua" w:eastAsiaTheme="minorEastAsia" w:hAnsi="Book Antiqua" w:cs="Book Antiqua" w:hint="eastAsia"/>
          <w:color w:val="000000" w:themeColor="text1"/>
          <w:sz w:val="24"/>
          <w:lang w:eastAsia="zh-CN"/>
        </w:rPr>
      </w:pPr>
      <w:r w:rsidRPr="00A03975">
        <w:rPr>
          <w:rFonts w:ascii="Book Antiqua" w:eastAsiaTheme="minorEastAsia" w:hAnsi="Book Antiqua" w:cs="Book Antiqua"/>
          <w:b/>
          <w:color w:val="000000" w:themeColor="text1"/>
          <w:sz w:val="24"/>
          <w:lang w:eastAsia="zh-CN"/>
        </w:rPr>
        <w:t xml:space="preserve">URL: </w:t>
      </w:r>
      <w:r w:rsidRPr="00A03975">
        <w:rPr>
          <w:rFonts w:ascii="Book Antiqua" w:eastAsia="Book Antiqua" w:hAnsi="Book Antiqua" w:cs="Book Antiqua"/>
          <w:color w:val="000000" w:themeColor="text1"/>
          <w:sz w:val="24"/>
        </w:rPr>
        <w:t>https://www.wjgnet.com/1007-9327/full/v27/i28/</w:t>
      </w:r>
      <w:r w:rsidR="00D552D0" w:rsidRPr="00A03975">
        <w:rPr>
          <w:rFonts w:ascii="Book Antiqua" w:eastAsiaTheme="minorEastAsia" w:hAnsi="Book Antiqua" w:cs="Book Antiqua" w:hint="eastAsia"/>
          <w:color w:val="000000" w:themeColor="text1"/>
          <w:sz w:val="24"/>
          <w:lang w:eastAsia="zh-CN"/>
        </w:rPr>
        <w:t>4536</w:t>
      </w:r>
      <w:r w:rsidRPr="00A03975">
        <w:rPr>
          <w:rFonts w:ascii="Book Antiqua" w:eastAsia="Book Antiqua" w:hAnsi="Book Antiqua" w:cs="Book Antiqua"/>
          <w:color w:val="000000" w:themeColor="text1"/>
          <w:sz w:val="24"/>
        </w:rPr>
        <w:t xml:space="preserve">.htm  </w:t>
      </w:r>
    </w:p>
    <w:p w14:paraId="19886AF5" w14:textId="6650C97C" w:rsidR="000A3E5C" w:rsidRPr="00A03975" w:rsidRDefault="00750B1F">
      <w:pPr>
        <w:spacing w:line="360" w:lineRule="auto"/>
        <w:jc w:val="both"/>
        <w:rPr>
          <w:rFonts w:eastAsiaTheme="minorEastAsia" w:hint="eastAsia"/>
          <w:color w:val="000000" w:themeColor="text1"/>
          <w:lang w:eastAsia="zh-CN"/>
        </w:rPr>
      </w:pPr>
      <w:r w:rsidRPr="00A03975">
        <w:rPr>
          <w:rFonts w:ascii="Book Antiqua" w:eastAsiaTheme="minorEastAsia" w:hAnsi="Book Antiqua" w:cs="Book Antiqua"/>
          <w:b/>
          <w:color w:val="000000" w:themeColor="text1"/>
          <w:sz w:val="24"/>
          <w:lang w:eastAsia="zh-CN"/>
        </w:rPr>
        <w:t>DOI:</w:t>
      </w:r>
      <w:r w:rsidRPr="00A03975">
        <w:rPr>
          <w:rFonts w:ascii="Book Antiqua" w:eastAsia="Book Antiqua" w:hAnsi="Book Antiqua" w:cs="Book Antiqua"/>
          <w:color w:val="000000" w:themeColor="text1"/>
          <w:sz w:val="24"/>
        </w:rPr>
        <w:t xml:space="preserve"> https://dx.doi.org/10.3748/wjg.v27.i28.</w:t>
      </w:r>
      <w:r w:rsidR="00D552D0" w:rsidRPr="00A03975">
        <w:rPr>
          <w:rFonts w:ascii="Book Antiqua" w:eastAsiaTheme="minorEastAsia" w:hAnsi="Book Antiqua" w:cs="Book Antiqua" w:hint="eastAsia"/>
          <w:color w:val="000000" w:themeColor="text1"/>
          <w:sz w:val="24"/>
          <w:lang w:eastAsia="zh-CN"/>
        </w:rPr>
        <w:t>4536</w:t>
      </w:r>
    </w:p>
    <w:p w14:paraId="217C086E" w14:textId="77777777" w:rsidR="000A3E5C" w:rsidRPr="00A03975" w:rsidRDefault="000A3E5C">
      <w:pPr>
        <w:spacing w:line="360" w:lineRule="auto"/>
        <w:jc w:val="both"/>
        <w:rPr>
          <w:color w:val="000000" w:themeColor="text1"/>
        </w:rPr>
      </w:pPr>
    </w:p>
    <w:p w14:paraId="2E5C2C1E"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olor w:val="000000" w:themeColor="text1"/>
          <w:sz w:val="24"/>
        </w:rPr>
        <w:t xml:space="preserve">Core Tip: </w:t>
      </w:r>
      <w:r w:rsidRPr="00A03975">
        <w:rPr>
          <w:rFonts w:ascii="Book Antiqua" w:eastAsia="Book Antiqua" w:hAnsi="Book Antiqua" w:cs="Book Antiqua"/>
          <w:color w:val="000000" w:themeColor="text1"/>
          <w:sz w:val="24"/>
        </w:rPr>
        <w:t>Gallstone</w:t>
      </w:r>
      <w:r w:rsidRPr="00A03975">
        <w:rPr>
          <w:rFonts w:ascii="Book Antiqua" w:eastAsia="Book Antiqua" w:hAnsi="Book Antiqua" w:cs="Book Antiqua"/>
          <w:b/>
          <w:bCs/>
          <w:color w:val="000000" w:themeColor="text1"/>
          <w:sz w:val="24"/>
        </w:rPr>
        <w:t xml:space="preserve"> </w:t>
      </w:r>
      <w:r w:rsidRPr="00A03975">
        <w:rPr>
          <w:rFonts w:ascii="Book Antiqua" w:eastAsia="Book Antiqua" w:hAnsi="Book Antiqua" w:cs="Book Antiqua"/>
          <w:color w:val="000000" w:themeColor="text1"/>
          <w:sz w:val="24"/>
        </w:rPr>
        <w:t>disease associated with common bile duct stones is a common clinical scenario. Laparoscopic cholecystectomy is considered the gold standard for treatment of symptomatic gallbladder stones; conversely, the best treatment option for bile duct stones remains uncertain and controversial.</w:t>
      </w:r>
      <w:r w:rsidRPr="00A03975">
        <w:rPr>
          <w:rFonts w:ascii="Book Antiqua" w:eastAsia="Book Antiqua" w:hAnsi="Book Antiqua" w:cs="Book Antiqua"/>
          <w:b/>
          <w:bCs/>
          <w:color w:val="000000" w:themeColor="text1"/>
          <w:sz w:val="24"/>
        </w:rPr>
        <w:t xml:space="preserve"> </w:t>
      </w:r>
      <w:r w:rsidRPr="00A03975">
        <w:rPr>
          <w:rFonts w:ascii="Book Antiqua" w:eastAsia="Book Antiqua" w:hAnsi="Book Antiqua" w:cs="Book Antiqua"/>
          <w:color w:val="000000" w:themeColor="text1"/>
          <w:sz w:val="24"/>
        </w:rPr>
        <w:t>We discuss herein the epidemiology, natural history, clinical presentations, preoperative diagnosis, management, complications, and different methods of treatment.</w:t>
      </w:r>
    </w:p>
    <w:p w14:paraId="211551AB" w14:textId="77777777" w:rsidR="000A3E5C" w:rsidRPr="00A03975" w:rsidRDefault="000A3E5C">
      <w:pPr>
        <w:spacing w:line="360" w:lineRule="auto"/>
        <w:jc w:val="both"/>
        <w:rPr>
          <w:color w:val="000000" w:themeColor="text1"/>
        </w:rPr>
      </w:pPr>
    </w:p>
    <w:p w14:paraId="49EACDA2"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aps/>
          <w:color w:val="000000" w:themeColor="text1"/>
          <w:sz w:val="24"/>
          <w:u w:val="single"/>
        </w:rPr>
        <w:t>INTRODUCTION</w:t>
      </w:r>
    </w:p>
    <w:p w14:paraId="4FDFA8C0"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Gallstones are a very common condition among the general population</w:t>
      </w:r>
      <w:r w:rsidRPr="00A03975">
        <w:rPr>
          <w:rFonts w:ascii="Book Antiqua" w:eastAsia="Book Antiqua" w:hAnsi="Book Antiqua" w:cs="Book Antiqua"/>
          <w:color w:val="000000" w:themeColor="text1"/>
          <w:sz w:val="24"/>
          <w:szCs w:val="30"/>
          <w:vertAlign w:val="superscript"/>
        </w:rPr>
        <w:t>[1]</w:t>
      </w:r>
      <w:r w:rsidRPr="00A03975">
        <w:rPr>
          <w:rFonts w:ascii="Book Antiqua" w:eastAsia="Book Antiqua" w:hAnsi="Book Antiqua" w:cs="Book Antiqua"/>
          <w:color w:val="000000" w:themeColor="text1"/>
          <w:sz w:val="24"/>
        </w:rPr>
        <w:t>. Generally, this situation does not cause symptoms, but 10%-25% of affected people may have specific symptoms, such as biliary pain and acute cholecystitis, and 1%-2% of these may have major complications</w:t>
      </w:r>
      <w:r w:rsidRPr="00A03975">
        <w:rPr>
          <w:rFonts w:ascii="Book Antiqua" w:eastAsia="Book Antiqua" w:hAnsi="Book Antiqua" w:cs="Book Antiqua"/>
          <w:color w:val="000000" w:themeColor="text1"/>
          <w:sz w:val="24"/>
          <w:szCs w:val="30"/>
          <w:vertAlign w:val="superscript"/>
        </w:rPr>
        <w:t>[2,3]</w:t>
      </w:r>
      <w:r w:rsidRPr="00A03975">
        <w:rPr>
          <w:rFonts w:ascii="Book Antiqua" w:eastAsia="Book Antiqua" w:hAnsi="Book Antiqua" w:cs="Book Antiqua"/>
          <w:color w:val="000000" w:themeColor="text1"/>
          <w:sz w:val="24"/>
        </w:rPr>
        <w:t>. In most cases, symptoms and major complications occur due to the migration of stones into the common bile duct (CBD) and this circumstance can cause obstruction of the bile flow in the small intestine, resulting in pain, jaundice, and sometimes cholangitis</w:t>
      </w:r>
      <w:r w:rsidRPr="00A03975">
        <w:rPr>
          <w:rFonts w:ascii="Book Antiqua" w:eastAsia="Book Antiqua" w:hAnsi="Book Antiqua" w:cs="Book Antiqua"/>
          <w:color w:val="000000" w:themeColor="text1"/>
          <w:sz w:val="24"/>
          <w:szCs w:val="30"/>
          <w:vertAlign w:val="superscript"/>
        </w:rPr>
        <w:t>[4,5]</w:t>
      </w:r>
      <w:r w:rsidRPr="00A03975">
        <w:rPr>
          <w:rFonts w:ascii="Book Antiqua" w:eastAsia="Book Antiqua" w:hAnsi="Book Antiqua" w:cs="Book Antiqua"/>
          <w:color w:val="000000" w:themeColor="text1"/>
          <w:sz w:val="24"/>
        </w:rPr>
        <w:t>. Primary choledocholithiasis refers to stones formed directly within the biliary tree, while secondary choledocholithiasis refers to stones migrated from the gallbladder. Primary stones are generally brown in colour and composed mainly of calcium bilirubinate; these stones are rare in Western populations and more common in Asia, but the exact aetiology and overall prevalence remain unclear. Secondary choledocholithiasis stone composition parallels that of cholelithiasis, with cholesterol as the most common type</w:t>
      </w:r>
      <w:r w:rsidRPr="00A03975">
        <w:rPr>
          <w:rFonts w:ascii="Book Antiqua" w:eastAsia="Book Antiqua" w:hAnsi="Book Antiqua" w:cs="Book Antiqua"/>
          <w:color w:val="000000" w:themeColor="text1"/>
          <w:sz w:val="24"/>
          <w:szCs w:val="30"/>
          <w:vertAlign w:val="superscript"/>
        </w:rPr>
        <w:t>[6]</w:t>
      </w:r>
      <w:r w:rsidRPr="00A03975">
        <w:rPr>
          <w:rFonts w:ascii="Book Antiqua" w:eastAsia="Book Antiqua" w:hAnsi="Book Antiqua" w:cs="Book Antiqua"/>
          <w:color w:val="000000" w:themeColor="text1"/>
          <w:sz w:val="24"/>
        </w:rPr>
        <w:t>.</w:t>
      </w:r>
    </w:p>
    <w:p w14:paraId="5259B2FA"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Of the total of cholecystectomies performed every year for cholelithiasis, the presence of CBD stones (CBDSs) is 5%-15%; another small percentage of these will develop CBDS after intervention</w:t>
      </w:r>
      <w:r w:rsidRPr="00A03975">
        <w:rPr>
          <w:rFonts w:ascii="Book Antiqua" w:eastAsia="Book Antiqua" w:hAnsi="Book Antiqua" w:cs="Book Antiqua"/>
          <w:color w:val="000000" w:themeColor="text1"/>
          <w:sz w:val="24"/>
          <w:szCs w:val="30"/>
          <w:vertAlign w:val="superscript"/>
        </w:rPr>
        <w:t>[7]</w:t>
      </w:r>
      <w:r w:rsidRPr="00A03975">
        <w:rPr>
          <w:rFonts w:ascii="Book Antiqua" w:eastAsia="Book Antiqua" w:hAnsi="Book Antiqua" w:cs="Book Antiqua"/>
          <w:color w:val="000000" w:themeColor="text1"/>
          <w:sz w:val="24"/>
        </w:rPr>
        <w:t xml:space="preserve">. The management of CBDSs represents an important clinical problem. In symptomatic patients, the primary goal is to obtain complete clearance of the CBD and cholecystectomy; on the contrary, in </w:t>
      </w:r>
      <w:r w:rsidRPr="00A03975">
        <w:rPr>
          <w:rFonts w:ascii="Book Antiqua" w:eastAsia="Book Antiqua" w:hAnsi="Book Antiqua" w:cs="Book Antiqua"/>
          <w:color w:val="000000" w:themeColor="text1"/>
          <w:sz w:val="24"/>
        </w:rPr>
        <w:lastRenderedPageBreak/>
        <w:t>asymptomatic patients, there is still no shared diagnostic and therapeutic path</w:t>
      </w:r>
      <w:r w:rsidRPr="00A03975">
        <w:rPr>
          <w:rFonts w:ascii="Book Antiqua" w:eastAsia="Book Antiqua" w:hAnsi="Book Antiqua" w:cs="Book Antiqua"/>
          <w:color w:val="000000" w:themeColor="text1"/>
          <w:sz w:val="24"/>
          <w:szCs w:val="30"/>
          <w:vertAlign w:val="superscript"/>
        </w:rPr>
        <w:t>[8]</w:t>
      </w:r>
      <w:r w:rsidRPr="00A03975">
        <w:rPr>
          <w:rFonts w:ascii="Book Antiqua" w:eastAsia="Book Antiqua" w:hAnsi="Book Antiqua" w:cs="Book Antiqua"/>
          <w:color w:val="000000" w:themeColor="text1"/>
          <w:sz w:val="24"/>
        </w:rPr>
        <w:t>. In the last 20 years, the development of new technologies has allowed new diagnostic and therapeutic scenarios, with a consequent critical evaluation of management options. All these have led to a more cautious and patient-tailored preoperative workup based on the patient's risk and ultimately to a multidisciplinary approach</w:t>
      </w:r>
      <w:r w:rsidRPr="00A03975">
        <w:rPr>
          <w:rFonts w:ascii="Book Antiqua" w:eastAsia="Book Antiqua" w:hAnsi="Book Antiqua" w:cs="Book Antiqua"/>
          <w:color w:val="000000" w:themeColor="text1"/>
          <w:sz w:val="24"/>
          <w:szCs w:val="30"/>
          <w:vertAlign w:val="superscript"/>
        </w:rPr>
        <w:t>[9-11]</w:t>
      </w:r>
      <w:r w:rsidRPr="00A03975">
        <w:rPr>
          <w:rFonts w:ascii="Book Antiqua" w:eastAsia="Book Antiqua" w:hAnsi="Book Antiqua" w:cs="Book Antiqua"/>
          <w:color w:val="000000" w:themeColor="text1"/>
          <w:sz w:val="24"/>
        </w:rPr>
        <w:t xml:space="preserve">. However, if on the one hand multidisciplinarity has improved the management of patients with symptomatic cholelithiasis, on the other hand it has shown non-unanimous consent in the choice of treatment for choledocholithiasis: Endoscopic or surgical? </w:t>
      </w:r>
    </w:p>
    <w:p w14:paraId="563409DE"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Since the early 1990s, laparoscopic cholecystectomy (LC) has been considered the gold standard of treatment for cholelithiasis</w:t>
      </w:r>
      <w:r w:rsidRPr="00A03975">
        <w:rPr>
          <w:rFonts w:ascii="Book Antiqua" w:eastAsia="Book Antiqua" w:hAnsi="Book Antiqua" w:cs="Book Antiqua"/>
          <w:color w:val="000000" w:themeColor="text1"/>
          <w:sz w:val="24"/>
          <w:szCs w:val="30"/>
          <w:vertAlign w:val="superscript"/>
        </w:rPr>
        <w:t>[12,13]</w:t>
      </w:r>
      <w:r w:rsidRPr="00A03975">
        <w:rPr>
          <w:rFonts w:ascii="Book Antiqua" w:eastAsia="Book Antiqua" w:hAnsi="Book Antiqua" w:cs="Book Antiqua"/>
          <w:color w:val="000000" w:themeColor="text1"/>
          <w:sz w:val="24"/>
        </w:rPr>
        <w:t>, while endoscopic retrograde cholangio-pancreatography (ERCP) was chosen for isolated CBDSs</w:t>
      </w:r>
      <w:r w:rsidRPr="00A03975">
        <w:rPr>
          <w:rFonts w:ascii="Book Antiqua" w:eastAsia="Book Antiqua" w:hAnsi="Book Antiqua" w:cs="Book Antiqua"/>
          <w:color w:val="000000" w:themeColor="text1"/>
          <w:sz w:val="24"/>
          <w:szCs w:val="30"/>
          <w:vertAlign w:val="superscript"/>
        </w:rPr>
        <w:t>[5]</w:t>
      </w:r>
      <w:r w:rsidRPr="00A03975">
        <w:rPr>
          <w:rFonts w:ascii="Book Antiqua" w:eastAsia="Book Antiqua" w:hAnsi="Book Antiqua" w:cs="Book Antiqua"/>
          <w:color w:val="000000" w:themeColor="text1"/>
          <w:sz w:val="24"/>
        </w:rPr>
        <w:t>; no consensus exists to address choledocholithiasis</w:t>
      </w:r>
      <w:r w:rsidRPr="00A03975">
        <w:rPr>
          <w:rFonts w:ascii="Book Antiqua" w:eastAsia="Book Antiqua" w:hAnsi="Book Antiqua" w:cs="Book Antiqua"/>
          <w:color w:val="000000" w:themeColor="text1"/>
          <w:sz w:val="24"/>
          <w:szCs w:val="30"/>
          <w:vertAlign w:val="superscript"/>
        </w:rPr>
        <w:t>[14,15]</w:t>
      </w:r>
      <w:r w:rsidRPr="00A03975">
        <w:rPr>
          <w:rFonts w:ascii="Book Antiqua" w:eastAsia="Book Antiqua" w:hAnsi="Book Antiqua" w:cs="Book Antiqua"/>
          <w:color w:val="000000" w:themeColor="text1"/>
          <w:sz w:val="24"/>
        </w:rPr>
        <w:t>. To date, many therapeutic options are available, including laparoscopic, endoscopic, percutaneous, and traditional open techniques, applied both as a combination in a simultaneous way or as a gradual sequence. The most followed therapeutic options are preoperative ERCP followed by LC; LC plus intraoperative laparoscopic CBD exploration (LCBDE); LC plus intraoperative ERCP (rendezvous technique); and, finally, LC plus postoperative ERCP. The preference between one technique and the other is, most of the time, guided by the presence of professional resources and local skills rather than by its verified effectiveness</w:t>
      </w:r>
      <w:r w:rsidRPr="00A03975">
        <w:rPr>
          <w:rFonts w:ascii="Book Antiqua" w:eastAsia="Book Antiqua" w:hAnsi="Book Antiqua" w:cs="Book Antiqua"/>
          <w:color w:val="000000" w:themeColor="text1"/>
          <w:sz w:val="24"/>
          <w:szCs w:val="30"/>
          <w:vertAlign w:val="superscript"/>
        </w:rPr>
        <w:t>[16-20]</w:t>
      </w:r>
      <w:r w:rsidRPr="00A03975">
        <w:rPr>
          <w:rFonts w:ascii="Book Antiqua" w:eastAsia="Book Antiqua" w:hAnsi="Book Antiqua" w:cs="Book Antiqua"/>
          <w:color w:val="000000" w:themeColor="text1"/>
          <w:sz w:val="24"/>
        </w:rPr>
        <w:t>.</w:t>
      </w:r>
    </w:p>
    <w:p w14:paraId="256B7CD1"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The aim of this review is to provide practical advice and an overview of how to manage patients with cholelithiasis and choledocholithiasis. We take into consideration different diagnostic strategies, as well as the different therapeutic options available.</w:t>
      </w:r>
    </w:p>
    <w:p w14:paraId="27A0185F" w14:textId="77777777" w:rsidR="000A3E5C" w:rsidRPr="00A03975" w:rsidRDefault="000A3E5C">
      <w:pPr>
        <w:spacing w:line="360" w:lineRule="auto"/>
        <w:ind w:firstLine="720"/>
        <w:jc w:val="both"/>
        <w:rPr>
          <w:color w:val="000000" w:themeColor="text1"/>
        </w:rPr>
      </w:pPr>
    </w:p>
    <w:p w14:paraId="43D3C210"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aps/>
          <w:color w:val="000000" w:themeColor="text1"/>
          <w:sz w:val="24"/>
          <w:u w:val="single"/>
        </w:rPr>
        <w:t>EPIDEMIOLOGICAL NOTES AND CLINICAL MANIFASTATIONS</w:t>
      </w:r>
    </w:p>
    <w:p w14:paraId="2DC8B994"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Gallstones have a prevalence of 10%-15% in adult Caucasian populations and in the American Indians it can reach up to 70%</w:t>
      </w:r>
      <w:r w:rsidRPr="00A03975">
        <w:rPr>
          <w:rFonts w:ascii="Book Antiqua" w:eastAsia="Book Antiqua" w:hAnsi="Book Antiqua" w:cs="Book Antiqua"/>
          <w:color w:val="000000" w:themeColor="text1"/>
          <w:sz w:val="24"/>
          <w:szCs w:val="30"/>
          <w:vertAlign w:val="superscript"/>
        </w:rPr>
        <w:t>[1,21]</w:t>
      </w:r>
      <w:r w:rsidRPr="00A03975">
        <w:rPr>
          <w:rFonts w:ascii="Book Antiqua" w:eastAsia="Book Antiqua" w:hAnsi="Book Antiqua" w:cs="Book Antiqua"/>
          <w:color w:val="000000" w:themeColor="text1"/>
          <w:sz w:val="24"/>
        </w:rPr>
        <w:t>; on the contrary, Asian populations have a very low prevalence</w:t>
      </w:r>
      <w:r w:rsidRPr="00A03975">
        <w:rPr>
          <w:rFonts w:ascii="Book Antiqua" w:eastAsia="Book Antiqua" w:hAnsi="Book Antiqua" w:cs="Book Antiqua"/>
          <w:color w:val="000000" w:themeColor="text1"/>
          <w:sz w:val="24"/>
          <w:szCs w:val="30"/>
          <w:vertAlign w:val="superscript"/>
        </w:rPr>
        <w:t>[22,23]</w:t>
      </w:r>
      <w:r w:rsidRPr="00A03975">
        <w:rPr>
          <w:rFonts w:ascii="Book Antiqua" w:eastAsia="Book Antiqua" w:hAnsi="Book Antiqua" w:cs="Book Antiqua"/>
          <w:color w:val="000000" w:themeColor="text1"/>
          <w:sz w:val="24"/>
        </w:rPr>
        <w:t xml:space="preserve">. The risk factors associated with the most frequent formation of cholesterol stones are female sex, age over 40 years, obesity, and rapid </w:t>
      </w:r>
      <w:r w:rsidRPr="00A03975">
        <w:rPr>
          <w:rFonts w:ascii="Book Antiqua" w:eastAsia="Book Antiqua" w:hAnsi="Book Antiqua" w:cs="Book Antiqua"/>
          <w:color w:val="000000" w:themeColor="text1"/>
          <w:sz w:val="24"/>
        </w:rPr>
        <w:lastRenderedPageBreak/>
        <w:t>weight loss</w:t>
      </w:r>
      <w:r w:rsidRPr="00A03975">
        <w:rPr>
          <w:rFonts w:ascii="Book Antiqua" w:eastAsia="Book Antiqua" w:hAnsi="Book Antiqua" w:cs="Book Antiqua"/>
          <w:color w:val="000000" w:themeColor="text1"/>
          <w:sz w:val="24"/>
          <w:szCs w:val="30"/>
          <w:vertAlign w:val="superscript"/>
        </w:rPr>
        <w:t>[24]</w:t>
      </w:r>
      <w:r w:rsidRPr="00A03975">
        <w:rPr>
          <w:rFonts w:ascii="Book Antiqua" w:eastAsia="Book Antiqua" w:hAnsi="Book Antiqua" w:cs="Book Antiqua"/>
          <w:color w:val="000000" w:themeColor="text1"/>
          <w:sz w:val="24"/>
        </w:rPr>
        <w:t>. The presence of gallstones remains asymptomatic in over 80% of cases, without any complications</w:t>
      </w:r>
      <w:r w:rsidRPr="00A03975">
        <w:rPr>
          <w:rFonts w:ascii="Book Antiqua" w:eastAsia="Book Antiqua" w:hAnsi="Book Antiqua" w:cs="Book Antiqua"/>
          <w:color w:val="000000" w:themeColor="text1"/>
          <w:sz w:val="24"/>
          <w:szCs w:val="30"/>
          <w:vertAlign w:val="superscript"/>
        </w:rPr>
        <w:t>[21,25]</w:t>
      </w:r>
      <w:r w:rsidRPr="00A03975">
        <w:rPr>
          <w:rFonts w:ascii="Book Antiqua" w:eastAsia="Book Antiqua" w:hAnsi="Book Antiqua" w:cs="Book Antiqua"/>
          <w:color w:val="000000" w:themeColor="text1"/>
          <w:sz w:val="24"/>
        </w:rPr>
        <w:t>. The risk of developing symptoms or complications varies between 1% and 2.3% per year</w:t>
      </w:r>
      <w:r w:rsidRPr="00A03975">
        <w:rPr>
          <w:rFonts w:ascii="Book Antiqua" w:eastAsia="Book Antiqua" w:hAnsi="Book Antiqua" w:cs="Book Antiqua"/>
          <w:color w:val="000000" w:themeColor="text1"/>
          <w:sz w:val="24"/>
          <w:szCs w:val="30"/>
          <w:vertAlign w:val="superscript"/>
        </w:rPr>
        <w:t>[2,3,26-29]</w:t>
      </w:r>
      <w:r w:rsidRPr="00A03975">
        <w:rPr>
          <w:rFonts w:ascii="Book Antiqua" w:eastAsia="Book Antiqua" w:hAnsi="Book Antiqua" w:cs="Book Antiqua"/>
          <w:color w:val="000000" w:themeColor="text1"/>
          <w:sz w:val="24"/>
        </w:rPr>
        <w:t xml:space="preserve"> and in these patients, surgery is necessary. </w:t>
      </w:r>
    </w:p>
    <w:p w14:paraId="08842D79"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 xml:space="preserve">The most frequent symptom is biliary pain, which is usually constant rather than discontinuous and appears when the gallbladder exit is obstructed by a stone. Most often it occurs in the right upper quadrant but can occur in the epigastrium, retrosternal area, or also the upper left quadrant. This pain has a typical irradiation to the ipsilateral scapula. Pain may be associated with vomiting, and it usually resolves completely but is often associated with other symptoms including flatulence, dyspepsia, and abdominal bloating. If biliary pain persists for more than 12 h, it is very likely that acute cholecystitis is occurring with associated fever, tachycardia, and then systemic inflammation. </w:t>
      </w:r>
    </w:p>
    <w:p w14:paraId="51D1321A"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 xml:space="preserve">Among the classic complications of gallbladder stones, we must remember acute cholecystitis which can resolve spontaneously or result in mucocoele, empyema, gangrenous cholecystitis, and emphysematous cholecystitis. Another complication is chronic cholecystitis, which usually occurs after recurrent episodes of biliary pain associated with phases of acute inflammation that result in fibrosis. Less frequent but not uncommon are Mirizzi syndrome, cholecysto-enteric fistulas, and the risk of malignant transformation in association with chronic cholecystitis. Migration of stones from the gallbladder to the CBD facilitated by gallbladder contractions can also be listed as a complication of gallstones. In the CBD, they can reach the duodenum following the bile flow or they can remain in the choledochus. In the </w:t>
      </w:r>
      <w:r w:rsidRPr="00A03975">
        <w:rPr>
          <w:rFonts w:ascii="Book Antiqua" w:eastAsia="宋体" w:hAnsi="Book Antiqua" w:cs="Book Antiqua" w:hint="eastAsia"/>
          <w:color w:val="000000" w:themeColor="text1"/>
          <w:sz w:val="24"/>
          <w:lang w:val="en-US" w:eastAsia="zh-CN"/>
        </w:rPr>
        <w:t>latter case</w:t>
      </w:r>
      <w:r w:rsidRPr="00A03975">
        <w:rPr>
          <w:rFonts w:ascii="Book Antiqua" w:eastAsia="Book Antiqua" w:hAnsi="Book Antiqua" w:cs="Book Antiqua"/>
          <w:color w:val="000000" w:themeColor="text1"/>
          <w:sz w:val="24"/>
        </w:rPr>
        <w:t>, they can remain asymptomatic or cause a variety of biliary problems. Incidence of choledocholithiasis increases with age, and between 20% and 25% of these patients with symptomatic gallstones have stones in the CBD and in the gallbladder</w:t>
      </w:r>
      <w:r w:rsidRPr="00A03975">
        <w:rPr>
          <w:rFonts w:ascii="Book Antiqua" w:eastAsia="Book Antiqua" w:hAnsi="Book Antiqua" w:cs="Book Antiqua"/>
          <w:color w:val="000000" w:themeColor="text1"/>
          <w:sz w:val="24"/>
          <w:szCs w:val="30"/>
          <w:vertAlign w:val="superscript"/>
        </w:rPr>
        <w:t>[7,8]</w:t>
      </w:r>
      <w:r w:rsidRPr="00A03975">
        <w:rPr>
          <w:rFonts w:ascii="Book Antiqua" w:eastAsia="Book Antiqua" w:hAnsi="Book Antiqua" w:cs="Book Antiqua"/>
          <w:color w:val="000000" w:themeColor="text1"/>
          <w:sz w:val="24"/>
        </w:rPr>
        <w:t>. The Swedish registry</w:t>
      </w:r>
      <w:r w:rsidRPr="00A03975">
        <w:rPr>
          <w:rFonts w:ascii="Book Antiqua" w:eastAsia="Book Antiqua" w:hAnsi="Book Antiqua" w:cs="Book Antiqua"/>
          <w:color w:val="000000" w:themeColor="text1"/>
          <w:sz w:val="24"/>
          <w:szCs w:val="30"/>
          <w:vertAlign w:val="superscript"/>
        </w:rPr>
        <w:t>[30]</w:t>
      </w:r>
      <w:r w:rsidRPr="00A03975">
        <w:rPr>
          <w:rFonts w:ascii="Book Antiqua" w:eastAsia="Book Antiqua" w:hAnsi="Book Antiqua" w:cs="Book Antiqua"/>
          <w:color w:val="000000" w:themeColor="text1"/>
          <w:sz w:val="24"/>
        </w:rPr>
        <w:t xml:space="preserve"> showed a prevalence of 11.6% of choledocholithiasis detected during intraoperative cholangiography in patients with symptomatic gallbladder stones. Important studies concerning the prevalence of choledocholithiasis in patients with asymptomatic cholelithiasis are currently lacking. </w:t>
      </w:r>
    </w:p>
    <w:p w14:paraId="617C03A8"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lastRenderedPageBreak/>
        <w:t>Complications due to the presence of stones of the CBD are biliary pain and obstructive jaundice secondary to obstruction and subsequent dilation of the biliary tree</w:t>
      </w:r>
      <w:r w:rsidRPr="00A03975">
        <w:rPr>
          <w:rFonts w:ascii="Book Antiqua" w:eastAsia="Book Antiqua" w:hAnsi="Book Antiqua" w:cs="Book Antiqua"/>
          <w:color w:val="000000" w:themeColor="text1"/>
          <w:sz w:val="24"/>
          <w:szCs w:val="30"/>
          <w:vertAlign w:val="superscript"/>
        </w:rPr>
        <w:t>[31]</w:t>
      </w:r>
      <w:r w:rsidRPr="00A03975">
        <w:rPr>
          <w:rFonts w:ascii="Book Antiqua" w:eastAsia="Book Antiqua" w:hAnsi="Book Antiqua" w:cs="Book Antiqua"/>
          <w:color w:val="000000" w:themeColor="text1"/>
          <w:sz w:val="24"/>
        </w:rPr>
        <w:t>, cholangitis due to bacterial infection facilitated by biliary obstruction, and ultimately acute biliary pancreatitis, which together with pain represent the largest percentage of such. Complications that most require endoscopic or surgical intervention are those that occur in the presence of choledocholithiasis.</w:t>
      </w:r>
    </w:p>
    <w:p w14:paraId="6DA539AB" w14:textId="77777777" w:rsidR="000A3E5C" w:rsidRPr="00A03975" w:rsidRDefault="000A3E5C">
      <w:pPr>
        <w:spacing w:line="360" w:lineRule="auto"/>
        <w:ind w:firstLine="720"/>
        <w:jc w:val="both"/>
        <w:rPr>
          <w:color w:val="000000" w:themeColor="text1"/>
        </w:rPr>
      </w:pPr>
    </w:p>
    <w:p w14:paraId="76A235B3"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aps/>
          <w:color w:val="000000" w:themeColor="text1"/>
          <w:sz w:val="24"/>
          <w:u w:val="single"/>
        </w:rPr>
        <w:t>PREOPERATIVE INVESTIGATIONS</w:t>
      </w:r>
    </w:p>
    <w:p w14:paraId="47F31979"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 xml:space="preserve">The main issue for the correct management of cholecysto-choledocholithiasis is to arrive at the diagnosis by reducing the useless and invasive diagnostic procedures that are often performed inappropriately following non-linear clinical hypotheses. Generally, suspicion of the disease arises from the presence of specific symptoms associated with an alteration of the cholestasis indexes followed by an abdominal ultrasound (US) examination. Signs and symptoms of these are well known and previously mentioned. Instead, it is necessary to focus on preoperative serological and instrumental diagnostic investigations. </w:t>
      </w:r>
    </w:p>
    <w:p w14:paraId="54252420" w14:textId="77777777" w:rsidR="000A3E5C" w:rsidRPr="00A03975" w:rsidRDefault="000A3E5C">
      <w:pPr>
        <w:spacing w:line="360" w:lineRule="auto"/>
        <w:jc w:val="both"/>
        <w:rPr>
          <w:color w:val="000000" w:themeColor="text1"/>
        </w:rPr>
      </w:pPr>
    </w:p>
    <w:p w14:paraId="2FE7D26B"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i/>
          <w:iCs/>
          <w:color w:val="000000" w:themeColor="text1"/>
          <w:sz w:val="24"/>
        </w:rPr>
        <w:t>Serology</w:t>
      </w:r>
    </w:p>
    <w:p w14:paraId="6B8010D6"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 xml:space="preserve">Normal values of liver function tests are considered predictive of the absence of CBDS. Yang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[32]</w:t>
      </w:r>
      <w:r w:rsidRPr="00A03975">
        <w:rPr>
          <w:rFonts w:ascii="Book Antiqua" w:eastAsia="Book Antiqua" w:hAnsi="Book Antiqua" w:cs="Book Antiqua"/>
          <w:color w:val="000000" w:themeColor="text1"/>
          <w:sz w:val="24"/>
        </w:rPr>
        <w:t xml:space="preserve"> in 2008 presented a study conducted on 1002 patients undergoing LC, which confirmed the absence of CBDSs in the presence of normal values of liver function indexes. Total and direct bilirubin and gamma-glutamyltransferase demonstrated the highest sensitivities at 94.7% and 97.9%, respectively. Gurusamy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[33]</w:t>
      </w:r>
      <w:r w:rsidRPr="00A03975">
        <w:rPr>
          <w:rFonts w:ascii="Book Antiqua" w:eastAsia="Book Antiqua" w:hAnsi="Book Antiqua" w:cs="Book Antiqua"/>
          <w:color w:val="000000" w:themeColor="text1"/>
          <w:sz w:val="24"/>
        </w:rPr>
        <w:t xml:space="preserve"> in 2015 proposed a systematic review on the diagnostic accuracy of liver function tests, concluding that the sensitivities of bilirubin and alkaline phosphatase were 84% and 91%, respectively, while the corresponding specificities were 91% and 79%.</w:t>
      </w:r>
    </w:p>
    <w:p w14:paraId="2B12C3E6"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Therefore, an alteration of total and direct bilirubin, gamma-glutamyltransferase, and alkaline phosphatase</w:t>
      </w:r>
      <w:r w:rsidRPr="00A03975">
        <w:rPr>
          <w:rFonts w:ascii="Book Antiqua" w:eastAsia="Book Antiqua" w:hAnsi="Book Antiqua" w:cs="Book Antiqua"/>
          <w:color w:val="000000" w:themeColor="text1"/>
          <w:sz w:val="24"/>
          <w:szCs w:val="30"/>
          <w:vertAlign w:val="superscript"/>
        </w:rPr>
        <w:t>[34,35]</w:t>
      </w:r>
      <w:r w:rsidRPr="00A03975">
        <w:rPr>
          <w:rFonts w:ascii="Book Antiqua" w:eastAsia="Book Antiqua" w:hAnsi="Book Antiqua" w:cs="Book Antiqua"/>
          <w:color w:val="000000" w:themeColor="text1"/>
          <w:sz w:val="24"/>
        </w:rPr>
        <w:t xml:space="preserve"> has always been associated with the suspicion of choledocholithiasis, as well as the presence of elevated hepatic cytolysis values, as it was found in the presence of unrecognized CBDSs</w:t>
      </w:r>
      <w:r w:rsidRPr="00A03975">
        <w:rPr>
          <w:rFonts w:ascii="Book Antiqua" w:eastAsia="Book Antiqua" w:hAnsi="Book Antiqua" w:cs="Book Antiqua"/>
          <w:color w:val="000000" w:themeColor="text1"/>
          <w:sz w:val="24"/>
          <w:szCs w:val="30"/>
          <w:vertAlign w:val="superscript"/>
        </w:rPr>
        <w:t>[34,36,37]</w:t>
      </w:r>
      <w:r w:rsidRPr="00A03975">
        <w:rPr>
          <w:rFonts w:ascii="Book Antiqua" w:eastAsia="Book Antiqua" w:hAnsi="Book Antiqua" w:cs="Book Antiqua"/>
          <w:color w:val="000000" w:themeColor="text1"/>
          <w:sz w:val="24"/>
        </w:rPr>
        <w:t xml:space="preserve">. To </w:t>
      </w:r>
      <w:r w:rsidRPr="00A03975">
        <w:rPr>
          <w:rFonts w:ascii="Book Antiqua" w:eastAsia="Book Antiqua" w:hAnsi="Book Antiqua" w:cs="Book Antiqua"/>
          <w:color w:val="000000" w:themeColor="text1"/>
          <w:sz w:val="24"/>
        </w:rPr>
        <w:lastRenderedPageBreak/>
        <w:t>date, total and direct bilirubin are considered the most reliable markers for the suspicion of choledocholithiasis, but the other liver biochemical tests should not be underestimated</w:t>
      </w:r>
      <w:r w:rsidRPr="00A03975">
        <w:rPr>
          <w:rFonts w:ascii="Book Antiqua" w:eastAsia="Book Antiqua" w:hAnsi="Book Antiqua" w:cs="Book Antiqua"/>
          <w:color w:val="000000" w:themeColor="text1"/>
          <w:sz w:val="24"/>
          <w:szCs w:val="30"/>
          <w:vertAlign w:val="superscript"/>
        </w:rPr>
        <w:t>[38]</w:t>
      </w:r>
      <w:r w:rsidRPr="00A03975">
        <w:rPr>
          <w:rFonts w:ascii="Book Antiqua" w:eastAsia="Book Antiqua" w:hAnsi="Book Antiqua" w:cs="Book Antiqua"/>
          <w:color w:val="000000" w:themeColor="text1"/>
          <w:sz w:val="24"/>
        </w:rPr>
        <w:t xml:space="preserve">. </w:t>
      </w:r>
    </w:p>
    <w:p w14:paraId="09F22699" w14:textId="77777777" w:rsidR="000A3E5C" w:rsidRPr="00A03975" w:rsidRDefault="000A3E5C">
      <w:pPr>
        <w:spacing w:line="360" w:lineRule="auto"/>
        <w:ind w:firstLine="720"/>
        <w:jc w:val="both"/>
        <w:rPr>
          <w:color w:val="000000" w:themeColor="text1"/>
        </w:rPr>
      </w:pPr>
    </w:p>
    <w:p w14:paraId="29BF7F78"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i/>
          <w:iCs/>
          <w:color w:val="000000" w:themeColor="text1"/>
          <w:sz w:val="24"/>
        </w:rPr>
        <w:t>Radiological examinations</w:t>
      </w:r>
    </w:p>
    <w:p w14:paraId="3289E7CD"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Diagnostic suspicion is essential to select patients to be directed to a more accurate study. Several predictive models have been developed but the association between the presented symptoms, biochemical data, and an US examination of the abdomen is often the most suitable way to identify high risk patients</w:t>
      </w:r>
      <w:r w:rsidRPr="00A03975">
        <w:rPr>
          <w:rFonts w:ascii="Book Antiqua" w:eastAsia="Book Antiqua" w:hAnsi="Book Antiqua" w:cs="Book Antiqua"/>
          <w:color w:val="000000" w:themeColor="text1"/>
          <w:sz w:val="24"/>
          <w:szCs w:val="30"/>
          <w:vertAlign w:val="superscript"/>
        </w:rPr>
        <w:t>[35,39-42]</w:t>
      </w:r>
      <w:r w:rsidRPr="00A03975">
        <w:rPr>
          <w:rFonts w:ascii="Book Antiqua" w:eastAsia="Book Antiqua" w:hAnsi="Book Antiqua" w:cs="Book Antiqua"/>
          <w:color w:val="000000" w:themeColor="text1"/>
          <w:sz w:val="24"/>
        </w:rPr>
        <w:t>. Abdominal US is the first non-invasive, inexpensive, and practicable examination to be performed almost anywhere</w:t>
      </w:r>
      <w:r w:rsidRPr="00A03975">
        <w:rPr>
          <w:rFonts w:ascii="Book Antiqua" w:eastAsia="Book Antiqua" w:hAnsi="Book Antiqua" w:cs="Book Antiqua"/>
          <w:color w:val="000000" w:themeColor="text1"/>
          <w:sz w:val="24"/>
          <w:szCs w:val="30"/>
          <w:vertAlign w:val="superscript"/>
        </w:rPr>
        <w:t>[38,43,44]</w:t>
      </w:r>
      <w:r w:rsidRPr="00A03975">
        <w:rPr>
          <w:rFonts w:ascii="Book Antiqua" w:eastAsia="Book Antiqua" w:hAnsi="Book Antiqua" w:cs="Book Antiqua"/>
          <w:color w:val="000000" w:themeColor="text1"/>
          <w:sz w:val="24"/>
        </w:rPr>
        <w:t>. This examination is also useful for evaluating the presence of other liver diseases. The high sensitivity of US (96%)</w:t>
      </w:r>
      <w:r w:rsidRPr="00A03975">
        <w:rPr>
          <w:rFonts w:ascii="Book Antiqua" w:eastAsia="Book Antiqua" w:hAnsi="Book Antiqua" w:cs="Book Antiqua"/>
          <w:color w:val="000000" w:themeColor="text1"/>
          <w:sz w:val="24"/>
          <w:szCs w:val="30"/>
          <w:vertAlign w:val="superscript"/>
        </w:rPr>
        <w:t>[45]</w:t>
      </w:r>
      <w:r w:rsidRPr="00A03975">
        <w:rPr>
          <w:rFonts w:ascii="Book Antiqua" w:eastAsia="Book Antiqua" w:hAnsi="Book Antiqua" w:cs="Book Antiqua"/>
          <w:color w:val="000000" w:themeColor="text1"/>
          <w:sz w:val="24"/>
        </w:rPr>
        <w:t xml:space="preserve"> for the study of the gallbladder and the identification of stones inside it is due to the proximity of the organ to the abdominal wall and the absence of interposed gas. </w:t>
      </w:r>
    </w:p>
    <w:p w14:paraId="6F8E68B4"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Unfortunately, US often fails to confirm the presence of CBDSs because they do not show the characteristic acoustic shading or are located in the distal part of the choledochus, where they can be obscured by gas</w:t>
      </w:r>
      <w:r w:rsidRPr="00A03975">
        <w:rPr>
          <w:rFonts w:ascii="Book Antiqua" w:eastAsia="Book Antiqua" w:hAnsi="Book Antiqua" w:cs="Book Antiqua"/>
          <w:color w:val="000000" w:themeColor="text1"/>
          <w:sz w:val="24"/>
          <w:szCs w:val="30"/>
          <w:vertAlign w:val="superscript"/>
        </w:rPr>
        <w:t>[46]</w:t>
      </w:r>
      <w:r w:rsidRPr="00A03975">
        <w:rPr>
          <w:rFonts w:ascii="Book Antiqua" w:eastAsia="Book Antiqua" w:hAnsi="Book Antiqua" w:cs="Book Antiqua"/>
          <w:color w:val="000000" w:themeColor="text1"/>
          <w:sz w:val="24"/>
        </w:rPr>
        <w:t>. In these situations, it is necessary to evaluate the presence of indirect signs of obstruction, such as dilation of the CBD. Even the definition of the concept of dilation of the CBD is not very clear, the most used range is between 5 mm and 11 mm</w:t>
      </w:r>
      <w:r w:rsidRPr="00A03975">
        <w:rPr>
          <w:rFonts w:ascii="Book Antiqua" w:eastAsia="Book Antiqua" w:hAnsi="Book Antiqua" w:cs="Book Antiqua"/>
          <w:color w:val="000000" w:themeColor="text1"/>
          <w:sz w:val="24"/>
          <w:szCs w:val="30"/>
          <w:vertAlign w:val="superscript"/>
        </w:rPr>
        <w:t>[47-49]</w:t>
      </w:r>
      <w:r w:rsidRPr="00A03975">
        <w:rPr>
          <w:rFonts w:ascii="Book Antiqua" w:eastAsia="Book Antiqua" w:hAnsi="Book Antiqua" w:cs="Book Antiqua"/>
          <w:color w:val="000000" w:themeColor="text1"/>
          <w:sz w:val="24"/>
        </w:rPr>
        <w:t>, bearing in mind that some dilation can also occur after cholecystectomy and with advancing age. Another indirect sign of suspected choledocholithiasis can be provided by the number and size of gallbladder stones</w:t>
      </w:r>
      <w:r w:rsidRPr="00A03975">
        <w:rPr>
          <w:rFonts w:ascii="Book Antiqua" w:eastAsia="Book Antiqua" w:hAnsi="Book Antiqua" w:cs="Book Antiqua"/>
          <w:color w:val="000000" w:themeColor="text1"/>
          <w:sz w:val="24"/>
          <w:szCs w:val="30"/>
          <w:vertAlign w:val="superscript"/>
        </w:rPr>
        <w:t>[44,50]</w:t>
      </w:r>
      <w:r w:rsidRPr="00A03975">
        <w:rPr>
          <w:rFonts w:ascii="Book Antiqua" w:eastAsia="Book Antiqua" w:hAnsi="Book Antiqua" w:cs="Book Antiqua"/>
          <w:color w:val="000000" w:themeColor="text1"/>
          <w:sz w:val="24"/>
        </w:rPr>
        <w:t>. US confirmation of small gallstones increases the possibility that they can migrate into the CBD</w:t>
      </w:r>
      <w:r w:rsidRPr="00A03975">
        <w:rPr>
          <w:rFonts w:ascii="Book Antiqua" w:eastAsia="Book Antiqua" w:hAnsi="Book Antiqua" w:cs="Book Antiqua"/>
          <w:color w:val="000000" w:themeColor="text1"/>
          <w:sz w:val="24"/>
          <w:szCs w:val="30"/>
          <w:vertAlign w:val="superscript"/>
        </w:rPr>
        <w:t>[51,52]</w:t>
      </w:r>
      <w:r w:rsidRPr="00A03975">
        <w:rPr>
          <w:rFonts w:ascii="Book Antiqua" w:eastAsia="Book Antiqua" w:hAnsi="Book Antiqua" w:cs="Book Antiqua"/>
          <w:color w:val="000000" w:themeColor="text1"/>
          <w:sz w:val="24"/>
        </w:rPr>
        <w:t xml:space="preserve">. Wilcox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[53]</w:t>
      </w:r>
      <w:r w:rsidRPr="00A03975">
        <w:rPr>
          <w:rFonts w:ascii="Book Antiqua" w:eastAsia="Book Antiqua" w:hAnsi="Book Antiqua" w:cs="Book Antiqua"/>
          <w:color w:val="000000" w:themeColor="text1"/>
          <w:sz w:val="24"/>
        </w:rPr>
        <w:t xml:space="preserve"> in 2014 and Qiu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[54]</w:t>
      </w:r>
      <w:r w:rsidRPr="00A03975">
        <w:rPr>
          <w:rFonts w:ascii="Book Antiqua" w:eastAsia="Book Antiqua" w:hAnsi="Book Antiqua" w:cs="Book Antiqua"/>
          <w:color w:val="000000" w:themeColor="text1"/>
          <w:sz w:val="24"/>
        </w:rPr>
        <w:t xml:space="preserve"> in 2015 reported two studies that had demonstrated, with different techniques and percentages, the presence of CBDSs in patients who had normal findings on liver function tests and US. For these reasons, abdominal US is certainly to be performed in the first instance, but in the suspicion of choledocholithiasis even with a normal serology and US evaluation it is a good rule to deepen the diagnosis with second-line examinations, which are more expensive and invasive.</w:t>
      </w:r>
    </w:p>
    <w:p w14:paraId="4553BB4D"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lastRenderedPageBreak/>
        <w:t>Computed tomography (CT) is often done in emergency situations and for abdominal pain assessment. It is considered a second-line examination for the diagnosis of this pathological condition, but the literature expresses heterogeneous judgments regarding its diagnostic value and it is usually considered a non-definitive test. In fact, many gallstones are similar in density to the surrounding bile and lack of calcium; these occurrences limit the visibility of CT and therefore its sensitivity. The CT scan increases exposure of patients to X-rays and leads to higher costs than US. It is considered more accurate than the latter in the identification of CBDSs</w:t>
      </w:r>
      <w:r w:rsidRPr="00A03975">
        <w:rPr>
          <w:rFonts w:ascii="Book Antiqua" w:eastAsia="Book Antiqua" w:hAnsi="Book Antiqua" w:cs="Book Antiqua"/>
          <w:color w:val="000000" w:themeColor="text1"/>
          <w:sz w:val="24"/>
          <w:szCs w:val="30"/>
          <w:vertAlign w:val="superscript"/>
        </w:rPr>
        <w:t>[55]</w:t>
      </w:r>
      <w:r w:rsidRPr="00A03975">
        <w:rPr>
          <w:rFonts w:ascii="Book Antiqua" w:eastAsia="Book Antiqua" w:hAnsi="Book Antiqua" w:cs="Book Antiqua"/>
          <w:color w:val="000000" w:themeColor="text1"/>
          <w:sz w:val="24"/>
        </w:rPr>
        <w:t xml:space="preserve"> but certainly inferior to magnetic resonance cholangiography (MRC)</w:t>
      </w:r>
      <w:r w:rsidRPr="00A03975">
        <w:rPr>
          <w:rFonts w:ascii="Book Antiqua" w:eastAsia="Book Antiqua" w:hAnsi="Book Antiqua" w:cs="Book Antiqua"/>
          <w:color w:val="000000" w:themeColor="text1"/>
          <w:sz w:val="24"/>
          <w:szCs w:val="30"/>
          <w:vertAlign w:val="superscript"/>
        </w:rPr>
        <w:t>[56]</w:t>
      </w:r>
      <w:r w:rsidRPr="00A03975">
        <w:rPr>
          <w:rFonts w:ascii="Book Antiqua" w:eastAsia="Book Antiqua" w:hAnsi="Book Antiqua" w:cs="Book Antiqua"/>
          <w:color w:val="000000" w:themeColor="text1"/>
          <w:sz w:val="24"/>
        </w:rPr>
        <w:t>. Greater diagnostic precision has been achieved with helical CT</w:t>
      </w:r>
      <w:r w:rsidRPr="00A03975">
        <w:rPr>
          <w:rFonts w:ascii="Book Antiqua" w:eastAsia="Book Antiqua" w:hAnsi="Book Antiqua" w:cs="Book Antiqua"/>
          <w:color w:val="000000" w:themeColor="text1"/>
          <w:sz w:val="24"/>
          <w:szCs w:val="30"/>
          <w:vertAlign w:val="superscript"/>
        </w:rPr>
        <w:t>[38,57]</w:t>
      </w:r>
      <w:r w:rsidRPr="00A03975">
        <w:rPr>
          <w:rFonts w:ascii="Book Antiqua" w:eastAsia="Book Antiqua" w:hAnsi="Book Antiqua" w:cs="Book Antiqua"/>
          <w:color w:val="000000" w:themeColor="text1"/>
          <w:sz w:val="24"/>
        </w:rPr>
        <w:t xml:space="preserve"> and CT cholangiography</w:t>
      </w:r>
      <w:r w:rsidRPr="00A03975">
        <w:rPr>
          <w:rFonts w:ascii="Book Antiqua" w:eastAsia="Book Antiqua" w:hAnsi="Book Antiqua" w:cs="Book Antiqua"/>
          <w:color w:val="000000" w:themeColor="text1"/>
          <w:sz w:val="24"/>
          <w:szCs w:val="30"/>
          <w:vertAlign w:val="superscript"/>
        </w:rPr>
        <w:t>[56,58]</w:t>
      </w:r>
      <w:r w:rsidRPr="00A03975">
        <w:rPr>
          <w:rFonts w:ascii="Book Antiqua" w:eastAsia="Book Antiqua" w:hAnsi="Book Antiqua" w:cs="Book Antiqua"/>
          <w:color w:val="000000" w:themeColor="text1"/>
          <w:sz w:val="24"/>
        </w:rPr>
        <w:t>. CT cholangiography has shown a sensitivity in some studies and a specificity almost comparable to that of MRC</w:t>
      </w:r>
      <w:r w:rsidRPr="00A03975">
        <w:rPr>
          <w:rFonts w:ascii="Book Antiqua" w:eastAsia="Book Antiqua" w:hAnsi="Book Antiqua" w:cs="Book Antiqua"/>
          <w:color w:val="000000" w:themeColor="text1"/>
          <w:sz w:val="24"/>
          <w:szCs w:val="30"/>
          <w:vertAlign w:val="superscript"/>
        </w:rPr>
        <w:t>[56,58]</w:t>
      </w:r>
      <w:r w:rsidRPr="00A03975">
        <w:rPr>
          <w:rFonts w:ascii="Book Antiqua" w:eastAsia="Book Antiqua" w:hAnsi="Book Antiqua" w:cs="Book Antiqua"/>
          <w:color w:val="000000" w:themeColor="text1"/>
          <w:sz w:val="24"/>
        </w:rPr>
        <w:t>. The new multi-detector CT has shown a sensitivity of 78% in the portal venous phase and a specificity of 96% in the identification of CBDSs</w:t>
      </w:r>
      <w:r w:rsidRPr="00A03975">
        <w:rPr>
          <w:rFonts w:ascii="Book Antiqua" w:eastAsia="Book Antiqua" w:hAnsi="Book Antiqua" w:cs="Book Antiqua"/>
          <w:color w:val="000000" w:themeColor="text1"/>
          <w:sz w:val="24"/>
          <w:szCs w:val="30"/>
          <w:vertAlign w:val="superscript"/>
        </w:rPr>
        <w:t>[57]</w:t>
      </w:r>
      <w:r w:rsidRPr="00A03975">
        <w:rPr>
          <w:rFonts w:ascii="Book Antiqua" w:eastAsia="Book Antiqua" w:hAnsi="Book Antiqua" w:cs="Book Antiqua"/>
          <w:color w:val="000000" w:themeColor="text1"/>
          <w:sz w:val="24"/>
        </w:rPr>
        <w:t xml:space="preserve">. On the other hand, Kim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[59]</w:t>
      </w:r>
      <w:r w:rsidRPr="00A03975">
        <w:rPr>
          <w:rFonts w:ascii="Book Antiqua" w:eastAsia="Book Antiqua" w:hAnsi="Book Antiqua" w:cs="Book Antiqua"/>
          <w:color w:val="000000" w:themeColor="text1"/>
          <w:sz w:val="24"/>
        </w:rPr>
        <w:t xml:space="preserve"> in 2013 reported that in 17% of cases, the 64-detector CT does not visualize CBDSs, due to size of &lt; 5 mm, black/brown colour, and the patient's age. The greater radiological exposure and lower diagnostic power of CT compared to MRC make the latter examination preferable. However, CT examination has reduced execution times and extreme availability and diffusion, and these aspects could in the future assign it a new role in this field.</w:t>
      </w:r>
    </w:p>
    <w:p w14:paraId="384540D4"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MRC and endoscopic US (EUS) are currently the radiological examinations used routinely to avoid unnecessary and more invasive procedures, such as ERCP. Specifically, MRC is now considered the most accurate non-invasive procedure for the detection of CBDS, with a sensitivity of 93% and specificity 96%</w:t>
      </w:r>
      <w:r w:rsidRPr="00A03975">
        <w:rPr>
          <w:rFonts w:ascii="Book Antiqua" w:eastAsia="Book Antiqua" w:hAnsi="Book Antiqua" w:cs="Book Antiqua"/>
          <w:color w:val="000000" w:themeColor="text1"/>
          <w:sz w:val="24"/>
          <w:szCs w:val="30"/>
          <w:vertAlign w:val="superscript"/>
        </w:rPr>
        <w:t>[60]</w:t>
      </w:r>
      <w:r w:rsidRPr="00A03975">
        <w:rPr>
          <w:rFonts w:ascii="Book Antiqua" w:eastAsia="Book Antiqua" w:hAnsi="Book Antiqua" w:cs="Book Antiqua"/>
          <w:color w:val="000000" w:themeColor="text1"/>
          <w:sz w:val="24"/>
        </w:rPr>
        <w:t xml:space="preserve">. It is non-invasive, does not require contrast, and can be performed without anaesthesia. </w:t>
      </w:r>
    </w:p>
    <w:p w14:paraId="53D4E646"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 xml:space="preserve">Meeralam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[61]</w:t>
      </w:r>
      <w:r w:rsidRPr="00A03975">
        <w:rPr>
          <w:rFonts w:ascii="Book Antiqua" w:eastAsia="Book Antiqua" w:hAnsi="Book Antiqua" w:cs="Book Antiqua"/>
          <w:color w:val="000000" w:themeColor="text1"/>
          <w:sz w:val="24"/>
        </w:rPr>
        <w:t xml:space="preserve"> in 2017 demonstrated that diagnostic accuracy of EUS and MRC was high for both methods: Sensitivity of 97% </w:t>
      </w:r>
      <w:r w:rsidRPr="00A03975">
        <w:rPr>
          <w:rFonts w:ascii="Book Antiqua" w:eastAsia="Book Antiqua" w:hAnsi="Book Antiqua" w:cs="Book Antiqua"/>
          <w:i/>
          <w:iCs/>
          <w:color w:val="000000" w:themeColor="text1"/>
          <w:sz w:val="24"/>
        </w:rPr>
        <w:t>vs</w:t>
      </w:r>
      <w:r w:rsidRPr="00A03975">
        <w:rPr>
          <w:rFonts w:ascii="Book Antiqua" w:eastAsia="Book Antiqua" w:hAnsi="Book Antiqua" w:cs="Book Antiqua"/>
          <w:color w:val="000000" w:themeColor="text1"/>
          <w:sz w:val="24"/>
        </w:rPr>
        <w:t xml:space="preserve"> 90% and specificity of 87% </w:t>
      </w:r>
      <w:r w:rsidRPr="00A03975">
        <w:rPr>
          <w:rFonts w:ascii="Book Antiqua" w:eastAsia="Book Antiqua" w:hAnsi="Book Antiqua" w:cs="Book Antiqua"/>
          <w:i/>
          <w:iCs/>
          <w:color w:val="000000" w:themeColor="text1"/>
          <w:sz w:val="24"/>
        </w:rPr>
        <w:t>vs</w:t>
      </w:r>
      <w:r w:rsidRPr="00A03975">
        <w:rPr>
          <w:rFonts w:ascii="Book Antiqua" w:eastAsia="Book Antiqua" w:hAnsi="Book Antiqua" w:cs="Book Antiqua"/>
          <w:color w:val="000000" w:themeColor="text1"/>
          <w:sz w:val="24"/>
        </w:rPr>
        <w:t xml:space="preserve"> 92%. This was mainly due to the significantly higher sensitivity of EUS in the identification of small stones, while the specificity was not significantly different. The major limitation is the cost, and routine MRC for biliary disease without positive laboratory tests for CBDSs is not cost-effective</w:t>
      </w:r>
      <w:r w:rsidRPr="00A03975">
        <w:rPr>
          <w:rFonts w:ascii="Book Antiqua" w:eastAsia="Book Antiqua" w:hAnsi="Book Antiqua" w:cs="Book Antiqua"/>
          <w:color w:val="000000" w:themeColor="text1"/>
          <w:sz w:val="24"/>
          <w:szCs w:val="30"/>
          <w:vertAlign w:val="superscript"/>
        </w:rPr>
        <w:t>[62]</w:t>
      </w:r>
      <w:r w:rsidRPr="00A03975">
        <w:rPr>
          <w:rFonts w:ascii="Book Antiqua" w:eastAsia="Book Antiqua" w:hAnsi="Book Antiqua" w:cs="Book Antiqua"/>
          <w:color w:val="000000" w:themeColor="text1"/>
          <w:sz w:val="24"/>
        </w:rPr>
        <w:t xml:space="preserve">. Other disadvantages of MRC are </w:t>
      </w:r>
      <w:r w:rsidRPr="00A03975">
        <w:rPr>
          <w:rFonts w:ascii="Book Antiqua" w:eastAsia="Book Antiqua" w:hAnsi="Book Antiqua" w:cs="Book Antiqua"/>
          <w:color w:val="000000" w:themeColor="text1"/>
          <w:sz w:val="24"/>
        </w:rPr>
        <w:lastRenderedPageBreak/>
        <w:t>its suboptimal availability in non-tertiary care centres and non-therapeutic purposes of the technique; in fact, in the case of CBDS diagnosis, it will be necessary to use other treatment procedures. Its use is difficult in patients with severe obesity and claustrophobia, and in the presence of metallic foreign bodies or other metallic devices. Small stone diameter (&lt; 5 mm) and peripancreatic oedema have been shown to reduce the accuracy of CBDS identification</w:t>
      </w:r>
      <w:r w:rsidRPr="00A03975">
        <w:rPr>
          <w:rFonts w:ascii="Book Antiqua" w:eastAsia="Book Antiqua" w:hAnsi="Book Antiqua" w:cs="Book Antiqua"/>
          <w:color w:val="000000" w:themeColor="text1"/>
          <w:sz w:val="24"/>
          <w:szCs w:val="30"/>
          <w:vertAlign w:val="superscript"/>
        </w:rPr>
        <w:t>[63]</w:t>
      </w:r>
      <w:r w:rsidRPr="00A03975">
        <w:rPr>
          <w:rFonts w:ascii="Book Antiqua" w:eastAsia="Book Antiqua" w:hAnsi="Book Antiqua" w:cs="Book Antiqua"/>
          <w:color w:val="000000" w:themeColor="text1"/>
          <w:sz w:val="24"/>
        </w:rPr>
        <w:t xml:space="preserve">. Regardless of the overall effectiveness, the points in favour of this diagnostic procedure are its non-invasiveness and higher spatial and three-dimensional resolution, with the use of dedicated software, compared to EUS; in any case, it remains an operator-dependent diagnostic investigation. However, despite some of its limitations and low territorial diffusion, it should always be preferred before referring patients to other more invasive procedures. </w:t>
      </w:r>
    </w:p>
    <w:p w14:paraId="2992DC6E"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Percutaneous transhepatic cholangiography (commonly referred to as PTC) is a procedure that is performed with percutaneous cannulation of the intrahepatic biliary system, with contrast injection monitored by fluoroscopy. This technique can demonstrate biliary anatomy, including the size, number, and position of the stones, in the same way as ERCP. PTC is rarely used for the diagnosis of choledocholithiasis following the advent of modern radiological and endoscopic imaging techniques. However, it can be the initial component of the percutaneous transhepatic therapies for biliary tract disease, including choledocholithiasis, often when ERCP is not feasible.</w:t>
      </w:r>
    </w:p>
    <w:p w14:paraId="021F2901" w14:textId="77777777" w:rsidR="000A3E5C" w:rsidRPr="00A03975" w:rsidRDefault="000A3E5C">
      <w:pPr>
        <w:spacing w:line="360" w:lineRule="auto"/>
        <w:ind w:firstLine="720"/>
        <w:jc w:val="both"/>
        <w:rPr>
          <w:color w:val="000000" w:themeColor="text1"/>
        </w:rPr>
      </w:pPr>
    </w:p>
    <w:p w14:paraId="0074B1F5"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i/>
          <w:iCs/>
          <w:color w:val="000000" w:themeColor="text1"/>
          <w:sz w:val="24"/>
        </w:rPr>
        <w:t>Endoscopic examinations</w:t>
      </w:r>
    </w:p>
    <w:p w14:paraId="17DBA607"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All endoscopic procedures are invasive for the patient. They are also diagnostic and therapeutic procedures. ERCP involves cannulation of the ampulla of Vater and then of the CBD; through the injection of contrast medium under fluoroscopy, defects in filling are observed. This method is often used as a procedure of choice for evaluating the presence of choledocholithiasis, but complications can occur in as many as 8% to 12% of patients, usually manifesting as pancreatitis</w:t>
      </w:r>
      <w:r w:rsidRPr="00A03975">
        <w:rPr>
          <w:rFonts w:ascii="Book Antiqua" w:eastAsia="Book Antiqua" w:hAnsi="Book Antiqua" w:cs="Book Antiqua"/>
          <w:color w:val="000000" w:themeColor="text1"/>
          <w:sz w:val="24"/>
          <w:szCs w:val="30"/>
          <w:vertAlign w:val="superscript"/>
        </w:rPr>
        <w:t>[64-66]</w:t>
      </w:r>
      <w:r w:rsidRPr="00A03975">
        <w:rPr>
          <w:rFonts w:ascii="Book Antiqua" w:eastAsia="Book Antiqua" w:hAnsi="Book Antiqua" w:cs="Book Antiqua"/>
          <w:color w:val="000000" w:themeColor="text1"/>
          <w:sz w:val="24"/>
        </w:rPr>
        <w:t xml:space="preserve">. Due to its invasiveness and possible complications, ERCP is recommended for patients with a high probability of choledocholithiasis; this endoscopic examination conducted by </w:t>
      </w:r>
      <w:r w:rsidRPr="00A03975">
        <w:rPr>
          <w:rFonts w:ascii="Book Antiqua" w:eastAsia="Book Antiqua" w:hAnsi="Book Antiqua" w:cs="Book Antiqua"/>
          <w:color w:val="000000" w:themeColor="text1"/>
          <w:sz w:val="24"/>
        </w:rPr>
        <w:lastRenderedPageBreak/>
        <w:t>expert operators can also be an adequate treatment</w:t>
      </w:r>
      <w:r w:rsidRPr="00A03975">
        <w:rPr>
          <w:rFonts w:ascii="Book Antiqua" w:eastAsia="Book Antiqua" w:hAnsi="Book Antiqua" w:cs="Book Antiqua"/>
          <w:color w:val="000000" w:themeColor="text1"/>
          <w:sz w:val="24"/>
          <w:szCs w:val="30"/>
          <w:vertAlign w:val="superscript"/>
        </w:rPr>
        <w:t>[38]</w:t>
      </w:r>
      <w:r w:rsidRPr="00A03975">
        <w:rPr>
          <w:rFonts w:ascii="Book Antiqua" w:eastAsia="Book Antiqua" w:hAnsi="Book Antiqua" w:cs="Book Antiqua"/>
          <w:color w:val="000000" w:themeColor="text1"/>
          <w:sz w:val="24"/>
        </w:rPr>
        <w:t>. Although most endoscopists routinely reach the second portion of the duodenum, there are some situations that can make this manoeuvre difficult. Sometimes, the papilla major is difficult to identify and cannulate; this then represents a time of stress and danger for the operator as well as for the patient, such as when the cannula is placed in a duodenal diverticulum</w:t>
      </w:r>
      <w:r w:rsidRPr="00A03975">
        <w:rPr>
          <w:rFonts w:ascii="Book Antiqua" w:eastAsia="Book Antiqua" w:hAnsi="Book Antiqua" w:cs="Book Antiqua"/>
          <w:color w:val="000000" w:themeColor="text1"/>
          <w:sz w:val="24"/>
          <w:szCs w:val="30"/>
          <w:vertAlign w:val="superscript"/>
        </w:rPr>
        <w:t>[67]</w:t>
      </w:r>
      <w:r w:rsidRPr="00A03975">
        <w:rPr>
          <w:rFonts w:ascii="Book Antiqua" w:eastAsia="Book Antiqua" w:hAnsi="Book Antiqua" w:cs="Book Antiqua"/>
          <w:color w:val="000000" w:themeColor="text1"/>
          <w:sz w:val="24"/>
        </w:rPr>
        <w:t>. Previous surgical procedures on the stomach are another frequent cause of ERCP failure. The second duodenal portion is difficult to reach after a Roux-en-Y reconstruction, omega anastomosis, and gastric by-pass, and after gastrectomy with duodenal stump closure and Billroth II reconstruction</w:t>
      </w:r>
      <w:r w:rsidRPr="00A03975">
        <w:rPr>
          <w:rFonts w:ascii="Book Antiqua" w:eastAsia="Book Antiqua" w:hAnsi="Book Antiqua" w:cs="Book Antiqua"/>
          <w:color w:val="000000" w:themeColor="text1"/>
          <w:sz w:val="24"/>
          <w:szCs w:val="30"/>
          <w:vertAlign w:val="superscript"/>
        </w:rPr>
        <w:t>[68,69]</w:t>
      </w:r>
      <w:r w:rsidRPr="00A03975">
        <w:rPr>
          <w:rFonts w:ascii="Book Antiqua" w:eastAsia="Book Antiqua" w:hAnsi="Book Antiqua" w:cs="Book Antiqua"/>
          <w:color w:val="000000" w:themeColor="text1"/>
          <w:sz w:val="24"/>
        </w:rPr>
        <w:t xml:space="preserve">. In those cases, diagnosis and treatment must be conducted surgically. </w:t>
      </w:r>
    </w:p>
    <w:p w14:paraId="607D107C"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In the past decades, ERCP has been widely used for the diagnosis of CBDS; today, this procedure is being abandoned, especially in those patients who have a low or moderate risk of disease</w:t>
      </w:r>
      <w:r w:rsidRPr="00A03975">
        <w:rPr>
          <w:rFonts w:ascii="Book Antiqua" w:eastAsia="Book Antiqua" w:hAnsi="Book Antiqua" w:cs="Book Antiqua"/>
          <w:color w:val="000000" w:themeColor="text1"/>
          <w:sz w:val="24"/>
          <w:szCs w:val="30"/>
          <w:vertAlign w:val="superscript"/>
        </w:rPr>
        <w:t>[70]</w:t>
      </w:r>
      <w:r w:rsidRPr="00A03975">
        <w:rPr>
          <w:rFonts w:ascii="Book Antiqua" w:eastAsia="Book Antiqua" w:hAnsi="Book Antiqua" w:cs="Book Antiqua"/>
          <w:color w:val="000000" w:themeColor="text1"/>
          <w:sz w:val="24"/>
        </w:rPr>
        <w:t>. ERCP accuracy is lower than that of EUS and MRC, especially in cases of dilation of the CBDS and presence of small stones</w:t>
      </w:r>
      <w:r w:rsidRPr="00A03975">
        <w:rPr>
          <w:rFonts w:ascii="Book Antiqua" w:eastAsia="Book Antiqua" w:hAnsi="Book Antiqua" w:cs="Book Antiqua"/>
          <w:color w:val="000000" w:themeColor="text1"/>
          <w:sz w:val="24"/>
          <w:szCs w:val="30"/>
          <w:vertAlign w:val="superscript"/>
        </w:rPr>
        <w:t>[71]</w:t>
      </w:r>
      <w:r w:rsidRPr="00A03975">
        <w:rPr>
          <w:rFonts w:ascii="Book Antiqua" w:eastAsia="Book Antiqua" w:hAnsi="Book Antiqua" w:cs="Book Antiqua"/>
          <w:color w:val="000000" w:themeColor="text1"/>
          <w:sz w:val="24"/>
        </w:rPr>
        <w:t>. Furthermore, this procedure has a non-negligible morbidity and exposes the patient to X-rays and complications such as pancreatitis. The use of sphincterotomy during ERCP is therapeutic and mandatory in high-risk patients, but this procedure in untrained hands can increase morbidity and mortality, possibly causing duodenal perforation or haemobilia. Therefore, the use of ERCP is recommended in those patients with strong suspicion of choledocholiasis; in other cases, the use of EUS or MRC is preferable</w:t>
      </w:r>
      <w:r w:rsidRPr="00A03975">
        <w:rPr>
          <w:rFonts w:ascii="Book Antiqua" w:eastAsia="Book Antiqua" w:hAnsi="Book Antiqua" w:cs="Book Antiqua"/>
          <w:color w:val="000000" w:themeColor="text1"/>
          <w:sz w:val="24"/>
          <w:szCs w:val="30"/>
          <w:vertAlign w:val="superscript"/>
        </w:rPr>
        <w:t>[38]</w:t>
      </w:r>
      <w:r w:rsidRPr="00A03975">
        <w:rPr>
          <w:rFonts w:ascii="Book Antiqua" w:eastAsia="Book Antiqua" w:hAnsi="Book Antiqua" w:cs="Book Antiqua"/>
          <w:color w:val="000000" w:themeColor="text1"/>
          <w:sz w:val="24"/>
        </w:rPr>
        <w:t>. The increase of the laparoscopic approach for the treatment of patients with cholelithiasis, which has completely replaced open surgery, has revived the therapeutic role of ERCP. To date, for the management and treatment of cholecysto-choledocholithiasis, the most used approaches are in two sessions or in a single session, and in both cases the ERCP retains a fundamental role.</w:t>
      </w:r>
    </w:p>
    <w:p w14:paraId="38EE49BC"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A further refinement of the classic endoscopic procedures is represented by the endoscopic US, which uses an US probe mounted on the tip of an endoscope. EUS does not use ionizing radiation. In comparison to ERCP, it is more useful for stones smaller than 5 mm and has a complication rate between 0.1% and 0.3%</w:t>
      </w:r>
      <w:r w:rsidRPr="00A03975">
        <w:rPr>
          <w:rFonts w:ascii="Book Antiqua" w:eastAsia="Book Antiqua" w:hAnsi="Book Antiqua" w:cs="Book Antiqua"/>
          <w:color w:val="000000" w:themeColor="text1"/>
          <w:sz w:val="24"/>
          <w:szCs w:val="30"/>
          <w:vertAlign w:val="superscript"/>
        </w:rPr>
        <w:t>[38]</w:t>
      </w:r>
      <w:r w:rsidRPr="00A03975">
        <w:rPr>
          <w:rFonts w:ascii="Book Antiqua" w:eastAsia="Book Antiqua" w:hAnsi="Book Antiqua" w:cs="Book Antiqua"/>
          <w:color w:val="000000" w:themeColor="text1"/>
          <w:sz w:val="24"/>
        </w:rPr>
        <w:t xml:space="preserve">. EUS may not be adequate in patients undergoing gastric surgery, as the anatomical situation would be altered. Like transabdominal US, EUS is not limited by bowel gas, </w:t>
      </w:r>
      <w:r w:rsidRPr="00A03975">
        <w:rPr>
          <w:rFonts w:ascii="Book Antiqua" w:eastAsia="Book Antiqua" w:hAnsi="Book Antiqua" w:cs="Book Antiqua"/>
          <w:color w:val="000000" w:themeColor="text1"/>
          <w:sz w:val="24"/>
        </w:rPr>
        <w:lastRenderedPageBreak/>
        <w:t xml:space="preserve">but it is always an operator-dependent procedure. Giljaca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[72]</w:t>
      </w:r>
      <w:r w:rsidRPr="00A03975">
        <w:rPr>
          <w:rFonts w:ascii="Book Antiqua" w:eastAsia="Book Antiqua" w:hAnsi="Book Antiqua" w:cs="Book Antiqua"/>
          <w:color w:val="000000" w:themeColor="text1"/>
          <w:sz w:val="24"/>
        </w:rPr>
        <w:t xml:space="preserve"> in 2015 published the results of a systematic review, reporting high rates of diagnostic accuracy for both EUS and MRC for choledocholithiasis. The authors found a sensitivity of 95% and specificity of 97% for EUS, and a sensitivity of 93% and specificity of 96% for MRC. The choice between EUS and MRCP, for intermediate probability choledocholithiasis, is based on the resource availability, personal experience, and costs</w:t>
      </w:r>
      <w:r w:rsidRPr="00A03975">
        <w:rPr>
          <w:rFonts w:ascii="Book Antiqua" w:eastAsia="Book Antiqua" w:hAnsi="Book Antiqua" w:cs="Book Antiqua"/>
          <w:color w:val="000000" w:themeColor="text1"/>
          <w:sz w:val="24"/>
          <w:szCs w:val="30"/>
          <w:vertAlign w:val="superscript"/>
        </w:rPr>
        <w:t>[73]</w:t>
      </w:r>
      <w:r w:rsidRPr="00A03975">
        <w:rPr>
          <w:rFonts w:ascii="Book Antiqua" w:eastAsia="Book Antiqua" w:hAnsi="Book Antiqua" w:cs="Book Antiqua"/>
          <w:color w:val="000000" w:themeColor="text1"/>
          <w:sz w:val="24"/>
        </w:rPr>
        <w:t xml:space="preserve">. </w:t>
      </w:r>
    </w:p>
    <w:p w14:paraId="288F7170" w14:textId="77777777" w:rsidR="000A3E5C" w:rsidRPr="00A03975" w:rsidRDefault="000A3E5C">
      <w:pPr>
        <w:spacing w:line="360" w:lineRule="auto"/>
        <w:ind w:firstLine="720"/>
        <w:jc w:val="both"/>
        <w:rPr>
          <w:color w:val="000000" w:themeColor="text1"/>
        </w:rPr>
      </w:pPr>
    </w:p>
    <w:p w14:paraId="21FF9BBF"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aps/>
          <w:color w:val="000000" w:themeColor="text1"/>
          <w:sz w:val="24"/>
          <w:u w:val="single"/>
        </w:rPr>
        <w:t>INTRAOPERATIVE MANAGEMENT</w:t>
      </w:r>
    </w:p>
    <w:p w14:paraId="6606C1DB"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LC is confirmed as the gold standard for the treatment of symptomatic cholelithiasis</w:t>
      </w:r>
      <w:r w:rsidRPr="00A03975">
        <w:rPr>
          <w:rFonts w:ascii="Book Antiqua" w:eastAsia="Book Antiqua" w:hAnsi="Book Antiqua" w:cs="Book Antiqua"/>
          <w:color w:val="000000" w:themeColor="text1"/>
          <w:sz w:val="24"/>
          <w:szCs w:val="30"/>
          <w:vertAlign w:val="superscript"/>
        </w:rPr>
        <w:t>[12,13]</w:t>
      </w:r>
      <w:r w:rsidRPr="00A03975">
        <w:rPr>
          <w:rFonts w:ascii="Book Antiqua" w:eastAsia="Book Antiqua" w:hAnsi="Book Antiqua" w:cs="Book Antiqua"/>
          <w:color w:val="000000" w:themeColor="text1"/>
          <w:sz w:val="24"/>
        </w:rPr>
        <w:t xml:space="preserve">, but the therapeutic choice for CBDS is not clear. For the latter situation, the available strategies, conducted in a minimally invasive way, can be divided into two-session treatments and single-session treatments. The first category includes preoperative ERCP followed by LC, and LC followed by postoperative ERCP; the second category includes LC with LCBDE, and LC with intraoperative ERCP, also called the rendezvous technique. </w:t>
      </w:r>
    </w:p>
    <w:p w14:paraId="2C47D5BD" w14:textId="77777777" w:rsidR="000A3E5C" w:rsidRPr="00A03975" w:rsidRDefault="000A3E5C">
      <w:pPr>
        <w:spacing w:line="360" w:lineRule="auto"/>
        <w:jc w:val="both"/>
        <w:rPr>
          <w:color w:val="000000" w:themeColor="text1"/>
        </w:rPr>
      </w:pPr>
    </w:p>
    <w:p w14:paraId="5ADF6BB5"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i/>
          <w:iCs/>
          <w:color w:val="000000" w:themeColor="text1"/>
          <w:sz w:val="24"/>
        </w:rPr>
        <w:t>Two-session options</w:t>
      </w:r>
    </w:p>
    <w:p w14:paraId="4833D37F"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Preoperative ERCP followed by LC is the most frequently used treatment worldwide</w:t>
      </w:r>
      <w:r w:rsidRPr="00A03975">
        <w:rPr>
          <w:rFonts w:ascii="Book Antiqua" w:eastAsia="Book Antiqua" w:hAnsi="Book Antiqua" w:cs="Book Antiqua"/>
          <w:color w:val="000000" w:themeColor="text1"/>
          <w:sz w:val="24"/>
          <w:szCs w:val="30"/>
          <w:vertAlign w:val="superscript"/>
        </w:rPr>
        <w:t>[74]</w:t>
      </w:r>
      <w:r w:rsidRPr="00A03975">
        <w:rPr>
          <w:rFonts w:ascii="Book Antiqua" w:eastAsia="Book Antiqua" w:hAnsi="Book Antiqua" w:cs="Book Antiqua"/>
          <w:color w:val="000000" w:themeColor="text1"/>
          <w:sz w:val="24"/>
        </w:rPr>
        <w:t>. Various studies have shown that this two-session approach is safe and effective</w:t>
      </w:r>
      <w:r w:rsidRPr="00A03975">
        <w:rPr>
          <w:rFonts w:ascii="Book Antiqua" w:eastAsia="Book Antiqua" w:hAnsi="Book Antiqua" w:cs="Book Antiqua"/>
          <w:color w:val="000000" w:themeColor="text1"/>
          <w:sz w:val="24"/>
          <w:szCs w:val="30"/>
          <w:vertAlign w:val="superscript"/>
        </w:rPr>
        <w:t>[17,75,76]</w:t>
      </w:r>
      <w:r w:rsidRPr="00A03975">
        <w:rPr>
          <w:rFonts w:ascii="Book Antiqua" w:eastAsia="Book Antiqua" w:hAnsi="Book Antiqua" w:cs="Book Antiqua"/>
          <w:color w:val="000000" w:themeColor="text1"/>
          <w:sz w:val="24"/>
        </w:rPr>
        <w:t>. Its limits are represented by a percentage between 40% and 70% of negative results that expose patients to unnecessary and risky endoscopic manoeuvres</w:t>
      </w:r>
      <w:r w:rsidRPr="00A03975">
        <w:rPr>
          <w:rFonts w:ascii="Book Antiqua" w:eastAsia="Book Antiqua" w:hAnsi="Book Antiqua" w:cs="Book Antiqua"/>
          <w:color w:val="000000" w:themeColor="text1"/>
          <w:sz w:val="24"/>
          <w:szCs w:val="30"/>
          <w:vertAlign w:val="superscript"/>
        </w:rPr>
        <w:t>[77-79]</w:t>
      </w:r>
      <w:r w:rsidRPr="00A03975">
        <w:rPr>
          <w:rFonts w:ascii="Book Antiqua" w:eastAsia="Book Antiqua" w:hAnsi="Book Antiqua" w:cs="Book Antiqua"/>
          <w:color w:val="000000" w:themeColor="text1"/>
          <w:sz w:val="24"/>
        </w:rPr>
        <w:t>. The development of diagnostic techniques such as MRC and EUS have increased the anatomical visualization of the biliary tract and have showed a high sensitivity and specificity for preoperative diagnosis of CBDS, all without the aid of special instruments and with less invasive approaches</w:t>
      </w:r>
      <w:r w:rsidRPr="00A03975">
        <w:rPr>
          <w:rFonts w:ascii="Book Antiqua" w:eastAsia="Book Antiqua" w:hAnsi="Book Antiqua" w:cs="Book Antiqua"/>
          <w:color w:val="000000" w:themeColor="text1"/>
          <w:sz w:val="24"/>
          <w:szCs w:val="30"/>
          <w:vertAlign w:val="superscript"/>
        </w:rPr>
        <w:t>[80,81]</w:t>
      </w:r>
      <w:r w:rsidRPr="00A03975">
        <w:rPr>
          <w:rFonts w:ascii="Book Antiqua" w:eastAsia="Book Antiqua" w:hAnsi="Book Antiqua" w:cs="Book Antiqua"/>
          <w:color w:val="000000" w:themeColor="text1"/>
          <w:sz w:val="24"/>
        </w:rPr>
        <w:t xml:space="preserve">. Lefemine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[82]</w:t>
      </w:r>
      <w:r w:rsidRPr="00A03975">
        <w:rPr>
          <w:rFonts w:ascii="Book Antiqua" w:eastAsia="Book Antiqua" w:hAnsi="Book Antiqua" w:cs="Book Antiqua"/>
          <w:color w:val="000000" w:themeColor="text1"/>
          <w:sz w:val="24"/>
        </w:rPr>
        <w:t xml:space="preserve"> demonstrated that more than 50% of patients with CBDS have spontaneous passage of the stones, and 12.9% of patients already undergoing ERCP still had CBDSs during LC</w:t>
      </w:r>
      <w:r w:rsidRPr="00A03975">
        <w:rPr>
          <w:rFonts w:ascii="Book Antiqua" w:eastAsia="Book Antiqua" w:hAnsi="Book Antiqua" w:cs="Book Antiqua"/>
          <w:color w:val="000000" w:themeColor="text1"/>
          <w:sz w:val="24"/>
          <w:szCs w:val="30"/>
          <w:vertAlign w:val="superscript"/>
        </w:rPr>
        <w:t>[83]</w:t>
      </w:r>
      <w:r w:rsidRPr="00A03975">
        <w:rPr>
          <w:rFonts w:ascii="Book Antiqua" w:eastAsia="Book Antiqua" w:hAnsi="Book Antiqua" w:cs="Book Antiqua"/>
          <w:color w:val="000000" w:themeColor="text1"/>
          <w:sz w:val="24"/>
        </w:rPr>
        <w:t xml:space="preserve">. These events could be due to an ineffective ERCP or to a further migration of stones during the latency time between endoscopic and surgical intervention. Preoperative ERCP could increase the conversion rate from LC to open </w:t>
      </w:r>
      <w:r w:rsidRPr="00A03975">
        <w:rPr>
          <w:rFonts w:ascii="Book Antiqua" w:eastAsia="Book Antiqua" w:hAnsi="Book Antiqua" w:cs="Book Antiqua"/>
          <w:color w:val="000000" w:themeColor="text1"/>
          <w:sz w:val="24"/>
        </w:rPr>
        <w:lastRenderedPageBreak/>
        <w:t>surgery, prolong the operating times, and have higher morbidity. It should also be emphasized that the high morbidity mainly translates into postoperative infections and consequently a longer hospital stay</w:t>
      </w:r>
      <w:r w:rsidRPr="00A03975">
        <w:rPr>
          <w:rFonts w:ascii="Book Antiqua" w:eastAsia="Book Antiqua" w:hAnsi="Book Antiqua" w:cs="Book Antiqua"/>
          <w:color w:val="000000" w:themeColor="text1"/>
          <w:sz w:val="24"/>
          <w:szCs w:val="30"/>
          <w:vertAlign w:val="superscript"/>
        </w:rPr>
        <w:t>[84-86]</w:t>
      </w:r>
      <w:r w:rsidRPr="00A03975">
        <w:rPr>
          <w:rFonts w:ascii="Book Antiqua" w:eastAsia="Book Antiqua" w:hAnsi="Book Antiqua" w:cs="Book Antiqua"/>
          <w:color w:val="000000" w:themeColor="text1"/>
          <w:sz w:val="24"/>
        </w:rPr>
        <w:t>. Preoperative ERCP followed by LC often requires two rounds of anaesthesia and two hospitalizations, and in the time between the two procedures, some patients may escape LC, being satisfied by the results of the preoperative ERCP</w:t>
      </w:r>
      <w:r w:rsidRPr="00A03975">
        <w:rPr>
          <w:rFonts w:ascii="Book Antiqua" w:eastAsia="Book Antiqua" w:hAnsi="Book Antiqua" w:cs="Book Antiqua"/>
          <w:color w:val="000000" w:themeColor="text1"/>
          <w:sz w:val="24"/>
          <w:szCs w:val="30"/>
          <w:vertAlign w:val="superscript"/>
        </w:rPr>
        <w:t>[87,88]</w:t>
      </w:r>
      <w:r w:rsidRPr="00A03975">
        <w:rPr>
          <w:rFonts w:ascii="Book Antiqua" w:eastAsia="Book Antiqua" w:hAnsi="Book Antiqua" w:cs="Book Antiqua"/>
          <w:color w:val="000000" w:themeColor="text1"/>
          <w:sz w:val="24"/>
        </w:rPr>
        <w:t>. Therefore, for this treatment modality, it is a good rule not to delay the LC too much and also to avoid the occurrence of recurrent events</w:t>
      </w:r>
      <w:r w:rsidRPr="00A03975">
        <w:rPr>
          <w:rFonts w:ascii="Book Antiqua" w:eastAsia="Book Antiqua" w:hAnsi="Book Antiqua" w:cs="Book Antiqua"/>
          <w:color w:val="000000" w:themeColor="text1"/>
          <w:sz w:val="24"/>
          <w:szCs w:val="30"/>
          <w:vertAlign w:val="superscript"/>
        </w:rPr>
        <w:t>[89]</w:t>
      </w:r>
      <w:r w:rsidRPr="00A03975">
        <w:rPr>
          <w:rFonts w:ascii="Book Antiqua" w:eastAsia="Book Antiqua" w:hAnsi="Book Antiqua" w:cs="Book Antiqua"/>
          <w:color w:val="000000" w:themeColor="text1"/>
          <w:sz w:val="24"/>
        </w:rPr>
        <w:t xml:space="preserve">. </w:t>
      </w:r>
    </w:p>
    <w:p w14:paraId="074599B0"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Another option is LC followed later by postoperative ERCP. This technique is rarely performed as the first choice for the treatment of cholelithiasis with choledocholithiasis because in a low percentage of cases it fails the intended purpose. The failure may be due to the operator's lack of experience, the absence of a guide wire, and a site altered by the previous surgery for inflammatory phenomena. The negative result of the endoscopic treatment necessarily leads to surgery, which can be more demanding than if it had been performed before. The postoperative ERCP retains a role when the intraoperative laparoscopic exploration fails or if during a LC, the presence of CBDS is found with the impossibility of performing it intraoperatively. Obviously, also in this case, the patient is subjected to two rounds of anaesthesia, with possible increase in morbidity, lengthening of the hospital stay, and higher costs</w:t>
      </w:r>
      <w:r w:rsidRPr="00A03975">
        <w:rPr>
          <w:rFonts w:ascii="Book Antiqua" w:eastAsia="Book Antiqua" w:hAnsi="Book Antiqua" w:cs="Book Antiqua"/>
          <w:color w:val="000000" w:themeColor="text1"/>
          <w:sz w:val="24"/>
          <w:szCs w:val="30"/>
          <w:vertAlign w:val="superscript"/>
        </w:rPr>
        <w:t>[90,91]</w:t>
      </w:r>
      <w:r w:rsidRPr="00A03975">
        <w:rPr>
          <w:rFonts w:ascii="Book Antiqua" w:eastAsia="Book Antiqua" w:hAnsi="Book Antiqua" w:cs="Book Antiqua"/>
          <w:color w:val="000000" w:themeColor="text1"/>
          <w:sz w:val="24"/>
        </w:rPr>
        <w:t>.</w:t>
      </w:r>
    </w:p>
    <w:p w14:paraId="1425B3A8" w14:textId="77777777" w:rsidR="000A3E5C" w:rsidRPr="00A03975" w:rsidRDefault="000A3E5C">
      <w:pPr>
        <w:spacing w:line="360" w:lineRule="auto"/>
        <w:ind w:firstLine="720"/>
        <w:jc w:val="both"/>
        <w:rPr>
          <w:color w:val="000000" w:themeColor="text1"/>
        </w:rPr>
      </w:pPr>
    </w:p>
    <w:p w14:paraId="0569E8C9"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i/>
          <w:iCs/>
          <w:color w:val="000000" w:themeColor="text1"/>
          <w:sz w:val="24"/>
        </w:rPr>
        <w:t>One-session options</w:t>
      </w:r>
    </w:p>
    <w:p w14:paraId="4B1415B3"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One-session procedures have confirmed benefits now, both in suspected cases and in proven cases of CBDS. These procedures are believed to be efficient, safe, convenient, and well accepted by patients, as the two different pathological conditions are resolved in a single surgery with single anaesthesia</w:t>
      </w:r>
      <w:r w:rsidRPr="00A03975">
        <w:rPr>
          <w:rFonts w:ascii="Book Antiqua" w:eastAsia="Book Antiqua" w:hAnsi="Book Antiqua" w:cs="Book Antiqua"/>
          <w:color w:val="000000" w:themeColor="text1"/>
          <w:sz w:val="24"/>
          <w:szCs w:val="30"/>
          <w:vertAlign w:val="superscript"/>
        </w:rPr>
        <w:t>[92,93]</w:t>
      </w:r>
      <w:r w:rsidRPr="00A03975">
        <w:rPr>
          <w:rFonts w:ascii="Book Antiqua" w:eastAsia="Book Antiqua" w:hAnsi="Book Antiqua" w:cs="Book Antiqua"/>
          <w:color w:val="000000" w:themeColor="text1"/>
          <w:sz w:val="24"/>
        </w:rPr>
        <w:t>. Regarding laparoscopic exploration of the CBD (Figure 1), some authors have described stone removal rates ranging from 94% to 98%, low morbidity, and a mortality rate of 0%</w:t>
      </w:r>
      <w:r w:rsidRPr="00A03975">
        <w:rPr>
          <w:rFonts w:ascii="Book Antiqua" w:eastAsia="Book Antiqua" w:hAnsi="Book Antiqua" w:cs="Book Antiqua"/>
          <w:color w:val="000000" w:themeColor="text1"/>
          <w:sz w:val="24"/>
          <w:szCs w:val="30"/>
          <w:vertAlign w:val="superscript"/>
        </w:rPr>
        <w:t>[94,95]</w:t>
      </w:r>
      <w:r w:rsidRPr="00A03975">
        <w:rPr>
          <w:rFonts w:ascii="Book Antiqua" w:eastAsia="Book Antiqua" w:hAnsi="Book Antiqua" w:cs="Book Antiqua"/>
          <w:color w:val="000000" w:themeColor="text1"/>
          <w:sz w:val="24"/>
        </w:rPr>
        <w:t xml:space="preserve">. Through laparoscopic exploration, negative events that can occur during endoscopic sphincterotomy, such as pancreatitis, perforation, bleeding, cholangitis, and malignancies of the CBD, are avoided. However, this technique has some drawbacks. </w:t>
      </w:r>
    </w:p>
    <w:p w14:paraId="5C915416"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lastRenderedPageBreak/>
        <w:t>First, the procedure requires high-level skills in laparoscopic surgery with long learning curves and there is a need for dedicated instruments; it is understandable that these qualities may not be present in all treatment centres</w:t>
      </w:r>
      <w:r w:rsidRPr="00A03975">
        <w:rPr>
          <w:rFonts w:ascii="Book Antiqua" w:eastAsia="Book Antiqua" w:hAnsi="Book Antiqua" w:cs="Book Antiqua"/>
          <w:color w:val="000000" w:themeColor="text1"/>
          <w:sz w:val="24"/>
          <w:szCs w:val="30"/>
          <w:vertAlign w:val="superscript"/>
        </w:rPr>
        <w:t>[96]</w:t>
      </w:r>
      <w:r w:rsidRPr="00A03975">
        <w:rPr>
          <w:rFonts w:ascii="Book Antiqua" w:eastAsia="Book Antiqua" w:hAnsi="Book Antiqua" w:cs="Book Antiqua"/>
          <w:color w:val="000000" w:themeColor="text1"/>
          <w:sz w:val="24"/>
        </w:rPr>
        <w:t>. Many surgeons prefer the transcystic approach, which is considered less invasive and less complicated; however, choledochotomy is recommended in cases of dilated CBD, large diameter or multiple stones, impacted stones, and stones with intrahepatic localization</w:t>
      </w:r>
      <w:r w:rsidRPr="00A03975">
        <w:rPr>
          <w:rFonts w:ascii="Book Antiqua" w:eastAsia="Book Antiqua" w:hAnsi="Book Antiqua" w:cs="Book Antiqua"/>
          <w:color w:val="000000" w:themeColor="text1"/>
          <w:sz w:val="24"/>
          <w:szCs w:val="30"/>
          <w:vertAlign w:val="superscript"/>
        </w:rPr>
        <w:t>[97-99]</w:t>
      </w:r>
      <w:r w:rsidRPr="00A03975">
        <w:rPr>
          <w:rFonts w:ascii="Book Antiqua" w:eastAsia="Book Antiqua" w:hAnsi="Book Antiqua" w:cs="Book Antiqua"/>
          <w:color w:val="000000" w:themeColor="text1"/>
          <w:sz w:val="24"/>
        </w:rPr>
        <w:t>. The transcystic exploration route is often more challenging, due to a small diameter and tortuous and low-base implant duct. We can affirm that it is logical to start transcystically but in case of difficulty to move on to exploration through choledochotomy</w:t>
      </w:r>
      <w:r w:rsidRPr="00A03975">
        <w:rPr>
          <w:rFonts w:ascii="Book Antiqua" w:eastAsia="Book Antiqua" w:hAnsi="Book Antiqua" w:cs="Book Antiqua"/>
          <w:color w:val="000000" w:themeColor="text1"/>
          <w:sz w:val="24"/>
          <w:szCs w:val="30"/>
          <w:vertAlign w:val="superscript"/>
        </w:rPr>
        <w:t>[100,101]</w:t>
      </w:r>
      <w:r w:rsidRPr="00A03975">
        <w:rPr>
          <w:rFonts w:ascii="Book Antiqua" w:eastAsia="Book Antiqua" w:hAnsi="Book Antiqua" w:cs="Book Antiqua"/>
          <w:color w:val="000000" w:themeColor="text1"/>
          <w:sz w:val="24"/>
        </w:rPr>
        <w:t xml:space="preserve">. During laparoscopic exploration, stone removal can be guided fluoroscopically or by choledochoscopy. The use of a flexible choledochoscope is the most preferred because it increases precision and is under direct visual control. The choledochoscope also presents some criticalities; first of all, it is a fragile instrument that can break during the procedure, thereafter needing a double monitor for laparoscopic and choledochoscopic viewing and causing an increase in costs. Fluoroscopic guidance exposes the patient to radiation, increases the length of the procedure, and requires instrumentation that can hinder the operator's movements. In this regard, Topal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 xml:space="preserve">[102] </w:t>
      </w:r>
      <w:r w:rsidRPr="00A03975">
        <w:rPr>
          <w:rFonts w:ascii="Book Antiqua" w:eastAsia="Book Antiqua" w:hAnsi="Book Antiqua" w:cs="Book Antiqua"/>
          <w:color w:val="000000" w:themeColor="text1"/>
          <w:sz w:val="24"/>
        </w:rPr>
        <w:t xml:space="preserve">in 2007 compared the two procedures; the results showed a difference in the duration of the surgical time, being shorter in the group of patients treated with a flexible choledochoscope. </w:t>
      </w:r>
    </w:p>
    <w:p w14:paraId="4E53A496"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After the choledochotomy, the closure of the CBD can be performed directly or with the positioning of the T-tube endoprosthesis</w:t>
      </w:r>
      <w:r w:rsidRPr="00A03975">
        <w:rPr>
          <w:rFonts w:ascii="Book Antiqua" w:eastAsia="Book Antiqua" w:hAnsi="Book Antiqua" w:cs="Book Antiqua"/>
          <w:color w:val="000000" w:themeColor="text1"/>
          <w:sz w:val="24"/>
          <w:szCs w:val="30"/>
          <w:vertAlign w:val="superscript"/>
        </w:rPr>
        <w:t>[103,104]</w:t>
      </w:r>
      <w:r w:rsidRPr="00A03975">
        <w:rPr>
          <w:rFonts w:ascii="Book Antiqua" w:eastAsia="Book Antiqua" w:hAnsi="Book Antiqua" w:cs="Book Antiqua"/>
          <w:color w:val="000000" w:themeColor="text1"/>
          <w:sz w:val="24"/>
        </w:rPr>
        <w:t>. The T-tube provides easy percutaneous access for cholangiography and extraction of preserved stones</w:t>
      </w:r>
      <w:r w:rsidRPr="00A03975">
        <w:rPr>
          <w:rFonts w:ascii="Book Antiqua" w:eastAsia="Book Antiqua" w:hAnsi="Book Antiqua" w:cs="Book Antiqua"/>
          <w:color w:val="000000" w:themeColor="text1"/>
          <w:sz w:val="24"/>
          <w:szCs w:val="30"/>
          <w:vertAlign w:val="superscript"/>
        </w:rPr>
        <w:t>[105]</w:t>
      </w:r>
      <w:r w:rsidRPr="00A03975">
        <w:rPr>
          <w:rFonts w:ascii="Book Antiqua" w:eastAsia="Book Antiqua" w:hAnsi="Book Antiqua" w:cs="Book Antiqua"/>
          <w:color w:val="000000" w:themeColor="text1"/>
          <w:sz w:val="24"/>
        </w:rPr>
        <w:t>. However, the T-tube can accidentally detach, promoting CBD obstruction, bile loss, persistent biliary fistulas and skin abrasions, cholangitis from exogenous sources through the T-tube, and dehydration and salt depletion</w:t>
      </w:r>
      <w:r w:rsidRPr="00A03975">
        <w:rPr>
          <w:rFonts w:ascii="Book Antiqua" w:eastAsia="Book Antiqua" w:hAnsi="Book Antiqua" w:cs="Book Antiqua"/>
          <w:color w:val="000000" w:themeColor="text1"/>
          <w:sz w:val="24"/>
          <w:szCs w:val="30"/>
          <w:vertAlign w:val="superscript"/>
        </w:rPr>
        <w:t>[106-109]</w:t>
      </w:r>
      <w:r w:rsidRPr="00A03975">
        <w:rPr>
          <w:rFonts w:ascii="Book Antiqua" w:eastAsia="Book Antiqua" w:hAnsi="Book Antiqua" w:cs="Book Antiqua"/>
          <w:color w:val="000000" w:themeColor="text1"/>
          <w:sz w:val="24"/>
        </w:rPr>
        <w:t>. The T-tube also requires long and continuous management, limiting the patient's quality of life</w:t>
      </w:r>
      <w:r w:rsidRPr="00A03975">
        <w:rPr>
          <w:rFonts w:ascii="Book Antiqua" w:eastAsia="Book Antiqua" w:hAnsi="Book Antiqua" w:cs="Book Antiqua"/>
          <w:color w:val="000000" w:themeColor="text1"/>
          <w:sz w:val="24"/>
          <w:szCs w:val="30"/>
          <w:vertAlign w:val="superscript"/>
        </w:rPr>
        <w:t>[110]</w:t>
      </w:r>
      <w:r w:rsidRPr="00A03975">
        <w:rPr>
          <w:rFonts w:ascii="Book Antiqua" w:eastAsia="Book Antiqua" w:hAnsi="Book Antiqua" w:cs="Book Antiqua"/>
          <w:color w:val="000000" w:themeColor="text1"/>
          <w:sz w:val="24"/>
        </w:rPr>
        <w:t>. Some authors have concluded that primary closure is preferred over T-tube placement, as the latter increases operative time and hospital stay</w:t>
      </w:r>
      <w:r w:rsidRPr="00A03975">
        <w:rPr>
          <w:rFonts w:ascii="Book Antiqua" w:eastAsia="Book Antiqua" w:hAnsi="Book Antiqua" w:cs="Book Antiqua"/>
          <w:color w:val="000000" w:themeColor="text1"/>
          <w:sz w:val="24"/>
          <w:szCs w:val="30"/>
          <w:vertAlign w:val="superscript"/>
        </w:rPr>
        <w:t>[111]</w:t>
      </w:r>
      <w:r w:rsidRPr="00A03975">
        <w:rPr>
          <w:rFonts w:ascii="Book Antiqua" w:eastAsia="Book Antiqua" w:hAnsi="Book Antiqua" w:cs="Book Antiqua"/>
          <w:color w:val="000000" w:themeColor="text1"/>
          <w:sz w:val="24"/>
        </w:rPr>
        <w:t>. The most common complications of this technique are CBD tearing, leakage of bile, stitched T-tubes, and the formation of strictures</w:t>
      </w:r>
      <w:r w:rsidRPr="00A03975">
        <w:rPr>
          <w:rFonts w:ascii="Book Antiqua" w:eastAsia="Book Antiqua" w:hAnsi="Book Antiqua" w:cs="Book Antiqua"/>
          <w:color w:val="000000" w:themeColor="text1"/>
          <w:sz w:val="24"/>
          <w:szCs w:val="30"/>
          <w:vertAlign w:val="superscript"/>
        </w:rPr>
        <w:t>[99]</w:t>
      </w:r>
      <w:r w:rsidRPr="00A03975">
        <w:rPr>
          <w:rFonts w:ascii="Book Antiqua" w:eastAsia="Book Antiqua" w:hAnsi="Book Antiqua" w:cs="Book Antiqua"/>
          <w:color w:val="000000" w:themeColor="text1"/>
          <w:sz w:val="24"/>
        </w:rPr>
        <w:t xml:space="preserve">. The results of three recent studies did not </w:t>
      </w:r>
      <w:r w:rsidRPr="00A03975">
        <w:rPr>
          <w:rFonts w:ascii="Book Antiqua" w:eastAsia="Book Antiqua" w:hAnsi="Book Antiqua" w:cs="Book Antiqua"/>
          <w:color w:val="000000" w:themeColor="text1"/>
          <w:sz w:val="24"/>
        </w:rPr>
        <w:lastRenderedPageBreak/>
        <w:t>show biliary strictures, and approximately 640 patients were observed undergoing LCBDE with an average follow-up of more than 3 years</w:t>
      </w:r>
      <w:r w:rsidRPr="00A03975">
        <w:rPr>
          <w:rFonts w:ascii="Book Antiqua" w:eastAsia="Book Antiqua" w:hAnsi="Book Antiqua" w:cs="Book Antiqua"/>
          <w:color w:val="000000" w:themeColor="text1"/>
          <w:sz w:val="24"/>
          <w:szCs w:val="30"/>
          <w:vertAlign w:val="superscript"/>
        </w:rPr>
        <w:t>[112-114]</w:t>
      </w:r>
      <w:r w:rsidRPr="00A03975">
        <w:rPr>
          <w:rFonts w:ascii="Book Antiqua" w:eastAsia="Book Antiqua" w:hAnsi="Book Antiqua" w:cs="Book Antiqua"/>
          <w:color w:val="000000" w:themeColor="text1"/>
          <w:sz w:val="24"/>
        </w:rPr>
        <w:t>. LCBDE for the treatment of primary choledocholithiasis showed a high rate of stone recurrence (36.4%-41.7%)</w:t>
      </w:r>
      <w:r w:rsidRPr="00A03975">
        <w:rPr>
          <w:rFonts w:ascii="Book Antiqua" w:eastAsia="Book Antiqua" w:hAnsi="Book Antiqua" w:cs="Book Antiqua"/>
          <w:color w:val="000000" w:themeColor="text1"/>
          <w:sz w:val="24"/>
          <w:szCs w:val="30"/>
          <w:vertAlign w:val="superscript"/>
        </w:rPr>
        <w:t>[115,116]</w:t>
      </w:r>
      <w:r w:rsidRPr="00A03975">
        <w:rPr>
          <w:rFonts w:ascii="Book Antiqua" w:eastAsia="Book Antiqua" w:hAnsi="Book Antiqua" w:cs="Book Antiqua"/>
          <w:color w:val="000000" w:themeColor="text1"/>
          <w:sz w:val="24"/>
        </w:rPr>
        <w:t>, possibly because it does not affect the biliary tract structure and lithogenic environment</w:t>
      </w:r>
      <w:r w:rsidRPr="00A03975">
        <w:rPr>
          <w:rFonts w:ascii="Book Antiqua" w:eastAsia="Book Antiqua" w:hAnsi="Book Antiqua" w:cs="Book Antiqua"/>
          <w:color w:val="000000" w:themeColor="text1"/>
          <w:sz w:val="24"/>
          <w:szCs w:val="30"/>
          <w:vertAlign w:val="superscript"/>
        </w:rPr>
        <w:t>[117]</w:t>
      </w:r>
      <w:r w:rsidRPr="00A03975">
        <w:rPr>
          <w:rFonts w:ascii="Book Antiqua" w:eastAsia="Book Antiqua" w:hAnsi="Book Antiqua" w:cs="Book Antiqua"/>
          <w:color w:val="000000" w:themeColor="text1"/>
          <w:sz w:val="24"/>
        </w:rPr>
        <w:t>. Endoscopic and surgical techniques for extracting these stones are equally valid in terms of efficacy, morbidity, or mortality</w:t>
      </w:r>
      <w:r w:rsidRPr="00A03975">
        <w:rPr>
          <w:rFonts w:ascii="Book Antiqua" w:eastAsia="Book Antiqua" w:hAnsi="Book Antiqua" w:cs="Book Antiqua"/>
          <w:color w:val="000000" w:themeColor="text1"/>
          <w:sz w:val="24"/>
          <w:szCs w:val="30"/>
          <w:vertAlign w:val="superscript"/>
        </w:rPr>
        <w:t>[5]</w:t>
      </w:r>
      <w:r w:rsidRPr="00A03975">
        <w:rPr>
          <w:rFonts w:ascii="Book Antiqua" w:eastAsia="Book Antiqua" w:hAnsi="Book Antiqua" w:cs="Book Antiqua"/>
          <w:color w:val="000000" w:themeColor="text1"/>
          <w:sz w:val="24"/>
        </w:rPr>
        <w:t>. However, endoscopic sphincterotomy may leave a higher incidence of retained stones (16%) compared to the surgical approach (6%)</w:t>
      </w:r>
      <w:r w:rsidRPr="00A03975">
        <w:rPr>
          <w:rFonts w:ascii="Book Antiqua" w:eastAsia="Book Antiqua" w:hAnsi="Book Antiqua" w:cs="Book Antiqua"/>
          <w:color w:val="000000" w:themeColor="text1"/>
          <w:sz w:val="24"/>
          <w:szCs w:val="30"/>
          <w:vertAlign w:val="superscript"/>
        </w:rPr>
        <w:t>[31]</w:t>
      </w:r>
      <w:r w:rsidRPr="00A03975">
        <w:rPr>
          <w:rFonts w:ascii="Book Antiqua" w:eastAsia="Book Antiqua" w:hAnsi="Book Antiqua" w:cs="Book Antiqua"/>
          <w:color w:val="000000" w:themeColor="text1"/>
          <w:sz w:val="24"/>
        </w:rPr>
        <w:t>. Currently, endoscopic sphincterotomy or endoscopic papillary balloon dilation represent the first-line treatment for initial primary choledocholithiasis, while the LCBDE should be performed for large stones, keeping the sphincter of Oddi intact.</w:t>
      </w:r>
    </w:p>
    <w:p w14:paraId="79DDEB1A"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Another single-session minimally invasive procedure for the treatment of cholecysto-choledocholithiasis is ERCP during the LC, also called the rendezvous technique (Figure 2). This approach was found by many experts to be safe and effective</w:t>
      </w:r>
      <w:r w:rsidRPr="00A03975">
        <w:rPr>
          <w:rFonts w:ascii="Book Antiqua" w:eastAsia="Book Antiqua" w:hAnsi="Book Antiqua" w:cs="Book Antiqua"/>
          <w:color w:val="000000" w:themeColor="text1"/>
          <w:sz w:val="24"/>
          <w:szCs w:val="30"/>
          <w:vertAlign w:val="superscript"/>
        </w:rPr>
        <w:t>[77,118-120]</w:t>
      </w:r>
      <w:r w:rsidRPr="00A03975">
        <w:rPr>
          <w:rFonts w:ascii="Book Antiqua" w:eastAsia="Book Antiqua" w:hAnsi="Book Antiqua" w:cs="Book Antiqua"/>
          <w:color w:val="000000" w:themeColor="text1"/>
          <w:sz w:val="24"/>
        </w:rPr>
        <w:t>, and to require single hospitalization and single anaesthesia. For the exploration and extraction of the stones, the CBD is not opened, postoperative ERCP is avoided, and in case of extraction failure, surgical exploration is carried out during the same operation, with cost reduction. Despite these benefits, the procedure is not widespread, probably because operative endoscopy is not present in all treatment centres, and often when this exists, there is no expert operator. Intraoperative ERCP can be conducted in several ways. One of these is that after catheterization of the cystic duct, cholangiography is performed and in the event of a positive result, ERCP is performed and subsequently the LC is completed</w:t>
      </w:r>
      <w:r w:rsidRPr="00A03975">
        <w:rPr>
          <w:rFonts w:ascii="Book Antiqua" w:eastAsia="Book Antiqua" w:hAnsi="Book Antiqua" w:cs="Book Antiqua"/>
          <w:color w:val="000000" w:themeColor="text1"/>
          <w:sz w:val="24"/>
          <w:szCs w:val="30"/>
          <w:vertAlign w:val="superscript"/>
        </w:rPr>
        <w:t>[121]</w:t>
      </w:r>
      <w:r w:rsidRPr="00A03975">
        <w:rPr>
          <w:rFonts w:ascii="Book Antiqua" w:eastAsia="Book Antiqua" w:hAnsi="Book Antiqua" w:cs="Book Antiqua"/>
          <w:color w:val="000000" w:themeColor="text1"/>
          <w:sz w:val="24"/>
        </w:rPr>
        <w:t>. Some authors have proposed performing LC as a first step and then intraoperative ERCP</w:t>
      </w:r>
      <w:r w:rsidRPr="00A03975">
        <w:rPr>
          <w:rFonts w:ascii="Book Antiqua" w:eastAsia="Book Antiqua" w:hAnsi="Book Antiqua" w:cs="Book Antiqua"/>
          <w:color w:val="000000" w:themeColor="text1"/>
          <w:sz w:val="24"/>
          <w:szCs w:val="30"/>
          <w:vertAlign w:val="superscript"/>
        </w:rPr>
        <w:t>[122]</w:t>
      </w:r>
      <w:r w:rsidRPr="00A03975">
        <w:rPr>
          <w:rFonts w:ascii="Book Antiqua" w:eastAsia="Book Antiqua" w:hAnsi="Book Antiqua" w:cs="Book Antiqua"/>
          <w:color w:val="000000" w:themeColor="text1"/>
          <w:sz w:val="24"/>
        </w:rPr>
        <w:t xml:space="preserve">. Cavina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[123]</w:t>
      </w:r>
      <w:r w:rsidRPr="00A03975">
        <w:rPr>
          <w:rFonts w:ascii="Book Antiqua" w:eastAsia="Book Antiqua" w:hAnsi="Book Antiqua" w:cs="Book Antiqua"/>
          <w:color w:val="000000" w:themeColor="text1"/>
          <w:sz w:val="24"/>
        </w:rPr>
        <w:t xml:space="preserve"> in 1998 proposed the rendezvous technique, a combined laparo-endoscopic approach which, due to its simplicity, has been widely used as a single-session treatment. A guide wire is introduced through the cystic duct and out the ampulla of Vater into the duodenum. Using side-viewing duodenoscope, the protruding guide wire is grasped by a snare or basket and a standard sphincterotome is threaded over it to facilitate endoscopic sphincterotomy and/or stone removal. </w:t>
      </w:r>
    </w:p>
    <w:p w14:paraId="519131C4"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lastRenderedPageBreak/>
        <w:t>Other authors have proposed further variations to the rendezvous technique</w:t>
      </w:r>
      <w:r w:rsidRPr="00A03975">
        <w:rPr>
          <w:rFonts w:ascii="Book Antiqua" w:eastAsia="Book Antiqua" w:hAnsi="Book Antiqua" w:cs="Book Antiqua"/>
          <w:color w:val="000000" w:themeColor="text1"/>
          <w:sz w:val="24"/>
          <w:szCs w:val="30"/>
          <w:vertAlign w:val="superscript"/>
        </w:rPr>
        <w:t>[124]</w:t>
      </w:r>
      <w:r w:rsidRPr="00A03975">
        <w:rPr>
          <w:rFonts w:ascii="Book Antiqua" w:eastAsia="Book Antiqua" w:hAnsi="Book Antiqua" w:cs="Book Antiqua"/>
          <w:color w:val="000000" w:themeColor="text1"/>
          <w:sz w:val="24"/>
        </w:rPr>
        <w:t>. In one, after the endoscopic sphincterotome is passed over the guide wire through the papilla, an endoscopic sphincterotomy is performed under the direct vision of a simultaneously positioned duodenoscope. The rendezvous technique compared to classical ERCP has shown advantages in cannulation in the supine position and lower incidence of postprocedural pancreatitis</w:t>
      </w:r>
      <w:r w:rsidRPr="00A03975">
        <w:rPr>
          <w:rFonts w:ascii="Book Antiqua" w:eastAsia="Book Antiqua" w:hAnsi="Book Antiqua" w:cs="Book Antiqua"/>
          <w:color w:val="000000" w:themeColor="text1"/>
          <w:sz w:val="24"/>
          <w:szCs w:val="30"/>
          <w:vertAlign w:val="superscript"/>
        </w:rPr>
        <w:t>[125]</w:t>
      </w:r>
      <w:r w:rsidRPr="00A03975">
        <w:rPr>
          <w:rFonts w:ascii="Book Antiqua" w:eastAsia="Book Antiqua" w:hAnsi="Book Antiqua" w:cs="Book Antiqua"/>
          <w:color w:val="000000" w:themeColor="text1"/>
          <w:sz w:val="24"/>
        </w:rPr>
        <w:t>. The explanation for these results is that during classical ERCP, contrast medium is injected and often inadvertently cannulated into the pancreatic duct</w:t>
      </w:r>
      <w:r w:rsidRPr="00A03975">
        <w:rPr>
          <w:rFonts w:ascii="Book Antiqua" w:eastAsia="Book Antiqua" w:hAnsi="Book Antiqua" w:cs="Book Antiqua"/>
          <w:color w:val="000000" w:themeColor="text1"/>
          <w:sz w:val="24"/>
          <w:szCs w:val="30"/>
          <w:vertAlign w:val="superscript"/>
        </w:rPr>
        <w:t>[126,127]</w:t>
      </w:r>
      <w:r w:rsidRPr="00A03975">
        <w:rPr>
          <w:rFonts w:ascii="Book Antiqua" w:eastAsia="Book Antiqua" w:hAnsi="Book Antiqua" w:cs="Book Antiqua"/>
          <w:color w:val="000000" w:themeColor="text1"/>
          <w:sz w:val="24"/>
        </w:rPr>
        <w:t>. However, problems can occur during the rendezvous technique. The insertion of the guide wire may not be easy, due to the valves present in the cystic duct; inside the CBD, it can twist, due to the presence of impacted stones, and can not enter the papilla. During the ERCP, due to the insufflation of air, the bowel can stretch and cause difficulties for the LC. In expert hands, these obstacles can be overcome; the use of an atraumatic laparoscope has been proposed for a clamp positioned on the first jejunal loop or a bowel desufflator</w:t>
      </w:r>
      <w:r w:rsidRPr="00A03975">
        <w:rPr>
          <w:rFonts w:ascii="Book Antiqua" w:eastAsia="Book Antiqua" w:hAnsi="Book Antiqua" w:cs="Book Antiqua"/>
          <w:color w:val="000000" w:themeColor="text1"/>
          <w:sz w:val="24"/>
          <w:szCs w:val="30"/>
          <w:vertAlign w:val="superscript"/>
        </w:rPr>
        <w:t>[128,129]</w:t>
      </w:r>
      <w:r w:rsidRPr="00A03975">
        <w:rPr>
          <w:rFonts w:ascii="Book Antiqua" w:eastAsia="Book Antiqua" w:hAnsi="Book Antiqua" w:cs="Book Antiqua"/>
          <w:color w:val="000000" w:themeColor="text1"/>
          <w:sz w:val="24"/>
        </w:rPr>
        <w:t>, as well as to completely dissect the Calot triangle and the attachment between the liver and gallbladder or to even remove the gallbladder from the liver bed until the last centimetres are left at the fundus before the starting of the endoscopic phase</w:t>
      </w:r>
      <w:r w:rsidRPr="00A03975">
        <w:rPr>
          <w:rFonts w:ascii="Book Antiqua" w:eastAsia="Book Antiqua" w:hAnsi="Book Antiqua" w:cs="Book Antiqua"/>
          <w:color w:val="000000" w:themeColor="text1"/>
          <w:sz w:val="24"/>
          <w:szCs w:val="30"/>
          <w:vertAlign w:val="superscript"/>
        </w:rPr>
        <w:t>[130]</w:t>
      </w:r>
      <w:r w:rsidRPr="00A03975">
        <w:rPr>
          <w:rFonts w:ascii="Book Antiqua" w:eastAsia="Book Antiqua" w:hAnsi="Book Antiqua" w:cs="Book Antiqua"/>
          <w:color w:val="000000" w:themeColor="text1"/>
          <w:sz w:val="24"/>
        </w:rPr>
        <w:t>.</w:t>
      </w:r>
    </w:p>
    <w:p w14:paraId="4A2F06A4"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 xml:space="preserve">There are no definitive indications and contraindications in the literature for two-session or one-session treatment. It is clear that, in those centres that have technical and human resources available, all patients with cholelithiasis and concomitant choledocholithiasis can be treated </w:t>
      </w:r>
      <w:r w:rsidRPr="00A03975">
        <w:rPr>
          <w:rFonts w:ascii="Book Antiqua" w:eastAsia="宋体" w:hAnsi="Book Antiqua" w:cs="Book Antiqua" w:hint="eastAsia"/>
          <w:i/>
          <w:iCs/>
          <w:color w:val="000000" w:themeColor="text1"/>
          <w:sz w:val="24"/>
          <w:lang w:val="en-US" w:eastAsia="zh-CN"/>
        </w:rPr>
        <w:t>via</w:t>
      </w:r>
      <w:r w:rsidRPr="00A03975">
        <w:rPr>
          <w:rFonts w:ascii="Book Antiqua" w:eastAsia="Book Antiqua" w:hAnsi="Book Antiqua" w:cs="Book Antiqua"/>
          <w:color w:val="000000" w:themeColor="text1"/>
          <w:sz w:val="24"/>
        </w:rPr>
        <w:t xml:space="preserve"> a one-session approach. La Greca </w:t>
      </w:r>
      <w:r w:rsidRPr="00A03975">
        <w:rPr>
          <w:rFonts w:ascii="Book Antiqua" w:eastAsia="Book Antiqua" w:hAnsi="Book Antiqua" w:cs="Book Antiqua"/>
          <w:i/>
          <w:iCs/>
          <w:color w:val="000000" w:themeColor="text1"/>
          <w:sz w:val="24"/>
        </w:rPr>
        <w:t>et al</w:t>
      </w:r>
      <w:r w:rsidRPr="00A03975">
        <w:rPr>
          <w:rFonts w:ascii="Book Antiqua" w:eastAsia="Book Antiqua" w:hAnsi="Book Antiqua" w:cs="Book Antiqua"/>
          <w:color w:val="000000" w:themeColor="text1"/>
          <w:sz w:val="24"/>
          <w:szCs w:val="30"/>
          <w:vertAlign w:val="superscript"/>
        </w:rPr>
        <w:t>[131]</w:t>
      </w:r>
      <w:r w:rsidRPr="00A03975">
        <w:rPr>
          <w:rFonts w:ascii="Book Antiqua" w:eastAsia="Book Antiqua" w:hAnsi="Book Antiqua" w:cs="Book Antiqua"/>
          <w:color w:val="000000" w:themeColor="text1"/>
          <w:sz w:val="24"/>
        </w:rPr>
        <w:t xml:space="preserve"> in 2008, after observing 80 consecutive patients affected by cholecystolithiasis and diagnosed or suspected CBDSs treated by the rendezvous technique, evaluated the factors that suggest the preference of the rendezvous technique over other treatments (laparoscopic CBD exploration and sequential ERCP-endoscopic sphincterotomy, commonly referred to as ERCP-ES) (Table 1)</w:t>
      </w:r>
      <w:r w:rsidRPr="00A03975">
        <w:rPr>
          <w:rFonts w:ascii="Book Antiqua" w:eastAsia="Book Antiqua" w:hAnsi="Book Antiqua" w:cs="Book Antiqua"/>
          <w:color w:val="000000" w:themeColor="text1"/>
          <w:sz w:val="24"/>
          <w:szCs w:val="30"/>
          <w:vertAlign w:val="superscript"/>
        </w:rPr>
        <w:t>[131]</w:t>
      </w:r>
      <w:r w:rsidRPr="00A03975">
        <w:rPr>
          <w:rFonts w:ascii="Book Antiqua" w:eastAsia="Book Antiqua" w:hAnsi="Book Antiqua" w:cs="Book Antiqua"/>
          <w:color w:val="000000" w:themeColor="text1"/>
          <w:sz w:val="24"/>
        </w:rPr>
        <w:t xml:space="preserve">. On the other end, the advantages and disadvantages of one-session compared to two-session are clearer. The first procedure is associated with a shorter hospital stay, fewer procedures, and less cost, but local resources and expertise must be present. Other factors that can influence its choice are patient fitness, clinical presentation, timing of </w:t>
      </w:r>
      <w:r w:rsidRPr="00A03975">
        <w:rPr>
          <w:rFonts w:ascii="Book Antiqua" w:eastAsia="Book Antiqua" w:hAnsi="Book Antiqua" w:cs="Book Antiqua"/>
          <w:color w:val="000000" w:themeColor="text1"/>
          <w:sz w:val="24"/>
        </w:rPr>
        <w:lastRenderedPageBreak/>
        <w:t>CBDS diagnosis (preoperative or intraoperative), and the surgical pathology. Finally, patients with acute biliary pancreatitis and septic shock from cholangitis are not ideal candidates for the one-session option, and could benefit from two-session</w:t>
      </w:r>
      <w:r w:rsidRPr="00A03975">
        <w:rPr>
          <w:rFonts w:ascii="Book Antiqua" w:eastAsia="Book Antiqua" w:hAnsi="Book Antiqua" w:cs="Book Antiqua"/>
          <w:color w:val="000000" w:themeColor="text1"/>
          <w:sz w:val="24"/>
          <w:szCs w:val="30"/>
          <w:vertAlign w:val="superscript"/>
        </w:rPr>
        <w:t>[132,133]</w:t>
      </w:r>
      <w:r w:rsidRPr="00A03975">
        <w:rPr>
          <w:rFonts w:ascii="Book Antiqua" w:eastAsia="Book Antiqua" w:hAnsi="Book Antiqua" w:cs="Book Antiqua"/>
          <w:color w:val="000000" w:themeColor="text1"/>
          <w:sz w:val="24"/>
        </w:rPr>
        <w:t>.</w:t>
      </w:r>
    </w:p>
    <w:p w14:paraId="091EA4A3" w14:textId="77777777" w:rsidR="000A3E5C" w:rsidRPr="00A03975" w:rsidRDefault="000A3E5C">
      <w:pPr>
        <w:spacing w:line="360" w:lineRule="auto"/>
        <w:ind w:firstLine="720"/>
        <w:jc w:val="both"/>
        <w:rPr>
          <w:color w:val="000000" w:themeColor="text1"/>
        </w:rPr>
      </w:pPr>
    </w:p>
    <w:p w14:paraId="779EB9A2"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caps/>
          <w:color w:val="000000" w:themeColor="text1"/>
          <w:sz w:val="24"/>
          <w:u w:val="single"/>
        </w:rPr>
        <w:t>HINTS ON SUPPLEMENTARY TREATMENTS</w:t>
      </w:r>
    </w:p>
    <w:p w14:paraId="1F447370"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Through an endoscopic biliary sphincterotomy or a laparoscopic procedure, the extraction of ductal stones may not be completed or be difficult; in these cases, the open surgical approach still retains an important role, like other additional techniques.</w:t>
      </w:r>
    </w:p>
    <w:p w14:paraId="200D65A2" w14:textId="77777777" w:rsidR="000A3E5C" w:rsidRPr="00A03975" w:rsidRDefault="000A3E5C">
      <w:pPr>
        <w:spacing w:line="360" w:lineRule="auto"/>
        <w:jc w:val="both"/>
        <w:rPr>
          <w:color w:val="000000" w:themeColor="text1"/>
        </w:rPr>
      </w:pPr>
    </w:p>
    <w:p w14:paraId="3D00B871"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i/>
          <w:iCs/>
          <w:color w:val="000000" w:themeColor="text1"/>
          <w:sz w:val="24"/>
        </w:rPr>
        <w:t>Open surgical procedure</w:t>
      </w:r>
    </w:p>
    <w:p w14:paraId="5FB0908E"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Four decades ago, cholelithiasis was treated exclusively by open cholecystectomy and similarly, choledocholithiasis was managed by open CBD exploration, which was performed by duodenotomy and sphincterotomy or bilioenteric anastomosis</w:t>
      </w:r>
      <w:r w:rsidRPr="00A03975">
        <w:rPr>
          <w:rFonts w:ascii="Book Antiqua" w:eastAsia="Book Antiqua" w:hAnsi="Book Antiqua" w:cs="Book Antiqua"/>
          <w:color w:val="000000" w:themeColor="text1"/>
          <w:sz w:val="24"/>
          <w:szCs w:val="30"/>
          <w:vertAlign w:val="superscript"/>
        </w:rPr>
        <w:t>[134]</w:t>
      </w:r>
      <w:r w:rsidRPr="00A03975">
        <w:rPr>
          <w:rFonts w:ascii="Book Antiqua" w:eastAsia="Book Antiqua" w:hAnsi="Book Antiqua" w:cs="Book Antiqua"/>
          <w:color w:val="000000" w:themeColor="text1"/>
          <w:sz w:val="24"/>
        </w:rPr>
        <w:t xml:space="preserve">. Open surgery is now considered obsolete, but the recent literature has shown its superiority over ERCP in the clearance of CBDS, with lower morbidity and mortality rates (20% </w:t>
      </w:r>
      <w:r w:rsidRPr="00A03975">
        <w:rPr>
          <w:rFonts w:ascii="Book Antiqua" w:eastAsia="Book Antiqua" w:hAnsi="Book Antiqua" w:cs="Book Antiqua"/>
          <w:i/>
          <w:iCs/>
          <w:color w:val="000000" w:themeColor="text1"/>
          <w:sz w:val="24"/>
        </w:rPr>
        <w:t>vs</w:t>
      </w:r>
      <w:r w:rsidRPr="00A03975">
        <w:rPr>
          <w:rFonts w:ascii="Book Antiqua" w:eastAsia="Book Antiqua" w:hAnsi="Book Antiqua" w:cs="Book Antiqua"/>
          <w:color w:val="000000" w:themeColor="text1"/>
          <w:sz w:val="24"/>
        </w:rPr>
        <w:t xml:space="preserve"> 19% and 1% </w:t>
      </w:r>
      <w:r w:rsidRPr="00A03975">
        <w:rPr>
          <w:rFonts w:ascii="Book Antiqua" w:eastAsia="Book Antiqua" w:hAnsi="Book Antiqua" w:cs="Book Antiqua"/>
          <w:i/>
          <w:iCs/>
          <w:color w:val="000000" w:themeColor="text1"/>
          <w:sz w:val="24"/>
        </w:rPr>
        <w:t>vs</w:t>
      </w:r>
      <w:r w:rsidRPr="00A03975">
        <w:rPr>
          <w:rFonts w:ascii="Book Antiqua" w:eastAsia="Book Antiqua" w:hAnsi="Book Antiqua" w:cs="Book Antiqua"/>
          <w:color w:val="000000" w:themeColor="text1"/>
          <w:sz w:val="24"/>
        </w:rPr>
        <w:t xml:space="preserve"> 3%, respectively)</w:t>
      </w:r>
      <w:r w:rsidRPr="00A03975">
        <w:rPr>
          <w:rFonts w:ascii="Book Antiqua" w:eastAsia="Book Antiqua" w:hAnsi="Book Antiqua" w:cs="Book Antiqua"/>
          <w:color w:val="000000" w:themeColor="text1"/>
          <w:sz w:val="24"/>
          <w:szCs w:val="30"/>
          <w:vertAlign w:val="superscript"/>
        </w:rPr>
        <w:t>[31,135]</w:t>
      </w:r>
      <w:r w:rsidRPr="00A03975">
        <w:rPr>
          <w:rFonts w:ascii="Book Antiqua" w:eastAsia="Book Antiqua" w:hAnsi="Book Antiqua" w:cs="Book Antiqua"/>
          <w:color w:val="000000" w:themeColor="text1"/>
          <w:sz w:val="24"/>
        </w:rPr>
        <w:t>. Open exploration of the CBD can be conducted through a coledochoenterostomy or a sphincterotomy; the choice depends on the surgeon’s experience</w:t>
      </w:r>
      <w:r w:rsidRPr="00A03975">
        <w:rPr>
          <w:rFonts w:ascii="Book Antiqua" w:eastAsia="Book Antiqua" w:hAnsi="Book Antiqua" w:cs="Book Antiqua"/>
          <w:color w:val="000000" w:themeColor="text1"/>
          <w:sz w:val="24"/>
          <w:szCs w:val="30"/>
          <w:vertAlign w:val="superscript"/>
        </w:rPr>
        <w:t>[136]</w:t>
      </w:r>
      <w:r w:rsidRPr="00A03975">
        <w:rPr>
          <w:rFonts w:ascii="Book Antiqua" w:eastAsia="Book Antiqua" w:hAnsi="Book Antiqua" w:cs="Book Antiqua"/>
          <w:color w:val="000000" w:themeColor="text1"/>
          <w:sz w:val="24"/>
        </w:rPr>
        <w:t>. Some authors prefer coledochoenterostomy for CBD with a diameter greater than 2 cm, in order to create a large opening between the bile duct and intestine. An emerging problem is that open biliary surgery is performed increasingly less outside specialized centres in hepato-bilio-pancreatic surgery; this raises new questions regarding the most appropriate management of those patients. Their number is scarce but not negligible, and their complex cases often need conversion or revision using an open approach by skilled surgeons.</w:t>
      </w:r>
    </w:p>
    <w:p w14:paraId="13A678B2"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 xml:space="preserve">During the sphincterotomy, an incision of approximately 1 cm is made in the distal part of the sphincter musculature. A catheter or dilator is passed distally and a Kocher manoeuvre is performed, followed by duodenotomy at the level of the ampulla. The dilator exposes the ampulla in the operating field, where it is sufficiently incised along its anterosuperior border with subsequent removal of the </w:t>
      </w:r>
      <w:r w:rsidRPr="00A03975">
        <w:rPr>
          <w:rFonts w:ascii="Book Antiqua" w:eastAsia="Book Antiqua" w:hAnsi="Book Antiqua" w:cs="Book Antiqua"/>
          <w:color w:val="000000" w:themeColor="text1"/>
          <w:sz w:val="24"/>
        </w:rPr>
        <w:lastRenderedPageBreak/>
        <w:t>impacted stone</w:t>
      </w:r>
      <w:r w:rsidRPr="00A03975">
        <w:rPr>
          <w:rFonts w:ascii="Book Antiqua" w:eastAsia="Book Antiqua" w:hAnsi="Book Antiqua" w:cs="Book Antiqua"/>
          <w:color w:val="000000" w:themeColor="text1"/>
          <w:sz w:val="24"/>
          <w:szCs w:val="30"/>
          <w:vertAlign w:val="superscript"/>
        </w:rPr>
        <w:t>[137]</w:t>
      </w:r>
      <w:r w:rsidRPr="00A03975">
        <w:rPr>
          <w:rFonts w:ascii="Book Antiqua" w:eastAsia="Book Antiqua" w:hAnsi="Book Antiqua" w:cs="Book Antiqua"/>
          <w:color w:val="000000" w:themeColor="text1"/>
          <w:sz w:val="24"/>
        </w:rPr>
        <w:t>. Choledocoenterostomy is commonly performed as a side-to-side choledochoduodenostomy for dilated CBD with multiple stones. These patients require drainage for good long-term results without recurrence of jaundice or cholangitis</w:t>
      </w:r>
      <w:r w:rsidRPr="00A03975">
        <w:rPr>
          <w:rFonts w:ascii="Book Antiqua" w:eastAsia="Book Antiqua" w:hAnsi="Book Antiqua" w:cs="Book Antiqua"/>
          <w:color w:val="000000" w:themeColor="text1"/>
          <w:sz w:val="24"/>
          <w:szCs w:val="30"/>
          <w:vertAlign w:val="superscript"/>
        </w:rPr>
        <w:t>[138]</w:t>
      </w:r>
      <w:r w:rsidRPr="00A03975">
        <w:rPr>
          <w:rFonts w:ascii="Book Antiqua" w:eastAsia="Book Antiqua" w:hAnsi="Book Antiqua" w:cs="Book Antiqua"/>
          <w:color w:val="000000" w:themeColor="text1"/>
          <w:sz w:val="24"/>
        </w:rPr>
        <w:t>. The most used technique is that of a side-to-side hand-sutured anastomosis between the supraduodenal CBD and the duodenum</w:t>
      </w:r>
      <w:r w:rsidRPr="00A03975">
        <w:rPr>
          <w:rFonts w:ascii="Book Antiqua" w:eastAsia="Book Antiqua" w:hAnsi="Book Antiqua" w:cs="Book Antiqua"/>
          <w:color w:val="000000" w:themeColor="text1"/>
          <w:sz w:val="24"/>
          <w:szCs w:val="30"/>
          <w:vertAlign w:val="superscript"/>
        </w:rPr>
        <w:t>[139]</w:t>
      </w:r>
      <w:r w:rsidRPr="00A03975">
        <w:rPr>
          <w:rFonts w:ascii="Book Antiqua" w:eastAsia="Book Antiqua" w:hAnsi="Book Antiqua" w:cs="Book Antiqua"/>
          <w:color w:val="000000" w:themeColor="text1"/>
          <w:sz w:val="24"/>
        </w:rPr>
        <w:t xml:space="preserve">. Kocher's manoeuvre is performed to expose the distal CBD. Choledochotomy is performed for 2-3 cm to the lateral border of the duodenum. Anastomosis is performed with interrupted absorbable sutures. The biggest complication that can occur is </w:t>
      </w:r>
      <w:r w:rsidRPr="00A03975">
        <w:rPr>
          <w:rFonts w:ascii="Book Antiqua" w:eastAsia="Book Antiqua" w:hAnsi="Book Antiqua" w:cs="Book Antiqua"/>
          <w:iCs/>
          <w:color w:val="000000" w:themeColor="text1"/>
          <w:sz w:val="24"/>
        </w:rPr>
        <w:t>sump syndrome</w:t>
      </w:r>
      <w:r w:rsidRPr="00A03975">
        <w:rPr>
          <w:rFonts w:ascii="Book Antiqua" w:eastAsia="Book Antiqua" w:hAnsi="Book Antiqua" w:cs="Book Antiqua"/>
          <w:color w:val="000000" w:themeColor="text1"/>
          <w:sz w:val="24"/>
        </w:rPr>
        <w:t xml:space="preserve"> caused by food or other debris trapped in the distal part of CBD</w:t>
      </w:r>
      <w:r w:rsidRPr="00A03975">
        <w:rPr>
          <w:rFonts w:ascii="Book Antiqua" w:eastAsia="Book Antiqua" w:hAnsi="Book Antiqua" w:cs="Book Antiqua"/>
          <w:color w:val="000000" w:themeColor="text1"/>
          <w:sz w:val="24"/>
          <w:szCs w:val="30"/>
          <w:vertAlign w:val="superscript"/>
        </w:rPr>
        <w:t>[140]</w:t>
      </w:r>
      <w:r w:rsidRPr="00A03975">
        <w:rPr>
          <w:rFonts w:ascii="Book Antiqua" w:eastAsia="Book Antiqua" w:hAnsi="Book Antiqua" w:cs="Book Antiqua"/>
          <w:color w:val="000000" w:themeColor="text1"/>
          <w:sz w:val="24"/>
        </w:rPr>
        <w:t>; its management is endoscopic with ERCP/ES. Another option may be choledochidjejunostomy with a roux-en-Y loop, but performed by expert hands.</w:t>
      </w:r>
    </w:p>
    <w:p w14:paraId="747107B9" w14:textId="77777777" w:rsidR="000A3E5C" w:rsidRPr="00A03975" w:rsidRDefault="000A3E5C">
      <w:pPr>
        <w:spacing w:line="360" w:lineRule="auto"/>
        <w:ind w:firstLine="720"/>
        <w:jc w:val="both"/>
        <w:rPr>
          <w:color w:val="000000" w:themeColor="text1"/>
        </w:rPr>
      </w:pPr>
    </w:p>
    <w:p w14:paraId="2F4233DA"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bCs/>
          <w:i/>
          <w:iCs/>
          <w:color w:val="000000" w:themeColor="text1"/>
          <w:sz w:val="24"/>
        </w:rPr>
        <w:t>Lithotripsy</w:t>
      </w:r>
    </w:p>
    <w:p w14:paraId="19CBFE8D"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Lithotripsy could be considered the ideal management of CBDS, as it resolves the disease without interruption of the CBD wall and without performing a sphincterotomy. However, this technique cannot be considered definitive in the treatment of cholecysto-choledocholithiasis since the genesis of the stones is secondary to the lithogenic bile in the gallbladder, and for this reason the recurrence rate would be very high. Fragmentation of gallbladder stones would increase the percentage of their migration into the choledochus. Another advantage of this technique is certainly that of being performed in a single application. Lithotripsy is not able to avoid cholecystectomy but it can be a valid therapeutic alternative in those patients already cholecystectomized or for whom it is not indicated. However, it cannot be overlooked that lithotripsy requires dedicated instrumentation and skilled personnel, which are not always available, thus limiting its diffusion. There are various approaches described for stone fragmentation: Mechanical, electrohydraulic, laser, and extracorporeal shock wave</w:t>
      </w:r>
      <w:r w:rsidRPr="00A03975">
        <w:rPr>
          <w:rFonts w:ascii="Book Antiqua" w:eastAsia="Book Antiqua" w:hAnsi="Book Antiqua" w:cs="Book Antiqua"/>
          <w:color w:val="000000" w:themeColor="text1"/>
          <w:sz w:val="24"/>
          <w:szCs w:val="30"/>
          <w:vertAlign w:val="superscript"/>
        </w:rPr>
        <w:t>[141-143]</w:t>
      </w:r>
      <w:r w:rsidRPr="00A03975">
        <w:rPr>
          <w:rFonts w:ascii="Book Antiqua" w:eastAsia="Book Antiqua" w:hAnsi="Book Antiqua" w:cs="Book Antiqua"/>
          <w:color w:val="000000" w:themeColor="text1"/>
          <w:sz w:val="24"/>
        </w:rPr>
        <w:t>.</w:t>
      </w:r>
    </w:p>
    <w:p w14:paraId="41F11E38"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Endoscopic mechanical lithotripsy is usually performed after failed endoscopic sphincterotomy for CBDS through a Dormia basket or balloon catheter. CBD clearance is reached in about 80%-90% of cases</w:t>
      </w:r>
      <w:r w:rsidRPr="00A03975">
        <w:rPr>
          <w:rFonts w:ascii="Book Antiqua" w:eastAsia="Book Antiqua" w:hAnsi="Book Antiqua" w:cs="Book Antiqua"/>
          <w:color w:val="000000" w:themeColor="text1"/>
          <w:sz w:val="24"/>
          <w:szCs w:val="30"/>
          <w:vertAlign w:val="superscript"/>
        </w:rPr>
        <w:t>[143]</w:t>
      </w:r>
      <w:r w:rsidRPr="00A03975">
        <w:rPr>
          <w:rFonts w:ascii="Book Antiqua" w:eastAsia="Book Antiqua" w:hAnsi="Book Antiqua" w:cs="Book Antiqua"/>
          <w:color w:val="000000" w:themeColor="text1"/>
          <w:sz w:val="24"/>
        </w:rPr>
        <w:t xml:space="preserve">. Failure may be due to CBDS </w:t>
      </w:r>
      <w:r w:rsidRPr="00A03975">
        <w:rPr>
          <w:rFonts w:ascii="Book Antiqua" w:eastAsia="Book Antiqua" w:hAnsi="Book Antiqua" w:cs="Book Antiqua"/>
          <w:color w:val="000000" w:themeColor="text1"/>
          <w:sz w:val="24"/>
        </w:rPr>
        <w:lastRenderedPageBreak/>
        <w:t>size exceeding 3 cm, since stones could not be captured, and stone impaction in the CBD</w:t>
      </w:r>
      <w:r w:rsidRPr="00A03975">
        <w:rPr>
          <w:rFonts w:ascii="Book Antiqua" w:eastAsia="Book Antiqua" w:hAnsi="Book Antiqua" w:cs="Book Antiqua"/>
          <w:color w:val="000000" w:themeColor="text1"/>
          <w:sz w:val="24"/>
          <w:szCs w:val="30"/>
          <w:vertAlign w:val="superscript"/>
        </w:rPr>
        <w:t>[144]</w:t>
      </w:r>
      <w:r w:rsidRPr="00A03975">
        <w:rPr>
          <w:rFonts w:ascii="Book Antiqua" w:eastAsia="Book Antiqua" w:hAnsi="Book Antiqua" w:cs="Book Antiqua"/>
          <w:color w:val="000000" w:themeColor="text1"/>
          <w:sz w:val="24"/>
        </w:rPr>
        <w:t>.</w:t>
      </w:r>
    </w:p>
    <w:p w14:paraId="5A21309F"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Endoscopic electrohydraulic lithotripsy may be used in cases of difficult CBDS. A large operating channel accommodates a 4.5 Fr calibre probe with an electrohydraulic shock wave generator sending high-frequency hydraulic pressure waves. In order not to cause damage to the surrounding tissue, the probe must be positioned as close as possible to the stone. The stone removal rate ranges from 74% to 98%</w:t>
      </w:r>
      <w:r w:rsidRPr="00A03975">
        <w:rPr>
          <w:rFonts w:ascii="Book Antiqua" w:eastAsia="Book Antiqua" w:hAnsi="Book Antiqua" w:cs="Book Antiqua"/>
          <w:color w:val="000000" w:themeColor="text1"/>
          <w:sz w:val="24"/>
          <w:szCs w:val="30"/>
          <w:vertAlign w:val="superscript"/>
        </w:rPr>
        <w:t>[145,146]</w:t>
      </w:r>
      <w:r w:rsidRPr="00A03975">
        <w:rPr>
          <w:rFonts w:ascii="Book Antiqua" w:eastAsia="Book Antiqua" w:hAnsi="Book Antiqua" w:cs="Book Antiqua"/>
          <w:color w:val="000000" w:themeColor="text1"/>
          <w:sz w:val="24"/>
        </w:rPr>
        <w:t>. This procedure requires costly and fragile instrumentation and good coordination of two skilled endoscopists.</w:t>
      </w:r>
    </w:p>
    <w:p w14:paraId="46531B47"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Endoscopic laser lithotripsy has been used to fragment large stones under fluoroscopic visualization, because of the risk of heat-induced biliary damage</w:t>
      </w:r>
      <w:r w:rsidRPr="00A03975">
        <w:rPr>
          <w:rFonts w:ascii="Book Antiqua" w:eastAsia="Book Antiqua" w:hAnsi="Book Antiqua" w:cs="Book Antiqua"/>
          <w:color w:val="000000" w:themeColor="text1"/>
          <w:sz w:val="24"/>
          <w:szCs w:val="30"/>
          <w:vertAlign w:val="superscript"/>
        </w:rPr>
        <w:t>[147]</w:t>
      </w:r>
      <w:r w:rsidRPr="00A03975">
        <w:rPr>
          <w:rFonts w:ascii="Book Antiqua" w:eastAsia="Book Antiqua" w:hAnsi="Book Antiqua" w:cs="Book Antiqua"/>
          <w:color w:val="000000" w:themeColor="text1"/>
          <w:sz w:val="24"/>
        </w:rPr>
        <w:t>. Today, single-operator steerable cholangioscopy allows the safer use of laser lithotripsy with direct vision</w:t>
      </w:r>
      <w:r w:rsidRPr="00A03975">
        <w:rPr>
          <w:rFonts w:ascii="Book Antiqua" w:eastAsia="Book Antiqua" w:hAnsi="Book Antiqua" w:cs="Book Antiqua"/>
          <w:color w:val="000000" w:themeColor="text1"/>
          <w:sz w:val="24"/>
          <w:szCs w:val="30"/>
          <w:vertAlign w:val="superscript"/>
        </w:rPr>
        <w:t>[148]</w:t>
      </w:r>
      <w:r w:rsidRPr="00A03975">
        <w:rPr>
          <w:rFonts w:ascii="Book Antiqua" w:eastAsia="Book Antiqua" w:hAnsi="Book Antiqua" w:cs="Book Antiqua"/>
          <w:color w:val="000000" w:themeColor="text1"/>
          <w:sz w:val="24"/>
        </w:rPr>
        <w:t>. A removal rate of CBDS has been reported of about 93%-97%, with a complications rate of 4%-13%</w:t>
      </w:r>
      <w:r w:rsidRPr="00A03975">
        <w:rPr>
          <w:rFonts w:ascii="Book Antiqua" w:eastAsia="Book Antiqua" w:hAnsi="Book Antiqua" w:cs="Book Antiqua"/>
          <w:color w:val="000000" w:themeColor="text1"/>
          <w:sz w:val="24"/>
          <w:szCs w:val="30"/>
          <w:vertAlign w:val="superscript"/>
        </w:rPr>
        <w:t>[149,150]</w:t>
      </w:r>
      <w:r w:rsidRPr="00A03975">
        <w:rPr>
          <w:rFonts w:ascii="Book Antiqua" w:eastAsia="Book Antiqua" w:hAnsi="Book Antiqua" w:cs="Book Antiqua"/>
          <w:color w:val="000000" w:themeColor="text1"/>
          <w:sz w:val="24"/>
        </w:rPr>
        <w:t>. The holmium laser is the newest one, but its use is very expensive</w:t>
      </w:r>
      <w:r w:rsidRPr="00A03975">
        <w:rPr>
          <w:rFonts w:ascii="Book Antiqua" w:eastAsia="Book Antiqua" w:hAnsi="Book Antiqua" w:cs="Book Antiqua"/>
          <w:color w:val="000000" w:themeColor="text1"/>
          <w:sz w:val="24"/>
          <w:szCs w:val="30"/>
          <w:vertAlign w:val="superscript"/>
        </w:rPr>
        <w:t>[151]</w:t>
      </w:r>
      <w:r w:rsidRPr="00A03975">
        <w:rPr>
          <w:rFonts w:ascii="Book Antiqua" w:eastAsia="Book Antiqua" w:hAnsi="Book Antiqua" w:cs="Book Antiqua"/>
          <w:color w:val="000000" w:themeColor="text1"/>
          <w:sz w:val="24"/>
        </w:rPr>
        <w:t>. Laser lithotripsy has recently been proposed with laparoscopic, open surgery, or percutaneously approaches.</w:t>
      </w:r>
    </w:p>
    <w:p w14:paraId="7D4A529F"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Extracorporeal shock-wave lithotripsy is also used in cases of difficult CBDS with US or fluoroscopic guidance. Modern lithotriptors employ water-filled compressible bags; because of the discomfort experienced by the patient, general anaesthesia is often required. Contraindications to this technique are portal thrombosis and varices of the umbilical plexus, and it can also cause adverse events, such as transient biliary colic, subcutaneous ecchymosis, cardiac arrhythmia, self-limited haemobilia, cholangitis, ileus, and pancreatitis</w:t>
      </w:r>
      <w:r w:rsidRPr="00A03975">
        <w:rPr>
          <w:rFonts w:ascii="Book Antiqua" w:eastAsia="Book Antiqua" w:hAnsi="Book Antiqua" w:cs="Book Antiqua"/>
          <w:color w:val="000000" w:themeColor="text1"/>
          <w:sz w:val="24"/>
          <w:szCs w:val="30"/>
          <w:vertAlign w:val="superscript"/>
        </w:rPr>
        <w:t>[152,153]</w:t>
      </w:r>
      <w:r w:rsidRPr="00A03975">
        <w:rPr>
          <w:rFonts w:ascii="Book Antiqua" w:eastAsia="Book Antiqua" w:hAnsi="Book Antiqua" w:cs="Book Antiqua"/>
          <w:color w:val="000000" w:themeColor="text1"/>
          <w:sz w:val="24"/>
        </w:rPr>
        <w:t>. More sessions are typically required. The recurrence rate during a 1-2 year follow-up period is about 14%</w:t>
      </w:r>
      <w:r w:rsidRPr="00A03975">
        <w:rPr>
          <w:rFonts w:ascii="Book Antiqua" w:eastAsia="Book Antiqua" w:hAnsi="Book Antiqua" w:cs="Book Antiqua"/>
          <w:color w:val="000000" w:themeColor="text1"/>
          <w:sz w:val="24"/>
          <w:szCs w:val="30"/>
          <w:vertAlign w:val="superscript"/>
        </w:rPr>
        <w:t>[154]</w:t>
      </w:r>
      <w:r w:rsidRPr="00A03975">
        <w:rPr>
          <w:rFonts w:ascii="Book Antiqua" w:eastAsia="Book Antiqua" w:hAnsi="Book Antiqua" w:cs="Book Antiqua"/>
          <w:color w:val="000000" w:themeColor="text1"/>
          <w:sz w:val="24"/>
        </w:rPr>
        <w:t>. Currently, extracorporeal shock-wave lithotripsy is not considered the first-line treatment for difficult bile duct stones</w:t>
      </w:r>
      <w:r w:rsidRPr="00A03975">
        <w:rPr>
          <w:rFonts w:ascii="Book Antiqua" w:eastAsia="Book Antiqua" w:hAnsi="Book Antiqua" w:cs="Book Antiqua"/>
          <w:color w:val="000000" w:themeColor="text1"/>
          <w:sz w:val="24"/>
          <w:szCs w:val="30"/>
          <w:vertAlign w:val="superscript"/>
        </w:rPr>
        <w:t>[155]</w:t>
      </w:r>
      <w:r w:rsidRPr="00A03975">
        <w:rPr>
          <w:rFonts w:ascii="Book Antiqua" w:eastAsia="Book Antiqua" w:hAnsi="Book Antiqua" w:cs="Book Antiqua"/>
          <w:color w:val="000000" w:themeColor="text1"/>
          <w:sz w:val="24"/>
        </w:rPr>
        <w:t>.</w:t>
      </w:r>
    </w:p>
    <w:p w14:paraId="2750AA2E" w14:textId="77777777" w:rsidR="000A3E5C" w:rsidRPr="00A03975" w:rsidRDefault="000A3E5C">
      <w:pPr>
        <w:spacing w:line="360" w:lineRule="auto"/>
        <w:ind w:firstLine="720"/>
        <w:jc w:val="both"/>
        <w:rPr>
          <w:color w:val="000000" w:themeColor="text1"/>
        </w:rPr>
      </w:pPr>
    </w:p>
    <w:p w14:paraId="5C9D6978"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aps/>
          <w:color w:val="000000" w:themeColor="text1"/>
          <w:sz w:val="24"/>
          <w:u w:val="single"/>
        </w:rPr>
        <w:t>CONCLUSION</w:t>
      </w:r>
    </w:p>
    <w:p w14:paraId="1DE41ABB"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 xml:space="preserve">Management of cholelithiasis with choledocholithiasis must be conducted appropriately. A delay in the diagnosis of this pathological condition can increase morbidity and mortality. Unlike other diseases that have a certain diagnosis, the </w:t>
      </w:r>
      <w:r w:rsidRPr="00A03975">
        <w:rPr>
          <w:rFonts w:ascii="Book Antiqua" w:eastAsia="Book Antiqua" w:hAnsi="Book Antiqua" w:cs="Book Antiqua"/>
          <w:color w:val="000000" w:themeColor="text1"/>
          <w:sz w:val="24"/>
        </w:rPr>
        <w:lastRenderedPageBreak/>
        <w:t xml:space="preserve">presence of stones in the CBD is sometimes only suspicious. Historically, diagnosis was achieved through a careful association between clinical symptoms, serology, and radiological images. Today, the development of new radiological imaging, interventional endoscopy, and laparoscopy techniques has allowed us to arrive at a faster and more accurate diagnosis. The management of cholelithiasis with choledocholithiasis has become multidisciplinary, and more professional figures are involved (radiologists, gastroenterologists, endoscopists, and surgeons), and will be increasingly adapted not only to a specific patient but also to the available resources of a specific environment in order to have the best possible management. However, endoscopy and surgery always retain a central diagnostic and therapeutic role. </w:t>
      </w:r>
    </w:p>
    <w:p w14:paraId="52E22E41" w14:textId="77777777" w:rsidR="000A3E5C" w:rsidRPr="00A03975" w:rsidRDefault="000A3E5C">
      <w:pPr>
        <w:spacing w:line="360" w:lineRule="auto"/>
        <w:ind w:firstLine="720"/>
        <w:jc w:val="both"/>
        <w:rPr>
          <w:color w:val="000000" w:themeColor="text1"/>
        </w:rPr>
      </w:pPr>
      <w:r w:rsidRPr="00A03975">
        <w:rPr>
          <w:rFonts w:ascii="Book Antiqua" w:eastAsia="Book Antiqua" w:hAnsi="Book Antiqua" w:cs="Book Antiqua"/>
          <w:color w:val="000000" w:themeColor="text1"/>
          <w:sz w:val="24"/>
        </w:rPr>
        <w:t>Many studies and meta-analyses have been conducted by various authors regarding the comparison between one-session and two-session treatments for patients with concomitant gallbladder and CBD stones</w:t>
      </w:r>
      <w:r w:rsidRPr="00A03975">
        <w:rPr>
          <w:rFonts w:ascii="Book Antiqua" w:eastAsia="Book Antiqua" w:hAnsi="Book Antiqua" w:cs="Book Antiqua"/>
          <w:color w:val="000000" w:themeColor="text1"/>
          <w:sz w:val="24"/>
          <w:szCs w:val="30"/>
          <w:vertAlign w:val="superscript"/>
        </w:rPr>
        <w:t>[17,31,76,92,156,157]</w:t>
      </w:r>
      <w:r w:rsidRPr="00A03975">
        <w:rPr>
          <w:rFonts w:ascii="Book Antiqua" w:eastAsia="Book Antiqua" w:hAnsi="Book Antiqua" w:cs="Book Antiqua"/>
          <w:color w:val="000000" w:themeColor="text1"/>
          <w:sz w:val="24"/>
        </w:rPr>
        <w:t>. The findings have shown equivalent success rates, postoperative morbidity, stone clearance, mortality, conversion to other procedures, total operation time, and failure rate, but one-session treatment is characterized by a shorter hospital stay and more cost benefits</w:t>
      </w:r>
      <w:r w:rsidRPr="00A03975">
        <w:rPr>
          <w:rFonts w:ascii="Book Antiqua" w:eastAsia="Book Antiqua" w:hAnsi="Book Antiqua" w:cs="Book Antiqua"/>
          <w:color w:val="000000" w:themeColor="text1"/>
          <w:sz w:val="24"/>
          <w:szCs w:val="30"/>
          <w:vertAlign w:val="superscript"/>
        </w:rPr>
        <w:t>[158]</w:t>
      </w:r>
      <w:r w:rsidRPr="00A03975">
        <w:rPr>
          <w:rFonts w:ascii="Book Antiqua" w:eastAsia="Book Antiqua" w:hAnsi="Book Antiqua" w:cs="Book Antiqua"/>
          <w:color w:val="000000" w:themeColor="text1"/>
          <w:sz w:val="24"/>
        </w:rPr>
        <w:t>. Consequently, the latter option, when local resources and expertise are available, should be offered as a treatment of choice. However, in cases of incomplete or difficult removal of CBDSs, other additional techniques can also be used, which can be of valuable help in selected patients.</w:t>
      </w:r>
    </w:p>
    <w:p w14:paraId="4A1567E7" w14:textId="77777777" w:rsidR="000A3E5C" w:rsidRPr="00A03975" w:rsidRDefault="000A3E5C">
      <w:pPr>
        <w:adjustRightInd w:val="0"/>
        <w:snapToGrid w:val="0"/>
        <w:spacing w:line="360" w:lineRule="auto"/>
        <w:jc w:val="both"/>
        <w:rPr>
          <w:rFonts w:ascii="Book Antiqua" w:eastAsia="Book Antiqua" w:hAnsi="Book Antiqua"/>
          <w:bCs/>
          <w:color w:val="000000" w:themeColor="text1"/>
          <w:sz w:val="24"/>
          <w:szCs w:val="24"/>
          <w:lang w:val="en-GB"/>
        </w:rPr>
      </w:pPr>
    </w:p>
    <w:p w14:paraId="323FDF29" w14:textId="77777777" w:rsidR="000A3E5C" w:rsidRPr="00A03975" w:rsidRDefault="000A3E5C">
      <w:pPr>
        <w:adjustRightInd w:val="0"/>
        <w:snapToGrid w:val="0"/>
        <w:spacing w:line="360" w:lineRule="auto"/>
        <w:jc w:val="both"/>
        <w:rPr>
          <w:rFonts w:ascii="Book Antiqua" w:eastAsia="Book Antiqua" w:hAnsi="Book Antiqua"/>
          <w:b/>
          <w:color w:val="000000" w:themeColor="text1"/>
          <w:sz w:val="24"/>
          <w:szCs w:val="24"/>
          <w:lang w:val="en-GB"/>
        </w:rPr>
      </w:pPr>
      <w:bookmarkStart w:id="0" w:name="page4"/>
      <w:bookmarkEnd w:id="0"/>
      <w:r w:rsidRPr="00A03975">
        <w:rPr>
          <w:rFonts w:ascii="Book Antiqua" w:eastAsia="Book Antiqua" w:hAnsi="Book Antiqua"/>
          <w:b/>
          <w:color w:val="000000" w:themeColor="text1"/>
          <w:sz w:val="24"/>
          <w:szCs w:val="24"/>
          <w:lang w:val="en-GB"/>
        </w:rPr>
        <w:t>REFERENCES</w:t>
      </w:r>
    </w:p>
    <w:p w14:paraId="5761045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 </w:t>
      </w:r>
      <w:r w:rsidRPr="00A03975">
        <w:rPr>
          <w:rFonts w:ascii="Book Antiqua" w:hAnsi="Book Antiqua"/>
          <w:b/>
          <w:bCs/>
          <w:color w:val="000000" w:themeColor="text1"/>
        </w:rPr>
        <w:t>Shaffer EA</w:t>
      </w:r>
      <w:r w:rsidRPr="00A03975">
        <w:rPr>
          <w:rFonts w:ascii="Book Antiqua" w:hAnsi="Book Antiqua"/>
          <w:color w:val="000000" w:themeColor="text1"/>
        </w:rPr>
        <w:t xml:space="preserve">. Gallstone disease: Epidemiology of gallbladder stone disease. </w:t>
      </w:r>
      <w:r w:rsidRPr="00A03975">
        <w:rPr>
          <w:rFonts w:ascii="Book Antiqua" w:hAnsi="Book Antiqua"/>
          <w:i/>
          <w:iCs/>
          <w:color w:val="000000" w:themeColor="text1"/>
        </w:rPr>
        <w:t>Best Pract Res Clin Gastroenterol</w:t>
      </w:r>
      <w:r w:rsidRPr="00A03975">
        <w:rPr>
          <w:rFonts w:ascii="Book Antiqua" w:hAnsi="Book Antiqua"/>
          <w:color w:val="000000" w:themeColor="text1"/>
        </w:rPr>
        <w:t xml:space="preserve"> 2006; </w:t>
      </w:r>
      <w:r w:rsidRPr="00A03975">
        <w:rPr>
          <w:rFonts w:ascii="Book Antiqua" w:hAnsi="Book Antiqua"/>
          <w:b/>
          <w:bCs/>
          <w:color w:val="000000" w:themeColor="text1"/>
        </w:rPr>
        <w:t>20</w:t>
      </w:r>
      <w:r w:rsidRPr="00A03975">
        <w:rPr>
          <w:rFonts w:ascii="Book Antiqua" w:hAnsi="Book Antiqua"/>
          <w:color w:val="000000" w:themeColor="text1"/>
        </w:rPr>
        <w:t>: 981-996 [PMID: 17127183 DOI: 10.1016/j.bpg.2006.05.004]</w:t>
      </w:r>
    </w:p>
    <w:p w14:paraId="3FF0F67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2 </w:t>
      </w:r>
      <w:r w:rsidRPr="00A03975">
        <w:rPr>
          <w:rFonts w:ascii="Book Antiqua" w:hAnsi="Book Antiqua"/>
          <w:b/>
          <w:bCs/>
          <w:color w:val="000000" w:themeColor="text1"/>
        </w:rPr>
        <w:t>Gracie WA</w:t>
      </w:r>
      <w:r w:rsidRPr="00A03975">
        <w:rPr>
          <w:rFonts w:ascii="Book Antiqua" w:hAnsi="Book Antiqua"/>
          <w:color w:val="000000" w:themeColor="text1"/>
        </w:rPr>
        <w:t xml:space="preserve">, Ransohoff DF. The natural history of silent gallstones: the innocent gallstone is not a myth. </w:t>
      </w:r>
      <w:r w:rsidRPr="00A03975">
        <w:rPr>
          <w:rFonts w:ascii="Book Antiqua" w:hAnsi="Book Antiqua"/>
          <w:i/>
          <w:iCs/>
          <w:color w:val="000000" w:themeColor="text1"/>
        </w:rPr>
        <w:t>N Engl J Med</w:t>
      </w:r>
      <w:r w:rsidRPr="00A03975">
        <w:rPr>
          <w:rFonts w:ascii="Book Antiqua" w:hAnsi="Book Antiqua"/>
          <w:color w:val="000000" w:themeColor="text1"/>
        </w:rPr>
        <w:t xml:space="preserve"> 1982; </w:t>
      </w:r>
      <w:r w:rsidRPr="00A03975">
        <w:rPr>
          <w:rFonts w:ascii="Book Antiqua" w:hAnsi="Book Antiqua"/>
          <w:b/>
          <w:bCs/>
          <w:color w:val="000000" w:themeColor="text1"/>
        </w:rPr>
        <w:t>307</w:t>
      </w:r>
      <w:r w:rsidRPr="00A03975">
        <w:rPr>
          <w:rFonts w:ascii="Book Antiqua" w:hAnsi="Book Antiqua"/>
          <w:color w:val="000000" w:themeColor="text1"/>
        </w:rPr>
        <w:t>: 798-800 [PMID: 7110244 DOI: 10.1056/NEJM198209233071305]</w:t>
      </w:r>
    </w:p>
    <w:p w14:paraId="1A2B2FA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 </w:t>
      </w:r>
      <w:r w:rsidRPr="00A03975">
        <w:rPr>
          <w:rFonts w:ascii="Book Antiqua" w:hAnsi="Book Antiqua"/>
          <w:b/>
          <w:bCs/>
          <w:color w:val="000000" w:themeColor="text1"/>
        </w:rPr>
        <w:t>Friedman GD</w:t>
      </w:r>
      <w:r w:rsidRPr="00A03975">
        <w:rPr>
          <w:rFonts w:ascii="Book Antiqua" w:hAnsi="Book Antiqua"/>
          <w:color w:val="000000" w:themeColor="text1"/>
        </w:rPr>
        <w:t xml:space="preserve">. Natural </w:t>
      </w:r>
      <w:proofErr w:type="gramStart"/>
      <w:r w:rsidRPr="00A03975">
        <w:rPr>
          <w:rFonts w:ascii="Book Antiqua" w:hAnsi="Book Antiqua"/>
          <w:color w:val="000000" w:themeColor="text1"/>
        </w:rPr>
        <w:t>history</w:t>
      </w:r>
      <w:proofErr w:type="gramEnd"/>
      <w:r w:rsidRPr="00A03975">
        <w:rPr>
          <w:rFonts w:ascii="Book Antiqua" w:hAnsi="Book Antiqua"/>
          <w:color w:val="000000" w:themeColor="text1"/>
        </w:rPr>
        <w:t xml:space="preserve"> of asymptomatic and symptomatic gallstones. </w:t>
      </w:r>
      <w:r w:rsidRPr="00A03975">
        <w:rPr>
          <w:rFonts w:ascii="Book Antiqua" w:hAnsi="Book Antiqua"/>
          <w:i/>
          <w:iCs/>
          <w:color w:val="000000" w:themeColor="text1"/>
        </w:rPr>
        <w:t>Am J Surg</w:t>
      </w:r>
      <w:r w:rsidRPr="00A03975">
        <w:rPr>
          <w:rFonts w:ascii="Book Antiqua" w:hAnsi="Book Antiqua"/>
          <w:color w:val="000000" w:themeColor="text1"/>
        </w:rPr>
        <w:t xml:space="preserve"> 1993; </w:t>
      </w:r>
      <w:r w:rsidRPr="00A03975">
        <w:rPr>
          <w:rFonts w:ascii="Book Antiqua" w:hAnsi="Book Antiqua"/>
          <w:b/>
          <w:bCs/>
          <w:color w:val="000000" w:themeColor="text1"/>
        </w:rPr>
        <w:t>165</w:t>
      </w:r>
      <w:r w:rsidRPr="00A03975">
        <w:rPr>
          <w:rFonts w:ascii="Book Antiqua" w:hAnsi="Book Antiqua"/>
          <w:color w:val="000000" w:themeColor="text1"/>
        </w:rPr>
        <w:t>: 399-404 [PMID: 8480871 DOI: 10.1016/s0002-9610(05)80930-4]</w:t>
      </w:r>
    </w:p>
    <w:p w14:paraId="05D01B5F"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lastRenderedPageBreak/>
        <w:t xml:space="preserve">4 </w:t>
      </w:r>
      <w:r w:rsidRPr="00A03975">
        <w:rPr>
          <w:rFonts w:ascii="Book Antiqua" w:hAnsi="Book Antiqua"/>
          <w:b/>
          <w:bCs/>
          <w:color w:val="000000" w:themeColor="text1"/>
        </w:rPr>
        <w:t>Soltan HM</w:t>
      </w:r>
      <w:r w:rsidRPr="00A03975">
        <w:rPr>
          <w:rFonts w:ascii="Book Antiqua" w:hAnsi="Book Antiqua"/>
          <w:color w:val="000000" w:themeColor="text1"/>
        </w:rPr>
        <w:t xml:space="preserve">, Kow L, Toouli J. A simple scoring system for predicting bile duct stones in patients with cholelithiasis. </w:t>
      </w:r>
      <w:r w:rsidRPr="00A03975">
        <w:rPr>
          <w:rFonts w:ascii="Book Antiqua" w:hAnsi="Book Antiqua"/>
          <w:i/>
          <w:iCs/>
          <w:color w:val="000000" w:themeColor="text1"/>
        </w:rPr>
        <w:t>J Gastrointest Surg</w:t>
      </w:r>
      <w:r w:rsidRPr="00A03975">
        <w:rPr>
          <w:rFonts w:ascii="Book Antiqua" w:hAnsi="Book Antiqua"/>
          <w:color w:val="000000" w:themeColor="text1"/>
        </w:rPr>
        <w:t xml:space="preserve"> 2001; </w:t>
      </w:r>
      <w:r w:rsidRPr="00A03975">
        <w:rPr>
          <w:rFonts w:ascii="Book Antiqua" w:hAnsi="Book Antiqua"/>
          <w:b/>
          <w:bCs/>
          <w:color w:val="000000" w:themeColor="text1"/>
        </w:rPr>
        <w:t>5</w:t>
      </w:r>
      <w:r w:rsidRPr="00A03975">
        <w:rPr>
          <w:rFonts w:ascii="Book Antiqua" w:hAnsi="Book Antiqua"/>
          <w:color w:val="000000" w:themeColor="text1"/>
        </w:rPr>
        <w:t>: 434-437 [PMID: 11985986 DOI: 10.1016/s1091-</w:t>
      </w:r>
      <w:proofErr w:type="gramStart"/>
      <w:r w:rsidRPr="00A03975">
        <w:rPr>
          <w:rFonts w:ascii="Book Antiqua" w:hAnsi="Book Antiqua"/>
          <w:color w:val="000000" w:themeColor="text1"/>
        </w:rPr>
        <w:t>255x(</w:t>
      </w:r>
      <w:proofErr w:type="gramEnd"/>
      <w:r w:rsidRPr="00A03975">
        <w:rPr>
          <w:rFonts w:ascii="Book Antiqua" w:hAnsi="Book Antiqua"/>
          <w:color w:val="000000" w:themeColor="text1"/>
        </w:rPr>
        <w:t>01)80073-1]</w:t>
      </w:r>
    </w:p>
    <w:p w14:paraId="1BB6CF1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5 </w:t>
      </w:r>
      <w:r w:rsidRPr="00A03975">
        <w:rPr>
          <w:rFonts w:ascii="Book Antiqua" w:hAnsi="Book Antiqua"/>
          <w:b/>
          <w:bCs/>
          <w:color w:val="000000" w:themeColor="text1"/>
        </w:rPr>
        <w:t>Williams EJ</w:t>
      </w:r>
      <w:r w:rsidRPr="00A03975">
        <w:rPr>
          <w:rFonts w:ascii="Book Antiqua" w:hAnsi="Book Antiqua"/>
          <w:color w:val="000000" w:themeColor="text1"/>
        </w:rPr>
        <w:t xml:space="preserve">, Green J, Beckingham I, Parks R, Martin D, Lombard M; British Society of Gastroenterology. </w:t>
      </w:r>
      <w:proofErr w:type="gramStart"/>
      <w:r w:rsidRPr="00A03975">
        <w:rPr>
          <w:rFonts w:ascii="Book Antiqua" w:hAnsi="Book Antiqua"/>
          <w:color w:val="000000" w:themeColor="text1"/>
        </w:rPr>
        <w:t>Guidelines on the management of common bile duct stones (CBDS).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Gut</w:t>
      </w:r>
      <w:r w:rsidRPr="00A03975">
        <w:rPr>
          <w:rFonts w:ascii="Book Antiqua" w:hAnsi="Book Antiqua"/>
          <w:color w:val="000000" w:themeColor="text1"/>
        </w:rPr>
        <w:t xml:space="preserve"> 2008; </w:t>
      </w:r>
      <w:r w:rsidRPr="00A03975">
        <w:rPr>
          <w:rFonts w:ascii="Book Antiqua" w:hAnsi="Book Antiqua"/>
          <w:b/>
          <w:bCs/>
          <w:color w:val="000000" w:themeColor="text1"/>
        </w:rPr>
        <w:t>57</w:t>
      </w:r>
      <w:r w:rsidRPr="00A03975">
        <w:rPr>
          <w:rFonts w:ascii="Book Antiqua" w:hAnsi="Book Antiqua"/>
          <w:color w:val="000000" w:themeColor="text1"/>
        </w:rPr>
        <w:t>: 1004-1021 [PMID: 18321943 DOI: 10.1136/gut.2007.121657]</w:t>
      </w:r>
    </w:p>
    <w:p w14:paraId="4F33C5C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 </w:t>
      </w:r>
      <w:r w:rsidRPr="00A03975">
        <w:rPr>
          <w:rFonts w:ascii="Book Antiqua" w:hAnsi="Book Antiqua"/>
          <w:b/>
          <w:bCs/>
          <w:color w:val="000000" w:themeColor="text1"/>
        </w:rPr>
        <w:t xml:space="preserve">European </w:t>
      </w:r>
      <w:proofErr w:type="gramStart"/>
      <w:r w:rsidRPr="00A03975">
        <w:rPr>
          <w:rFonts w:ascii="Book Antiqua" w:hAnsi="Book Antiqua"/>
          <w:b/>
          <w:bCs/>
          <w:color w:val="000000" w:themeColor="text1"/>
        </w:rPr>
        <w:t>Association</w:t>
      </w:r>
      <w:proofErr w:type="gramEnd"/>
      <w:r w:rsidRPr="00A03975">
        <w:rPr>
          <w:rFonts w:ascii="Book Antiqua" w:hAnsi="Book Antiqua"/>
          <w:b/>
          <w:bCs/>
          <w:color w:val="000000" w:themeColor="text1"/>
        </w:rPr>
        <w:t xml:space="preserve"> for the Study of the Liver (EASL). </w:t>
      </w:r>
      <w:r w:rsidRPr="00A03975">
        <w:rPr>
          <w:rFonts w:ascii="Book Antiqua" w:hAnsi="Book Antiqua"/>
          <w:color w:val="000000" w:themeColor="text1"/>
        </w:rPr>
        <w:t xml:space="preserve">EASL Clinical Practice Guidelines on the prevention, diagnosis and treatment of gallstones. </w:t>
      </w:r>
      <w:r w:rsidRPr="00A03975">
        <w:rPr>
          <w:rFonts w:ascii="Book Antiqua" w:hAnsi="Book Antiqua"/>
          <w:i/>
          <w:iCs/>
          <w:color w:val="000000" w:themeColor="text1"/>
        </w:rPr>
        <w:t>J Hepatol</w:t>
      </w:r>
      <w:r w:rsidRPr="00A03975">
        <w:rPr>
          <w:rFonts w:ascii="Book Antiqua" w:hAnsi="Book Antiqua"/>
          <w:color w:val="000000" w:themeColor="text1"/>
        </w:rPr>
        <w:t xml:space="preserve"> 2016; </w:t>
      </w:r>
      <w:r w:rsidRPr="00A03975">
        <w:rPr>
          <w:rFonts w:ascii="Book Antiqua" w:hAnsi="Book Antiqua"/>
          <w:b/>
          <w:bCs/>
          <w:color w:val="000000" w:themeColor="text1"/>
        </w:rPr>
        <w:t>65</w:t>
      </w:r>
      <w:r w:rsidRPr="00A03975">
        <w:rPr>
          <w:rFonts w:ascii="Book Antiqua" w:hAnsi="Book Antiqua"/>
          <w:color w:val="000000" w:themeColor="text1"/>
        </w:rPr>
        <w:t>: 146-181 [PMID: 27085810 DOI: 10.1016/j.jhep.2016.03.005]</w:t>
      </w:r>
    </w:p>
    <w:p w14:paraId="1037390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 </w:t>
      </w:r>
      <w:r w:rsidRPr="00A03975">
        <w:rPr>
          <w:rFonts w:ascii="Book Antiqua" w:hAnsi="Book Antiqua"/>
          <w:b/>
          <w:bCs/>
          <w:color w:val="000000" w:themeColor="text1"/>
        </w:rPr>
        <w:t>Cianci P,</w:t>
      </w:r>
      <w:r w:rsidRPr="00A03975">
        <w:rPr>
          <w:rFonts w:ascii="Book Antiqua" w:hAnsi="Book Antiqua"/>
          <w:color w:val="000000" w:themeColor="text1"/>
        </w:rPr>
        <w:t xml:space="preserve"> Tartaglia N, Fersini A, Ambrosi A, Neri V. Management of choledocholithiasis:current opinions and personal experience. </w:t>
      </w:r>
      <w:r w:rsidRPr="00A03975">
        <w:rPr>
          <w:rFonts w:ascii="Book Antiqua" w:hAnsi="Book Antiqua"/>
          <w:i/>
          <w:iCs/>
          <w:color w:val="000000" w:themeColor="text1"/>
        </w:rPr>
        <w:t>Surg Chron</w:t>
      </w:r>
      <w:r w:rsidRPr="00A03975">
        <w:rPr>
          <w:rFonts w:ascii="Book Antiqua" w:hAnsi="Book Antiqua"/>
          <w:color w:val="000000" w:themeColor="text1"/>
        </w:rPr>
        <w:t xml:space="preserve"> 2018; </w:t>
      </w:r>
      <w:r w:rsidRPr="00A03975">
        <w:rPr>
          <w:rFonts w:ascii="Book Antiqua" w:hAnsi="Book Antiqua"/>
          <w:b/>
          <w:bCs/>
          <w:color w:val="000000" w:themeColor="text1"/>
        </w:rPr>
        <w:t>23</w:t>
      </w:r>
      <w:r w:rsidRPr="00A03975">
        <w:rPr>
          <w:rFonts w:ascii="Book Antiqua" w:hAnsi="Book Antiqua"/>
          <w:color w:val="000000" w:themeColor="text1"/>
        </w:rPr>
        <w:t>: 157-161</w:t>
      </w:r>
    </w:p>
    <w:p w14:paraId="3192FA2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 </w:t>
      </w:r>
      <w:r w:rsidRPr="00A03975">
        <w:rPr>
          <w:rFonts w:ascii="Book Antiqua" w:hAnsi="Book Antiqua"/>
          <w:b/>
          <w:bCs/>
          <w:color w:val="000000" w:themeColor="text1"/>
        </w:rPr>
        <w:t>Mori T,</w:t>
      </w:r>
      <w:r w:rsidRPr="00A03975">
        <w:rPr>
          <w:rFonts w:ascii="Book Antiqua" w:hAnsi="Book Antiqua"/>
          <w:color w:val="000000" w:themeColor="text1"/>
        </w:rPr>
        <w:t xml:space="preserve"> Suzuki Y, Sugiyama M, Atomi Y. Choledocholithiasis. In: General Surgery. </w:t>
      </w:r>
      <w:proofErr w:type="gramStart"/>
      <w:r w:rsidRPr="00A03975">
        <w:rPr>
          <w:rFonts w:ascii="Book Antiqua" w:hAnsi="Book Antiqua"/>
          <w:color w:val="000000" w:themeColor="text1"/>
        </w:rPr>
        <w:t>Principles and International Practice.</w:t>
      </w:r>
      <w:proofErr w:type="gramEnd"/>
      <w:r w:rsidRPr="00A03975">
        <w:rPr>
          <w:rFonts w:ascii="Book Antiqua" w:hAnsi="Book Antiqua"/>
          <w:color w:val="000000" w:themeColor="text1"/>
        </w:rPr>
        <w:t xml:space="preserve"> 2</w:t>
      </w:r>
      <w:r w:rsidRPr="00A03975">
        <w:rPr>
          <w:rFonts w:ascii="Book Antiqua" w:hAnsi="Book Antiqua"/>
          <w:color w:val="000000" w:themeColor="text1"/>
          <w:vertAlign w:val="superscript"/>
        </w:rPr>
        <w:t>nd</w:t>
      </w:r>
      <w:r w:rsidRPr="00A03975">
        <w:rPr>
          <w:rFonts w:ascii="Book Antiqua" w:hAnsi="Book Antiqua"/>
          <w:color w:val="000000" w:themeColor="text1"/>
        </w:rPr>
        <w:t xml:space="preserve"> ed. Bland KI, Sarr MG, Büchler MW, Csendes A, Garden OJ, Wong J, editors. London: Springer; 2009: 1061-1073</w:t>
      </w:r>
    </w:p>
    <w:p w14:paraId="6E92E69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9 </w:t>
      </w:r>
      <w:r w:rsidRPr="00A03975">
        <w:rPr>
          <w:rFonts w:ascii="Book Antiqua" w:hAnsi="Book Antiqua"/>
          <w:b/>
          <w:bCs/>
          <w:color w:val="000000" w:themeColor="text1"/>
        </w:rPr>
        <w:t>Ong TZ</w:t>
      </w:r>
      <w:r w:rsidRPr="00A03975">
        <w:rPr>
          <w:rFonts w:ascii="Book Antiqua" w:hAnsi="Book Antiqua"/>
          <w:color w:val="000000" w:themeColor="text1"/>
        </w:rPr>
        <w:t>, Khor JL, Selamat DS, Yeoh KG, Ho KY.</w:t>
      </w:r>
      <w:proofErr w:type="gramEnd"/>
      <w:r w:rsidRPr="00A03975">
        <w:rPr>
          <w:rFonts w:ascii="Book Antiqua" w:hAnsi="Book Antiqua"/>
          <w:color w:val="000000" w:themeColor="text1"/>
        </w:rPr>
        <w:t xml:space="preserve"> Complications of endoscopic retrograde cholangiography in the post-MRCP era: a tertiary center experience. </w:t>
      </w:r>
      <w:r w:rsidRPr="00A03975">
        <w:rPr>
          <w:rFonts w:ascii="Book Antiqua" w:hAnsi="Book Antiqua"/>
          <w:i/>
          <w:iCs/>
          <w:color w:val="000000" w:themeColor="text1"/>
        </w:rPr>
        <w:t>World J Gastroenterol</w:t>
      </w:r>
      <w:r w:rsidRPr="00A03975">
        <w:rPr>
          <w:rFonts w:ascii="Book Antiqua" w:hAnsi="Book Antiqua"/>
          <w:color w:val="000000" w:themeColor="text1"/>
        </w:rPr>
        <w:t xml:space="preserve"> 2005; </w:t>
      </w:r>
      <w:r w:rsidRPr="00A03975">
        <w:rPr>
          <w:rFonts w:ascii="Book Antiqua" w:hAnsi="Book Antiqua"/>
          <w:b/>
          <w:bCs/>
          <w:color w:val="000000" w:themeColor="text1"/>
        </w:rPr>
        <w:t>11</w:t>
      </w:r>
      <w:r w:rsidRPr="00A03975">
        <w:rPr>
          <w:rFonts w:ascii="Book Antiqua" w:hAnsi="Book Antiqua"/>
          <w:color w:val="000000" w:themeColor="text1"/>
        </w:rPr>
        <w:t>: 5209-5212 [PMID: 16127754 DOI: 10.3748/wjg.v11.i33.5209]</w:t>
      </w:r>
    </w:p>
    <w:p w14:paraId="14A4C21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10 </w:t>
      </w:r>
      <w:r w:rsidRPr="00A03975">
        <w:rPr>
          <w:rFonts w:ascii="Book Antiqua" w:hAnsi="Book Antiqua"/>
          <w:b/>
          <w:bCs/>
          <w:color w:val="000000" w:themeColor="text1"/>
        </w:rPr>
        <w:t>Wu SC</w:t>
      </w:r>
      <w:r w:rsidRPr="00A03975">
        <w:rPr>
          <w:rFonts w:ascii="Book Antiqua" w:hAnsi="Book Antiqua"/>
          <w:color w:val="000000" w:themeColor="text1"/>
        </w:rPr>
        <w:t>, Chen FC, Lo CJ.</w:t>
      </w:r>
      <w:proofErr w:type="gramEnd"/>
      <w:r w:rsidRPr="00A03975">
        <w:rPr>
          <w:rFonts w:ascii="Book Antiqua" w:hAnsi="Book Antiqua"/>
          <w:color w:val="000000" w:themeColor="text1"/>
        </w:rPr>
        <w:t xml:space="preserve"> Selective intraoperative cholangiography and single-stage management of common bile duct stone in laparoscopic cholecystectomy. </w:t>
      </w:r>
      <w:r w:rsidRPr="00A03975">
        <w:rPr>
          <w:rFonts w:ascii="Book Antiqua" w:hAnsi="Book Antiqua"/>
          <w:i/>
          <w:iCs/>
          <w:color w:val="000000" w:themeColor="text1"/>
        </w:rPr>
        <w:t>World J Surg</w:t>
      </w:r>
      <w:r w:rsidRPr="00A03975">
        <w:rPr>
          <w:rFonts w:ascii="Book Antiqua" w:hAnsi="Book Antiqua"/>
          <w:color w:val="000000" w:themeColor="text1"/>
        </w:rPr>
        <w:t xml:space="preserve"> 2005; </w:t>
      </w:r>
      <w:r w:rsidRPr="00A03975">
        <w:rPr>
          <w:rFonts w:ascii="Book Antiqua" w:hAnsi="Book Antiqua"/>
          <w:b/>
          <w:bCs/>
          <w:color w:val="000000" w:themeColor="text1"/>
        </w:rPr>
        <w:t>29</w:t>
      </w:r>
      <w:r w:rsidRPr="00A03975">
        <w:rPr>
          <w:rFonts w:ascii="Book Antiqua" w:hAnsi="Book Antiqua"/>
          <w:color w:val="000000" w:themeColor="text1"/>
        </w:rPr>
        <w:t>: 1402-1408 [PMID: 16228924 DOI: 10.1007/s00268-005-7694-3]</w:t>
      </w:r>
    </w:p>
    <w:p w14:paraId="0FB7A03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11 </w:t>
      </w:r>
      <w:r w:rsidRPr="00A03975">
        <w:rPr>
          <w:rFonts w:ascii="Book Antiqua" w:hAnsi="Book Antiqua"/>
          <w:b/>
          <w:bCs/>
          <w:color w:val="000000" w:themeColor="text1"/>
        </w:rPr>
        <w:t>Machi J</w:t>
      </w:r>
      <w:r w:rsidRPr="00A03975">
        <w:rPr>
          <w:rFonts w:ascii="Book Antiqua" w:hAnsi="Book Antiqua"/>
          <w:color w:val="000000" w:themeColor="text1"/>
        </w:rPr>
        <w:t xml:space="preserve">, Oishi AJ, Tajiri T, Murayama KM, Furumoto NL, Oishi RH. Routine laparoscopic ultrasound can significantly reduce the need for selective intraoperative cholangiography during cholecystectomy. </w:t>
      </w:r>
      <w:r w:rsidRPr="00A03975">
        <w:rPr>
          <w:rFonts w:ascii="Book Antiqua" w:hAnsi="Book Antiqua"/>
          <w:i/>
          <w:iCs/>
          <w:color w:val="000000" w:themeColor="text1"/>
        </w:rPr>
        <w:t>Surg Endosc</w:t>
      </w:r>
      <w:r w:rsidRPr="00A03975">
        <w:rPr>
          <w:rFonts w:ascii="Book Antiqua" w:hAnsi="Book Antiqua"/>
          <w:color w:val="000000" w:themeColor="text1"/>
        </w:rPr>
        <w:t xml:space="preserve"> 2007; </w:t>
      </w:r>
      <w:r w:rsidRPr="00A03975">
        <w:rPr>
          <w:rFonts w:ascii="Book Antiqua" w:hAnsi="Book Antiqua"/>
          <w:b/>
          <w:bCs/>
          <w:color w:val="000000" w:themeColor="text1"/>
        </w:rPr>
        <w:t>21</w:t>
      </w:r>
      <w:r w:rsidRPr="00A03975">
        <w:rPr>
          <w:rFonts w:ascii="Book Antiqua" w:hAnsi="Book Antiqua"/>
          <w:color w:val="000000" w:themeColor="text1"/>
        </w:rPr>
        <w:t>: 270-274 [PMID: 17122981 DOI: 10.1007/s00464-005-0817-y]</w:t>
      </w:r>
    </w:p>
    <w:p w14:paraId="128B058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 NIH Consensus </w:t>
      </w:r>
      <w:proofErr w:type="gramStart"/>
      <w:r w:rsidRPr="00A03975">
        <w:rPr>
          <w:rFonts w:ascii="Book Antiqua" w:hAnsi="Book Antiqua"/>
          <w:color w:val="000000" w:themeColor="text1"/>
        </w:rPr>
        <w:t>conference</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Gallstones and laparoscopic cholecystectomy.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JAMA</w:t>
      </w:r>
      <w:r w:rsidRPr="00A03975">
        <w:rPr>
          <w:rFonts w:ascii="Book Antiqua" w:hAnsi="Book Antiqua"/>
          <w:color w:val="000000" w:themeColor="text1"/>
        </w:rPr>
        <w:t xml:space="preserve"> 1993; </w:t>
      </w:r>
      <w:r w:rsidRPr="00A03975">
        <w:rPr>
          <w:rFonts w:ascii="Book Antiqua" w:hAnsi="Book Antiqua"/>
          <w:b/>
          <w:bCs/>
          <w:color w:val="000000" w:themeColor="text1"/>
        </w:rPr>
        <w:t>269</w:t>
      </w:r>
      <w:r w:rsidRPr="00A03975">
        <w:rPr>
          <w:rFonts w:ascii="Book Antiqua" w:hAnsi="Book Antiqua"/>
          <w:color w:val="000000" w:themeColor="text1"/>
        </w:rPr>
        <w:t>: 1018-1024 [PMID: 8429583]</w:t>
      </w:r>
    </w:p>
    <w:p w14:paraId="7A5EC1F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lastRenderedPageBreak/>
        <w:t xml:space="preserve">13 </w:t>
      </w:r>
      <w:r w:rsidRPr="00A03975">
        <w:rPr>
          <w:rFonts w:ascii="Book Antiqua" w:hAnsi="Book Antiqua"/>
          <w:b/>
          <w:bCs/>
          <w:color w:val="000000" w:themeColor="text1"/>
        </w:rPr>
        <w:t>Sain AH</w:t>
      </w:r>
      <w:r w:rsidRPr="00A03975">
        <w:rPr>
          <w:rFonts w:ascii="Book Antiqua" w:hAnsi="Book Antiqua"/>
          <w:color w:val="000000" w:themeColor="text1"/>
        </w:rPr>
        <w:t>.</w:t>
      </w:r>
      <w:proofErr w:type="gramEnd"/>
      <w:r w:rsidRPr="00A03975">
        <w:rPr>
          <w:rFonts w:ascii="Book Antiqua" w:hAnsi="Book Antiqua"/>
          <w:color w:val="000000" w:themeColor="text1"/>
        </w:rPr>
        <w:t xml:space="preserve"> Laparoscopic cholecystectomy is the current "gold standard" for the treatment of gallstone disease. </w:t>
      </w:r>
      <w:r w:rsidRPr="00A03975">
        <w:rPr>
          <w:rFonts w:ascii="Book Antiqua" w:hAnsi="Book Antiqua"/>
          <w:i/>
          <w:iCs/>
          <w:color w:val="000000" w:themeColor="text1"/>
        </w:rPr>
        <w:t>Ann Surg</w:t>
      </w:r>
      <w:r w:rsidRPr="00A03975">
        <w:rPr>
          <w:rFonts w:ascii="Book Antiqua" w:hAnsi="Book Antiqua"/>
          <w:color w:val="000000" w:themeColor="text1"/>
        </w:rPr>
        <w:t xml:space="preserve"> 1996; </w:t>
      </w:r>
      <w:r w:rsidRPr="00A03975">
        <w:rPr>
          <w:rFonts w:ascii="Book Antiqua" w:hAnsi="Book Antiqua"/>
          <w:b/>
          <w:bCs/>
          <w:color w:val="000000" w:themeColor="text1"/>
        </w:rPr>
        <w:t>224</w:t>
      </w:r>
      <w:r w:rsidRPr="00A03975">
        <w:rPr>
          <w:rFonts w:ascii="Book Antiqua" w:hAnsi="Book Antiqua"/>
          <w:color w:val="000000" w:themeColor="text1"/>
        </w:rPr>
        <w:t>: 689-690 [PMID: 8916886 DOI: 10.1097/00000658-199611000-00019]</w:t>
      </w:r>
    </w:p>
    <w:p w14:paraId="2043D8A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14 </w:t>
      </w:r>
      <w:r w:rsidRPr="00A03975">
        <w:rPr>
          <w:rFonts w:ascii="Book Antiqua" w:hAnsi="Book Antiqua"/>
          <w:b/>
          <w:bCs/>
          <w:color w:val="000000" w:themeColor="text1"/>
        </w:rPr>
        <w:t>Parra-Membrives P</w:t>
      </w:r>
      <w:r w:rsidRPr="00A03975">
        <w:rPr>
          <w:rFonts w:ascii="Book Antiqua" w:hAnsi="Book Antiqua"/>
          <w:color w:val="000000" w:themeColor="text1"/>
        </w:rPr>
        <w:t xml:space="preserve">, Díaz-Gómez D, Vilegas-Portero R, Molina-Linde M, Gómez-Bujedo L, Lacalle-Remigio JR. Appropriate management of common bile duct stones: a RAND Corporation/UCLA Appropriateness Method statistical analysis. </w:t>
      </w:r>
      <w:r w:rsidRPr="00A03975">
        <w:rPr>
          <w:rFonts w:ascii="Book Antiqua" w:hAnsi="Book Antiqua"/>
          <w:i/>
          <w:iCs/>
          <w:color w:val="000000" w:themeColor="text1"/>
        </w:rPr>
        <w:t>Surg Endosc</w:t>
      </w:r>
      <w:r w:rsidRPr="00A03975">
        <w:rPr>
          <w:rFonts w:ascii="Book Antiqua" w:hAnsi="Book Antiqua"/>
          <w:color w:val="000000" w:themeColor="text1"/>
        </w:rPr>
        <w:t xml:space="preserve"> 2010; </w:t>
      </w:r>
      <w:r w:rsidRPr="00A03975">
        <w:rPr>
          <w:rFonts w:ascii="Book Antiqua" w:hAnsi="Book Antiqua"/>
          <w:b/>
          <w:bCs/>
          <w:color w:val="000000" w:themeColor="text1"/>
        </w:rPr>
        <w:t>24</w:t>
      </w:r>
      <w:r w:rsidRPr="00A03975">
        <w:rPr>
          <w:rFonts w:ascii="Book Antiqua" w:hAnsi="Book Antiqua"/>
          <w:color w:val="000000" w:themeColor="text1"/>
        </w:rPr>
        <w:t>: 1187-1194 [PMID: 19915905 DOI: 10.1007/s00464-009-0748-0]</w:t>
      </w:r>
    </w:p>
    <w:p w14:paraId="65DA5F7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15 </w:t>
      </w:r>
      <w:r w:rsidRPr="00A03975">
        <w:rPr>
          <w:rFonts w:ascii="Book Antiqua" w:hAnsi="Book Antiqua"/>
          <w:b/>
          <w:bCs/>
          <w:color w:val="000000" w:themeColor="text1"/>
        </w:rPr>
        <w:t>Duncan CB</w:t>
      </w:r>
      <w:r w:rsidRPr="00A03975">
        <w:rPr>
          <w:rFonts w:ascii="Book Antiqua" w:hAnsi="Book Antiqua"/>
          <w:color w:val="000000" w:themeColor="text1"/>
        </w:rPr>
        <w:t>, Riall TS.</w:t>
      </w:r>
      <w:proofErr w:type="gramEnd"/>
      <w:r w:rsidRPr="00A03975">
        <w:rPr>
          <w:rFonts w:ascii="Book Antiqua" w:hAnsi="Book Antiqua"/>
          <w:color w:val="000000" w:themeColor="text1"/>
        </w:rPr>
        <w:t xml:space="preserve"> Evidence-based current surgical practice: calculous gallbladder disease. </w:t>
      </w:r>
      <w:r w:rsidRPr="00A03975">
        <w:rPr>
          <w:rFonts w:ascii="Book Antiqua" w:hAnsi="Book Antiqua"/>
          <w:i/>
          <w:iCs/>
          <w:color w:val="000000" w:themeColor="text1"/>
        </w:rPr>
        <w:t>J Gastrointest Surg</w:t>
      </w:r>
      <w:r w:rsidRPr="00A03975">
        <w:rPr>
          <w:rFonts w:ascii="Book Antiqua" w:hAnsi="Book Antiqua"/>
          <w:color w:val="000000" w:themeColor="text1"/>
        </w:rPr>
        <w:t xml:space="preserve"> 2012; </w:t>
      </w:r>
      <w:r w:rsidRPr="00A03975">
        <w:rPr>
          <w:rFonts w:ascii="Book Antiqua" w:hAnsi="Book Antiqua"/>
          <w:b/>
          <w:bCs/>
          <w:color w:val="000000" w:themeColor="text1"/>
        </w:rPr>
        <w:t>16</w:t>
      </w:r>
      <w:r w:rsidRPr="00A03975">
        <w:rPr>
          <w:rFonts w:ascii="Book Antiqua" w:hAnsi="Book Antiqua"/>
          <w:color w:val="000000" w:themeColor="text1"/>
        </w:rPr>
        <w:t>: 2011-2025 [PMID: 22986769 DOI: 10.1007/s11605-012-2024-1]</w:t>
      </w:r>
    </w:p>
    <w:p w14:paraId="058C72C8"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16 </w:t>
      </w:r>
      <w:r w:rsidRPr="00A03975">
        <w:rPr>
          <w:rFonts w:ascii="Book Antiqua" w:hAnsi="Book Antiqua"/>
          <w:b/>
          <w:bCs/>
          <w:color w:val="000000" w:themeColor="text1"/>
        </w:rPr>
        <w:t>Lahmann BE</w:t>
      </w:r>
      <w:r w:rsidRPr="00A03975">
        <w:rPr>
          <w:rFonts w:ascii="Book Antiqua" w:hAnsi="Book Antiqua"/>
          <w:color w:val="000000" w:themeColor="text1"/>
        </w:rPr>
        <w:t xml:space="preserve">, Adrales G, Schwartz RW. Choledocholithiasis--principles of diagnosis and management. </w:t>
      </w:r>
      <w:r w:rsidRPr="00A03975">
        <w:rPr>
          <w:rFonts w:ascii="Book Antiqua" w:hAnsi="Book Antiqua"/>
          <w:i/>
          <w:iCs/>
          <w:color w:val="000000" w:themeColor="text1"/>
        </w:rPr>
        <w:t>Curr Surg</w:t>
      </w:r>
      <w:r w:rsidRPr="00A03975">
        <w:rPr>
          <w:rFonts w:ascii="Book Antiqua" w:hAnsi="Book Antiqua"/>
          <w:color w:val="000000" w:themeColor="text1"/>
        </w:rPr>
        <w:t xml:space="preserve"> 2004; </w:t>
      </w:r>
      <w:r w:rsidRPr="00A03975">
        <w:rPr>
          <w:rFonts w:ascii="Book Antiqua" w:hAnsi="Book Antiqua"/>
          <w:b/>
          <w:bCs/>
          <w:color w:val="000000" w:themeColor="text1"/>
        </w:rPr>
        <w:t>61</w:t>
      </w:r>
      <w:r w:rsidRPr="00A03975">
        <w:rPr>
          <w:rFonts w:ascii="Book Antiqua" w:hAnsi="Book Antiqua"/>
          <w:color w:val="000000" w:themeColor="text1"/>
        </w:rPr>
        <w:t>: 290-293 [PMID: 15165768 DOI: 10.1016/j.cursur.2003.07.014]</w:t>
      </w:r>
    </w:p>
    <w:p w14:paraId="781C186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17 </w:t>
      </w:r>
      <w:r w:rsidRPr="00A03975">
        <w:rPr>
          <w:rFonts w:ascii="Book Antiqua" w:hAnsi="Book Antiqua"/>
          <w:b/>
          <w:bCs/>
          <w:color w:val="000000" w:themeColor="text1"/>
        </w:rPr>
        <w:t>Li MK</w:t>
      </w:r>
      <w:r w:rsidRPr="00A03975">
        <w:rPr>
          <w:rFonts w:ascii="Book Antiqua" w:hAnsi="Book Antiqua"/>
          <w:color w:val="000000" w:themeColor="text1"/>
        </w:rPr>
        <w:t>, Tang CN, Lai EC.</w:t>
      </w:r>
      <w:proofErr w:type="gramEnd"/>
      <w:r w:rsidRPr="00A03975">
        <w:rPr>
          <w:rFonts w:ascii="Book Antiqua" w:hAnsi="Book Antiqua"/>
          <w:color w:val="000000" w:themeColor="text1"/>
        </w:rPr>
        <w:t xml:space="preserve"> Managing concomitant gallbladder stones and common bile duct stones in the laparoscopic era: a systematic review. </w:t>
      </w:r>
      <w:r w:rsidRPr="00A03975">
        <w:rPr>
          <w:rFonts w:ascii="Book Antiqua" w:hAnsi="Book Antiqua"/>
          <w:i/>
          <w:iCs/>
          <w:color w:val="000000" w:themeColor="text1"/>
        </w:rPr>
        <w:t>Asian J Endosc Surg</w:t>
      </w:r>
      <w:r w:rsidRPr="00A03975">
        <w:rPr>
          <w:rFonts w:ascii="Book Antiqua" w:hAnsi="Book Antiqua"/>
          <w:color w:val="000000" w:themeColor="text1"/>
        </w:rPr>
        <w:t xml:space="preserve"> 2011; </w:t>
      </w:r>
      <w:r w:rsidRPr="00A03975">
        <w:rPr>
          <w:rFonts w:ascii="Book Antiqua" w:hAnsi="Book Antiqua"/>
          <w:b/>
          <w:bCs/>
          <w:color w:val="000000" w:themeColor="text1"/>
        </w:rPr>
        <w:t>4</w:t>
      </w:r>
      <w:r w:rsidRPr="00A03975">
        <w:rPr>
          <w:rFonts w:ascii="Book Antiqua" w:hAnsi="Book Antiqua"/>
          <w:color w:val="000000" w:themeColor="text1"/>
        </w:rPr>
        <w:t>: 53-58 [PMID: 22776221 DOI: 10.1111/j.1758-5910.2011.00073.x]</w:t>
      </w:r>
    </w:p>
    <w:p w14:paraId="68E0242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18 </w:t>
      </w:r>
      <w:r w:rsidRPr="00A03975">
        <w:rPr>
          <w:rFonts w:ascii="Book Antiqua" w:hAnsi="Book Antiqua"/>
          <w:b/>
          <w:bCs/>
          <w:color w:val="000000" w:themeColor="text1"/>
        </w:rPr>
        <w:t>Almadi MA</w:t>
      </w:r>
      <w:r w:rsidRPr="00A03975">
        <w:rPr>
          <w:rFonts w:ascii="Book Antiqua" w:hAnsi="Book Antiqua"/>
          <w:color w:val="000000" w:themeColor="text1"/>
        </w:rPr>
        <w:t>, Barkun JS, Barkun AN. Management of suspected stones in the common bile duct.</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CMAJ</w:t>
      </w:r>
      <w:r w:rsidRPr="00A03975">
        <w:rPr>
          <w:rFonts w:ascii="Book Antiqua" w:hAnsi="Book Antiqua"/>
          <w:color w:val="000000" w:themeColor="text1"/>
        </w:rPr>
        <w:t xml:space="preserve"> 2012; </w:t>
      </w:r>
      <w:r w:rsidRPr="00A03975">
        <w:rPr>
          <w:rFonts w:ascii="Book Antiqua" w:hAnsi="Book Antiqua"/>
          <w:b/>
          <w:bCs/>
          <w:color w:val="000000" w:themeColor="text1"/>
        </w:rPr>
        <w:t>184</w:t>
      </w:r>
      <w:r w:rsidRPr="00A03975">
        <w:rPr>
          <w:rFonts w:ascii="Book Antiqua" w:hAnsi="Book Antiqua"/>
          <w:color w:val="000000" w:themeColor="text1"/>
        </w:rPr>
        <w:t>: 884-892 [PMID: 22508980 DOI: 10.1503/cmaj.110896]</w:t>
      </w:r>
    </w:p>
    <w:p w14:paraId="79D7704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19 </w:t>
      </w:r>
      <w:r w:rsidRPr="00A03975">
        <w:rPr>
          <w:rFonts w:ascii="Book Antiqua" w:hAnsi="Book Antiqua"/>
          <w:b/>
          <w:bCs/>
          <w:color w:val="000000" w:themeColor="text1"/>
        </w:rPr>
        <w:t>De Palma GD</w:t>
      </w:r>
      <w:r w:rsidRPr="00A03975">
        <w:rPr>
          <w:rFonts w:ascii="Book Antiqua" w:hAnsi="Book Antiqua"/>
          <w:color w:val="000000" w:themeColor="text1"/>
        </w:rPr>
        <w:t xml:space="preserve">. Minimally invasive treatment of cholecysto-choledocal lithiasis: The point of view of the surgical endoscopist. </w:t>
      </w:r>
      <w:r w:rsidRPr="00A03975">
        <w:rPr>
          <w:rFonts w:ascii="Book Antiqua" w:hAnsi="Book Antiqua"/>
          <w:i/>
          <w:iCs/>
          <w:color w:val="000000" w:themeColor="text1"/>
        </w:rPr>
        <w:t>World J Gastrointest Surg</w:t>
      </w:r>
      <w:r w:rsidRPr="00A03975">
        <w:rPr>
          <w:rFonts w:ascii="Book Antiqua" w:hAnsi="Book Antiqua"/>
          <w:color w:val="000000" w:themeColor="text1"/>
        </w:rPr>
        <w:t xml:space="preserve"> 2013; </w:t>
      </w:r>
      <w:r w:rsidRPr="00A03975">
        <w:rPr>
          <w:rFonts w:ascii="Book Antiqua" w:hAnsi="Book Antiqua"/>
          <w:b/>
          <w:bCs/>
          <w:color w:val="000000" w:themeColor="text1"/>
        </w:rPr>
        <w:t>5</w:t>
      </w:r>
      <w:r w:rsidRPr="00A03975">
        <w:rPr>
          <w:rFonts w:ascii="Book Antiqua" w:hAnsi="Book Antiqua"/>
          <w:color w:val="000000" w:themeColor="text1"/>
        </w:rPr>
        <w:t>: 161-166 [PMID: 23977417 DOI: 10.4240/wjgs.v5.i6.161]</w:t>
      </w:r>
    </w:p>
    <w:p w14:paraId="58FBA05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20 </w:t>
      </w:r>
      <w:r w:rsidRPr="00A03975">
        <w:rPr>
          <w:rFonts w:ascii="Book Antiqua" w:hAnsi="Book Antiqua"/>
          <w:b/>
          <w:bCs/>
          <w:color w:val="000000" w:themeColor="text1"/>
        </w:rPr>
        <w:t>Buxbaum J</w:t>
      </w:r>
      <w:r w:rsidRPr="00A03975">
        <w:rPr>
          <w:rFonts w:ascii="Book Antiqua" w:hAnsi="Book Antiqua"/>
          <w:color w:val="000000" w:themeColor="text1"/>
        </w:rPr>
        <w:t>. Modern management of common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Endosc Clin N Am</w:t>
      </w:r>
      <w:r w:rsidRPr="00A03975">
        <w:rPr>
          <w:rFonts w:ascii="Book Antiqua" w:hAnsi="Book Antiqua"/>
          <w:color w:val="000000" w:themeColor="text1"/>
        </w:rPr>
        <w:t xml:space="preserve"> 2013; </w:t>
      </w:r>
      <w:r w:rsidRPr="00A03975">
        <w:rPr>
          <w:rFonts w:ascii="Book Antiqua" w:hAnsi="Book Antiqua"/>
          <w:b/>
          <w:bCs/>
          <w:color w:val="000000" w:themeColor="text1"/>
        </w:rPr>
        <w:t>23</w:t>
      </w:r>
      <w:r w:rsidRPr="00A03975">
        <w:rPr>
          <w:rFonts w:ascii="Book Antiqua" w:hAnsi="Book Antiqua"/>
          <w:color w:val="000000" w:themeColor="text1"/>
        </w:rPr>
        <w:t>: 251-275 [PMID: 23540960 DOI: 10.1016/j.giec.2012.12.003]</w:t>
      </w:r>
    </w:p>
    <w:p w14:paraId="48434BA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21 </w:t>
      </w:r>
      <w:r w:rsidRPr="00A03975">
        <w:rPr>
          <w:rFonts w:ascii="Book Antiqua" w:hAnsi="Book Antiqua"/>
          <w:b/>
          <w:bCs/>
          <w:color w:val="000000" w:themeColor="text1"/>
        </w:rPr>
        <w:t>Marschall HU</w:t>
      </w:r>
      <w:r w:rsidRPr="00A03975">
        <w:rPr>
          <w:rFonts w:ascii="Book Antiqua" w:hAnsi="Book Antiqua"/>
          <w:color w:val="000000" w:themeColor="text1"/>
        </w:rPr>
        <w:t>, Einarsson C. Gallstone disease.</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J Intern Med</w:t>
      </w:r>
      <w:r w:rsidRPr="00A03975">
        <w:rPr>
          <w:rFonts w:ascii="Book Antiqua" w:hAnsi="Book Antiqua"/>
          <w:color w:val="000000" w:themeColor="text1"/>
        </w:rPr>
        <w:t xml:space="preserve"> 2007; </w:t>
      </w:r>
      <w:r w:rsidRPr="00A03975">
        <w:rPr>
          <w:rFonts w:ascii="Book Antiqua" w:hAnsi="Book Antiqua"/>
          <w:b/>
          <w:bCs/>
          <w:color w:val="000000" w:themeColor="text1"/>
        </w:rPr>
        <w:t>261</w:t>
      </w:r>
      <w:r w:rsidRPr="00A03975">
        <w:rPr>
          <w:rFonts w:ascii="Book Antiqua" w:hAnsi="Book Antiqua"/>
          <w:color w:val="000000" w:themeColor="text1"/>
        </w:rPr>
        <w:t>: 529-542 [PMID: 17547709 DOI: 10.1111/j.1365-2796.2007.01783.x]</w:t>
      </w:r>
    </w:p>
    <w:p w14:paraId="58BB016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22 </w:t>
      </w:r>
      <w:r w:rsidRPr="00A03975">
        <w:rPr>
          <w:rFonts w:ascii="Book Antiqua" w:hAnsi="Book Antiqua"/>
          <w:b/>
          <w:bCs/>
          <w:color w:val="000000" w:themeColor="text1"/>
        </w:rPr>
        <w:t>Everhart JE</w:t>
      </w:r>
      <w:r w:rsidRPr="00A03975">
        <w:rPr>
          <w:rFonts w:ascii="Book Antiqua" w:hAnsi="Book Antiqua"/>
          <w:color w:val="000000" w:themeColor="text1"/>
        </w:rPr>
        <w:t>.</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Gallstones and ethnicity in the Americas.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J Assoc Acad Minor Phys</w:t>
      </w:r>
      <w:r w:rsidRPr="00A03975">
        <w:rPr>
          <w:rFonts w:ascii="Book Antiqua" w:hAnsi="Book Antiqua"/>
          <w:color w:val="000000" w:themeColor="text1"/>
        </w:rPr>
        <w:t xml:space="preserve"> 2001; </w:t>
      </w:r>
      <w:r w:rsidRPr="00A03975">
        <w:rPr>
          <w:rFonts w:ascii="Book Antiqua" w:hAnsi="Book Antiqua"/>
          <w:b/>
          <w:bCs/>
          <w:color w:val="000000" w:themeColor="text1"/>
        </w:rPr>
        <w:t>12</w:t>
      </w:r>
      <w:r w:rsidRPr="00A03975">
        <w:rPr>
          <w:rFonts w:ascii="Book Antiqua" w:hAnsi="Book Antiqua"/>
          <w:color w:val="000000" w:themeColor="text1"/>
        </w:rPr>
        <w:t>: 137-143 [PMID: 11858192]</w:t>
      </w:r>
    </w:p>
    <w:p w14:paraId="193229FC"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23 </w:t>
      </w:r>
      <w:r w:rsidRPr="00A03975">
        <w:rPr>
          <w:rFonts w:ascii="Book Antiqua" w:hAnsi="Book Antiqua"/>
          <w:b/>
          <w:bCs/>
          <w:color w:val="000000" w:themeColor="text1"/>
        </w:rPr>
        <w:t>Stinton LM</w:t>
      </w:r>
      <w:r w:rsidRPr="00A03975">
        <w:rPr>
          <w:rFonts w:ascii="Book Antiqua" w:hAnsi="Book Antiqua"/>
          <w:color w:val="000000" w:themeColor="text1"/>
        </w:rPr>
        <w:t xml:space="preserve">, Myers RP, Shaffer EA. Epidemiology of gallstones. </w:t>
      </w:r>
      <w:r w:rsidRPr="00A03975">
        <w:rPr>
          <w:rFonts w:ascii="Book Antiqua" w:hAnsi="Book Antiqua"/>
          <w:i/>
          <w:iCs/>
          <w:color w:val="000000" w:themeColor="text1"/>
        </w:rPr>
        <w:t>Gastroenterol Clin North Am</w:t>
      </w:r>
      <w:r w:rsidRPr="00A03975">
        <w:rPr>
          <w:rFonts w:ascii="Book Antiqua" w:hAnsi="Book Antiqua"/>
          <w:color w:val="000000" w:themeColor="text1"/>
        </w:rPr>
        <w:t xml:space="preserve"> 2010; </w:t>
      </w:r>
      <w:r w:rsidRPr="00A03975">
        <w:rPr>
          <w:rFonts w:ascii="Book Antiqua" w:hAnsi="Book Antiqua"/>
          <w:b/>
          <w:bCs/>
          <w:color w:val="000000" w:themeColor="text1"/>
        </w:rPr>
        <w:t>39</w:t>
      </w:r>
      <w:r w:rsidRPr="00A03975">
        <w:rPr>
          <w:rFonts w:ascii="Book Antiqua" w:hAnsi="Book Antiqua"/>
          <w:color w:val="000000" w:themeColor="text1"/>
        </w:rPr>
        <w:t>: 157-169, vii [PMID: 20478480 DOI: 10.1016/j.gtc.2010.02.003]</w:t>
      </w:r>
    </w:p>
    <w:p w14:paraId="3481604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24 </w:t>
      </w:r>
      <w:r w:rsidRPr="00A03975">
        <w:rPr>
          <w:rFonts w:ascii="Book Antiqua" w:hAnsi="Book Antiqua"/>
          <w:b/>
          <w:bCs/>
          <w:color w:val="000000" w:themeColor="text1"/>
        </w:rPr>
        <w:t>Goljan EF,</w:t>
      </w:r>
      <w:r w:rsidRPr="00A03975">
        <w:rPr>
          <w:rFonts w:ascii="Book Antiqua" w:hAnsi="Book Antiqua"/>
          <w:color w:val="000000" w:themeColor="text1"/>
        </w:rPr>
        <w:t xml:space="preserve"> editor.</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Rapid review Pathology.</w:t>
      </w:r>
      <w:proofErr w:type="gramEnd"/>
      <w:r w:rsidRPr="00A03975">
        <w:rPr>
          <w:rFonts w:ascii="Book Antiqua" w:hAnsi="Book Antiqua"/>
          <w:color w:val="000000" w:themeColor="text1"/>
        </w:rPr>
        <w:t xml:space="preserve"> Philadelphia: Mosby; 2010</w:t>
      </w:r>
    </w:p>
    <w:p w14:paraId="6257FC7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lastRenderedPageBreak/>
        <w:t xml:space="preserve">25 </w:t>
      </w:r>
      <w:r w:rsidRPr="00A03975">
        <w:rPr>
          <w:rFonts w:ascii="Book Antiqua" w:hAnsi="Book Antiqua"/>
          <w:b/>
          <w:bCs/>
          <w:color w:val="000000" w:themeColor="text1"/>
        </w:rPr>
        <w:t>Shrikhande SV</w:t>
      </w:r>
      <w:r w:rsidRPr="00A03975">
        <w:rPr>
          <w:rFonts w:ascii="Book Antiqua" w:hAnsi="Book Antiqua"/>
          <w:color w:val="000000" w:themeColor="text1"/>
        </w:rPr>
        <w:t xml:space="preserve">, Barreto SG, Singh S, Udwadia TE, Agarwal AK. Cholelithiasis in gallbladder cancer: coincidence, cofactor, or cause! </w:t>
      </w:r>
      <w:r w:rsidRPr="00A03975">
        <w:rPr>
          <w:rFonts w:ascii="Book Antiqua" w:hAnsi="Book Antiqua"/>
          <w:i/>
          <w:iCs/>
          <w:color w:val="000000" w:themeColor="text1"/>
        </w:rPr>
        <w:t>Eur J Surg Oncol</w:t>
      </w:r>
      <w:r w:rsidRPr="00A03975">
        <w:rPr>
          <w:rFonts w:ascii="Book Antiqua" w:hAnsi="Book Antiqua"/>
          <w:color w:val="000000" w:themeColor="text1"/>
        </w:rPr>
        <w:t xml:space="preserve"> 2010; </w:t>
      </w:r>
      <w:r w:rsidRPr="00A03975">
        <w:rPr>
          <w:rFonts w:ascii="Book Antiqua" w:hAnsi="Book Antiqua"/>
          <w:b/>
          <w:bCs/>
          <w:color w:val="000000" w:themeColor="text1"/>
        </w:rPr>
        <w:t>36</w:t>
      </w:r>
      <w:r w:rsidRPr="00A03975">
        <w:rPr>
          <w:rFonts w:ascii="Book Antiqua" w:hAnsi="Book Antiqua"/>
          <w:color w:val="000000" w:themeColor="text1"/>
        </w:rPr>
        <w:t>: 514-519 [PMID: 20537839 DOI: 10.1016/j.ejso.2010.05.002]</w:t>
      </w:r>
    </w:p>
    <w:p w14:paraId="647DCF5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26 </w:t>
      </w:r>
      <w:r w:rsidRPr="00A03975">
        <w:rPr>
          <w:rFonts w:ascii="Book Antiqua" w:hAnsi="Book Antiqua"/>
          <w:b/>
          <w:bCs/>
          <w:color w:val="000000" w:themeColor="text1"/>
        </w:rPr>
        <w:t>Festi D</w:t>
      </w:r>
      <w:r w:rsidRPr="00A03975">
        <w:rPr>
          <w:rFonts w:ascii="Book Antiqua" w:hAnsi="Book Antiqua"/>
          <w:color w:val="000000" w:themeColor="text1"/>
        </w:rPr>
        <w:t xml:space="preserve">, Reggiani ML, Attili AF, Loria P, Pazzi P, Scaioli E, Capodicasa S, Romano F, Roda E, Colecchia A. Natural history of gallstone disease: Expectant management or active treatment? Results from a population-based cohort study. </w:t>
      </w:r>
      <w:r w:rsidRPr="00A03975">
        <w:rPr>
          <w:rFonts w:ascii="Book Antiqua" w:hAnsi="Book Antiqua"/>
          <w:i/>
          <w:iCs/>
          <w:color w:val="000000" w:themeColor="text1"/>
        </w:rPr>
        <w:t>J Gastroenterol Hepatol</w:t>
      </w:r>
      <w:r w:rsidRPr="00A03975">
        <w:rPr>
          <w:rFonts w:ascii="Book Antiqua" w:hAnsi="Book Antiqua"/>
          <w:color w:val="000000" w:themeColor="text1"/>
        </w:rPr>
        <w:t xml:space="preserve"> 2010; </w:t>
      </w:r>
      <w:r w:rsidRPr="00A03975">
        <w:rPr>
          <w:rFonts w:ascii="Book Antiqua" w:hAnsi="Book Antiqua"/>
          <w:b/>
          <w:bCs/>
          <w:color w:val="000000" w:themeColor="text1"/>
        </w:rPr>
        <w:t>25</w:t>
      </w:r>
      <w:r w:rsidRPr="00A03975">
        <w:rPr>
          <w:rFonts w:ascii="Book Antiqua" w:hAnsi="Book Antiqua"/>
          <w:color w:val="000000" w:themeColor="text1"/>
        </w:rPr>
        <w:t>: 719-724 [PMID: 20492328 DOI: 10.1111/j.1440-1746.2009.06146.x]</w:t>
      </w:r>
    </w:p>
    <w:p w14:paraId="49889346"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27 </w:t>
      </w:r>
      <w:r w:rsidRPr="00A03975">
        <w:rPr>
          <w:rFonts w:ascii="Book Antiqua" w:hAnsi="Book Antiqua"/>
          <w:b/>
          <w:bCs/>
          <w:color w:val="000000" w:themeColor="text1"/>
        </w:rPr>
        <w:t>Shabanzadeh DM</w:t>
      </w:r>
      <w:r w:rsidRPr="00A03975">
        <w:rPr>
          <w:rFonts w:ascii="Book Antiqua" w:hAnsi="Book Antiqua"/>
          <w:color w:val="000000" w:themeColor="text1"/>
        </w:rPr>
        <w:t xml:space="preserve">, Sørensen LT, Jørgensen T. A Prediction Rule for Risk Stratification of Incidentally Discovered Gallstones: Results </w:t>
      </w:r>
      <w:proofErr w:type="gramStart"/>
      <w:r w:rsidRPr="00A03975">
        <w:rPr>
          <w:rFonts w:ascii="Book Antiqua" w:hAnsi="Book Antiqua"/>
          <w:color w:val="000000" w:themeColor="text1"/>
        </w:rPr>
        <w:t>From</w:t>
      </w:r>
      <w:proofErr w:type="gramEnd"/>
      <w:r w:rsidRPr="00A03975">
        <w:rPr>
          <w:rFonts w:ascii="Book Antiqua" w:hAnsi="Book Antiqua"/>
          <w:color w:val="000000" w:themeColor="text1"/>
        </w:rPr>
        <w:t xml:space="preserve"> a Large Cohort Study. </w:t>
      </w:r>
      <w:r w:rsidRPr="00A03975">
        <w:rPr>
          <w:rFonts w:ascii="Book Antiqua" w:hAnsi="Book Antiqua"/>
          <w:i/>
          <w:iCs/>
          <w:color w:val="000000" w:themeColor="text1"/>
        </w:rPr>
        <w:t>Gastroenterology</w:t>
      </w:r>
      <w:r w:rsidRPr="00A03975">
        <w:rPr>
          <w:rFonts w:ascii="Book Antiqua" w:hAnsi="Book Antiqua"/>
          <w:color w:val="000000" w:themeColor="text1"/>
        </w:rPr>
        <w:t xml:space="preserve"> 2016; </w:t>
      </w:r>
      <w:r w:rsidRPr="00A03975">
        <w:rPr>
          <w:rFonts w:ascii="Book Antiqua" w:hAnsi="Book Antiqua"/>
          <w:b/>
          <w:bCs/>
          <w:color w:val="000000" w:themeColor="text1"/>
        </w:rPr>
        <w:t>150</w:t>
      </w:r>
      <w:r w:rsidRPr="00A03975">
        <w:rPr>
          <w:rFonts w:ascii="Book Antiqua" w:hAnsi="Book Antiqua"/>
          <w:color w:val="000000" w:themeColor="text1"/>
        </w:rPr>
        <w:t>: 156-167.e1 [PMID: 26375367 DOI: 10.1053/j.gastro.2015.09.002]</w:t>
      </w:r>
    </w:p>
    <w:p w14:paraId="1786CDA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28 </w:t>
      </w:r>
      <w:r w:rsidRPr="00A03975">
        <w:rPr>
          <w:rFonts w:ascii="Book Antiqua" w:hAnsi="Book Antiqua"/>
          <w:b/>
          <w:bCs/>
          <w:color w:val="000000" w:themeColor="text1"/>
        </w:rPr>
        <w:t>Sakorafas GH</w:t>
      </w:r>
      <w:r w:rsidRPr="00A03975">
        <w:rPr>
          <w:rFonts w:ascii="Book Antiqua" w:hAnsi="Book Antiqua"/>
          <w:color w:val="000000" w:themeColor="text1"/>
        </w:rPr>
        <w:t xml:space="preserve">, Milingos D, Peros G. Asymptomatic cholelithiasis: is cholecystectomy really needed? </w:t>
      </w:r>
      <w:proofErr w:type="gramStart"/>
      <w:r w:rsidRPr="00A03975">
        <w:rPr>
          <w:rFonts w:ascii="Book Antiqua" w:hAnsi="Book Antiqua"/>
          <w:color w:val="000000" w:themeColor="text1"/>
        </w:rPr>
        <w:t>A critical reappraisal 15 years after the introduction of laparoscopic cholecystectomy.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Dig Dis Sci</w:t>
      </w:r>
      <w:r w:rsidRPr="00A03975">
        <w:rPr>
          <w:rFonts w:ascii="Book Antiqua" w:hAnsi="Book Antiqua"/>
          <w:color w:val="000000" w:themeColor="text1"/>
        </w:rPr>
        <w:t xml:space="preserve"> 2007; </w:t>
      </w:r>
      <w:r w:rsidRPr="00A03975">
        <w:rPr>
          <w:rFonts w:ascii="Book Antiqua" w:hAnsi="Book Antiqua"/>
          <w:b/>
          <w:bCs/>
          <w:color w:val="000000" w:themeColor="text1"/>
        </w:rPr>
        <w:t>52</w:t>
      </w:r>
      <w:r w:rsidRPr="00A03975">
        <w:rPr>
          <w:rFonts w:ascii="Book Antiqua" w:hAnsi="Book Antiqua"/>
          <w:color w:val="000000" w:themeColor="text1"/>
        </w:rPr>
        <w:t>: 1313-1325 [PMID: 17390223 DOI: 10.1007/s10620-006-9107-3]</w:t>
      </w:r>
    </w:p>
    <w:p w14:paraId="298B743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29 </w:t>
      </w:r>
      <w:r w:rsidRPr="00A03975">
        <w:rPr>
          <w:rFonts w:ascii="Book Antiqua" w:hAnsi="Book Antiqua"/>
          <w:b/>
          <w:bCs/>
          <w:color w:val="000000" w:themeColor="text1"/>
        </w:rPr>
        <w:t>Cianci P</w:t>
      </w:r>
      <w:r w:rsidRPr="00A03975">
        <w:rPr>
          <w:rFonts w:ascii="Book Antiqua" w:hAnsi="Book Antiqua"/>
          <w:color w:val="000000" w:themeColor="text1"/>
        </w:rPr>
        <w:t>, Tartaglia N, Fersini A. Pain control after laparoscopic cholecystectomy.</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A prospective study.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Ann Ital Chir</w:t>
      </w:r>
      <w:r w:rsidRPr="00A03975">
        <w:rPr>
          <w:rFonts w:ascii="Book Antiqua" w:hAnsi="Book Antiqua"/>
          <w:color w:val="000000" w:themeColor="text1"/>
        </w:rPr>
        <w:t xml:space="preserve"> 2020; </w:t>
      </w:r>
      <w:r w:rsidRPr="00A03975">
        <w:rPr>
          <w:rFonts w:ascii="Book Antiqua" w:hAnsi="Book Antiqua"/>
          <w:b/>
          <w:bCs/>
          <w:color w:val="000000" w:themeColor="text1"/>
        </w:rPr>
        <w:t>91</w:t>
      </w:r>
      <w:r w:rsidRPr="00A03975">
        <w:rPr>
          <w:rFonts w:ascii="Book Antiqua" w:hAnsi="Book Antiqua"/>
          <w:color w:val="000000" w:themeColor="text1"/>
        </w:rPr>
        <w:t>: 611-616 [PMID: 32543463]</w:t>
      </w:r>
    </w:p>
    <w:p w14:paraId="65F6ADA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30 </w:t>
      </w:r>
      <w:r w:rsidRPr="00A03975">
        <w:rPr>
          <w:rFonts w:ascii="Book Antiqua" w:hAnsi="Book Antiqua"/>
          <w:b/>
          <w:bCs/>
          <w:color w:val="000000" w:themeColor="text1"/>
        </w:rPr>
        <w:t>Möller M</w:t>
      </w:r>
      <w:r w:rsidRPr="00A03975">
        <w:rPr>
          <w:rFonts w:ascii="Book Antiqua" w:hAnsi="Book Antiqua"/>
          <w:color w:val="000000" w:themeColor="text1"/>
        </w:rPr>
        <w:t xml:space="preserve">, Gustafsson U, Rasmussen F, Persson G, Thorell A. Natural course vs interventions to clear common bile duct stones: data from the Swedish Registry for Gallstone Surgery and Endoscopic Retrograde Cholangiopancreatography (GallRiks). </w:t>
      </w:r>
      <w:r w:rsidRPr="00A03975">
        <w:rPr>
          <w:rFonts w:ascii="Book Antiqua" w:hAnsi="Book Antiqua"/>
          <w:i/>
          <w:iCs/>
          <w:color w:val="000000" w:themeColor="text1"/>
        </w:rPr>
        <w:t>JAMA Surg</w:t>
      </w:r>
      <w:r w:rsidRPr="00A03975">
        <w:rPr>
          <w:rFonts w:ascii="Book Antiqua" w:hAnsi="Book Antiqua"/>
          <w:color w:val="000000" w:themeColor="text1"/>
        </w:rPr>
        <w:t xml:space="preserve"> 2014; </w:t>
      </w:r>
      <w:r w:rsidRPr="00A03975">
        <w:rPr>
          <w:rFonts w:ascii="Book Antiqua" w:hAnsi="Book Antiqua"/>
          <w:b/>
          <w:bCs/>
          <w:color w:val="000000" w:themeColor="text1"/>
        </w:rPr>
        <w:t>149</w:t>
      </w:r>
      <w:r w:rsidRPr="00A03975">
        <w:rPr>
          <w:rFonts w:ascii="Book Antiqua" w:hAnsi="Book Antiqua"/>
          <w:color w:val="000000" w:themeColor="text1"/>
        </w:rPr>
        <w:t>: 1008-1013 [PMID: 25133326 DOI: 10.1001/jamasurg.2014.249]</w:t>
      </w:r>
    </w:p>
    <w:p w14:paraId="4370148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31 </w:t>
      </w:r>
      <w:r w:rsidRPr="00A03975">
        <w:rPr>
          <w:rFonts w:ascii="Book Antiqua" w:hAnsi="Book Antiqua"/>
          <w:b/>
          <w:bCs/>
          <w:color w:val="000000" w:themeColor="text1"/>
        </w:rPr>
        <w:t>Dasari BV</w:t>
      </w:r>
      <w:r w:rsidRPr="00A03975">
        <w:rPr>
          <w:rFonts w:ascii="Book Antiqua" w:hAnsi="Book Antiqua"/>
          <w:color w:val="000000" w:themeColor="text1"/>
        </w:rPr>
        <w:t xml:space="preserve">, Tan CJ, Gurusamy KS, Martin DJ, Kirk G, McKie L, Diamond T, Taylor MA. </w:t>
      </w:r>
      <w:proofErr w:type="gramStart"/>
      <w:r w:rsidRPr="00A03975">
        <w:rPr>
          <w:rFonts w:ascii="Book Antiqua" w:hAnsi="Book Antiqua"/>
          <w:color w:val="000000" w:themeColor="text1"/>
        </w:rPr>
        <w:t>Surgical versus endoscopic treatment of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Cochrane Database Syst Rev</w:t>
      </w:r>
      <w:r w:rsidRPr="00A03975">
        <w:rPr>
          <w:rFonts w:ascii="Book Antiqua" w:hAnsi="Book Antiqua"/>
          <w:color w:val="000000" w:themeColor="text1"/>
        </w:rPr>
        <w:t xml:space="preserve"> 2013: CD003327 [PMID: 24338858 DOI: 10.1002/14651858.CD003327.pub4]</w:t>
      </w:r>
    </w:p>
    <w:p w14:paraId="3DCFDEA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32 </w:t>
      </w:r>
      <w:r w:rsidRPr="00A03975">
        <w:rPr>
          <w:rFonts w:ascii="Book Antiqua" w:hAnsi="Book Antiqua"/>
          <w:b/>
          <w:bCs/>
          <w:color w:val="000000" w:themeColor="text1"/>
        </w:rPr>
        <w:t>Yang MH</w:t>
      </w:r>
      <w:r w:rsidRPr="00A03975">
        <w:rPr>
          <w:rFonts w:ascii="Book Antiqua" w:hAnsi="Book Antiqua"/>
          <w:color w:val="000000" w:themeColor="text1"/>
        </w:rPr>
        <w:t xml:space="preserve">, Chen TH, Wang SE, Tsai YF, Su CH, Wu CW, Lui WY, Shyr YM. </w:t>
      </w:r>
      <w:proofErr w:type="gramStart"/>
      <w:r w:rsidRPr="00A03975">
        <w:rPr>
          <w:rFonts w:ascii="Book Antiqua" w:hAnsi="Book Antiqua"/>
          <w:color w:val="000000" w:themeColor="text1"/>
        </w:rPr>
        <w:t>Biochemical predictors for absence of common bile duct stones in patients undergoing laparoscopic cholecystectomy.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2008; </w:t>
      </w:r>
      <w:r w:rsidRPr="00A03975">
        <w:rPr>
          <w:rFonts w:ascii="Book Antiqua" w:hAnsi="Book Antiqua"/>
          <w:b/>
          <w:bCs/>
          <w:color w:val="000000" w:themeColor="text1"/>
        </w:rPr>
        <w:t>22</w:t>
      </w:r>
      <w:r w:rsidRPr="00A03975">
        <w:rPr>
          <w:rFonts w:ascii="Book Antiqua" w:hAnsi="Book Antiqua"/>
          <w:color w:val="000000" w:themeColor="text1"/>
        </w:rPr>
        <w:t>: 1620-1624 [PMID: 18000708 DOI: 10.1007/s00464-007-9665-2]</w:t>
      </w:r>
    </w:p>
    <w:p w14:paraId="6A9E5AB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33 </w:t>
      </w:r>
      <w:r w:rsidRPr="00A03975">
        <w:rPr>
          <w:rFonts w:ascii="Book Antiqua" w:hAnsi="Book Antiqua"/>
          <w:b/>
          <w:bCs/>
          <w:color w:val="000000" w:themeColor="text1"/>
        </w:rPr>
        <w:t>Gurusamy KS</w:t>
      </w:r>
      <w:r w:rsidRPr="00A03975">
        <w:rPr>
          <w:rFonts w:ascii="Book Antiqua" w:hAnsi="Book Antiqua"/>
          <w:color w:val="000000" w:themeColor="text1"/>
        </w:rPr>
        <w:t xml:space="preserve">, Giljaca V, Takwoingi Y, Higgie D, Poropat G, Štimac D, Davidson BR. Ultrasound versus liver function tests for diagnosis of common bile duct stones. </w:t>
      </w:r>
      <w:r w:rsidRPr="00A03975">
        <w:rPr>
          <w:rFonts w:ascii="Book Antiqua" w:hAnsi="Book Antiqua"/>
          <w:i/>
          <w:iCs/>
          <w:color w:val="000000" w:themeColor="text1"/>
        </w:rPr>
        <w:lastRenderedPageBreak/>
        <w:t>Cochrane Database Syst Rev</w:t>
      </w:r>
      <w:r w:rsidRPr="00A03975">
        <w:rPr>
          <w:rFonts w:ascii="Book Antiqua" w:hAnsi="Book Antiqua"/>
          <w:color w:val="000000" w:themeColor="text1"/>
        </w:rPr>
        <w:t xml:space="preserve"> 2015: CD011548 [PMID: 25719223 DOI: 10.1002/14651858.CD011548]</w:t>
      </w:r>
    </w:p>
    <w:p w14:paraId="580A8CA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34 </w:t>
      </w:r>
      <w:r w:rsidRPr="00A03975">
        <w:rPr>
          <w:rFonts w:ascii="Book Antiqua" w:hAnsi="Book Antiqua"/>
          <w:b/>
          <w:bCs/>
          <w:color w:val="000000" w:themeColor="text1"/>
        </w:rPr>
        <w:t>Sarli L</w:t>
      </w:r>
      <w:r w:rsidRPr="00A03975">
        <w:rPr>
          <w:rFonts w:ascii="Book Antiqua" w:hAnsi="Book Antiqua"/>
          <w:color w:val="000000" w:themeColor="text1"/>
        </w:rPr>
        <w:t xml:space="preserve">, Costi R, Gobbi S, Iusco D, Sgobba G, Roncoroni L. Scoring system to predict asymptomatic choledocholithiasis before laparoscopic cholecystectomy. </w:t>
      </w:r>
      <w:proofErr w:type="gramStart"/>
      <w:r w:rsidRPr="00A03975">
        <w:rPr>
          <w:rFonts w:ascii="Book Antiqua" w:hAnsi="Book Antiqua"/>
          <w:color w:val="000000" w:themeColor="text1"/>
        </w:rPr>
        <w:t>A matched case-control study.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2003; </w:t>
      </w:r>
      <w:r w:rsidRPr="00A03975">
        <w:rPr>
          <w:rFonts w:ascii="Book Antiqua" w:hAnsi="Book Antiqua"/>
          <w:b/>
          <w:bCs/>
          <w:color w:val="000000" w:themeColor="text1"/>
        </w:rPr>
        <w:t>17</w:t>
      </w:r>
      <w:r w:rsidRPr="00A03975">
        <w:rPr>
          <w:rFonts w:ascii="Book Antiqua" w:hAnsi="Book Antiqua"/>
          <w:color w:val="000000" w:themeColor="text1"/>
        </w:rPr>
        <w:t>: 1396-1403 [PMID: 12802652 DOI: 10.1007/s00464-002-9200-4]</w:t>
      </w:r>
    </w:p>
    <w:p w14:paraId="27C28D4E"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35 </w:t>
      </w:r>
      <w:r w:rsidRPr="00A03975">
        <w:rPr>
          <w:rFonts w:ascii="Book Antiqua" w:hAnsi="Book Antiqua"/>
          <w:b/>
          <w:bCs/>
          <w:color w:val="000000" w:themeColor="text1"/>
        </w:rPr>
        <w:t>Barkun AN</w:t>
      </w:r>
      <w:r w:rsidRPr="00A03975">
        <w:rPr>
          <w:rFonts w:ascii="Book Antiqua" w:hAnsi="Book Antiqua"/>
          <w:color w:val="000000" w:themeColor="text1"/>
        </w:rPr>
        <w:t xml:space="preserve">, Barkun JS, Fried GM, Ghitulescu G, Steinmetz O, Pham C, Meakins JL, Goresky CA. Useful predictors of bile duct stones in patients undergoing laparoscopic cholecystectomy. McGill Gallstone Treatment Group. </w:t>
      </w:r>
      <w:r w:rsidRPr="00A03975">
        <w:rPr>
          <w:rFonts w:ascii="Book Antiqua" w:hAnsi="Book Antiqua"/>
          <w:i/>
          <w:iCs/>
          <w:color w:val="000000" w:themeColor="text1"/>
        </w:rPr>
        <w:t>Ann Surg</w:t>
      </w:r>
      <w:r w:rsidRPr="00A03975">
        <w:rPr>
          <w:rFonts w:ascii="Book Antiqua" w:hAnsi="Book Antiqua"/>
          <w:color w:val="000000" w:themeColor="text1"/>
        </w:rPr>
        <w:t xml:space="preserve"> 1994; </w:t>
      </w:r>
      <w:r w:rsidRPr="00A03975">
        <w:rPr>
          <w:rFonts w:ascii="Book Antiqua" w:hAnsi="Book Antiqua"/>
          <w:b/>
          <w:bCs/>
          <w:color w:val="000000" w:themeColor="text1"/>
        </w:rPr>
        <w:t>220</w:t>
      </w:r>
      <w:r w:rsidRPr="00A03975">
        <w:rPr>
          <w:rFonts w:ascii="Book Antiqua" w:hAnsi="Book Antiqua"/>
          <w:color w:val="000000" w:themeColor="text1"/>
        </w:rPr>
        <w:t>: 32-39 [PMID: 7517657 DOI: 10.1097/00000658-199407000-00006]</w:t>
      </w:r>
    </w:p>
    <w:p w14:paraId="6DB3AA5F"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36 </w:t>
      </w:r>
      <w:r w:rsidRPr="00A03975">
        <w:rPr>
          <w:rFonts w:ascii="Book Antiqua" w:hAnsi="Book Antiqua"/>
          <w:b/>
          <w:bCs/>
          <w:color w:val="000000" w:themeColor="text1"/>
        </w:rPr>
        <w:t>Menezes N</w:t>
      </w:r>
      <w:r w:rsidRPr="00A03975">
        <w:rPr>
          <w:rFonts w:ascii="Book Antiqua" w:hAnsi="Book Antiqua"/>
          <w:color w:val="000000" w:themeColor="text1"/>
        </w:rPr>
        <w:t xml:space="preserve">, Marson LP, debeaux AC, Muir IM, Auld CD. </w:t>
      </w:r>
      <w:proofErr w:type="gramStart"/>
      <w:r w:rsidRPr="00A03975">
        <w:rPr>
          <w:rFonts w:ascii="Book Antiqua" w:hAnsi="Book Antiqua"/>
          <w:color w:val="000000" w:themeColor="text1"/>
        </w:rPr>
        <w:t>Prospective analysis of a scoring system to predict choledocholithiasis.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Br J Surg</w:t>
      </w:r>
      <w:r w:rsidRPr="00A03975">
        <w:rPr>
          <w:rFonts w:ascii="Book Antiqua" w:hAnsi="Book Antiqua"/>
          <w:color w:val="000000" w:themeColor="text1"/>
        </w:rPr>
        <w:t xml:space="preserve"> 2000; </w:t>
      </w:r>
      <w:r w:rsidRPr="00A03975">
        <w:rPr>
          <w:rFonts w:ascii="Book Antiqua" w:hAnsi="Book Antiqua"/>
          <w:b/>
          <w:bCs/>
          <w:color w:val="000000" w:themeColor="text1"/>
        </w:rPr>
        <w:t>87</w:t>
      </w:r>
      <w:r w:rsidRPr="00A03975">
        <w:rPr>
          <w:rFonts w:ascii="Book Antiqua" w:hAnsi="Book Antiqua"/>
          <w:color w:val="000000" w:themeColor="text1"/>
        </w:rPr>
        <w:t>: 1176-1181 [PMID: 10971424 DOI: 10.1046/j.1365-2168.2000.01511.x]</w:t>
      </w:r>
    </w:p>
    <w:p w14:paraId="209BF1D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37 </w:t>
      </w:r>
      <w:r w:rsidRPr="00A03975">
        <w:rPr>
          <w:rFonts w:ascii="Book Antiqua" w:hAnsi="Book Antiqua"/>
          <w:b/>
          <w:bCs/>
          <w:color w:val="000000" w:themeColor="text1"/>
        </w:rPr>
        <w:t>Houdart R</w:t>
      </w:r>
      <w:r w:rsidRPr="00A03975">
        <w:rPr>
          <w:rFonts w:ascii="Book Antiqua" w:hAnsi="Book Antiqua"/>
          <w:color w:val="000000" w:themeColor="text1"/>
        </w:rPr>
        <w:t xml:space="preserve">, Perniceni T, Darne B, Salmeron M, Simon JF. </w:t>
      </w:r>
      <w:proofErr w:type="gramStart"/>
      <w:r w:rsidRPr="00A03975">
        <w:rPr>
          <w:rFonts w:ascii="Book Antiqua" w:hAnsi="Book Antiqua"/>
          <w:color w:val="000000" w:themeColor="text1"/>
        </w:rPr>
        <w:t>Predicting common bile duct lithiasis: determination and prospective validation of a model predicting low risk.</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Am J Surg</w:t>
      </w:r>
      <w:r w:rsidRPr="00A03975">
        <w:rPr>
          <w:rFonts w:ascii="Book Antiqua" w:hAnsi="Book Antiqua"/>
          <w:color w:val="000000" w:themeColor="text1"/>
        </w:rPr>
        <w:t xml:space="preserve"> 1995; </w:t>
      </w:r>
      <w:r w:rsidRPr="00A03975">
        <w:rPr>
          <w:rFonts w:ascii="Book Antiqua" w:hAnsi="Book Antiqua"/>
          <w:b/>
          <w:bCs/>
          <w:color w:val="000000" w:themeColor="text1"/>
        </w:rPr>
        <w:t>170</w:t>
      </w:r>
      <w:r w:rsidRPr="00A03975">
        <w:rPr>
          <w:rFonts w:ascii="Book Antiqua" w:hAnsi="Book Antiqua"/>
          <w:color w:val="000000" w:themeColor="text1"/>
        </w:rPr>
        <w:t>: 38-43 [PMID: 7793492 DOI: 10.1016/s0002-9610(99)80249-9]</w:t>
      </w:r>
    </w:p>
    <w:p w14:paraId="19991A7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38 </w:t>
      </w:r>
      <w:r w:rsidRPr="00A03975">
        <w:rPr>
          <w:rFonts w:ascii="Book Antiqua" w:hAnsi="Book Antiqua"/>
          <w:b/>
          <w:bCs/>
          <w:color w:val="000000" w:themeColor="text1"/>
        </w:rPr>
        <w:t>ASGE Standards of Practice Committee</w:t>
      </w:r>
      <w:r w:rsidRPr="00A03975">
        <w:rPr>
          <w:rFonts w:ascii="Book Antiqua" w:hAnsi="Book Antiqua"/>
          <w:color w:val="000000" w:themeColor="text1"/>
        </w:rPr>
        <w:t xml:space="preserve">, Maple JT, Ben-Menachem T, Anderson MA, Appalaneni V, Banerjee S, Cash BD, Fisher L, Harrison ME, Fanelli RD, Fukami N, Ikenberry SO, Jain R, Khan K, Krinsky ML, Strohmeyer L, Dominitz JA. </w:t>
      </w:r>
      <w:proofErr w:type="gramStart"/>
      <w:r w:rsidRPr="00A03975">
        <w:rPr>
          <w:rFonts w:ascii="Book Antiqua" w:hAnsi="Book Antiqua"/>
          <w:color w:val="000000" w:themeColor="text1"/>
        </w:rPr>
        <w:t>The role of endoscopy in the evaluation of suspected choledocholithiasis.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2010; </w:t>
      </w:r>
      <w:r w:rsidRPr="00A03975">
        <w:rPr>
          <w:rFonts w:ascii="Book Antiqua" w:hAnsi="Book Antiqua"/>
          <w:b/>
          <w:bCs/>
          <w:color w:val="000000" w:themeColor="text1"/>
        </w:rPr>
        <w:t>71</w:t>
      </w:r>
      <w:r w:rsidRPr="00A03975">
        <w:rPr>
          <w:rFonts w:ascii="Book Antiqua" w:hAnsi="Book Antiqua"/>
          <w:color w:val="000000" w:themeColor="text1"/>
        </w:rPr>
        <w:t>: 1-9 [PMID: 20105473 DOI: 10.1016/j.gie.2009.09.041]</w:t>
      </w:r>
    </w:p>
    <w:p w14:paraId="2199603C"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39 </w:t>
      </w:r>
      <w:r w:rsidRPr="00A03975">
        <w:rPr>
          <w:rFonts w:ascii="Book Antiqua" w:hAnsi="Book Antiqua"/>
          <w:b/>
          <w:bCs/>
          <w:color w:val="000000" w:themeColor="text1"/>
        </w:rPr>
        <w:t>Tse F</w:t>
      </w:r>
      <w:r w:rsidRPr="00A03975">
        <w:rPr>
          <w:rFonts w:ascii="Book Antiqua" w:hAnsi="Book Antiqua"/>
          <w:color w:val="000000" w:themeColor="text1"/>
        </w:rPr>
        <w:t>, Barkun JS, Barkun AN.</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The elective evaluation of patients with suspected choledocholithiasis undergoing laparoscopic cholecystectomy.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2004; </w:t>
      </w:r>
      <w:r w:rsidRPr="00A03975">
        <w:rPr>
          <w:rFonts w:ascii="Book Antiqua" w:hAnsi="Book Antiqua"/>
          <w:b/>
          <w:bCs/>
          <w:color w:val="000000" w:themeColor="text1"/>
        </w:rPr>
        <w:t>60</w:t>
      </w:r>
      <w:r w:rsidRPr="00A03975">
        <w:rPr>
          <w:rFonts w:ascii="Book Antiqua" w:hAnsi="Book Antiqua"/>
          <w:color w:val="000000" w:themeColor="text1"/>
        </w:rPr>
        <w:t>: 437-448 [PMID: 15332044 DOI: 10.1016/s0016-5107(04)01457-9]</w:t>
      </w:r>
    </w:p>
    <w:p w14:paraId="140DB43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40 </w:t>
      </w:r>
      <w:r w:rsidRPr="00A03975">
        <w:rPr>
          <w:rFonts w:ascii="Book Antiqua" w:hAnsi="Book Antiqua"/>
          <w:b/>
          <w:bCs/>
          <w:color w:val="000000" w:themeColor="text1"/>
        </w:rPr>
        <w:t>Onken JE</w:t>
      </w:r>
      <w:r w:rsidRPr="00A03975">
        <w:rPr>
          <w:rFonts w:ascii="Book Antiqua" w:hAnsi="Book Antiqua"/>
          <w:color w:val="000000" w:themeColor="text1"/>
        </w:rPr>
        <w:t xml:space="preserve">, Brazer SR, Eisen GM, Williams DM, Bouras EP, DeLong ER, Long TT 3rd, Pancotto FS, Rhodes DL, Cotton PB. </w:t>
      </w:r>
      <w:proofErr w:type="gramStart"/>
      <w:r w:rsidRPr="00A03975">
        <w:rPr>
          <w:rFonts w:ascii="Book Antiqua" w:hAnsi="Book Antiqua"/>
          <w:color w:val="000000" w:themeColor="text1"/>
        </w:rPr>
        <w:t>Predicting the presence of choledocholithiasis in patients with symptomatic cholelithiasis.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Am J Gastroenterol</w:t>
      </w:r>
      <w:r w:rsidRPr="00A03975">
        <w:rPr>
          <w:rFonts w:ascii="Book Antiqua" w:hAnsi="Book Antiqua"/>
          <w:color w:val="000000" w:themeColor="text1"/>
        </w:rPr>
        <w:t xml:space="preserve"> 1996; </w:t>
      </w:r>
      <w:r w:rsidRPr="00A03975">
        <w:rPr>
          <w:rFonts w:ascii="Book Antiqua" w:hAnsi="Book Antiqua"/>
          <w:b/>
          <w:bCs/>
          <w:color w:val="000000" w:themeColor="text1"/>
        </w:rPr>
        <w:t>91</w:t>
      </w:r>
      <w:r w:rsidRPr="00A03975">
        <w:rPr>
          <w:rFonts w:ascii="Book Antiqua" w:hAnsi="Book Antiqua"/>
          <w:color w:val="000000" w:themeColor="text1"/>
        </w:rPr>
        <w:t>: 762-767 [PMID: 8677945]</w:t>
      </w:r>
    </w:p>
    <w:p w14:paraId="6CC67FD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41 </w:t>
      </w:r>
      <w:r w:rsidRPr="00A03975">
        <w:rPr>
          <w:rFonts w:ascii="Book Antiqua" w:hAnsi="Book Antiqua"/>
          <w:b/>
          <w:bCs/>
          <w:color w:val="000000" w:themeColor="text1"/>
        </w:rPr>
        <w:t>Prat F</w:t>
      </w:r>
      <w:r w:rsidRPr="00A03975">
        <w:rPr>
          <w:rFonts w:ascii="Book Antiqua" w:hAnsi="Book Antiqua"/>
          <w:color w:val="000000" w:themeColor="text1"/>
        </w:rPr>
        <w:t>, Meduri B, Ducot B, Chiche R, Salimbeni-Bartolini R, Pelletier G. Prediction of common bile duct stones by noninvasive tests.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Ann Surg</w:t>
      </w:r>
      <w:r w:rsidRPr="00A03975">
        <w:rPr>
          <w:rFonts w:ascii="Book Antiqua" w:hAnsi="Book Antiqua"/>
          <w:color w:val="000000" w:themeColor="text1"/>
        </w:rPr>
        <w:t xml:space="preserve"> 1999; </w:t>
      </w:r>
      <w:r w:rsidRPr="00A03975">
        <w:rPr>
          <w:rFonts w:ascii="Book Antiqua" w:hAnsi="Book Antiqua"/>
          <w:b/>
          <w:bCs/>
          <w:color w:val="000000" w:themeColor="text1"/>
        </w:rPr>
        <w:t>229</w:t>
      </w:r>
      <w:r w:rsidRPr="00A03975">
        <w:rPr>
          <w:rFonts w:ascii="Book Antiqua" w:hAnsi="Book Antiqua"/>
          <w:color w:val="000000" w:themeColor="text1"/>
        </w:rPr>
        <w:t>: 362-368 [PMID: 10077048 DOI: 10.1097/00000658-199903000-00009]</w:t>
      </w:r>
    </w:p>
    <w:p w14:paraId="16230BE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lastRenderedPageBreak/>
        <w:t xml:space="preserve">42 </w:t>
      </w:r>
      <w:r w:rsidRPr="00A03975">
        <w:rPr>
          <w:rFonts w:ascii="Book Antiqua" w:hAnsi="Book Antiqua"/>
          <w:b/>
          <w:bCs/>
          <w:color w:val="000000" w:themeColor="text1"/>
        </w:rPr>
        <w:t>Abboud PA</w:t>
      </w:r>
      <w:r w:rsidRPr="00A03975">
        <w:rPr>
          <w:rFonts w:ascii="Book Antiqua" w:hAnsi="Book Antiqua"/>
          <w:color w:val="000000" w:themeColor="text1"/>
        </w:rPr>
        <w:t xml:space="preserve">, Malet PF, Berlin JA, Staroscik R, Cabana MD, Clarke JR, Shea JA, Schwartz JS, Williams SV. Predictors of common bile duct stones prior to cholecystectomy: a meta-analysis.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1996; </w:t>
      </w:r>
      <w:r w:rsidRPr="00A03975">
        <w:rPr>
          <w:rFonts w:ascii="Book Antiqua" w:hAnsi="Book Antiqua"/>
          <w:b/>
          <w:bCs/>
          <w:color w:val="000000" w:themeColor="text1"/>
        </w:rPr>
        <w:t>44</w:t>
      </w:r>
      <w:r w:rsidRPr="00A03975">
        <w:rPr>
          <w:rFonts w:ascii="Book Antiqua" w:hAnsi="Book Antiqua"/>
          <w:color w:val="000000" w:themeColor="text1"/>
        </w:rPr>
        <w:t>: 450-455 [PMID: 8905367 DOI: 10.1016/s0016-5107(96)70098-6]</w:t>
      </w:r>
    </w:p>
    <w:p w14:paraId="598BC088"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43 </w:t>
      </w:r>
      <w:r w:rsidRPr="00A03975">
        <w:rPr>
          <w:rFonts w:ascii="Book Antiqua" w:hAnsi="Book Antiqua"/>
          <w:b/>
          <w:bCs/>
          <w:color w:val="000000" w:themeColor="text1"/>
        </w:rPr>
        <w:t>Topal B</w:t>
      </w:r>
      <w:r w:rsidRPr="00A03975">
        <w:rPr>
          <w:rFonts w:ascii="Book Antiqua" w:hAnsi="Book Antiqua"/>
          <w:color w:val="000000" w:themeColor="text1"/>
        </w:rPr>
        <w:t xml:space="preserve">, Van de Moortel M, Fieuws S, Vanbeckevoort D, Van Steenbergen W, Aerts R, Penninckx F. The value of magnetic resonance cholangiopancreatography in predicting common bile duct stones in patients with gallstone disease. </w:t>
      </w:r>
      <w:r w:rsidRPr="00A03975">
        <w:rPr>
          <w:rFonts w:ascii="Book Antiqua" w:hAnsi="Book Antiqua"/>
          <w:i/>
          <w:iCs/>
          <w:color w:val="000000" w:themeColor="text1"/>
        </w:rPr>
        <w:t>Br J Surg</w:t>
      </w:r>
      <w:r w:rsidRPr="00A03975">
        <w:rPr>
          <w:rFonts w:ascii="Book Antiqua" w:hAnsi="Book Antiqua"/>
          <w:color w:val="000000" w:themeColor="text1"/>
        </w:rPr>
        <w:t xml:space="preserve"> 2003; </w:t>
      </w:r>
      <w:r w:rsidRPr="00A03975">
        <w:rPr>
          <w:rFonts w:ascii="Book Antiqua" w:hAnsi="Book Antiqua"/>
          <w:b/>
          <w:bCs/>
          <w:color w:val="000000" w:themeColor="text1"/>
        </w:rPr>
        <w:t>90</w:t>
      </w:r>
      <w:r w:rsidRPr="00A03975">
        <w:rPr>
          <w:rFonts w:ascii="Book Antiqua" w:hAnsi="Book Antiqua"/>
          <w:color w:val="000000" w:themeColor="text1"/>
        </w:rPr>
        <w:t>: 42-47 [PMID: 12520573 DOI: 10.1002/bjs.4025]</w:t>
      </w:r>
    </w:p>
    <w:p w14:paraId="6165FCA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44 </w:t>
      </w:r>
      <w:r w:rsidRPr="00A03975">
        <w:rPr>
          <w:rFonts w:ascii="Book Antiqua" w:hAnsi="Book Antiqua"/>
          <w:b/>
          <w:bCs/>
          <w:color w:val="000000" w:themeColor="text1"/>
        </w:rPr>
        <w:t>Costi R</w:t>
      </w:r>
      <w:r w:rsidRPr="00A03975">
        <w:rPr>
          <w:rFonts w:ascii="Book Antiqua" w:hAnsi="Book Antiqua"/>
          <w:color w:val="000000" w:themeColor="text1"/>
        </w:rPr>
        <w:t xml:space="preserve">, Sarli L, Caruso G, Iusco D, Gobbi S, Violi V, Roncoroni L. Preoperative ultrasonographic assessment of the number and size of gallbladder stones: is it a useful predictor of asymptomatic choledochal lithiasis? </w:t>
      </w:r>
      <w:r w:rsidRPr="00A03975">
        <w:rPr>
          <w:rFonts w:ascii="Book Antiqua" w:hAnsi="Book Antiqua"/>
          <w:i/>
          <w:iCs/>
          <w:color w:val="000000" w:themeColor="text1"/>
        </w:rPr>
        <w:t>J Ultrasound Med</w:t>
      </w:r>
      <w:r w:rsidRPr="00A03975">
        <w:rPr>
          <w:rFonts w:ascii="Book Antiqua" w:hAnsi="Book Antiqua"/>
          <w:color w:val="000000" w:themeColor="text1"/>
        </w:rPr>
        <w:t xml:space="preserve"> 2002; </w:t>
      </w:r>
      <w:r w:rsidRPr="00A03975">
        <w:rPr>
          <w:rFonts w:ascii="Book Antiqua" w:hAnsi="Book Antiqua"/>
          <w:b/>
          <w:bCs/>
          <w:color w:val="000000" w:themeColor="text1"/>
        </w:rPr>
        <w:t>21</w:t>
      </w:r>
      <w:r w:rsidRPr="00A03975">
        <w:rPr>
          <w:rFonts w:ascii="Book Antiqua" w:hAnsi="Book Antiqua"/>
          <w:color w:val="000000" w:themeColor="text1"/>
        </w:rPr>
        <w:t>: 971-976 [PMID: 12216762 DOI: 10.7863/jum.2002.21.9.971]</w:t>
      </w:r>
    </w:p>
    <w:p w14:paraId="209B0F1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45 </w:t>
      </w:r>
      <w:r w:rsidRPr="00A03975">
        <w:rPr>
          <w:rFonts w:ascii="Book Antiqua" w:hAnsi="Book Antiqua"/>
          <w:b/>
          <w:bCs/>
          <w:color w:val="000000" w:themeColor="text1"/>
        </w:rPr>
        <w:t>Stott MA</w:t>
      </w:r>
      <w:r w:rsidRPr="00A03975">
        <w:rPr>
          <w:rFonts w:ascii="Book Antiqua" w:hAnsi="Book Antiqua"/>
          <w:color w:val="000000" w:themeColor="text1"/>
        </w:rPr>
        <w:t xml:space="preserve">, Farrands PA, Guyer PB, Dewbury KC, Browning JJ, Sutton R. Ultrasound of the common bile duct in patients undergoing cholecystectomy. </w:t>
      </w:r>
      <w:r w:rsidRPr="00A03975">
        <w:rPr>
          <w:rFonts w:ascii="Book Antiqua" w:hAnsi="Book Antiqua"/>
          <w:i/>
          <w:iCs/>
          <w:color w:val="000000" w:themeColor="text1"/>
        </w:rPr>
        <w:t>J Clin Ultrasound</w:t>
      </w:r>
      <w:r w:rsidRPr="00A03975">
        <w:rPr>
          <w:rFonts w:ascii="Book Antiqua" w:hAnsi="Book Antiqua"/>
          <w:color w:val="000000" w:themeColor="text1"/>
        </w:rPr>
        <w:t xml:space="preserve"> 1991; </w:t>
      </w:r>
      <w:r w:rsidRPr="00A03975">
        <w:rPr>
          <w:rFonts w:ascii="Book Antiqua" w:hAnsi="Book Antiqua"/>
          <w:b/>
          <w:bCs/>
          <w:color w:val="000000" w:themeColor="text1"/>
        </w:rPr>
        <w:t>19</w:t>
      </w:r>
      <w:r w:rsidRPr="00A03975">
        <w:rPr>
          <w:rFonts w:ascii="Book Antiqua" w:hAnsi="Book Antiqua"/>
          <w:color w:val="000000" w:themeColor="text1"/>
        </w:rPr>
        <w:t>: 73-76 [PMID: 1847951 DOI: 10.1002/jcu.1870190203]</w:t>
      </w:r>
    </w:p>
    <w:p w14:paraId="779F304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46 </w:t>
      </w:r>
      <w:r w:rsidRPr="00A03975">
        <w:rPr>
          <w:rFonts w:ascii="Book Antiqua" w:hAnsi="Book Antiqua"/>
          <w:b/>
          <w:bCs/>
          <w:color w:val="000000" w:themeColor="text1"/>
        </w:rPr>
        <w:t>Einstein DM</w:t>
      </w:r>
      <w:r w:rsidRPr="00A03975">
        <w:rPr>
          <w:rFonts w:ascii="Book Antiqua" w:hAnsi="Book Antiqua"/>
          <w:color w:val="000000" w:themeColor="text1"/>
        </w:rPr>
        <w:t xml:space="preserve">, Lapin SA, Ralls PW, Halls JM. </w:t>
      </w:r>
      <w:proofErr w:type="gramStart"/>
      <w:r w:rsidRPr="00A03975">
        <w:rPr>
          <w:rFonts w:ascii="Book Antiqua" w:hAnsi="Book Antiqua"/>
          <w:color w:val="000000" w:themeColor="text1"/>
        </w:rPr>
        <w:t>The insensitivity of sonography in the detection of choledocholithiasis.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AJR Am J Roentgenol</w:t>
      </w:r>
      <w:r w:rsidRPr="00A03975">
        <w:rPr>
          <w:rFonts w:ascii="Book Antiqua" w:hAnsi="Book Antiqua"/>
          <w:color w:val="000000" w:themeColor="text1"/>
        </w:rPr>
        <w:t xml:space="preserve"> 1984; </w:t>
      </w:r>
      <w:r w:rsidRPr="00A03975">
        <w:rPr>
          <w:rFonts w:ascii="Book Antiqua" w:hAnsi="Book Antiqua"/>
          <w:b/>
          <w:bCs/>
          <w:color w:val="000000" w:themeColor="text1"/>
        </w:rPr>
        <w:t>142</w:t>
      </w:r>
      <w:r w:rsidRPr="00A03975">
        <w:rPr>
          <w:rFonts w:ascii="Book Antiqua" w:hAnsi="Book Antiqua"/>
          <w:color w:val="000000" w:themeColor="text1"/>
        </w:rPr>
        <w:t>: 725-728 [PMID: 6608231 DOI: 10.2214/ajr.142.4.725]</w:t>
      </w:r>
    </w:p>
    <w:p w14:paraId="310B4FAF"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47 </w:t>
      </w:r>
      <w:r w:rsidRPr="00A03975">
        <w:rPr>
          <w:rFonts w:ascii="Book Antiqua" w:hAnsi="Book Antiqua"/>
          <w:b/>
          <w:bCs/>
          <w:color w:val="000000" w:themeColor="text1"/>
        </w:rPr>
        <w:t>Sarli L</w:t>
      </w:r>
      <w:r w:rsidRPr="00A03975">
        <w:rPr>
          <w:rFonts w:ascii="Book Antiqua" w:hAnsi="Book Antiqua"/>
          <w:color w:val="000000" w:themeColor="text1"/>
        </w:rPr>
        <w:t xml:space="preserve">, Costi R, Gobbi S, Sansebastiano G, Roncoroni L. Asymptomatic bile duct stones: selection criteria for intravenous cholangiography and/or endoscopic retrograde cholangiography prior to laparoscopic cholecystectomy. </w:t>
      </w:r>
      <w:r w:rsidRPr="00A03975">
        <w:rPr>
          <w:rFonts w:ascii="Book Antiqua" w:hAnsi="Book Antiqua"/>
          <w:i/>
          <w:iCs/>
          <w:color w:val="000000" w:themeColor="text1"/>
        </w:rPr>
        <w:t>Eur J Gastroenterol Hepatol</w:t>
      </w:r>
      <w:r w:rsidRPr="00A03975">
        <w:rPr>
          <w:rFonts w:ascii="Book Antiqua" w:hAnsi="Book Antiqua"/>
          <w:color w:val="000000" w:themeColor="text1"/>
        </w:rPr>
        <w:t xml:space="preserve"> 2000; </w:t>
      </w:r>
      <w:r w:rsidRPr="00A03975">
        <w:rPr>
          <w:rFonts w:ascii="Book Antiqua" w:hAnsi="Book Antiqua"/>
          <w:b/>
          <w:bCs/>
          <w:color w:val="000000" w:themeColor="text1"/>
        </w:rPr>
        <w:t>12</w:t>
      </w:r>
      <w:r w:rsidRPr="00A03975">
        <w:rPr>
          <w:rFonts w:ascii="Book Antiqua" w:hAnsi="Book Antiqua"/>
          <w:color w:val="000000" w:themeColor="text1"/>
        </w:rPr>
        <w:t>: 1175-1180 [PMID: 11111772]</w:t>
      </w:r>
    </w:p>
    <w:p w14:paraId="19FCC238"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48 </w:t>
      </w:r>
      <w:r w:rsidRPr="00A03975">
        <w:rPr>
          <w:rFonts w:ascii="Book Antiqua" w:hAnsi="Book Antiqua"/>
          <w:b/>
          <w:bCs/>
          <w:color w:val="000000" w:themeColor="text1"/>
        </w:rPr>
        <w:t>Majeed AW</w:t>
      </w:r>
      <w:r w:rsidRPr="00A03975">
        <w:rPr>
          <w:rFonts w:ascii="Book Antiqua" w:hAnsi="Book Antiqua"/>
          <w:color w:val="000000" w:themeColor="text1"/>
        </w:rPr>
        <w:t>, Ross B, Johnson AG, Reed MW.</w:t>
      </w:r>
      <w:proofErr w:type="gramEnd"/>
      <w:r w:rsidRPr="00A03975">
        <w:rPr>
          <w:rFonts w:ascii="Book Antiqua" w:hAnsi="Book Antiqua"/>
          <w:color w:val="000000" w:themeColor="text1"/>
        </w:rPr>
        <w:t xml:space="preserve"> Common duct diameter as an independent predictor of choledocholithiasis: is it useful? </w:t>
      </w:r>
      <w:r w:rsidRPr="00A03975">
        <w:rPr>
          <w:rFonts w:ascii="Book Antiqua" w:hAnsi="Book Antiqua"/>
          <w:i/>
          <w:iCs/>
          <w:color w:val="000000" w:themeColor="text1"/>
        </w:rPr>
        <w:t>Clin Radiol</w:t>
      </w:r>
      <w:r w:rsidRPr="00A03975">
        <w:rPr>
          <w:rFonts w:ascii="Book Antiqua" w:hAnsi="Book Antiqua"/>
          <w:color w:val="000000" w:themeColor="text1"/>
        </w:rPr>
        <w:t xml:space="preserve"> 1999; </w:t>
      </w:r>
      <w:r w:rsidRPr="00A03975">
        <w:rPr>
          <w:rFonts w:ascii="Book Antiqua" w:hAnsi="Book Antiqua"/>
          <w:b/>
          <w:bCs/>
          <w:color w:val="000000" w:themeColor="text1"/>
        </w:rPr>
        <w:t>54</w:t>
      </w:r>
      <w:r w:rsidRPr="00A03975">
        <w:rPr>
          <w:rFonts w:ascii="Book Antiqua" w:hAnsi="Book Antiqua"/>
          <w:color w:val="000000" w:themeColor="text1"/>
        </w:rPr>
        <w:t>: 170-172 [PMID: 10201865 DOI: 10.1016/s0009-9260(99)91008-5]</w:t>
      </w:r>
    </w:p>
    <w:p w14:paraId="10B3A96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49 </w:t>
      </w:r>
      <w:r w:rsidRPr="00A03975">
        <w:rPr>
          <w:rFonts w:ascii="Book Antiqua" w:hAnsi="Book Antiqua"/>
          <w:b/>
          <w:bCs/>
          <w:color w:val="000000" w:themeColor="text1"/>
        </w:rPr>
        <w:t>Lacaine F</w:t>
      </w:r>
      <w:r w:rsidRPr="00A03975">
        <w:rPr>
          <w:rFonts w:ascii="Book Antiqua" w:hAnsi="Book Antiqua"/>
          <w:color w:val="000000" w:themeColor="text1"/>
        </w:rPr>
        <w:t>, Corlette MB, Bismuth H. Preoperative evaluation of the risk of common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Arch Surg</w:t>
      </w:r>
      <w:r w:rsidRPr="00A03975">
        <w:rPr>
          <w:rFonts w:ascii="Book Antiqua" w:hAnsi="Book Antiqua"/>
          <w:color w:val="000000" w:themeColor="text1"/>
        </w:rPr>
        <w:t xml:space="preserve"> 1980; </w:t>
      </w:r>
      <w:r w:rsidRPr="00A03975">
        <w:rPr>
          <w:rFonts w:ascii="Book Antiqua" w:hAnsi="Book Antiqua"/>
          <w:b/>
          <w:bCs/>
          <w:color w:val="000000" w:themeColor="text1"/>
        </w:rPr>
        <w:t>115</w:t>
      </w:r>
      <w:r w:rsidRPr="00A03975">
        <w:rPr>
          <w:rFonts w:ascii="Book Antiqua" w:hAnsi="Book Antiqua"/>
          <w:color w:val="000000" w:themeColor="text1"/>
        </w:rPr>
        <w:t>: 1114-1116 [PMID: 7416958 DOI: 10.1001/archsurg.1980.01380090080019]</w:t>
      </w:r>
    </w:p>
    <w:p w14:paraId="57776E3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50 </w:t>
      </w:r>
      <w:r w:rsidRPr="00A03975">
        <w:rPr>
          <w:rFonts w:ascii="Book Antiqua" w:hAnsi="Book Antiqua"/>
          <w:b/>
          <w:bCs/>
          <w:color w:val="000000" w:themeColor="text1"/>
        </w:rPr>
        <w:t>Wilson TG</w:t>
      </w:r>
      <w:r w:rsidRPr="00A03975">
        <w:rPr>
          <w:rFonts w:ascii="Book Antiqua" w:hAnsi="Book Antiqua"/>
          <w:color w:val="000000" w:themeColor="text1"/>
        </w:rPr>
        <w:t>, Hall JC, Watts JM.</w:t>
      </w:r>
      <w:proofErr w:type="gramEnd"/>
      <w:r w:rsidRPr="00A03975">
        <w:rPr>
          <w:rFonts w:ascii="Book Antiqua" w:hAnsi="Book Antiqua"/>
          <w:color w:val="000000" w:themeColor="text1"/>
        </w:rPr>
        <w:t xml:space="preserve"> Is operative cholangiography always necessary? </w:t>
      </w:r>
      <w:r w:rsidRPr="00A03975">
        <w:rPr>
          <w:rFonts w:ascii="Book Antiqua" w:hAnsi="Book Antiqua"/>
          <w:i/>
          <w:iCs/>
          <w:color w:val="000000" w:themeColor="text1"/>
        </w:rPr>
        <w:t>Br J Surg</w:t>
      </w:r>
      <w:r w:rsidRPr="00A03975">
        <w:rPr>
          <w:rFonts w:ascii="Book Antiqua" w:hAnsi="Book Antiqua"/>
          <w:color w:val="000000" w:themeColor="text1"/>
        </w:rPr>
        <w:t xml:space="preserve"> 1986; </w:t>
      </w:r>
      <w:r w:rsidRPr="00A03975">
        <w:rPr>
          <w:rFonts w:ascii="Book Antiqua" w:hAnsi="Book Antiqua"/>
          <w:b/>
          <w:bCs/>
          <w:color w:val="000000" w:themeColor="text1"/>
        </w:rPr>
        <w:t>73</w:t>
      </w:r>
      <w:r w:rsidRPr="00A03975">
        <w:rPr>
          <w:rFonts w:ascii="Book Antiqua" w:hAnsi="Book Antiqua"/>
          <w:color w:val="000000" w:themeColor="text1"/>
        </w:rPr>
        <w:t>: 637-640 [PMID: 3742178 DOI: 10.1002/bjs.1800730820]</w:t>
      </w:r>
    </w:p>
    <w:p w14:paraId="1BCC605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lastRenderedPageBreak/>
        <w:t xml:space="preserve">51 </w:t>
      </w:r>
      <w:r w:rsidRPr="00A03975">
        <w:rPr>
          <w:rFonts w:ascii="Book Antiqua" w:hAnsi="Book Antiqua"/>
          <w:b/>
          <w:bCs/>
          <w:color w:val="000000" w:themeColor="text1"/>
        </w:rPr>
        <w:t>Huguier M</w:t>
      </w:r>
      <w:r w:rsidRPr="00A03975">
        <w:rPr>
          <w:rFonts w:ascii="Book Antiqua" w:hAnsi="Book Antiqua"/>
          <w:color w:val="000000" w:themeColor="text1"/>
        </w:rPr>
        <w:t xml:space="preserve">, Bornet P, Charpak Y, Houry S, Chastang C. Selective contraindications based on multivariate analysis for operative cholangiography in biliary lithiasis. </w:t>
      </w:r>
      <w:r w:rsidRPr="00A03975">
        <w:rPr>
          <w:rFonts w:ascii="Book Antiqua" w:hAnsi="Book Antiqua"/>
          <w:i/>
          <w:iCs/>
          <w:color w:val="000000" w:themeColor="text1"/>
        </w:rPr>
        <w:t>Surg Gynecol Obstet</w:t>
      </w:r>
      <w:r w:rsidRPr="00A03975">
        <w:rPr>
          <w:rFonts w:ascii="Book Antiqua" w:hAnsi="Book Antiqua"/>
          <w:color w:val="000000" w:themeColor="text1"/>
        </w:rPr>
        <w:t xml:space="preserve"> 1991; </w:t>
      </w:r>
      <w:r w:rsidRPr="00A03975">
        <w:rPr>
          <w:rFonts w:ascii="Book Antiqua" w:hAnsi="Book Antiqua"/>
          <w:b/>
          <w:bCs/>
          <w:color w:val="000000" w:themeColor="text1"/>
        </w:rPr>
        <w:t>172</w:t>
      </w:r>
      <w:r w:rsidRPr="00A03975">
        <w:rPr>
          <w:rFonts w:ascii="Book Antiqua" w:hAnsi="Book Antiqua"/>
          <w:color w:val="000000" w:themeColor="text1"/>
        </w:rPr>
        <w:t>: 470-474 [PMID: 2035137]</w:t>
      </w:r>
    </w:p>
    <w:p w14:paraId="0A97D49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52 </w:t>
      </w:r>
      <w:r w:rsidRPr="00A03975">
        <w:rPr>
          <w:rFonts w:ascii="Book Antiqua" w:hAnsi="Book Antiqua"/>
          <w:b/>
          <w:bCs/>
          <w:color w:val="000000" w:themeColor="text1"/>
        </w:rPr>
        <w:t>Taylor TV</w:t>
      </w:r>
      <w:r w:rsidRPr="00A03975">
        <w:rPr>
          <w:rFonts w:ascii="Book Antiqua" w:hAnsi="Book Antiqua"/>
          <w:color w:val="000000" w:themeColor="text1"/>
        </w:rPr>
        <w:t>, Armstrong CP, Rimmer S, Lucas SB, Jeacock J, Gunn AA.</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Prediction of choledocholithiasis using a pocket microcomputer.</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Br J Surg</w:t>
      </w:r>
      <w:r w:rsidRPr="00A03975">
        <w:rPr>
          <w:rFonts w:ascii="Book Antiqua" w:hAnsi="Book Antiqua"/>
          <w:color w:val="000000" w:themeColor="text1"/>
        </w:rPr>
        <w:t xml:space="preserve"> 1988; </w:t>
      </w:r>
      <w:r w:rsidRPr="00A03975">
        <w:rPr>
          <w:rFonts w:ascii="Book Antiqua" w:hAnsi="Book Antiqua"/>
          <w:b/>
          <w:bCs/>
          <w:color w:val="000000" w:themeColor="text1"/>
        </w:rPr>
        <w:t>75</w:t>
      </w:r>
      <w:r w:rsidRPr="00A03975">
        <w:rPr>
          <w:rFonts w:ascii="Book Antiqua" w:hAnsi="Book Antiqua"/>
          <w:color w:val="000000" w:themeColor="text1"/>
        </w:rPr>
        <w:t>: 138-140 [PMID: 3280086 DOI: 10.1002/bjs.1800750216]</w:t>
      </w:r>
    </w:p>
    <w:p w14:paraId="7DC2DA6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53 </w:t>
      </w:r>
      <w:r w:rsidRPr="00A03975">
        <w:rPr>
          <w:rFonts w:ascii="Book Antiqua" w:hAnsi="Book Antiqua"/>
          <w:b/>
          <w:bCs/>
          <w:color w:val="000000" w:themeColor="text1"/>
        </w:rPr>
        <w:t>Wilcox CM</w:t>
      </w:r>
      <w:r w:rsidRPr="00A03975">
        <w:rPr>
          <w:rFonts w:ascii="Book Antiqua" w:hAnsi="Book Antiqua"/>
          <w:color w:val="000000" w:themeColor="text1"/>
        </w:rPr>
        <w:t xml:space="preserve">, Kim H, Trevino J, Ramesh J, Monkemuller K, Varadarajulu S. Prevalence of normal liver tests in patients with choledocholithiasis undergoing endoscopic retrograde cholangiopancreatography. </w:t>
      </w:r>
      <w:r w:rsidRPr="00A03975">
        <w:rPr>
          <w:rFonts w:ascii="Book Antiqua" w:hAnsi="Book Antiqua"/>
          <w:i/>
          <w:iCs/>
          <w:color w:val="000000" w:themeColor="text1"/>
        </w:rPr>
        <w:t>Digestion</w:t>
      </w:r>
      <w:r w:rsidRPr="00A03975">
        <w:rPr>
          <w:rFonts w:ascii="Book Antiqua" w:hAnsi="Book Antiqua"/>
          <w:color w:val="000000" w:themeColor="text1"/>
        </w:rPr>
        <w:t xml:space="preserve"> 2014; </w:t>
      </w:r>
      <w:r w:rsidRPr="00A03975">
        <w:rPr>
          <w:rFonts w:ascii="Book Antiqua" w:hAnsi="Book Antiqua"/>
          <w:b/>
          <w:bCs/>
          <w:color w:val="000000" w:themeColor="text1"/>
        </w:rPr>
        <w:t>89</w:t>
      </w:r>
      <w:r w:rsidRPr="00A03975">
        <w:rPr>
          <w:rFonts w:ascii="Book Antiqua" w:hAnsi="Book Antiqua"/>
          <w:color w:val="000000" w:themeColor="text1"/>
        </w:rPr>
        <w:t>: 232-238 [PMID: 24903214 DOI: 10.1159/000358384]</w:t>
      </w:r>
    </w:p>
    <w:p w14:paraId="37407FF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54 </w:t>
      </w:r>
      <w:r w:rsidRPr="00A03975">
        <w:rPr>
          <w:rFonts w:ascii="Book Antiqua" w:hAnsi="Book Antiqua"/>
          <w:b/>
          <w:bCs/>
          <w:color w:val="000000" w:themeColor="text1"/>
        </w:rPr>
        <w:t>Qiu Y</w:t>
      </w:r>
      <w:r w:rsidRPr="00A03975">
        <w:rPr>
          <w:rFonts w:ascii="Book Antiqua" w:hAnsi="Book Antiqua"/>
          <w:color w:val="000000" w:themeColor="text1"/>
        </w:rPr>
        <w:t xml:space="preserve">, Yang Z, Li Z, Zhang W, Xue D. Is preoperative MRCP necessary for patients with gallstones? An analysis of the factors related to missed diagnosis of choledocholithiasis by preoperative ultrasound. </w:t>
      </w:r>
      <w:r w:rsidRPr="00A03975">
        <w:rPr>
          <w:rFonts w:ascii="Book Antiqua" w:hAnsi="Book Antiqua"/>
          <w:i/>
          <w:iCs/>
          <w:color w:val="000000" w:themeColor="text1"/>
        </w:rPr>
        <w:t>BMC Gastroenterol</w:t>
      </w:r>
      <w:r w:rsidRPr="00A03975">
        <w:rPr>
          <w:rFonts w:ascii="Book Antiqua" w:hAnsi="Book Antiqua"/>
          <w:color w:val="000000" w:themeColor="text1"/>
        </w:rPr>
        <w:t xml:space="preserve"> 2015; </w:t>
      </w:r>
      <w:r w:rsidRPr="00A03975">
        <w:rPr>
          <w:rFonts w:ascii="Book Antiqua" w:hAnsi="Book Antiqua"/>
          <w:b/>
          <w:bCs/>
          <w:color w:val="000000" w:themeColor="text1"/>
        </w:rPr>
        <w:t>15</w:t>
      </w:r>
      <w:r w:rsidRPr="00A03975">
        <w:rPr>
          <w:rFonts w:ascii="Book Antiqua" w:hAnsi="Book Antiqua"/>
          <w:color w:val="000000" w:themeColor="text1"/>
        </w:rPr>
        <w:t>: 158 [PMID: 26577949 DOI: 10.1186/s12876-015-0392-1]</w:t>
      </w:r>
    </w:p>
    <w:p w14:paraId="4079567C"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55 </w:t>
      </w:r>
      <w:r w:rsidRPr="00A03975">
        <w:rPr>
          <w:rFonts w:ascii="Book Antiqua" w:hAnsi="Book Antiqua"/>
          <w:b/>
          <w:bCs/>
          <w:color w:val="000000" w:themeColor="text1"/>
        </w:rPr>
        <w:t>Mitchell SE</w:t>
      </w:r>
      <w:r w:rsidRPr="00A03975">
        <w:rPr>
          <w:rFonts w:ascii="Book Antiqua" w:hAnsi="Book Antiqua"/>
          <w:color w:val="000000" w:themeColor="text1"/>
        </w:rPr>
        <w:t>, Clark RA.</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A comparison of computed tomography and sonography in choledocholithiasis.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AJR Am J Roentgenol</w:t>
      </w:r>
      <w:r w:rsidRPr="00A03975">
        <w:rPr>
          <w:rFonts w:ascii="Book Antiqua" w:hAnsi="Book Antiqua"/>
          <w:color w:val="000000" w:themeColor="text1"/>
        </w:rPr>
        <w:t xml:space="preserve"> 1984; </w:t>
      </w:r>
      <w:r w:rsidRPr="00A03975">
        <w:rPr>
          <w:rFonts w:ascii="Book Antiqua" w:hAnsi="Book Antiqua"/>
          <w:b/>
          <w:bCs/>
          <w:color w:val="000000" w:themeColor="text1"/>
        </w:rPr>
        <w:t>142</w:t>
      </w:r>
      <w:r w:rsidRPr="00A03975">
        <w:rPr>
          <w:rFonts w:ascii="Book Antiqua" w:hAnsi="Book Antiqua"/>
          <w:color w:val="000000" w:themeColor="text1"/>
        </w:rPr>
        <w:t>: 729-733 [PMID: 6608232 DOI: 10.2214/ajr.142.4.729]</w:t>
      </w:r>
    </w:p>
    <w:p w14:paraId="09F7984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56 </w:t>
      </w:r>
      <w:r w:rsidRPr="00A03975">
        <w:rPr>
          <w:rFonts w:ascii="Book Antiqua" w:hAnsi="Book Antiqua"/>
          <w:b/>
          <w:bCs/>
          <w:color w:val="000000" w:themeColor="text1"/>
        </w:rPr>
        <w:t>Soto JA</w:t>
      </w:r>
      <w:r w:rsidRPr="00A03975">
        <w:rPr>
          <w:rFonts w:ascii="Book Antiqua" w:hAnsi="Book Antiqua"/>
          <w:color w:val="000000" w:themeColor="text1"/>
        </w:rPr>
        <w:t xml:space="preserve">, Alvarez O, Múnera F, Velez SM, Valencia J, Ramírez N. Diagnosing bile duct stones: comparison of unenhanced helical CT, oral contrast-enhanced CT cholangiography, and MR cholangiography. </w:t>
      </w:r>
      <w:r w:rsidRPr="00A03975">
        <w:rPr>
          <w:rFonts w:ascii="Book Antiqua" w:hAnsi="Book Antiqua"/>
          <w:i/>
          <w:iCs/>
          <w:color w:val="000000" w:themeColor="text1"/>
        </w:rPr>
        <w:t>AJR Am J Roentgenol</w:t>
      </w:r>
      <w:r w:rsidRPr="00A03975">
        <w:rPr>
          <w:rFonts w:ascii="Book Antiqua" w:hAnsi="Book Antiqua"/>
          <w:color w:val="000000" w:themeColor="text1"/>
        </w:rPr>
        <w:t xml:space="preserve"> 2000; </w:t>
      </w:r>
      <w:r w:rsidRPr="00A03975">
        <w:rPr>
          <w:rFonts w:ascii="Book Antiqua" w:hAnsi="Book Antiqua"/>
          <w:b/>
          <w:bCs/>
          <w:color w:val="000000" w:themeColor="text1"/>
        </w:rPr>
        <w:t>175</w:t>
      </w:r>
      <w:r w:rsidRPr="00A03975">
        <w:rPr>
          <w:rFonts w:ascii="Book Antiqua" w:hAnsi="Book Antiqua"/>
          <w:color w:val="000000" w:themeColor="text1"/>
        </w:rPr>
        <w:t>: 1127-1134 [PMID: 11000177 DOI: 10.2214/ajr.175.4.1751127]</w:t>
      </w:r>
    </w:p>
    <w:p w14:paraId="7A99D5B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57 </w:t>
      </w:r>
      <w:r w:rsidRPr="00A03975">
        <w:rPr>
          <w:rFonts w:ascii="Book Antiqua" w:hAnsi="Book Antiqua"/>
          <w:b/>
          <w:bCs/>
          <w:color w:val="000000" w:themeColor="text1"/>
        </w:rPr>
        <w:t>Anderson SW</w:t>
      </w:r>
      <w:r w:rsidRPr="00A03975">
        <w:rPr>
          <w:rFonts w:ascii="Book Antiqua" w:hAnsi="Book Antiqua"/>
          <w:color w:val="000000" w:themeColor="text1"/>
        </w:rPr>
        <w:t xml:space="preserve">, Rho E, Soto JA. Detection of biliary duct narrowing and choledocholithiasis: accuracy of portal venous phase multidetector CT. </w:t>
      </w:r>
      <w:r w:rsidRPr="00A03975">
        <w:rPr>
          <w:rFonts w:ascii="Book Antiqua" w:hAnsi="Book Antiqua"/>
          <w:i/>
          <w:iCs/>
          <w:color w:val="000000" w:themeColor="text1"/>
        </w:rPr>
        <w:t>Radiology</w:t>
      </w:r>
      <w:r w:rsidRPr="00A03975">
        <w:rPr>
          <w:rFonts w:ascii="Book Antiqua" w:hAnsi="Book Antiqua"/>
          <w:color w:val="000000" w:themeColor="text1"/>
        </w:rPr>
        <w:t xml:space="preserve"> 2008; </w:t>
      </w:r>
      <w:r w:rsidRPr="00A03975">
        <w:rPr>
          <w:rFonts w:ascii="Book Antiqua" w:hAnsi="Book Antiqua"/>
          <w:b/>
          <w:bCs/>
          <w:color w:val="000000" w:themeColor="text1"/>
        </w:rPr>
        <w:t>247</w:t>
      </w:r>
      <w:r w:rsidRPr="00A03975">
        <w:rPr>
          <w:rFonts w:ascii="Book Antiqua" w:hAnsi="Book Antiqua"/>
          <w:color w:val="000000" w:themeColor="text1"/>
        </w:rPr>
        <w:t>: 418-427 [PMID: 18372450 DOI: 10.1148/radiol.2472070473]</w:t>
      </w:r>
    </w:p>
    <w:p w14:paraId="7AA8222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58 </w:t>
      </w:r>
      <w:r w:rsidRPr="00A03975">
        <w:rPr>
          <w:rFonts w:ascii="Book Antiqua" w:hAnsi="Book Antiqua"/>
          <w:b/>
          <w:bCs/>
          <w:color w:val="000000" w:themeColor="text1"/>
        </w:rPr>
        <w:t>Kondo S</w:t>
      </w:r>
      <w:r w:rsidRPr="00A03975">
        <w:rPr>
          <w:rFonts w:ascii="Book Antiqua" w:hAnsi="Book Antiqua"/>
          <w:color w:val="000000" w:themeColor="text1"/>
        </w:rPr>
        <w:t xml:space="preserve">, Isayama H, Akahane M, Toda N, Sasahira N, Nakai Y, Yamamoto N, Hirano K, Komatsu Y, Tada M, Yoshida H, Kawabe T, Ohtomo K, Omata M. Detection of common bile duct stones: comparison between endoscopic ultrasonography, magnetic resonance cholangiography, and helical-computed-tomographic cholangiography. </w:t>
      </w:r>
      <w:r w:rsidRPr="00A03975">
        <w:rPr>
          <w:rFonts w:ascii="Book Antiqua" w:hAnsi="Book Antiqua"/>
          <w:i/>
          <w:iCs/>
          <w:color w:val="000000" w:themeColor="text1"/>
        </w:rPr>
        <w:t>Eur J Radiol</w:t>
      </w:r>
      <w:r w:rsidRPr="00A03975">
        <w:rPr>
          <w:rFonts w:ascii="Book Antiqua" w:hAnsi="Book Antiqua"/>
          <w:color w:val="000000" w:themeColor="text1"/>
        </w:rPr>
        <w:t xml:space="preserve"> 2005; </w:t>
      </w:r>
      <w:r w:rsidRPr="00A03975">
        <w:rPr>
          <w:rFonts w:ascii="Book Antiqua" w:hAnsi="Book Antiqua"/>
          <w:b/>
          <w:bCs/>
          <w:color w:val="000000" w:themeColor="text1"/>
        </w:rPr>
        <w:t>54</w:t>
      </w:r>
      <w:r w:rsidRPr="00A03975">
        <w:rPr>
          <w:rFonts w:ascii="Book Antiqua" w:hAnsi="Book Antiqua"/>
          <w:color w:val="000000" w:themeColor="text1"/>
        </w:rPr>
        <w:t>: 271-275 [PMID: 15837409 DOI: 10.1016/j.ejrad.2004.07.007]</w:t>
      </w:r>
    </w:p>
    <w:p w14:paraId="1F33CC6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lastRenderedPageBreak/>
        <w:t xml:space="preserve">59 </w:t>
      </w:r>
      <w:r w:rsidRPr="00A03975">
        <w:rPr>
          <w:rFonts w:ascii="Book Antiqua" w:hAnsi="Book Antiqua"/>
          <w:b/>
          <w:bCs/>
          <w:color w:val="000000" w:themeColor="text1"/>
        </w:rPr>
        <w:t>Kim CW</w:t>
      </w:r>
      <w:r w:rsidRPr="00A03975">
        <w:rPr>
          <w:rFonts w:ascii="Book Antiqua" w:hAnsi="Book Antiqua"/>
          <w:color w:val="000000" w:themeColor="text1"/>
        </w:rPr>
        <w:t xml:space="preserve">, Chang JH, Lim YS, Kim TH, Lee IS, Han SW. Common bile duct stones on multidetector computed tomography: attenuation patterns and detectability. </w:t>
      </w:r>
      <w:r w:rsidRPr="00A03975">
        <w:rPr>
          <w:rFonts w:ascii="Book Antiqua" w:hAnsi="Book Antiqua"/>
          <w:i/>
          <w:iCs/>
          <w:color w:val="000000" w:themeColor="text1"/>
        </w:rPr>
        <w:t>World J Gastroenterol</w:t>
      </w:r>
      <w:r w:rsidRPr="00A03975">
        <w:rPr>
          <w:rFonts w:ascii="Book Antiqua" w:hAnsi="Book Antiqua"/>
          <w:color w:val="000000" w:themeColor="text1"/>
        </w:rPr>
        <w:t xml:space="preserve"> 2013; </w:t>
      </w:r>
      <w:r w:rsidRPr="00A03975">
        <w:rPr>
          <w:rFonts w:ascii="Book Antiqua" w:hAnsi="Book Antiqua"/>
          <w:b/>
          <w:bCs/>
          <w:color w:val="000000" w:themeColor="text1"/>
        </w:rPr>
        <w:t>19</w:t>
      </w:r>
      <w:r w:rsidRPr="00A03975">
        <w:rPr>
          <w:rFonts w:ascii="Book Antiqua" w:hAnsi="Book Antiqua"/>
          <w:color w:val="000000" w:themeColor="text1"/>
        </w:rPr>
        <w:t>: 1788-1796 [PMID: 23555167 DOI: 10.3748/wjg.v19.i11.1788]</w:t>
      </w:r>
    </w:p>
    <w:p w14:paraId="21362E5E"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60 </w:t>
      </w:r>
      <w:r w:rsidRPr="00A03975">
        <w:rPr>
          <w:rFonts w:ascii="Book Antiqua" w:hAnsi="Book Antiqua"/>
          <w:b/>
          <w:bCs/>
          <w:color w:val="000000" w:themeColor="text1"/>
        </w:rPr>
        <w:t>Lammert F</w:t>
      </w:r>
      <w:r w:rsidRPr="00A03975">
        <w:rPr>
          <w:rFonts w:ascii="Book Antiqua" w:hAnsi="Book Antiqua"/>
          <w:color w:val="000000" w:themeColor="text1"/>
        </w:rPr>
        <w:t xml:space="preserve">, Gurusamy K, Ko CW, Miquel JF, Méndez-Sánchez N, Portincasa P, van Erpecum KJ, van Laarhoven CJ, Wang DQ. </w:t>
      </w:r>
      <w:proofErr w:type="gramStart"/>
      <w:r w:rsidRPr="00A03975">
        <w:rPr>
          <w:rFonts w:ascii="Book Antiqua" w:hAnsi="Book Antiqua"/>
          <w:color w:val="000000" w:themeColor="text1"/>
        </w:rPr>
        <w:t>Gallstones.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Nat Rev Dis Primers</w:t>
      </w:r>
      <w:r w:rsidRPr="00A03975">
        <w:rPr>
          <w:rFonts w:ascii="Book Antiqua" w:hAnsi="Book Antiqua"/>
          <w:color w:val="000000" w:themeColor="text1"/>
        </w:rPr>
        <w:t xml:space="preserve"> 2016; </w:t>
      </w:r>
      <w:r w:rsidRPr="00A03975">
        <w:rPr>
          <w:rFonts w:ascii="Book Antiqua" w:hAnsi="Book Antiqua"/>
          <w:b/>
          <w:bCs/>
          <w:color w:val="000000" w:themeColor="text1"/>
        </w:rPr>
        <w:t>2</w:t>
      </w:r>
      <w:r w:rsidRPr="00A03975">
        <w:rPr>
          <w:rFonts w:ascii="Book Antiqua" w:hAnsi="Book Antiqua"/>
          <w:color w:val="000000" w:themeColor="text1"/>
        </w:rPr>
        <w:t>: 16024 [PMID: 27121416 DOI: 10.1038/nrdp.2016.24]</w:t>
      </w:r>
    </w:p>
    <w:p w14:paraId="369D8B8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61 </w:t>
      </w:r>
      <w:r w:rsidRPr="00A03975">
        <w:rPr>
          <w:rFonts w:ascii="Book Antiqua" w:hAnsi="Book Antiqua"/>
          <w:b/>
          <w:bCs/>
          <w:color w:val="000000" w:themeColor="text1"/>
        </w:rPr>
        <w:t>Meeralam Y</w:t>
      </w:r>
      <w:r w:rsidRPr="00A03975">
        <w:rPr>
          <w:rFonts w:ascii="Book Antiqua" w:hAnsi="Book Antiqua"/>
          <w:color w:val="000000" w:themeColor="text1"/>
        </w:rPr>
        <w:t xml:space="preserve">, Al-Shammari K, Yaghoobi M. Diagnostic accuracy of EUS compared with MRCP in detecting choledocholithiasis: a meta-analysis of diagnostic test accuracy in head-to-head studies.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2017; </w:t>
      </w:r>
      <w:r w:rsidRPr="00A03975">
        <w:rPr>
          <w:rFonts w:ascii="Book Antiqua" w:hAnsi="Book Antiqua"/>
          <w:b/>
          <w:bCs/>
          <w:color w:val="000000" w:themeColor="text1"/>
        </w:rPr>
        <w:t>86</w:t>
      </w:r>
      <w:r w:rsidRPr="00A03975">
        <w:rPr>
          <w:rFonts w:ascii="Book Antiqua" w:hAnsi="Book Antiqua"/>
          <w:color w:val="000000" w:themeColor="text1"/>
        </w:rPr>
        <w:t>: 986-993 [PMID: 28645544 DOI: 10.1016/j.gie.2017.06.009]</w:t>
      </w:r>
    </w:p>
    <w:p w14:paraId="54FEFA3C"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62 </w:t>
      </w:r>
      <w:r w:rsidRPr="00A03975">
        <w:rPr>
          <w:rFonts w:ascii="Book Antiqua" w:hAnsi="Book Antiqua"/>
          <w:b/>
          <w:bCs/>
          <w:color w:val="000000" w:themeColor="text1"/>
        </w:rPr>
        <w:t>Epelboym I</w:t>
      </w:r>
      <w:r w:rsidRPr="00A03975">
        <w:rPr>
          <w:rFonts w:ascii="Book Antiqua" w:hAnsi="Book Antiqua"/>
          <w:color w:val="000000" w:themeColor="text1"/>
        </w:rPr>
        <w:t xml:space="preserve">, Winner M, Allendorf JD. MRCP is not a cost-effective strategy in the management of silent common bile duct stones. </w:t>
      </w:r>
      <w:r w:rsidRPr="00A03975">
        <w:rPr>
          <w:rFonts w:ascii="Book Antiqua" w:hAnsi="Book Antiqua"/>
          <w:i/>
          <w:iCs/>
          <w:color w:val="000000" w:themeColor="text1"/>
        </w:rPr>
        <w:t>J Gastrointest Surg</w:t>
      </w:r>
      <w:r w:rsidRPr="00A03975">
        <w:rPr>
          <w:rFonts w:ascii="Book Antiqua" w:hAnsi="Book Antiqua"/>
          <w:color w:val="000000" w:themeColor="text1"/>
        </w:rPr>
        <w:t xml:space="preserve"> 2013; </w:t>
      </w:r>
      <w:r w:rsidRPr="00A03975">
        <w:rPr>
          <w:rFonts w:ascii="Book Antiqua" w:hAnsi="Book Antiqua"/>
          <w:b/>
          <w:bCs/>
          <w:color w:val="000000" w:themeColor="text1"/>
        </w:rPr>
        <w:t>17</w:t>
      </w:r>
      <w:r w:rsidRPr="00A03975">
        <w:rPr>
          <w:rFonts w:ascii="Book Antiqua" w:hAnsi="Book Antiqua"/>
          <w:color w:val="000000" w:themeColor="text1"/>
        </w:rPr>
        <w:t>: 863-871 [PMID: 23515912 DOI: 10.1007/s11605-013-2179-4]</w:t>
      </w:r>
    </w:p>
    <w:p w14:paraId="54D2A61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63 </w:t>
      </w:r>
      <w:r w:rsidRPr="00A03975">
        <w:rPr>
          <w:rFonts w:ascii="Book Antiqua" w:hAnsi="Book Antiqua"/>
          <w:b/>
          <w:bCs/>
          <w:color w:val="000000" w:themeColor="text1"/>
        </w:rPr>
        <w:t>Polistina FA</w:t>
      </w:r>
      <w:r w:rsidRPr="00A03975">
        <w:rPr>
          <w:rFonts w:ascii="Book Antiqua" w:hAnsi="Book Antiqua"/>
          <w:color w:val="000000" w:themeColor="text1"/>
        </w:rPr>
        <w:t xml:space="preserve">, Frego M, Bisello M, Manzi E, Vardanega A, Perin B. Accuracy of magnetic resonance cholangiography compared to operative endoscopy in detecting biliary stones, a single center experience and review of literature. </w:t>
      </w:r>
      <w:r w:rsidRPr="00A03975">
        <w:rPr>
          <w:rFonts w:ascii="Book Antiqua" w:hAnsi="Book Antiqua"/>
          <w:i/>
          <w:iCs/>
          <w:color w:val="000000" w:themeColor="text1"/>
        </w:rPr>
        <w:t>World J Radiol</w:t>
      </w:r>
      <w:r w:rsidRPr="00A03975">
        <w:rPr>
          <w:rFonts w:ascii="Book Antiqua" w:hAnsi="Book Antiqua"/>
          <w:color w:val="000000" w:themeColor="text1"/>
        </w:rPr>
        <w:t xml:space="preserve"> 2015; </w:t>
      </w:r>
      <w:r w:rsidRPr="00A03975">
        <w:rPr>
          <w:rFonts w:ascii="Book Antiqua" w:hAnsi="Book Antiqua"/>
          <w:b/>
          <w:bCs/>
          <w:color w:val="000000" w:themeColor="text1"/>
        </w:rPr>
        <w:t>7</w:t>
      </w:r>
      <w:r w:rsidRPr="00A03975">
        <w:rPr>
          <w:rFonts w:ascii="Book Antiqua" w:hAnsi="Book Antiqua"/>
          <w:color w:val="000000" w:themeColor="text1"/>
        </w:rPr>
        <w:t>: 70-78 [PMID: 25918584 DOI: 10.4329/wjr.v7.i4.70]</w:t>
      </w:r>
    </w:p>
    <w:p w14:paraId="303B89F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64 </w:t>
      </w:r>
      <w:r w:rsidRPr="00A03975">
        <w:rPr>
          <w:rFonts w:ascii="Book Antiqua" w:hAnsi="Book Antiqua"/>
          <w:b/>
          <w:bCs/>
          <w:color w:val="000000" w:themeColor="text1"/>
        </w:rPr>
        <w:t>Williams EJ</w:t>
      </w:r>
      <w:r w:rsidRPr="00A03975">
        <w:rPr>
          <w:rFonts w:ascii="Book Antiqua" w:hAnsi="Book Antiqua"/>
          <w:color w:val="000000" w:themeColor="text1"/>
        </w:rPr>
        <w:t xml:space="preserve">, Taylor S, Fairclough P, Hamlyn A, Logan RF, Martin D, Riley SA, Veitch P, Wilkinson ML, Williamson PR, Lombard M. Risk factors for complication following ERCP; results of a large-scale, prospective multicenter study. </w:t>
      </w:r>
      <w:r w:rsidRPr="00A03975">
        <w:rPr>
          <w:rFonts w:ascii="Book Antiqua" w:hAnsi="Book Antiqua"/>
          <w:i/>
          <w:iCs/>
          <w:color w:val="000000" w:themeColor="text1"/>
        </w:rPr>
        <w:t>Endoscopy</w:t>
      </w:r>
      <w:r w:rsidRPr="00A03975">
        <w:rPr>
          <w:rFonts w:ascii="Book Antiqua" w:hAnsi="Book Antiqua"/>
          <w:color w:val="000000" w:themeColor="text1"/>
        </w:rPr>
        <w:t xml:space="preserve"> 2007; </w:t>
      </w:r>
      <w:r w:rsidRPr="00A03975">
        <w:rPr>
          <w:rFonts w:ascii="Book Antiqua" w:hAnsi="Book Antiqua"/>
          <w:b/>
          <w:bCs/>
          <w:color w:val="000000" w:themeColor="text1"/>
        </w:rPr>
        <w:t>39</w:t>
      </w:r>
      <w:r w:rsidRPr="00A03975">
        <w:rPr>
          <w:rFonts w:ascii="Book Antiqua" w:hAnsi="Book Antiqua"/>
          <w:color w:val="000000" w:themeColor="text1"/>
        </w:rPr>
        <w:t>: 793-801 [PMID: 17703388 DOI: 10.1055/s-2007-966723]</w:t>
      </w:r>
    </w:p>
    <w:p w14:paraId="7728A3F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65 </w:t>
      </w:r>
      <w:r w:rsidRPr="00A03975">
        <w:rPr>
          <w:rFonts w:ascii="Book Antiqua" w:hAnsi="Book Antiqua"/>
          <w:b/>
          <w:bCs/>
          <w:color w:val="000000" w:themeColor="text1"/>
        </w:rPr>
        <w:t>Bergman JJ</w:t>
      </w:r>
      <w:r w:rsidRPr="00A03975">
        <w:rPr>
          <w:rFonts w:ascii="Book Antiqua" w:hAnsi="Book Antiqua"/>
          <w:color w:val="000000" w:themeColor="text1"/>
        </w:rPr>
        <w:t xml:space="preserve">, Rauws EA, Fockens P, van Berkel AM, Bossuyt PM, Tijssen JG, Tytgat GN, Huibregtse K. Randomised trial of endoscopic balloon dilation versus endoscopic sphincterotomy for removal of bileduct stones. </w:t>
      </w:r>
      <w:r w:rsidRPr="00A03975">
        <w:rPr>
          <w:rFonts w:ascii="Book Antiqua" w:hAnsi="Book Antiqua"/>
          <w:i/>
          <w:iCs/>
          <w:color w:val="000000" w:themeColor="text1"/>
        </w:rPr>
        <w:t>Lancet</w:t>
      </w:r>
      <w:r w:rsidRPr="00A03975">
        <w:rPr>
          <w:rFonts w:ascii="Book Antiqua" w:hAnsi="Book Antiqua"/>
          <w:color w:val="000000" w:themeColor="text1"/>
        </w:rPr>
        <w:t xml:space="preserve"> 1997; </w:t>
      </w:r>
      <w:r w:rsidRPr="00A03975">
        <w:rPr>
          <w:rFonts w:ascii="Book Antiqua" w:hAnsi="Book Antiqua"/>
          <w:b/>
          <w:bCs/>
          <w:color w:val="000000" w:themeColor="text1"/>
        </w:rPr>
        <w:t>349</w:t>
      </w:r>
      <w:r w:rsidRPr="00A03975">
        <w:rPr>
          <w:rFonts w:ascii="Book Antiqua" w:hAnsi="Book Antiqua"/>
          <w:color w:val="000000" w:themeColor="text1"/>
        </w:rPr>
        <w:t>: 1124-1129 [PMID: 9113010 DOI: 10.1016/S0140-6736(96)11026-6]</w:t>
      </w:r>
    </w:p>
    <w:p w14:paraId="6D282A4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66 </w:t>
      </w:r>
      <w:r w:rsidRPr="00A03975">
        <w:rPr>
          <w:rFonts w:ascii="Book Antiqua" w:hAnsi="Book Antiqua"/>
          <w:b/>
          <w:bCs/>
          <w:color w:val="000000" w:themeColor="text1"/>
        </w:rPr>
        <w:t>Freeman ML</w:t>
      </w:r>
      <w:r w:rsidRPr="00A03975">
        <w:rPr>
          <w:rFonts w:ascii="Book Antiqua" w:hAnsi="Book Antiqua"/>
          <w:color w:val="000000" w:themeColor="text1"/>
        </w:rPr>
        <w:t xml:space="preserve">, Nelson DB, Sherman S, Haber GB, Herman ME, Dorsher PJ, Moore JP, Fennerty MB, Ryan ME, Shaw MJ, Lande JD, Pheley AM. </w:t>
      </w:r>
      <w:proofErr w:type="gramStart"/>
      <w:r w:rsidRPr="00A03975">
        <w:rPr>
          <w:rFonts w:ascii="Book Antiqua" w:hAnsi="Book Antiqua"/>
          <w:color w:val="000000" w:themeColor="text1"/>
        </w:rPr>
        <w:t>Complications of endoscopic biliary sphincterotomy.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N Engl J Med</w:t>
      </w:r>
      <w:r w:rsidRPr="00A03975">
        <w:rPr>
          <w:rFonts w:ascii="Book Antiqua" w:hAnsi="Book Antiqua"/>
          <w:color w:val="000000" w:themeColor="text1"/>
        </w:rPr>
        <w:t xml:space="preserve"> 1996; </w:t>
      </w:r>
      <w:r w:rsidRPr="00A03975">
        <w:rPr>
          <w:rFonts w:ascii="Book Antiqua" w:hAnsi="Book Antiqua"/>
          <w:b/>
          <w:bCs/>
          <w:color w:val="000000" w:themeColor="text1"/>
        </w:rPr>
        <w:t>335</w:t>
      </w:r>
      <w:r w:rsidRPr="00A03975">
        <w:rPr>
          <w:rFonts w:ascii="Book Antiqua" w:hAnsi="Book Antiqua"/>
          <w:color w:val="000000" w:themeColor="text1"/>
        </w:rPr>
        <w:t>: 909-918 [PMID: 8782497 DOI: 10.1056/NEJM199609263351301]</w:t>
      </w:r>
    </w:p>
    <w:p w14:paraId="38E9D78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lastRenderedPageBreak/>
        <w:t xml:space="preserve">67 </w:t>
      </w:r>
      <w:r w:rsidRPr="00A03975">
        <w:rPr>
          <w:rFonts w:ascii="Book Antiqua" w:hAnsi="Book Antiqua"/>
          <w:b/>
          <w:bCs/>
          <w:color w:val="000000" w:themeColor="text1"/>
        </w:rPr>
        <w:t>Iida F</w:t>
      </w:r>
      <w:r w:rsidRPr="00A03975">
        <w:rPr>
          <w:rFonts w:ascii="Book Antiqua" w:hAnsi="Book Antiqua"/>
          <w:color w:val="000000" w:themeColor="text1"/>
        </w:rPr>
        <w:t>, Kusama J. Surgical evaluation of endoscopic retrograde cholangiography for biliary tract diseases.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Jpn J Surg</w:t>
      </w:r>
      <w:r w:rsidRPr="00A03975">
        <w:rPr>
          <w:rFonts w:ascii="Book Antiqua" w:hAnsi="Book Antiqua"/>
          <w:color w:val="000000" w:themeColor="text1"/>
        </w:rPr>
        <w:t xml:space="preserve"> 1982; </w:t>
      </w:r>
      <w:r w:rsidRPr="00A03975">
        <w:rPr>
          <w:rFonts w:ascii="Book Antiqua" w:hAnsi="Book Antiqua"/>
          <w:b/>
          <w:bCs/>
          <w:color w:val="000000" w:themeColor="text1"/>
        </w:rPr>
        <w:t>12</w:t>
      </w:r>
      <w:r w:rsidRPr="00A03975">
        <w:rPr>
          <w:rFonts w:ascii="Book Antiqua" w:hAnsi="Book Antiqua"/>
          <w:color w:val="000000" w:themeColor="text1"/>
        </w:rPr>
        <w:t>: 257-261 [PMID: 7120704 DOI: 10.1007/BF02469557]</w:t>
      </w:r>
    </w:p>
    <w:p w14:paraId="7DFD4C3F"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68 </w:t>
      </w:r>
      <w:r w:rsidRPr="00A03975">
        <w:rPr>
          <w:rFonts w:ascii="Book Antiqua" w:hAnsi="Book Antiqua"/>
          <w:b/>
          <w:bCs/>
          <w:color w:val="000000" w:themeColor="text1"/>
        </w:rPr>
        <w:t>Patel JA</w:t>
      </w:r>
      <w:r w:rsidRPr="00A03975">
        <w:rPr>
          <w:rFonts w:ascii="Book Antiqua" w:hAnsi="Book Antiqua"/>
          <w:color w:val="000000" w:themeColor="text1"/>
        </w:rPr>
        <w:t xml:space="preserve">, Patel NA, Shinde T, Uchal M, Dhawan MK, Kulkarni A, Colella JJ. Endoscopic retrograde cholangiopancreatography after laparoscopic Roux-en-Y gastric bypass: a case series and review of the literature. </w:t>
      </w:r>
      <w:r w:rsidRPr="00A03975">
        <w:rPr>
          <w:rFonts w:ascii="Book Antiqua" w:hAnsi="Book Antiqua"/>
          <w:i/>
          <w:iCs/>
          <w:color w:val="000000" w:themeColor="text1"/>
        </w:rPr>
        <w:t>Am Surg</w:t>
      </w:r>
      <w:r w:rsidRPr="00A03975">
        <w:rPr>
          <w:rFonts w:ascii="Book Antiqua" w:hAnsi="Book Antiqua"/>
          <w:color w:val="000000" w:themeColor="text1"/>
        </w:rPr>
        <w:t xml:space="preserve"> 2008; </w:t>
      </w:r>
      <w:r w:rsidRPr="00A03975">
        <w:rPr>
          <w:rFonts w:ascii="Book Antiqua" w:hAnsi="Book Antiqua"/>
          <w:b/>
          <w:bCs/>
          <w:color w:val="000000" w:themeColor="text1"/>
        </w:rPr>
        <w:t>74</w:t>
      </w:r>
      <w:r w:rsidRPr="00A03975">
        <w:rPr>
          <w:rFonts w:ascii="Book Antiqua" w:hAnsi="Book Antiqua"/>
          <w:color w:val="000000" w:themeColor="text1"/>
        </w:rPr>
        <w:t>: 689-693 [PMID: 18705568]</w:t>
      </w:r>
    </w:p>
    <w:p w14:paraId="79630BA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69 </w:t>
      </w:r>
      <w:r w:rsidRPr="00A03975">
        <w:rPr>
          <w:rFonts w:ascii="Book Antiqua" w:hAnsi="Book Antiqua"/>
          <w:b/>
          <w:bCs/>
          <w:color w:val="000000" w:themeColor="text1"/>
        </w:rPr>
        <w:t>Faylona JM</w:t>
      </w:r>
      <w:r w:rsidRPr="00A03975">
        <w:rPr>
          <w:rFonts w:ascii="Book Antiqua" w:hAnsi="Book Antiqua"/>
          <w:color w:val="000000" w:themeColor="text1"/>
        </w:rPr>
        <w:t xml:space="preserve">, Qadir A, Chan AC, Lau JY, Chung SC. Small-bowel perforations related to endoscopic retrograde cholangiopancreatography (ERCP) in patients with Billroth II gastrectomy. </w:t>
      </w:r>
      <w:r w:rsidRPr="00A03975">
        <w:rPr>
          <w:rFonts w:ascii="Book Antiqua" w:hAnsi="Book Antiqua"/>
          <w:i/>
          <w:iCs/>
          <w:color w:val="000000" w:themeColor="text1"/>
        </w:rPr>
        <w:t>Endoscopy</w:t>
      </w:r>
      <w:r w:rsidRPr="00A03975">
        <w:rPr>
          <w:rFonts w:ascii="Book Antiqua" w:hAnsi="Book Antiqua"/>
          <w:color w:val="000000" w:themeColor="text1"/>
        </w:rPr>
        <w:t xml:space="preserve"> 1999; </w:t>
      </w:r>
      <w:r w:rsidRPr="00A03975">
        <w:rPr>
          <w:rFonts w:ascii="Book Antiqua" w:hAnsi="Book Antiqua"/>
          <w:b/>
          <w:bCs/>
          <w:color w:val="000000" w:themeColor="text1"/>
        </w:rPr>
        <w:t>31</w:t>
      </w:r>
      <w:r w:rsidRPr="00A03975">
        <w:rPr>
          <w:rFonts w:ascii="Book Antiqua" w:hAnsi="Book Antiqua"/>
          <w:color w:val="000000" w:themeColor="text1"/>
        </w:rPr>
        <w:t>: 546-549 [PMID: 10533739 DOI: 10.1055/s-1999-61]</w:t>
      </w:r>
    </w:p>
    <w:p w14:paraId="67C35F7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70 </w:t>
      </w:r>
      <w:r w:rsidRPr="00A03975">
        <w:rPr>
          <w:rFonts w:ascii="Book Antiqua" w:hAnsi="Book Antiqua"/>
          <w:b/>
          <w:bCs/>
          <w:color w:val="000000" w:themeColor="text1"/>
        </w:rPr>
        <w:t>Swanstrom LL</w:t>
      </w:r>
      <w:r w:rsidRPr="00A03975">
        <w:rPr>
          <w:rFonts w:ascii="Book Antiqua" w:hAnsi="Book Antiqua"/>
          <w:color w:val="000000" w:themeColor="text1"/>
        </w:rPr>
        <w:t>, Marcus DR, Kenyon T. Laparoscopic treatment of known choledocholithiasis.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1996; </w:t>
      </w:r>
      <w:r w:rsidRPr="00A03975">
        <w:rPr>
          <w:rFonts w:ascii="Book Antiqua" w:hAnsi="Book Antiqua"/>
          <w:b/>
          <w:bCs/>
          <w:color w:val="000000" w:themeColor="text1"/>
        </w:rPr>
        <w:t>10</w:t>
      </w:r>
      <w:r w:rsidRPr="00A03975">
        <w:rPr>
          <w:rFonts w:ascii="Book Antiqua" w:hAnsi="Book Antiqua"/>
          <w:color w:val="000000" w:themeColor="text1"/>
        </w:rPr>
        <w:t>: 526-528 [PMID: 8658332 DOI: 10.1007/BF00188400]</w:t>
      </w:r>
    </w:p>
    <w:p w14:paraId="4D32F316"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71 </w:t>
      </w:r>
      <w:r w:rsidRPr="00A03975">
        <w:rPr>
          <w:rFonts w:ascii="Book Antiqua" w:hAnsi="Book Antiqua"/>
          <w:b/>
          <w:bCs/>
          <w:color w:val="000000" w:themeColor="text1"/>
        </w:rPr>
        <w:t>Karakan T</w:t>
      </w:r>
      <w:r w:rsidRPr="00A03975">
        <w:rPr>
          <w:rFonts w:ascii="Book Antiqua" w:hAnsi="Book Antiqua"/>
          <w:color w:val="000000" w:themeColor="text1"/>
        </w:rPr>
        <w:t xml:space="preserve">, Cindoruk M, Alagozlu H, Ergun M, Dumlu S, Unal S. EUS versus endoscopic retrograde cholangiography for patients with intermediate probability of bile duct stones: a prospective randomized trial.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2009; </w:t>
      </w:r>
      <w:r w:rsidRPr="00A03975">
        <w:rPr>
          <w:rFonts w:ascii="Book Antiqua" w:hAnsi="Book Antiqua"/>
          <w:b/>
          <w:bCs/>
          <w:color w:val="000000" w:themeColor="text1"/>
        </w:rPr>
        <w:t>69</w:t>
      </w:r>
      <w:r w:rsidRPr="00A03975">
        <w:rPr>
          <w:rFonts w:ascii="Book Antiqua" w:hAnsi="Book Antiqua"/>
          <w:color w:val="000000" w:themeColor="text1"/>
        </w:rPr>
        <w:t>: 244-252 [PMID: 19019364 DOI: 10.1016/j.gie.2008.05.023]</w:t>
      </w:r>
    </w:p>
    <w:p w14:paraId="36A4611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72 </w:t>
      </w:r>
      <w:r w:rsidRPr="00A03975">
        <w:rPr>
          <w:rFonts w:ascii="Book Antiqua" w:hAnsi="Book Antiqua"/>
          <w:b/>
          <w:bCs/>
          <w:color w:val="000000" w:themeColor="text1"/>
        </w:rPr>
        <w:t>Giljaca V</w:t>
      </w:r>
      <w:r w:rsidRPr="00A03975">
        <w:rPr>
          <w:rFonts w:ascii="Book Antiqua" w:hAnsi="Book Antiqua"/>
          <w:color w:val="000000" w:themeColor="text1"/>
        </w:rPr>
        <w:t xml:space="preserve">, Gurusamy KS, Takwoingi Y, Higgie D, Poropat G, Štimac D, Davidson BR. Endoscopic ultrasound versus magnetic resonance cholangiopancreatography for common bile duct stones. </w:t>
      </w:r>
      <w:r w:rsidRPr="00A03975">
        <w:rPr>
          <w:rFonts w:ascii="Book Antiqua" w:hAnsi="Book Antiqua"/>
          <w:i/>
          <w:iCs/>
          <w:color w:val="000000" w:themeColor="text1"/>
        </w:rPr>
        <w:t>Cochrane Database Syst Rev</w:t>
      </w:r>
      <w:r w:rsidRPr="00A03975">
        <w:rPr>
          <w:rFonts w:ascii="Book Antiqua" w:hAnsi="Book Antiqua"/>
          <w:color w:val="000000" w:themeColor="text1"/>
        </w:rPr>
        <w:t xml:space="preserve"> 2015: CD011549 [PMID: 25719224 DOI: 10.1002/14651858.CD011549]</w:t>
      </w:r>
    </w:p>
    <w:p w14:paraId="5B2CAD5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73 </w:t>
      </w:r>
      <w:r w:rsidRPr="00A03975">
        <w:rPr>
          <w:rFonts w:ascii="Book Antiqua" w:hAnsi="Book Antiqua"/>
          <w:b/>
          <w:bCs/>
          <w:color w:val="000000" w:themeColor="text1"/>
        </w:rPr>
        <w:t>Verma D</w:t>
      </w:r>
      <w:r w:rsidRPr="00A03975">
        <w:rPr>
          <w:rFonts w:ascii="Book Antiqua" w:hAnsi="Book Antiqua"/>
          <w:color w:val="000000" w:themeColor="text1"/>
        </w:rPr>
        <w:t xml:space="preserve">, Kapadia A, Eisen GM, Adler DG. </w:t>
      </w:r>
      <w:proofErr w:type="gramStart"/>
      <w:r w:rsidRPr="00A03975">
        <w:rPr>
          <w:rFonts w:ascii="Book Antiqua" w:hAnsi="Book Antiqua"/>
          <w:color w:val="000000" w:themeColor="text1"/>
        </w:rPr>
        <w:t>EUS vs MRCP for detection of choledocholithiasis.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2006; </w:t>
      </w:r>
      <w:r w:rsidRPr="00A03975">
        <w:rPr>
          <w:rFonts w:ascii="Book Antiqua" w:hAnsi="Book Antiqua"/>
          <w:b/>
          <w:bCs/>
          <w:color w:val="000000" w:themeColor="text1"/>
        </w:rPr>
        <w:t>64</w:t>
      </w:r>
      <w:r w:rsidRPr="00A03975">
        <w:rPr>
          <w:rFonts w:ascii="Book Antiqua" w:hAnsi="Book Antiqua"/>
          <w:color w:val="000000" w:themeColor="text1"/>
        </w:rPr>
        <w:t>: 248-254 [PMID: 16860077 DOI: 10.1016/j.gie.2005.12.038]</w:t>
      </w:r>
    </w:p>
    <w:p w14:paraId="5C03504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74 </w:t>
      </w:r>
      <w:r w:rsidRPr="00A03975">
        <w:rPr>
          <w:rFonts w:ascii="Book Antiqua" w:hAnsi="Book Antiqua"/>
          <w:b/>
          <w:bCs/>
          <w:color w:val="000000" w:themeColor="text1"/>
        </w:rPr>
        <w:t>Freitas ML</w:t>
      </w:r>
      <w:r w:rsidRPr="00A03975">
        <w:rPr>
          <w:rFonts w:ascii="Book Antiqua" w:hAnsi="Book Antiqua"/>
          <w:color w:val="000000" w:themeColor="text1"/>
        </w:rPr>
        <w:t xml:space="preserve">, Bell RL, Duffy AJ. Choledocholithiasis: evolving standards for diagnosis and management. </w:t>
      </w:r>
      <w:r w:rsidRPr="00A03975">
        <w:rPr>
          <w:rFonts w:ascii="Book Antiqua" w:hAnsi="Book Antiqua"/>
          <w:i/>
          <w:iCs/>
          <w:color w:val="000000" w:themeColor="text1"/>
        </w:rPr>
        <w:t>World J Gastroenterol</w:t>
      </w:r>
      <w:r w:rsidRPr="00A03975">
        <w:rPr>
          <w:rFonts w:ascii="Book Antiqua" w:hAnsi="Book Antiqua"/>
          <w:color w:val="000000" w:themeColor="text1"/>
        </w:rPr>
        <w:t xml:space="preserve"> 2006; </w:t>
      </w:r>
      <w:r w:rsidRPr="00A03975">
        <w:rPr>
          <w:rFonts w:ascii="Book Antiqua" w:hAnsi="Book Antiqua"/>
          <w:b/>
          <w:bCs/>
          <w:color w:val="000000" w:themeColor="text1"/>
        </w:rPr>
        <w:t>12</w:t>
      </w:r>
      <w:r w:rsidRPr="00A03975">
        <w:rPr>
          <w:rFonts w:ascii="Book Antiqua" w:hAnsi="Book Antiqua"/>
          <w:color w:val="000000" w:themeColor="text1"/>
        </w:rPr>
        <w:t>: 3162-3167 [PMID: 16718834 DOI: 10.3748/wjg.v12.i20.3162]</w:t>
      </w:r>
    </w:p>
    <w:p w14:paraId="062B93EE"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75 </w:t>
      </w:r>
      <w:r w:rsidRPr="00A03975">
        <w:rPr>
          <w:rFonts w:ascii="Book Antiqua" w:hAnsi="Book Antiqua"/>
          <w:b/>
          <w:bCs/>
          <w:color w:val="000000" w:themeColor="text1"/>
        </w:rPr>
        <w:t>Lu J</w:t>
      </w:r>
      <w:r w:rsidRPr="00A03975">
        <w:rPr>
          <w:rFonts w:ascii="Book Antiqua" w:hAnsi="Book Antiqua"/>
          <w:color w:val="000000" w:themeColor="text1"/>
        </w:rPr>
        <w:t xml:space="preserve">, Xiong XZ, Cheng Y, Lin YX, Zhou RX, You Z, Wu SJ, Cheng NS. </w:t>
      </w:r>
      <w:proofErr w:type="gramStart"/>
      <w:r w:rsidRPr="00A03975">
        <w:rPr>
          <w:rFonts w:ascii="Book Antiqua" w:hAnsi="Book Antiqua"/>
          <w:color w:val="000000" w:themeColor="text1"/>
        </w:rPr>
        <w:t xml:space="preserve">One-stage versus two-stage management for concomitant gallbladder stones and common bile </w:t>
      </w:r>
      <w:r w:rsidRPr="00A03975">
        <w:rPr>
          <w:rFonts w:ascii="Book Antiqua" w:hAnsi="Book Antiqua"/>
          <w:color w:val="000000" w:themeColor="text1"/>
        </w:rPr>
        <w:lastRenderedPageBreak/>
        <w:t>duct stones in patients with obstructive jaundice.</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Am Surg</w:t>
      </w:r>
      <w:r w:rsidRPr="00A03975">
        <w:rPr>
          <w:rFonts w:ascii="Book Antiqua" w:hAnsi="Book Antiqua"/>
          <w:color w:val="000000" w:themeColor="text1"/>
        </w:rPr>
        <w:t xml:space="preserve"> 2013; </w:t>
      </w:r>
      <w:r w:rsidRPr="00A03975">
        <w:rPr>
          <w:rFonts w:ascii="Book Antiqua" w:hAnsi="Book Antiqua"/>
          <w:b/>
          <w:bCs/>
          <w:color w:val="000000" w:themeColor="text1"/>
        </w:rPr>
        <w:t>79</w:t>
      </w:r>
      <w:r w:rsidRPr="00A03975">
        <w:rPr>
          <w:rFonts w:ascii="Book Antiqua" w:hAnsi="Book Antiqua"/>
          <w:color w:val="000000" w:themeColor="text1"/>
        </w:rPr>
        <w:t>: 1142-1148 [PMID: 24165247]</w:t>
      </w:r>
    </w:p>
    <w:p w14:paraId="50D6C6A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76 </w:t>
      </w:r>
      <w:r w:rsidRPr="00A03975">
        <w:rPr>
          <w:rFonts w:ascii="Book Antiqua" w:hAnsi="Book Antiqua"/>
          <w:b/>
          <w:bCs/>
          <w:color w:val="000000" w:themeColor="text1"/>
        </w:rPr>
        <w:t>Bansal VK</w:t>
      </w:r>
      <w:r w:rsidRPr="00A03975">
        <w:rPr>
          <w:rFonts w:ascii="Book Antiqua" w:hAnsi="Book Antiqua"/>
          <w:color w:val="000000" w:themeColor="text1"/>
        </w:rPr>
        <w:t xml:space="preserve">, Misra MC, Rajan K, Kilambi R, Kumar S, Krishna A, Kumar A, Pandav CS, Subramaniam R, Arora MK, Garg PK. Single-stage laparoscopic common bile duct exploration and cholecystectomy versus two-stage endoscopic stone extraction followed by laparoscopic cholecystectomy for patients with concomitant gallbladder stones and common bile duct stones: a randomized controlled trial. </w:t>
      </w:r>
      <w:r w:rsidRPr="00A03975">
        <w:rPr>
          <w:rFonts w:ascii="Book Antiqua" w:hAnsi="Book Antiqua"/>
          <w:i/>
          <w:iCs/>
          <w:color w:val="000000" w:themeColor="text1"/>
        </w:rPr>
        <w:t>Surg Endosc</w:t>
      </w:r>
      <w:r w:rsidRPr="00A03975">
        <w:rPr>
          <w:rFonts w:ascii="Book Antiqua" w:hAnsi="Book Antiqua"/>
          <w:color w:val="000000" w:themeColor="text1"/>
        </w:rPr>
        <w:t xml:space="preserve"> 2014; </w:t>
      </w:r>
      <w:r w:rsidRPr="00A03975">
        <w:rPr>
          <w:rFonts w:ascii="Book Antiqua" w:hAnsi="Book Antiqua"/>
          <w:b/>
          <w:bCs/>
          <w:color w:val="000000" w:themeColor="text1"/>
        </w:rPr>
        <w:t>28</w:t>
      </w:r>
      <w:r w:rsidRPr="00A03975">
        <w:rPr>
          <w:rFonts w:ascii="Book Antiqua" w:hAnsi="Book Antiqua"/>
          <w:color w:val="000000" w:themeColor="text1"/>
        </w:rPr>
        <w:t>: 875-885 [PMID: 24162138 DOI: 10.1007/s00464-013-3237-4]</w:t>
      </w:r>
    </w:p>
    <w:p w14:paraId="5A9019E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77 </w:t>
      </w:r>
      <w:r w:rsidRPr="00A03975">
        <w:rPr>
          <w:rFonts w:ascii="Book Antiqua" w:hAnsi="Book Antiqua"/>
          <w:b/>
          <w:bCs/>
          <w:color w:val="000000" w:themeColor="text1"/>
        </w:rPr>
        <w:t>Erickson RA</w:t>
      </w:r>
      <w:r w:rsidRPr="00A03975">
        <w:rPr>
          <w:rFonts w:ascii="Book Antiqua" w:hAnsi="Book Antiqua"/>
          <w:color w:val="000000" w:themeColor="text1"/>
        </w:rPr>
        <w:t xml:space="preserve">, Carlson B. </w:t>
      </w:r>
      <w:proofErr w:type="gramStart"/>
      <w:r w:rsidRPr="00A03975">
        <w:rPr>
          <w:rFonts w:ascii="Book Antiqua" w:hAnsi="Book Antiqua"/>
          <w:color w:val="000000" w:themeColor="text1"/>
        </w:rPr>
        <w:t>The role of endoscopic retrograde cholangiopancreatography in patients with laparoscopic cholecystectomies.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Gastroenterology</w:t>
      </w:r>
      <w:r w:rsidRPr="00A03975">
        <w:rPr>
          <w:rFonts w:ascii="Book Antiqua" w:hAnsi="Book Antiqua"/>
          <w:color w:val="000000" w:themeColor="text1"/>
        </w:rPr>
        <w:t xml:space="preserve"> 1995; </w:t>
      </w:r>
      <w:r w:rsidRPr="00A03975">
        <w:rPr>
          <w:rFonts w:ascii="Book Antiqua" w:hAnsi="Book Antiqua"/>
          <w:b/>
          <w:bCs/>
          <w:color w:val="000000" w:themeColor="text1"/>
        </w:rPr>
        <w:t>109</w:t>
      </w:r>
      <w:r w:rsidRPr="00A03975">
        <w:rPr>
          <w:rFonts w:ascii="Book Antiqua" w:hAnsi="Book Antiqua"/>
          <w:color w:val="000000" w:themeColor="text1"/>
        </w:rPr>
        <w:t>: 252-263 [PMID: 7797023 DOI: 10.1016/0016-5085(95)90292-9]</w:t>
      </w:r>
    </w:p>
    <w:p w14:paraId="653DE0C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78 </w:t>
      </w:r>
      <w:r w:rsidRPr="00A03975">
        <w:rPr>
          <w:rFonts w:ascii="Book Antiqua" w:hAnsi="Book Antiqua"/>
          <w:b/>
          <w:bCs/>
          <w:color w:val="000000" w:themeColor="text1"/>
        </w:rPr>
        <w:t>Enochsson L</w:t>
      </w:r>
      <w:r w:rsidRPr="00A03975">
        <w:rPr>
          <w:rFonts w:ascii="Book Antiqua" w:hAnsi="Book Antiqua"/>
          <w:color w:val="000000" w:themeColor="text1"/>
        </w:rPr>
        <w:t xml:space="preserve">, Lindberg B, Swahn F, Arnelo U. Intraoperative endoscopic retrograde cholangiopancreatography (ERCP) to remove common bile duct stones during routine laparoscopic cholecystectomy does not prolong hospitalization: a 2-year experience.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2004; </w:t>
      </w:r>
      <w:r w:rsidRPr="00A03975">
        <w:rPr>
          <w:rFonts w:ascii="Book Antiqua" w:hAnsi="Book Antiqua"/>
          <w:b/>
          <w:bCs/>
          <w:color w:val="000000" w:themeColor="text1"/>
        </w:rPr>
        <w:t>18</w:t>
      </w:r>
      <w:r w:rsidRPr="00A03975">
        <w:rPr>
          <w:rFonts w:ascii="Book Antiqua" w:hAnsi="Book Antiqua"/>
          <w:color w:val="000000" w:themeColor="text1"/>
        </w:rPr>
        <w:t>: 367-371 [PMID: 14752630 DOI: 10.1007/s00464-003-9021-0]</w:t>
      </w:r>
    </w:p>
    <w:p w14:paraId="11E5C8F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79 </w:t>
      </w:r>
      <w:r w:rsidRPr="00A03975">
        <w:rPr>
          <w:rFonts w:ascii="Book Antiqua" w:hAnsi="Book Antiqua"/>
          <w:b/>
          <w:bCs/>
          <w:color w:val="000000" w:themeColor="text1"/>
        </w:rPr>
        <w:t>Coppola R</w:t>
      </w:r>
      <w:r w:rsidRPr="00A03975">
        <w:rPr>
          <w:rFonts w:ascii="Book Antiqua" w:hAnsi="Book Antiqua"/>
          <w:color w:val="000000" w:themeColor="text1"/>
        </w:rPr>
        <w:t xml:space="preserve">, Riccioni ME, Ciletti S, Cosentino L, Ripetti V, Magistrelli P, Picciocchi A. Selective use of endoscopic retrograde cholangiopancreatography to facilitate laparoscopic cholecystectomy without cholangiography. </w:t>
      </w:r>
      <w:proofErr w:type="gramStart"/>
      <w:r w:rsidRPr="00A03975">
        <w:rPr>
          <w:rFonts w:ascii="Book Antiqua" w:hAnsi="Book Antiqua"/>
          <w:color w:val="000000" w:themeColor="text1"/>
        </w:rPr>
        <w:t>A review of 1139 consecutive cases.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2001; </w:t>
      </w:r>
      <w:r w:rsidRPr="00A03975">
        <w:rPr>
          <w:rFonts w:ascii="Book Antiqua" w:hAnsi="Book Antiqua"/>
          <w:b/>
          <w:bCs/>
          <w:color w:val="000000" w:themeColor="text1"/>
        </w:rPr>
        <w:t>15</w:t>
      </w:r>
      <w:r w:rsidRPr="00A03975">
        <w:rPr>
          <w:rFonts w:ascii="Book Antiqua" w:hAnsi="Book Antiqua"/>
          <w:color w:val="000000" w:themeColor="text1"/>
        </w:rPr>
        <w:t>: 1213-1216 [PMID: 11727103 DOI: 10.1007/s004640080019]</w:t>
      </w:r>
    </w:p>
    <w:p w14:paraId="375B002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80 </w:t>
      </w:r>
      <w:r w:rsidRPr="00A03975">
        <w:rPr>
          <w:rFonts w:ascii="Book Antiqua" w:hAnsi="Book Antiqua"/>
          <w:b/>
          <w:bCs/>
          <w:color w:val="000000" w:themeColor="text1"/>
        </w:rPr>
        <w:t>Garrow D</w:t>
      </w:r>
      <w:r w:rsidRPr="00A03975">
        <w:rPr>
          <w:rFonts w:ascii="Book Antiqua" w:hAnsi="Book Antiqua"/>
          <w:color w:val="000000" w:themeColor="text1"/>
        </w:rPr>
        <w:t xml:space="preserve">, Miller S, Sinha D, Conway J, Hoffman BJ, Hawes RH, Romagnuolo J. Endoscopic ultrasound: a meta-analysis of test performance in suspected biliary obstruction. </w:t>
      </w:r>
      <w:r w:rsidRPr="00A03975">
        <w:rPr>
          <w:rFonts w:ascii="Book Antiqua" w:hAnsi="Book Antiqua"/>
          <w:i/>
          <w:iCs/>
          <w:color w:val="000000" w:themeColor="text1"/>
        </w:rPr>
        <w:t>Clin Gastroenterol Hepatol</w:t>
      </w:r>
      <w:r w:rsidRPr="00A03975">
        <w:rPr>
          <w:rFonts w:ascii="Book Antiqua" w:hAnsi="Book Antiqua"/>
          <w:color w:val="000000" w:themeColor="text1"/>
        </w:rPr>
        <w:t xml:space="preserve"> 2007; </w:t>
      </w:r>
      <w:r w:rsidRPr="00A03975">
        <w:rPr>
          <w:rFonts w:ascii="Book Antiqua" w:hAnsi="Book Antiqua"/>
          <w:b/>
          <w:bCs/>
          <w:color w:val="000000" w:themeColor="text1"/>
        </w:rPr>
        <w:t>5</w:t>
      </w:r>
      <w:r w:rsidRPr="00A03975">
        <w:rPr>
          <w:rFonts w:ascii="Book Antiqua" w:hAnsi="Book Antiqua"/>
          <w:color w:val="000000" w:themeColor="text1"/>
        </w:rPr>
        <w:t>: 616-623 [PMID: 17478348 DOI: 10.1016/j.cgh.2007.02.027]</w:t>
      </w:r>
    </w:p>
    <w:p w14:paraId="39208A0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81 </w:t>
      </w:r>
      <w:r w:rsidRPr="00A03975">
        <w:rPr>
          <w:rFonts w:ascii="Book Antiqua" w:hAnsi="Book Antiqua"/>
          <w:b/>
          <w:bCs/>
          <w:color w:val="000000" w:themeColor="text1"/>
        </w:rPr>
        <w:t>Kaltenthaler EC</w:t>
      </w:r>
      <w:r w:rsidRPr="00A03975">
        <w:rPr>
          <w:rFonts w:ascii="Book Antiqua" w:hAnsi="Book Antiqua"/>
          <w:color w:val="000000" w:themeColor="text1"/>
        </w:rPr>
        <w:t xml:space="preserve">, Walters SJ, Chilcott J, Blakeborough A, Vergel YB, Thomas S. MRCP compared to diagnostic ERCP for diagnosis when biliary obstruction is suspected: a systematic review. </w:t>
      </w:r>
      <w:r w:rsidRPr="00A03975">
        <w:rPr>
          <w:rFonts w:ascii="Book Antiqua" w:hAnsi="Book Antiqua"/>
          <w:i/>
          <w:iCs/>
          <w:color w:val="000000" w:themeColor="text1"/>
        </w:rPr>
        <w:t>BMC Med Imaging</w:t>
      </w:r>
      <w:r w:rsidRPr="00A03975">
        <w:rPr>
          <w:rFonts w:ascii="Book Antiqua" w:hAnsi="Book Antiqua"/>
          <w:color w:val="000000" w:themeColor="text1"/>
        </w:rPr>
        <w:t xml:space="preserve"> 2006; </w:t>
      </w:r>
      <w:r w:rsidRPr="00A03975">
        <w:rPr>
          <w:rFonts w:ascii="Book Antiqua" w:hAnsi="Book Antiqua"/>
          <w:b/>
          <w:bCs/>
          <w:color w:val="000000" w:themeColor="text1"/>
        </w:rPr>
        <w:t>6</w:t>
      </w:r>
      <w:r w:rsidRPr="00A03975">
        <w:rPr>
          <w:rFonts w:ascii="Book Antiqua" w:hAnsi="Book Antiqua"/>
          <w:color w:val="000000" w:themeColor="text1"/>
        </w:rPr>
        <w:t>: 9 [PMID: 16907974 DOI: 10.1186/1471-2342-6-9]</w:t>
      </w:r>
    </w:p>
    <w:p w14:paraId="305C873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lastRenderedPageBreak/>
        <w:t xml:space="preserve">82 </w:t>
      </w:r>
      <w:r w:rsidRPr="00A03975">
        <w:rPr>
          <w:rFonts w:ascii="Book Antiqua" w:hAnsi="Book Antiqua"/>
          <w:b/>
          <w:bCs/>
          <w:color w:val="000000" w:themeColor="text1"/>
        </w:rPr>
        <w:t>Lefemine V</w:t>
      </w:r>
      <w:r w:rsidRPr="00A03975">
        <w:rPr>
          <w:rFonts w:ascii="Book Antiqua" w:hAnsi="Book Antiqua"/>
          <w:color w:val="000000" w:themeColor="text1"/>
        </w:rPr>
        <w:t>, Morgan RJ.</w:t>
      </w:r>
      <w:proofErr w:type="gramEnd"/>
      <w:r w:rsidRPr="00A03975">
        <w:rPr>
          <w:rFonts w:ascii="Book Antiqua" w:hAnsi="Book Antiqua"/>
          <w:color w:val="000000" w:themeColor="text1"/>
        </w:rPr>
        <w:t xml:space="preserve"> Spontaneous passage of common bile duct stones in jaundiced patients. </w:t>
      </w:r>
      <w:r w:rsidRPr="00A03975">
        <w:rPr>
          <w:rFonts w:ascii="Book Antiqua" w:hAnsi="Book Antiqua"/>
          <w:i/>
          <w:iCs/>
          <w:color w:val="000000" w:themeColor="text1"/>
        </w:rPr>
        <w:t>Hepatobiliary Pancreat Dis Int</w:t>
      </w:r>
      <w:r w:rsidRPr="00A03975">
        <w:rPr>
          <w:rFonts w:ascii="Book Antiqua" w:hAnsi="Book Antiqua"/>
          <w:color w:val="000000" w:themeColor="text1"/>
        </w:rPr>
        <w:t xml:space="preserve"> 2011; </w:t>
      </w:r>
      <w:r w:rsidRPr="00A03975">
        <w:rPr>
          <w:rFonts w:ascii="Book Antiqua" w:hAnsi="Book Antiqua"/>
          <w:b/>
          <w:bCs/>
          <w:color w:val="000000" w:themeColor="text1"/>
        </w:rPr>
        <w:t>10</w:t>
      </w:r>
      <w:r w:rsidRPr="00A03975">
        <w:rPr>
          <w:rFonts w:ascii="Book Antiqua" w:hAnsi="Book Antiqua"/>
          <w:color w:val="000000" w:themeColor="text1"/>
        </w:rPr>
        <w:t>: 209-213 [PMID: 21459730 DOI: 10.1016/s1499-3872(11)60033-7]</w:t>
      </w:r>
    </w:p>
    <w:p w14:paraId="68BCEE5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83 </w:t>
      </w:r>
      <w:r w:rsidRPr="00A03975">
        <w:rPr>
          <w:rFonts w:ascii="Book Antiqua" w:hAnsi="Book Antiqua"/>
          <w:b/>
          <w:bCs/>
          <w:color w:val="000000" w:themeColor="text1"/>
        </w:rPr>
        <w:t>Pierce RA</w:t>
      </w:r>
      <w:r w:rsidRPr="00A03975">
        <w:rPr>
          <w:rFonts w:ascii="Book Antiqua" w:hAnsi="Book Antiqua"/>
          <w:color w:val="000000" w:themeColor="text1"/>
        </w:rPr>
        <w:t xml:space="preserve">, Jonnalagadda S, Spitler JA, Tessier DJ, Liaw JM, Lall SC, Melman LM, Frisella MM, Todt LM, Brunt LM, Halpin VJ, Eagon JC, Edmundowicz SA, Matthews BD. Incidence of residual choledocholithiasis detected by intraoperative cholangiography at the time of laparoscopic cholecystectomy in patients having undergone preoperative ERCP. </w:t>
      </w:r>
      <w:r w:rsidRPr="00A03975">
        <w:rPr>
          <w:rFonts w:ascii="Book Antiqua" w:hAnsi="Book Antiqua"/>
          <w:i/>
          <w:iCs/>
          <w:color w:val="000000" w:themeColor="text1"/>
        </w:rPr>
        <w:t>Surg Endosc</w:t>
      </w:r>
      <w:r w:rsidRPr="00A03975">
        <w:rPr>
          <w:rFonts w:ascii="Book Antiqua" w:hAnsi="Book Antiqua"/>
          <w:color w:val="000000" w:themeColor="text1"/>
        </w:rPr>
        <w:t xml:space="preserve"> 2008; </w:t>
      </w:r>
      <w:r w:rsidRPr="00A03975">
        <w:rPr>
          <w:rFonts w:ascii="Book Antiqua" w:hAnsi="Book Antiqua"/>
          <w:b/>
          <w:bCs/>
          <w:color w:val="000000" w:themeColor="text1"/>
        </w:rPr>
        <w:t>22</w:t>
      </w:r>
      <w:r w:rsidRPr="00A03975">
        <w:rPr>
          <w:rFonts w:ascii="Book Antiqua" w:hAnsi="Book Antiqua"/>
          <w:color w:val="000000" w:themeColor="text1"/>
        </w:rPr>
        <w:t>: 2365-2372 [PMID: 18322745 DOI: 10.1007/s00464-008-9785-3]</w:t>
      </w:r>
    </w:p>
    <w:p w14:paraId="330FC4B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84 </w:t>
      </w:r>
      <w:r w:rsidRPr="00A03975">
        <w:rPr>
          <w:rFonts w:ascii="Book Antiqua" w:hAnsi="Book Antiqua"/>
          <w:b/>
          <w:bCs/>
          <w:color w:val="000000" w:themeColor="text1"/>
        </w:rPr>
        <w:t>Ishizaki Y</w:t>
      </w:r>
      <w:r w:rsidRPr="00A03975">
        <w:rPr>
          <w:rFonts w:ascii="Book Antiqua" w:hAnsi="Book Antiqua"/>
          <w:color w:val="000000" w:themeColor="text1"/>
        </w:rPr>
        <w:t xml:space="preserve">, Miwa K, Yoshimoto J, Sugo H, Kawasaki S. Conversion of elective laparoscopic to open cholecystectomy between 1993 and 2004. </w:t>
      </w:r>
      <w:r w:rsidRPr="00A03975">
        <w:rPr>
          <w:rFonts w:ascii="Book Antiqua" w:hAnsi="Book Antiqua"/>
          <w:i/>
          <w:iCs/>
          <w:color w:val="000000" w:themeColor="text1"/>
        </w:rPr>
        <w:t>Br J Surg</w:t>
      </w:r>
      <w:r w:rsidRPr="00A03975">
        <w:rPr>
          <w:rFonts w:ascii="Book Antiqua" w:hAnsi="Book Antiqua"/>
          <w:color w:val="000000" w:themeColor="text1"/>
        </w:rPr>
        <w:t xml:space="preserve"> 2006; </w:t>
      </w:r>
      <w:r w:rsidRPr="00A03975">
        <w:rPr>
          <w:rFonts w:ascii="Book Antiqua" w:hAnsi="Book Antiqua"/>
          <w:b/>
          <w:bCs/>
          <w:color w:val="000000" w:themeColor="text1"/>
        </w:rPr>
        <w:t>93</w:t>
      </w:r>
      <w:r w:rsidRPr="00A03975">
        <w:rPr>
          <w:rFonts w:ascii="Book Antiqua" w:hAnsi="Book Antiqua"/>
          <w:color w:val="000000" w:themeColor="text1"/>
        </w:rPr>
        <w:t>: 987-991 [PMID: 16739098 DOI: 10.1002/bjs.5406]</w:t>
      </w:r>
    </w:p>
    <w:p w14:paraId="7EFA5CC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85 </w:t>
      </w:r>
      <w:r w:rsidRPr="00A03975">
        <w:rPr>
          <w:rFonts w:ascii="Book Antiqua" w:hAnsi="Book Antiqua"/>
          <w:b/>
          <w:bCs/>
          <w:color w:val="000000" w:themeColor="text1"/>
        </w:rPr>
        <w:t>de Vries A</w:t>
      </w:r>
      <w:r w:rsidRPr="00A03975">
        <w:rPr>
          <w:rFonts w:ascii="Book Antiqua" w:hAnsi="Book Antiqua"/>
          <w:color w:val="000000" w:themeColor="text1"/>
        </w:rPr>
        <w:t xml:space="preserve">, Donkervoort SC, van Geloven AA, Pierik EG. Conversion rate of laparoscopic cholecystectomy after endoscopic retrograde cholangiography in the treatment of choledocholithiasis: does the time interval matter? </w:t>
      </w:r>
      <w:r w:rsidRPr="00A03975">
        <w:rPr>
          <w:rFonts w:ascii="Book Antiqua" w:hAnsi="Book Antiqua"/>
          <w:i/>
          <w:iCs/>
          <w:color w:val="000000" w:themeColor="text1"/>
        </w:rPr>
        <w:t>Surg Endosc</w:t>
      </w:r>
      <w:r w:rsidRPr="00A03975">
        <w:rPr>
          <w:rFonts w:ascii="Book Antiqua" w:hAnsi="Book Antiqua"/>
          <w:color w:val="000000" w:themeColor="text1"/>
        </w:rPr>
        <w:t xml:space="preserve"> 2005; </w:t>
      </w:r>
      <w:r w:rsidRPr="00A03975">
        <w:rPr>
          <w:rFonts w:ascii="Book Antiqua" w:hAnsi="Book Antiqua"/>
          <w:b/>
          <w:bCs/>
          <w:color w:val="000000" w:themeColor="text1"/>
        </w:rPr>
        <w:t>19</w:t>
      </w:r>
      <w:r w:rsidRPr="00A03975">
        <w:rPr>
          <w:rFonts w:ascii="Book Antiqua" w:hAnsi="Book Antiqua"/>
          <w:color w:val="000000" w:themeColor="text1"/>
        </w:rPr>
        <w:t>: 996-1001 [PMID: 15920689 DOI: 10.1007/s00464-004-2206-3]</w:t>
      </w:r>
    </w:p>
    <w:p w14:paraId="65C6E06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86 </w:t>
      </w:r>
      <w:r w:rsidRPr="00A03975">
        <w:rPr>
          <w:rFonts w:ascii="Book Antiqua" w:hAnsi="Book Antiqua"/>
          <w:b/>
          <w:bCs/>
          <w:color w:val="000000" w:themeColor="text1"/>
        </w:rPr>
        <w:t>Ros A</w:t>
      </w:r>
      <w:r w:rsidRPr="00A03975">
        <w:rPr>
          <w:rFonts w:ascii="Book Antiqua" w:hAnsi="Book Antiqua"/>
          <w:color w:val="000000" w:themeColor="text1"/>
        </w:rPr>
        <w:t xml:space="preserve">, Gustafsson L, Krook H, Nordgren CE, Thorell A, Wallin G, Nilsson E. Laparoscopic cholecystectomy versus mini-laparotomy cholecystectomy: a prospective, randomized, single-blind study. </w:t>
      </w:r>
      <w:r w:rsidRPr="00A03975">
        <w:rPr>
          <w:rFonts w:ascii="Book Antiqua" w:hAnsi="Book Antiqua"/>
          <w:i/>
          <w:iCs/>
          <w:color w:val="000000" w:themeColor="text1"/>
        </w:rPr>
        <w:t>Ann Surg</w:t>
      </w:r>
      <w:r w:rsidRPr="00A03975">
        <w:rPr>
          <w:rFonts w:ascii="Book Antiqua" w:hAnsi="Book Antiqua"/>
          <w:color w:val="000000" w:themeColor="text1"/>
        </w:rPr>
        <w:t xml:space="preserve"> 2001; </w:t>
      </w:r>
      <w:r w:rsidRPr="00A03975">
        <w:rPr>
          <w:rFonts w:ascii="Book Antiqua" w:hAnsi="Book Antiqua"/>
          <w:b/>
          <w:bCs/>
          <w:color w:val="000000" w:themeColor="text1"/>
        </w:rPr>
        <w:t>234</w:t>
      </w:r>
      <w:r w:rsidRPr="00A03975">
        <w:rPr>
          <w:rFonts w:ascii="Book Antiqua" w:hAnsi="Book Antiqua"/>
          <w:color w:val="000000" w:themeColor="text1"/>
        </w:rPr>
        <w:t>: 741-749 [PMID: 11729380 DOI: 10.1097/00000658-200112000-00005]</w:t>
      </w:r>
    </w:p>
    <w:p w14:paraId="199C285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87 </w:t>
      </w:r>
      <w:r w:rsidRPr="00A03975">
        <w:rPr>
          <w:rFonts w:ascii="Book Antiqua" w:hAnsi="Book Antiqua"/>
          <w:b/>
          <w:bCs/>
          <w:color w:val="000000" w:themeColor="text1"/>
        </w:rPr>
        <w:t>Byrne MF</w:t>
      </w:r>
      <w:r w:rsidRPr="00A03975">
        <w:rPr>
          <w:rFonts w:ascii="Book Antiqua" w:hAnsi="Book Antiqua"/>
          <w:color w:val="000000" w:themeColor="text1"/>
        </w:rPr>
        <w:t xml:space="preserve">, McLoughlin MT, Mitchell RM, Gerke H, Pappas TN, Branch MS, Jowell PS, Baillie J. </w:t>
      </w:r>
      <w:proofErr w:type="gramStart"/>
      <w:r w:rsidRPr="00A03975">
        <w:rPr>
          <w:rFonts w:ascii="Book Antiqua" w:hAnsi="Book Antiqua"/>
          <w:color w:val="000000" w:themeColor="text1"/>
        </w:rPr>
        <w:t>The fate of patients who undergo "preoperative" ERCP to clear known or suspected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2009; </w:t>
      </w:r>
      <w:r w:rsidRPr="00A03975">
        <w:rPr>
          <w:rFonts w:ascii="Book Antiqua" w:hAnsi="Book Antiqua"/>
          <w:b/>
          <w:bCs/>
          <w:color w:val="000000" w:themeColor="text1"/>
        </w:rPr>
        <w:t>23</w:t>
      </w:r>
      <w:r w:rsidRPr="00A03975">
        <w:rPr>
          <w:rFonts w:ascii="Book Antiqua" w:hAnsi="Book Antiqua"/>
          <w:color w:val="000000" w:themeColor="text1"/>
        </w:rPr>
        <w:t>: 74-79 [PMID: 18401646 DOI: 10.1007/s00464-008-9903-2]</w:t>
      </w:r>
    </w:p>
    <w:p w14:paraId="16C43F5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88 </w:t>
      </w:r>
      <w:r w:rsidRPr="00A03975">
        <w:rPr>
          <w:rFonts w:ascii="Book Antiqua" w:hAnsi="Book Antiqua"/>
          <w:b/>
          <w:bCs/>
          <w:color w:val="000000" w:themeColor="text1"/>
        </w:rPr>
        <w:t>Yi SY</w:t>
      </w:r>
      <w:r w:rsidRPr="00A03975">
        <w:rPr>
          <w:rFonts w:ascii="Book Antiqua" w:hAnsi="Book Antiqua"/>
          <w:color w:val="000000" w:themeColor="text1"/>
        </w:rPr>
        <w:t>.</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Recurrence of biliary symptoms after endoscopic sphincterotomy for choledocholithiasis in patients with gall bladder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J Gastroenterol Hepatol</w:t>
      </w:r>
      <w:r w:rsidRPr="00A03975">
        <w:rPr>
          <w:rFonts w:ascii="Book Antiqua" w:hAnsi="Book Antiqua"/>
          <w:color w:val="000000" w:themeColor="text1"/>
        </w:rPr>
        <w:t xml:space="preserve"> 2000; </w:t>
      </w:r>
      <w:r w:rsidRPr="00A03975">
        <w:rPr>
          <w:rFonts w:ascii="Book Antiqua" w:hAnsi="Book Antiqua"/>
          <w:b/>
          <w:bCs/>
          <w:color w:val="000000" w:themeColor="text1"/>
        </w:rPr>
        <w:t>15</w:t>
      </w:r>
      <w:r w:rsidRPr="00A03975">
        <w:rPr>
          <w:rFonts w:ascii="Book Antiqua" w:hAnsi="Book Antiqua"/>
          <w:color w:val="000000" w:themeColor="text1"/>
        </w:rPr>
        <w:t>: 661-664 [PMID: 10921421 DOI: 10.1046/j.1440-1746.2000.02192.x]</w:t>
      </w:r>
    </w:p>
    <w:p w14:paraId="01BDB24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89 </w:t>
      </w:r>
      <w:r w:rsidRPr="00A03975">
        <w:rPr>
          <w:rFonts w:ascii="Book Antiqua" w:hAnsi="Book Antiqua"/>
          <w:b/>
          <w:bCs/>
          <w:color w:val="000000" w:themeColor="text1"/>
        </w:rPr>
        <w:t>Schiphorst AH</w:t>
      </w:r>
      <w:r w:rsidRPr="00A03975">
        <w:rPr>
          <w:rFonts w:ascii="Book Antiqua" w:hAnsi="Book Antiqua"/>
          <w:color w:val="000000" w:themeColor="text1"/>
        </w:rPr>
        <w:t xml:space="preserve">, Besselink MG, Boerma D, Timmer R, Wiezer MJ, van Erpecum KJ, Broeders IA, van Ramshorst B. Timing of cholecystectomy after endoscopic sphincterotomy for common bile duct stones. </w:t>
      </w:r>
      <w:r w:rsidRPr="00A03975">
        <w:rPr>
          <w:rFonts w:ascii="Book Antiqua" w:hAnsi="Book Antiqua"/>
          <w:i/>
          <w:iCs/>
          <w:color w:val="000000" w:themeColor="text1"/>
        </w:rPr>
        <w:t>Surg Endosc</w:t>
      </w:r>
      <w:r w:rsidRPr="00A03975">
        <w:rPr>
          <w:rFonts w:ascii="Book Antiqua" w:hAnsi="Book Antiqua"/>
          <w:color w:val="000000" w:themeColor="text1"/>
        </w:rPr>
        <w:t xml:space="preserve"> 2008; </w:t>
      </w:r>
      <w:r w:rsidRPr="00A03975">
        <w:rPr>
          <w:rFonts w:ascii="Book Antiqua" w:hAnsi="Book Antiqua"/>
          <w:b/>
          <w:bCs/>
          <w:color w:val="000000" w:themeColor="text1"/>
        </w:rPr>
        <w:t>22</w:t>
      </w:r>
      <w:r w:rsidRPr="00A03975">
        <w:rPr>
          <w:rFonts w:ascii="Book Antiqua" w:hAnsi="Book Antiqua"/>
          <w:color w:val="000000" w:themeColor="text1"/>
        </w:rPr>
        <w:t>: 2046-2050 [PMID: 18270768 DOI: 10.1007/s00464-008-9764-8]</w:t>
      </w:r>
    </w:p>
    <w:p w14:paraId="656C71C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lastRenderedPageBreak/>
        <w:t xml:space="preserve">90 </w:t>
      </w:r>
      <w:r w:rsidRPr="00A03975">
        <w:rPr>
          <w:rFonts w:ascii="Book Antiqua" w:hAnsi="Book Antiqua"/>
          <w:b/>
          <w:bCs/>
          <w:color w:val="000000" w:themeColor="text1"/>
        </w:rPr>
        <w:t>Rhodes M</w:t>
      </w:r>
      <w:r w:rsidRPr="00A03975">
        <w:rPr>
          <w:rFonts w:ascii="Book Antiqua" w:hAnsi="Book Antiqua"/>
          <w:color w:val="000000" w:themeColor="text1"/>
        </w:rPr>
        <w:t>, Sussman L, Cohen L, Lewis MP.</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Randomised trial of laparoscopic exploration of common bile duct versus postoperative endoscopic retrograde cholangiography for common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Lancet</w:t>
      </w:r>
      <w:r w:rsidRPr="00A03975">
        <w:rPr>
          <w:rFonts w:ascii="Book Antiqua" w:hAnsi="Book Antiqua"/>
          <w:color w:val="000000" w:themeColor="text1"/>
        </w:rPr>
        <w:t xml:space="preserve"> 1998; </w:t>
      </w:r>
      <w:r w:rsidRPr="00A03975">
        <w:rPr>
          <w:rFonts w:ascii="Book Antiqua" w:hAnsi="Book Antiqua"/>
          <w:b/>
          <w:bCs/>
          <w:color w:val="000000" w:themeColor="text1"/>
        </w:rPr>
        <w:t>351</w:t>
      </w:r>
      <w:r w:rsidRPr="00A03975">
        <w:rPr>
          <w:rFonts w:ascii="Book Antiqua" w:hAnsi="Book Antiqua"/>
          <w:color w:val="000000" w:themeColor="text1"/>
        </w:rPr>
        <w:t>: 159-161 [PMID: 9449869 DOI: 10.1016/s0140-6736(97)09175-7]</w:t>
      </w:r>
    </w:p>
    <w:p w14:paraId="0C55DD6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91 </w:t>
      </w:r>
      <w:r w:rsidRPr="00A03975">
        <w:rPr>
          <w:rFonts w:ascii="Book Antiqua" w:hAnsi="Book Antiqua"/>
          <w:b/>
          <w:bCs/>
          <w:color w:val="000000" w:themeColor="text1"/>
        </w:rPr>
        <w:t>Nathanson LK</w:t>
      </w:r>
      <w:r w:rsidRPr="00A03975">
        <w:rPr>
          <w:rFonts w:ascii="Book Antiqua" w:hAnsi="Book Antiqua"/>
          <w:color w:val="000000" w:themeColor="text1"/>
        </w:rPr>
        <w:t xml:space="preserve">, O'Rourke NA, Martin IJ, Fielding GA, Cowen AE, Roberts RK, Kendall BJ, Kerlin P, Devereux BM. Postoperative ERCP versus laparoscopic choledochotomy for clearance of selected bile duct calculi: a randomized trial. </w:t>
      </w:r>
      <w:r w:rsidRPr="00A03975">
        <w:rPr>
          <w:rFonts w:ascii="Book Antiqua" w:hAnsi="Book Antiqua"/>
          <w:i/>
          <w:iCs/>
          <w:color w:val="000000" w:themeColor="text1"/>
        </w:rPr>
        <w:t>Ann Surg</w:t>
      </w:r>
      <w:r w:rsidRPr="00A03975">
        <w:rPr>
          <w:rFonts w:ascii="Book Antiqua" w:hAnsi="Book Antiqua"/>
          <w:color w:val="000000" w:themeColor="text1"/>
        </w:rPr>
        <w:t xml:space="preserve"> 2005; </w:t>
      </w:r>
      <w:r w:rsidRPr="00A03975">
        <w:rPr>
          <w:rFonts w:ascii="Book Antiqua" w:hAnsi="Book Antiqua"/>
          <w:b/>
          <w:bCs/>
          <w:color w:val="000000" w:themeColor="text1"/>
        </w:rPr>
        <w:t>242</w:t>
      </w:r>
      <w:r w:rsidRPr="00A03975">
        <w:rPr>
          <w:rFonts w:ascii="Book Antiqua" w:hAnsi="Book Antiqua"/>
          <w:color w:val="000000" w:themeColor="text1"/>
        </w:rPr>
        <w:t>: 188-192 [PMID: 16041208 DOI: 10.1097/01.sla.0000171035.57236.d7]</w:t>
      </w:r>
    </w:p>
    <w:p w14:paraId="551B776F"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92 </w:t>
      </w:r>
      <w:r w:rsidRPr="00A03975">
        <w:rPr>
          <w:rFonts w:ascii="Book Antiqua" w:hAnsi="Book Antiqua"/>
          <w:b/>
          <w:bCs/>
          <w:color w:val="000000" w:themeColor="text1"/>
        </w:rPr>
        <w:t>Cuschieri A</w:t>
      </w:r>
      <w:r w:rsidRPr="00A03975">
        <w:rPr>
          <w:rFonts w:ascii="Book Antiqua" w:hAnsi="Book Antiqua"/>
          <w:color w:val="000000" w:themeColor="text1"/>
        </w:rPr>
        <w:t xml:space="preserve">, Croce E, Faggioni A, Jakimowicz J, Lacy A, Lezoche E, Morino M, Ribeiro VM, Toouli J, Visa J, Wayand W. EAES ductal stone study. </w:t>
      </w:r>
      <w:proofErr w:type="gramStart"/>
      <w:r w:rsidRPr="00A03975">
        <w:rPr>
          <w:rFonts w:ascii="Book Antiqua" w:hAnsi="Book Antiqua"/>
          <w:color w:val="000000" w:themeColor="text1"/>
        </w:rPr>
        <w:t>Preliminary findings of multi-center prospective randomized trial comparing two-stage vs single-stage management.</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1996; </w:t>
      </w:r>
      <w:r w:rsidRPr="00A03975">
        <w:rPr>
          <w:rFonts w:ascii="Book Antiqua" w:hAnsi="Book Antiqua"/>
          <w:b/>
          <w:bCs/>
          <w:color w:val="000000" w:themeColor="text1"/>
        </w:rPr>
        <w:t>10</w:t>
      </w:r>
      <w:r w:rsidRPr="00A03975">
        <w:rPr>
          <w:rFonts w:ascii="Book Antiqua" w:hAnsi="Book Antiqua"/>
          <w:color w:val="000000" w:themeColor="text1"/>
        </w:rPr>
        <w:t>: 1130-1135 [PMID: 8939828 DOI: 10.1007/s004649900264]</w:t>
      </w:r>
    </w:p>
    <w:p w14:paraId="19C1ADF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93 </w:t>
      </w:r>
      <w:r w:rsidRPr="00A03975">
        <w:rPr>
          <w:rFonts w:ascii="Book Antiqua" w:hAnsi="Book Antiqua"/>
          <w:b/>
          <w:bCs/>
          <w:color w:val="000000" w:themeColor="text1"/>
        </w:rPr>
        <w:t>Tranter SE</w:t>
      </w:r>
      <w:r w:rsidRPr="00A03975">
        <w:rPr>
          <w:rFonts w:ascii="Book Antiqua" w:hAnsi="Book Antiqua"/>
          <w:color w:val="000000" w:themeColor="text1"/>
        </w:rPr>
        <w:t xml:space="preserve">, Thompson MH. </w:t>
      </w:r>
      <w:proofErr w:type="gramStart"/>
      <w:r w:rsidRPr="00A03975">
        <w:rPr>
          <w:rFonts w:ascii="Book Antiqua" w:hAnsi="Book Antiqua"/>
          <w:color w:val="000000" w:themeColor="text1"/>
        </w:rPr>
        <w:t>Comparison of endoscopic sphincterotomy and laparoscopic exploration of the common bile duct.</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Br J Surg</w:t>
      </w:r>
      <w:r w:rsidRPr="00A03975">
        <w:rPr>
          <w:rFonts w:ascii="Book Antiqua" w:hAnsi="Book Antiqua"/>
          <w:color w:val="000000" w:themeColor="text1"/>
        </w:rPr>
        <w:t xml:space="preserve"> 2002; </w:t>
      </w:r>
      <w:r w:rsidRPr="00A03975">
        <w:rPr>
          <w:rFonts w:ascii="Book Antiqua" w:hAnsi="Book Antiqua"/>
          <w:b/>
          <w:bCs/>
          <w:color w:val="000000" w:themeColor="text1"/>
        </w:rPr>
        <w:t>89</w:t>
      </w:r>
      <w:r w:rsidRPr="00A03975">
        <w:rPr>
          <w:rFonts w:ascii="Book Antiqua" w:hAnsi="Book Antiqua"/>
          <w:color w:val="000000" w:themeColor="text1"/>
        </w:rPr>
        <w:t>: 1495-1504 [PMID: 12445057 DOI: 10.1046/j.1365-2168.2002.02291.x]</w:t>
      </w:r>
    </w:p>
    <w:p w14:paraId="363B07D6"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94 </w:t>
      </w:r>
      <w:r w:rsidRPr="00A03975">
        <w:rPr>
          <w:rFonts w:ascii="Book Antiqua" w:hAnsi="Book Antiqua"/>
          <w:b/>
          <w:bCs/>
          <w:color w:val="000000" w:themeColor="text1"/>
        </w:rPr>
        <w:t>Rojas-Ortega S</w:t>
      </w:r>
      <w:r w:rsidRPr="00A03975">
        <w:rPr>
          <w:rFonts w:ascii="Book Antiqua" w:hAnsi="Book Antiqua"/>
          <w:color w:val="000000" w:themeColor="text1"/>
        </w:rPr>
        <w:t xml:space="preserve">, Arizpe-Bravo D, Marín López ER, Cesin-Sánchez R, Roman GR, Gómez C. Transcystic common bile duct exploration in the management of patients with choledocholithiasis. </w:t>
      </w:r>
      <w:r w:rsidRPr="00A03975">
        <w:rPr>
          <w:rFonts w:ascii="Book Antiqua" w:hAnsi="Book Antiqua"/>
          <w:i/>
          <w:iCs/>
          <w:color w:val="000000" w:themeColor="text1"/>
        </w:rPr>
        <w:t>J Gastrointest Surg</w:t>
      </w:r>
      <w:r w:rsidRPr="00A03975">
        <w:rPr>
          <w:rFonts w:ascii="Book Antiqua" w:hAnsi="Book Antiqua"/>
          <w:color w:val="000000" w:themeColor="text1"/>
        </w:rPr>
        <w:t xml:space="preserve"> 2003; </w:t>
      </w:r>
      <w:r w:rsidRPr="00A03975">
        <w:rPr>
          <w:rFonts w:ascii="Book Antiqua" w:hAnsi="Book Antiqua"/>
          <w:b/>
          <w:bCs/>
          <w:color w:val="000000" w:themeColor="text1"/>
        </w:rPr>
        <w:t>7</w:t>
      </w:r>
      <w:r w:rsidRPr="00A03975">
        <w:rPr>
          <w:rFonts w:ascii="Book Antiqua" w:hAnsi="Book Antiqua"/>
          <w:color w:val="000000" w:themeColor="text1"/>
        </w:rPr>
        <w:t>: 492-496 [PMID: 12763406 DOI: 10.1016/s1091-</w:t>
      </w:r>
      <w:proofErr w:type="gramStart"/>
      <w:r w:rsidRPr="00A03975">
        <w:rPr>
          <w:rFonts w:ascii="Book Antiqua" w:hAnsi="Book Antiqua"/>
          <w:color w:val="000000" w:themeColor="text1"/>
        </w:rPr>
        <w:t>255x(</w:t>
      </w:r>
      <w:proofErr w:type="gramEnd"/>
      <w:r w:rsidRPr="00A03975">
        <w:rPr>
          <w:rFonts w:ascii="Book Antiqua" w:hAnsi="Book Antiqua"/>
          <w:color w:val="000000" w:themeColor="text1"/>
        </w:rPr>
        <w:t>03)00026-x]</w:t>
      </w:r>
    </w:p>
    <w:p w14:paraId="11A87E4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95 </w:t>
      </w:r>
      <w:r w:rsidRPr="00A03975">
        <w:rPr>
          <w:rFonts w:ascii="Book Antiqua" w:hAnsi="Book Antiqua"/>
          <w:b/>
          <w:bCs/>
          <w:color w:val="000000" w:themeColor="text1"/>
        </w:rPr>
        <w:t>Thompson MH</w:t>
      </w:r>
      <w:r w:rsidRPr="00A03975">
        <w:rPr>
          <w:rFonts w:ascii="Book Antiqua" w:hAnsi="Book Antiqua"/>
          <w:color w:val="000000" w:themeColor="text1"/>
        </w:rPr>
        <w:t>, Tranter SE. All-comers policy for laparoscopic exploration of the common bile duct.</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Br J Surg</w:t>
      </w:r>
      <w:r w:rsidRPr="00A03975">
        <w:rPr>
          <w:rFonts w:ascii="Book Antiqua" w:hAnsi="Book Antiqua"/>
          <w:color w:val="000000" w:themeColor="text1"/>
        </w:rPr>
        <w:t xml:space="preserve"> 2002; </w:t>
      </w:r>
      <w:r w:rsidRPr="00A03975">
        <w:rPr>
          <w:rFonts w:ascii="Book Antiqua" w:hAnsi="Book Antiqua"/>
          <w:b/>
          <w:bCs/>
          <w:color w:val="000000" w:themeColor="text1"/>
        </w:rPr>
        <w:t>89</w:t>
      </w:r>
      <w:r w:rsidRPr="00A03975">
        <w:rPr>
          <w:rFonts w:ascii="Book Antiqua" w:hAnsi="Book Antiqua"/>
          <w:color w:val="000000" w:themeColor="text1"/>
        </w:rPr>
        <w:t>: 1608-1612 [PMID: 12445074 DOI: 10.1046/j.1365-2168.2002.02298.x]</w:t>
      </w:r>
    </w:p>
    <w:p w14:paraId="0802167C"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96 </w:t>
      </w:r>
      <w:r w:rsidRPr="00A03975">
        <w:rPr>
          <w:rFonts w:ascii="Book Antiqua" w:hAnsi="Book Antiqua"/>
          <w:b/>
          <w:bCs/>
          <w:color w:val="000000" w:themeColor="text1"/>
        </w:rPr>
        <w:t>Poulose BK</w:t>
      </w:r>
      <w:r w:rsidRPr="00A03975">
        <w:rPr>
          <w:rFonts w:ascii="Book Antiqua" w:hAnsi="Book Antiqua"/>
          <w:color w:val="000000" w:themeColor="text1"/>
        </w:rPr>
        <w:t>, Speroff T, Holzman MD.</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Optimizing choledocholithiasis management: a cost-effectiveness analysis.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Arch Surg</w:t>
      </w:r>
      <w:r w:rsidRPr="00A03975">
        <w:rPr>
          <w:rFonts w:ascii="Book Antiqua" w:hAnsi="Book Antiqua"/>
          <w:color w:val="000000" w:themeColor="text1"/>
        </w:rPr>
        <w:t xml:space="preserve"> 2007; </w:t>
      </w:r>
      <w:r w:rsidRPr="00A03975">
        <w:rPr>
          <w:rFonts w:ascii="Book Antiqua" w:hAnsi="Book Antiqua"/>
          <w:b/>
          <w:bCs/>
          <w:color w:val="000000" w:themeColor="text1"/>
        </w:rPr>
        <w:t>142</w:t>
      </w:r>
      <w:r w:rsidRPr="00A03975">
        <w:rPr>
          <w:rFonts w:ascii="Book Antiqua" w:hAnsi="Book Antiqua"/>
          <w:color w:val="000000" w:themeColor="text1"/>
        </w:rPr>
        <w:t>: 43-48 [PMID: 17224499 DOI: 10.1001/archsurg.142.1.43]</w:t>
      </w:r>
    </w:p>
    <w:p w14:paraId="5325439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97 </w:t>
      </w:r>
      <w:r w:rsidRPr="00A03975">
        <w:rPr>
          <w:rFonts w:ascii="Book Antiqua" w:hAnsi="Book Antiqua"/>
          <w:b/>
          <w:bCs/>
          <w:color w:val="000000" w:themeColor="text1"/>
        </w:rPr>
        <w:t>Martin IJ</w:t>
      </w:r>
      <w:r w:rsidRPr="00A03975">
        <w:rPr>
          <w:rFonts w:ascii="Book Antiqua" w:hAnsi="Book Antiqua"/>
          <w:color w:val="000000" w:themeColor="text1"/>
        </w:rPr>
        <w:t xml:space="preserve">, Bailey IS, Rhodes M, O'Rourke N, Nathanson L, Fielding G. </w:t>
      </w:r>
      <w:proofErr w:type="gramStart"/>
      <w:r w:rsidRPr="00A03975">
        <w:rPr>
          <w:rFonts w:ascii="Book Antiqua" w:hAnsi="Book Antiqua"/>
          <w:color w:val="000000" w:themeColor="text1"/>
        </w:rPr>
        <w:t>Towards</w:t>
      </w:r>
      <w:proofErr w:type="gramEnd"/>
      <w:r w:rsidRPr="00A03975">
        <w:rPr>
          <w:rFonts w:ascii="Book Antiqua" w:hAnsi="Book Antiqua"/>
          <w:color w:val="000000" w:themeColor="text1"/>
        </w:rPr>
        <w:t xml:space="preserve"> T-tube free laparoscopic bile duct exploration: a methodologic evolution during 300 consecutive procedures. </w:t>
      </w:r>
      <w:r w:rsidRPr="00A03975">
        <w:rPr>
          <w:rFonts w:ascii="Book Antiqua" w:hAnsi="Book Antiqua"/>
          <w:i/>
          <w:iCs/>
          <w:color w:val="000000" w:themeColor="text1"/>
        </w:rPr>
        <w:t>Ann Surg</w:t>
      </w:r>
      <w:r w:rsidRPr="00A03975">
        <w:rPr>
          <w:rFonts w:ascii="Book Antiqua" w:hAnsi="Book Antiqua"/>
          <w:color w:val="000000" w:themeColor="text1"/>
        </w:rPr>
        <w:t xml:space="preserve"> 1998; </w:t>
      </w:r>
      <w:r w:rsidRPr="00A03975">
        <w:rPr>
          <w:rFonts w:ascii="Book Antiqua" w:hAnsi="Book Antiqua"/>
          <w:b/>
          <w:bCs/>
          <w:color w:val="000000" w:themeColor="text1"/>
        </w:rPr>
        <w:t>228</w:t>
      </w:r>
      <w:r w:rsidRPr="00A03975">
        <w:rPr>
          <w:rFonts w:ascii="Book Antiqua" w:hAnsi="Book Antiqua"/>
          <w:color w:val="000000" w:themeColor="text1"/>
        </w:rPr>
        <w:t>: 29-34 [PMID: 9671063 DOI: 10.1097/00000658-199807000-00005]</w:t>
      </w:r>
    </w:p>
    <w:p w14:paraId="579F396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lastRenderedPageBreak/>
        <w:t xml:space="preserve">98 </w:t>
      </w:r>
      <w:r w:rsidRPr="00A03975">
        <w:rPr>
          <w:rFonts w:ascii="Book Antiqua" w:hAnsi="Book Antiqua"/>
          <w:b/>
          <w:bCs/>
          <w:color w:val="000000" w:themeColor="text1"/>
        </w:rPr>
        <w:t>Berthou JCh</w:t>
      </w:r>
      <w:r w:rsidRPr="00A03975">
        <w:rPr>
          <w:rFonts w:ascii="Book Antiqua" w:hAnsi="Book Antiqua"/>
          <w:color w:val="000000" w:themeColor="text1"/>
        </w:rPr>
        <w:t xml:space="preserve">, Dron B, Charbonneau P, Moussalier K, Pellissier L. Evaluation of laparoscopic treatment of common bile duct stones in a prospective series of 505 patients: indications and results. </w:t>
      </w:r>
      <w:r w:rsidRPr="00A03975">
        <w:rPr>
          <w:rFonts w:ascii="Book Antiqua" w:hAnsi="Book Antiqua"/>
          <w:i/>
          <w:iCs/>
          <w:color w:val="000000" w:themeColor="text1"/>
        </w:rPr>
        <w:t>Surg Endosc</w:t>
      </w:r>
      <w:r w:rsidRPr="00A03975">
        <w:rPr>
          <w:rFonts w:ascii="Book Antiqua" w:hAnsi="Book Antiqua"/>
          <w:color w:val="000000" w:themeColor="text1"/>
        </w:rPr>
        <w:t xml:space="preserve"> 2007; </w:t>
      </w:r>
      <w:r w:rsidRPr="00A03975">
        <w:rPr>
          <w:rFonts w:ascii="Book Antiqua" w:hAnsi="Book Antiqua"/>
          <w:b/>
          <w:bCs/>
          <w:color w:val="000000" w:themeColor="text1"/>
        </w:rPr>
        <w:t>21</w:t>
      </w:r>
      <w:r w:rsidRPr="00A03975">
        <w:rPr>
          <w:rFonts w:ascii="Book Antiqua" w:hAnsi="Book Antiqua"/>
          <w:color w:val="000000" w:themeColor="text1"/>
        </w:rPr>
        <w:t>: 1970-1974 [PMID: 17522929 DOI: 10.1007/s00464-007-9387-5]</w:t>
      </w:r>
    </w:p>
    <w:p w14:paraId="1269B85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99 </w:t>
      </w:r>
      <w:r w:rsidRPr="00A03975">
        <w:rPr>
          <w:rFonts w:ascii="Book Antiqua" w:hAnsi="Book Antiqua"/>
          <w:b/>
          <w:bCs/>
          <w:color w:val="000000" w:themeColor="text1"/>
        </w:rPr>
        <w:t>Dion YM</w:t>
      </w:r>
      <w:r w:rsidRPr="00A03975">
        <w:rPr>
          <w:rFonts w:ascii="Book Antiqua" w:hAnsi="Book Antiqua"/>
          <w:color w:val="000000" w:themeColor="text1"/>
        </w:rPr>
        <w:t xml:space="preserve">, Ratelle R, Morin J, Gravel D. Common bile duct exploration: the place of laparoscopic choledochotomy. </w:t>
      </w:r>
      <w:r w:rsidRPr="00A03975">
        <w:rPr>
          <w:rFonts w:ascii="Book Antiqua" w:hAnsi="Book Antiqua"/>
          <w:i/>
          <w:iCs/>
          <w:color w:val="000000" w:themeColor="text1"/>
        </w:rPr>
        <w:t>Surg Laparosc Endosc</w:t>
      </w:r>
      <w:r w:rsidRPr="00A03975">
        <w:rPr>
          <w:rFonts w:ascii="Book Antiqua" w:hAnsi="Book Antiqua"/>
          <w:color w:val="000000" w:themeColor="text1"/>
        </w:rPr>
        <w:t xml:space="preserve"> 1994; </w:t>
      </w:r>
      <w:r w:rsidRPr="00A03975">
        <w:rPr>
          <w:rFonts w:ascii="Book Antiqua" w:hAnsi="Book Antiqua"/>
          <w:b/>
          <w:bCs/>
          <w:color w:val="000000" w:themeColor="text1"/>
        </w:rPr>
        <w:t>4</w:t>
      </w:r>
      <w:r w:rsidRPr="00A03975">
        <w:rPr>
          <w:rFonts w:ascii="Book Antiqua" w:hAnsi="Book Antiqua"/>
          <w:color w:val="000000" w:themeColor="text1"/>
        </w:rPr>
        <w:t>: 419-424 [PMID: 7866610]</w:t>
      </w:r>
    </w:p>
    <w:p w14:paraId="7CD2144E"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100 </w:t>
      </w:r>
      <w:r w:rsidRPr="00A03975">
        <w:rPr>
          <w:rFonts w:ascii="Book Antiqua" w:hAnsi="Book Antiqua"/>
          <w:b/>
          <w:bCs/>
          <w:color w:val="000000" w:themeColor="text1"/>
        </w:rPr>
        <w:t>Decker G</w:t>
      </w:r>
      <w:r w:rsidRPr="00A03975">
        <w:rPr>
          <w:rFonts w:ascii="Book Antiqua" w:hAnsi="Book Antiqua"/>
          <w:color w:val="000000" w:themeColor="text1"/>
        </w:rPr>
        <w:t xml:space="preserve">, Borie F, Millat B, Berthou JC, Deleuze A, Drouard F, Guillon F, Rodier JG, Fingerhut A. </w:t>
      </w:r>
      <w:proofErr w:type="gramStart"/>
      <w:r w:rsidRPr="00A03975">
        <w:rPr>
          <w:rFonts w:ascii="Book Antiqua" w:hAnsi="Book Antiqua"/>
          <w:color w:val="000000" w:themeColor="text1"/>
        </w:rPr>
        <w:t>One hundred laparoscopic choledochotomies with primary closure of the common bile duct.</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2003; </w:t>
      </w:r>
      <w:r w:rsidRPr="00A03975">
        <w:rPr>
          <w:rFonts w:ascii="Book Antiqua" w:hAnsi="Book Antiqua"/>
          <w:b/>
          <w:bCs/>
          <w:color w:val="000000" w:themeColor="text1"/>
        </w:rPr>
        <w:t>17</w:t>
      </w:r>
      <w:r w:rsidRPr="00A03975">
        <w:rPr>
          <w:rFonts w:ascii="Book Antiqua" w:hAnsi="Book Antiqua"/>
          <w:color w:val="000000" w:themeColor="text1"/>
        </w:rPr>
        <w:t>: 12-18 [PMID: 12364990 DOI: 10.1007/s00464-002-9012-6]</w:t>
      </w:r>
    </w:p>
    <w:p w14:paraId="2261FCB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101 </w:t>
      </w:r>
      <w:r w:rsidRPr="00A03975">
        <w:rPr>
          <w:rFonts w:ascii="Book Antiqua" w:hAnsi="Book Antiqua"/>
          <w:b/>
          <w:bCs/>
          <w:color w:val="000000" w:themeColor="text1"/>
        </w:rPr>
        <w:t>DePaula AL</w:t>
      </w:r>
      <w:r w:rsidRPr="00A03975">
        <w:rPr>
          <w:rFonts w:ascii="Book Antiqua" w:hAnsi="Book Antiqua"/>
          <w:color w:val="000000" w:themeColor="text1"/>
        </w:rPr>
        <w:t xml:space="preserve">, Hashiba K, Bafutto M, Machado C, Ferrari A, Machado MM. Results of the routine use of a modified endoprosthesis to drain the common bile duct after laparoscopic choledochotomy. </w:t>
      </w:r>
      <w:r w:rsidRPr="00A03975">
        <w:rPr>
          <w:rFonts w:ascii="Book Antiqua" w:hAnsi="Book Antiqua"/>
          <w:i/>
          <w:iCs/>
          <w:color w:val="000000" w:themeColor="text1"/>
        </w:rPr>
        <w:t>Surg Endosc</w:t>
      </w:r>
      <w:r w:rsidRPr="00A03975">
        <w:rPr>
          <w:rFonts w:ascii="Book Antiqua" w:hAnsi="Book Antiqua"/>
          <w:color w:val="000000" w:themeColor="text1"/>
        </w:rPr>
        <w:t xml:space="preserve"> 1998; </w:t>
      </w:r>
      <w:r w:rsidRPr="00A03975">
        <w:rPr>
          <w:rFonts w:ascii="Book Antiqua" w:hAnsi="Book Antiqua"/>
          <w:b/>
          <w:bCs/>
          <w:color w:val="000000" w:themeColor="text1"/>
        </w:rPr>
        <w:t>12</w:t>
      </w:r>
      <w:r w:rsidRPr="00A03975">
        <w:rPr>
          <w:rFonts w:ascii="Book Antiqua" w:hAnsi="Book Antiqua"/>
          <w:color w:val="000000" w:themeColor="text1"/>
        </w:rPr>
        <w:t>: 933-935 [PMID: 9632864 DOI: 10.1007/s004649900750]</w:t>
      </w:r>
    </w:p>
    <w:p w14:paraId="242875B6"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102 </w:t>
      </w:r>
      <w:r w:rsidRPr="00A03975">
        <w:rPr>
          <w:rFonts w:ascii="Book Antiqua" w:hAnsi="Book Antiqua"/>
          <w:b/>
          <w:bCs/>
          <w:color w:val="000000" w:themeColor="text1"/>
        </w:rPr>
        <w:t>Topal B</w:t>
      </w:r>
      <w:r w:rsidRPr="00A03975">
        <w:rPr>
          <w:rFonts w:ascii="Book Antiqua" w:hAnsi="Book Antiqua"/>
          <w:color w:val="000000" w:themeColor="text1"/>
        </w:rPr>
        <w:t>, Aerts R, Penninckx F. Laparoscopic common bile duct stone clearance with flexible choledochoscopy.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2007; </w:t>
      </w:r>
      <w:r w:rsidRPr="00A03975">
        <w:rPr>
          <w:rFonts w:ascii="Book Antiqua" w:hAnsi="Book Antiqua"/>
          <w:b/>
          <w:bCs/>
          <w:color w:val="000000" w:themeColor="text1"/>
        </w:rPr>
        <w:t>21</w:t>
      </w:r>
      <w:r w:rsidRPr="00A03975">
        <w:rPr>
          <w:rFonts w:ascii="Book Antiqua" w:hAnsi="Book Antiqua"/>
          <w:color w:val="000000" w:themeColor="text1"/>
        </w:rPr>
        <w:t>: 2317-2321 [PMID: 17943379 DOI: 10.1007/s00464-007-9577-1]</w:t>
      </w:r>
    </w:p>
    <w:p w14:paraId="3F38854F"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103 </w:t>
      </w:r>
      <w:r w:rsidRPr="00A03975">
        <w:rPr>
          <w:rFonts w:ascii="Book Antiqua" w:hAnsi="Book Antiqua"/>
          <w:b/>
          <w:bCs/>
          <w:color w:val="000000" w:themeColor="text1"/>
        </w:rPr>
        <w:t>Wu JS</w:t>
      </w:r>
      <w:r w:rsidRPr="00A03975">
        <w:rPr>
          <w:rFonts w:ascii="Book Antiqua" w:hAnsi="Book Antiqua"/>
          <w:color w:val="000000" w:themeColor="text1"/>
        </w:rPr>
        <w:t xml:space="preserve">, Soper NJ. </w:t>
      </w:r>
      <w:proofErr w:type="gramStart"/>
      <w:r w:rsidRPr="00A03975">
        <w:rPr>
          <w:rFonts w:ascii="Book Antiqua" w:hAnsi="Book Antiqua"/>
          <w:color w:val="000000" w:themeColor="text1"/>
        </w:rPr>
        <w:t>Comparison of laparoscopic choledochotomy closure techniques.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2002; </w:t>
      </w:r>
      <w:r w:rsidRPr="00A03975">
        <w:rPr>
          <w:rFonts w:ascii="Book Antiqua" w:hAnsi="Book Antiqua"/>
          <w:b/>
          <w:bCs/>
          <w:color w:val="000000" w:themeColor="text1"/>
        </w:rPr>
        <w:t>16</w:t>
      </w:r>
      <w:r w:rsidRPr="00A03975">
        <w:rPr>
          <w:rFonts w:ascii="Book Antiqua" w:hAnsi="Book Antiqua"/>
          <w:color w:val="000000" w:themeColor="text1"/>
        </w:rPr>
        <w:t>: 1309-1313 [PMID: 12235508 DOI: 10.1007/s004640080016]</w:t>
      </w:r>
    </w:p>
    <w:p w14:paraId="765EF86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104 </w:t>
      </w:r>
      <w:r w:rsidRPr="00A03975">
        <w:rPr>
          <w:rFonts w:ascii="Book Antiqua" w:hAnsi="Book Antiqua"/>
          <w:b/>
          <w:bCs/>
          <w:color w:val="000000" w:themeColor="text1"/>
        </w:rPr>
        <w:t>Griniatsos J</w:t>
      </w:r>
      <w:r w:rsidRPr="00A03975">
        <w:rPr>
          <w:rFonts w:ascii="Book Antiqua" w:hAnsi="Book Antiqua"/>
          <w:color w:val="000000" w:themeColor="text1"/>
        </w:rPr>
        <w:t>, Karvounis E, Arbuckle J, Isla AM.</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Cost-effective method for laparoscopic choledochotomy.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ANZ J Surg</w:t>
      </w:r>
      <w:r w:rsidRPr="00A03975">
        <w:rPr>
          <w:rFonts w:ascii="Book Antiqua" w:hAnsi="Book Antiqua"/>
          <w:color w:val="000000" w:themeColor="text1"/>
        </w:rPr>
        <w:t xml:space="preserve"> 2005; </w:t>
      </w:r>
      <w:r w:rsidRPr="00A03975">
        <w:rPr>
          <w:rFonts w:ascii="Book Antiqua" w:hAnsi="Book Antiqua"/>
          <w:b/>
          <w:bCs/>
          <w:color w:val="000000" w:themeColor="text1"/>
        </w:rPr>
        <w:t>75</w:t>
      </w:r>
      <w:r w:rsidRPr="00A03975">
        <w:rPr>
          <w:rFonts w:ascii="Book Antiqua" w:hAnsi="Book Antiqua"/>
          <w:color w:val="000000" w:themeColor="text1"/>
        </w:rPr>
        <w:t>: 35-38 [PMID: 15740514 DOI: 10.1111/j.1445-2197.2005.03287.x]</w:t>
      </w:r>
    </w:p>
    <w:p w14:paraId="346C2C9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105 </w:t>
      </w:r>
      <w:r w:rsidRPr="00A03975">
        <w:rPr>
          <w:rFonts w:ascii="Book Antiqua" w:hAnsi="Book Antiqua"/>
          <w:b/>
          <w:bCs/>
          <w:color w:val="000000" w:themeColor="text1"/>
        </w:rPr>
        <w:t>Cianci P</w:t>
      </w:r>
      <w:r w:rsidRPr="00A03975">
        <w:rPr>
          <w:rFonts w:ascii="Book Antiqua" w:hAnsi="Book Antiqua"/>
          <w:color w:val="000000" w:themeColor="text1"/>
        </w:rPr>
        <w:t xml:space="preserve">, Giaracuni G, Tartaglia N, Fersini A, Ambrosi A, Neri V. T-tube biliary drainage during reconstruction after pancreaticoduodenectomy. </w:t>
      </w:r>
      <w:proofErr w:type="gramStart"/>
      <w:r w:rsidRPr="00A03975">
        <w:rPr>
          <w:rFonts w:ascii="Book Antiqua" w:hAnsi="Book Antiqua"/>
          <w:color w:val="000000" w:themeColor="text1"/>
        </w:rPr>
        <w:t>A single-center experience.</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Ann Ital Chir</w:t>
      </w:r>
      <w:r w:rsidRPr="00A03975">
        <w:rPr>
          <w:rFonts w:ascii="Book Antiqua" w:hAnsi="Book Antiqua"/>
          <w:color w:val="000000" w:themeColor="text1"/>
        </w:rPr>
        <w:t xml:space="preserve"> 2017; </w:t>
      </w:r>
      <w:r w:rsidRPr="00A03975">
        <w:rPr>
          <w:rFonts w:ascii="Book Antiqua" w:hAnsi="Book Antiqua"/>
          <w:b/>
          <w:bCs/>
          <w:color w:val="000000" w:themeColor="text1"/>
        </w:rPr>
        <w:t>88</w:t>
      </w:r>
      <w:r w:rsidRPr="00A03975">
        <w:rPr>
          <w:rFonts w:ascii="Book Antiqua" w:hAnsi="Book Antiqua"/>
          <w:color w:val="000000" w:themeColor="text1"/>
        </w:rPr>
        <w:t>: 330-335 [PMID: 29051402]</w:t>
      </w:r>
    </w:p>
    <w:p w14:paraId="34F72D9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106 </w:t>
      </w:r>
      <w:r w:rsidRPr="00A03975">
        <w:rPr>
          <w:rFonts w:ascii="Book Antiqua" w:hAnsi="Book Antiqua"/>
          <w:b/>
          <w:bCs/>
          <w:color w:val="000000" w:themeColor="text1"/>
        </w:rPr>
        <w:t>Bernstein DE</w:t>
      </w:r>
      <w:r w:rsidRPr="00A03975">
        <w:rPr>
          <w:rFonts w:ascii="Book Antiqua" w:hAnsi="Book Antiqua"/>
          <w:color w:val="000000" w:themeColor="text1"/>
        </w:rPr>
        <w:t>, Goldberg RI, Unger SW. Common bile duct obstruction following T-tube placement at laparoscopic cholecystectomy.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1994; </w:t>
      </w:r>
      <w:r w:rsidRPr="00A03975">
        <w:rPr>
          <w:rFonts w:ascii="Book Antiqua" w:hAnsi="Book Antiqua"/>
          <w:b/>
          <w:bCs/>
          <w:color w:val="000000" w:themeColor="text1"/>
        </w:rPr>
        <w:t>40</w:t>
      </w:r>
      <w:r w:rsidRPr="00A03975">
        <w:rPr>
          <w:rFonts w:ascii="Book Antiqua" w:hAnsi="Book Antiqua"/>
          <w:color w:val="000000" w:themeColor="text1"/>
        </w:rPr>
        <w:t>: 362-365 [PMID: 8056244 DOI: 10.1016/s0016-5107(94)70074-5]</w:t>
      </w:r>
    </w:p>
    <w:p w14:paraId="099BDA9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lastRenderedPageBreak/>
        <w:t xml:space="preserve">107 </w:t>
      </w:r>
      <w:r w:rsidRPr="00A03975">
        <w:rPr>
          <w:rFonts w:ascii="Book Antiqua" w:hAnsi="Book Antiqua"/>
          <w:b/>
          <w:bCs/>
          <w:color w:val="000000" w:themeColor="text1"/>
        </w:rPr>
        <w:t>Kacker LK</w:t>
      </w:r>
      <w:r w:rsidRPr="00A03975">
        <w:rPr>
          <w:rFonts w:ascii="Book Antiqua" w:hAnsi="Book Antiqua"/>
          <w:color w:val="000000" w:themeColor="text1"/>
        </w:rPr>
        <w:t xml:space="preserve">, Mittal BR, Sikora SS, Ali W, Kapoor VK, Saxena R, Das BK, Kaushik SP. Bile leak after T-tube removal--a scintigraphic study. </w:t>
      </w:r>
      <w:r w:rsidRPr="00A03975">
        <w:rPr>
          <w:rFonts w:ascii="Book Antiqua" w:hAnsi="Book Antiqua"/>
          <w:i/>
          <w:iCs/>
          <w:color w:val="000000" w:themeColor="text1"/>
        </w:rPr>
        <w:t>Hepatogastroenterology</w:t>
      </w:r>
      <w:r w:rsidRPr="00A03975">
        <w:rPr>
          <w:rFonts w:ascii="Book Antiqua" w:hAnsi="Book Antiqua"/>
          <w:color w:val="000000" w:themeColor="text1"/>
        </w:rPr>
        <w:t xml:space="preserve"> 1995; </w:t>
      </w:r>
      <w:r w:rsidRPr="00A03975">
        <w:rPr>
          <w:rFonts w:ascii="Book Antiqua" w:hAnsi="Book Antiqua"/>
          <w:b/>
          <w:bCs/>
          <w:color w:val="000000" w:themeColor="text1"/>
        </w:rPr>
        <w:t>42</w:t>
      </w:r>
      <w:r w:rsidRPr="00A03975">
        <w:rPr>
          <w:rFonts w:ascii="Book Antiqua" w:hAnsi="Book Antiqua"/>
          <w:color w:val="000000" w:themeColor="text1"/>
        </w:rPr>
        <w:t>: 975-978 [PMID: 8847054]</w:t>
      </w:r>
    </w:p>
    <w:p w14:paraId="3B1C7358"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108 </w:t>
      </w:r>
      <w:r w:rsidRPr="00A03975">
        <w:rPr>
          <w:rFonts w:ascii="Book Antiqua" w:hAnsi="Book Antiqua"/>
          <w:b/>
          <w:bCs/>
          <w:color w:val="000000" w:themeColor="text1"/>
        </w:rPr>
        <w:t>Ortega López D</w:t>
      </w:r>
      <w:r w:rsidRPr="00A03975">
        <w:rPr>
          <w:rFonts w:ascii="Book Antiqua" w:hAnsi="Book Antiqua"/>
          <w:color w:val="000000" w:themeColor="text1"/>
        </w:rPr>
        <w:t xml:space="preserve">, Ortiz Oshiro E, La Peña Gutierrez L, Martínez Sarmiento J, Sobrino del Riego JA, Alvarez Fernandez-Represa J. Scintigraphic detection of biliary fistula after removal of a T tube. </w:t>
      </w:r>
      <w:r w:rsidRPr="00A03975">
        <w:rPr>
          <w:rFonts w:ascii="Book Antiqua" w:hAnsi="Book Antiqua"/>
          <w:i/>
          <w:iCs/>
          <w:color w:val="000000" w:themeColor="text1"/>
        </w:rPr>
        <w:t>Br J Surg</w:t>
      </w:r>
      <w:r w:rsidRPr="00A03975">
        <w:rPr>
          <w:rFonts w:ascii="Book Antiqua" w:hAnsi="Book Antiqua"/>
          <w:color w:val="000000" w:themeColor="text1"/>
        </w:rPr>
        <w:t xml:space="preserve"> 1995; </w:t>
      </w:r>
      <w:r w:rsidRPr="00A03975">
        <w:rPr>
          <w:rFonts w:ascii="Book Antiqua" w:hAnsi="Book Antiqua"/>
          <w:b/>
          <w:bCs/>
          <w:color w:val="000000" w:themeColor="text1"/>
        </w:rPr>
        <w:t>82</w:t>
      </w:r>
      <w:r w:rsidRPr="00A03975">
        <w:rPr>
          <w:rFonts w:ascii="Book Antiqua" w:hAnsi="Book Antiqua"/>
          <w:color w:val="000000" w:themeColor="text1"/>
        </w:rPr>
        <w:t>: 82 [PMID: 7881966 DOI: 10.1002/bjs.1800820128]</w:t>
      </w:r>
    </w:p>
    <w:p w14:paraId="4D81D72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109 </w:t>
      </w:r>
      <w:r w:rsidRPr="00A03975">
        <w:rPr>
          <w:rFonts w:ascii="Book Antiqua" w:hAnsi="Book Antiqua"/>
          <w:b/>
          <w:bCs/>
          <w:color w:val="000000" w:themeColor="text1"/>
        </w:rPr>
        <w:t>Lygidakis NJ</w:t>
      </w:r>
      <w:r w:rsidRPr="00A03975">
        <w:rPr>
          <w:rFonts w:ascii="Book Antiqua" w:hAnsi="Book Antiqua"/>
          <w:color w:val="000000" w:themeColor="text1"/>
        </w:rPr>
        <w:t>.</w:t>
      </w:r>
      <w:proofErr w:type="gramEnd"/>
      <w:r w:rsidRPr="00A03975">
        <w:rPr>
          <w:rFonts w:ascii="Book Antiqua" w:hAnsi="Book Antiqua"/>
          <w:color w:val="000000" w:themeColor="text1"/>
        </w:rPr>
        <w:t xml:space="preserve"> Choledochotomy for biliary lithiasis: T-tube drainage or primary closure. </w:t>
      </w:r>
      <w:proofErr w:type="gramStart"/>
      <w:r w:rsidRPr="00A03975">
        <w:rPr>
          <w:rFonts w:ascii="Book Antiqua" w:hAnsi="Book Antiqua"/>
          <w:color w:val="000000" w:themeColor="text1"/>
        </w:rPr>
        <w:t>Effects on postoperative bacteremia and T-tube bile infection.</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Am J Surg</w:t>
      </w:r>
      <w:r w:rsidRPr="00A03975">
        <w:rPr>
          <w:rFonts w:ascii="Book Antiqua" w:hAnsi="Book Antiqua"/>
          <w:color w:val="000000" w:themeColor="text1"/>
        </w:rPr>
        <w:t xml:space="preserve"> 1983; </w:t>
      </w:r>
      <w:r w:rsidRPr="00A03975">
        <w:rPr>
          <w:rFonts w:ascii="Book Antiqua" w:hAnsi="Book Antiqua"/>
          <w:b/>
          <w:bCs/>
          <w:color w:val="000000" w:themeColor="text1"/>
        </w:rPr>
        <w:t>146</w:t>
      </w:r>
      <w:r w:rsidRPr="00A03975">
        <w:rPr>
          <w:rFonts w:ascii="Book Antiqua" w:hAnsi="Book Antiqua"/>
          <w:color w:val="000000" w:themeColor="text1"/>
        </w:rPr>
        <w:t>: 254-256 [PMID: 6881451 DOI: 10.1016/0002-9610(83)90385-9]</w:t>
      </w:r>
    </w:p>
    <w:p w14:paraId="0928BBE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110 </w:t>
      </w:r>
      <w:r w:rsidRPr="00A03975">
        <w:rPr>
          <w:rFonts w:ascii="Book Antiqua" w:hAnsi="Book Antiqua"/>
          <w:b/>
          <w:bCs/>
          <w:color w:val="000000" w:themeColor="text1"/>
        </w:rPr>
        <w:t>Gersin KS</w:t>
      </w:r>
      <w:r w:rsidRPr="00A03975">
        <w:rPr>
          <w:rFonts w:ascii="Book Antiqua" w:hAnsi="Book Antiqua"/>
          <w:color w:val="000000" w:themeColor="text1"/>
        </w:rPr>
        <w:t>, Fanelli RD. Laparoscopic endobiliary stenting as an adjunct to common bile duct exploration.</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1998; </w:t>
      </w:r>
      <w:r w:rsidRPr="00A03975">
        <w:rPr>
          <w:rFonts w:ascii="Book Antiqua" w:hAnsi="Book Antiqua"/>
          <w:b/>
          <w:bCs/>
          <w:color w:val="000000" w:themeColor="text1"/>
        </w:rPr>
        <w:t>12</w:t>
      </w:r>
      <w:r w:rsidRPr="00A03975">
        <w:rPr>
          <w:rFonts w:ascii="Book Antiqua" w:hAnsi="Book Antiqua"/>
          <w:color w:val="000000" w:themeColor="text1"/>
        </w:rPr>
        <w:t>: 301-304 [PMID: 9543517 DOI: 10.1007/s004649900658]</w:t>
      </w:r>
    </w:p>
    <w:p w14:paraId="7ABC7B1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111 </w:t>
      </w:r>
      <w:r w:rsidRPr="00A03975">
        <w:rPr>
          <w:rFonts w:ascii="Book Antiqua" w:hAnsi="Book Antiqua"/>
          <w:b/>
          <w:bCs/>
          <w:color w:val="000000" w:themeColor="text1"/>
        </w:rPr>
        <w:t>Gurusamy KS</w:t>
      </w:r>
      <w:r w:rsidRPr="00A03975">
        <w:rPr>
          <w:rFonts w:ascii="Book Antiqua" w:hAnsi="Book Antiqua"/>
          <w:color w:val="000000" w:themeColor="text1"/>
        </w:rPr>
        <w:t xml:space="preserve">, Koti R, Davidson BR. T-tube drainage versus primary closure after laparoscopic common bile duct exploration. </w:t>
      </w:r>
      <w:r w:rsidRPr="00A03975">
        <w:rPr>
          <w:rFonts w:ascii="Book Antiqua" w:hAnsi="Book Antiqua"/>
          <w:i/>
          <w:iCs/>
          <w:color w:val="000000" w:themeColor="text1"/>
        </w:rPr>
        <w:t>Cochrane Database Syst Rev</w:t>
      </w:r>
      <w:r w:rsidRPr="00A03975">
        <w:rPr>
          <w:rFonts w:ascii="Book Antiqua" w:hAnsi="Book Antiqua"/>
          <w:color w:val="000000" w:themeColor="text1"/>
        </w:rPr>
        <w:t xml:space="preserve"> 2013: CD005641 [PMID: 23794201 DOI: 10.1002/14651858.CD005641.pub3]</w:t>
      </w:r>
    </w:p>
    <w:p w14:paraId="2BCBA8E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112 </w:t>
      </w:r>
      <w:r w:rsidRPr="00A03975">
        <w:rPr>
          <w:rFonts w:ascii="Book Antiqua" w:hAnsi="Book Antiqua"/>
          <w:b/>
          <w:bCs/>
          <w:color w:val="000000" w:themeColor="text1"/>
        </w:rPr>
        <w:t>Waage A</w:t>
      </w:r>
      <w:r w:rsidRPr="00A03975">
        <w:rPr>
          <w:rFonts w:ascii="Book Antiqua" w:hAnsi="Book Antiqua"/>
          <w:color w:val="000000" w:themeColor="text1"/>
        </w:rPr>
        <w:t xml:space="preserve">, Strömberg C, Leijonmarck CE, Arvidsson D. Long-term results from laparoscopic common bile duct exploration. </w:t>
      </w:r>
      <w:r w:rsidRPr="00A03975">
        <w:rPr>
          <w:rFonts w:ascii="Book Antiqua" w:hAnsi="Book Antiqua"/>
          <w:i/>
          <w:iCs/>
          <w:color w:val="000000" w:themeColor="text1"/>
        </w:rPr>
        <w:t>Surg Endosc</w:t>
      </w:r>
      <w:r w:rsidRPr="00A03975">
        <w:rPr>
          <w:rFonts w:ascii="Book Antiqua" w:hAnsi="Book Antiqua"/>
          <w:color w:val="000000" w:themeColor="text1"/>
        </w:rPr>
        <w:t xml:space="preserve"> 2003; </w:t>
      </w:r>
      <w:r w:rsidRPr="00A03975">
        <w:rPr>
          <w:rFonts w:ascii="Book Antiqua" w:hAnsi="Book Antiqua"/>
          <w:b/>
          <w:bCs/>
          <w:color w:val="000000" w:themeColor="text1"/>
        </w:rPr>
        <w:t>17</w:t>
      </w:r>
      <w:r w:rsidRPr="00A03975">
        <w:rPr>
          <w:rFonts w:ascii="Book Antiqua" w:hAnsi="Book Antiqua"/>
          <w:color w:val="000000" w:themeColor="text1"/>
        </w:rPr>
        <w:t>: 1181-1185 [PMID: 12739114 DOI: 10.1007/s00464-002-8937-0]</w:t>
      </w:r>
    </w:p>
    <w:p w14:paraId="3F1A932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113 </w:t>
      </w:r>
      <w:r w:rsidRPr="00A03975">
        <w:rPr>
          <w:rFonts w:ascii="Book Antiqua" w:hAnsi="Book Antiqua"/>
          <w:b/>
          <w:bCs/>
          <w:color w:val="000000" w:themeColor="text1"/>
        </w:rPr>
        <w:t>Riciardi R</w:t>
      </w:r>
      <w:r w:rsidRPr="00A03975">
        <w:rPr>
          <w:rFonts w:ascii="Book Antiqua" w:hAnsi="Book Antiqua"/>
          <w:color w:val="000000" w:themeColor="text1"/>
        </w:rPr>
        <w:t xml:space="preserve">, Islam S, Canete JJ, Arcand PL, Stoker ME. Effectiveness and long-term results of laparoscopic common bile duct exploration. </w:t>
      </w:r>
      <w:r w:rsidRPr="00A03975">
        <w:rPr>
          <w:rFonts w:ascii="Book Antiqua" w:hAnsi="Book Antiqua"/>
          <w:i/>
          <w:iCs/>
          <w:color w:val="000000" w:themeColor="text1"/>
        </w:rPr>
        <w:t>Surg Endosc</w:t>
      </w:r>
      <w:r w:rsidRPr="00A03975">
        <w:rPr>
          <w:rFonts w:ascii="Book Antiqua" w:hAnsi="Book Antiqua"/>
          <w:color w:val="000000" w:themeColor="text1"/>
        </w:rPr>
        <w:t xml:space="preserve"> 2003; </w:t>
      </w:r>
      <w:r w:rsidRPr="00A03975">
        <w:rPr>
          <w:rFonts w:ascii="Book Antiqua" w:hAnsi="Book Antiqua"/>
          <w:b/>
          <w:bCs/>
          <w:color w:val="000000" w:themeColor="text1"/>
        </w:rPr>
        <w:t>17</w:t>
      </w:r>
      <w:r w:rsidRPr="00A03975">
        <w:rPr>
          <w:rFonts w:ascii="Book Antiqua" w:hAnsi="Book Antiqua"/>
          <w:color w:val="000000" w:themeColor="text1"/>
        </w:rPr>
        <w:t>: 19-22 [PMID: 12399840 DOI: 10.1007/s00464-002-8925-4]</w:t>
      </w:r>
    </w:p>
    <w:p w14:paraId="798B5F8E"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114 </w:t>
      </w:r>
      <w:r w:rsidRPr="00A03975">
        <w:rPr>
          <w:rFonts w:ascii="Book Antiqua" w:hAnsi="Book Antiqua"/>
          <w:b/>
          <w:bCs/>
          <w:color w:val="000000" w:themeColor="text1"/>
        </w:rPr>
        <w:t>Yi HJ</w:t>
      </w:r>
      <w:r w:rsidRPr="00A03975">
        <w:rPr>
          <w:rFonts w:ascii="Book Antiqua" w:hAnsi="Book Antiqua"/>
          <w:color w:val="000000" w:themeColor="text1"/>
        </w:rPr>
        <w:t>, Hong G, Min SK, Lee HK.</w:t>
      </w:r>
      <w:proofErr w:type="gramEnd"/>
      <w:r w:rsidRPr="00A03975">
        <w:rPr>
          <w:rFonts w:ascii="Book Antiqua" w:hAnsi="Book Antiqua"/>
          <w:color w:val="000000" w:themeColor="text1"/>
        </w:rPr>
        <w:t xml:space="preserve"> Long-term Outcome of Primary Closure After Laparoscopic Common Bile Duct Exploration Combined With Choledochoscopy. </w:t>
      </w:r>
      <w:r w:rsidRPr="00A03975">
        <w:rPr>
          <w:rFonts w:ascii="Book Antiqua" w:hAnsi="Book Antiqua"/>
          <w:i/>
          <w:iCs/>
          <w:color w:val="000000" w:themeColor="text1"/>
        </w:rPr>
        <w:t>Surg Laparosc Endosc Percutan Tech</w:t>
      </w:r>
      <w:r w:rsidRPr="00A03975">
        <w:rPr>
          <w:rFonts w:ascii="Book Antiqua" w:hAnsi="Book Antiqua"/>
          <w:color w:val="000000" w:themeColor="text1"/>
        </w:rPr>
        <w:t xml:space="preserve"> 2015; </w:t>
      </w:r>
      <w:r w:rsidRPr="00A03975">
        <w:rPr>
          <w:rFonts w:ascii="Book Antiqua" w:hAnsi="Book Antiqua"/>
          <w:b/>
          <w:bCs/>
          <w:color w:val="000000" w:themeColor="text1"/>
        </w:rPr>
        <w:t>25</w:t>
      </w:r>
      <w:r w:rsidRPr="00A03975">
        <w:rPr>
          <w:rFonts w:ascii="Book Antiqua" w:hAnsi="Book Antiqua"/>
          <w:color w:val="000000" w:themeColor="text1"/>
        </w:rPr>
        <w:t>: 250-253 [PMID: 25856136 DOI: 10.1097/SLE.0000000000000151]</w:t>
      </w:r>
    </w:p>
    <w:p w14:paraId="72DDD37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115 </w:t>
      </w:r>
      <w:r w:rsidRPr="00A03975">
        <w:rPr>
          <w:rFonts w:ascii="Book Antiqua" w:hAnsi="Book Antiqua"/>
          <w:b/>
          <w:bCs/>
          <w:color w:val="000000" w:themeColor="text1"/>
        </w:rPr>
        <w:t>Uchiyama K</w:t>
      </w:r>
      <w:r w:rsidRPr="00A03975">
        <w:rPr>
          <w:rFonts w:ascii="Book Antiqua" w:hAnsi="Book Antiqua"/>
          <w:color w:val="000000" w:themeColor="text1"/>
        </w:rPr>
        <w:t xml:space="preserve">, Onishi H, Tani M, Kinoshita H, Kawai M, Ueno M, Yamaue H. Long-term prognosis after treatment of patients with choledocholithiasis. </w:t>
      </w:r>
      <w:r w:rsidRPr="00A03975">
        <w:rPr>
          <w:rFonts w:ascii="Book Antiqua" w:hAnsi="Book Antiqua"/>
          <w:i/>
          <w:iCs/>
          <w:color w:val="000000" w:themeColor="text1"/>
        </w:rPr>
        <w:t>Ann Surg</w:t>
      </w:r>
      <w:r w:rsidRPr="00A03975">
        <w:rPr>
          <w:rFonts w:ascii="Book Antiqua" w:hAnsi="Book Antiqua"/>
          <w:color w:val="000000" w:themeColor="text1"/>
        </w:rPr>
        <w:t xml:space="preserve"> 2003; </w:t>
      </w:r>
      <w:r w:rsidRPr="00A03975">
        <w:rPr>
          <w:rFonts w:ascii="Book Antiqua" w:hAnsi="Book Antiqua"/>
          <w:b/>
          <w:bCs/>
          <w:color w:val="000000" w:themeColor="text1"/>
        </w:rPr>
        <w:t>238</w:t>
      </w:r>
      <w:r w:rsidRPr="00A03975">
        <w:rPr>
          <w:rFonts w:ascii="Book Antiqua" w:hAnsi="Book Antiqua"/>
          <w:color w:val="000000" w:themeColor="text1"/>
        </w:rPr>
        <w:t>: 97-102 [PMID: 12832971 DOI: 10.1097/01.sla.0000077923.38307.84]</w:t>
      </w:r>
    </w:p>
    <w:p w14:paraId="4306EA2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lastRenderedPageBreak/>
        <w:t xml:space="preserve">116 </w:t>
      </w:r>
      <w:r w:rsidRPr="00A03975">
        <w:rPr>
          <w:rFonts w:ascii="Book Antiqua" w:hAnsi="Book Antiqua"/>
          <w:b/>
          <w:bCs/>
          <w:color w:val="000000" w:themeColor="text1"/>
        </w:rPr>
        <w:t>Li ZF</w:t>
      </w:r>
      <w:r w:rsidRPr="00A03975">
        <w:rPr>
          <w:rFonts w:ascii="Book Antiqua" w:hAnsi="Book Antiqua"/>
          <w:color w:val="000000" w:themeColor="text1"/>
        </w:rPr>
        <w:t>, Chen XP.</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Recurrent lithiasis after surgical treatment of elderly patients with choledocholithiasis.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Hepatobiliary Pancreat Dis Int</w:t>
      </w:r>
      <w:r w:rsidRPr="00A03975">
        <w:rPr>
          <w:rFonts w:ascii="Book Antiqua" w:hAnsi="Book Antiqua"/>
          <w:color w:val="000000" w:themeColor="text1"/>
        </w:rPr>
        <w:t xml:space="preserve"> 2007; </w:t>
      </w:r>
      <w:r w:rsidRPr="00A03975">
        <w:rPr>
          <w:rFonts w:ascii="Book Antiqua" w:hAnsi="Book Antiqua"/>
          <w:b/>
          <w:bCs/>
          <w:color w:val="000000" w:themeColor="text1"/>
        </w:rPr>
        <w:t>6</w:t>
      </w:r>
      <w:r w:rsidRPr="00A03975">
        <w:rPr>
          <w:rFonts w:ascii="Book Antiqua" w:hAnsi="Book Antiqua"/>
          <w:color w:val="000000" w:themeColor="text1"/>
        </w:rPr>
        <w:t>: 67-71 [PMID: 17287170]</w:t>
      </w:r>
    </w:p>
    <w:p w14:paraId="7B50C2BC"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117 </w:t>
      </w:r>
      <w:r w:rsidRPr="00A03975">
        <w:rPr>
          <w:rFonts w:ascii="Book Antiqua" w:hAnsi="Book Antiqua"/>
          <w:b/>
          <w:bCs/>
          <w:color w:val="000000" w:themeColor="text1"/>
        </w:rPr>
        <w:t>Lygidakis NJ</w:t>
      </w:r>
      <w:r w:rsidRPr="00A03975">
        <w:rPr>
          <w:rFonts w:ascii="Book Antiqua" w:hAnsi="Book Antiqua"/>
          <w:color w:val="000000" w:themeColor="text1"/>
        </w:rPr>
        <w:t>.</w:t>
      </w:r>
      <w:proofErr w:type="gramEnd"/>
      <w:r w:rsidRPr="00A03975">
        <w:rPr>
          <w:rFonts w:ascii="Book Antiqua" w:hAnsi="Book Antiqua"/>
          <w:color w:val="000000" w:themeColor="text1"/>
        </w:rPr>
        <w:t xml:space="preserve"> Surgical approaches to recurrent choledocholithiasis. </w:t>
      </w:r>
      <w:proofErr w:type="gramStart"/>
      <w:r w:rsidRPr="00A03975">
        <w:rPr>
          <w:rFonts w:ascii="Book Antiqua" w:hAnsi="Book Antiqua"/>
          <w:color w:val="000000" w:themeColor="text1"/>
        </w:rPr>
        <w:t>Choledochoduodenostomy versus T-tube drainage after choledochotomy.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Am J Surg</w:t>
      </w:r>
      <w:r w:rsidRPr="00A03975">
        <w:rPr>
          <w:rFonts w:ascii="Book Antiqua" w:hAnsi="Book Antiqua"/>
          <w:color w:val="000000" w:themeColor="text1"/>
        </w:rPr>
        <w:t xml:space="preserve"> 1983; </w:t>
      </w:r>
      <w:r w:rsidRPr="00A03975">
        <w:rPr>
          <w:rFonts w:ascii="Book Antiqua" w:hAnsi="Book Antiqua"/>
          <w:b/>
          <w:bCs/>
          <w:color w:val="000000" w:themeColor="text1"/>
        </w:rPr>
        <w:t>145</w:t>
      </w:r>
      <w:r w:rsidRPr="00A03975">
        <w:rPr>
          <w:rFonts w:ascii="Book Antiqua" w:hAnsi="Book Antiqua"/>
          <w:color w:val="000000" w:themeColor="text1"/>
        </w:rPr>
        <w:t>: 636-639 [PMID: 6846703 DOI: 10.1016/0002-9610(83)90111-3]</w:t>
      </w:r>
    </w:p>
    <w:p w14:paraId="644BA2D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118 </w:t>
      </w:r>
      <w:r w:rsidRPr="00A03975">
        <w:rPr>
          <w:rFonts w:ascii="Book Antiqua" w:hAnsi="Book Antiqua"/>
          <w:b/>
          <w:bCs/>
          <w:color w:val="000000" w:themeColor="text1"/>
        </w:rPr>
        <w:t>De Palma GD</w:t>
      </w:r>
      <w:r w:rsidRPr="00A03975">
        <w:rPr>
          <w:rFonts w:ascii="Book Antiqua" w:hAnsi="Book Antiqua"/>
          <w:color w:val="000000" w:themeColor="text1"/>
        </w:rPr>
        <w:t xml:space="preserve">, Angrisani L, Lorenzo M, Di Matteo E, Catanzano C, Persico G, Tesauro B. Laparoscopic cholecystectomy (LC), intraoperative endoscopic sphincterotomy (ES), and common bile duct stones (CBDS) extraction for management of patients with cholecystocholedocholithiasis. </w:t>
      </w:r>
      <w:r w:rsidRPr="00A03975">
        <w:rPr>
          <w:rFonts w:ascii="Book Antiqua" w:hAnsi="Book Antiqua"/>
          <w:i/>
          <w:iCs/>
          <w:color w:val="000000" w:themeColor="text1"/>
        </w:rPr>
        <w:t>Surg Endosc</w:t>
      </w:r>
      <w:r w:rsidRPr="00A03975">
        <w:rPr>
          <w:rFonts w:ascii="Book Antiqua" w:hAnsi="Book Antiqua"/>
          <w:color w:val="000000" w:themeColor="text1"/>
        </w:rPr>
        <w:t xml:space="preserve"> 1996; </w:t>
      </w:r>
      <w:r w:rsidRPr="00A03975">
        <w:rPr>
          <w:rFonts w:ascii="Book Antiqua" w:hAnsi="Book Antiqua"/>
          <w:b/>
          <w:bCs/>
          <w:color w:val="000000" w:themeColor="text1"/>
        </w:rPr>
        <w:t>10</w:t>
      </w:r>
      <w:r w:rsidRPr="00A03975">
        <w:rPr>
          <w:rFonts w:ascii="Book Antiqua" w:hAnsi="Book Antiqua"/>
          <w:color w:val="000000" w:themeColor="text1"/>
        </w:rPr>
        <w:t>: 649-652 [PMID: 8662405 DOI: 10.1007/BF00188520]</w:t>
      </w:r>
    </w:p>
    <w:p w14:paraId="44B274A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119 </w:t>
      </w:r>
      <w:r w:rsidRPr="00A03975">
        <w:rPr>
          <w:rFonts w:ascii="Book Antiqua" w:hAnsi="Book Antiqua"/>
          <w:b/>
          <w:bCs/>
          <w:color w:val="000000" w:themeColor="text1"/>
        </w:rPr>
        <w:t>Deslandres E</w:t>
      </w:r>
      <w:r w:rsidRPr="00A03975">
        <w:rPr>
          <w:rFonts w:ascii="Book Antiqua" w:hAnsi="Book Antiqua"/>
          <w:color w:val="000000" w:themeColor="text1"/>
        </w:rPr>
        <w:t xml:space="preserve">, Gagner M, Pomp A, Rheault M, Leduc R, Clermont R, Gratton J, Bernard EJ. Intraoperative endoscopic sphincterotomy for common bile duct stones during laparoscopic cholecystectomy.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1993; </w:t>
      </w:r>
      <w:r w:rsidRPr="00A03975">
        <w:rPr>
          <w:rFonts w:ascii="Book Antiqua" w:hAnsi="Book Antiqua"/>
          <w:b/>
          <w:bCs/>
          <w:color w:val="000000" w:themeColor="text1"/>
        </w:rPr>
        <w:t>39</w:t>
      </w:r>
      <w:r w:rsidRPr="00A03975">
        <w:rPr>
          <w:rFonts w:ascii="Book Antiqua" w:hAnsi="Book Antiqua"/>
          <w:color w:val="000000" w:themeColor="text1"/>
        </w:rPr>
        <w:t>: 54-58 [PMID: 8454146 DOI: 10.1016/s0016-5107(93)70011-5]</w:t>
      </w:r>
    </w:p>
    <w:p w14:paraId="0D32427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120 </w:t>
      </w:r>
      <w:r w:rsidRPr="00A03975">
        <w:rPr>
          <w:rFonts w:ascii="Book Antiqua" w:hAnsi="Book Antiqua"/>
          <w:b/>
          <w:bCs/>
          <w:color w:val="000000" w:themeColor="text1"/>
        </w:rPr>
        <w:t>Rogers SJ</w:t>
      </w:r>
      <w:r w:rsidRPr="00A03975">
        <w:rPr>
          <w:rFonts w:ascii="Book Antiqua" w:hAnsi="Book Antiqua"/>
          <w:color w:val="000000" w:themeColor="text1"/>
        </w:rPr>
        <w:t xml:space="preserve">, Cello JP, Horn JK, Siperstein AE, Schecter WP, Campbell AR, Mackersie RC, Rodas A, Kreuwel HT, Harris HW. Prospective randomized trial of LC+LCBDE vs ERCP/S+LC for common bile duct stone disease. </w:t>
      </w:r>
      <w:r w:rsidRPr="00A03975">
        <w:rPr>
          <w:rFonts w:ascii="Book Antiqua" w:hAnsi="Book Antiqua"/>
          <w:i/>
          <w:iCs/>
          <w:color w:val="000000" w:themeColor="text1"/>
        </w:rPr>
        <w:t>Arch Surg</w:t>
      </w:r>
      <w:r w:rsidRPr="00A03975">
        <w:rPr>
          <w:rFonts w:ascii="Book Antiqua" w:hAnsi="Book Antiqua"/>
          <w:color w:val="000000" w:themeColor="text1"/>
        </w:rPr>
        <w:t xml:space="preserve"> 2010; </w:t>
      </w:r>
      <w:r w:rsidRPr="00A03975">
        <w:rPr>
          <w:rFonts w:ascii="Book Antiqua" w:hAnsi="Book Antiqua"/>
          <w:b/>
          <w:bCs/>
          <w:color w:val="000000" w:themeColor="text1"/>
        </w:rPr>
        <w:t>145</w:t>
      </w:r>
      <w:r w:rsidRPr="00A03975">
        <w:rPr>
          <w:rFonts w:ascii="Book Antiqua" w:hAnsi="Book Antiqua"/>
          <w:color w:val="000000" w:themeColor="text1"/>
        </w:rPr>
        <w:t>: 28-33 [PMID: 20083751 DOI: 10.1001/archsurg.2009.226]</w:t>
      </w:r>
    </w:p>
    <w:p w14:paraId="5C2CF5F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121 </w:t>
      </w:r>
      <w:r w:rsidRPr="00A03975">
        <w:rPr>
          <w:rFonts w:ascii="Book Antiqua" w:hAnsi="Book Antiqua"/>
          <w:b/>
          <w:bCs/>
          <w:color w:val="000000" w:themeColor="text1"/>
        </w:rPr>
        <w:t>Hong DF,</w:t>
      </w:r>
      <w:r w:rsidRPr="00A03975">
        <w:rPr>
          <w:rFonts w:ascii="Book Antiqua" w:hAnsi="Book Antiqua"/>
          <w:color w:val="000000" w:themeColor="text1"/>
        </w:rPr>
        <w:t xml:space="preserve"> Li JD, </w:t>
      </w:r>
      <w:proofErr w:type="gramStart"/>
      <w:r w:rsidRPr="00A03975">
        <w:rPr>
          <w:rFonts w:ascii="Book Antiqua" w:hAnsi="Book Antiqua"/>
          <w:color w:val="000000" w:themeColor="text1"/>
        </w:rPr>
        <w:t>Gao</w:t>
      </w:r>
      <w:proofErr w:type="gramEnd"/>
      <w:r w:rsidRPr="00A03975">
        <w:rPr>
          <w:rFonts w:ascii="Book Antiqua" w:hAnsi="Book Antiqua"/>
          <w:color w:val="000000" w:themeColor="text1"/>
        </w:rPr>
        <w:t xml:space="preserve"> M. One hundred and six cases analyses of laparoscopic technique combined with intraoperative cholangiogram and endoscopic sphincterotomy in sequential treatment of cholelithiasis. </w:t>
      </w:r>
      <w:r w:rsidRPr="00A03975">
        <w:rPr>
          <w:rFonts w:ascii="Book Antiqua" w:hAnsi="Book Antiqua"/>
          <w:i/>
          <w:iCs/>
          <w:color w:val="000000" w:themeColor="text1"/>
        </w:rPr>
        <w:t>Chin J Gen Surg</w:t>
      </w:r>
      <w:r w:rsidRPr="00A03975">
        <w:rPr>
          <w:rFonts w:ascii="Book Antiqua" w:hAnsi="Book Antiqua"/>
          <w:color w:val="000000" w:themeColor="text1"/>
        </w:rPr>
        <w:t xml:space="preserve"> 2003; </w:t>
      </w:r>
      <w:r w:rsidRPr="00A03975">
        <w:rPr>
          <w:rFonts w:ascii="Book Antiqua" w:hAnsi="Book Antiqua"/>
          <w:b/>
          <w:bCs/>
          <w:color w:val="000000" w:themeColor="text1"/>
        </w:rPr>
        <w:t>15</w:t>
      </w:r>
      <w:r w:rsidRPr="00A03975">
        <w:rPr>
          <w:rFonts w:ascii="Book Antiqua" w:hAnsi="Book Antiqua"/>
          <w:color w:val="000000" w:themeColor="text1"/>
        </w:rPr>
        <w:t>: 648-650</w:t>
      </w:r>
    </w:p>
    <w:p w14:paraId="43E42486"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122 </w:t>
      </w:r>
      <w:r w:rsidRPr="00A03975">
        <w:rPr>
          <w:rFonts w:ascii="Book Antiqua" w:hAnsi="Book Antiqua"/>
          <w:b/>
          <w:bCs/>
          <w:color w:val="000000" w:themeColor="text1"/>
        </w:rPr>
        <w:t>El-Geidie AA</w:t>
      </w:r>
      <w:r w:rsidRPr="00A03975">
        <w:rPr>
          <w:rFonts w:ascii="Book Antiqua" w:hAnsi="Book Antiqua"/>
          <w:color w:val="000000" w:themeColor="text1"/>
        </w:rPr>
        <w:t>.</w:t>
      </w:r>
      <w:proofErr w:type="gramEnd"/>
      <w:r w:rsidRPr="00A03975">
        <w:rPr>
          <w:rFonts w:ascii="Book Antiqua" w:hAnsi="Book Antiqua"/>
          <w:color w:val="000000" w:themeColor="text1"/>
        </w:rPr>
        <w:t xml:space="preserve"> Laparoendoscopic management of concomitant gallbladder stones and common bile duct stones: what is the best technique? </w:t>
      </w:r>
      <w:r w:rsidRPr="00A03975">
        <w:rPr>
          <w:rFonts w:ascii="Book Antiqua" w:hAnsi="Book Antiqua"/>
          <w:i/>
          <w:iCs/>
          <w:color w:val="000000" w:themeColor="text1"/>
        </w:rPr>
        <w:t>Surg Laparosc Endosc Percutan Tech</w:t>
      </w:r>
      <w:r w:rsidRPr="00A03975">
        <w:rPr>
          <w:rFonts w:ascii="Book Antiqua" w:hAnsi="Book Antiqua"/>
          <w:color w:val="000000" w:themeColor="text1"/>
        </w:rPr>
        <w:t xml:space="preserve"> 2011; </w:t>
      </w:r>
      <w:r w:rsidRPr="00A03975">
        <w:rPr>
          <w:rFonts w:ascii="Book Antiqua" w:hAnsi="Book Antiqua"/>
          <w:b/>
          <w:bCs/>
          <w:color w:val="000000" w:themeColor="text1"/>
        </w:rPr>
        <w:t>21</w:t>
      </w:r>
      <w:r w:rsidRPr="00A03975">
        <w:rPr>
          <w:rFonts w:ascii="Book Antiqua" w:hAnsi="Book Antiqua"/>
          <w:color w:val="000000" w:themeColor="text1"/>
        </w:rPr>
        <w:t>: 282-287 [PMID: 21857481 DOI: 10.1097/SLE.0b013e3182218908]</w:t>
      </w:r>
    </w:p>
    <w:p w14:paraId="2259F9D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123 </w:t>
      </w:r>
      <w:r w:rsidRPr="00A03975">
        <w:rPr>
          <w:rFonts w:ascii="Book Antiqua" w:hAnsi="Book Antiqua"/>
          <w:b/>
          <w:bCs/>
          <w:color w:val="000000" w:themeColor="text1"/>
        </w:rPr>
        <w:t>Cavina E</w:t>
      </w:r>
      <w:r w:rsidRPr="00A03975">
        <w:rPr>
          <w:rFonts w:ascii="Book Antiqua" w:hAnsi="Book Antiqua"/>
          <w:color w:val="000000" w:themeColor="text1"/>
        </w:rPr>
        <w:t xml:space="preserve">, Franceschi M, Sidoti F, Goletti O, Buccianti P, Chiarugi M. Laparo-endoscopic "rendezvous": a new technique in the choledocholithiasis treatment. </w:t>
      </w:r>
      <w:r w:rsidRPr="00A03975">
        <w:rPr>
          <w:rFonts w:ascii="Book Antiqua" w:hAnsi="Book Antiqua"/>
          <w:i/>
          <w:iCs/>
          <w:color w:val="000000" w:themeColor="text1"/>
        </w:rPr>
        <w:t>Hepatogastroenterology</w:t>
      </w:r>
      <w:r w:rsidRPr="00A03975">
        <w:rPr>
          <w:rFonts w:ascii="Book Antiqua" w:hAnsi="Book Antiqua"/>
          <w:color w:val="000000" w:themeColor="text1"/>
        </w:rPr>
        <w:t xml:space="preserve"> 1998; </w:t>
      </w:r>
      <w:r w:rsidRPr="00A03975">
        <w:rPr>
          <w:rFonts w:ascii="Book Antiqua" w:hAnsi="Book Antiqua"/>
          <w:b/>
          <w:bCs/>
          <w:color w:val="000000" w:themeColor="text1"/>
        </w:rPr>
        <w:t>45</w:t>
      </w:r>
      <w:r w:rsidRPr="00A03975">
        <w:rPr>
          <w:rFonts w:ascii="Book Antiqua" w:hAnsi="Book Antiqua"/>
          <w:color w:val="000000" w:themeColor="text1"/>
        </w:rPr>
        <w:t>: 1430-1435 [PMID: 9840078]</w:t>
      </w:r>
    </w:p>
    <w:p w14:paraId="70D208FD"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lastRenderedPageBreak/>
        <w:t xml:space="preserve">124 </w:t>
      </w:r>
      <w:r w:rsidRPr="00A03975">
        <w:rPr>
          <w:rFonts w:ascii="Book Antiqua" w:hAnsi="Book Antiqua"/>
          <w:b/>
          <w:bCs/>
          <w:color w:val="000000" w:themeColor="text1"/>
        </w:rPr>
        <w:t>DePaula AL</w:t>
      </w:r>
      <w:r w:rsidRPr="00A03975">
        <w:rPr>
          <w:rFonts w:ascii="Book Antiqua" w:hAnsi="Book Antiqua"/>
          <w:color w:val="000000" w:themeColor="text1"/>
        </w:rPr>
        <w:t xml:space="preserve">, Hashiba K, Bafutto M, Zago R, Machado MM. Laparoscopic antegrade sphincterotomy. </w:t>
      </w:r>
      <w:r w:rsidRPr="00A03975">
        <w:rPr>
          <w:rFonts w:ascii="Book Antiqua" w:hAnsi="Book Antiqua"/>
          <w:i/>
          <w:iCs/>
          <w:color w:val="000000" w:themeColor="text1"/>
        </w:rPr>
        <w:t>Surg Laparosc Endosc</w:t>
      </w:r>
      <w:r w:rsidRPr="00A03975">
        <w:rPr>
          <w:rFonts w:ascii="Book Antiqua" w:hAnsi="Book Antiqua"/>
          <w:color w:val="000000" w:themeColor="text1"/>
        </w:rPr>
        <w:t xml:space="preserve"> 1993; </w:t>
      </w:r>
      <w:r w:rsidRPr="00A03975">
        <w:rPr>
          <w:rFonts w:ascii="Book Antiqua" w:hAnsi="Book Antiqua"/>
          <w:b/>
          <w:bCs/>
          <w:color w:val="000000" w:themeColor="text1"/>
        </w:rPr>
        <w:t>3</w:t>
      </w:r>
      <w:r w:rsidRPr="00A03975">
        <w:rPr>
          <w:rFonts w:ascii="Book Antiqua" w:hAnsi="Book Antiqua"/>
          <w:color w:val="000000" w:themeColor="text1"/>
        </w:rPr>
        <w:t>: 157-160 [PMID: 8111547]</w:t>
      </w:r>
    </w:p>
    <w:p w14:paraId="44AFBCFC"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125 </w:t>
      </w:r>
      <w:r w:rsidRPr="00A03975">
        <w:rPr>
          <w:rFonts w:ascii="Book Antiqua" w:hAnsi="Book Antiqua"/>
          <w:b/>
          <w:bCs/>
          <w:color w:val="000000" w:themeColor="text1"/>
        </w:rPr>
        <w:t>La Greca G</w:t>
      </w:r>
      <w:r w:rsidRPr="00A03975">
        <w:rPr>
          <w:rFonts w:ascii="Book Antiqua" w:hAnsi="Book Antiqua"/>
          <w:color w:val="000000" w:themeColor="text1"/>
        </w:rPr>
        <w:t xml:space="preserve">, Barbagallo F, Di Blasi M, Di Stefano M, Castello G, Gagliardo S, Latteri S, Russello D. Rendezvous technique versus endoscopic retrograde cholangiopancreatography to treat bile duct stones reduces endoscopic time and pancreatic damage. </w:t>
      </w:r>
      <w:r w:rsidRPr="00A03975">
        <w:rPr>
          <w:rFonts w:ascii="Book Antiqua" w:hAnsi="Book Antiqua"/>
          <w:i/>
          <w:iCs/>
          <w:color w:val="000000" w:themeColor="text1"/>
        </w:rPr>
        <w:t xml:space="preserve">J Laparoendosc Adv Surg Tech </w:t>
      </w:r>
      <w:proofErr w:type="gramStart"/>
      <w:r w:rsidRPr="00A03975">
        <w:rPr>
          <w:rFonts w:ascii="Book Antiqua" w:hAnsi="Book Antiqua"/>
          <w:i/>
          <w:iCs/>
          <w:color w:val="000000" w:themeColor="text1"/>
        </w:rPr>
        <w:t>A</w:t>
      </w:r>
      <w:proofErr w:type="gramEnd"/>
      <w:r w:rsidRPr="00A03975">
        <w:rPr>
          <w:rFonts w:ascii="Book Antiqua" w:hAnsi="Book Antiqua"/>
          <w:color w:val="000000" w:themeColor="text1"/>
        </w:rPr>
        <w:t xml:space="preserve"> 2007; </w:t>
      </w:r>
      <w:r w:rsidRPr="00A03975">
        <w:rPr>
          <w:rFonts w:ascii="Book Antiqua" w:hAnsi="Book Antiqua"/>
          <w:b/>
          <w:bCs/>
          <w:color w:val="000000" w:themeColor="text1"/>
        </w:rPr>
        <w:t>17</w:t>
      </w:r>
      <w:r w:rsidRPr="00A03975">
        <w:rPr>
          <w:rFonts w:ascii="Book Antiqua" w:hAnsi="Book Antiqua"/>
          <w:color w:val="000000" w:themeColor="text1"/>
        </w:rPr>
        <w:t>: 167-171 [PMID: 17484642 DOI: 10.1089/lap.2006.0030]</w:t>
      </w:r>
    </w:p>
    <w:p w14:paraId="24F1D8C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126 </w:t>
      </w:r>
      <w:r w:rsidRPr="00A03975">
        <w:rPr>
          <w:rFonts w:ascii="Book Antiqua" w:hAnsi="Book Antiqua"/>
          <w:b/>
          <w:bCs/>
          <w:color w:val="000000" w:themeColor="text1"/>
        </w:rPr>
        <w:t>Rábago LR</w:t>
      </w:r>
      <w:r w:rsidRPr="00A03975">
        <w:rPr>
          <w:rFonts w:ascii="Book Antiqua" w:hAnsi="Book Antiqua"/>
          <w:color w:val="000000" w:themeColor="text1"/>
        </w:rPr>
        <w:t xml:space="preserve">, Vicente C, Soler F, Delgado M, Moral I, Guerra I, Castro JL, Quintanilla E, Romeo J, Llorente R, Vázquez Echarri J, Martínez-Veiga JL, Gea F. Two-stage treatment with preoperative endoscopic retrograde cholangiopancreatography (ERCP) compared with single-stage treatment with intraoperative ERCP for patients with symptomatic cholelithiasis with possible choledocholithiasis. </w:t>
      </w:r>
      <w:r w:rsidRPr="00A03975">
        <w:rPr>
          <w:rFonts w:ascii="Book Antiqua" w:hAnsi="Book Antiqua"/>
          <w:i/>
          <w:iCs/>
          <w:color w:val="000000" w:themeColor="text1"/>
        </w:rPr>
        <w:t>Endoscopy</w:t>
      </w:r>
      <w:r w:rsidRPr="00A03975">
        <w:rPr>
          <w:rFonts w:ascii="Book Antiqua" w:hAnsi="Book Antiqua"/>
          <w:color w:val="000000" w:themeColor="text1"/>
        </w:rPr>
        <w:t xml:space="preserve"> 2006; </w:t>
      </w:r>
      <w:r w:rsidRPr="00A03975">
        <w:rPr>
          <w:rFonts w:ascii="Book Antiqua" w:hAnsi="Book Antiqua"/>
          <w:b/>
          <w:bCs/>
          <w:color w:val="000000" w:themeColor="text1"/>
        </w:rPr>
        <w:t>38</w:t>
      </w:r>
      <w:r w:rsidRPr="00A03975">
        <w:rPr>
          <w:rFonts w:ascii="Book Antiqua" w:hAnsi="Book Antiqua"/>
          <w:color w:val="000000" w:themeColor="text1"/>
        </w:rPr>
        <w:t>: 779-786 [PMID: 17001567 DOI: 10.1055/s-2006-944617]</w:t>
      </w:r>
    </w:p>
    <w:p w14:paraId="6D152958"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127 </w:t>
      </w:r>
      <w:r w:rsidRPr="00A03975">
        <w:rPr>
          <w:rFonts w:ascii="Book Antiqua" w:hAnsi="Book Antiqua"/>
          <w:b/>
          <w:bCs/>
          <w:color w:val="000000" w:themeColor="text1"/>
        </w:rPr>
        <w:t>Ghazal AH</w:t>
      </w:r>
      <w:r w:rsidRPr="00A03975">
        <w:rPr>
          <w:rFonts w:ascii="Book Antiqua" w:hAnsi="Book Antiqua"/>
          <w:color w:val="000000" w:themeColor="text1"/>
        </w:rPr>
        <w:t xml:space="preserve">, Sorour MA, El-Riwini M, El-Bahrawy H. Single-step treatment of gall bladder and bile duct stones: a combined endoscopic-laparoscopic technique. </w:t>
      </w:r>
      <w:r w:rsidRPr="00A03975">
        <w:rPr>
          <w:rFonts w:ascii="Book Antiqua" w:hAnsi="Book Antiqua"/>
          <w:i/>
          <w:iCs/>
          <w:color w:val="000000" w:themeColor="text1"/>
        </w:rPr>
        <w:t>Int J Surg</w:t>
      </w:r>
      <w:r w:rsidRPr="00A03975">
        <w:rPr>
          <w:rFonts w:ascii="Book Antiqua" w:hAnsi="Book Antiqua"/>
          <w:color w:val="000000" w:themeColor="text1"/>
        </w:rPr>
        <w:t xml:space="preserve"> 2009; </w:t>
      </w:r>
      <w:r w:rsidRPr="00A03975">
        <w:rPr>
          <w:rFonts w:ascii="Book Antiqua" w:hAnsi="Book Antiqua"/>
          <w:b/>
          <w:bCs/>
          <w:color w:val="000000" w:themeColor="text1"/>
        </w:rPr>
        <w:t>7</w:t>
      </w:r>
      <w:r w:rsidRPr="00A03975">
        <w:rPr>
          <w:rFonts w:ascii="Book Antiqua" w:hAnsi="Book Antiqua"/>
          <w:color w:val="000000" w:themeColor="text1"/>
        </w:rPr>
        <w:t>: 338-346 [PMID: 19481184 DOI: 10.1016/j.ijsu.2009.05.005]</w:t>
      </w:r>
    </w:p>
    <w:p w14:paraId="5FE00EE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128 </w:t>
      </w:r>
      <w:r w:rsidRPr="00A03975">
        <w:rPr>
          <w:rFonts w:ascii="Book Antiqua" w:hAnsi="Book Antiqua"/>
          <w:b/>
          <w:bCs/>
          <w:color w:val="000000" w:themeColor="text1"/>
        </w:rPr>
        <w:t>Morino M</w:t>
      </w:r>
      <w:r w:rsidRPr="00A03975">
        <w:rPr>
          <w:rFonts w:ascii="Book Antiqua" w:hAnsi="Book Antiqua"/>
          <w:color w:val="000000" w:themeColor="text1"/>
        </w:rPr>
        <w:t xml:space="preserve">, Baracchi F, Miglietta C, Furlan N, Ragona R, Garbarini A. Preoperative endoscopic sphincterotomy versus laparoendoscopic rendezvous in patients with gallbladder and bile duct stones. </w:t>
      </w:r>
      <w:r w:rsidRPr="00A03975">
        <w:rPr>
          <w:rFonts w:ascii="Book Antiqua" w:hAnsi="Book Antiqua"/>
          <w:i/>
          <w:iCs/>
          <w:color w:val="000000" w:themeColor="text1"/>
        </w:rPr>
        <w:t>Ann Surg</w:t>
      </w:r>
      <w:r w:rsidRPr="00A03975">
        <w:rPr>
          <w:rFonts w:ascii="Book Antiqua" w:hAnsi="Book Antiqua"/>
          <w:color w:val="000000" w:themeColor="text1"/>
        </w:rPr>
        <w:t xml:space="preserve"> 2006; </w:t>
      </w:r>
      <w:r w:rsidRPr="00A03975">
        <w:rPr>
          <w:rFonts w:ascii="Book Antiqua" w:hAnsi="Book Antiqua"/>
          <w:b/>
          <w:bCs/>
          <w:color w:val="000000" w:themeColor="text1"/>
        </w:rPr>
        <w:t>244</w:t>
      </w:r>
      <w:r w:rsidRPr="00A03975">
        <w:rPr>
          <w:rFonts w:ascii="Book Antiqua" w:hAnsi="Book Antiqua"/>
          <w:color w:val="000000" w:themeColor="text1"/>
        </w:rPr>
        <w:t>: 889-893 [PMID: 17122614 DOI: 10.1097/01.sla.0000246913.74870.fc]</w:t>
      </w:r>
    </w:p>
    <w:p w14:paraId="31A7959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129 </w:t>
      </w:r>
      <w:r w:rsidRPr="00A03975">
        <w:rPr>
          <w:rFonts w:ascii="Book Antiqua" w:hAnsi="Book Antiqua"/>
          <w:b/>
          <w:bCs/>
          <w:color w:val="000000" w:themeColor="text1"/>
        </w:rPr>
        <w:t>Lella F</w:t>
      </w:r>
      <w:r w:rsidRPr="00A03975">
        <w:rPr>
          <w:rFonts w:ascii="Book Antiqua" w:hAnsi="Book Antiqua"/>
          <w:color w:val="000000" w:themeColor="text1"/>
        </w:rPr>
        <w:t xml:space="preserve">, Bagnolo F, Rebuffat C, Scalambra M, Bonassi U, Colombo E. Use of the laparoscopic-endoscopic approach, the so-called "rendezvous" technique, in cholecystocholedocholithiasis: a valid method in cases with patient-related risk factors for post-ERCP pancreatitis. </w:t>
      </w:r>
      <w:r w:rsidRPr="00A03975">
        <w:rPr>
          <w:rFonts w:ascii="Book Antiqua" w:hAnsi="Book Antiqua"/>
          <w:i/>
          <w:iCs/>
          <w:color w:val="000000" w:themeColor="text1"/>
        </w:rPr>
        <w:t>Surg Endosc</w:t>
      </w:r>
      <w:r w:rsidRPr="00A03975">
        <w:rPr>
          <w:rFonts w:ascii="Book Antiqua" w:hAnsi="Book Antiqua"/>
          <w:color w:val="000000" w:themeColor="text1"/>
        </w:rPr>
        <w:t xml:space="preserve"> 2006; </w:t>
      </w:r>
      <w:r w:rsidRPr="00A03975">
        <w:rPr>
          <w:rFonts w:ascii="Book Antiqua" w:hAnsi="Book Antiqua"/>
          <w:b/>
          <w:bCs/>
          <w:color w:val="000000" w:themeColor="text1"/>
        </w:rPr>
        <w:t>20</w:t>
      </w:r>
      <w:r w:rsidRPr="00A03975">
        <w:rPr>
          <w:rFonts w:ascii="Book Antiqua" w:hAnsi="Book Antiqua"/>
          <w:color w:val="000000" w:themeColor="text1"/>
        </w:rPr>
        <w:t>: 419-423 [PMID: 16424987 DOI: 10.1007/s00464-005-0356-6]</w:t>
      </w:r>
    </w:p>
    <w:p w14:paraId="0522C97B"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130 </w:t>
      </w:r>
      <w:r w:rsidRPr="00A03975">
        <w:rPr>
          <w:rFonts w:ascii="Book Antiqua" w:hAnsi="Book Antiqua"/>
          <w:b/>
          <w:bCs/>
          <w:color w:val="000000" w:themeColor="text1"/>
        </w:rPr>
        <w:t>Gagner M</w:t>
      </w:r>
      <w:r w:rsidRPr="00A03975">
        <w:rPr>
          <w:rFonts w:ascii="Book Antiqua" w:hAnsi="Book Antiqua"/>
          <w:color w:val="000000" w:themeColor="text1"/>
        </w:rPr>
        <w:t>. Intra-operative sphincterotomy and ERCP for choledocholithiasis during laparoscopic cholecystectomy.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Surgery</w:t>
      </w:r>
      <w:r w:rsidRPr="00A03975">
        <w:rPr>
          <w:rFonts w:ascii="Book Antiqua" w:hAnsi="Book Antiqua"/>
          <w:color w:val="000000" w:themeColor="text1"/>
        </w:rPr>
        <w:t xml:space="preserve"> 2010; </w:t>
      </w:r>
      <w:r w:rsidRPr="00A03975">
        <w:rPr>
          <w:rFonts w:ascii="Book Antiqua" w:hAnsi="Book Antiqua"/>
          <w:b/>
          <w:bCs/>
          <w:color w:val="000000" w:themeColor="text1"/>
        </w:rPr>
        <w:t>147</w:t>
      </w:r>
      <w:r w:rsidRPr="00A03975">
        <w:rPr>
          <w:rFonts w:ascii="Book Antiqua" w:hAnsi="Book Antiqua"/>
          <w:color w:val="000000" w:themeColor="text1"/>
        </w:rPr>
        <w:t>: 463 [PMID: 20176247 DOI: 10.1016/j.surg.2009.01.023]</w:t>
      </w:r>
    </w:p>
    <w:p w14:paraId="22981E5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131 </w:t>
      </w:r>
      <w:r w:rsidRPr="00A03975">
        <w:rPr>
          <w:rFonts w:ascii="Book Antiqua" w:hAnsi="Book Antiqua"/>
          <w:b/>
          <w:bCs/>
          <w:color w:val="000000" w:themeColor="text1"/>
        </w:rPr>
        <w:t>La Greca G</w:t>
      </w:r>
      <w:r w:rsidRPr="00A03975">
        <w:rPr>
          <w:rFonts w:ascii="Book Antiqua" w:hAnsi="Book Antiqua"/>
          <w:color w:val="000000" w:themeColor="text1"/>
        </w:rPr>
        <w:t xml:space="preserve">, Barbagallo F, Di Blasi M, Chisari A, Lombardo R, Bonaccorso R, Latteri S, Di Stefano A, Russello D. Laparo-endoscopic "Rendezvous" to treat </w:t>
      </w:r>
      <w:r w:rsidRPr="00A03975">
        <w:rPr>
          <w:rFonts w:ascii="Book Antiqua" w:hAnsi="Book Antiqua"/>
          <w:color w:val="000000" w:themeColor="text1"/>
        </w:rPr>
        <w:lastRenderedPageBreak/>
        <w:t xml:space="preserve">cholecysto-choledocolithiasis: Effective, safe and simplifies the endoscopist's work. </w:t>
      </w:r>
      <w:r w:rsidRPr="00A03975">
        <w:rPr>
          <w:rFonts w:ascii="Book Antiqua" w:hAnsi="Book Antiqua"/>
          <w:i/>
          <w:iCs/>
          <w:color w:val="000000" w:themeColor="text1"/>
        </w:rPr>
        <w:t>World J Gastroenterol</w:t>
      </w:r>
      <w:r w:rsidRPr="00A03975">
        <w:rPr>
          <w:rFonts w:ascii="Book Antiqua" w:hAnsi="Book Antiqua"/>
          <w:color w:val="000000" w:themeColor="text1"/>
        </w:rPr>
        <w:t xml:space="preserve"> 2008; </w:t>
      </w:r>
      <w:r w:rsidRPr="00A03975">
        <w:rPr>
          <w:rFonts w:ascii="Book Antiqua" w:hAnsi="Book Antiqua"/>
          <w:b/>
          <w:bCs/>
          <w:color w:val="000000" w:themeColor="text1"/>
        </w:rPr>
        <w:t>14</w:t>
      </w:r>
      <w:r w:rsidRPr="00A03975">
        <w:rPr>
          <w:rFonts w:ascii="Book Antiqua" w:hAnsi="Book Antiqua"/>
          <w:color w:val="000000" w:themeColor="text1"/>
        </w:rPr>
        <w:t>: 2844-2850 [PMID: 18473408 DOI: 10.3748/wjg.14.2844]</w:t>
      </w:r>
    </w:p>
    <w:p w14:paraId="40CFF0D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132 </w:t>
      </w:r>
      <w:r w:rsidRPr="00A03975">
        <w:rPr>
          <w:rFonts w:ascii="Book Antiqua" w:hAnsi="Book Antiqua"/>
          <w:b/>
          <w:bCs/>
          <w:color w:val="000000" w:themeColor="text1"/>
        </w:rPr>
        <w:t>ElGeidie AA</w:t>
      </w:r>
      <w:r w:rsidRPr="00A03975">
        <w:rPr>
          <w:rFonts w:ascii="Book Antiqua" w:hAnsi="Book Antiqua"/>
          <w:color w:val="000000" w:themeColor="text1"/>
        </w:rPr>
        <w:t>.</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Single-session minimally invasive management of common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World J Gastroenterol</w:t>
      </w:r>
      <w:r w:rsidRPr="00A03975">
        <w:rPr>
          <w:rFonts w:ascii="Book Antiqua" w:hAnsi="Book Antiqua"/>
          <w:color w:val="000000" w:themeColor="text1"/>
        </w:rPr>
        <w:t xml:space="preserve"> 2014; </w:t>
      </w:r>
      <w:r w:rsidRPr="00A03975">
        <w:rPr>
          <w:rFonts w:ascii="Book Antiqua" w:hAnsi="Book Antiqua"/>
          <w:b/>
          <w:bCs/>
          <w:color w:val="000000" w:themeColor="text1"/>
        </w:rPr>
        <w:t>20</w:t>
      </w:r>
      <w:r w:rsidRPr="00A03975">
        <w:rPr>
          <w:rFonts w:ascii="Book Antiqua" w:hAnsi="Book Antiqua"/>
          <w:color w:val="000000" w:themeColor="text1"/>
        </w:rPr>
        <w:t>: 15144-15152 [PMID: 25386063 DOI: 10.3748/wjg.v20.i41.15144]</w:t>
      </w:r>
    </w:p>
    <w:p w14:paraId="0456C1F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133 </w:t>
      </w:r>
      <w:r w:rsidRPr="00A03975">
        <w:rPr>
          <w:rFonts w:ascii="Book Antiqua" w:hAnsi="Book Antiqua"/>
          <w:b/>
          <w:bCs/>
          <w:color w:val="000000" w:themeColor="text1"/>
        </w:rPr>
        <w:t>Mukai S</w:t>
      </w:r>
      <w:r w:rsidRPr="00A03975">
        <w:rPr>
          <w:rFonts w:ascii="Book Antiqua" w:hAnsi="Book Antiqua"/>
          <w:color w:val="000000" w:themeColor="text1"/>
        </w:rPr>
        <w:t xml:space="preserve">, Itoi T, Baron TH, Takada T, Strasberg SM, Pitt HA, Ukai T, Shikata S, Teoh AYB, Kim MH, Kiriyama S, Mori Y, Miura F, Chen MF, Lau WY, Wada K, Supe AN, Giménez ME, Yoshida M, Mayumi T, Hirata K, Sumiyama Y, Inui K, Yamamoto M. Indications and techniques of biliary drainage for acute cholangitis in updated Tokyo Guidelines 2018. </w:t>
      </w:r>
      <w:r w:rsidRPr="00A03975">
        <w:rPr>
          <w:rFonts w:ascii="Book Antiqua" w:hAnsi="Book Antiqua"/>
          <w:i/>
          <w:iCs/>
          <w:color w:val="000000" w:themeColor="text1"/>
        </w:rPr>
        <w:t>J Hepatobiliary Pancreat Sci</w:t>
      </w:r>
      <w:r w:rsidRPr="00A03975">
        <w:rPr>
          <w:rFonts w:ascii="Book Antiqua" w:hAnsi="Book Antiqua"/>
          <w:color w:val="000000" w:themeColor="text1"/>
        </w:rPr>
        <w:t xml:space="preserve"> 2017; </w:t>
      </w:r>
      <w:r w:rsidRPr="00A03975">
        <w:rPr>
          <w:rFonts w:ascii="Book Antiqua" w:hAnsi="Book Antiqua"/>
          <w:b/>
          <w:bCs/>
          <w:color w:val="000000" w:themeColor="text1"/>
        </w:rPr>
        <w:t>24</w:t>
      </w:r>
      <w:r w:rsidRPr="00A03975">
        <w:rPr>
          <w:rFonts w:ascii="Book Antiqua" w:hAnsi="Book Antiqua"/>
          <w:color w:val="000000" w:themeColor="text1"/>
        </w:rPr>
        <w:t>: 537-549 [PMID: 28834389 DOI: 10.1002/jhbp.496]</w:t>
      </w:r>
    </w:p>
    <w:p w14:paraId="0F5C0F7A"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134 </w:t>
      </w:r>
      <w:r w:rsidRPr="00A03975">
        <w:rPr>
          <w:rFonts w:ascii="Book Antiqua" w:hAnsi="Book Antiqua"/>
          <w:b/>
          <w:bCs/>
          <w:color w:val="000000" w:themeColor="text1"/>
        </w:rPr>
        <w:t>Schwartz SI.</w:t>
      </w:r>
      <w:proofErr w:type="gramEnd"/>
      <w:r w:rsidRPr="00A03975">
        <w:rPr>
          <w:rFonts w:ascii="Book Antiqua" w:hAnsi="Book Antiqua"/>
          <w:b/>
          <w:bCs/>
          <w:color w:val="000000" w:themeColor="text1"/>
        </w:rPr>
        <w:t xml:space="preserve"> </w:t>
      </w:r>
      <w:proofErr w:type="gramStart"/>
      <w:r w:rsidRPr="00A03975">
        <w:rPr>
          <w:rFonts w:ascii="Book Antiqua" w:hAnsi="Book Antiqua"/>
          <w:color w:val="000000" w:themeColor="text1"/>
        </w:rPr>
        <w:t>Gallbladder and extrahepatic biliary system.</w:t>
      </w:r>
      <w:proofErr w:type="gramEnd"/>
      <w:r w:rsidRPr="00A03975">
        <w:rPr>
          <w:rFonts w:ascii="Book Antiqua" w:hAnsi="Book Antiqua"/>
          <w:color w:val="000000" w:themeColor="text1"/>
        </w:rPr>
        <w:t xml:space="preserve"> In: Principles of Surgery. 2</w:t>
      </w:r>
      <w:r w:rsidRPr="00A03975">
        <w:rPr>
          <w:rFonts w:ascii="Book Antiqua" w:hAnsi="Book Antiqua"/>
          <w:color w:val="000000" w:themeColor="text1"/>
          <w:vertAlign w:val="superscript"/>
        </w:rPr>
        <w:t>nd</w:t>
      </w:r>
      <w:r w:rsidRPr="00A03975">
        <w:rPr>
          <w:rFonts w:ascii="Book Antiqua" w:hAnsi="Book Antiqua"/>
          <w:color w:val="000000" w:themeColor="text1"/>
        </w:rPr>
        <w:t xml:space="preserve"> ed. Schwartz SI, Lillehei RC, Shires GT, Spencer FC, Storer EH, editors. New York: McGraw-Hill, 1974: 1221-1254</w:t>
      </w:r>
    </w:p>
    <w:p w14:paraId="59CA80A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135 </w:t>
      </w:r>
      <w:r w:rsidRPr="00A03975">
        <w:rPr>
          <w:rFonts w:ascii="Book Antiqua" w:hAnsi="Book Antiqua"/>
          <w:b/>
          <w:bCs/>
          <w:color w:val="000000" w:themeColor="text1"/>
        </w:rPr>
        <w:t>Clayton ES</w:t>
      </w:r>
      <w:r w:rsidRPr="00A03975">
        <w:rPr>
          <w:rFonts w:ascii="Book Antiqua" w:hAnsi="Book Antiqua"/>
          <w:color w:val="000000" w:themeColor="text1"/>
        </w:rPr>
        <w:t>, Connor S, Alexakis N, Leandros E. Meta-analysis of endoscopy and surgery versus surgery alone for common bile duct stones with the gallbladder in situ.</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Br J Surg</w:t>
      </w:r>
      <w:r w:rsidRPr="00A03975">
        <w:rPr>
          <w:rFonts w:ascii="Book Antiqua" w:hAnsi="Book Antiqua"/>
          <w:color w:val="000000" w:themeColor="text1"/>
        </w:rPr>
        <w:t xml:space="preserve"> 2006; </w:t>
      </w:r>
      <w:r w:rsidRPr="00A03975">
        <w:rPr>
          <w:rFonts w:ascii="Book Antiqua" w:hAnsi="Book Antiqua"/>
          <w:b/>
          <w:bCs/>
          <w:color w:val="000000" w:themeColor="text1"/>
        </w:rPr>
        <w:t>93</w:t>
      </w:r>
      <w:r w:rsidRPr="00A03975">
        <w:rPr>
          <w:rFonts w:ascii="Book Antiqua" w:hAnsi="Book Antiqua"/>
          <w:color w:val="000000" w:themeColor="text1"/>
        </w:rPr>
        <w:t>: 1185-1191 [PMID: 16964628 DOI: 10.1002/bjs.5568]</w:t>
      </w:r>
    </w:p>
    <w:p w14:paraId="48B57B0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136 </w:t>
      </w:r>
      <w:r w:rsidRPr="00A03975">
        <w:rPr>
          <w:rFonts w:ascii="Book Antiqua" w:hAnsi="Book Antiqua"/>
          <w:b/>
          <w:bCs/>
          <w:color w:val="000000" w:themeColor="text1"/>
        </w:rPr>
        <w:t>Baker AR</w:t>
      </w:r>
      <w:r w:rsidRPr="00A03975">
        <w:rPr>
          <w:rFonts w:ascii="Book Antiqua" w:hAnsi="Book Antiqua"/>
          <w:color w:val="000000" w:themeColor="text1"/>
        </w:rPr>
        <w:t xml:space="preserve">, Neoptolemos JP, Leese T, James DC, Fossard DP. </w:t>
      </w:r>
      <w:proofErr w:type="gramStart"/>
      <w:r w:rsidRPr="00A03975">
        <w:rPr>
          <w:rFonts w:ascii="Book Antiqua" w:hAnsi="Book Antiqua"/>
          <w:color w:val="000000" w:themeColor="text1"/>
        </w:rPr>
        <w:t>Long term follow-up of patients with side to side choledochoduodenostomy and transduodenal sphincteroplasty.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Ann R Coll Surg Engl</w:t>
      </w:r>
      <w:r w:rsidRPr="00A03975">
        <w:rPr>
          <w:rFonts w:ascii="Book Antiqua" w:hAnsi="Book Antiqua"/>
          <w:color w:val="000000" w:themeColor="text1"/>
        </w:rPr>
        <w:t xml:space="preserve"> 1987; </w:t>
      </w:r>
      <w:r w:rsidRPr="00A03975">
        <w:rPr>
          <w:rFonts w:ascii="Book Antiqua" w:hAnsi="Book Antiqua"/>
          <w:b/>
          <w:bCs/>
          <w:color w:val="000000" w:themeColor="text1"/>
        </w:rPr>
        <w:t>69</w:t>
      </w:r>
      <w:r w:rsidRPr="00A03975">
        <w:rPr>
          <w:rFonts w:ascii="Book Antiqua" w:hAnsi="Book Antiqua"/>
          <w:color w:val="000000" w:themeColor="text1"/>
        </w:rPr>
        <w:t>: 253-257 [PMID: 2892457]</w:t>
      </w:r>
    </w:p>
    <w:p w14:paraId="753C990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b/>
          <w:bCs/>
          <w:color w:val="000000" w:themeColor="text1"/>
        </w:rPr>
      </w:pPr>
      <w:proofErr w:type="gramStart"/>
      <w:r w:rsidRPr="00A03975">
        <w:rPr>
          <w:rFonts w:ascii="Book Antiqua" w:hAnsi="Book Antiqua"/>
          <w:color w:val="000000" w:themeColor="text1"/>
        </w:rPr>
        <w:t xml:space="preserve">137 </w:t>
      </w:r>
      <w:r w:rsidRPr="00A03975">
        <w:rPr>
          <w:rFonts w:ascii="Book Antiqua" w:hAnsi="Book Antiqua"/>
          <w:b/>
          <w:bCs/>
          <w:color w:val="000000" w:themeColor="text1"/>
        </w:rPr>
        <w:t xml:space="preserve">Hungness ES, </w:t>
      </w:r>
      <w:r w:rsidRPr="00A03975">
        <w:rPr>
          <w:rFonts w:ascii="Book Antiqua" w:hAnsi="Book Antiqua"/>
          <w:color w:val="000000" w:themeColor="text1"/>
        </w:rPr>
        <w:t>Soper NJ.</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Management of common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Surg</w:t>
      </w:r>
      <w:r w:rsidRPr="00A03975">
        <w:rPr>
          <w:rFonts w:ascii="Book Antiqua" w:hAnsi="Book Antiqua"/>
          <w:color w:val="000000" w:themeColor="text1"/>
        </w:rPr>
        <w:t xml:space="preserve"> 2006; </w:t>
      </w:r>
      <w:r w:rsidRPr="00A03975">
        <w:rPr>
          <w:rFonts w:ascii="Book Antiqua" w:hAnsi="Book Antiqua"/>
          <w:b/>
          <w:bCs/>
          <w:color w:val="000000" w:themeColor="text1"/>
        </w:rPr>
        <w:t>10</w:t>
      </w:r>
      <w:r w:rsidRPr="00A03975">
        <w:rPr>
          <w:rFonts w:ascii="Book Antiqua" w:hAnsi="Book Antiqua"/>
          <w:color w:val="000000" w:themeColor="text1"/>
        </w:rPr>
        <w:t>: 612-619 [DOI: 10.1016/j.gassur.2005.08.015]</w:t>
      </w:r>
    </w:p>
    <w:p w14:paraId="30C755D8"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138 </w:t>
      </w:r>
      <w:r w:rsidRPr="00A03975">
        <w:rPr>
          <w:rFonts w:ascii="Book Antiqua" w:hAnsi="Book Antiqua"/>
          <w:b/>
          <w:bCs/>
          <w:color w:val="000000" w:themeColor="text1"/>
        </w:rPr>
        <w:t>Lacitignola S</w:t>
      </w:r>
      <w:r w:rsidRPr="00A03975">
        <w:rPr>
          <w:rFonts w:ascii="Book Antiqua" w:hAnsi="Book Antiqua"/>
          <w:color w:val="000000" w:themeColor="text1"/>
        </w:rPr>
        <w:t xml:space="preserve">, Minardi M. Management of common bile duct stones: a ten-year experience at a tertiary care center. </w:t>
      </w:r>
      <w:r w:rsidRPr="00A03975">
        <w:rPr>
          <w:rFonts w:ascii="Book Antiqua" w:hAnsi="Book Antiqua"/>
          <w:i/>
          <w:iCs/>
          <w:color w:val="000000" w:themeColor="text1"/>
        </w:rPr>
        <w:t>JSLS</w:t>
      </w:r>
      <w:r w:rsidRPr="00A03975">
        <w:rPr>
          <w:rFonts w:ascii="Book Antiqua" w:hAnsi="Book Antiqua"/>
          <w:color w:val="000000" w:themeColor="text1"/>
        </w:rPr>
        <w:t xml:space="preserve"> 2008; </w:t>
      </w:r>
      <w:r w:rsidRPr="00A03975">
        <w:rPr>
          <w:rFonts w:ascii="Book Antiqua" w:hAnsi="Book Antiqua"/>
          <w:b/>
          <w:bCs/>
          <w:color w:val="000000" w:themeColor="text1"/>
        </w:rPr>
        <w:t>12</w:t>
      </w:r>
      <w:r w:rsidRPr="00A03975">
        <w:rPr>
          <w:rFonts w:ascii="Book Antiqua" w:hAnsi="Book Antiqua"/>
          <w:color w:val="000000" w:themeColor="text1"/>
        </w:rPr>
        <w:t>: 62-65 [PMID: 18402741]</w:t>
      </w:r>
    </w:p>
    <w:p w14:paraId="6A35113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139 </w:t>
      </w:r>
      <w:r w:rsidRPr="00A03975">
        <w:rPr>
          <w:rFonts w:ascii="Book Antiqua" w:hAnsi="Book Antiqua"/>
          <w:b/>
          <w:bCs/>
          <w:color w:val="000000" w:themeColor="text1"/>
        </w:rPr>
        <w:t>Cuschieri A</w:t>
      </w:r>
      <w:r w:rsidRPr="00A03975">
        <w:rPr>
          <w:rFonts w:ascii="Book Antiqua" w:hAnsi="Book Antiqua"/>
          <w:color w:val="000000" w:themeColor="text1"/>
        </w:rPr>
        <w:t>, Adamson GD. Multimedia article.</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Laparoscopic transection choledochoduodenostomy.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Surg Endosc</w:t>
      </w:r>
      <w:r w:rsidRPr="00A03975">
        <w:rPr>
          <w:rFonts w:ascii="Book Antiqua" w:hAnsi="Book Antiqua"/>
          <w:color w:val="000000" w:themeColor="text1"/>
        </w:rPr>
        <w:t xml:space="preserve"> 2005; </w:t>
      </w:r>
      <w:r w:rsidRPr="00A03975">
        <w:rPr>
          <w:rFonts w:ascii="Book Antiqua" w:hAnsi="Book Antiqua"/>
          <w:b/>
          <w:bCs/>
          <w:color w:val="000000" w:themeColor="text1"/>
        </w:rPr>
        <w:t>19</w:t>
      </w:r>
      <w:r w:rsidRPr="00A03975">
        <w:rPr>
          <w:rFonts w:ascii="Book Antiqua" w:hAnsi="Book Antiqua"/>
          <w:color w:val="000000" w:themeColor="text1"/>
        </w:rPr>
        <w:t>: 728 [PMID: 15711866 DOI: 10.1007/s00464-004-6021-7]</w:t>
      </w:r>
    </w:p>
    <w:p w14:paraId="10E24B5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140 </w:t>
      </w:r>
      <w:r w:rsidRPr="00A03975">
        <w:rPr>
          <w:rFonts w:ascii="Book Antiqua" w:hAnsi="Book Antiqua"/>
          <w:b/>
          <w:bCs/>
          <w:color w:val="000000" w:themeColor="text1"/>
        </w:rPr>
        <w:t>Escudero-Fabre A</w:t>
      </w:r>
      <w:r w:rsidRPr="00A03975">
        <w:rPr>
          <w:rFonts w:ascii="Book Antiqua" w:hAnsi="Book Antiqua"/>
          <w:color w:val="000000" w:themeColor="text1"/>
        </w:rPr>
        <w:t xml:space="preserve">, Escallon </w:t>
      </w:r>
      <w:proofErr w:type="gramStart"/>
      <w:r w:rsidRPr="00A03975">
        <w:rPr>
          <w:rFonts w:ascii="Book Antiqua" w:hAnsi="Book Antiqua"/>
          <w:color w:val="000000" w:themeColor="text1"/>
        </w:rPr>
        <w:t>A</w:t>
      </w:r>
      <w:proofErr w:type="gramEnd"/>
      <w:r w:rsidRPr="00A03975">
        <w:rPr>
          <w:rFonts w:ascii="Book Antiqua" w:hAnsi="Book Antiqua"/>
          <w:color w:val="000000" w:themeColor="text1"/>
        </w:rPr>
        <w:t xml:space="preserve"> Jr, Sack J, Halpern NB, Aldrete JS. </w:t>
      </w:r>
      <w:proofErr w:type="gramStart"/>
      <w:r w:rsidRPr="00A03975">
        <w:rPr>
          <w:rFonts w:ascii="Book Antiqua" w:hAnsi="Book Antiqua"/>
          <w:color w:val="000000" w:themeColor="text1"/>
        </w:rPr>
        <w:t>Choledochoduodenostomy.</w:t>
      </w:r>
      <w:proofErr w:type="gramEnd"/>
      <w:r w:rsidRPr="00A03975">
        <w:rPr>
          <w:rFonts w:ascii="Book Antiqua" w:hAnsi="Book Antiqua"/>
          <w:color w:val="000000" w:themeColor="text1"/>
        </w:rPr>
        <w:t xml:space="preserve"> Analysis of 71 cases followed for 5 to 15 years. </w:t>
      </w:r>
      <w:r w:rsidRPr="00A03975">
        <w:rPr>
          <w:rFonts w:ascii="Book Antiqua" w:hAnsi="Book Antiqua"/>
          <w:i/>
          <w:iCs/>
          <w:color w:val="000000" w:themeColor="text1"/>
        </w:rPr>
        <w:t>Ann Surg</w:t>
      </w:r>
      <w:r w:rsidRPr="00A03975">
        <w:rPr>
          <w:rFonts w:ascii="Book Antiqua" w:hAnsi="Book Antiqua"/>
          <w:color w:val="000000" w:themeColor="text1"/>
        </w:rPr>
        <w:t xml:space="preserve"> 1991; </w:t>
      </w:r>
      <w:r w:rsidRPr="00A03975">
        <w:rPr>
          <w:rFonts w:ascii="Book Antiqua" w:hAnsi="Book Antiqua"/>
          <w:b/>
          <w:bCs/>
          <w:color w:val="000000" w:themeColor="text1"/>
        </w:rPr>
        <w:t>213</w:t>
      </w:r>
      <w:r w:rsidRPr="00A03975">
        <w:rPr>
          <w:rFonts w:ascii="Book Antiqua" w:hAnsi="Book Antiqua"/>
          <w:color w:val="000000" w:themeColor="text1"/>
        </w:rPr>
        <w:t>: 635-642 [PMID: 2039295 DOI: 10.1097/00000658-199106000-00014]</w:t>
      </w:r>
    </w:p>
    <w:p w14:paraId="547112B5"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lastRenderedPageBreak/>
        <w:t xml:space="preserve">141 </w:t>
      </w:r>
      <w:r w:rsidRPr="00A03975">
        <w:rPr>
          <w:rFonts w:ascii="Book Antiqua" w:hAnsi="Book Antiqua"/>
          <w:b/>
          <w:bCs/>
          <w:color w:val="000000" w:themeColor="text1"/>
        </w:rPr>
        <w:t>Siegel JH</w:t>
      </w:r>
      <w:r w:rsidRPr="00A03975">
        <w:rPr>
          <w:rFonts w:ascii="Book Antiqua" w:hAnsi="Book Antiqua"/>
          <w:color w:val="000000" w:themeColor="text1"/>
        </w:rPr>
        <w:t>, Ben-Zvi JS, Pullano WE.</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Endoscopic electrohydraulic lithotripsy.</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1990; </w:t>
      </w:r>
      <w:r w:rsidRPr="00A03975">
        <w:rPr>
          <w:rFonts w:ascii="Book Antiqua" w:hAnsi="Book Antiqua"/>
          <w:b/>
          <w:bCs/>
          <w:color w:val="000000" w:themeColor="text1"/>
        </w:rPr>
        <w:t>36</w:t>
      </w:r>
      <w:r w:rsidRPr="00A03975">
        <w:rPr>
          <w:rFonts w:ascii="Book Antiqua" w:hAnsi="Book Antiqua"/>
          <w:color w:val="000000" w:themeColor="text1"/>
        </w:rPr>
        <w:t>: 134-136 [PMID: 2335279 DOI: 10.1016/s0016-5107(90)70967-4]</w:t>
      </w:r>
    </w:p>
    <w:p w14:paraId="10E79C3F"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142 </w:t>
      </w:r>
      <w:r w:rsidRPr="00A03975">
        <w:rPr>
          <w:rFonts w:ascii="Book Antiqua" w:hAnsi="Book Antiqua"/>
          <w:b/>
          <w:bCs/>
          <w:color w:val="000000" w:themeColor="text1"/>
        </w:rPr>
        <w:t>Ponchon T</w:t>
      </w:r>
      <w:r w:rsidRPr="00A03975">
        <w:rPr>
          <w:rFonts w:ascii="Book Antiqua" w:hAnsi="Book Antiqua"/>
          <w:color w:val="000000" w:themeColor="text1"/>
        </w:rPr>
        <w:t xml:space="preserve">, Martin X, Barkun A, Mestas JL, Chavaillon A, Boustière C. Extracorporeal lithotripsy of bile duct stones using ultrasonography for stone localization. </w:t>
      </w:r>
      <w:r w:rsidRPr="00A03975">
        <w:rPr>
          <w:rFonts w:ascii="Book Antiqua" w:hAnsi="Book Antiqua"/>
          <w:i/>
          <w:iCs/>
          <w:color w:val="000000" w:themeColor="text1"/>
        </w:rPr>
        <w:t>Gastroenterology</w:t>
      </w:r>
      <w:r w:rsidRPr="00A03975">
        <w:rPr>
          <w:rFonts w:ascii="Book Antiqua" w:hAnsi="Book Antiqua"/>
          <w:color w:val="000000" w:themeColor="text1"/>
        </w:rPr>
        <w:t xml:space="preserve"> 1990; </w:t>
      </w:r>
      <w:r w:rsidRPr="00A03975">
        <w:rPr>
          <w:rFonts w:ascii="Book Antiqua" w:hAnsi="Book Antiqua"/>
          <w:b/>
          <w:bCs/>
          <w:color w:val="000000" w:themeColor="text1"/>
        </w:rPr>
        <w:t>98</w:t>
      </w:r>
      <w:r w:rsidRPr="00A03975">
        <w:rPr>
          <w:rFonts w:ascii="Book Antiqua" w:hAnsi="Book Antiqua"/>
          <w:color w:val="000000" w:themeColor="text1"/>
        </w:rPr>
        <w:t>: 726-732 [PMID: 2404827 DOI: 10.1016/0016-5085(90)90295-c]</w:t>
      </w:r>
    </w:p>
    <w:p w14:paraId="2061E558"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143 </w:t>
      </w:r>
      <w:r w:rsidRPr="00A03975">
        <w:rPr>
          <w:rFonts w:ascii="Book Antiqua" w:hAnsi="Book Antiqua"/>
          <w:b/>
          <w:bCs/>
          <w:color w:val="000000" w:themeColor="text1"/>
        </w:rPr>
        <w:t>Van Dam J</w:t>
      </w:r>
      <w:r w:rsidRPr="00A03975">
        <w:rPr>
          <w:rFonts w:ascii="Book Antiqua" w:hAnsi="Book Antiqua"/>
          <w:color w:val="000000" w:themeColor="text1"/>
        </w:rPr>
        <w:t xml:space="preserve">, Sivak MV Jr. Mechanical lithotripsy of large common bile duct stones. </w:t>
      </w:r>
      <w:r w:rsidRPr="00A03975">
        <w:rPr>
          <w:rFonts w:ascii="Book Antiqua" w:hAnsi="Book Antiqua"/>
          <w:i/>
          <w:iCs/>
          <w:color w:val="000000" w:themeColor="text1"/>
        </w:rPr>
        <w:t>Cleve Clin J Med</w:t>
      </w:r>
      <w:r w:rsidRPr="00A03975">
        <w:rPr>
          <w:rFonts w:ascii="Book Antiqua" w:hAnsi="Book Antiqua"/>
          <w:color w:val="000000" w:themeColor="text1"/>
        </w:rPr>
        <w:t xml:space="preserve"> 1993; </w:t>
      </w:r>
      <w:r w:rsidRPr="00A03975">
        <w:rPr>
          <w:rFonts w:ascii="Book Antiqua" w:hAnsi="Book Antiqua"/>
          <w:b/>
          <w:bCs/>
          <w:color w:val="000000" w:themeColor="text1"/>
        </w:rPr>
        <w:t>60</w:t>
      </w:r>
      <w:r w:rsidRPr="00A03975">
        <w:rPr>
          <w:rFonts w:ascii="Book Antiqua" w:hAnsi="Book Antiqua"/>
          <w:color w:val="000000" w:themeColor="text1"/>
        </w:rPr>
        <w:t>: 38-42 [PMID: 8443933 DOI: 10.3949/ccjm.60.1.38]</w:t>
      </w:r>
    </w:p>
    <w:p w14:paraId="66A82D3E"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144 </w:t>
      </w:r>
      <w:r w:rsidRPr="00A03975">
        <w:rPr>
          <w:rFonts w:ascii="Book Antiqua" w:hAnsi="Book Antiqua"/>
          <w:b/>
          <w:bCs/>
          <w:color w:val="000000" w:themeColor="text1"/>
        </w:rPr>
        <w:t>Garg PK</w:t>
      </w:r>
      <w:r w:rsidRPr="00A03975">
        <w:rPr>
          <w:rFonts w:ascii="Book Antiqua" w:hAnsi="Book Antiqua"/>
          <w:color w:val="000000" w:themeColor="text1"/>
        </w:rPr>
        <w:t xml:space="preserve">, Tandon RK, Ahuja V, Makharia GK, Batra Y. Predictors of unsuccessful mechanical lithotripsy and endoscopic clearance of large bile duct stones.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2004; </w:t>
      </w:r>
      <w:r w:rsidRPr="00A03975">
        <w:rPr>
          <w:rFonts w:ascii="Book Antiqua" w:hAnsi="Book Antiqua"/>
          <w:b/>
          <w:bCs/>
          <w:color w:val="000000" w:themeColor="text1"/>
        </w:rPr>
        <w:t>59</w:t>
      </w:r>
      <w:r w:rsidRPr="00A03975">
        <w:rPr>
          <w:rFonts w:ascii="Book Antiqua" w:hAnsi="Book Antiqua"/>
          <w:color w:val="000000" w:themeColor="text1"/>
        </w:rPr>
        <w:t>: 601-605 [PMID: 15114300 DOI: 10.1016/s0016-5107(04)00295-0]</w:t>
      </w:r>
    </w:p>
    <w:p w14:paraId="5CDCA047"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145 </w:t>
      </w:r>
      <w:r w:rsidRPr="00A03975">
        <w:rPr>
          <w:rFonts w:ascii="Book Antiqua" w:hAnsi="Book Antiqua"/>
          <w:b/>
          <w:bCs/>
          <w:color w:val="000000" w:themeColor="text1"/>
        </w:rPr>
        <w:t>Farrell JJ</w:t>
      </w:r>
      <w:r w:rsidRPr="00A03975">
        <w:rPr>
          <w:rFonts w:ascii="Book Antiqua" w:hAnsi="Book Antiqua"/>
          <w:color w:val="000000" w:themeColor="text1"/>
        </w:rPr>
        <w:t xml:space="preserve">, Bounds BC, Al-Shalabi S, Jacobson BC, Brugge WR, Schapiro RH, Kelsey PB. Single-operator duodenoscope-assisted cholangioscopy is an effective alternative in the management of choledocholithiasis not removed by conventional methods, including mechanical lithotripsy. </w:t>
      </w:r>
      <w:r w:rsidRPr="00A03975">
        <w:rPr>
          <w:rFonts w:ascii="Book Antiqua" w:hAnsi="Book Antiqua"/>
          <w:i/>
          <w:iCs/>
          <w:color w:val="000000" w:themeColor="text1"/>
        </w:rPr>
        <w:t>Endoscopy</w:t>
      </w:r>
      <w:r w:rsidRPr="00A03975">
        <w:rPr>
          <w:rFonts w:ascii="Book Antiqua" w:hAnsi="Book Antiqua"/>
          <w:color w:val="000000" w:themeColor="text1"/>
        </w:rPr>
        <w:t xml:space="preserve"> 2005; </w:t>
      </w:r>
      <w:r w:rsidRPr="00A03975">
        <w:rPr>
          <w:rFonts w:ascii="Book Antiqua" w:hAnsi="Book Antiqua"/>
          <w:b/>
          <w:bCs/>
          <w:color w:val="000000" w:themeColor="text1"/>
        </w:rPr>
        <w:t>37</w:t>
      </w:r>
      <w:r w:rsidRPr="00A03975">
        <w:rPr>
          <w:rFonts w:ascii="Book Antiqua" w:hAnsi="Book Antiqua"/>
          <w:color w:val="000000" w:themeColor="text1"/>
        </w:rPr>
        <w:t>: 542-547 [PMID: 15933927 DOI: 10.1055/s-2005-861306]</w:t>
      </w:r>
    </w:p>
    <w:p w14:paraId="16FDAE3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146 </w:t>
      </w:r>
      <w:r w:rsidRPr="00A03975">
        <w:rPr>
          <w:rFonts w:ascii="Book Antiqua" w:hAnsi="Book Antiqua"/>
          <w:b/>
          <w:bCs/>
          <w:color w:val="000000" w:themeColor="text1"/>
        </w:rPr>
        <w:t>Arya N</w:t>
      </w:r>
      <w:r w:rsidRPr="00A03975">
        <w:rPr>
          <w:rFonts w:ascii="Book Antiqua" w:hAnsi="Book Antiqua"/>
          <w:color w:val="000000" w:themeColor="text1"/>
        </w:rPr>
        <w:t xml:space="preserve">, Nelles SE, Haber GB, Kim YI, Kortan PK. Electrohydraulic lithotripsy in 111 patients: a safe and effective therapy for difficult bile duct stones. </w:t>
      </w:r>
      <w:r w:rsidRPr="00A03975">
        <w:rPr>
          <w:rFonts w:ascii="Book Antiqua" w:hAnsi="Book Antiqua"/>
          <w:i/>
          <w:iCs/>
          <w:color w:val="000000" w:themeColor="text1"/>
        </w:rPr>
        <w:t>Am J Gastroenterol</w:t>
      </w:r>
      <w:r w:rsidRPr="00A03975">
        <w:rPr>
          <w:rFonts w:ascii="Book Antiqua" w:hAnsi="Book Antiqua"/>
          <w:color w:val="000000" w:themeColor="text1"/>
        </w:rPr>
        <w:t xml:space="preserve"> 2004; </w:t>
      </w:r>
      <w:r w:rsidRPr="00A03975">
        <w:rPr>
          <w:rFonts w:ascii="Book Antiqua" w:hAnsi="Book Antiqua"/>
          <w:b/>
          <w:bCs/>
          <w:color w:val="000000" w:themeColor="text1"/>
        </w:rPr>
        <w:t>99</w:t>
      </w:r>
      <w:r w:rsidRPr="00A03975">
        <w:rPr>
          <w:rFonts w:ascii="Book Antiqua" w:hAnsi="Book Antiqua"/>
          <w:color w:val="000000" w:themeColor="text1"/>
        </w:rPr>
        <w:t>: 2330-2334 [PMID: 15571578 DOI: 10.1111/j.1572-0241.2004.40251.x]</w:t>
      </w:r>
    </w:p>
    <w:p w14:paraId="1D1064F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147 </w:t>
      </w:r>
      <w:r w:rsidRPr="00A03975">
        <w:rPr>
          <w:rFonts w:ascii="Book Antiqua" w:hAnsi="Book Antiqua"/>
          <w:b/>
          <w:bCs/>
          <w:color w:val="000000" w:themeColor="text1"/>
        </w:rPr>
        <w:t>Neuhaus H</w:t>
      </w:r>
      <w:r w:rsidRPr="00A03975">
        <w:rPr>
          <w:rFonts w:ascii="Book Antiqua" w:hAnsi="Book Antiqua"/>
          <w:color w:val="000000" w:themeColor="text1"/>
        </w:rPr>
        <w:t>, Hoffmann W, Gottlieb K, Classen M. Endoscopic lithotripsy of bile duct stones using a new laser with automatic stone recognition.</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1994; </w:t>
      </w:r>
      <w:r w:rsidRPr="00A03975">
        <w:rPr>
          <w:rFonts w:ascii="Book Antiqua" w:hAnsi="Book Antiqua"/>
          <w:b/>
          <w:bCs/>
          <w:color w:val="000000" w:themeColor="text1"/>
        </w:rPr>
        <w:t>40</w:t>
      </w:r>
      <w:r w:rsidRPr="00A03975">
        <w:rPr>
          <w:rFonts w:ascii="Book Antiqua" w:hAnsi="Book Antiqua"/>
          <w:color w:val="000000" w:themeColor="text1"/>
        </w:rPr>
        <w:t>: 708-715 [PMID: 7859969]</w:t>
      </w:r>
    </w:p>
    <w:p w14:paraId="18FD54E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148 </w:t>
      </w:r>
      <w:r w:rsidRPr="00A03975">
        <w:rPr>
          <w:rFonts w:ascii="Book Antiqua" w:hAnsi="Book Antiqua"/>
          <w:b/>
          <w:bCs/>
          <w:color w:val="000000" w:themeColor="text1"/>
        </w:rPr>
        <w:t>Hochberger J</w:t>
      </w:r>
      <w:r w:rsidRPr="00A03975">
        <w:rPr>
          <w:rFonts w:ascii="Book Antiqua" w:hAnsi="Book Antiqua"/>
          <w:color w:val="000000" w:themeColor="text1"/>
        </w:rPr>
        <w:t>, Tex S, Maiss J, Hahn EG.</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Management of difficult common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Gastrointest Endosc Clin N Am</w:t>
      </w:r>
      <w:r w:rsidRPr="00A03975">
        <w:rPr>
          <w:rFonts w:ascii="Book Antiqua" w:hAnsi="Book Antiqua"/>
          <w:color w:val="000000" w:themeColor="text1"/>
        </w:rPr>
        <w:t xml:space="preserve"> 2003; </w:t>
      </w:r>
      <w:r w:rsidRPr="00A03975">
        <w:rPr>
          <w:rFonts w:ascii="Book Antiqua" w:hAnsi="Book Antiqua"/>
          <w:b/>
          <w:bCs/>
          <w:color w:val="000000" w:themeColor="text1"/>
        </w:rPr>
        <w:t>13</w:t>
      </w:r>
      <w:r w:rsidRPr="00A03975">
        <w:rPr>
          <w:rFonts w:ascii="Book Antiqua" w:hAnsi="Book Antiqua"/>
          <w:color w:val="000000" w:themeColor="text1"/>
        </w:rPr>
        <w:t>: 623-634 [PMID: 14986790 DOI: 10.1016/s1052-5157(03)00102-8]</w:t>
      </w:r>
    </w:p>
    <w:p w14:paraId="49AF1C93"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149 </w:t>
      </w:r>
      <w:r w:rsidRPr="00A03975">
        <w:rPr>
          <w:rFonts w:ascii="Book Antiqua" w:hAnsi="Book Antiqua"/>
          <w:b/>
          <w:bCs/>
          <w:color w:val="000000" w:themeColor="text1"/>
        </w:rPr>
        <w:t>Patel SN</w:t>
      </w:r>
      <w:r w:rsidRPr="00A03975">
        <w:rPr>
          <w:rFonts w:ascii="Book Antiqua" w:hAnsi="Book Antiqua"/>
          <w:color w:val="000000" w:themeColor="text1"/>
        </w:rPr>
        <w:t xml:space="preserve">, Rosenkranz L, Hooks B, Tarnasky PR, Raijman I, Fishman DS, Sauer BG, Kahaleh M. Holmium-yttrium aluminum garnet laser lithotripsy in the treatment of biliary calculi using single-operator cholangioscopy: a multicenter </w:t>
      </w:r>
      <w:r w:rsidRPr="00A03975">
        <w:rPr>
          <w:rFonts w:ascii="Book Antiqua" w:hAnsi="Book Antiqua"/>
          <w:color w:val="000000" w:themeColor="text1"/>
        </w:rPr>
        <w:lastRenderedPageBreak/>
        <w:t xml:space="preserve">experience (with video).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2014; </w:t>
      </w:r>
      <w:r w:rsidRPr="00A03975">
        <w:rPr>
          <w:rFonts w:ascii="Book Antiqua" w:hAnsi="Book Antiqua"/>
          <w:b/>
          <w:bCs/>
          <w:color w:val="000000" w:themeColor="text1"/>
        </w:rPr>
        <w:t>79</w:t>
      </w:r>
      <w:r w:rsidRPr="00A03975">
        <w:rPr>
          <w:rFonts w:ascii="Book Antiqua" w:hAnsi="Book Antiqua"/>
          <w:color w:val="000000" w:themeColor="text1"/>
        </w:rPr>
        <w:t>: 344-348 [PMID: 24268531 DOI: 10.1016/j.gie.2013.07.054]</w:t>
      </w:r>
    </w:p>
    <w:p w14:paraId="5DE81A81"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150 </w:t>
      </w:r>
      <w:r w:rsidRPr="00A03975">
        <w:rPr>
          <w:rFonts w:ascii="Book Antiqua" w:hAnsi="Book Antiqua"/>
          <w:b/>
          <w:bCs/>
          <w:color w:val="000000" w:themeColor="text1"/>
        </w:rPr>
        <w:t>Maydeo A</w:t>
      </w:r>
      <w:r w:rsidRPr="00A03975">
        <w:rPr>
          <w:rFonts w:ascii="Book Antiqua" w:hAnsi="Book Antiqua"/>
          <w:color w:val="000000" w:themeColor="text1"/>
        </w:rPr>
        <w:t xml:space="preserve">, Kwek BE, Bhandari S, Bapat M, Dhir V. Single-operator cholangioscopy-guided laser lithotripsy in patients with difficult biliary and pancreatic ductal stones (with videos). </w:t>
      </w:r>
      <w:r w:rsidRPr="00A03975">
        <w:rPr>
          <w:rFonts w:ascii="Book Antiqua" w:hAnsi="Book Antiqua"/>
          <w:i/>
          <w:iCs/>
          <w:color w:val="000000" w:themeColor="text1"/>
        </w:rPr>
        <w:t>Gastrointest Endosc</w:t>
      </w:r>
      <w:r w:rsidRPr="00A03975">
        <w:rPr>
          <w:rFonts w:ascii="Book Antiqua" w:hAnsi="Book Antiqua"/>
          <w:color w:val="000000" w:themeColor="text1"/>
        </w:rPr>
        <w:t xml:space="preserve"> 2011; </w:t>
      </w:r>
      <w:r w:rsidRPr="00A03975">
        <w:rPr>
          <w:rFonts w:ascii="Book Antiqua" w:hAnsi="Book Antiqua"/>
          <w:b/>
          <w:bCs/>
          <w:color w:val="000000" w:themeColor="text1"/>
        </w:rPr>
        <w:t>74</w:t>
      </w:r>
      <w:r w:rsidRPr="00A03975">
        <w:rPr>
          <w:rFonts w:ascii="Book Antiqua" w:hAnsi="Book Antiqua"/>
          <w:color w:val="000000" w:themeColor="text1"/>
        </w:rPr>
        <w:t>: 1308-1314 [PMID: 22136776 DOI: 10.1016/j.gie.2011.08.047]</w:t>
      </w:r>
    </w:p>
    <w:p w14:paraId="2C4D9E4E"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151 </w:t>
      </w:r>
      <w:r w:rsidRPr="00A03975">
        <w:rPr>
          <w:rFonts w:ascii="Book Antiqua" w:hAnsi="Book Antiqua"/>
          <w:b/>
          <w:bCs/>
          <w:color w:val="000000" w:themeColor="text1"/>
        </w:rPr>
        <w:t>Shim CS</w:t>
      </w:r>
      <w:r w:rsidRPr="00A03975">
        <w:rPr>
          <w:rFonts w:ascii="Book Antiqua" w:hAnsi="Book Antiqua"/>
          <w:color w:val="000000" w:themeColor="text1"/>
        </w:rPr>
        <w:t>.</w:t>
      </w:r>
      <w:proofErr w:type="gramEnd"/>
      <w:r w:rsidRPr="00A03975">
        <w:rPr>
          <w:rFonts w:ascii="Book Antiqua" w:hAnsi="Book Antiqua"/>
          <w:color w:val="000000" w:themeColor="text1"/>
        </w:rPr>
        <w:t xml:space="preserve"> How Should Biliary Stones be </w:t>
      </w:r>
      <w:proofErr w:type="gramStart"/>
      <w:r w:rsidRPr="00A03975">
        <w:rPr>
          <w:rFonts w:ascii="Book Antiqua" w:hAnsi="Book Antiqua"/>
          <w:color w:val="000000" w:themeColor="text1"/>
        </w:rPr>
        <w:t>Managed</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Gut Liver</w:t>
      </w:r>
      <w:r w:rsidRPr="00A03975">
        <w:rPr>
          <w:rFonts w:ascii="Book Antiqua" w:hAnsi="Book Antiqua"/>
          <w:color w:val="000000" w:themeColor="text1"/>
        </w:rPr>
        <w:t xml:space="preserve"> 2010; </w:t>
      </w:r>
      <w:r w:rsidRPr="00A03975">
        <w:rPr>
          <w:rFonts w:ascii="Book Antiqua" w:hAnsi="Book Antiqua"/>
          <w:b/>
          <w:bCs/>
          <w:color w:val="000000" w:themeColor="text1"/>
        </w:rPr>
        <w:t>4</w:t>
      </w:r>
      <w:r w:rsidRPr="00A03975">
        <w:rPr>
          <w:rFonts w:ascii="Book Antiqua" w:hAnsi="Book Antiqua"/>
          <w:color w:val="000000" w:themeColor="text1"/>
        </w:rPr>
        <w:t>: 161-172 [PMID: 20559517 DOI: 10.5009/gnl.2010.4.2.161]</w:t>
      </w:r>
    </w:p>
    <w:p w14:paraId="38BEEF3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152 </w:t>
      </w:r>
      <w:r w:rsidRPr="00A03975">
        <w:rPr>
          <w:rFonts w:ascii="Book Antiqua" w:hAnsi="Book Antiqua"/>
          <w:b/>
          <w:bCs/>
          <w:color w:val="000000" w:themeColor="text1"/>
        </w:rPr>
        <w:t>McHenry L</w:t>
      </w:r>
      <w:r w:rsidRPr="00A03975">
        <w:rPr>
          <w:rFonts w:ascii="Book Antiqua" w:hAnsi="Book Antiqua"/>
          <w:color w:val="000000" w:themeColor="text1"/>
        </w:rPr>
        <w:t>, Lehman G. Difficult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Curr Treat Options Gastroenterol</w:t>
      </w:r>
      <w:r w:rsidRPr="00A03975">
        <w:rPr>
          <w:rFonts w:ascii="Book Antiqua" w:hAnsi="Book Antiqua"/>
          <w:color w:val="000000" w:themeColor="text1"/>
        </w:rPr>
        <w:t xml:space="preserve"> 2006; </w:t>
      </w:r>
      <w:r w:rsidRPr="00A03975">
        <w:rPr>
          <w:rFonts w:ascii="Book Antiqua" w:hAnsi="Book Antiqua"/>
          <w:b/>
          <w:bCs/>
          <w:color w:val="000000" w:themeColor="text1"/>
        </w:rPr>
        <w:t>9</w:t>
      </w:r>
      <w:r w:rsidRPr="00A03975">
        <w:rPr>
          <w:rFonts w:ascii="Book Antiqua" w:hAnsi="Book Antiqua"/>
          <w:color w:val="000000" w:themeColor="text1"/>
        </w:rPr>
        <w:t>: 123-132 [PMID: 16539873 DOI: 10.1007/s11938-006-0031-6]</w:t>
      </w:r>
    </w:p>
    <w:p w14:paraId="0FEB61B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A03975">
        <w:rPr>
          <w:rFonts w:ascii="Book Antiqua" w:hAnsi="Book Antiqua"/>
          <w:color w:val="000000" w:themeColor="text1"/>
        </w:rPr>
        <w:t xml:space="preserve">153 </w:t>
      </w:r>
      <w:r w:rsidRPr="00A03975">
        <w:rPr>
          <w:rFonts w:ascii="Book Antiqua" w:hAnsi="Book Antiqua"/>
          <w:b/>
          <w:bCs/>
          <w:color w:val="000000" w:themeColor="text1"/>
        </w:rPr>
        <w:t>Trikudanathan G</w:t>
      </w:r>
      <w:r w:rsidRPr="00A03975">
        <w:rPr>
          <w:rFonts w:ascii="Book Antiqua" w:hAnsi="Book Antiqua"/>
          <w:color w:val="000000" w:themeColor="text1"/>
        </w:rPr>
        <w:t>, Navaneethan U, Parsi MA.</w:t>
      </w:r>
      <w:proofErr w:type="gramEnd"/>
      <w:r w:rsidRPr="00A03975">
        <w:rPr>
          <w:rFonts w:ascii="Book Antiqua" w:hAnsi="Book Antiqua"/>
          <w:color w:val="000000" w:themeColor="text1"/>
        </w:rPr>
        <w:t xml:space="preserve"> </w:t>
      </w:r>
      <w:proofErr w:type="gramStart"/>
      <w:r w:rsidRPr="00A03975">
        <w:rPr>
          <w:rFonts w:ascii="Book Antiqua" w:hAnsi="Book Antiqua"/>
          <w:color w:val="000000" w:themeColor="text1"/>
        </w:rPr>
        <w:t>Endoscopic management of difficult common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World J Gastroenterol</w:t>
      </w:r>
      <w:r w:rsidRPr="00A03975">
        <w:rPr>
          <w:rFonts w:ascii="Book Antiqua" w:hAnsi="Book Antiqua"/>
          <w:color w:val="000000" w:themeColor="text1"/>
        </w:rPr>
        <w:t xml:space="preserve"> 2013; </w:t>
      </w:r>
      <w:r w:rsidRPr="00A03975">
        <w:rPr>
          <w:rFonts w:ascii="Book Antiqua" w:hAnsi="Book Antiqua"/>
          <w:b/>
          <w:bCs/>
          <w:color w:val="000000" w:themeColor="text1"/>
        </w:rPr>
        <w:t>19</w:t>
      </w:r>
      <w:r w:rsidRPr="00A03975">
        <w:rPr>
          <w:rFonts w:ascii="Book Antiqua" w:hAnsi="Book Antiqua"/>
          <w:color w:val="000000" w:themeColor="text1"/>
        </w:rPr>
        <w:t>: 165-173 [PMID: 23345939 DOI: 10.3748/wjg.v19.i2.165]</w:t>
      </w:r>
    </w:p>
    <w:p w14:paraId="540FF8A0"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154 </w:t>
      </w:r>
      <w:r w:rsidRPr="00A03975">
        <w:rPr>
          <w:rFonts w:ascii="Book Antiqua" w:hAnsi="Book Antiqua"/>
          <w:b/>
          <w:bCs/>
          <w:color w:val="000000" w:themeColor="text1"/>
        </w:rPr>
        <w:t>Conigliaro R</w:t>
      </w:r>
      <w:r w:rsidRPr="00A03975">
        <w:rPr>
          <w:rFonts w:ascii="Book Antiqua" w:hAnsi="Book Antiqua"/>
          <w:color w:val="000000" w:themeColor="text1"/>
        </w:rPr>
        <w:t xml:space="preserve">, Camellini L, Zuliani CG, Sassatelli R, Mortilla MG, Bertoni G, Formisano D, Bedogni G. Clearance of irretrievable bile duct and pancreatic duct stones by extracorporeal shockwave lithotripsy, using a transportable device: effectiveness and medium-term results. </w:t>
      </w:r>
      <w:r w:rsidRPr="00A03975">
        <w:rPr>
          <w:rFonts w:ascii="Book Antiqua" w:hAnsi="Book Antiqua"/>
          <w:i/>
          <w:iCs/>
          <w:color w:val="000000" w:themeColor="text1"/>
        </w:rPr>
        <w:t>J Clin Gastroenterol</w:t>
      </w:r>
      <w:r w:rsidRPr="00A03975">
        <w:rPr>
          <w:rFonts w:ascii="Book Antiqua" w:hAnsi="Book Antiqua"/>
          <w:color w:val="000000" w:themeColor="text1"/>
        </w:rPr>
        <w:t xml:space="preserve"> 2006; </w:t>
      </w:r>
      <w:r w:rsidRPr="00A03975">
        <w:rPr>
          <w:rFonts w:ascii="Book Antiqua" w:hAnsi="Book Antiqua"/>
          <w:b/>
          <w:bCs/>
          <w:color w:val="000000" w:themeColor="text1"/>
        </w:rPr>
        <w:t>40</w:t>
      </w:r>
      <w:r w:rsidRPr="00A03975">
        <w:rPr>
          <w:rFonts w:ascii="Book Antiqua" w:hAnsi="Book Antiqua"/>
          <w:color w:val="000000" w:themeColor="text1"/>
        </w:rPr>
        <w:t>: 213-219 [PMID: 16633122 DOI: 10.1097/00004836-200603000-00008]</w:t>
      </w:r>
    </w:p>
    <w:p w14:paraId="03C201D9"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155 </w:t>
      </w:r>
      <w:r w:rsidRPr="00A03975">
        <w:rPr>
          <w:rFonts w:ascii="Book Antiqua" w:hAnsi="Book Antiqua"/>
          <w:b/>
          <w:bCs/>
          <w:color w:val="000000" w:themeColor="text1"/>
        </w:rPr>
        <w:t>Chang WH</w:t>
      </w:r>
      <w:r w:rsidRPr="00A03975">
        <w:rPr>
          <w:rFonts w:ascii="Book Antiqua" w:hAnsi="Book Antiqua"/>
          <w:color w:val="000000" w:themeColor="text1"/>
        </w:rPr>
        <w:t xml:space="preserve">, Chu CH, Wang TE, Chen MJ, Lin CC. Outcome of simple use of mechanical lithotripsy of difficult common bile duct stones. </w:t>
      </w:r>
      <w:r w:rsidRPr="00A03975">
        <w:rPr>
          <w:rFonts w:ascii="Book Antiqua" w:hAnsi="Book Antiqua"/>
          <w:i/>
          <w:iCs/>
          <w:color w:val="000000" w:themeColor="text1"/>
        </w:rPr>
        <w:t>World J Gastroenterol</w:t>
      </w:r>
      <w:r w:rsidRPr="00A03975">
        <w:rPr>
          <w:rFonts w:ascii="Book Antiqua" w:hAnsi="Book Antiqua"/>
          <w:color w:val="000000" w:themeColor="text1"/>
        </w:rPr>
        <w:t xml:space="preserve"> 2005; </w:t>
      </w:r>
      <w:r w:rsidRPr="00A03975">
        <w:rPr>
          <w:rFonts w:ascii="Book Antiqua" w:hAnsi="Book Antiqua"/>
          <w:b/>
          <w:bCs/>
          <w:color w:val="000000" w:themeColor="text1"/>
        </w:rPr>
        <w:t>11</w:t>
      </w:r>
      <w:r w:rsidRPr="00A03975">
        <w:rPr>
          <w:rFonts w:ascii="Book Antiqua" w:hAnsi="Book Antiqua"/>
          <w:color w:val="000000" w:themeColor="text1"/>
        </w:rPr>
        <w:t>: 593-596 [PMID: 15641153 DOI: 10.3748/wjg.v11.i4.593]</w:t>
      </w:r>
    </w:p>
    <w:p w14:paraId="44CD8EA4"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156 </w:t>
      </w:r>
      <w:r w:rsidRPr="00A03975">
        <w:rPr>
          <w:rFonts w:ascii="Book Antiqua" w:hAnsi="Book Antiqua"/>
          <w:b/>
          <w:bCs/>
          <w:color w:val="000000" w:themeColor="text1"/>
        </w:rPr>
        <w:t>Alexakis N</w:t>
      </w:r>
      <w:r w:rsidRPr="00A03975">
        <w:rPr>
          <w:rFonts w:ascii="Book Antiqua" w:hAnsi="Book Antiqua"/>
          <w:color w:val="000000" w:themeColor="text1"/>
        </w:rPr>
        <w:t xml:space="preserve">, Connor S. Meta-analysis of one- vs. two-stage laparoscopic/endoscopic management of common bile duct stones. </w:t>
      </w:r>
      <w:r w:rsidRPr="00A03975">
        <w:rPr>
          <w:rFonts w:ascii="Book Antiqua" w:hAnsi="Book Antiqua"/>
          <w:i/>
          <w:iCs/>
          <w:color w:val="000000" w:themeColor="text1"/>
        </w:rPr>
        <w:t>HPB (Oxford)</w:t>
      </w:r>
      <w:r w:rsidRPr="00A03975">
        <w:rPr>
          <w:rFonts w:ascii="Book Antiqua" w:hAnsi="Book Antiqua"/>
          <w:color w:val="000000" w:themeColor="text1"/>
        </w:rPr>
        <w:t xml:space="preserve"> 2012; </w:t>
      </w:r>
      <w:r w:rsidRPr="00A03975">
        <w:rPr>
          <w:rFonts w:ascii="Book Antiqua" w:hAnsi="Book Antiqua"/>
          <w:b/>
          <w:bCs/>
          <w:color w:val="000000" w:themeColor="text1"/>
        </w:rPr>
        <w:t>14</w:t>
      </w:r>
      <w:r w:rsidRPr="00A03975">
        <w:rPr>
          <w:rFonts w:ascii="Book Antiqua" w:hAnsi="Book Antiqua"/>
          <w:color w:val="000000" w:themeColor="text1"/>
        </w:rPr>
        <w:t>: 254-259 [PMID: 22404264 DOI: 10.1111/j.1477-2574.2012.00439.x]</w:t>
      </w:r>
    </w:p>
    <w:p w14:paraId="1CE5F4E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157 </w:t>
      </w:r>
      <w:r w:rsidRPr="00A03975">
        <w:rPr>
          <w:rFonts w:ascii="Book Antiqua" w:hAnsi="Book Antiqua"/>
          <w:b/>
          <w:bCs/>
          <w:color w:val="000000" w:themeColor="text1"/>
        </w:rPr>
        <w:t>Lu J</w:t>
      </w:r>
      <w:r w:rsidRPr="00A03975">
        <w:rPr>
          <w:rFonts w:ascii="Book Antiqua" w:hAnsi="Book Antiqua"/>
          <w:color w:val="000000" w:themeColor="text1"/>
        </w:rPr>
        <w:t xml:space="preserve">, Cheng Y, Xiong XZ, Lin YX, Wu SJ, Cheng NS. </w:t>
      </w:r>
      <w:proofErr w:type="gramStart"/>
      <w:r w:rsidRPr="00A03975">
        <w:rPr>
          <w:rFonts w:ascii="Book Antiqua" w:hAnsi="Book Antiqua"/>
          <w:color w:val="000000" w:themeColor="text1"/>
        </w:rPr>
        <w:t>Two-stage vs single-stage management for concomitant gallstones and common bile duct stones.</w:t>
      </w:r>
      <w:proofErr w:type="gramEnd"/>
      <w:r w:rsidRPr="00A03975">
        <w:rPr>
          <w:rFonts w:ascii="Book Antiqua" w:hAnsi="Book Antiqua"/>
          <w:color w:val="000000" w:themeColor="text1"/>
        </w:rPr>
        <w:t xml:space="preserve"> </w:t>
      </w:r>
      <w:r w:rsidRPr="00A03975">
        <w:rPr>
          <w:rFonts w:ascii="Book Antiqua" w:hAnsi="Book Antiqua"/>
          <w:i/>
          <w:iCs/>
          <w:color w:val="000000" w:themeColor="text1"/>
        </w:rPr>
        <w:t>World J Gastroenterol</w:t>
      </w:r>
      <w:r w:rsidRPr="00A03975">
        <w:rPr>
          <w:rFonts w:ascii="Book Antiqua" w:hAnsi="Book Antiqua"/>
          <w:color w:val="000000" w:themeColor="text1"/>
        </w:rPr>
        <w:t xml:space="preserve"> 2012; </w:t>
      </w:r>
      <w:r w:rsidRPr="00A03975">
        <w:rPr>
          <w:rFonts w:ascii="Book Antiqua" w:hAnsi="Book Antiqua"/>
          <w:b/>
          <w:bCs/>
          <w:color w:val="000000" w:themeColor="text1"/>
        </w:rPr>
        <w:t>18</w:t>
      </w:r>
      <w:r w:rsidRPr="00A03975">
        <w:rPr>
          <w:rFonts w:ascii="Book Antiqua" w:hAnsi="Book Antiqua"/>
          <w:color w:val="000000" w:themeColor="text1"/>
        </w:rPr>
        <w:t>: 3156-3166 [PMID: 22791952 DOI: 10.3748/wjg.v18.i24.3156]</w:t>
      </w:r>
    </w:p>
    <w:p w14:paraId="3CF04AA2" w14:textId="77777777" w:rsidR="000A3E5C" w:rsidRPr="00A03975" w:rsidRDefault="000A3E5C">
      <w:pPr>
        <w:pStyle w:val="a7"/>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03975">
        <w:rPr>
          <w:rFonts w:ascii="Book Antiqua" w:hAnsi="Book Antiqua"/>
          <w:color w:val="000000" w:themeColor="text1"/>
        </w:rPr>
        <w:t xml:space="preserve">158 </w:t>
      </w:r>
      <w:r w:rsidRPr="00A03975">
        <w:rPr>
          <w:rFonts w:ascii="Book Antiqua" w:hAnsi="Book Antiqua"/>
          <w:b/>
          <w:bCs/>
          <w:color w:val="000000" w:themeColor="text1"/>
        </w:rPr>
        <w:t>Zhu JG</w:t>
      </w:r>
      <w:r w:rsidRPr="00A03975">
        <w:rPr>
          <w:rFonts w:ascii="Book Antiqua" w:hAnsi="Book Antiqua"/>
          <w:color w:val="000000" w:themeColor="text1"/>
        </w:rPr>
        <w:t xml:space="preserve">, Wu S, Feng Q, Li F, Han W, Xiu D, Tan H, Fu J, Li X, Shang D, Liu H, Li B, Yang L, Kong Y, Zhan S, Guo W, Zhang ZT. Protocol for the CREST Choles (Chinese REgistry Study on Treatment of Cholecysto-Choledocholithiasis) study: an </w:t>
      </w:r>
      <w:r w:rsidRPr="00A03975">
        <w:rPr>
          <w:rFonts w:ascii="Book Antiqua" w:hAnsi="Book Antiqua"/>
          <w:color w:val="000000" w:themeColor="text1"/>
        </w:rPr>
        <w:lastRenderedPageBreak/>
        <w:t xml:space="preserve">ambispective, multicenter, observational, open-cohort study. </w:t>
      </w:r>
      <w:r w:rsidRPr="00A03975">
        <w:rPr>
          <w:rFonts w:ascii="Book Antiqua" w:hAnsi="Book Antiqua"/>
          <w:i/>
          <w:iCs/>
          <w:color w:val="000000" w:themeColor="text1"/>
        </w:rPr>
        <w:t>BMJ Open</w:t>
      </w:r>
      <w:r w:rsidRPr="00A03975">
        <w:rPr>
          <w:rFonts w:ascii="Book Antiqua" w:hAnsi="Book Antiqua"/>
          <w:color w:val="000000" w:themeColor="text1"/>
        </w:rPr>
        <w:t xml:space="preserve"> 2019; </w:t>
      </w:r>
      <w:r w:rsidRPr="00A03975">
        <w:rPr>
          <w:rFonts w:ascii="Book Antiqua" w:hAnsi="Book Antiqua"/>
          <w:b/>
          <w:bCs/>
          <w:color w:val="000000" w:themeColor="text1"/>
        </w:rPr>
        <w:t>9</w:t>
      </w:r>
      <w:r w:rsidRPr="00A03975">
        <w:rPr>
          <w:rFonts w:ascii="Book Antiqua" w:hAnsi="Book Antiqua"/>
          <w:color w:val="000000" w:themeColor="text1"/>
        </w:rPr>
        <w:t>: e030293 [PMID: 31767583 DOI: 10.1136/bmjopen-2019-030293]</w:t>
      </w:r>
    </w:p>
    <w:p w14:paraId="696BFC18" w14:textId="77777777" w:rsidR="000A3E5C" w:rsidRPr="00A03975" w:rsidRDefault="000A3E5C">
      <w:pPr>
        <w:adjustRightInd w:val="0"/>
        <w:snapToGrid w:val="0"/>
        <w:spacing w:line="360" w:lineRule="auto"/>
        <w:jc w:val="both"/>
        <w:rPr>
          <w:rFonts w:ascii="Book Antiqua" w:eastAsia="Book Antiqua" w:hAnsi="Book Antiqua"/>
          <w:b/>
          <w:color w:val="000000" w:themeColor="text1"/>
          <w:sz w:val="24"/>
          <w:szCs w:val="24"/>
          <w:lang w:val="en-GB"/>
        </w:rPr>
      </w:pPr>
      <w:r w:rsidRPr="00A03975">
        <w:rPr>
          <w:rFonts w:ascii="Book Antiqua" w:eastAsia="Book Antiqua" w:hAnsi="Book Antiqua"/>
          <w:b/>
          <w:color w:val="000000" w:themeColor="text1"/>
          <w:sz w:val="24"/>
          <w:szCs w:val="24"/>
          <w:lang w:val="en-GB"/>
        </w:rPr>
        <w:br w:type="page"/>
      </w:r>
      <w:r w:rsidRPr="00A03975">
        <w:rPr>
          <w:rFonts w:ascii="Book Antiqua" w:eastAsia="Book Antiqua" w:hAnsi="Book Antiqua"/>
          <w:b/>
          <w:color w:val="000000" w:themeColor="text1"/>
          <w:sz w:val="24"/>
          <w:szCs w:val="24"/>
          <w:lang w:val="en-GB"/>
        </w:rPr>
        <w:lastRenderedPageBreak/>
        <w:t>Footnotes</w:t>
      </w:r>
    </w:p>
    <w:p w14:paraId="6EB31D5A" w14:textId="77777777" w:rsidR="000A3E5C" w:rsidRPr="00A03975" w:rsidRDefault="000A3E5C">
      <w:pPr>
        <w:adjustRightInd w:val="0"/>
        <w:snapToGrid w:val="0"/>
        <w:spacing w:line="360" w:lineRule="auto"/>
        <w:jc w:val="both"/>
        <w:rPr>
          <w:rFonts w:ascii="Book Antiqua" w:eastAsia="Book Antiqua" w:hAnsi="Book Antiqua"/>
          <w:color w:val="000000" w:themeColor="text1"/>
          <w:sz w:val="24"/>
          <w:szCs w:val="24"/>
          <w:lang w:val="en-GB"/>
        </w:rPr>
      </w:pPr>
      <w:r w:rsidRPr="00A03975">
        <w:rPr>
          <w:rFonts w:ascii="Book Antiqua" w:eastAsia="Book Antiqua" w:hAnsi="Book Antiqua"/>
          <w:b/>
          <w:color w:val="000000" w:themeColor="text1"/>
          <w:sz w:val="24"/>
          <w:szCs w:val="24"/>
          <w:lang w:val="en-GB"/>
        </w:rPr>
        <w:t xml:space="preserve">Conflict-of-interest statement: </w:t>
      </w:r>
      <w:r w:rsidRPr="00A03975">
        <w:rPr>
          <w:rFonts w:ascii="Book Antiqua" w:eastAsia="Book Antiqua" w:hAnsi="Book Antiqua"/>
          <w:color w:val="000000" w:themeColor="text1"/>
          <w:sz w:val="24"/>
          <w:szCs w:val="24"/>
          <w:lang w:val="en-GB"/>
        </w:rPr>
        <w:t>The authors declare that they have no conflict of interests for this article.</w:t>
      </w:r>
    </w:p>
    <w:p w14:paraId="6879F077" w14:textId="77777777" w:rsidR="000A3E5C" w:rsidRPr="00A03975" w:rsidRDefault="000A3E5C">
      <w:pPr>
        <w:adjustRightInd w:val="0"/>
        <w:snapToGrid w:val="0"/>
        <w:spacing w:line="360" w:lineRule="auto"/>
        <w:jc w:val="both"/>
        <w:rPr>
          <w:rFonts w:ascii="Book Antiqua" w:eastAsia="Book Antiqua" w:hAnsi="Book Antiqua"/>
          <w:color w:val="000000" w:themeColor="text1"/>
          <w:sz w:val="24"/>
          <w:szCs w:val="24"/>
          <w:lang w:val="en-GB"/>
        </w:rPr>
      </w:pPr>
    </w:p>
    <w:p w14:paraId="290AFF4A" w14:textId="77777777" w:rsidR="000A3E5C" w:rsidRPr="00A03975" w:rsidRDefault="000A3E5C">
      <w:pPr>
        <w:adjustRightInd w:val="0"/>
        <w:snapToGrid w:val="0"/>
        <w:spacing w:line="360" w:lineRule="auto"/>
        <w:jc w:val="both"/>
        <w:rPr>
          <w:rFonts w:ascii="Book Antiqua" w:hAnsi="Book Antiqua"/>
          <w:color w:val="000000" w:themeColor="text1"/>
          <w:sz w:val="24"/>
          <w:szCs w:val="24"/>
          <w:lang w:val="en-GB"/>
        </w:rPr>
      </w:pPr>
      <w:bookmarkStart w:id="1" w:name="OLE_LINK507"/>
      <w:bookmarkStart w:id="2" w:name="OLE_LINK479"/>
      <w:bookmarkStart w:id="3" w:name="OLE_LINK506"/>
      <w:bookmarkStart w:id="4" w:name="OLE_LINK496"/>
      <w:r w:rsidRPr="00A03975">
        <w:rPr>
          <w:rFonts w:ascii="Book Antiqua" w:hAnsi="Book Antiqua"/>
          <w:b/>
          <w:color w:val="000000" w:themeColor="text1"/>
          <w:sz w:val="24"/>
          <w:szCs w:val="24"/>
          <w:lang w:val="en-GB"/>
        </w:rPr>
        <w:t xml:space="preserve">Open-Access: </w:t>
      </w:r>
      <w:bookmarkEnd w:id="1"/>
      <w:bookmarkEnd w:id="2"/>
      <w:bookmarkEnd w:id="3"/>
      <w:bookmarkEnd w:id="4"/>
      <w:r w:rsidRPr="00A03975">
        <w:rPr>
          <w:rFonts w:ascii="Book Antiqua" w:hAnsi="Book Antiqua"/>
          <w:color w:val="000000" w:themeColor="text1"/>
          <w:sz w:val="24"/>
          <w:szCs w:val="24"/>
          <w:lang w:val="en-GB"/>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hyperlink r:id="rId8" w:tgtFrame="_blank" w:history="1">
        <w:r w:rsidRPr="00A03975">
          <w:rPr>
            <w:rStyle w:val="ab"/>
            <w:rFonts w:ascii="Book Antiqua" w:hAnsi="Book Antiqua"/>
            <w:color w:val="000000" w:themeColor="text1"/>
            <w:sz w:val="24"/>
            <w:szCs w:val="24"/>
            <w:lang w:val="en-GB"/>
          </w:rPr>
          <w:t>http://creativecommons.org/licenses/by-nc/4.0/</w:t>
        </w:r>
      </w:hyperlink>
      <w:r w:rsidRPr="00A03975">
        <w:rPr>
          <w:rFonts w:ascii="Book Antiqua" w:hAnsi="Book Antiqua"/>
          <w:color w:val="000000" w:themeColor="text1"/>
          <w:sz w:val="24"/>
          <w:szCs w:val="24"/>
          <w:lang w:val="en-GB"/>
        </w:rPr>
        <w:t>.</w:t>
      </w:r>
    </w:p>
    <w:p w14:paraId="25F08F9A" w14:textId="77777777" w:rsidR="000A3E5C" w:rsidRPr="00A03975" w:rsidRDefault="000A3E5C">
      <w:pPr>
        <w:adjustRightInd w:val="0"/>
        <w:snapToGrid w:val="0"/>
        <w:spacing w:line="360" w:lineRule="auto"/>
        <w:jc w:val="both"/>
        <w:rPr>
          <w:rFonts w:ascii="Book Antiqua" w:eastAsia="Book Antiqua" w:hAnsi="Book Antiqua"/>
          <w:color w:val="000000" w:themeColor="text1"/>
          <w:sz w:val="24"/>
          <w:szCs w:val="24"/>
          <w:lang w:val="en-GB"/>
        </w:rPr>
      </w:pPr>
    </w:p>
    <w:p w14:paraId="18C1D8FF" w14:textId="77777777" w:rsidR="000A3E5C" w:rsidRPr="00A03975" w:rsidRDefault="000A3E5C">
      <w:pPr>
        <w:adjustRightInd w:val="0"/>
        <w:snapToGrid w:val="0"/>
        <w:spacing w:line="360" w:lineRule="auto"/>
        <w:jc w:val="both"/>
        <w:rPr>
          <w:rFonts w:ascii="Book Antiqua" w:hAnsi="Book Antiqua"/>
          <w:color w:val="000000" w:themeColor="text1"/>
          <w:sz w:val="24"/>
          <w:szCs w:val="24"/>
          <w:shd w:val="clear" w:color="auto" w:fill="FFFFFF"/>
          <w:lang w:val="en-GB"/>
        </w:rPr>
      </w:pPr>
      <w:r w:rsidRPr="00A03975">
        <w:rPr>
          <w:rFonts w:ascii="Book Antiqua" w:eastAsia="宋体" w:hAnsi="Book Antiqua"/>
          <w:b/>
          <w:color w:val="000000" w:themeColor="text1"/>
          <w:sz w:val="24"/>
          <w:szCs w:val="24"/>
          <w:lang w:val="en-GB"/>
        </w:rPr>
        <w:t>Manuscript source:</w:t>
      </w:r>
      <w:r w:rsidRPr="00A03975">
        <w:rPr>
          <w:rFonts w:ascii="Book Antiqua" w:eastAsia="宋体" w:hAnsi="Book Antiqua"/>
          <w:color w:val="000000" w:themeColor="text1"/>
          <w:sz w:val="24"/>
          <w:szCs w:val="24"/>
          <w:lang w:val="en-GB"/>
        </w:rPr>
        <w:t xml:space="preserve"> </w:t>
      </w:r>
      <w:r w:rsidRPr="00A03975">
        <w:rPr>
          <w:rFonts w:ascii="Book Antiqua" w:hAnsi="Book Antiqua"/>
          <w:color w:val="000000" w:themeColor="text1"/>
          <w:sz w:val="24"/>
          <w:szCs w:val="24"/>
          <w:shd w:val="clear" w:color="auto" w:fill="FFFFFF"/>
          <w:lang w:val="en-GB"/>
        </w:rPr>
        <w:t xml:space="preserve">Invited manuscript </w:t>
      </w:r>
    </w:p>
    <w:p w14:paraId="5FAE5E24" w14:textId="77777777" w:rsidR="000A3E5C" w:rsidRPr="00A03975" w:rsidRDefault="000A3E5C">
      <w:pPr>
        <w:adjustRightInd w:val="0"/>
        <w:snapToGrid w:val="0"/>
        <w:spacing w:line="360" w:lineRule="auto"/>
        <w:jc w:val="both"/>
        <w:rPr>
          <w:rFonts w:ascii="Book Antiqua" w:hAnsi="Book Antiqua"/>
          <w:color w:val="000000" w:themeColor="text1"/>
          <w:sz w:val="24"/>
          <w:szCs w:val="24"/>
          <w:shd w:val="clear" w:color="auto" w:fill="FFFFFF"/>
          <w:lang w:val="en-GB"/>
        </w:rPr>
      </w:pPr>
    </w:p>
    <w:p w14:paraId="3F5E6B10" w14:textId="77777777" w:rsidR="000A3E5C" w:rsidRPr="00A03975" w:rsidRDefault="000A3E5C">
      <w:pPr>
        <w:pStyle w:val="a3"/>
        <w:adjustRightInd w:val="0"/>
        <w:snapToGrid w:val="0"/>
        <w:spacing w:line="360" w:lineRule="auto"/>
        <w:jc w:val="both"/>
        <w:rPr>
          <w:rFonts w:ascii="Book Antiqua" w:hAnsi="Book Antiqua"/>
          <w:color w:val="000000" w:themeColor="text1"/>
          <w:sz w:val="24"/>
          <w:szCs w:val="24"/>
          <w:lang w:val="en-GB"/>
        </w:rPr>
      </w:pPr>
      <w:r w:rsidRPr="00A03975">
        <w:rPr>
          <w:rFonts w:ascii="Book Antiqua" w:eastAsia="Book Antiqua" w:hAnsi="Book Antiqua" w:cs="Book Antiqua"/>
          <w:b/>
          <w:color w:val="000000" w:themeColor="text1"/>
          <w:sz w:val="24"/>
          <w:szCs w:val="24"/>
          <w:lang w:val="en-GB"/>
        </w:rPr>
        <w:t xml:space="preserve">Corresponding Author's Membership in Professional Societies: </w:t>
      </w:r>
      <w:r w:rsidRPr="00A03975">
        <w:rPr>
          <w:rFonts w:ascii="Book Antiqua" w:hAnsi="Book Antiqua"/>
          <w:color w:val="000000" w:themeColor="text1"/>
          <w:sz w:val="24"/>
          <w:szCs w:val="24"/>
          <w:lang w:val="en-GB"/>
        </w:rPr>
        <w:t>The European Association of Endoscopic Surgery; Società Italiana di Chirurgia Endoscopica e nuove Tecnologie; Associazione dei Chirurghi Ospedalieri Italiani; and Associate of American College of Surgeons.</w:t>
      </w:r>
    </w:p>
    <w:p w14:paraId="243E1271" w14:textId="77777777" w:rsidR="000A3E5C" w:rsidRPr="00A03975" w:rsidRDefault="000A3E5C">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snapToGrid w:val="0"/>
        <w:spacing w:line="360" w:lineRule="auto"/>
        <w:jc w:val="both"/>
        <w:rPr>
          <w:rFonts w:ascii="Book Antiqua" w:eastAsia="Book Antiqua" w:hAnsi="Book Antiqua" w:cs="Book Antiqua"/>
          <w:b/>
          <w:color w:val="000000" w:themeColor="text1"/>
          <w:sz w:val="24"/>
          <w:szCs w:val="24"/>
          <w:lang w:val="en-GB"/>
        </w:rPr>
      </w:pPr>
    </w:p>
    <w:p w14:paraId="7C56336B" w14:textId="77777777" w:rsidR="000A3E5C" w:rsidRPr="00A03975" w:rsidRDefault="000A3E5C">
      <w:pPr>
        <w:spacing w:line="360" w:lineRule="auto"/>
        <w:jc w:val="both"/>
        <w:rPr>
          <w:color w:val="000000" w:themeColor="text1"/>
        </w:rPr>
      </w:pPr>
      <w:bookmarkStart w:id="5" w:name="page23"/>
      <w:bookmarkStart w:id="6" w:name="page18"/>
      <w:bookmarkEnd w:id="5"/>
      <w:bookmarkEnd w:id="6"/>
      <w:r w:rsidRPr="00A03975">
        <w:rPr>
          <w:rFonts w:ascii="Book Antiqua" w:eastAsia="Book Antiqua" w:hAnsi="Book Antiqua" w:cs="Book Antiqua"/>
          <w:b/>
          <w:color w:val="000000" w:themeColor="text1"/>
          <w:sz w:val="24"/>
        </w:rPr>
        <w:t xml:space="preserve">Peer-review started: </w:t>
      </w:r>
      <w:r w:rsidRPr="00A03975">
        <w:rPr>
          <w:rFonts w:ascii="Book Antiqua" w:eastAsia="Book Antiqua" w:hAnsi="Book Antiqua" w:cs="Book Antiqua"/>
          <w:color w:val="000000" w:themeColor="text1"/>
          <w:sz w:val="24"/>
        </w:rPr>
        <w:t>January 24, 2021</w:t>
      </w:r>
    </w:p>
    <w:p w14:paraId="11FF7CD2"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t xml:space="preserve">First decision: </w:t>
      </w:r>
      <w:r w:rsidRPr="00A03975">
        <w:rPr>
          <w:rFonts w:ascii="Book Antiqua" w:eastAsia="Book Antiqua" w:hAnsi="Book Antiqua" w:cs="Book Antiqua"/>
          <w:color w:val="000000" w:themeColor="text1"/>
          <w:sz w:val="24"/>
        </w:rPr>
        <w:t>March 7, 2021</w:t>
      </w:r>
    </w:p>
    <w:p w14:paraId="11643BF7"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t xml:space="preserve">Article in press: </w:t>
      </w:r>
      <w:r w:rsidR="00362A6D" w:rsidRPr="00A03975">
        <w:rPr>
          <w:rFonts w:ascii="Book Antiqua" w:eastAsia="Book Antiqua" w:hAnsi="Book Antiqua" w:cs="Book Antiqua"/>
          <w:bCs/>
          <w:color w:val="000000" w:themeColor="text1"/>
          <w:sz w:val="24"/>
        </w:rPr>
        <w:t>June 25, 2021</w:t>
      </w:r>
    </w:p>
    <w:p w14:paraId="4D5D24A2" w14:textId="77777777" w:rsidR="000A3E5C" w:rsidRPr="00A03975" w:rsidRDefault="000A3E5C">
      <w:pPr>
        <w:spacing w:line="360" w:lineRule="auto"/>
        <w:jc w:val="both"/>
        <w:rPr>
          <w:color w:val="000000" w:themeColor="text1"/>
        </w:rPr>
      </w:pPr>
    </w:p>
    <w:p w14:paraId="095333A5"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t xml:space="preserve">Specialty type: </w:t>
      </w:r>
      <w:r w:rsidRPr="00A03975">
        <w:rPr>
          <w:rFonts w:ascii="Book Antiqua" w:eastAsia="Book Antiqua" w:hAnsi="Book Antiqua" w:cs="Book Antiqua"/>
          <w:color w:val="000000" w:themeColor="text1"/>
          <w:sz w:val="24"/>
        </w:rPr>
        <w:t>Gastroenterology and hepatology</w:t>
      </w:r>
    </w:p>
    <w:p w14:paraId="57F0FDC8"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t xml:space="preserve">Country/Territory of origin: </w:t>
      </w:r>
      <w:r w:rsidRPr="00A03975">
        <w:rPr>
          <w:rFonts w:ascii="Book Antiqua" w:eastAsia="Book Antiqua" w:hAnsi="Book Antiqua" w:cs="Book Antiqua"/>
          <w:color w:val="000000" w:themeColor="text1"/>
          <w:sz w:val="24"/>
        </w:rPr>
        <w:t>Italy</w:t>
      </w:r>
    </w:p>
    <w:p w14:paraId="5344CE60"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b/>
          <w:color w:val="000000" w:themeColor="text1"/>
          <w:sz w:val="24"/>
        </w:rPr>
        <w:t>Peer-review report’s scientific quality classification</w:t>
      </w:r>
    </w:p>
    <w:p w14:paraId="11AE2839"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Grade A (Excellent): A</w:t>
      </w:r>
    </w:p>
    <w:p w14:paraId="6149C309"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Grade B (Very good): B</w:t>
      </w:r>
    </w:p>
    <w:p w14:paraId="65CC102D"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Grade C (Good): C, C</w:t>
      </w:r>
    </w:p>
    <w:p w14:paraId="60957B5E"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Grade D (Fair): D</w:t>
      </w:r>
    </w:p>
    <w:p w14:paraId="61AAAA00" w14:textId="77777777" w:rsidR="000A3E5C" w:rsidRPr="00A03975" w:rsidRDefault="000A3E5C">
      <w:pPr>
        <w:spacing w:line="360" w:lineRule="auto"/>
        <w:jc w:val="both"/>
        <w:rPr>
          <w:color w:val="000000" w:themeColor="text1"/>
        </w:rPr>
      </w:pPr>
      <w:r w:rsidRPr="00A03975">
        <w:rPr>
          <w:rFonts w:ascii="Book Antiqua" w:eastAsia="Book Antiqua" w:hAnsi="Book Antiqua" w:cs="Book Antiqua"/>
          <w:color w:val="000000" w:themeColor="text1"/>
          <w:sz w:val="24"/>
        </w:rPr>
        <w:t>Grade E (Poor): 0</w:t>
      </w:r>
    </w:p>
    <w:p w14:paraId="6B48AE92" w14:textId="77777777" w:rsidR="000A3E5C" w:rsidRPr="00A03975" w:rsidRDefault="000A3E5C">
      <w:pPr>
        <w:spacing w:line="360" w:lineRule="auto"/>
        <w:jc w:val="both"/>
        <w:rPr>
          <w:color w:val="000000" w:themeColor="text1"/>
        </w:rPr>
      </w:pPr>
    </w:p>
    <w:p w14:paraId="5E5DF872" w14:textId="77777777" w:rsidR="00253722" w:rsidRPr="00A03975" w:rsidRDefault="000A3E5C">
      <w:pPr>
        <w:adjustRightInd w:val="0"/>
        <w:snapToGrid w:val="0"/>
        <w:spacing w:line="360" w:lineRule="auto"/>
        <w:jc w:val="both"/>
        <w:rPr>
          <w:rFonts w:ascii="Book Antiqua" w:eastAsia="Book Antiqua" w:hAnsi="Book Antiqua" w:cs="Book Antiqua"/>
          <w:bCs/>
          <w:color w:val="000000" w:themeColor="text1"/>
          <w:sz w:val="24"/>
        </w:rPr>
      </w:pPr>
      <w:r w:rsidRPr="00A03975">
        <w:rPr>
          <w:rFonts w:ascii="Book Antiqua" w:eastAsia="Book Antiqua" w:hAnsi="Book Antiqua" w:cs="Book Antiqua"/>
          <w:b/>
          <w:color w:val="000000" w:themeColor="text1"/>
          <w:sz w:val="24"/>
        </w:rPr>
        <w:t xml:space="preserve">P-Reviewer: </w:t>
      </w:r>
      <w:r w:rsidRPr="00A03975">
        <w:rPr>
          <w:rFonts w:ascii="Book Antiqua" w:eastAsia="Book Antiqua" w:hAnsi="Book Antiqua" w:cs="Book Antiqua"/>
          <w:color w:val="000000" w:themeColor="text1"/>
          <w:sz w:val="24"/>
        </w:rPr>
        <w:t>Azzam AZ, Chen T, Matsubara S, Saito H</w:t>
      </w:r>
      <w:r w:rsidRPr="00A03975">
        <w:rPr>
          <w:rFonts w:ascii="Book Antiqua" w:eastAsia="Book Antiqua" w:hAnsi="Book Antiqua" w:cs="Book Antiqua"/>
          <w:b/>
          <w:color w:val="000000" w:themeColor="text1"/>
          <w:sz w:val="24"/>
        </w:rPr>
        <w:t xml:space="preserve"> S-Editor: </w:t>
      </w:r>
      <w:r w:rsidRPr="00A03975">
        <w:rPr>
          <w:rFonts w:ascii="Book Antiqua" w:eastAsia="Book Antiqua" w:hAnsi="Book Antiqua" w:cs="Book Antiqua"/>
          <w:color w:val="000000" w:themeColor="text1"/>
          <w:sz w:val="24"/>
        </w:rPr>
        <w:t>Liu M</w:t>
      </w:r>
      <w:r w:rsidRPr="00A03975">
        <w:rPr>
          <w:rFonts w:ascii="Book Antiqua" w:eastAsia="Book Antiqua" w:hAnsi="Book Antiqua" w:cs="Book Antiqua"/>
          <w:b/>
          <w:color w:val="000000" w:themeColor="text1"/>
          <w:sz w:val="24"/>
        </w:rPr>
        <w:t xml:space="preserve"> L-Editor: </w:t>
      </w:r>
      <w:r w:rsidRPr="00A03975">
        <w:rPr>
          <w:rFonts w:ascii="Book Antiqua" w:eastAsia="Book Antiqua" w:hAnsi="Book Antiqua" w:cs="Book Antiqua"/>
          <w:color w:val="000000" w:themeColor="text1"/>
          <w:sz w:val="24"/>
        </w:rPr>
        <w:t>Wang TQ</w:t>
      </w:r>
      <w:r w:rsidRPr="00A03975">
        <w:rPr>
          <w:rFonts w:ascii="Book Antiqua" w:eastAsia="Book Antiqua" w:hAnsi="Book Antiqua" w:cs="Book Antiqua"/>
          <w:b/>
          <w:color w:val="000000" w:themeColor="text1"/>
          <w:sz w:val="24"/>
        </w:rPr>
        <w:t xml:space="preserve"> P-Editor: </w:t>
      </w:r>
      <w:r w:rsidR="00253722" w:rsidRPr="00A03975">
        <w:rPr>
          <w:rFonts w:ascii="Book Antiqua" w:eastAsia="Book Antiqua" w:hAnsi="Book Antiqua" w:cs="Book Antiqua"/>
          <w:bCs/>
          <w:color w:val="000000" w:themeColor="text1"/>
          <w:sz w:val="24"/>
        </w:rPr>
        <w:t>Li JH</w:t>
      </w:r>
    </w:p>
    <w:p w14:paraId="56110C59" w14:textId="77777777" w:rsidR="000A3E5C" w:rsidRPr="00A03975" w:rsidRDefault="000A3E5C">
      <w:pPr>
        <w:adjustRightInd w:val="0"/>
        <w:snapToGrid w:val="0"/>
        <w:spacing w:line="360" w:lineRule="auto"/>
        <w:jc w:val="both"/>
        <w:rPr>
          <w:rFonts w:ascii="Book Antiqua" w:eastAsia="Book Antiqua" w:hAnsi="Book Antiqua"/>
          <w:b/>
          <w:color w:val="000000" w:themeColor="text1"/>
          <w:sz w:val="24"/>
          <w:szCs w:val="24"/>
          <w:lang w:val="en-GB"/>
        </w:rPr>
      </w:pPr>
      <w:r w:rsidRPr="00A03975">
        <w:rPr>
          <w:rFonts w:ascii="Book Antiqua" w:eastAsia="Book Antiqua" w:hAnsi="Book Antiqua"/>
          <w:b/>
          <w:color w:val="000000" w:themeColor="text1"/>
          <w:sz w:val="24"/>
          <w:szCs w:val="24"/>
          <w:lang w:val="en-GB"/>
        </w:rPr>
        <w:br w:type="page"/>
      </w:r>
      <w:r w:rsidRPr="00A03975">
        <w:rPr>
          <w:rFonts w:ascii="Book Antiqua" w:eastAsia="Book Antiqua" w:hAnsi="Book Antiqua"/>
          <w:b/>
          <w:color w:val="000000" w:themeColor="text1"/>
          <w:sz w:val="24"/>
          <w:szCs w:val="24"/>
          <w:lang w:val="en-GB"/>
        </w:rPr>
        <w:lastRenderedPageBreak/>
        <w:t>Figure Legends</w:t>
      </w:r>
    </w:p>
    <w:p w14:paraId="6713917D" w14:textId="13D2CA3F" w:rsidR="000A3E5C" w:rsidRPr="00A03975" w:rsidRDefault="00DD1C5A">
      <w:pPr>
        <w:adjustRightInd w:val="0"/>
        <w:snapToGrid w:val="0"/>
        <w:spacing w:line="360" w:lineRule="auto"/>
        <w:jc w:val="both"/>
        <w:rPr>
          <w:rFonts w:ascii="Book Antiqua" w:eastAsia="Book Antiqua" w:hAnsi="Book Antiqua"/>
          <w:b/>
          <w:color w:val="000000" w:themeColor="text1"/>
          <w:sz w:val="24"/>
          <w:szCs w:val="24"/>
          <w:lang w:val="en-GB"/>
        </w:rPr>
      </w:pPr>
      <w:r w:rsidRPr="00A03975">
        <w:rPr>
          <w:rFonts w:ascii="Book Antiqua" w:eastAsia="Book Antiqua" w:hAnsi="Book Antiqua"/>
          <w:b/>
          <w:noProof/>
          <w:color w:val="000000" w:themeColor="text1"/>
          <w:sz w:val="24"/>
          <w:szCs w:val="24"/>
          <w:lang w:val="en-US" w:eastAsia="zh-CN"/>
        </w:rPr>
        <w:drawing>
          <wp:inline distT="0" distB="0" distL="0" distR="0" wp14:anchorId="4F8CF913" wp14:editId="6468640A">
            <wp:extent cx="5525770" cy="44354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770" cy="4435475"/>
                    </a:xfrm>
                    <a:prstGeom prst="rect">
                      <a:avLst/>
                    </a:prstGeom>
                    <a:noFill/>
                    <a:ln>
                      <a:noFill/>
                    </a:ln>
                  </pic:spPr>
                </pic:pic>
              </a:graphicData>
            </a:graphic>
          </wp:inline>
        </w:drawing>
      </w:r>
    </w:p>
    <w:p w14:paraId="3A74A413" w14:textId="27C7525B" w:rsidR="00461911" w:rsidRPr="00A03975" w:rsidRDefault="000A3E5C">
      <w:pPr>
        <w:adjustRightInd w:val="0"/>
        <w:snapToGrid w:val="0"/>
        <w:spacing w:line="360" w:lineRule="auto"/>
        <w:jc w:val="both"/>
        <w:rPr>
          <w:rFonts w:ascii="Book Antiqua" w:eastAsia="Book Antiqua" w:hAnsi="Book Antiqua"/>
          <w:bCs/>
          <w:color w:val="000000" w:themeColor="text1"/>
          <w:sz w:val="24"/>
          <w:szCs w:val="24"/>
          <w:lang w:val="en-GB"/>
        </w:rPr>
      </w:pPr>
      <w:r w:rsidRPr="00A03975">
        <w:rPr>
          <w:rFonts w:ascii="Book Antiqua" w:eastAsia="Book Antiqua" w:hAnsi="Book Antiqua"/>
          <w:b/>
          <w:color w:val="000000" w:themeColor="text1"/>
          <w:sz w:val="24"/>
          <w:szCs w:val="24"/>
          <w:lang w:val="en-GB"/>
        </w:rPr>
        <w:t xml:space="preserve">Figure 1 Intraoperative </w:t>
      </w:r>
      <w:proofErr w:type="gramStart"/>
      <w:r w:rsidRPr="00A03975">
        <w:rPr>
          <w:rFonts w:ascii="Book Antiqua" w:eastAsia="Book Antiqua" w:hAnsi="Book Antiqua"/>
          <w:b/>
          <w:color w:val="000000" w:themeColor="text1"/>
          <w:sz w:val="24"/>
          <w:szCs w:val="24"/>
          <w:lang w:val="en-GB"/>
        </w:rPr>
        <w:t>images</w:t>
      </w:r>
      <w:proofErr w:type="gramEnd"/>
      <w:r w:rsidRPr="00A03975">
        <w:rPr>
          <w:rFonts w:ascii="Book Antiqua" w:eastAsia="Book Antiqua" w:hAnsi="Book Antiqua"/>
          <w:b/>
          <w:color w:val="000000" w:themeColor="text1"/>
          <w:sz w:val="24"/>
          <w:szCs w:val="24"/>
          <w:lang w:val="en-GB"/>
        </w:rPr>
        <w:t xml:space="preserve">: Laparoscopic exploration of the common bile duct. </w:t>
      </w:r>
      <w:r w:rsidRPr="00A03975">
        <w:rPr>
          <w:rFonts w:ascii="Book Antiqua" w:eastAsia="Book Antiqua" w:hAnsi="Book Antiqua"/>
          <w:bCs/>
          <w:color w:val="000000" w:themeColor="text1"/>
          <w:sz w:val="24"/>
          <w:szCs w:val="24"/>
          <w:lang w:val="en-GB"/>
        </w:rPr>
        <w:t>A: Common bile duct (CBD) dilation; B: CBD section; C: Stone extraction; D: Insertion of the choledochoscope into the CBD; E:</w:t>
      </w:r>
      <w:r w:rsidRPr="00A03975">
        <w:rPr>
          <w:rFonts w:ascii="Book Antiqua" w:hAnsi="Book Antiqua"/>
          <w:color w:val="000000" w:themeColor="text1"/>
          <w:sz w:val="24"/>
          <w:szCs w:val="24"/>
          <w:lang w:val="en-GB"/>
        </w:rPr>
        <w:t xml:space="preserve"> </w:t>
      </w:r>
      <w:r w:rsidRPr="00A03975">
        <w:rPr>
          <w:rFonts w:ascii="Book Antiqua" w:eastAsia="Book Antiqua" w:hAnsi="Book Antiqua"/>
          <w:bCs/>
          <w:color w:val="000000" w:themeColor="text1"/>
          <w:sz w:val="24"/>
          <w:szCs w:val="24"/>
          <w:lang w:val="en-GB"/>
        </w:rPr>
        <w:t>Choledochoscopic image of the CBD; F: Suture of CBD</w:t>
      </w:r>
      <w:r w:rsidR="00461911" w:rsidRPr="00A03975">
        <w:rPr>
          <w:rFonts w:ascii="Book Antiqua" w:eastAsia="Book Antiqua" w:hAnsi="Book Antiqua"/>
          <w:bCs/>
          <w:color w:val="000000" w:themeColor="text1"/>
          <w:sz w:val="24"/>
          <w:szCs w:val="24"/>
          <w:lang w:val="en-GB"/>
        </w:rPr>
        <w:t>.</w:t>
      </w:r>
    </w:p>
    <w:p w14:paraId="74C15C79" w14:textId="1DE6CDDF" w:rsidR="000A3E5C" w:rsidRPr="00A03975" w:rsidRDefault="00DD1C5A">
      <w:pPr>
        <w:adjustRightInd w:val="0"/>
        <w:snapToGrid w:val="0"/>
        <w:spacing w:line="360" w:lineRule="auto"/>
        <w:jc w:val="both"/>
        <w:rPr>
          <w:rFonts w:ascii="Book Antiqua" w:eastAsia="Book Antiqua" w:hAnsi="Book Antiqua"/>
          <w:bCs/>
          <w:color w:val="000000" w:themeColor="text1"/>
          <w:sz w:val="24"/>
          <w:szCs w:val="24"/>
          <w:lang w:val="en-GB"/>
        </w:rPr>
      </w:pPr>
      <w:r w:rsidRPr="00A03975">
        <w:rPr>
          <w:rFonts w:ascii="Book Antiqua" w:eastAsia="Book Antiqua" w:hAnsi="Book Antiqua"/>
          <w:bCs/>
          <w:noProof/>
          <w:color w:val="000000" w:themeColor="text1"/>
          <w:sz w:val="24"/>
          <w:szCs w:val="24"/>
          <w:lang w:val="en-US" w:eastAsia="zh-CN"/>
        </w:rPr>
        <w:lastRenderedPageBreak/>
        <w:drawing>
          <wp:inline distT="0" distB="0" distL="0" distR="0" wp14:anchorId="6E3C2651" wp14:editId="007CB605">
            <wp:extent cx="5706110" cy="48647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110" cy="4864735"/>
                    </a:xfrm>
                    <a:prstGeom prst="rect">
                      <a:avLst/>
                    </a:prstGeom>
                    <a:noFill/>
                    <a:ln>
                      <a:noFill/>
                    </a:ln>
                  </pic:spPr>
                </pic:pic>
              </a:graphicData>
            </a:graphic>
          </wp:inline>
        </w:drawing>
      </w:r>
      <w:r w:rsidR="000A3E5C" w:rsidRPr="00A03975">
        <w:rPr>
          <w:rFonts w:ascii="Book Antiqua" w:eastAsia="Book Antiqua" w:hAnsi="Book Antiqua"/>
          <w:b/>
          <w:color w:val="000000" w:themeColor="text1"/>
          <w:sz w:val="24"/>
          <w:szCs w:val="24"/>
          <w:lang w:val="en-GB"/>
        </w:rPr>
        <w:t xml:space="preserve">Figure 2 Intraoperative images: </w:t>
      </w:r>
      <w:r w:rsidR="000A3E5C" w:rsidRPr="00A03975">
        <w:rPr>
          <w:rFonts w:ascii="Book Antiqua" w:eastAsia="Book Antiqua" w:hAnsi="Book Antiqua"/>
          <w:b/>
          <w:bCs/>
          <w:color w:val="000000" w:themeColor="text1"/>
          <w:sz w:val="24"/>
          <w:szCs w:val="24"/>
          <w:lang w:val="en-GB"/>
        </w:rPr>
        <w:t>Endoscopic retrograde cholangio-pancreatography</w:t>
      </w:r>
      <w:r w:rsidR="000A3E5C" w:rsidRPr="00A03975">
        <w:rPr>
          <w:rFonts w:ascii="Book Antiqua" w:eastAsia="Book Antiqua" w:hAnsi="Book Antiqua"/>
          <w:b/>
          <w:color w:val="000000" w:themeColor="text1"/>
          <w:sz w:val="24"/>
          <w:szCs w:val="24"/>
          <w:lang w:val="en-GB"/>
        </w:rPr>
        <w:t xml:space="preserve"> during laparoscopic cholecystectomy (“rendezvous technique”). </w:t>
      </w:r>
      <w:r w:rsidR="000A3E5C" w:rsidRPr="00A03975">
        <w:rPr>
          <w:rFonts w:ascii="Book Antiqua" w:eastAsia="Book Antiqua" w:hAnsi="Book Antiqua"/>
          <w:bCs/>
          <w:color w:val="000000" w:themeColor="text1"/>
          <w:sz w:val="24"/>
          <w:szCs w:val="24"/>
          <w:lang w:val="en-GB"/>
        </w:rPr>
        <w:t>A: Insertion of the guide wire into the cystic duct; B: Guide wire exits through the papilla into the duodenum; C: Endoscopic sphincterotomy on guide wire; D: Extraction of stones from the common bile duct with a dormia basket; E: Section between clips of the cystic duct and subsequent retrograde cholecystectomy; F: Postoperative final scars.</w:t>
      </w:r>
    </w:p>
    <w:p w14:paraId="390575A9" w14:textId="77777777" w:rsidR="000A3E5C" w:rsidRPr="00A03975" w:rsidRDefault="000A3E5C">
      <w:pPr>
        <w:adjustRightInd w:val="0"/>
        <w:snapToGrid w:val="0"/>
        <w:spacing w:line="360" w:lineRule="auto"/>
        <w:jc w:val="both"/>
        <w:rPr>
          <w:rFonts w:ascii="Book Antiqua" w:hAnsi="Book Antiqua" w:cs="Times New Roman"/>
          <w:bCs/>
          <w:color w:val="000000" w:themeColor="text1"/>
          <w:sz w:val="24"/>
          <w:szCs w:val="24"/>
          <w:lang w:val="en-GB" w:eastAsia="en-US"/>
        </w:rPr>
      </w:pPr>
      <w:r w:rsidRPr="00A03975">
        <w:rPr>
          <w:rFonts w:ascii="Book Antiqua" w:eastAsia="Book Antiqua" w:hAnsi="Book Antiqua"/>
          <w:b/>
          <w:color w:val="000000" w:themeColor="text1"/>
          <w:sz w:val="24"/>
          <w:szCs w:val="24"/>
          <w:lang w:val="en-GB"/>
        </w:rPr>
        <w:br w:type="page"/>
      </w:r>
      <w:bookmarkStart w:id="7" w:name="_Hlk68125234"/>
      <w:r w:rsidRPr="00A03975">
        <w:rPr>
          <w:rFonts w:ascii="Book Antiqua" w:hAnsi="Book Antiqua" w:cs="Times New Roman"/>
          <w:b/>
          <w:bCs/>
          <w:color w:val="000000" w:themeColor="text1"/>
          <w:sz w:val="24"/>
          <w:szCs w:val="24"/>
          <w:lang w:val="en-GB" w:eastAsia="en-US"/>
        </w:rPr>
        <w:lastRenderedPageBreak/>
        <w:t>Ta</w:t>
      </w:r>
      <w:bookmarkEnd w:id="7"/>
      <w:r w:rsidRPr="00A03975">
        <w:rPr>
          <w:rFonts w:ascii="Book Antiqua" w:eastAsia="Book Antiqua" w:hAnsi="Book Antiqua"/>
          <w:b/>
          <w:color w:val="000000" w:themeColor="text1"/>
          <w:sz w:val="24"/>
          <w:szCs w:val="24"/>
          <w:lang w:val="en-GB"/>
        </w:rPr>
        <w:t>ble 1 Factors that suggest the preference of the rendezvous technique over other treatments</w:t>
      </w:r>
    </w:p>
    <w:tbl>
      <w:tblPr>
        <w:tblW w:w="10170" w:type="dxa"/>
        <w:tblInd w:w="-630" w:type="dxa"/>
        <w:tblLayout w:type="fixed"/>
        <w:tblCellMar>
          <w:left w:w="0" w:type="dxa"/>
          <w:right w:w="0" w:type="dxa"/>
        </w:tblCellMar>
        <w:tblLook w:val="0000" w:firstRow="0" w:lastRow="0" w:firstColumn="0" w:lastColumn="0" w:noHBand="0" w:noVBand="0"/>
      </w:tblPr>
      <w:tblGrid>
        <w:gridCol w:w="3690"/>
        <w:gridCol w:w="3410"/>
        <w:gridCol w:w="3070"/>
      </w:tblGrid>
      <w:tr w:rsidR="00A03975" w:rsidRPr="00A03975" w14:paraId="243CC383" w14:textId="77777777">
        <w:trPr>
          <w:trHeight w:val="275"/>
        </w:trPr>
        <w:tc>
          <w:tcPr>
            <w:tcW w:w="3690" w:type="dxa"/>
            <w:tcBorders>
              <w:top w:val="single" w:sz="4" w:space="0" w:color="auto"/>
              <w:bottom w:val="single" w:sz="6" w:space="0" w:color="auto"/>
            </w:tcBorders>
          </w:tcPr>
          <w:p w14:paraId="217F96DC"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b/>
                <w:color w:val="000000" w:themeColor="text1"/>
                <w:sz w:val="24"/>
                <w:szCs w:val="24"/>
                <w:lang w:val="en-GB" w:eastAsia="en-US"/>
              </w:rPr>
            </w:pPr>
            <w:bookmarkStart w:id="8" w:name="_Hlk68031929"/>
            <w:bookmarkEnd w:id="8"/>
            <w:r w:rsidRPr="00A03975">
              <w:rPr>
                <w:rFonts w:ascii="Book Antiqua" w:eastAsia="Cambria" w:hAnsi="Book Antiqua" w:cs="Cambria"/>
                <w:b/>
                <w:color w:val="000000" w:themeColor="text1"/>
                <w:sz w:val="24"/>
                <w:szCs w:val="24"/>
                <w:lang w:val="en-GB" w:eastAsia="en-US"/>
              </w:rPr>
              <w:t>Main indications for the laparo-endoscopic RV</w:t>
            </w:r>
          </w:p>
        </w:tc>
        <w:tc>
          <w:tcPr>
            <w:tcW w:w="3410" w:type="dxa"/>
            <w:tcBorders>
              <w:top w:val="single" w:sz="4" w:space="0" w:color="auto"/>
              <w:bottom w:val="single" w:sz="6" w:space="0" w:color="auto"/>
            </w:tcBorders>
          </w:tcPr>
          <w:p w14:paraId="36CB2DD2"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b/>
                <w:color w:val="000000" w:themeColor="text1"/>
                <w:sz w:val="24"/>
                <w:szCs w:val="24"/>
                <w:lang w:val="en-GB" w:eastAsia="en-US"/>
              </w:rPr>
            </w:pPr>
            <w:r w:rsidRPr="00A03975">
              <w:rPr>
                <w:rFonts w:ascii="Book Antiqua" w:eastAsia="Cambria" w:hAnsi="Book Antiqua" w:cs="Cambria"/>
                <w:b/>
                <w:color w:val="000000" w:themeColor="text1"/>
                <w:sz w:val="24"/>
                <w:szCs w:val="24"/>
                <w:lang w:val="en-GB" w:eastAsia="en-US"/>
              </w:rPr>
              <w:t xml:space="preserve">RV preferable </w:t>
            </w:r>
            <w:r w:rsidRPr="00A03975">
              <w:rPr>
                <w:rFonts w:ascii="Book Antiqua" w:eastAsia="Cambria" w:hAnsi="Book Antiqua" w:cs="Cambria"/>
                <w:b/>
                <w:i/>
                <w:color w:val="000000" w:themeColor="text1"/>
                <w:sz w:val="24"/>
                <w:szCs w:val="24"/>
                <w:lang w:val="en-GB" w:eastAsia="en-US"/>
              </w:rPr>
              <w:t xml:space="preserve">vs </w:t>
            </w:r>
            <w:r w:rsidRPr="00A03975">
              <w:rPr>
                <w:rFonts w:ascii="Book Antiqua" w:eastAsia="Cambria" w:hAnsi="Book Antiqua" w:cs="Cambria"/>
                <w:b/>
                <w:color w:val="000000" w:themeColor="text1"/>
                <w:sz w:val="24"/>
                <w:szCs w:val="24"/>
                <w:lang w:val="en-GB" w:eastAsia="en-US"/>
              </w:rPr>
              <w:t>laparoscopic CBD exploration</w:t>
            </w:r>
          </w:p>
        </w:tc>
        <w:tc>
          <w:tcPr>
            <w:tcW w:w="3070" w:type="dxa"/>
            <w:tcBorders>
              <w:top w:val="single" w:sz="4" w:space="0" w:color="auto"/>
              <w:bottom w:val="single" w:sz="6" w:space="0" w:color="auto"/>
            </w:tcBorders>
          </w:tcPr>
          <w:p w14:paraId="2BA99819"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b/>
                <w:color w:val="000000" w:themeColor="text1"/>
                <w:sz w:val="24"/>
                <w:szCs w:val="24"/>
                <w:lang w:val="en-GB" w:eastAsia="en-US"/>
              </w:rPr>
            </w:pPr>
            <w:r w:rsidRPr="00A03975">
              <w:rPr>
                <w:rFonts w:ascii="Book Antiqua" w:eastAsia="Cambria" w:hAnsi="Book Antiqua" w:cs="Cambria"/>
                <w:b/>
                <w:color w:val="000000" w:themeColor="text1"/>
                <w:sz w:val="24"/>
                <w:szCs w:val="24"/>
                <w:lang w:val="en-GB" w:eastAsia="en-US"/>
              </w:rPr>
              <w:t xml:space="preserve">RV preferable </w:t>
            </w:r>
            <w:r w:rsidRPr="00A03975">
              <w:rPr>
                <w:rFonts w:ascii="Book Antiqua" w:eastAsia="Cambria" w:hAnsi="Book Antiqua" w:cs="Cambria"/>
                <w:b/>
                <w:i/>
                <w:color w:val="000000" w:themeColor="text1"/>
                <w:sz w:val="24"/>
                <w:szCs w:val="24"/>
                <w:lang w:val="en-GB" w:eastAsia="en-US"/>
              </w:rPr>
              <w:t xml:space="preserve">vs </w:t>
            </w:r>
            <w:r w:rsidRPr="00A03975">
              <w:rPr>
                <w:rFonts w:ascii="Book Antiqua" w:eastAsia="Cambria" w:hAnsi="Book Antiqua" w:cs="Cambria"/>
                <w:b/>
                <w:color w:val="000000" w:themeColor="text1"/>
                <w:sz w:val="24"/>
                <w:szCs w:val="24"/>
                <w:lang w:val="en-GB" w:eastAsia="en-US"/>
              </w:rPr>
              <w:t>sequential ERCP-ES</w:t>
            </w:r>
          </w:p>
        </w:tc>
      </w:tr>
      <w:tr w:rsidR="00A03975" w:rsidRPr="00A03975" w14:paraId="3F133C52" w14:textId="77777777">
        <w:trPr>
          <w:trHeight w:val="232"/>
        </w:trPr>
        <w:tc>
          <w:tcPr>
            <w:tcW w:w="3690" w:type="dxa"/>
            <w:tcBorders>
              <w:top w:val="single" w:sz="6" w:space="0" w:color="auto"/>
            </w:tcBorders>
          </w:tcPr>
          <w:p w14:paraId="4A25368E"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(1)</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CBD</w:t>
            </w:r>
            <w:r w:rsidRPr="00A03975">
              <w:rPr>
                <w:rFonts w:ascii="Book Antiqua" w:eastAsia="Cambria" w:hAnsi="Book Antiqua" w:cs="Cambria"/>
                <w:color w:val="000000" w:themeColor="text1"/>
                <w:spacing w:val="2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stones</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not</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easily</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extractable</w:t>
            </w:r>
          </w:p>
        </w:tc>
        <w:tc>
          <w:tcPr>
            <w:tcW w:w="3410" w:type="dxa"/>
            <w:tcBorders>
              <w:top w:val="single" w:sz="6" w:space="0" w:color="auto"/>
            </w:tcBorders>
          </w:tcPr>
          <w:p w14:paraId="10AAC7BF"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(A)</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Need</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higher</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surgical</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skill</w:t>
            </w:r>
          </w:p>
        </w:tc>
        <w:tc>
          <w:tcPr>
            <w:tcW w:w="3070" w:type="dxa"/>
            <w:tcBorders>
              <w:top w:val="single" w:sz="6" w:space="0" w:color="auto"/>
            </w:tcBorders>
          </w:tcPr>
          <w:p w14:paraId="02BD9BEB"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(a)</w:t>
            </w:r>
            <w:r w:rsidRPr="00A03975">
              <w:rPr>
                <w:rFonts w:ascii="Book Antiqua" w:eastAsia="Cambria" w:hAnsi="Book Antiqua" w:cs="Cambria"/>
                <w:color w:val="000000" w:themeColor="text1"/>
                <w:spacing w:val="-7"/>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Risk</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synchronization</w:t>
            </w:r>
          </w:p>
        </w:tc>
      </w:tr>
      <w:tr w:rsidR="00A03975" w:rsidRPr="00A03975" w14:paraId="74199777" w14:textId="77777777">
        <w:trPr>
          <w:trHeight w:val="235"/>
        </w:trPr>
        <w:tc>
          <w:tcPr>
            <w:tcW w:w="3690" w:type="dxa"/>
          </w:tcPr>
          <w:p w14:paraId="5FFDE73D"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through</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the</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cystic</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duct</w:t>
            </w:r>
          </w:p>
        </w:tc>
        <w:tc>
          <w:tcPr>
            <w:tcW w:w="3410" w:type="dxa"/>
          </w:tcPr>
          <w:p w14:paraId="2A9CEAA6"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(B)</w:t>
            </w:r>
            <w:r w:rsidRPr="00A03975">
              <w:rPr>
                <w:rFonts w:ascii="Book Antiqua" w:eastAsia="Cambria" w:hAnsi="Book Antiqua" w:cs="Cambria"/>
                <w:color w:val="000000" w:themeColor="text1"/>
                <w:spacing w:val="8"/>
                <w:sz w:val="24"/>
                <w:szCs w:val="24"/>
                <w:lang w:val="en-GB" w:eastAsia="en-US"/>
              </w:rPr>
              <w:t xml:space="preserve"> </w:t>
            </w:r>
            <w:r w:rsidRPr="00A03975">
              <w:rPr>
                <w:rFonts w:ascii="Book Antiqua" w:eastAsia="Cambria" w:hAnsi="Book Antiqua" w:cs="Cambria"/>
                <w:color w:val="000000" w:themeColor="text1"/>
                <w:sz w:val="24"/>
                <w:szCs w:val="24"/>
                <w:lang w:val="en-GB" w:eastAsia="en-US"/>
              </w:rPr>
              <w:t>Longer</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operation</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time</w:t>
            </w:r>
          </w:p>
        </w:tc>
        <w:tc>
          <w:tcPr>
            <w:tcW w:w="3070" w:type="dxa"/>
          </w:tcPr>
          <w:p w14:paraId="60E2B3D3"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(b)</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Risk</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unnecessary</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ERCP</w:t>
            </w:r>
          </w:p>
        </w:tc>
      </w:tr>
      <w:tr w:rsidR="00A03975" w:rsidRPr="00A03975" w14:paraId="4FCB206D" w14:textId="77777777">
        <w:trPr>
          <w:trHeight w:val="238"/>
        </w:trPr>
        <w:tc>
          <w:tcPr>
            <w:tcW w:w="3690" w:type="dxa"/>
          </w:tcPr>
          <w:p w14:paraId="14D4AD10"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(time</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p>
        </w:tc>
        <w:tc>
          <w:tcPr>
            <w:tcW w:w="3410" w:type="dxa"/>
          </w:tcPr>
          <w:p w14:paraId="3E0009F7"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(C) Need</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 biliary</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drain</w:t>
            </w:r>
          </w:p>
        </w:tc>
        <w:tc>
          <w:tcPr>
            <w:tcW w:w="3070" w:type="dxa"/>
          </w:tcPr>
          <w:p w14:paraId="228B29B1"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(c)</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difficult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retrograde</w:t>
            </w:r>
          </w:p>
        </w:tc>
      </w:tr>
      <w:tr w:rsidR="00A03975" w:rsidRPr="00A03975" w14:paraId="74BD0247" w14:textId="77777777">
        <w:trPr>
          <w:trHeight w:val="262"/>
        </w:trPr>
        <w:tc>
          <w:tcPr>
            <w:tcW w:w="3690" w:type="dxa"/>
          </w:tcPr>
          <w:p w14:paraId="3EA7C71F"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410" w:type="dxa"/>
          </w:tcPr>
          <w:p w14:paraId="458EBBB7"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Pr>
          <w:p w14:paraId="0FC431F3"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cannulation</w:t>
            </w:r>
          </w:p>
        </w:tc>
      </w:tr>
      <w:tr w:rsidR="00A03975" w:rsidRPr="00A03975" w14:paraId="62EBC721" w14:textId="77777777">
        <w:trPr>
          <w:trHeight w:val="259"/>
        </w:trPr>
        <w:tc>
          <w:tcPr>
            <w:tcW w:w="3690" w:type="dxa"/>
          </w:tcPr>
          <w:p w14:paraId="120D572E"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(2)</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Multiple</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small</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CBD</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stones</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and</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large</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friable</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stones</w:t>
            </w:r>
          </w:p>
        </w:tc>
        <w:tc>
          <w:tcPr>
            <w:tcW w:w="3410" w:type="dxa"/>
          </w:tcPr>
          <w:p w14:paraId="24D63D14"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5"/>
                <w:sz w:val="24"/>
                <w:szCs w:val="24"/>
                <w:lang w:val="en-GB" w:eastAsia="en-US"/>
              </w:rPr>
              <w:t>A, B, C +</w:t>
            </w:r>
          </w:p>
        </w:tc>
        <w:tc>
          <w:tcPr>
            <w:tcW w:w="3070" w:type="dxa"/>
          </w:tcPr>
          <w:p w14:paraId="49F1F90A"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a,</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b,</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w:t>
            </w:r>
          </w:p>
        </w:tc>
      </w:tr>
      <w:tr w:rsidR="00A03975" w:rsidRPr="00A03975" w14:paraId="1CF81C53" w14:textId="77777777">
        <w:trPr>
          <w:trHeight w:val="282"/>
        </w:trPr>
        <w:tc>
          <w:tcPr>
            <w:tcW w:w="3690" w:type="dxa"/>
          </w:tcPr>
          <w:p w14:paraId="0A43164E"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8"/>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recurrence)</w:t>
            </w:r>
          </w:p>
        </w:tc>
        <w:tc>
          <w:tcPr>
            <w:tcW w:w="3410" w:type="dxa"/>
          </w:tcPr>
          <w:p w14:paraId="4ABB7598"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(D)</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High</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risk</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residual</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fragments</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and</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recurrence</w:t>
            </w:r>
          </w:p>
        </w:tc>
        <w:tc>
          <w:tcPr>
            <w:tcW w:w="3070" w:type="dxa"/>
          </w:tcPr>
          <w:p w14:paraId="149B1818"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36119E48" w14:textId="77777777">
        <w:trPr>
          <w:trHeight w:val="283"/>
        </w:trPr>
        <w:tc>
          <w:tcPr>
            <w:tcW w:w="3690" w:type="dxa"/>
          </w:tcPr>
          <w:p w14:paraId="75635A31"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(3)</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Any</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type of</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CBD stones</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with</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delayed passage</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 the</w:t>
            </w:r>
          </w:p>
        </w:tc>
        <w:tc>
          <w:tcPr>
            <w:tcW w:w="3410" w:type="dxa"/>
          </w:tcPr>
          <w:p w14:paraId="7F87F2EC"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5"/>
                <w:sz w:val="24"/>
                <w:szCs w:val="24"/>
                <w:lang w:val="en-GB" w:eastAsia="en-US"/>
              </w:rPr>
              <w:t>A, B,</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C,</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D</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w:t>
            </w:r>
          </w:p>
        </w:tc>
        <w:tc>
          <w:tcPr>
            <w:tcW w:w="3070" w:type="dxa"/>
          </w:tcPr>
          <w:p w14:paraId="1D7F41F2"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a,</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b,</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w:t>
            </w:r>
          </w:p>
        </w:tc>
      </w:tr>
      <w:tr w:rsidR="00A03975" w:rsidRPr="00A03975" w14:paraId="60D1BD0B" w14:textId="77777777">
        <w:trPr>
          <w:trHeight w:val="240"/>
        </w:trPr>
        <w:tc>
          <w:tcPr>
            <w:tcW w:w="3690" w:type="dxa"/>
          </w:tcPr>
          <w:p w14:paraId="5CF200ED"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contrast</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medium</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during</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IOC</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or</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T-tube-IOC</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after</w:t>
            </w:r>
          </w:p>
        </w:tc>
        <w:tc>
          <w:tcPr>
            <w:tcW w:w="3410" w:type="dxa"/>
          </w:tcPr>
          <w:p w14:paraId="4B1A7CF5"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(E)</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High</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undertreatment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chronic</w:t>
            </w:r>
          </w:p>
        </w:tc>
        <w:tc>
          <w:tcPr>
            <w:tcW w:w="3070" w:type="dxa"/>
          </w:tcPr>
          <w:p w14:paraId="52389C51"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06F7F4A2" w14:textId="77777777">
        <w:trPr>
          <w:trHeight w:val="238"/>
        </w:trPr>
        <w:tc>
          <w:tcPr>
            <w:tcW w:w="3690" w:type="dxa"/>
          </w:tcPr>
          <w:p w14:paraId="694E453B"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laparoscopic CBD exploration</w:t>
            </w:r>
          </w:p>
        </w:tc>
        <w:tc>
          <w:tcPr>
            <w:tcW w:w="3410" w:type="dxa"/>
          </w:tcPr>
          <w:p w14:paraId="7AC2DA65"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papillitis</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and</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maintenance</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underlying</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causes</w:t>
            </w:r>
          </w:p>
        </w:tc>
        <w:tc>
          <w:tcPr>
            <w:tcW w:w="3070" w:type="dxa"/>
          </w:tcPr>
          <w:p w14:paraId="20415F76"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6D2B72AF" w14:textId="77777777">
        <w:trPr>
          <w:trHeight w:val="274"/>
        </w:trPr>
        <w:tc>
          <w:tcPr>
            <w:tcW w:w="3690" w:type="dxa"/>
          </w:tcPr>
          <w:p w14:paraId="71709841"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recurrence)</w:t>
            </w:r>
          </w:p>
        </w:tc>
        <w:tc>
          <w:tcPr>
            <w:tcW w:w="3410" w:type="dxa"/>
          </w:tcPr>
          <w:p w14:paraId="078DF8AB"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Pr>
          <w:p w14:paraId="6C895FC1"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7DC00C52" w14:textId="77777777">
        <w:trPr>
          <w:trHeight w:val="274"/>
        </w:trPr>
        <w:tc>
          <w:tcPr>
            <w:tcW w:w="3690" w:type="dxa"/>
          </w:tcPr>
          <w:p w14:paraId="36DBA247"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(4)</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CBD</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stones</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with</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previous</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cholangitis</w:t>
            </w:r>
          </w:p>
        </w:tc>
        <w:tc>
          <w:tcPr>
            <w:tcW w:w="3410" w:type="dxa"/>
          </w:tcPr>
          <w:p w14:paraId="22ED5DA1"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5"/>
                <w:sz w:val="24"/>
                <w:szCs w:val="24"/>
                <w:lang w:val="en-GB" w:eastAsia="en-US"/>
              </w:rPr>
              <w:t>A, B,</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C,</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D</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w:t>
            </w:r>
          </w:p>
        </w:tc>
        <w:tc>
          <w:tcPr>
            <w:tcW w:w="3070" w:type="dxa"/>
          </w:tcPr>
          <w:p w14:paraId="072DA92E"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a,</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b,</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w:t>
            </w:r>
          </w:p>
        </w:tc>
      </w:tr>
      <w:tr w:rsidR="00A03975" w:rsidRPr="00A03975" w14:paraId="01DA436D" w14:textId="77777777">
        <w:trPr>
          <w:trHeight w:val="238"/>
        </w:trPr>
        <w:tc>
          <w:tcPr>
            <w:tcW w:w="3690" w:type="dxa"/>
          </w:tcPr>
          <w:p w14:paraId="4BA591FC"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recurrence)</w:t>
            </w:r>
          </w:p>
        </w:tc>
        <w:tc>
          <w:tcPr>
            <w:tcW w:w="3410" w:type="dxa"/>
          </w:tcPr>
          <w:p w14:paraId="29DE557A"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(E)</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High</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risk</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maintenance</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underlying</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causes</w:t>
            </w:r>
          </w:p>
        </w:tc>
        <w:tc>
          <w:tcPr>
            <w:tcW w:w="3070" w:type="dxa"/>
          </w:tcPr>
          <w:p w14:paraId="5181F67F"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pacing w:val="-1"/>
                <w:sz w:val="24"/>
                <w:szCs w:val="24"/>
                <w:lang w:val="en-GB" w:eastAsia="en-US"/>
              </w:rPr>
              <w:t>(d)</w:t>
            </w:r>
            <w:r w:rsidRPr="00A03975">
              <w:rPr>
                <w:rFonts w:ascii="Book Antiqua" w:eastAsia="Cambria" w:hAnsi="Book Antiqua" w:cs="Cambria"/>
                <w:color w:val="000000" w:themeColor="text1"/>
                <w:spacing w:val="-7"/>
                <w:sz w:val="24"/>
                <w:szCs w:val="24"/>
                <w:lang w:val="en-GB" w:eastAsia="en-US"/>
              </w:rPr>
              <w:t xml:space="preserve"> </w:t>
            </w:r>
            <w:r w:rsidRPr="00A03975">
              <w:rPr>
                <w:rFonts w:ascii="Book Antiqua" w:eastAsia="Cambria" w:hAnsi="Book Antiqua" w:cs="Cambria"/>
                <w:color w:val="000000" w:themeColor="text1"/>
                <w:spacing w:val="-1"/>
                <w:sz w:val="24"/>
                <w:szCs w:val="24"/>
                <w:lang w:val="en-GB" w:eastAsia="en-US"/>
              </w:rPr>
              <w:t>Avoidance</w:t>
            </w:r>
            <w:r w:rsidRPr="00A03975">
              <w:rPr>
                <w:rFonts w:ascii="Book Antiqua" w:eastAsia="Cambria" w:hAnsi="Book Antiqua" w:cs="Cambria"/>
                <w:color w:val="000000" w:themeColor="text1"/>
                <w:spacing w:val="-7"/>
                <w:sz w:val="24"/>
                <w:szCs w:val="24"/>
                <w:lang w:val="en-GB" w:eastAsia="en-US"/>
              </w:rPr>
              <w:t xml:space="preserve"> </w:t>
            </w:r>
            <w:r w:rsidRPr="00A03975">
              <w:rPr>
                <w:rFonts w:ascii="Book Antiqua" w:eastAsia="Cambria" w:hAnsi="Book Antiqua" w:cs="Cambria"/>
                <w:color w:val="000000" w:themeColor="text1"/>
                <w:spacing w:val="-1"/>
                <w:sz w:val="24"/>
                <w:szCs w:val="24"/>
                <w:lang w:val="en-GB" w:eastAsia="en-US"/>
              </w:rPr>
              <w:t>of</w:t>
            </w:r>
            <w:r w:rsidRPr="00A03975">
              <w:rPr>
                <w:rFonts w:ascii="Book Antiqua" w:eastAsia="Cambria" w:hAnsi="Book Antiqua" w:cs="Cambria"/>
                <w:color w:val="000000" w:themeColor="text1"/>
                <w:spacing w:val="-6"/>
                <w:sz w:val="24"/>
                <w:szCs w:val="24"/>
                <w:lang w:val="en-GB" w:eastAsia="en-US"/>
              </w:rPr>
              <w:t xml:space="preserve"> </w:t>
            </w:r>
            <w:r w:rsidRPr="00A03975">
              <w:rPr>
                <w:rFonts w:ascii="Book Antiqua" w:eastAsia="Cambria" w:hAnsi="Book Antiqua" w:cs="Cambria"/>
                <w:color w:val="000000" w:themeColor="text1"/>
                <w:spacing w:val="-1"/>
                <w:sz w:val="24"/>
                <w:szCs w:val="24"/>
                <w:lang w:val="en-GB" w:eastAsia="en-US"/>
              </w:rPr>
              <w:t>contrast</w:t>
            </w:r>
            <w:r w:rsidRPr="00A03975">
              <w:rPr>
                <w:rFonts w:ascii="Book Antiqua" w:eastAsia="Cambria" w:hAnsi="Book Antiqua" w:cs="Cambria"/>
                <w:color w:val="000000" w:themeColor="text1"/>
                <w:spacing w:val="-7"/>
                <w:sz w:val="24"/>
                <w:szCs w:val="24"/>
                <w:lang w:val="en-GB" w:eastAsia="en-US"/>
              </w:rPr>
              <w:t xml:space="preserve"> </w:t>
            </w:r>
            <w:r w:rsidRPr="00A03975">
              <w:rPr>
                <w:rFonts w:ascii="Book Antiqua" w:eastAsia="Cambria" w:hAnsi="Book Antiqua" w:cs="Cambria"/>
                <w:color w:val="000000" w:themeColor="text1"/>
                <w:spacing w:val="-1"/>
                <w:sz w:val="24"/>
                <w:szCs w:val="24"/>
                <w:lang w:val="en-GB" w:eastAsia="en-US"/>
              </w:rPr>
              <w:t>medium</w:t>
            </w:r>
            <w:r w:rsidRPr="00A03975">
              <w:rPr>
                <w:rFonts w:ascii="Book Antiqua" w:eastAsia="Cambria" w:hAnsi="Book Antiqua" w:cs="Cambria"/>
                <w:color w:val="000000" w:themeColor="text1"/>
                <w:spacing w:val="-7"/>
                <w:sz w:val="24"/>
                <w:szCs w:val="24"/>
                <w:lang w:val="en-GB" w:eastAsia="en-US"/>
              </w:rPr>
              <w:t xml:space="preserve"> </w:t>
            </w:r>
            <w:r w:rsidRPr="00A03975">
              <w:rPr>
                <w:rFonts w:ascii="Book Antiqua" w:eastAsia="Cambria" w:hAnsi="Book Antiqua" w:cs="Cambria"/>
                <w:color w:val="000000" w:themeColor="text1"/>
                <w:spacing w:val="-1"/>
                <w:sz w:val="24"/>
                <w:szCs w:val="24"/>
                <w:lang w:val="en-GB" w:eastAsia="en-US"/>
              </w:rPr>
              <w:t>injection</w:t>
            </w:r>
          </w:p>
        </w:tc>
      </w:tr>
      <w:tr w:rsidR="00A03975" w:rsidRPr="00A03975" w14:paraId="13D94B13" w14:textId="77777777">
        <w:trPr>
          <w:trHeight w:val="281"/>
        </w:trPr>
        <w:tc>
          <w:tcPr>
            <w:tcW w:w="3690" w:type="dxa"/>
          </w:tcPr>
          <w:p w14:paraId="2D59658B"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410" w:type="dxa"/>
          </w:tcPr>
          <w:p w14:paraId="59996122"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at</w:t>
            </w:r>
            <w:r w:rsidRPr="00A03975">
              <w:rPr>
                <w:rFonts w:ascii="Book Antiqua" w:eastAsia="Cambria" w:hAnsi="Book Antiqua" w:cs="Cambria"/>
                <w:color w:val="000000" w:themeColor="text1"/>
                <w:spacing w:val="8"/>
                <w:sz w:val="24"/>
                <w:szCs w:val="24"/>
                <w:lang w:val="en-GB" w:eastAsia="en-US"/>
              </w:rPr>
              <w:t xml:space="preserve"> </w:t>
            </w:r>
            <w:r w:rsidRPr="00A03975">
              <w:rPr>
                <w:rFonts w:ascii="Book Antiqua" w:eastAsia="Cambria" w:hAnsi="Book Antiqua" w:cs="Cambria"/>
                <w:color w:val="000000" w:themeColor="text1"/>
                <w:sz w:val="24"/>
                <w:szCs w:val="24"/>
                <w:lang w:val="en-GB" w:eastAsia="en-US"/>
              </w:rPr>
              <w:t>the</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papilla</w:t>
            </w:r>
          </w:p>
        </w:tc>
        <w:tc>
          <w:tcPr>
            <w:tcW w:w="3070" w:type="dxa"/>
          </w:tcPr>
          <w:p w14:paraId="6C304BD0"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with</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risk</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recurrence</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cholangitis</w:t>
            </w:r>
          </w:p>
        </w:tc>
      </w:tr>
      <w:tr w:rsidR="00A03975" w:rsidRPr="00A03975" w14:paraId="758577A0" w14:textId="77777777">
        <w:trPr>
          <w:trHeight w:val="281"/>
        </w:trPr>
        <w:tc>
          <w:tcPr>
            <w:tcW w:w="3690" w:type="dxa"/>
          </w:tcPr>
          <w:p w14:paraId="1221C995"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(5) CBD</w:t>
            </w:r>
            <w:r w:rsidRPr="00A03975">
              <w:rPr>
                <w:rFonts w:ascii="Book Antiqua" w:eastAsia="Cambria" w:hAnsi="Book Antiqua" w:cs="Cambria"/>
                <w:color w:val="000000" w:themeColor="text1"/>
                <w:spacing w:val="7"/>
                <w:sz w:val="24"/>
                <w:szCs w:val="24"/>
                <w:lang w:val="en-GB" w:eastAsia="en-US"/>
              </w:rPr>
              <w:t xml:space="preserve"> </w:t>
            </w:r>
            <w:r w:rsidRPr="00A03975">
              <w:rPr>
                <w:rFonts w:ascii="Book Antiqua" w:eastAsia="Cambria" w:hAnsi="Book Antiqua" w:cs="Cambria"/>
                <w:color w:val="000000" w:themeColor="text1"/>
                <w:sz w:val="24"/>
                <w:szCs w:val="24"/>
                <w:lang w:val="en-GB" w:eastAsia="en-US"/>
              </w:rPr>
              <w:t>stones</w:t>
            </w:r>
            <w:r w:rsidRPr="00A03975">
              <w:rPr>
                <w:rFonts w:ascii="Book Antiqua" w:eastAsia="Cambria" w:hAnsi="Book Antiqua" w:cs="Cambria"/>
                <w:color w:val="000000" w:themeColor="text1"/>
                <w:spacing w:val="8"/>
                <w:sz w:val="24"/>
                <w:szCs w:val="24"/>
                <w:lang w:val="en-GB" w:eastAsia="en-US"/>
              </w:rPr>
              <w:t xml:space="preserve"> </w:t>
            </w:r>
            <w:r w:rsidRPr="00A03975">
              <w:rPr>
                <w:rFonts w:ascii="Book Antiqua" w:eastAsia="Cambria" w:hAnsi="Book Antiqua" w:cs="Cambria"/>
                <w:color w:val="000000" w:themeColor="text1"/>
                <w:sz w:val="24"/>
                <w:szCs w:val="24"/>
                <w:lang w:val="en-GB" w:eastAsia="en-US"/>
              </w:rPr>
              <w:t>after</w:t>
            </w:r>
            <w:r w:rsidRPr="00A03975">
              <w:rPr>
                <w:rFonts w:ascii="Book Antiqua" w:eastAsia="Cambria" w:hAnsi="Book Antiqua" w:cs="Cambria"/>
                <w:color w:val="000000" w:themeColor="text1"/>
                <w:spacing w:val="7"/>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recurrent</w:t>
            </w:r>
            <w:r w:rsidRPr="00A03975">
              <w:rPr>
                <w:rFonts w:ascii="Book Antiqua" w:eastAsia="Cambria" w:hAnsi="Book Antiqua" w:cs="Cambria"/>
                <w:color w:val="000000" w:themeColor="text1"/>
                <w:spacing w:val="8"/>
                <w:sz w:val="24"/>
                <w:szCs w:val="24"/>
                <w:lang w:val="en-GB" w:eastAsia="en-US"/>
              </w:rPr>
              <w:t xml:space="preserve"> </w:t>
            </w:r>
            <w:r w:rsidRPr="00A03975">
              <w:rPr>
                <w:rFonts w:ascii="Book Antiqua" w:eastAsia="Cambria" w:hAnsi="Book Antiqua" w:cs="Cambria"/>
                <w:color w:val="000000" w:themeColor="text1"/>
                <w:sz w:val="24"/>
                <w:szCs w:val="24"/>
                <w:lang w:val="en-GB" w:eastAsia="en-US"/>
              </w:rPr>
              <w:t>acute</w:t>
            </w:r>
            <w:r w:rsidRPr="00A03975">
              <w:rPr>
                <w:rFonts w:ascii="Book Antiqua" w:eastAsia="Cambria" w:hAnsi="Book Antiqua" w:cs="Cambria"/>
                <w:color w:val="000000" w:themeColor="text1"/>
                <w:spacing w:val="7"/>
                <w:sz w:val="24"/>
                <w:szCs w:val="24"/>
                <w:lang w:val="en-GB" w:eastAsia="en-US"/>
              </w:rPr>
              <w:t xml:space="preserve"> </w:t>
            </w:r>
            <w:r w:rsidRPr="00A03975">
              <w:rPr>
                <w:rFonts w:ascii="Book Antiqua" w:eastAsia="Cambria" w:hAnsi="Book Antiqua" w:cs="Cambria"/>
                <w:color w:val="000000" w:themeColor="text1"/>
                <w:sz w:val="24"/>
                <w:szCs w:val="24"/>
                <w:lang w:val="en-GB" w:eastAsia="en-US"/>
              </w:rPr>
              <w:t>biliary</w:t>
            </w:r>
            <w:r w:rsidRPr="00A03975">
              <w:rPr>
                <w:rFonts w:ascii="Book Antiqua" w:eastAsia="Cambria" w:hAnsi="Book Antiqua" w:cs="Cambria"/>
                <w:color w:val="000000" w:themeColor="text1"/>
                <w:spacing w:val="8"/>
                <w:sz w:val="24"/>
                <w:szCs w:val="24"/>
                <w:lang w:val="en-GB" w:eastAsia="en-US"/>
              </w:rPr>
              <w:t xml:space="preserve"> </w:t>
            </w:r>
            <w:r w:rsidRPr="00A03975">
              <w:rPr>
                <w:rFonts w:ascii="Book Antiqua" w:eastAsia="Cambria" w:hAnsi="Book Antiqua" w:cs="Cambria"/>
                <w:color w:val="000000" w:themeColor="text1"/>
                <w:sz w:val="24"/>
                <w:szCs w:val="24"/>
                <w:lang w:val="en-GB" w:eastAsia="en-US"/>
              </w:rPr>
              <w:t>pancreatitis</w:t>
            </w:r>
          </w:p>
        </w:tc>
        <w:tc>
          <w:tcPr>
            <w:tcW w:w="3410" w:type="dxa"/>
          </w:tcPr>
          <w:p w14:paraId="353F1D04"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5"/>
                <w:sz w:val="24"/>
                <w:szCs w:val="24"/>
                <w:lang w:val="en-GB" w:eastAsia="en-US"/>
              </w:rPr>
              <w:t>A, B,</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C,</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D, E</w:t>
            </w:r>
          </w:p>
        </w:tc>
        <w:tc>
          <w:tcPr>
            <w:tcW w:w="3070" w:type="dxa"/>
          </w:tcPr>
          <w:p w14:paraId="5148EBA8"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0"/>
                <w:sz w:val="24"/>
                <w:szCs w:val="24"/>
                <w:lang w:val="en-GB" w:eastAsia="en-US"/>
              </w:rPr>
              <w:t>a,</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b,</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c,</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d +</w:t>
            </w:r>
          </w:p>
        </w:tc>
      </w:tr>
      <w:tr w:rsidR="00A03975" w:rsidRPr="00A03975" w14:paraId="62C6FF19" w14:textId="77777777">
        <w:trPr>
          <w:trHeight w:val="240"/>
        </w:trPr>
        <w:tc>
          <w:tcPr>
            <w:tcW w:w="3690" w:type="dxa"/>
          </w:tcPr>
          <w:p w14:paraId="1C4B2F09"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lastRenderedPageBreak/>
              <w:t>or</w:t>
            </w:r>
            <w:r w:rsidRPr="00A03975">
              <w:rPr>
                <w:rFonts w:ascii="Book Antiqua" w:eastAsia="Cambria" w:hAnsi="Book Antiqua" w:cs="Cambria"/>
                <w:color w:val="000000" w:themeColor="text1"/>
                <w:spacing w:val="2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hyperbilirubinemia</w:t>
            </w:r>
          </w:p>
        </w:tc>
        <w:tc>
          <w:tcPr>
            <w:tcW w:w="3410" w:type="dxa"/>
          </w:tcPr>
          <w:p w14:paraId="0B583421"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Pr>
          <w:p w14:paraId="51D490E2"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(e)</w:t>
            </w:r>
            <w:r w:rsidRPr="00A03975">
              <w:rPr>
                <w:rFonts w:ascii="Book Antiqua" w:eastAsia="Cambria" w:hAnsi="Book Antiqua" w:cs="Cambria"/>
                <w:color w:val="000000" w:themeColor="text1"/>
                <w:spacing w:val="9"/>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recurrence</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ERCP</w:t>
            </w:r>
          </w:p>
        </w:tc>
      </w:tr>
      <w:tr w:rsidR="00A03975" w:rsidRPr="00A03975" w14:paraId="59807BE9" w14:textId="77777777">
        <w:trPr>
          <w:trHeight w:val="281"/>
        </w:trPr>
        <w:tc>
          <w:tcPr>
            <w:tcW w:w="3690" w:type="dxa"/>
          </w:tcPr>
          <w:p w14:paraId="0735497D"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(iatrogenic</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p>
        </w:tc>
        <w:tc>
          <w:tcPr>
            <w:tcW w:w="3410" w:type="dxa"/>
          </w:tcPr>
          <w:p w14:paraId="2250E700"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Pr>
          <w:p w14:paraId="14BAB362"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related</w:t>
            </w:r>
            <w:r w:rsidRPr="00A03975">
              <w:rPr>
                <w:rFonts w:ascii="Book Antiqua" w:eastAsia="Cambria" w:hAnsi="Book Antiqua" w:cs="Cambria"/>
                <w:color w:val="000000" w:themeColor="text1"/>
                <w:spacing w:val="6"/>
                <w:sz w:val="24"/>
                <w:szCs w:val="24"/>
                <w:lang w:val="en-GB" w:eastAsia="en-US"/>
              </w:rPr>
              <w:t xml:space="preserve"> </w:t>
            </w:r>
            <w:r w:rsidRPr="00A03975">
              <w:rPr>
                <w:rFonts w:ascii="Book Antiqua" w:eastAsia="Cambria" w:hAnsi="Book Antiqua" w:cs="Cambria"/>
                <w:color w:val="000000" w:themeColor="text1"/>
                <w:sz w:val="24"/>
                <w:szCs w:val="24"/>
                <w:lang w:val="en-GB" w:eastAsia="en-US"/>
              </w:rPr>
              <w:t>acute</w:t>
            </w:r>
            <w:r w:rsidRPr="00A03975">
              <w:rPr>
                <w:rFonts w:ascii="Book Antiqua" w:eastAsia="Cambria" w:hAnsi="Book Antiqua" w:cs="Cambria"/>
                <w:color w:val="000000" w:themeColor="text1"/>
                <w:spacing w:val="7"/>
                <w:sz w:val="24"/>
                <w:szCs w:val="24"/>
                <w:lang w:val="en-GB" w:eastAsia="en-US"/>
              </w:rPr>
              <w:t xml:space="preserve"> </w:t>
            </w:r>
            <w:r w:rsidRPr="00A03975">
              <w:rPr>
                <w:rFonts w:ascii="Book Antiqua" w:eastAsia="Cambria" w:hAnsi="Book Antiqua" w:cs="Cambria"/>
                <w:color w:val="000000" w:themeColor="text1"/>
                <w:sz w:val="24"/>
                <w:szCs w:val="24"/>
                <w:lang w:val="en-GB" w:eastAsia="en-US"/>
              </w:rPr>
              <w:t>pancreatitis</w:t>
            </w:r>
          </w:p>
        </w:tc>
      </w:tr>
      <w:tr w:rsidR="00A03975" w:rsidRPr="00A03975" w14:paraId="32E12EFF" w14:textId="77777777">
        <w:trPr>
          <w:trHeight w:val="281"/>
        </w:trPr>
        <w:tc>
          <w:tcPr>
            <w:tcW w:w="3690" w:type="dxa"/>
          </w:tcPr>
          <w:p w14:paraId="311E7429"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(6)</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Known</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or</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unsuspected sphincter</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Oddi</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dysfunction,</w:t>
            </w:r>
          </w:p>
        </w:tc>
        <w:tc>
          <w:tcPr>
            <w:tcW w:w="3410" w:type="dxa"/>
          </w:tcPr>
          <w:p w14:paraId="785B0C8D"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5"/>
                <w:sz w:val="24"/>
                <w:szCs w:val="24"/>
                <w:lang w:val="en-GB" w:eastAsia="en-US"/>
              </w:rPr>
              <w:t>A, B,</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C,</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D, E</w:t>
            </w:r>
          </w:p>
        </w:tc>
        <w:tc>
          <w:tcPr>
            <w:tcW w:w="3070" w:type="dxa"/>
          </w:tcPr>
          <w:p w14:paraId="57FD7E40"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a,</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b,</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e</w:t>
            </w:r>
          </w:p>
        </w:tc>
      </w:tr>
      <w:tr w:rsidR="00A03975" w:rsidRPr="00A03975" w14:paraId="11E1ADA0" w14:textId="77777777">
        <w:trPr>
          <w:trHeight w:val="238"/>
        </w:trPr>
        <w:tc>
          <w:tcPr>
            <w:tcW w:w="3690" w:type="dxa"/>
          </w:tcPr>
          <w:p w14:paraId="03D4CD00"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cholecysto-lithiasis</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with</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or</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without</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CBD</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stones</w:t>
            </w:r>
          </w:p>
        </w:tc>
        <w:tc>
          <w:tcPr>
            <w:tcW w:w="3410" w:type="dxa"/>
          </w:tcPr>
          <w:p w14:paraId="15C91CBE"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Pr>
          <w:p w14:paraId="5F607126"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1CF7DFBA" w14:textId="77777777">
        <w:trPr>
          <w:trHeight w:val="280"/>
        </w:trPr>
        <w:tc>
          <w:tcPr>
            <w:tcW w:w="3690" w:type="dxa"/>
          </w:tcPr>
          <w:p w14:paraId="19CE9F68"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2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(iatrogenic</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p>
        </w:tc>
        <w:tc>
          <w:tcPr>
            <w:tcW w:w="3410" w:type="dxa"/>
          </w:tcPr>
          <w:p w14:paraId="26C608D0"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Pr>
          <w:p w14:paraId="164CD79A"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37B23375" w14:textId="77777777">
        <w:trPr>
          <w:trHeight w:val="271"/>
        </w:trPr>
        <w:tc>
          <w:tcPr>
            <w:tcW w:w="3690" w:type="dxa"/>
          </w:tcPr>
          <w:p w14:paraId="6C4E9F8F"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(7)</w:t>
            </w:r>
            <w:r w:rsidRPr="00A03975">
              <w:rPr>
                <w:rFonts w:ascii="Book Antiqua" w:eastAsia="Cambria" w:hAnsi="Book Antiqua" w:cs="Cambria"/>
                <w:color w:val="000000" w:themeColor="text1"/>
                <w:spacing w:val="-8"/>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CBD</w:t>
            </w:r>
            <w:r w:rsidRPr="00A03975">
              <w:rPr>
                <w:rFonts w:ascii="Book Antiqua" w:eastAsia="Cambria" w:hAnsi="Book Antiqua" w:cs="Cambria"/>
                <w:color w:val="000000" w:themeColor="text1"/>
                <w:spacing w:val="-7"/>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stones</w:t>
            </w:r>
            <w:r w:rsidRPr="00A03975">
              <w:rPr>
                <w:rFonts w:ascii="Book Antiqua" w:eastAsia="Cambria" w:hAnsi="Book Antiqua" w:cs="Cambria"/>
                <w:color w:val="000000" w:themeColor="text1"/>
                <w:spacing w:val="-7"/>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and/or</w:t>
            </w:r>
            <w:r w:rsidRPr="00A03975">
              <w:rPr>
                <w:rFonts w:ascii="Book Antiqua" w:eastAsia="Cambria" w:hAnsi="Book Antiqua" w:cs="Cambria"/>
                <w:color w:val="000000" w:themeColor="text1"/>
                <w:spacing w:val="-8"/>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abovementioned</w:t>
            </w:r>
            <w:r w:rsidRPr="00A03975">
              <w:rPr>
                <w:rFonts w:ascii="Book Antiqua" w:eastAsia="Cambria" w:hAnsi="Book Antiqua" w:cs="Cambria"/>
                <w:color w:val="000000" w:themeColor="text1"/>
                <w:spacing w:val="-7"/>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problems</w:t>
            </w:r>
            <w:r w:rsidRPr="00A03975">
              <w:rPr>
                <w:rFonts w:ascii="Book Antiqua" w:eastAsia="Cambria" w:hAnsi="Book Antiqua" w:cs="Cambria"/>
                <w:color w:val="000000" w:themeColor="text1"/>
                <w:spacing w:val="-7"/>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in</w:t>
            </w:r>
            <w:r w:rsidRPr="00A03975">
              <w:rPr>
                <w:rFonts w:ascii="Book Antiqua" w:eastAsia="Cambria" w:hAnsi="Book Antiqua" w:cs="Cambria"/>
                <w:color w:val="000000" w:themeColor="text1"/>
                <w:spacing w:val="-8"/>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patients</w:t>
            </w:r>
          </w:p>
        </w:tc>
        <w:tc>
          <w:tcPr>
            <w:tcW w:w="3410" w:type="dxa"/>
          </w:tcPr>
          <w:p w14:paraId="1F4C2B9C"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5"/>
                <w:sz w:val="24"/>
                <w:szCs w:val="24"/>
                <w:lang w:val="en-GB" w:eastAsia="en-US"/>
              </w:rPr>
              <w:t>A,</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B, C, D, E +</w:t>
            </w:r>
          </w:p>
        </w:tc>
        <w:tc>
          <w:tcPr>
            <w:tcW w:w="3070" w:type="dxa"/>
          </w:tcPr>
          <w:p w14:paraId="4831C07C"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a,</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b,</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e</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w:t>
            </w:r>
          </w:p>
        </w:tc>
      </w:tr>
      <w:tr w:rsidR="00A03975" w:rsidRPr="00A03975" w14:paraId="73DD3C87" w14:textId="77777777">
        <w:trPr>
          <w:trHeight w:val="251"/>
        </w:trPr>
        <w:tc>
          <w:tcPr>
            <w:tcW w:w="3690" w:type="dxa"/>
          </w:tcPr>
          <w:p w14:paraId="4A6CE43F"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with</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 xml:space="preserve">Billroth </w:t>
            </w:r>
            <w:r w:rsidRPr="00A03975">
              <w:rPr>
                <w:rFonts w:ascii="宋体" w:eastAsia="宋体" w:hAnsi="宋体" w:cs="宋体" w:hint="eastAsia"/>
                <w:color w:val="000000" w:themeColor="text1"/>
                <w:w w:val="105"/>
                <w:sz w:val="24"/>
                <w:szCs w:val="24"/>
                <w:lang w:val="en-GB" w:eastAsia="en-US"/>
              </w:rPr>
              <w:t>Ⅱ</w:t>
            </w:r>
            <w:r w:rsidRPr="00A03975">
              <w:rPr>
                <w:rFonts w:ascii="Book Antiqua" w:eastAsia="宋体" w:hAnsi="Book Antiqua" w:cs="Cambria"/>
                <w:color w:val="000000" w:themeColor="text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during</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open</w:t>
            </w:r>
            <w:r w:rsidRPr="00A03975">
              <w:rPr>
                <w:rFonts w:ascii="Book Antiqua" w:eastAsia="Cambria" w:hAnsi="Book Antiqua" w:cs="Cambria"/>
                <w:color w:val="000000" w:themeColor="text1"/>
                <w:spacing w:val="8"/>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cholecystectomy</w:t>
            </w:r>
          </w:p>
        </w:tc>
        <w:tc>
          <w:tcPr>
            <w:tcW w:w="3410" w:type="dxa"/>
          </w:tcPr>
          <w:p w14:paraId="4E7D2F6F"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(F)</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Manual</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drive</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the</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endoscope</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by</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the</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surgeon</w:t>
            </w:r>
          </w:p>
        </w:tc>
        <w:tc>
          <w:tcPr>
            <w:tcW w:w="3070" w:type="dxa"/>
          </w:tcPr>
          <w:p w14:paraId="33919A67"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(f)</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more</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difficult</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ERCP</w:t>
            </w:r>
          </w:p>
        </w:tc>
      </w:tr>
      <w:tr w:rsidR="00A03975" w:rsidRPr="00A03975" w14:paraId="52FDF4E5" w14:textId="77777777">
        <w:trPr>
          <w:trHeight w:val="286"/>
        </w:trPr>
        <w:tc>
          <w:tcPr>
            <w:tcW w:w="3690" w:type="dxa"/>
          </w:tcPr>
          <w:p w14:paraId="09680274"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(iatrogenic</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p>
        </w:tc>
        <w:tc>
          <w:tcPr>
            <w:tcW w:w="3410" w:type="dxa"/>
          </w:tcPr>
          <w:p w14:paraId="7632D5E8"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in</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the</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afferent</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jejunal</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loop</w:t>
            </w:r>
          </w:p>
        </w:tc>
        <w:tc>
          <w:tcPr>
            <w:tcW w:w="3070" w:type="dxa"/>
          </w:tcPr>
          <w:p w14:paraId="17452736"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34A34A42" w14:textId="77777777">
        <w:trPr>
          <w:trHeight w:val="287"/>
        </w:trPr>
        <w:tc>
          <w:tcPr>
            <w:tcW w:w="3690" w:type="dxa"/>
          </w:tcPr>
          <w:p w14:paraId="73A8CA75"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(8)</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CBD</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stones,</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SOD,</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acute</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pancreatitis</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in</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children/CBD</w:t>
            </w:r>
          </w:p>
        </w:tc>
        <w:tc>
          <w:tcPr>
            <w:tcW w:w="3410" w:type="dxa"/>
          </w:tcPr>
          <w:p w14:paraId="2D6BDF78"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5"/>
                <w:sz w:val="24"/>
                <w:szCs w:val="24"/>
                <w:lang w:val="en-GB" w:eastAsia="en-US"/>
              </w:rPr>
              <w:t>A,</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B, C, D, E +</w:t>
            </w:r>
          </w:p>
        </w:tc>
        <w:tc>
          <w:tcPr>
            <w:tcW w:w="3070" w:type="dxa"/>
          </w:tcPr>
          <w:p w14:paraId="1E68C6E7"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0"/>
                <w:sz w:val="24"/>
                <w:szCs w:val="24"/>
                <w:lang w:val="en-GB" w:eastAsia="en-US"/>
              </w:rPr>
              <w:t>a,</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b, c,</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d, e,</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f +</w:t>
            </w:r>
          </w:p>
        </w:tc>
      </w:tr>
      <w:tr w:rsidR="00A03975" w:rsidRPr="00A03975" w14:paraId="205C6F7A" w14:textId="77777777">
        <w:trPr>
          <w:trHeight w:val="240"/>
        </w:trPr>
        <w:tc>
          <w:tcPr>
            <w:tcW w:w="3690" w:type="dxa"/>
          </w:tcPr>
          <w:p w14:paraId="7764A49C"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stones</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in</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patients</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with</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normal</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or</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thin</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CBD</w:t>
            </w:r>
          </w:p>
        </w:tc>
        <w:tc>
          <w:tcPr>
            <w:tcW w:w="3410" w:type="dxa"/>
          </w:tcPr>
          <w:p w14:paraId="6B0BDE52"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(G) difficult</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laparoscopic CBD</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exploration and</w:t>
            </w:r>
            <w:r w:rsidRPr="00A03975">
              <w:rPr>
                <w:rFonts w:ascii="Book Antiqua" w:eastAsia="Cambria" w:hAnsi="Book Antiqua" w:cs="Cambria"/>
                <w:color w:val="000000" w:themeColor="text1"/>
                <w:spacing w:val="1"/>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risk</w:t>
            </w:r>
          </w:p>
        </w:tc>
        <w:tc>
          <w:tcPr>
            <w:tcW w:w="3070" w:type="dxa"/>
          </w:tcPr>
          <w:p w14:paraId="415CCE20"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(h)</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avoidance</w:t>
            </w:r>
            <w:r w:rsidRPr="00A03975">
              <w:rPr>
                <w:rFonts w:ascii="Book Antiqua" w:eastAsia="Cambria" w:hAnsi="Book Antiqua" w:cs="Cambria"/>
                <w:color w:val="000000" w:themeColor="text1"/>
                <w:spacing w:val="-4"/>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p>
        </w:tc>
      </w:tr>
      <w:tr w:rsidR="00A03975" w:rsidRPr="00A03975" w14:paraId="6F5B60CF" w14:textId="77777777">
        <w:trPr>
          <w:trHeight w:val="294"/>
        </w:trPr>
        <w:tc>
          <w:tcPr>
            <w:tcW w:w="3690" w:type="dxa"/>
          </w:tcPr>
          <w:p w14:paraId="152D6A99"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-&gt;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(iatrogenic</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p>
        </w:tc>
        <w:tc>
          <w:tcPr>
            <w:tcW w:w="3410" w:type="dxa"/>
          </w:tcPr>
          <w:p w14:paraId="0A5F29CE"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stenosis</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5"/>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the</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suture</w:t>
            </w:r>
          </w:p>
        </w:tc>
        <w:tc>
          <w:tcPr>
            <w:tcW w:w="3070" w:type="dxa"/>
          </w:tcPr>
          <w:p w14:paraId="7FD37C7A"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sphincterotomy</w:t>
            </w:r>
            <w:r w:rsidRPr="00A03975">
              <w:rPr>
                <w:rFonts w:ascii="Book Antiqua" w:eastAsia="Cambria" w:hAnsi="Book Antiqua" w:cs="Cambria"/>
                <w:color w:val="000000" w:themeColor="text1"/>
                <w:spacing w:val="-7"/>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in</w:t>
            </w:r>
            <w:r w:rsidRPr="00A03975">
              <w:rPr>
                <w:rFonts w:ascii="Book Antiqua" w:eastAsia="Cambria" w:hAnsi="Book Antiqua" w:cs="Cambria"/>
                <w:color w:val="000000" w:themeColor="text1"/>
                <w:spacing w:val="-6"/>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children</w:t>
            </w:r>
          </w:p>
        </w:tc>
      </w:tr>
      <w:tr w:rsidR="00A03975" w:rsidRPr="00A03975" w14:paraId="5D42ECB4" w14:textId="77777777">
        <w:trPr>
          <w:trHeight w:val="294"/>
        </w:trPr>
        <w:tc>
          <w:tcPr>
            <w:tcW w:w="3690" w:type="dxa"/>
          </w:tcPr>
          <w:p w14:paraId="1F9DD538"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05"/>
                <w:sz w:val="24"/>
                <w:szCs w:val="24"/>
                <w:lang w:val="en-GB" w:eastAsia="en-US"/>
              </w:rPr>
              <w:t>(9)</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CBD</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stones</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and/or</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SOD</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after</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failure</w:t>
            </w:r>
            <w:r w:rsidRPr="00A03975">
              <w:rPr>
                <w:rFonts w:ascii="Book Antiqua" w:eastAsia="Cambria" w:hAnsi="Book Antiqua" w:cs="Cambria"/>
                <w:color w:val="000000" w:themeColor="text1"/>
                <w:spacing w:val="-2"/>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of</w:t>
            </w:r>
            <w:r w:rsidRPr="00A03975">
              <w:rPr>
                <w:rFonts w:ascii="Book Antiqua" w:eastAsia="Cambria" w:hAnsi="Book Antiqua" w:cs="Cambria"/>
                <w:color w:val="000000" w:themeColor="text1"/>
                <w:spacing w:val="-3"/>
                <w:w w:val="105"/>
                <w:sz w:val="24"/>
                <w:szCs w:val="24"/>
                <w:lang w:val="en-GB" w:eastAsia="en-US"/>
              </w:rPr>
              <w:t xml:space="preserve"> </w:t>
            </w:r>
            <w:r w:rsidRPr="00A03975">
              <w:rPr>
                <w:rFonts w:ascii="Book Antiqua" w:eastAsia="Cambria" w:hAnsi="Book Antiqua" w:cs="Cambria"/>
                <w:color w:val="000000" w:themeColor="text1"/>
                <w:w w:val="105"/>
                <w:sz w:val="24"/>
                <w:szCs w:val="24"/>
                <w:lang w:val="en-GB" w:eastAsia="en-US"/>
              </w:rPr>
              <w:t>preoperative</w:t>
            </w:r>
          </w:p>
        </w:tc>
        <w:tc>
          <w:tcPr>
            <w:tcW w:w="3410" w:type="dxa"/>
          </w:tcPr>
          <w:p w14:paraId="05098E1A"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5"/>
                <w:sz w:val="24"/>
                <w:szCs w:val="24"/>
                <w:lang w:val="en-GB" w:eastAsia="en-US"/>
              </w:rPr>
              <w:t>A, B,</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C,</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D, E</w:t>
            </w:r>
          </w:p>
        </w:tc>
        <w:tc>
          <w:tcPr>
            <w:tcW w:w="3070" w:type="dxa"/>
          </w:tcPr>
          <w:p w14:paraId="5A9D3D3B"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0"/>
                <w:sz w:val="24"/>
                <w:szCs w:val="24"/>
                <w:lang w:val="en-GB" w:eastAsia="en-US"/>
              </w:rPr>
              <w:t>a,</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b,</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c, d,</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e,</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f</w:t>
            </w:r>
          </w:p>
        </w:tc>
      </w:tr>
      <w:tr w:rsidR="00A03975" w:rsidRPr="00A03975" w14:paraId="040C807E" w14:textId="77777777">
        <w:trPr>
          <w:trHeight w:val="238"/>
        </w:trPr>
        <w:tc>
          <w:tcPr>
            <w:tcW w:w="3690" w:type="dxa"/>
          </w:tcPr>
          <w:p w14:paraId="6B7FA149"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ERCP-ES</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or</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recurrence</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of</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acute</w:t>
            </w:r>
            <w:r w:rsidRPr="00A03975">
              <w:rPr>
                <w:rFonts w:ascii="Book Antiqua" w:eastAsia="Cambria" w:hAnsi="Book Antiqua" w:cs="Cambria"/>
                <w:color w:val="000000" w:themeColor="text1"/>
                <w:spacing w:val="1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biliary</w:t>
            </w:r>
            <w:r w:rsidRPr="00A03975">
              <w:rPr>
                <w:rFonts w:ascii="Book Antiqua" w:eastAsia="Cambria" w:hAnsi="Book Antiqua" w:cs="Cambria"/>
                <w:color w:val="000000" w:themeColor="text1"/>
                <w:spacing w:val="13"/>
                <w:sz w:val="24"/>
                <w:szCs w:val="24"/>
                <w:lang w:val="en-GB" w:eastAsia="en-US"/>
              </w:rPr>
              <w:t xml:space="preserve"> </w:t>
            </w:r>
            <w:r w:rsidRPr="00A03975">
              <w:rPr>
                <w:rFonts w:ascii="Book Antiqua" w:eastAsia="Cambria" w:hAnsi="Book Antiqua" w:cs="Cambria"/>
                <w:color w:val="000000" w:themeColor="text1"/>
                <w:sz w:val="24"/>
                <w:szCs w:val="24"/>
                <w:lang w:val="en-GB" w:eastAsia="en-US"/>
              </w:rPr>
              <w:t>pancreatitis</w:t>
            </w:r>
          </w:p>
        </w:tc>
        <w:tc>
          <w:tcPr>
            <w:tcW w:w="3410" w:type="dxa"/>
          </w:tcPr>
          <w:p w14:paraId="1A5B5CF1"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Pr>
          <w:p w14:paraId="3E0940EC"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0B422FA0" w14:textId="77777777">
        <w:trPr>
          <w:trHeight w:val="287"/>
        </w:trPr>
        <w:tc>
          <w:tcPr>
            <w:tcW w:w="3690" w:type="dxa"/>
          </w:tcPr>
          <w:p w14:paraId="6EAA24AF"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Positive</w:t>
            </w:r>
            <w:r w:rsidRPr="00A03975">
              <w:rPr>
                <w:rFonts w:ascii="Book Antiqua" w:eastAsia="Cambria" w:hAnsi="Book Antiqua" w:cs="Cambria"/>
                <w:color w:val="000000" w:themeColor="text1"/>
                <w:spacing w:val="2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(iatrogenic</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p>
        </w:tc>
        <w:tc>
          <w:tcPr>
            <w:tcW w:w="3410" w:type="dxa"/>
          </w:tcPr>
          <w:p w14:paraId="104E2F49"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Pr>
          <w:p w14:paraId="2278B19A"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r w:rsidR="00A03975" w:rsidRPr="00A03975" w14:paraId="310FD1D1" w14:textId="77777777">
        <w:trPr>
          <w:trHeight w:val="287"/>
        </w:trPr>
        <w:tc>
          <w:tcPr>
            <w:tcW w:w="3690" w:type="dxa"/>
          </w:tcPr>
          <w:p w14:paraId="0529B5F7"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t>(10)</w:t>
            </w:r>
            <w:r w:rsidRPr="00A03975">
              <w:rPr>
                <w:rFonts w:ascii="Book Antiqua" w:eastAsia="Cambria" w:hAnsi="Book Antiqua" w:cs="Cambria"/>
                <w:color w:val="000000" w:themeColor="text1"/>
                <w:spacing w:val="16"/>
                <w:sz w:val="24"/>
                <w:szCs w:val="24"/>
                <w:lang w:val="en-GB" w:eastAsia="en-US"/>
              </w:rPr>
              <w:t xml:space="preserve"> </w:t>
            </w:r>
            <w:r w:rsidRPr="00A03975">
              <w:rPr>
                <w:rFonts w:ascii="Book Antiqua" w:eastAsia="Cambria" w:hAnsi="Book Antiqua" w:cs="Cambria"/>
                <w:color w:val="000000" w:themeColor="text1"/>
                <w:sz w:val="24"/>
                <w:szCs w:val="24"/>
                <w:lang w:val="en-GB" w:eastAsia="en-US"/>
              </w:rPr>
              <w:t>Inexperienced</w:t>
            </w:r>
            <w:r w:rsidRPr="00A03975">
              <w:rPr>
                <w:rFonts w:ascii="Book Antiqua" w:eastAsia="Cambria" w:hAnsi="Book Antiqua" w:cs="Cambria"/>
                <w:color w:val="000000" w:themeColor="text1"/>
                <w:spacing w:val="16"/>
                <w:sz w:val="24"/>
                <w:szCs w:val="24"/>
                <w:lang w:val="en-GB" w:eastAsia="en-US"/>
              </w:rPr>
              <w:t xml:space="preserve"> </w:t>
            </w:r>
            <w:r w:rsidRPr="00A03975">
              <w:rPr>
                <w:rFonts w:ascii="Book Antiqua" w:eastAsia="Cambria" w:hAnsi="Book Antiqua" w:cs="Cambria"/>
                <w:color w:val="000000" w:themeColor="text1"/>
                <w:sz w:val="24"/>
                <w:szCs w:val="24"/>
                <w:lang w:val="en-GB" w:eastAsia="en-US"/>
              </w:rPr>
              <w:t>surgeon</w:t>
            </w:r>
            <w:r w:rsidRPr="00A03975">
              <w:rPr>
                <w:rFonts w:ascii="Book Antiqua" w:eastAsia="Cambria" w:hAnsi="Book Antiqua" w:cs="Cambria"/>
                <w:color w:val="000000" w:themeColor="text1"/>
                <w:spacing w:val="17"/>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for</w:t>
            </w:r>
            <w:r w:rsidRPr="00A03975">
              <w:rPr>
                <w:rFonts w:ascii="Book Antiqua" w:eastAsia="Cambria" w:hAnsi="Book Antiqua" w:cs="Cambria"/>
                <w:color w:val="000000" w:themeColor="text1"/>
                <w:spacing w:val="16"/>
                <w:sz w:val="24"/>
                <w:szCs w:val="24"/>
                <w:lang w:val="en-GB" w:eastAsia="en-US"/>
              </w:rPr>
              <w:t xml:space="preserve"> </w:t>
            </w:r>
            <w:r w:rsidRPr="00A03975">
              <w:rPr>
                <w:rFonts w:ascii="Book Antiqua" w:eastAsia="Cambria" w:hAnsi="Book Antiqua" w:cs="Cambria"/>
                <w:color w:val="000000" w:themeColor="text1"/>
                <w:sz w:val="24"/>
                <w:szCs w:val="24"/>
                <w:lang w:val="en-GB" w:eastAsia="en-US"/>
              </w:rPr>
              <w:t>laparoscopic</w:t>
            </w:r>
            <w:r w:rsidRPr="00A03975">
              <w:rPr>
                <w:rFonts w:ascii="Book Antiqua" w:eastAsia="Cambria" w:hAnsi="Book Antiqua" w:cs="Cambria"/>
                <w:color w:val="000000" w:themeColor="text1"/>
                <w:spacing w:val="17"/>
                <w:sz w:val="24"/>
                <w:szCs w:val="24"/>
                <w:lang w:val="en-GB" w:eastAsia="en-US"/>
              </w:rPr>
              <w:t xml:space="preserve"> </w:t>
            </w:r>
            <w:r w:rsidRPr="00A03975">
              <w:rPr>
                <w:rFonts w:ascii="Book Antiqua" w:eastAsia="Cambria" w:hAnsi="Book Antiqua" w:cs="Cambria"/>
                <w:color w:val="000000" w:themeColor="text1"/>
                <w:sz w:val="24"/>
                <w:szCs w:val="24"/>
                <w:lang w:val="en-GB" w:eastAsia="en-US"/>
              </w:rPr>
              <w:t>CBD</w:t>
            </w:r>
            <w:r w:rsidRPr="00A03975">
              <w:rPr>
                <w:rFonts w:ascii="Book Antiqua" w:eastAsia="Cambria" w:hAnsi="Book Antiqua" w:cs="Cambria"/>
                <w:color w:val="000000" w:themeColor="text1"/>
                <w:spacing w:val="16"/>
                <w:sz w:val="24"/>
                <w:szCs w:val="24"/>
                <w:lang w:val="en-GB" w:eastAsia="en-US"/>
              </w:rPr>
              <w:t xml:space="preserve"> </w:t>
            </w:r>
            <w:r w:rsidRPr="00A03975">
              <w:rPr>
                <w:rFonts w:ascii="Book Antiqua" w:eastAsia="Cambria" w:hAnsi="Book Antiqua" w:cs="Cambria"/>
                <w:color w:val="000000" w:themeColor="text1"/>
                <w:sz w:val="24"/>
                <w:szCs w:val="24"/>
                <w:lang w:val="en-GB" w:eastAsia="en-US"/>
              </w:rPr>
              <w:t>exploration</w:t>
            </w:r>
          </w:p>
        </w:tc>
        <w:tc>
          <w:tcPr>
            <w:tcW w:w="3410" w:type="dxa"/>
          </w:tcPr>
          <w:p w14:paraId="2C3677FC"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zh-CN"/>
              </w:rPr>
            </w:pPr>
            <w:r w:rsidRPr="00A03975">
              <w:rPr>
                <w:rFonts w:ascii="Book Antiqua" w:eastAsia="Cambria" w:hAnsi="Book Antiqua" w:cs="Cambria"/>
                <w:color w:val="000000" w:themeColor="text1"/>
                <w:w w:val="115"/>
                <w:sz w:val="24"/>
                <w:szCs w:val="24"/>
                <w:lang w:val="en-GB" w:eastAsia="en-US"/>
              </w:rPr>
              <w:t>A, B,</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C,</w:t>
            </w:r>
            <w:r w:rsidRPr="00A03975">
              <w:rPr>
                <w:rFonts w:ascii="Book Antiqua" w:eastAsia="Cambria" w:hAnsi="Book Antiqua" w:cs="Cambria"/>
                <w:color w:val="000000" w:themeColor="text1"/>
                <w:spacing w:val="1"/>
                <w:w w:val="115"/>
                <w:sz w:val="24"/>
                <w:szCs w:val="24"/>
                <w:lang w:val="en-GB" w:eastAsia="en-US"/>
              </w:rPr>
              <w:t xml:space="preserve"> </w:t>
            </w:r>
            <w:r w:rsidRPr="00A03975">
              <w:rPr>
                <w:rFonts w:ascii="Book Antiqua" w:eastAsia="Cambria" w:hAnsi="Book Antiqua" w:cs="Cambria"/>
                <w:color w:val="000000" w:themeColor="text1"/>
                <w:w w:val="115"/>
                <w:sz w:val="24"/>
                <w:szCs w:val="24"/>
                <w:lang w:val="en-GB" w:eastAsia="en-US"/>
              </w:rPr>
              <w:t>D, E, G</w:t>
            </w:r>
          </w:p>
        </w:tc>
        <w:tc>
          <w:tcPr>
            <w:tcW w:w="3070" w:type="dxa"/>
          </w:tcPr>
          <w:p w14:paraId="40A5BB50"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w w:val="110"/>
                <w:sz w:val="24"/>
                <w:szCs w:val="24"/>
                <w:lang w:val="en-GB" w:eastAsia="en-US"/>
              </w:rPr>
              <w:t>a,</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b,</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c, d,</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e,</w:t>
            </w:r>
            <w:r w:rsidRPr="00A03975">
              <w:rPr>
                <w:rFonts w:ascii="Book Antiqua" w:eastAsia="Cambria" w:hAnsi="Book Antiqua" w:cs="Cambria"/>
                <w:color w:val="000000" w:themeColor="text1"/>
                <w:spacing w:val="-1"/>
                <w:w w:val="110"/>
                <w:sz w:val="24"/>
                <w:szCs w:val="24"/>
                <w:lang w:val="en-GB" w:eastAsia="en-US"/>
              </w:rPr>
              <w:t xml:space="preserve"> </w:t>
            </w:r>
            <w:r w:rsidRPr="00A03975">
              <w:rPr>
                <w:rFonts w:ascii="Book Antiqua" w:eastAsia="Cambria" w:hAnsi="Book Antiqua" w:cs="Cambria"/>
                <w:color w:val="000000" w:themeColor="text1"/>
                <w:w w:val="110"/>
                <w:sz w:val="24"/>
                <w:szCs w:val="24"/>
                <w:lang w:val="en-GB" w:eastAsia="en-US"/>
              </w:rPr>
              <w:t>f</w:t>
            </w:r>
          </w:p>
        </w:tc>
      </w:tr>
      <w:tr w:rsidR="00A03975" w:rsidRPr="00A03975" w14:paraId="7D1A94F4" w14:textId="77777777">
        <w:trPr>
          <w:trHeight w:val="284"/>
        </w:trPr>
        <w:tc>
          <w:tcPr>
            <w:tcW w:w="3690" w:type="dxa"/>
            <w:tcBorders>
              <w:bottom w:val="single" w:sz="6" w:space="0" w:color="auto"/>
            </w:tcBorders>
          </w:tcPr>
          <w:p w14:paraId="46F10C07"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r w:rsidRPr="00A03975">
              <w:rPr>
                <w:rFonts w:ascii="Book Antiqua" w:eastAsia="Cambria" w:hAnsi="Book Antiqua" w:cs="Cambria"/>
                <w:color w:val="000000" w:themeColor="text1"/>
                <w:sz w:val="24"/>
                <w:szCs w:val="24"/>
                <w:lang w:val="en-GB" w:eastAsia="en-US"/>
              </w:rPr>
              <w:lastRenderedPageBreak/>
              <w:t>Positive</w:t>
            </w:r>
            <w:r w:rsidRPr="00A03975">
              <w:rPr>
                <w:rFonts w:ascii="Book Antiqua" w:eastAsia="Cambria" w:hAnsi="Book Antiqua" w:cs="Cambria"/>
                <w:color w:val="000000" w:themeColor="text1"/>
                <w:spacing w:val="22"/>
                <w:sz w:val="24"/>
                <w:szCs w:val="24"/>
                <w:lang w:val="en-GB" w:eastAsia="en-US"/>
              </w:rPr>
              <w:t xml:space="preserve"> </w:t>
            </w:r>
            <w:r w:rsidRPr="00A03975">
              <w:rPr>
                <w:rFonts w:ascii="Book Antiqua" w:eastAsia="Cambria" w:hAnsi="Book Antiqua" w:cs="Cambria"/>
                <w:color w:val="000000" w:themeColor="text1"/>
                <w:sz w:val="24"/>
                <w:szCs w:val="24"/>
                <w:lang w:val="en-GB" w:eastAsia="en-US"/>
              </w:rPr>
              <w:t>factor</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 &gt;</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(iatrogenic</w:t>
            </w:r>
            <w:r w:rsidRPr="00A03975">
              <w:rPr>
                <w:rFonts w:ascii="Book Antiqua" w:eastAsia="Cambria" w:hAnsi="Book Antiqua" w:cs="Cambria"/>
                <w:color w:val="000000" w:themeColor="text1"/>
                <w:spacing w:val="10"/>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risk</w:t>
            </w:r>
            <w:r w:rsidRPr="00A03975">
              <w:rPr>
                <w:rFonts w:ascii="Book Antiqua" w:eastAsia="Cambria" w:hAnsi="Book Antiqua" w:cs="Cambria"/>
                <w:color w:val="000000" w:themeColor="text1"/>
                <w:spacing w:val="11"/>
                <w:sz w:val="24"/>
                <w:szCs w:val="24"/>
                <w:lang w:val="en-GB" w:eastAsia="en-US"/>
              </w:rPr>
              <w:t xml:space="preserve"> </w:t>
            </w:r>
            <w:r w:rsidRPr="00A03975">
              <w:rPr>
                <w:rFonts w:ascii="Book Antiqua" w:eastAsia="Cambria" w:hAnsi="Book Antiqua" w:cs="Cambria"/>
                <w:color w:val="000000" w:themeColor="text1"/>
                <w:sz w:val="24"/>
                <w:szCs w:val="24"/>
                <w:lang w:val="en-GB" w:eastAsia="en-US"/>
              </w:rPr>
              <w:t>reduction)</w:t>
            </w:r>
          </w:p>
        </w:tc>
        <w:tc>
          <w:tcPr>
            <w:tcW w:w="3410" w:type="dxa"/>
            <w:tcBorders>
              <w:bottom w:val="single" w:sz="6" w:space="0" w:color="auto"/>
            </w:tcBorders>
          </w:tcPr>
          <w:p w14:paraId="28673EDD"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c>
          <w:tcPr>
            <w:tcW w:w="3070" w:type="dxa"/>
            <w:tcBorders>
              <w:bottom w:val="single" w:sz="6" w:space="0" w:color="auto"/>
            </w:tcBorders>
          </w:tcPr>
          <w:p w14:paraId="1BE3615B" w14:textId="77777777" w:rsidR="000A3E5C" w:rsidRPr="00A03975" w:rsidRDefault="000A3E5C">
            <w:pPr>
              <w:widowControl w:val="0"/>
              <w:autoSpaceDE w:val="0"/>
              <w:autoSpaceDN w:val="0"/>
              <w:adjustRightInd w:val="0"/>
              <w:snapToGrid w:val="0"/>
              <w:spacing w:line="360" w:lineRule="auto"/>
              <w:jc w:val="both"/>
              <w:rPr>
                <w:rFonts w:ascii="Book Antiqua" w:eastAsia="Cambria" w:hAnsi="Book Antiqua" w:cs="Cambria"/>
                <w:color w:val="000000" w:themeColor="text1"/>
                <w:sz w:val="24"/>
                <w:szCs w:val="24"/>
                <w:lang w:val="en-GB" w:eastAsia="en-US"/>
              </w:rPr>
            </w:pPr>
          </w:p>
        </w:tc>
      </w:tr>
    </w:tbl>
    <w:p w14:paraId="7FD15DFB" w14:textId="77777777" w:rsidR="000A3E5C" w:rsidRPr="00A03975" w:rsidRDefault="000A3E5C">
      <w:pPr>
        <w:adjustRightInd w:val="0"/>
        <w:snapToGrid w:val="0"/>
        <w:spacing w:line="360" w:lineRule="auto"/>
        <w:jc w:val="both"/>
        <w:rPr>
          <w:rFonts w:ascii="Book Antiqua" w:eastAsia="Times New Roman" w:hAnsi="Book Antiqua"/>
          <w:color w:val="000000" w:themeColor="text1"/>
          <w:sz w:val="24"/>
          <w:szCs w:val="24"/>
          <w:lang w:val="en-GB"/>
        </w:rPr>
      </w:pPr>
      <w:r w:rsidRPr="00A03975">
        <w:rPr>
          <w:rFonts w:ascii="Book Antiqua" w:eastAsia="Book Antiqua" w:hAnsi="Book Antiqua"/>
          <w:bCs/>
          <w:color w:val="000000" w:themeColor="text1"/>
          <w:sz w:val="24"/>
          <w:szCs w:val="24"/>
          <w:lang w:val="en-GB"/>
        </w:rPr>
        <w:t xml:space="preserve">Citation: La Greca G, Barbagallo F, Di Blasi M, Chisari A, Lombardo R, Bonaccorso R, Latteri S, Di Stefano A, Russello D. Laparo-endoscopic “Rendezvous” to treat cholecysto-choledocolithiasis: Effective, safe and simplifies the endoscopist’s work. </w:t>
      </w:r>
      <w:r w:rsidRPr="00A03975">
        <w:rPr>
          <w:rFonts w:ascii="Book Antiqua" w:eastAsia="Book Antiqua" w:hAnsi="Book Antiqua"/>
          <w:bCs/>
          <w:i/>
          <w:color w:val="000000" w:themeColor="text1"/>
          <w:sz w:val="24"/>
          <w:szCs w:val="24"/>
          <w:lang w:val="en-GB"/>
        </w:rPr>
        <w:t>World J Gastroenterol</w:t>
      </w:r>
      <w:r w:rsidRPr="00A03975">
        <w:rPr>
          <w:rFonts w:ascii="Book Antiqua" w:eastAsia="Book Antiqua" w:hAnsi="Book Antiqua"/>
          <w:bCs/>
          <w:color w:val="000000" w:themeColor="text1"/>
          <w:sz w:val="24"/>
          <w:szCs w:val="24"/>
          <w:lang w:val="en-GB"/>
        </w:rPr>
        <w:t xml:space="preserve"> 2008 May 14; 14(18): 2844-2850. Copyright ©</w:t>
      </w:r>
      <w:proofErr w:type="gramStart"/>
      <w:r w:rsidRPr="00A03975">
        <w:rPr>
          <w:rFonts w:ascii="Book Antiqua" w:eastAsia="Book Antiqua" w:hAnsi="Book Antiqua"/>
          <w:bCs/>
          <w:color w:val="000000" w:themeColor="text1"/>
          <w:sz w:val="24"/>
          <w:szCs w:val="24"/>
          <w:lang w:val="en-GB"/>
        </w:rPr>
        <w:t>The</w:t>
      </w:r>
      <w:proofErr w:type="gramEnd"/>
      <w:r w:rsidRPr="00A03975">
        <w:rPr>
          <w:rFonts w:ascii="Book Antiqua" w:eastAsia="Book Antiqua" w:hAnsi="Book Antiqua"/>
          <w:bCs/>
          <w:color w:val="000000" w:themeColor="text1"/>
          <w:sz w:val="24"/>
          <w:szCs w:val="24"/>
          <w:lang w:val="en-GB"/>
        </w:rPr>
        <w:t xml:space="preserve"> Author(s) 2019. Published by Baishideng Publishing Group </w:t>
      </w:r>
      <w:proofErr w:type="gramStart"/>
      <w:r w:rsidRPr="00A03975">
        <w:rPr>
          <w:rFonts w:ascii="Book Antiqua" w:eastAsia="Book Antiqua" w:hAnsi="Book Antiqua"/>
          <w:bCs/>
          <w:color w:val="000000" w:themeColor="text1"/>
          <w:sz w:val="24"/>
          <w:szCs w:val="24"/>
          <w:lang w:val="en-GB"/>
        </w:rPr>
        <w:t>Inc</w:t>
      </w:r>
      <w:r w:rsidRPr="00A03975">
        <w:rPr>
          <w:rFonts w:ascii="Book Antiqua" w:eastAsia="Book Antiqua" w:hAnsi="Book Antiqua"/>
          <w:bCs/>
          <w:color w:val="000000" w:themeColor="text1"/>
          <w:sz w:val="24"/>
          <w:szCs w:val="24"/>
          <w:vertAlign w:val="superscript"/>
          <w:lang w:val="en-GB"/>
        </w:rPr>
        <w:t>[</w:t>
      </w:r>
      <w:proofErr w:type="gramEnd"/>
      <w:r w:rsidRPr="00A03975">
        <w:rPr>
          <w:rFonts w:ascii="Book Antiqua" w:eastAsia="Book Antiqua" w:hAnsi="Book Antiqua"/>
          <w:bCs/>
          <w:color w:val="000000" w:themeColor="text1"/>
          <w:sz w:val="24"/>
          <w:szCs w:val="24"/>
          <w:vertAlign w:val="superscript"/>
          <w:lang w:val="en-GB"/>
        </w:rPr>
        <w:t>131]</w:t>
      </w:r>
      <w:r w:rsidRPr="00A03975">
        <w:rPr>
          <w:rFonts w:ascii="Book Antiqua" w:eastAsia="Book Antiqua" w:hAnsi="Book Antiqua"/>
          <w:bCs/>
          <w:color w:val="000000" w:themeColor="text1"/>
          <w:sz w:val="24"/>
          <w:szCs w:val="24"/>
          <w:lang w:val="en-GB"/>
        </w:rPr>
        <w:t xml:space="preserve">”. </w:t>
      </w:r>
      <w:r w:rsidRPr="00A03975">
        <w:rPr>
          <w:rFonts w:ascii="Book Antiqua" w:eastAsia="Times New Roman" w:hAnsi="Book Antiqua"/>
          <w:color w:val="000000" w:themeColor="text1"/>
          <w:sz w:val="24"/>
          <w:szCs w:val="24"/>
          <w:lang w:val="en-GB"/>
        </w:rPr>
        <w:t xml:space="preserve">CBD: Common bile duct; ERCP: </w:t>
      </w:r>
      <w:r w:rsidRPr="00A03975">
        <w:rPr>
          <w:rFonts w:ascii="Book Antiqua" w:eastAsia="Book Antiqua" w:hAnsi="Book Antiqua"/>
          <w:color w:val="000000" w:themeColor="text1"/>
          <w:sz w:val="24"/>
          <w:szCs w:val="24"/>
          <w:lang w:val="en-GB"/>
        </w:rPr>
        <w:t xml:space="preserve">Endoscopic retrograde cholangio-pancreatography; </w:t>
      </w:r>
      <w:r w:rsidRPr="00A03975">
        <w:rPr>
          <w:rFonts w:ascii="Book Antiqua" w:hAnsi="Book Antiqua"/>
          <w:color w:val="000000" w:themeColor="text1"/>
          <w:sz w:val="24"/>
          <w:szCs w:val="24"/>
          <w:lang w:val="en-GB"/>
        </w:rPr>
        <w:t>ES: Endoscopic sphincterotomy; IOC: Intraoperative cholangiography; SOD: Sphincter of Oddi dysfunction.</w:t>
      </w:r>
    </w:p>
    <w:p w14:paraId="1E0F6471" w14:textId="12154FA4" w:rsidR="00A03975" w:rsidRDefault="00A03975">
      <w:pPr>
        <w:rPr>
          <w:rFonts w:ascii="Book Antiqua" w:eastAsia="Times New Roman" w:hAnsi="Book Antiqua"/>
          <w:color w:val="000000" w:themeColor="text1"/>
          <w:sz w:val="24"/>
          <w:szCs w:val="24"/>
          <w:lang w:val="en-GB"/>
        </w:rPr>
      </w:pPr>
      <w:r>
        <w:rPr>
          <w:rFonts w:ascii="Book Antiqua" w:eastAsia="Times New Roman" w:hAnsi="Book Antiqua"/>
          <w:color w:val="000000" w:themeColor="text1"/>
          <w:sz w:val="24"/>
          <w:szCs w:val="24"/>
          <w:lang w:val="en-GB"/>
        </w:rPr>
        <w:br w:type="page"/>
      </w:r>
    </w:p>
    <w:p w14:paraId="3DADF9F1" w14:textId="77777777" w:rsidR="00A03975" w:rsidRDefault="00A03975" w:rsidP="00A03975">
      <w:pPr>
        <w:jc w:val="center"/>
        <w:rPr>
          <w:rFonts w:ascii="Book Antiqua" w:hAnsi="Book Antiqua"/>
          <w:lang w:eastAsia="zh-CN"/>
        </w:rPr>
      </w:pPr>
    </w:p>
    <w:p w14:paraId="565A6F3C" w14:textId="77777777" w:rsidR="00A03975" w:rsidRDefault="00A03975" w:rsidP="00A03975">
      <w:pPr>
        <w:jc w:val="center"/>
        <w:rPr>
          <w:rFonts w:ascii="Book Antiqua" w:hAnsi="Book Antiqua"/>
          <w:lang w:eastAsia="zh-CN"/>
        </w:rPr>
      </w:pPr>
    </w:p>
    <w:p w14:paraId="666A4515" w14:textId="77777777" w:rsidR="00A03975" w:rsidRDefault="00A03975" w:rsidP="00A03975">
      <w:pPr>
        <w:jc w:val="center"/>
        <w:rPr>
          <w:rFonts w:ascii="Book Antiqua" w:hAnsi="Book Antiqua"/>
          <w:lang w:eastAsia="zh-CN"/>
        </w:rPr>
      </w:pPr>
    </w:p>
    <w:p w14:paraId="15E9333D" w14:textId="77777777" w:rsidR="00A03975" w:rsidRDefault="00A03975" w:rsidP="00A03975">
      <w:pPr>
        <w:jc w:val="center"/>
        <w:rPr>
          <w:rFonts w:ascii="Book Antiqua" w:hAnsi="Book Antiqua"/>
          <w:lang w:eastAsia="zh-CN"/>
        </w:rPr>
      </w:pPr>
    </w:p>
    <w:p w14:paraId="2E5F6143" w14:textId="77777777" w:rsidR="00A03975" w:rsidRDefault="00A03975" w:rsidP="00A03975">
      <w:pPr>
        <w:jc w:val="center"/>
        <w:rPr>
          <w:rFonts w:ascii="Book Antiqua" w:hAnsi="Book Antiqua"/>
          <w:lang w:eastAsia="zh-CN"/>
        </w:rPr>
      </w:pPr>
    </w:p>
    <w:p w14:paraId="1C23005D" w14:textId="6FA80233" w:rsidR="00A03975" w:rsidRDefault="00A03975" w:rsidP="00A03975">
      <w:pPr>
        <w:jc w:val="center"/>
        <w:rPr>
          <w:rFonts w:ascii="Book Antiqua" w:hAnsi="Book Antiqua"/>
          <w:lang w:eastAsia="zh-CN"/>
        </w:rPr>
      </w:pPr>
      <w:r>
        <w:rPr>
          <w:rFonts w:ascii="Book Antiqua" w:hAnsi="Book Antiqua"/>
          <w:noProof/>
          <w:lang w:val="en-US" w:eastAsia="zh-CN"/>
        </w:rPr>
        <w:drawing>
          <wp:inline distT="0" distB="0" distL="0" distR="0" wp14:anchorId="788A60C6" wp14:editId="48E76204">
            <wp:extent cx="2502535" cy="1443990"/>
            <wp:effectExtent l="0" t="0" r="0" b="381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2535" cy="1443990"/>
                    </a:xfrm>
                    <a:prstGeom prst="rect">
                      <a:avLst/>
                    </a:prstGeom>
                    <a:noFill/>
                    <a:ln>
                      <a:noFill/>
                    </a:ln>
                  </pic:spPr>
                </pic:pic>
              </a:graphicData>
            </a:graphic>
          </wp:inline>
        </w:drawing>
      </w:r>
    </w:p>
    <w:p w14:paraId="05D1AC08" w14:textId="77777777" w:rsidR="00A03975" w:rsidRDefault="00A03975" w:rsidP="00A03975">
      <w:pPr>
        <w:jc w:val="center"/>
        <w:rPr>
          <w:rFonts w:ascii="Book Antiqua" w:hAnsi="Book Antiqua"/>
          <w:lang w:eastAsia="zh-CN"/>
        </w:rPr>
      </w:pPr>
    </w:p>
    <w:p w14:paraId="57C163E1" w14:textId="77777777" w:rsidR="00A03975" w:rsidRDefault="00A03975" w:rsidP="00A03975">
      <w:pPr>
        <w:autoSpaceDE w:val="0"/>
        <w:autoSpaceDN w:val="0"/>
        <w:adjustRightInd w:val="0"/>
        <w:jc w:val="center"/>
        <w:rPr>
          <w:rFonts w:ascii="Book Antiqua" w:eastAsia="Garamond-Bold" w:hAnsi="Book Antiqua" w:cs="Garamond-Bold"/>
          <w:b/>
          <w:bCs/>
          <w:color w:val="000000"/>
          <w:sz w:val="28"/>
          <w:szCs w:val="28"/>
          <w:lang w:eastAsia="en-US"/>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12198B0" w14:textId="77777777" w:rsidR="00A03975" w:rsidRDefault="00A03975" w:rsidP="00A0397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0EB6BA1" w14:textId="77777777" w:rsidR="00A03975" w:rsidRDefault="00A03975" w:rsidP="00A0397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8CFB93" w14:textId="77777777" w:rsidR="00A03975" w:rsidRDefault="00A03975" w:rsidP="00A0397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59BE216" w14:textId="77777777" w:rsidR="00A03975" w:rsidRDefault="00A03975" w:rsidP="00A0397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83D3BDD" w14:textId="77777777" w:rsidR="00A03975" w:rsidRDefault="00A03975" w:rsidP="00A03975">
      <w:pPr>
        <w:jc w:val="center"/>
        <w:rPr>
          <w:rFonts w:ascii="Book Antiqua" w:eastAsiaTheme="minorEastAsia" w:hAnsi="Book Antiqua" w:cs="Times New Roman"/>
          <w:sz w:val="24"/>
          <w:szCs w:val="24"/>
          <w:lang w:eastAsia="zh-CN"/>
        </w:rPr>
      </w:pPr>
      <w:r>
        <w:rPr>
          <w:rFonts w:ascii="Book Antiqua" w:eastAsia="TimesNewRomanPSMT" w:hAnsi="Book Antiqua" w:cs="Garamond"/>
          <w:color w:val="D56400"/>
          <w:sz w:val="28"/>
          <w:szCs w:val="28"/>
        </w:rPr>
        <w:t>https://www.wjgnet.com</w:t>
      </w:r>
    </w:p>
    <w:p w14:paraId="302E46E8" w14:textId="77777777" w:rsidR="00A03975" w:rsidRDefault="00A03975" w:rsidP="00A03975">
      <w:pPr>
        <w:jc w:val="center"/>
        <w:rPr>
          <w:rFonts w:ascii="Book Antiqua" w:hAnsi="Book Antiqua"/>
          <w:lang w:eastAsia="zh-CN"/>
        </w:rPr>
      </w:pPr>
    </w:p>
    <w:p w14:paraId="7A62FFE7" w14:textId="77777777" w:rsidR="00A03975" w:rsidRDefault="00A03975" w:rsidP="00A03975">
      <w:pPr>
        <w:jc w:val="center"/>
        <w:rPr>
          <w:rFonts w:ascii="Book Antiqua" w:hAnsi="Book Antiqua"/>
          <w:lang w:eastAsia="zh-CN"/>
        </w:rPr>
      </w:pPr>
    </w:p>
    <w:p w14:paraId="43004804" w14:textId="77777777" w:rsidR="00A03975" w:rsidRDefault="00A03975" w:rsidP="00A03975">
      <w:pPr>
        <w:jc w:val="center"/>
        <w:rPr>
          <w:rFonts w:ascii="Book Antiqua" w:hAnsi="Book Antiqua"/>
          <w:lang w:eastAsia="zh-CN"/>
        </w:rPr>
      </w:pPr>
    </w:p>
    <w:p w14:paraId="7CD7881B" w14:textId="06C910E0" w:rsidR="00A03975" w:rsidRDefault="00A03975" w:rsidP="00A03975">
      <w:pPr>
        <w:jc w:val="center"/>
        <w:rPr>
          <w:rFonts w:ascii="Book Antiqua" w:hAnsi="Book Antiqua"/>
          <w:lang w:eastAsia="zh-CN"/>
        </w:rPr>
      </w:pPr>
      <w:r>
        <w:rPr>
          <w:rFonts w:ascii="Book Antiqua" w:hAnsi="Book Antiqua"/>
          <w:noProof/>
          <w:lang w:val="en-US" w:eastAsia="zh-CN"/>
        </w:rPr>
        <w:drawing>
          <wp:inline distT="0" distB="0" distL="0" distR="0" wp14:anchorId="6FAF932C" wp14:editId="6F1B5642">
            <wp:extent cx="1451610" cy="1443990"/>
            <wp:effectExtent l="0" t="0" r="0" b="381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1610" cy="1443990"/>
                    </a:xfrm>
                    <a:prstGeom prst="rect">
                      <a:avLst/>
                    </a:prstGeom>
                    <a:noFill/>
                    <a:ln>
                      <a:noFill/>
                    </a:ln>
                  </pic:spPr>
                </pic:pic>
              </a:graphicData>
            </a:graphic>
          </wp:inline>
        </w:drawing>
      </w:r>
    </w:p>
    <w:p w14:paraId="738D7F06" w14:textId="77777777" w:rsidR="00A03975" w:rsidRDefault="00A03975" w:rsidP="00A03975">
      <w:pPr>
        <w:jc w:val="center"/>
        <w:rPr>
          <w:rFonts w:ascii="Book Antiqua" w:hAnsi="Book Antiqua"/>
          <w:lang w:eastAsia="zh-CN"/>
        </w:rPr>
      </w:pPr>
    </w:p>
    <w:p w14:paraId="164EF5C1" w14:textId="77777777" w:rsidR="00A03975" w:rsidRDefault="00A03975" w:rsidP="00A03975">
      <w:pPr>
        <w:jc w:val="center"/>
        <w:rPr>
          <w:rFonts w:ascii="Book Antiqua" w:hAnsi="Book Antiqua"/>
          <w:lang w:eastAsia="zh-CN"/>
        </w:rPr>
      </w:pPr>
    </w:p>
    <w:p w14:paraId="6E36A83B" w14:textId="77777777" w:rsidR="00A03975" w:rsidRDefault="00A03975" w:rsidP="00A03975">
      <w:pPr>
        <w:jc w:val="center"/>
        <w:rPr>
          <w:rFonts w:ascii="Book Antiqua" w:hAnsi="Book Antiqua"/>
          <w:lang w:eastAsia="zh-CN"/>
        </w:rPr>
      </w:pPr>
    </w:p>
    <w:p w14:paraId="41E0C556" w14:textId="77777777" w:rsidR="00A03975" w:rsidRDefault="00A03975" w:rsidP="00A03975">
      <w:pPr>
        <w:jc w:val="center"/>
        <w:rPr>
          <w:rFonts w:ascii="Book Antiqua" w:hAnsi="Book Antiqua"/>
          <w:lang w:eastAsia="zh-CN"/>
        </w:rPr>
      </w:pPr>
    </w:p>
    <w:p w14:paraId="66FF4F47" w14:textId="77777777" w:rsidR="00A03975" w:rsidRDefault="00A03975" w:rsidP="00A03975">
      <w:pPr>
        <w:jc w:val="center"/>
        <w:rPr>
          <w:rFonts w:ascii="Book Antiqua" w:hAnsi="Book Antiqua"/>
          <w:lang w:eastAsia="zh-CN"/>
        </w:rPr>
      </w:pPr>
    </w:p>
    <w:p w14:paraId="6B914B3B" w14:textId="77777777" w:rsidR="00A03975" w:rsidRDefault="00A03975" w:rsidP="00A03975">
      <w:pPr>
        <w:jc w:val="center"/>
        <w:rPr>
          <w:rFonts w:ascii="Book Antiqua" w:hAnsi="Book Antiqua"/>
          <w:lang w:eastAsia="zh-CN"/>
        </w:rPr>
      </w:pPr>
    </w:p>
    <w:p w14:paraId="3FFFFA9D" w14:textId="77777777" w:rsidR="00A03975" w:rsidRDefault="00A03975" w:rsidP="00A03975">
      <w:pPr>
        <w:jc w:val="center"/>
        <w:rPr>
          <w:rFonts w:ascii="Book Antiqua" w:hAnsi="Book Antiqua"/>
          <w:lang w:eastAsia="zh-CN"/>
        </w:rPr>
      </w:pPr>
    </w:p>
    <w:p w14:paraId="5A3E2D54" w14:textId="77777777" w:rsidR="00A03975" w:rsidRDefault="00A03975" w:rsidP="00A03975">
      <w:pPr>
        <w:jc w:val="center"/>
        <w:rPr>
          <w:rFonts w:ascii="Book Antiqua" w:hAnsi="Book Antiqua"/>
          <w:lang w:eastAsia="zh-CN"/>
        </w:rPr>
      </w:pPr>
    </w:p>
    <w:p w14:paraId="1E5DD69F" w14:textId="77777777" w:rsidR="00A03975" w:rsidRDefault="00A03975" w:rsidP="00A03975">
      <w:pPr>
        <w:jc w:val="center"/>
        <w:rPr>
          <w:rFonts w:ascii="Book Antiqua" w:hAnsi="Book Antiqua"/>
          <w:lang w:eastAsia="zh-CN"/>
        </w:rPr>
      </w:pPr>
    </w:p>
    <w:p w14:paraId="10FF42D8" w14:textId="77777777" w:rsidR="00A03975" w:rsidRDefault="00A03975" w:rsidP="00A03975">
      <w:pPr>
        <w:jc w:val="right"/>
        <w:rPr>
          <w:rFonts w:ascii="Book Antiqua" w:hAnsi="Book Antiqua"/>
          <w:color w:val="000000" w:themeColor="text1"/>
          <w:lang w:eastAsia="zh-CN"/>
        </w:rPr>
      </w:pPr>
    </w:p>
    <w:p w14:paraId="2BB40AF9" w14:textId="77777777" w:rsidR="00A03975" w:rsidRDefault="00A03975" w:rsidP="00A0397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515B645" w14:textId="77777777" w:rsidR="00A03975" w:rsidRDefault="00A03975" w:rsidP="00A03975">
      <w:pPr>
        <w:rPr>
          <w:rFonts w:ascii="Times New Roman" w:hAnsi="Times New Roman"/>
          <w:lang w:eastAsia="zh-CN"/>
        </w:rPr>
      </w:pPr>
    </w:p>
    <w:p w14:paraId="569D043E" w14:textId="77777777" w:rsidR="000A3E5C" w:rsidRPr="00A03975" w:rsidRDefault="000A3E5C">
      <w:pPr>
        <w:adjustRightInd w:val="0"/>
        <w:snapToGrid w:val="0"/>
        <w:spacing w:line="360" w:lineRule="auto"/>
        <w:jc w:val="both"/>
        <w:rPr>
          <w:rFonts w:ascii="Book Antiqua" w:eastAsia="Times New Roman" w:hAnsi="Book Antiqua"/>
          <w:color w:val="000000" w:themeColor="text1"/>
          <w:sz w:val="24"/>
          <w:szCs w:val="24"/>
          <w:lang w:val="en-GB"/>
        </w:rPr>
      </w:pPr>
      <w:bookmarkStart w:id="9" w:name="_GoBack"/>
      <w:bookmarkEnd w:id="9"/>
    </w:p>
    <w:sectPr w:rsidR="000A3E5C" w:rsidRPr="00A03975">
      <w:headerReference w:type="even" r:id="rId13"/>
      <w:headerReference w:type="default" r:id="rId14"/>
      <w:footerReference w:type="even" r:id="rId15"/>
      <w:footerReference w:type="default" r:id="rId16"/>
      <w:headerReference w:type="first" r:id="rId17"/>
      <w:footerReference w:type="first" r:id="rId18"/>
      <w:type w:val="nextColumn"/>
      <w:pgSz w:w="11900" w:h="16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A9D50" w14:textId="77777777" w:rsidR="008D2200" w:rsidRDefault="008D2200">
      <w:r>
        <w:separator/>
      </w:r>
    </w:p>
  </w:endnote>
  <w:endnote w:type="continuationSeparator" w:id="0">
    <w:p w14:paraId="66940188" w14:textId="77777777" w:rsidR="008D2200" w:rsidRDefault="008D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default"/>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FC0B" w14:textId="77777777" w:rsidR="000A3E5C" w:rsidRDefault="000A3E5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0397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03975">
      <w:rPr>
        <w:b/>
        <w:bCs/>
        <w:noProof/>
      </w:rPr>
      <w:t>45</w:t>
    </w:r>
    <w:r>
      <w:rPr>
        <w:b/>
        <w:bCs/>
        <w:sz w:val="24"/>
        <w:szCs w:val="24"/>
      </w:rPr>
      <w:fldChar w:fldCharType="end"/>
    </w:r>
  </w:p>
  <w:p w14:paraId="40DC0CF6" w14:textId="77777777" w:rsidR="000A3E5C" w:rsidRDefault="000A3E5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91247" w14:textId="77777777" w:rsidR="000A3E5C" w:rsidRDefault="000A3E5C">
    <w:pPr>
      <w:pStyle w:val="a5"/>
      <w:framePr w:wrap="auto" w:vAnchor="text" w:hAnchor="margin" w:xAlign="right" w:y="1"/>
      <w:rPr>
        <w:rStyle w:val="aa"/>
      </w:rPr>
    </w:pPr>
    <w:r>
      <w:rPr>
        <w:rStyle w:val="aa"/>
      </w:rPr>
      <w:fldChar w:fldCharType="begin"/>
    </w:r>
    <w:r>
      <w:rPr>
        <w:rStyle w:val="aa"/>
      </w:rPr>
      <w:instrText xml:space="preserve"> PAGE </w:instrText>
    </w:r>
    <w:r>
      <w:rPr>
        <w:rStyle w:val="aa"/>
      </w:rPr>
      <w:fldChar w:fldCharType="end"/>
    </w:r>
  </w:p>
  <w:p w14:paraId="071F0576" w14:textId="77777777" w:rsidR="000A3E5C" w:rsidRDefault="000A3E5C">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8263E" w14:textId="77777777" w:rsidR="000A3E5C" w:rsidRDefault="000A3E5C">
    <w:pPr>
      <w:pStyle w:val="a5"/>
      <w:framePr w:wrap="auto" w:vAnchor="text" w:hAnchor="page" w:x="10231" w:y="-923"/>
    </w:pPr>
    <w:r>
      <w:rPr>
        <w:rStyle w:val="aa"/>
        <w:rFonts w:ascii="Book Antiqua" w:hAnsi="Book Antiqua"/>
        <w:sz w:val="24"/>
        <w:szCs w:val="24"/>
      </w:rPr>
      <w:fldChar w:fldCharType="begin"/>
    </w:r>
    <w:r>
      <w:rPr>
        <w:rStyle w:val="aa"/>
        <w:rFonts w:ascii="Book Antiqua" w:hAnsi="Book Antiqua"/>
        <w:sz w:val="24"/>
        <w:szCs w:val="24"/>
      </w:rPr>
      <w:instrText xml:space="preserve"> PAGE </w:instrText>
    </w:r>
    <w:r>
      <w:rPr>
        <w:rStyle w:val="aa"/>
        <w:rFonts w:ascii="Book Antiqua" w:hAnsi="Book Antiqua"/>
        <w:sz w:val="24"/>
        <w:szCs w:val="24"/>
      </w:rPr>
      <w:fldChar w:fldCharType="separate"/>
    </w:r>
    <w:r w:rsidR="00A03975">
      <w:rPr>
        <w:rStyle w:val="aa"/>
        <w:rFonts w:ascii="Book Antiqua" w:hAnsi="Book Antiqua"/>
        <w:noProof/>
        <w:sz w:val="24"/>
        <w:szCs w:val="24"/>
      </w:rPr>
      <w:t>45</w:t>
    </w:r>
    <w:r>
      <w:rPr>
        <w:rStyle w:val="aa"/>
        <w:rFonts w:ascii="Book Antiqua" w:hAnsi="Book Antiqua"/>
        <w:sz w:val="24"/>
        <w:szCs w:val="24"/>
      </w:rPr>
      <w:fldChar w:fldCharType="end"/>
    </w:r>
    <w:r>
      <w:rPr>
        <w:rStyle w:val="aa"/>
        <w:rFonts w:ascii="Book Antiqua" w:hAnsi="Book Antiqua"/>
        <w:sz w:val="24"/>
        <w:szCs w:val="24"/>
      </w:rPr>
      <w:t xml:space="preserve"> / 44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EA296" w14:textId="77777777" w:rsidR="000A3E5C" w:rsidRDefault="000A3E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370F1" w14:textId="77777777" w:rsidR="008D2200" w:rsidRDefault="008D2200">
      <w:r>
        <w:separator/>
      </w:r>
    </w:p>
  </w:footnote>
  <w:footnote w:type="continuationSeparator" w:id="0">
    <w:p w14:paraId="7D7823EF" w14:textId="77777777" w:rsidR="008D2200" w:rsidRDefault="008D2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10A42" w14:textId="77777777" w:rsidR="000A3E5C" w:rsidRDefault="000A3E5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9B0F1" w14:textId="77777777" w:rsidR="000A3E5C" w:rsidRDefault="000A3E5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35242" w14:textId="77777777" w:rsidR="000A3E5C" w:rsidRDefault="000A3E5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477"/>
    <w:rsid w:val="000039D6"/>
    <w:rsid w:val="00007EF4"/>
    <w:rsid w:val="000106B2"/>
    <w:rsid w:val="00017C0C"/>
    <w:rsid w:val="00021096"/>
    <w:rsid w:val="00021450"/>
    <w:rsid w:val="00022A17"/>
    <w:rsid w:val="00022B57"/>
    <w:rsid w:val="00025770"/>
    <w:rsid w:val="0002584D"/>
    <w:rsid w:val="000307AF"/>
    <w:rsid w:val="00035F0A"/>
    <w:rsid w:val="00036EA1"/>
    <w:rsid w:val="0004486D"/>
    <w:rsid w:val="0007299F"/>
    <w:rsid w:val="00076765"/>
    <w:rsid w:val="000839D6"/>
    <w:rsid w:val="00092A4C"/>
    <w:rsid w:val="000A01E6"/>
    <w:rsid w:val="000A3E5C"/>
    <w:rsid w:val="000A4F5B"/>
    <w:rsid w:val="000A6013"/>
    <w:rsid w:val="000B1A04"/>
    <w:rsid w:val="000B40C0"/>
    <w:rsid w:val="000C408D"/>
    <w:rsid w:val="000D1FB7"/>
    <w:rsid w:val="000E08A4"/>
    <w:rsid w:val="000E1573"/>
    <w:rsid w:val="000E1F98"/>
    <w:rsid w:val="000E4073"/>
    <w:rsid w:val="000E4890"/>
    <w:rsid w:val="000E59A6"/>
    <w:rsid w:val="000E59B9"/>
    <w:rsid w:val="000F20B2"/>
    <w:rsid w:val="000F3D9C"/>
    <w:rsid w:val="000F695B"/>
    <w:rsid w:val="00102F25"/>
    <w:rsid w:val="00103CD5"/>
    <w:rsid w:val="00103DF8"/>
    <w:rsid w:val="00105C79"/>
    <w:rsid w:val="0010646D"/>
    <w:rsid w:val="001124C0"/>
    <w:rsid w:val="00113301"/>
    <w:rsid w:val="00113D0C"/>
    <w:rsid w:val="00114EF0"/>
    <w:rsid w:val="00121501"/>
    <w:rsid w:val="00122D01"/>
    <w:rsid w:val="00123BBC"/>
    <w:rsid w:val="00127EC5"/>
    <w:rsid w:val="00130A92"/>
    <w:rsid w:val="00132F92"/>
    <w:rsid w:val="0013306E"/>
    <w:rsid w:val="0013308C"/>
    <w:rsid w:val="00144217"/>
    <w:rsid w:val="00144B99"/>
    <w:rsid w:val="001458C5"/>
    <w:rsid w:val="0015354B"/>
    <w:rsid w:val="001566DE"/>
    <w:rsid w:val="001621B7"/>
    <w:rsid w:val="00170D06"/>
    <w:rsid w:val="001742BC"/>
    <w:rsid w:val="001776B3"/>
    <w:rsid w:val="00180EA0"/>
    <w:rsid w:val="00182A90"/>
    <w:rsid w:val="00185408"/>
    <w:rsid w:val="00190AFA"/>
    <w:rsid w:val="001940B2"/>
    <w:rsid w:val="001942BA"/>
    <w:rsid w:val="001A26B9"/>
    <w:rsid w:val="001A6015"/>
    <w:rsid w:val="001B1CA3"/>
    <w:rsid w:val="001C38D4"/>
    <w:rsid w:val="001C6DB5"/>
    <w:rsid w:val="001D3DCC"/>
    <w:rsid w:val="001D4921"/>
    <w:rsid w:val="001E25FB"/>
    <w:rsid w:val="001E2A81"/>
    <w:rsid w:val="001E32DD"/>
    <w:rsid w:val="001E42BB"/>
    <w:rsid w:val="001F3446"/>
    <w:rsid w:val="001F4759"/>
    <w:rsid w:val="001F493A"/>
    <w:rsid w:val="001F5947"/>
    <w:rsid w:val="001F74DE"/>
    <w:rsid w:val="001F7FDC"/>
    <w:rsid w:val="002029D5"/>
    <w:rsid w:val="0020329A"/>
    <w:rsid w:val="002042A1"/>
    <w:rsid w:val="00211EF2"/>
    <w:rsid w:val="00212FD7"/>
    <w:rsid w:val="002207F2"/>
    <w:rsid w:val="0022136F"/>
    <w:rsid w:val="00224077"/>
    <w:rsid w:val="0022482D"/>
    <w:rsid w:val="002324F8"/>
    <w:rsid w:val="0024548F"/>
    <w:rsid w:val="00246521"/>
    <w:rsid w:val="00253722"/>
    <w:rsid w:val="00256762"/>
    <w:rsid w:val="0026066D"/>
    <w:rsid w:val="00260F9D"/>
    <w:rsid w:val="00261F2D"/>
    <w:rsid w:val="00265007"/>
    <w:rsid w:val="002700E5"/>
    <w:rsid w:val="00274E9B"/>
    <w:rsid w:val="002767A4"/>
    <w:rsid w:val="00286885"/>
    <w:rsid w:val="00291F99"/>
    <w:rsid w:val="0029255A"/>
    <w:rsid w:val="00293813"/>
    <w:rsid w:val="00295EF9"/>
    <w:rsid w:val="00297D79"/>
    <w:rsid w:val="002A1389"/>
    <w:rsid w:val="002A4A90"/>
    <w:rsid w:val="002A4FE3"/>
    <w:rsid w:val="002B27C5"/>
    <w:rsid w:val="002B5E55"/>
    <w:rsid w:val="002B60F5"/>
    <w:rsid w:val="002C1824"/>
    <w:rsid w:val="002C2974"/>
    <w:rsid w:val="002C5D92"/>
    <w:rsid w:val="002C76DA"/>
    <w:rsid w:val="002D1C0D"/>
    <w:rsid w:val="002D57E8"/>
    <w:rsid w:val="002D58CD"/>
    <w:rsid w:val="002D6534"/>
    <w:rsid w:val="002E07AF"/>
    <w:rsid w:val="002E20DD"/>
    <w:rsid w:val="002E4169"/>
    <w:rsid w:val="002F356B"/>
    <w:rsid w:val="003023C9"/>
    <w:rsid w:val="00302439"/>
    <w:rsid w:val="00306BDD"/>
    <w:rsid w:val="00311733"/>
    <w:rsid w:val="003212A8"/>
    <w:rsid w:val="0032147F"/>
    <w:rsid w:val="00322CAB"/>
    <w:rsid w:val="00323591"/>
    <w:rsid w:val="0032609C"/>
    <w:rsid w:val="003265AD"/>
    <w:rsid w:val="00335F7C"/>
    <w:rsid w:val="00337019"/>
    <w:rsid w:val="00340B5C"/>
    <w:rsid w:val="00340F25"/>
    <w:rsid w:val="00342646"/>
    <w:rsid w:val="003515BB"/>
    <w:rsid w:val="00353755"/>
    <w:rsid w:val="003578DB"/>
    <w:rsid w:val="00362A6D"/>
    <w:rsid w:val="003745E5"/>
    <w:rsid w:val="00382CD6"/>
    <w:rsid w:val="003859A3"/>
    <w:rsid w:val="00387681"/>
    <w:rsid w:val="00390A13"/>
    <w:rsid w:val="00394719"/>
    <w:rsid w:val="00394B13"/>
    <w:rsid w:val="00396963"/>
    <w:rsid w:val="00397006"/>
    <w:rsid w:val="003A07BD"/>
    <w:rsid w:val="003A2A3E"/>
    <w:rsid w:val="003A3BA1"/>
    <w:rsid w:val="003A3F80"/>
    <w:rsid w:val="003B2A15"/>
    <w:rsid w:val="003B2ADD"/>
    <w:rsid w:val="003C05FA"/>
    <w:rsid w:val="003C14AC"/>
    <w:rsid w:val="003C2ED6"/>
    <w:rsid w:val="003C426E"/>
    <w:rsid w:val="003C470C"/>
    <w:rsid w:val="003C5AEB"/>
    <w:rsid w:val="003D3703"/>
    <w:rsid w:val="003D4126"/>
    <w:rsid w:val="003D5789"/>
    <w:rsid w:val="003D6683"/>
    <w:rsid w:val="003E09EB"/>
    <w:rsid w:val="003E5B7D"/>
    <w:rsid w:val="003F0B35"/>
    <w:rsid w:val="003F3F9D"/>
    <w:rsid w:val="003F59F0"/>
    <w:rsid w:val="00403807"/>
    <w:rsid w:val="00406D9B"/>
    <w:rsid w:val="00407DCE"/>
    <w:rsid w:val="004147AB"/>
    <w:rsid w:val="00414E91"/>
    <w:rsid w:val="00420E96"/>
    <w:rsid w:val="00430591"/>
    <w:rsid w:val="00431595"/>
    <w:rsid w:val="00431B46"/>
    <w:rsid w:val="00434180"/>
    <w:rsid w:val="00444CFB"/>
    <w:rsid w:val="00453CDC"/>
    <w:rsid w:val="00461911"/>
    <w:rsid w:val="0046357C"/>
    <w:rsid w:val="00464C7A"/>
    <w:rsid w:val="00467A85"/>
    <w:rsid w:val="00476560"/>
    <w:rsid w:val="00477E0E"/>
    <w:rsid w:val="00481815"/>
    <w:rsid w:val="00490520"/>
    <w:rsid w:val="004978D0"/>
    <w:rsid w:val="004A1BBC"/>
    <w:rsid w:val="004B03E3"/>
    <w:rsid w:val="004B15F6"/>
    <w:rsid w:val="004B2D4A"/>
    <w:rsid w:val="004B3614"/>
    <w:rsid w:val="004B65E3"/>
    <w:rsid w:val="004B66E6"/>
    <w:rsid w:val="004B77D5"/>
    <w:rsid w:val="004C03D5"/>
    <w:rsid w:val="004C06F0"/>
    <w:rsid w:val="004C0C37"/>
    <w:rsid w:val="004C1CD7"/>
    <w:rsid w:val="004C3069"/>
    <w:rsid w:val="004C32B0"/>
    <w:rsid w:val="004C7FA9"/>
    <w:rsid w:val="004D0698"/>
    <w:rsid w:val="004D0DA6"/>
    <w:rsid w:val="004D147B"/>
    <w:rsid w:val="004D7F9D"/>
    <w:rsid w:val="004E5E66"/>
    <w:rsid w:val="004E6B05"/>
    <w:rsid w:val="004F187F"/>
    <w:rsid w:val="004F5B88"/>
    <w:rsid w:val="004F63B3"/>
    <w:rsid w:val="0050237B"/>
    <w:rsid w:val="0050543D"/>
    <w:rsid w:val="00505A0A"/>
    <w:rsid w:val="00510CDD"/>
    <w:rsid w:val="00510ECF"/>
    <w:rsid w:val="00516321"/>
    <w:rsid w:val="005201DD"/>
    <w:rsid w:val="005237BD"/>
    <w:rsid w:val="005256EB"/>
    <w:rsid w:val="00537E06"/>
    <w:rsid w:val="00542A9F"/>
    <w:rsid w:val="00547143"/>
    <w:rsid w:val="00556208"/>
    <w:rsid w:val="00565630"/>
    <w:rsid w:val="00571338"/>
    <w:rsid w:val="005764EF"/>
    <w:rsid w:val="005768CE"/>
    <w:rsid w:val="00576975"/>
    <w:rsid w:val="00577C5F"/>
    <w:rsid w:val="00583618"/>
    <w:rsid w:val="005960CD"/>
    <w:rsid w:val="005964AF"/>
    <w:rsid w:val="005971AA"/>
    <w:rsid w:val="005A0C42"/>
    <w:rsid w:val="005A1456"/>
    <w:rsid w:val="005A67EA"/>
    <w:rsid w:val="005B01A2"/>
    <w:rsid w:val="005B0ABC"/>
    <w:rsid w:val="005B369A"/>
    <w:rsid w:val="005B5CF1"/>
    <w:rsid w:val="005C08F9"/>
    <w:rsid w:val="005C70D2"/>
    <w:rsid w:val="005D1298"/>
    <w:rsid w:val="005E1A8C"/>
    <w:rsid w:val="005E2049"/>
    <w:rsid w:val="005F05FD"/>
    <w:rsid w:val="005F220A"/>
    <w:rsid w:val="005F22C8"/>
    <w:rsid w:val="005F59D9"/>
    <w:rsid w:val="006031E3"/>
    <w:rsid w:val="00611783"/>
    <w:rsid w:val="00615A43"/>
    <w:rsid w:val="00617F31"/>
    <w:rsid w:val="006206FD"/>
    <w:rsid w:val="00625C42"/>
    <w:rsid w:val="006267F6"/>
    <w:rsid w:val="00626F5B"/>
    <w:rsid w:val="00627D01"/>
    <w:rsid w:val="0063577D"/>
    <w:rsid w:val="0064158F"/>
    <w:rsid w:val="00644A13"/>
    <w:rsid w:val="00647259"/>
    <w:rsid w:val="0066134B"/>
    <w:rsid w:val="00663073"/>
    <w:rsid w:val="00663F41"/>
    <w:rsid w:val="0066613A"/>
    <w:rsid w:val="006662BC"/>
    <w:rsid w:val="00667CE0"/>
    <w:rsid w:val="00672619"/>
    <w:rsid w:val="00681247"/>
    <w:rsid w:val="006821F5"/>
    <w:rsid w:val="0068580B"/>
    <w:rsid w:val="0068698F"/>
    <w:rsid w:val="00690D6B"/>
    <w:rsid w:val="00693E3E"/>
    <w:rsid w:val="006945AB"/>
    <w:rsid w:val="00694672"/>
    <w:rsid w:val="00697B9C"/>
    <w:rsid w:val="006A1DCB"/>
    <w:rsid w:val="006A22D4"/>
    <w:rsid w:val="006A291F"/>
    <w:rsid w:val="006A30B6"/>
    <w:rsid w:val="006A4D75"/>
    <w:rsid w:val="006A6A33"/>
    <w:rsid w:val="006B0F72"/>
    <w:rsid w:val="006B16B1"/>
    <w:rsid w:val="006B2563"/>
    <w:rsid w:val="006B2A20"/>
    <w:rsid w:val="006B3DC2"/>
    <w:rsid w:val="006B62BE"/>
    <w:rsid w:val="006C2099"/>
    <w:rsid w:val="006D491A"/>
    <w:rsid w:val="006D5012"/>
    <w:rsid w:val="006D63E2"/>
    <w:rsid w:val="006D7354"/>
    <w:rsid w:val="006E7211"/>
    <w:rsid w:val="006E7AED"/>
    <w:rsid w:val="006E7BAF"/>
    <w:rsid w:val="006F180C"/>
    <w:rsid w:val="006F2BD3"/>
    <w:rsid w:val="006F3AFE"/>
    <w:rsid w:val="00701489"/>
    <w:rsid w:val="007048D4"/>
    <w:rsid w:val="00706198"/>
    <w:rsid w:val="007177D9"/>
    <w:rsid w:val="00717B73"/>
    <w:rsid w:val="00723A91"/>
    <w:rsid w:val="007241BF"/>
    <w:rsid w:val="00724945"/>
    <w:rsid w:val="00724C54"/>
    <w:rsid w:val="007278FE"/>
    <w:rsid w:val="0072795D"/>
    <w:rsid w:val="007375B6"/>
    <w:rsid w:val="0074758C"/>
    <w:rsid w:val="00750B1F"/>
    <w:rsid w:val="00753A75"/>
    <w:rsid w:val="007540CC"/>
    <w:rsid w:val="00757D94"/>
    <w:rsid w:val="007629F9"/>
    <w:rsid w:val="0077276E"/>
    <w:rsid w:val="00776E0E"/>
    <w:rsid w:val="00780B8C"/>
    <w:rsid w:val="00793DDB"/>
    <w:rsid w:val="00795F84"/>
    <w:rsid w:val="007A3FAE"/>
    <w:rsid w:val="007A7007"/>
    <w:rsid w:val="007B1B2D"/>
    <w:rsid w:val="007B5688"/>
    <w:rsid w:val="007C015A"/>
    <w:rsid w:val="007C0413"/>
    <w:rsid w:val="007C04B4"/>
    <w:rsid w:val="007D2DAB"/>
    <w:rsid w:val="007D4072"/>
    <w:rsid w:val="007D6145"/>
    <w:rsid w:val="007E0056"/>
    <w:rsid w:val="007E22AF"/>
    <w:rsid w:val="007E39C9"/>
    <w:rsid w:val="007F2054"/>
    <w:rsid w:val="0080523B"/>
    <w:rsid w:val="00813708"/>
    <w:rsid w:val="00815538"/>
    <w:rsid w:val="00815D0C"/>
    <w:rsid w:val="00817C24"/>
    <w:rsid w:val="00820E5A"/>
    <w:rsid w:val="008221AB"/>
    <w:rsid w:val="0082236D"/>
    <w:rsid w:val="00824C51"/>
    <w:rsid w:val="00827D94"/>
    <w:rsid w:val="0083787A"/>
    <w:rsid w:val="008426BA"/>
    <w:rsid w:val="008430D4"/>
    <w:rsid w:val="00843DB8"/>
    <w:rsid w:val="00845528"/>
    <w:rsid w:val="008460BB"/>
    <w:rsid w:val="0085014C"/>
    <w:rsid w:val="00851AFF"/>
    <w:rsid w:val="00851F6B"/>
    <w:rsid w:val="0085331D"/>
    <w:rsid w:val="00853621"/>
    <w:rsid w:val="008543B0"/>
    <w:rsid w:val="00855060"/>
    <w:rsid w:val="008573FD"/>
    <w:rsid w:val="00864CFF"/>
    <w:rsid w:val="00865D74"/>
    <w:rsid w:val="008661A0"/>
    <w:rsid w:val="00867C4C"/>
    <w:rsid w:val="008716B5"/>
    <w:rsid w:val="0087228D"/>
    <w:rsid w:val="00874204"/>
    <w:rsid w:val="00875043"/>
    <w:rsid w:val="00880024"/>
    <w:rsid w:val="00881687"/>
    <w:rsid w:val="0088525A"/>
    <w:rsid w:val="00885C86"/>
    <w:rsid w:val="0089610C"/>
    <w:rsid w:val="00897965"/>
    <w:rsid w:val="008A0EA1"/>
    <w:rsid w:val="008A4566"/>
    <w:rsid w:val="008A76CB"/>
    <w:rsid w:val="008A77EA"/>
    <w:rsid w:val="008B072D"/>
    <w:rsid w:val="008B2A4F"/>
    <w:rsid w:val="008B520D"/>
    <w:rsid w:val="008C36E7"/>
    <w:rsid w:val="008C7163"/>
    <w:rsid w:val="008D2200"/>
    <w:rsid w:val="008D74D3"/>
    <w:rsid w:val="008E261F"/>
    <w:rsid w:val="008E4AB5"/>
    <w:rsid w:val="008E4B47"/>
    <w:rsid w:val="008F3B54"/>
    <w:rsid w:val="008F538C"/>
    <w:rsid w:val="009006DA"/>
    <w:rsid w:val="00901EAF"/>
    <w:rsid w:val="00906B45"/>
    <w:rsid w:val="009211C5"/>
    <w:rsid w:val="00921659"/>
    <w:rsid w:val="009334C8"/>
    <w:rsid w:val="009367B7"/>
    <w:rsid w:val="009378CA"/>
    <w:rsid w:val="00940E7F"/>
    <w:rsid w:val="00941417"/>
    <w:rsid w:val="00944B31"/>
    <w:rsid w:val="00946C1E"/>
    <w:rsid w:val="009517AD"/>
    <w:rsid w:val="00952488"/>
    <w:rsid w:val="0095597D"/>
    <w:rsid w:val="009677AF"/>
    <w:rsid w:val="00974BF1"/>
    <w:rsid w:val="009758F8"/>
    <w:rsid w:val="00976726"/>
    <w:rsid w:val="00976729"/>
    <w:rsid w:val="0098444F"/>
    <w:rsid w:val="009A09DD"/>
    <w:rsid w:val="009A1ABA"/>
    <w:rsid w:val="009A3083"/>
    <w:rsid w:val="009A3F14"/>
    <w:rsid w:val="009A4341"/>
    <w:rsid w:val="009A5990"/>
    <w:rsid w:val="009B4477"/>
    <w:rsid w:val="009B4A25"/>
    <w:rsid w:val="009B4B32"/>
    <w:rsid w:val="009B625A"/>
    <w:rsid w:val="009C3292"/>
    <w:rsid w:val="009C503C"/>
    <w:rsid w:val="009C7A33"/>
    <w:rsid w:val="009D1972"/>
    <w:rsid w:val="009D436D"/>
    <w:rsid w:val="009D62C3"/>
    <w:rsid w:val="009D6F84"/>
    <w:rsid w:val="009E29AA"/>
    <w:rsid w:val="009E6AF6"/>
    <w:rsid w:val="009F6DBF"/>
    <w:rsid w:val="009F6F33"/>
    <w:rsid w:val="009F7F0D"/>
    <w:rsid w:val="00A02B2A"/>
    <w:rsid w:val="00A032D9"/>
    <w:rsid w:val="00A03975"/>
    <w:rsid w:val="00A05ABF"/>
    <w:rsid w:val="00A06A3B"/>
    <w:rsid w:val="00A07A45"/>
    <w:rsid w:val="00A10236"/>
    <w:rsid w:val="00A11481"/>
    <w:rsid w:val="00A11706"/>
    <w:rsid w:val="00A123A5"/>
    <w:rsid w:val="00A14B2C"/>
    <w:rsid w:val="00A20826"/>
    <w:rsid w:val="00A2240E"/>
    <w:rsid w:val="00A2647D"/>
    <w:rsid w:val="00A30452"/>
    <w:rsid w:val="00A30D35"/>
    <w:rsid w:val="00A351DA"/>
    <w:rsid w:val="00A423C0"/>
    <w:rsid w:val="00A42F6E"/>
    <w:rsid w:val="00A457EB"/>
    <w:rsid w:val="00A50334"/>
    <w:rsid w:val="00A517A8"/>
    <w:rsid w:val="00A52BB6"/>
    <w:rsid w:val="00A54805"/>
    <w:rsid w:val="00A631EA"/>
    <w:rsid w:val="00A64060"/>
    <w:rsid w:val="00A753BB"/>
    <w:rsid w:val="00A76140"/>
    <w:rsid w:val="00A765EC"/>
    <w:rsid w:val="00A77ACA"/>
    <w:rsid w:val="00A81631"/>
    <w:rsid w:val="00A81F22"/>
    <w:rsid w:val="00A83BD3"/>
    <w:rsid w:val="00A86034"/>
    <w:rsid w:val="00A9528A"/>
    <w:rsid w:val="00A95505"/>
    <w:rsid w:val="00A96F71"/>
    <w:rsid w:val="00AA4F0C"/>
    <w:rsid w:val="00AB6B30"/>
    <w:rsid w:val="00AB7A4B"/>
    <w:rsid w:val="00AD6040"/>
    <w:rsid w:val="00AD77B8"/>
    <w:rsid w:val="00AE0DB4"/>
    <w:rsid w:val="00AE184F"/>
    <w:rsid w:val="00AE56BD"/>
    <w:rsid w:val="00AE6151"/>
    <w:rsid w:val="00AF6D30"/>
    <w:rsid w:val="00B01FE0"/>
    <w:rsid w:val="00B123E6"/>
    <w:rsid w:val="00B14ADA"/>
    <w:rsid w:val="00B2034D"/>
    <w:rsid w:val="00B2362C"/>
    <w:rsid w:val="00B27EA0"/>
    <w:rsid w:val="00B34AEC"/>
    <w:rsid w:val="00B374A7"/>
    <w:rsid w:val="00B37AAB"/>
    <w:rsid w:val="00B4072C"/>
    <w:rsid w:val="00B46D9B"/>
    <w:rsid w:val="00B5193A"/>
    <w:rsid w:val="00B5275E"/>
    <w:rsid w:val="00B54D37"/>
    <w:rsid w:val="00B6218B"/>
    <w:rsid w:val="00B64038"/>
    <w:rsid w:val="00B65C84"/>
    <w:rsid w:val="00B66383"/>
    <w:rsid w:val="00B6701A"/>
    <w:rsid w:val="00B71862"/>
    <w:rsid w:val="00B73CD8"/>
    <w:rsid w:val="00B74255"/>
    <w:rsid w:val="00B80969"/>
    <w:rsid w:val="00B81F8E"/>
    <w:rsid w:val="00B820D3"/>
    <w:rsid w:val="00B8498B"/>
    <w:rsid w:val="00B917DF"/>
    <w:rsid w:val="00B928C9"/>
    <w:rsid w:val="00B93EFC"/>
    <w:rsid w:val="00B94E65"/>
    <w:rsid w:val="00BA1361"/>
    <w:rsid w:val="00BA3C2F"/>
    <w:rsid w:val="00BA4886"/>
    <w:rsid w:val="00BB3FF0"/>
    <w:rsid w:val="00BC0E69"/>
    <w:rsid w:val="00BD14E2"/>
    <w:rsid w:val="00BE0B08"/>
    <w:rsid w:val="00BE29A2"/>
    <w:rsid w:val="00BE29FF"/>
    <w:rsid w:val="00BE3C9F"/>
    <w:rsid w:val="00BE447B"/>
    <w:rsid w:val="00BE6EF3"/>
    <w:rsid w:val="00BE7947"/>
    <w:rsid w:val="00BF0A3F"/>
    <w:rsid w:val="00BF3AF9"/>
    <w:rsid w:val="00BF4A0A"/>
    <w:rsid w:val="00C0023D"/>
    <w:rsid w:val="00C0395B"/>
    <w:rsid w:val="00C112AC"/>
    <w:rsid w:val="00C118E3"/>
    <w:rsid w:val="00C12A70"/>
    <w:rsid w:val="00C13921"/>
    <w:rsid w:val="00C14450"/>
    <w:rsid w:val="00C156DF"/>
    <w:rsid w:val="00C2205B"/>
    <w:rsid w:val="00C22B12"/>
    <w:rsid w:val="00C22B29"/>
    <w:rsid w:val="00C239F8"/>
    <w:rsid w:val="00C25C15"/>
    <w:rsid w:val="00C3242C"/>
    <w:rsid w:val="00C33178"/>
    <w:rsid w:val="00C343D8"/>
    <w:rsid w:val="00C35DBF"/>
    <w:rsid w:val="00C37012"/>
    <w:rsid w:val="00C4160F"/>
    <w:rsid w:val="00C437A4"/>
    <w:rsid w:val="00C43FAC"/>
    <w:rsid w:val="00C539CF"/>
    <w:rsid w:val="00C56909"/>
    <w:rsid w:val="00C60011"/>
    <w:rsid w:val="00C620B9"/>
    <w:rsid w:val="00C62D88"/>
    <w:rsid w:val="00C67171"/>
    <w:rsid w:val="00C67D86"/>
    <w:rsid w:val="00C73BAA"/>
    <w:rsid w:val="00C74871"/>
    <w:rsid w:val="00C86990"/>
    <w:rsid w:val="00C87D3A"/>
    <w:rsid w:val="00C9393C"/>
    <w:rsid w:val="00C948E6"/>
    <w:rsid w:val="00C96B5D"/>
    <w:rsid w:val="00CB5FE5"/>
    <w:rsid w:val="00CC333E"/>
    <w:rsid w:val="00CD1912"/>
    <w:rsid w:val="00CD2465"/>
    <w:rsid w:val="00CD2CAA"/>
    <w:rsid w:val="00CD55B6"/>
    <w:rsid w:val="00CF2444"/>
    <w:rsid w:val="00CF5A2B"/>
    <w:rsid w:val="00D00AF6"/>
    <w:rsid w:val="00D01929"/>
    <w:rsid w:val="00D077DF"/>
    <w:rsid w:val="00D12F3C"/>
    <w:rsid w:val="00D1546D"/>
    <w:rsid w:val="00D165A6"/>
    <w:rsid w:val="00D16FAE"/>
    <w:rsid w:val="00D20696"/>
    <w:rsid w:val="00D20A43"/>
    <w:rsid w:val="00D214D0"/>
    <w:rsid w:val="00D2261E"/>
    <w:rsid w:val="00D2331A"/>
    <w:rsid w:val="00D257A6"/>
    <w:rsid w:val="00D32029"/>
    <w:rsid w:val="00D428DE"/>
    <w:rsid w:val="00D45812"/>
    <w:rsid w:val="00D4639E"/>
    <w:rsid w:val="00D552D0"/>
    <w:rsid w:val="00D56783"/>
    <w:rsid w:val="00D57FB1"/>
    <w:rsid w:val="00D608CB"/>
    <w:rsid w:val="00D66297"/>
    <w:rsid w:val="00D71E34"/>
    <w:rsid w:val="00D74A88"/>
    <w:rsid w:val="00D77EB5"/>
    <w:rsid w:val="00D84BAC"/>
    <w:rsid w:val="00D91B2D"/>
    <w:rsid w:val="00D92423"/>
    <w:rsid w:val="00D93A4D"/>
    <w:rsid w:val="00D93CDD"/>
    <w:rsid w:val="00D93D92"/>
    <w:rsid w:val="00D95D2C"/>
    <w:rsid w:val="00DA0A23"/>
    <w:rsid w:val="00DA33B5"/>
    <w:rsid w:val="00DA53BD"/>
    <w:rsid w:val="00DB363D"/>
    <w:rsid w:val="00DB3A1F"/>
    <w:rsid w:val="00DB5736"/>
    <w:rsid w:val="00DC1450"/>
    <w:rsid w:val="00DC151F"/>
    <w:rsid w:val="00DC3145"/>
    <w:rsid w:val="00DD0991"/>
    <w:rsid w:val="00DD0BA7"/>
    <w:rsid w:val="00DD1C5A"/>
    <w:rsid w:val="00DE1358"/>
    <w:rsid w:val="00E02223"/>
    <w:rsid w:val="00E27517"/>
    <w:rsid w:val="00E30C0C"/>
    <w:rsid w:val="00E40783"/>
    <w:rsid w:val="00E465CE"/>
    <w:rsid w:val="00E46612"/>
    <w:rsid w:val="00E46D95"/>
    <w:rsid w:val="00E5109A"/>
    <w:rsid w:val="00E53B24"/>
    <w:rsid w:val="00E553C9"/>
    <w:rsid w:val="00E61234"/>
    <w:rsid w:val="00E67199"/>
    <w:rsid w:val="00E67C16"/>
    <w:rsid w:val="00E70E56"/>
    <w:rsid w:val="00E74643"/>
    <w:rsid w:val="00E777A0"/>
    <w:rsid w:val="00E84969"/>
    <w:rsid w:val="00E876E3"/>
    <w:rsid w:val="00E9364F"/>
    <w:rsid w:val="00EA4B62"/>
    <w:rsid w:val="00EB7660"/>
    <w:rsid w:val="00EC6095"/>
    <w:rsid w:val="00EC6BFE"/>
    <w:rsid w:val="00ED09B5"/>
    <w:rsid w:val="00ED1EF9"/>
    <w:rsid w:val="00ED401F"/>
    <w:rsid w:val="00ED66AF"/>
    <w:rsid w:val="00EE4EEF"/>
    <w:rsid w:val="00EE527F"/>
    <w:rsid w:val="00EE5822"/>
    <w:rsid w:val="00EE6AC0"/>
    <w:rsid w:val="00EF6DAF"/>
    <w:rsid w:val="00F051EE"/>
    <w:rsid w:val="00F06020"/>
    <w:rsid w:val="00F12BD2"/>
    <w:rsid w:val="00F13805"/>
    <w:rsid w:val="00F16099"/>
    <w:rsid w:val="00F17771"/>
    <w:rsid w:val="00F227B2"/>
    <w:rsid w:val="00F24BAC"/>
    <w:rsid w:val="00F32790"/>
    <w:rsid w:val="00F4345C"/>
    <w:rsid w:val="00F45CA2"/>
    <w:rsid w:val="00F50285"/>
    <w:rsid w:val="00F52240"/>
    <w:rsid w:val="00F5317B"/>
    <w:rsid w:val="00F53213"/>
    <w:rsid w:val="00F605AD"/>
    <w:rsid w:val="00F6264F"/>
    <w:rsid w:val="00F63572"/>
    <w:rsid w:val="00F74B08"/>
    <w:rsid w:val="00F84ECD"/>
    <w:rsid w:val="00F866B1"/>
    <w:rsid w:val="00F91129"/>
    <w:rsid w:val="00F96A01"/>
    <w:rsid w:val="00F97F71"/>
    <w:rsid w:val="00FA6B06"/>
    <w:rsid w:val="00FB2D6C"/>
    <w:rsid w:val="00FB7F0A"/>
    <w:rsid w:val="00FC036F"/>
    <w:rsid w:val="00FC131E"/>
    <w:rsid w:val="00FC4966"/>
    <w:rsid w:val="00FC4F66"/>
    <w:rsid w:val="00FC5376"/>
    <w:rsid w:val="00FC566A"/>
    <w:rsid w:val="00FC5884"/>
    <w:rsid w:val="00FC6AB5"/>
    <w:rsid w:val="00FD2F01"/>
    <w:rsid w:val="00FD3689"/>
    <w:rsid w:val="00FD565B"/>
    <w:rsid w:val="00FD6D5D"/>
    <w:rsid w:val="00FE6325"/>
    <w:rsid w:val="00FF17BD"/>
    <w:rsid w:val="00FF3789"/>
    <w:rsid w:val="00FF4A8B"/>
    <w:rsid w:val="00FF753A"/>
    <w:rsid w:val="381C579C"/>
    <w:rsid w:val="58027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FB1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lsdException w:name="caption" w:uiPriority="35" w:qFormat="1"/>
    <w:lsdException w:name="annotation reference" w:semiHidden="0"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character" w:customStyle="1" w:styleId="Char">
    <w:name w:val="批注文字 Char"/>
    <w:link w:val="a3"/>
    <w:qFormat/>
    <w:rPr>
      <w:lang w:val="it-IT" w:eastAsia="it-IT"/>
    </w:rPr>
  </w:style>
  <w:style w:type="paragraph" w:styleId="a4">
    <w:name w:val="Balloon Text"/>
    <w:basedOn w:val="a"/>
    <w:link w:val="Char0"/>
    <w:uiPriority w:val="99"/>
    <w:unhideWhenUsed/>
    <w:rPr>
      <w:sz w:val="18"/>
      <w:szCs w:val="18"/>
    </w:rPr>
  </w:style>
  <w:style w:type="character" w:customStyle="1" w:styleId="Char0">
    <w:name w:val="批注框文本 Char"/>
    <w:link w:val="a4"/>
    <w:uiPriority w:val="99"/>
    <w:semiHidden/>
    <w:rPr>
      <w:sz w:val="18"/>
      <w:szCs w:val="18"/>
      <w:lang w:val="it-IT" w:eastAsia="it-IT"/>
    </w:rPr>
  </w:style>
  <w:style w:type="paragraph" w:styleId="a5">
    <w:name w:val="footer"/>
    <w:basedOn w:val="a"/>
    <w:link w:val="Char1"/>
    <w:uiPriority w:val="99"/>
    <w:unhideWhenUsed/>
    <w:pPr>
      <w:tabs>
        <w:tab w:val="center" w:pos="4680"/>
        <w:tab w:val="right" w:pos="9360"/>
      </w:tabs>
    </w:pPr>
  </w:style>
  <w:style w:type="character" w:customStyle="1" w:styleId="Char1">
    <w:name w:val="页脚 Char1"/>
    <w:link w:val="a5"/>
    <w:uiPriority w:val="99"/>
    <w:rPr>
      <w:lang w:val="it-IT" w:eastAsia="it-IT"/>
    </w:rPr>
  </w:style>
  <w:style w:type="paragraph" w:styleId="a6">
    <w:name w:val="header"/>
    <w:basedOn w:val="a"/>
    <w:link w:val="Char2"/>
    <w:uiPriority w:val="99"/>
    <w:unhideWhenUsed/>
    <w:pPr>
      <w:tabs>
        <w:tab w:val="center" w:pos="4680"/>
        <w:tab w:val="right" w:pos="9360"/>
      </w:tabs>
    </w:pPr>
  </w:style>
  <w:style w:type="character" w:customStyle="1" w:styleId="Char2">
    <w:name w:val="页眉 Char"/>
    <w:link w:val="a6"/>
    <w:uiPriority w:val="99"/>
    <w:rPr>
      <w:lang w:val="it-IT" w:eastAsia="it-IT"/>
    </w:rPr>
  </w:style>
  <w:style w:type="paragraph" w:styleId="a7">
    <w:name w:val="Normal (Web)"/>
    <w:basedOn w:val="a"/>
    <w:uiPriority w:val="99"/>
    <w:unhideWhenUsed/>
    <w:pPr>
      <w:spacing w:before="100" w:beforeAutospacing="1" w:after="100" w:afterAutospacing="1"/>
    </w:pPr>
    <w:rPr>
      <w:rFonts w:ascii="宋体" w:eastAsia="宋体" w:hAnsi="宋体" w:cs="宋体"/>
      <w:sz w:val="24"/>
      <w:szCs w:val="24"/>
      <w:lang w:val="en-US" w:eastAsia="zh-CN"/>
    </w:rPr>
  </w:style>
  <w:style w:type="paragraph" w:styleId="a8">
    <w:name w:val="annotation subject"/>
    <w:basedOn w:val="a3"/>
    <w:next w:val="a3"/>
    <w:link w:val="Char3"/>
    <w:uiPriority w:val="99"/>
    <w:unhideWhenUsed/>
    <w:rPr>
      <w:b/>
      <w:bCs/>
    </w:rPr>
  </w:style>
  <w:style w:type="character" w:customStyle="1" w:styleId="Char3">
    <w:name w:val="批注主题 Char"/>
    <w:link w:val="a8"/>
    <w:uiPriority w:val="99"/>
    <w:semiHidden/>
    <w:rPr>
      <w:b/>
      <w:bCs/>
      <w:lang w:val="it-IT" w:eastAsia="it-IT"/>
    </w:rPr>
  </w:style>
  <w:style w:type="table" w:styleId="a9">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a">
    <w:name w:val="page number"/>
    <w:uiPriority w:val="99"/>
    <w:unhideWhenUsed/>
  </w:style>
  <w:style w:type="character" w:styleId="ab">
    <w:name w:val="Hyperlink"/>
    <w:uiPriority w:val="99"/>
    <w:unhideWhenUsed/>
    <w:rPr>
      <w:color w:val="0563C1"/>
      <w:u w:val="single"/>
    </w:rPr>
  </w:style>
  <w:style w:type="character" w:styleId="ac">
    <w:name w:val="annotation reference"/>
    <w:unhideWhenUsed/>
    <w:rPr>
      <w:sz w:val="16"/>
      <w:szCs w:val="16"/>
    </w:rPr>
  </w:style>
  <w:style w:type="character" w:customStyle="1" w:styleId="UnresolvedMention">
    <w:name w:val="Unresolved Mention"/>
    <w:uiPriority w:val="99"/>
    <w:unhideWhenUsed/>
    <w:rPr>
      <w:color w:val="605E5C"/>
      <w:shd w:val="clear" w:color="auto" w:fill="E1DFDD"/>
    </w:rPr>
  </w:style>
  <w:style w:type="table" w:customStyle="1" w:styleId="TableNormal1">
    <w:name w:val="Table Normal1"/>
    <w:uiPriority w:val="2"/>
    <w:unhideWhenUsed/>
    <w:qFormat/>
    <w:pPr>
      <w:widowControl w:val="0"/>
      <w:autoSpaceDE w:val="0"/>
      <w:autoSpaceDN w:val="0"/>
    </w:pPr>
    <w:rPr>
      <w:rFonts w:cs="Times New Roman"/>
      <w:sz w:val="22"/>
      <w:szCs w:val="22"/>
      <w:lang w:eastAsia="en-US"/>
    </w:rPr>
    <w:tblPr>
      <w:tblCellMar>
        <w:top w:w="0" w:type="dxa"/>
        <w:left w:w="0" w:type="dxa"/>
        <w:bottom w:w="0" w:type="dxa"/>
        <w:right w:w="0" w:type="dxa"/>
      </w:tblCellMar>
    </w:tblPr>
  </w:style>
  <w:style w:type="paragraph" w:customStyle="1" w:styleId="PadroB">
    <w:name w:val="Padrão B"/>
    <w:rPr>
      <w:rFonts w:ascii="Helvetica Neue" w:eastAsia="Arial Unicode MS" w:hAnsi="Helvetica Neue" w:cs="Arial Unicode MS"/>
      <w:color w:val="000000"/>
      <w:sz w:val="22"/>
      <w:szCs w:val="22"/>
      <w:u w:color="000000"/>
      <w:lang w:eastAsia="pt-BR"/>
    </w:rPr>
  </w:style>
  <w:style w:type="character" w:customStyle="1" w:styleId="Char4">
    <w:name w:val="页脚 Cha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lsdException w:name="caption" w:uiPriority="35" w:qFormat="1"/>
    <w:lsdException w:name="annotation reference" w:semiHidden="0"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character" w:customStyle="1" w:styleId="Char">
    <w:name w:val="批注文字 Char"/>
    <w:link w:val="a3"/>
    <w:qFormat/>
    <w:rPr>
      <w:lang w:val="it-IT" w:eastAsia="it-IT"/>
    </w:rPr>
  </w:style>
  <w:style w:type="paragraph" w:styleId="a4">
    <w:name w:val="Balloon Text"/>
    <w:basedOn w:val="a"/>
    <w:link w:val="Char0"/>
    <w:uiPriority w:val="99"/>
    <w:unhideWhenUsed/>
    <w:rPr>
      <w:sz w:val="18"/>
      <w:szCs w:val="18"/>
    </w:rPr>
  </w:style>
  <w:style w:type="character" w:customStyle="1" w:styleId="Char0">
    <w:name w:val="批注框文本 Char"/>
    <w:link w:val="a4"/>
    <w:uiPriority w:val="99"/>
    <w:semiHidden/>
    <w:rPr>
      <w:sz w:val="18"/>
      <w:szCs w:val="18"/>
      <w:lang w:val="it-IT" w:eastAsia="it-IT"/>
    </w:rPr>
  </w:style>
  <w:style w:type="paragraph" w:styleId="a5">
    <w:name w:val="footer"/>
    <w:basedOn w:val="a"/>
    <w:link w:val="Char1"/>
    <w:uiPriority w:val="99"/>
    <w:unhideWhenUsed/>
    <w:pPr>
      <w:tabs>
        <w:tab w:val="center" w:pos="4680"/>
        <w:tab w:val="right" w:pos="9360"/>
      </w:tabs>
    </w:pPr>
  </w:style>
  <w:style w:type="character" w:customStyle="1" w:styleId="Char1">
    <w:name w:val="页脚 Char1"/>
    <w:link w:val="a5"/>
    <w:uiPriority w:val="99"/>
    <w:rPr>
      <w:lang w:val="it-IT" w:eastAsia="it-IT"/>
    </w:rPr>
  </w:style>
  <w:style w:type="paragraph" w:styleId="a6">
    <w:name w:val="header"/>
    <w:basedOn w:val="a"/>
    <w:link w:val="Char2"/>
    <w:uiPriority w:val="99"/>
    <w:unhideWhenUsed/>
    <w:pPr>
      <w:tabs>
        <w:tab w:val="center" w:pos="4680"/>
        <w:tab w:val="right" w:pos="9360"/>
      </w:tabs>
    </w:pPr>
  </w:style>
  <w:style w:type="character" w:customStyle="1" w:styleId="Char2">
    <w:name w:val="页眉 Char"/>
    <w:link w:val="a6"/>
    <w:uiPriority w:val="99"/>
    <w:rPr>
      <w:lang w:val="it-IT" w:eastAsia="it-IT"/>
    </w:rPr>
  </w:style>
  <w:style w:type="paragraph" w:styleId="a7">
    <w:name w:val="Normal (Web)"/>
    <w:basedOn w:val="a"/>
    <w:uiPriority w:val="99"/>
    <w:unhideWhenUsed/>
    <w:pPr>
      <w:spacing w:before="100" w:beforeAutospacing="1" w:after="100" w:afterAutospacing="1"/>
    </w:pPr>
    <w:rPr>
      <w:rFonts w:ascii="宋体" w:eastAsia="宋体" w:hAnsi="宋体" w:cs="宋体"/>
      <w:sz w:val="24"/>
      <w:szCs w:val="24"/>
      <w:lang w:val="en-US" w:eastAsia="zh-CN"/>
    </w:rPr>
  </w:style>
  <w:style w:type="paragraph" w:styleId="a8">
    <w:name w:val="annotation subject"/>
    <w:basedOn w:val="a3"/>
    <w:next w:val="a3"/>
    <w:link w:val="Char3"/>
    <w:uiPriority w:val="99"/>
    <w:unhideWhenUsed/>
    <w:rPr>
      <w:b/>
      <w:bCs/>
    </w:rPr>
  </w:style>
  <w:style w:type="character" w:customStyle="1" w:styleId="Char3">
    <w:name w:val="批注主题 Char"/>
    <w:link w:val="a8"/>
    <w:uiPriority w:val="99"/>
    <w:semiHidden/>
    <w:rPr>
      <w:b/>
      <w:bCs/>
      <w:lang w:val="it-IT" w:eastAsia="it-IT"/>
    </w:rPr>
  </w:style>
  <w:style w:type="table" w:styleId="a9">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a">
    <w:name w:val="page number"/>
    <w:uiPriority w:val="99"/>
    <w:unhideWhenUsed/>
  </w:style>
  <w:style w:type="character" w:styleId="ab">
    <w:name w:val="Hyperlink"/>
    <w:uiPriority w:val="99"/>
    <w:unhideWhenUsed/>
    <w:rPr>
      <w:color w:val="0563C1"/>
      <w:u w:val="single"/>
    </w:rPr>
  </w:style>
  <w:style w:type="character" w:styleId="ac">
    <w:name w:val="annotation reference"/>
    <w:unhideWhenUsed/>
    <w:rPr>
      <w:sz w:val="16"/>
      <w:szCs w:val="16"/>
    </w:rPr>
  </w:style>
  <w:style w:type="character" w:customStyle="1" w:styleId="UnresolvedMention">
    <w:name w:val="Unresolved Mention"/>
    <w:uiPriority w:val="99"/>
    <w:unhideWhenUsed/>
    <w:rPr>
      <w:color w:val="605E5C"/>
      <w:shd w:val="clear" w:color="auto" w:fill="E1DFDD"/>
    </w:rPr>
  </w:style>
  <w:style w:type="table" w:customStyle="1" w:styleId="TableNormal1">
    <w:name w:val="Table Normal1"/>
    <w:uiPriority w:val="2"/>
    <w:unhideWhenUsed/>
    <w:qFormat/>
    <w:pPr>
      <w:widowControl w:val="0"/>
      <w:autoSpaceDE w:val="0"/>
      <w:autoSpaceDN w:val="0"/>
    </w:pPr>
    <w:rPr>
      <w:rFonts w:cs="Times New Roman"/>
      <w:sz w:val="22"/>
      <w:szCs w:val="22"/>
      <w:lang w:eastAsia="en-US"/>
    </w:rPr>
    <w:tblPr>
      <w:tblCellMar>
        <w:top w:w="0" w:type="dxa"/>
        <w:left w:w="0" w:type="dxa"/>
        <w:bottom w:w="0" w:type="dxa"/>
        <w:right w:w="0" w:type="dxa"/>
      </w:tblCellMar>
    </w:tblPr>
  </w:style>
  <w:style w:type="paragraph" w:customStyle="1" w:styleId="PadroB">
    <w:name w:val="Padrão B"/>
    <w:rPr>
      <w:rFonts w:ascii="Helvetica Neue" w:eastAsia="Arial Unicode MS" w:hAnsi="Helvetica Neue" w:cs="Arial Unicode MS"/>
      <w:color w:val="000000"/>
      <w:sz w:val="22"/>
      <w:szCs w:val="22"/>
      <w:u w:color="000000"/>
      <w:lang w:eastAsia="pt-BR"/>
    </w:rPr>
  </w:style>
  <w:style w:type="character" w:customStyle="1" w:styleId="Char4">
    <w:name w:val="页脚 Cha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41617">
      <w:bodyDiv w:val="1"/>
      <w:marLeft w:val="0"/>
      <w:marRight w:val="0"/>
      <w:marTop w:val="0"/>
      <w:marBottom w:val="0"/>
      <w:divBdr>
        <w:top w:val="none" w:sz="0" w:space="0" w:color="auto"/>
        <w:left w:val="none" w:sz="0" w:space="0" w:color="auto"/>
        <w:bottom w:val="none" w:sz="0" w:space="0" w:color="auto"/>
        <w:right w:val="none" w:sz="0" w:space="0" w:color="auto"/>
      </w:divBdr>
    </w:div>
    <w:div w:id="802767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46</Pages>
  <Words>12741</Words>
  <Characters>72624</Characters>
  <Application>Microsoft Office Word</Application>
  <DocSecurity>0</DocSecurity>
  <Lines>605</Lines>
  <Paragraphs>170</Paragraphs>
  <ScaleCrop>false</ScaleCrop>
  <Company/>
  <LinksUpToDate>false</LinksUpToDate>
  <CharactersWithSpaces>85195</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Ciancidoc1</dc:creator>
  <cp:keywords/>
  <cp:lastModifiedBy>马玉杰</cp:lastModifiedBy>
  <cp:revision>6</cp:revision>
  <cp:lastPrinted>2021-06-04T19:11:00Z</cp:lastPrinted>
  <dcterms:created xsi:type="dcterms:W3CDTF">2021-07-15T03:26:00Z</dcterms:created>
  <dcterms:modified xsi:type="dcterms:W3CDTF">2021-07-22T14:23:00Z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BC6BB9DE978B4F608C7CA1E07CB9706F</vt:lpwstr>
  </property>
</Properties>
</file>