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48A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Name of Journal: </w:t>
      </w:r>
      <w:r w:rsidRPr="00B7221C">
        <w:rPr>
          <w:rFonts w:ascii="Book Antiqua" w:eastAsia="Book Antiqua" w:hAnsi="Book Antiqua" w:cs="Book Antiqua"/>
          <w:i/>
          <w:color w:val="000000"/>
        </w:rPr>
        <w:t>World Journal of Gastroenterology</w:t>
      </w:r>
    </w:p>
    <w:p w14:paraId="67AF050E" w14:textId="3F278C1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NO: </w:t>
      </w:r>
      <w:r w:rsidRPr="00B7221C">
        <w:rPr>
          <w:rFonts w:ascii="Book Antiqua" w:eastAsia="Book Antiqua" w:hAnsi="Book Antiqua" w:cs="Book Antiqua"/>
          <w:color w:val="000000"/>
        </w:rPr>
        <w:t>6</w:t>
      </w:r>
      <w:r w:rsidR="00D37469">
        <w:rPr>
          <w:rFonts w:ascii="Book Antiqua" w:hAnsi="Book Antiqua" w:cs="Book Antiqua" w:hint="eastAsia"/>
          <w:color w:val="000000"/>
          <w:lang w:eastAsia="zh-CN"/>
        </w:rPr>
        <w:t>4</w:t>
      </w:r>
      <w:r w:rsidRPr="00B7221C">
        <w:rPr>
          <w:rFonts w:ascii="Book Antiqua" w:eastAsia="Book Antiqua" w:hAnsi="Book Antiqua" w:cs="Book Antiqua"/>
          <w:color w:val="000000"/>
        </w:rPr>
        <w:t>448</w:t>
      </w:r>
    </w:p>
    <w:p w14:paraId="4061C8D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Type: </w:t>
      </w:r>
      <w:r w:rsidRPr="00B7221C">
        <w:rPr>
          <w:rFonts w:ascii="Book Antiqua" w:eastAsia="Book Antiqua" w:hAnsi="Book Antiqua" w:cs="Book Antiqua"/>
          <w:color w:val="000000"/>
        </w:rPr>
        <w:t>REVIEW</w:t>
      </w:r>
    </w:p>
    <w:p w14:paraId="0263E43D" w14:textId="77777777" w:rsidR="00A77B3E" w:rsidRPr="00B7221C" w:rsidRDefault="00A77B3E" w:rsidP="00B7221C">
      <w:pPr>
        <w:spacing w:line="360" w:lineRule="auto"/>
        <w:jc w:val="both"/>
        <w:rPr>
          <w:rFonts w:ascii="Book Antiqua" w:hAnsi="Book Antiqua"/>
        </w:rPr>
      </w:pPr>
    </w:p>
    <w:p w14:paraId="4D37A7BD" w14:textId="61EADC2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Therapeut</w:t>
      </w:r>
      <w:r w:rsidR="00B4354A" w:rsidRPr="00B7221C">
        <w:rPr>
          <w:rFonts w:ascii="Book Antiqua" w:eastAsia="Book Antiqua" w:hAnsi="Book Antiqua" w:cs="Book Antiqua"/>
          <w:b/>
          <w:color w:val="000000"/>
        </w:rPr>
        <w:t>ic implica</w:t>
      </w:r>
      <w:r w:rsidRPr="00B7221C">
        <w:rPr>
          <w:rFonts w:ascii="Book Antiqua" w:eastAsia="Book Antiqua" w:hAnsi="Book Antiqua" w:cs="Book Antiqua"/>
          <w:b/>
          <w:color w:val="000000"/>
        </w:rPr>
        <w:t xml:space="preserve">tions of SARS-CoV-2 </w:t>
      </w:r>
      <w:r w:rsidR="00B4354A" w:rsidRPr="00B7221C">
        <w:rPr>
          <w:rFonts w:ascii="Book Antiqua" w:eastAsia="Book Antiqua" w:hAnsi="Book Antiqua" w:cs="Book Antiqua"/>
          <w:b/>
          <w:color w:val="000000"/>
        </w:rPr>
        <w:t>d</w:t>
      </w:r>
      <w:r w:rsidRPr="00B7221C">
        <w:rPr>
          <w:rFonts w:ascii="Book Antiqua" w:eastAsia="Book Antiqua" w:hAnsi="Book Antiqua" w:cs="Book Antiqua"/>
          <w:b/>
          <w:color w:val="000000"/>
        </w:rPr>
        <w:t>ysregulation of t</w:t>
      </w:r>
      <w:r w:rsidR="00B4354A" w:rsidRPr="00B7221C">
        <w:rPr>
          <w:rFonts w:ascii="Book Antiqua" w:eastAsia="Book Antiqua" w:hAnsi="Book Antiqua" w:cs="Book Antiqua"/>
          <w:b/>
          <w:color w:val="000000"/>
        </w:rPr>
        <w:t>he gut-brain-lung ax</w:t>
      </w:r>
      <w:r w:rsidRPr="00B7221C">
        <w:rPr>
          <w:rFonts w:ascii="Book Antiqua" w:eastAsia="Book Antiqua" w:hAnsi="Book Antiqua" w:cs="Book Antiqua"/>
          <w:b/>
          <w:color w:val="000000"/>
        </w:rPr>
        <w:t>is</w:t>
      </w:r>
    </w:p>
    <w:p w14:paraId="6B2AE49D" w14:textId="77777777" w:rsidR="00A77B3E" w:rsidRPr="00B7221C" w:rsidRDefault="00A77B3E" w:rsidP="00B7221C">
      <w:pPr>
        <w:spacing w:line="360" w:lineRule="auto"/>
        <w:jc w:val="both"/>
        <w:rPr>
          <w:rFonts w:ascii="Book Antiqua" w:hAnsi="Book Antiqua"/>
        </w:rPr>
      </w:pPr>
    </w:p>
    <w:p w14:paraId="67913B8A" w14:textId="6AB9F080" w:rsidR="00A77B3E" w:rsidRPr="00B7221C" w:rsidRDefault="00B429DC" w:rsidP="00B7221C">
      <w:pPr>
        <w:spacing w:line="360" w:lineRule="auto"/>
        <w:jc w:val="both"/>
        <w:rPr>
          <w:rFonts w:ascii="Book Antiqua" w:hAnsi="Book Antiqua"/>
        </w:rPr>
      </w:pPr>
      <w:r w:rsidRPr="00B7221C">
        <w:rPr>
          <w:rFonts w:ascii="Book Antiqua" w:eastAsia="Book Antiqua" w:hAnsi="Book Antiqua" w:cs="Book Antiqua"/>
          <w:color w:val="000000"/>
        </w:rPr>
        <w:t xml:space="preserve">Johnson SD </w:t>
      </w:r>
      <w:r w:rsidRPr="00B7221C">
        <w:rPr>
          <w:rFonts w:ascii="Book Antiqua" w:eastAsia="Book Antiqua" w:hAnsi="Book Antiqua" w:cs="Book Antiqua"/>
          <w:i/>
          <w:iCs/>
          <w:color w:val="000000"/>
        </w:rPr>
        <w:t>et al</w:t>
      </w:r>
      <w:r w:rsidRPr="00B7221C">
        <w:rPr>
          <w:rFonts w:ascii="Book Antiqua" w:eastAsia="Book Antiqua" w:hAnsi="Book Antiqua" w:cs="Book Antiqua"/>
          <w:color w:val="000000"/>
        </w:rPr>
        <w:t xml:space="preserve">. </w:t>
      </w:r>
      <w:r w:rsidR="00A143FB" w:rsidRPr="00B7221C">
        <w:rPr>
          <w:rFonts w:ascii="Book Antiqua" w:eastAsia="Book Antiqua" w:hAnsi="Book Antiqua" w:cs="Book Antiqua"/>
          <w:color w:val="000000"/>
        </w:rPr>
        <w:t xml:space="preserve">SARS-CoV-2 </w:t>
      </w:r>
      <w:r w:rsidR="00151A38">
        <w:rPr>
          <w:rFonts w:ascii="Book Antiqua" w:eastAsia="Book Antiqua" w:hAnsi="Book Antiqua" w:cs="Book Antiqua"/>
          <w:color w:val="000000"/>
        </w:rPr>
        <w:t xml:space="preserve">gut-brain-lung </w:t>
      </w:r>
      <w:r w:rsidR="00674F83" w:rsidRPr="00B7221C">
        <w:rPr>
          <w:rFonts w:ascii="Book Antiqua" w:eastAsia="Book Antiqua" w:hAnsi="Book Antiqua" w:cs="Book Antiqua"/>
          <w:color w:val="000000"/>
        </w:rPr>
        <w:t xml:space="preserve">dysregulation </w:t>
      </w:r>
    </w:p>
    <w:p w14:paraId="49A61B89" w14:textId="77777777" w:rsidR="00A77B3E" w:rsidRPr="00B7221C" w:rsidRDefault="00A77B3E" w:rsidP="00B7221C">
      <w:pPr>
        <w:spacing w:line="360" w:lineRule="auto"/>
        <w:jc w:val="both"/>
        <w:rPr>
          <w:rFonts w:ascii="Book Antiqua" w:hAnsi="Book Antiqua"/>
        </w:rPr>
      </w:pPr>
    </w:p>
    <w:p w14:paraId="047B4106" w14:textId="016EC67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Samuel D Johnson, Omalla A Olwenyi, Namita Bhyravbhatla, Michellie Thurman, Kabita Pandey, Elizabeth A Klug, Morgan Johnston, Shetty Ravi Dyavar, Arpan Acharya, Anthony T Podany, Courtney V Fletcher, Mahesh Mohan, Kamal Singh, Siddappa N Byrareddy</w:t>
      </w:r>
    </w:p>
    <w:p w14:paraId="077A2606" w14:textId="77777777" w:rsidR="00A77B3E" w:rsidRPr="00B7221C" w:rsidRDefault="00A77B3E" w:rsidP="00B7221C">
      <w:pPr>
        <w:spacing w:line="360" w:lineRule="auto"/>
        <w:jc w:val="both"/>
        <w:rPr>
          <w:rFonts w:ascii="Book Antiqua" w:hAnsi="Book Antiqua"/>
        </w:rPr>
      </w:pPr>
    </w:p>
    <w:p w14:paraId="7411796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Samuel D Johnson, Omalla A Olwenyi, Kabita Pandey, Elizabeth A Klug, </w:t>
      </w:r>
      <w:r w:rsidRPr="00B7221C">
        <w:rPr>
          <w:rFonts w:ascii="Book Antiqua" w:eastAsia="Book Antiqua" w:hAnsi="Book Antiqua" w:cs="Book Antiqua"/>
          <w:color w:val="000000"/>
        </w:rPr>
        <w:t>Department of Pathology and Microbiology, University of Nebraska Medical Center, Omaha, NE 68198, United States</w:t>
      </w:r>
    </w:p>
    <w:p w14:paraId="5D6BAB0D" w14:textId="77777777" w:rsidR="00A77B3E" w:rsidRPr="00B7221C" w:rsidRDefault="00A77B3E" w:rsidP="00B7221C">
      <w:pPr>
        <w:spacing w:line="360" w:lineRule="auto"/>
        <w:jc w:val="both"/>
        <w:rPr>
          <w:rFonts w:ascii="Book Antiqua" w:hAnsi="Book Antiqua"/>
        </w:rPr>
      </w:pPr>
    </w:p>
    <w:p w14:paraId="068DFFF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Samuel D Johnson, Omalla A Olwenyi, Namita Bhyravbhatla, Michellie Thurman, Kabita Pandey, Elizabeth A Klug, Morgan Johnston, Arpan Acharya, Siddappa N Byrareddy, </w:t>
      </w:r>
      <w:r w:rsidRPr="00B7221C">
        <w:rPr>
          <w:rFonts w:ascii="Book Antiqua" w:eastAsia="Book Antiqua" w:hAnsi="Book Antiqua" w:cs="Book Antiqua"/>
          <w:color w:val="000000"/>
        </w:rPr>
        <w:t>Department of Pharmacology and Experimental Neuroscience, University of Nebraska Medical Center, Omaha, NE 68198, United States</w:t>
      </w:r>
    </w:p>
    <w:p w14:paraId="10A0A1D0" w14:textId="77777777" w:rsidR="00A77B3E" w:rsidRPr="00B7221C" w:rsidRDefault="00A77B3E" w:rsidP="00B7221C">
      <w:pPr>
        <w:spacing w:line="360" w:lineRule="auto"/>
        <w:jc w:val="both"/>
        <w:rPr>
          <w:rFonts w:ascii="Book Antiqua" w:hAnsi="Book Antiqua"/>
        </w:rPr>
      </w:pPr>
    </w:p>
    <w:p w14:paraId="7D6C533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Shetty Ravi Dyavar, Anthony T Podany, Courtney V Fletcher, </w:t>
      </w:r>
      <w:r w:rsidRPr="00B7221C">
        <w:rPr>
          <w:rFonts w:ascii="Book Antiqua" w:eastAsia="Book Antiqua" w:hAnsi="Book Antiqua" w:cs="Book Antiqua"/>
          <w:color w:val="000000"/>
        </w:rPr>
        <w:t>Antiviral Pharmacology Laboratory, University of Nebraska Medical Center (UNMC) Center for Drug Discovery, Omaha, NE 68198, United States</w:t>
      </w:r>
    </w:p>
    <w:p w14:paraId="3FC08C91" w14:textId="77777777" w:rsidR="00A77B3E" w:rsidRPr="00B7221C" w:rsidRDefault="00A77B3E" w:rsidP="00B7221C">
      <w:pPr>
        <w:spacing w:line="360" w:lineRule="auto"/>
        <w:jc w:val="both"/>
        <w:rPr>
          <w:rFonts w:ascii="Book Antiqua" w:hAnsi="Book Antiqua"/>
        </w:rPr>
      </w:pPr>
    </w:p>
    <w:p w14:paraId="58DD63A0" w14:textId="17B21B8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Mahesh Mohan, </w:t>
      </w:r>
      <w:r w:rsidR="00996724" w:rsidRPr="00B7221C">
        <w:rPr>
          <w:rFonts w:ascii="Book Antiqua" w:eastAsia="Book Antiqua" w:hAnsi="Book Antiqua" w:cs="Book Antiqua"/>
          <w:color w:val="000000"/>
        </w:rPr>
        <w:t>South</w:t>
      </w:r>
      <w:r w:rsidR="00996724">
        <w:rPr>
          <w:rFonts w:ascii="Book Antiqua" w:eastAsia="Book Antiqua" w:hAnsi="Book Antiqua" w:cs="Book Antiqua"/>
          <w:color w:val="000000"/>
        </w:rPr>
        <w:t>w</w:t>
      </w:r>
      <w:r w:rsidR="00996724" w:rsidRPr="00B7221C">
        <w:rPr>
          <w:rFonts w:ascii="Book Antiqua" w:eastAsia="Book Antiqua" w:hAnsi="Book Antiqua" w:cs="Book Antiqua"/>
          <w:color w:val="000000"/>
        </w:rPr>
        <w:t xml:space="preserve">est </w:t>
      </w:r>
      <w:r w:rsidRPr="00B7221C">
        <w:rPr>
          <w:rFonts w:ascii="Book Antiqua" w:eastAsia="Book Antiqua" w:hAnsi="Book Antiqua" w:cs="Book Antiqua"/>
          <w:color w:val="000000"/>
        </w:rPr>
        <w:t>National Primate Research Center, Texas Biomedical Research Institute, San Antonio, TX 78227, United States</w:t>
      </w:r>
    </w:p>
    <w:p w14:paraId="4043DFDF" w14:textId="77777777" w:rsidR="00A77B3E" w:rsidRPr="00B7221C" w:rsidRDefault="00A77B3E" w:rsidP="00B7221C">
      <w:pPr>
        <w:spacing w:line="360" w:lineRule="auto"/>
        <w:jc w:val="both"/>
        <w:rPr>
          <w:rFonts w:ascii="Book Antiqua" w:hAnsi="Book Antiqua"/>
        </w:rPr>
      </w:pPr>
    </w:p>
    <w:p w14:paraId="06F033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lastRenderedPageBreak/>
        <w:t xml:space="preserve">Kamal Singh, </w:t>
      </w:r>
      <w:r w:rsidRPr="00B7221C">
        <w:rPr>
          <w:rFonts w:ascii="Book Antiqua" w:eastAsia="Book Antiqua" w:hAnsi="Book Antiqua" w:cs="Book Antiqua"/>
          <w:color w:val="000000"/>
        </w:rPr>
        <w:t>Department of Molecular Microbiology and Immunology and Bond Life Sciences Center, University of Missouri, Columbia, MO 65212, United States</w:t>
      </w:r>
    </w:p>
    <w:p w14:paraId="47EDAB4D" w14:textId="77777777" w:rsidR="00A77B3E" w:rsidRPr="00B7221C" w:rsidRDefault="00A77B3E" w:rsidP="00B7221C">
      <w:pPr>
        <w:spacing w:line="360" w:lineRule="auto"/>
        <w:jc w:val="both"/>
        <w:rPr>
          <w:rFonts w:ascii="Book Antiqua" w:hAnsi="Book Antiqua"/>
        </w:rPr>
      </w:pPr>
    </w:p>
    <w:p w14:paraId="03D193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Siddappa N Byrareddy, </w:t>
      </w:r>
      <w:r w:rsidRPr="00B7221C">
        <w:rPr>
          <w:rFonts w:ascii="Book Antiqua" w:eastAsia="Book Antiqua" w:hAnsi="Book Antiqua" w:cs="Book Antiqua"/>
          <w:color w:val="000000"/>
        </w:rPr>
        <w:t>Department of Genetics, Cell Biology and Anatomy, University of Nebraska Medical Center, Omaha, NE 68198, United States</w:t>
      </w:r>
    </w:p>
    <w:p w14:paraId="1A011B4D" w14:textId="77777777" w:rsidR="00A77B3E" w:rsidRPr="00B7221C" w:rsidRDefault="00A77B3E" w:rsidP="00B7221C">
      <w:pPr>
        <w:spacing w:line="360" w:lineRule="auto"/>
        <w:jc w:val="both"/>
        <w:rPr>
          <w:rFonts w:ascii="Book Antiqua" w:hAnsi="Book Antiqua"/>
        </w:rPr>
      </w:pPr>
    </w:p>
    <w:p w14:paraId="37812A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Siddappa N Byrareddy, </w:t>
      </w:r>
      <w:r w:rsidRPr="00B7221C">
        <w:rPr>
          <w:rFonts w:ascii="Book Antiqua" w:eastAsia="Book Antiqua" w:hAnsi="Book Antiqua" w:cs="Book Antiqua"/>
          <w:color w:val="000000"/>
        </w:rPr>
        <w:t>Department of Biochemistry and Molecular Biology, University of Nebraska Medical Center, Omaha, NE 68198, United States</w:t>
      </w:r>
    </w:p>
    <w:p w14:paraId="714AF575" w14:textId="77777777" w:rsidR="00A77B3E" w:rsidRPr="00B7221C" w:rsidRDefault="00A77B3E" w:rsidP="00B7221C">
      <w:pPr>
        <w:spacing w:line="360" w:lineRule="auto"/>
        <w:jc w:val="both"/>
        <w:rPr>
          <w:rFonts w:ascii="Book Antiqua" w:hAnsi="Book Antiqua"/>
        </w:rPr>
      </w:pPr>
    </w:p>
    <w:p w14:paraId="63B78236" w14:textId="0D1B3742"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Author contributions: </w:t>
      </w:r>
      <w:r w:rsidRPr="00B7221C">
        <w:rPr>
          <w:rFonts w:ascii="Book Antiqua" w:eastAsia="Book Antiqua" w:hAnsi="Book Antiqua" w:cs="Book Antiqua"/>
          <w:color w:val="000000"/>
        </w:rPr>
        <w:t>Johnson SD and Olwenyi OA contributed equally to the conception, review of literature, and drafting of the manuscript</w:t>
      </w:r>
      <w:r w:rsidR="00700576"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700576" w:rsidRPr="00B7221C">
        <w:rPr>
          <w:rFonts w:ascii="Book Antiqua" w:eastAsia="Book Antiqua" w:hAnsi="Book Antiqua" w:cs="Book Antiqua"/>
          <w:color w:val="000000"/>
        </w:rPr>
        <w:t>a</w:t>
      </w:r>
      <w:r w:rsidRPr="00B7221C">
        <w:rPr>
          <w:rFonts w:ascii="Book Antiqua" w:eastAsia="Book Antiqua" w:hAnsi="Book Antiqua" w:cs="Book Antiqua"/>
          <w:color w:val="000000"/>
        </w:rPr>
        <w:t>ll authors contributed to the writing and editing of the manuscript</w:t>
      </w:r>
      <w:r w:rsidR="00700576" w:rsidRPr="00B7221C">
        <w:rPr>
          <w:rFonts w:ascii="Book Antiqua" w:eastAsia="Book Antiqua" w:hAnsi="Book Antiqua" w:cs="Book Antiqua"/>
          <w:color w:val="000000"/>
        </w:rPr>
        <w:t xml:space="preserve"> and </w:t>
      </w:r>
      <w:r w:rsidRPr="00B7221C">
        <w:rPr>
          <w:rFonts w:ascii="Book Antiqua" w:eastAsia="Book Antiqua" w:hAnsi="Book Antiqua" w:cs="Book Antiqua"/>
          <w:color w:val="000000"/>
        </w:rPr>
        <w:t>approved the final version of the manuscript.</w:t>
      </w:r>
    </w:p>
    <w:p w14:paraId="120B4370" w14:textId="77777777" w:rsidR="00A77B3E" w:rsidRPr="00B7221C" w:rsidRDefault="00A77B3E" w:rsidP="00B7221C">
      <w:pPr>
        <w:spacing w:line="360" w:lineRule="auto"/>
        <w:jc w:val="both"/>
        <w:rPr>
          <w:rFonts w:ascii="Book Antiqua" w:hAnsi="Book Antiqua"/>
        </w:rPr>
      </w:pPr>
    </w:p>
    <w:p w14:paraId="5526CFCA" w14:textId="42F85E32"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Supported by </w:t>
      </w:r>
      <w:r w:rsidR="00730335" w:rsidRPr="00B7221C">
        <w:rPr>
          <w:rFonts w:ascii="Book Antiqua" w:eastAsia="Book Antiqua" w:hAnsi="Book Antiqua" w:cs="Book Antiqua"/>
          <w:color w:val="000000"/>
        </w:rPr>
        <w:t>National Institutes of Health</w:t>
      </w:r>
      <w:r w:rsidRPr="00B7221C">
        <w:rPr>
          <w:rFonts w:ascii="Book Antiqua" w:eastAsia="Book Antiqua" w:hAnsi="Book Antiqua" w:cs="Book Antiqua"/>
          <w:color w:val="000000"/>
        </w:rPr>
        <w:t xml:space="preserve"> grants, </w:t>
      </w:r>
      <w:r w:rsidR="00730335" w:rsidRPr="00B7221C">
        <w:rPr>
          <w:rFonts w:ascii="Book Antiqua" w:eastAsia="Book Antiqua" w:hAnsi="Book Antiqua" w:cs="Book Antiqua"/>
          <w:color w:val="000000"/>
        </w:rPr>
        <w:t xml:space="preserve">No. </w:t>
      </w:r>
      <w:r w:rsidRPr="00B7221C">
        <w:rPr>
          <w:rFonts w:ascii="Book Antiqua" w:eastAsia="Book Antiqua" w:hAnsi="Book Antiqua" w:cs="Book Antiqua"/>
          <w:color w:val="000000"/>
        </w:rPr>
        <w:t xml:space="preserve">R01AI129745,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R21MH113455,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R01DA052845, and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R01AI113883 </w:t>
      </w:r>
      <w:r w:rsidR="00730335"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to </w:t>
      </w:r>
      <w:r w:rsidR="00730335" w:rsidRPr="00B7221C">
        <w:rPr>
          <w:rFonts w:ascii="Book Antiqua" w:eastAsia="Book Antiqua" w:hAnsi="Book Antiqua" w:cs="Book Antiqua"/>
          <w:color w:val="000000"/>
        </w:rPr>
        <w:t xml:space="preserve">Byrareddy </w:t>
      </w:r>
      <w:r w:rsidRPr="00B7221C">
        <w:rPr>
          <w:rFonts w:ascii="Book Antiqua" w:eastAsia="Book Antiqua" w:hAnsi="Book Antiqua" w:cs="Book Antiqua"/>
          <w:color w:val="000000"/>
        </w:rPr>
        <w:t>SN</w:t>
      </w:r>
      <w:r w:rsidR="00730335" w:rsidRPr="00B7221C">
        <w:rPr>
          <w:rFonts w:ascii="Book Antiqua" w:eastAsia="Book Antiqua" w:hAnsi="Book Antiqua" w:cs="Book Antiqua"/>
          <w:color w:val="000000"/>
        </w:rPr>
        <w:t>)</w:t>
      </w:r>
      <w:r w:rsidRPr="00B7221C">
        <w:rPr>
          <w:rFonts w:ascii="Book Antiqua" w:eastAsia="Book Antiqua" w:hAnsi="Book Antiqua" w:cs="Book Antiqua"/>
          <w:color w:val="000000"/>
        </w:rPr>
        <w:t>.</w:t>
      </w:r>
    </w:p>
    <w:p w14:paraId="6BB5DC4E" w14:textId="77777777" w:rsidR="00730335" w:rsidRPr="00B7221C" w:rsidRDefault="00730335" w:rsidP="00B7221C">
      <w:pPr>
        <w:spacing w:line="360" w:lineRule="auto"/>
        <w:jc w:val="both"/>
        <w:rPr>
          <w:rFonts w:ascii="Book Antiqua" w:eastAsia="Book Antiqua" w:hAnsi="Book Antiqua" w:cs="Book Antiqua"/>
          <w:color w:val="000000"/>
        </w:rPr>
      </w:pPr>
    </w:p>
    <w:p w14:paraId="572BBDC5" w14:textId="1BF5F98B" w:rsidR="00A77B3E" w:rsidRPr="00B7221C" w:rsidRDefault="00A143FB" w:rsidP="00B7221C">
      <w:pPr>
        <w:spacing w:line="360" w:lineRule="auto"/>
        <w:jc w:val="both"/>
        <w:rPr>
          <w:rFonts w:ascii="Book Antiqua" w:eastAsia="Book Antiqua" w:hAnsi="Book Antiqua" w:cs="Book Antiqua"/>
          <w:color w:val="000000"/>
        </w:rPr>
      </w:pPr>
      <w:r w:rsidRPr="00B7221C">
        <w:rPr>
          <w:rFonts w:ascii="Book Antiqua" w:eastAsia="Book Antiqua" w:hAnsi="Book Antiqua" w:cs="Book Antiqua"/>
          <w:b/>
          <w:bCs/>
          <w:color w:val="000000"/>
        </w:rPr>
        <w:t xml:space="preserve">Corresponding author: Siddappa N Byrareddy, PhD, Associate Professor, </w:t>
      </w:r>
      <w:r w:rsidRPr="00B7221C">
        <w:rPr>
          <w:rFonts w:ascii="Book Antiqua" w:eastAsia="Book Antiqua" w:hAnsi="Book Antiqua" w:cs="Book Antiqua"/>
          <w:color w:val="000000"/>
        </w:rPr>
        <w:t xml:space="preserve">Department of Pharmacology and Experimental Neuroscience, University of Nebraska Medical Center, </w:t>
      </w:r>
      <w:r w:rsidR="00DE6177" w:rsidRPr="00B7221C">
        <w:rPr>
          <w:rFonts w:ascii="Book Antiqua" w:eastAsia="Book Antiqua" w:hAnsi="Book Antiqua" w:cs="Book Antiqua"/>
          <w:color w:val="000000"/>
        </w:rPr>
        <w:t>42</w:t>
      </w:r>
      <w:r w:rsidR="00DE6177" w:rsidRPr="003E30C4">
        <w:rPr>
          <w:rFonts w:ascii="Book Antiqua" w:eastAsia="Book Antiqua" w:hAnsi="Book Antiqua" w:cs="Book Antiqua"/>
          <w:color w:val="000000"/>
          <w:vertAlign w:val="superscript"/>
        </w:rPr>
        <w:t>nd</w:t>
      </w:r>
      <w:r w:rsidR="00DE6177" w:rsidRPr="00B7221C">
        <w:rPr>
          <w:rFonts w:ascii="Book Antiqua" w:eastAsia="Book Antiqua" w:hAnsi="Book Antiqua" w:cs="Book Antiqua"/>
          <w:color w:val="000000"/>
        </w:rPr>
        <w:t xml:space="preserve"> St</w:t>
      </w:r>
      <w:r w:rsidR="0073782C" w:rsidRPr="00B7221C">
        <w:rPr>
          <w:rFonts w:ascii="Book Antiqua" w:eastAsia="Book Antiqua" w:hAnsi="Book Antiqua" w:cs="Book Antiqua"/>
          <w:color w:val="000000"/>
        </w:rPr>
        <w:t>reet</w:t>
      </w:r>
      <w:r w:rsidR="00DE6177" w:rsidRPr="00B7221C">
        <w:rPr>
          <w:rFonts w:ascii="Book Antiqua" w:eastAsia="Book Antiqua" w:hAnsi="Book Antiqua" w:cs="Book Antiqua"/>
          <w:color w:val="000000"/>
        </w:rPr>
        <w:t xml:space="preserve"> </w:t>
      </w:r>
      <w:r w:rsidR="0073782C" w:rsidRPr="00B7221C">
        <w:rPr>
          <w:rFonts w:ascii="Book Antiqua" w:eastAsia="Book Antiqua" w:hAnsi="Book Antiqua" w:cs="Book Antiqua"/>
          <w:color w:val="000000"/>
        </w:rPr>
        <w:t>a</w:t>
      </w:r>
      <w:r w:rsidR="00DE6177" w:rsidRPr="00B7221C">
        <w:rPr>
          <w:rFonts w:ascii="Book Antiqua" w:eastAsia="Book Antiqua" w:hAnsi="Book Antiqua" w:cs="Book Antiqua"/>
          <w:color w:val="000000"/>
        </w:rPr>
        <w:t>nd Emile St</w:t>
      </w:r>
      <w:r w:rsidR="0073782C" w:rsidRPr="00B7221C">
        <w:rPr>
          <w:rFonts w:ascii="Book Antiqua" w:eastAsia="Book Antiqua" w:hAnsi="Book Antiqua" w:cs="Book Antiqua"/>
          <w:color w:val="000000"/>
        </w:rPr>
        <w:t>reet</w:t>
      </w:r>
      <w:r w:rsidR="00DE6177" w:rsidRPr="00B7221C">
        <w:rPr>
          <w:rFonts w:ascii="Book Antiqua" w:eastAsia="Book Antiqua" w:hAnsi="Book Antiqua" w:cs="Book Antiqua"/>
          <w:color w:val="000000"/>
        </w:rPr>
        <w:t>, Omaha, NE 68198</w:t>
      </w:r>
      <w:r w:rsidR="0005423D">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EE19ED" w:rsidRPr="00B7221C">
        <w:rPr>
          <w:rFonts w:ascii="Book Antiqua" w:eastAsia="Book Antiqua" w:hAnsi="Book Antiqua" w:cs="Book Antiqua"/>
          <w:color w:val="000000"/>
        </w:rPr>
        <w:t>United States</w:t>
      </w:r>
      <w:r w:rsidRPr="00B7221C">
        <w:rPr>
          <w:rFonts w:ascii="Book Antiqua" w:eastAsia="Book Antiqua" w:hAnsi="Book Antiqua" w:cs="Book Antiqua"/>
          <w:color w:val="000000"/>
        </w:rPr>
        <w:t>. sid.byrareddy@unmc.edu</w:t>
      </w:r>
    </w:p>
    <w:p w14:paraId="3BDE9543" w14:textId="77777777" w:rsidR="00DE6177" w:rsidRPr="00B7221C" w:rsidRDefault="00DE6177" w:rsidP="00B7221C">
      <w:pPr>
        <w:spacing w:line="360" w:lineRule="auto"/>
        <w:jc w:val="both"/>
        <w:rPr>
          <w:rFonts w:ascii="Book Antiqua" w:eastAsia="Book Antiqua" w:hAnsi="Book Antiqua" w:cs="Book Antiqua"/>
          <w:b/>
          <w:bCs/>
          <w:color w:val="000000"/>
        </w:rPr>
      </w:pPr>
    </w:p>
    <w:p w14:paraId="03F6BE63" w14:textId="54437B5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Received: </w:t>
      </w:r>
      <w:r w:rsidRPr="00B7221C">
        <w:rPr>
          <w:rFonts w:ascii="Book Antiqua" w:eastAsia="Book Antiqua" w:hAnsi="Book Antiqua" w:cs="Book Antiqua"/>
          <w:color w:val="000000"/>
        </w:rPr>
        <w:t>February 18, 2021</w:t>
      </w:r>
    </w:p>
    <w:p w14:paraId="2BF28819" w14:textId="6F967284"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Revised: </w:t>
      </w:r>
      <w:r w:rsidR="00E1120D" w:rsidRPr="00B7221C">
        <w:rPr>
          <w:rFonts w:ascii="Book Antiqua" w:eastAsia="Book Antiqua" w:hAnsi="Book Antiqua" w:cs="Book Antiqua"/>
          <w:color w:val="000000"/>
        </w:rPr>
        <w:t>May 10, 2021</w:t>
      </w:r>
    </w:p>
    <w:p w14:paraId="125C0066" w14:textId="7D368EC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Accepted: </w:t>
      </w:r>
      <w:bookmarkStart w:id="0" w:name="OLE_LINK15"/>
      <w:bookmarkStart w:id="1" w:name="OLE_LINK33"/>
      <w:bookmarkStart w:id="2" w:name="OLE_LINK48"/>
      <w:r w:rsidR="00AD1956">
        <w:rPr>
          <w:rFonts w:ascii="Book Antiqua" w:eastAsia="宋体" w:hAnsi="Book Antiqua"/>
          <w:color w:val="000000" w:themeColor="text1"/>
        </w:rPr>
        <w:t>J</w:t>
      </w:r>
      <w:r w:rsidR="00AD1956">
        <w:rPr>
          <w:rFonts w:ascii="Book Antiqua" w:eastAsia="宋体" w:hAnsi="Book Antiqua" w:hint="eastAsia"/>
          <w:color w:val="000000" w:themeColor="text1"/>
        </w:rPr>
        <w:t>u</w:t>
      </w:r>
      <w:r w:rsidR="00AD1956">
        <w:rPr>
          <w:rFonts w:ascii="Book Antiqua" w:eastAsia="宋体" w:hAnsi="Book Antiqua"/>
          <w:color w:val="000000" w:themeColor="text1"/>
        </w:rPr>
        <w:t>ly</w:t>
      </w:r>
      <w:r w:rsidR="00AD1956" w:rsidRPr="00F06907">
        <w:rPr>
          <w:rFonts w:ascii="Book Antiqua" w:eastAsia="宋体" w:hAnsi="Book Antiqua"/>
          <w:color w:val="000000" w:themeColor="text1"/>
        </w:rPr>
        <w:t xml:space="preserve"> </w:t>
      </w:r>
      <w:r w:rsidR="00AD1956">
        <w:rPr>
          <w:rFonts w:ascii="Book Antiqua" w:eastAsia="宋体" w:hAnsi="Book Antiqua"/>
          <w:color w:val="000000" w:themeColor="text1"/>
        </w:rPr>
        <w:t>20</w:t>
      </w:r>
      <w:r w:rsidR="00AD1956" w:rsidRPr="00F06907">
        <w:rPr>
          <w:rFonts w:ascii="Book Antiqua" w:eastAsia="宋体" w:hAnsi="Book Antiqua"/>
          <w:color w:val="000000" w:themeColor="text1"/>
        </w:rPr>
        <w:t>, 2021</w:t>
      </w:r>
      <w:bookmarkEnd w:id="0"/>
      <w:bookmarkEnd w:id="1"/>
      <w:bookmarkEnd w:id="2"/>
    </w:p>
    <w:p w14:paraId="6E88104F" w14:textId="5F54F6C4" w:rsidR="00A77B3E" w:rsidRDefault="00A143FB" w:rsidP="00B7221C">
      <w:pPr>
        <w:spacing w:line="360" w:lineRule="auto"/>
        <w:jc w:val="both"/>
        <w:rPr>
          <w:rFonts w:ascii="Book Antiqua" w:eastAsia="Book Antiqua" w:hAnsi="Book Antiqua" w:cs="Book Antiqua"/>
          <w:bCs/>
          <w:color w:val="000000"/>
        </w:rPr>
      </w:pPr>
      <w:r w:rsidRPr="00B7221C">
        <w:rPr>
          <w:rFonts w:ascii="Book Antiqua" w:eastAsia="Book Antiqua" w:hAnsi="Book Antiqua" w:cs="Book Antiqua"/>
          <w:b/>
          <w:bCs/>
          <w:color w:val="000000"/>
        </w:rPr>
        <w:t xml:space="preserve">Published online: </w:t>
      </w:r>
      <w:r w:rsidR="004A43F1" w:rsidRPr="007B52A2">
        <w:rPr>
          <w:rFonts w:ascii="Book Antiqua" w:eastAsia="Book Antiqua" w:hAnsi="Book Antiqua" w:cs="Book Antiqua"/>
          <w:bCs/>
          <w:color w:val="000000"/>
        </w:rPr>
        <w:t>Aug 7, 2021</w:t>
      </w:r>
    </w:p>
    <w:p w14:paraId="598BB277" w14:textId="5F4A6355" w:rsidR="004A43F1" w:rsidRDefault="004A43F1" w:rsidP="00B7221C">
      <w:pPr>
        <w:spacing w:line="360" w:lineRule="auto"/>
        <w:jc w:val="both"/>
        <w:rPr>
          <w:rFonts w:ascii="Book Antiqua" w:eastAsia="Book Antiqua" w:hAnsi="Book Antiqua" w:cs="Book Antiqua"/>
          <w:bCs/>
          <w:color w:val="000000"/>
        </w:rPr>
      </w:pPr>
    </w:p>
    <w:p w14:paraId="43D1A77E" w14:textId="77777777" w:rsidR="004A43F1" w:rsidRPr="00B7221C" w:rsidRDefault="004A43F1" w:rsidP="00B7221C">
      <w:pPr>
        <w:spacing w:line="360" w:lineRule="auto"/>
        <w:jc w:val="both"/>
        <w:rPr>
          <w:rFonts w:ascii="Book Antiqua" w:hAnsi="Book Antiqua"/>
        </w:rPr>
      </w:pPr>
    </w:p>
    <w:p w14:paraId="74E69CEF" w14:textId="77777777" w:rsidR="00A77B3E" w:rsidRPr="00B7221C" w:rsidRDefault="00A77B3E" w:rsidP="00B7221C">
      <w:pPr>
        <w:spacing w:line="360" w:lineRule="auto"/>
        <w:jc w:val="both"/>
        <w:rPr>
          <w:rFonts w:ascii="Book Antiqua" w:hAnsi="Book Antiqua"/>
        </w:rPr>
        <w:sectPr w:rsidR="00A77B3E" w:rsidRPr="00B7221C">
          <w:footerReference w:type="default" r:id="rId9"/>
          <w:pgSz w:w="12240" w:h="15840"/>
          <w:pgMar w:top="1440" w:right="1440" w:bottom="1440" w:left="1440" w:header="720" w:footer="720" w:gutter="0"/>
          <w:cols w:space="720"/>
          <w:docGrid w:linePitch="360"/>
        </w:sectPr>
      </w:pPr>
    </w:p>
    <w:p w14:paraId="4E1F6EF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lastRenderedPageBreak/>
        <w:t>Abstract</w:t>
      </w:r>
    </w:p>
    <w:p w14:paraId="26EFDF9B" w14:textId="46E4838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The emergence and rapid spread of novel severe acute respiratory syndrome coronavirus 2 (SARS-CoV-2) has caused over </w:t>
      </w:r>
      <w:r w:rsidR="00571303" w:rsidRPr="00B7221C">
        <w:rPr>
          <w:rFonts w:ascii="Book Antiqua" w:eastAsia="Book Antiqua" w:hAnsi="Book Antiqua" w:cs="Book Antiqua"/>
          <w:color w:val="000000"/>
        </w:rPr>
        <w:t>1</w:t>
      </w:r>
      <w:r w:rsidR="00571303">
        <w:rPr>
          <w:rFonts w:ascii="Book Antiqua" w:eastAsia="Book Antiqua" w:hAnsi="Book Antiqua" w:cs="Book Antiqua"/>
          <w:color w:val="000000"/>
        </w:rPr>
        <w:t>8</w:t>
      </w:r>
      <w:r w:rsidR="00571303" w:rsidRPr="00B7221C">
        <w:rPr>
          <w:rFonts w:ascii="Book Antiqua" w:eastAsia="Book Antiqua" w:hAnsi="Book Antiqua" w:cs="Book Antiqua"/>
          <w:color w:val="000000"/>
        </w:rPr>
        <w:t xml:space="preserve">0 </w:t>
      </w:r>
      <w:r w:rsidRPr="00B7221C">
        <w:rPr>
          <w:rFonts w:ascii="Book Antiqua" w:eastAsia="Book Antiqua" w:hAnsi="Book Antiqua" w:cs="Book Antiqua"/>
          <w:color w:val="000000"/>
        </w:rPr>
        <w:t xml:space="preserve">million confirmed cases resulting in over </w:t>
      </w:r>
      <w:r w:rsidR="00571303">
        <w:rPr>
          <w:rFonts w:ascii="Book Antiqua" w:eastAsia="Book Antiqua" w:hAnsi="Book Antiqua" w:cs="Book Antiqua"/>
          <w:color w:val="000000"/>
        </w:rPr>
        <w:t>4</w:t>
      </w:r>
      <w:r w:rsidRPr="00B7221C">
        <w:rPr>
          <w:rFonts w:ascii="Book Antiqua" w:eastAsia="Book Antiqua" w:hAnsi="Book Antiqua" w:cs="Book Antiqua"/>
          <w:color w:val="000000"/>
        </w:rPr>
        <w:t xml:space="preserve"> million deaths worldwide with no clear end in sight </w:t>
      </w:r>
      <w:r w:rsidR="00DF4965">
        <w:rPr>
          <w:rFonts w:ascii="Book Antiqua" w:eastAsia="Book Antiqua" w:hAnsi="Book Antiqua" w:cs="Book Antiqua"/>
          <w:color w:val="000000"/>
        </w:rPr>
        <w:t>for</w:t>
      </w:r>
      <w:r w:rsidR="00DF4965"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the coronavirus disease 19 (COVID-19)</w:t>
      </w:r>
      <w:r w:rsidR="00DF4965">
        <w:rPr>
          <w:rFonts w:ascii="Book Antiqua" w:eastAsia="Book Antiqua" w:hAnsi="Book Antiqua" w:cs="Book Antiqua"/>
          <w:color w:val="000000"/>
        </w:rPr>
        <w:t xml:space="preserve"> pandemic</w:t>
      </w:r>
      <w:r w:rsidRPr="00B7221C">
        <w:rPr>
          <w:rFonts w:ascii="Book Antiqua" w:eastAsia="Book Antiqua" w:hAnsi="Book Antiqua" w:cs="Book Antiqua"/>
          <w:color w:val="000000"/>
        </w:rPr>
        <w:t>. Most SARS-CoV-2 exposed individuals experience mild to moderate symptoms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including fever, cough, fatigue, and </w:t>
      </w:r>
      <w:r w:rsidR="00DF4965">
        <w:rPr>
          <w:rFonts w:ascii="Book Antiqua" w:eastAsia="Book Antiqua" w:hAnsi="Book Antiqua" w:cs="Book Antiqua"/>
          <w:color w:val="000000"/>
        </w:rPr>
        <w:t xml:space="preserve">loss of </w:t>
      </w:r>
      <w:r w:rsidRPr="00B7221C">
        <w:rPr>
          <w:rFonts w:ascii="Book Antiqua" w:eastAsia="Book Antiqua" w:hAnsi="Book Antiqua" w:cs="Book Antiqua"/>
          <w:color w:val="000000"/>
        </w:rPr>
        <w:t>smell and taste. However, many individuals develop pneumonia, acute respiratory distress syndrome, septic shock, and multiorgan dysfunction. In addition to these primarily respiratory symptoms, SARS-CoV-2 can also infiltrate the central nervous system, which may damage the blood-brain barrier and the neuron</w:t>
      </w:r>
      <w:r w:rsidR="009F547B">
        <w:rPr>
          <w:rFonts w:ascii="Book Antiqua" w:eastAsia="Book Antiqua" w:hAnsi="Book Antiqua" w:cs="Book Antiqua"/>
          <w:color w:val="000000"/>
        </w:rPr>
        <w:t>'</w:t>
      </w:r>
      <w:r w:rsidRPr="00B7221C">
        <w:rPr>
          <w:rFonts w:ascii="Book Antiqua" w:eastAsia="Book Antiqua" w:hAnsi="Book Antiqua" w:cs="Book Antiqua"/>
          <w:color w:val="000000"/>
        </w:rPr>
        <w:t xml:space="preserve">s synapses. Resultant inflammation and neurodegeneration in the brain stem can further prevent efferent signaling to cranial nerves, leading to the loss of anti-inflammatory signaling and normal respiratory and gastrointestinal functions. Additionally, SARS-CoV-2 can infect enterocytes resulting in gut damage followed by microbial dysbiosis and translocation of bacteria and their byproducts across the damaged epithelial barrier. As a result, this exacerbates pro-inflammatory responses both locally and systemically, resulting in impaired clinical outcomes. Recent evidence has highlighted the complex interactions that mutually modulate respiratory, neurological, and gastrointestinal function. In this review, we discuss the ways SARS-CoV-2 potentially disrupts the gut-brain-lung axis. We further highlight targeting specific responses to SARS-CoV-2 for the development of novel, urgently needed therapeutic interventions. Finally, we propose a prospective related to the individuals from Low- and Middle-Income countries. Here, the underlying propensity for heightened gut damage/microbial translocation </w:t>
      </w:r>
      <w:r w:rsidR="00F418C5">
        <w:rPr>
          <w:rFonts w:ascii="Book Antiqua" w:eastAsia="Book Antiqua" w:hAnsi="Book Antiqua" w:cs="Book Antiqua"/>
          <w:color w:val="000000"/>
        </w:rPr>
        <w:t xml:space="preserve">is likely to </w:t>
      </w:r>
      <w:r w:rsidRPr="00B7221C">
        <w:rPr>
          <w:rFonts w:ascii="Book Antiqua" w:eastAsia="Book Antiqua" w:hAnsi="Book Antiqua" w:cs="Book Antiqua"/>
          <w:color w:val="000000"/>
        </w:rPr>
        <w:t>result in worse clinical outcomes</w:t>
      </w:r>
      <w:r w:rsidR="00F418C5">
        <w:rPr>
          <w:rFonts w:ascii="Book Antiqua" w:eastAsia="Book Antiqua" w:hAnsi="Book Antiqua" w:cs="Book Antiqua"/>
          <w:color w:val="000000"/>
        </w:rPr>
        <w:t xml:space="preserve"> </w:t>
      </w:r>
      <w:r w:rsidR="00F418C5" w:rsidRPr="00B7221C">
        <w:rPr>
          <w:rFonts w:ascii="Book Antiqua" w:eastAsia="Book Antiqua" w:hAnsi="Book Antiqua" w:cs="Book Antiqua"/>
          <w:color w:val="000000"/>
        </w:rPr>
        <w:t xml:space="preserve">during this </w:t>
      </w:r>
      <w:r w:rsidR="009F547B">
        <w:rPr>
          <w:rFonts w:ascii="Book Antiqua" w:eastAsia="Book Antiqua" w:hAnsi="Book Antiqua" w:cs="Book Antiqua"/>
          <w:color w:val="000000"/>
        </w:rPr>
        <w:t>COVID-19</w:t>
      </w:r>
      <w:r w:rsidR="00F418C5" w:rsidRPr="00B7221C">
        <w:rPr>
          <w:rFonts w:ascii="Book Antiqua" w:eastAsia="Book Antiqua" w:hAnsi="Book Antiqua" w:cs="Book Antiqua"/>
          <w:color w:val="000000"/>
        </w:rPr>
        <w:t xml:space="preserve"> pandemic</w:t>
      </w:r>
      <w:r w:rsidRPr="00B7221C">
        <w:rPr>
          <w:rFonts w:ascii="Book Antiqua" w:eastAsia="Book Antiqua" w:hAnsi="Book Antiqua" w:cs="Book Antiqua"/>
          <w:color w:val="000000"/>
        </w:rPr>
        <w:t>.</w:t>
      </w:r>
    </w:p>
    <w:p w14:paraId="5B61FECB" w14:textId="77777777" w:rsidR="00A77B3E" w:rsidRPr="00B7221C" w:rsidRDefault="00A77B3E" w:rsidP="00B7221C">
      <w:pPr>
        <w:spacing w:line="360" w:lineRule="auto"/>
        <w:jc w:val="both"/>
        <w:rPr>
          <w:rFonts w:ascii="Book Antiqua" w:hAnsi="Book Antiqua"/>
        </w:rPr>
      </w:pPr>
    </w:p>
    <w:p w14:paraId="5978A8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Key Words: </w:t>
      </w:r>
      <w:r w:rsidRPr="00B7221C">
        <w:rPr>
          <w:rFonts w:ascii="Book Antiqua" w:eastAsia="Book Antiqua" w:hAnsi="Book Antiqua" w:cs="Book Antiqua"/>
          <w:color w:val="000000"/>
        </w:rPr>
        <w:t>SARS-CoV-2; Gut; Microbiome; Lungs; Brain; Therapeutics</w:t>
      </w:r>
    </w:p>
    <w:p w14:paraId="04E55940" w14:textId="77777777" w:rsidR="00A77B3E" w:rsidRDefault="00A77B3E" w:rsidP="00B7221C">
      <w:pPr>
        <w:spacing w:line="360" w:lineRule="auto"/>
        <w:jc w:val="both"/>
        <w:rPr>
          <w:rFonts w:ascii="Book Antiqua" w:hAnsi="Book Antiqua"/>
          <w:lang w:eastAsia="zh-CN"/>
        </w:rPr>
      </w:pPr>
    </w:p>
    <w:p w14:paraId="6E7F65E3" w14:textId="77777777" w:rsidR="00B25975" w:rsidRDefault="00B25975" w:rsidP="00B2597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1371617B" w14:textId="77777777" w:rsidR="00B25975" w:rsidRPr="00B7221C" w:rsidRDefault="00B25975" w:rsidP="00B7221C">
      <w:pPr>
        <w:spacing w:line="360" w:lineRule="auto"/>
        <w:jc w:val="both"/>
        <w:rPr>
          <w:rFonts w:ascii="Book Antiqua" w:hAnsi="Book Antiqua"/>
          <w:lang w:eastAsia="zh-CN"/>
        </w:rPr>
      </w:pPr>
    </w:p>
    <w:p w14:paraId="6C0AB9D3" w14:textId="03D50C05" w:rsidR="00B25975" w:rsidRPr="00ED699D" w:rsidRDefault="00B25975" w:rsidP="00B7221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A143FB" w:rsidRPr="00B7221C">
        <w:rPr>
          <w:rFonts w:ascii="Book Antiqua" w:eastAsia="Book Antiqua" w:hAnsi="Book Antiqua" w:cs="Book Antiqua"/>
          <w:color w:val="000000"/>
        </w:rPr>
        <w:t>Johnson SD, Olwenyi OA, Bhyravbhatla N, Thurman M, Pandey K, Klug EA, Johnston M, Dyavar SR, Acharya A, Podany AT, Fletcher CV, Mohan M, Singh K, Byrareddy SN. Thera</w:t>
      </w:r>
      <w:r w:rsidR="0009348A" w:rsidRPr="00B7221C">
        <w:rPr>
          <w:rFonts w:ascii="Book Antiqua" w:eastAsia="Book Antiqua" w:hAnsi="Book Antiqua" w:cs="Book Antiqua"/>
          <w:color w:val="000000"/>
        </w:rPr>
        <w:t xml:space="preserve">peutic implications of </w:t>
      </w:r>
      <w:r w:rsidR="00A143FB" w:rsidRPr="00B7221C">
        <w:rPr>
          <w:rFonts w:ascii="Book Antiqua" w:eastAsia="Book Antiqua" w:hAnsi="Book Antiqua" w:cs="Book Antiqua"/>
          <w:color w:val="000000"/>
        </w:rPr>
        <w:t xml:space="preserve">SARS-CoV-2 </w:t>
      </w:r>
      <w:r w:rsidR="0009348A" w:rsidRPr="00B7221C">
        <w:rPr>
          <w:rFonts w:ascii="Book Antiqua" w:eastAsia="Book Antiqua" w:hAnsi="Book Antiqua" w:cs="Book Antiqua"/>
          <w:color w:val="000000"/>
        </w:rPr>
        <w:t>dysregulation of the gut-brain-lung a</w:t>
      </w:r>
      <w:r w:rsidR="00A143FB" w:rsidRPr="00B7221C">
        <w:rPr>
          <w:rFonts w:ascii="Book Antiqua" w:eastAsia="Book Antiqua" w:hAnsi="Book Antiqua" w:cs="Book Antiqua"/>
          <w:color w:val="000000"/>
        </w:rPr>
        <w:t xml:space="preserve">xis. </w:t>
      </w:r>
      <w:r w:rsidR="00A143FB" w:rsidRPr="00B7221C">
        <w:rPr>
          <w:rFonts w:ascii="Book Antiqua" w:eastAsia="Book Antiqua" w:hAnsi="Book Antiqua" w:cs="Book Antiqua"/>
          <w:i/>
          <w:iCs/>
          <w:color w:val="000000"/>
        </w:rPr>
        <w:t>World J Gastroenterol</w:t>
      </w:r>
      <w:r w:rsidR="00A143FB" w:rsidRPr="00B7221C">
        <w:rPr>
          <w:rFonts w:ascii="Book Antiqua" w:eastAsia="Book Antiqua" w:hAnsi="Book Antiqua" w:cs="Book Antiqua"/>
          <w:color w:val="000000"/>
        </w:rPr>
        <w:t xml:space="preserve"> </w:t>
      </w:r>
      <w:r w:rsidR="004A43F1" w:rsidRPr="00B7221C">
        <w:rPr>
          <w:rFonts w:ascii="Book Antiqua" w:eastAsia="Book Antiqua" w:hAnsi="Book Antiqua" w:cs="Book Antiqua"/>
          <w:color w:val="000000"/>
        </w:rPr>
        <w:t>2021;</w:t>
      </w:r>
      <w:r w:rsidR="004A43F1" w:rsidRPr="003633B0">
        <w:rPr>
          <w:rFonts w:ascii="Book Antiqua" w:eastAsia="Book Antiqua" w:hAnsi="Book Antiqua" w:cs="Book Antiqua"/>
          <w:color w:val="000000"/>
        </w:rPr>
        <w:t xml:space="preserve"> 27(29): </w:t>
      </w:r>
      <w:r w:rsidR="008007DA">
        <w:rPr>
          <w:rFonts w:ascii="Book Antiqua" w:hAnsi="Book Antiqua" w:cs="Book Antiqua" w:hint="eastAsia"/>
          <w:color w:val="000000"/>
          <w:lang w:eastAsia="zh-CN"/>
        </w:rPr>
        <w:t>4763</w:t>
      </w:r>
      <w:r w:rsidR="004A43F1" w:rsidRPr="003633B0">
        <w:rPr>
          <w:rFonts w:ascii="Book Antiqua" w:eastAsia="Book Antiqua" w:hAnsi="Book Antiqua" w:cs="Book Antiqua"/>
          <w:color w:val="000000"/>
        </w:rPr>
        <w:t>-</w:t>
      </w:r>
      <w:r w:rsidR="00ED699D">
        <w:rPr>
          <w:rFonts w:ascii="Book Antiqua" w:hAnsi="Book Antiqua" w:cs="Book Antiqua" w:hint="eastAsia"/>
          <w:color w:val="000000"/>
          <w:lang w:eastAsia="zh-CN"/>
        </w:rPr>
        <w:t>4783</w:t>
      </w:r>
    </w:p>
    <w:p w14:paraId="2111AF61" w14:textId="60AD1116" w:rsidR="00B25975" w:rsidRDefault="004A43F1" w:rsidP="00B7221C">
      <w:pPr>
        <w:spacing w:line="360" w:lineRule="auto"/>
        <w:jc w:val="both"/>
        <w:rPr>
          <w:rFonts w:ascii="Book Antiqua" w:hAnsi="Book Antiqua" w:cs="Book Antiqua"/>
          <w:color w:val="000000"/>
          <w:lang w:eastAsia="zh-CN"/>
        </w:rPr>
      </w:pPr>
      <w:r w:rsidRPr="00B25975">
        <w:rPr>
          <w:rFonts w:ascii="Book Antiqua" w:eastAsia="Book Antiqua" w:hAnsi="Book Antiqua" w:cs="Book Antiqua"/>
          <w:b/>
          <w:color w:val="000000"/>
        </w:rPr>
        <w:t xml:space="preserve">URL: </w:t>
      </w:r>
      <w:r w:rsidRPr="003633B0">
        <w:rPr>
          <w:rFonts w:ascii="Book Antiqua" w:eastAsia="Book Antiqua" w:hAnsi="Book Antiqua" w:cs="Book Antiqua"/>
          <w:color w:val="000000"/>
        </w:rPr>
        <w:t>https://www.wjgnet.com/1007-9327/full/v27/i29/</w:t>
      </w:r>
      <w:r w:rsidR="008007DA">
        <w:rPr>
          <w:rFonts w:ascii="Book Antiqua" w:hAnsi="Book Antiqua" w:cs="Book Antiqua" w:hint="eastAsia"/>
          <w:color w:val="000000"/>
          <w:lang w:eastAsia="zh-CN"/>
        </w:rPr>
        <w:t>4763</w:t>
      </w:r>
      <w:r w:rsidRPr="003633B0">
        <w:rPr>
          <w:rFonts w:ascii="Book Antiqua" w:eastAsia="Book Antiqua" w:hAnsi="Book Antiqua" w:cs="Book Antiqua"/>
          <w:color w:val="000000"/>
        </w:rPr>
        <w:t>.htm</w:t>
      </w:r>
    </w:p>
    <w:p w14:paraId="6D9D8D71" w14:textId="56BD302B" w:rsidR="00A77B3E" w:rsidRPr="008007DA" w:rsidRDefault="004A43F1" w:rsidP="00B7221C">
      <w:pPr>
        <w:spacing w:line="360" w:lineRule="auto"/>
        <w:jc w:val="both"/>
        <w:rPr>
          <w:rFonts w:ascii="Book Antiqua" w:hAnsi="Book Antiqua"/>
          <w:lang w:eastAsia="zh-CN"/>
        </w:rPr>
      </w:pPr>
      <w:r w:rsidRPr="00B25975">
        <w:rPr>
          <w:rFonts w:ascii="Book Antiqua" w:eastAsia="Book Antiqua" w:hAnsi="Book Antiqua" w:cs="Book Antiqua"/>
          <w:b/>
          <w:color w:val="000000"/>
        </w:rPr>
        <w:t xml:space="preserve">DOI: </w:t>
      </w:r>
      <w:r w:rsidRPr="003633B0">
        <w:rPr>
          <w:rFonts w:ascii="Book Antiqua" w:eastAsia="Book Antiqua" w:hAnsi="Book Antiqua" w:cs="Book Antiqua"/>
          <w:color w:val="000000"/>
        </w:rPr>
        <w:t>https://dx.doi.org/10.3748/wjg.v27.i29.</w:t>
      </w:r>
      <w:r w:rsidR="008007DA">
        <w:rPr>
          <w:rFonts w:ascii="Book Antiqua" w:hAnsi="Book Antiqua" w:cs="Book Antiqua" w:hint="eastAsia"/>
          <w:color w:val="000000"/>
          <w:lang w:eastAsia="zh-CN"/>
        </w:rPr>
        <w:t>4763</w:t>
      </w:r>
    </w:p>
    <w:p w14:paraId="504813CC" w14:textId="77777777" w:rsidR="00A77B3E" w:rsidRPr="00B7221C" w:rsidRDefault="00A77B3E" w:rsidP="00B7221C">
      <w:pPr>
        <w:spacing w:line="360" w:lineRule="auto"/>
        <w:jc w:val="both"/>
        <w:rPr>
          <w:rFonts w:ascii="Book Antiqua" w:hAnsi="Book Antiqua"/>
        </w:rPr>
      </w:pPr>
    </w:p>
    <w:p w14:paraId="782C5ABD" w14:textId="4797991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Core Tip: </w:t>
      </w:r>
      <w:r w:rsidRPr="00B7221C">
        <w:rPr>
          <w:rFonts w:ascii="Book Antiqua" w:eastAsia="Book Antiqua" w:hAnsi="Book Antiqua" w:cs="Book Antiqua"/>
          <w:color w:val="000000"/>
          <w:shd w:val="clear" w:color="auto" w:fill="FFFFFF"/>
        </w:rPr>
        <w:t>S</w:t>
      </w:r>
      <w:r w:rsidR="0009348A" w:rsidRPr="00B7221C">
        <w:rPr>
          <w:rFonts w:ascii="Book Antiqua" w:eastAsia="Book Antiqua" w:hAnsi="Book Antiqua" w:cs="Book Antiqua"/>
          <w:color w:val="000000"/>
          <w:shd w:val="clear" w:color="auto" w:fill="FFFFFF"/>
        </w:rPr>
        <w:t>evere acute respiratory syndrome coronavirus 2</w:t>
      </w:r>
      <w:r w:rsidRPr="00B7221C">
        <w:rPr>
          <w:rFonts w:ascii="Book Antiqua" w:eastAsia="Book Antiqua" w:hAnsi="Book Antiqua" w:cs="Book Antiqua"/>
          <w:color w:val="000000"/>
          <w:shd w:val="clear" w:color="auto" w:fill="FFFFFF"/>
        </w:rPr>
        <w:t xml:space="preserve"> has spread rapidly, infecting and killing millions worldwide. In addition to respiratory symptoms, </w:t>
      </w:r>
      <w:r w:rsidR="006B23AA" w:rsidRPr="00B7221C">
        <w:rPr>
          <w:rFonts w:ascii="Book Antiqua" w:eastAsia="Book Antiqua" w:hAnsi="Book Antiqua" w:cs="Book Antiqua"/>
          <w:color w:val="000000"/>
          <w:shd w:val="clear" w:color="auto" w:fill="FFFFFF"/>
        </w:rPr>
        <w:t>coronavirus disease 19 (COVID-19)</w:t>
      </w:r>
      <w:r w:rsidRPr="00B7221C">
        <w:rPr>
          <w:rFonts w:ascii="Book Antiqua" w:eastAsia="Book Antiqua" w:hAnsi="Book Antiqua" w:cs="Book Antiqua"/>
          <w:color w:val="000000"/>
          <w:shd w:val="clear" w:color="auto" w:fill="FFFFFF"/>
        </w:rPr>
        <w:t xml:space="preserve"> is associated with enterocyte infection leading to intestinal inflammation, gut barrier damage, and microbial dysbiosis exacerbating the systemic inflammatory response. Viral infiltration to the </w:t>
      </w:r>
      <w:r w:rsidR="0008135E" w:rsidRPr="00B7221C">
        <w:rPr>
          <w:rFonts w:ascii="Book Antiqua" w:eastAsia="Book Antiqua" w:hAnsi="Book Antiqua" w:cs="Book Antiqua"/>
          <w:color w:val="000000"/>
          <w:shd w:val="clear" w:color="auto" w:fill="FFFFFF"/>
        </w:rPr>
        <w:t>central nervous system</w:t>
      </w:r>
      <w:r w:rsidRPr="00B7221C">
        <w:rPr>
          <w:rFonts w:ascii="Book Antiqua" w:eastAsia="Book Antiqua" w:hAnsi="Book Antiqua" w:cs="Book Antiqua"/>
          <w:color w:val="000000"/>
          <w:shd w:val="clear" w:color="auto" w:fill="FFFFFF"/>
        </w:rPr>
        <w:t xml:space="preserve"> from cranial nerve innervation of the lungs and gut can also cause neuroinflammation and degeneration</w:t>
      </w:r>
      <w:r w:rsidR="00FB7844">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which further dysregulates gut and lungs. </w:t>
      </w:r>
      <w:r w:rsidR="00FB7844">
        <w:rPr>
          <w:rFonts w:ascii="Book Antiqua" w:eastAsia="Book Antiqua" w:hAnsi="Book Antiqua" w:cs="Book Antiqua"/>
          <w:color w:val="000000"/>
          <w:shd w:val="clear" w:color="auto" w:fill="FFFFFF"/>
        </w:rPr>
        <w:t>This</w:t>
      </w:r>
      <w:r w:rsidRPr="00B7221C">
        <w:rPr>
          <w:rFonts w:ascii="Book Antiqua" w:eastAsia="Book Antiqua" w:hAnsi="Book Antiqua" w:cs="Book Antiqua"/>
          <w:color w:val="000000"/>
          <w:shd w:val="clear" w:color="auto" w:fill="FFFFFF"/>
        </w:rPr>
        <w:t xml:space="preserve"> review</w:t>
      </w:r>
      <w:r w:rsidR="00FB7844">
        <w:rPr>
          <w:rFonts w:ascii="Book Antiqua" w:eastAsia="Book Antiqua" w:hAnsi="Book Antiqua" w:cs="Book Antiqua"/>
          <w:color w:val="000000"/>
          <w:shd w:val="clear" w:color="auto" w:fill="FFFFFF"/>
        </w:rPr>
        <w:t xml:space="preserve"> summarizes</w:t>
      </w:r>
      <w:r w:rsidRPr="00B7221C">
        <w:rPr>
          <w:rFonts w:ascii="Book Antiqua" w:eastAsia="Book Antiqua" w:hAnsi="Book Antiqua" w:cs="Book Antiqua"/>
          <w:color w:val="000000"/>
          <w:shd w:val="clear" w:color="auto" w:fill="FFFFFF"/>
        </w:rPr>
        <w:t xml:space="preserve"> recent findings on COVID-19 pathogenesis in the gut-brain-lung axis and </w:t>
      </w:r>
      <w:r w:rsidR="00FB7844">
        <w:rPr>
          <w:rFonts w:ascii="Book Antiqua" w:eastAsia="Book Antiqua" w:hAnsi="Book Antiqua" w:cs="Book Antiqua"/>
          <w:color w:val="000000"/>
          <w:shd w:val="clear" w:color="auto" w:fill="FFFFFF"/>
        </w:rPr>
        <w:t>offers</w:t>
      </w:r>
      <w:r w:rsidRPr="00B7221C">
        <w:rPr>
          <w:rFonts w:ascii="Book Antiqua" w:eastAsia="Book Antiqua" w:hAnsi="Book Antiqua" w:cs="Book Antiqua"/>
          <w:color w:val="000000"/>
          <w:shd w:val="clear" w:color="auto" w:fill="FFFFFF"/>
        </w:rPr>
        <w:t xml:space="preserve"> therapeutic interventions to improve clinical outcomes.</w:t>
      </w:r>
    </w:p>
    <w:p w14:paraId="00CCD0A2" w14:textId="77777777" w:rsidR="00566E01" w:rsidRPr="00B7221C" w:rsidRDefault="00566E01" w:rsidP="00B7221C">
      <w:pPr>
        <w:spacing w:line="360" w:lineRule="auto"/>
        <w:jc w:val="both"/>
        <w:rPr>
          <w:rFonts w:ascii="Book Antiqua" w:hAnsi="Book Antiqua"/>
        </w:rPr>
        <w:sectPr w:rsidR="00566E01" w:rsidRPr="00B7221C">
          <w:pgSz w:w="12240" w:h="15840"/>
          <w:pgMar w:top="1440" w:right="1440" w:bottom="1440" w:left="1440" w:header="720" w:footer="720" w:gutter="0"/>
          <w:cols w:space="720"/>
          <w:docGrid w:linePitch="360"/>
        </w:sectPr>
      </w:pPr>
    </w:p>
    <w:p w14:paraId="58C71972"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caps/>
          <w:color w:val="000000"/>
          <w:u w:val="single"/>
        </w:rPr>
        <w:lastRenderedPageBreak/>
        <w:t>INTRODUCTION</w:t>
      </w:r>
    </w:p>
    <w:p w14:paraId="6928072C" w14:textId="1DD9755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Starting from late 2019 and through 2020, a novel </w:t>
      </w:r>
      <w:r w:rsidR="00DF3132" w:rsidRPr="00B7221C">
        <w:rPr>
          <w:rFonts w:ascii="Book Antiqua" w:eastAsia="Book Antiqua" w:hAnsi="Book Antiqua" w:cs="Book Antiqua"/>
          <w:color w:val="000000"/>
          <w:shd w:val="clear" w:color="auto" w:fill="FFFFFF"/>
        </w:rPr>
        <w:t>c</w:t>
      </w:r>
      <w:r w:rsidRPr="00B7221C">
        <w:rPr>
          <w:rFonts w:ascii="Book Antiqua" w:eastAsia="Book Antiqua" w:hAnsi="Book Antiqua" w:cs="Book Antiqua"/>
          <w:color w:val="000000"/>
          <w:shd w:val="clear" w:color="auto" w:fill="FFFFFF"/>
        </w:rPr>
        <w:t xml:space="preserve">oronavirus, the causative agent of </w:t>
      </w:r>
      <w:r w:rsidR="00C567C4" w:rsidRPr="00B7221C">
        <w:rPr>
          <w:rFonts w:ascii="Book Antiqua" w:eastAsia="Book Antiqua" w:hAnsi="Book Antiqua" w:cs="Book Antiqua"/>
          <w:color w:val="000000"/>
          <w:shd w:val="clear" w:color="auto" w:fill="FFFFFF"/>
        </w:rPr>
        <w:t>coronavirus disease 19</w:t>
      </w:r>
      <w:r w:rsidRPr="00B7221C">
        <w:rPr>
          <w:rFonts w:ascii="Book Antiqua" w:eastAsia="Book Antiqua" w:hAnsi="Book Antiqua" w:cs="Book Antiqua"/>
          <w:color w:val="000000"/>
          <w:shd w:val="clear" w:color="auto" w:fill="FFFFFF"/>
        </w:rPr>
        <w:t xml:space="preserve"> (COVID-19), initiated one of the deadliest global pandemics warranting extensive panic for the underprepared global health </w:t>
      </w:r>
      <w:proofErr w:type="gramStart"/>
      <w:r w:rsidRPr="00B7221C">
        <w:rPr>
          <w:rFonts w:ascii="Book Antiqua" w:eastAsia="Book Antiqua" w:hAnsi="Book Antiqua" w:cs="Book Antiqua"/>
          <w:color w:val="000000"/>
          <w:shd w:val="clear" w:color="auto" w:fill="FFFFFF"/>
        </w:rPr>
        <w:t>system</w:t>
      </w:r>
      <w:r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 \o "Unwin, 2020 #140" </w:instrText>
      </w:r>
      <w:r w:rsidR="005B0234">
        <w:fldChar w:fldCharType="separate"/>
      </w:r>
      <w:r w:rsidRPr="00B7221C">
        <w:rPr>
          <w:rFonts w:ascii="Book Antiqua" w:eastAsia="Book Antiqua" w:hAnsi="Book Antiqua" w:cs="Book Antiqua"/>
          <w:color w:val="000000"/>
          <w:shd w:val="clear" w:color="auto" w:fill="FFFFFF"/>
          <w:vertAlign w:val="superscript"/>
        </w:rPr>
        <w:t>1-4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pandemic has </w:t>
      </w:r>
      <w:r w:rsidR="00A6724A">
        <w:rPr>
          <w:rFonts w:ascii="Book Antiqua" w:eastAsia="Book Antiqua" w:hAnsi="Book Antiqua" w:cs="Book Antiqua"/>
          <w:color w:val="000000"/>
          <w:shd w:val="clear" w:color="auto" w:fill="FFFFFF"/>
        </w:rPr>
        <w:t>claimed</w:t>
      </w:r>
      <w:r w:rsidR="00A6724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countless lives (approximately </w:t>
      </w:r>
      <w:r w:rsidR="00571303">
        <w:rPr>
          <w:rFonts w:ascii="Book Antiqua" w:eastAsia="Book Antiqua" w:hAnsi="Book Antiqua" w:cs="Book Antiqua"/>
          <w:color w:val="000000"/>
          <w:shd w:val="clear" w:color="auto" w:fill="FFFFFF"/>
        </w:rPr>
        <w:t>4</w:t>
      </w:r>
      <w:r w:rsidRPr="00B7221C">
        <w:rPr>
          <w:rFonts w:ascii="Book Antiqua" w:eastAsia="Book Antiqua" w:hAnsi="Book Antiqua" w:cs="Book Antiqua"/>
          <w:color w:val="000000"/>
          <w:shd w:val="clear" w:color="auto" w:fill="FFFFFF"/>
        </w:rPr>
        <w:t xml:space="preserve"> million deaths worldwide of </w:t>
      </w:r>
      <w:r w:rsidR="00571303" w:rsidRPr="00B7221C">
        <w:rPr>
          <w:rFonts w:ascii="Book Antiqua" w:eastAsia="Book Antiqua" w:hAnsi="Book Antiqua" w:cs="Book Antiqua"/>
          <w:color w:val="000000"/>
          <w:shd w:val="clear" w:color="auto" w:fill="FFFFFF"/>
        </w:rPr>
        <w:t>1</w:t>
      </w:r>
      <w:r w:rsidR="00571303">
        <w:rPr>
          <w:rFonts w:ascii="Book Antiqua" w:eastAsia="Book Antiqua" w:hAnsi="Book Antiqua" w:cs="Book Antiqua"/>
          <w:color w:val="000000"/>
          <w:shd w:val="clear" w:color="auto" w:fill="FFFFFF"/>
        </w:rPr>
        <w:t>88</w:t>
      </w:r>
      <w:r w:rsidR="0057130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million confirmed cases as of </w:t>
      </w:r>
      <w:r w:rsidR="00571303">
        <w:rPr>
          <w:rFonts w:ascii="Book Antiqua" w:eastAsia="Book Antiqua" w:hAnsi="Book Antiqua" w:cs="Book Antiqua"/>
          <w:color w:val="000000"/>
          <w:shd w:val="clear" w:color="auto" w:fill="FFFFFF"/>
        </w:rPr>
        <w:t>July 15</w:t>
      </w:r>
      <w:r w:rsidR="00D5625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2021) and</w:t>
      </w:r>
      <w:r w:rsidR="00A6724A">
        <w:rPr>
          <w:rFonts w:ascii="Book Antiqua" w:eastAsia="Book Antiqua" w:hAnsi="Book Antiqua" w:cs="Book Antiqua"/>
          <w:color w:val="000000"/>
          <w:shd w:val="clear" w:color="auto" w:fill="FFFFFF"/>
        </w:rPr>
        <w:t xml:space="preserve"> presented</w:t>
      </w:r>
      <w:r w:rsidRPr="00B7221C">
        <w:rPr>
          <w:rFonts w:ascii="Book Antiqua" w:eastAsia="Book Antiqua" w:hAnsi="Book Antiqua" w:cs="Book Antiqua"/>
          <w:color w:val="000000"/>
          <w:shd w:val="clear" w:color="auto" w:fill="FFFFFF"/>
        </w:rPr>
        <w:t xml:space="preserve"> unprecedented socio-economic </w:t>
      </w:r>
      <w:proofErr w:type="gramStart"/>
      <w:r w:rsidRPr="00B7221C">
        <w:rPr>
          <w:rFonts w:ascii="Book Antiqua" w:eastAsia="Book Antiqua" w:hAnsi="Book Antiqua" w:cs="Book Antiqua"/>
          <w:color w:val="000000"/>
          <w:shd w:val="clear" w:color="auto" w:fill="FFFFFF"/>
        </w:rPr>
        <w:t>losses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 \o "CDC, 2021 #1" </w:instrText>
      </w:r>
      <w:r w:rsidR="005B0234">
        <w:fldChar w:fldCharType="separate"/>
      </w:r>
      <w:r w:rsidRPr="00B7221C">
        <w:rPr>
          <w:rFonts w:ascii="Book Antiqua" w:eastAsia="Book Antiqua" w:hAnsi="Book Antiqua" w:cs="Book Antiqua"/>
          <w:color w:val="000000"/>
          <w:shd w:val="clear" w:color="auto" w:fill="FFFFFF"/>
          <w:vertAlign w:val="superscript"/>
        </w:rPr>
        <w:t>5</w:t>
      </w:r>
      <w:r w:rsidR="006D466D"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primary mode of severe acute respiratory syndrome coronavirus 2 (SARS-CoV-2) transmission is airborne, with infectious droplets gaining access into the host respiratory tract. Subsequently, standard clinical indicators comprise fever, cough, fatigue, chills, nausea, headache, dyspnea. Additionally, the loss of taste or smell often </w:t>
      </w:r>
      <w:proofErr w:type="gramStart"/>
      <w:r w:rsidR="00FB7844">
        <w:rPr>
          <w:rFonts w:ascii="Book Antiqua" w:eastAsia="Book Antiqua" w:hAnsi="Book Antiqua" w:cs="Book Antiqua"/>
          <w:color w:val="000000"/>
          <w:shd w:val="clear" w:color="auto" w:fill="FFFFFF"/>
        </w:rPr>
        <w:t>ensues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"_ENREF_9" \o "Hu, 2020 #6" </w:instrText>
      </w:r>
      <w:r w:rsidR="005B0234">
        <w:fldChar w:fldCharType="separate"/>
      </w:r>
      <w:r w:rsidRPr="00B7221C">
        <w:rPr>
          <w:rFonts w:ascii="Book Antiqua" w:eastAsia="Book Antiqua" w:hAnsi="Book Antiqua" w:cs="Book Antiqua"/>
          <w:color w:val="000000"/>
          <w:shd w:val="clear" w:color="auto" w:fill="FFFFFF"/>
          <w:vertAlign w:val="superscript"/>
        </w:rPr>
        <w:t>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0" w:tooltip="Rothan, 2020 #152" w:history="1">
        <w:r w:rsidRPr="00B7221C">
          <w:rPr>
            <w:rFonts w:ascii="Book Antiqua" w:eastAsia="Book Antiqua" w:hAnsi="Book Antiqua" w:cs="Book Antiqua"/>
            <w:color w:val="000000"/>
            <w:shd w:val="clear" w:color="auto" w:fill="FFFFFF"/>
            <w:vertAlign w:val="superscript"/>
          </w:rPr>
          <w:t>10</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Coronavirus infections primarily target the upper respiratory tract</w:t>
      </w:r>
      <w:r w:rsidR="002D4DE1">
        <w:rPr>
          <w:rFonts w:ascii="Book Antiqua" w:eastAsia="Book Antiqua" w:hAnsi="Book Antiqua" w:cs="Book Antiqua"/>
          <w:color w:val="000000"/>
          <w:shd w:val="clear" w:color="auto" w:fill="FFFFFF"/>
        </w:rPr>
        <w:t>, but they also manifest in</w:t>
      </w:r>
      <w:r w:rsidR="00CF2CB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other regions such as the gastrointestinal tract (GIT). Within the GIT, additional symptoms such as lack of appetite, vomiting, abdominal pain, and </w:t>
      </w:r>
      <w:r w:rsidR="00CF2CB0" w:rsidRPr="00B7221C">
        <w:rPr>
          <w:rFonts w:ascii="Book Antiqua" w:eastAsia="Book Antiqua" w:hAnsi="Book Antiqua" w:cs="Book Antiqua"/>
          <w:color w:val="000000"/>
          <w:shd w:val="clear" w:color="auto" w:fill="FFFFFF"/>
        </w:rPr>
        <w:t>diarrhea</w:t>
      </w:r>
      <w:r w:rsidRPr="00B7221C">
        <w:rPr>
          <w:rFonts w:ascii="Book Antiqua" w:eastAsia="Book Antiqua" w:hAnsi="Book Antiqua" w:cs="Book Antiqua"/>
          <w:color w:val="000000"/>
          <w:shd w:val="clear" w:color="auto" w:fill="FFFFFF"/>
        </w:rPr>
        <w:t xml:space="preserve"> have been observed in some </w:t>
      </w:r>
      <w:proofErr w:type="gramStart"/>
      <w:r w:rsidRPr="00B7221C">
        <w:rPr>
          <w:rFonts w:ascii="Book Antiqua" w:eastAsia="Book Antiqua" w:hAnsi="Book Antiqua" w:cs="Book Antiqua"/>
          <w:color w:val="000000"/>
          <w:shd w:val="clear" w:color="auto" w:fill="FFFFFF"/>
        </w:rPr>
        <w:t>individuals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 \o "Wong, 2020 #7" </w:instrText>
      </w:r>
      <w:r w:rsidR="005B0234">
        <w:fldChar w:fldCharType="separate"/>
      </w:r>
      <w:r w:rsidRPr="00B7221C">
        <w:rPr>
          <w:rFonts w:ascii="Book Antiqua" w:eastAsia="Book Antiqua" w:hAnsi="Book Antiqua" w:cs="Book Antiqua"/>
          <w:color w:val="000000"/>
          <w:shd w:val="clear" w:color="auto" w:fill="FFFFFF"/>
          <w:vertAlign w:val="superscript"/>
        </w:rPr>
        <w:t>11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2" w:tooltip="Lin, 2020 #8" w:history="1">
        <w:r w:rsidRPr="00B7221C">
          <w:rPr>
            <w:rFonts w:ascii="Book Antiqua" w:eastAsia="Book Antiqua" w:hAnsi="Book Antiqua" w:cs="Book Antiqua"/>
            <w:color w:val="000000"/>
            <w:shd w:val="clear" w:color="auto" w:fill="FFFFFF"/>
            <w:vertAlign w:val="superscript"/>
          </w:rPr>
          <w:t>12</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3FA81E3E" w14:textId="2A522D34" w:rsidR="00A77B3E" w:rsidRPr="00B7221C" w:rsidRDefault="00A143FB" w:rsidP="00B7221C">
      <w:pPr>
        <w:spacing w:line="360" w:lineRule="auto"/>
        <w:ind w:firstLineChars="200" w:firstLine="480"/>
        <w:jc w:val="both"/>
        <w:rPr>
          <w:rFonts w:ascii="Book Antiqua" w:hAnsi="Book Antiqua"/>
        </w:rPr>
      </w:pPr>
      <w:r w:rsidRPr="00B7221C">
        <w:rPr>
          <w:rFonts w:ascii="Book Antiqua" w:eastAsia="Book Antiqua" w:hAnsi="Book Antiqua" w:cs="Book Antiqua"/>
          <w:color w:val="000000"/>
        </w:rPr>
        <w:t xml:space="preserve">SARS-CoV-2 has been shown to infect GIT cells such as human gut </w:t>
      </w:r>
      <w:proofErr w:type="gramStart"/>
      <w:r w:rsidRPr="00B7221C">
        <w:rPr>
          <w:rFonts w:ascii="Book Antiqua" w:eastAsia="Book Antiqua" w:hAnsi="Book Antiqua" w:cs="Book Antiqua"/>
          <w:color w:val="000000"/>
        </w:rPr>
        <w:t>enterocytes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"_ENREF_13" \o "Zang, 2020 #9" </w:instrText>
      </w:r>
      <w:r w:rsidR="005B0234">
        <w:fldChar w:fldCharType="separate"/>
      </w:r>
      <w:r w:rsidRPr="00B7221C">
        <w:rPr>
          <w:rFonts w:ascii="Book Antiqua" w:eastAsia="Book Antiqua" w:hAnsi="Book Antiqua" w:cs="Book Antiqua"/>
          <w:color w:val="000000"/>
          <w:vertAlign w:val="superscript"/>
        </w:rPr>
        <w:t>13</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SARS-CoV-2 RNA has also been detected in gastrointestinal glandular epithelial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"_ENREF_14" \o "Segal, 2020 #10" </w:instrText>
      </w:r>
      <w:r w:rsidR="005B0234">
        <w:fldChar w:fldCharType="separate"/>
      </w:r>
      <w:r w:rsidRPr="00B7221C">
        <w:rPr>
          <w:rFonts w:ascii="Book Antiqua" w:eastAsia="Book Antiqua" w:hAnsi="Book Antiqua" w:cs="Book Antiqua"/>
          <w:color w:val="000000"/>
          <w:shd w:val="clear" w:color="auto" w:fill="FFFFFF"/>
          <w:vertAlign w:val="superscript"/>
        </w:rPr>
        <w:t>14</w:t>
      </w:r>
      <w:r w:rsidR="00C47006"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17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During infection, compromised </w:t>
      </w:r>
      <w:r w:rsidR="00E17C52">
        <w:rPr>
          <w:rFonts w:ascii="Book Antiqua" w:eastAsia="Book Antiqua" w:hAnsi="Book Antiqua" w:cs="Book Antiqua"/>
          <w:color w:val="000000"/>
          <w:shd w:val="clear" w:color="auto" w:fill="FFFFFF"/>
        </w:rPr>
        <w:t>g</w:t>
      </w:r>
      <w:r w:rsidR="00442753" w:rsidRPr="00442753">
        <w:rPr>
          <w:rFonts w:ascii="Book Antiqua" w:eastAsia="Book Antiqua" w:hAnsi="Book Antiqua" w:cs="Book Antiqua"/>
          <w:color w:val="000000"/>
          <w:shd w:val="clear" w:color="auto" w:fill="FFFFFF"/>
        </w:rPr>
        <w:t>astrointestinal</w:t>
      </w:r>
      <w:r w:rsidR="007941C5">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symptom involvement </w:t>
      </w:r>
      <w:r w:rsidR="00FB7844">
        <w:rPr>
          <w:rFonts w:ascii="Book Antiqua" w:eastAsia="Book Antiqua" w:hAnsi="Book Antiqua" w:cs="Book Antiqua"/>
          <w:color w:val="000000"/>
          <w:shd w:val="clear" w:color="auto" w:fill="FFFFFF"/>
        </w:rPr>
        <w:t>has</w:t>
      </w:r>
      <w:r w:rsidRPr="00B7221C">
        <w:rPr>
          <w:rFonts w:ascii="Book Antiqua" w:eastAsia="Book Antiqua" w:hAnsi="Book Antiqua" w:cs="Book Antiqua"/>
          <w:color w:val="000000"/>
          <w:shd w:val="clear" w:color="auto" w:fill="FFFFFF"/>
        </w:rPr>
        <w:t xml:space="preserve"> worse clinical outcomes and </w:t>
      </w:r>
      <w:r w:rsidR="00FB7844">
        <w:rPr>
          <w:rFonts w:ascii="Book Antiqua" w:eastAsia="Book Antiqua" w:hAnsi="Book Antiqua" w:cs="Book Antiqua"/>
          <w:color w:val="000000"/>
          <w:shd w:val="clear" w:color="auto" w:fill="FFFFFF"/>
        </w:rPr>
        <w:t>takes</w:t>
      </w:r>
      <w:r w:rsidRPr="00B7221C">
        <w:rPr>
          <w:rFonts w:ascii="Book Antiqua" w:eastAsia="Book Antiqua" w:hAnsi="Book Antiqua" w:cs="Book Antiqua"/>
          <w:color w:val="000000"/>
          <w:shd w:val="clear" w:color="auto" w:fill="FFFFFF"/>
        </w:rPr>
        <w:t xml:space="preserve"> longer to recover than those with only respiratory </w:t>
      </w:r>
      <w:proofErr w:type="gramStart"/>
      <w:r w:rsidRPr="00B7221C">
        <w:rPr>
          <w:rFonts w:ascii="Book Antiqua" w:eastAsia="Book Antiqua" w:hAnsi="Book Antiqua" w:cs="Book Antiqua"/>
          <w:color w:val="000000"/>
          <w:shd w:val="clear" w:color="auto" w:fill="FFFFFF"/>
        </w:rPr>
        <w:t>symptoms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"_ENREF_18" \o "Dong, 2020 #14" </w:instrText>
      </w:r>
      <w:r w:rsidR="005B0234">
        <w:fldChar w:fldCharType="separate"/>
      </w:r>
      <w:r w:rsidRPr="00B7221C">
        <w:rPr>
          <w:rFonts w:ascii="Book Antiqua" w:eastAsia="Book Antiqua" w:hAnsi="Book Antiqua" w:cs="Book Antiqua"/>
          <w:color w:val="000000"/>
          <w:shd w:val="clear" w:color="auto" w:fill="FFFFFF"/>
          <w:vertAlign w:val="superscript"/>
        </w:rPr>
        <w:t>18-20</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Subsequently, patients who test positive for viral RNA in feces have poor viral clearance and prolonged delays for infection </w:t>
      </w:r>
      <w:proofErr w:type="gramStart"/>
      <w:r w:rsidRPr="00B7221C">
        <w:rPr>
          <w:rFonts w:ascii="Book Antiqua" w:eastAsia="Book Antiqua" w:hAnsi="Book Antiqua" w:cs="Book Antiqua"/>
          <w:color w:val="000000"/>
          <w:shd w:val="clear" w:color="auto" w:fill="FFFFFF"/>
        </w:rPr>
        <w:t>resolution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"_ENREF_21" \o "Hillman, 2020 #17" </w:instrText>
      </w:r>
      <w:r w:rsidR="005B0234">
        <w:fldChar w:fldCharType="separate"/>
      </w:r>
      <w:r w:rsidRPr="00B7221C">
        <w:rPr>
          <w:rFonts w:ascii="Book Antiqua" w:eastAsia="Book Antiqua" w:hAnsi="Book Antiqua" w:cs="Book Antiqua"/>
          <w:color w:val="000000"/>
          <w:shd w:val="clear" w:color="auto" w:fill="FFFFFF"/>
          <w:vertAlign w:val="superscript"/>
        </w:rPr>
        <w:t>21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SARS-CoV-2 tropism in the lungs and GIT is supported by abundant cellular viral entry receptors such as the </w:t>
      </w:r>
      <w:r w:rsidR="0031465C" w:rsidRPr="00B7221C">
        <w:rPr>
          <w:rFonts w:ascii="Book Antiqua" w:eastAsia="Book Antiqua" w:hAnsi="Book Antiqua" w:cs="Book Antiqua"/>
          <w:color w:val="000000"/>
          <w:shd w:val="clear" w:color="auto" w:fill="FFFFFF"/>
        </w:rPr>
        <w:t>a</w:t>
      </w:r>
      <w:r w:rsidRPr="00B7221C">
        <w:rPr>
          <w:rFonts w:ascii="Book Antiqua" w:eastAsia="Book Antiqua" w:hAnsi="Book Antiqua" w:cs="Book Antiqua"/>
          <w:color w:val="000000"/>
          <w:shd w:val="clear" w:color="auto" w:fill="FFFFFF"/>
        </w:rPr>
        <w:t xml:space="preserve">ngiotensin-converting enzyme-2 (ACE2). </w:t>
      </w:r>
      <w:r w:rsidRPr="00B7221C">
        <w:rPr>
          <w:rFonts w:ascii="Book Antiqua" w:eastAsia="Book Antiqua" w:hAnsi="Book Antiqua" w:cs="Book Antiqua"/>
          <w:color w:val="000000"/>
        </w:rPr>
        <w:t>ACE2 exists in abundance on the epithelia of the lungs and small intestine (ileum</w:t>
      </w:r>
      <w:proofErr w:type="gramStart"/>
      <w:r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"_ENREF_22" \o "Hamming, 2004 #18" </w:instrText>
      </w:r>
      <w:r w:rsidR="005B0234">
        <w:fldChar w:fldCharType="separate"/>
      </w:r>
      <w:r w:rsidRPr="00B7221C">
        <w:rPr>
          <w:rFonts w:ascii="Book Antiqua" w:eastAsia="Book Antiqua" w:hAnsi="Book Antiqua" w:cs="Book Antiqua"/>
          <w:color w:val="000000"/>
          <w:vertAlign w:val="superscript"/>
        </w:rPr>
        <w:t>22</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23" w:tooltip="Parasa, 2020 #19" w:history="1">
        <w:r w:rsidRPr="00B7221C">
          <w:rPr>
            <w:rFonts w:ascii="Book Antiqua" w:eastAsia="Book Antiqua" w:hAnsi="Book Antiqua" w:cs="Book Antiqua"/>
            <w:color w:val="000000"/>
            <w:vertAlign w:val="superscript"/>
          </w:rPr>
          <w:t>23</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ACE2 catalyzes the conversion of angiotensin II into angiotensin 1-7; it is crucial for maintaining gut balance through regulation of amino acid homeostasis, innate immunity, the balance of the intestinal microbiome, and </w:t>
      </w:r>
      <w:r w:rsidR="00411001">
        <w:rPr>
          <w:rFonts w:ascii="Book Antiqua" w:eastAsia="Book Antiqua" w:hAnsi="Book Antiqua" w:cs="Book Antiqua"/>
          <w:color w:val="000000"/>
        </w:rPr>
        <w:t xml:space="preserve">by </w:t>
      </w:r>
      <w:r w:rsidRPr="00B7221C">
        <w:rPr>
          <w:rFonts w:ascii="Book Antiqua" w:eastAsia="Book Antiqua" w:hAnsi="Book Antiqua" w:cs="Book Antiqua"/>
          <w:color w:val="000000"/>
        </w:rPr>
        <w:t>limiting diarrhea</w:t>
      </w:r>
      <w:r w:rsidR="004D52FA" w:rsidRPr="00B7221C">
        <w:rPr>
          <w:rFonts w:ascii="Book Antiqua" w:eastAsia="Book Antiqua" w:hAnsi="Book Antiqua" w:cs="Book Antiqua"/>
          <w:color w:val="000000"/>
          <w:vertAlign w:val="superscript"/>
        </w:rPr>
        <w:t>[</w:t>
      </w:r>
      <w:hyperlink w:anchor="_ENREF_24" w:tooltip="Perlot, 2013 #20" w:history="1">
        <w:r w:rsidRPr="00B7221C">
          <w:rPr>
            <w:rFonts w:ascii="Book Antiqua" w:eastAsia="Book Antiqua" w:hAnsi="Book Antiqua" w:cs="Book Antiqua"/>
            <w:color w:val="000000"/>
            <w:vertAlign w:val="superscript"/>
          </w:rPr>
          <w:t>24</w:t>
        </w:r>
      </w:hyperlink>
      <w:r w:rsidRPr="00B7221C">
        <w:rPr>
          <w:rFonts w:ascii="Book Antiqua" w:eastAsia="Book Antiqua" w:hAnsi="Book Antiqua" w:cs="Book Antiqua"/>
          <w:color w:val="000000"/>
          <w:vertAlign w:val="superscript"/>
        </w:rPr>
        <w:t>,</w:t>
      </w:r>
      <w:hyperlink w:anchor="_ENREF_25" w:tooltip="Zhang, 2020 #21" w:history="1">
        <w:r w:rsidRPr="00B7221C">
          <w:rPr>
            <w:rFonts w:ascii="Book Antiqua" w:eastAsia="Book Antiqua" w:hAnsi="Book Antiqua" w:cs="Book Antiqua"/>
            <w:color w:val="000000"/>
            <w:vertAlign w:val="superscript"/>
          </w:rPr>
          <w:t>25</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2F9D02A5" w14:textId="2D9CFA49"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The gut is the largest immune organ and is a crucial interconnecting hub, which synchronously orchestrates multiple physiological, cellular, and organ </w:t>
      </w:r>
      <w:proofErr w:type="gramStart"/>
      <w:r w:rsidRPr="00B7221C">
        <w:rPr>
          <w:rFonts w:ascii="Book Antiqua" w:eastAsia="Book Antiqua" w:hAnsi="Book Antiqua" w:cs="Book Antiqua"/>
          <w:color w:val="000000"/>
        </w:rPr>
        <w:t>functions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"_ENREF_26" \o ", 2008 #22" </w:instrText>
      </w:r>
      <w:r w:rsidR="005B0234">
        <w:fldChar w:fldCharType="separate"/>
      </w:r>
      <w:r w:rsidRPr="00B7221C">
        <w:rPr>
          <w:rFonts w:ascii="Book Antiqua" w:eastAsia="Book Antiqua" w:hAnsi="Book Antiqua" w:cs="Book Antiqua"/>
          <w:color w:val="000000"/>
          <w:vertAlign w:val="superscript"/>
        </w:rPr>
        <w:t>26</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gut maintains an anti-inflammatory state that supports the growth of trillions of </w:t>
      </w:r>
      <w:r w:rsidRPr="00B7221C">
        <w:rPr>
          <w:rFonts w:ascii="Book Antiqua" w:eastAsia="Book Antiqua" w:hAnsi="Book Antiqua" w:cs="Book Antiqua"/>
          <w:color w:val="000000"/>
        </w:rPr>
        <w:lastRenderedPageBreak/>
        <w:t>commensal bacteria, which modulate the function of other organs like the brain, heart, kidney, lungs, and liver while favoring its core functions like digestion, absorption of nutrients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and excretion of waste </w:t>
      </w:r>
      <w:proofErr w:type="gramStart"/>
      <w:r w:rsidRPr="00B7221C">
        <w:rPr>
          <w:rFonts w:ascii="Book Antiqua" w:eastAsia="Book Antiqua" w:hAnsi="Book Antiqua" w:cs="Book Antiqua"/>
          <w:color w:val="000000"/>
        </w:rPr>
        <w:t>matter</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"_ENREF_27" \o "Ochoa-Repáraz, 2016 #23" </w:instrText>
      </w:r>
      <w:r w:rsidR="005B0234">
        <w:fldChar w:fldCharType="separate"/>
      </w:r>
      <w:r w:rsidRPr="00B7221C">
        <w:rPr>
          <w:rFonts w:ascii="Book Antiqua" w:eastAsia="Book Antiqua" w:hAnsi="Book Antiqua" w:cs="Book Antiqua"/>
          <w:color w:val="000000"/>
          <w:vertAlign w:val="superscript"/>
        </w:rPr>
        <w:t>27-30</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This inter</w:t>
      </w:r>
      <w:r w:rsidR="00411001">
        <w:rPr>
          <w:rFonts w:ascii="Book Antiqua" w:eastAsia="Book Antiqua" w:hAnsi="Book Antiqua" w:cs="Book Antiqua"/>
          <w:color w:val="000000"/>
        </w:rPr>
        <w:t>-</w:t>
      </w:r>
      <w:r w:rsidRPr="00B7221C">
        <w:rPr>
          <w:rFonts w:ascii="Book Antiqua" w:eastAsia="Book Antiqua" w:hAnsi="Book Antiqua" w:cs="Book Antiqua"/>
          <w:color w:val="000000"/>
        </w:rPr>
        <w:t xml:space="preserve">compartmentalized crosstalk infers the need to develop effective gut-specific therapeutics that could limit systemic pathology during diverse viral infections such as </w:t>
      </w:r>
      <w:r w:rsidR="00231FB5" w:rsidRPr="00B7221C">
        <w:rPr>
          <w:rFonts w:ascii="Book Antiqua" w:eastAsia="Book Antiqua" w:hAnsi="Book Antiqua" w:cs="Book Antiqua"/>
          <w:color w:val="000000"/>
        </w:rPr>
        <w:t>human immunodeficiency virus (HIV)</w:t>
      </w:r>
      <w:r w:rsidRPr="00B7221C">
        <w:rPr>
          <w:rFonts w:ascii="Book Antiqua" w:eastAsia="Book Antiqua" w:hAnsi="Book Antiqua" w:cs="Book Antiqua"/>
          <w:color w:val="000000"/>
        </w:rPr>
        <w:t>, SARS-CoV-2</w:t>
      </w:r>
      <w:r w:rsidR="00411001">
        <w:rPr>
          <w:rFonts w:ascii="Book Antiqua" w:eastAsia="Book Antiqua" w:hAnsi="Book Antiqua" w:cs="Book Antiqua"/>
          <w:color w:val="000000"/>
        </w:rPr>
        <w:t>,</w:t>
      </w:r>
      <w:r w:rsidRPr="00B7221C">
        <w:rPr>
          <w:rFonts w:ascii="Book Antiqua" w:eastAsia="Book Antiqua" w:hAnsi="Book Antiqua" w:cs="Book Antiqua"/>
          <w:color w:val="000000"/>
        </w:rPr>
        <w:t xml:space="preserve"> and other related respiratory viruses.</w:t>
      </w:r>
    </w:p>
    <w:p w14:paraId="357B50C7" w14:textId="77777777" w:rsidR="00A77B3E" w:rsidRPr="00B7221C" w:rsidRDefault="00A77B3E" w:rsidP="00B7221C">
      <w:pPr>
        <w:spacing w:line="360" w:lineRule="auto"/>
        <w:jc w:val="both"/>
        <w:rPr>
          <w:rFonts w:ascii="Book Antiqua" w:hAnsi="Book Antiqua"/>
        </w:rPr>
      </w:pPr>
    </w:p>
    <w:p w14:paraId="56D6BE27"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rPr>
        <w:t>Immune Architecture of a Healthy Gut</w:t>
      </w:r>
    </w:p>
    <w:p w14:paraId="0749D289" w14:textId="047B204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The gut is one of the most complex immune organs </w:t>
      </w:r>
      <w:r w:rsidR="00B41D30">
        <w:rPr>
          <w:rFonts w:ascii="Book Antiqua" w:eastAsia="Book Antiqua" w:hAnsi="Book Antiqua" w:cs="Book Antiqua"/>
          <w:color w:val="000000"/>
        </w:rPr>
        <w:t>containing</w:t>
      </w:r>
      <w:r w:rsidRPr="00B7221C">
        <w:rPr>
          <w:rFonts w:ascii="Book Antiqua" w:eastAsia="Book Antiqua" w:hAnsi="Book Antiqua" w:cs="Book Antiqua"/>
          <w:color w:val="000000"/>
        </w:rPr>
        <w:t xml:space="preserve"> a wide variety of immune cells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including myeloid cells, conventional T cells, innate lymphoid cells </w:t>
      </w:r>
      <w:r w:rsidR="003D24B2" w:rsidRPr="00B7221C">
        <w:rPr>
          <w:rFonts w:ascii="Book Antiqua" w:eastAsia="Book Antiqua" w:hAnsi="Book Antiqua" w:cs="Book Antiqua"/>
          <w:color w:val="000000"/>
        </w:rPr>
        <w:t>(</w:t>
      </w:r>
      <w:r w:rsidRPr="00B7221C">
        <w:rPr>
          <w:rFonts w:ascii="Book Antiqua" w:eastAsia="Book Antiqua" w:hAnsi="Book Antiqua" w:cs="Book Antiqua"/>
          <w:i/>
          <w:iCs/>
          <w:color w:val="000000"/>
        </w:rPr>
        <w:t>e.g.</w:t>
      </w:r>
      <w:r w:rsidR="003D24B2" w:rsidRPr="00B7221C">
        <w:rPr>
          <w:rFonts w:ascii="Book Antiqua" w:eastAsia="Book Antiqua" w:hAnsi="Book Antiqua" w:cs="Book Antiqua"/>
          <w:color w:val="000000"/>
        </w:rPr>
        <w:t xml:space="preserve">, </w:t>
      </w:r>
      <w:r w:rsidR="007941C5">
        <w:rPr>
          <w:rFonts w:ascii="Book Antiqua" w:eastAsia="Book Antiqua" w:hAnsi="Book Antiqua" w:cs="Book Antiqua"/>
          <w:color w:val="000000"/>
        </w:rPr>
        <w:t>n</w:t>
      </w:r>
      <w:r w:rsidR="007941C5" w:rsidRPr="007941C5">
        <w:rPr>
          <w:rFonts w:ascii="Book Antiqua" w:eastAsia="Book Antiqua" w:hAnsi="Book Antiqua" w:cs="Book Antiqua"/>
          <w:color w:val="000000"/>
        </w:rPr>
        <w:t>atural killer</w:t>
      </w:r>
      <w:r w:rsidR="007941C5">
        <w:rPr>
          <w:rFonts w:ascii="Book Antiqua" w:eastAsia="Book Antiqua" w:hAnsi="Book Antiqua" w:cs="Book Antiqua"/>
          <w:color w:val="000000"/>
        </w:rPr>
        <w:t xml:space="preserve"> </w:t>
      </w:r>
      <w:r w:rsidRPr="00B7221C">
        <w:rPr>
          <w:rFonts w:ascii="Book Antiqua" w:eastAsia="Book Antiqua" w:hAnsi="Book Antiqua" w:cs="Book Antiqua"/>
          <w:color w:val="000000"/>
        </w:rPr>
        <w:t>cells and specialized intraepithel</w:t>
      </w:r>
      <w:r w:rsidR="003D24B2" w:rsidRPr="00B7221C">
        <w:rPr>
          <w:rFonts w:ascii="Book Antiqua" w:eastAsia="Book Antiqua" w:hAnsi="Book Antiqua" w:cs="Book Antiqua"/>
          <w:color w:val="000000"/>
        </w:rPr>
        <w:t>i</w:t>
      </w:r>
      <w:r w:rsidRPr="00B7221C">
        <w:rPr>
          <w:rFonts w:ascii="Book Antiqua" w:eastAsia="Book Antiqua" w:hAnsi="Book Antiqua" w:cs="Book Antiqua"/>
          <w:color w:val="000000"/>
        </w:rPr>
        <w:t>al lymphocyte populations</w:t>
      </w:r>
      <w:r w:rsidR="003D24B2" w:rsidRPr="00B7221C">
        <w:rPr>
          <w:rFonts w:ascii="Book Antiqua" w:eastAsia="Book Antiqua" w:hAnsi="Book Antiqua" w:cs="Book Antiqua"/>
          <w:color w:val="000000"/>
        </w:rPr>
        <w:t>)</w:t>
      </w:r>
      <w:r w:rsidR="00137416">
        <w:rPr>
          <w:rFonts w:ascii="Book Antiqua" w:eastAsia="Book Antiqua" w:hAnsi="Book Antiqua" w:cs="Book Antiqua"/>
          <w:color w:val="000000"/>
        </w:rPr>
        <w:t>, and</w:t>
      </w:r>
      <w:r w:rsidRPr="00B7221C">
        <w:rPr>
          <w:rFonts w:ascii="Book Antiqua" w:eastAsia="Book Antiqua" w:hAnsi="Book Antiqua" w:cs="Book Antiqua"/>
          <w:color w:val="000000"/>
        </w:rPr>
        <w:t xml:space="preserve"> </w:t>
      </w:r>
      <w:r w:rsidR="002D4DE1" w:rsidRPr="00B7221C">
        <w:rPr>
          <w:rFonts w:ascii="Book Antiqua" w:eastAsia="Book Antiqua" w:hAnsi="Book Antiqua" w:cs="Book Antiqua"/>
          <w:color w:val="000000"/>
        </w:rPr>
        <w:t>epithel</w:t>
      </w:r>
      <w:r w:rsidR="002D4DE1">
        <w:rPr>
          <w:rFonts w:ascii="Book Antiqua" w:eastAsia="Book Antiqua" w:hAnsi="Book Antiqua" w:cs="Book Antiqua"/>
          <w:color w:val="000000"/>
        </w:rPr>
        <w:t>i</w:t>
      </w:r>
      <w:r w:rsidR="002D4DE1" w:rsidRPr="00B7221C">
        <w:rPr>
          <w:rFonts w:ascii="Book Antiqua" w:eastAsia="Book Antiqua" w:hAnsi="Book Antiqua" w:cs="Book Antiqua"/>
          <w:color w:val="000000"/>
        </w:rPr>
        <w:t xml:space="preserve">al </w:t>
      </w:r>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hyperlink w:anchor="_ENREF_31" w:tooltip="Van Kaer, 2018 #27" w:history="1">
        <w:r w:rsidRPr="00B7221C">
          <w:rPr>
            <w:rFonts w:ascii="Book Antiqua" w:eastAsia="Book Antiqua" w:hAnsi="Book Antiqua" w:cs="Book Antiqua"/>
            <w:color w:val="000000"/>
            <w:vertAlign w:val="superscript"/>
          </w:rPr>
          <w:t>31</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Homeostasis in a healthy gut is mainly fostered through the sust</w:t>
      </w:r>
      <w:r w:rsidR="005C30ED">
        <w:rPr>
          <w:rFonts w:ascii="Book Antiqua" w:eastAsia="Book Antiqua" w:hAnsi="Book Antiqua" w:cs="Book Antiqua"/>
          <w:color w:val="000000"/>
        </w:rPr>
        <w:t>e</w:t>
      </w:r>
      <w:r w:rsidRPr="00B7221C">
        <w:rPr>
          <w:rFonts w:ascii="Book Antiqua" w:eastAsia="Book Antiqua" w:hAnsi="Book Antiqua" w:cs="Book Antiqua"/>
          <w:color w:val="000000"/>
        </w:rPr>
        <w:t>nance of an anti-inflammatory environment crucial for maintaining tolerance to oral antigens, commensal microflora, and bridging an intact mucosal barrier</w:t>
      </w:r>
      <w:r w:rsidR="004D52FA" w:rsidRPr="00B7221C">
        <w:rPr>
          <w:rFonts w:ascii="Book Antiqua" w:eastAsia="Book Antiqua" w:hAnsi="Book Antiqua" w:cs="Book Antiqua"/>
          <w:color w:val="000000"/>
          <w:vertAlign w:val="superscript"/>
        </w:rPr>
        <w:t>[</w:t>
      </w:r>
      <w:hyperlink w:anchor="_ENREF_32" w:tooltip="Commins, 2015 #28" w:history="1">
        <w:r w:rsidRPr="00B7221C">
          <w:rPr>
            <w:rFonts w:ascii="Book Antiqua" w:eastAsia="Book Antiqua" w:hAnsi="Book Antiqua" w:cs="Book Antiqua"/>
            <w:color w:val="000000"/>
            <w:vertAlign w:val="superscript"/>
          </w:rPr>
          <w:t>32</w:t>
        </w:r>
      </w:hyperlink>
      <w:r w:rsidRPr="00B7221C">
        <w:rPr>
          <w:rFonts w:ascii="Book Antiqua" w:eastAsia="Book Antiqua" w:hAnsi="Book Antiqua" w:cs="Book Antiqua"/>
          <w:color w:val="000000"/>
          <w:vertAlign w:val="superscript"/>
        </w:rPr>
        <w:t>,</w:t>
      </w:r>
      <w:hyperlink w:anchor="_ENREF_33" w:tooltip="Tlaskalová-Hogenová, 2011 #29" w:history="1">
        <w:r w:rsidRPr="00B7221C">
          <w:rPr>
            <w:rFonts w:ascii="Book Antiqua" w:eastAsia="Book Antiqua" w:hAnsi="Book Antiqua" w:cs="Book Antiqua"/>
            <w:color w:val="000000"/>
            <w:vertAlign w:val="superscript"/>
          </w:rPr>
          <w:t>33</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Commensal microflora </w:t>
      </w:r>
      <w:r w:rsidR="00B41D30">
        <w:rPr>
          <w:rFonts w:ascii="Book Antiqua" w:eastAsia="Book Antiqua" w:hAnsi="Book Antiqua" w:cs="Book Antiqua"/>
          <w:color w:val="000000"/>
        </w:rPr>
        <w:t>competes</w:t>
      </w:r>
      <w:r w:rsidRPr="00B7221C">
        <w:rPr>
          <w:rFonts w:ascii="Book Antiqua" w:eastAsia="Book Antiqua" w:hAnsi="Book Antiqua" w:cs="Book Antiqua"/>
          <w:color w:val="000000"/>
        </w:rPr>
        <w:t xml:space="preserve"> with pathobionts (potentially pathogenic bacteria which are benign during homeostasis) for nutrients within the gut microenvironment, secrete toxins that favor their predominance, and release metabolites </w:t>
      </w:r>
      <w:r w:rsidR="00B41D30">
        <w:rPr>
          <w:rFonts w:ascii="Book Antiqua" w:eastAsia="Book Antiqua" w:hAnsi="Book Antiqua" w:cs="Book Antiqua"/>
          <w:color w:val="000000"/>
        </w:rPr>
        <w:t>that</w:t>
      </w:r>
      <w:r w:rsidRPr="00B7221C">
        <w:rPr>
          <w:rFonts w:ascii="Book Antiqua" w:eastAsia="Book Antiqua" w:hAnsi="Book Antiqua" w:cs="Book Antiqua"/>
          <w:color w:val="000000"/>
        </w:rPr>
        <w:t xml:space="preserve"> shape gut immunity by providing appropriate ant</w:t>
      </w:r>
      <w:r w:rsidR="002D4DE1">
        <w:rPr>
          <w:rFonts w:ascii="Book Antiqua" w:eastAsia="Book Antiqua" w:hAnsi="Book Antiqua" w:cs="Book Antiqua"/>
          <w:color w:val="000000"/>
        </w:rPr>
        <w:t>i</w:t>
      </w:r>
      <w:r w:rsidRPr="00B7221C">
        <w:rPr>
          <w:rFonts w:ascii="Book Antiqua" w:eastAsia="Book Antiqua" w:hAnsi="Book Antiqua" w:cs="Book Antiqua"/>
          <w:color w:val="000000"/>
        </w:rPr>
        <w:t>-inflammatory signals to other immune cells such as macrophages</w:t>
      </w:r>
      <w:r w:rsidR="004D52FA" w:rsidRPr="00B7221C">
        <w:rPr>
          <w:rFonts w:ascii="Book Antiqua" w:eastAsia="Book Antiqua" w:hAnsi="Book Antiqua" w:cs="Book Antiqua"/>
          <w:color w:val="000000"/>
          <w:vertAlign w:val="superscript"/>
        </w:rPr>
        <w:t>[</w:t>
      </w:r>
      <w:hyperlink w:anchor="_ENREF_31" w:tooltip="Van Kaer, 2018 #27" w:history="1">
        <w:r w:rsidRPr="00B7221C">
          <w:rPr>
            <w:rFonts w:ascii="Book Antiqua" w:eastAsia="Book Antiqua" w:hAnsi="Book Antiqua" w:cs="Book Antiqua"/>
            <w:color w:val="000000"/>
            <w:vertAlign w:val="superscript"/>
          </w:rPr>
          <w:t>31</w:t>
        </w:r>
      </w:hyperlink>
      <w:r w:rsidRPr="00B7221C">
        <w:rPr>
          <w:rFonts w:ascii="Book Antiqua" w:eastAsia="Book Antiqua" w:hAnsi="Book Antiqua" w:cs="Book Antiqua"/>
          <w:color w:val="000000"/>
          <w:vertAlign w:val="superscript"/>
        </w:rPr>
        <w:t>,</w:t>
      </w:r>
      <w:hyperlink w:anchor="_ENREF_34" w:tooltip="Isaacs-Ten, 2020 #30" w:history="1">
        <w:r w:rsidRPr="00B7221C">
          <w:rPr>
            <w:rFonts w:ascii="Book Antiqua" w:eastAsia="Book Antiqua" w:hAnsi="Book Antiqua" w:cs="Book Antiqua"/>
            <w:color w:val="000000"/>
            <w:vertAlign w:val="superscript"/>
          </w:rPr>
          <w:t>34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361E889E" w14:textId="3E089352"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Critical genera of the microbiome also ferment dietary fiber into </w:t>
      </w:r>
      <w:r w:rsidR="00B41D30">
        <w:rPr>
          <w:rFonts w:ascii="Book Antiqua" w:eastAsia="Book Antiqua" w:hAnsi="Book Antiqua" w:cs="Book Antiqua"/>
          <w:color w:val="000000"/>
        </w:rPr>
        <w:t>short-chain</w:t>
      </w:r>
      <w:r w:rsidRPr="00B7221C">
        <w:rPr>
          <w:rFonts w:ascii="Book Antiqua" w:eastAsia="Book Antiqua" w:hAnsi="Book Antiqua" w:cs="Book Antiqua"/>
          <w:color w:val="000000"/>
        </w:rPr>
        <w:t xml:space="preserve"> fatty acids that support gut immune responses by sustaining the balance of T regulatory (T reg) cells and activated T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"_ENREF_35" \o "Ma, 2019 #31" </w:instrText>
      </w:r>
      <w:r w:rsidR="005B0234">
        <w:fldChar w:fldCharType="separate"/>
      </w:r>
      <w:r w:rsidRPr="00B7221C">
        <w:rPr>
          <w:rFonts w:ascii="Book Antiqua" w:eastAsia="Book Antiqua" w:hAnsi="Book Antiqua" w:cs="Book Antiqua"/>
          <w:color w:val="000000"/>
          <w:vertAlign w:val="superscript"/>
        </w:rPr>
        <w:t>35</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released short-chain fatty acids such as butyrate facilitate CD103+ dendritic cell production of retinoic acid, which in turn aid in the generation of FoxP3+ T reg cells and sampling of an antigen across the gut lumen. Increased frequencies of CD4+ regulatory T cells maintain a basal anti-inflammatory state of the gut. Released acetate also improves the integrity of gut epithelial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"_ENREF_36" \o "Tan, 2016 #32" </w:instrText>
      </w:r>
      <w:r w:rsidR="005B0234">
        <w:fldChar w:fldCharType="separate"/>
      </w:r>
      <w:r w:rsidRPr="00B7221C">
        <w:rPr>
          <w:rFonts w:ascii="Book Antiqua" w:eastAsia="Book Antiqua" w:hAnsi="Book Antiqua" w:cs="Book Antiqua"/>
          <w:color w:val="000000"/>
          <w:vertAlign w:val="superscript"/>
        </w:rPr>
        <w:t>36</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37" w:tooltip="Omenetti, 2015 #36" w:history="1">
        <w:r w:rsidRPr="00B7221C">
          <w:rPr>
            <w:rFonts w:ascii="Book Antiqua" w:eastAsia="Book Antiqua" w:hAnsi="Book Antiqua" w:cs="Book Antiqua"/>
            <w:color w:val="000000"/>
            <w:vertAlign w:val="superscript"/>
          </w:rPr>
          <w:t>37</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Additionally, lamina propria macrophages are highly phagocytic and engulf any foreign microorganisms that may have breached the intact gut mucosal </w:t>
      </w:r>
      <w:proofErr w:type="gramStart"/>
      <w:r w:rsidRPr="00B7221C">
        <w:rPr>
          <w:rFonts w:ascii="Book Antiqua" w:eastAsia="Book Antiqua" w:hAnsi="Book Antiqua" w:cs="Book Antiqua"/>
          <w:color w:val="000000"/>
        </w:rPr>
        <w:t>barrier</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"_ENREF_38" \o "Wang, 2019 #34" </w:instrText>
      </w:r>
      <w:r w:rsidR="005B0234">
        <w:fldChar w:fldCharType="separate"/>
      </w:r>
      <w:r w:rsidRPr="00B7221C">
        <w:rPr>
          <w:rFonts w:ascii="Book Antiqua" w:eastAsia="Book Antiqua" w:hAnsi="Book Antiqua" w:cs="Book Antiqua"/>
          <w:color w:val="000000"/>
          <w:vertAlign w:val="superscript"/>
        </w:rPr>
        <w:t>38</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gut epithelial cells secrete anti-inflammatory cytokines such as interleukin 10 (IL-10) </w:t>
      </w:r>
      <w:r w:rsidRPr="00B7221C">
        <w:rPr>
          <w:rFonts w:ascii="Book Antiqua" w:eastAsia="Book Antiqua" w:hAnsi="Book Antiqua" w:cs="Book Antiqua"/>
          <w:color w:val="000000"/>
        </w:rPr>
        <w:lastRenderedPageBreak/>
        <w:t>and transforming growth factor-β (TGF-β)</w:t>
      </w:r>
      <w:r w:rsidR="00B41D30">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5C30ED">
        <w:rPr>
          <w:rFonts w:ascii="Book Antiqua" w:eastAsia="Book Antiqua" w:hAnsi="Book Antiqua" w:cs="Book Antiqua"/>
          <w:color w:val="000000"/>
        </w:rPr>
        <w:t>which</w:t>
      </w:r>
      <w:r w:rsidR="005C30ED"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promote increased frequencies of T regs that are crucial for immunological suppression and induction of mucosal </w:t>
      </w:r>
      <w:proofErr w:type="gramStart"/>
      <w:r w:rsidRPr="00B7221C">
        <w:rPr>
          <w:rFonts w:ascii="Book Antiqua" w:eastAsia="Book Antiqua" w:hAnsi="Book Antiqua" w:cs="Book Antiqua"/>
          <w:color w:val="000000"/>
        </w:rPr>
        <w:t>tolerance</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"_ENREF_39" \o "Denning, 2007 #35" </w:instrText>
      </w:r>
      <w:r w:rsidR="005B0234">
        <w:fldChar w:fldCharType="separate"/>
      </w:r>
      <w:r w:rsidRPr="00B7221C">
        <w:rPr>
          <w:rFonts w:ascii="Book Antiqua" w:eastAsia="Book Antiqua" w:hAnsi="Book Antiqua" w:cs="Book Antiqua"/>
          <w:color w:val="000000"/>
          <w:vertAlign w:val="superscript"/>
        </w:rPr>
        <w:t>39</w:t>
      </w:r>
      <w:r w:rsidR="001F5396">
        <w:rPr>
          <w:rFonts w:ascii="Book Antiqua" w:eastAsia="Book Antiqua" w:hAnsi="Book Antiqua" w:cs="Book Antiqua"/>
          <w:color w:val="000000"/>
          <w:vertAlign w:val="superscript"/>
        </w:rPr>
        <w:t>-</w:t>
      </w:r>
      <w:r w:rsidRPr="00B7221C">
        <w:rPr>
          <w:rFonts w:ascii="Book Antiqua" w:eastAsia="Book Antiqua" w:hAnsi="Book Antiqua" w:cs="Book Antiqua"/>
          <w:color w:val="000000"/>
          <w:vertAlign w:val="superscript"/>
        </w:rPr>
        <w:t>41</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4C6BEDBD" w14:textId="77777777" w:rsidR="00A77B3E" w:rsidRPr="00B7221C" w:rsidRDefault="00A77B3E" w:rsidP="00B7221C">
      <w:pPr>
        <w:spacing w:line="360" w:lineRule="auto"/>
        <w:jc w:val="both"/>
        <w:rPr>
          <w:rFonts w:ascii="Book Antiqua" w:hAnsi="Book Antiqua"/>
        </w:rPr>
      </w:pPr>
    </w:p>
    <w:p w14:paraId="638C4B6B" w14:textId="1D4E07CB"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SARS-CoV-2 infection in the Gut</w:t>
      </w:r>
    </w:p>
    <w:p w14:paraId="183626F5" w14:textId="3A76ED2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During gut infection, SARS-CoV-2 uses its spike (S) proteins on the </w:t>
      </w:r>
      <w:r w:rsidR="00B41D30">
        <w:rPr>
          <w:rFonts w:ascii="Book Antiqua" w:eastAsia="Book Antiqua" w:hAnsi="Book Antiqua" w:cs="Book Antiqua"/>
          <w:color w:val="000000"/>
          <w:shd w:val="clear" w:color="auto" w:fill="FFFFFF"/>
        </w:rPr>
        <w:t>virus's surface</w:t>
      </w:r>
      <w:r w:rsidRPr="00B7221C">
        <w:rPr>
          <w:rFonts w:ascii="Book Antiqua" w:eastAsia="Book Antiqua" w:hAnsi="Book Antiqua" w:cs="Book Antiqua"/>
          <w:color w:val="000000"/>
          <w:shd w:val="clear" w:color="auto" w:fill="FFFFFF"/>
        </w:rPr>
        <w:t xml:space="preserve"> to directly bind to the ACE2 receptor that is highly expressed on target intestinal epithelial cells (enterocytes and goblet cells). A transmembrane serine protease (TMPRSS2) acts synergistically and cleaves the S protein into S1 and S2 subunits</w:t>
      </w:r>
      <w:r w:rsidR="00B41D30">
        <w:rPr>
          <w:rFonts w:ascii="Book Antiqua" w:eastAsia="Book Antiqua" w:hAnsi="Book Antiqua" w:cs="Book Antiqua"/>
          <w:color w:val="000000"/>
          <w:shd w:val="clear" w:color="auto" w:fill="FFFFFF"/>
        </w:rPr>
        <w:t xml:space="preserve">, facilitating the host cell's viral </w:t>
      </w:r>
      <w:proofErr w:type="gramStart"/>
      <w:r w:rsidR="00B41D30">
        <w:rPr>
          <w:rFonts w:ascii="Book Antiqua" w:eastAsia="Book Antiqua" w:hAnsi="Book Antiqua" w:cs="Book Antiqua"/>
          <w:color w:val="000000"/>
          <w:shd w:val="clear" w:color="auto" w:fill="FFFFFF"/>
        </w:rPr>
        <w:t>entry</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"_ENREF_15" \o "Xiao, 2020 #11" </w:instrText>
      </w:r>
      <w:r w:rsidR="005B0234">
        <w:fldChar w:fldCharType="separate"/>
      </w:r>
      <w:r w:rsidRPr="00B7221C">
        <w:rPr>
          <w:rFonts w:ascii="Book Antiqua" w:eastAsia="Book Antiqua" w:hAnsi="Book Antiqua" w:cs="Book Antiqua"/>
          <w:color w:val="000000"/>
          <w:shd w:val="clear" w:color="auto" w:fill="FFFFFF"/>
          <w:vertAlign w:val="superscript"/>
        </w:rPr>
        <w:t>15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Like other viruses such as rotavirus, norovirus, and enteroviruses, the interferon-stimulated genes are activated, resulting in the </w:t>
      </w:r>
      <w:r w:rsidR="002D4DE1" w:rsidRPr="00B7221C">
        <w:rPr>
          <w:rFonts w:ascii="Book Antiqua" w:eastAsia="Book Antiqua" w:hAnsi="Book Antiqua" w:cs="Book Antiqua"/>
          <w:color w:val="000000"/>
          <w:shd w:val="clear" w:color="auto" w:fill="FFFFFF"/>
        </w:rPr>
        <w:t>reinstat</w:t>
      </w:r>
      <w:r w:rsidR="002D4DE1">
        <w:rPr>
          <w:rFonts w:ascii="Book Antiqua" w:eastAsia="Book Antiqua" w:hAnsi="Book Antiqua" w:cs="Book Antiqua"/>
          <w:color w:val="000000"/>
          <w:shd w:val="clear" w:color="auto" w:fill="FFFFFF"/>
        </w:rPr>
        <w:t>ement</w:t>
      </w:r>
      <w:r w:rsidR="002D4DE1"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of an antiviral state and restricted SARS-CoV-2 </w:t>
      </w:r>
      <w:proofErr w:type="gramStart"/>
      <w:r w:rsidRPr="00B7221C">
        <w:rPr>
          <w:rFonts w:ascii="Book Antiqua" w:eastAsia="Book Antiqua" w:hAnsi="Book Antiqua" w:cs="Book Antiqua"/>
          <w:color w:val="000000"/>
          <w:shd w:val="clear" w:color="auto" w:fill="FFFFFF"/>
        </w:rPr>
        <w:t>replication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"_ENREF_42" \o "Good, 2019 #37" </w:instrText>
      </w:r>
      <w:r w:rsidR="005B0234">
        <w:fldChar w:fldCharType="separate"/>
      </w:r>
      <w:r w:rsidRPr="00B7221C">
        <w:rPr>
          <w:rFonts w:ascii="Book Antiqua" w:eastAsia="Book Antiqua" w:hAnsi="Book Antiqua" w:cs="Book Antiqua"/>
          <w:color w:val="000000"/>
          <w:shd w:val="clear" w:color="auto" w:fill="FFFFFF"/>
          <w:vertAlign w:val="superscript"/>
        </w:rPr>
        <w:t>42-44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Simultaneously, pro-inflammatory cytokines like IL-6, IL-1, and </w:t>
      </w:r>
      <w:r w:rsidR="008E153D" w:rsidRPr="00B7221C">
        <w:rPr>
          <w:rFonts w:ascii="Book Antiqua" w:eastAsia="Book Antiqua" w:hAnsi="Book Antiqua" w:cs="Book Antiqua"/>
          <w:color w:val="000000"/>
          <w:shd w:val="clear" w:color="auto" w:fill="FFFFFF"/>
        </w:rPr>
        <w:t>tumor necrosis fact</w:t>
      </w:r>
      <w:r w:rsidRPr="00B7221C">
        <w:rPr>
          <w:rFonts w:ascii="Book Antiqua" w:eastAsia="Book Antiqua" w:hAnsi="Book Antiqua" w:cs="Book Antiqua"/>
          <w:color w:val="000000"/>
          <w:shd w:val="clear" w:color="auto" w:fill="FFFFFF"/>
        </w:rPr>
        <w:t>or</w:t>
      </w:r>
      <w:r w:rsidR="008E153D"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α </w:t>
      </w:r>
      <w:r w:rsidR="00B0559A"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TNF-α</w:t>
      </w:r>
      <w:r w:rsidR="00B0559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are also </w:t>
      </w:r>
      <w:proofErr w:type="gramStart"/>
      <w:r w:rsidRPr="00B7221C">
        <w:rPr>
          <w:rFonts w:ascii="Book Antiqua" w:eastAsia="Book Antiqua" w:hAnsi="Book Antiqua" w:cs="Book Antiqua"/>
          <w:color w:val="000000"/>
          <w:shd w:val="clear" w:color="auto" w:fill="FFFFFF"/>
        </w:rPr>
        <w:t>released</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"_ENREF_44" \o "Blanco-Melo, 2020 #39" </w:instrText>
      </w:r>
      <w:r w:rsidR="005B0234">
        <w:fldChar w:fldCharType="separate"/>
      </w:r>
      <w:r w:rsidRPr="00B7221C">
        <w:rPr>
          <w:rFonts w:ascii="Book Antiqua" w:eastAsia="Book Antiqua" w:hAnsi="Book Antiqua" w:cs="Book Antiqua"/>
          <w:color w:val="000000"/>
          <w:shd w:val="clear" w:color="auto" w:fill="FFFFFF"/>
          <w:vertAlign w:val="superscript"/>
        </w:rPr>
        <w:t>44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Severe enterocyte apoptosis follows as soon as the virus overcomes the interferon-mediated antiviral </w:t>
      </w:r>
      <w:proofErr w:type="gramStart"/>
      <w:r w:rsidRPr="00B7221C">
        <w:rPr>
          <w:rFonts w:ascii="Book Antiqua" w:eastAsia="Book Antiqua" w:hAnsi="Book Antiqua" w:cs="Book Antiqua"/>
          <w:color w:val="000000"/>
          <w:shd w:val="clear" w:color="auto" w:fill="FFFFFF"/>
        </w:rPr>
        <w:t>state</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"_ENREF_16" \o "Lamers, 2020 #12" </w:instrText>
      </w:r>
      <w:r w:rsidR="005B0234">
        <w:fldChar w:fldCharType="separate"/>
      </w:r>
      <w:r w:rsidRPr="00B7221C">
        <w:rPr>
          <w:rFonts w:ascii="Book Antiqua" w:eastAsia="Book Antiqua" w:hAnsi="Book Antiqua" w:cs="Book Antiqua"/>
          <w:color w:val="000000"/>
          <w:shd w:val="clear" w:color="auto" w:fill="FFFFFF"/>
          <w:vertAlign w:val="superscript"/>
        </w:rPr>
        <w:t>16</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tremendous loss of intestinal epithelial cells diminishes the gut barrier’s integrity and gravely impacts the absorption of nutrients, secretion of mucus, and production of antimicrobial </w:t>
      </w:r>
      <w:proofErr w:type="gramStart"/>
      <w:r w:rsidRPr="00B7221C">
        <w:rPr>
          <w:rFonts w:ascii="Book Antiqua" w:eastAsia="Book Antiqua" w:hAnsi="Book Antiqua" w:cs="Book Antiqua"/>
          <w:color w:val="000000"/>
          <w:shd w:val="clear" w:color="auto" w:fill="FFFFFF"/>
        </w:rPr>
        <w:t>peptides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"_ENREF_45" \o "Patankar, 2020 #40" </w:instrText>
      </w:r>
      <w:r w:rsidR="005B0234">
        <w:fldChar w:fldCharType="separate"/>
      </w:r>
      <w:r w:rsidRPr="00B7221C">
        <w:rPr>
          <w:rFonts w:ascii="Book Antiqua" w:eastAsia="Book Antiqua" w:hAnsi="Book Antiqua" w:cs="Book Antiqua"/>
          <w:color w:val="000000"/>
          <w:shd w:val="clear" w:color="auto" w:fill="FFFFFF"/>
          <w:vertAlign w:val="superscript"/>
        </w:rPr>
        <w:t>45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elevated secretion of pro-inflammatory cytokines also simultaneously activates macrophages towards pro-inflammatory states, which involves the increased surface expression and later shedding of markers such as CD14 and CD163 that are critical for detecting microorganisms and limiting </w:t>
      </w:r>
      <w:proofErr w:type="gramStart"/>
      <w:r w:rsidRPr="00B7221C">
        <w:rPr>
          <w:rFonts w:ascii="Book Antiqua" w:eastAsia="Book Antiqua" w:hAnsi="Book Antiqua" w:cs="Book Antiqua"/>
          <w:color w:val="000000"/>
          <w:shd w:val="clear" w:color="auto" w:fill="FFFFFF"/>
        </w:rPr>
        <w:t>inflammation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"_ENREF_16" \o "Lamers, 2020 #12" </w:instrText>
      </w:r>
      <w:r w:rsidR="005B0234">
        <w:fldChar w:fldCharType="separate"/>
      </w:r>
      <w:r w:rsidRPr="00B7221C">
        <w:rPr>
          <w:rFonts w:ascii="Book Antiqua" w:eastAsia="Book Antiqua" w:hAnsi="Book Antiqua" w:cs="Book Antiqua"/>
          <w:color w:val="000000"/>
          <w:shd w:val="clear" w:color="auto" w:fill="FFFFFF"/>
          <w:vertAlign w:val="superscript"/>
        </w:rPr>
        <w:t>16</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70814BBC" w14:textId="2126EC6E"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 recent unpublished study that comprehensively investigated changes in gut dynamics during SARS-CoV-2 infection shows that there were increases in permeability of gut tight junctions as estimated using </w:t>
      </w:r>
      <w:r w:rsidR="00436FA9">
        <w:rPr>
          <w:rFonts w:ascii="Book Antiqua" w:eastAsia="Book Antiqua" w:hAnsi="Book Antiqua" w:cs="Book Antiqua"/>
          <w:color w:val="000000"/>
          <w:shd w:val="clear" w:color="auto" w:fill="FFFFFF"/>
        </w:rPr>
        <w:t>z</w:t>
      </w:r>
      <w:r w:rsidR="00436FA9" w:rsidRPr="00B7221C">
        <w:rPr>
          <w:rFonts w:ascii="Book Antiqua" w:eastAsia="Book Antiqua" w:hAnsi="Book Antiqua" w:cs="Book Antiqua"/>
          <w:color w:val="000000"/>
          <w:shd w:val="clear" w:color="auto" w:fill="FFFFFF"/>
        </w:rPr>
        <w:t>onulin</w:t>
      </w:r>
      <w:r w:rsidR="00AE2D2B">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microbial translocation</w:t>
      </w:r>
      <w:r w:rsidR="00AE2D2B">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lipid-binding protein</w:t>
      </w:r>
      <w:r w:rsidR="00AE2D2B">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and myeloid activation using soluble CD14</w:t>
      </w:r>
      <w:r w:rsidR="004D52FA" w:rsidRPr="00B7221C">
        <w:rPr>
          <w:rFonts w:ascii="Book Antiqua" w:eastAsia="Book Antiqua" w:hAnsi="Book Antiqua" w:cs="Book Antiqua"/>
          <w:color w:val="000000"/>
          <w:shd w:val="clear" w:color="auto" w:fill="FFFFFF"/>
          <w:vertAlign w:val="superscript"/>
        </w:rPr>
        <w:t>[</w:t>
      </w:r>
      <w:hyperlink w:anchor="_ENREF_46" w:tooltip="Leila B. Giron, 2020 #42" w:history="1">
        <w:r w:rsidRPr="00B7221C">
          <w:rPr>
            <w:rFonts w:ascii="Book Antiqua" w:eastAsia="Book Antiqua" w:hAnsi="Book Antiqua" w:cs="Book Antiqua"/>
            <w:color w:val="000000"/>
            <w:shd w:val="clear" w:color="auto" w:fill="FFFFFF"/>
            <w:vertAlign w:val="superscript"/>
          </w:rPr>
          <w:t>46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Gut barrier damage, microbial translocation, and myeloid cell activation worsened as the disease transitioned into more severe states. All this was heralded when a two-fold increment in tight junction permeability was observed in individuals who died </w:t>
      </w:r>
      <w:r w:rsidRPr="00B7221C">
        <w:rPr>
          <w:rFonts w:ascii="Book Antiqua" w:eastAsia="Book Antiqua" w:hAnsi="Book Antiqua" w:cs="Book Antiqua"/>
          <w:i/>
          <w:iCs/>
          <w:color w:val="000000"/>
          <w:shd w:val="clear" w:color="auto" w:fill="FFFFFF"/>
        </w:rPr>
        <w:t>vs</w:t>
      </w:r>
      <w:r w:rsidRPr="00B7221C">
        <w:rPr>
          <w:rFonts w:ascii="Book Antiqua" w:eastAsia="Book Antiqua" w:hAnsi="Book Antiqua" w:cs="Book Antiqua"/>
          <w:color w:val="000000"/>
          <w:shd w:val="clear" w:color="auto" w:fill="FFFFFF"/>
        </w:rPr>
        <w:t xml:space="preserve"> COVID-19 survivors. Unsurprisingly, alterations in gut homeostasis positively correlated with elevated IL-6, </w:t>
      </w:r>
      <w:r w:rsidRPr="00B7221C">
        <w:rPr>
          <w:rFonts w:ascii="Book Antiqua" w:eastAsia="Book Antiqua" w:hAnsi="Book Antiqua" w:cs="Book Antiqua"/>
          <w:color w:val="000000"/>
          <w:shd w:val="clear" w:color="auto" w:fill="FFFFFF"/>
        </w:rPr>
        <w:lastRenderedPageBreak/>
        <w:t xml:space="preserve">thus confirming increased inflammation as a conduit for loss of gut barrier </w:t>
      </w:r>
      <w:proofErr w:type="gramStart"/>
      <w:r w:rsidRPr="00B7221C">
        <w:rPr>
          <w:rFonts w:ascii="Book Antiqua" w:eastAsia="Book Antiqua" w:hAnsi="Book Antiqua" w:cs="Book Antiqua"/>
          <w:color w:val="000000"/>
          <w:shd w:val="clear" w:color="auto" w:fill="FFFFFF"/>
        </w:rPr>
        <w:t>integrity</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"_ENREF_46" \o "Leila B. Giron, 2020 #42" </w:instrText>
      </w:r>
      <w:r w:rsidR="005B0234">
        <w:fldChar w:fldCharType="separate"/>
      </w:r>
      <w:r w:rsidRPr="00B7221C">
        <w:rPr>
          <w:rFonts w:ascii="Book Antiqua" w:eastAsia="Book Antiqua" w:hAnsi="Book Antiqua" w:cs="Book Antiqua"/>
          <w:color w:val="000000"/>
          <w:shd w:val="clear" w:color="auto" w:fill="FFFFFF"/>
          <w:vertAlign w:val="superscript"/>
        </w:rPr>
        <w:t>46</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Lastly, progressive increments of disrupted citrulline metabolism </w:t>
      </w:r>
      <w:r w:rsidR="00B41D30">
        <w:rPr>
          <w:rFonts w:ascii="Book Antiqua" w:eastAsia="Book Antiqua" w:hAnsi="Book Antiqua" w:cs="Book Antiqua"/>
          <w:color w:val="000000"/>
          <w:shd w:val="clear" w:color="auto" w:fill="FFFFFF"/>
        </w:rPr>
        <w:t>accompanying</w:t>
      </w:r>
      <w:r w:rsidRPr="00B7221C">
        <w:rPr>
          <w:rFonts w:ascii="Book Antiqua" w:eastAsia="Book Antiqua" w:hAnsi="Book Antiqua" w:cs="Book Antiqua"/>
          <w:color w:val="000000"/>
          <w:shd w:val="clear" w:color="auto" w:fill="FFFFFF"/>
        </w:rPr>
        <w:t xml:space="preserve"> the severity of SARS-CoV-2 </w:t>
      </w:r>
      <w:r w:rsidR="00B41D30">
        <w:rPr>
          <w:rFonts w:ascii="Book Antiqua" w:eastAsia="Book Antiqua" w:hAnsi="Book Antiqua" w:cs="Book Antiqua"/>
          <w:color w:val="000000"/>
          <w:shd w:val="clear" w:color="auto" w:fill="FFFFFF"/>
        </w:rPr>
        <w:t>indicate</w:t>
      </w:r>
      <w:r w:rsidRPr="00B7221C">
        <w:rPr>
          <w:rFonts w:ascii="Book Antiqua" w:eastAsia="Book Antiqua" w:hAnsi="Book Antiqua" w:cs="Book Antiqua"/>
          <w:color w:val="000000"/>
          <w:shd w:val="clear" w:color="auto" w:fill="FFFFFF"/>
        </w:rPr>
        <w:t xml:space="preserve"> ongoing microbial dysbiosis and impaired intestinal </w:t>
      </w:r>
      <w:proofErr w:type="gramStart"/>
      <w:r w:rsidRPr="00B7221C">
        <w:rPr>
          <w:rFonts w:ascii="Book Antiqua" w:eastAsia="Book Antiqua" w:hAnsi="Book Antiqua" w:cs="Book Antiqua"/>
          <w:color w:val="000000"/>
          <w:shd w:val="clear" w:color="auto" w:fill="FFFFFF"/>
        </w:rPr>
        <w:t>function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"_ENREF_47" \o "Kao, 2015 #43" </w:instrText>
      </w:r>
      <w:r w:rsidR="005B0234">
        <w:fldChar w:fldCharType="separate"/>
      </w:r>
      <w:r w:rsidRPr="00B7221C">
        <w:rPr>
          <w:rFonts w:ascii="Book Antiqua" w:eastAsia="Book Antiqua" w:hAnsi="Book Antiqua" w:cs="Book Antiqua"/>
          <w:color w:val="000000"/>
          <w:shd w:val="clear" w:color="auto" w:fill="FFFFFF"/>
          <w:vertAlign w:val="superscript"/>
        </w:rPr>
        <w:t>47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2B43571F" w14:textId="77777777" w:rsidR="00A77B3E" w:rsidRPr="00B7221C" w:rsidRDefault="00A77B3E" w:rsidP="00B7221C">
      <w:pPr>
        <w:spacing w:line="360" w:lineRule="auto"/>
        <w:jc w:val="both"/>
        <w:rPr>
          <w:rFonts w:ascii="Book Antiqua" w:hAnsi="Book Antiqua"/>
        </w:rPr>
      </w:pPr>
    </w:p>
    <w:p w14:paraId="5172026C"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rPr>
        <w:t>Gut Inflammation and SARS-CoV-2</w:t>
      </w:r>
    </w:p>
    <w:p w14:paraId="1DD3D1FD" w14:textId="0D1DBC7E" w:rsidR="00A77B3E" w:rsidRPr="00B7221C" w:rsidRDefault="00B41D30" w:rsidP="00B7221C">
      <w:pPr>
        <w:spacing w:line="360" w:lineRule="auto"/>
        <w:jc w:val="both"/>
        <w:rPr>
          <w:rFonts w:ascii="Book Antiqua" w:hAnsi="Book Antiqua"/>
        </w:rPr>
      </w:pPr>
      <w:r>
        <w:rPr>
          <w:rFonts w:ascii="Book Antiqua" w:eastAsia="Book Antiqua" w:hAnsi="Book Antiqua" w:cs="Book Antiqua"/>
          <w:color w:val="000000"/>
        </w:rPr>
        <w:t>An</w:t>
      </w:r>
      <w:r w:rsidR="00A143FB" w:rsidRPr="00B7221C">
        <w:rPr>
          <w:rFonts w:ascii="Book Antiqua" w:eastAsia="Book Antiqua" w:hAnsi="Book Antiqua" w:cs="Book Antiqua"/>
          <w:color w:val="000000"/>
        </w:rPr>
        <w:t xml:space="preserve"> optimal balance between T regs and inflammatory T helper 17 </w:t>
      </w:r>
      <w:r w:rsidR="00F02D3E" w:rsidRPr="00B7221C">
        <w:rPr>
          <w:rFonts w:ascii="Book Antiqua" w:eastAsia="Book Antiqua" w:hAnsi="Book Antiqua" w:cs="Book Antiqua"/>
          <w:color w:val="000000"/>
        </w:rPr>
        <w:t xml:space="preserve">(Th17) </w:t>
      </w:r>
      <w:r w:rsidR="00A143FB" w:rsidRPr="00B7221C">
        <w:rPr>
          <w:rFonts w:ascii="Book Antiqua" w:eastAsia="Book Antiqua" w:hAnsi="Book Antiqua" w:cs="Book Antiqua"/>
          <w:color w:val="000000"/>
        </w:rPr>
        <w:t>cells is maintained</w:t>
      </w:r>
      <w:r>
        <w:rPr>
          <w:rFonts w:ascii="Book Antiqua" w:eastAsia="Book Antiqua" w:hAnsi="Book Antiqua" w:cs="Book Antiqua"/>
          <w:color w:val="000000"/>
        </w:rPr>
        <w:t xml:space="preserve"> within a healthy gut</w:t>
      </w:r>
      <w:r w:rsidR="00A143FB" w:rsidRPr="00B7221C">
        <w:rPr>
          <w:rFonts w:ascii="Book Antiqua" w:eastAsia="Book Antiqua" w:hAnsi="Book Antiqua" w:cs="Book Antiqua"/>
          <w:color w:val="000000"/>
        </w:rPr>
        <w:t xml:space="preserve">. As inflammation occurs, this balance is tipped as pro-inflammatory bacteria are favored over </w:t>
      </w:r>
      <w:proofErr w:type="gramStart"/>
      <w:r w:rsidR="00A143FB" w:rsidRPr="00B7221C">
        <w:rPr>
          <w:rFonts w:ascii="Book Antiqua" w:eastAsia="Book Antiqua" w:hAnsi="Book Antiqua" w:cs="Book Antiqua"/>
          <w:color w:val="000000"/>
        </w:rPr>
        <w:t>commensals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"_ENREF_37" \o "Omenetti, 2015 #36" </w:instrText>
      </w:r>
      <w:r w:rsidR="005B0234">
        <w:fldChar w:fldCharType="separate"/>
      </w:r>
      <w:r w:rsidR="00A143FB" w:rsidRPr="00B7221C">
        <w:rPr>
          <w:rFonts w:ascii="Book Antiqua" w:eastAsia="Book Antiqua" w:hAnsi="Book Antiqua" w:cs="Book Antiqua"/>
          <w:color w:val="000000"/>
          <w:vertAlign w:val="superscript"/>
        </w:rPr>
        <w:t>37</w:t>
      </w:r>
      <w:r w:rsidR="005B0234">
        <w:rPr>
          <w:rFonts w:ascii="Book Antiqua" w:eastAsia="Book Antiqua" w:hAnsi="Book Antiqua" w:cs="Book Antiqua"/>
          <w:color w:val="000000"/>
          <w:vertAlign w:val="superscript"/>
        </w:rPr>
        <w:fldChar w:fldCharType="end"/>
      </w:r>
      <w:r w:rsidR="00A143FB" w:rsidRPr="00B7221C">
        <w:rPr>
          <w:rFonts w:ascii="Book Antiqua" w:eastAsia="Book Antiqua" w:hAnsi="Book Antiqua" w:cs="Book Antiqua"/>
          <w:color w:val="000000"/>
          <w:vertAlign w:val="superscript"/>
        </w:rPr>
        <w:t>]</w:t>
      </w:r>
      <w:r w:rsidR="00A143FB" w:rsidRPr="00B7221C">
        <w:rPr>
          <w:rFonts w:ascii="Book Antiqua" w:eastAsia="Book Antiqua" w:hAnsi="Book Antiqua" w:cs="Book Antiqua"/>
          <w:color w:val="000000"/>
        </w:rPr>
        <w:t>. These pro-inflammatory bacteria induce the secr</w:t>
      </w:r>
      <w:r w:rsidR="00217782">
        <w:rPr>
          <w:rFonts w:ascii="Book Antiqua" w:eastAsia="Book Antiqua" w:hAnsi="Book Antiqua" w:cs="Book Antiqua"/>
          <w:color w:val="000000"/>
        </w:rPr>
        <w:t>e</w:t>
      </w:r>
      <w:r w:rsidR="00A143FB" w:rsidRPr="00B7221C">
        <w:rPr>
          <w:rFonts w:ascii="Book Antiqua" w:eastAsia="Book Antiqua" w:hAnsi="Book Antiqua" w:cs="Book Antiqua"/>
          <w:color w:val="000000"/>
        </w:rPr>
        <w:t>tion of cytokines like IL-6 and IL-17 that select for increased frequencies of Th17 pro-inflammatory CD4+ T cells and susceptibility to inflammatory conditions such as inflammatory bowel disease (IBD</w:t>
      </w:r>
      <w:proofErr w:type="gramStart"/>
      <w:r w:rsidR="00A143FB"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"_ENREF_37" \o "Omenetti, 2015 #36" </w:instrText>
      </w:r>
      <w:r w:rsidR="005B0234">
        <w:fldChar w:fldCharType="separate"/>
      </w:r>
      <w:r w:rsidR="00A143FB" w:rsidRPr="00B7221C">
        <w:rPr>
          <w:rFonts w:ascii="Book Antiqua" w:eastAsia="Book Antiqua" w:hAnsi="Book Antiqua" w:cs="Book Antiqua"/>
          <w:color w:val="000000"/>
          <w:vertAlign w:val="superscript"/>
        </w:rPr>
        <w:t>37</w:t>
      </w:r>
      <w:r w:rsidR="005B0234">
        <w:rPr>
          <w:rFonts w:ascii="Book Antiqua" w:eastAsia="Book Antiqua" w:hAnsi="Book Antiqua" w:cs="Book Antiqua"/>
          <w:color w:val="000000"/>
          <w:vertAlign w:val="superscript"/>
        </w:rPr>
        <w:fldChar w:fldCharType="end"/>
      </w:r>
      <w:r w:rsidR="00A143FB" w:rsidRPr="00B7221C">
        <w:rPr>
          <w:rFonts w:ascii="Book Antiqua" w:eastAsia="Book Antiqua" w:hAnsi="Book Antiqua" w:cs="Book Antiqua"/>
          <w:color w:val="000000"/>
          <w:vertAlign w:val="superscript"/>
        </w:rPr>
        <w:t>]</w:t>
      </w:r>
      <w:r w:rsidR="00A143FB" w:rsidRPr="00B7221C">
        <w:rPr>
          <w:rFonts w:ascii="Book Antiqua" w:eastAsia="Book Antiqua" w:hAnsi="Book Antiqua" w:cs="Book Antiqua"/>
          <w:color w:val="000000"/>
        </w:rPr>
        <w:t xml:space="preserve">. </w:t>
      </w:r>
    </w:p>
    <w:p w14:paraId="622B87D6" w14:textId="2F202269"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An increased expression of SARS-CoV-2 receptors during other inflammatory conditions </w:t>
      </w:r>
      <w:r w:rsidR="00B41D30">
        <w:rPr>
          <w:rFonts w:ascii="Book Antiqua" w:eastAsia="Book Antiqua" w:hAnsi="Book Antiqua" w:cs="Book Antiqua"/>
          <w:color w:val="000000"/>
        </w:rPr>
        <w:t>has</w:t>
      </w:r>
      <w:r w:rsidRPr="00B7221C">
        <w:rPr>
          <w:rFonts w:ascii="Book Antiqua" w:eastAsia="Book Antiqua" w:hAnsi="Book Antiqua" w:cs="Book Antiqua"/>
          <w:color w:val="000000"/>
        </w:rPr>
        <w:t xml:space="preserve"> been suggested to affect disease pathogenesis. During IBD and Crohn's disease (CD), epithelial ACE2 expression is elevated in the colon and rectum while diminished in the </w:t>
      </w:r>
      <w:proofErr w:type="gramStart"/>
      <w:r w:rsidRPr="00B7221C">
        <w:rPr>
          <w:rFonts w:ascii="Book Antiqua" w:eastAsia="Book Antiqua" w:hAnsi="Book Antiqua" w:cs="Book Antiqua"/>
          <w:color w:val="000000"/>
        </w:rPr>
        <w:t>ileum</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"_ENREF_48" \o "Suárez-Fariñas, 2021 #274" </w:instrText>
      </w:r>
      <w:r w:rsidR="005B0234">
        <w:fldChar w:fldCharType="separate"/>
      </w:r>
      <w:r w:rsidRPr="00B7221C">
        <w:rPr>
          <w:rFonts w:ascii="Book Antiqua" w:eastAsia="Book Antiqua" w:hAnsi="Book Antiqua" w:cs="Book Antiqua"/>
          <w:color w:val="000000"/>
          <w:vertAlign w:val="superscript"/>
        </w:rPr>
        <w:t>48</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As anticipated, gut dysbiosis occurs as pathobionts outcompete commensal bacteria, and macrophage populations transition towards inflammatory states where they secrete increased amounts of pro-inflammatory cytokines such as TNF-α, IL-6, and IL-12</w:t>
      </w:r>
      <w:r w:rsidR="004D52FA" w:rsidRPr="00B7221C">
        <w:rPr>
          <w:rFonts w:ascii="Book Antiqua" w:eastAsia="Book Antiqua" w:hAnsi="Book Antiqua" w:cs="Book Antiqua"/>
          <w:color w:val="000000"/>
          <w:vertAlign w:val="superscript"/>
        </w:rPr>
        <w:t>[</w:t>
      </w:r>
      <w:hyperlink w:anchor="_ENREF_49" w:tooltip="Vrakas, 2017 #60" w:history="1">
        <w:r w:rsidRPr="00B7221C">
          <w:rPr>
            <w:rFonts w:ascii="Book Antiqua" w:eastAsia="Book Antiqua" w:hAnsi="Book Antiqua" w:cs="Book Antiqua"/>
            <w:color w:val="000000"/>
            <w:vertAlign w:val="superscript"/>
          </w:rPr>
          <w:t>49</w:t>
        </w:r>
      </w:hyperlink>
      <w:r w:rsidRPr="00B7221C">
        <w:rPr>
          <w:rFonts w:ascii="Book Antiqua" w:eastAsia="Book Antiqua" w:hAnsi="Book Antiqua" w:cs="Book Antiqua"/>
          <w:color w:val="000000"/>
          <w:vertAlign w:val="superscript"/>
        </w:rPr>
        <w:t>,</w:t>
      </w:r>
      <w:hyperlink w:anchor="_ENREF_50" w:tooltip="Na, 2019 #61" w:history="1">
        <w:r w:rsidRPr="00B7221C">
          <w:rPr>
            <w:rFonts w:ascii="Book Antiqua" w:eastAsia="Book Antiqua" w:hAnsi="Book Antiqua" w:cs="Book Antiqua"/>
            <w:color w:val="000000"/>
            <w:vertAlign w:val="superscript"/>
          </w:rPr>
          <w:t>50</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resultant inflammatory damage leads to the destruction of tight junctions within the gut barrier. This later leads to leakage of microbial contents into the systemic circulation. Microbial translocation then ensues and later fuels chronic immune </w:t>
      </w:r>
      <w:proofErr w:type="gramStart"/>
      <w:r w:rsidRPr="00B7221C">
        <w:rPr>
          <w:rFonts w:ascii="Book Antiqua" w:eastAsia="Book Antiqua" w:hAnsi="Book Antiqua" w:cs="Book Antiqua"/>
          <w:color w:val="000000"/>
        </w:rPr>
        <w:t>activation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"_ENREF_49" \o "Vrakas, 2017 #60" </w:instrText>
      </w:r>
      <w:r w:rsidR="005B0234">
        <w:fldChar w:fldCharType="separate"/>
      </w:r>
      <w:r w:rsidRPr="00B7221C">
        <w:rPr>
          <w:rFonts w:ascii="Book Antiqua" w:eastAsia="Book Antiqua" w:hAnsi="Book Antiqua" w:cs="Book Antiqua"/>
          <w:color w:val="000000"/>
          <w:vertAlign w:val="superscript"/>
        </w:rPr>
        <w:t>49</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w:t>
      </w:r>
    </w:p>
    <w:p w14:paraId="38E6A017" w14:textId="0A3AA8D1" w:rsidR="00B41D30" w:rsidRDefault="00A143FB" w:rsidP="00B7221C">
      <w:pPr>
        <w:spacing w:line="360" w:lineRule="auto"/>
        <w:ind w:firstLineChars="100" w:firstLine="240"/>
        <w:jc w:val="both"/>
        <w:rPr>
          <w:rFonts w:ascii="Book Antiqua" w:eastAsia="Book Antiqua" w:hAnsi="Book Antiqua" w:cs="Book Antiqua"/>
          <w:color w:val="000000"/>
          <w:shd w:val="clear" w:color="auto" w:fill="FFFFFF"/>
        </w:rPr>
      </w:pPr>
      <w:r w:rsidRPr="00B7221C">
        <w:rPr>
          <w:rFonts w:ascii="Book Antiqua" w:eastAsia="Book Antiqua" w:hAnsi="Book Antiqua" w:cs="Book Antiqua"/>
          <w:color w:val="000000"/>
          <w:shd w:val="clear" w:color="auto" w:fill="FFFFFF"/>
        </w:rPr>
        <w:t xml:space="preserve">Several studies have investigated the co-occurrence of IBD and COVID-19-related </w:t>
      </w:r>
      <w:proofErr w:type="gramStart"/>
      <w:r w:rsidRPr="00B7221C">
        <w:rPr>
          <w:rFonts w:ascii="Book Antiqua" w:eastAsia="Book Antiqua" w:hAnsi="Book Antiqua" w:cs="Book Antiqua"/>
          <w:color w:val="000000"/>
          <w:shd w:val="clear" w:color="auto" w:fill="FFFFFF"/>
        </w:rPr>
        <w:t>illnesses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"_ENREF_51" \o "Neurath, 2020 #62" </w:instrText>
      </w:r>
      <w:r w:rsidR="005B0234">
        <w:fldChar w:fldCharType="separate"/>
      </w:r>
      <w:r w:rsidRPr="00B7221C">
        <w:rPr>
          <w:rFonts w:ascii="Book Antiqua" w:eastAsia="Book Antiqua" w:hAnsi="Book Antiqua" w:cs="Book Antiqua"/>
          <w:color w:val="000000"/>
          <w:shd w:val="clear" w:color="auto" w:fill="FFFFFF"/>
          <w:vertAlign w:val="superscript"/>
        </w:rPr>
        <w:t>51-53</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Here, we discuss the possibility of leveraging IBD therapeutics for treating COVID-19-related symptoms. Current IBD treatments can be divided into two broad categories: (</w:t>
      </w:r>
      <w:r w:rsidR="00851C87" w:rsidRPr="00B7221C">
        <w:rPr>
          <w:rFonts w:ascii="Book Antiqua" w:eastAsia="Book Antiqua" w:hAnsi="Book Antiqua" w:cs="Book Antiqua"/>
          <w:color w:val="000000"/>
          <w:shd w:val="clear" w:color="auto" w:fill="FFFFFF"/>
        </w:rPr>
        <w:t>1</w:t>
      </w:r>
      <w:r w:rsidRPr="00B7221C">
        <w:rPr>
          <w:rFonts w:ascii="Book Antiqua" w:eastAsia="Book Antiqua" w:hAnsi="Book Antiqua" w:cs="Book Antiqua"/>
          <w:color w:val="000000"/>
          <w:shd w:val="clear" w:color="auto" w:fill="FFFFFF"/>
        </w:rPr>
        <w:t xml:space="preserve">) </w:t>
      </w:r>
      <w:r w:rsidR="00851C87" w:rsidRPr="00B7221C">
        <w:rPr>
          <w:rFonts w:ascii="Book Antiqua" w:eastAsia="Book Antiqua" w:hAnsi="Book Antiqua" w:cs="Book Antiqua"/>
          <w:color w:val="000000"/>
          <w:shd w:val="clear" w:color="auto" w:fill="FFFFFF"/>
        </w:rPr>
        <w:t>N</w:t>
      </w:r>
      <w:r w:rsidRPr="00B7221C">
        <w:rPr>
          <w:rFonts w:ascii="Book Antiqua" w:eastAsia="Book Antiqua" w:hAnsi="Book Antiqua" w:cs="Book Antiqua"/>
          <w:color w:val="000000"/>
          <w:shd w:val="clear" w:color="auto" w:fill="FFFFFF"/>
        </w:rPr>
        <w:t>on-biologic</w:t>
      </w:r>
      <w:r w:rsidR="00D83CE9">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and (</w:t>
      </w:r>
      <w:r w:rsidR="00851C87" w:rsidRPr="00B7221C">
        <w:rPr>
          <w:rFonts w:ascii="Book Antiqua" w:eastAsia="Book Antiqua" w:hAnsi="Book Antiqua" w:cs="Book Antiqua"/>
          <w:color w:val="000000"/>
          <w:shd w:val="clear" w:color="auto" w:fill="FFFFFF"/>
        </w:rPr>
        <w:t>2</w:t>
      </w:r>
      <w:r w:rsidRPr="00B7221C">
        <w:rPr>
          <w:rFonts w:ascii="Book Antiqua" w:eastAsia="Book Antiqua" w:hAnsi="Book Antiqua" w:cs="Book Antiqua"/>
          <w:color w:val="000000"/>
          <w:shd w:val="clear" w:color="auto" w:fill="FFFFFF"/>
        </w:rPr>
        <w:t xml:space="preserve">) </w:t>
      </w:r>
      <w:r w:rsidR="00851C87" w:rsidRPr="00B7221C">
        <w:rPr>
          <w:rFonts w:ascii="Book Antiqua" w:eastAsia="Book Antiqua" w:hAnsi="Book Antiqua" w:cs="Book Antiqua"/>
          <w:color w:val="000000"/>
          <w:shd w:val="clear" w:color="auto" w:fill="FFFFFF"/>
        </w:rPr>
        <w:t>B</w:t>
      </w:r>
      <w:r w:rsidRPr="00B7221C">
        <w:rPr>
          <w:rFonts w:ascii="Book Antiqua" w:eastAsia="Book Antiqua" w:hAnsi="Book Antiqua" w:cs="Book Antiqua"/>
          <w:color w:val="000000"/>
          <w:shd w:val="clear" w:color="auto" w:fill="FFFFFF"/>
        </w:rPr>
        <w:t xml:space="preserve">iologic therapeutics. Examples of non-biologic therapeutics include small molecules corticosteroids, thiopurines, and 5-aminosalicylates. Each of these therapeutics non-specifically </w:t>
      </w:r>
      <w:r w:rsidR="00B41D30">
        <w:rPr>
          <w:rFonts w:ascii="Book Antiqua" w:eastAsia="Book Antiqua" w:hAnsi="Book Antiqua" w:cs="Book Antiqua"/>
          <w:color w:val="000000"/>
          <w:shd w:val="clear" w:color="auto" w:fill="FFFFFF"/>
        </w:rPr>
        <w:t>targets</w:t>
      </w:r>
      <w:r w:rsidRPr="00B7221C">
        <w:rPr>
          <w:rFonts w:ascii="Book Antiqua" w:eastAsia="Book Antiqua" w:hAnsi="Book Antiqua" w:cs="Book Antiqua"/>
          <w:color w:val="000000"/>
          <w:shd w:val="clear" w:color="auto" w:fill="FFFFFF"/>
        </w:rPr>
        <w:t xml:space="preserve"> multiple inflammatory processes.</w:t>
      </w:r>
    </w:p>
    <w:p w14:paraId="3B070E09" w14:textId="28F1D8EE"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lastRenderedPageBreak/>
        <w:t xml:space="preserve">On the other hand, biologic therapies target specific inflammatory mediators in the gut to modulate their ability to induce signal </w:t>
      </w:r>
      <w:proofErr w:type="gramStart"/>
      <w:r w:rsidRPr="00B7221C">
        <w:rPr>
          <w:rFonts w:ascii="Book Antiqua" w:eastAsia="Book Antiqua" w:hAnsi="Book Antiqua" w:cs="Book Antiqua"/>
          <w:color w:val="000000"/>
          <w:shd w:val="clear" w:color="auto" w:fill="FFFFFF"/>
        </w:rPr>
        <w:t>transduction</w:t>
      </w:r>
      <w:r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"_ENREF_41" \o "Ansari, 2016 #154" </w:instrText>
      </w:r>
      <w:r w:rsidR="005B0234">
        <w:fldChar w:fldCharType="separate"/>
      </w:r>
      <w:r w:rsidRPr="00B7221C">
        <w:rPr>
          <w:rFonts w:ascii="Book Antiqua" w:eastAsia="Book Antiqua" w:hAnsi="Book Antiqua" w:cs="Book Antiqua"/>
          <w:color w:val="000000"/>
          <w:shd w:val="clear" w:color="auto" w:fill="FFFFFF"/>
          <w:vertAlign w:val="superscript"/>
        </w:rPr>
        <w:t>41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Current biologics used to treat IBD include the monoclonal antibodies infliximab, ustekinumab, and vedolizumab. Infliximab and ustekinumab target pro-inflammatory cytokines TNF-α and IL-12/IL-23, respectively. Since these cytokines are not specific to intestinal inflammation, antibodies that inhibit their action can act throughout the periphery. More specific therapies</w:t>
      </w:r>
      <w:r w:rsidR="00B41D30">
        <w:rPr>
          <w:rFonts w:ascii="Book Antiqua" w:eastAsia="Book Antiqua" w:hAnsi="Book Antiqua" w:cs="Book Antiqua"/>
          <w:color w:val="000000"/>
          <w:shd w:val="clear" w:color="auto" w:fill="FFFFFF"/>
        </w:rPr>
        <w:t xml:space="preserve"> target</w:t>
      </w:r>
      <w:r w:rsidRPr="00B7221C">
        <w:rPr>
          <w:rFonts w:ascii="Book Antiqua" w:eastAsia="Book Antiqua" w:hAnsi="Book Antiqua" w:cs="Book Antiqua"/>
          <w:color w:val="000000"/>
          <w:shd w:val="clear" w:color="auto" w:fill="FFFFFF"/>
        </w:rPr>
        <w:t xml:space="preserve"> IBD like vedolizumab function by blocking the gut homing receptor α4β7 integrin, thereby blocking inflammatory lymphocyte trafficking resulting in reduced inflammation</w:t>
      </w:r>
      <w:r w:rsidR="004D52FA" w:rsidRPr="00B7221C">
        <w:rPr>
          <w:rFonts w:ascii="Book Antiqua" w:eastAsia="Book Antiqua" w:hAnsi="Book Antiqua" w:cs="Book Antiqua"/>
          <w:color w:val="000000"/>
          <w:shd w:val="clear" w:color="auto" w:fill="FFFFFF"/>
          <w:vertAlign w:val="superscript"/>
        </w:rPr>
        <w:t>[</w:t>
      </w:r>
      <w:hyperlink w:anchor="_ENREF_41" w:tooltip="Ansari, 2016 #154" w:history="1">
        <w:r w:rsidRPr="00B7221C">
          <w:rPr>
            <w:rFonts w:ascii="Book Antiqua" w:eastAsia="Book Antiqua" w:hAnsi="Book Antiqua" w:cs="Book Antiqua"/>
            <w:color w:val="000000"/>
            <w:shd w:val="clear" w:color="auto" w:fill="FFFFFF"/>
            <w:vertAlign w:val="superscript"/>
          </w:rPr>
          <w:t>41</w:t>
        </w:r>
      </w:hyperlink>
      <w:r w:rsidRPr="00B7221C">
        <w:rPr>
          <w:rFonts w:ascii="Book Antiqua" w:eastAsia="Book Antiqua" w:hAnsi="Book Antiqua" w:cs="Book Antiqua"/>
          <w:color w:val="000000"/>
          <w:shd w:val="clear" w:color="auto" w:fill="FFFFFF"/>
          <w:vertAlign w:val="superscript"/>
        </w:rPr>
        <w:t>,</w:t>
      </w:r>
      <w:hyperlink w:anchor="_ENREF_54" w:tooltip="Arseneau, 2015 #268" w:history="1">
        <w:r w:rsidRPr="00B7221C">
          <w:rPr>
            <w:rFonts w:ascii="Book Antiqua" w:eastAsia="Book Antiqua" w:hAnsi="Book Antiqua" w:cs="Book Antiqua"/>
            <w:color w:val="000000"/>
            <w:shd w:val="clear" w:color="auto" w:fill="FFFFFF"/>
            <w:vertAlign w:val="superscript"/>
          </w:rPr>
          <w:t>54</w:t>
        </w:r>
      </w:hyperlink>
      <w:r w:rsidRPr="00B7221C">
        <w:rPr>
          <w:rFonts w:ascii="Book Antiqua" w:eastAsia="Book Antiqua" w:hAnsi="Book Antiqua" w:cs="Book Antiqua"/>
          <w:color w:val="000000"/>
          <w:shd w:val="clear" w:color="auto" w:fill="FFFFFF"/>
          <w:vertAlign w:val="superscript"/>
        </w:rPr>
        <w:t>,</w:t>
      </w:r>
      <w:hyperlink w:anchor="_ENREF_55" w:tooltip="Arthos, 2018 #155" w:history="1">
        <w:r w:rsidRPr="00B7221C">
          <w:rPr>
            <w:rFonts w:ascii="Book Antiqua" w:eastAsia="Book Antiqua" w:hAnsi="Book Antiqua" w:cs="Book Antiqua"/>
            <w:color w:val="000000"/>
            <w:shd w:val="clear" w:color="auto" w:fill="FFFFFF"/>
            <w:vertAlign w:val="superscript"/>
          </w:rPr>
          <w:t>55</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Similarly, the biologic natalizumab, an anti-α4 integrin antibody, is also used to treat Crohn's disease, albeit less frequently due to an increased risk of progressive multifocal leukoencephalopathy</w:t>
      </w:r>
      <w:r w:rsidR="00851C8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Table 1</w:t>
      </w:r>
      <w:proofErr w:type="gramStart"/>
      <w:r w:rsidR="00851C87" w:rsidRPr="00B7221C">
        <w:rPr>
          <w:rFonts w:ascii="Book Antiqua" w:eastAsia="Book Antiqua" w:hAnsi="Book Antiqua" w:cs="Book Antiqua"/>
          <w:color w:val="000000"/>
          <w:shd w:val="clear" w:color="auto" w:fill="FFFFFF"/>
        </w:rPr>
        <w: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"_ENREF_56" \o "Armuzzi, 2013 #269" </w:instrText>
      </w:r>
      <w:r w:rsidR="005B0234">
        <w:fldChar w:fldCharType="separate"/>
      </w:r>
      <w:r w:rsidRPr="00B7221C">
        <w:rPr>
          <w:rFonts w:ascii="Book Antiqua" w:eastAsia="Book Antiqua" w:hAnsi="Book Antiqua" w:cs="Book Antiqua"/>
          <w:color w:val="000000"/>
          <w:shd w:val="clear" w:color="auto" w:fill="FFFFFF"/>
          <w:vertAlign w:val="superscript"/>
        </w:rPr>
        <w:t>56</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18B23B53" w14:textId="1E5000B4"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Several studies have suggested that IBD non-biologic therapies may worsen clinical outcomes during COVID-19</w:t>
      </w:r>
      <w:r w:rsidR="004D52FA" w:rsidRPr="00B7221C">
        <w:rPr>
          <w:rFonts w:ascii="Book Antiqua" w:eastAsia="Book Antiqua" w:hAnsi="Book Antiqua" w:cs="Book Antiqua"/>
          <w:color w:val="000000"/>
          <w:shd w:val="clear" w:color="auto" w:fill="FFFFFF"/>
          <w:vertAlign w:val="superscript"/>
        </w:rPr>
        <w:t>[</w:t>
      </w:r>
      <w:hyperlink w:anchor="_ENREF_57" w:tooltip="Singh, 2020 #273" w:history="1">
        <w:r w:rsidRPr="00B7221C">
          <w:rPr>
            <w:rFonts w:ascii="Book Antiqua" w:eastAsia="Book Antiqua" w:hAnsi="Book Antiqua" w:cs="Book Antiqua"/>
            <w:color w:val="000000"/>
            <w:shd w:val="clear" w:color="auto" w:fill="FFFFFF"/>
            <w:vertAlign w:val="superscript"/>
          </w:rPr>
          <w:t>57-59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For example, </w:t>
      </w:r>
      <w:r w:rsidRPr="00B7221C">
        <w:rPr>
          <w:rFonts w:ascii="Book Antiqua" w:eastAsia="Book Antiqua" w:hAnsi="Book Antiqua" w:cs="Book Antiqua"/>
          <w:color w:val="000000"/>
          <w:shd w:val="clear" w:color="auto" w:fill="FFFFFF"/>
        </w:rPr>
        <w:t xml:space="preserve">5-aminosalicylate and its prodrug form sulfasalazine have </w:t>
      </w:r>
      <w:r w:rsidR="00B41D30">
        <w:rPr>
          <w:rFonts w:ascii="Book Antiqua" w:eastAsia="Book Antiqua" w:hAnsi="Book Antiqua" w:cs="Book Antiqua"/>
          <w:color w:val="000000"/>
          <w:shd w:val="clear" w:color="auto" w:fill="FFFFFF"/>
        </w:rPr>
        <w:t>increased the</w:t>
      </w:r>
      <w:r w:rsidRPr="00B7221C">
        <w:rPr>
          <w:rFonts w:ascii="Book Antiqua" w:eastAsia="Book Antiqua" w:hAnsi="Book Antiqua" w:cs="Book Antiqua"/>
          <w:color w:val="000000"/>
          <w:shd w:val="clear" w:color="auto" w:fill="FFFFFF"/>
        </w:rPr>
        <w:t xml:space="preserve"> risk of SARS-CoV-2 infection and increased </w:t>
      </w:r>
      <w:r w:rsidR="00B41D30">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 xml:space="preserve">risk of hospitalization and </w:t>
      </w:r>
      <w:proofErr w:type="gramStart"/>
      <w:r w:rsidRPr="00B7221C">
        <w:rPr>
          <w:rFonts w:ascii="Book Antiqua" w:eastAsia="Book Antiqua" w:hAnsi="Book Antiqua" w:cs="Book Antiqua"/>
          <w:color w:val="000000"/>
          <w:shd w:val="clear" w:color="auto" w:fill="FFFFFF"/>
        </w:rPr>
        <w:t>mortality</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"_ENREF_57" \o "Singh, 2020 #273" </w:instrText>
      </w:r>
      <w:r w:rsidR="005B0234">
        <w:fldChar w:fldCharType="separate"/>
      </w:r>
      <w:r w:rsidRPr="00B7221C">
        <w:rPr>
          <w:rFonts w:ascii="Book Antiqua" w:eastAsia="Book Antiqua" w:hAnsi="Book Antiqua" w:cs="Book Antiqua"/>
          <w:color w:val="000000"/>
          <w:shd w:val="clear" w:color="auto" w:fill="FFFFFF"/>
          <w:vertAlign w:val="superscript"/>
        </w:rPr>
        <w:t>57-59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Other immunomodulators include thiopurines, calcineurin inhibitors, and methotrexate. When grouped in meta-analyses, these immunomodulators were also associated with an increased risk of infection, hospitalization, and mortality during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"_ENREF_57" \o "Singh, 2020 #273" </w:instrText>
      </w:r>
      <w:r w:rsidR="005B0234">
        <w:fldChar w:fldCharType="separate"/>
      </w:r>
      <w:r w:rsidRPr="00B7221C">
        <w:rPr>
          <w:rFonts w:ascii="Book Antiqua" w:eastAsia="Book Antiqua" w:hAnsi="Book Antiqua" w:cs="Book Antiqua"/>
          <w:color w:val="000000"/>
          <w:shd w:val="clear" w:color="auto" w:fill="FFFFFF"/>
          <w:vertAlign w:val="superscript"/>
        </w:rPr>
        <w:t>57-59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data for corticosteroids is more </w:t>
      </w:r>
      <w:proofErr w:type="gramStart"/>
      <w:r w:rsidRPr="00B7221C">
        <w:rPr>
          <w:rFonts w:ascii="Book Antiqua" w:eastAsia="Book Antiqua" w:hAnsi="Book Antiqua" w:cs="Book Antiqua"/>
          <w:color w:val="000000"/>
          <w:shd w:val="clear" w:color="auto" w:fill="FFFFFF"/>
        </w:rPr>
        <w:t>complicated</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"_ENREF_57" \o "Singh, 2020 #273" </w:instrText>
      </w:r>
      <w:r w:rsidR="005B0234">
        <w:fldChar w:fldCharType="separate"/>
      </w:r>
      <w:r w:rsidRPr="00B7221C">
        <w:rPr>
          <w:rFonts w:ascii="Book Antiqua" w:eastAsia="Book Antiqua" w:hAnsi="Book Antiqua" w:cs="Book Antiqua"/>
          <w:color w:val="000000"/>
          <w:shd w:val="clear" w:color="auto" w:fill="FFFFFF"/>
          <w:vertAlign w:val="superscript"/>
        </w:rPr>
        <w:t>57-59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Owing to their nature as non-selective hormone analogs, corticosteroids target gut inflammation non-specifically, resulting in a dampening of the inflammatory response beyond the intestines. This dampened immune response can therefore inhibit the clearance of replicating virus and prolong the duration of infection. Corticosteroids may further negatively impact clinical outcomes by increasing the pro-thrombotic response to SARS-CoV-2, exacerbating already frequent clotting in intrinsically vascular disease. Several case studies have linked this hypercoagulable state in COVID-19 to worsening in the gut, including ischemic colitis, potentially aggravating an already disrupted gut homeostasis</w:t>
      </w:r>
      <w:r w:rsidR="004D52FA" w:rsidRPr="00B7221C">
        <w:rPr>
          <w:rFonts w:ascii="Book Antiqua" w:eastAsia="Book Antiqua" w:hAnsi="Book Antiqua" w:cs="Book Antiqua"/>
          <w:color w:val="000000"/>
          <w:shd w:val="clear" w:color="auto" w:fill="FFFFFF"/>
          <w:vertAlign w:val="superscript"/>
        </w:rPr>
        <w:t>[</w:t>
      </w:r>
      <w:hyperlink w:anchor="_ENREF_60" w:tooltip="Chan, 2020 #270" w:history="1">
        <w:r w:rsidRPr="00B7221C">
          <w:rPr>
            <w:rFonts w:ascii="Book Antiqua" w:eastAsia="Book Antiqua" w:hAnsi="Book Antiqua" w:cs="Book Antiqua"/>
            <w:color w:val="000000"/>
            <w:shd w:val="clear" w:color="auto" w:fill="FFFFFF"/>
            <w:vertAlign w:val="superscript"/>
          </w:rPr>
          <w:t>60</w:t>
        </w:r>
      </w:hyperlink>
      <w:r w:rsidRPr="00B7221C">
        <w:rPr>
          <w:rFonts w:ascii="Book Antiqua" w:eastAsia="Book Antiqua" w:hAnsi="Book Antiqua" w:cs="Book Antiqua"/>
          <w:color w:val="000000"/>
          <w:shd w:val="clear" w:color="auto" w:fill="FFFFFF"/>
          <w:vertAlign w:val="superscript"/>
        </w:rPr>
        <w:t>,</w:t>
      </w:r>
      <w:hyperlink w:anchor="_ENREF_61" w:tooltip="González Lázaro, 2020 #271" w:history="1">
        <w:r w:rsidRPr="00B7221C">
          <w:rPr>
            <w:rFonts w:ascii="Book Antiqua" w:eastAsia="Book Antiqua" w:hAnsi="Book Antiqua" w:cs="Book Antiqua"/>
            <w:color w:val="000000"/>
            <w:shd w:val="clear" w:color="auto" w:fill="FFFFFF"/>
            <w:vertAlign w:val="superscript"/>
          </w:rPr>
          <w:t>61</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Therefore, it is unsurprising that studies to determine the impact of IBD therapy on COVID-19 have not been pursued. Nonetheless, corticosteroids for IBD are typically </w:t>
      </w:r>
      <w:r w:rsidRPr="00B7221C">
        <w:rPr>
          <w:rFonts w:ascii="Book Antiqua" w:eastAsia="Book Antiqua" w:hAnsi="Book Antiqua" w:cs="Book Antiqua"/>
          <w:color w:val="000000"/>
          <w:shd w:val="clear" w:color="auto" w:fill="FFFFFF"/>
        </w:rPr>
        <w:lastRenderedPageBreak/>
        <w:t xml:space="preserve">administered long-term and precede SARS-CoV-2 infection. Corticosteroids, particularly dexamethasone, reduce mortality in hospitalized SARS-CoV-2 patients receiving oxygen and reduce </w:t>
      </w:r>
      <w:r w:rsidR="00850E26" w:rsidRPr="00B7221C">
        <w:rPr>
          <w:rFonts w:ascii="Book Antiqua" w:eastAsia="Book Antiqua" w:hAnsi="Book Antiqua" w:cs="Book Antiqua"/>
          <w:color w:val="000000"/>
          <w:shd w:val="clear" w:color="auto" w:fill="FFFFFF"/>
        </w:rPr>
        <w:t>intensive care unit</w:t>
      </w:r>
      <w:r w:rsidRPr="00B7221C">
        <w:rPr>
          <w:rFonts w:ascii="Book Antiqua" w:eastAsia="Book Antiqua" w:hAnsi="Book Antiqua" w:cs="Book Antiqua"/>
          <w:color w:val="000000"/>
          <w:shd w:val="clear" w:color="auto" w:fill="FFFFFF"/>
        </w:rPr>
        <w:t xml:space="preserve"> hospitalization length when given at moderate doses over a short period (6 mg for up to 10 d)</w:t>
      </w:r>
      <w:r w:rsidR="004D52FA" w:rsidRPr="00B7221C">
        <w:rPr>
          <w:rFonts w:ascii="Book Antiqua" w:eastAsia="Book Antiqua" w:hAnsi="Book Antiqua" w:cs="Book Antiqua"/>
          <w:color w:val="000000"/>
          <w:shd w:val="clear" w:color="auto" w:fill="FFFFFF"/>
          <w:vertAlign w:val="superscript"/>
        </w:rPr>
        <w:t>[</w:t>
      </w:r>
      <w:hyperlink w:anchor="_ENREF_20" w:tooltip="Pan, 2020 #16" w:history="1">
        <w:r w:rsidRPr="00B7221C">
          <w:rPr>
            <w:rFonts w:ascii="Book Antiqua" w:eastAsia="Book Antiqua" w:hAnsi="Book Antiqua" w:cs="Book Antiqua"/>
            <w:color w:val="000000"/>
            <w:shd w:val="clear" w:color="auto" w:fill="FFFFFF"/>
            <w:vertAlign w:val="superscript"/>
          </w:rPr>
          <w:t>20</w:t>
        </w:r>
      </w:hyperlink>
      <w:r w:rsidRPr="00B7221C">
        <w:rPr>
          <w:rFonts w:ascii="Book Antiqua" w:eastAsia="Book Antiqua" w:hAnsi="Book Antiqua" w:cs="Book Antiqua"/>
          <w:color w:val="000000"/>
          <w:shd w:val="clear" w:color="auto" w:fill="FFFFFF"/>
          <w:vertAlign w:val="superscript"/>
        </w:rPr>
        <w:t>,</w:t>
      </w:r>
      <w:hyperlink w:anchor="_ENREF_62" w:tooltip="Horby, 2020 #69" w:history="1">
        <w:r w:rsidRPr="00B7221C">
          <w:rPr>
            <w:rFonts w:ascii="Book Antiqua" w:eastAsia="Book Antiqua" w:hAnsi="Book Antiqua" w:cs="Book Antiqua"/>
            <w:color w:val="000000"/>
            <w:shd w:val="clear" w:color="auto" w:fill="FFFFFF"/>
            <w:vertAlign w:val="superscript"/>
          </w:rPr>
          <w:t>62</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this context, dexamethasone is typically given after the body has begun clearing the virus but before the worst symptoms of COVID-19 due to cytokine storm </w:t>
      </w:r>
      <w:proofErr w:type="gramStart"/>
      <w:r w:rsidRPr="00B7221C">
        <w:rPr>
          <w:rFonts w:ascii="Book Antiqua" w:eastAsia="Book Antiqua" w:hAnsi="Book Antiqua" w:cs="Book Antiqua"/>
          <w:color w:val="000000"/>
          <w:shd w:val="clear" w:color="auto" w:fill="FFFFFF"/>
        </w:rPr>
        <w:t>arise</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"_ENREF_63" \o "Matthay, 2020 #71" </w:instrText>
      </w:r>
      <w:r w:rsidR="005B0234">
        <w:fldChar w:fldCharType="separate"/>
      </w:r>
      <w:r w:rsidRPr="00B7221C">
        <w:rPr>
          <w:rFonts w:ascii="Book Antiqua" w:eastAsia="Book Antiqua" w:hAnsi="Book Antiqua" w:cs="Book Antiqua"/>
          <w:color w:val="000000"/>
          <w:shd w:val="clear" w:color="auto" w:fill="FFFFFF"/>
          <w:vertAlign w:val="superscript"/>
        </w:rPr>
        <w:t>63</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difference in infection rate and clinical outcomes for patients receiving treatment before infection suggests that timing is critical for optimizing corticosteroid use. </w:t>
      </w:r>
    </w:p>
    <w:p w14:paraId="089AA0A5" w14:textId="3942EE92" w:rsidR="00A77B3E" w:rsidRPr="00B7221C" w:rsidRDefault="00A143FB" w:rsidP="00B7221C">
      <w:pPr>
        <w:spacing w:line="360" w:lineRule="auto"/>
        <w:ind w:firstLineChars="200" w:firstLine="480"/>
        <w:jc w:val="both"/>
        <w:rPr>
          <w:rFonts w:ascii="Book Antiqua" w:hAnsi="Book Antiqua"/>
        </w:rPr>
      </w:pPr>
      <w:r w:rsidRPr="00B7221C">
        <w:rPr>
          <w:rFonts w:ascii="Book Antiqua" w:eastAsia="Book Antiqua" w:hAnsi="Book Antiqua" w:cs="Book Antiqua"/>
          <w:color w:val="000000"/>
          <w:shd w:val="clear" w:color="auto" w:fill="FFFFFF"/>
        </w:rPr>
        <w:t>In addition to modulating immune responses directly, non-biologic medications may influence COVID-19 pathogenesis in other ways. For instance, people receiving non-biologic medications such as corticosteroids, thiopurines, and 5-aminosalicylates have reduced ACE2 and TMPRRS2</w:t>
      </w:r>
      <w:r w:rsidR="00236D05">
        <w:rPr>
          <w:rFonts w:ascii="Book Antiqua" w:eastAsia="Book Antiqua" w:hAnsi="Book Antiqua" w:cs="Book Antiqua"/>
          <w:color w:val="000000"/>
          <w:shd w:val="clear" w:color="auto" w:fill="FFFFFF"/>
        </w:rPr>
        <w:t xml:space="preserve"> expression</w:t>
      </w:r>
      <w:r w:rsidRPr="00B7221C">
        <w:rPr>
          <w:rFonts w:ascii="Book Antiqua" w:eastAsia="Book Antiqua" w:hAnsi="Book Antiqua" w:cs="Book Antiqua"/>
          <w:color w:val="000000"/>
          <w:shd w:val="clear" w:color="auto" w:fill="FFFFFF"/>
        </w:rPr>
        <w:t xml:space="preserve"> on enterocytes in the inflamed colon rectum, but not the </w:t>
      </w:r>
      <w:proofErr w:type="gramStart"/>
      <w:r w:rsidRPr="00B7221C">
        <w:rPr>
          <w:rFonts w:ascii="Book Antiqua" w:eastAsia="Book Antiqua" w:hAnsi="Book Antiqua" w:cs="Book Antiqua"/>
          <w:color w:val="000000"/>
          <w:shd w:val="clear" w:color="auto" w:fill="FFFFFF"/>
        </w:rPr>
        <w:t>ileum</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"_ENREF_48" \o "Suárez-Fariñas, 2021 #274" </w:instrText>
      </w:r>
      <w:r w:rsidR="005B0234">
        <w:fldChar w:fldCharType="separate"/>
      </w:r>
      <w:r w:rsidRPr="00B7221C">
        <w:rPr>
          <w:rFonts w:ascii="Book Antiqua" w:eastAsia="Book Antiqua" w:hAnsi="Book Antiqua" w:cs="Book Antiqua"/>
          <w:color w:val="000000"/>
          <w:shd w:val="clear" w:color="auto" w:fill="FFFFFF"/>
          <w:vertAlign w:val="superscript"/>
        </w:rPr>
        <w:t>48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This suggests that despite the adverse clinical outcomes with these medications, they may reduce productive gut epithelial infections in people living with IBD. However, these drugs did not cause changes to receptor expression in the uninflamed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"_ENREF_48" \o "Suárez-Fariñas, 2021 #274" </w:instrText>
      </w:r>
      <w:r w:rsidR="005B0234">
        <w:fldChar w:fldCharType="separate"/>
      </w:r>
      <w:r w:rsidRPr="00B7221C">
        <w:rPr>
          <w:rFonts w:ascii="Book Antiqua" w:eastAsia="Book Antiqua" w:hAnsi="Book Antiqua" w:cs="Book Antiqua"/>
          <w:color w:val="000000"/>
          <w:shd w:val="clear" w:color="auto" w:fill="FFFFFF"/>
          <w:vertAlign w:val="superscript"/>
        </w:rPr>
        <w:t>48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contrast, some biologics used to treat IBD have been mostly, though not exclusively, linked to improved clinical outcomes during SARS-CoV-2 infection, offering novel therapeutic interventions. Early studies have shown that the patients administered biologics did not have an increased risk of COVID-19, despite being considered </w:t>
      </w:r>
      <w:proofErr w:type="gramStart"/>
      <w:r w:rsidRPr="00B7221C">
        <w:rPr>
          <w:rFonts w:ascii="Book Antiqua" w:eastAsia="Book Antiqua" w:hAnsi="Book Antiqua" w:cs="Book Antiqua"/>
          <w:color w:val="000000"/>
          <w:shd w:val="clear" w:color="auto" w:fill="FFFFFF"/>
        </w:rPr>
        <w:t>immunocompromised</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"_ENREF_64" \o "Aziz, 2020 #275" </w:instrText>
      </w:r>
      <w:r w:rsidR="005B0234">
        <w:fldChar w:fldCharType="separate"/>
      </w:r>
      <w:r w:rsidRPr="00B7221C">
        <w:rPr>
          <w:rFonts w:ascii="Book Antiqua" w:eastAsia="Book Antiqua" w:hAnsi="Book Antiqua" w:cs="Book Antiqua"/>
          <w:color w:val="000000"/>
          <w:shd w:val="clear" w:color="auto" w:fill="FFFFFF"/>
          <w:vertAlign w:val="superscript"/>
        </w:rPr>
        <w:t>64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65" w:tooltip="Marafini, 2020 #276" w:history="1">
        <w:r w:rsidRPr="00B7221C">
          <w:rPr>
            <w:rFonts w:ascii="Book Antiqua" w:eastAsia="Book Antiqua" w:hAnsi="Book Antiqua" w:cs="Book Antiqua"/>
            <w:color w:val="000000"/>
            <w:shd w:val="clear" w:color="auto" w:fill="FFFFFF"/>
            <w:vertAlign w:val="superscript"/>
          </w:rPr>
          <w:t>65</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Individual case studies demonstrate that targeting TNF-α with infliximab </w:t>
      </w:r>
      <w:r w:rsidR="00B41D30">
        <w:rPr>
          <w:rFonts w:ascii="Book Antiqua" w:eastAsia="Book Antiqua" w:hAnsi="Book Antiqua" w:cs="Book Antiqua"/>
          <w:color w:val="000000"/>
          <w:shd w:val="clear" w:color="auto" w:fill="FFFFFF"/>
        </w:rPr>
        <w:t>promises to improve</w:t>
      </w:r>
      <w:r w:rsidRPr="00B7221C">
        <w:rPr>
          <w:rFonts w:ascii="Book Antiqua" w:eastAsia="Book Antiqua" w:hAnsi="Book Antiqua" w:cs="Book Antiqua"/>
          <w:color w:val="000000"/>
          <w:shd w:val="clear" w:color="auto" w:fill="FFFFFF"/>
        </w:rPr>
        <w:t xml:space="preserve"> pulmonary symptoms related to COVID-19</w:t>
      </w:r>
      <w:r w:rsidR="004D52FA" w:rsidRPr="00B7221C">
        <w:rPr>
          <w:rFonts w:ascii="Book Antiqua" w:eastAsia="Book Antiqua" w:hAnsi="Book Antiqua" w:cs="Book Antiqua"/>
          <w:color w:val="000000"/>
          <w:shd w:val="clear" w:color="auto" w:fill="FFFFFF"/>
          <w:vertAlign w:val="superscript"/>
        </w:rPr>
        <w:t>[</w:t>
      </w:r>
      <w:hyperlink w:anchor="_ENREF_66" w:tooltip="Bezzio, 2020 #277" w:history="1">
        <w:r w:rsidRPr="00B7221C">
          <w:rPr>
            <w:rFonts w:ascii="Book Antiqua" w:eastAsia="Book Antiqua" w:hAnsi="Book Antiqua" w:cs="Book Antiqua"/>
            <w:color w:val="000000"/>
            <w:shd w:val="clear" w:color="auto" w:fill="FFFFFF"/>
            <w:vertAlign w:val="superscript"/>
          </w:rPr>
          <w:t>66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Further, an early study grouping multiple biologic therapies showed that clinical outcomes for individuals taking these biologics were five times less likely to be diagnosed with a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"_ENREF_67" \o "Bezzio, 2020 #278" </w:instrText>
      </w:r>
      <w:r w:rsidR="005B0234">
        <w:fldChar w:fldCharType="separate"/>
      </w:r>
      <w:r w:rsidRPr="00B7221C">
        <w:rPr>
          <w:rFonts w:ascii="Book Antiqua" w:eastAsia="Book Antiqua" w:hAnsi="Book Antiqua" w:cs="Book Antiqua"/>
          <w:color w:val="000000"/>
          <w:shd w:val="clear" w:color="auto" w:fill="FFFFFF"/>
          <w:vertAlign w:val="superscript"/>
        </w:rPr>
        <w:t>67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However, this analysis was limited due to the small sample size and inability to separate the specific therapies. </w:t>
      </w:r>
    </w:p>
    <w:p w14:paraId="2F1183FA" w14:textId="2243507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A more recent meta-analysis, again </w:t>
      </w:r>
      <w:r w:rsidR="00436FA9">
        <w:rPr>
          <w:rFonts w:ascii="Book Antiqua" w:eastAsia="Book Antiqua" w:hAnsi="Book Antiqua" w:cs="Book Antiqua"/>
          <w:color w:val="000000"/>
          <w:shd w:val="clear" w:color="auto" w:fill="FFFFFF"/>
        </w:rPr>
        <w:t>grouping</w:t>
      </w:r>
      <w:r w:rsidR="00436FA9" w:rsidRPr="00B7221C">
        <w:rPr>
          <w:rFonts w:ascii="Book Antiqua" w:eastAsia="Book Antiqua" w:hAnsi="Book Antiqua" w:cs="Book Antiqua"/>
          <w:color w:val="000000"/>
          <w:shd w:val="clear" w:color="auto" w:fill="FFFFFF"/>
        </w:rPr>
        <w:t xml:space="preserve"> </w:t>
      </w:r>
      <w:r w:rsidR="00B41D30">
        <w:rPr>
          <w:rFonts w:ascii="Book Antiqua" w:eastAsia="Book Antiqua" w:hAnsi="Book Antiqua" w:cs="Book Antiqua"/>
          <w:color w:val="000000"/>
          <w:shd w:val="clear" w:color="auto" w:fill="FFFFFF"/>
        </w:rPr>
        <w:t xml:space="preserve">different </w:t>
      </w:r>
      <w:r w:rsidRPr="00B7221C">
        <w:rPr>
          <w:rFonts w:ascii="Book Antiqua" w:eastAsia="Book Antiqua" w:hAnsi="Book Antiqua" w:cs="Book Antiqua"/>
          <w:color w:val="000000"/>
          <w:shd w:val="clear" w:color="auto" w:fill="FFFFFF"/>
        </w:rPr>
        <w:t xml:space="preserve">biologics (anti-TNF-α, ustekinumab, and vedolizumab), demonstrated that their use was associated with a risk ratio of hospitalization 0.34 </w:t>
      </w:r>
      <w:r w:rsidR="008B1362"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95% </w:t>
      </w:r>
      <w:r w:rsidR="008B1362" w:rsidRPr="00B7221C">
        <w:rPr>
          <w:rFonts w:ascii="Book Antiqua" w:eastAsia="Book Antiqua" w:hAnsi="Book Antiqua" w:cs="Book Antiqua"/>
          <w:color w:val="000000"/>
          <w:shd w:val="clear" w:color="auto" w:fill="FFFFFF"/>
        </w:rPr>
        <w:t>c</w:t>
      </w:r>
      <w:r w:rsidRPr="00B7221C">
        <w:rPr>
          <w:rFonts w:ascii="Book Antiqua" w:eastAsia="Book Antiqua" w:hAnsi="Book Antiqua" w:cs="Book Antiqua"/>
          <w:color w:val="000000"/>
          <w:shd w:val="clear" w:color="auto" w:fill="FFFFFF"/>
        </w:rPr>
        <w:t>o</w:t>
      </w:r>
      <w:r w:rsidR="00236D05">
        <w:rPr>
          <w:rFonts w:ascii="Book Antiqua" w:eastAsia="Book Antiqua" w:hAnsi="Book Antiqua" w:cs="Book Antiqua"/>
          <w:color w:val="000000"/>
          <w:shd w:val="clear" w:color="auto" w:fill="FFFFFF"/>
        </w:rPr>
        <w:t>n</w:t>
      </w:r>
      <w:r w:rsidRPr="00B7221C">
        <w:rPr>
          <w:rFonts w:ascii="Book Antiqua" w:eastAsia="Book Antiqua" w:hAnsi="Book Antiqua" w:cs="Book Antiqua"/>
          <w:color w:val="000000"/>
          <w:shd w:val="clear" w:color="auto" w:fill="FFFFFF"/>
        </w:rPr>
        <w:t>fidence interval</w:t>
      </w:r>
      <w:r w:rsidR="008B1362"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(CI) 0.19-0.61</w:t>
      </w:r>
      <w:r w:rsidR="008B1362"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need for intensive care unit 0.49 (95%CI 0.33-0.72), and mortality 0.22 (95%CI 0.13-0.38), suggesting a </w:t>
      </w:r>
      <w:r w:rsidRPr="00B7221C">
        <w:rPr>
          <w:rFonts w:ascii="Book Antiqua" w:eastAsia="Book Antiqua" w:hAnsi="Book Antiqua" w:cs="Book Antiqua"/>
          <w:color w:val="000000"/>
          <w:shd w:val="clear" w:color="auto" w:fill="FFFFFF"/>
        </w:rPr>
        <w:lastRenderedPageBreak/>
        <w:t>substantial improvement in clinical outcome</w:t>
      </w:r>
      <w:r w:rsidR="004D52FA" w:rsidRPr="00B7221C">
        <w:rPr>
          <w:rFonts w:ascii="Book Antiqua" w:eastAsia="Book Antiqua" w:hAnsi="Book Antiqua" w:cs="Book Antiqua"/>
          <w:color w:val="000000"/>
          <w:shd w:val="clear" w:color="auto" w:fill="FFFFFF"/>
          <w:vertAlign w:val="superscript"/>
        </w:rPr>
        <w:t>[</w:t>
      </w:r>
      <w:hyperlink w:anchor="_ENREF_57" w:tooltip="Singh, 2020 #273" w:history="1">
        <w:r w:rsidRPr="00B7221C">
          <w:rPr>
            <w:rFonts w:ascii="Book Antiqua" w:eastAsia="Book Antiqua" w:hAnsi="Book Antiqua" w:cs="Book Antiqua"/>
            <w:color w:val="000000"/>
            <w:shd w:val="clear" w:color="auto" w:fill="FFFFFF"/>
            <w:vertAlign w:val="superscript"/>
          </w:rPr>
          <w:t>57</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However, one concern is that because people treated with biologics have such muted symptomology, they may serve as silent carriers of SARS-CoV-2</w:t>
      </w:r>
      <w:r w:rsidR="004D52FA" w:rsidRPr="00B7221C">
        <w:rPr>
          <w:rFonts w:ascii="Book Antiqua" w:eastAsia="Book Antiqua" w:hAnsi="Book Antiqua" w:cs="Book Antiqua"/>
          <w:color w:val="000000"/>
          <w:shd w:val="clear" w:color="auto" w:fill="FFFFFF"/>
          <w:vertAlign w:val="superscript"/>
        </w:rPr>
        <w:t>[</w:t>
      </w:r>
      <w:hyperlink w:anchor="_ENREF_68" w:tooltip="Baradaran Ghavami, 2020 #280" w:history="1">
        <w:r w:rsidRPr="00B7221C">
          <w:rPr>
            <w:rFonts w:ascii="Book Antiqua" w:eastAsia="Book Antiqua" w:hAnsi="Book Antiqua" w:cs="Book Antiqua"/>
            <w:color w:val="000000"/>
            <w:shd w:val="clear" w:color="auto" w:fill="FFFFFF"/>
            <w:vertAlign w:val="superscript"/>
          </w:rPr>
          <w:t>68</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addition to reducing symptoms, infliximab has also been shown to reduce the expression of ACE2 in the colon, potentially limiting the productive infection of the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"_ENREF_48" \o "Suárez-Fariñas, 2021 #274" </w:instrText>
      </w:r>
      <w:r w:rsidR="005B0234">
        <w:fldChar w:fldCharType="separate"/>
      </w:r>
      <w:r w:rsidRPr="00B7221C">
        <w:rPr>
          <w:rFonts w:ascii="Book Antiqua" w:eastAsia="Book Antiqua" w:hAnsi="Book Antiqua" w:cs="Book Antiqua"/>
          <w:color w:val="000000"/>
          <w:shd w:val="clear" w:color="auto" w:fill="FFFFFF"/>
          <w:vertAlign w:val="superscript"/>
        </w:rPr>
        <w:t>48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Because of these findings, a continued study of these monoclonal antibodies is warranted. Luckily, several clinical trials are currently underway, including anti-TNF- α therapies infliximab and adalimumab.</w:t>
      </w:r>
    </w:p>
    <w:p w14:paraId="490A31B6" w14:textId="77777777" w:rsidR="00B41D30" w:rsidRDefault="00A143FB" w:rsidP="00B7221C">
      <w:pPr>
        <w:spacing w:line="360" w:lineRule="auto"/>
        <w:ind w:firstLineChars="100" w:firstLine="240"/>
        <w:jc w:val="both"/>
        <w:rPr>
          <w:rFonts w:ascii="Book Antiqua" w:eastAsia="Book Antiqua" w:hAnsi="Book Antiqua" w:cs="Book Antiqua"/>
          <w:color w:val="000000"/>
        </w:rPr>
      </w:pPr>
      <w:r w:rsidRPr="00B7221C">
        <w:rPr>
          <w:rFonts w:ascii="Book Antiqua" w:eastAsia="Book Antiqua" w:hAnsi="Book Antiqua" w:cs="Book Antiqua"/>
          <w:color w:val="000000"/>
        </w:rPr>
        <w:t>In addition to prescri</w:t>
      </w:r>
      <w:r w:rsidR="00B16A30" w:rsidRPr="00B7221C">
        <w:rPr>
          <w:rFonts w:ascii="Book Antiqua" w:eastAsia="Book Antiqua" w:hAnsi="Book Antiqua" w:cs="Book Antiqua"/>
          <w:color w:val="000000"/>
        </w:rPr>
        <w:t>p</w:t>
      </w:r>
      <w:r w:rsidRPr="00B7221C">
        <w:rPr>
          <w:rFonts w:ascii="Book Antiqua" w:eastAsia="Book Antiqua" w:hAnsi="Book Antiqua" w:cs="Book Antiqua"/>
          <w:color w:val="000000"/>
        </w:rPr>
        <w:t>tion therapeutics, other recommendations for IBD can also be applied to SARS-CoV-2 infection. COVID-19 pathogenesis has been characterized primarily by dysregulation of the systemic pro-inflammatory response of Th17 cells, particularly during the cytokine storm. This includes decreases in CD4+ T cells expressing Th17 markers CCR6 and CD161, increasing senescence and exhaustion markers CD57 and PD-1</w:t>
      </w:r>
      <w:r w:rsidRPr="00B7221C">
        <w:rPr>
          <w:rFonts w:ascii="Book Antiqua" w:eastAsia="Book Antiqua" w:hAnsi="Book Antiqua" w:cs="Book Antiqua"/>
          <w:color w:val="000000"/>
          <w:vertAlign w:val="superscript"/>
        </w:rPr>
        <w:t>[</w:t>
      </w:r>
      <w:hyperlink w:anchor="_ENREF_69" w:tooltip="De Biasi, 2020 #281" w:history="1">
        <w:r w:rsidRPr="00B7221C">
          <w:rPr>
            <w:rFonts w:ascii="Book Antiqua" w:eastAsia="Book Antiqua" w:hAnsi="Book Antiqua" w:cs="Book Antiqua"/>
            <w:color w:val="000000"/>
            <w:vertAlign w:val="superscript"/>
          </w:rPr>
          <w:t>69</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total number of IL-17A-producing CD4+ and CD8+ T cells was significantly increased despite these findings. These studies suggest that targeting IL-17 may improve clinical outcomes for COVID-19 </w:t>
      </w:r>
      <w:proofErr w:type="gramStart"/>
      <w:r w:rsidRPr="00B7221C">
        <w:rPr>
          <w:rFonts w:ascii="Book Antiqua" w:eastAsia="Book Antiqua" w:hAnsi="Book Antiqua" w:cs="Book Antiqua"/>
          <w:color w:val="000000"/>
        </w:rPr>
        <w:t>patients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"_ENREF_69" \o "De Biasi, 2020 #281" </w:instrText>
      </w:r>
      <w:r w:rsidR="005B0234">
        <w:fldChar w:fldCharType="separate"/>
      </w:r>
      <w:r w:rsidRPr="00B7221C">
        <w:rPr>
          <w:rFonts w:ascii="Book Antiqua" w:eastAsia="Book Antiqua" w:hAnsi="Book Antiqua" w:cs="Book Antiqua"/>
          <w:color w:val="000000"/>
          <w:vertAlign w:val="superscript"/>
        </w:rPr>
        <w:t>69</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4E00E3D6" w14:textId="2D9FEB05"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Further, early during the pandemic, low circulating vitamin D became a known risk factor for SARS-CoV-2 infection</w:t>
      </w:r>
      <w:r w:rsidR="00B41D30">
        <w:rPr>
          <w:rFonts w:ascii="Book Antiqua" w:eastAsia="Book Antiqua" w:hAnsi="Book Antiqua" w:cs="Book Antiqua"/>
          <w:color w:val="000000"/>
        </w:rPr>
        <w:t>,</w:t>
      </w:r>
      <w:r w:rsidRPr="00B7221C">
        <w:rPr>
          <w:rFonts w:ascii="Book Antiqua" w:eastAsia="Book Antiqua" w:hAnsi="Book Antiqua" w:cs="Book Antiqua"/>
          <w:color w:val="000000"/>
        </w:rPr>
        <w:t xml:space="preserve"> and severe pathogenesis, including associations with significantly higher pro-inflammatory cytokines, including IL-6</w:t>
      </w:r>
      <w:r w:rsidR="004D52FA" w:rsidRPr="00B7221C">
        <w:rPr>
          <w:rFonts w:ascii="Book Antiqua" w:eastAsia="Book Antiqua" w:hAnsi="Book Antiqua" w:cs="Book Antiqua"/>
          <w:color w:val="000000"/>
          <w:vertAlign w:val="superscript"/>
        </w:rPr>
        <w:t>[</w:t>
      </w:r>
      <w:hyperlink w:anchor="_ENREF_70" w:tooltip="Jain, 2020 #286" w:history="1">
        <w:r w:rsidRPr="00B7221C">
          <w:rPr>
            <w:rFonts w:ascii="Book Antiqua" w:eastAsia="Book Antiqua" w:hAnsi="Book Antiqua" w:cs="Book Antiqua"/>
            <w:color w:val="000000"/>
            <w:vertAlign w:val="superscript"/>
          </w:rPr>
          <w:t>70</w:t>
        </w:r>
      </w:hyperlink>
      <w:r w:rsidRPr="00B7221C">
        <w:rPr>
          <w:rFonts w:ascii="Book Antiqua" w:eastAsia="Book Antiqua" w:hAnsi="Book Antiqua" w:cs="Book Antiqua"/>
          <w:color w:val="000000"/>
          <w:vertAlign w:val="superscript"/>
        </w:rPr>
        <w:t>,</w:t>
      </w:r>
      <w:hyperlink w:anchor="_ENREF_71" w:tooltip="Grant, 2020 #287" w:history="1">
        <w:r w:rsidRPr="00B7221C">
          <w:rPr>
            <w:rFonts w:ascii="Book Antiqua" w:eastAsia="Book Antiqua" w:hAnsi="Book Antiqua" w:cs="Book Antiqua"/>
            <w:color w:val="000000"/>
            <w:vertAlign w:val="superscript"/>
          </w:rPr>
          <w:t>71</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was noted. For this reason, vitamin D supplementation has been recommended for high-risk </w:t>
      </w:r>
      <w:proofErr w:type="gramStart"/>
      <w:r w:rsidRPr="00B7221C">
        <w:rPr>
          <w:rFonts w:ascii="Book Antiqua" w:eastAsia="Book Antiqua" w:hAnsi="Book Antiqua" w:cs="Book Antiqua"/>
          <w:color w:val="000000"/>
        </w:rPr>
        <w:t>individuals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"_ENREF_70" \o "Jain, 2020 #286" </w:instrText>
      </w:r>
      <w:r w:rsidR="005B0234">
        <w:fldChar w:fldCharType="separate"/>
      </w:r>
      <w:r w:rsidRPr="00B7221C">
        <w:rPr>
          <w:rFonts w:ascii="Book Antiqua" w:eastAsia="Book Antiqua" w:hAnsi="Book Antiqua" w:cs="Book Antiqua"/>
          <w:color w:val="000000"/>
          <w:vertAlign w:val="superscript"/>
        </w:rPr>
        <w:t>70</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Oral vitamin D supplements are absorbed by the small intestine, where they may modulate local Th17 cells, including reduced production of IL-17</w:t>
      </w:r>
      <w:r w:rsidR="004D52FA" w:rsidRPr="00B7221C">
        <w:rPr>
          <w:rFonts w:ascii="Book Antiqua" w:eastAsia="Book Antiqua" w:hAnsi="Book Antiqua" w:cs="Book Antiqua"/>
          <w:color w:val="000000"/>
          <w:vertAlign w:val="superscript"/>
        </w:rPr>
        <w:t>[</w:t>
      </w:r>
      <w:hyperlink w:anchor="_ENREF_72" w:tooltip="Chang, 2010 #283" w:history="1">
        <w:r w:rsidRPr="00B7221C">
          <w:rPr>
            <w:rFonts w:ascii="Book Antiqua" w:eastAsia="Book Antiqua" w:hAnsi="Book Antiqua" w:cs="Book Antiqua"/>
            <w:color w:val="000000"/>
            <w:vertAlign w:val="superscript"/>
          </w:rPr>
          <w:t>72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clinical practice, vitamin D is frequently recommended for patients prescribed corticosteroids to manage their IBD symptoms to prevent bone density </w:t>
      </w:r>
      <w:proofErr w:type="gramStart"/>
      <w:r w:rsidRPr="00B7221C">
        <w:rPr>
          <w:rFonts w:ascii="Book Antiqua" w:eastAsia="Book Antiqua" w:hAnsi="Book Antiqua" w:cs="Book Antiqua"/>
          <w:color w:val="000000"/>
        </w:rPr>
        <w:t>loss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"_ENREF_73" \o "Fletcher, 2019 #282" </w:instrText>
      </w:r>
      <w:r w:rsidR="005B0234">
        <w:fldChar w:fldCharType="separate"/>
      </w:r>
      <w:r w:rsidRPr="00B7221C">
        <w:rPr>
          <w:rFonts w:ascii="Book Antiqua" w:eastAsia="Book Antiqua" w:hAnsi="Book Antiqua" w:cs="Book Antiqua"/>
          <w:color w:val="000000"/>
          <w:vertAlign w:val="superscript"/>
        </w:rPr>
        <w:t>73</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It is also recommended to reduce or protect against IBD onset of symptoms, in part by suppressing IL-17 </w:t>
      </w:r>
      <w:proofErr w:type="gramStart"/>
      <w:r w:rsidRPr="00B7221C">
        <w:rPr>
          <w:rFonts w:ascii="Book Antiqua" w:eastAsia="Book Antiqua" w:hAnsi="Book Antiqua" w:cs="Book Antiqua"/>
          <w:color w:val="000000"/>
        </w:rPr>
        <w:t>production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"_ENREF_72" \o "Chang, 2010 #283" </w:instrText>
      </w:r>
      <w:r w:rsidR="005B0234">
        <w:fldChar w:fldCharType="separate"/>
      </w:r>
      <w:r w:rsidRPr="00B7221C">
        <w:rPr>
          <w:rFonts w:ascii="Book Antiqua" w:eastAsia="Book Antiqua" w:hAnsi="Book Antiqua" w:cs="Book Antiqua"/>
          <w:color w:val="000000"/>
          <w:vertAlign w:val="superscript"/>
        </w:rPr>
        <w:t>72</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Further, vitamin D has been linked to increased expression of tight epithelial junctions and blocking apoptosis in the intestine, strengthening gut integrity and preventing bacterial </w:t>
      </w:r>
      <w:proofErr w:type="gramStart"/>
      <w:r w:rsidRPr="00B7221C">
        <w:rPr>
          <w:rFonts w:ascii="Book Antiqua" w:eastAsia="Book Antiqua" w:hAnsi="Book Antiqua" w:cs="Book Antiqua"/>
          <w:color w:val="000000"/>
        </w:rPr>
        <w:t>translocation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"_ENREF_74" \o "Lee, 2019 #284" </w:instrText>
      </w:r>
      <w:r w:rsidR="005B0234">
        <w:fldChar w:fldCharType="separate"/>
      </w:r>
      <w:r w:rsidRPr="00B7221C">
        <w:rPr>
          <w:rFonts w:ascii="Book Antiqua" w:eastAsia="Book Antiqua" w:hAnsi="Book Antiqua" w:cs="Book Antiqua"/>
          <w:color w:val="000000"/>
          <w:vertAlign w:val="superscript"/>
        </w:rPr>
        <w:t>74</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75" w:tooltip="He, 2018 #285" w:history="1">
        <w:r w:rsidRPr="00B7221C">
          <w:rPr>
            <w:rFonts w:ascii="Book Antiqua" w:eastAsia="Book Antiqua" w:hAnsi="Book Antiqua" w:cs="Book Antiqua"/>
            <w:color w:val="000000"/>
            <w:vertAlign w:val="superscript"/>
          </w:rPr>
          <w:t>75</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However, whether dampened COVID-19 pathogenesis is linked to inhibition of pro-inflammatory Th17 cells or by a different mechanism remains unknown.</w:t>
      </w:r>
    </w:p>
    <w:p w14:paraId="133176AA" w14:textId="6B07E5C5"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lastRenderedPageBreak/>
        <w:t xml:space="preserve">One final concern regarding SARS-CoV-2 during IBD has been the safety and efficacy of vaccination with current therapeutics, many of which are immunosuppressive because so far, phase III clinical trials have excluded patients with </w:t>
      </w:r>
      <w:proofErr w:type="gramStart"/>
      <w:r w:rsidRPr="00B7221C">
        <w:rPr>
          <w:rFonts w:ascii="Book Antiqua" w:eastAsia="Book Antiqua" w:hAnsi="Book Antiqua" w:cs="Book Antiqua"/>
          <w:color w:val="000000"/>
          <w:shd w:val="clear" w:color="auto" w:fill="FFFFFF"/>
        </w:rPr>
        <w:t>IBD</w:t>
      </w:r>
      <w:r w:rsidR="004D52FA" w:rsidRPr="00B7221C">
        <w:rPr>
          <w:rFonts w:ascii="Book Antiqua" w:eastAsia="Book Antiqua" w:hAnsi="Book Antiqua" w:cs="Book Antiqua"/>
          <w:color w:val="000000"/>
          <w:shd w:val="clear" w:color="auto" w:fill="FFFFFF"/>
          <w:vertAlign w:val="superscript"/>
        </w:rPr>
        <w:t>[</w:t>
      </w:r>
      <w:proofErr w:type="gramEnd"/>
      <w:r w:rsidRPr="00B7221C">
        <w:rPr>
          <w:rFonts w:ascii="Book Antiqua" w:eastAsia="Book Antiqua" w:hAnsi="Book Antiqua" w:cs="Book Antiqua"/>
          <w:color w:val="000000"/>
          <w:shd w:val="clear" w:color="auto" w:fill="FFFFFF"/>
          <w:vertAlign w:val="superscript"/>
        </w:rPr>
        <w:t>76,</w:t>
      </w:r>
      <w:hyperlink w:anchor="_ENREF_77" w:tooltip="Polack, 2020 #316" w:history="1">
        <w:r w:rsidRPr="00B7221C">
          <w:rPr>
            <w:rFonts w:ascii="Book Antiqua" w:eastAsia="Book Antiqua" w:hAnsi="Book Antiqua" w:cs="Book Antiqua"/>
            <w:color w:val="000000"/>
            <w:shd w:val="clear" w:color="auto" w:fill="FFFFFF"/>
            <w:vertAlign w:val="superscript"/>
          </w:rPr>
          <w:t>77</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Previous studies have found IBD patients treated with anti-TNF-α therapies have a muted response when administered other vaccines (pneumococcal, influenza)</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leading to further questioning of efficacy</w:t>
      </w:r>
      <w:r w:rsidR="004D52FA"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76,</w:t>
      </w:r>
      <w:hyperlink w:anchor="_ENREF_78" w:tooltip="Fiorino, 2012 #317" w:history="1">
        <w:r w:rsidRPr="00B7221C">
          <w:rPr>
            <w:rFonts w:ascii="Book Antiqua" w:eastAsia="Book Antiqua" w:hAnsi="Book Antiqua" w:cs="Book Antiqua"/>
            <w:color w:val="000000"/>
            <w:shd w:val="clear" w:color="auto" w:fill="FFFFFF"/>
            <w:vertAlign w:val="superscript"/>
          </w:rPr>
          <w:t>78</w:t>
        </w:r>
      </w:hyperlink>
      <w:r w:rsidRPr="00B7221C">
        <w:rPr>
          <w:rFonts w:ascii="Book Antiqua" w:eastAsia="Book Antiqua" w:hAnsi="Book Antiqua" w:cs="Book Antiqua"/>
          <w:color w:val="000000"/>
          <w:shd w:val="clear" w:color="auto" w:fill="FFFFFF"/>
          <w:vertAlign w:val="superscript"/>
        </w:rPr>
        <w:t>,</w:t>
      </w:r>
      <w:hyperlink w:anchor="_ENREF_79" w:tooltip="Mamula, 2007 #318" w:history="1">
        <w:r w:rsidRPr="00B7221C">
          <w:rPr>
            <w:rFonts w:ascii="Book Antiqua" w:eastAsia="Book Antiqua" w:hAnsi="Book Antiqua" w:cs="Book Antiqua"/>
            <w:color w:val="000000"/>
            <w:shd w:val="clear" w:color="auto" w:fill="FFFFFF"/>
            <w:vertAlign w:val="superscript"/>
          </w:rPr>
          <w:t>79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Despite these concerns, the benefits of vaccination outweigh many of the risks of SARS-CoV-2 infection, and vaccination is likely beneficial for most patients with IBD, even if receiving immunosuppressive therapies</w:t>
      </w:r>
      <w:r w:rsidR="004D52FA"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76,</w:t>
      </w:r>
      <w:hyperlink w:anchor="_ENREF_80" w:tooltip="Siegel, 2021 #313" w:history="1">
        <w:r w:rsidRPr="00B7221C">
          <w:rPr>
            <w:rFonts w:ascii="Book Antiqua" w:eastAsia="Book Antiqua" w:hAnsi="Book Antiqua" w:cs="Book Antiqua"/>
            <w:color w:val="000000"/>
            <w:shd w:val="clear" w:color="auto" w:fill="FFFFFF"/>
            <w:vertAlign w:val="superscript"/>
          </w:rPr>
          <w:t>80</w:t>
        </w:r>
      </w:hyperlink>
      <w:r w:rsidRPr="00B7221C">
        <w:rPr>
          <w:rFonts w:ascii="Book Antiqua" w:eastAsia="Book Antiqua" w:hAnsi="Book Antiqua" w:cs="Book Antiqua"/>
          <w:color w:val="000000"/>
          <w:shd w:val="clear" w:color="auto" w:fill="FFFFFF"/>
          <w:vertAlign w:val="superscript"/>
        </w:rPr>
        <w:t>,</w:t>
      </w:r>
      <w:hyperlink w:anchor="_ENREF_81" w:tooltip="Alexander, 2021 #314" w:history="1">
        <w:r w:rsidRPr="00B7221C">
          <w:rPr>
            <w:rFonts w:ascii="Book Antiqua" w:eastAsia="Book Antiqua" w:hAnsi="Book Antiqua" w:cs="Book Antiqua"/>
            <w:color w:val="000000"/>
            <w:shd w:val="clear" w:color="auto" w:fill="FFFFFF"/>
            <w:vertAlign w:val="superscript"/>
          </w:rPr>
          <w:t>81</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However, future studies are needed to determine efficacy for this population.</w:t>
      </w:r>
    </w:p>
    <w:p w14:paraId="6BA21D24" w14:textId="77777777" w:rsidR="00A77B3E" w:rsidRPr="00B7221C" w:rsidRDefault="00A77B3E" w:rsidP="00B7221C">
      <w:pPr>
        <w:spacing w:line="360" w:lineRule="auto"/>
        <w:jc w:val="both"/>
        <w:rPr>
          <w:rFonts w:ascii="Book Antiqua" w:hAnsi="Book Antiqua"/>
        </w:rPr>
      </w:pPr>
    </w:p>
    <w:p w14:paraId="4544CF8F"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SARS-CoV-2 infection results in Microbial Dysbiosis in the Gut</w:t>
      </w:r>
    </w:p>
    <w:p w14:paraId="7BDB86EC" w14:textId="361ABAA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SARS-CoV-2-related microbial dysbiosis manifests the enrichment of pathobionts such as </w:t>
      </w:r>
      <w:r w:rsidRPr="00B7221C">
        <w:rPr>
          <w:rFonts w:ascii="Book Antiqua" w:eastAsia="Book Antiqua" w:hAnsi="Book Antiqua" w:cs="Book Antiqua"/>
          <w:i/>
          <w:iCs/>
          <w:color w:val="000000"/>
          <w:shd w:val="clear" w:color="auto" w:fill="FFFFFF"/>
        </w:rPr>
        <w:t>Ruminococcus gnavus</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Ruminococcus torques</w:t>
      </w:r>
      <w:r w:rsidRPr="00B7221C">
        <w:rPr>
          <w:rFonts w:ascii="Book Antiqua" w:eastAsia="Book Antiqua" w:hAnsi="Book Antiqua" w:cs="Book Antiqua"/>
          <w:color w:val="000000"/>
          <w:shd w:val="clear" w:color="auto" w:fill="FFFFFF"/>
        </w:rPr>
        <w:t xml:space="preserve">, </w:t>
      </w:r>
      <w:r w:rsidR="00B41D30">
        <w:rPr>
          <w:rFonts w:ascii="Book Antiqua" w:eastAsia="Book Antiqua" w:hAnsi="Book Antiqua" w:cs="Book Antiqua"/>
          <w:color w:val="000000"/>
          <w:shd w:val="clear" w:color="auto" w:fill="FFFFFF"/>
        </w:rPr>
        <w:t xml:space="preserve">and </w:t>
      </w:r>
      <w:r w:rsidRPr="00B7221C">
        <w:rPr>
          <w:rFonts w:ascii="Book Antiqua" w:eastAsia="Book Antiqua" w:hAnsi="Book Antiqua" w:cs="Book Antiqua"/>
          <w:i/>
          <w:iCs/>
          <w:color w:val="000000"/>
          <w:shd w:val="clear" w:color="auto" w:fill="FFFFFF"/>
        </w:rPr>
        <w:t>Bacteroides dorei</w:t>
      </w:r>
      <w:r w:rsidR="00CB4D73" w:rsidRPr="00B7221C">
        <w:rPr>
          <w:rFonts w:ascii="Book Antiqua" w:eastAsia="Book Antiqua" w:hAnsi="Book Antiqua" w:cs="Book Antiqua"/>
          <w:color w:val="000000"/>
          <w:shd w:val="clear" w:color="auto" w:fill="FFFFFF"/>
        </w:rPr>
        <w:t xml:space="preserve"> (</w:t>
      </w:r>
      <w:r w:rsidR="00CB4D73" w:rsidRPr="00B7221C">
        <w:rPr>
          <w:rFonts w:ascii="Book Antiqua" w:eastAsia="Book Antiqua" w:hAnsi="Book Antiqua" w:cs="Book Antiqua"/>
          <w:i/>
          <w:iCs/>
          <w:color w:val="000000"/>
          <w:shd w:val="clear" w:color="auto" w:fill="FFFFFF"/>
        </w:rPr>
        <w:t>B. dorei</w:t>
      </w:r>
      <w:r w:rsidR="00CB4D7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t>
      </w:r>
      <w:r w:rsidR="00B41D30">
        <w:rPr>
          <w:rFonts w:ascii="Book Antiqua" w:eastAsia="Book Antiqua" w:hAnsi="Book Antiqua" w:cs="Book Antiqua"/>
          <w:i/>
          <w:iCs/>
          <w:color w:val="000000"/>
          <w:shd w:val="clear" w:color="auto" w:fill="FFFFFF"/>
        </w:rPr>
        <w:t>Bacteroides</w:t>
      </w:r>
      <w:r w:rsidRPr="00B7221C">
        <w:rPr>
          <w:rFonts w:ascii="Book Antiqua" w:eastAsia="Book Antiqua" w:hAnsi="Book Antiqua" w:cs="Book Antiqua"/>
          <w:i/>
          <w:iCs/>
          <w:color w:val="000000"/>
          <w:shd w:val="clear" w:color="auto" w:fill="FFFFFF"/>
        </w:rPr>
        <w:t xml:space="preserve"> vulgatus</w:t>
      </w:r>
      <w:r w:rsidRPr="00B7221C">
        <w:rPr>
          <w:rFonts w:ascii="Book Antiqua" w:eastAsia="Book Antiqua" w:hAnsi="Book Antiqua" w:cs="Book Antiqua"/>
          <w:color w:val="000000"/>
          <w:shd w:val="clear" w:color="auto" w:fill="FFFFFF"/>
        </w:rPr>
        <w:t xml:space="preserve">. These bacteria have also been implicated in IBD and ulcerative colitis pathogenesis, further strengthening their role in gut </w:t>
      </w:r>
      <w:proofErr w:type="gramStart"/>
      <w:r w:rsidRPr="00B7221C">
        <w:rPr>
          <w:rFonts w:ascii="Book Antiqua" w:eastAsia="Book Antiqua" w:hAnsi="Book Antiqua" w:cs="Book Antiqua"/>
          <w:color w:val="000000"/>
          <w:shd w:val="clear" w:color="auto" w:fill="FFFFFF"/>
        </w:rPr>
        <w:t>dysfunction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"_ENREF_82" \o "Matsuoka, 2015 #44" </w:instrText>
      </w:r>
      <w:r w:rsidR="005B0234">
        <w:fldChar w:fldCharType="separate"/>
      </w:r>
      <w:r w:rsidRPr="00B7221C">
        <w:rPr>
          <w:rFonts w:ascii="Book Antiqua" w:eastAsia="Book Antiqua" w:hAnsi="Book Antiqua" w:cs="Book Antiqua"/>
          <w:color w:val="000000"/>
          <w:shd w:val="clear" w:color="auto" w:fill="FFFFFF"/>
          <w:vertAlign w:val="superscript"/>
        </w:rPr>
        <w:t>82</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83" w:tooltip="Henke, 2019 #45" w:history="1">
        <w:r w:rsidRPr="00B7221C">
          <w:rPr>
            <w:rFonts w:ascii="Book Antiqua" w:eastAsia="Book Antiqua" w:hAnsi="Book Antiqua" w:cs="Book Antiqua"/>
            <w:color w:val="000000"/>
            <w:shd w:val="clear" w:color="auto" w:fill="FFFFFF"/>
            <w:vertAlign w:val="superscript"/>
          </w:rPr>
          <w:t>83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SARS-CoV-2 dysbiosis was also accompanied by loss of crucial bacteria that have been previously implicated in the lowering</w:t>
      </w:r>
      <w:r w:rsidR="00901AE2">
        <w:rPr>
          <w:rFonts w:ascii="Book Antiqua" w:eastAsia="Book Antiqua" w:hAnsi="Book Antiqua" w:cs="Book Antiqua"/>
          <w:color w:val="000000"/>
          <w:shd w:val="clear" w:color="auto" w:fill="FFFFFF"/>
        </w:rPr>
        <w:t xml:space="preserve"> of</w:t>
      </w:r>
      <w:r w:rsidRPr="00B7221C">
        <w:rPr>
          <w:rFonts w:ascii="Book Antiqua" w:eastAsia="Book Antiqua" w:hAnsi="Book Antiqua" w:cs="Book Antiqua"/>
          <w:color w:val="000000"/>
          <w:shd w:val="clear" w:color="auto" w:fill="FFFFFF"/>
        </w:rPr>
        <w:t xml:space="preserve"> inflammation, such as </w:t>
      </w:r>
      <w:r w:rsidRPr="00B7221C">
        <w:rPr>
          <w:rFonts w:ascii="Book Antiqua" w:eastAsia="Book Antiqua" w:hAnsi="Book Antiqua" w:cs="Book Antiqua"/>
          <w:i/>
          <w:iCs/>
          <w:color w:val="000000"/>
          <w:shd w:val="clear" w:color="auto" w:fill="FFFFFF"/>
        </w:rPr>
        <w:t>Bifidobacterium</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adolescentis,</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Faecalibacterium prausnitzii</w:t>
      </w:r>
      <w:r w:rsidR="00160291" w:rsidRPr="00B7221C">
        <w:rPr>
          <w:rFonts w:ascii="Book Antiqua" w:eastAsia="Book Antiqua" w:hAnsi="Book Antiqua" w:cs="Book Antiqua"/>
          <w:color w:val="000000"/>
          <w:shd w:val="clear" w:color="auto" w:fill="FFFFFF"/>
        </w:rPr>
        <w:t xml:space="preserve"> (</w:t>
      </w:r>
      <w:r w:rsidR="00160291" w:rsidRPr="00B7221C">
        <w:rPr>
          <w:rFonts w:ascii="Book Antiqua" w:eastAsia="Book Antiqua" w:hAnsi="Book Antiqua" w:cs="Book Antiqua"/>
          <w:i/>
          <w:iCs/>
          <w:color w:val="000000"/>
          <w:shd w:val="clear" w:color="auto" w:fill="FFFFFF"/>
        </w:rPr>
        <w:t>F. prausnitzii</w:t>
      </w:r>
      <w:r w:rsidR="00160291"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Collinsella aerofaciens,</w:t>
      </w:r>
      <w:r w:rsidRPr="00B7221C">
        <w:rPr>
          <w:rFonts w:ascii="Book Antiqua" w:eastAsia="Book Antiqua" w:hAnsi="Book Antiqua" w:cs="Book Antiqua"/>
          <w:color w:val="000000"/>
          <w:shd w:val="clear" w:color="auto" w:fill="FFFFFF"/>
        </w:rPr>
        <w:t xml:space="preserve"> and </w:t>
      </w:r>
      <w:r w:rsidRPr="00B7221C">
        <w:rPr>
          <w:rFonts w:ascii="Book Antiqua" w:eastAsia="Book Antiqua" w:hAnsi="Book Antiqua" w:cs="Book Antiqua"/>
          <w:i/>
          <w:iCs/>
          <w:color w:val="000000"/>
          <w:shd w:val="clear" w:color="auto" w:fill="FFFFFF"/>
        </w:rPr>
        <w:t>Eubacterium rectale</w:t>
      </w:r>
      <w:r w:rsidR="00806F43" w:rsidRPr="00B7221C">
        <w:rPr>
          <w:rFonts w:ascii="Book Antiqua" w:eastAsia="Book Antiqua" w:hAnsi="Book Antiqua" w:cs="Book Antiqua"/>
          <w:i/>
          <w:iCs/>
          <w:color w:val="000000"/>
          <w:shd w:val="clear" w:color="auto" w:fill="FFFFFF"/>
        </w:rPr>
        <w:t xml:space="preserve"> </w:t>
      </w:r>
      <w:r w:rsidR="00806F43" w:rsidRPr="00B7221C">
        <w:rPr>
          <w:rFonts w:ascii="Book Antiqua" w:eastAsia="Book Antiqua" w:hAnsi="Book Antiqua" w:cs="Book Antiqua"/>
          <w:color w:val="000000"/>
          <w:shd w:val="clear" w:color="auto" w:fill="FFFFFF"/>
        </w:rPr>
        <w:t>(</w:t>
      </w:r>
      <w:r w:rsidR="00806F43" w:rsidRPr="00B7221C">
        <w:rPr>
          <w:rFonts w:ascii="Book Antiqua" w:eastAsia="Book Antiqua" w:hAnsi="Book Antiqua" w:cs="Book Antiqua"/>
          <w:i/>
          <w:iCs/>
          <w:color w:val="000000"/>
          <w:shd w:val="clear" w:color="auto" w:fill="FFFFFF"/>
        </w:rPr>
        <w:t>E. rectale</w:t>
      </w:r>
      <w:r w:rsidR="00806F43" w:rsidRPr="00B7221C">
        <w:rPr>
          <w:rFonts w:ascii="Book Antiqua" w:eastAsia="Book Antiqua" w:hAnsi="Book Antiqua" w:cs="Book Antiqua"/>
          <w:color w:val="000000"/>
          <w:shd w:val="clear" w:color="auto" w:fill="FFFFFF"/>
        </w:rPr>
        <w:t>)</w:t>
      </w:r>
      <w:r w:rsidR="004D52FA" w:rsidRPr="005D1799">
        <w:rPr>
          <w:rFonts w:ascii="Book Antiqua" w:eastAsia="Book Antiqua" w:hAnsi="Book Antiqua" w:cs="Book Antiqua"/>
          <w:color w:val="000000"/>
          <w:shd w:val="clear" w:color="auto" w:fill="FFFFFF"/>
          <w:vertAlign w:val="superscript"/>
        </w:rPr>
        <w:t>[</w:t>
      </w:r>
      <w:hyperlink w:anchor="_ENREF_84" w:tooltip="Yeoh, 2021 #46" w:history="1">
        <w:r w:rsidRPr="00B7221C">
          <w:rPr>
            <w:rFonts w:ascii="Book Antiqua" w:eastAsia="Book Antiqua" w:hAnsi="Book Antiqua" w:cs="Book Antiqua"/>
            <w:color w:val="000000"/>
            <w:shd w:val="clear" w:color="auto" w:fill="FFFFFF"/>
            <w:vertAlign w:val="superscript"/>
          </w:rPr>
          <w:t>84</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(Figure 1). Another study highlighted that </w:t>
      </w:r>
      <w:r w:rsidRPr="00B7221C">
        <w:rPr>
          <w:rFonts w:ascii="Book Antiqua" w:eastAsia="Book Antiqua" w:hAnsi="Book Antiqua" w:cs="Book Antiqua"/>
          <w:i/>
          <w:iCs/>
          <w:color w:val="000000"/>
        </w:rPr>
        <w:t>Clostridium hathewayi</w:t>
      </w:r>
      <w:r w:rsidR="00340F83" w:rsidRPr="00B7221C">
        <w:rPr>
          <w:rFonts w:ascii="Book Antiqua" w:eastAsia="Book Antiqua" w:hAnsi="Book Antiqua" w:cs="Book Antiqua"/>
          <w:color w:val="000000"/>
          <w:shd w:val="clear" w:color="auto" w:fill="FFFFFF"/>
        </w:rPr>
        <w:t xml:space="preserve"> (</w:t>
      </w:r>
      <w:r w:rsidR="00340F83" w:rsidRPr="00B7221C">
        <w:rPr>
          <w:rFonts w:ascii="Book Antiqua" w:eastAsia="Book Antiqua" w:hAnsi="Book Antiqua" w:cs="Book Antiqua"/>
          <w:i/>
          <w:iCs/>
          <w:color w:val="000000"/>
          <w:shd w:val="clear" w:color="auto" w:fill="FFFFFF"/>
        </w:rPr>
        <w:t xml:space="preserve">C. </w:t>
      </w:r>
      <w:r w:rsidR="00340F83" w:rsidRPr="00B7221C">
        <w:rPr>
          <w:rFonts w:ascii="Book Antiqua" w:eastAsia="Book Antiqua" w:hAnsi="Book Antiqua" w:cs="Book Antiqua"/>
          <w:i/>
          <w:iCs/>
          <w:color w:val="000000"/>
        </w:rPr>
        <w:t>hathewayi</w:t>
      </w:r>
      <w:r w:rsidR="00340F8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i/>
          <w:iCs/>
          <w:color w:val="000000"/>
        </w:rPr>
        <w:t>Clostridium ramosum</w:t>
      </w:r>
      <w:r w:rsidR="00340F83" w:rsidRPr="00B7221C">
        <w:rPr>
          <w:rFonts w:ascii="Book Antiqua" w:eastAsia="Book Antiqua" w:hAnsi="Book Antiqua" w:cs="Book Antiqua"/>
          <w:i/>
          <w:iCs/>
          <w:color w:val="000000"/>
        </w:rPr>
        <w:t xml:space="preserve"> </w:t>
      </w:r>
      <w:r w:rsidR="00340F83" w:rsidRPr="00B7221C">
        <w:rPr>
          <w:rFonts w:ascii="Book Antiqua" w:eastAsia="Book Antiqua" w:hAnsi="Book Antiqua" w:cs="Book Antiqua"/>
          <w:color w:val="000000"/>
          <w:shd w:val="clear" w:color="auto" w:fill="FFFFFF"/>
        </w:rPr>
        <w:t>(</w:t>
      </w:r>
      <w:r w:rsidR="00340F83" w:rsidRPr="00B7221C">
        <w:rPr>
          <w:rFonts w:ascii="Book Antiqua" w:eastAsia="Book Antiqua" w:hAnsi="Book Antiqua" w:cs="Book Antiqua"/>
          <w:i/>
          <w:iCs/>
          <w:color w:val="000000"/>
          <w:shd w:val="clear" w:color="auto" w:fill="FFFFFF"/>
        </w:rPr>
        <w:t xml:space="preserve">C. </w:t>
      </w:r>
      <w:r w:rsidR="00340F83" w:rsidRPr="00B7221C">
        <w:rPr>
          <w:rFonts w:ascii="Book Antiqua" w:eastAsia="Book Antiqua" w:hAnsi="Book Antiqua" w:cs="Book Antiqua"/>
          <w:i/>
          <w:iCs/>
          <w:color w:val="000000"/>
        </w:rPr>
        <w:t>ramosum</w:t>
      </w:r>
      <w:r w:rsidR="00340F8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and </w:t>
      </w:r>
      <w:r w:rsidRPr="00B7221C">
        <w:rPr>
          <w:rFonts w:ascii="Book Antiqua" w:eastAsia="Book Antiqua" w:hAnsi="Book Antiqua" w:cs="Book Antiqua"/>
          <w:i/>
          <w:iCs/>
          <w:color w:val="000000"/>
        </w:rPr>
        <w:t xml:space="preserve">Coprobacillus </w:t>
      </w:r>
      <w:r w:rsidRPr="00B7221C">
        <w:rPr>
          <w:rFonts w:ascii="Book Antiqua" w:eastAsia="Book Antiqua" w:hAnsi="Book Antiqua" w:cs="Book Antiqua"/>
          <w:color w:val="000000"/>
        </w:rPr>
        <w:t>were</w:t>
      </w:r>
      <w:r w:rsidRPr="00B7221C">
        <w:rPr>
          <w:rFonts w:ascii="Book Antiqua" w:eastAsia="Book Antiqua" w:hAnsi="Book Antiqua" w:cs="Book Antiqua"/>
          <w:color w:val="000000"/>
          <w:shd w:val="clear" w:color="auto" w:fill="FFFFFF"/>
        </w:rPr>
        <w:t xml:space="preserve"> linked to COVID-19 </w:t>
      </w:r>
      <w:proofErr w:type="gramStart"/>
      <w:r w:rsidRPr="00B7221C">
        <w:rPr>
          <w:rFonts w:ascii="Book Antiqua" w:eastAsia="Book Antiqua" w:hAnsi="Book Antiqua" w:cs="Book Antiqua"/>
          <w:color w:val="000000"/>
          <w:shd w:val="clear" w:color="auto" w:fill="FFFFFF"/>
        </w:rPr>
        <w:t>severity</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"_ENREF_85" \o "Zuo, 2020 #48" </w:instrText>
      </w:r>
      <w:r w:rsidR="005B0234">
        <w:fldChar w:fldCharType="separate"/>
      </w:r>
      <w:r w:rsidRPr="00B7221C">
        <w:rPr>
          <w:rFonts w:ascii="Book Antiqua" w:eastAsia="Book Antiqua" w:hAnsi="Book Antiqua" w:cs="Book Antiqua"/>
          <w:color w:val="000000"/>
          <w:shd w:val="clear" w:color="auto" w:fill="FFFFFF"/>
          <w:vertAlign w:val="superscript"/>
        </w:rPr>
        <w:t>85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Unsurprisingly, these microbial signatures</w:t>
      </w:r>
      <w:r w:rsidRPr="00B7221C">
        <w:rPr>
          <w:rFonts w:ascii="Book Antiqua" w:eastAsia="Book Antiqua" w:hAnsi="Book Antiqua" w:cs="Book Antiqua"/>
          <w:color w:val="000000"/>
        </w:rPr>
        <w:t xml:space="preserve"> (</w:t>
      </w:r>
      <w:r w:rsidR="00340F83" w:rsidRPr="00B7221C">
        <w:rPr>
          <w:rFonts w:ascii="Book Antiqua" w:eastAsia="Book Antiqua" w:hAnsi="Book Antiqua" w:cs="Book Antiqua"/>
          <w:i/>
          <w:iCs/>
          <w:color w:val="000000"/>
          <w:shd w:val="clear" w:color="auto" w:fill="FFFFFF"/>
        </w:rPr>
        <w:t xml:space="preserve">C. </w:t>
      </w:r>
      <w:r w:rsidR="00340F83" w:rsidRPr="00B7221C">
        <w:rPr>
          <w:rFonts w:ascii="Book Antiqua" w:eastAsia="Book Antiqua" w:hAnsi="Book Antiqua" w:cs="Book Antiqua"/>
          <w:i/>
          <w:iCs/>
          <w:color w:val="000000"/>
        </w:rPr>
        <w:t>hathewayi</w:t>
      </w:r>
      <w:r w:rsidRPr="00B7221C">
        <w:rPr>
          <w:rFonts w:ascii="Book Antiqua" w:eastAsia="Book Antiqua" w:hAnsi="Book Antiqua" w:cs="Book Antiqua"/>
          <w:i/>
          <w:iCs/>
          <w:color w:val="000000"/>
        </w:rPr>
        <w:t xml:space="preserve">, </w:t>
      </w:r>
      <w:r w:rsidR="00340F83" w:rsidRPr="00B7221C">
        <w:rPr>
          <w:rFonts w:ascii="Book Antiqua" w:eastAsia="Book Antiqua" w:hAnsi="Book Antiqua" w:cs="Book Antiqua"/>
          <w:i/>
          <w:iCs/>
          <w:color w:val="000000"/>
          <w:shd w:val="clear" w:color="auto" w:fill="FFFFFF"/>
        </w:rPr>
        <w:t xml:space="preserve">C. </w:t>
      </w:r>
      <w:r w:rsidR="00340F83" w:rsidRPr="00B7221C">
        <w:rPr>
          <w:rFonts w:ascii="Book Antiqua" w:eastAsia="Book Antiqua" w:hAnsi="Book Antiqua" w:cs="Book Antiqua"/>
          <w:i/>
          <w:iCs/>
          <w:color w:val="000000"/>
        </w:rPr>
        <w:t>ramosum</w:t>
      </w:r>
      <w:r w:rsidRPr="00B7221C">
        <w:rPr>
          <w:rFonts w:ascii="Book Antiqua" w:eastAsia="Book Antiqua" w:hAnsi="Book Antiqua" w:cs="Book Antiqua"/>
          <w:i/>
          <w:iCs/>
          <w:color w:val="000000"/>
        </w:rPr>
        <w:t>, and Coprobacillus</w:t>
      </w:r>
      <w:r w:rsidRPr="00B7221C">
        <w:rPr>
          <w:rFonts w:ascii="Book Antiqua" w:eastAsia="Book Antiqua" w:hAnsi="Book Antiqua" w:cs="Book Antiqua"/>
          <w:color w:val="000000"/>
        </w:rPr>
        <w:t>)</w:t>
      </w:r>
      <w:r w:rsidRPr="00B7221C">
        <w:rPr>
          <w:rFonts w:ascii="Book Antiqua" w:eastAsia="Book Antiqua" w:hAnsi="Book Antiqua" w:cs="Book Antiqua"/>
          <w:i/>
          <w:iCs/>
          <w:color w:val="000000"/>
        </w:rPr>
        <w:t xml:space="preserve"> </w:t>
      </w:r>
      <w:r w:rsidRPr="00B7221C">
        <w:rPr>
          <w:rFonts w:ascii="Book Antiqua" w:eastAsia="Book Antiqua" w:hAnsi="Book Antiqua" w:cs="Book Antiqua"/>
          <w:color w:val="000000"/>
        </w:rPr>
        <w:t xml:space="preserve">have also been associated with pathogenic/inflammatory gut conditions such as diarrhea, colitis, IBD, and overall </w:t>
      </w:r>
      <w:proofErr w:type="gramStart"/>
      <w:r w:rsidRPr="00B7221C">
        <w:rPr>
          <w:rFonts w:ascii="Book Antiqua" w:eastAsia="Book Antiqua" w:hAnsi="Book Antiqua" w:cs="Book Antiqua"/>
          <w:color w:val="000000"/>
        </w:rPr>
        <w:t>inflammation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"_ENREF_86" \o "Manzoor, 2017 #148" </w:instrText>
      </w:r>
      <w:r w:rsidR="005B0234">
        <w:fldChar w:fldCharType="separate"/>
      </w:r>
      <w:r w:rsidRPr="00B7221C">
        <w:rPr>
          <w:rFonts w:ascii="Book Antiqua" w:eastAsia="Book Antiqua" w:hAnsi="Book Antiqua" w:cs="Book Antiqua"/>
          <w:color w:val="000000"/>
          <w:shd w:val="clear" w:color="auto" w:fill="FFFFFF"/>
          <w:vertAlign w:val="superscript"/>
        </w:rPr>
        <w:t>86-88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This situation's gravitas is further supported by observations made in a separate study that showed that the inflammatory </w:t>
      </w:r>
      <w:r w:rsidRPr="00B7221C">
        <w:rPr>
          <w:rFonts w:ascii="Book Antiqua" w:eastAsia="Book Antiqua" w:hAnsi="Book Antiqua" w:cs="Book Antiqua"/>
          <w:color w:val="000000"/>
        </w:rPr>
        <w:t xml:space="preserve">species, </w:t>
      </w:r>
      <w:r w:rsidRPr="00B7221C">
        <w:rPr>
          <w:rFonts w:ascii="Book Antiqua" w:eastAsia="Book Antiqua" w:hAnsi="Book Antiqua" w:cs="Book Antiqua"/>
          <w:i/>
          <w:iCs/>
          <w:color w:val="000000"/>
        </w:rPr>
        <w:t>Proteobacteria,</w:t>
      </w:r>
      <w:r w:rsidRPr="00B7221C">
        <w:rPr>
          <w:rFonts w:ascii="Book Antiqua" w:eastAsia="Book Antiqua" w:hAnsi="Book Antiqua" w:cs="Book Antiqua"/>
          <w:color w:val="000000"/>
          <w:shd w:val="clear" w:color="auto" w:fill="FFFFFF"/>
        </w:rPr>
        <w:t xml:space="preserve"> was reported in the guts of COVID-19 </w:t>
      </w:r>
      <w:proofErr w:type="gramStart"/>
      <w:r w:rsidRPr="00B7221C">
        <w:rPr>
          <w:rFonts w:ascii="Book Antiqua" w:eastAsia="Book Antiqua" w:hAnsi="Book Antiqua" w:cs="Book Antiqua"/>
          <w:color w:val="000000"/>
          <w:shd w:val="clear" w:color="auto" w:fill="FFFFFF"/>
        </w:rPr>
        <w:t>patients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"_ENREF_89" \o "Carvelli, 2020 #4" </w:instrText>
      </w:r>
      <w:r w:rsidR="005B0234">
        <w:fldChar w:fldCharType="separate"/>
      </w:r>
      <w:r w:rsidRPr="00B7221C">
        <w:rPr>
          <w:rFonts w:ascii="Book Antiqua" w:eastAsia="Book Antiqua" w:hAnsi="Book Antiqua" w:cs="Book Antiqua"/>
          <w:color w:val="000000"/>
          <w:shd w:val="clear" w:color="auto" w:fill="FFFFFF"/>
          <w:vertAlign w:val="superscript"/>
        </w:rPr>
        <w:t>89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2FD4141B" w14:textId="0A56D02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Alternatively, several anti-inflammatory bacteria</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including </w:t>
      </w:r>
      <w:r w:rsidR="00160291" w:rsidRPr="00B7221C">
        <w:rPr>
          <w:rFonts w:ascii="Book Antiqua" w:eastAsia="Book Antiqua" w:hAnsi="Book Antiqua" w:cs="Book Antiqua"/>
          <w:i/>
          <w:iCs/>
          <w:color w:val="000000"/>
          <w:shd w:val="clear" w:color="auto" w:fill="FFFFFF"/>
        </w:rPr>
        <w:t>F. prausnitzii</w:t>
      </w:r>
      <w:r w:rsidRPr="00B7221C">
        <w:rPr>
          <w:rFonts w:ascii="Book Antiqua" w:eastAsia="Book Antiqua" w:hAnsi="Book Antiqua" w:cs="Book Antiqua"/>
          <w:i/>
          <w:iCs/>
          <w:color w:val="000000"/>
          <w:shd w:val="clear" w:color="auto" w:fill="FFFFFF"/>
        </w:rPr>
        <w:t xml:space="preserve">, </w:t>
      </w:r>
      <w:r w:rsidR="00CB4D73" w:rsidRPr="00B7221C">
        <w:rPr>
          <w:rFonts w:ascii="Book Antiqua" w:eastAsia="Book Antiqua" w:hAnsi="Book Antiqua" w:cs="Book Antiqua"/>
          <w:i/>
          <w:iCs/>
          <w:color w:val="000000"/>
          <w:shd w:val="clear" w:color="auto" w:fill="FFFFFF"/>
        </w:rPr>
        <w:t>B. dorei</w:t>
      </w:r>
      <w:r w:rsidRPr="00B7221C">
        <w:rPr>
          <w:rFonts w:ascii="Book Antiqua" w:eastAsia="Book Antiqua" w:hAnsi="Book Antiqua" w:cs="Book Antiqua"/>
          <w:i/>
          <w:iCs/>
          <w:color w:val="000000"/>
          <w:shd w:val="clear" w:color="auto" w:fill="FFFFFF"/>
        </w:rPr>
        <w:t>, Bacteroides thetaiotaomicron</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Bacteroides massiliensis</w:t>
      </w:r>
      <w:r w:rsidRPr="00B7221C">
        <w:rPr>
          <w:rFonts w:ascii="Book Antiqua" w:eastAsia="Book Antiqua" w:hAnsi="Book Antiqua" w:cs="Book Antiqua"/>
          <w:color w:val="000000"/>
          <w:shd w:val="clear" w:color="auto" w:fill="FFFFFF"/>
        </w:rPr>
        <w:t xml:space="preserve">, and </w:t>
      </w:r>
      <w:r w:rsidRPr="00B7221C">
        <w:rPr>
          <w:rFonts w:ascii="Book Antiqua" w:eastAsia="Book Antiqua" w:hAnsi="Book Antiqua" w:cs="Book Antiqua"/>
          <w:i/>
          <w:iCs/>
          <w:color w:val="000000"/>
          <w:shd w:val="clear" w:color="auto" w:fill="FFFFFF"/>
        </w:rPr>
        <w:t>Bacteroides ovatus</w:t>
      </w:r>
      <w:r w:rsidRPr="00B7221C">
        <w:rPr>
          <w:rFonts w:ascii="Book Antiqua" w:eastAsia="Book Antiqua" w:hAnsi="Book Antiqua" w:cs="Book Antiqua"/>
          <w:color w:val="000000"/>
          <w:shd w:val="clear" w:color="auto" w:fill="FFFFFF"/>
        </w:rPr>
        <w:t xml:space="preserve"> were linked to improved clinical outcomes in SARS-CoV-2 patients. Remarkably, </w:t>
      </w:r>
      <w:r w:rsidRPr="00B7221C">
        <w:rPr>
          <w:rFonts w:ascii="Book Antiqua" w:eastAsia="Book Antiqua" w:hAnsi="Book Antiqua" w:cs="Book Antiqua"/>
          <w:i/>
          <w:iCs/>
          <w:color w:val="000000"/>
          <w:shd w:val="clear" w:color="auto" w:fill="FFFFFF"/>
        </w:rPr>
        <w:t xml:space="preserve">Bacteroides </w:t>
      </w:r>
      <w:r w:rsidRPr="00B7221C">
        <w:rPr>
          <w:rFonts w:ascii="Book Antiqua" w:eastAsia="Book Antiqua" w:hAnsi="Book Antiqua" w:cs="Book Antiqua"/>
          <w:color w:val="000000"/>
          <w:shd w:val="clear" w:color="auto" w:fill="FFFFFF"/>
        </w:rPr>
        <w:t xml:space="preserve">were reported to </w:t>
      </w:r>
      <w:r w:rsidR="00B41D30">
        <w:rPr>
          <w:rFonts w:ascii="Book Antiqua" w:eastAsia="Book Antiqua" w:hAnsi="Book Antiqua" w:cs="Book Antiqua"/>
          <w:color w:val="000000"/>
          <w:shd w:val="clear" w:color="auto" w:fill="FFFFFF"/>
        </w:rPr>
        <w:t>down-regulate</w:t>
      </w:r>
      <w:r w:rsidRPr="00B7221C">
        <w:rPr>
          <w:rFonts w:ascii="Book Antiqua" w:eastAsia="Book Antiqua" w:hAnsi="Book Antiqua" w:cs="Book Antiqua"/>
          <w:color w:val="000000"/>
          <w:shd w:val="clear" w:color="auto" w:fill="FFFFFF"/>
        </w:rPr>
        <w:t xml:space="preserve"> ACE2 expression in the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"_ENREF_85" \o "Zuo, 2020 #48" </w:instrText>
      </w:r>
      <w:r w:rsidR="005B0234">
        <w:fldChar w:fldCharType="separate"/>
      </w:r>
      <w:r w:rsidRPr="00B7221C">
        <w:rPr>
          <w:rFonts w:ascii="Book Antiqua" w:eastAsia="Book Antiqua" w:hAnsi="Book Antiqua" w:cs="Book Antiqua"/>
          <w:color w:val="000000"/>
          <w:shd w:val="clear" w:color="auto" w:fill="FFFFFF"/>
          <w:vertAlign w:val="superscript"/>
        </w:rPr>
        <w:t>85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000E3734"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The fecal microbiome has also </w:t>
      </w:r>
      <w:r w:rsidRPr="00B7221C">
        <w:rPr>
          <w:rFonts w:ascii="Book Antiqua" w:eastAsia="Book Antiqua" w:hAnsi="Book Antiqua" w:cs="Book Antiqua"/>
          <w:color w:val="000000"/>
          <w:shd w:val="clear" w:color="auto" w:fill="FFFFFF"/>
        </w:rPr>
        <w:lastRenderedPageBreak/>
        <w:t xml:space="preserve">been </w:t>
      </w:r>
      <w:r w:rsidR="00527BF4">
        <w:rPr>
          <w:rFonts w:ascii="Book Antiqua" w:eastAsia="Book Antiqua" w:hAnsi="Book Antiqua" w:cs="Book Antiqua"/>
          <w:color w:val="000000"/>
          <w:shd w:val="clear" w:color="auto" w:fill="FFFFFF"/>
        </w:rPr>
        <w:t>determined</w:t>
      </w:r>
      <w:r w:rsidR="00527BF4"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to be dysbiotic for periods as long as 30 d after clear</w:t>
      </w:r>
      <w:r w:rsidR="00527BF4">
        <w:rPr>
          <w:rFonts w:ascii="Book Antiqua" w:eastAsia="Book Antiqua" w:hAnsi="Book Antiqua" w:cs="Book Antiqua"/>
          <w:color w:val="000000"/>
          <w:shd w:val="clear" w:color="auto" w:fill="FFFFFF"/>
        </w:rPr>
        <w:t>a</w:t>
      </w:r>
      <w:r w:rsidRPr="00B7221C">
        <w:rPr>
          <w:rFonts w:ascii="Book Antiqua" w:eastAsia="Book Antiqua" w:hAnsi="Book Antiqua" w:cs="Book Antiqua"/>
          <w:color w:val="000000"/>
          <w:shd w:val="clear" w:color="auto" w:fill="FFFFFF"/>
        </w:rPr>
        <w:t>nce of SAR-CoV-2 infection</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further contributing to the extensive list of health complications reported in COVID long haulers </w:t>
      </w:r>
      <w:r w:rsidR="00690C97">
        <w:rPr>
          <w:rFonts w:ascii="Book Antiqua" w:eastAsia="Book Antiqua" w:hAnsi="Book Antiqua" w:cs="Book Antiqua"/>
          <w:color w:val="000000"/>
          <w:shd w:val="clear" w:color="auto" w:fill="FFFFFF"/>
        </w:rPr>
        <w:t xml:space="preserve">who </w:t>
      </w:r>
      <w:r w:rsidRPr="00B7221C">
        <w:rPr>
          <w:rFonts w:ascii="Book Antiqua" w:eastAsia="Book Antiqua" w:hAnsi="Book Antiqua" w:cs="Book Antiqua"/>
          <w:color w:val="000000"/>
          <w:shd w:val="clear" w:color="auto" w:fill="FFFFFF"/>
        </w:rPr>
        <w:t>never wholly recover and recuperate to a healthy state</w:t>
      </w:r>
      <w:r w:rsidR="004D52FA" w:rsidRPr="00B7221C">
        <w:rPr>
          <w:rFonts w:ascii="Book Antiqua" w:eastAsia="Book Antiqua" w:hAnsi="Book Antiqua" w:cs="Book Antiqua"/>
          <w:color w:val="000000"/>
          <w:shd w:val="clear" w:color="auto" w:fill="FFFFFF"/>
          <w:vertAlign w:val="superscript"/>
        </w:rPr>
        <w:t>[</w:t>
      </w:r>
      <w:hyperlink w:anchor="_ENREF_84" w:tooltip="Yeoh, 2021 #46" w:history="1">
        <w:r w:rsidRPr="00B7221C">
          <w:rPr>
            <w:rFonts w:ascii="Book Antiqua" w:eastAsia="Book Antiqua" w:hAnsi="Book Antiqua" w:cs="Book Antiqua"/>
            <w:color w:val="000000"/>
            <w:shd w:val="clear" w:color="auto" w:fill="FFFFFF"/>
            <w:vertAlign w:val="superscript"/>
          </w:rPr>
          <w:t>84</w:t>
        </w:r>
      </w:hyperlink>
      <w:r w:rsidRPr="00B7221C">
        <w:rPr>
          <w:rFonts w:ascii="Book Antiqua" w:eastAsia="Book Antiqua" w:hAnsi="Book Antiqua" w:cs="Book Antiqua"/>
          <w:color w:val="000000"/>
          <w:shd w:val="clear" w:color="auto" w:fill="FFFFFF"/>
          <w:vertAlign w:val="superscript"/>
        </w:rPr>
        <w:t>,</w:t>
      </w:r>
      <w:hyperlink w:anchor="_ENREF_90" w:tooltip="Marshall, 2020 #47" w:history="1">
        <w:r w:rsidRPr="00B7221C">
          <w:rPr>
            <w:rFonts w:ascii="Book Antiqua" w:eastAsia="Book Antiqua" w:hAnsi="Book Antiqua" w:cs="Book Antiqua"/>
            <w:color w:val="000000"/>
            <w:shd w:val="clear" w:color="auto" w:fill="FFFFFF"/>
            <w:vertAlign w:val="superscript"/>
          </w:rPr>
          <w:t>90</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To this effect, i</w:t>
      </w:r>
      <w:r w:rsidRPr="00B7221C">
        <w:rPr>
          <w:rFonts w:ascii="Book Antiqua" w:eastAsia="Book Antiqua" w:hAnsi="Book Antiqua" w:cs="Book Antiqua"/>
          <w:color w:val="000000"/>
        </w:rPr>
        <w:t xml:space="preserve">t was noted that microbiomes of recovered patients were enriched in </w:t>
      </w:r>
      <w:r w:rsidRPr="00B7221C">
        <w:rPr>
          <w:rFonts w:ascii="Book Antiqua" w:eastAsia="Book Antiqua" w:hAnsi="Book Antiqua" w:cs="Book Antiqua"/>
          <w:i/>
          <w:iCs/>
          <w:color w:val="000000"/>
        </w:rPr>
        <w:t>Bifidobacterium dentium</w:t>
      </w:r>
      <w:r w:rsidRPr="00B7221C">
        <w:rPr>
          <w:rFonts w:ascii="Book Antiqua" w:eastAsia="Book Antiqua" w:hAnsi="Book Antiqua" w:cs="Book Antiqua"/>
          <w:color w:val="000000"/>
        </w:rPr>
        <w:t xml:space="preserve"> and </w:t>
      </w:r>
      <w:r w:rsidRPr="00B7221C">
        <w:rPr>
          <w:rFonts w:ascii="Book Antiqua" w:eastAsia="Book Antiqua" w:hAnsi="Book Antiqua" w:cs="Book Antiqua"/>
          <w:i/>
          <w:iCs/>
          <w:color w:val="000000"/>
        </w:rPr>
        <w:t>Lactobacillus ruminis</w:t>
      </w:r>
      <w:r w:rsidRPr="00B7221C">
        <w:rPr>
          <w:rFonts w:ascii="Book Antiqua" w:eastAsia="Book Antiqua" w:hAnsi="Book Antiqua" w:cs="Book Antiqua"/>
          <w:color w:val="000000"/>
        </w:rPr>
        <w:t xml:space="preserve"> species and reduced </w:t>
      </w:r>
      <w:r w:rsidR="00806F43" w:rsidRPr="00B7221C">
        <w:rPr>
          <w:rFonts w:ascii="Book Antiqua" w:eastAsia="Book Antiqua" w:hAnsi="Book Antiqua" w:cs="Book Antiqua"/>
          <w:i/>
          <w:iCs/>
          <w:color w:val="000000"/>
          <w:shd w:val="clear" w:color="auto" w:fill="FFFFFF"/>
        </w:rPr>
        <w:t>E. rectale</w:t>
      </w:r>
      <w:bookmarkStart w:id="3" w:name="_GoBack"/>
      <w:r w:rsidRPr="00B7221C">
        <w:rPr>
          <w:rFonts w:ascii="Book Antiqua" w:eastAsia="Book Antiqua" w:hAnsi="Book Antiqua" w:cs="Book Antiqua"/>
          <w:color w:val="000000"/>
        </w:rPr>
        <w:t xml:space="preserve">, </w:t>
      </w:r>
      <w:bookmarkEnd w:id="3"/>
      <w:r w:rsidRPr="00B7221C">
        <w:rPr>
          <w:rFonts w:ascii="Book Antiqua" w:eastAsia="Book Antiqua" w:hAnsi="Book Antiqua" w:cs="Book Antiqua"/>
          <w:i/>
          <w:iCs/>
          <w:color w:val="000000"/>
        </w:rPr>
        <w:t>Ruminococcuss bromii</w:t>
      </w:r>
      <w:r w:rsidRPr="00B7221C">
        <w:rPr>
          <w:rFonts w:ascii="Book Antiqua" w:eastAsia="Book Antiqua" w:hAnsi="Book Antiqua" w:cs="Book Antiqua"/>
          <w:color w:val="000000"/>
        </w:rPr>
        <w:t xml:space="preserve">, </w:t>
      </w:r>
      <w:r w:rsidR="00160291" w:rsidRPr="00B7221C">
        <w:rPr>
          <w:rFonts w:ascii="Book Antiqua" w:eastAsia="Book Antiqua" w:hAnsi="Book Antiqua" w:cs="Book Antiqua"/>
          <w:i/>
          <w:iCs/>
          <w:color w:val="000000"/>
          <w:shd w:val="clear" w:color="auto" w:fill="FFFFFF"/>
        </w:rPr>
        <w:t>F. prausnitzii</w:t>
      </w:r>
      <w:r w:rsidR="00BC1E95" w:rsidRPr="00587364">
        <w:rPr>
          <w:rFonts w:ascii="Book Antiqua" w:eastAsia="Book Antiqua" w:hAnsi="Book Antiqua" w:cs="Book Antiqua"/>
          <w:iCs/>
          <w:color w:val="000000"/>
          <w:shd w:val="clear" w:color="auto" w:fill="FFFFFF"/>
        </w:rPr>
        <w:t>,</w:t>
      </w:r>
      <w:r w:rsidRPr="00587364">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and </w:t>
      </w:r>
      <w:r w:rsidRPr="00B7221C">
        <w:rPr>
          <w:rFonts w:ascii="Book Antiqua" w:eastAsia="Book Antiqua" w:hAnsi="Book Antiqua" w:cs="Book Antiqua"/>
          <w:i/>
          <w:iCs/>
          <w:color w:val="000000"/>
        </w:rPr>
        <w:t xml:space="preserve">Bifidobacterium </w:t>
      </w:r>
      <w:proofErr w:type="gramStart"/>
      <w:r w:rsidRPr="00B7221C">
        <w:rPr>
          <w:rFonts w:ascii="Book Antiqua" w:eastAsia="Book Antiqua" w:hAnsi="Book Antiqua" w:cs="Book Antiqua"/>
          <w:i/>
          <w:iCs/>
          <w:color w:val="000000"/>
        </w:rPr>
        <w:t>longum</w:t>
      </w:r>
      <w:r w:rsidR="004D52FA" w:rsidRPr="00BB1AF0">
        <w:rPr>
          <w:rFonts w:ascii="Book Antiqua" w:eastAsia="Book Antiqua" w:hAnsi="Book Antiqua" w:cs="Book Antiqua"/>
          <w:iCs/>
          <w:color w:val="000000"/>
          <w:vertAlign w:val="superscript"/>
        </w:rPr>
        <w:t>[</w:t>
      </w:r>
      <w:proofErr w:type="gramEnd"/>
      <w:r w:rsidR="005B0234">
        <w:fldChar w:fldCharType="begin"/>
      </w:r>
      <w:r w:rsidR="005B0234">
        <w:instrText xml:space="preserve"> HYPERLINK \l "_ENREF_84" \o "Yeoh, 2021 #46" </w:instrText>
      </w:r>
      <w:r w:rsidR="005B0234">
        <w:fldChar w:fldCharType="separate"/>
      </w:r>
      <w:r w:rsidRPr="00B7221C">
        <w:rPr>
          <w:rFonts w:ascii="Book Antiqua" w:eastAsia="Book Antiqua" w:hAnsi="Book Antiqua" w:cs="Book Antiqua"/>
          <w:color w:val="000000"/>
          <w:vertAlign w:val="superscript"/>
        </w:rPr>
        <w:t>84</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Therapeutics involving antibiotics to stabilize the gut microbiome by eliminating SARS-CoV-2 associated pathobionts revealed that these regimens did not </w:t>
      </w:r>
      <w:r w:rsidR="00B41D30">
        <w:rPr>
          <w:rFonts w:ascii="Book Antiqua" w:eastAsia="Book Antiqua" w:hAnsi="Book Antiqua" w:cs="Book Antiqua"/>
          <w:color w:val="000000"/>
        </w:rPr>
        <w:t>affect the</w:t>
      </w:r>
      <w:r w:rsidRPr="00B7221C">
        <w:rPr>
          <w:rFonts w:ascii="Book Antiqua" w:eastAsia="Book Antiqua" w:hAnsi="Book Antiqua" w:cs="Book Antiqua"/>
          <w:color w:val="000000"/>
        </w:rPr>
        <w:t xml:space="preserve"> recovery of the microbiome. Therefore, these findings negate this approach as a possible future gut microbial rejuvenation </w:t>
      </w:r>
      <w:proofErr w:type="gramStart"/>
      <w:r w:rsidRPr="00B7221C">
        <w:rPr>
          <w:rFonts w:ascii="Book Antiqua" w:eastAsia="Book Antiqua" w:hAnsi="Book Antiqua" w:cs="Book Antiqua"/>
          <w:color w:val="000000"/>
        </w:rPr>
        <w:t>strategy</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"_ENREF_84" \o "Yeoh, 2021 #46" </w:instrText>
      </w:r>
      <w:r w:rsidR="005B0234">
        <w:fldChar w:fldCharType="separate"/>
      </w:r>
      <w:r w:rsidRPr="00B7221C">
        <w:rPr>
          <w:rFonts w:ascii="Book Antiqua" w:eastAsia="Book Antiqua" w:hAnsi="Book Antiqua" w:cs="Book Antiqua"/>
          <w:color w:val="000000"/>
          <w:vertAlign w:val="superscript"/>
        </w:rPr>
        <w:t>84</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contrast, previous studies have shown that probiotics improve immune responses to other respiratory tract viral infections such as Influenza and </w:t>
      </w:r>
      <w:proofErr w:type="gramStart"/>
      <w:r w:rsidRPr="00B7221C">
        <w:rPr>
          <w:rFonts w:ascii="Book Antiqua" w:eastAsia="Book Antiqua" w:hAnsi="Book Antiqua" w:cs="Book Antiqua"/>
          <w:color w:val="000000"/>
        </w:rPr>
        <w:t>Rhinoviruses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"_ENREF_91" \o "Zelaya, 2016 #129" </w:instrText>
      </w:r>
      <w:r w:rsidR="005B0234">
        <w:fldChar w:fldCharType="separate"/>
      </w:r>
      <w:r w:rsidRPr="00B7221C">
        <w:rPr>
          <w:rFonts w:ascii="Book Antiqua" w:eastAsia="Book Antiqua" w:hAnsi="Book Antiqua" w:cs="Book Antiqua"/>
          <w:color w:val="000000"/>
          <w:vertAlign w:val="superscript"/>
        </w:rPr>
        <w:t>91</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92" w:tooltip="Turner, 2017 #130" w:history="1">
        <w:r w:rsidRPr="00B7221C">
          <w:rPr>
            <w:rFonts w:ascii="Book Antiqua" w:eastAsia="Book Antiqua" w:hAnsi="Book Antiqua" w:cs="Book Antiqua"/>
            <w:color w:val="000000"/>
            <w:vertAlign w:val="superscript"/>
          </w:rPr>
          <w:t>92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Also, in patients with severe COVID-19 </w:t>
      </w:r>
      <w:r w:rsidR="00B41D30">
        <w:rPr>
          <w:rFonts w:ascii="Book Antiqua" w:eastAsia="Book Antiqua" w:hAnsi="Book Antiqua" w:cs="Book Antiqua"/>
          <w:color w:val="000000"/>
        </w:rPr>
        <w:t>disease</w:t>
      </w:r>
      <w:r w:rsidRPr="00B7221C">
        <w:rPr>
          <w:rFonts w:ascii="Book Antiqua" w:eastAsia="Book Antiqua" w:hAnsi="Book Antiqua" w:cs="Book Antiqua"/>
          <w:color w:val="000000"/>
        </w:rPr>
        <w:t xml:space="preserve"> who cannot ingest probiotics, the use of butyrate enemas could act as adjunctive therapy for repairing intestinal epithelial cell wall damage, lowering chronic immune activation promoting gut-brain axis </w:t>
      </w:r>
      <w:proofErr w:type="gramStart"/>
      <w:r w:rsidRPr="00B7221C">
        <w:rPr>
          <w:rFonts w:ascii="Book Antiqua" w:eastAsia="Book Antiqua" w:hAnsi="Book Antiqua" w:cs="Book Antiqua"/>
          <w:color w:val="000000"/>
        </w:rPr>
        <w:t>function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"_ENREF_93" \o "Archer, 2020 #131" </w:instrText>
      </w:r>
      <w:r w:rsidR="005B0234">
        <w:fldChar w:fldCharType="separate"/>
      </w:r>
      <w:r w:rsidRPr="00B7221C">
        <w:rPr>
          <w:rFonts w:ascii="Book Antiqua" w:eastAsia="Book Antiqua" w:hAnsi="Book Antiqua" w:cs="Book Antiqua"/>
          <w:color w:val="000000"/>
          <w:vertAlign w:val="superscript"/>
        </w:rPr>
        <w:t>93</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w:t>
      </w:r>
    </w:p>
    <w:p w14:paraId="761419C3" w14:textId="14E02F13"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Analysis of the fungal mycobiome using deep shotgun metagenomic sequencing revealed significant proportions of opportunistic fungal pathogens such as </w:t>
      </w:r>
      <w:r w:rsidRPr="00B7221C">
        <w:rPr>
          <w:rFonts w:ascii="Book Antiqua" w:eastAsia="Book Antiqua" w:hAnsi="Book Antiqua" w:cs="Book Antiqua"/>
          <w:i/>
          <w:iCs/>
          <w:color w:val="000000"/>
          <w:shd w:val="clear" w:color="auto" w:fill="FFFFFF"/>
        </w:rPr>
        <w:t xml:space="preserve">Candida albicans, Candida auris, </w:t>
      </w:r>
      <w:r w:rsidRPr="00B7221C">
        <w:rPr>
          <w:rFonts w:ascii="Book Antiqua" w:eastAsia="Book Antiqua" w:hAnsi="Book Antiqua" w:cs="Book Antiqua"/>
          <w:color w:val="000000"/>
          <w:shd w:val="clear" w:color="auto" w:fill="FFFFFF"/>
        </w:rPr>
        <w:t>and</w:t>
      </w:r>
      <w:r w:rsidRPr="00B7221C">
        <w:rPr>
          <w:rFonts w:ascii="Book Antiqua" w:eastAsia="Book Antiqua" w:hAnsi="Book Antiqua" w:cs="Book Antiqua"/>
          <w:i/>
          <w:iCs/>
          <w:color w:val="000000"/>
          <w:shd w:val="clear" w:color="auto" w:fill="FFFFFF"/>
        </w:rPr>
        <w:t xml:space="preserve"> Aspergillus flavus</w:t>
      </w:r>
      <w:r w:rsidRPr="00B7221C">
        <w:rPr>
          <w:rFonts w:ascii="Book Antiqua" w:eastAsia="Book Antiqua" w:hAnsi="Book Antiqua" w:cs="Book Antiqua"/>
          <w:color w:val="000000"/>
          <w:shd w:val="clear" w:color="auto" w:fill="FFFFFF"/>
        </w:rPr>
        <w:t xml:space="preserve"> were enriched in the gut microbiota of COVID-19 hospitalized </w:t>
      </w:r>
      <w:proofErr w:type="gramStart"/>
      <w:r w:rsidRPr="00B7221C">
        <w:rPr>
          <w:rFonts w:ascii="Book Antiqua" w:eastAsia="Book Antiqua" w:hAnsi="Book Antiqua" w:cs="Book Antiqua"/>
          <w:color w:val="000000"/>
          <w:shd w:val="clear" w:color="auto" w:fill="FFFFFF"/>
        </w:rPr>
        <w:t>patients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"_ENREF_94" \o "Zuo, 2020 #49" </w:instrText>
      </w:r>
      <w:r w:rsidR="005B0234">
        <w:fldChar w:fldCharType="separate"/>
      </w:r>
      <w:r w:rsidRPr="00B7221C">
        <w:rPr>
          <w:rFonts w:ascii="Book Antiqua" w:eastAsia="Book Antiqua" w:hAnsi="Book Antiqua" w:cs="Book Antiqua"/>
          <w:color w:val="000000"/>
          <w:shd w:val="clear" w:color="auto" w:fill="FFFFFF"/>
          <w:vertAlign w:val="superscript"/>
        </w:rPr>
        <w:t>94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Similarly, separate studies have detected </w:t>
      </w:r>
      <w:r w:rsidRPr="00B7221C">
        <w:rPr>
          <w:rFonts w:ascii="Book Antiqua" w:eastAsia="Book Antiqua" w:hAnsi="Book Antiqua" w:cs="Book Antiqua"/>
          <w:i/>
          <w:iCs/>
          <w:color w:val="000000"/>
          <w:shd w:val="clear" w:color="auto" w:fill="FFFFFF"/>
        </w:rPr>
        <w:t>Aspergillus</w:t>
      </w:r>
      <w:r w:rsidRPr="00B7221C">
        <w:rPr>
          <w:rFonts w:ascii="Book Antiqua" w:eastAsia="Book Antiqua" w:hAnsi="Book Antiqua" w:cs="Book Antiqua"/>
          <w:color w:val="000000"/>
          <w:shd w:val="clear" w:color="auto" w:fill="FFFFFF"/>
        </w:rPr>
        <w:t xml:space="preserve"> in respiratory tract secretions and tracheal aspirates of patients with COVID-19</w:t>
      </w:r>
      <w:r w:rsidR="004D52FA" w:rsidRPr="00B7221C">
        <w:rPr>
          <w:rFonts w:ascii="Book Antiqua" w:eastAsia="Book Antiqua" w:hAnsi="Book Antiqua" w:cs="Book Antiqua"/>
          <w:color w:val="000000"/>
          <w:shd w:val="clear" w:color="auto" w:fill="FFFFFF"/>
          <w:vertAlign w:val="superscript"/>
        </w:rPr>
        <w:t>[</w:t>
      </w:r>
      <w:hyperlink w:anchor="_ENREF_95" w:tooltip="Yang, 2020 #50" w:history="1">
        <w:r w:rsidRPr="00B7221C">
          <w:rPr>
            <w:rFonts w:ascii="Book Antiqua" w:eastAsia="Book Antiqua" w:hAnsi="Book Antiqua" w:cs="Book Antiqua"/>
            <w:color w:val="000000"/>
            <w:shd w:val="clear" w:color="auto" w:fill="FFFFFF"/>
            <w:vertAlign w:val="superscript"/>
          </w:rPr>
          <w:t>95</w:t>
        </w:r>
      </w:hyperlink>
      <w:r w:rsidRPr="00B7221C">
        <w:rPr>
          <w:rFonts w:ascii="Book Antiqua" w:eastAsia="Book Antiqua" w:hAnsi="Book Antiqua" w:cs="Book Antiqua"/>
          <w:color w:val="000000"/>
          <w:shd w:val="clear" w:color="auto" w:fill="FFFFFF"/>
          <w:vertAlign w:val="superscript"/>
        </w:rPr>
        <w:t>,</w:t>
      </w:r>
      <w:hyperlink w:anchor="_ENREF_96" w:tooltip="Lescure, 2020 #51" w:history="1">
        <w:r w:rsidRPr="00B7221C">
          <w:rPr>
            <w:rFonts w:ascii="Book Antiqua" w:eastAsia="Book Antiqua" w:hAnsi="Book Antiqua" w:cs="Book Antiqua"/>
            <w:color w:val="000000"/>
            <w:shd w:val="clear" w:color="auto" w:fill="FFFFFF"/>
            <w:vertAlign w:val="superscript"/>
          </w:rPr>
          <w:t>96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Unsurprisingly, in patients with </w:t>
      </w:r>
      <w:r w:rsidRPr="00B7221C">
        <w:rPr>
          <w:rFonts w:ascii="Book Antiqua" w:eastAsia="Book Antiqua" w:hAnsi="Book Antiqua" w:cs="Book Antiqua"/>
          <w:i/>
          <w:iCs/>
          <w:color w:val="000000"/>
          <w:shd w:val="clear" w:color="auto" w:fill="FFFFFF"/>
        </w:rPr>
        <w:t xml:space="preserve">Aspergillus </w:t>
      </w:r>
      <w:r w:rsidRPr="00B7221C">
        <w:rPr>
          <w:rFonts w:ascii="Book Antiqua" w:eastAsia="Book Antiqua" w:hAnsi="Book Antiqua" w:cs="Book Antiqua"/>
          <w:color w:val="000000"/>
          <w:shd w:val="clear" w:color="auto" w:fill="FFFFFF"/>
        </w:rPr>
        <w:t xml:space="preserve">in their fecal microbiomes, </w:t>
      </w:r>
      <w:r w:rsidR="00B41D30">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 xml:space="preserve">cough was noted as one of the significant symptoms that emphasized intricate systemic distortion of the gut-lung </w:t>
      </w:r>
      <w:proofErr w:type="gramStart"/>
      <w:r w:rsidRPr="00B7221C">
        <w:rPr>
          <w:rFonts w:ascii="Book Antiqua" w:eastAsia="Book Antiqua" w:hAnsi="Book Antiqua" w:cs="Book Antiqua"/>
          <w:color w:val="000000"/>
          <w:shd w:val="clear" w:color="auto" w:fill="FFFFFF"/>
        </w:rPr>
        <w:t>axis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"_ENREF_97" \o "Baba, 2020 #52" </w:instrText>
      </w:r>
      <w:r w:rsidR="005B0234">
        <w:fldChar w:fldCharType="separate"/>
      </w:r>
      <w:r w:rsidRPr="00B7221C">
        <w:rPr>
          <w:rFonts w:ascii="Book Antiqua" w:eastAsia="Book Antiqua" w:hAnsi="Book Antiqua" w:cs="Book Antiqua"/>
          <w:color w:val="000000"/>
          <w:shd w:val="clear" w:color="auto" w:fill="FFFFFF"/>
          <w:vertAlign w:val="superscript"/>
        </w:rPr>
        <w:t>97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In such cases, antifungal medications should be considered.</w:t>
      </w:r>
    </w:p>
    <w:p w14:paraId="7C2D3264" w14:textId="77777777" w:rsidR="00A77B3E" w:rsidRPr="00B7221C" w:rsidRDefault="00A77B3E" w:rsidP="00B7221C">
      <w:pPr>
        <w:spacing w:line="360" w:lineRule="auto"/>
        <w:jc w:val="both"/>
        <w:rPr>
          <w:rFonts w:ascii="Book Antiqua" w:hAnsi="Book Antiqua"/>
        </w:rPr>
      </w:pPr>
    </w:p>
    <w:p w14:paraId="6CF31D89" w14:textId="49D4231D"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The SARS-CoV-2 infection affects the homeostasis of the</w:t>
      </w:r>
      <w:r w:rsidR="00D849A0" w:rsidRPr="00B7221C">
        <w:rPr>
          <w:rFonts w:ascii="Book Antiqua" w:eastAsia="Book Antiqua" w:hAnsi="Book Antiqua" w:cs="Book Antiqua"/>
          <w:b/>
          <w:bCs/>
          <w:caps/>
          <w:color w:val="000000"/>
          <w:u w:val="single"/>
          <w:shd w:val="clear" w:color="auto" w:fill="FFFFFF"/>
        </w:rPr>
        <w:t xml:space="preserve"> </w:t>
      </w:r>
      <w:r w:rsidRPr="00B7221C">
        <w:rPr>
          <w:rFonts w:ascii="Book Antiqua" w:eastAsia="Book Antiqua" w:hAnsi="Book Antiqua" w:cs="Book Antiqua"/>
          <w:b/>
          <w:bCs/>
          <w:caps/>
          <w:color w:val="000000"/>
          <w:u w:val="single"/>
          <w:shd w:val="clear" w:color="auto" w:fill="FFFFFF"/>
        </w:rPr>
        <w:t>Gut-Lung axis</w:t>
      </w:r>
    </w:p>
    <w:p w14:paraId="45C110AC" w14:textId="70D95743"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The gut-lung axis has been proposed to be a bi-directional conduit by which each organ can modulate the function and inflammatory state. This includes the production of metabolites such as short-chain fatty acids (SCFAs) by the gut microbiome,</w:t>
      </w:r>
      <w:r w:rsidR="000F5EFE"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lymphocyte </w:t>
      </w:r>
      <w:r w:rsidRPr="00B7221C">
        <w:rPr>
          <w:rFonts w:ascii="Book Antiqua" w:eastAsia="Book Antiqua" w:hAnsi="Book Antiqua" w:cs="Book Antiqua"/>
          <w:color w:val="000000"/>
          <w:shd w:val="clear" w:color="auto" w:fill="FFFFFF"/>
        </w:rPr>
        <w:lastRenderedPageBreak/>
        <w:t xml:space="preserve">trafficking from the lungs or the gut into the periphery where they redirect systemic immune responses, and indirect neuronal innervation </w:t>
      </w:r>
      <w:r w:rsidRPr="00B7221C">
        <w:rPr>
          <w:rFonts w:ascii="Book Antiqua" w:eastAsia="Book Antiqua" w:hAnsi="Book Antiqua" w:cs="Book Antiqua"/>
          <w:i/>
          <w:iCs/>
          <w:color w:val="000000"/>
          <w:shd w:val="clear" w:color="auto" w:fill="FFFFFF"/>
        </w:rPr>
        <w:t>via</w:t>
      </w:r>
      <w:r w:rsidRPr="00B7221C">
        <w:rPr>
          <w:rFonts w:ascii="Book Antiqua" w:eastAsia="Book Antiqua" w:hAnsi="Book Antiqua" w:cs="Book Antiqua"/>
          <w:color w:val="000000"/>
          <w:shd w:val="clear" w:color="auto" w:fill="FFFFFF"/>
        </w:rPr>
        <w:t xml:space="preserve"> the </w:t>
      </w:r>
      <w:r w:rsidR="00503D6C" w:rsidRPr="00B7221C">
        <w:rPr>
          <w:rFonts w:ascii="Book Antiqua" w:eastAsia="Book Antiqua" w:hAnsi="Book Antiqua" w:cs="Book Antiqua"/>
          <w:color w:val="000000"/>
        </w:rPr>
        <w:t>central nervous system (CNS)</w:t>
      </w:r>
      <w:r w:rsidRPr="00B7221C">
        <w:rPr>
          <w:rFonts w:ascii="Book Antiqua" w:eastAsia="Book Antiqua" w:hAnsi="Book Antiqua" w:cs="Book Antiqua"/>
          <w:color w:val="000000"/>
          <w:shd w:val="clear" w:color="auto" w:fill="FFFFFF"/>
        </w:rPr>
        <w:t xml:space="preserve"> and cranial nerves bridging each organ</w:t>
      </w:r>
      <w:r w:rsidR="004D52FA" w:rsidRPr="00B7221C">
        <w:rPr>
          <w:rFonts w:ascii="Book Antiqua" w:eastAsia="Book Antiqua" w:hAnsi="Book Antiqua" w:cs="Book Antiqua"/>
          <w:color w:val="000000"/>
          <w:shd w:val="clear" w:color="auto" w:fill="FFFFFF"/>
          <w:vertAlign w:val="superscript"/>
        </w:rPr>
        <w:t>[</w:t>
      </w:r>
      <w:hyperlink w:anchor="_ENREF_98" w:tooltip="Budden, 2017 #53" w:history="1">
        <w:r w:rsidRPr="00B7221C">
          <w:rPr>
            <w:rFonts w:ascii="Book Antiqua" w:eastAsia="Book Antiqua" w:hAnsi="Book Antiqua" w:cs="Book Antiqua"/>
            <w:color w:val="000000"/>
            <w:shd w:val="clear" w:color="auto" w:fill="FFFFFF"/>
            <w:vertAlign w:val="superscript"/>
          </w:rPr>
          <w:t>98</w:t>
        </w:r>
      </w:hyperlink>
      <w:r w:rsidRPr="00B7221C">
        <w:rPr>
          <w:rFonts w:ascii="Book Antiqua" w:eastAsia="Book Antiqua" w:hAnsi="Book Antiqua" w:cs="Book Antiqua"/>
          <w:color w:val="000000"/>
          <w:shd w:val="clear" w:color="auto" w:fill="FFFFFF"/>
          <w:vertAlign w:val="superscript"/>
        </w:rPr>
        <w:t>,</w:t>
      </w:r>
      <w:hyperlink w:anchor="_ENREF_99" w:tooltip="Magnotti, 1999 #54" w:history="1">
        <w:r w:rsidRPr="00B7221C">
          <w:rPr>
            <w:rFonts w:ascii="Book Antiqua" w:eastAsia="Book Antiqua" w:hAnsi="Book Antiqua" w:cs="Book Antiqua"/>
            <w:color w:val="000000"/>
            <w:shd w:val="clear" w:color="auto" w:fill="FFFFFF"/>
            <w:vertAlign w:val="superscript"/>
          </w:rPr>
          <w:t>99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bi-directionality of the gut-lung axis, while capable of promoting </w:t>
      </w:r>
      <w:r w:rsidR="00FA7203" w:rsidRPr="00B7221C">
        <w:rPr>
          <w:rFonts w:ascii="Book Antiqua" w:eastAsia="Book Antiqua" w:hAnsi="Book Antiqua" w:cs="Book Antiqua"/>
          <w:color w:val="000000"/>
          <w:shd w:val="clear" w:color="auto" w:fill="FFFFFF"/>
        </w:rPr>
        <w:t>benefic</w:t>
      </w:r>
      <w:r w:rsidR="00FA7203">
        <w:rPr>
          <w:rFonts w:ascii="Book Antiqua" w:eastAsia="Book Antiqua" w:hAnsi="Book Antiqua" w:cs="Book Antiqua"/>
          <w:color w:val="000000"/>
          <w:shd w:val="clear" w:color="auto" w:fill="FFFFFF"/>
        </w:rPr>
        <w:t>ial</w:t>
      </w:r>
      <w:r w:rsidR="00FA720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communication, as noted, also represents an avenue for disruption in immune regulation. Changes in the composition and function of the gastrointestinal flora operate to effect change in the respiratory tract through the mucosal immune system, while reciprocally, disturbances to the respiratory tract flora consequently affect the digestive tract through immune </w:t>
      </w:r>
      <w:proofErr w:type="gramStart"/>
      <w:r w:rsidRPr="00B7221C">
        <w:rPr>
          <w:rFonts w:ascii="Book Antiqua" w:eastAsia="Book Antiqua" w:hAnsi="Book Antiqua" w:cs="Book Antiqua"/>
          <w:color w:val="000000"/>
          <w:shd w:val="clear" w:color="auto" w:fill="FFFFFF"/>
        </w:rPr>
        <w:t>regulation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"_ENREF_100" \o "Ahlawat, 2020 #1" </w:instrText>
      </w:r>
      <w:r w:rsidR="005B0234">
        <w:fldChar w:fldCharType="separate"/>
      </w:r>
      <w:r w:rsidRPr="00B7221C">
        <w:rPr>
          <w:rFonts w:ascii="Book Antiqua" w:eastAsia="Book Antiqua" w:hAnsi="Book Antiqua" w:cs="Book Antiqua"/>
          <w:color w:val="000000"/>
          <w:shd w:val="clear" w:color="auto" w:fill="FFFFFF"/>
          <w:vertAlign w:val="superscript"/>
        </w:rPr>
        <w:t>100</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Infection from SARS-CoV-2 causes effector CD4+ T cells to reach the small intestine by accessing the C-C chemokine receptor type 9 (CCR9) </w:t>
      </w:r>
      <w:r w:rsidRPr="00B7221C">
        <w:rPr>
          <w:rFonts w:ascii="Book Antiqua" w:eastAsia="Book Antiqua" w:hAnsi="Book Antiqua" w:cs="Book Antiqua"/>
          <w:i/>
          <w:iCs/>
          <w:color w:val="000000"/>
          <w:shd w:val="clear" w:color="auto" w:fill="FFFFFF"/>
        </w:rPr>
        <w:t>via</w:t>
      </w:r>
      <w:r w:rsidRPr="00B7221C">
        <w:rPr>
          <w:rFonts w:ascii="Book Antiqua" w:eastAsia="Book Antiqua" w:hAnsi="Book Antiqua" w:cs="Book Antiqua"/>
          <w:color w:val="000000"/>
          <w:shd w:val="clear" w:color="auto" w:fill="FFFFFF"/>
        </w:rPr>
        <w:t xml:space="preserve"> the gut-lung axis resulting in intestinal immune damage and diarrhea</w:t>
      </w:r>
      <w:r w:rsidR="004D52FA" w:rsidRPr="00B7221C">
        <w:rPr>
          <w:rFonts w:ascii="Book Antiqua" w:eastAsia="Book Antiqua" w:hAnsi="Book Antiqua" w:cs="Book Antiqua"/>
          <w:color w:val="000000"/>
          <w:shd w:val="clear" w:color="auto" w:fill="FFFFFF"/>
          <w:vertAlign w:val="superscript"/>
        </w:rPr>
        <w:t>[</w:t>
      </w:r>
      <w:hyperlink w:anchor="_ENREF_101" w:tooltip="Ye, 2020 #2" w:history="1">
        <w:r w:rsidRPr="00B7221C">
          <w:rPr>
            <w:rFonts w:ascii="Book Antiqua" w:eastAsia="Book Antiqua" w:hAnsi="Book Antiqua" w:cs="Book Antiqua"/>
            <w:color w:val="000000"/>
            <w:shd w:val="clear" w:color="auto" w:fill="FFFFFF"/>
            <w:vertAlign w:val="superscript"/>
          </w:rPr>
          <w:t>101</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 study related to the influenza virus demonstrated that lung-derived CCR9+CD4+ T cell levels were increased following viral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"_ENREF_102" \o "Wang, 2014 #3" </w:instrText>
      </w:r>
      <w:r w:rsidR="005B0234">
        <w:fldChar w:fldCharType="separate"/>
      </w:r>
      <w:r w:rsidRPr="00B7221C">
        <w:rPr>
          <w:rFonts w:ascii="Book Antiqua" w:eastAsia="Book Antiqua" w:hAnsi="Book Antiqua" w:cs="Book Antiqua"/>
          <w:color w:val="000000"/>
          <w:shd w:val="clear" w:color="auto" w:fill="FFFFFF"/>
          <w:vertAlign w:val="superscript"/>
        </w:rPr>
        <w:t>102</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Ye </w:t>
      </w:r>
      <w:r w:rsidRPr="00B7221C">
        <w:rPr>
          <w:rFonts w:ascii="Book Antiqua" w:eastAsia="Book Antiqua" w:hAnsi="Book Antiqua" w:cs="Book Antiqua"/>
          <w:i/>
          <w:iCs/>
          <w:color w:val="000000"/>
          <w:shd w:val="clear" w:color="auto" w:fill="FFFFFF"/>
        </w:rPr>
        <w:t xml:space="preserve">et </w:t>
      </w:r>
      <w:proofErr w:type="gramStart"/>
      <w:r w:rsidRPr="00B7221C">
        <w:rPr>
          <w:rFonts w:ascii="Book Antiqua" w:eastAsia="Book Antiqua" w:hAnsi="Book Antiqua" w:cs="Book Antiqua"/>
          <w:i/>
          <w:iCs/>
          <w:color w:val="000000"/>
          <w:shd w:val="clear" w:color="auto" w:fill="FFFFFF"/>
        </w:rPr>
        <w:t>al</w:t>
      </w:r>
      <w:r w:rsidR="003B4B27"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"_ENREF_101" \o "Ye, 2020 #2" </w:instrText>
      </w:r>
      <w:r w:rsidR="005B0234">
        <w:fldChar w:fldCharType="separate"/>
      </w:r>
      <w:r w:rsidR="003B4B27" w:rsidRPr="00B7221C">
        <w:rPr>
          <w:rFonts w:ascii="Book Antiqua" w:eastAsia="Book Antiqua" w:hAnsi="Book Antiqua" w:cs="Book Antiqua"/>
          <w:color w:val="000000"/>
          <w:shd w:val="clear" w:color="auto" w:fill="FFFFFF"/>
          <w:vertAlign w:val="superscript"/>
        </w:rPr>
        <w:t>101</w:t>
      </w:r>
      <w:r w:rsidR="005B0234">
        <w:rPr>
          <w:rFonts w:ascii="Book Antiqua" w:eastAsia="Book Antiqua" w:hAnsi="Book Antiqua" w:cs="Book Antiqua"/>
          <w:color w:val="000000"/>
          <w:shd w:val="clear" w:color="auto" w:fill="FFFFFF"/>
          <w:vertAlign w:val="superscript"/>
        </w:rPr>
        <w:fldChar w:fldCharType="end"/>
      </w:r>
      <w:r w:rsidR="003B4B27" w:rsidRPr="00B7221C">
        <w:rPr>
          <w:rFonts w:ascii="Book Antiqua" w:eastAsia="Book Antiqua" w:hAnsi="Book Antiqua" w:cs="Book Antiqua"/>
          <w:color w:val="000000"/>
          <w:shd w:val="clear" w:color="auto" w:fill="FFFFFF"/>
          <w:vertAlign w:val="superscript"/>
        </w:rPr>
        <w:t>]</w:t>
      </w:r>
      <w:r w:rsidR="00B41D30">
        <w:rPr>
          <w:rFonts w:ascii="Book Antiqua" w:eastAsia="Book Antiqua" w:hAnsi="Book Antiqua" w:cs="Book Antiqua"/>
          <w:color w:val="000000"/>
          <w:shd w:val="clear" w:color="auto" w:fill="FFFFFF"/>
        </w:rPr>
        <w:t xml:space="preserve"> summarized that</w:t>
      </w:r>
      <w:r w:rsidRPr="00B7221C">
        <w:rPr>
          <w:rFonts w:ascii="Book Antiqua" w:eastAsia="Book Antiqua" w:hAnsi="Book Antiqua" w:cs="Book Antiqua"/>
          <w:color w:val="000000"/>
          <w:shd w:val="clear" w:color="auto" w:fill="FFFFFF"/>
        </w:rPr>
        <w:t xml:space="preserve"> the small intestinal epithelium can express CCL25, which actively recruits CCR9+CD4+ T cells to the small intestine</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resulting in intestinal immune damage and polarization of Th17 cells in conjunction with overproduction of IL-17A. This, in turn, leads to neutrophil recruitment, thus establishing diarrhea onset and other gastrointestinal symptoms during SARS-CoV-2 infection. Generally, COVID-19 patients presenting with gastrointestinal symptoms (&gt;</w:t>
      </w:r>
      <w:r w:rsidR="008B244B"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20% of cases) are more likely to be complicated by acute respiratory distress syndrome (ARDS) and are more prone to fatigue, headache, and </w:t>
      </w:r>
      <w:proofErr w:type="gramStart"/>
      <w:r w:rsidRPr="00B7221C">
        <w:rPr>
          <w:rFonts w:ascii="Book Antiqua" w:eastAsia="Book Antiqua" w:hAnsi="Book Antiqua" w:cs="Book Antiqua"/>
          <w:color w:val="000000"/>
          <w:shd w:val="clear" w:color="auto" w:fill="FFFFFF"/>
        </w:rPr>
        <w:t>cough</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"_ENREF_101" \o "Ye, 2020 #2" </w:instrText>
      </w:r>
      <w:r w:rsidR="005B0234">
        <w:fldChar w:fldCharType="separate"/>
      </w:r>
      <w:r w:rsidRPr="00B7221C">
        <w:rPr>
          <w:rFonts w:ascii="Book Antiqua" w:eastAsia="Book Antiqua" w:hAnsi="Book Antiqua" w:cs="Book Antiqua"/>
          <w:color w:val="000000"/>
          <w:shd w:val="clear" w:color="auto" w:fill="FFFFFF"/>
          <w:vertAlign w:val="superscript"/>
        </w:rPr>
        <w:t>101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Another pathway that may be involved in the severity of ARDS during SARS-CoV-2 infection is the C5a-C5aR1 axis. Proportionate to the severity of ARDS, soluble levels of C5a were found to be increased, and C5aR1 receptors were reported with high expression levels in the blood and pulmonary myeloid cells; furthermore, in C5aR1 knock-in mice, acute lung injury was prevented by the introduction of anti-C5aR1 therapeutic monoclonal antibodies suggesting that this axis could be used to limit lung inflammation</w:t>
      </w:r>
      <w:r w:rsidR="004D52FA" w:rsidRPr="00B7221C">
        <w:rPr>
          <w:rFonts w:ascii="Book Antiqua" w:eastAsia="Book Antiqua" w:hAnsi="Book Antiqua" w:cs="Book Antiqua"/>
          <w:color w:val="000000"/>
          <w:shd w:val="clear" w:color="auto" w:fill="FFFFFF"/>
          <w:vertAlign w:val="superscript"/>
        </w:rPr>
        <w:t>[</w:t>
      </w:r>
      <w:hyperlink w:anchor="_ENREF_89" w:tooltip="Carvelli, 2020 #4" w:history="1">
        <w:r w:rsidRPr="00B7221C">
          <w:rPr>
            <w:rFonts w:ascii="Book Antiqua" w:eastAsia="Book Antiqua" w:hAnsi="Book Antiqua" w:cs="Book Antiqua"/>
            <w:color w:val="000000"/>
            <w:shd w:val="clear" w:color="auto" w:fill="FFFFFF"/>
            <w:vertAlign w:val="superscript"/>
          </w:rPr>
          <w:t>89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Given that ACE2 is highly expressed in the gastrointestinal tract, specifically intestinal epithelial cells, the esophagus, and the lungs, this may make it a target organ for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"_ENREF_103" \o "Gu, 2020 #5" </w:instrText>
      </w:r>
      <w:r w:rsidR="005B0234">
        <w:fldChar w:fldCharType="separate"/>
      </w:r>
      <w:r w:rsidRPr="00B7221C">
        <w:rPr>
          <w:rFonts w:ascii="Book Antiqua" w:eastAsia="Book Antiqua" w:hAnsi="Book Antiqua" w:cs="Book Antiqua"/>
          <w:color w:val="000000"/>
          <w:shd w:val="clear" w:color="auto" w:fill="FFFFFF"/>
          <w:vertAlign w:val="superscript"/>
        </w:rPr>
        <w:t>103</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Therefore, probiotics offer a favorable potential treatment addressing the </w:t>
      </w:r>
      <w:r w:rsidR="00442753">
        <w:rPr>
          <w:rFonts w:ascii="Book Antiqua" w:eastAsia="Book Antiqua" w:hAnsi="Book Antiqua" w:cs="Book Antiqua"/>
          <w:color w:val="000000"/>
          <w:shd w:val="clear" w:color="auto" w:fill="FFFFFF"/>
        </w:rPr>
        <w:t>g</w:t>
      </w:r>
      <w:r w:rsidR="00442753" w:rsidRPr="00442753">
        <w:rPr>
          <w:rFonts w:ascii="Book Antiqua" w:eastAsia="Book Antiqua" w:hAnsi="Book Antiqua" w:cs="Book Antiqua"/>
          <w:color w:val="000000"/>
          <w:shd w:val="clear" w:color="auto" w:fill="FFFFFF"/>
        </w:rPr>
        <w:t>astrointestinal</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lastRenderedPageBreak/>
        <w:t xml:space="preserve">symptoms in COVID-19 by operating to sustain the healthy balance of the gut microecology and protect the respiratory tract from bacterial </w:t>
      </w:r>
      <w:proofErr w:type="gramStart"/>
      <w:r w:rsidRPr="00B7221C">
        <w:rPr>
          <w:rFonts w:ascii="Book Antiqua" w:eastAsia="Book Antiqua" w:hAnsi="Book Antiqua" w:cs="Book Antiqua"/>
          <w:color w:val="000000"/>
          <w:shd w:val="clear" w:color="auto" w:fill="FFFFFF"/>
        </w:rPr>
        <w:t>infections</w:t>
      </w:r>
      <w:r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"_ENREF_100" \o "Ahlawat, 2020 #1" </w:instrText>
      </w:r>
      <w:r w:rsidR="005B0234">
        <w:fldChar w:fldCharType="separate"/>
      </w:r>
      <w:r w:rsidRPr="00B7221C">
        <w:rPr>
          <w:rFonts w:ascii="Book Antiqua" w:eastAsia="Book Antiqua" w:hAnsi="Book Antiqua" w:cs="Book Antiqua"/>
          <w:color w:val="000000"/>
          <w:shd w:val="clear" w:color="auto" w:fill="FFFFFF"/>
          <w:vertAlign w:val="superscript"/>
        </w:rPr>
        <w:t>100</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ACE2, while present across different tissue types, is most prominent in the lungs, which highlights the importance of understanding the network involved to combat the hypersensitivity of the receptor in this tissue, which may lead to worse respiratory illness. </w:t>
      </w:r>
    </w:p>
    <w:p w14:paraId="1AA972B9" w14:textId="13C08471"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Another branch that extends from the lung-gut axis includes the lung-brain conduit, which proposes to connect severe neurological dysfunction and injury with associated lung injury. In general, CoV-induced inflammation and oxidative stress may represent a crucial mechanism for the onset of neurological symptoms. SARS-CoV-2, in particular, has been shown to have </w:t>
      </w:r>
      <w:r w:rsidR="00B41D30">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 xml:space="preserve">neuroinvasive </w:t>
      </w:r>
      <w:proofErr w:type="gramStart"/>
      <w:r w:rsidRPr="00B7221C">
        <w:rPr>
          <w:rFonts w:ascii="Book Antiqua" w:eastAsia="Book Antiqua" w:hAnsi="Book Antiqua" w:cs="Book Antiqua"/>
          <w:color w:val="000000"/>
          <w:shd w:val="clear" w:color="auto" w:fill="FFFFFF"/>
        </w:rPr>
        <w:t>potential</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"_ENREF_104" \o "Nuzzo, 2020 #6" </w:instrText>
      </w:r>
      <w:r w:rsidR="005B0234">
        <w:fldChar w:fldCharType="separate"/>
      </w:r>
      <w:r w:rsidRPr="00B7221C">
        <w:rPr>
          <w:rFonts w:ascii="Book Antiqua" w:eastAsia="Book Antiqua" w:hAnsi="Book Antiqua" w:cs="Book Antiqua"/>
          <w:color w:val="000000"/>
          <w:shd w:val="clear" w:color="auto" w:fill="FFFFFF"/>
          <w:vertAlign w:val="superscript"/>
        </w:rPr>
        <w:t>104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vagus nerve innervates the lung's distal airway, and upon stimulation, nerve endings release acetylcholine (ACh), which functions to regulate lung </w:t>
      </w:r>
      <w:proofErr w:type="gramStart"/>
      <w:r w:rsidRPr="00B7221C">
        <w:rPr>
          <w:rFonts w:ascii="Book Antiqua" w:eastAsia="Book Antiqua" w:hAnsi="Book Antiqua" w:cs="Book Antiqua"/>
          <w:color w:val="000000"/>
          <w:shd w:val="clear" w:color="auto" w:fill="FFFFFF"/>
        </w:rPr>
        <w:t>infection</w:t>
      </w:r>
      <w:r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"_ENREF_105" \o "Huang, 2019 #7" </w:instrText>
      </w:r>
      <w:r w:rsidR="005B0234">
        <w:fldChar w:fldCharType="separate"/>
      </w:r>
      <w:r w:rsidRPr="00B7221C">
        <w:rPr>
          <w:rFonts w:ascii="Book Antiqua" w:eastAsia="Book Antiqua" w:hAnsi="Book Antiqua" w:cs="Book Antiqua"/>
          <w:color w:val="000000"/>
          <w:shd w:val="clear" w:color="auto" w:fill="FFFFFF"/>
          <w:vertAlign w:val="superscript"/>
        </w:rPr>
        <w:t>105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(Figure 2). ACh secreted from neuronal </w:t>
      </w:r>
      <w:r w:rsidR="001337CC">
        <w:rPr>
          <w:rFonts w:ascii="Book Antiqua" w:eastAsia="Book Antiqua" w:hAnsi="Book Antiqua" w:cs="Book Antiqua"/>
          <w:color w:val="000000"/>
          <w:shd w:val="clear" w:color="auto" w:fill="FFFFFF"/>
        </w:rPr>
        <w:t>and</w:t>
      </w:r>
      <w:r w:rsidRPr="00B7221C">
        <w:rPr>
          <w:rFonts w:ascii="Book Antiqua" w:eastAsia="Book Antiqua" w:hAnsi="Book Antiqua" w:cs="Book Antiqua"/>
          <w:color w:val="000000"/>
          <w:shd w:val="clear" w:color="auto" w:fill="FFFFFF"/>
        </w:rPr>
        <w:t xml:space="preserve"> non-neuronal sources acts to decrease inflammation</w:t>
      </w:r>
      <w:r w:rsidR="00A27D09">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and </w:t>
      </w:r>
      <w:r w:rsidR="00A27D09">
        <w:rPr>
          <w:rFonts w:ascii="Book Antiqua" w:eastAsia="Book Antiqua" w:hAnsi="Book Antiqua" w:cs="Book Antiqua"/>
          <w:color w:val="000000"/>
          <w:shd w:val="clear" w:color="auto" w:fill="FFFFFF"/>
        </w:rPr>
        <w:t>using</w:t>
      </w:r>
      <w:r w:rsidR="00A27D09"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an Influenza A model</w:t>
      </w:r>
      <w:r w:rsidR="00A27D09">
        <w:rPr>
          <w:rFonts w:ascii="Book Antiqua" w:eastAsia="Book Antiqua" w:hAnsi="Book Antiqua" w:cs="Book Antiqua"/>
          <w:color w:val="000000"/>
          <w:shd w:val="clear" w:color="auto" w:fill="FFFFFF"/>
        </w:rPr>
        <w:t>, a</w:t>
      </w:r>
      <w:r w:rsidRPr="00B7221C">
        <w:rPr>
          <w:rFonts w:ascii="Book Antiqua" w:eastAsia="Book Antiqua" w:hAnsi="Book Antiqua" w:cs="Book Antiqua"/>
          <w:color w:val="000000"/>
          <w:shd w:val="clear" w:color="auto" w:fill="FFFFFF"/>
        </w:rPr>
        <w:t xml:space="preserve"> previous study showed that viral infection caused an influx of cholinergic lymphocytes while inhibiting ACh synthesis resulted in extended pulmonary inflammation, increased inflammatory macrophage activation, and delayed tissue repair (Reviewed in</w:t>
      </w:r>
      <w:r w:rsidR="004D52FA" w:rsidRPr="00B7221C">
        <w:rPr>
          <w:rFonts w:ascii="Book Antiqua" w:eastAsia="Book Antiqua" w:hAnsi="Book Antiqua" w:cs="Book Antiqua"/>
          <w:color w:val="000000"/>
          <w:shd w:val="clear" w:color="auto" w:fill="FFFFFF"/>
          <w:vertAlign w:val="superscript"/>
        </w:rPr>
        <w:t>[</w:t>
      </w:r>
      <w:hyperlink w:anchor="_ENREF_106" w:tooltip="Horkowitz, 2020 #8" w:history="1">
        <w:r w:rsidRPr="00B7221C">
          <w:rPr>
            <w:rFonts w:ascii="Book Antiqua" w:eastAsia="Book Antiqua" w:hAnsi="Book Antiqua" w:cs="Book Antiqua"/>
            <w:color w:val="000000"/>
            <w:shd w:val="clear" w:color="auto" w:fill="FFFFFF"/>
            <w:vertAlign w:val="superscript"/>
          </w:rPr>
          <w:t>106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p>
    <w:p w14:paraId="71A2EDAF" w14:textId="7D32EC31"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Similarly, it was demonstrated that a deficiency to the α7 nicotinic </w:t>
      </w:r>
      <w:r w:rsidR="00597570" w:rsidRPr="00B7221C">
        <w:rPr>
          <w:rFonts w:ascii="Book Antiqua" w:eastAsia="Book Antiqua" w:hAnsi="Book Antiqua" w:cs="Book Antiqua"/>
          <w:color w:val="000000"/>
          <w:shd w:val="clear" w:color="auto" w:fill="FFFFFF"/>
        </w:rPr>
        <w:t>ACh</w:t>
      </w:r>
      <w:r w:rsidRPr="00B7221C">
        <w:rPr>
          <w:rFonts w:ascii="Book Antiqua" w:eastAsia="Book Antiqua" w:hAnsi="Book Antiqua" w:cs="Book Antiqua"/>
          <w:color w:val="000000"/>
          <w:shd w:val="clear" w:color="auto" w:fill="FFFFFF"/>
        </w:rPr>
        <w:t xml:space="preserve"> receptor (nAChR) acts to worsen lung infection, inflammation, and injury while increasing circulatory levels of pro-inflammatory cytokines. Additionally, α7 nAChR activation by GTS-21, which enhances the phagocytic ability of hyperoxic macrophages, is a prominent method for improving bacterial clearance and reducing lung </w:t>
      </w:r>
      <w:proofErr w:type="gramStart"/>
      <w:r w:rsidRPr="00B7221C">
        <w:rPr>
          <w:rFonts w:ascii="Book Antiqua" w:eastAsia="Book Antiqua" w:hAnsi="Book Antiqua" w:cs="Book Antiqua"/>
          <w:color w:val="000000"/>
          <w:shd w:val="clear" w:color="auto" w:fill="FFFFFF"/>
        </w:rPr>
        <w:t>injury</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"_ENREF_107" \o "Sitapara, 2014 #9" </w:instrText>
      </w:r>
      <w:r w:rsidR="005B0234">
        <w:fldChar w:fldCharType="separate"/>
      </w:r>
      <w:r w:rsidRPr="00B7221C">
        <w:rPr>
          <w:rFonts w:ascii="Book Antiqua" w:eastAsia="Book Antiqua" w:hAnsi="Book Antiqua" w:cs="Book Antiqua"/>
          <w:color w:val="000000"/>
          <w:shd w:val="clear" w:color="auto" w:fill="FFFFFF"/>
          <w:vertAlign w:val="superscript"/>
        </w:rPr>
        <w:t>107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suggesting </w:t>
      </w:r>
      <w:r w:rsidR="001337CC">
        <w:rPr>
          <w:rFonts w:ascii="Book Antiqua" w:eastAsia="Book Antiqua" w:hAnsi="Book Antiqua" w:cs="Book Antiqua"/>
          <w:color w:val="000000"/>
          <w:shd w:val="clear" w:color="auto" w:fill="FFFFFF"/>
        </w:rPr>
        <w:t xml:space="preserve">an </w:t>
      </w:r>
      <w:r w:rsidRPr="00B7221C">
        <w:rPr>
          <w:rFonts w:ascii="Book Antiqua" w:eastAsia="Book Antiqua" w:hAnsi="Book Antiqua" w:cs="Book Antiqua"/>
          <w:color w:val="000000"/>
          <w:shd w:val="clear" w:color="auto" w:fill="FFFFFF"/>
        </w:rPr>
        <w:t xml:space="preserve">involvement of lung-gut-brain connection. During infection, viruses may breach the </w:t>
      </w:r>
      <w:r w:rsidR="00D2426C" w:rsidRPr="00B7221C">
        <w:rPr>
          <w:rFonts w:ascii="Book Antiqua" w:eastAsia="Book Antiqua" w:hAnsi="Book Antiqua" w:cs="Book Antiqua"/>
          <w:color w:val="000000"/>
        </w:rPr>
        <w:t>CNS</w:t>
      </w:r>
      <w:r w:rsidRPr="00B7221C">
        <w:rPr>
          <w:rFonts w:ascii="Book Antiqua" w:eastAsia="Book Antiqua" w:hAnsi="Book Antiqua" w:cs="Book Antiqua"/>
          <w:color w:val="000000"/>
          <w:shd w:val="clear" w:color="auto" w:fill="FFFFFF"/>
        </w:rPr>
        <w:t xml:space="preserve"> by various routes, including the vasculature, olfactory</w:t>
      </w:r>
      <w:r w:rsidR="00C12172">
        <w:rPr>
          <w:rFonts w:ascii="Book Antiqua" w:eastAsia="Book Antiqua" w:hAnsi="Book Antiqua" w:cs="Book Antiqua"/>
          <w:color w:val="000000"/>
          <w:shd w:val="clear" w:color="auto" w:fill="FFFFFF"/>
        </w:rPr>
        <w:t xml:space="preserve"> and</w:t>
      </w:r>
      <w:r w:rsidR="00C12172"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trigeminal nerves, or the lymphatic system. However, the direct mechanism that SARS-CoV-2 utilizes is </w:t>
      </w:r>
      <w:proofErr w:type="gramStart"/>
      <w:r w:rsidRPr="00B7221C">
        <w:rPr>
          <w:rFonts w:ascii="Book Antiqua" w:eastAsia="Book Antiqua" w:hAnsi="Book Antiqua" w:cs="Book Antiqua"/>
          <w:color w:val="000000"/>
          <w:shd w:val="clear" w:color="auto" w:fill="FFFFFF"/>
        </w:rPr>
        <w:t>unknown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"_ENREF_108" \o "Desforges, 2019 #10" </w:instrText>
      </w:r>
      <w:r w:rsidR="005B0234">
        <w:fldChar w:fldCharType="separate"/>
      </w:r>
      <w:r w:rsidRPr="00B7221C">
        <w:rPr>
          <w:rFonts w:ascii="Book Antiqua" w:eastAsia="Book Antiqua" w:hAnsi="Book Antiqua" w:cs="Book Antiqua"/>
          <w:color w:val="000000"/>
          <w:shd w:val="clear" w:color="auto" w:fill="FFFFFF"/>
          <w:vertAlign w:val="superscript"/>
        </w:rPr>
        <w:t>108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One hypothesis is that SARS-CoV-2 enters the CNS by breaching the olfactory route, thereby circumventing the blood-brain barrier (BBB). More than 80% of COVID-19 patients presented with gustatory and olfactory impairments lending support to this access </w:t>
      </w:r>
      <w:proofErr w:type="gramStart"/>
      <w:r w:rsidRPr="00B7221C">
        <w:rPr>
          <w:rFonts w:ascii="Book Antiqua" w:eastAsia="Book Antiqua" w:hAnsi="Book Antiqua" w:cs="Book Antiqua"/>
          <w:color w:val="000000"/>
          <w:shd w:val="clear" w:color="auto" w:fill="FFFFFF"/>
        </w:rPr>
        <w:t>point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"_ENREF_104" \o "Nuzzo, 2020 #6" </w:instrText>
      </w:r>
      <w:r w:rsidR="005B0234">
        <w:fldChar w:fldCharType="separate"/>
      </w:r>
      <w:r w:rsidRPr="00B7221C">
        <w:rPr>
          <w:rFonts w:ascii="Book Antiqua" w:eastAsia="Book Antiqua" w:hAnsi="Book Antiqua" w:cs="Book Antiqua"/>
          <w:color w:val="000000"/>
          <w:shd w:val="clear" w:color="auto" w:fill="FFFFFF"/>
          <w:vertAlign w:val="superscript"/>
        </w:rPr>
        <w:t>104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p>
    <w:p w14:paraId="1285418C" w14:textId="38F399FF"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lastRenderedPageBreak/>
        <w:t xml:space="preserve">Furthermore, in a cohort of 214 COVID-19 patients, 36.4% developed neurologic symptoms ranging from acute cerebrovascular diseases, consciousness impairment, and skeletal muscle </w:t>
      </w:r>
      <w:proofErr w:type="gramStart"/>
      <w:r w:rsidRPr="00B7221C">
        <w:rPr>
          <w:rFonts w:ascii="Book Antiqua" w:eastAsia="Book Antiqua" w:hAnsi="Book Antiqua" w:cs="Book Antiqua"/>
          <w:color w:val="000000"/>
          <w:shd w:val="clear" w:color="auto" w:fill="FFFFFF"/>
        </w:rPr>
        <w:t>symptoms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"_ENREF_109" \o "Mao, 2020 #11" </w:instrText>
      </w:r>
      <w:r w:rsidR="005B0234">
        <w:fldChar w:fldCharType="separate"/>
      </w:r>
      <w:r w:rsidRPr="00B7221C">
        <w:rPr>
          <w:rFonts w:ascii="Book Antiqua" w:eastAsia="Book Antiqua" w:hAnsi="Book Antiqua" w:cs="Book Antiqua"/>
          <w:color w:val="000000"/>
          <w:shd w:val="clear" w:color="auto" w:fill="FFFFFF"/>
          <w:vertAlign w:val="superscript"/>
        </w:rPr>
        <w:t>109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As reviewed by Nuzzo and Picone, another study used a cellular model to demonstrate that respiratory syncytial virus infection propagates reactive oxygen species (ROS) production transitively, creating oxidative stress that supports the idea that lung inflammation may be a determinant of systemic oxidative </w:t>
      </w:r>
      <w:proofErr w:type="gramStart"/>
      <w:r w:rsidRPr="00B7221C">
        <w:rPr>
          <w:rFonts w:ascii="Book Antiqua" w:eastAsia="Book Antiqua" w:hAnsi="Book Antiqua" w:cs="Book Antiqua"/>
          <w:color w:val="000000"/>
          <w:shd w:val="clear" w:color="auto" w:fill="FFFFFF"/>
        </w:rPr>
        <w:t>stress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"_ENREF_104" \o "Nuzzo, 2020 #6" </w:instrText>
      </w:r>
      <w:r w:rsidR="005B0234">
        <w:fldChar w:fldCharType="separate"/>
      </w:r>
      <w:r w:rsidRPr="00B7221C">
        <w:rPr>
          <w:rFonts w:ascii="Book Antiqua" w:eastAsia="Book Antiqua" w:hAnsi="Book Antiqua" w:cs="Book Antiqua"/>
          <w:color w:val="000000"/>
          <w:shd w:val="clear" w:color="auto" w:fill="FFFFFF"/>
          <w:vertAlign w:val="superscript"/>
        </w:rPr>
        <w:t>104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brain, a primary tissue for metabolizing oxygen, is particularly vulnerable to ROS, and SARS-CoV-2 could generate enough ROS to cause brain injury. </w:t>
      </w:r>
    </w:p>
    <w:p w14:paraId="1D304BCA" w14:textId="67431D4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In addition to the host immune system's direct mutual interaction in the gut-brain-lung axis, commensal and pathogenic bacteria in the gut microbiome can also influence COVID-19 pathogenesis. SCFAs such as acetate, butyrate, and propionate, being the most prominent immunomodulatory metabolites, maintain and reinforce intestinal epithelial integrity to decrease inflammation in the gastrointestinal tract and respiratory tract by increasing differentiation and fortifying against tight junction </w:t>
      </w:r>
      <w:proofErr w:type="gramStart"/>
      <w:r w:rsidRPr="00B7221C">
        <w:rPr>
          <w:rFonts w:ascii="Book Antiqua" w:eastAsia="Book Antiqua" w:hAnsi="Book Antiqua" w:cs="Book Antiqua"/>
          <w:color w:val="000000"/>
          <w:shd w:val="clear" w:color="auto" w:fill="FFFFFF"/>
        </w:rPr>
        <w:t>permeability</w:t>
      </w:r>
      <w:r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"_ENREF_110" \o "Chen, 2017 #12" </w:instrText>
      </w:r>
      <w:r w:rsidR="005B0234">
        <w:fldChar w:fldCharType="separate"/>
      </w:r>
      <w:r w:rsidRPr="00B7221C">
        <w:rPr>
          <w:rFonts w:ascii="Book Antiqua" w:eastAsia="Book Antiqua" w:hAnsi="Book Antiqua" w:cs="Book Antiqua"/>
          <w:color w:val="000000"/>
          <w:shd w:val="clear" w:color="auto" w:fill="FFFFFF"/>
          <w:vertAlign w:val="superscript"/>
        </w:rPr>
        <w:t>110</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During SARS-CoV-2 infection, increased permeability was associated with clinical worsening, including multiorgan </w:t>
      </w:r>
      <w:proofErr w:type="gramStart"/>
      <w:r w:rsidRPr="00B7221C">
        <w:rPr>
          <w:rFonts w:ascii="Book Antiqua" w:eastAsia="Book Antiqua" w:hAnsi="Book Antiqua" w:cs="Book Antiqua"/>
          <w:color w:val="000000"/>
          <w:shd w:val="clear" w:color="auto" w:fill="FFFFFF"/>
        </w:rPr>
        <w:t>failure</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"_ENREF_111" \o "Uzzan, 2020 #13" </w:instrText>
      </w:r>
      <w:r w:rsidR="005B0234">
        <w:fldChar w:fldCharType="separate"/>
      </w:r>
      <w:r w:rsidRPr="00B7221C">
        <w:rPr>
          <w:rFonts w:ascii="Book Antiqua" w:eastAsia="Book Antiqua" w:hAnsi="Book Antiqua" w:cs="Book Antiqua"/>
          <w:color w:val="000000"/>
          <w:shd w:val="clear" w:color="auto" w:fill="FFFFFF"/>
          <w:vertAlign w:val="superscript"/>
        </w:rPr>
        <w:t>111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SCFAs produced by the microbiota influence the inflammatory state of the host's epithelial cells, innate and adaptive immune cells directly or indirectly</w:t>
      </w:r>
      <w:r w:rsidR="00936A38">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and utilize the mesenteric lymphatic system for translocation of intact bacteria, their fragments or metabolites through the intestinal barrier, </w:t>
      </w:r>
      <w:r w:rsidR="00936A38">
        <w:rPr>
          <w:rFonts w:ascii="Book Antiqua" w:eastAsia="Book Antiqua" w:hAnsi="Book Antiqua" w:cs="Book Antiqua"/>
          <w:color w:val="000000"/>
          <w:shd w:val="clear" w:color="auto" w:fill="FFFFFF"/>
        </w:rPr>
        <w:t xml:space="preserve">thereby </w:t>
      </w:r>
      <w:r w:rsidRPr="00B7221C">
        <w:rPr>
          <w:rFonts w:ascii="Book Antiqua" w:eastAsia="Book Antiqua" w:hAnsi="Book Antiqua" w:cs="Book Antiqua"/>
          <w:color w:val="000000"/>
          <w:shd w:val="clear" w:color="auto" w:fill="FFFFFF"/>
        </w:rPr>
        <w:t xml:space="preserve">modulating the lung immune response upon entry to </w:t>
      </w:r>
      <w:r w:rsidR="001337CC">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systemic circulation</w:t>
      </w:r>
      <w:r w:rsidR="004D52FA" w:rsidRPr="00B7221C">
        <w:rPr>
          <w:rFonts w:ascii="Book Antiqua" w:eastAsia="Book Antiqua" w:hAnsi="Book Antiqua" w:cs="Book Antiqua"/>
          <w:color w:val="000000"/>
          <w:shd w:val="clear" w:color="auto" w:fill="FFFFFF"/>
          <w:vertAlign w:val="superscript"/>
        </w:rPr>
        <w:t>[</w:t>
      </w:r>
      <w:hyperlink w:anchor="_ENREF_112" w:tooltip="Bingula, 2017 #14" w:history="1">
        <w:r w:rsidRPr="00B7221C">
          <w:rPr>
            <w:rFonts w:ascii="Book Antiqua" w:eastAsia="Book Antiqua" w:hAnsi="Book Antiqua" w:cs="Book Antiqua"/>
            <w:color w:val="000000"/>
            <w:shd w:val="clear" w:color="auto" w:fill="FFFFFF"/>
            <w:vertAlign w:val="superscript"/>
          </w:rPr>
          <w:t>112</w:t>
        </w:r>
      </w:hyperlink>
      <w:r w:rsidRPr="00B7221C">
        <w:rPr>
          <w:rFonts w:ascii="Book Antiqua" w:eastAsia="Book Antiqua" w:hAnsi="Book Antiqua" w:cs="Book Antiqua"/>
          <w:color w:val="000000"/>
          <w:shd w:val="clear" w:color="auto" w:fill="FFFFFF"/>
          <w:vertAlign w:val="superscript"/>
        </w:rPr>
        <w:t>,</w:t>
      </w:r>
      <w:hyperlink w:anchor="_ENREF_113" w:tooltip="Dang, 2019 #15" w:history="1">
        <w:r w:rsidRPr="00B7221C">
          <w:rPr>
            <w:rFonts w:ascii="Book Antiqua" w:eastAsia="Book Antiqua" w:hAnsi="Book Antiqua" w:cs="Book Antiqua"/>
            <w:color w:val="000000"/>
            <w:shd w:val="clear" w:color="auto" w:fill="FFFFFF"/>
            <w:vertAlign w:val="superscript"/>
          </w:rPr>
          <w:t>113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Additionally, SFCA butyrate suppresses intestinal inflammation by inhibiting histone deacetylase (HDAC) activity. Inhibition of HDAC enhances the mTOR-S6K pathway required for T cell differentiation and cytokine expression and enhances histone 3</w:t>
      </w:r>
      <w:r w:rsidR="00E127C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acetylation at Foxp3 Locus to allow transcription to occur and Treg cell differentiation</w:t>
      </w:r>
      <w:r w:rsidR="004D52FA" w:rsidRPr="00B7221C">
        <w:rPr>
          <w:rFonts w:ascii="Book Antiqua" w:eastAsia="Book Antiqua" w:hAnsi="Book Antiqua" w:cs="Book Antiqua"/>
          <w:color w:val="000000"/>
          <w:shd w:val="clear" w:color="auto" w:fill="FFFFFF"/>
          <w:vertAlign w:val="superscript"/>
        </w:rPr>
        <w:t>[</w:t>
      </w:r>
      <w:hyperlink w:anchor="_ENREF_114" w:tooltip="Smith, 2013 #16" w:history="1">
        <w:r w:rsidRPr="00B7221C">
          <w:rPr>
            <w:rFonts w:ascii="Book Antiqua" w:eastAsia="Book Antiqua" w:hAnsi="Book Antiqua" w:cs="Book Antiqua"/>
            <w:color w:val="000000"/>
            <w:shd w:val="clear" w:color="auto" w:fill="FFFFFF"/>
            <w:vertAlign w:val="superscript"/>
          </w:rPr>
          <w:t>114</w:t>
        </w:r>
      </w:hyperlink>
      <w:r w:rsidRPr="00B7221C">
        <w:rPr>
          <w:rFonts w:ascii="Book Antiqua" w:eastAsia="Book Antiqua" w:hAnsi="Book Antiqua" w:cs="Book Antiqua"/>
          <w:color w:val="000000"/>
          <w:shd w:val="clear" w:color="auto" w:fill="FFFFFF"/>
          <w:vertAlign w:val="superscript"/>
        </w:rPr>
        <w:t>,</w:t>
      </w:r>
      <w:hyperlink w:anchor="_ENREF_115" w:tooltip="Husain, 2020 #173" w:history="1">
        <w:r w:rsidRPr="00B7221C">
          <w:rPr>
            <w:rFonts w:ascii="Book Antiqua" w:eastAsia="Book Antiqua" w:hAnsi="Book Antiqua" w:cs="Book Antiqua"/>
            <w:color w:val="000000"/>
            <w:shd w:val="clear" w:color="auto" w:fill="FFFFFF"/>
            <w:vertAlign w:val="superscript"/>
          </w:rPr>
          <w:t>115</w:t>
        </w:r>
      </w:hyperlink>
      <w:r w:rsidRPr="00B7221C">
        <w:rPr>
          <w:rFonts w:ascii="Book Antiqua" w:eastAsia="Book Antiqua" w:hAnsi="Book Antiqua" w:cs="Book Antiqua"/>
          <w:color w:val="000000"/>
          <w:shd w:val="clear" w:color="auto" w:fill="FFFFFF"/>
          <w:vertAlign w:val="superscript"/>
        </w:rPr>
        <w:t>]</w:t>
      </w:r>
      <w:r w:rsidR="0033018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Further, GPR43 activation by butyrate can inhibit NF-κB activity and stimulat</w:t>
      </w:r>
      <w:r w:rsidR="00F13C12">
        <w:rPr>
          <w:rFonts w:ascii="Book Antiqua" w:eastAsia="Book Antiqua" w:hAnsi="Book Antiqua" w:cs="Book Antiqua"/>
          <w:color w:val="000000"/>
          <w:shd w:val="clear" w:color="auto" w:fill="FFFFFF"/>
        </w:rPr>
        <w:t>e</w:t>
      </w:r>
      <w:r w:rsidRPr="00B7221C">
        <w:rPr>
          <w:rFonts w:ascii="Book Antiqua" w:eastAsia="Book Antiqua" w:hAnsi="Book Antiqua" w:cs="Book Antiqua"/>
          <w:color w:val="000000"/>
          <w:shd w:val="clear" w:color="auto" w:fill="FFFFFF"/>
        </w:rPr>
        <w:t xml:space="preserve"> anti-inflammatory signaling, including IL-8 and IL-10</w:t>
      </w:r>
      <w:r w:rsidR="004D52FA" w:rsidRPr="00B7221C">
        <w:rPr>
          <w:rFonts w:ascii="Book Antiqua" w:eastAsia="Book Antiqua" w:hAnsi="Book Antiqua" w:cs="Book Antiqua"/>
          <w:color w:val="000000"/>
          <w:shd w:val="clear" w:color="auto" w:fill="FFFFFF"/>
          <w:vertAlign w:val="superscript"/>
        </w:rPr>
        <w:t>[</w:t>
      </w:r>
      <w:hyperlink w:anchor="_ENREF_116" w:tooltip="Gao, 2004 #17" w:history="1">
        <w:r w:rsidRPr="00B7221C">
          <w:rPr>
            <w:rFonts w:ascii="Book Antiqua" w:eastAsia="Book Antiqua" w:hAnsi="Book Antiqua" w:cs="Book Antiqua"/>
            <w:color w:val="000000"/>
            <w:shd w:val="clear" w:color="auto" w:fill="FFFFFF"/>
            <w:vertAlign w:val="superscript"/>
          </w:rPr>
          <w:t>116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60D83323" w14:textId="618B7CFE" w:rsidR="00A77B3E" w:rsidRPr="00B7221C" w:rsidRDefault="001337CC" w:rsidP="00B7221C">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Previous work on other respiratory viruses also documents disruptions to the gut microbiota. </w:t>
      </w:r>
      <w:r w:rsidR="00A143FB" w:rsidRPr="00B7221C">
        <w:rPr>
          <w:rFonts w:ascii="Book Antiqua" w:eastAsia="Book Antiqua" w:hAnsi="Book Antiqua" w:cs="Book Antiqua"/>
          <w:color w:val="000000"/>
          <w:shd w:val="clear" w:color="auto" w:fill="FFFFFF"/>
        </w:rPr>
        <w:t xml:space="preserve">Interestingly, SARS-CoV-2 has been reported to deplete the levels of short-chain fatty acid-producing bacteria such as </w:t>
      </w:r>
      <w:r w:rsidR="00A143FB" w:rsidRPr="00B7221C">
        <w:rPr>
          <w:rFonts w:ascii="Book Antiqua" w:eastAsia="Book Antiqua" w:hAnsi="Book Antiqua" w:cs="Book Antiqua"/>
          <w:i/>
          <w:iCs/>
          <w:color w:val="000000"/>
          <w:shd w:val="clear" w:color="auto" w:fill="FFFFFF"/>
        </w:rPr>
        <w:t>Parabacteriodes merdae, Bacteriodes stercoris,</w:t>
      </w:r>
      <w:r w:rsidR="00A143FB" w:rsidRPr="00B7221C">
        <w:rPr>
          <w:rFonts w:ascii="Book Antiqua" w:eastAsia="Book Antiqua" w:hAnsi="Book Antiqua" w:cs="Book Antiqua"/>
          <w:color w:val="000000"/>
          <w:shd w:val="clear" w:color="auto" w:fill="FFFFFF"/>
        </w:rPr>
        <w:t xml:space="preserve"> </w:t>
      </w:r>
      <w:r w:rsidR="00A143FB" w:rsidRPr="00B7221C">
        <w:rPr>
          <w:rFonts w:ascii="Book Antiqua" w:eastAsia="Book Antiqua" w:hAnsi="Book Antiqua" w:cs="Book Antiqua"/>
          <w:color w:val="000000"/>
          <w:shd w:val="clear" w:color="auto" w:fill="FFFFFF"/>
        </w:rPr>
        <w:lastRenderedPageBreak/>
        <w:t xml:space="preserve">and </w:t>
      </w:r>
      <w:r w:rsidR="00A143FB" w:rsidRPr="00B7221C">
        <w:rPr>
          <w:rFonts w:ascii="Book Antiqua" w:eastAsia="Book Antiqua" w:hAnsi="Book Antiqua" w:cs="Book Antiqua"/>
          <w:i/>
          <w:iCs/>
          <w:color w:val="000000"/>
          <w:shd w:val="clear" w:color="auto" w:fill="FFFFFF"/>
        </w:rPr>
        <w:t xml:space="preserve">Lachnospiraceae </w:t>
      </w:r>
      <w:proofErr w:type="gramStart"/>
      <w:r w:rsidR="00A143FB" w:rsidRPr="00B7221C">
        <w:rPr>
          <w:rFonts w:ascii="Book Antiqua" w:eastAsia="Book Antiqua" w:hAnsi="Book Antiqua" w:cs="Book Antiqua"/>
          <w:i/>
          <w:iCs/>
          <w:color w:val="000000"/>
          <w:shd w:val="clear" w:color="auto" w:fill="FFFFFF"/>
        </w:rPr>
        <w:t>bacterium</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"_ENREF_117" \o "Zuo, 2021 #55" </w:instrText>
      </w:r>
      <w:r w:rsidR="005B0234">
        <w:fldChar w:fldCharType="separate"/>
      </w:r>
      <w:r w:rsidR="00A143FB" w:rsidRPr="00B7221C">
        <w:rPr>
          <w:rFonts w:ascii="Book Antiqua" w:eastAsia="Book Antiqua" w:hAnsi="Book Antiqua" w:cs="Book Antiqua"/>
          <w:color w:val="000000"/>
          <w:shd w:val="clear" w:color="auto" w:fill="FFFFFF"/>
          <w:vertAlign w:val="superscript"/>
        </w:rPr>
        <w:t>117</w:t>
      </w:r>
      <w:r w:rsidR="005B0234">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 xml:space="preserve">. Thus, respiratory influenza can indirectly induce intestinal immune injury and alter gut microbiota, resulting in the outgrowth of </w:t>
      </w:r>
      <w:r w:rsidR="00A143FB" w:rsidRPr="00452D41">
        <w:rPr>
          <w:rFonts w:ascii="Book Antiqua" w:eastAsia="Book Antiqua" w:hAnsi="Book Antiqua" w:cs="Book Antiqua"/>
          <w:i/>
          <w:color w:val="000000"/>
          <w:shd w:val="clear" w:color="auto" w:fill="FFFFFF"/>
        </w:rPr>
        <w:t>Enterobacteriaceae</w:t>
      </w:r>
      <w:r w:rsidR="00A143FB" w:rsidRPr="00B7221C">
        <w:rPr>
          <w:rFonts w:ascii="Book Antiqua" w:eastAsia="Book Antiqua" w:hAnsi="Book Antiqua" w:cs="Book Antiqua"/>
          <w:color w:val="000000"/>
          <w:shd w:val="clear" w:color="auto" w:fill="FFFFFF"/>
        </w:rPr>
        <w:t xml:space="preserve"> and reduction of </w:t>
      </w:r>
      <w:r>
        <w:rPr>
          <w:rFonts w:ascii="Book Antiqua" w:eastAsia="Book Antiqua" w:hAnsi="Book Antiqua" w:cs="Book Antiqua"/>
          <w:i/>
          <w:iCs/>
          <w:color w:val="000000"/>
          <w:shd w:val="clear" w:color="auto" w:fill="FFFFFF"/>
        </w:rPr>
        <w:t>Lactobacilli</w:t>
      </w:r>
      <w:r w:rsidR="00A143FB" w:rsidRPr="00B7221C">
        <w:rPr>
          <w:rFonts w:ascii="Book Antiqua" w:eastAsia="Book Antiqua" w:hAnsi="Book Antiqua" w:cs="Book Antiqua"/>
          <w:color w:val="000000"/>
          <w:shd w:val="clear" w:color="auto" w:fill="FFFFFF"/>
        </w:rPr>
        <w:t xml:space="preserve"> and </w:t>
      </w:r>
      <w:proofErr w:type="gramStart"/>
      <w:r w:rsidR="00A143FB" w:rsidRPr="00B7221C">
        <w:rPr>
          <w:rFonts w:ascii="Book Antiqua" w:eastAsia="Book Antiqua" w:hAnsi="Book Antiqua" w:cs="Book Antiqua"/>
          <w:i/>
          <w:iCs/>
          <w:color w:val="000000"/>
          <w:shd w:val="clear" w:color="auto" w:fill="FFFFFF"/>
        </w:rPr>
        <w:t>Lactococci</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"_ENREF_113" \o "Dang, 2019 #15" </w:instrText>
      </w:r>
      <w:r w:rsidR="005B0234">
        <w:fldChar w:fldCharType="separate"/>
      </w:r>
      <w:r w:rsidR="00A143FB" w:rsidRPr="00B7221C">
        <w:rPr>
          <w:rFonts w:ascii="Book Antiqua" w:eastAsia="Book Antiqua" w:hAnsi="Book Antiqua" w:cs="Book Antiqua"/>
          <w:color w:val="000000"/>
          <w:shd w:val="clear" w:color="auto" w:fill="FFFFFF"/>
          <w:vertAlign w:val="superscript"/>
        </w:rPr>
        <w:t>113</w:t>
      </w:r>
      <w:r w:rsidR="005B0234">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 xml:space="preserve">. In the influenza-related lung response in mice, intestinal TLR activation is required for NF-κB-dependent pathways for the innate immune response. In this case, disruptions of the microbiota were unrelated to the influenza virus and mediated by Th17 </w:t>
      </w:r>
      <w:proofErr w:type="gramStart"/>
      <w:r w:rsidR="00A143FB" w:rsidRPr="00B7221C">
        <w:rPr>
          <w:rFonts w:ascii="Book Antiqua" w:eastAsia="Book Antiqua" w:hAnsi="Book Antiqua" w:cs="Book Antiqua"/>
          <w:color w:val="000000"/>
          <w:shd w:val="clear" w:color="auto" w:fill="FFFFFF"/>
        </w:rPr>
        <w:t>cells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"_ENREF_118" \o "Ichinohe, 2011 #19" </w:instrText>
      </w:r>
      <w:r w:rsidR="005B0234">
        <w:fldChar w:fldCharType="separate"/>
      </w:r>
      <w:r w:rsidR="00A143FB" w:rsidRPr="00B7221C">
        <w:rPr>
          <w:rFonts w:ascii="Book Antiqua" w:eastAsia="Book Antiqua" w:hAnsi="Book Antiqua" w:cs="Book Antiqua"/>
          <w:color w:val="000000"/>
          <w:shd w:val="clear" w:color="auto" w:fill="FFFFFF"/>
          <w:vertAlign w:val="superscript"/>
        </w:rPr>
        <w:t>118</w:t>
      </w:r>
      <w:r w:rsidR="005B0234">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w:t>
      </w:r>
    </w:p>
    <w:p w14:paraId="612EACBD" w14:textId="347AB8BB"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Similarly</w:t>
      </w:r>
      <w:r w:rsidR="004D52F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other respiratory infections, such as </w:t>
      </w:r>
      <w:r w:rsidR="001337CC">
        <w:rPr>
          <w:rFonts w:ascii="Book Antiqua" w:eastAsia="Book Antiqua" w:hAnsi="Book Antiqua" w:cs="Book Antiqua"/>
          <w:color w:val="000000"/>
          <w:shd w:val="clear" w:color="auto" w:fill="FFFFFF"/>
        </w:rPr>
        <w:t xml:space="preserve">a </w:t>
      </w:r>
      <w:r w:rsidRPr="00B7221C">
        <w:rPr>
          <w:rFonts w:ascii="Book Antiqua" w:eastAsia="Book Antiqua" w:hAnsi="Book Antiqua" w:cs="Book Antiqua"/>
          <w:color w:val="000000"/>
          <w:shd w:val="clear" w:color="auto" w:fill="FFFFFF"/>
        </w:rPr>
        <w:t xml:space="preserve">respiratory syncytial virus (RSV), distort the gut microbiome's balance by depleting </w:t>
      </w:r>
      <w:r w:rsidRPr="00B7221C">
        <w:rPr>
          <w:rFonts w:ascii="Book Antiqua" w:eastAsia="Book Antiqua" w:hAnsi="Book Antiqua" w:cs="Book Antiqua"/>
          <w:i/>
          <w:iCs/>
          <w:color w:val="000000"/>
          <w:shd w:val="clear" w:color="auto" w:fill="FFFFFF"/>
        </w:rPr>
        <w:t>Lachnospiraceae</w:t>
      </w:r>
      <w:r w:rsidRPr="00B7221C">
        <w:rPr>
          <w:rFonts w:ascii="Book Antiqua" w:eastAsia="Book Antiqua" w:hAnsi="Book Antiqua" w:cs="Book Antiqua"/>
          <w:color w:val="000000"/>
          <w:shd w:val="clear" w:color="auto" w:fill="FFFFFF"/>
        </w:rPr>
        <w:t xml:space="preserve"> and </w:t>
      </w:r>
      <w:r w:rsidRPr="00B7221C">
        <w:rPr>
          <w:rFonts w:ascii="Book Antiqua" w:eastAsia="Book Antiqua" w:hAnsi="Book Antiqua" w:cs="Book Antiqua"/>
          <w:i/>
          <w:iCs/>
          <w:color w:val="000000"/>
          <w:shd w:val="clear" w:color="auto" w:fill="FFFFFF"/>
        </w:rPr>
        <w:t>Lactobacillaceae</w:t>
      </w:r>
      <w:r w:rsidRPr="00B7221C">
        <w:rPr>
          <w:rFonts w:ascii="Book Antiqua" w:eastAsia="Book Antiqua" w:hAnsi="Book Antiqua" w:cs="Book Antiqua"/>
          <w:color w:val="000000"/>
          <w:shd w:val="clear" w:color="auto" w:fill="FFFFFF"/>
        </w:rPr>
        <w:t xml:space="preserve"> families while enriching </w:t>
      </w:r>
      <w:proofErr w:type="gramStart"/>
      <w:r w:rsidRPr="00B7221C">
        <w:rPr>
          <w:rFonts w:ascii="Book Antiqua" w:eastAsia="Book Antiqua" w:hAnsi="Book Antiqua" w:cs="Book Antiqua"/>
          <w:i/>
          <w:iCs/>
          <w:color w:val="000000"/>
          <w:shd w:val="clear" w:color="auto" w:fill="FFFFFF"/>
        </w:rPr>
        <w:t>Bacteroidaceae</w:t>
      </w:r>
      <w:r w:rsidR="004D52FA" w:rsidRPr="00AB4D16">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"_ENREF_119" \o "Groves, 2020 #56" </w:instrText>
      </w:r>
      <w:r w:rsidR="005B0234">
        <w:fldChar w:fldCharType="separate"/>
      </w:r>
      <w:r w:rsidRPr="00B7221C">
        <w:rPr>
          <w:rFonts w:ascii="Book Antiqua" w:eastAsia="Book Antiqua" w:hAnsi="Book Antiqua" w:cs="Book Antiqua"/>
          <w:color w:val="000000"/>
          <w:shd w:val="clear" w:color="auto" w:fill="FFFFFF"/>
          <w:vertAlign w:val="superscript"/>
        </w:rPr>
        <w:t>119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Experimental studies designed </w:t>
      </w:r>
      <w:r w:rsidR="001337CC">
        <w:rPr>
          <w:rFonts w:ascii="Book Antiqua" w:eastAsia="Book Antiqua" w:hAnsi="Book Antiqua" w:cs="Book Antiqua"/>
          <w:color w:val="000000"/>
          <w:shd w:val="clear" w:color="auto" w:fill="FFFFFF"/>
        </w:rPr>
        <w:t>to administer</w:t>
      </w:r>
      <w:r w:rsidRPr="00B7221C">
        <w:rPr>
          <w:rFonts w:ascii="Book Antiqua" w:eastAsia="Book Antiqua" w:hAnsi="Book Antiqua" w:cs="Book Antiqua"/>
          <w:color w:val="000000"/>
          <w:shd w:val="clear" w:color="auto" w:fill="FFFFFF"/>
        </w:rPr>
        <w:t xml:space="preserve"> high fiber diets favor the enrichment of </w:t>
      </w:r>
      <w:r w:rsidR="001337CC">
        <w:rPr>
          <w:rFonts w:ascii="Book Antiqua" w:eastAsia="Book Antiqua" w:hAnsi="Book Antiqua" w:cs="Book Antiqua"/>
          <w:color w:val="000000"/>
          <w:shd w:val="clear" w:color="auto" w:fill="FFFFFF"/>
        </w:rPr>
        <w:t>short-chain</w:t>
      </w:r>
      <w:r w:rsidRPr="00B7221C">
        <w:rPr>
          <w:rFonts w:ascii="Book Antiqua" w:eastAsia="Book Antiqua" w:hAnsi="Book Antiqua" w:cs="Book Antiqua"/>
          <w:color w:val="000000"/>
          <w:shd w:val="clear" w:color="auto" w:fill="FFFFFF"/>
        </w:rPr>
        <w:t xml:space="preserve"> fatty acid </w:t>
      </w:r>
      <w:r w:rsidR="001337CC">
        <w:rPr>
          <w:rFonts w:ascii="Book Antiqua" w:eastAsia="Book Antiqua" w:hAnsi="Book Antiqua" w:cs="Book Antiqua"/>
          <w:color w:val="000000"/>
          <w:shd w:val="clear" w:color="auto" w:fill="FFFFFF"/>
        </w:rPr>
        <w:t>butyrate-producing</w:t>
      </w:r>
      <w:r w:rsidRPr="00B7221C">
        <w:rPr>
          <w:rFonts w:ascii="Book Antiqua" w:eastAsia="Book Antiqua" w:hAnsi="Book Antiqua" w:cs="Book Antiqua"/>
          <w:color w:val="000000"/>
          <w:shd w:val="clear" w:color="auto" w:fill="FFFFFF"/>
        </w:rPr>
        <w:t xml:space="preserve"> bacteria, thus promoting the interferon antiviral state within the lungs of </w:t>
      </w:r>
      <w:r w:rsidR="001337CC">
        <w:rPr>
          <w:rFonts w:ascii="Book Antiqua" w:eastAsia="Book Antiqua" w:hAnsi="Book Antiqua" w:cs="Book Antiqua"/>
          <w:color w:val="000000"/>
          <w:shd w:val="clear" w:color="auto" w:fill="FFFFFF"/>
        </w:rPr>
        <w:t>RSV-infected</w:t>
      </w:r>
      <w:r w:rsidRPr="00B7221C">
        <w:rPr>
          <w:rFonts w:ascii="Book Antiqua" w:eastAsia="Book Antiqua" w:hAnsi="Book Antiqua" w:cs="Book Antiqua"/>
          <w:color w:val="000000"/>
          <w:shd w:val="clear" w:color="auto" w:fill="FFFFFF"/>
        </w:rPr>
        <w:t xml:space="preserve"> </w:t>
      </w:r>
      <w:proofErr w:type="gramStart"/>
      <w:r w:rsidRPr="00B7221C">
        <w:rPr>
          <w:rFonts w:ascii="Book Antiqua" w:eastAsia="Book Antiqua" w:hAnsi="Book Antiqua" w:cs="Book Antiqua"/>
          <w:color w:val="000000"/>
          <w:shd w:val="clear" w:color="auto" w:fill="FFFFFF"/>
        </w:rPr>
        <w:t>individuals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"_ENREF_120" \o "Antunes, 2019 #57" </w:instrText>
      </w:r>
      <w:r w:rsidR="005B0234">
        <w:fldChar w:fldCharType="separate"/>
      </w:r>
      <w:r w:rsidRPr="00B7221C">
        <w:rPr>
          <w:rFonts w:ascii="Book Antiqua" w:eastAsia="Book Antiqua" w:hAnsi="Book Antiqua" w:cs="Book Antiqua"/>
          <w:color w:val="000000"/>
          <w:shd w:val="clear" w:color="auto" w:fill="FFFFFF"/>
          <w:vertAlign w:val="superscript"/>
        </w:rPr>
        <w:t>120</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00A2463B"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In turn, depletion of the gut microbiome has been shown to hinder optimal alveolar macrophages' optimal functionality by reducing oxidative respiratory burst capacity and later diminishing their bactericidal </w:t>
      </w:r>
      <w:proofErr w:type="gramStart"/>
      <w:r w:rsidRPr="00B7221C">
        <w:rPr>
          <w:rFonts w:ascii="Book Antiqua" w:eastAsia="Book Antiqua" w:hAnsi="Book Antiqua" w:cs="Book Antiqua"/>
          <w:color w:val="000000"/>
          <w:shd w:val="clear" w:color="auto" w:fill="FFFFFF"/>
        </w:rPr>
        <w:t>effects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"_ENREF_121" \o "Clarke, 2014 #58" </w:instrText>
      </w:r>
      <w:r w:rsidR="005B0234">
        <w:fldChar w:fldCharType="separate"/>
      </w:r>
      <w:r w:rsidRPr="00B7221C">
        <w:rPr>
          <w:rFonts w:ascii="Book Antiqua" w:eastAsia="Book Antiqua" w:hAnsi="Book Antiqua" w:cs="Book Antiqua"/>
          <w:color w:val="000000"/>
          <w:shd w:val="clear" w:color="auto" w:fill="FFFFFF"/>
          <w:vertAlign w:val="superscript"/>
        </w:rPr>
        <w:t>121</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6A5C57F" w14:textId="77777777" w:rsidR="00A77B3E" w:rsidRPr="00B7221C" w:rsidRDefault="00A77B3E" w:rsidP="00B7221C">
      <w:pPr>
        <w:spacing w:line="360" w:lineRule="auto"/>
        <w:jc w:val="both"/>
        <w:rPr>
          <w:rFonts w:ascii="Book Antiqua" w:hAnsi="Book Antiqua"/>
        </w:rPr>
      </w:pPr>
    </w:p>
    <w:p w14:paraId="30967620" w14:textId="01A8C9D8"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Impact of SARS-CoV-2 infection on the</w:t>
      </w:r>
      <w:r w:rsidR="0086695F" w:rsidRPr="00B7221C">
        <w:rPr>
          <w:rFonts w:ascii="Book Antiqua" w:eastAsia="Book Antiqua" w:hAnsi="Book Antiqua" w:cs="Book Antiqua"/>
          <w:b/>
          <w:bCs/>
          <w:caps/>
          <w:color w:val="000000"/>
          <w:u w:val="single"/>
          <w:shd w:val="clear" w:color="auto" w:fill="FFFFFF"/>
        </w:rPr>
        <w:t xml:space="preserve"> </w:t>
      </w:r>
      <w:r w:rsidRPr="00B7221C">
        <w:rPr>
          <w:rFonts w:ascii="Book Antiqua" w:eastAsia="Book Antiqua" w:hAnsi="Book Antiqua" w:cs="Book Antiqua"/>
          <w:b/>
          <w:bCs/>
          <w:caps/>
          <w:color w:val="000000"/>
          <w:u w:val="single"/>
          <w:shd w:val="clear" w:color="auto" w:fill="FFFFFF"/>
        </w:rPr>
        <w:t>Brain-Gut axis</w:t>
      </w:r>
    </w:p>
    <w:p w14:paraId="173E6D10" w14:textId="6DA1942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The gut microbiome has been shown to directly modulate multiple brain functions such as immune modalities like inflammation and neuroendocrine states like mood, stress, anxiety, and memory </w:t>
      </w:r>
      <w:proofErr w:type="gramStart"/>
      <w:r w:rsidRPr="00B7221C">
        <w:rPr>
          <w:rFonts w:ascii="Book Antiqua" w:eastAsia="Book Antiqua" w:hAnsi="Book Antiqua" w:cs="Book Antiqua"/>
          <w:color w:val="000000"/>
          <w:shd w:val="clear" w:color="auto" w:fill="FFFFFF"/>
        </w:rPr>
        <w:t>functions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"_ENREF_122" \o "Liu, 2018 #85" </w:instrText>
      </w:r>
      <w:r w:rsidR="005B0234">
        <w:fldChar w:fldCharType="separate"/>
      </w:r>
      <w:r w:rsidRPr="00B7221C">
        <w:rPr>
          <w:rFonts w:ascii="Book Antiqua" w:eastAsia="Book Antiqua" w:hAnsi="Book Antiqua" w:cs="Book Antiqua"/>
          <w:color w:val="000000"/>
          <w:shd w:val="clear" w:color="auto" w:fill="FFFFFF"/>
          <w:vertAlign w:val="superscript"/>
        </w:rPr>
        <w:t>122-125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Within the gut, two plexuses comprise the enteric nervous system (ENS): </w:t>
      </w:r>
      <w:r w:rsidR="00C81827">
        <w:rPr>
          <w:rFonts w:ascii="Book Antiqua" w:eastAsia="Book Antiqua" w:hAnsi="Book Antiqua" w:cs="Book Antiqua"/>
          <w:color w:val="000000"/>
          <w:shd w:val="clear" w:color="auto" w:fill="FFFFFF"/>
        </w:rPr>
        <w:t>o</w:t>
      </w:r>
      <w:r w:rsidR="00C81827" w:rsidRPr="00B7221C">
        <w:rPr>
          <w:rFonts w:ascii="Book Antiqua" w:eastAsia="Book Antiqua" w:hAnsi="Book Antiqua" w:cs="Book Antiqua"/>
          <w:color w:val="000000"/>
          <w:shd w:val="clear" w:color="auto" w:fill="FFFFFF"/>
        </w:rPr>
        <w:t xml:space="preserve">ne </w:t>
      </w:r>
      <w:r w:rsidRPr="00B7221C">
        <w:rPr>
          <w:rFonts w:ascii="Book Antiqua" w:eastAsia="Book Antiqua" w:hAnsi="Book Antiqua" w:cs="Book Antiqua"/>
          <w:color w:val="000000"/>
          <w:shd w:val="clear" w:color="auto" w:fill="FFFFFF"/>
        </w:rPr>
        <w:t xml:space="preserve">at the submucosa and the other associated with the muscularis propria. Together, these two plexuses sense the inflammatory and local microbial </w:t>
      </w:r>
      <w:r w:rsidR="001337CC">
        <w:rPr>
          <w:rFonts w:ascii="Book Antiqua" w:eastAsia="Book Antiqua" w:hAnsi="Book Antiqua" w:cs="Book Antiqua"/>
          <w:color w:val="000000"/>
          <w:shd w:val="clear" w:color="auto" w:fill="FFFFFF"/>
        </w:rPr>
        <w:t>milieu</w:t>
      </w:r>
      <w:r w:rsidRPr="00B7221C">
        <w:rPr>
          <w:rFonts w:ascii="Book Antiqua" w:eastAsia="Book Antiqua" w:hAnsi="Book Antiqua" w:cs="Book Antiqua"/>
          <w:color w:val="000000"/>
          <w:shd w:val="clear" w:color="auto" w:fill="FFFFFF"/>
        </w:rPr>
        <w:t xml:space="preserve">. </w:t>
      </w:r>
      <w:r w:rsidR="001337CC">
        <w:rPr>
          <w:rFonts w:ascii="Book Antiqua" w:eastAsia="Book Antiqua" w:hAnsi="Book Antiqua" w:cs="Book Antiqua"/>
          <w:color w:val="000000"/>
          <w:shd w:val="clear" w:color="auto" w:fill="FFFFFF"/>
        </w:rPr>
        <w:t>The ENS can regulate many aspects of CNS health and behavior through</w:t>
      </w:r>
      <w:r w:rsidRPr="00B7221C">
        <w:rPr>
          <w:rFonts w:ascii="Book Antiqua" w:eastAsia="Book Antiqua" w:hAnsi="Book Antiqua" w:cs="Book Antiqua"/>
          <w:color w:val="000000"/>
          <w:shd w:val="clear" w:color="auto" w:fill="FFFFFF"/>
        </w:rPr>
        <w:t xml:space="preserve"> the production of inflammatory mediators, hormones, and direct neuronal innervation of the vagus nerve from the medulla </w:t>
      </w:r>
      <w:proofErr w:type="gramStart"/>
      <w:r w:rsidRPr="00B7221C">
        <w:rPr>
          <w:rFonts w:ascii="Book Antiqua" w:eastAsia="Book Antiqua" w:hAnsi="Book Antiqua" w:cs="Book Antiqua"/>
          <w:color w:val="000000"/>
          <w:shd w:val="clear" w:color="auto" w:fill="FFFFFF"/>
        </w:rPr>
        <w:t>oblongata</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"_ENREF_126" \o "Spencer, 2020 #90" </w:instrText>
      </w:r>
      <w:r w:rsidR="005B0234">
        <w:fldChar w:fldCharType="separate"/>
      </w:r>
      <w:r w:rsidRPr="00B7221C">
        <w:rPr>
          <w:rFonts w:ascii="Book Antiqua" w:eastAsia="Book Antiqua" w:hAnsi="Book Antiqua" w:cs="Book Antiqua"/>
          <w:color w:val="000000"/>
          <w:shd w:val="clear" w:color="auto" w:fill="FFFFFF"/>
          <w:vertAlign w:val="superscript"/>
        </w:rPr>
        <w:t>126</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27" w:tooltip="Sharkey, 2018 #91" w:history="1">
        <w:r w:rsidRPr="00B7221C">
          <w:rPr>
            <w:rFonts w:ascii="Book Antiqua" w:eastAsia="Book Antiqua" w:hAnsi="Book Antiqua" w:cs="Book Antiqua"/>
            <w:color w:val="000000"/>
            <w:shd w:val="clear" w:color="auto" w:fill="FFFFFF"/>
            <w:vertAlign w:val="superscript"/>
          </w:rPr>
          <w:t>127</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00910D2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The release of short-chain fatty acids by gut commensal bacteria improves the </w:t>
      </w:r>
      <w:r w:rsidR="004B09E2" w:rsidRPr="00B7221C">
        <w:rPr>
          <w:rFonts w:ascii="Book Antiqua" w:eastAsia="Book Antiqua" w:hAnsi="Book Antiqua" w:cs="Book Antiqua"/>
          <w:color w:val="000000"/>
          <w:shd w:val="clear" w:color="auto" w:fill="FFFFFF"/>
        </w:rPr>
        <w:t>BBB</w:t>
      </w:r>
      <w:r w:rsidRPr="00B7221C">
        <w:rPr>
          <w:rFonts w:ascii="Book Antiqua" w:eastAsia="Book Antiqua" w:hAnsi="Book Antiqua" w:cs="Book Antiqua"/>
          <w:color w:val="000000"/>
          <w:shd w:val="clear" w:color="auto" w:fill="FFFFFF"/>
        </w:rPr>
        <w:t xml:space="preserve">'s integrity, reduces inflammation signaling in microglia/astrocytes, and enhances neurogenesis within neurons. Collectively, this promotes reduced aging, better memory, and improved cognitive </w:t>
      </w:r>
      <w:proofErr w:type="gramStart"/>
      <w:r w:rsidRPr="00B7221C">
        <w:rPr>
          <w:rFonts w:ascii="Book Antiqua" w:eastAsia="Book Antiqua" w:hAnsi="Book Antiqua" w:cs="Book Antiqua"/>
          <w:color w:val="000000"/>
          <w:shd w:val="clear" w:color="auto" w:fill="FFFFFF"/>
        </w:rPr>
        <w:t>development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"_ENREF_128" \o "Silva, 2020 #92" </w:instrText>
      </w:r>
      <w:r w:rsidR="005B0234">
        <w:fldChar w:fldCharType="separate"/>
      </w:r>
      <w:r w:rsidRPr="00B7221C">
        <w:rPr>
          <w:rFonts w:ascii="Book Antiqua" w:eastAsia="Book Antiqua" w:hAnsi="Book Antiqua" w:cs="Book Antiqua"/>
          <w:color w:val="000000"/>
          <w:shd w:val="clear" w:color="auto" w:fill="FFFFFF"/>
          <w:vertAlign w:val="superscript"/>
        </w:rPr>
        <w:t>128</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0EAC492" w14:textId="7ED4DE4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lastRenderedPageBreak/>
        <w:t xml:space="preserve">During gut inflammation, as exemplified with IBD, </w:t>
      </w:r>
      <w:r w:rsidRPr="00B7221C">
        <w:rPr>
          <w:rFonts w:ascii="Book Antiqua" w:eastAsia="Book Antiqua" w:hAnsi="Book Antiqua" w:cs="Book Antiqua"/>
          <w:color w:val="000000"/>
        </w:rPr>
        <w:t>distorted microbiota populations drive mucosal myeloid cells' activation and subsequent release of pro-inflammatory cytokines that sustain epithelial gut damage. In turn, this activates a cascade of gut pain sensory pathways, dysregulates the enteric nervous system</w:t>
      </w:r>
      <w:r w:rsidR="001337CC">
        <w:rPr>
          <w:rFonts w:ascii="Book Antiqua" w:eastAsia="Book Antiqua" w:hAnsi="Book Antiqua" w:cs="Book Antiqua"/>
          <w:color w:val="000000"/>
        </w:rPr>
        <w:t>,</w:t>
      </w:r>
      <w:r w:rsidRPr="00B7221C">
        <w:rPr>
          <w:rFonts w:ascii="Book Antiqua" w:eastAsia="Book Antiqua" w:hAnsi="Book Antiqua" w:cs="Book Antiqua"/>
          <w:color w:val="000000"/>
          <w:vertAlign w:val="superscript"/>
        </w:rPr>
        <w:t xml:space="preserve"> </w:t>
      </w:r>
      <w:r w:rsidRPr="00B7221C">
        <w:rPr>
          <w:rFonts w:ascii="Book Antiqua" w:eastAsia="Book Antiqua" w:hAnsi="Book Antiqua" w:cs="Book Antiqua"/>
          <w:color w:val="000000"/>
        </w:rPr>
        <w:t xml:space="preserve">and simultaneous gut-brain </w:t>
      </w:r>
      <w:proofErr w:type="gramStart"/>
      <w:r w:rsidRPr="00B7221C">
        <w:rPr>
          <w:rFonts w:ascii="Book Antiqua" w:eastAsia="Book Antiqua" w:hAnsi="Book Antiqua" w:cs="Book Antiqua"/>
          <w:color w:val="000000"/>
        </w:rPr>
        <w:t>dysfunctions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"_ENREF_129" \o "Mayer, 2014 #93" </w:instrText>
      </w:r>
      <w:r w:rsidR="005B0234">
        <w:fldChar w:fldCharType="separate"/>
      </w:r>
      <w:r w:rsidRPr="00B7221C">
        <w:rPr>
          <w:rFonts w:ascii="Book Antiqua" w:eastAsia="Book Antiqua" w:hAnsi="Book Antiqua" w:cs="Book Antiqua"/>
          <w:color w:val="000000"/>
          <w:vertAlign w:val="superscript"/>
        </w:rPr>
        <w:t>129-132</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shd w:val="clear" w:color="auto" w:fill="FFFFFF"/>
        </w:rPr>
        <w:t xml:space="preserve">Besides distortion of the lung-gut axis, SARS-CoV-2 dysbiosis of the microbiome could also negatively impact other organs such as the brain. SARS-CoV-2 diminishes crosstalk with the brain by depleting crucial short-chain fatty acid-producing bacteria within the gut </w:t>
      </w:r>
      <w:proofErr w:type="gramStart"/>
      <w:r w:rsidRPr="00B7221C">
        <w:rPr>
          <w:rFonts w:ascii="Book Antiqua" w:eastAsia="Book Antiqua" w:hAnsi="Book Antiqua" w:cs="Book Antiqua"/>
          <w:color w:val="000000"/>
          <w:shd w:val="clear" w:color="auto" w:fill="FFFFFF"/>
        </w:rPr>
        <w:t>microbiome</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"_ENREF_117" \o "Zuo, 2021 #55" </w:instrText>
      </w:r>
      <w:r w:rsidR="005B0234">
        <w:fldChar w:fldCharType="separate"/>
      </w:r>
      <w:r w:rsidRPr="00B7221C">
        <w:rPr>
          <w:rFonts w:ascii="Book Antiqua" w:eastAsia="Book Antiqua" w:hAnsi="Book Antiqua" w:cs="Book Antiqua"/>
          <w:color w:val="000000"/>
          <w:shd w:val="clear" w:color="auto" w:fill="FFFFFF"/>
          <w:vertAlign w:val="superscript"/>
        </w:rPr>
        <w:t>117</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005E671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(Figure 3). Furthermore, SARS-CoV-2 has been shown to gain access to the brain by</w:t>
      </w:r>
      <w:r w:rsidRPr="00B7221C">
        <w:rPr>
          <w:rFonts w:ascii="Book Antiqua" w:eastAsia="Book Antiqua" w:hAnsi="Book Antiqua" w:cs="Book Antiqua"/>
          <w:color w:val="000000"/>
        </w:rPr>
        <w:t xml:space="preserve"> crossing the neural–mucosal interface in olfactory mucosa, where the olfactory mucosal, endothelial</w:t>
      </w:r>
      <w:r w:rsidR="000237EA">
        <w:rPr>
          <w:rFonts w:ascii="Book Antiqua" w:eastAsia="Book Antiqua" w:hAnsi="Book Antiqua" w:cs="Book Antiqua"/>
          <w:color w:val="000000"/>
        </w:rPr>
        <w:t>,</w:t>
      </w:r>
      <w:r w:rsidRPr="00B7221C">
        <w:rPr>
          <w:rFonts w:ascii="Book Antiqua" w:eastAsia="Book Antiqua" w:hAnsi="Book Antiqua" w:cs="Book Antiqua"/>
          <w:color w:val="000000"/>
        </w:rPr>
        <w:t xml:space="preserve"> and nervous tissue are closely </w:t>
      </w:r>
      <w:proofErr w:type="gramStart"/>
      <w:r w:rsidRPr="00B7221C">
        <w:rPr>
          <w:rFonts w:ascii="Book Antiqua" w:eastAsia="Book Antiqua" w:hAnsi="Book Antiqua" w:cs="Book Antiqua"/>
          <w:color w:val="000000"/>
        </w:rPr>
        <w:t>intertwined</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"_ENREF_133" \o "Meinhardt, 2021 #97" </w:instrText>
      </w:r>
      <w:r w:rsidR="005B0234">
        <w:fldChar w:fldCharType="separate"/>
      </w:r>
      <w:r w:rsidRPr="00B7221C">
        <w:rPr>
          <w:rFonts w:ascii="Book Antiqua" w:eastAsia="Book Antiqua" w:hAnsi="Book Antiqua" w:cs="Book Antiqua"/>
          <w:color w:val="000000"/>
          <w:vertAlign w:val="superscript"/>
        </w:rPr>
        <w:t>133</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After this, SARS-CoV-2 </w:t>
      </w:r>
      <w:r w:rsidR="007F7E42">
        <w:rPr>
          <w:rFonts w:ascii="Book Antiqua" w:eastAsia="Book Antiqua" w:hAnsi="Book Antiqua" w:cs="Book Antiqua"/>
          <w:color w:val="000000"/>
          <w:shd w:val="clear" w:color="auto" w:fill="FFFFFF"/>
        </w:rPr>
        <w:t>l</w:t>
      </w:r>
      <w:r w:rsidRPr="00B7221C">
        <w:rPr>
          <w:rFonts w:ascii="Book Antiqua" w:eastAsia="Book Antiqua" w:hAnsi="Book Antiqua" w:cs="Book Antiqua"/>
          <w:color w:val="000000"/>
          <w:shd w:val="clear" w:color="auto" w:fill="FFFFFF"/>
        </w:rPr>
        <w:t>ocalizes within the medulla</w:t>
      </w:r>
      <w:r w:rsidR="001337C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where </w:t>
      </w:r>
      <w:r w:rsidRPr="00B7221C">
        <w:rPr>
          <w:rFonts w:ascii="Book Antiqua" w:eastAsia="Book Antiqua" w:hAnsi="Book Antiqua" w:cs="Book Antiqua"/>
          <w:color w:val="000000"/>
        </w:rPr>
        <w:t xml:space="preserve">respiratory and cardiovascular activities are </w:t>
      </w:r>
      <w:proofErr w:type="gramStart"/>
      <w:r w:rsidRPr="00B7221C">
        <w:rPr>
          <w:rFonts w:ascii="Book Antiqua" w:eastAsia="Book Antiqua" w:hAnsi="Book Antiqua" w:cs="Book Antiqua"/>
          <w:color w:val="000000"/>
        </w:rPr>
        <w:t>controlled</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"_ENREF_133" \o "Meinhardt, 2021 #97" </w:instrText>
      </w:r>
      <w:r w:rsidR="005B0234">
        <w:fldChar w:fldCharType="separate"/>
      </w:r>
      <w:r w:rsidRPr="00B7221C">
        <w:rPr>
          <w:rFonts w:ascii="Book Antiqua" w:eastAsia="Book Antiqua" w:hAnsi="Book Antiqua" w:cs="Book Antiqua"/>
          <w:color w:val="000000"/>
          <w:vertAlign w:val="superscript"/>
        </w:rPr>
        <w:t>133-135</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Thus</w:t>
      </w:r>
      <w:r w:rsidR="007F7E42">
        <w:rPr>
          <w:rFonts w:ascii="Book Antiqua" w:eastAsia="Book Antiqua" w:hAnsi="Book Antiqua" w:cs="Book Antiqua"/>
          <w:color w:val="000000"/>
        </w:rPr>
        <w:t>,</w:t>
      </w:r>
      <w:r w:rsidRPr="00B7221C">
        <w:rPr>
          <w:rFonts w:ascii="Book Antiqua" w:eastAsia="Book Antiqua" w:hAnsi="Book Antiqua" w:cs="Book Antiqua"/>
          <w:color w:val="000000"/>
        </w:rPr>
        <w:t xml:space="preserve"> this could account for the neurological symptoms such as loss of smell and taste, persistent headaches, confusion, cerebrovascular disease, muscle pain, ataxia, seizures, and dizziness observed in COVID</w:t>
      </w:r>
      <w:r w:rsidR="007F7E42">
        <w:rPr>
          <w:rFonts w:ascii="Book Antiqua" w:eastAsia="Book Antiqua" w:hAnsi="Book Antiqua" w:cs="Book Antiqua"/>
          <w:color w:val="000000"/>
        </w:rPr>
        <w:t>-19</w:t>
      </w:r>
      <w:r w:rsidRPr="00B7221C">
        <w:rPr>
          <w:rFonts w:ascii="Book Antiqua" w:eastAsia="Book Antiqua" w:hAnsi="Book Antiqua" w:cs="Book Antiqua"/>
          <w:color w:val="000000"/>
        </w:rPr>
        <w:t xml:space="preserve"> </w:t>
      </w:r>
      <w:proofErr w:type="gramStart"/>
      <w:r w:rsidRPr="00B7221C">
        <w:rPr>
          <w:rFonts w:ascii="Book Antiqua" w:eastAsia="Book Antiqua" w:hAnsi="Book Antiqua" w:cs="Book Antiqua"/>
          <w:color w:val="000000"/>
        </w:rPr>
        <w:t>patients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"_ENREF_136" \o "Acharya, 2020 #100" </w:instrText>
      </w:r>
      <w:r w:rsidR="005B0234">
        <w:fldChar w:fldCharType="separate"/>
      </w:r>
      <w:r w:rsidRPr="00B7221C">
        <w:rPr>
          <w:rFonts w:ascii="Book Antiqua" w:eastAsia="Book Antiqua" w:hAnsi="Book Antiqua" w:cs="Book Antiqua"/>
          <w:color w:val="000000"/>
          <w:vertAlign w:val="superscript"/>
        </w:rPr>
        <w:t>136</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The CNS also supports gut function making the gut-brain axis bi-</w:t>
      </w:r>
      <w:proofErr w:type="gramStart"/>
      <w:r w:rsidRPr="00B7221C">
        <w:rPr>
          <w:rFonts w:ascii="Book Antiqua" w:eastAsia="Book Antiqua" w:hAnsi="Book Antiqua" w:cs="Book Antiqua"/>
          <w:color w:val="000000"/>
        </w:rPr>
        <w:t>directional</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"_ENREF_137" \o "Bercik, 2012 #101" </w:instrText>
      </w:r>
      <w:r w:rsidR="005B0234">
        <w:fldChar w:fldCharType="separate"/>
      </w:r>
      <w:r w:rsidRPr="00B7221C">
        <w:rPr>
          <w:rFonts w:ascii="Book Antiqua" w:eastAsia="Book Antiqua" w:hAnsi="Book Antiqua" w:cs="Book Antiqua"/>
          <w:color w:val="000000"/>
          <w:vertAlign w:val="superscript"/>
        </w:rPr>
        <w:t>137</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138" w:tooltip="Carabotti, 2015 #102" w:history="1">
        <w:r w:rsidRPr="00B7221C">
          <w:rPr>
            <w:rFonts w:ascii="Book Antiqua" w:eastAsia="Book Antiqua" w:hAnsi="Book Antiqua" w:cs="Book Antiqua"/>
            <w:color w:val="000000"/>
            <w:vertAlign w:val="superscript"/>
          </w:rPr>
          <w:t>138</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However, the impact of </w:t>
      </w:r>
      <w:r w:rsidRPr="00B7221C">
        <w:rPr>
          <w:rFonts w:ascii="Book Antiqua" w:eastAsia="Book Antiqua" w:hAnsi="Book Antiqua" w:cs="Book Antiqua"/>
          <w:color w:val="000000"/>
          <w:shd w:val="clear" w:color="auto" w:fill="FFFFFF"/>
        </w:rPr>
        <w:t xml:space="preserve">SARS-CoV-2 pathology within the CNS on the direction of gut functions such as peristalsis, modulation of gut immune responses, and directing digestion is yet to be fully </w:t>
      </w:r>
      <w:proofErr w:type="gramStart"/>
      <w:r w:rsidRPr="00B7221C">
        <w:rPr>
          <w:rFonts w:ascii="Book Antiqua" w:eastAsia="Book Antiqua" w:hAnsi="Book Antiqua" w:cs="Book Antiqua"/>
          <w:color w:val="000000"/>
          <w:shd w:val="clear" w:color="auto" w:fill="FFFFFF"/>
        </w:rPr>
        <w:t>comprehended</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"_ENREF_139" \o "Furness, 2012 #103" </w:instrText>
      </w:r>
      <w:r w:rsidR="005B0234">
        <w:fldChar w:fldCharType="separate"/>
      </w:r>
      <w:r w:rsidRPr="00B7221C">
        <w:rPr>
          <w:rFonts w:ascii="Book Antiqua" w:eastAsia="Book Antiqua" w:hAnsi="Book Antiqua" w:cs="Book Antiqua"/>
          <w:color w:val="000000"/>
          <w:shd w:val="clear" w:color="auto" w:fill="FFFFFF"/>
          <w:vertAlign w:val="superscript"/>
        </w:rPr>
        <w:t>139</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983F2FF" w14:textId="77777777" w:rsidR="00A77B3E" w:rsidRPr="00B7221C" w:rsidRDefault="00A77B3E" w:rsidP="00B7221C">
      <w:pPr>
        <w:spacing w:line="360" w:lineRule="auto"/>
        <w:jc w:val="both"/>
        <w:rPr>
          <w:rFonts w:ascii="Book Antiqua" w:hAnsi="Book Antiqua"/>
        </w:rPr>
      </w:pPr>
    </w:p>
    <w:p w14:paraId="360E184C"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Nicotine receptors, possible therapeutic targets for limiting SARS-CoV-2 damage in the gut and brain</w:t>
      </w:r>
    </w:p>
    <w:p w14:paraId="55C6F885" w14:textId="6ABDEED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Several epidemiological studies from the U</w:t>
      </w:r>
      <w:r w:rsidR="00F16146" w:rsidRPr="00B7221C">
        <w:rPr>
          <w:rFonts w:ascii="Book Antiqua" w:eastAsia="Book Antiqua" w:hAnsi="Book Antiqua" w:cs="Book Antiqua"/>
          <w:color w:val="000000"/>
        </w:rPr>
        <w:t xml:space="preserve">nited </w:t>
      </w:r>
      <w:r w:rsidRPr="00B7221C">
        <w:rPr>
          <w:rFonts w:ascii="Book Antiqua" w:eastAsia="Book Antiqua" w:hAnsi="Book Antiqua" w:cs="Book Antiqua"/>
          <w:color w:val="000000"/>
        </w:rPr>
        <w:t>S</w:t>
      </w:r>
      <w:r w:rsidR="00F16146" w:rsidRPr="00B7221C">
        <w:rPr>
          <w:rFonts w:ascii="Book Antiqua" w:eastAsia="Book Antiqua" w:hAnsi="Book Antiqua" w:cs="Book Antiqua"/>
          <w:color w:val="000000"/>
        </w:rPr>
        <w:t>tates</w:t>
      </w:r>
      <w:r w:rsidRPr="00B7221C">
        <w:rPr>
          <w:rFonts w:ascii="Book Antiqua" w:eastAsia="Book Antiqua" w:hAnsi="Book Antiqua" w:cs="Book Antiqua"/>
          <w:color w:val="000000"/>
        </w:rPr>
        <w:t xml:space="preserve">, Europe, </w:t>
      </w:r>
      <w:r w:rsidR="001337CC">
        <w:rPr>
          <w:rFonts w:ascii="Book Antiqua" w:eastAsia="Book Antiqua" w:hAnsi="Book Antiqua" w:cs="Book Antiqua"/>
          <w:color w:val="000000"/>
        </w:rPr>
        <w:t>and</w:t>
      </w:r>
      <w:r w:rsidRPr="00B7221C">
        <w:rPr>
          <w:rFonts w:ascii="Book Antiqua" w:eastAsia="Book Antiqua" w:hAnsi="Book Antiqua" w:cs="Book Antiqua"/>
          <w:color w:val="000000"/>
        </w:rPr>
        <w:t xml:space="preserve"> south and east Asia have concluded that tobacco smokers have a lower risk of SARS-CoV-2 </w:t>
      </w:r>
      <w:proofErr w:type="gramStart"/>
      <w:r w:rsidRPr="00B7221C">
        <w:rPr>
          <w:rFonts w:ascii="Book Antiqua" w:eastAsia="Book Antiqua" w:hAnsi="Book Antiqua" w:cs="Book Antiqua"/>
          <w:color w:val="000000"/>
        </w:rPr>
        <w:t>infection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"_ENREF_140" \o "Simons, 2020 #306" </w:instrText>
      </w:r>
      <w:r w:rsidR="005B0234">
        <w:fldChar w:fldCharType="separate"/>
      </w:r>
      <w:r w:rsidRPr="00B7221C">
        <w:rPr>
          <w:rFonts w:ascii="Book Antiqua" w:eastAsia="Book Antiqua" w:hAnsi="Book Antiqua" w:cs="Book Antiqua"/>
          <w:color w:val="000000"/>
          <w:vertAlign w:val="superscript"/>
        </w:rPr>
        <w:t>140-144</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Additionally, smokers may also have a reduced risk of significant symptoms once infected with SARS-CoV-2, despite typically experiencing increased morbidity and mortality during other respiratory </w:t>
      </w:r>
      <w:proofErr w:type="gramStart"/>
      <w:r w:rsidRPr="00B7221C">
        <w:rPr>
          <w:rFonts w:ascii="Book Antiqua" w:eastAsia="Book Antiqua" w:hAnsi="Book Antiqua" w:cs="Book Antiqua"/>
          <w:color w:val="000000"/>
        </w:rPr>
        <w:t>infections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"_ENREF_142" \o "Farsalinos, 2021 #308" </w:instrText>
      </w:r>
      <w:r w:rsidR="005B0234">
        <w:fldChar w:fldCharType="separate"/>
      </w:r>
      <w:r w:rsidRPr="00B7221C">
        <w:rPr>
          <w:rFonts w:ascii="Book Antiqua" w:eastAsia="Book Antiqua" w:hAnsi="Book Antiqua" w:cs="Book Antiqua"/>
          <w:color w:val="000000"/>
          <w:vertAlign w:val="superscript"/>
        </w:rPr>
        <w:t>142</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Nicotine is the receptor agonist for nAChRs that contribute to tobacco smoke's addictive and psychoactive properties. In contrast to exogenous nicotine, the endogenous agonist for nAChRs</w:t>
      </w:r>
      <w:r w:rsidR="00922CF2"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ACh is produced by neurons and lymphocytes, an essential neuro-immune modulator. The </w:t>
      </w:r>
      <w:r w:rsidRPr="00B7221C">
        <w:rPr>
          <w:rFonts w:ascii="Book Antiqua" w:eastAsia="Book Antiqua" w:hAnsi="Book Antiqua" w:cs="Book Antiqua"/>
          <w:color w:val="000000"/>
          <w:shd w:val="clear" w:color="auto" w:fill="FFFFFF"/>
        </w:rPr>
        <w:lastRenderedPageBreak/>
        <w:t>α7</w:t>
      </w:r>
      <w:r w:rsidRPr="00B7221C">
        <w:rPr>
          <w:rFonts w:ascii="Book Antiqua" w:eastAsia="Book Antiqua" w:hAnsi="Book Antiqua" w:cs="Book Antiqua"/>
          <w:color w:val="000000"/>
        </w:rPr>
        <w:t>nAChR, in particular, regulates the cholinergic anti-inflammatory response (CAIP</w:t>
      </w:r>
      <w:proofErr w:type="gramStart"/>
      <w:r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"_ENREF_145" \o "Brinkman, 2019 #292" </w:instrText>
      </w:r>
      <w:r w:rsidR="005B0234">
        <w:fldChar w:fldCharType="separate"/>
      </w:r>
      <w:r w:rsidRPr="00B7221C">
        <w:rPr>
          <w:rFonts w:ascii="Book Antiqua" w:eastAsia="Book Antiqua" w:hAnsi="Book Antiqua" w:cs="Book Antiqua"/>
          <w:color w:val="000000"/>
          <w:vertAlign w:val="superscript"/>
        </w:rPr>
        <w:t>145</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During acute inflammation, efferent signals from the CNS induce the release of ACh at the enteric nervous system</w:t>
      </w:r>
      <w:r w:rsidR="001337CC">
        <w:rPr>
          <w:rFonts w:ascii="Book Antiqua" w:eastAsia="Book Antiqua" w:hAnsi="Book Antiqua" w:cs="Book Antiqua"/>
          <w:color w:val="000000"/>
        </w:rPr>
        <w:t>,</w:t>
      </w:r>
      <w:r w:rsidRPr="00B7221C">
        <w:rPr>
          <w:rFonts w:ascii="Book Antiqua" w:eastAsia="Book Antiqua" w:hAnsi="Book Antiqua" w:cs="Book Antiqua"/>
          <w:color w:val="000000"/>
        </w:rPr>
        <w:t xml:space="preserve"> where they modulate T-cell dynamics, including the induction of Tregs and inhibition of Th17 cells and suppression of local inflammation, including the releases of TNF-</w:t>
      </w:r>
      <w:r w:rsidRPr="00B7221C">
        <w:rPr>
          <w:rFonts w:ascii="Book Antiqua" w:eastAsia="Book Antiqua" w:hAnsi="Book Antiqua" w:cs="Book Antiqua"/>
          <w:color w:val="000000"/>
          <w:shd w:val="clear" w:color="auto" w:fill="FFFFFF"/>
        </w:rPr>
        <w:t>α</w:t>
      </w:r>
      <w:r w:rsidRPr="00B7221C">
        <w:rPr>
          <w:rFonts w:ascii="Book Antiqua" w:eastAsia="Book Antiqua" w:hAnsi="Book Antiqua" w:cs="Book Antiqua"/>
          <w:color w:val="000000"/>
        </w:rPr>
        <w:t>, IL-1</w:t>
      </w:r>
      <w:r w:rsidRPr="00B7221C">
        <w:rPr>
          <w:rFonts w:ascii="Book Antiqua" w:eastAsia="Book Antiqua" w:hAnsi="Book Antiqua" w:cs="Book Antiqua"/>
          <w:color w:val="000000"/>
          <w:shd w:val="clear" w:color="auto" w:fill="FFFFFF"/>
        </w:rPr>
        <w:t>β</w:t>
      </w:r>
      <w:r w:rsidRPr="00B7221C">
        <w:rPr>
          <w:rFonts w:ascii="Book Antiqua" w:eastAsia="Book Antiqua" w:hAnsi="Book Antiqua" w:cs="Book Antiqua"/>
          <w:color w:val="000000"/>
        </w:rPr>
        <w:t>, and HMGB1</w:t>
      </w:r>
      <w:r w:rsidR="004D52FA" w:rsidRPr="00B7221C">
        <w:rPr>
          <w:rFonts w:ascii="Book Antiqua" w:eastAsia="Book Antiqua" w:hAnsi="Book Antiqua" w:cs="Book Antiqua"/>
          <w:color w:val="000000"/>
          <w:vertAlign w:val="superscript"/>
        </w:rPr>
        <w:t>[</w:t>
      </w:r>
      <w:hyperlink w:anchor="_ENREF_146" w:tooltip="Galitovskiy, 2011 #293" w:history="1">
        <w:r w:rsidRPr="00B7221C">
          <w:rPr>
            <w:rFonts w:ascii="Book Antiqua" w:eastAsia="Book Antiqua" w:hAnsi="Book Antiqua" w:cs="Book Antiqua"/>
            <w:color w:val="000000"/>
            <w:vertAlign w:val="superscript"/>
          </w:rPr>
          <w:t>146</w:t>
        </w:r>
      </w:hyperlink>
      <w:r w:rsidRPr="00B7221C">
        <w:rPr>
          <w:rFonts w:ascii="Book Antiqua" w:eastAsia="Book Antiqua" w:hAnsi="Book Antiqua" w:cs="Book Antiqua"/>
          <w:color w:val="000000"/>
          <w:vertAlign w:val="superscript"/>
        </w:rPr>
        <w:t>,</w:t>
      </w:r>
      <w:hyperlink w:anchor="_ENREF_147" w:tooltip="Matteoli, 2013 #294" w:history="1">
        <w:r w:rsidRPr="00B7221C">
          <w:rPr>
            <w:rFonts w:ascii="Book Antiqua" w:eastAsia="Book Antiqua" w:hAnsi="Book Antiqua" w:cs="Book Antiqua"/>
            <w:color w:val="000000"/>
            <w:vertAlign w:val="superscript"/>
          </w:rPr>
          <w:t>147</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One hypothesis for nicotine's inhibitory effects is that exogenous </w:t>
      </w:r>
      <w:r w:rsidRPr="00B7221C">
        <w:rPr>
          <w:rFonts w:ascii="Book Antiqua" w:eastAsia="Book Antiqua" w:hAnsi="Book Antiqua" w:cs="Book Antiqua"/>
          <w:color w:val="000000"/>
          <w:shd w:val="clear" w:color="auto" w:fill="FFFFFF"/>
        </w:rPr>
        <w:t>α7</w:t>
      </w:r>
      <w:r w:rsidRPr="00B7221C">
        <w:rPr>
          <w:rFonts w:ascii="Book Antiqua" w:eastAsia="Book Antiqua" w:hAnsi="Book Antiqua" w:cs="Book Antiqua"/>
          <w:color w:val="000000"/>
        </w:rPr>
        <w:t xml:space="preserve">nAChR agonists recapitulate the effects of ACh release by the vagus nerve, thereby reducing cytokine storm </w:t>
      </w:r>
      <w:r w:rsidR="00354142" w:rsidRPr="00B7221C">
        <w:rPr>
          <w:rFonts w:ascii="Book Antiqua" w:eastAsia="Book Antiqua" w:hAnsi="Book Antiqua" w:cs="Book Antiqua"/>
          <w:color w:val="000000"/>
        </w:rPr>
        <w:t xml:space="preserve">risk </w:t>
      </w:r>
      <w:r w:rsidRPr="00B7221C">
        <w:rPr>
          <w:rFonts w:ascii="Book Antiqua" w:eastAsia="Book Antiqua" w:hAnsi="Book Antiqua" w:cs="Book Antiqua"/>
          <w:color w:val="000000"/>
        </w:rPr>
        <w:t xml:space="preserve">both locally at the </w:t>
      </w:r>
      <w:r w:rsidR="001337CC">
        <w:rPr>
          <w:rFonts w:ascii="Book Antiqua" w:eastAsia="Book Antiqua" w:hAnsi="Book Antiqua" w:cs="Book Antiqua"/>
          <w:color w:val="000000"/>
        </w:rPr>
        <w:t>inhalation site</w:t>
      </w:r>
      <w:r w:rsidRPr="00B7221C">
        <w:rPr>
          <w:rFonts w:ascii="Book Antiqua" w:eastAsia="Book Antiqua" w:hAnsi="Book Antiqua" w:cs="Book Antiqua"/>
          <w:color w:val="000000"/>
        </w:rPr>
        <w:t xml:space="preserve"> (the lungs) and systemically, including in the gut. This mechanism may be a likely reason nicotine improves ulcerative colitis </w:t>
      </w:r>
      <w:proofErr w:type="gramStart"/>
      <w:r w:rsidRPr="00B7221C">
        <w:rPr>
          <w:rFonts w:ascii="Book Antiqua" w:eastAsia="Book Antiqua" w:hAnsi="Book Antiqua" w:cs="Book Antiqua"/>
          <w:color w:val="000000"/>
        </w:rPr>
        <w:t>symptoms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"_ENREF_146" \o "Galitovskiy, 2011 #293" </w:instrText>
      </w:r>
      <w:r w:rsidR="005B0234">
        <w:fldChar w:fldCharType="separate"/>
      </w:r>
      <w:r w:rsidRPr="00B7221C">
        <w:rPr>
          <w:rFonts w:ascii="Book Antiqua" w:eastAsia="Book Antiqua" w:hAnsi="Book Antiqua" w:cs="Book Antiqua"/>
          <w:color w:val="000000"/>
          <w:vertAlign w:val="superscript"/>
        </w:rPr>
        <w:t>146</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148" w:tooltip="Lunney, 2012 #295" w:history="1">
        <w:r w:rsidRPr="00B7221C">
          <w:rPr>
            <w:rFonts w:ascii="Book Antiqua" w:eastAsia="Book Antiqua" w:hAnsi="Book Antiqua" w:cs="Book Antiqua"/>
            <w:color w:val="000000"/>
            <w:vertAlign w:val="superscript"/>
          </w:rPr>
          <w:t>148</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The argument for cholinergic modulation is made even more compelling when considering that neither smoking nor nicotine consumption decreases ACE2 or TMPRSS2 and may increase their expression in the lower airways</w:t>
      </w:r>
      <w:r w:rsidR="004D52FA" w:rsidRPr="00B7221C">
        <w:rPr>
          <w:rFonts w:ascii="Book Antiqua" w:eastAsia="Book Antiqua" w:hAnsi="Book Antiqua" w:cs="Book Antiqua"/>
          <w:color w:val="000000"/>
          <w:vertAlign w:val="superscript"/>
        </w:rPr>
        <w:t>[</w:t>
      </w:r>
      <w:hyperlink w:anchor="_ENREF_149" w:tooltip="Aliee, 2020 #296" w:history="1">
        <w:r w:rsidRPr="00B7221C">
          <w:rPr>
            <w:rFonts w:ascii="Book Antiqua" w:eastAsia="Book Antiqua" w:hAnsi="Book Antiqua" w:cs="Book Antiqua"/>
            <w:color w:val="000000"/>
            <w:vertAlign w:val="superscript"/>
          </w:rPr>
          <w:t>149</w:t>
        </w:r>
      </w:hyperlink>
      <w:r w:rsidRPr="00B7221C">
        <w:rPr>
          <w:rFonts w:ascii="Book Antiqua" w:eastAsia="Book Antiqua" w:hAnsi="Book Antiqua" w:cs="Book Antiqua"/>
          <w:color w:val="000000"/>
          <w:vertAlign w:val="superscript"/>
        </w:rPr>
        <w:t>,</w:t>
      </w:r>
      <w:hyperlink w:anchor="_ENREF_150" w:tooltip="Voinsky, 2020 #297" w:history="1">
        <w:r w:rsidRPr="00B7221C">
          <w:rPr>
            <w:rFonts w:ascii="Book Antiqua" w:eastAsia="Book Antiqua" w:hAnsi="Book Antiqua" w:cs="Book Antiqua"/>
            <w:color w:val="000000"/>
            <w:vertAlign w:val="superscript"/>
          </w:rPr>
          <w:t>150</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COVID-19 patients should not be encouraged to smoke or consume nicotine. However, alternative methods of modulating the CAIP have been suggested. Vagus nerve stimulation (VNS) </w:t>
      </w:r>
      <w:r w:rsidR="001337CC">
        <w:rPr>
          <w:rFonts w:ascii="Book Antiqua" w:eastAsia="Book Antiqua" w:hAnsi="Book Antiqua" w:cs="Book Antiqua"/>
          <w:color w:val="000000"/>
        </w:rPr>
        <w:t>delivers</w:t>
      </w:r>
      <w:r w:rsidRPr="00B7221C">
        <w:rPr>
          <w:rFonts w:ascii="Book Antiqua" w:eastAsia="Book Antiqua" w:hAnsi="Book Antiqua" w:cs="Book Antiqua"/>
          <w:color w:val="000000"/>
        </w:rPr>
        <w:t xml:space="preserve"> electrical impulses to the left vagus nerve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a small device implanted below the collar bone currently used to treat treatment-resistant epilepsy and major depressive disorder. However, less-invasive transcutaneous auricular VNS is being developed.</w:t>
      </w:r>
      <w:r w:rsidR="004D2DB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Although more extensive clinical studies are ongoing, case studies have indicated possible </w:t>
      </w:r>
      <w:r w:rsidR="001337CC">
        <w:rPr>
          <w:rFonts w:ascii="Book Antiqua" w:eastAsia="Book Antiqua" w:hAnsi="Book Antiqua" w:cs="Book Antiqua"/>
          <w:color w:val="000000"/>
        </w:rPr>
        <w:t>benefits</w:t>
      </w:r>
      <w:r w:rsidRPr="00B7221C">
        <w:rPr>
          <w:rFonts w:ascii="Book Antiqua" w:eastAsia="Book Antiqua" w:hAnsi="Book Antiqua" w:cs="Book Antiqua"/>
          <w:color w:val="000000"/>
        </w:rPr>
        <w:t xml:space="preserve"> in reducing plasma IL-6 </w:t>
      </w:r>
      <w:r w:rsidR="007F7E42">
        <w:rPr>
          <w:rFonts w:ascii="Book Antiqua" w:eastAsia="Book Antiqua" w:hAnsi="Book Antiqua" w:cs="Book Antiqua"/>
          <w:color w:val="000000"/>
        </w:rPr>
        <w:t>l</w:t>
      </w:r>
      <w:r w:rsidRPr="00B7221C">
        <w:rPr>
          <w:rFonts w:ascii="Book Antiqua" w:eastAsia="Book Antiqua" w:hAnsi="Book Antiqua" w:cs="Book Antiqua"/>
          <w:color w:val="000000"/>
        </w:rPr>
        <w:t xml:space="preserve">evels when using these </w:t>
      </w:r>
      <w:proofErr w:type="gramStart"/>
      <w:r w:rsidRPr="00B7221C">
        <w:rPr>
          <w:rFonts w:ascii="Book Antiqua" w:eastAsia="Book Antiqua" w:hAnsi="Book Antiqua" w:cs="Book Antiqua"/>
          <w:color w:val="000000"/>
        </w:rPr>
        <w:t>devices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"_ENREF_151" \o "Boezaart, 2021 #289" </w:instrText>
      </w:r>
      <w:r w:rsidR="005B0234">
        <w:fldChar w:fldCharType="separate"/>
      </w:r>
      <w:r w:rsidRPr="00B7221C">
        <w:rPr>
          <w:rFonts w:ascii="Book Antiqua" w:eastAsia="Book Antiqua" w:hAnsi="Book Antiqua" w:cs="Book Antiqua"/>
          <w:color w:val="000000"/>
          <w:vertAlign w:val="superscript"/>
        </w:rPr>
        <w:t>151</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Alternatively, </w:t>
      </w:r>
      <w:r w:rsidRPr="00B7221C">
        <w:rPr>
          <w:rFonts w:ascii="Book Antiqua" w:eastAsia="Book Antiqua" w:hAnsi="Book Antiqua" w:cs="Book Antiqua"/>
          <w:color w:val="000000"/>
          <w:shd w:val="clear" w:color="auto" w:fill="FFFFFF"/>
        </w:rPr>
        <w:t xml:space="preserve">α7nAChR agonists or acetylcholinesterase inhibitors have been proposed to reduce systemic </w:t>
      </w:r>
      <w:proofErr w:type="gramStart"/>
      <w:r w:rsidRPr="00B7221C">
        <w:rPr>
          <w:rFonts w:ascii="Book Antiqua" w:eastAsia="Book Antiqua" w:hAnsi="Book Antiqua" w:cs="Book Antiqua"/>
          <w:color w:val="000000"/>
          <w:shd w:val="clear" w:color="auto" w:fill="FFFFFF"/>
        </w:rPr>
        <w:t>inflammation</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"_ENREF_152" \o "Ahmad, 2020 #290" </w:instrText>
      </w:r>
      <w:r w:rsidR="005B0234">
        <w:fldChar w:fldCharType="separate"/>
      </w:r>
      <w:r w:rsidRPr="00B7221C">
        <w:rPr>
          <w:rFonts w:ascii="Book Antiqua" w:eastAsia="Book Antiqua" w:hAnsi="Book Antiqua" w:cs="Book Antiqua"/>
          <w:color w:val="000000"/>
          <w:shd w:val="clear" w:color="auto" w:fill="FFFFFF"/>
          <w:vertAlign w:val="superscript"/>
        </w:rPr>
        <w:t>152</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53" w:tooltip="Douaoui, 2020 #311" w:history="1">
        <w:r w:rsidRPr="00B7221C">
          <w:rPr>
            <w:rFonts w:ascii="Book Antiqua" w:eastAsia="Book Antiqua" w:hAnsi="Book Antiqua" w:cs="Book Antiqua"/>
            <w:color w:val="000000"/>
            <w:shd w:val="clear" w:color="auto" w:fill="FFFFFF"/>
            <w:vertAlign w:val="superscript"/>
          </w:rPr>
          <w:t>153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4D38E925" w14:textId="57503000"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A recent report describing ACE2 and TMPRSS2 expression during chronic vagus nerve stimulation showed no changes in either protein or enterocytes</w:t>
      </w:r>
      <w:r w:rsidR="004D52FA" w:rsidRPr="00B7221C">
        <w:rPr>
          <w:rFonts w:ascii="Book Antiqua" w:eastAsia="Book Antiqua" w:hAnsi="Book Antiqua" w:cs="Book Antiqua"/>
          <w:color w:val="000000"/>
          <w:vertAlign w:val="superscript"/>
        </w:rPr>
        <w:t>[</w:t>
      </w:r>
      <w:hyperlink w:anchor="_ENREF_154" w:tooltip="Ten Hove, 2020 #288" w:history="1">
        <w:r w:rsidRPr="00B7221C">
          <w:rPr>
            <w:rFonts w:ascii="Book Antiqua" w:eastAsia="Book Antiqua" w:hAnsi="Book Antiqua" w:cs="Book Antiqua"/>
            <w:color w:val="000000"/>
            <w:vertAlign w:val="superscript"/>
          </w:rPr>
          <w:t>154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although each gene was strongly correlated with CHRNA7 gene expression RNA-seq</w:t>
      </w:r>
      <w:r w:rsidR="004D52FA" w:rsidRPr="00B7221C">
        <w:rPr>
          <w:rFonts w:ascii="Book Antiqua" w:eastAsia="Book Antiqua" w:hAnsi="Book Antiqua" w:cs="Book Antiqua"/>
          <w:color w:val="000000"/>
          <w:vertAlign w:val="superscript"/>
        </w:rPr>
        <w:t>[</w:t>
      </w:r>
      <w:hyperlink w:anchor="_ENREF_154" w:tooltip="Ten Hove, 2020 #288" w:history="1">
        <w:r w:rsidRPr="00B7221C">
          <w:rPr>
            <w:rFonts w:ascii="Book Antiqua" w:eastAsia="Book Antiqua" w:hAnsi="Book Antiqua" w:cs="Book Antiqua"/>
            <w:color w:val="000000"/>
            <w:vertAlign w:val="superscript"/>
          </w:rPr>
          <w:t>154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Another report separately described how the spike glycoprotein's receptor-binding domain on SARS-CoV-2 possesses significant structural homology with α-bungarotoxin, a neurotoxin produced by kraits that target </w:t>
      </w:r>
      <w:r w:rsidRPr="00B7221C">
        <w:rPr>
          <w:rFonts w:ascii="Book Antiqua" w:eastAsia="Book Antiqua" w:hAnsi="Book Antiqua" w:cs="Book Antiqua"/>
          <w:color w:val="000000"/>
          <w:shd w:val="clear" w:color="auto" w:fill="FFFFFF"/>
        </w:rPr>
        <w:t>α7</w:t>
      </w:r>
      <w:r w:rsidRPr="00B7221C">
        <w:rPr>
          <w:rFonts w:ascii="Book Antiqua" w:eastAsia="Book Antiqua" w:hAnsi="Book Antiqua" w:cs="Book Antiqua"/>
          <w:color w:val="000000"/>
        </w:rPr>
        <w:t xml:space="preserve">nAChR, the product of CHRNA7 </w:t>
      </w:r>
      <w:proofErr w:type="gramStart"/>
      <w:r w:rsidRPr="00B7221C">
        <w:rPr>
          <w:rFonts w:ascii="Book Antiqua" w:eastAsia="Book Antiqua" w:hAnsi="Book Antiqua" w:cs="Book Antiqua"/>
          <w:color w:val="000000"/>
        </w:rPr>
        <w:t>translation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"_ENREF_155" \o "Farsalinos, 2020 #298" </w:instrText>
      </w:r>
      <w:r w:rsidR="005B0234">
        <w:fldChar w:fldCharType="separate"/>
      </w:r>
      <w:r w:rsidRPr="00B7221C">
        <w:rPr>
          <w:rFonts w:ascii="Book Antiqua" w:eastAsia="Book Antiqua" w:hAnsi="Book Antiqua" w:cs="Book Antiqua"/>
          <w:color w:val="000000"/>
          <w:vertAlign w:val="superscript"/>
        </w:rPr>
        <w:t>155</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In their discussion, the authors suggest this homology blocks normal cholinergic signaling by competitive inhibition leading to an excessive pro-</w:t>
      </w:r>
      <w:r w:rsidRPr="00B7221C">
        <w:rPr>
          <w:rFonts w:ascii="Book Antiqua" w:eastAsia="Book Antiqua" w:hAnsi="Book Antiqua" w:cs="Book Antiqua"/>
          <w:color w:val="000000"/>
        </w:rPr>
        <w:lastRenderedPageBreak/>
        <w:t xml:space="preserve">inflammatory response that cannot be alleviated by vagal signaling. If that is the case, the co-expression of CHRNA7 and ACE2 with TMPRSS2 would mean that infected gut epithelial cells are producing viral particles that inhibit cholinergic signaling on themselves. A loss of cholinergic signaling fails to block </w:t>
      </w:r>
      <w:r w:rsidRPr="00B7221C">
        <w:rPr>
          <w:rFonts w:ascii="Book Antiqua" w:eastAsia="Book Antiqua" w:hAnsi="Book Antiqua" w:cs="Book Antiqua"/>
          <w:color w:val="000000"/>
          <w:shd w:val="clear" w:color="auto" w:fill="FFFFFF"/>
        </w:rPr>
        <w:t xml:space="preserve">HMGB1, </w:t>
      </w:r>
      <w:r w:rsidRPr="00B7221C">
        <w:rPr>
          <w:rFonts w:ascii="Book Antiqua" w:eastAsia="Book Antiqua" w:hAnsi="Book Antiqua" w:cs="Book Antiqua"/>
          <w:color w:val="000000"/>
        </w:rPr>
        <w:t xml:space="preserve">allowing increased microbial translocation at the gut barrier exacerbating inflammatory </w:t>
      </w:r>
      <w:proofErr w:type="gramStart"/>
      <w:r w:rsidRPr="00B7221C">
        <w:rPr>
          <w:rFonts w:ascii="Book Antiqua" w:eastAsia="Book Antiqua" w:hAnsi="Book Antiqua" w:cs="Book Antiqua"/>
          <w:color w:val="000000"/>
        </w:rPr>
        <w:t>responses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"_ENREF_156" \o "Sappington, 2002 #300" </w:instrText>
      </w:r>
      <w:r w:rsidR="005B0234">
        <w:fldChar w:fldCharType="separate"/>
      </w:r>
      <w:r w:rsidRPr="00B7221C">
        <w:rPr>
          <w:rFonts w:ascii="Book Antiqua" w:eastAsia="Book Antiqua" w:hAnsi="Book Antiqua" w:cs="Book Antiqua"/>
          <w:color w:val="000000"/>
          <w:vertAlign w:val="superscript"/>
        </w:rPr>
        <w:t>156</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Targeting this interaction on colonocytes may offer considerable protection from pathogenesis, including the cytokine storm. A similar correlation between ACE2 and CHRNA7 expression has been found on airway epithelial cells, suggesting these cells specifically may be the mechanism by which nicotine modulates infection rates and pathogenesis when endogenous </w:t>
      </w:r>
      <w:r w:rsidR="00597570" w:rsidRPr="00B7221C">
        <w:rPr>
          <w:rFonts w:ascii="Book Antiqua" w:eastAsia="Book Antiqua" w:hAnsi="Book Antiqua" w:cs="Book Antiqua"/>
          <w:color w:val="000000"/>
        </w:rPr>
        <w:t>ACh</w:t>
      </w:r>
      <w:r w:rsidRPr="00B7221C">
        <w:rPr>
          <w:rFonts w:ascii="Book Antiqua" w:eastAsia="Book Antiqua" w:hAnsi="Book Antiqua" w:cs="Book Antiqua"/>
          <w:color w:val="000000"/>
        </w:rPr>
        <w:t xml:space="preserve"> </w:t>
      </w:r>
      <w:proofErr w:type="gramStart"/>
      <w:r w:rsidRPr="00B7221C">
        <w:rPr>
          <w:rFonts w:ascii="Book Antiqua" w:eastAsia="Book Antiqua" w:hAnsi="Book Antiqua" w:cs="Book Antiqua"/>
          <w:color w:val="000000"/>
        </w:rPr>
        <w:t>fails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"_ENREF_157" \o "Leung, 2020 #299" </w:instrText>
      </w:r>
      <w:r w:rsidR="005B0234">
        <w:fldChar w:fldCharType="separate"/>
      </w:r>
      <w:r w:rsidRPr="00B7221C">
        <w:rPr>
          <w:rFonts w:ascii="Book Antiqua" w:eastAsia="Book Antiqua" w:hAnsi="Book Antiqua" w:cs="Book Antiqua"/>
          <w:color w:val="000000"/>
          <w:vertAlign w:val="superscript"/>
        </w:rPr>
        <w:t>157</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1B5520B0" w14:textId="01B0C62E"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It should be noted that in addition to a disruption to its anti-inflammatory functions, the vagus nerve may also contribute to the COVID-19 pathology in other ways.</w:t>
      </w:r>
      <w:r w:rsidR="00C3417F"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During Parkinson's disease, α-synuclein aggregates travel from the gut to the CNS in the vagus nerve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retrograde axonal </w:t>
      </w:r>
      <w:proofErr w:type="gramStart"/>
      <w:r w:rsidRPr="00B7221C">
        <w:rPr>
          <w:rFonts w:ascii="Book Antiqua" w:eastAsia="Book Antiqua" w:hAnsi="Book Antiqua" w:cs="Book Antiqua"/>
          <w:color w:val="000000"/>
        </w:rPr>
        <w:t>transport</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"_ENREF_158" \o "Uemura, 2018 #170" </w:instrText>
      </w:r>
      <w:r w:rsidR="005B0234">
        <w:fldChar w:fldCharType="separate"/>
      </w:r>
      <w:r w:rsidRPr="00B7221C">
        <w:rPr>
          <w:rFonts w:ascii="Book Antiqua" w:eastAsia="Book Antiqua" w:hAnsi="Book Antiqua" w:cs="Book Antiqua"/>
          <w:color w:val="000000"/>
          <w:vertAlign w:val="superscript"/>
        </w:rPr>
        <w:t>158</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innervation of both the lungs and gut, where significant viral replication occurs, may allow a similar direct transport to the </w:t>
      </w:r>
      <w:proofErr w:type="gramStart"/>
      <w:r w:rsidRPr="00B7221C">
        <w:rPr>
          <w:rFonts w:ascii="Book Antiqua" w:eastAsia="Book Antiqua" w:hAnsi="Book Antiqua" w:cs="Book Antiqua"/>
          <w:color w:val="000000"/>
        </w:rPr>
        <w:t>CNS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"_ENREF_159" \o "Tassorelli, 2020 #291" </w:instrText>
      </w:r>
      <w:r w:rsidR="005B0234">
        <w:fldChar w:fldCharType="separate"/>
      </w:r>
      <w:r w:rsidRPr="00B7221C">
        <w:rPr>
          <w:rFonts w:ascii="Book Antiqua" w:eastAsia="Book Antiqua" w:hAnsi="Book Antiqua" w:cs="Book Antiqua"/>
          <w:color w:val="000000"/>
          <w:vertAlign w:val="superscript"/>
        </w:rPr>
        <w:t>159</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This hypothesis is corroborated by the recent reports, which showed that the brain stem has an increased inflammatory response during COVID-19 compared with other brain regions. Where cranial nerves IX and X (glossopharyngeal and vagus nerves) meet</w:t>
      </w:r>
      <w:r w:rsidR="001337CC">
        <w:rPr>
          <w:rFonts w:ascii="Book Antiqua" w:eastAsia="Book Antiqua" w:hAnsi="Book Antiqua" w:cs="Book Antiqua"/>
          <w:color w:val="000000"/>
        </w:rPr>
        <w:t>,</w:t>
      </w:r>
      <w:r w:rsidRPr="00B7221C">
        <w:rPr>
          <w:rFonts w:ascii="Book Antiqua" w:eastAsia="Book Antiqua" w:hAnsi="Book Antiqua" w:cs="Book Antiqua"/>
          <w:color w:val="000000"/>
        </w:rPr>
        <w:t xml:space="preserve"> the medulla oblongata, in particular, has a higher viral load than the rest of the </w:t>
      </w:r>
      <w:proofErr w:type="gramStart"/>
      <w:r w:rsidRPr="00B7221C">
        <w:rPr>
          <w:rFonts w:ascii="Book Antiqua" w:eastAsia="Book Antiqua" w:hAnsi="Book Antiqua" w:cs="Book Antiqua"/>
          <w:color w:val="000000"/>
        </w:rPr>
        <w:t>CNS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"_ENREF_160" \o "Matschke, 2020 #302" </w:instrText>
      </w:r>
      <w:r w:rsidR="005B0234">
        <w:fldChar w:fldCharType="separate"/>
      </w:r>
      <w:r w:rsidRPr="00B7221C">
        <w:rPr>
          <w:rFonts w:ascii="Book Antiqua" w:eastAsia="Book Antiqua" w:hAnsi="Book Antiqua" w:cs="Book Antiqua"/>
          <w:color w:val="000000"/>
          <w:vertAlign w:val="superscript"/>
        </w:rPr>
        <w:t>160</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The axonal and synaptic loss at the dorsal motor nucleus and nucleus solitarius near this region may be contributing to the loss of autonomic control of respiratory function, cardiac arrhythmias, and gastrointestinal symptoms like diarrhea and vomiting</w:t>
      </w:r>
      <w:r w:rsidR="004D52FA" w:rsidRPr="00B7221C">
        <w:rPr>
          <w:rFonts w:ascii="Book Antiqua" w:eastAsia="Book Antiqua" w:hAnsi="Book Antiqua" w:cs="Book Antiqua"/>
          <w:color w:val="000000"/>
          <w:vertAlign w:val="superscript"/>
        </w:rPr>
        <w:t>[</w:t>
      </w:r>
      <w:hyperlink w:anchor="_ENREF_161" w:tooltip="U R, 2020 #303" w:history="1">
        <w:r w:rsidRPr="00B7221C">
          <w:rPr>
            <w:rFonts w:ascii="Book Antiqua" w:eastAsia="Book Antiqua" w:hAnsi="Book Antiqua" w:cs="Book Antiqua"/>
            <w:color w:val="000000"/>
            <w:vertAlign w:val="superscript"/>
          </w:rPr>
          <w:t>161</w:t>
        </w:r>
      </w:hyperlink>
      <w:r w:rsidRPr="00B7221C">
        <w:rPr>
          <w:rFonts w:ascii="Book Antiqua" w:eastAsia="Book Antiqua" w:hAnsi="Book Antiqua" w:cs="Book Antiqua"/>
          <w:color w:val="000000"/>
          <w:vertAlign w:val="superscript"/>
        </w:rPr>
        <w:t>,</w:t>
      </w:r>
      <w:hyperlink w:anchor="_ENREF_162" w:tooltip="Chigr, 2020 #304" w:history="1">
        <w:r w:rsidRPr="00B7221C">
          <w:rPr>
            <w:rFonts w:ascii="Book Antiqua" w:eastAsia="Book Antiqua" w:hAnsi="Book Antiqua" w:cs="Book Antiqua"/>
            <w:color w:val="000000"/>
            <w:vertAlign w:val="superscript"/>
          </w:rPr>
          <w:t>162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Complicating the role of nicotine in COVID-19 pathogenesis, its administration can inhibit Th17-driven neuroinflammation, thereby possibly protecting these regions in </w:t>
      </w:r>
      <w:proofErr w:type="gramStart"/>
      <w:r w:rsidRPr="00B7221C">
        <w:rPr>
          <w:rFonts w:ascii="Book Antiqua" w:eastAsia="Book Antiqua" w:hAnsi="Book Antiqua" w:cs="Book Antiqua"/>
          <w:color w:val="000000"/>
        </w:rPr>
        <w:t>smokers</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"_ENREF_163" \o "Nizri, 2009 #305" </w:instrText>
      </w:r>
      <w:r w:rsidR="005B0234">
        <w:fldChar w:fldCharType="separate"/>
      </w:r>
      <w:r w:rsidRPr="00B7221C">
        <w:rPr>
          <w:rFonts w:ascii="Book Antiqua" w:eastAsia="Book Antiqua" w:hAnsi="Book Antiqua" w:cs="Book Antiqua"/>
          <w:color w:val="000000"/>
          <w:vertAlign w:val="superscript"/>
        </w:rPr>
        <w:t>163</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 better understanding of this process, if it exists, could contribute significantly to minimizing neuropathogenesis during SARS-CoV-2 infection. </w:t>
      </w:r>
    </w:p>
    <w:p w14:paraId="2BD3B729" w14:textId="77777777" w:rsidR="00A77B3E" w:rsidRPr="00B7221C" w:rsidRDefault="00A77B3E" w:rsidP="00B7221C">
      <w:pPr>
        <w:spacing w:line="360" w:lineRule="auto"/>
        <w:jc w:val="both"/>
        <w:rPr>
          <w:rFonts w:ascii="Book Antiqua" w:hAnsi="Book Antiqua"/>
        </w:rPr>
      </w:pPr>
    </w:p>
    <w:p w14:paraId="742674B6"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caps/>
          <w:color w:val="000000"/>
          <w:u w:val="single"/>
        </w:rPr>
        <w:t>CONCLUSION</w:t>
      </w:r>
    </w:p>
    <w:p w14:paraId="02585BA3" w14:textId="69EC1DD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SARS-CoV-2 infection in the gut leads to alterations in gut microbiota with depletion of bacterial genera that produce crucial metabolites such as short-chain fatty acids that sustain optimal brain function. Future studies focusing on using probiotics to replenish commensals' dwindling populations as a strategy to reverse gut dysbiosis while maintaining the gut-brain axis during COVID-19</w:t>
      </w:r>
      <w:r w:rsidR="00BE7B3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are </w:t>
      </w:r>
      <w:proofErr w:type="gramStart"/>
      <w:r w:rsidRPr="00B7221C">
        <w:rPr>
          <w:rFonts w:ascii="Book Antiqua" w:eastAsia="Book Antiqua" w:hAnsi="Book Antiqua" w:cs="Book Antiqua"/>
          <w:color w:val="000000"/>
        </w:rPr>
        <w:t>needed</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"_ENREF_164" \o "Baud, 2020 #128" </w:instrText>
      </w:r>
      <w:r w:rsidR="005B0234">
        <w:fldChar w:fldCharType="separate"/>
      </w:r>
      <w:r w:rsidRPr="00B7221C">
        <w:rPr>
          <w:rFonts w:ascii="Book Antiqua" w:eastAsia="Book Antiqua" w:hAnsi="Book Antiqua" w:cs="Book Antiqua"/>
          <w:color w:val="000000"/>
          <w:vertAlign w:val="superscript"/>
        </w:rPr>
        <w:t>164</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00BE7B3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Furthermore, additional efforts should be applied to the testing strategies currently used to manage inflammatory conditions affecting the gut for their potential in the direction of COVID-19 associated dysbiosis, gut damage, and microbial translocation. Targeting vagal stimulation and diverse nicotinic receptors could offer lower organ inflammation and confer systemic protection across the gut-brain and lung organs. </w:t>
      </w:r>
    </w:p>
    <w:p w14:paraId="12C036E3" w14:textId="43A6AF5D"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Lastly, special consideration should be given to populations </w:t>
      </w:r>
      <w:r w:rsidR="001337CC">
        <w:rPr>
          <w:rFonts w:ascii="Book Antiqua" w:eastAsia="Book Antiqua" w:hAnsi="Book Antiqua" w:cs="Book Antiqua"/>
          <w:color w:val="000000"/>
        </w:rPr>
        <w:t>worldwide</w:t>
      </w:r>
      <w:r w:rsidRPr="00B7221C">
        <w:rPr>
          <w:rFonts w:ascii="Book Antiqua" w:eastAsia="Book Antiqua" w:hAnsi="Book Antiqua" w:cs="Book Antiqua"/>
          <w:color w:val="000000"/>
        </w:rPr>
        <w:t xml:space="preserve"> where there is a high incidence of coinfections such as HIV and </w:t>
      </w:r>
      <w:r w:rsidR="004C0E6C" w:rsidRPr="00B7221C">
        <w:rPr>
          <w:rFonts w:ascii="Book Antiqua" w:eastAsia="Book Antiqua" w:hAnsi="Book Antiqua" w:cs="Book Antiqua"/>
          <w:color w:val="000000"/>
        </w:rPr>
        <w:t>t</w:t>
      </w:r>
      <w:r w:rsidRPr="00B7221C">
        <w:rPr>
          <w:rFonts w:ascii="Book Antiqua" w:eastAsia="Book Antiqua" w:hAnsi="Book Antiqua" w:cs="Book Antiqua"/>
          <w:color w:val="000000"/>
        </w:rPr>
        <w:t xml:space="preserve">uberculosis (TB) that target the gut early on in infection, cause dysbiosis and lead to microbial </w:t>
      </w:r>
      <w:proofErr w:type="gramStart"/>
      <w:r w:rsidRPr="00B7221C">
        <w:rPr>
          <w:rFonts w:ascii="Book Antiqua" w:eastAsia="Book Antiqua" w:hAnsi="Book Antiqua" w:cs="Book Antiqua"/>
          <w:color w:val="000000"/>
        </w:rPr>
        <w:t>translocation</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"_ENREF_165" \o "Zevin, 2016 #132" </w:instrText>
      </w:r>
      <w:r w:rsidR="005B0234">
        <w:fldChar w:fldCharType="separate"/>
      </w:r>
      <w:r w:rsidRPr="00B7221C">
        <w:rPr>
          <w:rFonts w:ascii="Book Antiqua" w:eastAsia="Book Antiqua" w:hAnsi="Book Antiqua" w:cs="Book Antiqua"/>
          <w:color w:val="000000"/>
          <w:vertAlign w:val="superscript"/>
        </w:rPr>
        <w:t>165-167</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the world's poorest regions like </w:t>
      </w:r>
      <w:r w:rsidR="001337CC">
        <w:rPr>
          <w:rFonts w:ascii="Book Antiqua" w:eastAsia="Book Antiqua" w:hAnsi="Book Antiqua" w:cs="Book Antiqua"/>
          <w:color w:val="000000"/>
        </w:rPr>
        <w:t>Sub-Saharan</w:t>
      </w:r>
      <w:r w:rsidRPr="00B7221C">
        <w:rPr>
          <w:rFonts w:ascii="Book Antiqua" w:eastAsia="Book Antiqua" w:hAnsi="Book Antiqua" w:cs="Book Antiqua"/>
          <w:color w:val="000000"/>
        </w:rPr>
        <w:t xml:space="preserve"> Africa, most individuals are continuously exposed to endemic pathogens like helminths and TB that could lead to elevated baseline levels of gut damage, immune activation, and possible microbial translocation</w:t>
      </w:r>
      <w:r w:rsidR="004D52FA" w:rsidRPr="00B7221C">
        <w:rPr>
          <w:rFonts w:ascii="Book Antiqua" w:eastAsia="Book Antiqua" w:hAnsi="Book Antiqua" w:cs="Book Antiqua"/>
          <w:color w:val="000000"/>
          <w:vertAlign w:val="superscript"/>
        </w:rPr>
        <w:t>[</w:t>
      </w:r>
      <w:hyperlink w:anchor="_ENREF_168" w:tooltip="Olwenyi, 2016 #135" w:history="1">
        <w:r w:rsidRPr="00B7221C">
          <w:rPr>
            <w:rFonts w:ascii="Book Antiqua" w:eastAsia="Book Antiqua" w:hAnsi="Book Antiqua" w:cs="Book Antiqua"/>
            <w:color w:val="000000"/>
            <w:vertAlign w:val="superscript"/>
          </w:rPr>
          <w:t>168-171</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shd w:val="clear" w:color="auto" w:fill="FFFFFF"/>
        </w:rPr>
        <w:t xml:space="preserve">Recently, Bhaskaran </w:t>
      </w:r>
      <w:r w:rsidRPr="00B7221C">
        <w:rPr>
          <w:rFonts w:ascii="Book Antiqua" w:eastAsia="Book Antiqua" w:hAnsi="Book Antiqua" w:cs="Book Antiqua"/>
          <w:i/>
          <w:iCs/>
          <w:color w:val="000000"/>
          <w:shd w:val="clear" w:color="auto" w:fill="FFFFFF"/>
        </w:rPr>
        <w:t xml:space="preserve">et </w:t>
      </w:r>
      <w:proofErr w:type="gramStart"/>
      <w:r w:rsidRPr="00B7221C">
        <w:rPr>
          <w:rFonts w:ascii="Book Antiqua" w:eastAsia="Book Antiqua" w:hAnsi="Book Antiqua" w:cs="Book Antiqua"/>
          <w:i/>
          <w:iCs/>
          <w:color w:val="000000"/>
          <w:shd w:val="clear" w:color="auto" w:fill="FFFFFF"/>
        </w:rPr>
        <w:t>al</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"_ENREF_172" \o "Bhaskaran, 2021 #139" </w:instrText>
      </w:r>
      <w:r w:rsidR="005B0234">
        <w:fldChar w:fldCharType="separate"/>
      </w:r>
      <w:r w:rsidRPr="00B7221C">
        <w:rPr>
          <w:rFonts w:ascii="Book Antiqua" w:eastAsia="Book Antiqua" w:hAnsi="Book Antiqua" w:cs="Book Antiqua"/>
          <w:color w:val="000000"/>
          <w:shd w:val="clear" w:color="auto" w:fill="FFFFFF"/>
          <w:vertAlign w:val="superscript"/>
        </w:rPr>
        <w:t>172</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analyzed data from 27480 individuals co-infected with HIV within the United Kingdom. Their data revealed that people living with HIV had a higher risk of COVID-19 death than those without HIV, after adjusting for the age and sex with a hazard ratio (HR) of 290 (95%CI </w:t>
      </w:r>
      <w:r w:rsidR="00FF7ACA" w:rsidRPr="00B7221C">
        <w:rPr>
          <w:rFonts w:ascii="Book Antiqua" w:eastAsia="Book Antiqua" w:hAnsi="Book Antiqua" w:cs="Book Antiqua"/>
          <w:color w:val="000000"/>
          <w:shd w:val="clear" w:color="auto" w:fill="FFFFFF"/>
        </w:rPr>
        <w:t>0.</w:t>
      </w:r>
      <w:r w:rsidRPr="00B7221C">
        <w:rPr>
          <w:rFonts w:ascii="Book Antiqua" w:eastAsia="Book Antiqua" w:hAnsi="Book Antiqua" w:cs="Book Antiqua"/>
          <w:color w:val="000000"/>
          <w:shd w:val="clear" w:color="auto" w:fill="FFFFFF"/>
        </w:rPr>
        <w:t>196</w:t>
      </w:r>
      <w:r w:rsidR="00FF7ACA" w:rsidRPr="00B7221C">
        <w:rPr>
          <w:rFonts w:ascii="Book Antiqua" w:eastAsia="Book Antiqua" w:hAnsi="Book Antiqua" w:cs="Book Antiqua"/>
          <w:color w:val="000000"/>
          <w:shd w:val="clear" w:color="auto" w:fill="FFFFFF"/>
        </w:rPr>
        <w:t>-0.</w:t>
      </w:r>
      <w:r w:rsidRPr="00B7221C">
        <w:rPr>
          <w:rFonts w:ascii="Book Antiqua" w:eastAsia="Book Antiqua" w:hAnsi="Book Antiqua" w:cs="Book Antiqua"/>
          <w:color w:val="000000"/>
          <w:shd w:val="clear" w:color="auto" w:fill="FFFFFF"/>
        </w:rPr>
        <w:t xml:space="preserve">430; </w:t>
      </w:r>
      <w:r w:rsidR="00CC0749" w:rsidRPr="00B7221C">
        <w:rPr>
          <w:rFonts w:ascii="Book Antiqua" w:eastAsia="Book Antiqua" w:hAnsi="Book Antiqua" w:cs="Book Antiqua"/>
          <w:i/>
          <w:iCs/>
          <w:color w:val="000000"/>
          <w:shd w:val="clear" w:color="auto" w:fill="FFFFFF"/>
        </w:rPr>
        <w:t>P</w:t>
      </w:r>
      <w:r w:rsidR="00CC0749"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&lt;</w:t>
      </w:r>
      <w:r w:rsidR="00CC0749"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0</w:t>
      </w:r>
      <w:r w:rsidR="00FF7ACA"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0001). </w:t>
      </w:r>
      <w:r w:rsidRPr="00B7221C">
        <w:rPr>
          <w:rFonts w:ascii="Book Antiqua" w:eastAsia="Book Antiqua" w:hAnsi="Book Antiqua" w:cs="Book Antiqua"/>
          <w:color w:val="000000"/>
        </w:rPr>
        <w:t xml:space="preserve">However, the absence of testing, limited case reporting, and poor health care limits our understanding of the SARS-CoV-2 pandemic on this </w:t>
      </w:r>
      <w:proofErr w:type="gramStart"/>
      <w:r w:rsidRPr="00B7221C">
        <w:rPr>
          <w:rFonts w:ascii="Book Antiqua" w:eastAsia="Book Antiqua" w:hAnsi="Book Antiqua" w:cs="Book Antiqua"/>
          <w:color w:val="000000"/>
        </w:rPr>
        <w:t>continent</w:t>
      </w:r>
      <w:r w:rsidR="004D52FA" w:rsidRPr="00B7221C">
        <w:rPr>
          <w:rFonts w:ascii="Book Antiqua" w:eastAsia="Book Antiqua" w:hAnsi="Book Antiqua" w:cs="Book Antiqua"/>
          <w:color w:val="000000"/>
          <w:vertAlign w:val="superscript"/>
        </w:rPr>
        <w:t>[</w:t>
      </w:r>
      <w:proofErr w:type="gramEnd"/>
      <w:r w:rsidR="005B0234">
        <w:fldChar w:fldCharType="begin"/>
      </w:r>
      <w:r w:rsidR="005B0234">
        <w:instrText xml:space="preserve"> HYPERLINK \l "_ENREF_172" \o "Bhaskaran, 2021 #139" </w:instrText>
      </w:r>
      <w:r w:rsidR="005B0234">
        <w:fldChar w:fldCharType="separate"/>
      </w:r>
      <w:r w:rsidRPr="00B7221C">
        <w:rPr>
          <w:rFonts w:ascii="Book Antiqua" w:eastAsia="Book Antiqua" w:hAnsi="Book Antiqua" w:cs="Book Antiqua"/>
          <w:color w:val="000000"/>
          <w:vertAlign w:val="superscript"/>
        </w:rPr>
        <w:t>172</w:t>
      </w:r>
      <w:r w:rsidR="005B0234">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73065E8F" w14:textId="13818BC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The sudden lifestyle changes imparted by the pandemic within these populations </w:t>
      </w:r>
      <w:r w:rsidR="001337CC">
        <w:rPr>
          <w:rFonts w:ascii="Book Antiqua" w:eastAsia="Book Antiqua" w:hAnsi="Book Antiqua" w:cs="Book Antiqua"/>
          <w:color w:val="000000"/>
          <w:shd w:val="clear" w:color="auto" w:fill="FFFFFF"/>
        </w:rPr>
        <w:t>have</w:t>
      </w:r>
      <w:r w:rsidRPr="00B7221C">
        <w:rPr>
          <w:rFonts w:ascii="Book Antiqua" w:eastAsia="Book Antiqua" w:hAnsi="Book Antiqua" w:cs="Book Antiqua"/>
          <w:color w:val="000000"/>
          <w:shd w:val="clear" w:color="auto" w:fill="FFFFFF"/>
        </w:rPr>
        <w:t xml:space="preserve"> tremendously strained </w:t>
      </w:r>
      <w:r w:rsidR="001337CC">
        <w:rPr>
          <w:rFonts w:ascii="Book Antiqua" w:eastAsia="Book Antiqua" w:hAnsi="Book Antiqua" w:cs="Book Antiqua"/>
          <w:color w:val="000000"/>
          <w:shd w:val="clear" w:color="auto" w:fill="FFFFFF"/>
        </w:rPr>
        <w:t xml:space="preserve">their </w:t>
      </w:r>
      <w:r w:rsidRPr="00B7221C">
        <w:rPr>
          <w:rFonts w:ascii="Book Antiqua" w:eastAsia="Book Antiqua" w:hAnsi="Book Antiqua" w:cs="Book Antiqua"/>
          <w:color w:val="000000"/>
          <w:shd w:val="clear" w:color="auto" w:fill="FFFFFF"/>
        </w:rPr>
        <w:t xml:space="preserve">chances of survival. In countries where restrictions or lockdowns are enforced, most individuals from these regions rely on the government to supply free food </w:t>
      </w:r>
      <w:proofErr w:type="gramStart"/>
      <w:r w:rsidRPr="00B7221C">
        <w:rPr>
          <w:rFonts w:ascii="Book Antiqua" w:eastAsia="Book Antiqua" w:hAnsi="Book Antiqua" w:cs="Book Antiqua"/>
          <w:color w:val="000000"/>
          <w:shd w:val="clear" w:color="auto" w:fill="FFFFFF"/>
        </w:rPr>
        <w:t>rations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"_ENREF_173" \o "Ayanlade, 2020 #1" </w:instrText>
      </w:r>
      <w:r w:rsidR="005B0234">
        <w:fldChar w:fldCharType="separate"/>
      </w:r>
      <w:r w:rsidRPr="00B7221C">
        <w:rPr>
          <w:rFonts w:ascii="Book Antiqua" w:eastAsia="Book Antiqua" w:hAnsi="Book Antiqua" w:cs="Book Antiqua"/>
          <w:color w:val="000000"/>
          <w:shd w:val="clear" w:color="auto" w:fill="FFFFFF"/>
          <w:vertAlign w:val="superscript"/>
        </w:rPr>
        <w:t>173</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However, the low quality of this freely distributed food fuels the already highly prevalent risk of malnutrition within these </w:t>
      </w:r>
      <w:proofErr w:type="gramStart"/>
      <w:r w:rsidRPr="00B7221C">
        <w:rPr>
          <w:rFonts w:ascii="Book Antiqua" w:eastAsia="Book Antiqua" w:hAnsi="Book Antiqua" w:cs="Book Antiqua"/>
          <w:color w:val="000000"/>
          <w:shd w:val="clear" w:color="auto" w:fill="FFFFFF"/>
        </w:rPr>
        <w:t>populations</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"_ENREF_174" \o "Bain, 2013 #3" </w:instrText>
      </w:r>
      <w:r w:rsidR="005B0234">
        <w:fldChar w:fldCharType="separate"/>
      </w:r>
      <w:r w:rsidRPr="00B7221C">
        <w:rPr>
          <w:rFonts w:ascii="Book Antiqua" w:eastAsia="Book Antiqua" w:hAnsi="Book Antiqua" w:cs="Book Antiqua"/>
          <w:color w:val="000000"/>
          <w:shd w:val="clear" w:color="auto" w:fill="FFFFFF"/>
          <w:vertAlign w:val="superscript"/>
        </w:rPr>
        <w:t>174</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As we have illustrated, limited dietary access within these communities could further aggravate gut dysbiosis leading to severe systemic disorientation during </w:t>
      </w:r>
      <w:r w:rsidR="007F7E42">
        <w:rPr>
          <w:rFonts w:ascii="Book Antiqua" w:eastAsia="Book Antiqua" w:hAnsi="Book Antiqua" w:cs="Book Antiqua"/>
          <w:color w:val="000000"/>
          <w:shd w:val="clear" w:color="auto" w:fill="FFFFFF"/>
        </w:rPr>
        <w:t>SARS-CoV-2</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lastRenderedPageBreak/>
        <w:t xml:space="preserve">infection. The complexity of these variables, in addition to limited health service delivery and governmental </w:t>
      </w:r>
      <w:proofErr w:type="gramStart"/>
      <w:r w:rsidRPr="00B7221C">
        <w:rPr>
          <w:rFonts w:ascii="Book Antiqua" w:eastAsia="Book Antiqua" w:hAnsi="Book Antiqua" w:cs="Book Antiqua"/>
          <w:color w:val="000000"/>
          <w:shd w:val="clear" w:color="auto" w:fill="FFFFFF"/>
        </w:rPr>
        <w:t>support</w:t>
      </w:r>
      <w:r w:rsidR="004D52FA" w:rsidRPr="00B7221C">
        <w:rPr>
          <w:rFonts w:ascii="Book Antiqua" w:eastAsia="Book Antiqua" w:hAnsi="Book Antiqua" w:cs="Book Antiqua"/>
          <w:color w:val="000000"/>
          <w:shd w:val="clear" w:color="auto" w:fill="FFFFFF"/>
          <w:vertAlign w:val="superscript"/>
        </w:rPr>
        <w:t>[</w:t>
      </w:r>
      <w:proofErr w:type="gramEnd"/>
      <w:r w:rsidR="005B0234">
        <w:fldChar w:fldCharType="begin"/>
      </w:r>
      <w:r w:rsidR="005B0234">
        <w:instrText xml:space="preserve"> HYPERLINK \l "_ENREF_175" \o "Alegbeleye, 2020 #5" </w:instrText>
      </w:r>
      <w:r w:rsidR="005B0234">
        <w:fldChar w:fldCharType="separate"/>
      </w:r>
      <w:r w:rsidRPr="00B7221C">
        <w:rPr>
          <w:rFonts w:ascii="Book Antiqua" w:eastAsia="Book Antiqua" w:hAnsi="Book Antiqua" w:cs="Book Antiqua"/>
          <w:color w:val="000000"/>
          <w:shd w:val="clear" w:color="auto" w:fill="FFFFFF"/>
          <w:vertAlign w:val="superscript"/>
        </w:rPr>
        <w:t>175</w:t>
      </w:r>
      <w:r w:rsidR="005B0234">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could exacerbate gut-brain disruptions within diverse populations in Sub-Saharan Africa (Figure 4). </w:t>
      </w:r>
    </w:p>
    <w:p w14:paraId="5666785A" w14:textId="42239E0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In these trying times of the </w:t>
      </w:r>
      <w:r w:rsidR="009F547B">
        <w:rPr>
          <w:rFonts w:ascii="Book Antiqua" w:eastAsia="Book Antiqua" w:hAnsi="Book Antiqua" w:cs="Book Antiqua"/>
          <w:color w:val="000000"/>
          <w:shd w:val="clear" w:color="auto" w:fill="FFFFFF"/>
        </w:rPr>
        <w:t xml:space="preserve">COVID-19 </w:t>
      </w:r>
      <w:r w:rsidRPr="00B7221C">
        <w:rPr>
          <w:rFonts w:ascii="Book Antiqua" w:eastAsia="Book Antiqua" w:hAnsi="Book Antiqua" w:cs="Book Antiqua"/>
          <w:color w:val="000000"/>
          <w:shd w:val="clear" w:color="auto" w:fill="FFFFFF"/>
        </w:rPr>
        <w:t xml:space="preserve">pandemic, the connotation of a healthy gut-healthy mind could translate into one's ability to orchestrate a meaningful immune response that could limit </w:t>
      </w:r>
      <w:r w:rsidR="009F547B" w:rsidRPr="00B7221C">
        <w:rPr>
          <w:rFonts w:ascii="Book Antiqua" w:eastAsia="Book Antiqua" w:hAnsi="Book Antiqua" w:cs="Book Antiqua"/>
          <w:color w:val="000000"/>
          <w:shd w:val="clear" w:color="auto" w:fill="FFFFFF"/>
        </w:rPr>
        <w:t xml:space="preserve">SARS-CoV-2 </w:t>
      </w:r>
      <w:r w:rsidRPr="00B7221C">
        <w:rPr>
          <w:rFonts w:ascii="Book Antiqua" w:eastAsia="Book Antiqua" w:hAnsi="Book Antiqua" w:cs="Book Antiqua"/>
          <w:color w:val="000000"/>
          <w:shd w:val="clear" w:color="auto" w:fill="FFFFFF"/>
        </w:rPr>
        <w:t xml:space="preserve">infection </w:t>
      </w:r>
      <w:r w:rsidR="001337CC">
        <w:rPr>
          <w:rFonts w:ascii="Book Antiqua" w:eastAsia="Book Antiqua" w:hAnsi="Book Antiqua" w:cs="Book Antiqua"/>
          <w:color w:val="000000"/>
          <w:shd w:val="clear" w:color="auto" w:fill="FFFFFF"/>
        </w:rPr>
        <w:t>and</w:t>
      </w:r>
      <w:r w:rsidRPr="00B7221C">
        <w:rPr>
          <w:rFonts w:ascii="Book Antiqua" w:eastAsia="Book Antiqua" w:hAnsi="Book Antiqua" w:cs="Book Antiqua"/>
          <w:color w:val="000000"/>
          <w:shd w:val="clear" w:color="auto" w:fill="FFFFFF"/>
        </w:rPr>
        <w:t xml:space="preserve"> maintain systemic homeostasis and diminish side effects from virus exposure. Leveraging therapies currently being used to improve gut health could be exploited for better disease outcomes during severe disease. Additional studies on the gut-brain axis, particularly from diverse populations across the world, are warranted.</w:t>
      </w:r>
    </w:p>
    <w:p w14:paraId="14F6D5A5" w14:textId="77777777" w:rsidR="00A77B3E" w:rsidRPr="00B7221C" w:rsidRDefault="00A77B3E" w:rsidP="00B7221C">
      <w:pPr>
        <w:spacing w:line="360" w:lineRule="auto"/>
        <w:jc w:val="both"/>
        <w:rPr>
          <w:rFonts w:ascii="Book Antiqua" w:hAnsi="Book Antiqua"/>
        </w:rPr>
      </w:pPr>
    </w:p>
    <w:p w14:paraId="5C6ECAD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REFERENCES</w:t>
      </w:r>
    </w:p>
    <w:p w14:paraId="2167B6C1" w14:textId="77777777" w:rsidR="00A77B3E" w:rsidRPr="00B7221C" w:rsidRDefault="00A143FB" w:rsidP="00B7221C">
      <w:pPr>
        <w:spacing w:line="360" w:lineRule="auto"/>
        <w:jc w:val="both"/>
        <w:rPr>
          <w:rFonts w:ascii="Book Antiqua" w:hAnsi="Book Antiqua"/>
        </w:rPr>
      </w:pPr>
      <w:bookmarkStart w:id="4" w:name="OLE_LINK1"/>
      <w:r w:rsidRPr="00B7221C">
        <w:rPr>
          <w:rFonts w:ascii="Book Antiqua" w:eastAsia="Book Antiqua" w:hAnsi="Book Antiqua" w:cs="Book Antiqua"/>
          <w:color w:val="000000"/>
        </w:rPr>
        <w:t xml:space="preserve">1 </w:t>
      </w:r>
      <w:r w:rsidRPr="00B7221C">
        <w:rPr>
          <w:rFonts w:ascii="Book Antiqua" w:eastAsia="Book Antiqua" w:hAnsi="Book Antiqua" w:cs="Book Antiqua"/>
          <w:b/>
          <w:bCs/>
          <w:color w:val="000000"/>
        </w:rPr>
        <w:t>Unwin HJT</w:t>
      </w:r>
      <w:r w:rsidRPr="00B7221C">
        <w:rPr>
          <w:rFonts w:ascii="Book Antiqua" w:eastAsia="Book Antiqua" w:hAnsi="Book Antiqua" w:cs="Book Antiqua"/>
          <w:color w:val="000000"/>
        </w:rPr>
        <w:t xml:space="preserve">, Mishra S, Bradley VC, Gandy A, Mellan TA, Coupland H, Ish-Horowicz J, Vollmer MAC, Whittaker C, Filippi SL, Xi X, Monod M, Ratmann O, Hutchinson M, Valka F, Zhu H, Hawryluk I, Milton P, Ainslie KEC, Baguelin M, Boonyasiri A, Brazeau NF, Cattarino L, Cucunuba Z, Cuomo-Dannenburg G, Dorigatti I, Eales OD, Eaton JW, van Elsland SL, FitzJohn RG, Gaythorpe KAM, Green W, Hinsley W, Jeffrey B, Knock E, Laydon DJ, Lees J, Nedjati-Gilani G, Nouvellet P, Okell L, Parag KV, Siveroni I, Thompson HA, Walker P, Walters CE, Watson OJ, Whittles LK, Ghani AC, Ferguson NM, Riley S, Donnelly CA, Bhatt S, Flaxman S. State-level tracking of COVID-19 in the United States. </w:t>
      </w:r>
      <w:r w:rsidRPr="00B7221C">
        <w:rPr>
          <w:rFonts w:ascii="Book Antiqua" w:eastAsia="Book Antiqua" w:hAnsi="Book Antiqua" w:cs="Book Antiqua"/>
          <w:i/>
          <w:iCs/>
          <w:color w:val="000000"/>
        </w:rPr>
        <w:t>Nat Commun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6189 [PMID: 33273462 DOI: 10.1038/s41467-020-19652-6]</w:t>
      </w:r>
    </w:p>
    <w:p w14:paraId="22DAC323" w14:textId="35028AA0" w:rsidR="00A77B3E" w:rsidRPr="00B7221C" w:rsidRDefault="00A143FB" w:rsidP="00B7221C">
      <w:pPr>
        <w:spacing w:line="360" w:lineRule="auto"/>
        <w:jc w:val="both"/>
        <w:rPr>
          <w:rFonts w:ascii="Book Antiqua" w:hAnsi="Book Antiqua"/>
        </w:rPr>
      </w:pPr>
      <w:r w:rsidRPr="00ED699D">
        <w:rPr>
          <w:rFonts w:ascii="Book Antiqua" w:eastAsia="Book Antiqua" w:hAnsi="Book Antiqua" w:cs="Book Antiqua"/>
          <w:color w:val="000000"/>
        </w:rPr>
        <w:t xml:space="preserve">2 </w:t>
      </w:r>
      <w:r w:rsidRPr="00ED699D">
        <w:rPr>
          <w:rFonts w:ascii="Book Antiqua" w:eastAsia="Book Antiqua" w:hAnsi="Book Antiqua" w:cs="Book Antiqua"/>
          <w:b/>
          <w:bCs/>
          <w:color w:val="000000"/>
        </w:rPr>
        <w:t>Carvalho VM,</w:t>
      </w:r>
      <w:r w:rsidRPr="00ED699D">
        <w:rPr>
          <w:rFonts w:ascii="Book Antiqua" w:eastAsia="Book Antiqua" w:hAnsi="Book Antiqua" w:cs="Book Antiqua"/>
          <w:color w:val="000000"/>
        </w:rPr>
        <w:t xml:space="preserve"> Hansen S, Ortiz A, Garcia JR, Rodrigo T, Rodriguez Mora S, Ruiz de Aguirre P. Tracking the COVID-19 crisis with high-resolution transaction data</w:t>
      </w:r>
      <w:r w:rsidR="00EE7EDB" w:rsidRPr="00ED699D">
        <w:rPr>
          <w:rFonts w:ascii="Book Antiqua" w:eastAsia="Book Antiqua" w:hAnsi="Book Antiqua" w:cs="Book Antiqua"/>
          <w:color w:val="000000"/>
        </w:rPr>
        <w:t>. 2020 April 16</w:t>
      </w:r>
      <w:r w:rsidR="00A56C4E" w:rsidRPr="00ED699D">
        <w:rPr>
          <w:rFonts w:ascii="Book Antiqua" w:eastAsia="Book Antiqua" w:hAnsi="Book Antiqua" w:cs="Book Antiqua"/>
          <w:color w:val="000000"/>
        </w:rPr>
        <w:t xml:space="preserve"> [cited Feb</w:t>
      </w:r>
      <w:r w:rsidR="00452D41" w:rsidRPr="00ED699D">
        <w:rPr>
          <w:rFonts w:ascii="Book Antiqua" w:eastAsia="Book Antiqua" w:hAnsi="Book Antiqua" w:cs="Book Antiqua"/>
          <w:color w:val="000000"/>
        </w:rPr>
        <w:t xml:space="preserve"> 1</w:t>
      </w:r>
      <w:r w:rsidR="00452D41" w:rsidRPr="00ED699D">
        <w:rPr>
          <w:rFonts w:ascii="宋体" w:eastAsia="宋体" w:hAnsi="宋体" w:cs="宋体" w:hint="eastAsia"/>
          <w:color w:val="000000"/>
          <w:lang w:eastAsia="zh-CN"/>
        </w:rPr>
        <w:t>,</w:t>
      </w:r>
      <w:r w:rsidR="00452D41" w:rsidRPr="00ED699D">
        <w:rPr>
          <w:rFonts w:ascii="Book Antiqua" w:eastAsia="Book Antiqua" w:hAnsi="Book Antiqua" w:cs="Book Antiqua"/>
          <w:color w:val="000000"/>
        </w:rPr>
        <w:t xml:space="preserve"> </w:t>
      </w:r>
      <w:r w:rsidR="00A56C4E" w:rsidRPr="00ED699D">
        <w:rPr>
          <w:rFonts w:ascii="Book Antiqua" w:eastAsia="Book Antiqua" w:hAnsi="Book Antiqua" w:cs="Book Antiqua"/>
          <w:color w:val="000000"/>
        </w:rPr>
        <w:t>2021]</w:t>
      </w:r>
      <w:r w:rsidR="00A22545" w:rsidRPr="00ED699D">
        <w:rPr>
          <w:rFonts w:ascii="宋体" w:eastAsia="宋体" w:hAnsi="宋体" w:cs="宋体" w:hint="eastAsia"/>
          <w:color w:val="000000"/>
          <w:lang w:eastAsia="zh-CN"/>
        </w:rPr>
        <w:t>.</w:t>
      </w:r>
      <w:r w:rsidRPr="00ED699D">
        <w:rPr>
          <w:rFonts w:ascii="Book Antiqua" w:eastAsia="Book Antiqua" w:hAnsi="Book Antiqua" w:cs="Book Antiqua"/>
          <w:color w:val="000000"/>
        </w:rPr>
        <w:t xml:space="preserve"> </w:t>
      </w:r>
      <w:r w:rsidR="00A56C4E" w:rsidRPr="00ED699D">
        <w:rPr>
          <w:rFonts w:ascii="Book Antiqua" w:eastAsia="Book Antiqua" w:hAnsi="Book Antiqua" w:cs="Book Antiqua"/>
          <w:color w:val="000000"/>
        </w:rPr>
        <w:t xml:space="preserve">In: </w:t>
      </w:r>
      <w:r w:rsidR="00DC5544" w:rsidRPr="00ED699D">
        <w:rPr>
          <w:rFonts w:ascii="Book Antiqua" w:eastAsia="Book Antiqua" w:hAnsi="Book Antiqua" w:cs="Book Antiqua"/>
          <w:color w:val="000000"/>
        </w:rPr>
        <w:t>BBVA Research</w:t>
      </w:r>
      <w:r w:rsidR="00A56C4E" w:rsidRPr="00ED699D">
        <w:rPr>
          <w:rFonts w:ascii="Book Antiqua" w:eastAsia="Book Antiqua" w:hAnsi="Book Antiqua" w:cs="Book Antiqua"/>
          <w:color w:val="000000"/>
        </w:rPr>
        <w:t xml:space="preserve"> [Internet].</w:t>
      </w:r>
      <w:r w:rsidR="003E30C4" w:rsidRPr="00ED699D">
        <w:rPr>
          <w:rFonts w:ascii="Book Antiqua" w:eastAsia="Book Antiqua" w:hAnsi="Book Antiqua" w:cs="Book Antiqua"/>
          <w:color w:val="000000"/>
        </w:rPr>
        <w:t xml:space="preserve"> Available from: </w:t>
      </w:r>
      <w:r w:rsidR="00335F76" w:rsidRPr="00335F76">
        <w:rPr>
          <w:rFonts w:ascii="Book Antiqua" w:eastAsia="Book Antiqua" w:hAnsi="Book Antiqua" w:cs="Book Antiqua"/>
          <w:color w:val="000000"/>
        </w:rPr>
        <w:t>https://www.bbvaresearch.com/en/publicaciones/tracking-the-covid-19-crisis-with-high-resolution-transaction-data/</w:t>
      </w:r>
    </w:p>
    <w:p w14:paraId="3D7CD1F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 </w:t>
      </w:r>
      <w:r w:rsidRPr="00B7221C">
        <w:rPr>
          <w:rFonts w:ascii="Book Antiqua" w:eastAsia="Book Antiqua" w:hAnsi="Book Antiqua" w:cs="Book Antiqua"/>
          <w:b/>
          <w:bCs/>
          <w:color w:val="000000"/>
        </w:rPr>
        <w:t>Menni C</w:t>
      </w:r>
      <w:r w:rsidRPr="00B7221C">
        <w:rPr>
          <w:rFonts w:ascii="Book Antiqua" w:eastAsia="Book Antiqua" w:hAnsi="Book Antiqua" w:cs="Book Antiqua"/>
          <w:color w:val="000000"/>
        </w:rPr>
        <w:t xml:space="preserve">, Valdes AM, Freidin MB, Sudre CH, Nguyen LH, Drew DA, Ganesh S, Varsavsky T, Cardoso MJ, El-Sayed Moustafa JS, Visconti A, Hysi P, Bowyer RCE, </w:t>
      </w:r>
      <w:r w:rsidRPr="00B7221C">
        <w:rPr>
          <w:rFonts w:ascii="Book Antiqua" w:eastAsia="Book Antiqua" w:hAnsi="Book Antiqua" w:cs="Book Antiqua"/>
          <w:color w:val="000000"/>
        </w:rPr>
        <w:lastRenderedPageBreak/>
        <w:t xml:space="preserve">Mangino M, Falchi M, Wolf J, Ourselin S, Chan AT, Steves CJ, Spector TD. Real-time tracking of self-reported symptoms to predict potential COVID-19. </w:t>
      </w:r>
      <w:r w:rsidRPr="00B7221C">
        <w:rPr>
          <w:rFonts w:ascii="Book Antiqua" w:eastAsia="Book Antiqua" w:hAnsi="Book Antiqua" w:cs="Book Antiqua"/>
          <w:i/>
          <w:iCs/>
          <w:color w:val="000000"/>
        </w:rPr>
        <w:t>Nat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1037-1040 [PMID: 32393804 DOI: 10.1038/s41591-020-0916-2]</w:t>
      </w:r>
    </w:p>
    <w:p w14:paraId="788F7F5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 </w:t>
      </w:r>
      <w:r w:rsidRPr="00B7221C">
        <w:rPr>
          <w:rFonts w:ascii="Book Antiqua" w:eastAsia="Book Antiqua" w:hAnsi="Book Antiqua" w:cs="Book Antiqua"/>
          <w:b/>
          <w:bCs/>
          <w:color w:val="000000"/>
        </w:rPr>
        <w:t>Chong YY</w:t>
      </w:r>
      <w:r w:rsidRPr="00B7221C">
        <w:rPr>
          <w:rFonts w:ascii="Book Antiqua" w:eastAsia="Book Antiqua" w:hAnsi="Book Antiqua" w:cs="Book Antiqua"/>
          <w:color w:val="000000"/>
        </w:rPr>
        <w:t xml:space="preserve">, Cheng HY, Chan HYL, Chien WT, Wong SYS. COVID-19 pandemic, infodemic and the role of eHealth literacy. </w:t>
      </w:r>
      <w:r w:rsidRPr="00B7221C">
        <w:rPr>
          <w:rFonts w:ascii="Book Antiqua" w:eastAsia="Book Antiqua" w:hAnsi="Book Antiqua" w:cs="Book Antiqua"/>
          <w:i/>
          <w:iCs/>
          <w:color w:val="000000"/>
        </w:rPr>
        <w:t>Int J Nurs Stud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108</w:t>
      </w:r>
      <w:r w:rsidRPr="00B7221C">
        <w:rPr>
          <w:rFonts w:ascii="Book Antiqua" w:eastAsia="Book Antiqua" w:hAnsi="Book Antiqua" w:cs="Book Antiqua"/>
          <w:color w:val="000000"/>
        </w:rPr>
        <w:t>: 103644 [PMID: 32447127 DOI: 10.1016/j.ijnurstu.2020.103644]</w:t>
      </w:r>
    </w:p>
    <w:p w14:paraId="3415168E" w14:textId="3ADD2A9D" w:rsidR="00A77B3E" w:rsidRPr="00ED699D" w:rsidRDefault="00A143FB" w:rsidP="00B7221C">
      <w:pPr>
        <w:spacing w:line="360" w:lineRule="auto"/>
        <w:jc w:val="both"/>
        <w:rPr>
          <w:rFonts w:ascii="Book Antiqua" w:eastAsia="Book Antiqua" w:hAnsi="Book Antiqua" w:cs="Book Antiqua"/>
          <w:b/>
          <w:bCs/>
          <w:color w:val="000000"/>
        </w:rPr>
      </w:pPr>
      <w:proofErr w:type="gramStart"/>
      <w:r w:rsidRPr="00ED699D">
        <w:rPr>
          <w:rFonts w:ascii="Book Antiqua" w:eastAsia="Book Antiqua" w:hAnsi="Book Antiqua" w:cs="Book Antiqua"/>
          <w:color w:val="000000"/>
        </w:rPr>
        <w:t>5</w:t>
      </w:r>
      <w:r w:rsidR="00ED699D">
        <w:rPr>
          <w:rFonts w:ascii="Book Antiqua" w:hAnsi="Book Antiqua" w:cs="Book Antiqua" w:hint="eastAsia"/>
          <w:color w:val="000000"/>
          <w:lang w:eastAsia="zh-CN"/>
        </w:rPr>
        <w:t xml:space="preserve"> </w:t>
      </w:r>
      <w:r w:rsidRPr="00ED699D">
        <w:rPr>
          <w:rFonts w:ascii="Book Antiqua" w:eastAsia="Book Antiqua" w:hAnsi="Book Antiqua" w:cs="Book Antiqua"/>
          <w:bCs/>
          <w:color w:val="000000"/>
        </w:rPr>
        <w:t>COVID Data Tracker.</w:t>
      </w:r>
      <w:proofErr w:type="gramEnd"/>
      <w:r w:rsidR="00A7298A" w:rsidRPr="00ED699D">
        <w:rPr>
          <w:rFonts w:ascii="Book Antiqua" w:eastAsia="Book Antiqua" w:hAnsi="Book Antiqua" w:cs="Book Antiqua"/>
          <w:bCs/>
          <w:color w:val="000000"/>
        </w:rPr>
        <w:t xml:space="preserve"> </w:t>
      </w:r>
      <w:r w:rsidR="00A56C4E" w:rsidRPr="00ED699D">
        <w:rPr>
          <w:rFonts w:ascii="Book Antiqua" w:eastAsia="Book Antiqua" w:hAnsi="Book Antiqua" w:cs="Book Antiqua"/>
          <w:color w:val="000000"/>
        </w:rPr>
        <w:t>[cited July</w:t>
      </w:r>
      <w:r w:rsidR="00452D41" w:rsidRPr="00ED699D">
        <w:rPr>
          <w:rFonts w:ascii="Book Antiqua" w:eastAsia="Book Antiqua" w:hAnsi="Book Antiqua" w:cs="Book Antiqua"/>
          <w:color w:val="000000"/>
        </w:rPr>
        <w:t xml:space="preserve"> 15,</w:t>
      </w:r>
      <w:r w:rsidR="00A56C4E" w:rsidRPr="00ED699D">
        <w:rPr>
          <w:rFonts w:ascii="Book Antiqua" w:eastAsia="Book Antiqua" w:hAnsi="Book Antiqua" w:cs="Book Antiqua"/>
          <w:color w:val="000000"/>
        </w:rPr>
        <w:t xml:space="preserve"> 2021]. In: </w:t>
      </w:r>
      <w:r w:rsidR="00DC5544" w:rsidRPr="00ED699D">
        <w:rPr>
          <w:rFonts w:ascii="Book Antiqua" w:eastAsia="Book Antiqua" w:hAnsi="Book Antiqua" w:cs="Book Antiqua"/>
          <w:bCs/>
          <w:color w:val="000000"/>
        </w:rPr>
        <w:t>Centers for Disease Control and Prevention (CDC)</w:t>
      </w:r>
      <w:r w:rsidR="00A56C4E" w:rsidRPr="00ED699D">
        <w:rPr>
          <w:rFonts w:ascii="Book Antiqua" w:eastAsia="Book Antiqua" w:hAnsi="Book Antiqua" w:cs="Book Antiqua"/>
          <w:color w:val="000000"/>
        </w:rPr>
        <w:t xml:space="preserve"> [Internet].</w:t>
      </w:r>
      <w:r w:rsidR="00DC5544" w:rsidRPr="00ED699D">
        <w:rPr>
          <w:rFonts w:ascii="Book Antiqua" w:eastAsia="Book Antiqua" w:hAnsi="Book Antiqua" w:cs="Book Antiqua"/>
          <w:color w:val="000000"/>
        </w:rPr>
        <w:t xml:space="preserve"> </w:t>
      </w:r>
      <w:r w:rsidR="005C2FEE" w:rsidRPr="00ED699D">
        <w:rPr>
          <w:rFonts w:ascii="Book Antiqua" w:eastAsia="Book Antiqua" w:hAnsi="Book Antiqua" w:cs="Book Antiqua"/>
          <w:color w:val="000000"/>
        </w:rPr>
        <w:t xml:space="preserve">Available from: </w:t>
      </w:r>
      <w:r w:rsidR="00C97584" w:rsidRPr="00ED699D">
        <w:rPr>
          <w:rFonts w:ascii="Book Antiqua" w:eastAsia="Book Antiqua" w:hAnsi="Book Antiqua" w:cs="Book Antiqua"/>
          <w:color w:val="000000"/>
        </w:rPr>
        <w:t>https://covid.cdc.gov/covid-data-tracker/#datatracker-home</w:t>
      </w:r>
    </w:p>
    <w:p w14:paraId="280F196F" w14:textId="36AE2618" w:rsidR="00A77B3E" w:rsidRPr="00B7221C" w:rsidRDefault="00A143FB" w:rsidP="00B7221C">
      <w:pPr>
        <w:spacing w:line="360" w:lineRule="auto"/>
        <w:jc w:val="both"/>
        <w:rPr>
          <w:rFonts w:ascii="Book Antiqua" w:hAnsi="Book Antiqua"/>
        </w:rPr>
      </w:pPr>
      <w:proofErr w:type="gramStart"/>
      <w:r w:rsidRPr="00ED699D">
        <w:rPr>
          <w:rFonts w:ascii="Book Antiqua" w:eastAsia="Book Antiqua" w:hAnsi="Book Antiqua" w:cs="Book Antiqua"/>
          <w:color w:val="000000"/>
        </w:rPr>
        <w:t>6</w:t>
      </w:r>
      <w:r w:rsidR="00ED699D">
        <w:rPr>
          <w:rFonts w:ascii="Book Antiqua" w:hAnsi="Book Antiqua" w:cs="Book Antiqua" w:hint="eastAsia"/>
          <w:color w:val="000000"/>
          <w:lang w:eastAsia="zh-CN"/>
        </w:rPr>
        <w:t xml:space="preserve"> </w:t>
      </w:r>
      <w:r w:rsidR="00DC5544" w:rsidRPr="00ED699D">
        <w:rPr>
          <w:rFonts w:ascii="Book Antiqua" w:eastAsia="Book Antiqua" w:hAnsi="Book Antiqua" w:cs="Book Antiqua"/>
          <w:color w:val="000000"/>
        </w:rPr>
        <w:t xml:space="preserve">2020 </w:t>
      </w:r>
      <w:r w:rsidRPr="00ED699D">
        <w:rPr>
          <w:rFonts w:ascii="Book Antiqua" w:eastAsia="Book Antiqua" w:hAnsi="Book Antiqua" w:cs="Book Antiqua"/>
          <w:color w:val="000000"/>
        </w:rPr>
        <w:t>Global Nutrition Report</w:t>
      </w:r>
      <w:r w:rsidR="00DC5544" w:rsidRPr="00ED699D">
        <w:rPr>
          <w:rFonts w:ascii="Book Antiqua" w:eastAsia="Book Antiqua" w:hAnsi="Book Antiqua" w:cs="Book Antiqua"/>
          <w:color w:val="000000"/>
        </w:rPr>
        <w:t>.</w:t>
      </w:r>
      <w:proofErr w:type="gramEnd"/>
      <w:r w:rsidR="00DC5544" w:rsidRPr="00ED699D">
        <w:rPr>
          <w:rFonts w:ascii="Book Antiqua" w:eastAsia="Book Antiqua" w:hAnsi="Book Antiqua" w:cs="Book Antiqua"/>
          <w:color w:val="000000"/>
        </w:rPr>
        <w:t xml:space="preserve"> </w:t>
      </w:r>
      <w:r w:rsidR="00A56C4E" w:rsidRPr="00ED699D">
        <w:rPr>
          <w:rFonts w:ascii="Book Antiqua" w:eastAsia="Book Antiqua" w:hAnsi="Book Antiqua" w:cs="Book Antiqua"/>
          <w:color w:val="000000"/>
        </w:rPr>
        <w:t>2020 [</w:t>
      </w:r>
      <w:r w:rsidR="00A56C4E" w:rsidRPr="00ED699D">
        <w:rPr>
          <w:rFonts w:ascii="Book Antiqua" w:eastAsia="Book Antiqua" w:hAnsi="Book Antiqua" w:cs="Book Antiqua"/>
          <w:bCs/>
          <w:color w:val="000000"/>
        </w:rPr>
        <w:t>cited Feb</w:t>
      </w:r>
      <w:r w:rsidR="00452D41" w:rsidRPr="00ED699D">
        <w:rPr>
          <w:rFonts w:ascii="Book Antiqua" w:eastAsia="Book Antiqua" w:hAnsi="Book Antiqua" w:cs="Book Antiqua"/>
          <w:bCs/>
          <w:color w:val="000000"/>
        </w:rPr>
        <w:t xml:space="preserve"> 1, </w:t>
      </w:r>
      <w:r w:rsidR="00A56C4E" w:rsidRPr="00ED699D">
        <w:rPr>
          <w:rFonts w:ascii="Book Antiqua" w:eastAsia="Book Antiqua" w:hAnsi="Book Antiqua" w:cs="Book Antiqua"/>
          <w:bCs/>
          <w:color w:val="000000"/>
        </w:rPr>
        <w:t>2021]</w:t>
      </w:r>
      <w:r w:rsidR="00452D41" w:rsidRPr="00ED699D">
        <w:rPr>
          <w:rFonts w:ascii="Book Antiqua" w:eastAsia="Book Antiqua" w:hAnsi="Book Antiqua" w:cs="Book Antiqua"/>
          <w:bCs/>
          <w:color w:val="000000"/>
        </w:rPr>
        <w:t>.</w:t>
      </w:r>
      <w:r w:rsidR="00A56C4E" w:rsidRPr="00ED699D">
        <w:rPr>
          <w:rFonts w:ascii="Book Antiqua" w:eastAsia="Book Antiqua" w:hAnsi="Book Antiqua" w:cs="Book Antiqua"/>
          <w:color w:val="000000"/>
        </w:rPr>
        <w:t xml:space="preserve"> In: </w:t>
      </w:r>
      <w:r w:rsidR="00A56C4E" w:rsidRPr="00ED699D">
        <w:rPr>
          <w:rFonts w:ascii="Book Antiqua" w:eastAsia="Book Antiqua" w:hAnsi="Book Antiqua" w:cs="Book Antiqua"/>
          <w:bCs/>
          <w:color w:val="000000"/>
        </w:rPr>
        <w:t>United Nations International Children’s Emergency Fund (UNICEF)</w:t>
      </w:r>
      <w:r w:rsidR="00A56C4E" w:rsidRPr="00ED699D">
        <w:rPr>
          <w:rFonts w:ascii="Book Antiqua" w:eastAsia="Book Antiqua" w:hAnsi="Book Antiqua" w:cs="Book Antiqua"/>
          <w:color w:val="000000"/>
        </w:rPr>
        <w:t xml:space="preserve"> </w:t>
      </w:r>
      <w:r w:rsidR="00DC5544" w:rsidRPr="00ED699D">
        <w:rPr>
          <w:rFonts w:ascii="Book Antiqua" w:eastAsia="Book Antiqua" w:hAnsi="Book Antiqua" w:cs="Book Antiqua"/>
          <w:color w:val="000000"/>
        </w:rPr>
        <w:t xml:space="preserve">[Internet]. </w:t>
      </w:r>
      <w:r w:rsidR="00DC5544" w:rsidRPr="00ED699D">
        <w:rPr>
          <w:rFonts w:ascii="Book Antiqua" w:eastAsia="Book Antiqua" w:hAnsi="Book Antiqua" w:cs="Book Antiqua"/>
          <w:bCs/>
          <w:color w:val="000000"/>
        </w:rPr>
        <w:t xml:space="preserve">Available from: </w:t>
      </w:r>
      <w:r w:rsidR="00DC5544" w:rsidRPr="00452D41">
        <w:rPr>
          <w:rFonts w:ascii="Book Antiqua" w:eastAsia="Book Antiqua" w:hAnsi="Book Antiqua" w:cs="Book Antiqua"/>
          <w:bCs/>
          <w:color w:val="000000"/>
        </w:rPr>
        <w:t>https://globalnutritionreport.org/reports/2020-global-nutrition-report/</w:t>
      </w:r>
    </w:p>
    <w:p w14:paraId="664F749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 </w:t>
      </w:r>
      <w:r w:rsidRPr="00B7221C">
        <w:rPr>
          <w:rFonts w:ascii="Book Antiqua" w:eastAsia="Book Antiqua" w:hAnsi="Book Antiqua" w:cs="Book Antiqua"/>
          <w:b/>
          <w:bCs/>
          <w:color w:val="000000"/>
        </w:rPr>
        <w:t>Belanger MJ</w:t>
      </w:r>
      <w:r w:rsidRPr="00B7221C">
        <w:rPr>
          <w:rFonts w:ascii="Book Antiqua" w:eastAsia="Book Antiqua" w:hAnsi="Book Antiqua" w:cs="Book Antiqua"/>
          <w:color w:val="000000"/>
        </w:rPr>
        <w:t xml:space="preserve">, Hill MA, Angelidi AM, Dalamaga M, Sowers JR, Mantzoros CS. Covid-19 and Disparities in Nutrition and Obesity. </w:t>
      </w:r>
      <w:r w:rsidRPr="00B7221C">
        <w:rPr>
          <w:rFonts w:ascii="Book Antiqua" w:eastAsia="Book Antiqua" w:hAnsi="Book Antiqua" w:cs="Book Antiqua"/>
          <w:i/>
          <w:iCs/>
          <w:color w:val="000000"/>
        </w:rPr>
        <w:t>N Engl J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383</w:t>
      </w:r>
      <w:r w:rsidRPr="00B7221C">
        <w:rPr>
          <w:rFonts w:ascii="Book Antiqua" w:eastAsia="Book Antiqua" w:hAnsi="Book Antiqua" w:cs="Book Antiqua"/>
          <w:color w:val="000000"/>
        </w:rPr>
        <w:t>: e69 [PMID: 32668105 DOI: 10.1056/NEJMp2021264]</w:t>
      </w:r>
    </w:p>
    <w:p w14:paraId="11399B35" w14:textId="3D7E364E" w:rsidR="00A77B3E" w:rsidRPr="00B7221C" w:rsidRDefault="00A143FB" w:rsidP="00B7221C">
      <w:pPr>
        <w:spacing w:line="360" w:lineRule="auto"/>
        <w:jc w:val="both"/>
        <w:rPr>
          <w:rFonts w:ascii="Book Antiqua" w:hAnsi="Book Antiqua"/>
        </w:rPr>
      </w:pPr>
      <w:r w:rsidRPr="00ED699D">
        <w:rPr>
          <w:rFonts w:ascii="Book Antiqua" w:eastAsia="Book Antiqua" w:hAnsi="Book Antiqua" w:cs="Book Antiqua"/>
          <w:color w:val="000000"/>
        </w:rPr>
        <w:t xml:space="preserve">8 </w:t>
      </w:r>
      <w:r w:rsidR="00DC5544" w:rsidRPr="00ED699D">
        <w:rPr>
          <w:rFonts w:ascii="Book Antiqua" w:eastAsia="Book Antiqua" w:hAnsi="Book Antiqua" w:cs="Book Antiqua"/>
          <w:color w:val="000000"/>
        </w:rPr>
        <w:t>WHO Coronavirus (COVID-19) Dashboard</w:t>
      </w:r>
      <w:r w:rsidR="00DC5544" w:rsidRPr="00ED699D">
        <w:rPr>
          <w:rFonts w:ascii="Book Antiqua" w:eastAsia="Book Antiqua" w:hAnsi="Book Antiqua" w:cs="Book Antiqua"/>
          <w:b/>
          <w:bCs/>
          <w:color w:val="000000"/>
        </w:rPr>
        <w:t xml:space="preserve"> </w:t>
      </w:r>
      <w:r w:rsidR="00DC5544" w:rsidRPr="00ED699D">
        <w:rPr>
          <w:rFonts w:ascii="Book Antiqua" w:eastAsia="Book Antiqua" w:hAnsi="Book Antiqua" w:cs="Book Antiqua"/>
          <w:color w:val="000000"/>
        </w:rPr>
        <w:t>2021.</w:t>
      </w:r>
      <w:r w:rsidR="00A56C4E" w:rsidRPr="00ED699D">
        <w:rPr>
          <w:rFonts w:ascii="Book Antiqua" w:eastAsia="Book Antiqua" w:hAnsi="Book Antiqua" w:cs="Book Antiqua"/>
          <w:bCs/>
          <w:color w:val="000000"/>
        </w:rPr>
        <w:t xml:space="preserve"> [cited </w:t>
      </w:r>
      <w:r w:rsidR="00452D41" w:rsidRPr="00ED699D">
        <w:rPr>
          <w:rFonts w:ascii="Book Antiqua" w:eastAsia="Book Antiqua" w:hAnsi="Book Antiqua" w:cs="Book Antiqua"/>
          <w:bCs/>
          <w:color w:val="000000"/>
        </w:rPr>
        <w:t xml:space="preserve">July 15, </w:t>
      </w:r>
      <w:r w:rsidR="00A56C4E" w:rsidRPr="00ED699D">
        <w:rPr>
          <w:rFonts w:ascii="Book Antiqua" w:eastAsia="Book Antiqua" w:hAnsi="Book Antiqua" w:cs="Book Antiqua"/>
          <w:bCs/>
          <w:color w:val="000000"/>
        </w:rPr>
        <w:t xml:space="preserve">2021]. In: World Health Organization </w:t>
      </w:r>
      <w:r w:rsidR="00DC5544" w:rsidRPr="00ED699D">
        <w:rPr>
          <w:rFonts w:ascii="Book Antiqua" w:eastAsia="Book Antiqua" w:hAnsi="Book Antiqua" w:cs="Book Antiqua"/>
          <w:color w:val="000000"/>
        </w:rPr>
        <w:t>[Internet].</w:t>
      </w:r>
      <w:r w:rsidR="00EE7EDB" w:rsidRPr="00ED699D">
        <w:rPr>
          <w:rFonts w:ascii="Book Antiqua" w:eastAsia="Book Antiqua" w:hAnsi="Book Antiqua" w:cs="Book Antiqua"/>
          <w:bCs/>
          <w:color w:val="000000"/>
        </w:rPr>
        <w:t xml:space="preserve"> </w:t>
      </w:r>
      <w:r w:rsidR="007039E4" w:rsidRPr="00ED699D">
        <w:rPr>
          <w:rFonts w:ascii="Book Antiqua" w:eastAsia="Book Antiqua" w:hAnsi="Book Antiqua" w:cs="Book Antiqua"/>
          <w:color w:val="000000"/>
        </w:rPr>
        <w:t>Available from: https://covid19.who.int/</w:t>
      </w:r>
    </w:p>
    <w:p w14:paraId="6A03F081" w14:textId="0660587C"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 </w:t>
      </w:r>
      <w:r w:rsidRPr="00B7221C">
        <w:rPr>
          <w:rFonts w:ascii="Book Antiqua" w:eastAsia="Book Antiqua" w:hAnsi="Book Antiqua" w:cs="Book Antiqua"/>
          <w:b/>
          <w:bCs/>
          <w:color w:val="000000"/>
        </w:rPr>
        <w:t>Hu B,</w:t>
      </w:r>
      <w:r w:rsidRPr="00B7221C">
        <w:rPr>
          <w:rFonts w:ascii="Book Antiqua" w:eastAsia="Book Antiqua" w:hAnsi="Book Antiqua" w:cs="Book Antiqua"/>
          <w:color w:val="000000"/>
        </w:rPr>
        <w:t xml:space="preserve"> Guo H, Zhou P, Shi Z-L. Characteristics of SARS-CoV-2 and COVID-19. </w:t>
      </w:r>
      <w:r w:rsidRPr="00B7221C">
        <w:rPr>
          <w:rFonts w:ascii="Book Antiqua" w:eastAsia="Book Antiqua" w:hAnsi="Book Antiqua" w:cs="Book Antiqua"/>
          <w:i/>
          <w:iCs/>
          <w:color w:val="000000"/>
        </w:rPr>
        <w:t>Nature Rev Microbiol</w:t>
      </w:r>
      <w:r w:rsidRPr="00B7221C">
        <w:rPr>
          <w:rFonts w:ascii="Book Antiqua" w:eastAsia="Book Antiqua" w:hAnsi="Book Antiqua" w:cs="Book Antiqua"/>
          <w:color w:val="000000"/>
        </w:rPr>
        <w:t xml:space="preserve"> 2020 [DOI: 10.1038/s41579-020-00459-7]</w:t>
      </w:r>
    </w:p>
    <w:p w14:paraId="342E842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 </w:t>
      </w:r>
      <w:r w:rsidRPr="00B7221C">
        <w:rPr>
          <w:rFonts w:ascii="Book Antiqua" w:eastAsia="Book Antiqua" w:hAnsi="Book Antiqua" w:cs="Book Antiqua"/>
          <w:b/>
          <w:bCs/>
          <w:color w:val="000000"/>
        </w:rPr>
        <w:t>Rothan HA</w:t>
      </w:r>
      <w:r w:rsidRPr="00B7221C">
        <w:rPr>
          <w:rFonts w:ascii="Book Antiqua" w:eastAsia="Book Antiqua" w:hAnsi="Book Antiqua" w:cs="Book Antiqua"/>
          <w:color w:val="000000"/>
        </w:rPr>
        <w:t xml:space="preserve">, Byrareddy SN. The epidemiology and pathogenesis of coronavirus disease (COVID-19) outbreak. </w:t>
      </w:r>
      <w:r w:rsidRPr="00B7221C">
        <w:rPr>
          <w:rFonts w:ascii="Book Antiqua" w:eastAsia="Book Antiqua" w:hAnsi="Book Antiqua" w:cs="Book Antiqua"/>
          <w:i/>
          <w:iCs/>
          <w:color w:val="000000"/>
        </w:rPr>
        <w:t>J Autoimmun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109</w:t>
      </w:r>
      <w:r w:rsidRPr="00B7221C">
        <w:rPr>
          <w:rFonts w:ascii="Book Antiqua" w:eastAsia="Book Antiqua" w:hAnsi="Book Antiqua" w:cs="Book Antiqua"/>
          <w:color w:val="000000"/>
        </w:rPr>
        <w:t>: 102433 [PMID: 32113704 DOI: 10.1016/j.jaut.2020.102433]</w:t>
      </w:r>
    </w:p>
    <w:p w14:paraId="7791306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 </w:t>
      </w:r>
      <w:r w:rsidRPr="00B7221C">
        <w:rPr>
          <w:rFonts w:ascii="Book Antiqua" w:eastAsia="Book Antiqua" w:hAnsi="Book Antiqua" w:cs="Book Antiqua"/>
          <w:b/>
          <w:bCs/>
          <w:color w:val="000000"/>
        </w:rPr>
        <w:t>Wong SH</w:t>
      </w:r>
      <w:r w:rsidRPr="00B7221C">
        <w:rPr>
          <w:rFonts w:ascii="Book Antiqua" w:eastAsia="Book Antiqua" w:hAnsi="Book Antiqua" w:cs="Book Antiqua"/>
          <w:color w:val="000000"/>
        </w:rPr>
        <w:t xml:space="preserve">, Lui RN, Sung JJ. Covid-19 and the digestive system. </w:t>
      </w:r>
      <w:r w:rsidRPr="00B7221C">
        <w:rPr>
          <w:rFonts w:ascii="Book Antiqua" w:eastAsia="Book Antiqua" w:hAnsi="Book Antiqua" w:cs="Book Antiqua"/>
          <w:i/>
          <w:iCs/>
          <w:color w:val="000000"/>
        </w:rPr>
        <w:t>J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35</w:t>
      </w:r>
      <w:r w:rsidRPr="00B7221C">
        <w:rPr>
          <w:rFonts w:ascii="Book Antiqua" w:eastAsia="Book Antiqua" w:hAnsi="Book Antiqua" w:cs="Book Antiqua"/>
          <w:color w:val="000000"/>
        </w:rPr>
        <w:t>: 744-748 [PMID: 32215956 DOI: 10.1111/jgh.15047]</w:t>
      </w:r>
    </w:p>
    <w:p w14:paraId="17FA9D8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 </w:t>
      </w:r>
      <w:r w:rsidRPr="00B7221C">
        <w:rPr>
          <w:rFonts w:ascii="Book Antiqua" w:eastAsia="Book Antiqua" w:hAnsi="Book Antiqua" w:cs="Book Antiqua"/>
          <w:b/>
          <w:bCs/>
          <w:color w:val="000000"/>
        </w:rPr>
        <w:t>Lin L</w:t>
      </w:r>
      <w:r w:rsidRPr="00B7221C">
        <w:rPr>
          <w:rFonts w:ascii="Book Antiqua" w:eastAsia="Book Antiqua" w:hAnsi="Book Antiqua" w:cs="Book Antiqua"/>
          <w:color w:val="000000"/>
        </w:rPr>
        <w:t xml:space="preserve">, Jiang X, Zhang Z, Huang S, Zhang Z, Fang Z, Gu Z, Gao L, Shi H, Mai L, Liu Y, Lin X, Lai R, Yan Z, Li X, Shan H. Gastrointestinal symptoms of 95 cases with SARS-CoV-2 infection.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997-1001 [PMID: 32241899 DOI: 10.1136/gutjnl-2020-321013]</w:t>
      </w:r>
    </w:p>
    <w:p w14:paraId="047A5A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13 </w:t>
      </w:r>
      <w:r w:rsidRPr="00B7221C">
        <w:rPr>
          <w:rFonts w:ascii="Book Antiqua" w:eastAsia="Book Antiqua" w:hAnsi="Book Antiqua" w:cs="Book Antiqua"/>
          <w:b/>
          <w:bCs/>
          <w:color w:val="000000"/>
        </w:rPr>
        <w:t>Zang R</w:t>
      </w:r>
      <w:r w:rsidRPr="00B7221C">
        <w:rPr>
          <w:rFonts w:ascii="Book Antiqua" w:eastAsia="Book Antiqua" w:hAnsi="Book Antiqua" w:cs="Book Antiqua"/>
          <w:color w:val="000000"/>
        </w:rPr>
        <w:t xml:space="preserve">, Gomez Castro MF, McCune BT, Zeng Q, Rothlauf PW, Sonnek NM, Liu Z, Brulois KF, Wang X, Greenberg HB, Diamond MS, Ciorba MA, Whelan SPJ, Ding S. TMPRSS2 and TMPRSS4 promote SARS-CoV-2 infection of human small intestinal enterocytes. </w:t>
      </w:r>
      <w:r w:rsidRPr="00B7221C">
        <w:rPr>
          <w:rFonts w:ascii="Book Antiqua" w:eastAsia="Book Antiqua" w:hAnsi="Book Antiqua" w:cs="Book Antiqua"/>
          <w:i/>
          <w:iCs/>
          <w:color w:val="000000"/>
        </w:rPr>
        <w:t>Sci Immunol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xml:space="preserve"> [PMID: 32404436 DOI: 10.1126/sciimmunol.abc3582]</w:t>
      </w:r>
    </w:p>
    <w:p w14:paraId="64F1900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 </w:t>
      </w:r>
      <w:r w:rsidRPr="00B7221C">
        <w:rPr>
          <w:rFonts w:ascii="Book Antiqua" w:eastAsia="Book Antiqua" w:hAnsi="Book Antiqua" w:cs="Book Antiqua"/>
          <w:b/>
          <w:bCs/>
          <w:color w:val="000000"/>
        </w:rPr>
        <w:t>Segal JP</w:t>
      </w:r>
      <w:r w:rsidRPr="00B7221C">
        <w:rPr>
          <w:rFonts w:ascii="Book Antiqua" w:eastAsia="Book Antiqua" w:hAnsi="Book Antiqua" w:cs="Book Antiqua"/>
          <w:color w:val="000000"/>
        </w:rPr>
        <w:t xml:space="preserve">, Mak JWY, Mullish BH, Alexander JL, Ng SC, Marchesi JR. The gut microbiome: an under-recognised contributor to the COVID-19 pandemic? </w:t>
      </w:r>
      <w:r w:rsidRPr="00B7221C">
        <w:rPr>
          <w:rFonts w:ascii="Book Antiqua" w:eastAsia="Book Antiqua" w:hAnsi="Book Antiqua" w:cs="Book Antiqua"/>
          <w:i/>
          <w:iCs/>
          <w:color w:val="000000"/>
        </w:rPr>
        <w:t>Therap Adv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13</w:t>
      </w:r>
      <w:r w:rsidRPr="00B7221C">
        <w:rPr>
          <w:rFonts w:ascii="Book Antiqua" w:eastAsia="Book Antiqua" w:hAnsi="Book Antiqua" w:cs="Book Antiqua"/>
          <w:color w:val="000000"/>
        </w:rPr>
        <w:t>: 1756284820974914 [PMID: 33281941 DOI: 10.1177/1756284820974914]</w:t>
      </w:r>
    </w:p>
    <w:p w14:paraId="222EE8C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 </w:t>
      </w:r>
      <w:r w:rsidRPr="00B7221C">
        <w:rPr>
          <w:rFonts w:ascii="Book Antiqua" w:eastAsia="Book Antiqua" w:hAnsi="Book Antiqua" w:cs="Book Antiqua"/>
          <w:b/>
          <w:bCs/>
          <w:color w:val="000000"/>
        </w:rPr>
        <w:t>Xiao F</w:t>
      </w:r>
      <w:r w:rsidRPr="00B7221C">
        <w:rPr>
          <w:rFonts w:ascii="Book Antiqua" w:eastAsia="Book Antiqua" w:hAnsi="Book Antiqua" w:cs="Book Antiqua"/>
          <w:color w:val="000000"/>
        </w:rPr>
        <w:t xml:space="preserve">, Tang M, Zheng X, Liu Y, Li X, Shan H. Evidence for Gastrointestinal Infection of SARS-CoV-2.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1831-1833.e3 [PMID: 32142773 DOI: 10.1053/j.gastro.2020.02.055]</w:t>
      </w:r>
    </w:p>
    <w:p w14:paraId="7CA4254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 </w:t>
      </w:r>
      <w:r w:rsidRPr="00B7221C">
        <w:rPr>
          <w:rFonts w:ascii="Book Antiqua" w:eastAsia="Book Antiqua" w:hAnsi="Book Antiqua" w:cs="Book Antiqua"/>
          <w:b/>
          <w:bCs/>
          <w:color w:val="000000"/>
        </w:rPr>
        <w:t>Lamers MM</w:t>
      </w:r>
      <w:r w:rsidRPr="00B7221C">
        <w:rPr>
          <w:rFonts w:ascii="Book Antiqua" w:eastAsia="Book Antiqua" w:hAnsi="Book Antiqua" w:cs="Book Antiqua"/>
          <w:color w:val="000000"/>
        </w:rPr>
        <w:t xml:space="preserve">, Beumer J, van der Vaart J, Knoops K, Puschhof J, Breugem TI, Ravelli RBG, Paul van Schayck J, Mykytyn AZ, Duimel HQ, van Donselaar E, Riesebosch S, Kuijpers HJH, Schipper D, van de Wetering WJ, de Graaf M, Koopmans M, Cuppen E, Peters PJ, Haagmans BL, Clevers H. SARS-CoV-2 productively infects human gut enterocytes. </w:t>
      </w:r>
      <w:r w:rsidRPr="00B7221C">
        <w:rPr>
          <w:rFonts w:ascii="Book Antiqua" w:eastAsia="Book Antiqua" w:hAnsi="Book Antiqua" w:cs="Book Antiqua"/>
          <w:i/>
          <w:iCs/>
          <w:color w:val="000000"/>
        </w:rPr>
        <w:t>Science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369</w:t>
      </w:r>
      <w:r w:rsidRPr="00B7221C">
        <w:rPr>
          <w:rFonts w:ascii="Book Antiqua" w:eastAsia="Book Antiqua" w:hAnsi="Book Antiqua" w:cs="Book Antiqua"/>
          <w:color w:val="000000"/>
        </w:rPr>
        <w:t>: 50-54 [PMID: 32358202 DOI: 10.1126/science.abc1669]</w:t>
      </w:r>
    </w:p>
    <w:p w14:paraId="4036131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 </w:t>
      </w:r>
      <w:r w:rsidRPr="00B7221C">
        <w:rPr>
          <w:rFonts w:ascii="Book Antiqua" w:eastAsia="Book Antiqua" w:hAnsi="Book Antiqua" w:cs="Book Antiqua"/>
          <w:b/>
          <w:bCs/>
          <w:color w:val="000000"/>
        </w:rPr>
        <w:t>Lee JJ</w:t>
      </w:r>
      <w:r w:rsidRPr="00B7221C">
        <w:rPr>
          <w:rFonts w:ascii="Book Antiqua" w:eastAsia="Book Antiqua" w:hAnsi="Book Antiqua" w:cs="Book Antiqua"/>
          <w:color w:val="000000"/>
        </w:rPr>
        <w:t xml:space="preserve">, Kopetz S, Vilar E, Shen JP, Chen K, Maitra A. Relative Abundance of SARS-CoV-2 Entry Genes in the Enterocytes of the Lower Gastrointestinal Tract. </w:t>
      </w:r>
      <w:r w:rsidRPr="00B7221C">
        <w:rPr>
          <w:rFonts w:ascii="Book Antiqua" w:eastAsia="Book Antiqua" w:hAnsi="Book Antiqua" w:cs="Book Antiqua"/>
          <w:i/>
          <w:iCs/>
          <w:color w:val="000000"/>
        </w:rPr>
        <w:t>Genes (Basel)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32545271 DOI: 10.3390/genes11060645]</w:t>
      </w:r>
    </w:p>
    <w:p w14:paraId="7587498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18 </w:t>
      </w:r>
      <w:r w:rsidRPr="00B7221C">
        <w:rPr>
          <w:rFonts w:ascii="Book Antiqua" w:eastAsia="Book Antiqua" w:hAnsi="Book Antiqua" w:cs="Book Antiqua"/>
          <w:b/>
          <w:bCs/>
          <w:color w:val="000000"/>
        </w:rPr>
        <w:t>Dong E</w:t>
      </w:r>
      <w:r w:rsidRPr="00B7221C">
        <w:rPr>
          <w:rFonts w:ascii="Book Antiqua" w:eastAsia="Book Antiqua" w:hAnsi="Book Antiqua" w:cs="Book Antiqua"/>
          <w:color w:val="000000"/>
        </w:rPr>
        <w:t xml:space="preserve">, Du H, Gardner L. An interactive web-based dashboard to track COVID-19 in real time. </w:t>
      </w:r>
      <w:r w:rsidRPr="00B7221C">
        <w:rPr>
          <w:rFonts w:ascii="Book Antiqua" w:eastAsia="Book Antiqua" w:hAnsi="Book Antiqua" w:cs="Book Antiqua"/>
          <w:i/>
          <w:iCs/>
          <w:color w:val="000000"/>
        </w:rPr>
        <w:t>Lancet Infect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533-534 [PMID: 32087114 DOI: 10.1016/S1473-3099(20)30120-1]</w:t>
      </w:r>
    </w:p>
    <w:p w14:paraId="621C704C" w14:textId="6221E50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19 </w:t>
      </w:r>
      <w:r w:rsidRPr="00B7221C">
        <w:rPr>
          <w:rFonts w:ascii="Book Antiqua" w:eastAsia="Book Antiqua" w:hAnsi="Book Antiqua" w:cs="Book Antiqua"/>
          <w:b/>
          <w:bCs/>
          <w:color w:val="000000"/>
        </w:rPr>
        <w:t>Villapol S</w:t>
      </w:r>
      <w:r w:rsidRPr="00B7221C">
        <w:rPr>
          <w:rFonts w:ascii="Book Antiqua" w:eastAsia="Book Antiqua" w:hAnsi="Book Antiqua" w:cs="Book Antiqua"/>
          <w:color w:val="000000"/>
        </w:rPr>
        <w:t xml:space="preserve">. Gastrointestinal symptoms associated with COVID-19: impact on the gut microbiome. </w:t>
      </w:r>
      <w:r w:rsidRPr="00B7221C">
        <w:rPr>
          <w:rFonts w:ascii="Book Antiqua" w:eastAsia="Book Antiqua" w:hAnsi="Book Antiqua" w:cs="Book Antiqua"/>
          <w:i/>
          <w:iCs/>
          <w:color w:val="000000"/>
        </w:rPr>
        <w:t>Translation Res</w:t>
      </w:r>
      <w:r w:rsidRPr="00B7221C">
        <w:rPr>
          <w:rFonts w:ascii="Book Antiqua" w:eastAsia="Book Antiqua" w:hAnsi="Book Antiqua" w:cs="Book Antiqua"/>
          <w:color w:val="000000"/>
        </w:rPr>
        <w:t xml:space="preserve"> 2020</w:t>
      </w:r>
      <w:r w:rsidR="00C93FA2" w:rsidRPr="00B7221C">
        <w:rPr>
          <w:rFonts w:ascii="Book Antiqua" w:eastAsia="Book Antiqua" w:hAnsi="Book Antiqua" w:cs="Book Antiqua"/>
          <w:color w:val="000000"/>
        </w:rPr>
        <w:t xml:space="preserve"> [DOI: 10.1016/j.trsl.2020.08.004]</w:t>
      </w:r>
    </w:p>
    <w:p w14:paraId="780CEC8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20 </w:t>
      </w:r>
      <w:r w:rsidRPr="00B7221C">
        <w:rPr>
          <w:rFonts w:ascii="Book Antiqua" w:eastAsia="Book Antiqua" w:hAnsi="Book Antiqua" w:cs="Book Antiqua"/>
          <w:b/>
          <w:bCs/>
          <w:color w:val="000000"/>
        </w:rPr>
        <w:t>Pan L</w:t>
      </w:r>
      <w:r w:rsidRPr="00B7221C">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B7221C">
        <w:rPr>
          <w:rFonts w:ascii="Book Antiqua" w:eastAsia="Book Antiqua" w:hAnsi="Book Antiqua" w:cs="Book Antiqua"/>
          <w:i/>
          <w:iCs/>
          <w:color w:val="000000"/>
        </w:rPr>
        <w:t>Am J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115</w:t>
      </w:r>
      <w:r w:rsidRPr="00B7221C">
        <w:rPr>
          <w:rFonts w:ascii="Book Antiqua" w:eastAsia="Book Antiqua" w:hAnsi="Book Antiqua" w:cs="Book Antiqua"/>
          <w:color w:val="000000"/>
        </w:rPr>
        <w:t>: 766-773 [PMID: 32287140 DOI: 10.14309/ajg.0000000000000620]</w:t>
      </w:r>
    </w:p>
    <w:p w14:paraId="22DBA8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21 </w:t>
      </w:r>
      <w:r w:rsidRPr="00B7221C">
        <w:rPr>
          <w:rFonts w:ascii="Book Antiqua" w:eastAsia="Book Antiqua" w:hAnsi="Book Antiqua" w:cs="Book Antiqua"/>
          <w:b/>
          <w:bCs/>
          <w:color w:val="000000"/>
        </w:rPr>
        <w:t>Hillman ET</w:t>
      </w:r>
      <w:r w:rsidRPr="00B7221C">
        <w:rPr>
          <w:rFonts w:ascii="Book Antiqua" w:eastAsia="Book Antiqua" w:hAnsi="Book Antiqua" w:cs="Book Antiqua"/>
          <w:color w:val="000000"/>
        </w:rPr>
        <w:t xml:space="preserve">, Kozik AJ, Hooker CA, Burnett JL, Heo Y, Kiesel VA, Nevins CJ, Oshiro JMKI, Robins MM, Thakkar RD, Wu ST, Lindemann SR. Comparative genomics of the genus </w:t>
      </w:r>
      <w:r w:rsidRPr="00B7221C">
        <w:rPr>
          <w:rFonts w:ascii="Book Antiqua" w:eastAsia="Book Antiqua" w:hAnsi="Book Antiqua" w:cs="Book Antiqua"/>
          <w:i/>
          <w:iCs/>
          <w:color w:val="000000"/>
        </w:rPr>
        <w:t>Roseburia</w:t>
      </w:r>
      <w:r w:rsidRPr="00B7221C">
        <w:rPr>
          <w:rFonts w:ascii="Book Antiqua" w:eastAsia="Book Antiqua" w:hAnsi="Book Antiqua" w:cs="Book Antiqua"/>
          <w:color w:val="000000"/>
        </w:rPr>
        <w:t xml:space="preserve"> reveals divergent biosynthetic pathways that may influence colonic competition among species. </w:t>
      </w:r>
      <w:r w:rsidRPr="00B7221C">
        <w:rPr>
          <w:rFonts w:ascii="Book Antiqua" w:eastAsia="Book Antiqua" w:hAnsi="Book Antiqua" w:cs="Book Antiqua"/>
          <w:i/>
          <w:iCs/>
          <w:color w:val="000000"/>
        </w:rPr>
        <w:t>Microb Genom</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xml:space="preserve"> [PMID: 32589566 DOI: 10.1099/mgen.0.000399]</w:t>
      </w:r>
    </w:p>
    <w:p w14:paraId="5FC8ECA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22 </w:t>
      </w:r>
      <w:r w:rsidRPr="00B7221C">
        <w:rPr>
          <w:rFonts w:ascii="Book Antiqua" w:eastAsia="Book Antiqua" w:hAnsi="Book Antiqua" w:cs="Book Antiqua"/>
          <w:b/>
          <w:bCs/>
          <w:color w:val="000000"/>
        </w:rPr>
        <w:t>Hamming I</w:t>
      </w:r>
      <w:r w:rsidRPr="00B7221C">
        <w:rPr>
          <w:rFonts w:ascii="Book Antiqua" w:eastAsia="Book Antiqua" w:hAnsi="Book Antiqua" w:cs="Book Antiqua"/>
          <w:color w:val="000000"/>
        </w:rPr>
        <w:t xml:space="preserve">, Timens W, Bulthuis ML, Lely AT, Navis G, van Goor H. Tissue distribution of ACE2 protein, the functional receptor for SARS coronavirus. A first step in understanding SARS pathogenesis. </w:t>
      </w:r>
      <w:r w:rsidRPr="00B7221C">
        <w:rPr>
          <w:rFonts w:ascii="Book Antiqua" w:eastAsia="Book Antiqua" w:hAnsi="Book Antiqua" w:cs="Book Antiqua"/>
          <w:i/>
          <w:iCs/>
          <w:color w:val="000000"/>
        </w:rPr>
        <w:t>J Pathol</w:t>
      </w:r>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203</w:t>
      </w:r>
      <w:r w:rsidRPr="00B7221C">
        <w:rPr>
          <w:rFonts w:ascii="Book Antiqua" w:eastAsia="Book Antiqua" w:hAnsi="Book Antiqua" w:cs="Book Antiqua"/>
          <w:color w:val="000000"/>
        </w:rPr>
        <w:t>: 631-637 [PMID: 15141377 DOI: 10.1002/path.1570]</w:t>
      </w:r>
    </w:p>
    <w:p w14:paraId="3A2AB42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23 </w:t>
      </w:r>
      <w:r w:rsidRPr="00B7221C">
        <w:rPr>
          <w:rFonts w:ascii="Book Antiqua" w:eastAsia="Book Antiqua" w:hAnsi="Book Antiqua" w:cs="Book Antiqua"/>
          <w:b/>
          <w:bCs/>
          <w:color w:val="000000"/>
        </w:rPr>
        <w:t>Parasa S</w:t>
      </w:r>
      <w:r w:rsidRPr="00B7221C">
        <w:rPr>
          <w:rFonts w:ascii="Book Antiqua" w:eastAsia="Book Antiqua" w:hAnsi="Book Antiqua" w:cs="Book Antiqua"/>
          <w:color w:val="000000"/>
        </w:rPr>
        <w:t xml:space="preserve">, Desai M, Thoguluva Chandrasekar V, Patel HK, Kennedy KF, Roesch T, Spadaccini M, Colombo M, Gabbiadini R, Artifon ELA, Repici A, Sharma P. Prevalence of Gastrointestinal Symptoms and Fecal Viral Shedding in Patients With Coronavirus Disease 2019: A Systematic Review and Meta-analysis. </w:t>
      </w:r>
      <w:r w:rsidRPr="00B7221C">
        <w:rPr>
          <w:rFonts w:ascii="Book Antiqua" w:eastAsia="Book Antiqua" w:hAnsi="Book Antiqua" w:cs="Book Antiqua"/>
          <w:i/>
          <w:iCs/>
          <w:color w:val="000000"/>
        </w:rPr>
        <w:t>JAMA Netw Open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w:t>
      </w:r>
      <w:r w:rsidRPr="00B7221C">
        <w:rPr>
          <w:rFonts w:ascii="Book Antiqua" w:eastAsia="Book Antiqua" w:hAnsi="Book Antiqua" w:cs="Book Antiqua"/>
          <w:color w:val="000000"/>
        </w:rPr>
        <w:t>: e2011335 [PMID: 32525549 DOI: 10.1001/jamanetworkopen.2020.11335]</w:t>
      </w:r>
    </w:p>
    <w:p w14:paraId="134E29F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24 </w:t>
      </w:r>
      <w:r w:rsidRPr="00B7221C">
        <w:rPr>
          <w:rFonts w:ascii="Book Antiqua" w:eastAsia="Book Antiqua" w:hAnsi="Book Antiqua" w:cs="Book Antiqua"/>
          <w:b/>
          <w:bCs/>
          <w:color w:val="000000"/>
        </w:rPr>
        <w:t>Perlot T</w:t>
      </w:r>
      <w:r w:rsidRPr="00B7221C">
        <w:rPr>
          <w:rFonts w:ascii="Book Antiqua" w:eastAsia="Book Antiqua" w:hAnsi="Book Antiqua" w:cs="Book Antiqua"/>
          <w:color w:val="000000"/>
        </w:rPr>
        <w:t xml:space="preserve">, Penninger JM. ACE2 - from the renin-angiotensin system to gut microbiota and malnutrition. </w:t>
      </w:r>
      <w:r w:rsidRPr="00B7221C">
        <w:rPr>
          <w:rFonts w:ascii="Book Antiqua" w:eastAsia="Book Antiqua" w:hAnsi="Book Antiqua" w:cs="Book Antiqua"/>
          <w:i/>
          <w:iCs/>
          <w:color w:val="000000"/>
        </w:rPr>
        <w:t>Microbes Infect</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866-873 [PMID: 23962453 DOI: 10.1016/j.micinf.2013.08.003]</w:t>
      </w:r>
    </w:p>
    <w:p w14:paraId="38ABBA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25 </w:t>
      </w:r>
      <w:r w:rsidRPr="00B7221C">
        <w:rPr>
          <w:rFonts w:ascii="Book Antiqua" w:eastAsia="Book Antiqua" w:hAnsi="Book Antiqua" w:cs="Book Antiqua"/>
          <w:b/>
          <w:bCs/>
          <w:color w:val="000000"/>
        </w:rPr>
        <w:t>Zhang YB</w:t>
      </w:r>
      <w:r w:rsidRPr="00B7221C">
        <w:rPr>
          <w:rFonts w:ascii="Book Antiqua" w:eastAsia="Book Antiqua" w:hAnsi="Book Antiqua" w:cs="Book Antiqua"/>
          <w:color w:val="000000"/>
        </w:rPr>
        <w:t xml:space="preserve">, Liu SJ, Hu ZD, Zhou JX, Wang YZ, Fang B, Wong KW, Xia F. Increased Th17 activation and gut microbiota diversity are associated with pembrolizumab-triggered tuberculosis. </w:t>
      </w:r>
      <w:r w:rsidRPr="00B7221C">
        <w:rPr>
          <w:rFonts w:ascii="Book Antiqua" w:eastAsia="Book Antiqua" w:hAnsi="Book Antiqua" w:cs="Book Antiqua"/>
          <w:i/>
          <w:iCs/>
          <w:color w:val="000000"/>
        </w:rPr>
        <w:t>Cancer Immunol Immunother</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2665-2671 [PMID: 32761425 DOI: 10.1007/s00262-020-02687-5]</w:t>
      </w:r>
    </w:p>
    <w:p w14:paraId="2F0B555D" w14:textId="495B1BFF"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26 News &amp; Highlights. </w:t>
      </w:r>
      <w:r w:rsidRPr="00B7221C">
        <w:rPr>
          <w:rFonts w:ascii="Book Antiqua" w:eastAsia="Book Antiqua" w:hAnsi="Book Antiqua" w:cs="Book Antiqua"/>
          <w:i/>
          <w:color w:val="000000"/>
        </w:rPr>
        <w:t>Mucosal Immunol</w:t>
      </w:r>
      <w:r w:rsidRPr="00B7221C">
        <w:rPr>
          <w:rFonts w:ascii="Book Antiqua" w:eastAsia="Book Antiqua" w:hAnsi="Book Antiqua" w:cs="Book Antiqua"/>
          <w:color w:val="000000"/>
        </w:rPr>
        <w:t xml:space="preserve"> 2008; </w:t>
      </w:r>
      <w:r w:rsidRPr="00B7221C">
        <w:rPr>
          <w:rFonts w:ascii="Book Antiqua" w:eastAsia="Book Antiqua" w:hAnsi="Book Antiqua" w:cs="Book Antiqua"/>
          <w:b/>
          <w:bCs/>
          <w:color w:val="000000"/>
        </w:rPr>
        <w:t>1</w:t>
      </w:r>
      <w:r w:rsidRPr="00B7221C">
        <w:rPr>
          <w:rFonts w:ascii="Book Antiqua" w:eastAsia="Book Antiqua" w:hAnsi="Book Antiqua" w:cs="Book Antiqua"/>
          <w:color w:val="000000"/>
        </w:rPr>
        <w:t>: 246-247 [DOI: 10.1038/mi.2008.17]</w:t>
      </w:r>
    </w:p>
    <w:p w14:paraId="60D68F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27 </w:t>
      </w:r>
      <w:r w:rsidRPr="00B7221C">
        <w:rPr>
          <w:rFonts w:ascii="Book Antiqua" w:eastAsia="Book Antiqua" w:hAnsi="Book Antiqua" w:cs="Book Antiqua"/>
          <w:b/>
          <w:bCs/>
          <w:color w:val="000000"/>
        </w:rPr>
        <w:t>Ochoa-Repáraz J</w:t>
      </w:r>
      <w:r w:rsidRPr="00B7221C">
        <w:rPr>
          <w:rFonts w:ascii="Book Antiqua" w:eastAsia="Book Antiqua" w:hAnsi="Book Antiqua" w:cs="Book Antiqua"/>
          <w:color w:val="000000"/>
        </w:rPr>
        <w:t xml:space="preserve">, Kasper LH. The Second Brain: Is the Gut Microbiota a Link Between Obesity and Central Nervous System Disorders? </w:t>
      </w:r>
      <w:r w:rsidRPr="00B7221C">
        <w:rPr>
          <w:rFonts w:ascii="Book Antiqua" w:eastAsia="Book Antiqua" w:hAnsi="Book Antiqua" w:cs="Book Antiqua"/>
          <w:i/>
          <w:iCs/>
          <w:color w:val="000000"/>
        </w:rPr>
        <w:t>Curr Obes Rep</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51-64 [PMID: 26865085 DOI: 10.1007/s13679-016-0191-1]</w:t>
      </w:r>
    </w:p>
    <w:p w14:paraId="224EDC7C" w14:textId="5FF0497C"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28 </w:t>
      </w:r>
      <w:r w:rsidRPr="00B7221C">
        <w:rPr>
          <w:rFonts w:ascii="Book Antiqua" w:eastAsia="Book Antiqua" w:hAnsi="Book Antiqua" w:cs="Book Antiqua"/>
          <w:b/>
          <w:bCs/>
          <w:color w:val="000000"/>
        </w:rPr>
        <w:t>Johnson A</w:t>
      </w:r>
      <w:r w:rsidRPr="00B7221C">
        <w:rPr>
          <w:rFonts w:ascii="Book Antiqua" w:eastAsia="Book Antiqua" w:hAnsi="Book Antiqua" w:cs="Book Antiqua"/>
          <w:color w:val="000000"/>
        </w:rPr>
        <w:t xml:space="preserve">. Gut feelings: the world of the second brain. </w:t>
      </w:r>
      <w:r w:rsidRPr="00B7221C">
        <w:rPr>
          <w:rFonts w:ascii="Book Antiqua" w:eastAsia="Book Antiqua" w:hAnsi="Book Antiqua" w:cs="Book Antiqua"/>
          <w:i/>
          <w:iCs/>
          <w:color w:val="000000"/>
        </w:rPr>
        <w:t>Lancet Gastroenterol</w:t>
      </w:r>
      <w:r w:rsidR="00D31110" w:rsidRPr="00B7221C">
        <w:rPr>
          <w:rFonts w:ascii="Book Antiqua" w:eastAsia="Book Antiqua" w:hAnsi="Book Antiqua" w:cs="Book Antiqua"/>
          <w:i/>
          <w:iCs/>
          <w:color w:val="000000"/>
        </w:rPr>
        <w:t xml:space="preserve"> </w:t>
      </w:r>
      <w:r w:rsidRPr="00B7221C">
        <w:rPr>
          <w:rFonts w:ascii="Book Antiqua" w:eastAsia="Book Antiqua" w:hAnsi="Book Antiqua" w:cs="Book Antiqua"/>
          <w:i/>
          <w:iCs/>
          <w:color w:val="000000"/>
        </w:rPr>
        <w:t>Hepatol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3</w:t>
      </w:r>
      <w:r w:rsidRPr="00B7221C">
        <w:rPr>
          <w:rFonts w:ascii="Book Antiqua" w:eastAsia="Book Antiqua" w:hAnsi="Book Antiqua" w:cs="Book Antiqua"/>
          <w:color w:val="000000"/>
        </w:rPr>
        <w:t>: 536</w:t>
      </w:r>
      <w:r w:rsidR="00C93FA2" w:rsidRPr="00B7221C">
        <w:rPr>
          <w:rFonts w:ascii="Book Antiqua" w:eastAsia="Book Antiqua" w:hAnsi="Book Antiqua" w:cs="Book Antiqua"/>
          <w:color w:val="000000"/>
        </w:rPr>
        <w:t xml:space="preserve"> [DOI: 10.1016/S2468-1253(18)30209-7]</w:t>
      </w:r>
    </w:p>
    <w:p w14:paraId="466D51F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29 </w:t>
      </w:r>
      <w:r w:rsidRPr="00B7221C">
        <w:rPr>
          <w:rFonts w:ascii="Book Antiqua" w:eastAsia="Book Antiqua" w:hAnsi="Book Antiqua" w:cs="Book Antiqua"/>
          <w:b/>
          <w:bCs/>
          <w:color w:val="000000"/>
        </w:rPr>
        <w:t>Onal EM</w:t>
      </w:r>
      <w:r w:rsidRPr="00B7221C">
        <w:rPr>
          <w:rFonts w:ascii="Book Antiqua" w:eastAsia="Book Antiqua" w:hAnsi="Book Antiqua" w:cs="Book Antiqua"/>
          <w:color w:val="000000"/>
        </w:rPr>
        <w:t xml:space="preserve">, Afsar B, Covic A, Vaziri ND, Kanbay M. Gut microbiota and inflammation in chronic kidney disease and their roles in the development of cardiovascular disease. </w:t>
      </w:r>
      <w:r w:rsidRPr="00B7221C">
        <w:rPr>
          <w:rFonts w:ascii="Book Antiqua" w:eastAsia="Book Antiqua" w:hAnsi="Book Antiqua" w:cs="Book Antiqua"/>
          <w:i/>
          <w:iCs/>
          <w:color w:val="000000"/>
        </w:rPr>
        <w:t>Hypertens Res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42</w:t>
      </w:r>
      <w:r w:rsidRPr="00B7221C">
        <w:rPr>
          <w:rFonts w:ascii="Book Antiqua" w:eastAsia="Book Antiqua" w:hAnsi="Book Antiqua" w:cs="Book Antiqua"/>
          <w:color w:val="000000"/>
        </w:rPr>
        <w:t>: 123-140 [PMID: 30504819 DOI: 10.1038/s41440-018-0144-z]</w:t>
      </w:r>
    </w:p>
    <w:p w14:paraId="6AEE778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30 </w:t>
      </w:r>
      <w:r w:rsidRPr="00B7221C">
        <w:rPr>
          <w:rFonts w:ascii="Book Antiqua" w:eastAsia="Book Antiqua" w:hAnsi="Book Antiqua" w:cs="Book Antiqua"/>
          <w:b/>
          <w:bCs/>
          <w:color w:val="000000"/>
        </w:rPr>
        <w:t>Nagatomo Y</w:t>
      </w:r>
      <w:r w:rsidRPr="00B7221C">
        <w:rPr>
          <w:rFonts w:ascii="Book Antiqua" w:eastAsia="Book Antiqua" w:hAnsi="Book Antiqua" w:cs="Book Antiqua"/>
          <w:color w:val="000000"/>
        </w:rPr>
        <w:t xml:space="preserve">, Tang WH. Intersections Between Microbiome and Heart Failure: Revisiting the Gut Hypothesis. </w:t>
      </w:r>
      <w:r w:rsidRPr="00B7221C">
        <w:rPr>
          <w:rFonts w:ascii="Book Antiqua" w:eastAsia="Book Antiqua" w:hAnsi="Book Antiqua" w:cs="Book Antiqua"/>
          <w:i/>
          <w:iCs/>
          <w:color w:val="000000"/>
        </w:rPr>
        <w:t>J Card Fail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21</w:t>
      </w:r>
      <w:r w:rsidRPr="00B7221C">
        <w:rPr>
          <w:rFonts w:ascii="Book Antiqua" w:eastAsia="Book Antiqua" w:hAnsi="Book Antiqua" w:cs="Book Antiqua"/>
          <w:color w:val="000000"/>
        </w:rPr>
        <w:t>: 973-980 [PMID: 26435097 DOI: 10.1016/j.cardfail.2015.09.017]</w:t>
      </w:r>
    </w:p>
    <w:p w14:paraId="596C471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31 </w:t>
      </w:r>
      <w:r w:rsidRPr="00B7221C">
        <w:rPr>
          <w:rFonts w:ascii="Book Antiqua" w:eastAsia="Book Antiqua" w:hAnsi="Book Antiqua" w:cs="Book Antiqua"/>
          <w:b/>
          <w:bCs/>
          <w:color w:val="000000"/>
        </w:rPr>
        <w:t>Van Kaer L</w:t>
      </w:r>
      <w:r w:rsidRPr="00B7221C">
        <w:rPr>
          <w:rFonts w:ascii="Book Antiqua" w:eastAsia="Book Antiqua" w:hAnsi="Book Antiqua" w:cs="Book Antiqua"/>
          <w:color w:val="000000"/>
        </w:rPr>
        <w:t xml:space="preserve">, Olivares-Villagómez D. Development, Homeostasis, and Functions of Intestinal Intraepithelial Lymphocytes.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200</w:t>
      </w:r>
      <w:r w:rsidRPr="00B7221C">
        <w:rPr>
          <w:rFonts w:ascii="Book Antiqua" w:eastAsia="Book Antiqua" w:hAnsi="Book Antiqua" w:cs="Book Antiqua"/>
          <w:color w:val="000000"/>
        </w:rPr>
        <w:t>: 2235-2244 [PMID: 29555677 DOI: 10.4049/jimmunol.1701704]</w:t>
      </w:r>
    </w:p>
    <w:p w14:paraId="29F112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32 </w:t>
      </w:r>
      <w:r w:rsidRPr="00B7221C">
        <w:rPr>
          <w:rFonts w:ascii="Book Antiqua" w:eastAsia="Book Antiqua" w:hAnsi="Book Antiqua" w:cs="Book Antiqua"/>
          <w:b/>
          <w:bCs/>
          <w:color w:val="000000"/>
        </w:rPr>
        <w:t>Commins SP</w:t>
      </w:r>
      <w:r w:rsidRPr="00B7221C">
        <w:rPr>
          <w:rFonts w:ascii="Book Antiqua" w:eastAsia="Book Antiqua" w:hAnsi="Book Antiqua" w:cs="Book Antiqua"/>
          <w:color w:val="000000"/>
        </w:rPr>
        <w:t xml:space="preserve">. Mechanisms of Oral Tolerance. </w:t>
      </w:r>
      <w:r w:rsidRPr="00B7221C">
        <w:rPr>
          <w:rFonts w:ascii="Book Antiqua" w:eastAsia="Book Antiqua" w:hAnsi="Book Antiqua" w:cs="Book Antiqua"/>
          <w:i/>
          <w:iCs/>
          <w:color w:val="000000"/>
        </w:rPr>
        <w:t>Pediatr Clin North Am</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62</w:t>
      </w:r>
      <w:r w:rsidRPr="00B7221C">
        <w:rPr>
          <w:rFonts w:ascii="Book Antiqua" w:eastAsia="Book Antiqua" w:hAnsi="Book Antiqua" w:cs="Book Antiqua"/>
          <w:color w:val="000000"/>
        </w:rPr>
        <w:t>: 1523-1529 [PMID: 26456448 DOI: 10.1016/j.pcl.2015.07.013]</w:t>
      </w:r>
    </w:p>
    <w:p w14:paraId="204E79D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33 </w:t>
      </w:r>
      <w:r w:rsidRPr="00B7221C">
        <w:rPr>
          <w:rFonts w:ascii="Book Antiqua" w:eastAsia="Book Antiqua" w:hAnsi="Book Antiqua" w:cs="Book Antiqua"/>
          <w:b/>
          <w:bCs/>
          <w:color w:val="000000"/>
        </w:rPr>
        <w:t>Tlaskalová-Hogenová H</w:t>
      </w:r>
      <w:r w:rsidRPr="00B7221C">
        <w:rPr>
          <w:rFonts w:ascii="Book Antiqua" w:eastAsia="Book Antiqua" w:hAnsi="Book Antiqua" w:cs="Book Antiqua"/>
          <w:color w:val="000000"/>
        </w:rPr>
        <w:t xml:space="preserve">, Stěpánková R, Kozáková H, Hudcovic T, Vannucci L, Tučková L, Rossmann P, Hrnčíř T, Kverka M, Zákostelská Z, Klimešová K, Přibylová J, Bártová J, Sanchez D, Fundová P, Borovská D, Srůtková D, Zídek Z, Schwarzer M, Drastich P, Funda DP. The role of gut microbiota (commensal bacteria) and the mucosal barrier in the pathogenesis of inflammatory and autoimmune diseases and cancer: contribution of germ-free and gnotobiotic animal models of human diseases. </w:t>
      </w:r>
      <w:r w:rsidRPr="00B7221C">
        <w:rPr>
          <w:rFonts w:ascii="Book Antiqua" w:eastAsia="Book Antiqua" w:hAnsi="Book Antiqua" w:cs="Book Antiqua"/>
          <w:i/>
          <w:iCs/>
          <w:color w:val="000000"/>
        </w:rPr>
        <w:t>Cell Mol Immunol</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110-120 [PMID: 21278760 DOI: 10.1038/cmi.2010.67]</w:t>
      </w:r>
    </w:p>
    <w:p w14:paraId="7DA5871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34 </w:t>
      </w:r>
      <w:r w:rsidRPr="00B7221C">
        <w:rPr>
          <w:rFonts w:ascii="Book Antiqua" w:eastAsia="Book Antiqua" w:hAnsi="Book Antiqua" w:cs="Book Antiqua"/>
          <w:b/>
          <w:bCs/>
          <w:color w:val="000000"/>
        </w:rPr>
        <w:t>Isaacs-Ten A</w:t>
      </w:r>
      <w:r w:rsidRPr="00B7221C">
        <w:rPr>
          <w:rFonts w:ascii="Book Antiqua" w:eastAsia="Book Antiqua" w:hAnsi="Book Antiqua" w:cs="Book Antiqua"/>
          <w:color w:val="000000"/>
        </w:rPr>
        <w:t xml:space="preserve">, Echeandia M, Moreno-Gonzalez M, Brion A, Goldson A, Philo M, Patterson AM, Parker A, Galduroz M, Baker D, Rushbrook SM, Hildebrand F, Beraza N. Intestinal Microbiome-Macrophage Crosstalk Contributes to Cholestatic Liver Disease by Promoting Intestinal Permeability in Mice. </w:t>
      </w:r>
      <w:r w:rsidRPr="00B7221C">
        <w:rPr>
          <w:rFonts w:ascii="Book Antiqua" w:eastAsia="Book Antiqua" w:hAnsi="Book Antiqua" w:cs="Book Antiqua"/>
          <w:i/>
          <w:iCs/>
          <w:color w:val="000000"/>
        </w:rPr>
        <w:t>Hepatology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72</w:t>
      </w:r>
      <w:r w:rsidRPr="00B7221C">
        <w:rPr>
          <w:rFonts w:ascii="Book Antiqua" w:eastAsia="Book Antiqua" w:hAnsi="Book Antiqua" w:cs="Book Antiqua"/>
          <w:color w:val="000000"/>
        </w:rPr>
        <w:t>: 2090-2108 [PMID: 32168395 DOI: 10.1002/hep.31228]</w:t>
      </w:r>
    </w:p>
    <w:p w14:paraId="523BA67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35 </w:t>
      </w:r>
      <w:r w:rsidRPr="00B7221C">
        <w:rPr>
          <w:rFonts w:ascii="Book Antiqua" w:eastAsia="Book Antiqua" w:hAnsi="Book Antiqua" w:cs="Book Antiqua"/>
          <w:b/>
          <w:bCs/>
          <w:color w:val="000000"/>
        </w:rPr>
        <w:t>Ma H</w:t>
      </w:r>
      <w:r w:rsidRPr="00B7221C">
        <w:rPr>
          <w:rFonts w:ascii="Book Antiqua" w:eastAsia="Book Antiqua" w:hAnsi="Book Antiqua" w:cs="Book Antiqua"/>
          <w:color w:val="000000"/>
        </w:rPr>
        <w:t xml:space="preserve">, Tao W, Zhu S. T lymphocytes in the intestinal mucosa: defense and tolerance. </w:t>
      </w:r>
      <w:r w:rsidRPr="00B7221C">
        <w:rPr>
          <w:rFonts w:ascii="Book Antiqua" w:eastAsia="Book Antiqua" w:hAnsi="Book Antiqua" w:cs="Book Antiqua"/>
          <w:i/>
          <w:iCs/>
          <w:color w:val="000000"/>
        </w:rPr>
        <w:t>Cell Mol Immunol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16</w:t>
      </w:r>
      <w:r w:rsidRPr="00B7221C">
        <w:rPr>
          <w:rFonts w:ascii="Book Antiqua" w:eastAsia="Book Antiqua" w:hAnsi="Book Antiqua" w:cs="Book Antiqua"/>
          <w:color w:val="000000"/>
        </w:rPr>
        <w:t>: 216-224 [PMID: 30787416 DOI: 10.1038/s41423-019-0208-2]</w:t>
      </w:r>
    </w:p>
    <w:p w14:paraId="556CFBE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36 </w:t>
      </w:r>
      <w:r w:rsidRPr="00B7221C">
        <w:rPr>
          <w:rFonts w:ascii="Book Antiqua" w:eastAsia="Book Antiqua" w:hAnsi="Book Antiqua" w:cs="Book Antiqua"/>
          <w:b/>
          <w:bCs/>
          <w:color w:val="000000"/>
        </w:rPr>
        <w:t>Tan J</w:t>
      </w:r>
      <w:r w:rsidRPr="00B7221C">
        <w:rPr>
          <w:rFonts w:ascii="Book Antiqua" w:eastAsia="Book Antiqua" w:hAnsi="Book Antiqua" w:cs="Book Antiqua"/>
          <w:color w:val="000000"/>
        </w:rPr>
        <w:t xml:space="preserve">, McKenzie C, Vuillermin PJ, Goverse G, Vinuesa CG, Mebius RE, Macia L, Mackay CR. Dietary Fiber and Bacterial SCFA Enhance Oral Tolerance and Protect against Food Allergy through Diverse Cellular Pathways. </w:t>
      </w:r>
      <w:r w:rsidRPr="00B7221C">
        <w:rPr>
          <w:rFonts w:ascii="Book Antiqua" w:eastAsia="Book Antiqua" w:hAnsi="Book Antiqua" w:cs="Book Antiqua"/>
          <w:i/>
          <w:iCs/>
          <w:color w:val="000000"/>
        </w:rPr>
        <w:t>Cell Rep</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2809-2824 [PMID: 27332875 DOI: 10.1016/j.celrep.2016.05.047]</w:t>
      </w:r>
    </w:p>
    <w:p w14:paraId="510929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37 </w:t>
      </w:r>
      <w:r w:rsidRPr="00B7221C">
        <w:rPr>
          <w:rFonts w:ascii="Book Antiqua" w:eastAsia="Book Antiqua" w:hAnsi="Book Antiqua" w:cs="Book Antiqua"/>
          <w:b/>
          <w:bCs/>
          <w:color w:val="000000"/>
        </w:rPr>
        <w:t>Omenetti S</w:t>
      </w:r>
      <w:r w:rsidRPr="00B7221C">
        <w:rPr>
          <w:rFonts w:ascii="Book Antiqua" w:eastAsia="Book Antiqua" w:hAnsi="Book Antiqua" w:cs="Book Antiqua"/>
          <w:color w:val="000000"/>
        </w:rPr>
        <w:t xml:space="preserve">, Pizarro TT. The Treg/Th17 Axis: A Dynamic Balance Regulated by the Gut Microbiome.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639 [PMID: 26734006 DOI: 10.3389/fimmu.2015.00639]</w:t>
      </w:r>
    </w:p>
    <w:p w14:paraId="6778F14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38 </w:t>
      </w:r>
      <w:r w:rsidRPr="00B7221C">
        <w:rPr>
          <w:rFonts w:ascii="Book Antiqua" w:eastAsia="Book Antiqua" w:hAnsi="Book Antiqua" w:cs="Book Antiqua"/>
          <w:b/>
          <w:bCs/>
          <w:color w:val="000000"/>
        </w:rPr>
        <w:t>Wang S</w:t>
      </w:r>
      <w:r w:rsidRPr="00B7221C">
        <w:rPr>
          <w:rFonts w:ascii="Book Antiqua" w:eastAsia="Book Antiqua" w:hAnsi="Book Antiqua" w:cs="Book Antiqua"/>
          <w:color w:val="000000"/>
        </w:rPr>
        <w:t xml:space="preserve">, Ye Q, Zeng X, Qiao S. Functions of Macrophages in the Maintenance of Intestinal Homeostasis. </w:t>
      </w:r>
      <w:r w:rsidRPr="00B7221C">
        <w:rPr>
          <w:rFonts w:ascii="Book Antiqua" w:eastAsia="Book Antiqua" w:hAnsi="Book Antiqua" w:cs="Book Antiqua"/>
          <w:i/>
          <w:iCs/>
          <w:color w:val="000000"/>
        </w:rPr>
        <w:t>J Immunol Res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2019</w:t>
      </w:r>
      <w:r w:rsidRPr="00B7221C">
        <w:rPr>
          <w:rFonts w:ascii="Book Antiqua" w:eastAsia="Book Antiqua" w:hAnsi="Book Antiqua" w:cs="Book Antiqua"/>
          <w:color w:val="000000"/>
        </w:rPr>
        <w:t>: 1512969 [PMID: 31011585 DOI: 10.1155/2019/1512969]</w:t>
      </w:r>
    </w:p>
    <w:p w14:paraId="25CC050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39 </w:t>
      </w:r>
      <w:r w:rsidRPr="00B7221C">
        <w:rPr>
          <w:rFonts w:ascii="Book Antiqua" w:eastAsia="Book Antiqua" w:hAnsi="Book Antiqua" w:cs="Book Antiqua"/>
          <w:b/>
          <w:bCs/>
          <w:color w:val="000000"/>
        </w:rPr>
        <w:t>Denning TL</w:t>
      </w:r>
      <w:r w:rsidRPr="00B7221C">
        <w:rPr>
          <w:rFonts w:ascii="Book Antiqua" w:eastAsia="Book Antiqua" w:hAnsi="Book Antiqua" w:cs="Book Antiqua"/>
          <w:color w:val="000000"/>
        </w:rPr>
        <w:t xml:space="preserve">, Wang YC, Patel SR, Williams IR, Pulendran B. Lamina propria macrophages and dendritic cells differentially induce regulatory and interleukin 17-producing T cell responses. </w:t>
      </w:r>
      <w:r w:rsidRPr="00B7221C">
        <w:rPr>
          <w:rFonts w:ascii="Book Antiqua" w:eastAsia="Book Antiqua" w:hAnsi="Book Antiqua" w:cs="Book Antiqua"/>
          <w:i/>
          <w:iCs/>
          <w:color w:val="000000"/>
        </w:rPr>
        <w:t>Nat Immunol</w:t>
      </w:r>
      <w:r w:rsidRPr="00B7221C">
        <w:rPr>
          <w:rFonts w:ascii="Book Antiqua" w:eastAsia="Book Antiqua" w:hAnsi="Book Antiqua" w:cs="Book Antiqua"/>
          <w:color w:val="000000"/>
        </w:rPr>
        <w:t xml:space="preserve"> 2007;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1086-1094 [PMID: 17873879 DOI: 10.1038/ni1511]</w:t>
      </w:r>
    </w:p>
    <w:p w14:paraId="1EEADE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40 </w:t>
      </w:r>
      <w:r w:rsidRPr="00B7221C">
        <w:rPr>
          <w:rFonts w:ascii="Book Antiqua" w:eastAsia="Book Antiqua" w:hAnsi="Book Antiqua" w:cs="Book Antiqua"/>
          <w:b/>
          <w:bCs/>
          <w:color w:val="000000"/>
        </w:rPr>
        <w:t>Smythies LE</w:t>
      </w:r>
      <w:r w:rsidRPr="00B7221C">
        <w:rPr>
          <w:rFonts w:ascii="Book Antiqua" w:eastAsia="Book Antiqua" w:hAnsi="Book Antiqua" w:cs="Book Antiqua"/>
          <w:color w:val="000000"/>
        </w:rPr>
        <w:t xml:space="preserve">, Sellers M, Clements RH, Mosteller-Barnum M, Meng G, Benjamin WH, Orenstein JM, Smith PD. Human intestinal macrophages display profound inflammatory anergy despite avid phagocytic and bacteriocidal activity. </w:t>
      </w:r>
      <w:r w:rsidRPr="00B7221C">
        <w:rPr>
          <w:rFonts w:ascii="Book Antiqua" w:eastAsia="Book Antiqua" w:hAnsi="Book Antiqua" w:cs="Book Antiqua"/>
          <w:i/>
          <w:iCs/>
          <w:color w:val="000000"/>
        </w:rPr>
        <w:t>J Clin Invest</w:t>
      </w:r>
      <w:r w:rsidRPr="00B7221C">
        <w:rPr>
          <w:rFonts w:ascii="Book Antiqua" w:eastAsia="Book Antiqua" w:hAnsi="Book Antiqua" w:cs="Book Antiqua"/>
          <w:color w:val="000000"/>
        </w:rPr>
        <w:t xml:space="preserve"> 2005; </w:t>
      </w:r>
      <w:r w:rsidRPr="00B7221C">
        <w:rPr>
          <w:rFonts w:ascii="Book Antiqua" w:eastAsia="Book Antiqua" w:hAnsi="Book Antiqua" w:cs="Book Antiqua"/>
          <w:b/>
          <w:bCs/>
          <w:color w:val="000000"/>
        </w:rPr>
        <w:t>115</w:t>
      </w:r>
      <w:r w:rsidRPr="00B7221C">
        <w:rPr>
          <w:rFonts w:ascii="Book Antiqua" w:eastAsia="Book Antiqua" w:hAnsi="Book Antiqua" w:cs="Book Antiqua"/>
          <w:color w:val="000000"/>
        </w:rPr>
        <w:t>: 66-75 [PMID: 15630445 DOI: 10.1172/JCI19229]</w:t>
      </w:r>
    </w:p>
    <w:p w14:paraId="33537FC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41 </w:t>
      </w:r>
      <w:r w:rsidRPr="00B7221C">
        <w:rPr>
          <w:rFonts w:ascii="Book Antiqua" w:eastAsia="Book Antiqua" w:hAnsi="Book Antiqua" w:cs="Book Antiqua"/>
          <w:b/>
          <w:bCs/>
          <w:color w:val="000000"/>
        </w:rPr>
        <w:t>Ansari AA</w:t>
      </w:r>
      <w:r w:rsidRPr="00B7221C">
        <w:rPr>
          <w:rFonts w:ascii="Book Antiqua" w:eastAsia="Book Antiqua" w:hAnsi="Book Antiqua" w:cs="Book Antiqua"/>
          <w:color w:val="000000"/>
        </w:rPr>
        <w:t xml:space="preserve">, Byrareddy SN. The Role of Integrin Expressing Cells in Modulating Disease Susceptibility and Progression (January 2016). </w:t>
      </w:r>
      <w:r w:rsidRPr="00B7221C">
        <w:rPr>
          <w:rFonts w:ascii="Book Antiqua" w:eastAsia="Book Antiqua" w:hAnsi="Book Antiqua" w:cs="Book Antiqua"/>
          <w:i/>
          <w:iCs/>
          <w:color w:val="000000"/>
        </w:rPr>
        <w:t>Int Trends Immun</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11-27 [PMID: 28770236]</w:t>
      </w:r>
    </w:p>
    <w:p w14:paraId="25594CE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42 </w:t>
      </w:r>
      <w:r w:rsidRPr="00B7221C">
        <w:rPr>
          <w:rFonts w:ascii="Book Antiqua" w:eastAsia="Book Antiqua" w:hAnsi="Book Antiqua" w:cs="Book Antiqua"/>
          <w:b/>
          <w:bCs/>
          <w:color w:val="000000"/>
        </w:rPr>
        <w:t>Good C</w:t>
      </w:r>
      <w:r w:rsidRPr="00B7221C">
        <w:rPr>
          <w:rFonts w:ascii="Book Antiqua" w:eastAsia="Book Antiqua" w:hAnsi="Book Antiqua" w:cs="Book Antiqua"/>
          <w:color w:val="000000"/>
        </w:rPr>
        <w:t xml:space="preserve">, Wells AI, Coyne CB. Type III interferon signaling restricts enterovirus 71 infection of goblet cells. </w:t>
      </w:r>
      <w:r w:rsidRPr="00B7221C">
        <w:rPr>
          <w:rFonts w:ascii="Book Antiqua" w:eastAsia="Book Antiqua" w:hAnsi="Book Antiqua" w:cs="Book Antiqua"/>
          <w:i/>
          <w:iCs/>
          <w:color w:val="000000"/>
        </w:rPr>
        <w:t>Sci Adv</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eaau4255 [PMID: 30854425 DOI: 10.1126/sciadv.aau4255]</w:t>
      </w:r>
    </w:p>
    <w:p w14:paraId="6DE83DCA" w14:textId="2336ED8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43 </w:t>
      </w:r>
      <w:r w:rsidRPr="00B7221C">
        <w:rPr>
          <w:rFonts w:ascii="Book Antiqua" w:eastAsia="Book Antiqua" w:hAnsi="Book Antiqua" w:cs="Book Antiqua"/>
          <w:b/>
          <w:bCs/>
          <w:color w:val="000000"/>
        </w:rPr>
        <w:t>Drummond CG</w:t>
      </w:r>
      <w:r w:rsidRPr="00B7221C">
        <w:rPr>
          <w:rFonts w:ascii="Book Antiqua" w:eastAsia="Book Antiqua" w:hAnsi="Book Antiqua" w:cs="Book Antiqua"/>
          <w:color w:val="000000"/>
        </w:rPr>
        <w:t xml:space="preserve">, Bolock AM, Ma C, Luke CJ, Good M, Coyne CB. Enteroviruses infect human enteroids and induce antiviral signaling in a cell lineage-specific manner. </w:t>
      </w:r>
      <w:r w:rsidRPr="00B7221C">
        <w:rPr>
          <w:rFonts w:ascii="Book Antiqua" w:eastAsia="Book Antiqua" w:hAnsi="Book Antiqua" w:cs="Book Antiqua"/>
          <w:i/>
          <w:iCs/>
          <w:color w:val="000000"/>
        </w:rPr>
        <w:t>Proc Natl Acad Sci USA</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114</w:t>
      </w:r>
      <w:r w:rsidRPr="00B7221C">
        <w:rPr>
          <w:rFonts w:ascii="Book Antiqua" w:eastAsia="Book Antiqua" w:hAnsi="Book Antiqua" w:cs="Book Antiqua"/>
          <w:color w:val="000000"/>
        </w:rPr>
        <w:t>: 1672-1677 [PMID: 28137842 DOI: 10.1073/pnas.1617363114]</w:t>
      </w:r>
    </w:p>
    <w:p w14:paraId="0197629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44 </w:t>
      </w:r>
      <w:r w:rsidRPr="00B7221C">
        <w:rPr>
          <w:rFonts w:ascii="Book Antiqua" w:eastAsia="Book Antiqua" w:hAnsi="Book Antiqua" w:cs="Book Antiqua"/>
          <w:b/>
          <w:bCs/>
          <w:color w:val="000000"/>
        </w:rPr>
        <w:t>Blanco-Melo D</w:t>
      </w:r>
      <w:r w:rsidRPr="00B7221C">
        <w:rPr>
          <w:rFonts w:ascii="Book Antiqua" w:eastAsia="Book Antiqua" w:hAnsi="Book Antiqua" w:cs="Book Antiqua"/>
          <w:color w:val="000000"/>
        </w:rPr>
        <w:t xml:space="preserve">, Nilsson-Payant BE, Liu WC, Uhl S, Hoagland D, Møller R, Jordan TX, Oishi K, Panis M, Sachs D, Wang TT, Schwartz RE, Lim JK, Albrecht RA, tenOever BR. Imbalanced Host Response to SARS-CoV-2 Drives Development of COVID-19. </w:t>
      </w:r>
      <w:r w:rsidRPr="00B7221C">
        <w:rPr>
          <w:rFonts w:ascii="Book Antiqua" w:eastAsia="Book Antiqua" w:hAnsi="Book Antiqua" w:cs="Book Antiqua"/>
          <w:i/>
          <w:iCs/>
          <w:color w:val="000000"/>
        </w:rPr>
        <w:t>Cell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181</w:t>
      </w:r>
      <w:r w:rsidRPr="00B7221C">
        <w:rPr>
          <w:rFonts w:ascii="Book Antiqua" w:eastAsia="Book Antiqua" w:hAnsi="Book Antiqua" w:cs="Book Antiqua"/>
          <w:color w:val="000000"/>
        </w:rPr>
        <w:t>: 1036-1045.e9 [PMID: 32416070 DOI: 10.1016/j.cell.2020.04.026]</w:t>
      </w:r>
    </w:p>
    <w:p w14:paraId="27AE56EF" w14:textId="77777777" w:rsidR="00A77B3E" w:rsidRPr="00C22C0A"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45 </w:t>
      </w:r>
      <w:r w:rsidRPr="00B7221C">
        <w:rPr>
          <w:rFonts w:ascii="Book Antiqua" w:eastAsia="Book Antiqua" w:hAnsi="Book Antiqua" w:cs="Book Antiqua"/>
          <w:b/>
          <w:bCs/>
          <w:color w:val="000000"/>
        </w:rPr>
        <w:t>Patankar JV</w:t>
      </w:r>
      <w:r w:rsidRPr="00B7221C">
        <w:rPr>
          <w:rFonts w:ascii="Book Antiqua" w:eastAsia="Book Antiqua" w:hAnsi="Book Antiqua" w:cs="Book Antiqua"/>
          <w:color w:val="000000"/>
        </w:rPr>
        <w:t xml:space="preserve">, Becker C. Cell death in the gut epithelium and implications for chronic inflammation.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17</w:t>
      </w:r>
      <w:r w:rsidRPr="00B7221C">
        <w:rPr>
          <w:rFonts w:ascii="Book Antiqua" w:eastAsia="Book Antiqua" w:hAnsi="Book Antiqua" w:cs="Book Antiqua"/>
          <w:color w:val="000000"/>
        </w:rPr>
        <w:t>: 543-556 [PMID: 32651553 DOI: 1</w:t>
      </w:r>
      <w:r w:rsidRPr="00C22C0A">
        <w:rPr>
          <w:rFonts w:ascii="Book Antiqua" w:eastAsia="Book Antiqua" w:hAnsi="Book Antiqua" w:cs="Book Antiqua"/>
          <w:color w:val="000000"/>
        </w:rPr>
        <w:t>0.1038/s41575-020-0326-4]</w:t>
      </w:r>
    </w:p>
    <w:p w14:paraId="6649D003" w14:textId="73D687BC" w:rsidR="00A77B3E" w:rsidRPr="001E0FCA" w:rsidRDefault="00A143FB" w:rsidP="004E27AD">
      <w:pPr>
        <w:spacing w:line="360" w:lineRule="auto"/>
        <w:jc w:val="both"/>
        <w:rPr>
          <w:rFonts w:ascii="Book Antiqua" w:eastAsia="Book Antiqua" w:hAnsi="Book Antiqua" w:cs="Book Antiqua"/>
          <w:bCs/>
          <w:color w:val="000000"/>
        </w:rPr>
      </w:pPr>
      <w:r w:rsidRPr="00C22C0A">
        <w:rPr>
          <w:rFonts w:ascii="Book Antiqua" w:eastAsia="Book Antiqua" w:hAnsi="Book Antiqua" w:cs="Book Antiqua"/>
          <w:color w:val="000000"/>
        </w:rPr>
        <w:t xml:space="preserve">46 </w:t>
      </w:r>
      <w:r w:rsidR="004E27AD" w:rsidRPr="004E27AD">
        <w:rPr>
          <w:rFonts w:ascii="Book Antiqua" w:eastAsia="Book Antiqua" w:hAnsi="Book Antiqua" w:cs="Book Antiqua"/>
          <w:b/>
          <w:bCs/>
          <w:color w:val="000000"/>
        </w:rPr>
        <w:t xml:space="preserve">Giron LB, </w:t>
      </w:r>
      <w:r w:rsidR="004E27AD" w:rsidRPr="001E0FCA">
        <w:rPr>
          <w:rFonts w:ascii="Book Antiqua" w:eastAsia="Book Antiqua" w:hAnsi="Book Antiqua" w:cs="Book Antiqua"/>
          <w:bCs/>
          <w:color w:val="000000"/>
        </w:rPr>
        <w:t xml:space="preserve">Dweep H, Yin X, Wang H, Damra M, Goldman AR, Gorman N, Palmer CS, Tang HY, Shaikh MW, Forsyth CB, Balk RA, Zilberstein NF, Liu Q, Kossenkov A, Keshavarzian A, Landay A, Abdel-Mohsen M. Plasma Markers of Disrupted Gut Permeability in Severe COVID-19 Patients. </w:t>
      </w:r>
      <w:r w:rsidR="004E27AD" w:rsidRPr="001E0FCA">
        <w:rPr>
          <w:rFonts w:ascii="Book Antiqua" w:eastAsia="Book Antiqua" w:hAnsi="Book Antiqua" w:cs="Book Antiqua"/>
          <w:bCs/>
          <w:i/>
          <w:color w:val="000000"/>
        </w:rPr>
        <w:t xml:space="preserve">Front Immunol </w:t>
      </w:r>
      <w:r w:rsidR="004E27AD" w:rsidRPr="001E0FCA">
        <w:rPr>
          <w:rFonts w:ascii="Book Antiqua" w:eastAsia="Book Antiqua" w:hAnsi="Book Antiqua" w:cs="Book Antiqua"/>
          <w:bCs/>
          <w:color w:val="000000"/>
        </w:rPr>
        <w:t>2021;</w:t>
      </w:r>
      <w:r w:rsidR="00BB72DF">
        <w:rPr>
          <w:rFonts w:ascii="Book Antiqua" w:eastAsia="Book Antiqua" w:hAnsi="Book Antiqua" w:cs="Book Antiqua"/>
          <w:bCs/>
          <w:color w:val="000000"/>
        </w:rPr>
        <w:t xml:space="preserve"> </w:t>
      </w:r>
      <w:r w:rsidR="004E27AD" w:rsidRPr="00BB72DF">
        <w:rPr>
          <w:rFonts w:ascii="Book Antiqua" w:eastAsia="Book Antiqua" w:hAnsi="Book Antiqua" w:cs="Book Antiqua"/>
          <w:b/>
          <w:color w:val="000000"/>
        </w:rPr>
        <w:t>12</w:t>
      </w:r>
      <w:r w:rsidR="004E27AD" w:rsidRPr="001E0FCA">
        <w:rPr>
          <w:rFonts w:ascii="Book Antiqua" w:eastAsia="Book Antiqua" w:hAnsi="Book Antiqua" w:cs="Book Antiqua"/>
          <w:bCs/>
          <w:color w:val="000000"/>
        </w:rPr>
        <w:t>:</w:t>
      </w:r>
      <w:r w:rsidR="00BB72DF">
        <w:rPr>
          <w:rFonts w:ascii="Book Antiqua" w:eastAsia="Book Antiqua" w:hAnsi="Book Antiqua" w:cs="Book Antiqua"/>
          <w:bCs/>
          <w:color w:val="000000"/>
        </w:rPr>
        <w:t xml:space="preserve"> </w:t>
      </w:r>
      <w:r w:rsidR="004E27AD" w:rsidRPr="001E0FCA">
        <w:rPr>
          <w:rFonts w:ascii="Book Antiqua" w:eastAsia="Book Antiqua" w:hAnsi="Book Antiqua" w:cs="Book Antiqua"/>
          <w:bCs/>
          <w:color w:val="000000"/>
        </w:rPr>
        <w:t xml:space="preserve">686240 </w:t>
      </w:r>
      <w:r w:rsidR="001E0FCA">
        <w:rPr>
          <w:rFonts w:ascii="Book Antiqua" w:eastAsia="Book Antiqua" w:hAnsi="Book Antiqua" w:cs="Book Antiqua"/>
          <w:bCs/>
          <w:color w:val="000000"/>
        </w:rPr>
        <w:t>[</w:t>
      </w:r>
      <w:r w:rsidR="004E27AD" w:rsidRPr="001E0FCA">
        <w:rPr>
          <w:rFonts w:ascii="Book Antiqua" w:eastAsia="Book Antiqua" w:hAnsi="Book Antiqua" w:cs="Book Antiqua"/>
          <w:bCs/>
          <w:color w:val="000000"/>
        </w:rPr>
        <w:t>PMID: 34177935</w:t>
      </w:r>
      <w:r w:rsidR="001E0FCA">
        <w:rPr>
          <w:rFonts w:ascii="Book Antiqua" w:eastAsia="Book Antiqua" w:hAnsi="Book Antiqua" w:cs="Book Antiqua"/>
          <w:bCs/>
          <w:color w:val="000000"/>
        </w:rPr>
        <w:t xml:space="preserve"> </w:t>
      </w:r>
      <w:r w:rsidR="001E0FCA" w:rsidRPr="00E65147">
        <w:rPr>
          <w:rFonts w:ascii="Book Antiqua" w:eastAsia="Book Antiqua" w:hAnsi="Book Antiqua" w:cs="Book Antiqua"/>
          <w:bCs/>
          <w:color w:val="000000"/>
        </w:rPr>
        <w:t>doi: 10.3389/fimmu.2021.686240</w:t>
      </w:r>
      <w:r w:rsidR="001E0FCA">
        <w:rPr>
          <w:rFonts w:ascii="Book Antiqua" w:eastAsia="Book Antiqua" w:hAnsi="Book Antiqua" w:cs="Book Antiqua"/>
          <w:bCs/>
          <w:color w:val="000000"/>
        </w:rPr>
        <w:t>]</w:t>
      </w:r>
    </w:p>
    <w:p w14:paraId="38BDE97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47 </w:t>
      </w:r>
      <w:r w:rsidRPr="00B7221C">
        <w:rPr>
          <w:rFonts w:ascii="Book Antiqua" w:eastAsia="Book Antiqua" w:hAnsi="Book Antiqua" w:cs="Book Antiqua"/>
          <w:b/>
          <w:bCs/>
          <w:color w:val="000000"/>
        </w:rPr>
        <w:t>Kao CC</w:t>
      </w:r>
      <w:r w:rsidRPr="00B7221C">
        <w:rPr>
          <w:rFonts w:ascii="Book Antiqua" w:eastAsia="Book Antiqua" w:hAnsi="Book Antiqua" w:cs="Book Antiqua"/>
          <w:color w:val="000000"/>
        </w:rPr>
        <w:t xml:space="preserve">, Cope JL, Hsu JW, Dwarkanath P, Karnes JM, Luna RA, Hollister EB, Thame MM, Kurpad AV, Jahoor F. The Microbiome, Intestinal Function, and Arginine Metabolism of Healthy Indian Women Are Different from Those of American and Jamaican Women. </w:t>
      </w:r>
      <w:r w:rsidRPr="00B7221C">
        <w:rPr>
          <w:rFonts w:ascii="Book Antiqua" w:eastAsia="Book Antiqua" w:hAnsi="Book Antiqua" w:cs="Book Antiqua"/>
          <w:i/>
          <w:iCs/>
          <w:color w:val="000000"/>
        </w:rPr>
        <w:t>J Nutr</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146</w:t>
      </w:r>
      <w:r w:rsidRPr="00B7221C">
        <w:rPr>
          <w:rFonts w:ascii="Book Antiqua" w:eastAsia="Book Antiqua" w:hAnsi="Book Antiqua" w:cs="Book Antiqua"/>
          <w:color w:val="000000"/>
        </w:rPr>
        <w:t>: 706-713 [PMID: 26962180 DOI: 10.3945/jn.115.227579]</w:t>
      </w:r>
    </w:p>
    <w:p w14:paraId="68B2E2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48 </w:t>
      </w:r>
      <w:r w:rsidRPr="00B7221C">
        <w:rPr>
          <w:rFonts w:ascii="Book Antiqua" w:eastAsia="Book Antiqua" w:hAnsi="Book Antiqua" w:cs="Book Antiqua"/>
          <w:b/>
          <w:bCs/>
          <w:color w:val="000000"/>
        </w:rPr>
        <w:t>Suárez-Fariñas M</w:t>
      </w:r>
      <w:r w:rsidRPr="00B7221C">
        <w:rPr>
          <w:rFonts w:ascii="Book Antiqua" w:eastAsia="Book Antiqua" w:hAnsi="Book Antiqua" w:cs="Book Antiqua"/>
          <w:color w:val="000000"/>
        </w:rPr>
        <w:t xml:space="preserve">, Tokuyama M, Wei G, Huang R, Livanos A, Jha D, Levescot A, Irizar H, Kosoy R, Cording S, Wang W, Losic B, Ungaro RC, Di'Narzo A, Martinez-Delgado G, Suprun M, Corley MJ, Stojmirovic A, Houten SM, Peters L, Curran M, Brodmerkel C, Perrigoue J, Friedman JR, Hao K, Schadt EE, Zhu J, Ko HM, Cho J, Dubinsky MC, Sands BE, Ndhlovu L, Cerf-Bensusan N, Kasarskis A, Colombel JF, Harpaz N, Argmann C, Mehandru S. Intestinal Inflammation Modulates the Expression of ACE2 and TMPRSS2 and Potentially Overlaps With the Pathogenesis of SARS-CoV-2-related Disease.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160</w:t>
      </w:r>
      <w:r w:rsidRPr="00B7221C">
        <w:rPr>
          <w:rFonts w:ascii="Book Antiqua" w:eastAsia="Book Antiqua" w:hAnsi="Book Antiqua" w:cs="Book Antiqua"/>
          <w:color w:val="000000"/>
        </w:rPr>
        <w:t>: 287-301.e20 [PMID: 32980345 DOI: 10.1053/j.gastro.2020.09.029]</w:t>
      </w:r>
    </w:p>
    <w:p w14:paraId="31A8725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49 </w:t>
      </w:r>
      <w:r w:rsidRPr="00B7221C">
        <w:rPr>
          <w:rFonts w:ascii="Book Antiqua" w:eastAsia="Book Antiqua" w:hAnsi="Book Antiqua" w:cs="Book Antiqua"/>
          <w:b/>
          <w:bCs/>
          <w:color w:val="000000"/>
        </w:rPr>
        <w:t>Vrakas S</w:t>
      </w:r>
      <w:r w:rsidRPr="00B7221C">
        <w:rPr>
          <w:rFonts w:ascii="Book Antiqua" w:eastAsia="Book Antiqua" w:hAnsi="Book Antiqua" w:cs="Book Antiqua"/>
          <w:color w:val="000000"/>
        </w:rPr>
        <w:t xml:space="preserve">, Mountzouris KC, Michalopoulos G, Karamanolis G, Papatheodoridis G, Tzathas C, Gazouli M. Intestinal Bacteria Composition and Translocation of Bacteria in Inflammatory Bowel Disease. </w:t>
      </w:r>
      <w:r w:rsidRPr="00B7221C">
        <w:rPr>
          <w:rFonts w:ascii="Book Antiqua" w:eastAsia="Book Antiqua" w:hAnsi="Book Antiqua" w:cs="Book Antiqua"/>
          <w:i/>
          <w:iCs/>
          <w:color w:val="000000"/>
        </w:rPr>
        <w:t>PLoS One</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e0170034 [PMID: 28099495 DOI: 10.1371/journal.pone.0170034]</w:t>
      </w:r>
    </w:p>
    <w:p w14:paraId="26382B2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50 </w:t>
      </w:r>
      <w:r w:rsidRPr="00B7221C">
        <w:rPr>
          <w:rFonts w:ascii="Book Antiqua" w:eastAsia="Book Antiqua" w:hAnsi="Book Antiqua" w:cs="Book Antiqua"/>
          <w:b/>
          <w:bCs/>
          <w:color w:val="000000"/>
        </w:rPr>
        <w:t>Na YR</w:t>
      </w:r>
      <w:r w:rsidRPr="00B7221C">
        <w:rPr>
          <w:rFonts w:ascii="Book Antiqua" w:eastAsia="Book Antiqua" w:hAnsi="Book Antiqua" w:cs="Book Antiqua"/>
          <w:color w:val="000000"/>
        </w:rPr>
        <w:t xml:space="preserve">, Stakenborg M, Seok SH, Matteoli G. Macrophages in intestinal inflammation and resolution: a potential therapeutic target in IBD.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16</w:t>
      </w:r>
      <w:r w:rsidRPr="00B7221C">
        <w:rPr>
          <w:rFonts w:ascii="Book Antiqua" w:eastAsia="Book Antiqua" w:hAnsi="Book Antiqua" w:cs="Book Antiqua"/>
          <w:color w:val="000000"/>
        </w:rPr>
        <w:t>: 531-543 [PMID: 31312042 DOI: 10.1038/s41575-019-0172-4]</w:t>
      </w:r>
    </w:p>
    <w:p w14:paraId="53DC816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51 </w:t>
      </w:r>
      <w:r w:rsidRPr="00B7221C">
        <w:rPr>
          <w:rFonts w:ascii="Book Antiqua" w:eastAsia="Book Antiqua" w:hAnsi="Book Antiqua" w:cs="Book Antiqua"/>
          <w:b/>
          <w:bCs/>
          <w:color w:val="000000"/>
        </w:rPr>
        <w:t>Neurath MF</w:t>
      </w:r>
      <w:r w:rsidRPr="00B7221C">
        <w:rPr>
          <w:rFonts w:ascii="Book Antiqua" w:eastAsia="Book Antiqua" w:hAnsi="Book Antiqua" w:cs="Book Antiqua"/>
          <w:color w:val="000000"/>
        </w:rPr>
        <w:t xml:space="preserve">. COVID-19 and immunomodulation in IBD.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1335-1342 [PMID: 32303609 DOI: 10.1136/gutjnl-2020-321269]</w:t>
      </w:r>
    </w:p>
    <w:p w14:paraId="4D5D77D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52 </w:t>
      </w:r>
      <w:r w:rsidRPr="00B7221C">
        <w:rPr>
          <w:rFonts w:ascii="Book Antiqua" w:eastAsia="Book Antiqua" w:hAnsi="Book Antiqua" w:cs="Book Antiqua"/>
          <w:b/>
          <w:bCs/>
          <w:color w:val="000000"/>
        </w:rPr>
        <w:t>Gajendran M</w:t>
      </w:r>
      <w:r w:rsidRPr="00B7221C">
        <w:rPr>
          <w:rFonts w:ascii="Book Antiqua" w:eastAsia="Book Antiqua" w:hAnsi="Book Antiqua" w:cs="Book Antiqua"/>
          <w:color w:val="000000"/>
        </w:rPr>
        <w:t xml:space="preserve">, Perisetti A, Aziz M, Raghavapuram S, Bansal P, Tharian B, Goyal H. Inflammatory bowel disease amid the COVID-19 pandemic: impact, management strategies, and lessons learned.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33</w:t>
      </w:r>
      <w:r w:rsidRPr="00B7221C">
        <w:rPr>
          <w:rFonts w:ascii="Book Antiqua" w:eastAsia="Book Antiqua" w:hAnsi="Book Antiqua" w:cs="Book Antiqua"/>
          <w:color w:val="000000"/>
        </w:rPr>
        <w:t>: 591-602 [PMID: 33162736 DOI: 10.20524/aog.2020.0547]</w:t>
      </w:r>
    </w:p>
    <w:p w14:paraId="15CBD6D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53 </w:t>
      </w:r>
      <w:r w:rsidRPr="00B7221C">
        <w:rPr>
          <w:rFonts w:ascii="Book Antiqua" w:eastAsia="Book Antiqua" w:hAnsi="Book Antiqua" w:cs="Book Antiqua"/>
          <w:b/>
          <w:bCs/>
          <w:color w:val="000000"/>
        </w:rPr>
        <w:t>Jablaoui A</w:t>
      </w:r>
      <w:r w:rsidRPr="00B7221C">
        <w:rPr>
          <w:rFonts w:ascii="Book Antiqua" w:eastAsia="Book Antiqua" w:hAnsi="Book Antiqua" w:cs="Book Antiqua"/>
          <w:color w:val="000000"/>
        </w:rPr>
        <w:t xml:space="preserve">, Kriaa A, Mkaouar H, Akermi N, Soussou S, Wysocka M, Wołoszyn D, Amouri A, Gargouri A, Maguin E, Lesner A, Rhimi M. Fecal Serine Protease Profiling in Inflammatory Bowel Diseases. </w:t>
      </w:r>
      <w:r w:rsidRPr="00B7221C">
        <w:rPr>
          <w:rFonts w:ascii="Book Antiqua" w:eastAsia="Book Antiqua" w:hAnsi="Book Antiqua" w:cs="Book Antiqua"/>
          <w:i/>
          <w:iCs/>
          <w:color w:val="000000"/>
        </w:rPr>
        <w:t>Front Cell Infect Microbiol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21 [PMID: 32117798 DOI: 10.3389/fcimb.2020.00021]</w:t>
      </w:r>
    </w:p>
    <w:p w14:paraId="47FCC3A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54 </w:t>
      </w:r>
      <w:r w:rsidRPr="00B7221C">
        <w:rPr>
          <w:rFonts w:ascii="Book Antiqua" w:eastAsia="Book Antiqua" w:hAnsi="Book Antiqua" w:cs="Book Antiqua"/>
          <w:b/>
          <w:bCs/>
          <w:color w:val="000000"/>
        </w:rPr>
        <w:t>Arseneau KO</w:t>
      </w:r>
      <w:r w:rsidRPr="00B7221C">
        <w:rPr>
          <w:rFonts w:ascii="Book Antiqua" w:eastAsia="Book Antiqua" w:hAnsi="Book Antiqua" w:cs="Book Antiqua"/>
          <w:color w:val="000000"/>
        </w:rPr>
        <w:t xml:space="preserve">, Cominelli F. Targeting leukocyte trafficking for the treatment of inflammatory bowel disease. </w:t>
      </w:r>
      <w:r w:rsidRPr="00B7221C">
        <w:rPr>
          <w:rFonts w:ascii="Book Antiqua" w:eastAsia="Book Antiqua" w:hAnsi="Book Antiqua" w:cs="Book Antiqua"/>
          <w:i/>
          <w:iCs/>
          <w:color w:val="000000"/>
        </w:rPr>
        <w:t>Clin Pharmacol Ther</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97</w:t>
      </w:r>
      <w:r w:rsidRPr="00B7221C">
        <w:rPr>
          <w:rFonts w:ascii="Book Antiqua" w:eastAsia="Book Antiqua" w:hAnsi="Book Antiqua" w:cs="Book Antiqua"/>
          <w:color w:val="000000"/>
        </w:rPr>
        <w:t>: 22-28 [PMID: 25670380 DOI: 10.1002/cpt.6]</w:t>
      </w:r>
    </w:p>
    <w:p w14:paraId="46E9B7B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55 </w:t>
      </w:r>
      <w:r w:rsidRPr="00B7221C">
        <w:rPr>
          <w:rFonts w:ascii="Book Antiqua" w:eastAsia="Book Antiqua" w:hAnsi="Book Antiqua" w:cs="Book Antiqua"/>
          <w:b/>
          <w:bCs/>
          <w:color w:val="000000"/>
        </w:rPr>
        <w:t>Arthos J</w:t>
      </w:r>
      <w:r w:rsidRPr="00B7221C">
        <w:rPr>
          <w:rFonts w:ascii="Book Antiqua" w:eastAsia="Book Antiqua" w:hAnsi="Book Antiqua" w:cs="Book Antiqua"/>
          <w:color w:val="000000"/>
        </w:rPr>
        <w:t>, Cicala C, Nawaz F, Byrareddy SN, Villinger F, Santangelo PJ, Ansari AA, Fauci AS. The Role of Integrin α</w:t>
      </w:r>
      <w:r w:rsidRPr="00B7221C">
        <w:rPr>
          <w:rFonts w:ascii="Book Antiqua" w:eastAsia="Book Antiqua" w:hAnsi="Book Antiqua" w:cs="Book Antiqua"/>
          <w:color w:val="000000"/>
          <w:vertAlign w:val="subscript"/>
        </w:rPr>
        <w:t>4</w:t>
      </w:r>
      <w:r w:rsidRPr="00B7221C">
        <w:rPr>
          <w:rFonts w:ascii="Book Antiqua" w:eastAsia="Book Antiqua" w:hAnsi="Book Antiqua" w:cs="Book Antiqua"/>
          <w:color w:val="000000"/>
        </w:rPr>
        <w:t>β</w:t>
      </w:r>
      <w:r w:rsidRPr="00B7221C">
        <w:rPr>
          <w:rFonts w:ascii="Book Antiqua" w:eastAsia="Book Antiqua" w:hAnsi="Book Antiqua" w:cs="Book Antiqua"/>
          <w:color w:val="000000"/>
          <w:vertAlign w:val="subscript"/>
        </w:rPr>
        <w:t>7</w:t>
      </w:r>
      <w:r w:rsidRPr="00B7221C">
        <w:rPr>
          <w:rFonts w:ascii="Book Antiqua" w:eastAsia="Book Antiqua" w:hAnsi="Book Antiqua" w:cs="Book Antiqua"/>
          <w:color w:val="000000"/>
        </w:rPr>
        <w:t xml:space="preserve"> in HIV Pathogenesis and Treatment. </w:t>
      </w:r>
      <w:r w:rsidRPr="00B7221C">
        <w:rPr>
          <w:rFonts w:ascii="Book Antiqua" w:eastAsia="Book Antiqua" w:hAnsi="Book Antiqua" w:cs="Book Antiqua"/>
          <w:i/>
          <w:iCs/>
          <w:color w:val="000000"/>
        </w:rPr>
        <w:t>Curr HIV/AIDS Rep</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127-135 [PMID: 29478152 DOI: 10.1007/s11904-018-0382-3]</w:t>
      </w:r>
    </w:p>
    <w:p w14:paraId="0F39416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56 </w:t>
      </w:r>
      <w:r w:rsidRPr="00B7221C">
        <w:rPr>
          <w:rFonts w:ascii="Book Antiqua" w:eastAsia="Book Antiqua" w:hAnsi="Book Antiqua" w:cs="Book Antiqua"/>
          <w:b/>
          <w:bCs/>
          <w:color w:val="000000"/>
        </w:rPr>
        <w:t>Armuzzi A</w:t>
      </w:r>
      <w:r w:rsidRPr="00B7221C">
        <w:rPr>
          <w:rFonts w:ascii="Book Antiqua" w:eastAsia="Book Antiqua" w:hAnsi="Book Antiqua" w:cs="Book Antiqua"/>
          <w:color w:val="000000"/>
        </w:rPr>
        <w:t xml:space="preserve">, Felice C. Natalizumab in Crohn's disease: past and future areas of applicability.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189-190 [PMID: 24714373]</w:t>
      </w:r>
    </w:p>
    <w:p w14:paraId="228F753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57 </w:t>
      </w:r>
      <w:r w:rsidRPr="00B7221C">
        <w:rPr>
          <w:rFonts w:ascii="Book Antiqua" w:eastAsia="Book Antiqua" w:hAnsi="Book Antiqua" w:cs="Book Antiqua"/>
          <w:b/>
          <w:bCs/>
          <w:color w:val="000000"/>
        </w:rPr>
        <w:t>Singh AK</w:t>
      </w:r>
      <w:r w:rsidRPr="00B7221C">
        <w:rPr>
          <w:rFonts w:ascii="Book Antiqua" w:eastAsia="Book Antiqua" w:hAnsi="Book Antiqua" w:cs="Book Antiqua"/>
          <w:color w:val="000000"/>
        </w:rPr>
        <w:t xml:space="preserve">, Jena A, Kumar-M P, Sharma V, Sebastian S. Risk and outcomes of coronavirus disease in patients with inflammatory bowel disease: A systematic review and meta-analysis. </w:t>
      </w:r>
      <w:r w:rsidRPr="00B7221C">
        <w:rPr>
          <w:rFonts w:ascii="Book Antiqua" w:eastAsia="Book Antiqua" w:hAnsi="Book Antiqua" w:cs="Book Antiqua"/>
          <w:i/>
          <w:iCs/>
          <w:color w:val="000000"/>
        </w:rPr>
        <w:t>United European Gastroenterol J</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159-176 [PMID: 33210980 DOI: 10.1177/2050640620972602]</w:t>
      </w:r>
    </w:p>
    <w:p w14:paraId="7490CCE4" w14:textId="0C4D6AD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58 </w:t>
      </w:r>
      <w:r w:rsidRPr="00B7221C">
        <w:rPr>
          <w:rFonts w:ascii="Book Antiqua" w:eastAsia="Book Antiqua" w:hAnsi="Book Antiqua" w:cs="Book Antiqua"/>
          <w:b/>
          <w:bCs/>
          <w:color w:val="000000"/>
        </w:rPr>
        <w:t>Brenner EJ,</w:t>
      </w:r>
      <w:r w:rsidRPr="00B7221C">
        <w:rPr>
          <w:rFonts w:ascii="Book Antiqua" w:eastAsia="Book Antiqua" w:hAnsi="Book Antiqua" w:cs="Book Antiqua"/>
          <w:color w:val="000000"/>
        </w:rPr>
        <w:t xml:space="preserve"> Ungaro RC, Gearry RB, Kaplan GG, Kissous-Hunt M, Lewis JD, Ng SC, Rahier J-F, Reinisch W, Ruemmele FM, Steinwurz F, Underwood FE, Zhang X, Colombel J-F, Kappelman MD. Corticosteroids, But Not TNF Antagonists, Are Associated With Adverse COVID-19 Outcomes in Patients With Inflammatory Bowel Diseases: Results From an International Registry.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481-491.e483 [DOI: 10.1053/j.gastro.2020.05.032]</w:t>
      </w:r>
    </w:p>
    <w:p w14:paraId="7211481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59 </w:t>
      </w:r>
      <w:r w:rsidRPr="00B7221C">
        <w:rPr>
          <w:rFonts w:ascii="Book Antiqua" w:eastAsia="Book Antiqua" w:hAnsi="Book Antiqua" w:cs="Book Antiqua"/>
          <w:b/>
          <w:bCs/>
          <w:color w:val="000000"/>
        </w:rPr>
        <w:t>Ungaro RC</w:t>
      </w:r>
      <w:r w:rsidRPr="00B7221C">
        <w:rPr>
          <w:rFonts w:ascii="Book Antiqua" w:eastAsia="Book Antiqua" w:hAnsi="Book Antiqua" w:cs="Book Antiqua"/>
          <w:color w:val="000000"/>
        </w:rPr>
        <w:t xml:space="preserve">, Brenner EJ, Gearry RB, Kaplan GG, Kissous-Hunt M, Lewis JD, Ng SC, Rahier JF, Reinisch W, Steinwurz F, Underwood FE, Zhang X, Colombel JF, Kappelman MD. Effect of IBD medications on COVID-19 outcomes: results from an international registry.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725-732 [PMID: 33082265 DOI: 10.1136/gutjnl-2020-322539]</w:t>
      </w:r>
    </w:p>
    <w:p w14:paraId="1C070DD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60 </w:t>
      </w:r>
      <w:r w:rsidRPr="00B7221C">
        <w:rPr>
          <w:rFonts w:ascii="Book Antiqua" w:eastAsia="Book Antiqua" w:hAnsi="Book Antiqua" w:cs="Book Antiqua"/>
          <w:b/>
          <w:bCs/>
          <w:color w:val="000000"/>
        </w:rPr>
        <w:t>Chan KH</w:t>
      </w:r>
      <w:r w:rsidRPr="00B7221C">
        <w:rPr>
          <w:rFonts w:ascii="Book Antiqua" w:eastAsia="Book Antiqua" w:hAnsi="Book Antiqua" w:cs="Book Antiqua"/>
          <w:color w:val="000000"/>
        </w:rPr>
        <w:t xml:space="preserve">, Lim SL, Damati A, Maruboyina SP, Bondili L, Abu Hanoud A, Slim J. Coronavirus disease 2019 (COVID-19) and ischemic colitis: An under-recognized complication. </w:t>
      </w:r>
      <w:r w:rsidRPr="00B7221C">
        <w:rPr>
          <w:rFonts w:ascii="Book Antiqua" w:eastAsia="Book Antiqua" w:hAnsi="Book Antiqua" w:cs="Book Antiqua"/>
          <w:i/>
          <w:iCs/>
          <w:color w:val="000000"/>
        </w:rPr>
        <w:t>Am J Emerg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w:t>
      </w:r>
      <w:r w:rsidRPr="00B7221C">
        <w:rPr>
          <w:rFonts w:ascii="Book Antiqua" w:eastAsia="Book Antiqua" w:hAnsi="Book Antiqua" w:cs="Book Antiqua"/>
          <w:color w:val="000000"/>
        </w:rPr>
        <w:t>: 2758.e1-2758.e4 [PMID: 32499176 DOI: 10.1016/j.ajem.2020.05.072]</w:t>
      </w:r>
    </w:p>
    <w:p w14:paraId="55AAE4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61 </w:t>
      </w:r>
      <w:r w:rsidRPr="00B7221C">
        <w:rPr>
          <w:rFonts w:ascii="Book Antiqua" w:eastAsia="Book Antiqua" w:hAnsi="Book Antiqua" w:cs="Book Antiqua"/>
          <w:b/>
          <w:bCs/>
          <w:color w:val="000000"/>
        </w:rPr>
        <w:t>González Lázaro P</w:t>
      </w:r>
      <w:r w:rsidRPr="00B7221C">
        <w:rPr>
          <w:rFonts w:ascii="Book Antiqua" w:eastAsia="Book Antiqua" w:hAnsi="Book Antiqua" w:cs="Book Antiqua"/>
          <w:color w:val="000000"/>
        </w:rPr>
        <w:t xml:space="preserve">, Lomas Meneses A, Del Val Zaballos F, Morandeira Rivas A. Ischemic colitis and short bowel disease due to choronavirus disease 2019 (COVID 19). </w:t>
      </w:r>
      <w:r w:rsidRPr="00B7221C">
        <w:rPr>
          <w:rFonts w:ascii="Book Antiqua" w:eastAsia="Book Antiqua" w:hAnsi="Book Antiqua" w:cs="Book Antiqua"/>
          <w:i/>
          <w:iCs/>
          <w:color w:val="000000"/>
        </w:rPr>
        <w:t>Clin Nutr ESPEN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40</w:t>
      </w:r>
      <w:r w:rsidRPr="00B7221C">
        <w:rPr>
          <w:rFonts w:ascii="Book Antiqua" w:eastAsia="Book Antiqua" w:hAnsi="Book Antiqua" w:cs="Book Antiqua"/>
          <w:color w:val="000000"/>
        </w:rPr>
        <w:t>: 406-407 [PMID: 33183570 DOI: 10.1016/j.clnesp.2020.08.009]</w:t>
      </w:r>
    </w:p>
    <w:p w14:paraId="180F8B5C" w14:textId="2B8C488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62 </w:t>
      </w:r>
      <w:r w:rsidRPr="00B7221C">
        <w:rPr>
          <w:rFonts w:ascii="Book Antiqua" w:eastAsia="Book Antiqua" w:hAnsi="Book Antiqua" w:cs="Book Antiqua"/>
          <w:b/>
          <w:bCs/>
          <w:color w:val="000000"/>
        </w:rPr>
        <w:t>RECOVERY Collaborative Group</w:t>
      </w:r>
      <w:r w:rsidRPr="00B7221C">
        <w:rPr>
          <w:rFonts w:ascii="Book Antiqua" w:eastAsia="Book Antiqua" w:hAnsi="Book Antiqua" w:cs="Book Antiqua"/>
          <w:color w:val="000000"/>
        </w:rPr>
        <w:t xml:space="preserve">, Horby P, Lim WS, Emberson JR, Mafham M, Bell JL, Linsell L, Staplin N, Brightling C, Ustianowski A, Elmahi E, Prudon B, Green C, Felton T, Chadwick D, Rege K, Fegan C, Chappell LC, Faust SN, Jaki T, Jeffery K, Montgomery A, Rowan K, Juszczak E, Baillie JK, Haynes R, Landray MJ. Dexamethasone in Hospitalized Patients with Covid-19. </w:t>
      </w:r>
      <w:r w:rsidRPr="00B7221C">
        <w:rPr>
          <w:rFonts w:ascii="Book Antiqua" w:eastAsia="Book Antiqua" w:hAnsi="Book Antiqua" w:cs="Book Antiqua"/>
          <w:i/>
          <w:iCs/>
          <w:color w:val="000000"/>
        </w:rPr>
        <w:t>N Engl J Med</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384</w:t>
      </w:r>
      <w:r w:rsidRPr="00B7221C">
        <w:rPr>
          <w:rFonts w:ascii="Book Antiqua" w:eastAsia="Book Antiqua" w:hAnsi="Book Antiqua" w:cs="Book Antiqua"/>
          <w:color w:val="000000"/>
        </w:rPr>
        <w:t>: 693-704 [PMID: 32678530 DOI: 10.1056/NEJMoa2021436]</w:t>
      </w:r>
    </w:p>
    <w:p w14:paraId="2762057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63 </w:t>
      </w:r>
      <w:r w:rsidRPr="00B7221C">
        <w:rPr>
          <w:rFonts w:ascii="Book Antiqua" w:eastAsia="Book Antiqua" w:hAnsi="Book Antiqua" w:cs="Book Antiqua"/>
          <w:b/>
          <w:bCs/>
          <w:color w:val="000000"/>
        </w:rPr>
        <w:t>Matthay MA</w:t>
      </w:r>
      <w:r w:rsidRPr="00B7221C">
        <w:rPr>
          <w:rFonts w:ascii="Book Antiqua" w:eastAsia="Book Antiqua" w:hAnsi="Book Antiqua" w:cs="Book Antiqua"/>
          <w:color w:val="000000"/>
        </w:rPr>
        <w:t xml:space="preserve">, Thompson BT. Dexamethasone in hospitalised patients with COVID-19: addressing uncertainties. </w:t>
      </w:r>
      <w:r w:rsidRPr="00B7221C">
        <w:rPr>
          <w:rFonts w:ascii="Book Antiqua" w:eastAsia="Book Antiqua" w:hAnsi="Book Antiqua" w:cs="Book Antiqua"/>
          <w:i/>
          <w:iCs/>
          <w:color w:val="000000"/>
        </w:rPr>
        <w:t>Lancet Respir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1170-1172 [PMID: 33129421 DOI: 10.1016/S2213-2600(20)30503-8]</w:t>
      </w:r>
    </w:p>
    <w:p w14:paraId="767967A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64 </w:t>
      </w:r>
      <w:r w:rsidRPr="00B7221C">
        <w:rPr>
          <w:rFonts w:ascii="Book Antiqua" w:eastAsia="Book Antiqua" w:hAnsi="Book Antiqua" w:cs="Book Antiqua"/>
          <w:b/>
          <w:bCs/>
          <w:color w:val="000000"/>
        </w:rPr>
        <w:t>Aziz M</w:t>
      </w:r>
      <w:r w:rsidRPr="00B7221C">
        <w:rPr>
          <w:rFonts w:ascii="Book Antiqua" w:eastAsia="Book Antiqua" w:hAnsi="Book Antiqua" w:cs="Book Antiqua"/>
          <w:color w:val="000000"/>
        </w:rPr>
        <w:t xml:space="preserve">, Fatima R, Haghbin H, Lee-Smith W, Nawras A. The Incidence and Outcomes of COVID-19 in IBD Patients: A Rapid Review and Meta-analysis. </w:t>
      </w:r>
      <w:r w:rsidRPr="00B7221C">
        <w:rPr>
          <w:rFonts w:ascii="Book Antiqua" w:eastAsia="Book Antiqua" w:hAnsi="Book Antiqua" w:cs="Book Antiqua"/>
          <w:i/>
          <w:iCs/>
          <w:color w:val="000000"/>
        </w:rPr>
        <w:t>Inflamm Bowel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e132-e133 [PMID: 32619003 DOI: 10.1093/ibd/izaa170]</w:t>
      </w:r>
    </w:p>
    <w:p w14:paraId="2A8B14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65 </w:t>
      </w:r>
      <w:r w:rsidRPr="00B7221C">
        <w:rPr>
          <w:rFonts w:ascii="Book Antiqua" w:eastAsia="Book Antiqua" w:hAnsi="Book Antiqua" w:cs="Book Antiqua"/>
          <w:b/>
          <w:bCs/>
          <w:color w:val="000000"/>
        </w:rPr>
        <w:t>Marafini I</w:t>
      </w:r>
      <w:r w:rsidRPr="00B7221C">
        <w:rPr>
          <w:rFonts w:ascii="Book Antiqua" w:eastAsia="Book Antiqua" w:hAnsi="Book Antiqua" w:cs="Book Antiqua"/>
          <w:color w:val="000000"/>
        </w:rPr>
        <w:t xml:space="preserve">, Salvatori S, Sena G, Calabrese E, Biancone L, Monteleone G. Low frequency of COVID-19 in inflammatory bowel diseases. </w:t>
      </w:r>
      <w:r w:rsidRPr="00B7221C">
        <w:rPr>
          <w:rFonts w:ascii="Book Antiqua" w:eastAsia="Book Antiqua" w:hAnsi="Book Antiqua" w:cs="Book Antiqua"/>
          <w:i/>
          <w:iCs/>
          <w:color w:val="000000"/>
        </w:rPr>
        <w:t>Dig Liver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52</w:t>
      </w:r>
      <w:r w:rsidRPr="00B7221C">
        <w:rPr>
          <w:rFonts w:ascii="Book Antiqua" w:eastAsia="Book Antiqua" w:hAnsi="Book Antiqua" w:cs="Book Antiqua"/>
          <w:color w:val="000000"/>
        </w:rPr>
        <w:t>: 1234-1235 [PMID: 32601036 DOI: 10.1016/j.dld.2020.06.007]</w:t>
      </w:r>
    </w:p>
    <w:p w14:paraId="349CF11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66 </w:t>
      </w:r>
      <w:r w:rsidRPr="00B7221C">
        <w:rPr>
          <w:rFonts w:ascii="Book Antiqua" w:eastAsia="Book Antiqua" w:hAnsi="Book Antiqua" w:cs="Book Antiqua"/>
          <w:b/>
          <w:bCs/>
          <w:color w:val="000000"/>
        </w:rPr>
        <w:t>Bezzio C</w:t>
      </w:r>
      <w:r w:rsidRPr="00B7221C">
        <w:rPr>
          <w:rFonts w:ascii="Book Antiqua" w:eastAsia="Book Antiqua" w:hAnsi="Book Antiqua" w:cs="Book Antiqua"/>
          <w:color w:val="000000"/>
        </w:rPr>
        <w:t xml:space="preserve">, Manes G, Bini F, Pellegrini L, Saibeni S. Infliximab for severe ulcerative colitis and subsequent SARS-CoV-2 pneumonia: a stone for two birds.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623-624 [PMID: 32554621 DOI: 10.1136/gutjnl-2020-321760]</w:t>
      </w:r>
    </w:p>
    <w:p w14:paraId="03DB0E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67 </w:t>
      </w:r>
      <w:r w:rsidRPr="00B7221C">
        <w:rPr>
          <w:rFonts w:ascii="Book Antiqua" w:eastAsia="Book Antiqua" w:hAnsi="Book Antiqua" w:cs="Book Antiqua"/>
          <w:b/>
          <w:bCs/>
          <w:color w:val="000000"/>
        </w:rPr>
        <w:t>Bezzio C</w:t>
      </w:r>
      <w:r w:rsidRPr="00B7221C">
        <w:rPr>
          <w:rFonts w:ascii="Book Antiqua" w:eastAsia="Book Antiqua" w:hAnsi="Book Antiqua" w:cs="Book Antiqua"/>
          <w:color w:val="000000"/>
        </w:rPr>
        <w:t xml:space="preserve">, Pellegrini L, Manes G, Arena I, Picascia D, Della Corte C, Devani M, Schettino M, Saibeni S. Biologic Therapies May Reduce the Risk of COVID-19 in Patients With Inflammatory Bowel Disease. </w:t>
      </w:r>
      <w:r w:rsidRPr="00B7221C">
        <w:rPr>
          <w:rFonts w:ascii="Book Antiqua" w:eastAsia="Book Antiqua" w:hAnsi="Book Antiqua" w:cs="Book Antiqua"/>
          <w:i/>
          <w:iCs/>
          <w:color w:val="000000"/>
        </w:rPr>
        <w:t>Inflamm Bowel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e107-e109 [PMID: 32869831 DOI: 10.1093/ibd/izaa242]</w:t>
      </w:r>
    </w:p>
    <w:p w14:paraId="05CAEED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68 </w:t>
      </w:r>
      <w:r w:rsidRPr="00B7221C">
        <w:rPr>
          <w:rFonts w:ascii="Book Antiqua" w:eastAsia="Book Antiqua" w:hAnsi="Book Antiqua" w:cs="Book Antiqua"/>
          <w:b/>
          <w:bCs/>
          <w:color w:val="000000"/>
        </w:rPr>
        <w:t>Baradaran Ghavami SH</w:t>
      </w:r>
      <w:r w:rsidRPr="00B7221C">
        <w:rPr>
          <w:rFonts w:ascii="Book Antiqua" w:eastAsia="Book Antiqua" w:hAnsi="Book Antiqua" w:cs="Book Antiqua"/>
          <w:color w:val="000000"/>
        </w:rPr>
        <w:t xml:space="preserve">, Shahrokh SH, Hossein-Khannazer N, Shpichka A, Asadzadeh Aghdaei H, Timashev P, Vosough M. IBD Patients Could Be Silent Carriers for Novel Coronavirus and Less Prone to its Severe Adverse Events: True or False? </w:t>
      </w:r>
      <w:r w:rsidRPr="00B7221C">
        <w:rPr>
          <w:rFonts w:ascii="Book Antiqua" w:eastAsia="Book Antiqua" w:hAnsi="Book Antiqua" w:cs="Book Antiqua"/>
          <w:i/>
          <w:iCs/>
          <w:color w:val="000000"/>
        </w:rPr>
        <w:t>Cell J</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22</w:t>
      </w:r>
      <w:r w:rsidRPr="00B7221C">
        <w:rPr>
          <w:rFonts w:ascii="Book Antiqua" w:eastAsia="Book Antiqua" w:hAnsi="Book Antiqua" w:cs="Book Antiqua"/>
          <w:color w:val="000000"/>
        </w:rPr>
        <w:t>: 151-154 [PMID: 32779446 DOI: 10.22074/cellj.2020.7603]</w:t>
      </w:r>
    </w:p>
    <w:p w14:paraId="5539E5A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69 </w:t>
      </w:r>
      <w:r w:rsidRPr="00B7221C">
        <w:rPr>
          <w:rFonts w:ascii="Book Antiqua" w:eastAsia="Book Antiqua" w:hAnsi="Book Antiqua" w:cs="Book Antiqua"/>
          <w:b/>
          <w:bCs/>
          <w:color w:val="000000"/>
        </w:rPr>
        <w:t>De Biasi S</w:t>
      </w:r>
      <w:r w:rsidRPr="00B7221C">
        <w:rPr>
          <w:rFonts w:ascii="Book Antiqua" w:eastAsia="Book Antiqua" w:hAnsi="Book Antiqua" w:cs="Book Antiqua"/>
          <w:color w:val="000000"/>
        </w:rPr>
        <w:t xml:space="preserve">, Meschiari M, Gibellini L, Bellinazzi C, Borella R, Fidanza L, Gozzi L, Iannone A, Lo Tartaro D, Mattioli M, Paolini A, Menozzi M, Milić J, Franceschi G, Fantini R, Tonelli R, Sita M, Sarti M, Trenti T, Brugioni L, Cicchetti L, Facchinetti F, Pietrangelo A, Clini E, Girardis M, Guaraldi G, Mussini C, Cossarizza A. Marked T cell activation, senescence, exhaustion and skewing towards TH17 in patients with COVID-19 pneumonia. </w:t>
      </w:r>
      <w:r w:rsidRPr="00B7221C">
        <w:rPr>
          <w:rFonts w:ascii="Book Antiqua" w:eastAsia="Book Antiqua" w:hAnsi="Book Antiqua" w:cs="Book Antiqua"/>
          <w:i/>
          <w:iCs/>
          <w:color w:val="000000"/>
        </w:rPr>
        <w:t>Nat Commun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3434 [PMID: 32632085 DOI: 10.1038/s41467-020-17292-4]</w:t>
      </w:r>
    </w:p>
    <w:p w14:paraId="292D1EC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70 </w:t>
      </w:r>
      <w:r w:rsidRPr="00B7221C">
        <w:rPr>
          <w:rFonts w:ascii="Book Antiqua" w:eastAsia="Book Antiqua" w:hAnsi="Book Antiqua" w:cs="Book Antiqua"/>
          <w:b/>
          <w:bCs/>
          <w:color w:val="000000"/>
        </w:rPr>
        <w:t>Jain A</w:t>
      </w:r>
      <w:r w:rsidRPr="00B7221C">
        <w:rPr>
          <w:rFonts w:ascii="Book Antiqua" w:eastAsia="Book Antiqua" w:hAnsi="Book Antiqua" w:cs="Book Antiqua"/>
          <w:color w:val="000000"/>
        </w:rPr>
        <w:t xml:space="preserve">, Chaurasia R, Sengar NS, Singh M, Mahor S, Narain S. Analysis of vitamin D level among asymptomatic and critically ill COVID-19 patients and its correlation with inflammatory markers. </w:t>
      </w:r>
      <w:r w:rsidRPr="00B7221C">
        <w:rPr>
          <w:rFonts w:ascii="Book Antiqua" w:eastAsia="Book Antiqua" w:hAnsi="Book Antiqua" w:cs="Book Antiqua"/>
          <w:i/>
          <w:iCs/>
          <w:color w:val="000000"/>
        </w:rPr>
        <w:t>Sci Rep</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20191 [PMID: 33214648 DOI: 10.1038/s41598-020-77093-z]</w:t>
      </w:r>
    </w:p>
    <w:p w14:paraId="4303691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71 </w:t>
      </w:r>
      <w:r w:rsidRPr="00B7221C">
        <w:rPr>
          <w:rFonts w:ascii="Book Antiqua" w:eastAsia="Book Antiqua" w:hAnsi="Book Antiqua" w:cs="Book Antiqua"/>
          <w:b/>
          <w:bCs/>
          <w:color w:val="000000"/>
        </w:rPr>
        <w:t>Grant WB</w:t>
      </w:r>
      <w:r w:rsidRPr="00B7221C">
        <w:rPr>
          <w:rFonts w:ascii="Book Antiqua" w:eastAsia="Book Antiqua" w:hAnsi="Book Antiqua" w:cs="Book Antiqua"/>
          <w:color w:val="000000"/>
        </w:rPr>
        <w:t xml:space="preserve">, Lahore H, McDonnell SL, Baggerly CA, French CB, Aliano JL, Bhattoa HP. Evidence that Vitamin D Supplementation Could Reduce Risk of Influenza and COVID-19 Infections and Deaths. </w:t>
      </w:r>
      <w:r w:rsidRPr="00B7221C">
        <w:rPr>
          <w:rFonts w:ascii="Book Antiqua" w:eastAsia="Book Antiqua" w:hAnsi="Book Antiqua" w:cs="Book Antiqua"/>
          <w:i/>
          <w:iCs/>
          <w:color w:val="000000"/>
        </w:rPr>
        <w:t>Nutrients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xml:space="preserve"> [PMID: 32252338 DOI: 10.3390/nu12040988]</w:t>
      </w:r>
    </w:p>
    <w:p w14:paraId="74E3E0F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72 </w:t>
      </w:r>
      <w:r w:rsidRPr="00B7221C">
        <w:rPr>
          <w:rFonts w:ascii="Book Antiqua" w:eastAsia="Book Antiqua" w:hAnsi="Book Antiqua" w:cs="Book Antiqua"/>
          <w:b/>
          <w:bCs/>
          <w:color w:val="000000"/>
        </w:rPr>
        <w:t>Chang SH</w:t>
      </w:r>
      <w:r w:rsidRPr="00B7221C">
        <w:rPr>
          <w:rFonts w:ascii="Book Antiqua" w:eastAsia="Book Antiqua" w:hAnsi="Book Antiqua" w:cs="Book Antiqua"/>
          <w:color w:val="000000"/>
        </w:rPr>
        <w:t xml:space="preserve">, Chung Y, Dong C. Vitamin D suppresses Th17 cytokine production by inducing C/EBP homologous protein (CHOP) expression. </w:t>
      </w:r>
      <w:r w:rsidRPr="00B7221C">
        <w:rPr>
          <w:rFonts w:ascii="Book Antiqua" w:eastAsia="Book Antiqua" w:hAnsi="Book Antiqua" w:cs="Book Antiqua"/>
          <w:i/>
          <w:iCs/>
          <w:color w:val="000000"/>
        </w:rPr>
        <w:t>J Biol Chem</w:t>
      </w:r>
      <w:r w:rsidRPr="00B7221C">
        <w:rPr>
          <w:rFonts w:ascii="Book Antiqua" w:eastAsia="Book Antiqua" w:hAnsi="Book Antiqua" w:cs="Book Antiqua"/>
          <w:color w:val="000000"/>
        </w:rPr>
        <w:t xml:space="preserve"> 2010; </w:t>
      </w:r>
      <w:r w:rsidRPr="00B7221C">
        <w:rPr>
          <w:rFonts w:ascii="Book Antiqua" w:eastAsia="Book Antiqua" w:hAnsi="Book Antiqua" w:cs="Book Antiqua"/>
          <w:b/>
          <w:bCs/>
          <w:color w:val="000000"/>
        </w:rPr>
        <w:t>285</w:t>
      </w:r>
      <w:r w:rsidRPr="00B7221C">
        <w:rPr>
          <w:rFonts w:ascii="Book Antiqua" w:eastAsia="Book Antiqua" w:hAnsi="Book Antiqua" w:cs="Book Antiqua"/>
          <w:color w:val="000000"/>
        </w:rPr>
        <w:t>: 38751-38755 [PMID: 20974859 DOI: 10.1074/jbc.C110.185777]</w:t>
      </w:r>
    </w:p>
    <w:p w14:paraId="653B1BE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73 </w:t>
      </w:r>
      <w:r w:rsidRPr="00B7221C">
        <w:rPr>
          <w:rFonts w:ascii="Book Antiqua" w:eastAsia="Book Antiqua" w:hAnsi="Book Antiqua" w:cs="Book Antiqua"/>
          <w:b/>
          <w:bCs/>
          <w:color w:val="000000"/>
        </w:rPr>
        <w:t>Fletcher J</w:t>
      </w:r>
      <w:r w:rsidRPr="00B7221C">
        <w:rPr>
          <w:rFonts w:ascii="Book Antiqua" w:eastAsia="Book Antiqua" w:hAnsi="Book Antiqua" w:cs="Book Antiqua"/>
          <w:color w:val="000000"/>
        </w:rPr>
        <w:t xml:space="preserve">, Cooper SC, Ghosh S, Hewison M. The Role of Vitamin D in Inflammatory Bowel Disease: Mechanism to Management. </w:t>
      </w:r>
      <w:r w:rsidRPr="00B7221C">
        <w:rPr>
          <w:rFonts w:ascii="Book Antiqua" w:eastAsia="Book Antiqua" w:hAnsi="Book Antiqua" w:cs="Book Antiqua"/>
          <w:i/>
          <w:iCs/>
          <w:color w:val="000000"/>
        </w:rPr>
        <w:t>Nutrients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31067701 DOI: 10.3390/nu11051019]</w:t>
      </w:r>
    </w:p>
    <w:p w14:paraId="27A97C2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74 </w:t>
      </w:r>
      <w:r w:rsidRPr="00B7221C">
        <w:rPr>
          <w:rFonts w:ascii="Book Antiqua" w:eastAsia="Book Antiqua" w:hAnsi="Book Antiqua" w:cs="Book Antiqua"/>
          <w:b/>
          <w:bCs/>
          <w:color w:val="000000"/>
        </w:rPr>
        <w:t>Lee C</w:t>
      </w:r>
      <w:r w:rsidRPr="00B7221C">
        <w:rPr>
          <w:rFonts w:ascii="Book Antiqua" w:eastAsia="Book Antiqua" w:hAnsi="Book Antiqua" w:cs="Book Antiqua"/>
          <w:color w:val="000000"/>
        </w:rPr>
        <w:t xml:space="preserve">, Lau E, Chusilp S, Filler R, Li B, Zhu H, Yamoto M, Pierro A. Protective effects of vitamin D against injury in intestinal epithelium. </w:t>
      </w:r>
      <w:r w:rsidRPr="00B7221C">
        <w:rPr>
          <w:rFonts w:ascii="Book Antiqua" w:eastAsia="Book Antiqua" w:hAnsi="Book Antiqua" w:cs="Book Antiqua"/>
          <w:i/>
          <w:iCs/>
          <w:color w:val="000000"/>
        </w:rPr>
        <w:t>Pediatr Surg Int</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35</w:t>
      </w:r>
      <w:r w:rsidRPr="00B7221C">
        <w:rPr>
          <w:rFonts w:ascii="Book Antiqua" w:eastAsia="Book Antiqua" w:hAnsi="Book Antiqua" w:cs="Book Antiqua"/>
          <w:color w:val="000000"/>
        </w:rPr>
        <w:t>: 1395-1401 [PMID: 31612340 DOI: 10.1007/s00383-019-04586-y]</w:t>
      </w:r>
    </w:p>
    <w:p w14:paraId="2C0CAFD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75 </w:t>
      </w:r>
      <w:r w:rsidRPr="00B7221C">
        <w:rPr>
          <w:rFonts w:ascii="Book Antiqua" w:eastAsia="Book Antiqua" w:hAnsi="Book Antiqua" w:cs="Book Antiqua"/>
          <w:b/>
          <w:bCs/>
          <w:color w:val="000000"/>
        </w:rPr>
        <w:t>He L</w:t>
      </w:r>
      <w:r w:rsidRPr="00B7221C">
        <w:rPr>
          <w:rFonts w:ascii="Book Antiqua" w:eastAsia="Book Antiqua" w:hAnsi="Book Antiqua" w:cs="Book Antiqua"/>
          <w:color w:val="000000"/>
        </w:rPr>
        <w:t xml:space="preserve">, Liu T, Shi Y, Tian F, Hu H, Deb DK, Chen Y, Bissonnette M, Li YC. Gut Epithelial Vitamin D Receptor Regulates Microbiota-Dependent Mucosal Inflammation by Suppressing Intestinal Epithelial Cell Apoptosis. </w:t>
      </w:r>
      <w:r w:rsidRPr="00B7221C">
        <w:rPr>
          <w:rFonts w:ascii="Book Antiqua" w:eastAsia="Book Antiqua" w:hAnsi="Book Antiqua" w:cs="Book Antiqua"/>
          <w:i/>
          <w:iCs/>
          <w:color w:val="000000"/>
        </w:rPr>
        <w:t>Endocrinology</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967-979 [PMID: 29228157 DOI: 10.1210/en.2017-00748]</w:t>
      </w:r>
    </w:p>
    <w:p w14:paraId="7DC2DCD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76 </w:t>
      </w:r>
      <w:r w:rsidRPr="00B7221C">
        <w:rPr>
          <w:rFonts w:ascii="Book Antiqua" w:eastAsia="Book Antiqua" w:hAnsi="Book Antiqua" w:cs="Book Antiqua"/>
          <w:b/>
          <w:bCs/>
          <w:color w:val="000000"/>
        </w:rPr>
        <w:t>D'Amico F</w:t>
      </w:r>
      <w:r w:rsidRPr="00B7221C">
        <w:rPr>
          <w:rFonts w:ascii="Book Antiqua" w:eastAsia="Book Antiqua" w:hAnsi="Book Antiqua" w:cs="Book Antiqua"/>
          <w:color w:val="000000"/>
        </w:rPr>
        <w:t xml:space="preserve">, Rabaud C, Peyrin-Biroulet L, Danese S. SARS-CoV-2 vaccination in IBD: more pros than cons.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211-213 [PMID: 33473178 DOI: 10.1038/s41575-021-00420-w]</w:t>
      </w:r>
    </w:p>
    <w:p w14:paraId="379F091C" w14:textId="7E74B9A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77 </w:t>
      </w:r>
      <w:r w:rsidRPr="00B7221C">
        <w:rPr>
          <w:rFonts w:ascii="Book Antiqua" w:eastAsia="Book Antiqua" w:hAnsi="Book Antiqua" w:cs="Book Antiqua"/>
          <w:b/>
          <w:bCs/>
          <w:color w:val="000000"/>
        </w:rPr>
        <w:t>Polack FP,</w:t>
      </w:r>
      <w:r w:rsidRPr="00B7221C">
        <w:rPr>
          <w:rFonts w:ascii="Book Antiqua" w:eastAsia="Book Antiqua" w:hAnsi="Book Antiqua" w:cs="Book Antiqua"/>
          <w:color w:val="000000"/>
        </w:rPr>
        <w:t xml:space="preserve"> Thomas SJ, Kitchin N, Absalon J, Gurtman A, Lockhart S, Perez JL, Pérez Marc G, Moreira ED, Zerbini C, Bailey R, Swanson KA, Roychoudhury S, Koury K, Li P, Kalina WV, Cooper D, Frenck RW, Hammitt LL, Türeci Ö, Nell H, Schaefer A, Ünal S, Tresnan DB, Mather S, Dormitzer PR, Şahin U, Jansen KU, Gruber WC. Safety and Efficacy of the BNT162b2 mRNA Covid-19 Vaccine. </w:t>
      </w:r>
      <w:r w:rsidR="007227D1" w:rsidRPr="00B7221C">
        <w:rPr>
          <w:rFonts w:ascii="Book Antiqua" w:eastAsia="Book Antiqua" w:hAnsi="Book Antiqua" w:cs="Book Antiqua"/>
          <w:i/>
          <w:iCs/>
          <w:color w:val="000000"/>
        </w:rPr>
        <w:t>N Engl J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383</w:t>
      </w:r>
      <w:r w:rsidRPr="00B7221C">
        <w:rPr>
          <w:rFonts w:ascii="Book Antiqua" w:eastAsia="Book Antiqua" w:hAnsi="Book Antiqua" w:cs="Book Antiqua"/>
          <w:color w:val="000000"/>
        </w:rPr>
        <w:t>: 2603-2615 [DOI: 10.1056/NEJMoa2034577]</w:t>
      </w:r>
    </w:p>
    <w:p w14:paraId="6B2D4B5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78 </w:t>
      </w:r>
      <w:r w:rsidRPr="00B7221C">
        <w:rPr>
          <w:rFonts w:ascii="Book Antiqua" w:eastAsia="Book Antiqua" w:hAnsi="Book Antiqua" w:cs="Book Antiqua"/>
          <w:b/>
          <w:bCs/>
          <w:color w:val="000000"/>
        </w:rPr>
        <w:t>Fiorino G</w:t>
      </w:r>
      <w:r w:rsidRPr="00B7221C">
        <w:rPr>
          <w:rFonts w:ascii="Book Antiqua" w:eastAsia="Book Antiqua" w:hAnsi="Book Antiqua" w:cs="Book Antiqua"/>
          <w:color w:val="000000"/>
        </w:rPr>
        <w:t xml:space="preserve">, Peyrin-Biroulet L, Naccarato P, Szabò H, Sociale OR, Vetrano S, Fries W, Montanelli A, Repici A, Malesci A, Danese S. Effects of immunosuppression on immune response to pneumococcal vaccine in inflammatory bowel disease: a prospective study. </w:t>
      </w:r>
      <w:r w:rsidRPr="00B7221C">
        <w:rPr>
          <w:rFonts w:ascii="Book Antiqua" w:eastAsia="Book Antiqua" w:hAnsi="Book Antiqua" w:cs="Book Antiqua"/>
          <w:i/>
          <w:iCs/>
          <w:color w:val="000000"/>
        </w:rPr>
        <w:t>Inflamm Bowel Dis</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1042-1047 [PMID: 21674732 DOI: 10.1002/ibd.21800]</w:t>
      </w:r>
    </w:p>
    <w:p w14:paraId="43AF3B9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79 </w:t>
      </w:r>
      <w:r w:rsidRPr="00B7221C">
        <w:rPr>
          <w:rFonts w:ascii="Book Antiqua" w:eastAsia="Book Antiqua" w:hAnsi="Book Antiqua" w:cs="Book Antiqua"/>
          <w:b/>
          <w:bCs/>
          <w:color w:val="000000"/>
        </w:rPr>
        <w:t>Mamula P</w:t>
      </w:r>
      <w:r w:rsidRPr="00B7221C">
        <w:rPr>
          <w:rFonts w:ascii="Book Antiqua" w:eastAsia="Book Antiqua" w:hAnsi="Book Antiqua" w:cs="Book Antiqua"/>
          <w:color w:val="000000"/>
        </w:rPr>
        <w:t xml:space="preserve">, Markowitz JE, Piccoli DA, Klimov A, Cohen L, Baldassano RN. Immune response to influenza vaccine in pediatric patients with inflammatory bowel disease. </w:t>
      </w:r>
      <w:r w:rsidRPr="00B7221C">
        <w:rPr>
          <w:rFonts w:ascii="Book Antiqua" w:eastAsia="Book Antiqua" w:hAnsi="Book Antiqua" w:cs="Book Antiqua"/>
          <w:i/>
          <w:iCs/>
          <w:color w:val="000000"/>
        </w:rPr>
        <w:t>Clin Gastroenterol Hepatol</w:t>
      </w:r>
      <w:r w:rsidRPr="00B7221C">
        <w:rPr>
          <w:rFonts w:ascii="Book Antiqua" w:eastAsia="Book Antiqua" w:hAnsi="Book Antiqua" w:cs="Book Antiqua"/>
          <w:color w:val="000000"/>
        </w:rPr>
        <w:t xml:space="preserve"> 2007;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851-856 [PMID: 17544875 DOI: 10.1016/j.cgh.2007.02.035]</w:t>
      </w:r>
    </w:p>
    <w:p w14:paraId="348DEFB1" w14:textId="3F6C327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80 </w:t>
      </w:r>
      <w:r w:rsidRPr="00B7221C">
        <w:rPr>
          <w:rFonts w:ascii="Book Antiqua" w:eastAsia="Book Antiqua" w:hAnsi="Book Antiqua" w:cs="Book Antiqua"/>
          <w:b/>
          <w:bCs/>
          <w:color w:val="000000"/>
        </w:rPr>
        <w:t>Siegel CA,</w:t>
      </w:r>
      <w:r w:rsidRPr="00B7221C">
        <w:rPr>
          <w:rFonts w:ascii="Book Antiqua" w:eastAsia="Book Antiqua" w:hAnsi="Book Antiqua" w:cs="Book Antiqua"/>
          <w:color w:val="000000"/>
        </w:rPr>
        <w:t xml:space="preserve"> Melmed GY, McGovern DPB, Rai V, Krammer F, Rubin DT, Abreu MT, Dubinsky MC. SARS-CoV-2 vaccination for patients with inflammatory bowel diseases: recommendations from an international consensus meeting.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color w:val="000000"/>
        </w:rPr>
        <w:t>2021;</w:t>
      </w:r>
      <w:r w:rsidR="008C1A25"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b/>
          <w:bCs/>
          <w:color w:val="000000"/>
        </w:rPr>
        <w:t>70</w:t>
      </w:r>
      <w:r w:rsidR="007B7EFC" w:rsidRPr="00B7221C">
        <w:rPr>
          <w:rFonts w:ascii="Book Antiqua" w:eastAsia="Book Antiqua" w:hAnsi="Book Antiqua" w:cs="Book Antiqua"/>
          <w:color w:val="000000"/>
        </w:rPr>
        <w:t>:</w:t>
      </w:r>
      <w:r w:rsidR="008C1A25"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color w:val="000000"/>
        </w:rPr>
        <w:t>635-640</w:t>
      </w:r>
      <w:r w:rsidRPr="00B7221C">
        <w:rPr>
          <w:rFonts w:ascii="Book Antiqua" w:eastAsia="Book Antiqua" w:hAnsi="Book Antiqua" w:cs="Book Antiqua"/>
          <w:color w:val="000000"/>
        </w:rPr>
        <w:t xml:space="preserve"> [DOI: 10.1136/gutjnl-2020-324000]</w:t>
      </w:r>
    </w:p>
    <w:p w14:paraId="443118F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81 </w:t>
      </w:r>
      <w:r w:rsidRPr="00B7221C">
        <w:rPr>
          <w:rFonts w:ascii="Book Antiqua" w:eastAsia="Book Antiqua" w:hAnsi="Book Antiqua" w:cs="Book Antiqua"/>
          <w:b/>
          <w:bCs/>
          <w:color w:val="000000"/>
        </w:rPr>
        <w:t>Alexander JL</w:t>
      </w:r>
      <w:r w:rsidRPr="00B7221C">
        <w:rPr>
          <w:rFonts w:ascii="Book Antiqua" w:eastAsia="Book Antiqua" w:hAnsi="Book Antiqua" w:cs="Book Antiqua"/>
          <w:color w:val="000000"/>
        </w:rPr>
        <w:t xml:space="preserve">, Moran GW, Gaya DR, Raine T, Hart A, Kennedy NA, Lindsay JO, MacDonald J, Segal JP, Sebastian S, Selinger CP, Parkes M, Smith PJ, Dhar A, Subramanian S, Arasaradnam R, Lamb CA, Ahmad T, Lees CW, Dobson L, Wakeman R, Iqbal TH, Arnott I, Powell N; Inflammatory Bowel Disease section of the British Society of Gastroenterology and the the Inflammatory Bowel Disease Clinical Research Group. SARS-CoV-2 vaccination for patients with inflammatory bowel disease: a British Society of Gastroenterology Inflammatory Bowel Disease section and IBD Clinical Research Group position statement. </w:t>
      </w:r>
      <w:r w:rsidRPr="00B7221C">
        <w:rPr>
          <w:rFonts w:ascii="Book Antiqua" w:eastAsia="Book Antiqua" w:hAnsi="Book Antiqua" w:cs="Book Antiqua"/>
          <w:i/>
          <w:iCs/>
          <w:color w:val="000000"/>
        </w:rPr>
        <w:t>Lancet Gastroenterol Hepatol</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218-224 [PMID: 33508241 DOI: 10.1016/S2468-1253(21)00024-8]</w:t>
      </w:r>
    </w:p>
    <w:p w14:paraId="2A988AE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82 </w:t>
      </w:r>
      <w:r w:rsidRPr="00B7221C">
        <w:rPr>
          <w:rFonts w:ascii="Book Antiqua" w:eastAsia="Book Antiqua" w:hAnsi="Book Antiqua" w:cs="Book Antiqua"/>
          <w:b/>
          <w:bCs/>
          <w:color w:val="000000"/>
        </w:rPr>
        <w:t>Matsuoka K</w:t>
      </w:r>
      <w:r w:rsidRPr="00B7221C">
        <w:rPr>
          <w:rFonts w:ascii="Book Antiqua" w:eastAsia="Book Antiqua" w:hAnsi="Book Antiqua" w:cs="Book Antiqua"/>
          <w:color w:val="000000"/>
        </w:rPr>
        <w:t xml:space="preserve">, Kanai T. The gut microbiota and inflammatory bowel disease. </w:t>
      </w:r>
      <w:r w:rsidRPr="00B7221C">
        <w:rPr>
          <w:rFonts w:ascii="Book Antiqua" w:eastAsia="Book Antiqua" w:hAnsi="Book Antiqua" w:cs="Book Antiqua"/>
          <w:i/>
          <w:iCs/>
          <w:color w:val="000000"/>
        </w:rPr>
        <w:t>Semin Immunopathol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37</w:t>
      </w:r>
      <w:r w:rsidRPr="00B7221C">
        <w:rPr>
          <w:rFonts w:ascii="Book Antiqua" w:eastAsia="Book Antiqua" w:hAnsi="Book Antiqua" w:cs="Book Antiqua"/>
          <w:color w:val="000000"/>
        </w:rPr>
        <w:t>: 47-55 [PMID: 25420450 DOI: 10.1007/s00281-014-0454-4]</w:t>
      </w:r>
    </w:p>
    <w:p w14:paraId="3914EC4C" w14:textId="7B60418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83 </w:t>
      </w:r>
      <w:r w:rsidRPr="00B7221C">
        <w:rPr>
          <w:rFonts w:ascii="Book Antiqua" w:eastAsia="Book Antiqua" w:hAnsi="Book Antiqua" w:cs="Book Antiqua"/>
          <w:b/>
          <w:bCs/>
          <w:color w:val="000000"/>
        </w:rPr>
        <w:t>Henke MT</w:t>
      </w:r>
      <w:r w:rsidRPr="00B7221C">
        <w:rPr>
          <w:rFonts w:ascii="Book Antiqua" w:eastAsia="Book Antiqua" w:hAnsi="Book Antiqua" w:cs="Book Antiqua"/>
          <w:color w:val="000000"/>
        </w:rPr>
        <w:t xml:space="preserve">, Kenny DJ, Cassilly CD, Vlamakis H, Xavier RJ, Clardy J. </w:t>
      </w:r>
      <w:r w:rsidRPr="00B7221C">
        <w:rPr>
          <w:rFonts w:ascii="Book Antiqua" w:eastAsia="Book Antiqua" w:hAnsi="Book Antiqua" w:cs="Book Antiqua"/>
          <w:i/>
          <w:iCs/>
          <w:color w:val="000000"/>
        </w:rPr>
        <w:t>Ruminococcus gnavus</w:t>
      </w:r>
      <w:r w:rsidRPr="00B7221C">
        <w:rPr>
          <w:rFonts w:ascii="Book Antiqua" w:eastAsia="Book Antiqua" w:hAnsi="Book Antiqua" w:cs="Book Antiqua"/>
          <w:color w:val="000000"/>
        </w:rPr>
        <w:t xml:space="preserve">, a member of the human gut microbiome associated with Crohn's disease, produces an inflammatory polysaccharide. </w:t>
      </w:r>
      <w:r w:rsidRPr="00B7221C">
        <w:rPr>
          <w:rFonts w:ascii="Book Antiqua" w:eastAsia="Book Antiqua" w:hAnsi="Book Antiqua" w:cs="Book Antiqua"/>
          <w:i/>
          <w:iCs/>
          <w:color w:val="000000"/>
        </w:rPr>
        <w:t>Proc Natl Acad Sci USA</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116</w:t>
      </w:r>
      <w:r w:rsidRPr="00B7221C">
        <w:rPr>
          <w:rFonts w:ascii="Book Antiqua" w:eastAsia="Book Antiqua" w:hAnsi="Book Antiqua" w:cs="Book Antiqua"/>
          <w:color w:val="000000"/>
        </w:rPr>
        <w:t>: 12672-12677 [PMID: 31182571 DOI: 10.1073/pnas.1904099116]</w:t>
      </w:r>
    </w:p>
    <w:p w14:paraId="72BA0489" w14:textId="5AAEC648"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84 </w:t>
      </w:r>
      <w:r w:rsidRPr="00B7221C">
        <w:rPr>
          <w:rFonts w:ascii="Book Antiqua" w:eastAsia="Book Antiqua" w:hAnsi="Book Antiqua" w:cs="Book Antiqua"/>
          <w:b/>
          <w:bCs/>
          <w:color w:val="000000"/>
        </w:rPr>
        <w:t>Yeoh YK,</w:t>
      </w:r>
      <w:r w:rsidRPr="00B7221C">
        <w:rPr>
          <w:rFonts w:ascii="Book Antiqua" w:eastAsia="Book Antiqua" w:hAnsi="Book Antiqua" w:cs="Book Antiqua"/>
          <w:color w:val="000000"/>
        </w:rPr>
        <w:t xml:space="preserve"> Zuo T, Lui GC-Y, Zhang F, Liu Q, Li AY, Chung AC, Cheung CP, Tso EY, Fung KS, Chan V, Ling L, Joynt G, Hui DS-C, Chow KM, Ng SSS, Li TC-M, Ng RW, Yip TC, Wong GL-H, Chan FK, Wong CK, Chan PK, Ng SC. Gut microbiota composition reflects disease severity and dysfunctional immune responses in patients with COVID-19. </w:t>
      </w:r>
      <w:r w:rsidR="00EE530D" w:rsidRPr="00B7221C">
        <w:rPr>
          <w:rFonts w:ascii="Book Antiqua" w:eastAsia="Book Antiqua" w:hAnsi="Book Antiqua" w:cs="Book Antiqua"/>
          <w:i/>
          <w:iCs/>
          <w:color w:val="000000"/>
        </w:rPr>
        <w:t>Gut</w:t>
      </w:r>
      <w:r w:rsidR="00EE530D" w:rsidRPr="00B7221C">
        <w:rPr>
          <w:rFonts w:ascii="Book Antiqua" w:eastAsia="Book Antiqua" w:hAnsi="Book Antiqua" w:cs="Book Antiqua"/>
          <w:color w:val="000000"/>
        </w:rPr>
        <w:t xml:space="preserve"> 2021; </w:t>
      </w:r>
      <w:r w:rsidR="00EE530D" w:rsidRPr="00B7221C">
        <w:rPr>
          <w:rFonts w:ascii="Book Antiqua" w:eastAsia="Book Antiqua" w:hAnsi="Book Antiqua" w:cs="Book Antiqua"/>
          <w:b/>
          <w:bCs/>
          <w:color w:val="000000"/>
        </w:rPr>
        <w:t>70</w:t>
      </w:r>
      <w:r w:rsidR="00EE530D" w:rsidRPr="00B7221C">
        <w:rPr>
          <w:rFonts w:ascii="Book Antiqua" w:eastAsia="Book Antiqua" w:hAnsi="Book Antiqua" w:cs="Book Antiqua"/>
          <w:color w:val="000000"/>
        </w:rPr>
        <w:t>: 698-706</w:t>
      </w:r>
      <w:r w:rsidRPr="00B7221C">
        <w:rPr>
          <w:rFonts w:ascii="Book Antiqua" w:eastAsia="Book Antiqua" w:hAnsi="Book Antiqua" w:cs="Book Antiqua"/>
          <w:color w:val="000000"/>
        </w:rPr>
        <w:t xml:space="preserve"> [DOI: 10.1136/gutjnl-2020-323020]</w:t>
      </w:r>
    </w:p>
    <w:p w14:paraId="654CEF4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85 </w:t>
      </w:r>
      <w:r w:rsidRPr="00B7221C">
        <w:rPr>
          <w:rFonts w:ascii="Book Antiqua" w:eastAsia="Book Antiqua" w:hAnsi="Book Antiqua" w:cs="Book Antiqua"/>
          <w:b/>
          <w:bCs/>
          <w:color w:val="000000"/>
        </w:rPr>
        <w:t>Zuo T</w:t>
      </w:r>
      <w:r w:rsidRPr="00B7221C">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944-955.e8 [PMID: 32442562 DOI: 10.1053/j.gastro.2020.05.048]</w:t>
      </w:r>
    </w:p>
    <w:p w14:paraId="5385872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86 </w:t>
      </w:r>
      <w:r w:rsidRPr="00B7221C">
        <w:rPr>
          <w:rFonts w:ascii="Book Antiqua" w:eastAsia="Book Antiqua" w:hAnsi="Book Antiqua" w:cs="Book Antiqua"/>
          <w:b/>
          <w:bCs/>
          <w:color w:val="000000"/>
        </w:rPr>
        <w:t>Manzoor SE</w:t>
      </w:r>
      <w:r w:rsidRPr="00B7221C">
        <w:rPr>
          <w:rFonts w:ascii="Book Antiqua" w:eastAsia="Book Antiqua" w:hAnsi="Book Antiqua" w:cs="Book Antiqua"/>
          <w:color w:val="000000"/>
        </w:rPr>
        <w:t xml:space="preserve">, McNulty CAM, Nakiboneka-Ssenabulya D, Lecky DM, Hardy KJ, Hawkey PM. Investigation of community carriage rates of Clostridium difficile and Hungatella hathewayi in healthy volunteers from four regions of England. </w:t>
      </w:r>
      <w:r w:rsidRPr="00B7221C">
        <w:rPr>
          <w:rFonts w:ascii="Book Antiqua" w:eastAsia="Book Antiqua" w:hAnsi="Book Antiqua" w:cs="Book Antiqua"/>
          <w:i/>
          <w:iCs/>
          <w:color w:val="000000"/>
        </w:rPr>
        <w:t>J Hosp Infect</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97</w:t>
      </w:r>
      <w:r w:rsidRPr="00B7221C">
        <w:rPr>
          <w:rFonts w:ascii="Book Antiqua" w:eastAsia="Book Antiqua" w:hAnsi="Book Antiqua" w:cs="Book Antiqua"/>
          <w:color w:val="000000"/>
        </w:rPr>
        <w:t>: 153-155 [PMID: 28549779 DOI: 10.1016/j.jhin.2017.05.014]</w:t>
      </w:r>
    </w:p>
    <w:p w14:paraId="449E109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87 </w:t>
      </w:r>
      <w:r w:rsidRPr="00B7221C">
        <w:rPr>
          <w:rFonts w:ascii="Book Antiqua" w:eastAsia="Book Antiqua" w:hAnsi="Book Antiqua" w:cs="Book Antiqua"/>
          <w:b/>
          <w:bCs/>
          <w:color w:val="000000"/>
        </w:rPr>
        <w:t>Du Z</w:t>
      </w:r>
      <w:r w:rsidRPr="00B7221C">
        <w:rPr>
          <w:rFonts w:ascii="Book Antiqua" w:eastAsia="Book Antiqua" w:hAnsi="Book Antiqua" w:cs="Book Antiqua"/>
          <w:color w:val="000000"/>
        </w:rPr>
        <w:t xml:space="preserve">, Hudcovic T, Mrazek J, Kozakova H, Srutkova D, Schwarzer M, Tlaskalova-Hogenova H, Kostovcik M, Kverka M. Development of gut inflammation in mice colonized with mucosa-associated bacteria from patients with ulcerative colitis. </w:t>
      </w:r>
      <w:r w:rsidRPr="00B7221C">
        <w:rPr>
          <w:rFonts w:ascii="Book Antiqua" w:eastAsia="Book Antiqua" w:hAnsi="Book Antiqua" w:cs="Book Antiqua"/>
          <w:i/>
          <w:iCs/>
          <w:color w:val="000000"/>
        </w:rPr>
        <w:t>Gut Pathog</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32 [PMID: 26697117 DOI: 10.1186/s13099-015-0080-2]</w:t>
      </w:r>
    </w:p>
    <w:p w14:paraId="7EEF90F9" w14:textId="1A8B838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88 </w:t>
      </w:r>
      <w:r w:rsidRPr="00B7221C">
        <w:rPr>
          <w:rFonts w:ascii="Book Antiqua" w:eastAsia="Book Antiqua" w:hAnsi="Book Antiqua" w:cs="Book Antiqua"/>
          <w:b/>
          <w:bCs/>
          <w:color w:val="000000"/>
        </w:rPr>
        <w:t>Nishino K,</w:t>
      </w:r>
      <w:r w:rsidRPr="00B7221C">
        <w:rPr>
          <w:rFonts w:ascii="Book Antiqua" w:eastAsia="Book Antiqua" w:hAnsi="Book Antiqua" w:cs="Book Antiqua"/>
          <w:color w:val="000000"/>
        </w:rPr>
        <w:t xml:space="preserve"> Imaeda H, Sakai S, Ohno M, Nishida A, Andoh A. The Abundance of Clostridium Hathewayi, a Potent Inducer of T Helper 17 (Th17) Cells, is Associated with the Disease Severity of Crohn's Disease.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152</w:t>
      </w:r>
      <w:r w:rsidRPr="00B7221C">
        <w:rPr>
          <w:rFonts w:ascii="Book Antiqua" w:eastAsia="Book Antiqua" w:hAnsi="Book Antiqua" w:cs="Book Antiqua"/>
          <w:color w:val="000000"/>
        </w:rPr>
        <w:t>: S993</w:t>
      </w:r>
    </w:p>
    <w:p w14:paraId="4799A70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89 </w:t>
      </w:r>
      <w:r w:rsidRPr="00B7221C">
        <w:rPr>
          <w:rFonts w:ascii="Book Antiqua" w:eastAsia="Book Antiqua" w:hAnsi="Book Antiqua" w:cs="Book Antiqua"/>
          <w:b/>
          <w:bCs/>
          <w:color w:val="000000"/>
        </w:rPr>
        <w:t>Carvelli J</w:t>
      </w:r>
      <w:r w:rsidRPr="00B7221C">
        <w:rPr>
          <w:rFonts w:ascii="Book Antiqua" w:eastAsia="Book Antiqua" w:hAnsi="Book Antiqua" w:cs="Book Antiqua"/>
          <w:color w:val="000000"/>
        </w:rPr>
        <w:t xml:space="preserve">, Demaria O, Vély F, Batista L, Chouaki Benmansour N, Fares J, Carpentier S, Thibult ML, Morel A, Remark R, André P, Represa A, Piperoglou C; Explore COVID-19 IPH group; Explore COVID-19 Marseille Immunopole group, Cordier PY, Le Dault E, Guervilly C, Simeone P, Gainnier M, Morel Y, Ebbo M, Schleinitz N, Vivier E. Association of COVID-19 inflammation with activation of the C5a-C5aR1 axis.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588</w:t>
      </w:r>
      <w:r w:rsidRPr="00B7221C">
        <w:rPr>
          <w:rFonts w:ascii="Book Antiqua" w:eastAsia="Book Antiqua" w:hAnsi="Book Antiqua" w:cs="Book Antiqua"/>
          <w:color w:val="000000"/>
        </w:rPr>
        <w:t>: 146-150 [PMID: 32726800 DOI: 10.1038/s41586-020-2600-6]</w:t>
      </w:r>
    </w:p>
    <w:p w14:paraId="6CA99A1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90 </w:t>
      </w:r>
      <w:r w:rsidRPr="00B7221C">
        <w:rPr>
          <w:rFonts w:ascii="Book Antiqua" w:eastAsia="Book Antiqua" w:hAnsi="Book Antiqua" w:cs="Book Antiqua"/>
          <w:b/>
          <w:bCs/>
          <w:color w:val="000000"/>
        </w:rPr>
        <w:t>Marshall M</w:t>
      </w:r>
      <w:r w:rsidRPr="00B7221C">
        <w:rPr>
          <w:rFonts w:ascii="Book Antiqua" w:eastAsia="Book Antiqua" w:hAnsi="Book Antiqua" w:cs="Book Antiqua"/>
          <w:color w:val="000000"/>
        </w:rPr>
        <w:t xml:space="preserve">. The lasting misery of coronavirus long-haulers.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585</w:t>
      </w:r>
      <w:r w:rsidRPr="00B7221C">
        <w:rPr>
          <w:rFonts w:ascii="Book Antiqua" w:eastAsia="Book Antiqua" w:hAnsi="Book Antiqua" w:cs="Book Antiqua"/>
          <w:color w:val="000000"/>
        </w:rPr>
        <w:t>: 339-341 [PMID: 32929257 DOI: 10.1038/d41586-020-02598-6]</w:t>
      </w:r>
    </w:p>
    <w:p w14:paraId="41889F4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91 </w:t>
      </w:r>
      <w:r w:rsidRPr="00B7221C">
        <w:rPr>
          <w:rFonts w:ascii="Book Antiqua" w:eastAsia="Book Antiqua" w:hAnsi="Book Antiqua" w:cs="Book Antiqua"/>
          <w:b/>
          <w:bCs/>
          <w:color w:val="000000"/>
        </w:rPr>
        <w:t>Zelaya H</w:t>
      </w:r>
      <w:r w:rsidRPr="00B7221C">
        <w:rPr>
          <w:rFonts w:ascii="Book Antiqua" w:eastAsia="Book Antiqua" w:hAnsi="Book Antiqua" w:cs="Book Antiqua"/>
          <w:color w:val="000000"/>
        </w:rPr>
        <w:t xml:space="preserve">, Alvarez S, Kitazawa H, Villena J. Respiratory Antiviral Immunity and Immunobiotics: Beneficial Effects on Inflammation-Coagulation Interaction during Influenza Virus Infection.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633 [PMID: 28066442 DOI: 10.3389/fimmu.2016.00633]</w:t>
      </w:r>
    </w:p>
    <w:p w14:paraId="315308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92 </w:t>
      </w:r>
      <w:r w:rsidRPr="00B7221C">
        <w:rPr>
          <w:rFonts w:ascii="Book Antiqua" w:eastAsia="Book Antiqua" w:hAnsi="Book Antiqua" w:cs="Book Antiqua"/>
          <w:b/>
          <w:bCs/>
          <w:color w:val="000000"/>
        </w:rPr>
        <w:t>Turner RB</w:t>
      </w:r>
      <w:r w:rsidRPr="00B7221C">
        <w:rPr>
          <w:rFonts w:ascii="Book Antiqua" w:eastAsia="Book Antiqua" w:hAnsi="Book Antiqua" w:cs="Book Antiqua"/>
          <w:color w:val="000000"/>
        </w:rPr>
        <w:t xml:space="preserve">, Woodfolk JA, Borish L, Steinke JW, Patrie JT, Muehling LM, Lahtinen S, Lehtinen MJ. Effect of probiotic on innate inflammatory response and viral shedding in experimental rhinovirus infection - a randomised controlled trial. </w:t>
      </w:r>
      <w:r w:rsidRPr="00B7221C">
        <w:rPr>
          <w:rFonts w:ascii="Book Antiqua" w:eastAsia="Book Antiqua" w:hAnsi="Book Antiqua" w:cs="Book Antiqua"/>
          <w:i/>
          <w:iCs/>
          <w:color w:val="000000"/>
        </w:rPr>
        <w:t>Benef Microbes</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207-215 [PMID: 28343401 DOI: 10.3920/BM2016.0160]</w:t>
      </w:r>
    </w:p>
    <w:p w14:paraId="5971B9C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93 </w:t>
      </w:r>
      <w:r w:rsidRPr="00B7221C">
        <w:rPr>
          <w:rFonts w:ascii="Book Antiqua" w:eastAsia="Book Antiqua" w:hAnsi="Book Antiqua" w:cs="Book Antiqua"/>
          <w:b/>
          <w:bCs/>
          <w:color w:val="000000"/>
        </w:rPr>
        <w:t>Archer DL</w:t>
      </w:r>
      <w:r w:rsidRPr="00B7221C">
        <w:rPr>
          <w:rFonts w:ascii="Book Antiqua" w:eastAsia="Book Antiqua" w:hAnsi="Book Antiqua" w:cs="Book Antiqua"/>
          <w:color w:val="000000"/>
        </w:rPr>
        <w:t xml:space="preserve">, Kramer DC. The Use of Microbial Accessible and Fermentable Carbohydrates and/or Butyrate as Supportive Treatment for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Coronavirus SARS-CoV-2 Infection. </w:t>
      </w:r>
      <w:r w:rsidRPr="00B7221C">
        <w:rPr>
          <w:rFonts w:ascii="Book Antiqua" w:eastAsia="Book Antiqua" w:hAnsi="Book Antiqua" w:cs="Book Antiqua"/>
          <w:i/>
          <w:iCs/>
          <w:color w:val="000000"/>
        </w:rPr>
        <w:t>Front Med (Lausanne)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292 [PMID: 32582742 DOI: 10.3389/fmed.2020.00292]</w:t>
      </w:r>
    </w:p>
    <w:p w14:paraId="7AF0D8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94 </w:t>
      </w:r>
      <w:r w:rsidRPr="00B7221C">
        <w:rPr>
          <w:rFonts w:ascii="Book Antiqua" w:eastAsia="Book Antiqua" w:hAnsi="Book Antiqua" w:cs="Book Antiqua"/>
          <w:b/>
          <w:bCs/>
          <w:color w:val="000000"/>
        </w:rPr>
        <w:t>Zuo T</w:t>
      </w:r>
      <w:r w:rsidRPr="00B7221C">
        <w:rPr>
          <w:rFonts w:ascii="Book Antiqua" w:eastAsia="Book Antiqua" w:hAnsi="Book Antiqua" w:cs="Book Antiqua"/>
          <w:color w:val="000000"/>
        </w:rPr>
        <w:t xml:space="preserve">, Zhan H, Zhang F, Liu Q, Tso EYK, Lui GCY, Chen N, Li A, Lu W, Chan FKL, Chan PKS, Ng SC. Alterations in Fecal Fungal Microbiome of Patients With COVID-19 </w:t>
      </w:r>
      <w:r w:rsidRPr="00B7221C">
        <w:rPr>
          <w:rFonts w:ascii="Book Antiqua" w:eastAsia="Book Antiqua" w:hAnsi="Book Antiqua" w:cs="Book Antiqua"/>
          <w:color w:val="000000"/>
        </w:rPr>
        <w:lastRenderedPageBreak/>
        <w:t xml:space="preserve">During Time of Hospitalization until Discharge.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1302-1310.e5 [PMID: 32598884 DOI: 10.1053/j.gastro.2020.06.048]</w:t>
      </w:r>
    </w:p>
    <w:p w14:paraId="04A676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95 </w:t>
      </w:r>
      <w:r w:rsidRPr="00B7221C">
        <w:rPr>
          <w:rFonts w:ascii="Book Antiqua" w:eastAsia="Book Antiqua" w:hAnsi="Book Antiqua" w:cs="Book Antiqua"/>
          <w:b/>
          <w:bCs/>
          <w:color w:val="000000"/>
        </w:rPr>
        <w:t>Yang X</w:t>
      </w:r>
      <w:r w:rsidRPr="00B7221C">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B7221C">
        <w:rPr>
          <w:rFonts w:ascii="Book Antiqua" w:eastAsia="Book Antiqua" w:hAnsi="Book Antiqua" w:cs="Book Antiqua"/>
          <w:i/>
          <w:iCs/>
          <w:color w:val="000000"/>
        </w:rPr>
        <w:t>Lancet Respir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475-481 [PMID: 32105632 DOI: 10.1016/S2213-2600(20)30079-5]</w:t>
      </w:r>
    </w:p>
    <w:p w14:paraId="01149B7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96 </w:t>
      </w:r>
      <w:r w:rsidRPr="00B7221C">
        <w:rPr>
          <w:rFonts w:ascii="Book Antiqua" w:eastAsia="Book Antiqua" w:hAnsi="Book Antiqua" w:cs="Book Antiqua"/>
          <w:b/>
          <w:bCs/>
          <w:color w:val="000000"/>
        </w:rPr>
        <w:t>Lescure FX</w:t>
      </w:r>
      <w:r w:rsidRPr="00B7221C">
        <w:rPr>
          <w:rFonts w:ascii="Book Antiqua" w:eastAsia="Book Antiqua" w:hAnsi="Book Antiqua" w:cs="Book Antiqua"/>
          <w:color w:val="000000"/>
        </w:rPr>
        <w:t xml:space="preserve">, Bouadma L, Nguyen D, Parisey M, Wicky PH, Behillil S, Gaymard A, Bouscambert-Duchamp M, Donati F, Le Hingrat Q, Enouf V, Houhou-Fidouh N, Valette M, Mailles A, Lucet JC, Mentre F, Duval X, Descamps D, Malvy D, Timsit JF, Lina B, van-der-Werf S, Yazdanpanah Y. Clinical and virological data of the first cases of COVID-19 in Europe: a case series. </w:t>
      </w:r>
      <w:r w:rsidRPr="00B7221C">
        <w:rPr>
          <w:rFonts w:ascii="Book Antiqua" w:eastAsia="Book Antiqua" w:hAnsi="Book Antiqua" w:cs="Book Antiqua"/>
          <w:i/>
          <w:iCs/>
          <w:color w:val="000000"/>
        </w:rPr>
        <w:t>Lancet Infect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697-706 [PMID: 32224310 DOI: 10.1016/S1473-3099(20)30200-0]</w:t>
      </w:r>
    </w:p>
    <w:p w14:paraId="0E9D3957" w14:textId="3F0D43E6"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97 </w:t>
      </w:r>
      <w:r w:rsidRPr="00B7221C">
        <w:rPr>
          <w:rFonts w:ascii="Book Antiqua" w:eastAsia="Book Antiqua" w:hAnsi="Book Antiqua" w:cs="Book Antiqua"/>
          <w:b/>
          <w:bCs/>
          <w:color w:val="000000"/>
        </w:rPr>
        <w:t>Baba R,</w:t>
      </w:r>
      <w:r w:rsidRPr="00B7221C">
        <w:rPr>
          <w:rFonts w:ascii="Book Antiqua" w:eastAsia="Book Antiqua" w:hAnsi="Book Antiqua" w:cs="Book Antiqua"/>
          <w:color w:val="000000"/>
        </w:rPr>
        <w:t xml:space="preserve"> Takaoka H, Kamo T, Arai D, Takahashi H, Masaki K, Shinoda Y, Hagiwara S, Fukunaga K, Nakachi I. Clinical interpretations and therapeutic significance of isolating aspergillus species from respiratory specimens. </w:t>
      </w:r>
      <w:r w:rsidR="002F795E" w:rsidRPr="00B7221C">
        <w:rPr>
          <w:rFonts w:ascii="Book Antiqua" w:eastAsia="Book Antiqua" w:hAnsi="Book Antiqua" w:cs="Book Antiqua"/>
          <w:i/>
          <w:iCs/>
          <w:color w:val="000000"/>
        </w:rPr>
        <w:t>Am J Respir Crit Care Med</w:t>
      </w:r>
      <w:r w:rsidR="002F795E" w:rsidRPr="00B7221C">
        <w:rPr>
          <w:rFonts w:ascii="Book Antiqua" w:eastAsia="Book Antiqua" w:hAnsi="Book Antiqua" w:cs="Book Antiqua"/>
          <w:color w:val="000000"/>
        </w:rPr>
        <w:t xml:space="preserve"> 2020; </w:t>
      </w:r>
      <w:r w:rsidR="002F795E" w:rsidRPr="00B7221C">
        <w:rPr>
          <w:rFonts w:ascii="Book Antiqua" w:eastAsia="Book Antiqua" w:hAnsi="Book Antiqua" w:cs="Book Antiqua"/>
          <w:b/>
          <w:bCs/>
          <w:color w:val="000000"/>
        </w:rPr>
        <w:t>201</w:t>
      </w:r>
      <w:r w:rsidR="002F795E" w:rsidRPr="00B7221C">
        <w:rPr>
          <w:rFonts w:ascii="Book Antiqua" w:eastAsia="Book Antiqua" w:hAnsi="Book Antiqua" w:cs="Book Antiqua"/>
          <w:color w:val="000000"/>
        </w:rPr>
        <w:t>: A2117</w:t>
      </w:r>
      <w:r w:rsidR="003621F5" w:rsidRPr="00B7221C">
        <w:rPr>
          <w:rFonts w:ascii="Book Antiqua" w:eastAsia="Book Antiqua" w:hAnsi="Book Antiqua" w:cs="Book Antiqua"/>
          <w:color w:val="000000"/>
        </w:rPr>
        <w:t xml:space="preserve"> [DOI: 10.1164/ajrccm-conference.2020.201.1_MeetingAbstracts.A2117]</w:t>
      </w:r>
    </w:p>
    <w:p w14:paraId="40AD83E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98 </w:t>
      </w:r>
      <w:r w:rsidRPr="00B7221C">
        <w:rPr>
          <w:rFonts w:ascii="Book Antiqua" w:eastAsia="Book Antiqua" w:hAnsi="Book Antiqua" w:cs="Book Antiqua"/>
          <w:b/>
          <w:bCs/>
          <w:color w:val="000000"/>
        </w:rPr>
        <w:t>Budden KF</w:t>
      </w:r>
      <w:r w:rsidRPr="00B7221C">
        <w:rPr>
          <w:rFonts w:ascii="Book Antiqua" w:eastAsia="Book Antiqua" w:hAnsi="Book Antiqua" w:cs="Book Antiqua"/>
          <w:color w:val="000000"/>
        </w:rPr>
        <w:t xml:space="preserve">, Gellatly SL, Wood DL, Cooper MA, Morrison M, Hugenholtz P, Hansbro PM. Emerging pathogenic links between microbiota and the gut-lung axis. </w:t>
      </w:r>
      <w:r w:rsidRPr="00B7221C">
        <w:rPr>
          <w:rFonts w:ascii="Book Antiqua" w:eastAsia="Book Antiqua" w:hAnsi="Book Antiqua" w:cs="Book Antiqua"/>
          <w:i/>
          <w:iCs/>
          <w:color w:val="000000"/>
        </w:rPr>
        <w:t>Nat Rev Microbiol</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55-63 [PMID: 27694885 DOI: 10.1038/nrmicro.2016.142]</w:t>
      </w:r>
    </w:p>
    <w:p w14:paraId="5BAA8E05" w14:textId="149A0776"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99 </w:t>
      </w:r>
      <w:r w:rsidRPr="00B7221C">
        <w:rPr>
          <w:rFonts w:ascii="Book Antiqua" w:eastAsia="Book Antiqua" w:hAnsi="Book Antiqua" w:cs="Book Antiqua"/>
          <w:b/>
          <w:bCs/>
          <w:color w:val="000000"/>
        </w:rPr>
        <w:t>Magnotti LJ</w:t>
      </w:r>
      <w:r w:rsidRPr="00B7221C">
        <w:rPr>
          <w:rFonts w:ascii="Book Antiqua" w:eastAsia="Book Antiqua" w:hAnsi="Book Antiqua" w:cs="Book Antiqua"/>
          <w:color w:val="000000"/>
        </w:rPr>
        <w:t xml:space="preserve">, Xu DZ, Lu Q, Deitch EA. Gut-derived mesenteric lymph: a link between burn and lung injury. </w:t>
      </w:r>
      <w:r w:rsidRPr="00B7221C">
        <w:rPr>
          <w:rFonts w:ascii="Book Antiqua" w:eastAsia="Book Antiqua" w:hAnsi="Book Antiqua" w:cs="Book Antiqua"/>
          <w:i/>
          <w:iCs/>
          <w:color w:val="000000"/>
        </w:rPr>
        <w:t>Arch Surg</w:t>
      </w:r>
      <w:r w:rsidRPr="00B7221C">
        <w:rPr>
          <w:rFonts w:ascii="Book Antiqua" w:eastAsia="Book Antiqua" w:hAnsi="Book Antiqua" w:cs="Book Antiqua"/>
          <w:color w:val="000000"/>
        </w:rPr>
        <w:t xml:space="preserve"> 1999; </w:t>
      </w:r>
      <w:r w:rsidRPr="00B7221C">
        <w:rPr>
          <w:rFonts w:ascii="Book Antiqua" w:eastAsia="Book Antiqua" w:hAnsi="Book Antiqua" w:cs="Book Antiqua"/>
          <w:b/>
          <w:bCs/>
          <w:color w:val="000000"/>
        </w:rPr>
        <w:t>134</w:t>
      </w:r>
      <w:r w:rsidRPr="00B7221C">
        <w:rPr>
          <w:rFonts w:ascii="Book Antiqua" w:eastAsia="Book Antiqua" w:hAnsi="Book Antiqua" w:cs="Book Antiqua"/>
          <w:color w:val="000000"/>
        </w:rPr>
        <w:t xml:space="preserve">: </w:t>
      </w:r>
      <w:r w:rsidR="002C1728" w:rsidRPr="00B7221C">
        <w:rPr>
          <w:rFonts w:ascii="Book Antiqua" w:eastAsia="Book Antiqua" w:hAnsi="Book Antiqua" w:cs="Book Antiqua"/>
          <w:color w:val="000000"/>
        </w:rPr>
        <w:t>1333–1341</w:t>
      </w:r>
      <w:r w:rsidRPr="00B7221C">
        <w:rPr>
          <w:rFonts w:ascii="Book Antiqua" w:eastAsia="Book Antiqua" w:hAnsi="Book Antiqua" w:cs="Book Antiqua"/>
          <w:color w:val="000000"/>
        </w:rPr>
        <w:t xml:space="preserve"> [PMID: 10593331</w:t>
      </w:r>
      <w:r w:rsidR="003621F5" w:rsidRPr="00B7221C">
        <w:rPr>
          <w:rFonts w:ascii="Book Antiqua" w:eastAsia="Book Antiqua" w:hAnsi="Book Antiqua" w:cs="Book Antiqua"/>
          <w:color w:val="000000"/>
        </w:rPr>
        <w:t xml:space="preserve"> DOI: 10.1001/archsurg.134.12.1333</w:t>
      </w:r>
      <w:r w:rsidRPr="00B7221C">
        <w:rPr>
          <w:rFonts w:ascii="Book Antiqua" w:eastAsia="Book Antiqua" w:hAnsi="Book Antiqua" w:cs="Book Antiqua"/>
          <w:color w:val="000000"/>
        </w:rPr>
        <w:t>]</w:t>
      </w:r>
      <w:r w:rsidR="002C1728" w:rsidRPr="00B7221C">
        <w:rPr>
          <w:rFonts w:ascii="Book Antiqua" w:hAnsi="Book Antiqua"/>
        </w:rPr>
        <w:t xml:space="preserve"> </w:t>
      </w:r>
    </w:p>
    <w:p w14:paraId="39174E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100 </w:t>
      </w:r>
      <w:r w:rsidRPr="00B7221C">
        <w:rPr>
          <w:rFonts w:ascii="Book Antiqua" w:eastAsia="Book Antiqua" w:hAnsi="Book Antiqua" w:cs="Book Antiqua"/>
          <w:b/>
          <w:bCs/>
          <w:color w:val="000000"/>
        </w:rPr>
        <w:t>Ahlawat S</w:t>
      </w:r>
      <w:r w:rsidRPr="00B7221C">
        <w:rPr>
          <w:rFonts w:ascii="Book Antiqua" w:eastAsia="Book Antiqua" w:hAnsi="Book Antiqua" w:cs="Book Antiqua"/>
          <w:color w:val="000000"/>
        </w:rPr>
        <w:t xml:space="preserve">, Asha, Sharma KK. Immunological co-ordination between gut and lungs in SARS-CoV-2 infection. </w:t>
      </w:r>
      <w:r w:rsidRPr="00B7221C">
        <w:rPr>
          <w:rFonts w:ascii="Book Antiqua" w:eastAsia="Book Antiqua" w:hAnsi="Book Antiqua" w:cs="Book Antiqua"/>
          <w:i/>
          <w:iCs/>
          <w:color w:val="000000"/>
        </w:rPr>
        <w:t>Virus Res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286</w:t>
      </w:r>
      <w:r w:rsidRPr="00B7221C">
        <w:rPr>
          <w:rFonts w:ascii="Book Antiqua" w:eastAsia="Book Antiqua" w:hAnsi="Book Antiqua" w:cs="Book Antiqua"/>
          <w:color w:val="000000"/>
        </w:rPr>
        <w:t>: 198103 [PMID: 32717345 DOI: 10.1016/j.virusres.2020.198103]</w:t>
      </w:r>
    </w:p>
    <w:p w14:paraId="4E297C8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101 </w:t>
      </w:r>
      <w:r w:rsidRPr="00B7221C">
        <w:rPr>
          <w:rFonts w:ascii="Book Antiqua" w:eastAsia="Book Antiqua" w:hAnsi="Book Antiqua" w:cs="Book Antiqua"/>
          <w:b/>
          <w:bCs/>
          <w:color w:val="000000"/>
        </w:rPr>
        <w:t>Ye Q</w:t>
      </w:r>
      <w:r w:rsidRPr="00B7221C">
        <w:rPr>
          <w:rFonts w:ascii="Book Antiqua" w:eastAsia="Book Antiqua" w:hAnsi="Book Antiqua" w:cs="Book Antiqua"/>
          <w:color w:val="000000"/>
        </w:rPr>
        <w:t xml:space="preserve">, Wang B, Zhang T, Xu J, Shang S. The mechanism and treatment of gastrointestinal symptoms in patients with COVID-19. </w:t>
      </w:r>
      <w:r w:rsidRPr="00B7221C">
        <w:rPr>
          <w:rFonts w:ascii="Book Antiqua" w:eastAsia="Book Antiqua" w:hAnsi="Book Antiqua" w:cs="Book Antiqua"/>
          <w:i/>
          <w:iCs/>
          <w:color w:val="000000"/>
        </w:rPr>
        <w:t>Am J Physiol Gastrointest Liver Physiol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319</w:t>
      </w:r>
      <w:r w:rsidRPr="00B7221C">
        <w:rPr>
          <w:rFonts w:ascii="Book Antiqua" w:eastAsia="Book Antiqua" w:hAnsi="Book Antiqua" w:cs="Book Antiqua"/>
          <w:color w:val="000000"/>
        </w:rPr>
        <w:t>: G245-G252 [PMID: 32639848 DOI: 10.1152/ajpgi.00148.2020]</w:t>
      </w:r>
    </w:p>
    <w:p w14:paraId="289C00D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102 </w:t>
      </w:r>
      <w:r w:rsidRPr="00B7221C">
        <w:rPr>
          <w:rFonts w:ascii="Book Antiqua" w:eastAsia="Book Antiqua" w:hAnsi="Book Antiqua" w:cs="Book Antiqua"/>
          <w:b/>
          <w:bCs/>
          <w:color w:val="000000"/>
        </w:rPr>
        <w:t>Wang J</w:t>
      </w:r>
      <w:r w:rsidRPr="00B7221C">
        <w:rPr>
          <w:rFonts w:ascii="Book Antiqua" w:eastAsia="Book Antiqua" w:hAnsi="Book Antiqua" w:cs="Book Antiqua"/>
          <w:color w:val="000000"/>
        </w:rPr>
        <w:t xml:space="preserve">, Li F, Wei H, Lian ZX, Sun R, Tian Z. Respiratory influenza virus infection induces intestinal immune injury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microbiota-mediated Th17 cell-dependent inflammation. </w:t>
      </w:r>
      <w:r w:rsidRPr="00B7221C">
        <w:rPr>
          <w:rFonts w:ascii="Book Antiqua" w:eastAsia="Book Antiqua" w:hAnsi="Book Antiqua" w:cs="Book Antiqua"/>
          <w:i/>
          <w:iCs/>
          <w:color w:val="000000"/>
        </w:rPr>
        <w:t>J Exp Med</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211</w:t>
      </w:r>
      <w:r w:rsidRPr="00B7221C">
        <w:rPr>
          <w:rFonts w:ascii="Book Antiqua" w:eastAsia="Book Antiqua" w:hAnsi="Book Antiqua" w:cs="Book Antiqua"/>
          <w:color w:val="000000"/>
        </w:rPr>
        <w:t>: 2397-2410 [PMID: 25366965 DOI: 10.1084/jem.20140625]</w:t>
      </w:r>
    </w:p>
    <w:p w14:paraId="03D92D3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103 </w:t>
      </w:r>
      <w:r w:rsidRPr="00B7221C">
        <w:rPr>
          <w:rFonts w:ascii="Book Antiqua" w:eastAsia="Book Antiqua" w:hAnsi="Book Antiqua" w:cs="Book Antiqua"/>
          <w:b/>
          <w:bCs/>
          <w:color w:val="000000"/>
        </w:rPr>
        <w:t>Gu J</w:t>
      </w:r>
      <w:r w:rsidRPr="00B7221C">
        <w:rPr>
          <w:rFonts w:ascii="Book Antiqua" w:eastAsia="Book Antiqua" w:hAnsi="Book Antiqua" w:cs="Book Antiqua"/>
          <w:color w:val="000000"/>
        </w:rPr>
        <w:t xml:space="preserve">, Han B, Wang J. COVID-19: Gastrointestinal Manifestations and Potential Fecal-Oral Transmission.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1518-1519 [PMID: 32142785 DOI: 10.1053/j.gastro.2020.02.054]</w:t>
      </w:r>
    </w:p>
    <w:p w14:paraId="3DA8938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104 </w:t>
      </w:r>
      <w:r w:rsidRPr="00B7221C">
        <w:rPr>
          <w:rFonts w:ascii="Book Antiqua" w:eastAsia="Book Antiqua" w:hAnsi="Book Antiqua" w:cs="Book Antiqua"/>
          <w:b/>
          <w:bCs/>
          <w:color w:val="000000"/>
        </w:rPr>
        <w:t>Nuzzo D</w:t>
      </w:r>
      <w:r w:rsidRPr="00B7221C">
        <w:rPr>
          <w:rFonts w:ascii="Book Antiqua" w:eastAsia="Book Antiqua" w:hAnsi="Book Antiqua" w:cs="Book Antiqua"/>
          <w:color w:val="000000"/>
        </w:rPr>
        <w:t xml:space="preserve">, Picone P. Potential neurological effects of severe COVID-19 infection. </w:t>
      </w:r>
      <w:r w:rsidRPr="00B7221C">
        <w:rPr>
          <w:rFonts w:ascii="Book Antiqua" w:eastAsia="Book Antiqua" w:hAnsi="Book Antiqua" w:cs="Book Antiqua"/>
          <w:i/>
          <w:iCs/>
          <w:color w:val="000000"/>
        </w:rPr>
        <w:t>Neurosci Res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1-5 [PMID: 32628969 DOI: 10.1016/j.neures.2020.06.009]</w:t>
      </w:r>
    </w:p>
    <w:p w14:paraId="072FDE1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105 </w:t>
      </w:r>
      <w:r w:rsidRPr="00B7221C">
        <w:rPr>
          <w:rFonts w:ascii="Book Antiqua" w:eastAsia="Book Antiqua" w:hAnsi="Book Antiqua" w:cs="Book Antiqua"/>
          <w:b/>
          <w:bCs/>
          <w:color w:val="000000"/>
        </w:rPr>
        <w:t>Huang Y</w:t>
      </w:r>
      <w:r w:rsidRPr="00B7221C">
        <w:rPr>
          <w:rFonts w:ascii="Book Antiqua" w:eastAsia="Book Antiqua" w:hAnsi="Book Antiqua" w:cs="Book Antiqua"/>
          <w:color w:val="000000"/>
        </w:rPr>
        <w:t xml:space="preserve">, Zhao C, Su X. Neuroimmune regulation of lung infection and inflammation. </w:t>
      </w:r>
      <w:r w:rsidRPr="00B7221C">
        <w:rPr>
          <w:rFonts w:ascii="Book Antiqua" w:eastAsia="Book Antiqua" w:hAnsi="Book Antiqua" w:cs="Book Antiqua"/>
          <w:i/>
          <w:iCs/>
          <w:color w:val="000000"/>
        </w:rPr>
        <w:t>QJM</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112</w:t>
      </w:r>
      <w:r w:rsidRPr="00B7221C">
        <w:rPr>
          <w:rFonts w:ascii="Book Antiqua" w:eastAsia="Book Antiqua" w:hAnsi="Book Antiqua" w:cs="Book Antiqua"/>
          <w:color w:val="000000"/>
        </w:rPr>
        <w:t>: 483-487 [PMID: 30016504 DOI: 10.1093/qjmed/hcy154]</w:t>
      </w:r>
    </w:p>
    <w:p w14:paraId="5267AF2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106 </w:t>
      </w:r>
      <w:r w:rsidRPr="00B7221C">
        <w:rPr>
          <w:rFonts w:ascii="Book Antiqua" w:eastAsia="Book Antiqua" w:hAnsi="Book Antiqua" w:cs="Book Antiqua"/>
          <w:b/>
          <w:bCs/>
          <w:color w:val="000000"/>
        </w:rPr>
        <w:t>Horkowitz AP</w:t>
      </w:r>
      <w:r w:rsidRPr="00B7221C">
        <w:rPr>
          <w:rFonts w:ascii="Book Antiqua" w:eastAsia="Book Antiqua" w:hAnsi="Book Antiqua" w:cs="Book Antiqua"/>
          <w:color w:val="000000"/>
        </w:rPr>
        <w:t xml:space="preserve">, Schwartz AV, Alvarez CA, Herrera EB, Thoman ML, Chatfield DA, Osborn KG, Feuer R, George UZ, Phillips JA. Acetylcholine Regulates Pulmonary Pathology During Viral Infection and Recovery. </w:t>
      </w:r>
      <w:r w:rsidRPr="00B7221C">
        <w:rPr>
          <w:rFonts w:ascii="Book Antiqua" w:eastAsia="Book Antiqua" w:hAnsi="Book Antiqua" w:cs="Book Antiqua"/>
          <w:i/>
          <w:iCs/>
          <w:color w:val="000000"/>
        </w:rPr>
        <w:t>Immunotargets Ther</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333-350 [PMID: 33365281 DOI: 10.2147/ITT.S279228]</w:t>
      </w:r>
    </w:p>
    <w:p w14:paraId="6EB68D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107 </w:t>
      </w:r>
      <w:r w:rsidRPr="00B7221C">
        <w:rPr>
          <w:rFonts w:ascii="Book Antiqua" w:eastAsia="Book Antiqua" w:hAnsi="Book Antiqua" w:cs="Book Antiqua"/>
          <w:b/>
          <w:bCs/>
          <w:color w:val="000000"/>
        </w:rPr>
        <w:t>Sitapara RA</w:t>
      </w:r>
      <w:r w:rsidRPr="00B7221C">
        <w:rPr>
          <w:rFonts w:ascii="Book Antiqua" w:eastAsia="Book Antiqua" w:hAnsi="Book Antiqua" w:cs="Book Antiqua"/>
          <w:color w:val="000000"/>
        </w:rPr>
        <w:t xml:space="preserve">, Antoine DJ, Sharma L, Patel VS, Ashby CR Jr, Gorasiya S, Yang H, Zur M, Mantell LL. The α7 nicotinic acetylcholine receptor agonist GTS-21 improves bacterial clearance in mice by restoring hyperoxia-compromised macrophage function. </w:t>
      </w:r>
      <w:r w:rsidRPr="00B7221C">
        <w:rPr>
          <w:rFonts w:ascii="Book Antiqua" w:eastAsia="Book Antiqua" w:hAnsi="Book Antiqua" w:cs="Book Antiqua"/>
          <w:i/>
          <w:iCs/>
          <w:color w:val="000000"/>
        </w:rPr>
        <w:t>Mol Med</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238-247 [PMID: 24664237 DOI: 10.2119/molmed.2013.00086]</w:t>
      </w:r>
    </w:p>
    <w:p w14:paraId="6C626BF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108 </w:t>
      </w:r>
      <w:r w:rsidRPr="00B7221C">
        <w:rPr>
          <w:rFonts w:ascii="Book Antiqua" w:eastAsia="Book Antiqua" w:hAnsi="Book Antiqua" w:cs="Book Antiqua"/>
          <w:b/>
          <w:bCs/>
          <w:color w:val="000000"/>
        </w:rPr>
        <w:t>Desforges M</w:t>
      </w:r>
      <w:r w:rsidRPr="00B7221C">
        <w:rPr>
          <w:rFonts w:ascii="Book Antiqua" w:eastAsia="Book Antiqua" w:hAnsi="Book Antiqua" w:cs="Book Antiqua"/>
          <w:color w:val="000000"/>
        </w:rPr>
        <w:t xml:space="preserve">, Le Coupanec A, Dubeau P, Bourgouin A, Lajoie L, Dubé M, Talbot PJ. Human Coronaviruses and Other Respiratory Viruses: Underestimated Opportunistic Pathogens of the Central Nervous System? </w:t>
      </w:r>
      <w:r w:rsidRPr="00B7221C">
        <w:rPr>
          <w:rFonts w:ascii="Book Antiqua" w:eastAsia="Book Antiqua" w:hAnsi="Book Antiqua" w:cs="Book Antiqua"/>
          <w:i/>
          <w:iCs/>
          <w:color w:val="000000"/>
        </w:rPr>
        <w:t>Viruses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xml:space="preserve"> [PMID: 31861926 DOI: 10.3390/v12010014]</w:t>
      </w:r>
    </w:p>
    <w:p w14:paraId="16D5A14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109 </w:t>
      </w:r>
      <w:r w:rsidRPr="00B7221C">
        <w:rPr>
          <w:rFonts w:ascii="Book Antiqua" w:eastAsia="Book Antiqua" w:hAnsi="Book Antiqua" w:cs="Book Antiqua"/>
          <w:b/>
          <w:bCs/>
          <w:color w:val="000000"/>
        </w:rPr>
        <w:t>Mao L</w:t>
      </w:r>
      <w:r w:rsidRPr="00B7221C">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sidRPr="00B7221C">
        <w:rPr>
          <w:rFonts w:ascii="Book Antiqua" w:eastAsia="Book Antiqua" w:hAnsi="Book Antiqua" w:cs="Book Antiqua"/>
          <w:i/>
          <w:iCs/>
          <w:color w:val="000000"/>
        </w:rPr>
        <w:t>JAMA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77</w:t>
      </w:r>
      <w:r w:rsidRPr="00B7221C">
        <w:rPr>
          <w:rFonts w:ascii="Book Antiqua" w:eastAsia="Book Antiqua" w:hAnsi="Book Antiqua" w:cs="Book Antiqua"/>
          <w:color w:val="000000"/>
        </w:rPr>
        <w:t>: 683-690 [PMID: 32275288 DOI: 10.1001/jamaneurol.2020.1127]</w:t>
      </w:r>
    </w:p>
    <w:p w14:paraId="1C97F41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110 </w:t>
      </w:r>
      <w:r w:rsidRPr="00B7221C">
        <w:rPr>
          <w:rFonts w:ascii="Book Antiqua" w:eastAsia="Book Antiqua" w:hAnsi="Book Antiqua" w:cs="Book Antiqua"/>
          <w:b/>
          <w:bCs/>
          <w:color w:val="000000"/>
        </w:rPr>
        <w:t>Chen T</w:t>
      </w:r>
      <w:r w:rsidRPr="00B7221C">
        <w:rPr>
          <w:rFonts w:ascii="Book Antiqua" w:eastAsia="Book Antiqua" w:hAnsi="Book Antiqua" w:cs="Book Antiqua"/>
          <w:color w:val="000000"/>
        </w:rPr>
        <w:t xml:space="preserve">, Long W, Zhang C, Liu S, Zhao L, Hamaker BR. Fiber-utilizing capacity varies in Prevotella-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Bacteroides-dominated gut microbiota. </w:t>
      </w:r>
      <w:r w:rsidRPr="00B7221C">
        <w:rPr>
          <w:rFonts w:ascii="Book Antiqua" w:eastAsia="Book Antiqua" w:hAnsi="Book Antiqua" w:cs="Book Antiqua"/>
          <w:i/>
          <w:iCs/>
          <w:color w:val="000000"/>
        </w:rPr>
        <w:t>Sci Rep</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2594 [PMID: 28572676 DOI: 10.1038/s41598-017-02995-4]</w:t>
      </w:r>
    </w:p>
    <w:p w14:paraId="0C7BAFA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111 </w:t>
      </w:r>
      <w:r w:rsidRPr="00B7221C">
        <w:rPr>
          <w:rFonts w:ascii="Book Antiqua" w:eastAsia="Book Antiqua" w:hAnsi="Book Antiqua" w:cs="Book Antiqua"/>
          <w:b/>
          <w:bCs/>
          <w:color w:val="000000"/>
        </w:rPr>
        <w:t>Uzzan M</w:t>
      </w:r>
      <w:r w:rsidRPr="00B7221C">
        <w:rPr>
          <w:rFonts w:ascii="Book Antiqua" w:eastAsia="Book Antiqua" w:hAnsi="Book Antiqua" w:cs="Book Antiqua"/>
          <w:color w:val="000000"/>
        </w:rPr>
        <w:t xml:space="preserve">, Corcos O, Martin JC, Treton X, Bouhnik Y. Why is SARS-CoV-2 infection more severe in obese men? The gut lymphatics - Lung axis hypothesis. </w:t>
      </w:r>
      <w:r w:rsidRPr="00B7221C">
        <w:rPr>
          <w:rFonts w:ascii="Book Antiqua" w:eastAsia="Book Antiqua" w:hAnsi="Book Antiqua" w:cs="Book Antiqua"/>
          <w:i/>
          <w:iCs/>
          <w:color w:val="000000"/>
        </w:rPr>
        <w:t>Med Hypotheses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144</w:t>
      </w:r>
      <w:r w:rsidRPr="00B7221C">
        <w:rPr>
          <w:rFonts w:ascii="Book Antiqua" w:eastAsia="Book Antiqua" w:hAnsi="Book Antiqua" w:cs="Book Antiqua"/>
          <w:color w:val="000000"/>
        </w:rPr>
        <w:t>: 110023 [PMID: 32593832 DOI: 10.1016/j.mehy.2020.110023]</w:t>
      </w:r>
    </w:p>
    <w:p w14:paraId="000F8F3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112 </w:t>
      </w:r>
      <w:r w:rsidRPr="00B7221C">
        <w:rPr>
          <w:rFonts w:ascii="Book Antiqua" w:eastAsia="Book Antiqua" w:hAnsi="Book Antiqua" w:cs="Book Antiqua"/>
          <w:b/>
          <w:bCs/>
          <w:color w:val="000000"/>
        </w:rPr>
        <w:t>Bingula R</w:t>
      </w:r>
      <w:r w:rsidRPr="00B7221C">
        <w:rPr>
          <w:rFonts w:ascii="Book Antiqua" w:eastAsia="Book Antiqua" w:hAnsi="Book Antiqua" w:cs="Book Antiqua"/>
          <w:color w:val="000000"/>
        </w:rPr>
        <w:t xml:space="preserve">, Filaire M, Radosevic-Robin N, Bey M, Berthon JY, Bernalier-Donadille A, Vasson MP, Filaire E. Desired Turbulence? Gut-Lung Axis, Immunity, and Lung Cancer. </w:t>
      </w:r>
      <w:r w:rsidRPr="00B7221C">
        <w:rPr>
          <w:rFonts w:ascii="Book Antiqua" w:eastAsia="Book Antiqua" w:hAnsi="Book Antiqua" w:cs="Book Antiqua"/>
          <w:i/>
          <w:iCs/>
          <w:color w:val="000000"/>
        </w:rPr>
        <w:t>J Oncol</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2017</w:t>
      </w:r>
      <w:r w:rsidRPr="00B7221C">
        <w:rPr>
          <w:rFonts w:ascii="Book Antiqua" w:eastAsia="Book Antiqua" w:hAnsi="Book Antiqua" w:cs="Book Antiqua"/>
          <w:color w:val="000000"/>
        </w:rPr>
        <w:t>: 5035371 [PMID: 29075294 DOI: 10.1155/2017/5035371]</w:t>
      </w:r>
    </w:p>
    <w:p w14:paraId="6FF4EA4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113 </w:t>
      </w:r>
      <w:r w:rsidRPr="00B7221C">
        <w:rPr>
          <w:rFonts w:ascii="Book Antiqua" w:eastAsia="Book Antiqua" w:hAnsi="Book Antiqua" w:cs="Book Antiqua"/>
          <w:b/>
          <w:bCs/>
          <w:color w:val="000000"/>
        </w:rPr>
        <w:t>Dang AT</w:t>
      </w:r>
      <w:r w:rsidRPr="00B7221C">
        <w:rPr>
          <w:rFonts w:ascii="Book Antiqua" w:eastAsia="Book Antiqua" w:hAnsi="Book Antiqua" w:cs="Book Antiqua"/>
          <w:color w:val="000000"/>
        </w:rPr>
        <w:t xml:space="preserve">, Marsland BJ. Microbes, metabolites, and the gut-lung axis. </w:t>
      </w:r>
      <w:r w:rsidRPr="00B7221C">
        <w:rPr>
          <w:rFonts w:ascii="Book Antiqua" w:eastAsia="Book Antiqua" w:hAnsi="Book Antiqua" w:cs="Book Antiqua"/>
          <w:i/>
          <w:iCs/>
          <w:color w:val="000000"/>
        </w:rPr>
        <w:t>Mucosal Immunol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843-850 [PMID: 30976087 DOI: 10.1038/s41385-019-0160-6]</w:t>
      </w:r>
    </w:p>
    <w:p w14:paraId="21CC3E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114 </w:t>
      </w:r>
      <w:r w:rsidRPr="00B7221C">
        <w:rPr>
          <w:rFonts w:ascii="Book Antiqua" w:eastAsia="Book Antiqua" w:hAnsi="Book Antiqua" w:cs="Book Antiqua"/>
          <w:b/>
          <w:bCs/>
          <w:color w:val="000000"/>
        </w:rPr>
        <w:t>Smith PM</w:t>
      </w:r>
      <w:r w:rsidRPr="00B7221C">
        <w:rPr>
          <w:rFonts w:ascii="Book Antiqua" w:eastAsia="Book Antiqua" w:hAnsi="Book Antiqua" w:cs="Book Antiqua"/>
          <w:color w:val="000000"/>
        </w:rPr>
        <w:t xml:space="preserve">, Howitt MR, Panikov N, Michaud M, Gallini CA, Bohlooly-Y M, Glickman JN, Garrett WS. The microbial metabolites, short-chain fatty acids, regulate colonic Treg cell homeostasis. </w:t>
      </w:r>
      <w:r w:rsidRPr="00B7221C">
        <w:rPr>
          <w:rFonts w:ascii="Book Antiqua" w:eastAsia="Book Antiqua" w:hAnsi="Book Antiqua" w:cs="Book Antiqua"/>
          <w:i/>
          <w:iCs/>
          <w:color w:val="000000"/>
        </w:rPr>
        <w:t>Science</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341</w:t>
      </w:r>
      <w:r w:rsidRPr="00B7221C">
        <w:rPr>
          <w:rFonts w:ascii="Book Antiqua" w:eastAsia="Book Antiqua" w:hAnsi="Book Antiqua" w:cs="Book Antiqua"/>
          <w:color w:val="000000"/>
        </w:rPr>
        <w:t>: 569-573 [PMID: 23828891 DOI: 10.1126/science.1241165]</w:t>
      </w:r>
    </w:p>
    <w:p w14:paraId="33733A8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115 </w:t>
      </w:r>
      <w:r w:rsidRPr="00B7221C">
        <w:rPr>
          <w:rFonts w:ascii="Book Antiqua" w:eastAsia="Book Antiqua" w:hAnsi="Book Antiqua" w:cs="Book Antiqua"/>
          <w:b/>
          <w:bCs/>
          <w:color w:val="000000"/>
        </w:rPr>
        <w:t>Husain A</w:t>
      </w:r>
      <w:r w:rsidRPr="00B7221C">
        <w:rPr>
          <w:rFonts w:ascii="Book Antiqua" w:eastAsia="Book Antiqua" w:hAnsi="Book Antiqua" w:cs="Book Antiqua"/>
          <w:color w:val="000000"/>
        </w:rPr>
        <w:t xml:space="preserve">, Byrareddy SN. Rapamycin as a potential repurpose drug candidate for the treatment of COVID-19. </w:t>
      </w:r>
      <w:r w:rsidRPr="00B7221C">
        <w:rPr>
          <w:rFonts w:ascii="Book Antiqua" w:eastAsia="Book Antiqua" w:hAnsi="Book Antiqua" w:cs="Book Antiqua"/>
          <w:i/>
          <w:iCs/>
          <w:color w:val="000000"/>
        </w:rPr>
        <w:t>Chem Biol Interact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331</w:t>
      </w:r>
      <w:r w:rsidRPr="00B7221C">
        <w:rPr>
          <w:rFonts w:ascii="Book Antiqua" w:eastAsia="Book Antiqua" w:hAnsi="Book Antiqua" w:cs="Book Antiqua"/>
          <w:color w:val="000000"/>
        </w:rPr>
        <w:t>: 109282 [PMID: 33031791 DOI: 10.1016/j.cbi.2020.109282]</w:t>
      </w:r>
    </w:p>
    <w:p w14:paraId="66990D2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116 </w:t>
      </w:r>
      <w:r w:rsidRPr="00B7221C">
        <w:rPr>
          <w:rFonts w:ascii="Book Antiqua" w:eastAsia="Book Antiqua" w:hAnsi="Book Antiqua" w:cs="Book Antiqua"/>
          <w:b/>
          <w:bCs/>
          <w:color w:val="000000"/>
        </w:rPr>
        <w:t>Gao H</w:t>
      </w:r>
      <w:r w:rsidRPr="00B7221C">
        <w:rPr>
          <w:rFonts w:ascii="Book Antiqua" w:eastAsia="Book Antiqua" w:hAnsi="Book Antiqua" w:cs="Book Antiqua"/>
          <w:color w:val="000000"/>
        </w:rPr>
        <w:t xml:space="preserve">, Sun Y, Wu Y, Luan B, Wang Y, Qu B, Pei G. Identification of beta-arrestin2 as a G protein-coupled receptor-stimulated regulator of NF-kappaB pathways. </w:t>
      </w:r>
      <w:r w:rsidRPr="00B7221C">
        <w:rPr>
          <w:rFonts w:ascii="Book Antiqua" w:eastAsia="Book Antiqua" w:hAnsi="Book Antiqua" w:cs="Book Antiqua"/>
          <w:i/>
          <w:iCs/>
          <w:color w:val="000000"/>
        </w:rPr>
        <w:t>Mol Cell</w:t>
      </w:r>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14</w:t>
      </w:r>
      <w:r w:rsidRPr="00B7221C">
        <w:rPr>
          <w:rFonts w:ascii="Book Antiqua" w:eastAsia="Book Antiqua" w:hAnsi="Book Antiqua" w:cs="Book Antiqua"/>
          <w:color w:val="000000"/>
        </w:rPr>
        <w:t>: 303-317 [PMID: 15125834 DOI: 10.1016/s1097-2765(04)00216-3]</w:t>
      </w:r>
    </w:p>
    <w:p w14:paraId="189B8A2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117 </w:t>
      </w:r>
      <w:r w:rsidRPr="00B7221C">
        <w:rPr>
          <w:rFonts w:ascii="Book Antiqua" w:eastAsia="Book Antiqua" w:hAnsi="Book Antiqua" w:cs="Book Antiqua"/>
          <w:b/>
          <w:bCs/>
          <w:color w:val="000000"/>
        </w:rPr>
        <w:t>Zuo T</w:t>
      </w:r>
      <w:r w:rsidRPr="00B7221C">
        <w:rPr>
          <w:rFonts w:ascii="Book Antiqua" w:eastAsia="Book Antiqua" w:hAnsi="Book Antiqua" w:cs="Book Antiqua"/>
          <w:color w:val="000000"/>
        </w:rPr>
        <w:t xml:space="preserve">, Liu Q, Zhang F, Lui GC, Tso EY, Yeoh YK, Chen Z, Boon SS, Chan FK, Chan PK, Ng SC. Depicting SARS-CoV-2 faecal viral activity in association with gut microbiota composition in patients with COVID-19.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276-284 [PMID: 32690600 DOI: 10.1136/gutjnl-2020-322294]</w:t>
      </w:r>
    </w:p>
    <w:p w14:paraId="220F0DD3" w14:textId="4977B81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118 </w:t>
      </w:r>
      <w:r w:rsidRPr="00B7221C">
        <w:rPr>
          <w:rFonts w:ascii="Book Antiqua" w:eastAsia="Book Antiqua" w:hAnsi="Book Antiqua" w:cs="Book Antiqua"/>
          <w:b/>
          <w:bCs/>
          <w:color w:val="000000"/>
        </w:rPr>
        <w:t>Ichinohe T</w:t>
      </w:r>
      <w:r w:rsidRPr="00B7221C">
        <w:rPr>
          <w:rFonts w:ascii="Book Antiqua" w:eastAsia="Book Antiqua" w:hAnsi="Book Antiqua" w:cs="Book Antiqua"/>
          <w:color w:val="000000"/>
        </w:rPr>
        <w:t xml:space="preserve">, Pang IK, Kumamoto Y, Peaper DR, Ho JH, Murray TS, Iwasaki A. Microbiota regulates immune defense against respiratory tract influenza A virus infection. </w:t>
      </w:r>
      <w:r w:rsidRPr="00B7221C">
        <w:rPr>
          <w:rFonts w:ascii="Book Antiqua" w:eastAsia="Book Antiqua" w:hAnsi="Book Antiqua" w:cs="Book Antiqua"/>
          <w:i/>
          <w:iCs/>
          <w:color w:val="000000"/>
        </w:rPr>
        <w:t>Proc Natl Acad Sci USA</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108</w:t>
      </w:r>
      <w:r w:rsidRPr="00B7221C">
        <w:rPr>
          <w:rFonts w:ascii="Book Antiqua" w:eastAsia="Book Antiqua" w:hAnsi="Book Antiqua" w:cs="Book Antiqua"/>
          <w:color w:val="000000"/>
        </w:rPr>
        <w:t>: 5354-5359 [PMID: 21402903 DOI: 10.1073/pnas.1019378108]</w:t>
      </w:r>
    </w:p>
    <w:p w14:paraId="369218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119 </w:t>
      </w:r>
      <w:r w:rsidRPr="00B7221C">
        <w:rPr>
          <w:rFonts w:ascii="Book Antiqua" w:eastAsia="Book Antiqua" w:hAnsi="Book Antiqua" w:cs="Book Antiqua"/>
          <w:b/>
          <w:bCs/>
          <w:color w:val="000000"/>
        </w:rPr>
        <w:t>Groves HT</w:t>
      </w:r>
      <w:r w:rsidRPr="00B7221C">
        <w:rPr>
          <w:rFonts w:ascii="Book Antiqua" w:eastAsia="Book Antiqua" w:hAnsi="Book Antiqua" w:cs="Book Antiqua"/>
          <w:color w:val="000000"/>
        </w:rPr>
        <w:t xml:space="preserve">, Higham SL, Moffatt MF, Cox MJ, Tregoning JS. Respiratory Viral Infection Alters the Gut Microbiota by Inducing Inappetence. </w:t>
      </w:r>
      <w:r w:rsidRPr="00B7221C">
        <w:rPr>
          <w:rFonts w:ascii="Book Antiqua" w:eastAsia="Book Antiqua" w:hAnsi="Book Antiqua" w:cs="Book Antiqua"/>
          <w:i/>
          <w:iCs/>
          <w:color w:val="000000"/>
        </w:rPr>
        <w:t>mBio</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32071269 DOI: 10.1128/mBio.03236-19]</w:t>
      </w:r>
    </w:p>
    <w:p w14:paraId="1DC16BA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120 </w:t>
      </w:r>
      <w:r w:rsidRPr="00B7221C">
        <w:rPr>
          <w:rFonts w:ascii="Book Antiqua" w:eastAsia="Book Antiqua" w:hAnsi="Book Antiqua" w:cs="Book Antiqua"/>
          <w:b/>
          <w:bCs/>
          <w:color w:val="000000"/>
        </w:rPr>
        <w:t>Antunes KH</w:t>
      </w:r>
      <w:r w:rsidRPr="00B7221C">
        <w:rPr>
          <w:rFonts w:ascii="Book Antiqua" w:eastAsia="Book Antiqua" w:hAnsi="Book Antiqua" w:cs="Book Antiqua"/>
          <w:color w:val="000000"/>
        </w:rPr>
        <w:t xml:space="preserve">, Fachi JL, de Paula R, da Silva EF, Pral LP, Dos Santos AÁ, Dias GBM, Vargas JE, Puga R, Mayer FQ, Maito F, Zárate-Bladés CR, Ajami NJ, Sant'Ana MR, Candreva T, Rodrigues HG, Schmiele M, Silva Clerici MTP, Proença-Modena JL, Vieira AT, Mackay CR, Mansur D, Caballero MT, Marzec J, Li J, Wang X, Bell D, Polack FP, Kleeberger SR, Stein RT, Vinolo MAR, de Souza APD. Microbiota-derived acetate protects against respiratory syncytial virus infection through a GPR43-type 1 interferon response. </w:t>
      </w:r>
      <w:r w:rsidRPr="00B7221C">
        <w:rPr>
          <w:rFonts w:ascii="Book Antiqua" w:eastAsia="Book Antiqua" w:hAnsi="Book Antiqua" w:cs="Book Antiqua"/>
          <w:i/>
          <w:iCs/>
          <w:color w:val="000000"/>
        </w:rPr>
        <w:t>Nat Commun</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3273 [PMID: 31332169 DOI: 10.1038/s41467-019-11152-6]</w:t>
      </w:r>
    </w:p>
    <w:p w14:paraId="204B47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121 </w:t>
      </w:r>
      <w:r w:rsidRPr="00B7221C">
        <w:rPr>
          <w:rFonts w:ascii="Book Antiqua" w:eastAsia="Book Antiqua" w:hAnsi="Book Antiqua" w:cs="Book Antiqua"/>
          <w:b/>
          <w:bCs/>
          <w:color w:val="000000"/>
        </w:rPr>
        <w:t>Clarke TB</w:t>
      </w:r>
      <w:r w:rsidRPr="00B7221C">
        <w:rPr>
          <w:rFonts w:ascii="Book Antiqua" w:eastAsia="Book Antiqua" w:hAnsi="Book Antiqua" w:cs="Book Antiqua"/>
          <w:color w:val="000000"/>
        </w:rPr>
        <w:t xml:space="preserve">. Early innate immunity to bacterial infection in the lung is regulated systemically by the commensal microbiota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nod-like receptor ligands. </w:t>
      </w:r>
      <w:r w:rsidRPr="00B7221C">
        <w:rPr>
          <w:rFonts w:ascii="Book Antiqua" w:eastAsia="Book Antiqua" w:hAnsi="Book Antiqua" w:cs="Book Antiqua"/>
          <w:i/>
          <w:iCs/>
          <w:color w:val="000000"/>
        </w:rPr>
        <w:t>Infect Immun</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82</w:t>
      </w:r>
      <w:r w:rsidRPr="00B7221C">
        <w:rPr>
          <w:rFonts w:ascii="Book Antiqua" w:eastAsia="Book Antiqua" w:hAnsi="Book Antiqua" w:cs="Book Antiqua"/>
          <w:color w:val="000000"/>
        </w:rPr>
        <w:t>: 4596-4606 [PMID: 25135683 DOI: 10.1128/IAI.02212-14]</w:t>
      </w:r>
    </w:p>
    <w:p w14:paraId="02FBFF5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122 </w:t>
      </w:r>
      <w:r w:rsidRPr="00B7221C">
        <w:rPr>
          <w:rFonts w:ascii="Book Antiqua" w:eastAsia="Book Antiqua" w:hAnsi="Book Antiqua" w:cs="Book Antiqua"/>
          <w:b/>
          <w:bCs/>
          <w:color w:val="000000"/>
        </w:rPr>
        <w:t>Liu L</w:t>
      </w:r>
      <w:r w:rsidRPr="00B7221C">
        <w:rPr>
          <w:rFonts w:ascii="Book Antiqua" w:eastAsia="Book Antiqua" w:hAnsi="Book Antiqua" w:cs="Book Antiqua"/>
          <w:color w:val="000000"/>
        </w:rPr>
        <w:t xml:space="preserve">, Zhu G. Gut-Brain Axis and Mood Disorder. </w:t>
      </w:r>
      <w:r w:rsidRPr="00B7221C">
        <w:rPr>
          <w:rFonts w:ascii="Book Antiqua" w:eastAsia="Book Antiqua" w:hAnsi="Book Antiqua" w:cs="Book Antiqua"/>
          <w:i/>
          <w:iCs/>
          <w:color w:val="000000"/>
        </w:rPr>
        <w:t>Front Psychiatry</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223 [PMID: 29896129 DOI: 10.3389/fpsyt.2018.00223]</w:t>
      </w:r>
    </w:p>
    <w:p w14:paraId="187F6B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123 </w:t>
      </w:r>
      <w:r w:rsidRPr="00B7221C">
        <w:rPr>
          <w:rFonts w:ascii="Book Antiqua" w:eastAsia="Book Antiqua" w:hAnsi="Book Antiqua" w:cs="Book Antiqua"/>
          <w:b/>
          <w:bCs/>
          <w:color w:val="000000"/>
        </w:rPr>
        <w:t>Bioque M</w:t>
      </w:r>
      <w:r w:rsidRPr="00B7221C">
        <w:rPr>
          <w:rFonts w:ascii="Book Antiqua" w:eastAsia="Book Antiqua" w:hAnsi="Book Antiqua" w:cs="Book Antiqua"/>
          <w:color w:val="000000"/>
        </w:rPr>
        <w:t xml:space="preserve">, González-Rodríguez A, Garcia-Rizo C, Cobo J, Monreal JA, Usall J, Soria V; PNECAT Group, Labad J. Targeting the microbiome-gut-brain axis for improving cognition in schizophrenia and major mood disorders: A narrative review. </w:t>
      </w:r>
      <w:r w:rsidRPr="00B7221C">
        <w:rPr>
          <w:rFonts w:ascii="Book Antiqua" w:eastAsia="Book Antiqua" w:hAnsi="Book Antiqua" w:cs="Book Antiqua"/>
          <w:i/>
          <w:iCs/>
          <w:color w:val="000000"/>
        </w:rPr>
        <w:t>Prog Neuropsychopharmacol Biol Psychiatry</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105</w:t>
      </w:r>
      <w:r w:rsidRPr="00B7221C">
        <w:rPr>
          <w:rFonts w:ascii="Book Antiqua" w:eastAsia="Book Antiqua" w:hAnsi="Book Antiqua" w:cs="Book Antiqua"/>
          <w:color w:val="000000"/>
        </w:rPr>
        <w:t>: 110130 [PMID: 33045322 DOI: 10.1016/j.pnpbp.2020.110130]</w:t>
      </w:r>
    </w:p>
    <w:p w14:paraId="6B4503E7" w14:textId="22B903F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124 </w:t>
      </w:r>
      <w:r w:rsidRPr="00B7221C">
        <w:rPr>
          <w:rFonts w:ascii="Book Antiqua" w:eastAsia="Book Antiqua" w:hAnsi="Book Antiqua" w:cs="Book Antiqua"/>
          <w:b/>
          <w:bCs/>
          <w:color w:val="000000"/>
        </w:rPr>
        <w:t>Sanmarco LM</w:t>
      </w:r>
      <w:r w:rsidRPr="00C22C0A">
        <w:rPr>
          <w:rFonts w:ascii="Book Antiqua" w:eastAsia="Book Antiqua" w:hAnsi="Book Antiqua" w:cs="Book Antiqua"/>
          <w:bCs/>
          <w:color w:val="000000"/>
        </w:rPr>
        <w:t>,</w:t>
      </w:r>
      <w:r w:rsidRPr="00C22C0A">
        <w:rPr>
          <w:rFonts w:ascii="Book Antiqua" w:eastAsia="Book Antiqua" w:hAnsi="Book Antiqua" w:cs="Book Antiqua"/>
          <w:color w:val="000000"/>
        </w:rPr>
        <w:t xml:space="preserve"> </w:t>
      </w:r>
      <w:r w:rsidRPr="00B7221C">
        <w:rPr>
          <w:rFonts w:ascii="Book Antiqua" w:eastAsia="Book Antiqua" w:hAnsi="Book Antiqua" w:cs="Book Antiqua"/>
          <w:color w:val="000000"/>
        </w:rPr>
        <w:t>Wheeler MA, Gutiérrez-Vázquez C, Polonio CM, Linnerbauer M, Pinho-Ribeiro FA, Li Z, Giovannoni F, Batterman KV, Scalisi G, Zandee SEJ, Heck ES, Alsuwailm M, Rosene DL, Becher B, Chiu IM, Prat A, Quintana FJ. Gut-licensed IFNγ+ NK cells drive LAMP1</w:t>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TRAIL</w:t>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anti-inflammatory astrocytes.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2021</w:t>
      </w:r>
      <w:r w:rsidR="00195CDA" w:rsidRPr="00B7221C">
        <w:rPr>
          <w:rFonts w:ascii="Book Antiqua" w:eastAsia="Book Antiqua" w:hAnsi="Book Antiqua" w:cs="Book Antiqua"/>
          <w:color w:val="000000"/>
        </w:rPr>
        <w:t xml:space="preserve">; </w:t>
      </w:r>
      <w:r w:rsidR="00195CDA" w:rsidRPr="00B7221C">
        <w:rPr>
          <w:rFonts w:ascii="Book Antiqua" w:eastAsia="Book Antiqua" w:hAnsi="Book Antiqua" w:cs="Book Antiqua"/>
          <w:b/>
          <w:bCs/>
          <w:color w:val="000000"/>
        </w:rPr>
        <w:t>590</w:t>
      </w:r>
      <w:r w:rsidR="00195CDA" w:rsidRPr="00B7221C">
        <w:rPr>
          <w:rFonts w:ascii="Book Antiqua" w:eastAsia="Book Antiqua" w:hAnsi="Book Antiqua" w:cs="Book Antiqua"/>
          <w:color w:val="000000"/>
        </w:rPr>
        <w:t>: 473–479</w:t>
      </w:r>
      <w:r w:rsidRPr="00B7221C">
        <w:rPr>
          <w:rFonts w:ascii="Book Antiqua" w:eastAsia="Book Antiqua" w:hAnsi="Book Antiqua" w:cs="Book Antiqua"/>
          <w:color w:val="000000"/>
        </w:rPr>
        <w:t xml:space="preserve"> [DOI: 10.1038/s41586-020-03116-4]</w:t>
      </w:r>
    </w:p>
    <w:p w14:paraId="51B3A0F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125 </w:t>
      </w:r>
      <w:r w:rsidRPr="00B7221C">
        <w:rPr>
          <w:rFonts w:ascii="Book Antiqua" w:eastAsia="Book Antiqua" w:hAnsi="Book Antiqua" w:cs="Book Antiqua"/>
          <w:b/>
          <w:bCs/>
          <w:color w:val="000000"/>
        </w:rPr>
        <w:t>Sudo N</w:t>
      </w:r>
      <w:r w:rsidRPr="00B7221C">
        <w:rPr>
          <w:rFonts w:ascii="Book Antiqua" w:eastAsia="Book Antiqua" w:hAnsi="Book Antiqua" w:cs="Book Antiqua"/>
          <w:color w:val="000000"/>
        </w:rPr>
        <w:t xml:space="preserve">, Chida Y, Aiba Y, Sonoda J, Oyama N, Yu XN, Kubo C, Koga Y. Postnatal microbial colonization programs the hypothalamic-pituitary-adrenal system for stress response in mice. </w:t>
      </w:r>
      <w:r w:rsidRPr="00B7221C">
        <w:rPr>
          <w:rFonts w:ascii="Book Antiqua" w:eastAsia="Book Antiqua" w:hAnsi="Book Antiqua" w:cs="Book Antiqua"/>
          <w:i/>
          <w:iCs/>
          <w:color w:val="000000"/>
        </w:rPr>
        <w:t>J Physiol</w:t>
      </w:r>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558</w:t>
      </w:r>
      <w:r w:rsidRPr="00B7221C">
        <w:rPr>
          <w:rFonts w:ascii="Book Antiqua" w:eastAsia="Book Antiqua" w:hAnsi="Book Antiqua" w:cs="Book Antiqua"/>
          <w:color w:val="000000"/>
        </w:rPr>
        <w:t>: 263-275 [PMID: 15133062 DOI: 10.1113/jphysiol.2004.063388]</w:t>
      </w:r>
    </w:p>
    <w:p w14:paraId="7332FAD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126 </w:t>
      </w:r>
      <w:r w:rsidRPr="00B7221C">
        <w:rPr>
          <w:rFonts w:ascii="Book Antiqua" w:eastAsia="Book Antiqua" w:hAnsi="Book Antiqua" w:cs="Book Antiqua"/>
          <w:b/>
          <w:bCs/>
          <w:color w:val="000000"/>
        </w:rPr>
        <w:t>Spencer NJ</w:t>
      </w:r>
      <w:r w:rsidRPr="00B7221C">
        <w:rPr>
          <w:rFonts w:ascii="Book Antiqua" w:eastAsia="Book Antiqua" w:hAnsi="Book Antiqua" w:cs="Book Antiqua"/>
          <w:color w:val="000000"/>
        </w:rPr>
        <w:t xml:space="preserve">, Hu H. Enteric nervous system: sensory transduction, neural circuits and gastrointestinal motility.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17</w:t>
      </w:r>
      <w:r w:rsidRPr="00B7221C">
        <w:rPr>
          <w:rFonts w:ascii="Book Antiqua" w:eastAsia="Book Antiqua" w:hAnsi="Book Antiqua" w:cs="Book Antiqua"/>
          <w:color w:val="000000"/>
        </w:rPr>
        <w:t>: 338-351 [PMID: 32152479 DOI: 10.1038/s41575-020-0271-2]</w:t>
      </w:r>
    </w:p>
    <w:p w14:paraId="05CF205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127 </w:t>
      </w:r>
      <w:r w:rsidRPr="00B7221C">
        <w:rPr>
          <w:rFonts w:ascii="Book Antiqua" w:eastAsia="Book Antiqua" w:hAnsi="Book Antiqua" w:cs="Book Antiqua"/>
          <w:b/>
          <w:bCs/>
          <w:color w:val="000000"/>
        </w:rPr>
        <w:t>Sharkey KA</w:t>
      </w:r>
      <w:r w:rsidRPr="00B7221C">
        <w:rPr>
          <w:rFonts w:ascii="Book Antiqua" w:eastAsia="Book Antiqua" w:hAnsi="Book Antiqua" w:cs="Book Antiqua"/>
          <w:color w:val="000000"/>
        </w:rPr>
        <w:t xml:space="preserve">, Beck PL, McKay DM. Neuroimmunophysiology of the gut: advances and emerging concepts focusing on the epithelium.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765-784 [PMID: 30069036 DOI: 10.1038/s41575-018-0051-4]</w:t>
      </w:r>
    </w:p>
    <w:p w14:paraId="76198A9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128 </w:t>
      </w:r>
      <w:r w:rsidRPr="00B7221C">
        <w:rPr>
          <w:rFonts w:ascii="Book Antiqua" w:eastAsia="Book Antiqua" w:hAnsi="Book Antiqua" w:cs="Book Antiqua"/>
          <w:b/>
          <w:bCs/>
          <w:color w:val="000000"/>
        </w:rPr>
        <w:t>Silva YP</w:t>
      </w:r>
      <w:r w:rsidRPr="00B7221C">
        <w:rPr>
          <w:rFonts w:ascii="Book Antiqua" w:eastAsia="Book Antiqua" w:hAnsi="Book Antiqua" w:cs="Book Antiqua"/>
          <w:color w:val="000000"/>
        </w:rPr>
        <w:t xml:space="preserve">, Bernardi A, Frozza RL. The Role of Short-Chain Fatty Acids </w:t>
      </w:r>
      <w:proofErr w:type="gramStart"/>
      <w:r w:rsidRPr="00B7221C">
        <w:rPr>
          <w:rFonts w:ascii="Book Antiqua" w:eastAsia="Book Antiqua" w:hAnsi="Book Antiqua" w:cs="Book Antiqua"/>
          <w:color w:val="000000"/>
        </w:rPr>
        <w:t>From</w:t>
      </w:r>
      <w:proofErr w:type="gramEnd"/>
      <w:r w:rsidRPr="00B7221C">
        <w:rPr>
          <w:rFonts w:ascii="Book Antiqua" w:eastAsia="Book Antiqua" w:hAnsi="Book Antiqua" w:cs="Book Antiqua"/>
          <w:color w:val="000000"/>
        </w:rPr>
        <w:t xml:space="preserve"> Gut Microbiota in Gut-Brain Communication. </w:t>
      </w:r>
      <w:r w:rsidRPr="00B7221C">
        <w:rPr>
          <w:rFonts w:ascii="Book Antiqua" w:eastAsia="Book Antiqua" w:hAnsi="Book Antiqua" w:cs="Book Antiqua"/>
          <w:i/>
          <w:iCs/>
          <w:color w:val="000000"/>
        </w:rPr>
        <w:t>Front Endocrinol (Lausanne)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25 [PMID: 32082260 DOI: 10.3389/fendo.2020.00025]</w:t>
      </w:r>
    </w:p>
    <w:p w14:paraId="4CE6B7E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129 </w:t>
      </w:r>
      <w:r w:rsidRPr="00B7221C">
        <w:rPr>
          <w:rFonts w:ascii="Book Antiqua" w:eastAsia="Book Antiqua" w:hAnsi="Book Antiqua" w:cs="Book Antiqua"/>
          <w:b/>
          <w:bCs/>
          <w:color w:val="000000"/>
        </w:rPr>
        <w:t>Mayer EA</w:t>
      </w:r>
      <w:r w:rsidRPr="00B7221C">
        <w:rPr>
          <w:rFonts w:ascii="Book Antiqua" w:eastAsia="Book Antiqua" w:hAnsi="Book Antiqua" w:cs="Book Antiqua"/>
          <w:color w:val="000000"/>
        </w:rPr>
        <w:t xml:space="preserve">, Savidge T, Shulman RJ. Brain-gut microbiome interactions and functional bowel disorders.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146</w:t>
      </w:r>
      <w:r w:rsidRPr="00B7221C">
        <w:rPr>
          <w:rFonts w:ascii="Book Antiqua" w:eastAsia="Book Antiqua" w:hAnsi="Book Antiqua" w:cs="Book Antiqua"/>
          <w:color w:val="000000"/>
        </w:rPr>
        <w:t>: 1500-1512 [PMID: 24583088 DOI: 10.1053/j.gastro.2014.02.037]</w:t>
      </w:r>
    </w:p>
    <w:p w14:paraId="4A299B8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130 </w:t>
      </w:r>
      <w:r w:rsidRPr="00B7221C">
        <w:rPr>
          <w:rFonts w:ascii="Book Antiqua" w:eastAsia="Book Antiqua" w:hAnsi="Book Antiqua" w:cs="Book Antiqua"/>
          <w:b/>
          <w:bCs/>
          <w:color w:val="000000"/>
        </w:rPr>
        <w:t>Dupont HL</w:t>
      </w:r>
      <w:r w:rsidRPr="00B7221C">
        <w:rPr>
          <w:rFonts w:ascii="Book Antiqua" w:eastAsia="Book Antiqua" w:hAnsi="Book Antiqua" w:cs="Book Antiqua"/>
          <w:color w:val="000000"/>
        </w:rPr>
        <w:t xml:space="preserve">. Review article: evidence for the role of gut microbiota in irritable bowel syndrome and its potential influence on therapeutic targets. </w:t>
      </w:r>
      <w:r w:rsidRPr="00B7221C">
        <w:rPr>
          <w:rFonts w:ascii="Book Antiqua" w:eastAsia="Book Antiqua" w:hAnsi="Book Antiqua" w:cs="Book Antiqua"/>
          <w:i/>
          <w:iCs/>
          <w:color w:val="000000"/>
        </w:rPr>
        <w:t>Aliment Pharmacol Ther</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39</w:t>
      </w:r>
      <w:r w:rsidRPr="00B7221C">
        <w:rPr>
          <w:rFonts w:ascii="Book Antiqua" w:eastAsia="Book Antiqua" w:hAnsi="Book Antiqua" w:cs="Book Antiqua"/>
          <w:color w:val="000000"/>
        </w:rPr>
        <w:t>: 1033-1042 [PMID: 24665829 DOI: 10.1111/apt.12728]</w:t>
      </w:r>
    </w:p>
    <w:p w14:paraId="3940E4A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131 </w:t>
      </w:r>
      <w:r w:rsidRPr="00B7221C">
        <w:rPr>
          <w:rFonts w:ascii="Book Antiqua" w:eastAsia="Book Antiqua" w:hAnsi="Book Antiqua" w:cs="Book Antiqua"/>
          <w:b/>
          <w:bCs/>
          <w:color w:val="000000"/>
        </w:rPr>
        <w:t>Kennedy PJ</w:t>
      </w:r>
      <w:r w:rsidRPr="00B7221C">
        <w:rPr>
          <w:rFonts w:ascii="Book Antiqua" w:eastAsia="Book Antiqua" w:hAnsi="Book Antiqua" w:cs="Book Antiqua"/>
          <w:color w:val="000000"/>
        </w:rPr>
        <w:t xml:space="preserve">, Cryan JF, Dinan TG, Clarke G. Irritable bowel syndrome: a microbiome-gut-brain axis disorder? </w:t>
      </w:r>
      <w:r w:rsidRPr="00B7221C">
        <w:rPr>
          <w:rFonts w:ascii="Book Antiqua" w:eastAsia="Book Antiqua" w:hAnsi="Book Antiqua" w:cs="Book Antiqua"/>
          <w:i/>
          <w:iCs/>
          <w:color w:val="000000"/>
        </w:rPr>
        <w:t>World J Gastroenterol</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14105-14125 [PMID: 25339800 DOI: 10.3748/wjg.v20.i39.14105]</w:t>
      </w:r>
    </w:p>
    <w:p w14:paraId="0991E8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132 </w:t>
      </w:r>
      <w:r w:rsidRPr="00B7221C">
        <w:rPr>
          <w:rFonts w:ascii="Book Antiqua" w:eastAsia="Book Antiqua" w:hAnsi="Book Antiqua" w:cs="Book Antiqua"/>
          <w:b/>
          <w:bCs/>
          <w:color w:val="000000"/>
        </w:rPr>
        <w:t>Koloski NA</w:t>
      </w:r>
      <w:r w:rsidRPr="00B7221C">
        <w:rPr>
          <w:rFonts w:ascii="Book Antiqua" w:eastAsia="Book Antiqua" w:hAnsi="Book Antiqua" w:cs="Book Antiqua"/>
          <w:color w:val="000000"/>
        </w:rPr>
        <w:t xml:space="preserve">, Jones M, Kalantar J, Weltman M, Zaguirre J, Talley NJ. The brain--gut pathway in functional gastrointestinal disorders is bidirectional: a 12-year prospective population-based study.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61</w:t>
      </w:r>
      <w:r w:rsidRPr="00B7221C">
        <w:rPr>
          <w:rFonts w:ascii="Book Antiqua" w:eastAsia="Book Antiqua" w:hAnsi="Book Antiqua" w:cs="Book Antiqua"/>
          <w:color w:val="000000"/>
        </w:rPr>
        <w:t>: 1284-1290 [PMID: 22234979 DOI: 10.1136/gutjnl-2011-300474]</w:t>
      </w:r>
    </w:p>
    <w:p w14:paraId="3D8FDD5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133 </w:t>
      </w:r>
      <w:r w:rsidRPr="00B7221C">
        <w:rPr>
          <w:rFonts w:ascii="Book Antiqua" w:eastAsia="Book Antiqua" w:hAnsi="Book Antiqua" w:cs="Book Antiqua"/>
          <w:b/>
          <w:bCs/>
          <w:color w:val="000000"/>
        </w:rPr>
        <w:t>Meinhardt J</w:t>
      </w:r>
      <w:r w:rsidRPr="00B7221C">
        <w:rPr>
          <w:rFonts w:ascii="Book Antiqua" w:eastAsia="Book Antiqua" w:hAnsi="Book Antiqua" w:cs="Book Antiqua"/>
          <w:color w:val="000000"/>
        </w:rPr>
        <w:t xml:space="preserve">, Radke J, Dittmayer C, Franz J, Thomas C, Mothes R, Laue M, Schneider J, Brünink S, Greuel S, Lehmann M, Hassan O, Aschman T, Schumann E, Chua RL, Conrad C, Eils R, Stenzel W, Windgassen M, Rößler L, Goebel HH, Gelderblom HR, Martin H, Nitsche A, Schulz-Schaeffer WJ, Hakroush S, Winkler MS, Tampe B, Scheibe F, Körtvélyessy P, Reinhold D, Siegmund B, Kühl AA, Elezkurtaj S, Horst D, Oesterhelweg L, Tsokos M, Ingold-Heppner B, Stadelmann C, Drosten C, Corman VM, Radbruch H, Heppner FL. Olfactory transmucosal SARS-CoV-2 invasion </w:t>
      </w:r>
      <w:r w:rsidRPr="00B7221C">
        <w:rPr>
          <w:rFonts w:ascii="Book Antiqua" w:eastAsia="Book Antiqua" w:hAnsi="Book Antiqua" w:cs="Book Antiqua"/>
          <w:color w:val="000000"/>
        </w:rPr>
        <w:lastRenderedPageBreak/>
        <w:t xml:space="preserve">as a port of central nervous system entry in individuals with COVID-19. </w:t>
      </w:r>
      <w:r w:rsidRPr="00B7221C">
        <w:rPr>
          <w:rFonts w:ascii="Book Antiqua" w:eastAsia="Book Antiqua" w:hAnsi="Book Antiqua" w:cs="Book Antiqua"/>
          <w:i/>
          <w:iCs/>
          <w:color w:val="000000"/>
        </w:rPr>
        <w:t>Nat Neurosci</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168-175 [PMID: 33257876 DOI: 10.1038/s41593-020-00758-5]</w:t>
      </w:r>
    </w:p>
    <w:p w14:paraId="532C4B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134 </w:t>
      </w:r>
      <w:r w:rsidRPr="00B7221C">
        <w:rPr>
          <w:rFonts w:ascii="Book Antiqua" w:eastAsia="Book Antiqua" w:hAnsi="Book Antiqua" w:cs="Book Antiqua"/>
          <w:b/>
          <w:bCs/>
          <w:color w:val="000000"/>
        </w:rPr>
        <w:t>Deigendesch N</w:t>
      </w:r>
      <w:r w:rsidRPr="00B7221C">
        <w:rPr>
          <w:rFonts w:ascii="Book Antiqua" w:eastAsia="Book Antiqua" w:hAnsi="Book Antiqua" w:cs="Book Antiqua"/>
          <w:color w:val="000000"/>
        </w:rPr>
        <w:t xml:space="preserve">, Sironi L, Kutza M, Wischnewski S, Fuchs V, Hench J, Frank A, Nienhold R, Mertz KD, Cathomas G, Matter MS, Siegemund M, Tolnay M, Schirmer L, Pröbstel AK, Tzankov A, Frank S. Correlates of critical illness-related encephalopathy predominate postmortem COVID-19 neuropathology. </w:t>
      </w:r>
      <w:r w:rsidRPr="00B7221C">
        <w:rPr>
          <w:rFonts w:ascii="Book Antiqua" w:eastAsia="Book Antiqua" w:hAnsi="Book Antiqua" w:cs="Book Antiqua"/>
          <w:i/>
          <w:iCs/>
          <w:color w:val="000000"/>
        </w:rPr>
        <w:t>Acta Neuropathol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140</w:t>
      </w:r>
      <w:r w:rsidRPr="00B7221C">
        <w:rPr>
          <w:rFonts w:ascii="Book Antiqua" w:eastAsia="Book Antiqua" w:hAnsi="Book Antiqua" w:cs="Book Antiqua"/>
          <w:color w:val="000000"/>
        </w:rPr>
        <w:t>: 583-586 [PMID: 32851506 DOI: 10.1007/s00401-020-02213-y]</w:t>
      </w:r>
    </w:p>
    <w:p w14:paraId="655BF3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135 </w:t>
      </w:r>
      <w:r w:rsidRPr="00B7221C">
        <w:rPr>
          <w:rFonts w:ascii="Book Antiqua" w:eastAsia="Book Antiqua" w:hAnsi="Book Antiqua" w:cs="Book Antiqua"/>
          <w:b/>
          <w:bCs/>
          <w:color w:val="000000"/>
        </w:rPr>
        <w:t>Schurink B</w:t>
      </w:r>
      <w:r w:rsidRPr="00B7221C">
        <w:rPr>
          <w:rFonts w:ascii="Book Antiqua" w:eastAsia="Book Antiqua" w:hAnsi="Book Antiqua" w:cs="Book Antiqua"/>
          <w:color w:val="000000"/>
        </w:rPr>
        <w:t xml:space="preserve">, Roos E, Radonic T, Barbe E, Bouman CSC, de Boer HH, de Bree GJ, Bulle EB, Aronica EM, Florquin S, Fronczek J, Heunks LMA, de Jong MD, Guo L, du Long R, Lutter R, Molenaar PCG, Neefjes-Borst EA, Niessen HWM, van Noesel CJM, Roelofs JJTH, Snijder EJ, Soer EC, Verheij J, Vlaar APJ, Vos W, van der Wel NN, van der Wal AC, van der Valk P, Bugiani M. Viral presence and immunopathology in patients with lethal COVID-19: a prospective autopsy cohort study. </w:t>
      </w:r>
      <w:r w:rsidRPr="00B7221C">
        <w:rPr>
          <w:rFonts w:ascii="Book Antiqua" w:eastAsia="Book Antiqua" w:hAnsi="Book Antiqua" w:cs="Book Antiqua"/>
          <w:i/>
          <w:iCs/>
          <w:color w:val="000000"/>
        </w:rPr>
        <w:t>Lancet Microbe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w:t>
      </w:r>
      <w:r w:rsidRPr="00B7221C">
        <w:rPr>
          <w:rFonts w:ascii="Book Antiqua" w:eastAsia="Book Antiqua" w:hAnsi="Book Antiqua" w:cs="Book Antiqua"/>
          <w:color w:val="000000"/>
        </w:rPr>
        <w:t>: e290-e299 [PMID: 33015653 DOI: 10.1016/S2666-5247(20)30144-0]</w:t>
      </w:r>
    </w:p>
    <w:p w14:paraId="1399A96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136 </w:t>
      </w:r>
      <w:r w:rsidRPr="00B7221C">
        <w:rPr>
          <w:rFonts w:ascii="Book Antiqua" w:eastAsia="Book Antiqua" w:hAnsi="Book Antiqua" w:cs="Book Antiqua"/>
          <w:b/>
          <w:bCs/>
          <w:color w:val="000000"/>
        </w:rPr>
        <w:t>Acharya A</w:t>
      </w:r>
      <w:r w:rsidRPr="00B7221C">
        <w:rPr>
          <w:rFonts w:ascii="Book Antiqua" w:eastAsia="Book Antiqua" w:hAnsi="Book Antiqua" w:cs="Book Antiqua"/>
          <w:color w:val="000000"/>
        </w:rPr>
        <w:t xml:space="preserve">, Kevadiya BD, Gendelman HE, Byrareddy SN. SARS-CoV-2 Infection Leads to Neurological Dysfunction. </w:t>
      </w:r>
      <w:r w:rsidRPr="00B7221C">
        <w:rPr>
          <w:rFonts w:ascii="Book Antiqua" w:eastAsia="Book Antiqua" w:hAnsi="Book Antiqua" w:cs="Book Antiqua"/>
          <w:i/>
          <w:iCs/>
          <w:color w:val="000000"/>
        </w:rPr>
        <w:t>J Neuroimmune Pharmacol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167-173 [PMID: 32447746 DOI: 10.1007/s11481-020-09924-9]</w:t>
      </w:r>
    </w:p>
    <w:p w14:paraId="0904B2D5" w14:textId="012EA015" w:rsidR="00A77B3E" w:rsidRPr="00B7221C" w:rsidRDefault="00A143FB" w:rsidP="00B7221C">
      <w:pPr>
        <w:spacing w:line="360" w:lineRule="auto"/>
        <w:jc w:val="both"/>
        <w:rPr>
          <w:rFonts w:ascii="Book Antiqua" w:hAnsi="Book Antiqua"/>
        </w:rPr>
      </w:pPr>
      <w:proofErr w:type="gramStart"/>
      <w:r w:rsidRPr="00B7221C">
        <w:rPr>
          <w:rFonts w:ascii="Book Antiqua" w:eastAsia="Book Antiqua" w:hAnsi="Book Antiqua" w:cs="Book Antiqua"/>
          <w:color w:val="000000"/>
        </w:rPr>
        <w:t xml:space="preserve">137 </w:t>
      </w:r>
      <w:r w:rsidRPr="00B7221C">
        <w:rPr>
          <w:rFonts w:ascii="Book Antiqua" w:eastAsia="Book Antiqua" w:hAnsi="Book Antiqua" w:cs="Book Antiqua"/>
          <w:b/>
          <w:bCs/>
          <w:color w:val="000000"/>
        </w:rPr>
        <w:t>Bercik P</w:t>
      </w:r>
      <w:r w:rsidRPr="00C22C0A">
        <w:rPr>
          <w:rFonts w:ascii="Book Antiqua" w:eastAsia="Book Antiqua" w:hAnsi="Book Antiqua" w:cs="Book Antiqua"/>
          <w:bCs/>
          <w:color w:val="000000"/>
        </w:rPr>
        <w:t>,</w:t>
      </w:r>
      <w:r w:rsidRPr="00C22C0A">
        <w:rPr>
          <w:rFonts w:ascii="Book Antiqua" w:eastAsia="Book Antiqua" w:hAnsi="Book Antiqua" w:cs="Book Antiqua"/>
          <w:color w:val="000000"/>
        </w:rPr>
        <w:t xml:space="preserve"> </w:t>
      </w:r>
      <w:r w:rsidRPr="00B7221C">
        <w:rPr>
          <w:rFonts w:ascii="Book Antiqua" w:eastAsia="Book Antiqua" w:hAnsi="Book Antiqua" w:cs="Book Antiqua"/>
          <w:color w:val="000000"/>
        </w:rPr>
        <w:t>Collins S, Verdu E. Microbes and the gut</w:t>
      </w:r>
      <w:r w:rsidRPr="00B7221C">
        <w:rPr>
          <w:rFonts w:ascii="宋体" w:eastAsia="宋体" w:hAnsi="宋体" w:cs="宋体" w:hint="eastAsia"/>
          <w:color w:val="000000"/>
        </w:rPr>
        <w:t>‐</w:t>
      </w:r>
      <w:r w:rsidRPr="00B7221C">
        <w:rPr>
          <w:rFonts w:ascii="Book Antiqua" w:eastAsia="Book Antiqua" w:hAnsi="Book Antiqua" w:cs="Book Antiqua"/>
          <w:color w:val="000000"/>
        </w:rPr>
        <w:t>brain axis.</w:t>
      </w:r>
      <w:proofErr w:type="gramEnd"/>
      <w:r w:rsidRPr="00B7221C">
        <w:rPr>
          <w:rFonts w:ascii="Book Antiqua" w:eastAsia="Book Antiqua" w:hAnsi="Book Antiqua" w:cs="Book Antiqua"/>
          <w:color w:val="000000"/>
        </w:rPr>
        <w:t xml:space="preserve"> </w:t>
      </w:r>
      <w:r w:rsidRPr="00B7221C">
        <w:rPr>
          <w:rFonts w:ascii="Book Antiqua" w:eastAsia="Book Antiqua" w:hAnsi="Book Antiqua" w:cs="Book Antiqua"/>
          <w:i/>
          <w:iCs/>
          <w:color w:val="000000"/>
        </w:rPr>
        <w:t>Neurogastroenterol</w:t>
      </w:r>
      <w:r w:rsidR="00104FF5" w:rsidRPr="00B7221C">
        <w:rPr>
          <w:rFonts w:ascii="Book Antiqua" w:eastAsia="Book Antiqua" w:hAnsi="Book Antiqua" w:cs="Book Antiqua"/>
          <w:i/>
          <w:iCs/>
          <w:color w:val="000000"/>
        </w:rPr>
        <w:t xml:space="preserve"> </w:t>
      </w:r>
      <w:r w:rsidRPr="00B7221C">
        <w:rPr>
          <w:rFonts w:ascii="Book Antiqua" w:eastAsia="Book Antiqua" w:hAnsi="Book Antiqua" w:cs="Book Antiqua"/>
          <w:i/>
          <w:iCs/>
          <w:color w:val="000000"/>
        </w:rPr>
        <w:t>Motil</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405-413</w:t>
      </w:r>
      <w:r w:rsidR="00195CDA" w:rsidRPr="00B7221C">
        <w:rPr>
          <w:rFonts w:ascii="Book Antiqua" w:eastAsia="Book Antiqua" w:hAnsi="Book Antiqua" w:cs="Book Antiqua"/>
          <w:color w:val="000000"/>
        </w:rPr>
        <w:t xml:space="preserve"> [DOI: 10.1111/j.1365-2982.2012.01906.x]</w:t>
      </w:r>
    </w:p>
    <w:p w14:paraId="144D43C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138 </w:t>
      </w:r>
      <w:r w:rsidRPr="00B7221C">
        <w:rPr>
          <w:rFonts w:ascii="Book Antiqua" w:eastAsia="Book Antiqua" w:hAnsi="Book Antiqua" w:cs="Book Antiqua"/>
          <w:b/>
          <w:bCs/>
          <w:color w:val="000000"/>
        </w:rPr>
        <w:t>Carabotti M</w:t>
      </w:r>
      <w:r w:rsidRPr="00B7221C">
        <w:rPr>
          <w:rFonts w:ascii="Book Antiqua" w:eastAsia="Book Antiqua" w:hAnsi="Book Antiqua" w:cs="Book Antiqua"/>
          <w:color w:val="000000"/>
        </w:rPr>
        <w:t xml:space="preserve">, Scirocco A, Maselli MA, Severi C. The gut-brain axis: interactions between enteric microbiota, central and enteric nervous systems.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28</w:t>
      </w:r>
      <w:r w:rsidRPr="00B7221C">
        <w:rPr>
          <w:rFonts w:ascii="Book Antiqua" w:eastAsia="Book Antiqua" w:hAnsi="Book Antiqua" w:cs="Book Antiqua"/>
          <w:color w:val="000000"/>
        </w:rPr>
        <w:t>: 203-209 [PMID: 25830558]</w:t>
      </w:r>
    </w:p>
    <w:p w14:paraId="732D5406" w14:textId="69C2E3A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139 Furness JB. The enteric nervous system and neurogastroenterology. </w:t>
      </w:r>
      <w:r w:rsidR="00104FF5"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286</w:t>
      </w:r>
      <w:r w:rsidR="00915B63" w:rsidRPr="00B7221C">
        <w:rPr>
          <w:rFonts w:ascii="Book Antiqua" w:eastAsia="Book Antiqua" w:hAnsi="Book Antiqua" w:cs="Book Antiqua"/>
          <w:color w:val="000000"/>
        </w:rPr>
        <w:t>-294</w:t>
      </w:r>
      <w:r w:rsidR="00B347B3" w:rsidRPr="00B7221C">
        <w:rPr>
          <w:rFonts w:ascii="Book Antiqua" w:eastAsia="Book Antiqua" w:hAnsi="Book Antiqua" w:cs="Book Antiqua"/>
          <w:color w:val="000000"/>
        </w:rPr>
        <w:t xml:space="preserve"> [DOI: 10.1038/nrgastro.2012.32]</w:t>
      </w:r>
    </w:p>
    <w:p w14:paraId="2CFD4F4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140 </w:t>
      </w:r>
      <w:r w:rsidRPr="00B7221C">
        <w:rPr>
          <w:rFonts w:ascii="Book Antiqua" w:eastAsia="Book Antiqua" w:hAnsi="Book Antiqua" w:cs="Book Antiqua"/>
          <w:b/>
          <w:bCs/>
          <w:color w:val="000000"/>
        </w:rPr>
        <w:t>Simons D</w:t>
      </w:r>
      <w:r w:rsidRPr="00B7221C">
        <w:rPr>
          <w:rFonts w:ascii="Book Antiqua" w:eastAsia="Book Antiqua" w:hAnsi="Book Antiqua" w:cs="Book Antiqua"/>
          <w:color w:val="000000"/>
        </w:rPr>
        <w:t xml:space="preserve">, Shahab L, Brown J, Perski O. The association of smoking status with SARS-CoV-2 infection, hospitalization and mortality from COVID-19: a living rapid evidence review with Bayesian meta-analyses (version 7). </w:t>
      </w:r>
      <w:r w:rsidRPr="00B7221C">
        <w:rPr>
          <w:rFonts w:ascii="Book Antiqua" w:eastAsia="Book Antiqua" w:hAnsi="Book Antiqua" w:cs="Book Antiqua"/>
          <w:i/>
          <w:iCs/>
          <w:color w:val="000000"/>
        </w:rPr>
        <w:t>Addiction</w:t>
      </w:r>
      <w:r w:rsidRPr="00B7221C">
        <w:rPr>
          <w:rFonts w:ascii="Book Antiqua" w:eastAsia="Book Antiqua" w:hAnsi="Book Antiqua" w:cs="Book Antiqua"/>
          <w:color w:val="000000"/>
        </w:rPr>
        <w:t xml:space="preserve"> 2020 [PMID: 33007104 DOI: 10.1111/add.15276]</w:t>
      </w:r>
    </w:p>
    <w:p w14:paraId="0CD6722B" w14:textId="1256C12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141 </w:t>
      </w:r>
      <w:r w:rsidRPr="00B7221C">
        <w:rPr>
          <w:rFonts w:ascii="Book Antiqua" w:eastAsia="Book Antiqua" w:hAnsi="Book Antiqua" w:cs="Book Antiqua"/>
          <w:b/>
          <w:bCs/>
          <w:color w:val="000000"/>
        </w:rPr>
        <w:t>Saurabh S</w:t>
      </w:r>
      <w:r w:rsidRPr="00B7221C">
        <w:rPr>
          <w:rFonts w:ascii="Book Antiqua" w:eastAsia="Book Antiqua" w:hAnsi="Book Antiqua" w:cs="Book Antiqua"/>
          <w:color w:val="000000"/>
        </w:rPr>
        <w:t xml:space="preserve">, Verma MK, Gautam V, Kumar N, Jain V, Goel AD, Gupta MK, Sharma PP, Bhardwaj P, Singh K, Nag VL, Garg MK, Misra S. Tobacco, alcohol use and other risk factors for developing symptomatic COVID-19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asymptomatic SARS-CoV-2 infection: a case-control study from western Rajasthan, India. </w:t>
      </w:r>
      <w:r w:rsidRPr="00B7221C">
        <w:rPr>
          <w:rFonts w:ascii="Book Antiqua" w:eastAsia="Book Antiqua" w:hAnsi="Book Antiqua" w:cs="Book Antiqua"/>
          <w:i/>
          <w:iCs/>
          <w:color w:val="000000"/>
        </w:rPr>
        <w:t>Trans R Soc Trop Med Hyg</w:t>
      </w:r>
      <w:r w:rsidRPr="00B7221C">
        <w:rPr>
          <w:rFonts w:ascii="Book Antiqua" w:eastAsia="Book Antiqua" w:hAnsi="Book Antiqua" w:cs="Book Antiqua"/>
          <w:color w:val="000000"/>
        </w:rPr>
        <w:t xml:space="preserve"> </w:t>
      </w:r>
      <w:r w:rsidR="00CA6261" w:rsidRPr="00B7221C">
        <w:rPr>
          <w:rFonts w:ascii="Book Antiqua" w:eastAsia="Book Antiqua" w:hAnsi="Book Antiqua" w:cs="Book Antiqua"/>
          <w:color w:val="000000"/>
        </w:rPr>
        <w:t xml:space="preserve">2021; </w:t>
      </w:r>
      <w:r w:rsidR="00CA6261" w:rsidRPr="00B7221C">
        <w:rPr>
          <w:rFonts w:ascii="Book Antiqua" w:eastAsia="Book Antiqua" w:hAnsi="Book Antiqua" w:cs="Book Antiqua"/>
          <w:b/>
          <w:bCs/>
          <w:color w:val="000000"/>
        </w:rPr>
        <w:t>115</w:t>
      </w:r>
      <w:r w:rsidR="00CA6261" w:rsidRPr="00B7221C">
        <w:rPr>
          <w:rFonts w:ascii="Book Antiqua" w:eastAsia="Book Antiqua" w:hAnsi="Book Antiqua" w:cs="Book Antiqua"/>
          <w:color w:val="000000"/>
        </w:rPr>
        <w:t>: 820-831</w:t>
      </w:r>
      <w:r w:rsidRPr="00B7221C">
        <w:rPr>
          <w:rFonts w:ascii="Book Antiqua" w:eastAsia="Book Antiqua" w:hAnsi="Book Antiqua" w:cs="Book Antiqua"/>
          <w:color w:val="000000"/>
        </w:rPr>
        <w:t xml:space="preserve"> [PMID: 33444432 DOI: 10.1093/trstmh/traa172]</w:t>
      </w:r>
    </w:p>
    <w:p w14:paraId="19E6914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142 </w:t>
      </w:r>
      <w:r w:rsidRPr="00B7221C">
        <w:rPr>
          <w:rFonts w:ascii="Book Antiqua" w:eastAsia="Book Antiqua" w:hAnsi="Book Antiqua" w:cs="Book Antiqua"/>
          <w:b/>
          <w:bCs/>
          <w:color w:val="000000"/>
        </w:rPr>
        <w:t>Farsalinos K</w:t>
      </w:r>
      <w:r w:rsidRPr="00B7221C">
        <w:rPr>
          <w:rFonts w:ascii="Book Antiqua" w:eastAsia="Book Antiqua" w:hAnsi="Book Antiqua" w:cs="Book Antiqua"/>
          <w:color w:val="000000"/>
        </w:rPr>
        <w:t xml:space="preserve">, Bagos PG, Giannouchos T, Niaura R, Barbouni A, Poulas K. Smoking prevalence among hospitalized COVID-19 patients and its association with disease severity and mortality: an expanded re-analysis of a recent publication. </w:t>
      </w:r>
      <w:r w:rsidRPr="00B7221C">
        <w:rPr>
          <w:rFonts w:ascii="Book Antiqua" w:eastAsia="Book Antiqua" w:hAnsi="Book Antiqua" w:cs="Book Antiqua"/>
          <w:i/>
          <w:iCs/>
          <w:color w:val="000000"/>
        </w:rPr>
        <w:t>Harm Reduct J</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9 [PMID: 33453726 DOI: 10.1186/s12954-020-00437-5]</w:t>
      </w:r>
    </w:p>
    <w:p w14:paraId="3D5FE0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143 </w:t>
      </w:r>
      <w:r w:rsidRPr="00B7221C">
        <w:rPr>
          <w:rFonts w:ascii="Book Antiqua" w:eastAsia="Book Antiqua" w:hAnsi="Book Antiqua" w:cs="Book Antiqua"/>
          <w:b/>
          <w:bCs/>
          <w:color w:val="000000"/>
        </w:rPr>
        <w:t>Meini S</w:t>
      </w:r>
      <w:r w:rsidRPr="00B7221C">
        <w:rPr>
          <w:rFonts w:ascii="Book Antiqua" w:eastAsia="Book Antiqua" w:hAnsi="Book Antiqua" w:cs="Book Antiqua"/>
          <w:color w:val="000000"/>
        </w:rPr>
        <w:t xml:space="preserve">, Fortini A, Andreini R, Sechi LA, Tascini C. The Paradox of the Low Prevalence of Current Smokers </w:t>
      </w:r>
      <w:proofErr w:type="gramStart"/>
      <w:r w:rsidRPr="00B7221C">
        <w:rPr>
          <w:rFonts w:ascii="Book Antiqua" w:eastAsia="Book Antiqua" w:hAnsi="Book Antiqua" w:cs="Book Antiqua"/>
          <w:color w:val="000000"/>
        </w:rPr>
        <w:t>Among</w:t>
      </w:r>
      <w:proofErr w:type="gramEnd"/>
      <w:r w:rsidRPr="00B7221C">
        <w:rPr>
          <w:rFonts w:ascii="Book Antiqua" w:eastAsia="Book Antiqua" w:hAnsi="Book Antiqua" w:cs="Book Antiqua"/>
          <w:color w:val="000000"/>
        </w:rPr>
        <w:t xml:space="preserve"> Covid-19 Patients Hospitalized in Non-Intensive Care Wards: Results From an Italian Multicenter Case-Control Study. </w:t>
      </w:r>
      <w:r w:rsidRPr="00B7221C">
        <w:rPr>
          <w:rFonts w:ascii="Book Antiqua" w:eastAsia="Book Antiqua" w:hAnsi="Book Antiqua" w:cs="Book Antiqua"/>
          <w:i/>
          <w:iCs/>
          <w:color w:val="000000"/>
        </w:rPr>
        <w:t>Nicotine Tob Res</w:t>
      </w:r>
      <w:r w:rsidRPr="00B7221C">
        <w:rPr>
          <w:rFonts w:ascii="Book Antiqua" w:eastAsia="Book Antiqua" w:hAnsi="Book Antiqua" w:cs="Book Antiqua"/>
          <w:color w:val="000000"/>
        </w:rPr>
        <w:t xml:space="preserve"> 2020 [PMID: 32964233 DOI: 10.1093/ntr/ntaa188]</w:t>
      </w:r>
    </w:p>
    <w:p w14:paraId="22215B5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144 </w:t>
      </w:r>
      <w:r w:rsidRPr="00B7221C">
        <w:rPr>
          <w:rFonts w:ascii="Book Antiqua" w:eastAsia="Book Antiqua" w:hAnsi="Book Antiqua" w:cs="Book Antiqua"/>
          <w:b/>
          <w:bCs/>
          <w:color w:val="000000"/>
        </w:rPr>
        <w:t>Gonzalez-Rubio J</w:t>
      </w:r>
      <w:r w:rsidRPr="00B7221C">
        <w:rPr>
          <w:rFonts w:ascii="Book Antiqua" w:eastAsia="Book Antiqua" w:hAnsi="Book Antiqua" w:cs="Book Antiqua"/>
          <w:color w:val="000000"/>
        </w:rPr>
        <w:t xml:space="preserve">, Navarro-Lopez C, Lopez-Najera E, Lopez-Najera A, Jimenez-Diaz L, Navarro-Lopez JD, Najera A. Cytokine Release Syndrome (CRS) and Nicotine in COVID-19 Patients: Trying to Calm the Storm.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1359 [PMID: 32595653 DOI: 10.3389/fimmu.2020.01359]</w:t>
      </w:r>
    </w:p>
    <w:p w14:paraId="74B9A4F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145 </w:t>
      </w:r>
      <w:r w:rsidRPr="00B7221C">
        <w:rPr>
          <w:rFonts w:ascii="Book Antiqua" w:eastAsia="Book Antiqua" w:hAnsi="Book Antiqua" w:cs="Book Antiqua"/>
          <w:b/>
          <w:bCs/>
          <w:color w:val="000000"/>
        </w:rPr>
        <w:t>Brinkman DJ</w:t>
      </w:r>
      <w:r w:rsidRPr="00B7221C">
        <w:rPr>
          <w:rFonts w:ascii="Book Antiqua" w:eastAsia="Book Antiqua" w:hAnsi="Book Antiqua" w:cs="Book Antiqua"/>
          <w:color w:val="000000"/>
        </w:rPr>
        <w:t xml:space="preserve">, Ten Hove AS, Vervoordeldonk MJ, Luyer MD, de Jonge WJ. Neuroimmune Interactions in the Gut and Their Significance for Intestinal Immunity. </w:t>
      </w:r>
      <w:r w:rsidRPr="00B7221C">
        <w:rPr>
          <w:rFonts w:ascii="Book Antiqua" w:eastAsia="Book Antiqua" w:hAnsi="Book Antiqua" w:cs="Book Antiqua"/>
          <w:i/>
          <w:iCs/>
          <w:color w:val="000000"/>
        </w:rPr>
        <w:t>Cells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xml:space="preserve"> [PMID: 31269754 DOI: 10.3390/cells8070670]</w:t>
      </w:r>
    </w:p>
    <w:p w14:paraId="10FA96D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146 </w:t>
      </w:r>
      <w:r w:rsidRPr="00B7221C">
        <w:rPr>
          <w:rFonts w:ascii="Book Antiqua" w:eastAsia="Book Antiqua" w:hAnsi="Book Antiqua" w:cs="Book Antiqua"/>
          <w:b/>
          <w:bCs/>
          <w:color w:val="000000"/>
        </w:rPr>
        <w:t>Galitovskiy V</w:t>
      </w:r>
      <w:r w:rsidRPr="00B7221C">
        <w:rPr>
          <w:rFonts w:ascii="Book Antiqua" w:eastAsia="Book Antiqua" w:hAnsi="Book Antiqua" w:cs="Book Antiqua"/>
          <w:color w:val="000000"/>
        </w:rPr>
        <w:t xml:space="preserve">, Qian J, Chernyavsky AI, Marchenko S, Gindi V, Edwards RA, Grando SA. Cytokine-induced alterations of α7 nicotinic receptor in colonic CD4 T cells mediate dichotomous response to nicotine in murine models of Th1/Th17-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Th2-mediated colitis.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187</w:t>
      </w:r>
      <w:r w:rsidRPr="00B7221C">
        <w:rPr>
          <w:rFonts w:ascii="Book Antiqua" w:eastAsia="Book Antiqua" w:hAnsi="Book Antiqua" w:cs="Book Antiqua"/>
          <w:color w:val="000000"/>
        </w:rPr>
        <w:t>: 2677-2687 [PMID: 21784975 DOI: 10.4049/jimmunol.1002711]</w:t>
      </w:r>
    </w:p>
    <w:p w14:paraId="78785F6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147 </w:t>
      </w:r>
      <w:r w:rsidRPr="00B7221C">
        <w:rPr>
          <w:rFonts w:ascii="Book Antiqua" w:eastAsia="Book Antiqua" w:hAnsi="Book Antiqua" w:cs="Book Antiqua"/>
          <w:b/>
          <w:bCs/>
          <w:color w:val="000000"/>
        </w:rPr>
        <w:t>Matteoli G</w:t>
      </w:r>
      <w:r w:rsidRPr="00B7221C">
        <w:rPr>
          <w:rFonts w:ascii="Book Antiqua" w:eastAsia="Book Antiqua" w:hAnsi="Book Antiqua" w:cs="Book Antiqua"/>
          <w:color w:val="000000"/>
        </w:rPr>
        <w:t xml:space="preserve">, Boeckxstaens GE. The vagal innervation of the gut and immune homeostasis.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62</w:t>
      </w:r>
      <w:r w:rsidRPr="00B7221C">
        <w:rPr>
          <w:rFonts w:ascii="Book Antiqua" w:eastAsia="Book Antiqua" w:hAnsi="Book Antiqua" w:cs="Book Antiqua"/>
          <w:color w:val="000000"/>
        </w:rPr>
        <w:t>: 1214-1222 [PMID: 23023166 DOI: 10.1136/gutjnl-2012-302550]</w:t>
      </w:r>
    </w:p>
    <w:p w14:paraId="3CF2162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148 </w:t>
      </w:r>
      <w:r w:rsidRPr="00B7221C">
        <w:rPr>
          <w:rFonts w:ascii="Book Antiqua" w:eastAsia="Book Antiqua" w:hAnsi="Book Antiqua" w:cs="Book Antiqua"/>
          <w:b/>
          <w:bCs/>
          <w:color w:val="000000"/>
        </w:rPr>
        <w:t>Lunney PC</w:t>
      </w:r>
      <w:r w:rsidRPr="00B7221C">
        <w:rPr>
          <w:rFonts w:ascii="Book Antiqua" w:eastAsia="Book Antiqua" w:hAnsi="Book Antiqua" w:cs="Book Antiqua"/>
          <w:color w:val="000000"/>
        </w:rPr>
        <w:t xml:space="preserve">, Leong RW. Review article: Ulcerative colitis, smoking and nicotine therapy. </w:t>
      </w:r>
      <w:r w:rsidRPr="00B7221C">
        <w:rPr>
          <w:rFonts w:ascii="Book Antiqua" w:eastAsia="Book Antiqua" w:hAnsi="Book Antiqua" w:cs="Book Antiqua"/>
          <w:i/>
          <w:iCs/>
          <w:color w:val="000000"/>
        </w:rPr>
        <w:t>Aliment Pharmacol Ther</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36</w:t>
      </w:r>
      <w:r w:rsidRPr="00B7221C">
        <w:rPr>
          <w:rFonts w:ascii="Book Antiqua" w:eastAsia="Book Antiqua" w:hAnsi="Book Antiqua" w:cs="Book Antiqua"/>
          <w:color w:val="000000"/>
        </w:rPr>
        <w:t>: 997-1008 [PMID: 23072629 DOI: 10.1111/apt.12086]</w:t>
      </w:r>
    </w:p>
    <w:p w14:paraId="2E493861" w14:textId="5D8F3A24" w:rsidR="00A77B3E" w:rsidRPr="00B7221C" w:rsidRDefault="00A143FB" w:rsidP="00B7221C">
      <w:pPr>
        <w:spacing w:line="360" w:lineRule="auto"/>
        <w:jc w:val="both"/>
        <w:rPr>
          <w:rFonts w:ascii="Book Antiqua" w:hAnsi="Book Antiqua"/>
        </w:rPr>
      </w:pPr>
      <w:r w:rsidRPr="00C22C0A">
        <w:rPr>
          <w:rFonts w:ascii="Book Antiqua" w:eastAsia="Book Antiqua" w:hAnsi="Book Antiqua" w:cs="Book Antiqua"/>
          <w:color w:val="000000"/>
        </w:rPr>
        <w:t xml:space="preserve">149 </w:t>
      </w:r>
      <w:r w:rsidRPr="00C22C0A">
        <w:rPr>
          <w:rFonts w:ascii="Book Antiqua" w:eastAsia="Book Antiqua" w:hAnsi="Book Antiqua" w:cs="Book Antiqua"/>
          <w:b/>
          <w:bCs/>
          <w:color w:val="000000"/>
        </w:rPr>
        <w:t>Aliee H</w:t>
      </w:r>
      <w:r w:rsidRPr="00C22C0A">
        <w:rPr>
          <w:rFonts w:ascii="Book Antiqua" w:eastAsia="Book Antiqua" w:hAnsi="Book Antiqua" w:cs="Book Antiqua"/>
          <w:bCs/>
          <w:color w:val="000000"/>
        </w:rPr>
        <w:t>,</w:t>
      </w:r>
      <w:r w:rsidRPr="00C22C0A">
        <w:rPr>
          <w:rFonts w:ascii="Book Antiqua" w:eastAsia="Book Antiqua" w:hAnsi="Book Antiqua" w:cs="Book Antiqua"/>
          <w:color w:val="000000"/>
        </w:rPr>
        <w:t xml:space="preserve"> Massip F, Qi C, Stella de Biase M, van Nijnatten JL, Kersten ETG, Kermani NZ, Khuder B, Vonk JM, Vermeulen RCH, Neighbors M, Tew GW, Grimbaldeston M, ten Hacken NHT, Hu S, Guo Y, Zhang X, Sun K, Hiemstra PS, Ponder BA, Makela MJ, Malmstrom K, Rintoul RC, Reyfman PA, Theis FJ, Brandsma C-A, Adcock I, Timens W, Xu CJ, van den Berge M, Schwarz RF, Koppelman GH, Nawijn MC, Faiz A.</w:t>
      </w:r>
      <w:r w:rsidR="00A81ABD" w:rsidRPr="00C22C0A">
        <w:rPr>
          <w:rFonts w:ascii="Book Antiqua" w:eastAsia="Book Antiqua" w:hAnsi="Book Antiqua" w:cs="Book Antiqua"/>
          <w:color w:val="000000"/>
        </w:rPr>
        <w:t xml:space="preserve"> </w:t>
      </w:r>
      <w:r w:rsidRPr="00C22C0A">
        <w:rPr>
          <w:rFonts w:ascii="Book Antiqua" w:eastAsia="Book Antiqua" w:hAnsi="Book Antiqua" w:cs="Book Antiqua"/>
          <w:color w:val="000000"/>
        </w:rPr>
        <w:t xml:space="preserve">Determinants of SARS-CoV-2 receptor gene expression in upper and lower airways. </w:t>
      </w:r>
      <w:r w:rsidR="00452D41" w:rsidRPr="00C22C0A">
        <w:rPr>
          <w:rFonts w:ascii="Book Antiqua" w:eastAsia="Book Antiqua" w:hAnsi="Book Antiqua" w:cs="Book Antiqua"/>
          <w:color w:val="000000"/>
        </w:rPr>
        <w:t xml:space="preserve">[Cited February 1, 2021]. </w:t>
      </w:r>
      <w:r w:rsidR="003F21CF" w:rsidRPr="00C22C0A">
        <w:rPr>
          <w:rFonts w:ascii="Book Antiqua" w:eastAsia="Book Antiqua" w:hAnsi="Book Antiqua" w:cs="Book Antiqua"/>
          <w:color w:val="000000"/>
        </w:rPr>
        <w:t xml:space="preserve">2020 Preprint. Available from: </w:t>
      </w:r>
      <w:r w:rsidRPr="00C22C0A">
        <w:rPr>
          <w:rFonts w:ascii="Book Antiqua" w:eastAsia="Book Antiqua" w:hAnsi="Book Antiqua" w:cs="Book Antiqua"/>
          <w:color w:val="000000"/>
        </w:rPr>
        <w:t>medRxiv: 20169946 [DOI: 10.1101/2020.08.31.20169946]</w:t>
      </w:r>
    </w:p>
    <w:p w14:paraId="4A04A30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150 </w:t>
      </w:r>
      <w:r w:rsidRPr="00B7221C">
        <w:rPr>
          <w:rFonts w:ascii="Book Antiqua" w:eastAsia="Book Antiqua" w:hAnsi="Book Antiqua" w:cs="Book Antiqua"/>
          <w:b/>
          <w:bCs/>
          <w:color w:val="000000"/>
        </w:rPr>
        <w:t>Voinsky I</w:t>
      </w:r>
      <w:r w:rsidRPr="00B7221C">
        <w:rPr>
          <w:rFonts w:ascii="Book Antiqua" w:eastAsia="Book Antiqua" w:hAnsi="Book Antiqua" w:cs="Book Antiqua"/>
          <w:color w:val="000000"/>
        </w:rPr>
        <w:t xml:space="preserve">, Gurwitz D. Smoking and COVID-19: Similar bronchial ACE2 and TMPRSS2 expression and higher TMPRSS4 expression in current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never smokers. </w:t>
      </w:r>
      <w:r w:rsidRPr="00B7221C">
        <w:rPr>
          <w:rFonts w:ascii="Book Antiqua" w:eastAsia="Book Antiqua" w:hAnsi="Book Antiqua" w:cs="Book Antiqua"/>
          <w:i/>
          <w:iCs/>
          <w:color w:val="000000"/>
        </w:rPr>
        <w:t>Drug Dev Res</w:t>
      </w:r>
      <w:r w:rsidRPr="00B7221C">
        <w:rPr>
          <w:rFonts w:ascii="Book Antiqua" w:eastAsia="Book Antiqua" w:hAnsi="Book Antiqua" w:cs="Book Antiqua"/>
          <w:color w:val="000000"/>
        </w:rPr>
        <w:t xml:space="preserve"> 2020 [PMID: 32757420 DOI: 10.1002/ddr.21729]</w:t>
      </w:r>
    </w:p>
    <w:p w14:paraId="2EEF09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151 </w:t>
      </w:r>
      <w:r w:rsidRPr="00B7221C">
        <w:rPr>
          <w:rFonts w:ascii="Book Antiqua" w:eastAsia="Book Antiqua" w:hAnsi="Book Antiqua" w:cs="Book Antiqua"/>
          <w:b/>
          <w:bCs/>
          <w:color w:val="000000"/>
        </w:rPr>
        <w:t>Boezaart AP</w:t>
      </w:r>
      <w:r w:rsidRPr="00B7221C">
        <w:rPr>
          <w:rFonts w:ascii="Book Antiqua" w:eastAsia="Book Antiqua" w:hAnsi="Book Antiqua" w:cs="Book Antiqua"/>
          <w:color w:val="000000"/>
        </w:rPr>
        <w:t xml:space="preserve">, Botha DA. Treatment of Stage 3 COVID-19 With Transcutaneous Auricular Vagus Nerve Stimulation Drastically Reduces Interleukin-6 Blood Levels: A Report on Two Cases. </w:t>
      </w:r>
      <w:r w:rsidRPr="00B7221C">
        <w:rPr>
          <w:rFonts w:ascii="Book Antiqua" w:eastAsia="Book Antiqua" w:hAnsi="Book Antiqua" w:cs="Book Antiqua"/>
          <w:i/>
          <w:iCs/>
          <w:color w:val="000000"/>
        </w:rPr>
        <w:t>Neuromodulation</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166-167 [PMID: 33063409 DOI: 10.1111/ner.13293]</w:t>
      </w:r>
    </w:p>
    <w:p w14:paraId="234A6CA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152 </w:t>
      </w:r>
      <w:r w:rsidRPr="00B7221C">
        <w:rPr>
          <w:rFonts w:ascii="Book Antiqua" w:eastAsia="Book Antiqua" w:hAnsi="Book Antiqua" w:cs="Book Antiqua"/>
          <w:b/>
          <w:bCs/>
          <w:color w:val="000000"/>
        </w:rPr>
        <w:t>Ahmad F</w:t>
      </w:r>
      <w:r w:rsidRPr="00B7221C">
        <w:rPr>
          <w:rFonts w:ascii="Book Antiqua" w:eastAsia="Book Antiqua" w:hAnsi="Book Antiqua" w:cs="Book Antiqua"/>
          <w:color w:val="000000"/>
        </w:rPr>
        <w:t xml:space="preserve">. COVID-19 induced ARDS, and the use of galantamine to activate the cholinergic anti-inflammatory pathway. </w:t>
      </w:r>
      <w:r w:rsidRPr="00B7221C">
        <w:rPr>
          <w:rFonts w:ascii="Book Antiqua" w:eastAsia="Book Antiqua" w:hAnsi="Book Antiqua" w:cs="Book Antiqua"/>
          <w:i/>
          <w:iCs/>
          <w:color w:val="000000"/>
        </w:rPr>
        <w:t>Med Hypotheses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145</w:t>
      </w:r>
      <w:r w:rsidRPr="00B7221C">
        <w:rPr>
          <w:rFonts w:ascii="Book Antiqua" w:eastAsia="Book Antiqua" w:hAnsi="Book Antiqua" w:cs="Book Antiqua"/>
          <w:color w:val="000000"/>
        </w:rPr>
        <w:t>: 110331 [PMID: 33038588 DOI: 10.1016/j.mehy.2020.110331]</w:t>
      </w:r>
    </w:p>
    <w:p w14:paraId="7937F1E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153 </w:t>
      </w:r>
      <w:r w:rsidRPr="00B7221C">
        <w:rPr>
          <w:rFonts w:ascii="Book Antiqua" w:eastAsia="Book Antiqua" w:hAnsi="Book Antiqua" w:cs="Book Antiqua"/>
          <w:b/>
          <w:bCs/>
          <w:color w:val="000000"/>
        </w:rPr>
        <w:t>Douaoui S</w:t>
      </w:r>
      <w:r w:rsidRPr="00B7221C">
        <w:rPr>
          <w:rFonts w:ascii="Book Antiqua" w:eastAsia="Book Antiqua" w:hAnsi="Book Antiqua" w:cs="Book Antiqua"/>
          <w:color w:val="000000"/>
        </w:rPr>
        <w:t xml:space="preserve">, Djidjik R, Boubakeur M, Ghernaout M, Touil-Boukoffa C, Oumouna M, Derrar F, Amrani Y. GTS-21, an α7nAChR agonist, suppressed the production of key inflammatory mediators by PBMCs that are elevated in COPD patients and associated with impaired lung function. </w:t>
      </w:r>
      <w:r w:rsidRPr="00B7221C">
        <w:rPr>
          <w:rFonts w:ascii="Book Antiqua" w:eastAsia="Book Antiqua" w:hAnsi="Book Antiqua" w:cs="Book Antiqua"/>
          <w:i/>
          <w:iCs/>
          <w:color w:val="000000"/>
        </w:rPr>
        <w:t>Immunobiology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225</w:t>
      </w:r>
      <w:r w:rsidRPr="00B7221C">
        <w:rPr>
          <w:rFonts w:ascii="Book Antiqua" w:eastAsia="Book Antiqua" w:hAnsi="Book Antiqua" w:cs="Book Antiqua"/>
          <w:color w:val="000000"/>
        </w:rPr>
        <w:t>: 151950 [PMID: 32387130 DOI: 10.1016/j.imbio.2020.151950]</w:t>
      </w:r>
    </w:p>
    <w:p w14:paraId="724808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154 </w:t>
      </w:r>
      <w:r w:rsidRPr="00B7221C">
        <w:rPr>
          <w:rFonts w:ascii="Book Antiqua" w:eastAsia="Book Antiqua" w:hAnsi="Book Antiqua" w:cs="Book Antiqua"/>
          <w:b/>
          <w:bCs/>
          <w:color w:val="000000"/>
        </w:rPr>
        <w:t>Ten Hove AS</w:t>
      </w:r>
      <w:r w:rsidRPr="00B7221C">
        <w:rPr>
          <w:rFonts w:ascii="Book Antiqua" w:eastAsia="Book Antiqua" w:hAnsi="Book Antiqua" w:cs="Book Antiqua"/>
          <w:color w:val="000000"/>
        </w:rPr>
        <w:t xml:space="preserve">, Brinkman DJ, Li Yim AYF, Verseijden C, Hakvoort TBM, Admiraal I, Welting O, van Hamersveld PHP, Sinniger V, Bonaz B, Luyer MD, de Jonge WJ. The </w:t>
      </w:r>
      <w:r w:rsidRPr="00B7221C">
        <w:rPr>
          <w:rFonts w:ascii="Book Antiqua" w:eastAsia="Book Antiqua" w:hAnsi="Book Antiqua" w:cs="Book Antiqua"/>
          <w:color w:val="000000"/>
        </w:rPr>
        <w:lastRenderedPageBreak/>
        <w:t xml:space="preserve">role of nicotinic receptors in SARS-CoV-2 receptor ACE2 expression in intestinal epithelia. </w:t>
      </w:r>
      <w:r w:rsidRPr="00B7221C">
        <w:rPr>
          <w:rFonts w:ascii="Book Antiqua" w:eastAsia="Book Antiqua" w:hAnsi="Book Antiqua" w:cs="Book Antiqua"/>
          <w:i/>
          <w:iCs/>
          <w:color w:val="000000"/>
        </w:rPr>
        <w:t>Bioelectron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20 [PMID: 33123616 DOI: 10.1186/s42234-020-00057-1]</w:t>
      </w:r>
    </w:p>
    <w:p w14:paraId="507DF1B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155 </w:t>
      </w:r>
      <w:r w:rsidRPr="00B7221C">
        <w:rPr>
          <w:rFonts w:ascii="Book Antiqua" w:eastAsia="Book Antiqua" w:hAnsi="Book Antiqua" w:cs="Book Antiqua"/>
          <w:b/>
          <w:bCs/>
          <w:color w:val="000000"/>
        </w:rPr>
        <w:t>Farsalinos K</w:t>
      </w:r>
      <w:r w:rsidRPr="00B7221C">
        <w:rPr>
          <w:rFonts w:ascii="Book Antiqua" w:eastAsia="Book Antiqua" w:hAnsi="Book Antiqua" w:cs="Book Antiqua"/>
          <w:color w:val="000000"/>
        </w:rPr>
        <w:t xml:space="preserve">, Eliopoulos E, Leonidas DD, Papadopoulos GE, Tzartos S, Poulas K. Nicotinic Cholinergic System and COVID-19: In Silico Identification of an Interaction between SARS-CoV-2 and Nicotinic Receptors with Potential Therapeutic Targeting Implications. </w:t>
      </w:r>
      <w:r w:rsidRPr="00B7221C">
        <w:rPr>
          <w:rFonts w:ascii="Book Antiqua" w:eastAsia="Book Antiqua" w:hAnsi="Book Antiqua" w:cs="Book Antiqua"/>
          <w:i/>
          <w:iCs/>
          <w:color w:val="000000"/>
        </w:rPr>
        <w:t>Int J Mol Sci</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21</w:t>
      </w:r>
      <w:r w:rsidRPr="00B7221C">
        <w:rPr>
          <w:rFonts w:ascii="Book Antiqua" w:eastAsia="Book Antiqua" w:hAnsi="Book Antiqua" w:cs="Book Antiqua"/>
          <w:color w:val="000000"/>
        </w:rPr>
        <w:t xml:space="preserve"> [PMID: 32823591 DOI: 10.3390/ijms21165807]</w:t>
      </w:r>
    </w:p>
    <w:p w14:paraId="0AAE5B7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156 </w:t>
      </w:r>
      <w:r w:rsidRPr="00B7221C">
        <w:rPr>
          <w:rFonts w:ascii="Book Antiqua" w:eastAsia="Book Antiqua" w:hAnsi="Book Antiqua" w:cs="Book Antiqua"/>
          <w:b/>
          <w:bCs/>
          <w:color w:val="000000"/>
        </w:rPr>
        <w:t>Sappington PL</w:t>
      </w:r>
      <w:r w:rsidRPr="00B7221C">
        <w:rPr>
          <w:rFonts w:ascii="Book Antiqua" w:eastAsia="Book Antiqua" w:hAnsi="Book Antiqua" w:cs="Book Antiqua"/>
          <w:color w:val="000000"/>
        </w:rPr>
        <w:t xml:space="preserve">, Yang R, Yang H, Tracey KJ, Delude RL, Fink MP. HMGB1 B box increases the permeability of Caco-2 enterocytic monolayers and impairs intestinal barrier function in mice.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2002; </w:t>
      </w:r>
      <w:r w:rsidRPr="00B7221C">
        <w:rPr>
          <w:rFonts w:ascii="Book Antiqua" w:eastAsia="Book Antiqua" w:hAnsi="Book Antiqua" w:cs="Book Antiqua"/>
          <w:b/>
          <w:bCs/>
          <w:color w:val="000000"/>
        </w:rPr>
        <w:t>123</w:t>
      </w:r>
      <w:r w:rsidRPr="00B7221C">
        <w:rPr>
          <w:rFonts w:ascii="Book Antiqua" w:eastAsia="Book Antiqua" w:hAnsi="Book Antiqua" w:cs="Book Antiqua"/>
          <w:color w:val="000000"/>
        </w:rPr>
        <w:t>: 790-802 [PMID: 12198705 DOI: 10.1053/gast.2002.35391]</w:t>
      </w:r>
    </w:p>
    <w:p w14:paraId="5DF6916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157 </w:t>
      </w:r>
      <w:r w:rsidRPr="00B7221C">
        <w:rPr>
          <w:rFonts w:ascii="Book Antiqua" w:eastAsia="Book Antiqua" w:hAnsi="Book Antiqua" w:cs="Book Antiqua"/>
          <w:b/>
          <w:bCs/>
          <w:color w:val="000000"/>
        </w:rPr>
        <w:t>Leung JM</w:t>
      </w:r>
      <w:r w:rsidRPr="00B7221C">
        <w:rPr>
          <w:rFonts w:ascii="Book Antiqua" w:eastAsia="Book Antiqua" w:hAnsi="Book Antiqua" w:cs="Book Antiqua"/>
          <w:color w:val="000000"/>
        </w:rPr>
        <w:t xml:space="preserve">, Yang CX, Sin DD. COVID-19 and nicotine as a mediator of ACE-2. </w:t>
      </w:r>
      <w:r w:rsidRPr="00B7221C">
        <w:rPr>
          <w:rFonts w:ascii="Book Antiqua" w:eastAsia="Book Antiqua" w:hAnsi="Book Antiqua" w:cs="Book Antiqua"/>
          <w:i/>
          <w:iCs/>
          <w:color w:val="000000"/>
        </w:rPr>
        <w:t>Eur Respir J</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55</w:t>
      </w:r>
      <w:r w:rsidRPr="00B7221C">
        <w:rPr>
          <w:rFonts w:ascii="Book Antiqua" w:eastAsia="Book Antiqua" w:hAnsi="Book Antiqua" w:cs="Book Antiqua"/>
          <w:color w:val="000000"/>
        </w:rPr>
        <w:t xml:space="preserve"> [PMID: 32350104 DOI: 10.1183/13993003.01261-2020]</w:t>
      </w:r>
    </w:p>
    <w:p w14:paraId="5734313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158 </w:t>
      </w:r>
      <w:r w:rsidRPr="00B7221C">
        <w:rPr>
          <w:rFonts w:ascii="Book Antiqua" w:eastAsia="Book Antiqua" w:hAnsi="Book Antiqua" w:cs="Book Antiqua"/>
          <w:b/>
          <w:bCs/>
          <w:color w:val="000000"/>
        </w:rPr>
        <w:t>Uemura N</w:t>
      </w:r>
      <w:r w:rsidRPr="00B7221C">
        <w:rPr>
          <w:rFonts w:ascii="Book Antiqua" w:eastAsia="Book Antiqua" w:hAnsi="Book Antiqua" w:cs="Book Antiqua"/>
          <w:color w:val="000000"/>
        </w:rPr>
        <w:t xml:space="preserve">, Yagi H, Uemura MT, Hatanaka Y, Yamakado H, Takahashi R. Inoculation of α-synuclein preformed fibrils into the mouse gastrointestinal tract induces Lewy body-like aggregates in the brainstem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the vagus nerve. </w:t>
      </w:r>
      <w:r w:rsidRPr="00B7221C">
        <w:rPr>
          <w:rFonts w:ascii="Book Antiqua" w:eastAsia="Book Antiqua" w:hAnsi="Book Antiqua" w:cs="Book Antiqua"/>
          <w:i/>
          <w:iCs/>
          <w:color w:val="000000"/>
        </w:rPr>
        <w:t>Mol Neurodegener</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13</w:t>
      </w:r>
      <w:r w:rsidRPr="00B7221C">
        <w:rPr>
          <w:rFonts w:ascii="Book Antiqua" w:eastAsia="Book Antiqua" w:hAnsi="Book Antiqua" w:cs="Book Antiqua"/>
          <w:color w:val="000000"/>
        </w:rPr>
        <w:t>: 21 [PMID: 29751824 DOI: 10.1186/s13024-018-0257-5]</w:t>
      </w:r>
    </w:p>
    <w:p w14:paraId="085027C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159 </w:t>
      </w:r>
      <w:r w:rsidRPr="00B7221C">
        <w:rPr>
          <w:rFonts w:ascii="Book Antiqua" w:eastAsia="Book Antiqua" w:hAnsi="Book Antiqua" w:cs="Book Antiqua"/>
          <w:b/>
          <w:bCs/>
          <w:color w:val="000000"/>
        </w:rPr>
        <w:t>Tassorelli C</w:t>
      </w:r>
      <w:r w:rsidRPr="00B7221C">
        <w:rPr>
          <w:rFonts w:ascii="Book Antiqua" w:eastAsia="Book Antiqua" w:hAnsi="Book Antiqua" w:cs="Book Antiqua"/>
          <w:color w:val="000000"/>
        </w:rPr>
        <w:t xml:space="preserve">, Mojoli F, Baldanti F, Bruno R, Benazzo M. COVID-19: what if the brain had a role in causing the deaths? </w:t>
      </w:r>
      <w:r w:rsidRPr="00B7221C">
        <w:rPr>
          <w:rFonts w:ascii="Book Antiqua" w:eastAsia="Book Antiqua" w:hAnsi="Book Antiqua" w:cs="Book Antiqua"/>
          <w:i/>
          <w:iCs/>
          <w:color w:val="000000"/>
        </w:rPr>
        <w:t>Eur J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27</w:t>
      </w:r>
      <w:r w:rsidRPr="00B7221C">
        <w:rPr>
          <w:rFonts w:ascii="Book Antiqua" w:eastAsia="Book Antiqua" w:hAnsi="Book Antiqua" w:cs="Book Antiqua"/>
          <w:color w:val="000000"/>
        </w:rPr>
        <w:t>: e41-e42 [PMID: 32333819 DOI: 10.1111/ene.14275]</w:t>
      </w:r>
    </w:p>
    <w:p w14:paraId="0612C44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160 </w:t>
      </w:r>
      <w:r w:rsidRPr="00B7221C">
        <w:rPr>
          <w:rFonts w:ascii="Book Antiqua" w:eastAsia="Book Antiqua" w:hAnsi="Book Antiqua" w:cs="Book Antiqua"/>
          <w:b/>
          <w:bCs/>
          <w:color w:val="000000"/>
        </w:rPr>
        <w:t>Matschke J</w:t>
      </w:r>
      <w:r w:rsidRPr="00B7221C">
        <w:rPr>
          <w:rFonts w:ascii="Book Antiqua" w:eastAsia="Book Antiqua" w:hAnsi="Book Antiqua" w:cs="Book Antiqua"/>
          <w:color w:val="000000"/>
        </w:rPr>
        <w:t xml:space="preserve">, Lütgehetmann M, Hagel C, Sperhake JP, Schröder AS, Edler C, Mushumba H, Fitzek A, Allweiss L, Dandri M, Dottermusch M, Heinemann A, Pfefferle S, Schwabenland M, Sumner Magruder D, Bonn S, Prinz M, Gerloff C, Püschel K, Krasemann S, Aepfelbacher M, Glatzel M. Neuropathology of patients with COVID-19 in Germany: a post-mortem case series. </w:t>
      </w:r>
      <w:r w:rsidRPr="00B7221C">
        <w:rPr>
          <w:rFonts w:ascii="Book Antiqua" w:eastAsia="Book Antiqua" w:hAnsi="Book Antiqua" w:cs="Book Antiqua"/>
          <w:i/>
          <w:iCs/>
          <w:color w:val="000000"/>
        </w:rPr>
        <w:t>Lancet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19</w:t>
      </w:r>
      <w:r w:rsidRPr="00B7221C">
        <w:rPr>
          <w:rFonts w:ascii="Book Antiqua" w:eastAsia="Book Antiqua" w:hAnsi="Book Antiqua" w:cs="Book Antiqua"/>
          <w:color w:val="000000"/>
        </w:rPr>
        <w:t>: 919-929 [PMID: 33031735 DOI: 10.1016/S1474-4422(20)30308-2]</w:t>
      </w:r>
    </w:p>
    <w:p w14:paraId="18FFA59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161 </w:t>
      </w:r>
      <w:r w:rsidRPr="00B7221C">
        <w:rPr>
          <w:rFonts w:ascii="Book Antiqua" w:eastAsia="Book Antiqua" w:hAnsi="Book Antiqua" w:cs="Book Antiqua"/>
          <w:b/>
          <w:bCs/>
          <w:color w:val="000000"/>
        </w:rPr>
        <w:t>U R A</w:t>
      </w:r>
      <w:r w:rsidRPr="00B7221C">
        <w:rPr>
          <w:rFonts w:ascii="Book Antiqua" w:eastAsia="Book Antiqua" w:hAnsi="Book Antiqua" w:cs="Book Antiqua"/>
          <w:color w:val="000000"/>
        </w:rPr>
        <w:t xml:space="preserve">, Verma K. Pulmonary Edema in COVID19-A Neural Hypothesis. </w:t>
      </w:r>
      <w:r w:rsidRPr="00B7221C">
        <w:rPr>
          <w:rFonts w:ascii="Book Antiqua" w:eastAsia="Book Antiqua" w:hAnsi="Book Antiqua" w:cs="Book Antiqua"/>
          <w:i/>
          <w:iCs/>
          <w:color w:val="000000"/>
        </w:rPr>
        <w:t>ACS Chem Neurosci</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2048-2050 [PMID: 32614178 DOI: 10.1021/acschemneuro.0c00370]</w:t>
      </w:r>
    </w:p>
    <w:p w14:paraId="2281542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162 </w:t>
      </w:r>
      <w:r w:rsidRPr="00B7221C">
        <w:rPr>
          <w:rFonts w:ascii="Book Antiqua" w:eastAsia="Book Antiqua" w:hAnsi="Book Antiqua" w:cs="Book Antiqua"/>
          <w:b/>
          <w:bCs/>
          <w:color w:val="000000"/>
        </w:rPr>
        <w:t>Chigr F</w:t>
      </w:r>
      <w:r w:rsidRPr="00B7221C">
        <w:rPr>
          <w:rFonts w:ascii="Book Antiqua" w:eastAsia="Book Antiqua" w:hAnsi="Book Antiqua" w:cs="Book Antiqua"/>
          <w:color w:val="000000"/>
        </w:rPr>
        <w:t xml:space="preserve">, Merzouki M, Najimi M. Autonomic Brain Centers and Pathophysiology of COVID-19. </w:t>
      </w:r>
      <w:r w:rsidRPr="00B7221C">
        <w:rPr>
          <w:rFonts w:ascii="Book Antiqua" w:eastAsia="Book Antiqua" w:hAnsi="Book Antiqua" w:cs="Book Antiqua"/>
          <w:i/>
          <w:iCs/>
          <w:color w:val="000000"/>
        </w:rPr>
        <w:t>ACS Chem Neurosci</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1520-1522 [PMID: 32427468 DOI: 10.1021/acschemneuro.0c00265]</w:t>
      </w:r>
    </w:p>
    <w:p w14:paraId="56850C2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163 </w:t>
      </w:r>
      <w:r w:rsidRPr="00B7221C">
        <w:rPr>
          <w:rFonts w:ascii="Book Antiqua" w:eastAsia="Book Antiqua" w:hAnsi="Book Antiqua" w:cs="Book Antiqua"/>
          <w:b/>
          <w:bCs/>
          <w:color w:val="000000"/>
        </w:rPr>
        <w:t>Nizri E</w:t>
      </w:r>
      <w:r w:rsidRPr="00B7221C">
        <w:rPr>
          <w:rFonts w:ascii="Book Antiqua" w:eastAsia="Book Antiqua" w:hAnsi="Book Antiqua" w:cs="Book Antiqua"/>
          <w:color w:val="000000"/>
        </w:rPr>
        <w:t xml:space="preserve">, Irony-Tur-Sinai M, Lory O, Orr-Urtreger A, Lavi E, Brenner T. Activation of the cholinergic anti-inflammatory system by nicotine attenuates neuroinflammation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suppression of Th1 and Th17 responses.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2009; </w:t>
      </w:r>
      <w:r w:rsidRPr="00B7221C">
        <w:rPr>
          <w:rFonts w:ascii="Book Antiqua" w:eastAsia="Book Antiqua" w:hAnsi="Book Antiqua" w:cs="Book Antiqua"/>
          <w:b/>
          <w:bCs/>
          <w:color w:val="000000"/>
        </w:rPr>
        <w:t>183</w:t>
      </w:r>
      <w:r w:rsidRPr="00B7221C">
        <w:rPr>
          <w:rFonts w:ascii="Book Antiqua" w:eastAsia="Book Antiqua" w:hAnsi="Book Antiqua" w:cs="Book Antiqua"/>
          <w:color w:val="000000"/>
        </w:rPr>
        <w:t>: 6681-6688 [PMID: 19846875 DOI: 10.4049/jimmunol.0902212]</w:t>
      </w:r>
    </w:p>
    <w:p w14:paraId="49309E7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164 </w:t>
      </w:r>
      <w:r w:rsidRPr="00B7221C">
        <w:rPr>
          <w:rFonts w:ascii="Book Antiqua" w:eastAsia="Book Antiqua" w:hAnsi="Book Antiqua" w:cs="Book Antiqua"/>
          <w:b/>
          <w:bCs/>
          <w:color w:val="000000"/>
        </w:rPr>
        <w:t>Baud D</w:t>
      </w:r>
      <w:r w:rsidRPr="00B7221C">
        <w:rPr>
          <w:rFonts w:ascii="Book Antiqua" w:eastAsia="Book Antiqua" w:hAnsi="Book Antiqua" w:cs="Book Antiqua"/>
          <w:color w:val="000000"/>
        </w:rPr>
        <w:t xml:space="preserve">, Dimopoulou Agri V, Gibson GR, Reid G, Giannoni E. Using Probiotics to Flatten the Curve of Coronavirus Disease COVID-2019 Pandemic. </w:t>
      </w:r>
      <w:r w:rsidRPr="00B7221C">
        <w:rPr>
          <w:rFonts w:ascii="Book Antiqua" w:eastAsia="Book Antiqua" w:hAnsi="Book Antiqua" w:cs="Book Antiqua"/>
          <w:i/>
          <w:iCs/>
          <w:color w:val="000000"/>
        </w:rPr>
        <w:t>Front Public Health</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186 [PMID: 32574290 DOI: 10.3389/fpubh.2020.00186]</w:t>
      </w:r>
    </w:p>
    <w:p w14:paraId="693C3B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165 </w:t>
      </w:r>
      <w:r w:rsidRPr="00B7221C">
        <w:rPr>
          <w:rFonts w:ascii="Book Antiqua" w:eastAsia="Book Antiqua" w:hAnsi="Book Antiqua" w:cs="Book Antiqua"/>
          <w:b/>
          <w:bCs/>
          <w:color w:val="000000"/>
        </w:rPr>
        <w:t>Zevin AS</w:t>
      </w:r>
      <w:r w:rsidRPr="00B7221C">
        <w:rPr>
          <w:rFonts w:ascii="Book Antiqua" w:eastAsia="Book Antiqua" w:hAnsi="Book Antiqua" w:cs="Book Antiqua"/>
          <w:color w:val="000000"/>
        </w:rPr>
        <w:t xml:space="preserve">, McKinnon L, Burgener A, Klatt NR. Microbial translocation and microbiome dysbiosis in HIV-associated immune activation. </w:t>
      </w:r>
      <w:r w:rsidRPr="00B7221C">
        <w:rPr>
          <w:rFonts w:ascii="Book Antiqua" w:eastAsia="Book Antiqua" w:hAnsi="Book Antiqua" w:cs="Book Antiqua"/>
          <w:i/>
          <w:iCs/>
          <w:color w:val="000000"/>
        </w:rPr>
        <w:t>Curr Opin HIV AIDS</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182-190 [PMID: 26679414 DOI: 10.1097/COH.0000000000000234]</w:t>
      </w:r>
    </w:p>
    <w:p w14:paraId="46B283A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166 </w:t>
      </w:r>
      <w:r w:rsidRPr="00B7221C">
        <w:rPr>
          <w:rFonts w:ascii="Book Antiqua" w:eastAsia="Book Antiqua" w:hAnsi="Book Antiqua" w:cs="Book Antiqua"/>
          <w:b/>
          <w:bCs/>
          <w:color w:val="000000"/>
        </w:rPr>
        <w:t>Li W</w:t>
      </w:r>
      <w:r w:rsidRPr="00B7221C">
        <w:rPr>
          <w:rFonts w:ascii="Book Antiqua" w:eastAsia="Book Antiqua" w:hAnsi="Book Antiqua" w:cs="Book Antiqua"/>
          <w:color w:val="000000"/>
        </w:rPr>
        <w:t xml:space="preserve">, Zhu Y, Liao Q, Wang Z, Wan C. Characterization of gut microbiota in children with pulmonary tuberculosis. </w:t>
      </w:r>
      <w:r w:rsidRPr="00B7221C">
        <w:rPr>
          <w:rFonts w:ascii="Book Antiqua" w:eastAsia="Book Antiqua" w:hAnsi="Book Antiqua" w:cs="Book Antiqua"/>
          <w:i/>
          <w:iCs/>
          <w:color w:val="000000"/>
        </w:rPr>
        <w:t>BMC Pediatr</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19</w:t>
      </w:r>
      <w:r w:rsidRPr="00B7221C">
        <w:rPr>
          <w:rFonts w:ascii="Book Antiqua" w:eastAsia="Book Antiqua" w:hAnsi="Book Antiqua" w:cs="Book Antiqua"/>
          <w:color w:val="000000"/>
        </w:rPr>
        <w:t>: 445 [PMID: 31735171 DOI: 10.1186/s12887-019-1782-2]</w:t>
      </w:r>
    </w:p>
    <w:p w14:paraId="497118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167 </w:t>
      </w:r>
      <w:r w:rsidRPr="00B7221C">
        <w:rPr>
          <w:rFonts w:ascii="Book Antiqua" w:eastAsia="Book Antiqua" w:hAnsi="Book Antiqua" w:cs="Book Antiqua"/>
          <w:b/>
          <w:bCs/>
          <w:color w:val="000000"/>
        </w:rPr>
        <w:t>Dyavar Shetty R</w:t>
      </w:r>
      <w:r w:rsidRPr="00B7221C">
        <w:rPr>
          <w:rFonts w:ascii="Book Antiqua" w:eastAsia="Book Antiqua" w:hAnsi="Book Antiqua" w:cs="Book Antiqua"/>
          <w:color w:val="000000"/>
        </w:rPr>
        <w:t xml:space="preserve">, Velu V, Titanji K, Bosinger SE, Freeman GJ, Silvestri G, Amara RR. PD-1 blockade during chronic SIV infection reduces hyperimmune activation and microbial translocation in rhesus macaques. </w:t>
      </w:r>
      <w:r w:rsidRPr="00B7221C">
        <w:rPr>
          <w:rFonts w:ascii="Book Antiqua" w:eastAsia="Book Antiqua" w:hAnsi="Book Antiqua" w:cs="Book Antiqua"/>
          <w:i/>
          <w:iCs/>
          <w:color w:val="000000"/>
        </w:rPr>
        <w:t>J Clin Invest</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122</w:t>
      </w:r>
      <w:r w:rsidRPr="00B7221C">
        <w:rPr>
          <w:rFonts w:ascii="Book Antiqua" w:eastAsia="Book Antiqua" w:hAnsi="Book Antiqua" w:cs="Book Antiqua"/>
          <w:color w:val="000000"/>
        </w:rPr>
        <w:t>: 1712-1716 [PMID: 22523065 DOI: 10.1172/JCI60612]</w:t>
      </w:r>
    </w:p>
    <w:p w14:paraId="12C88BC2" w14:textId="15BE707E"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168 </w:t>
      </w:r>
      <w:r w:rsidRPr="00B7221C">
        <w:rPr>
          <w:rFonts w:ascii="Book Antiqua" w:eastAsia="Book Antiqua" w:hAnsi="Book Antiqua" w:cs="Book Antiqua"/>
          <w:b/>
          <w:bCs/>
          <w:color w:val="000000"/>
        </w:rPr>
        <w:t>Olwenyi OA</w:t>
      </w:r>
      <w:r w:rsidRPr="00C22C0A">
        <w:rPr>
          <w:rFonts w:ascii="Book Antiqua" w:eastAsia="Book Antiqua" w:hAnsi="Book Antiqua" w:cs="Book Antiqua"/>
          <w:bCs/>
          <w:color w:val="000000"/>
        </w:rPr>
        <w:t>,</w:t>
      </w:r>
      <w:r w:rsidRPr="00C22C0A">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Naluyima P, Cham F, Quinn TC, Serwadda D, Sewankambo NK, Gray RH, Sandberg JK, Michael NL, Wabwire-Mangen F. Differential associations of IL-6 and intestinal fatty acid-binding protein with progressive untreated HIV-1 infection in Rakai, Uganda. </w:t>
      </w:r>
      <w:r w:rsidR="00DE4964" w:rsidRPr="00B7221C">
        <w:rPr>
          <w:rFonts w:ascii="Book Antiqua" w:eastAsia="Book Antiqua" w:hAnsi="Book Antiqua" w:cs="Book Antiqua"/>
          <w:i/>
          <w:iCs/>
          <w:color w:val="000000"/>
        </w:rPr>
        <w:t>JAIDS</w:t>
      </w:r>
      <w:r w:rsidR="00DE4964" w:rsidRPr="00B7221C">
        <w:rPr>
          <w:rFonts w:ascii="Book Antiqua" w:eastAsia="Book Antiqua" w:hAnsi="Book Antiqua" w:cs="Book Antiqua"/>
          <w:color w:val="000000"/>
        </w:rPr>
        <w:t xml:space="preserve"> 2016; </w:t>
      </w:r>
      <w:r w:rsidR="00DE4964" w:rsidRPr="00B7221C">
        <w:rPr>
          <w:rFonts w:ascii="Book Antiqua" w:eastAsia="Book Antiqua" w:hAnsi="Book Antiqua" w:cs="Book Antiqua"/>
          <w:b/>
          <w:bCs/>
          <w:color w:val="000000"/>
        </w:rPr>
        <w:t>72</w:t>
      </w:r>
      <w:r w:rsidR="00DE4964" w:rsidRPr="00B7221C">
        <w:rPr>
          <w:rFonts w:ascii="Book Antiqua" w:eastAsia="Book Antiqua" w:hAnsi="Book Antiqua" w:cs="Book Antiqua"/>
          <w:color w:val="000000"/>
        </w:rPr>
        <w:t>: 15-20 [DOI: 10.1097/QAI.0000000000000915]</w:t>
      </w:r>
    </w:p>
    <w:p w14:paraId="32A6487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169 </w:t>
      </w:r>
      <w:r w:rsidRPr="00B7221C">
        <w:rPr>
          <w:rFonts w:ascii="Book Antiqua" w:eastAsia="Book Antiqua" w:hAnsi="Book Antiqua" w:cs="Book Antiqua"/>
          <w:b/>
          <w:bCs/>
          <w:color w:val="000000"/>
        </w:rPr>
        <w:t>Muñoz-Nevárez LA</w:t>
      </w:r>
      <w:r w:rsidRPr="00B7221C">
        <w:rPr>
          <w:rFonts w:ascii="Book Antiqua" w:eastAsia="Book Antiqua" w:hAnsi="Book Antiqua" w:cs="Book Antiqua"/>
          <w:color w:val="000000"/>
        </w:rPr>
        <w:t xml:space="preserve">, Imp BM, Eller MA, Kiweewa F, Maswai J, Polyak C, Olwenyi OA, Allen IE, Rono E, Milanini B, Kibuuka H, Ake JA, Eller LA, Valcour VG. Monocyte activation, HIV, and cognitive performance in East Africa. </w:t>
      </w:r>
      <w:r w:rsidRPr="00B7221C">
        <w:rPr>
          <w:rFonts w:ascii="Book Antiqua" w:eastAsia="Book Antiqua" w:hAnsi="Book Antiqua" w:cs="Book Antiqua"/>
          <w:i/>
          <w:iCs/>
          <w:color w:val="000000"/>
        </w:rPr>
        <w:t>J Neurovirol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52-59 [PMID: 31468471 DOI: 10.1007/s13365-019-00794-3]</w:t>
      </w:r>
    </w:p>
    <w:p w14:paraId="3037303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170 </w:t>
      </w:r>
      <w:r w:rsidRPr="00B7221C">
        <w:rPr>
          <w:rFonts w:ascii="Book Antiqua" w:eastAsia="Book Antiqua" w:hAnsi="Book Antiqua" w:cs="Book Antiqua"/>
          <w:b/>
          <w:bCs/>
          <w:color w:val="000000"/>
        </w:rPr>
        <w:t>Onkoba NW</w:t>
      </w:r>
      <w:r w:rsidRPr="00B7221C">
        <w:rPr>
          <w:rFonts w:ascii="Book Antiqua" w:eastAsia="Book Antiqua" w:hAnsi="Book Antiqua" w:cs="Book Antiqua"/>
          <w:color w:val="000000"/>
        </w:rPr>
        <w:t xml:space="preserve">, Chimbari MJ, Mukaratirwa S. Malaria endemicity and co-infection with tissue-dwelling parasites in Sub-Saharan Africa: a review. </w:t>
      </w:r>
      <w:r w:rsidRPr="00B7221C">
        <w:rPr>
          <w:rFonts w:ascii="Book Antiqua" w:eastAsia="Book Antiqua" w:hAnsi="Book Antiqua" w:cs="Book Antiqua"/>
          <w:i/>
          <w:iCs/>
          <w:color w:val="000000"/>
        </w:rPr>
        <w:t>Infect Dis Poverty</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35 [PMID: 26377900 DOI: 10.1186/s40249-015-0070-0]</w:t>
      </w:r>
    </w:p>
    <w:p w14:paraId="5042455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171 </w:t>
      </w:r>
      <w:r w:rsidRPr="00B7221C">
        <w:rPr>
          <w:rFonts w:ascii="Book Antiqua" w:eastAsia="Book Antiqua" w:hAnsi="Book Antiqua" w:cs="Book Antiqua"/>
          <w:b/>
          <w:bCs/>
          <w:color w:val="000000"/>
        </w:rPr>
        <w:t>Degarege A</w:t>
      </w:r>
      <w:r w:rsidRPr="00B7221C">
        <w:rPr>
          <w:rFonts w:ascii="Book Antiqua" w:eastAsia="Book Antiqua" w:hAnsi="Book Antiqua" w:cs="Book Antiqua"/>
          <w:color w:val="000000"/>
        </w:rPr>
        <w:t xml:space="preserve">, Veledar E, Degarege D, Erko B, Nacher M, Madhivanan P. Plasmodium falciparum and soil-transmitted helminth co-infections among children in sub-Saharan Africa: a systematic review and meta-analysis. </w:t>
      </w:r>
      <w:r w:rsidRPr="00B7221C">
        <w:rPr>
          <w:rFonts w:ascii="Book Antiqua" w:eastAsia="Book Antiqua" w:hAnsi="Book Antiqua" w:cs="Book Antiqua"/>
          <w:i/>
          <w:iCs/>
          <w:color w:val="000000"/>
        </w:rPr>
        <w:t>Parasit Vectors</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344 [PMID: 27306987 DOI: 10.1186/s13071-016-1594-2]</w:t>
      </w:r>
    </w:p>
    <w:p w14:paraId="1969EDE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172 </w:t>
      </w:r>
      <w:r w:rsidRPr="00B7221C">
        <w:rPr>
          <w:rFonts w:ascii="Book Antiqua" w:eastAsia="Book Antiqua" w:hAnsi="Book Antiqua" w:cs="Book Antiqua"/>
          <w:b/>
          <w:bCs/>
          <w:color w:val="000000"/>
        </w:rPr>
        <w:t>Bhaskaran K</w:t>
      </w:r>
      <w:r w:rsidRPr="00B7221C">
        <w:rPr>
          <w:rFonts w:ascii="Book Antiqua" w:eastAsia="Book Antiqua" w:hAnsi="Book Antiqua" w:cs="Book Antiqua"/>
          <w:color w:val="000000"/>
        </w:rPr>
        <w:t xml:space="preserve">, Rentsch CT, MacKenna B, Schultze A, Mehrkar A, Bates CJ, Eggo RM, Morton CE, Bacon SCJ, Inglesby P, Douglas IJ, Walker AJ, McDonald HI, Cockburn J, Williamson EJ, Evans D, Forbes HJ, Curtis HJ, Hulme WJ, Parry J, Hester F, Harper S, Evans SJW, Smeeth L, Goldacre B. HIV infection and COVID-19 death: a population-based cohort analysis of UK primary care data and linked national death registrations within the OpenSAFELY platform. </w:t>
      </w:r>
      <w:r w:rsidRPr="00B7221C">
        <w:rPr>
          <w:rFonts w:ascii="Book Antiqua" w:eastAsia="Book Antiqua" w:hAnsi="Book Antiqua" w:cs="Book Antiqua"/>
          <w:i/>
          <w:iCs/>
          <w:color w:val="000000"/>
        </w:rPr>
        <w:t>Lancet HIV</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e24-e32 [PMID: 33316211 DOI: 10.1016/S2352-3018(20)30305-2]</w:t>
      </w:r>
    </w:p>
    <w:p w14:paraId="0FD8503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173 </w:t>
      </w:r>
      <w:r w:rsidRPr="00B7221C">
        <w:rPr>
          <w:rFonts w:ascii="Book Antiqua" w:eastAsia="Book Antiqua" w:hAnsi="Book Antiqua" w:cs="Book Antiqua"/>
          <w:b/>
          <w:bCs/>
          <w:color w:val="000000"/>
        </w:rPr>
        <w:t>Ayanlade A</w:t>
      </w:r>
      <w:r w:rsidRPr="00B7221C">
        <w:rPr>
          <w:rFonts w:ascii="Book Antiqua" w:eastAsia="Book Antiqua" w:hAnsi="Book Antiqua" w:cs="Book Antiqua"/>
          <w:color w:val="000000"/>
        </w:rPr>
        <w:t xml:space="preserve">, Radeny M. COVID-19 and food security in Sub-Saharan Africa: implications of lockdown during agricultural planting seasons. </w:t>
      </w:r>
      <w:r w:rsidRPr="00B7221C">
        <w:rPr>
          <w:rFonts w:ascii="Book Antiqua" w:eastAsia="Book Antiqua" w:hAnsi="Book Antiqua" w:cs="Book Antiqua"/>
          <w:i/>
          <w:iCs/>
          <w:color w:val="000000"/>
        </w:rPr>
        <w:t>NPJ Sci Food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13 [PMID: 33015370 DOI: 10.1038/s41538-020-00073-0]</w:t>
      </w:r>
    </w:p>
    <w:p w14:paraId="788B437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174 </w:t>
      </w:r>
      <w:r w:rsidRPr="00B7221C">
        <w:rPr>
          <w:rFonts w:ascii="Book Antiqua" w:eastAsia="Book Antiqua" w:hAnsi="Book Antiqua" w:cs="Book Antiqua"/>
          <w:b/>
          <w:bCs/>
          <w:color w:val="000000"/>
        </w:rPr>
        <w:t>Bain LE</w:t>
      </w:r>
      <w:r w:rsidRPr="00B7221C">
        <w:rPr>
          <w:rFonts w:ascii="Book Antiqua" w:eastAsia="Book Antiqua" w:hAnsi="Book Antiqua" w:cs="Book Antiqua"/>
          <w:color w:val="000000"/>
        </w:rPr>
        <w:t xml:space="preserve">, Awah PK, Geraldine N, Kindong NP, Sigal Y, Bernard N, Tanjeko AT. Malnutrition in Sub-Saharan Africa: burden, causes and prospects. </w:t>
      </w:r>
      <w:r w:rsidRPr="00B7221C">
        <w:rPr>
          <w:rFonts w:ascii="Book Antiqua" w:eastAsia="Book Antiqua" w:hAnsi="Book Antiqua" w:cs="Book Antiqua"/>
          <w:i/>
          <w:iCs/>
          <w:color w:val="000000"/>
        </w:rPr>
        <w:t>Pan Afr Med J</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120 [PMID: 24255726 DOI: 10.11604/pamj.2013.15.120.2535]</w:t>
      </w:r>
    </w:p>
    <w:p w14:paraId="11A94B56" w14:textId="6B0CAC54" w:rsidR="00A77B3E" w:rsidRPr="00B7221C" w:rsidRDefault="00A143FB" w:rsidP="00B7221C">
      <w:pPr>
        <w:spacing w:line="360" w:lineRule="auto"/>
        <w:jc w:val="both"/>
        <w:rPr>
          <w:rFonts w:ascii="Book Antiqua" w:hAnsi="Book Antiqua"/>
        </w:rPr>
      </w:pPr>
      <w:proofErr w:type="gramStart"/>
      <w:r w:rsidRPr="00B7221C">
        <w:rPr>
          <w:rFonts w:ascii="Book Antiqua" w:eastAsia="Book Antiqua" w:hAnsi="Book Antiqua" w:cs="Book Antiqua"/>
          <w:color w:val="000000"/>
        </w:rPr>
        <w:t xml:space="preserve">175 </w:t>
      </w:r>
      <w:r w:rsidRPr="00B7221C">
        <w:rPr>
          <w:rFonts w:ascii="Book Antiqua" w:eastAsia="Book Antiqua" w:hAnsi="Book Antiqua" w:cs="Book Antiqua"/>
          <w:b/>
          <w:bCs/>
          <w:color w:val="000000"/>
        </w:rPr>
        <w:t>Alegbeleye BJ</w:t>
      </w:r>
      <w:r w:rsidRPr="00C22C0A">
        <w:rPr>
          <w:rFonts w:ascii="Book Antiqua" w:eastAsia="Book Antiqua" w:hAnsi="Book Antiqua" w:cs="Book Antiqua"/>
          <w:bCs/>
          <w:color w:val="000000"/>
        </w:rPr>
        <w:t>,</w:t>
      </w:r>
      <w:r w:rsidRPr="00C22C0A">
        <w:rPr>
          <w:rFonts w:ascii="Book Antiqua" w:eastAsia="Book Antiqua" w:hAnsi="Book Antiqua" w:cs="Book Antiqua"/>
          <w:color w:val="000000"/>
        </w:rPr>
        <w:t xml:space="preserve"> </w:t>
      </w:r>
      <w:r w:rsidRPr="00B7221C">
        <w:rPr>
          <w:rFonts w:ascii="Book Antiqua" w:eastAsia="Book Antiqua" w:hAnsi="Book Antiqua" w:cs="Book Antiqua"/>
          <w:color w:val="000000"/>
        </w:rPr>
        <w:t>Mohammed RK.</w:t>
      </w:r>
      <w:proofErr w:type="gramEnd"/>
      <w:r w:rsidRPr="00B7221C">
        <w:rPr>
          <w:rFonts w:ascii="Book Antiqua" w:eastAsia="Book Antiqua" w:hAnsi="Book Antiqua" w:cs="Book Antiqua"/>
          <w:color w:val="000000"/>
        </w:rPr>
        <w:t xml:space="preserve"> Challenges of healthcare delivery in the context of COVID-19 pandemic in Sub-Saharan Africa. </w:t>
      </w:r>
      <w:r w:rsidRPr="00B7221C">
        <w:rPr>
          <w:rFonts w:ascii="Book Antiqua" w:eastAsia="Book Antiqua" w:hAnsi="Book Antiqua" w:cs="Book Antiqua"/>
          <w:i/>
          <w:iCs/>
          <w:color w:val="000000"/>
        </w:rPr>
        <w:t>Iberoamerican J</w:t>
      </w:r>
      <w:r w:rsidR="00D32B88" w:rsidRPr="00B7221C">
        <w:rPr>
          <w:rFonts w:ascii="Book Antiqua" w:eastAsia="Book Antiqua" w:hAnsi="Book Antiqua" w:cs="Book Antiqua"/>
          <w:i/>
          <w:iCs/>
          <w:color w:val="000000"/>
        </w:rPr>
        <w:t xml:space="preserve"> </w:t>
      </w:r>
      <w:r w:rsidRPr="00B7221C">
        <w:rPr>
          <w:rFonts w:ascii="Book Antiqua" w:eastAsia="Book Antiqua" w:hAnsi="Book Antiqua" w:cs="Book Antiqua"/>
          <w:i/>
          <w:iCs/>
          <w:color w:val="000000"/>
        </w:rPr>
        <w:t>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w:t>
      </w:r>
      <w:r w:rsidRPr="00B7221C">
        <w:rPr>
          <w:rFonts w:ascii="Book Antiqua" w:eastAsia="Book Antiqua" w:hAnsi="Book Antiqua" w:cs="Book Antiqua"/>
          <w:color w:val="000000"/>
        </w:rPr>
        <w:t>: 100-109</w:t>
      </w:r>
    </w:p>
    <w:p w14:paraId="26BBE0C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176 </w:t>
      </w:r>
      <w:r w:rsidRPr="00B7221C">
        <w:rPr>
          <w:rFonts w:ascii="Book Antiqua" w:eastAsia="Book Antiqua" w:hAnsi="Book Antiqua" w:cs="Book Antiqua"/>
          <w:b/>
          <w:bCs/>
          <w:color w:val="000000"/>
        </w:rPr>
        <w:t>Dillon SM</w:t>
      </w:r>
      <w:r w:rsidRPr="00B7221C">
        <w:rPr>
          <w:rFonts w:ascii="Book Antiqua" w:eastAsia="Book Antiqua" w:hAnsi="Book Antiqua" w:cs="Book Antiqua"/>
          <w:color w:val="000000"/>
        </w:rPr>
        <w:t xml:space="preserve">, Kibbie J, Lee EJ, Guo K, Santiago ML, Austin GL, Gianella S, Landay AL, Donovan AM, Frank DN, McCARTER MD, Wilson CC. Low abundance of colonic butyrate-producing bacteria in HIV infection is associated with microbial translocation and immune activation. </w:t>
      </w:r>
      <w:r w:rsidRPr="00B7221C">
        <w:rPr>
          <w:rFonts w:ascii="Book Antiqua" w:eastAsia="Book Antiqua" w:hAnsi="Book Antiqua" w:cs="Book Antiqua"/>
          <w:i/>
          <w:iCs/>
          <w:color w:val="000000"/>
        </w:rPr>
        <w:t>AIDS</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31</w:t>
      </w:r>
      <w:r w:rsidRPr="00B7221C">
        <w:rPr>
          <w:rFonts w:ascii="Book Antiqua" w:eastAsia="Book Antiqua" w:hAnsi="Book Antiqua" w:cs="Book Antiqua"/>
          <w:color w:val="000000"/>
        </w:rPr>
        <w:t>: 511-521 [PMID: 28002063 DOI: 10.1097/QAD.0000000000001366]</w:t>
      </w:r>
    </w:p>
    <w:bookmarkEnd w:id="4"/>
    <w:p w14:paraId="10AC3261" w14:textId="77777777" w:rsidR="00A77B3E" w:rsidRPr="00B7221C" w:rsidRDefault="00A77B3E" w:rsidP="00B7221C">
      <w:pPr>
        <w:spacing w:line="360" w:lineRule="auto"/>
        <w:jc w:val="both"/>
        <w:rPr>
          <w:rFonts w:ascii="Book Antiqua" w:hAnsi="Book Antiqua"/>
        </w:rPr>
        <w:sectPr w:rsidR="00A77B3E" w:rsidRPr="00B7221C">
          <w:pgSz w:w="12240" w:h="15840"/>
          <w:pgMar w:top="1440" w:right="1440" w:bottom="1440" w:left="1440" w:header="720" w:footer="720" w:gutter="0"/>
          <w:cols w:space="720"/>
          <w:docGrid w:linePitch="360"/>
        </w:sectPr>
      </w:pPr>
    </w:p>
    <w:p w14:paraId="39156A2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lastRenderedPageBreak/>
        <w:t>Footnotes</w:t>
      </w:r>
    </w:p>
    <w:p w14:paraId="0596863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Conflict-of-interest statement: </w:t>
      </w:r>
      <w:r w:rsidRPr="00B7221C">
        <w:rPr>
          <w:rFonts w:ascii="Book Antiqua" w:eastAsia="Book Antiqua" w:hAnsi="Book Antiqua" w:cs="Book Antiqua"/>
          <w:color w:val="000000"/>
        </w:rPr>
        <w:t>Authors declare no conflict of interests for this article.</w:t>
      </w:r>
    </w:p>
    <w:p w14:paraId="7AA75486" w14:textId="77777777" w:rsidR="00A77B3E" w:rsidRPr="00B7221C" w:rsidRDefault="00A77B3E" w:rsidP="00B7221C">
      <w:pPr>
        <w:spacing w:line="360" w:lineRule="auto"/>
        <w:jc w:val="both"/>
        <w:rPr>
          <w:rFonts w:ascii="Book Antiqua" w:hAnsi="Book Antiqua"/>
        </w:rPr>
      </w:pPr>
    </w:p>
    <w:p w14:paraId="00629E81" w14:textId="39336E6F"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Open-Access: </w:t>
      </w:r>
      <w:r w:rsidRPr="00B722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3F7020">
        <w:rPr>
          <w:rFonts w:ascii="Book Antiqua" w:eastAsia="Book Antiqua" w:hAnsi="Book Antiqua" w:cs="Book Antiqua"/>
          <w:color w:val="000000"/>
        </w:rPr>
        <w:t xml:space="preserve"> </w:t>
      </w:r>
      <w:r w:rsidRPr="00B7221C">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677E39" w14:textId="77777777" w:rsidR="00A77B3E" w:rsidRPr="00B7221C" w:rsidRDefault="00A77B3E" w:rsidP="00B7221C">
      <w:pPr>
        <w:spacing w:line="360" w:lineRule="auto"/>
        <w:jc w:val="both"/>
        <w:rPr>
          <w:rFonts w:ascii="Book Antiqua" w:hAnsi="Book Antiqua"/>
        </w:rPr>
      </w:pPr>
    </w:p>
    <w:p w14:paraId="376235DD" w14:textId="7130618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source: </w:t>
      </w:r>
      <w:r w:rsidRPr="00B7221C">
        <w:rPr>
          <w:rFonts w:ascii="Book Antiqua" w:eastAsia="Book Antiqua" w:hAnsi="Book Antiqua" w:cs="Book Antiqua"/>
          <w:color w:val="000000"/>
        </w:rPr>
        <w:t xml:space="preserve">Invited </w:t>
      </w:r>
      <w:r w:rsidR="00A8037C" w:rsidRPr="00B7221C">
        <w:rPr>
          <w:rFonts w:ascii="Book Antiqua" w:eastAsia="Book Antiqua" w:hAnsi="Book Antiqua" w:cs="Book Antiqua"/>
          <w:color w:val="000000"/>
        </w:rPr>
        <w:t>m</w:t>
      </w:r>
      <w:r w:rsidRPr="00B7221C">
        <w:rPr>
          <w:rFonts w:ascii="Book Antiqua" w:eastAsia="Book Antiqua" w:hAnsi="Book Antiqua" w:cs="Book Antiqua"/>
          <w:color w:val="000000"/>
        </w:rPr>
        <w:t>anuscript</w:t>
      </w:r>
    </w:p>
    <w:p w14:paraId="4DB92964" w14:textId="77777777" w:rsidR="00A77B3E" w:rsidRPr="00B7221C" w:rsidRDefault="00A77B3E" w:rsidP="00B7221C">
      <w:pPr>
        <w:spacing w:line="360" w:lineRule="auto"/>
        <w:jc w:val="both"/>
        <w:rPr>
          <w:rFonts w:ascii="Book Antiqua" w:hAnsi="Book Antiqua"/>
        </w:rPr>
      </w:pPr>
    </w:p>
    <w:p w14:paraId="5375AD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Peer-review started: </w:t>
      </w:r>
      <w:r w:rsidRPr="00B7221C">
        <w:rPr>
          <w:rFonts w:ascii="Book Antiqua" w:eastAsia="Book Antiqua" w:hAnsi="Book Antiqua" w:cs="Book Antiqua"/>
          <w:color w:val="000000"/>
        </w:rPr>
        <w:t>February 18, 2021</w:t>
      </w:r>
    </w:p>
    <w:p w14:paraId="648C29F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First decision: </w:t>
      </w:r>
      <w:r w:rsidRPr="00B7221C">
        <w:rPr>
          <w:rFonts w:ascii="Book Antiqua" w:eastAsia="Book Antiqua" w:hAnsi="Book Antiqua" w:cs="Book Antiqua"/>
          <w:color w:val="000000"/>
        </w:rPr>
        <w:t>May 1, 2021</w:t>
      </w:r>
    </w:p>
    <w:p w14:paraId="70328EA4" w14:textId="414F10A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Article in press: </w:t>
      </w:r>
      <w:r w:rsidR="00DB63BB" w:rsidRPr="007B52A2">
        <w:rPr>
          <w:rFonts w:ascii="Book Antiqua" w:eastAsia="Book Antiqua" w:hAnsi="Book Antiqua" w:cs="Book Antiqua"/>
          <w:color w:val="000000"/>
        </w:rPr>
        <w:t>July 20, 2021</w:t>
      </w:r>
    </w:p>
    <w:p w14:paraId="5E972655" w14:textId="77777777" w:rsidR="00A77B3E" w:rsidRPr="00B7221C" w:rsidRDefault="00A77B3E" w:rsidP="00B7221C">
      <w:pPr>
        <w:spacing w:line="360" w:lineRule="auto"/>
        <w:jc w:val="both"/>
        <w:rPr>
          <w:rFonts w:ascii="Book Antiqua" w:hAnsi="Book Antiqua"/>
        </w:rPr>
      </w:pPr>
    </w:p>
    <w:p w14:paraId="67A6755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Specialty type: </w:t>
      </w:r>
      <w:r w:rsidRPr="00B7221C">
        <w:rPr>
          <w:rFonts w:ascii="Book Antiqua" w:eastAsia="Book Antiqua" w:hAnsi="Book Antiqua" w:cs="Book Antiqua"/>
          <w:color w:val="000000"/>
        </w:rPr>
        <w:t>Virology</w:t>
      </w:r>
    </w:p>
    <w:p w14:paraId="77F0DBC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Country/Territory of origin: </w:t>
      </w:r>
      <w:r w:rsidRPr="00B7221C">
        <w:rPr>
          <w:rFonts w:ascii="Book Antiqua" w:eastAsia="Book Antiqua" w:hAnsi="Book Antiqua" w:cs="Book Antiqua"/>
          <w:color w:val="000000"/>
        </w:rPr>
        <w:t>United States</w:t>
      </w:r>
    </w:p>
    <w:p w14:paraId="6E2D4D1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Peer-review report’s scientific quality classification</w:t>
      </w:r>
    </w:p>
    <w:p w14:paraId="5AF2804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A (Excellent): 0</w:t>
      </w:r>
    </w:p>
    <w:p w14:paraId="243034C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B (Very good): B</w:t>
      </w:r>
    </w:p>
    <w:p w14:paraId="6865A25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C (Good): 0</w:t>
      </w:r>
    </w:p>
    <w:p w14:paraId="1E11BA9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D (Fair): 0</w:t>
      </w:r>
    </w:p>
    <w:p w14:paraId="293055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E (Poor): 0</w:t>
      </w:r>
    </w:p>
    <w:p w14:paraId="3E39BD89" w14:textId="77777777" w:rsidR="00A77B3E" w:rsidRPr="00B7221C" w:rsidRDefault="00A77B3E" w:rsidP="00B7221C">
      <w:pPr>
        <w:spacing w:line="360" w:lineRule="auto"/>
        <w:jc w:val="both"/>
        <w:rPr>
          <w:rFonts w:ascii="Book Antiqua" w:hAnsi="Book Antiqua"/>
        </w:rPr>
      </w:pPr>
    </w:p>
    <w:p w14:paraId="748E8580" w14:textId="6098F749" w:rsidR="00A77B3E" w:rsidRDefault="00A143FB" w:rsidP="00B7221C">
      <w:pPr>
        <w:spacing w:line="360" w:lineRule="auto"/>
        <w:jc w:val="both"/>
        <w:rPr>
          <w:rFonts w:ascii="Book Antiqua" w:eastAsia="Book Antiqua" w:hAnsi="Book Antiqua" w:cs="Book Antiqua"/>
          <w:b/>
          <w:color w:val="000000"/>
        </w:rPr>
      </w:pPr>
      <w:r w:rsidRPr="00B7221C">
        <w:rPr>
          <w:rFonts w:ascii="Book Antiqua" w:eastAsia="Book Antiqua" w:hAnsi="Book Antiqua" w:cs="Book Antiqua"/>
          <w:b/>
          <w:color w:val="000000"/>
        </w:rPr>
        <w:t xml:space="preserve">P-Reviewer: </w:t>
      </w:r>
      <w:r w:rsidRPr="00B7221C">
        <w:rPr>
          <w:rFonts w:ascii="Book Antiqua" w:eastAsia="Book Antiqua" w:hAnsi="Book Antiqua" w:cs="Book Antiqua"/>
          <w:color w:val="000000"/>
        </w:rPr>
        <w:t>Yuan J</w:t>
      </w:r>
      <w:r w:rsidRPr="00B7221C">
        <w:rPr>
          <w:rFonts w:ascii="Book Antiqua" w:eastAsia="Book Antiqua" w:hAnsi="Book Antiqua" w:cs="Book Antiqua"/>
          <w:b/>
          <w:color w:val="000000"/>
        </w:rPr>
        <w:t xml:space="preserve"> S-Editor: </w:t>
      </w:r>
      <w:r w:rsidR="00A8037C" w:rsidRPr="00B7221C">
        <w:rPr>
          <w:rFonts w:ascii="Book Antiqua" w:eastAsia="Book Antiqua" w:hAnsi="Book Antiqua" w:cs="Book Antiqua"/>
          <w:color w:val="000000"/>
        </w:rPr>
        <w:t>Wu YXJ</w:t>
      </w:r>
      <w:r w:rsidRPr="00B7221C">
        <w:rPr>
          <w:rFonts w:ascii="Book Antiqua" w:eastAsia="Book Antiqua" w:hAnsi="Book Antiqua" w:cs="Book Antiqua"/>
          <w:b/>
          <w:color w:val="000000"/>
        </w:rPr>
        <w:t xml:space="preserve"> L-Editor: </w:t>
      </w:r>
      <w:r w:rsidR="00DB63BB" w:rsidRPr="00DB63BB">
        <w:rPr>
          <w:rFonts w:ascii="Book Antiqua" w:eastAsia="Book Antiqua" w:hAnsi="Book Antiqua" w:cs="Book Antiqua"/>
          <w:color w:val="000000"/>
        </w:rPr>
        <w:t>A</w:t>
      </w:r>
      <w:r w:rsidR="00DB63BB">
        <w:rPr>
          <w:rFonts w:ascii="Book Antiqua" w:eastAsia="Book Antiqua" w:hAnsi="Book Antiqua" w:cs="Book Antiqua"/>
          <w:b/>
          <w:color w:val="000000"/>
        </w:rPr>
        <w:t xml:space="preserve"> </w:t>
      </w:r>
      <w:r w:rsidRPr="00B7221C">
        <w:rPr>
          <w:rFonts w:ascii="Book Antiqua" w:eastAsia="Book Antiqua" w:hAnsi="Book Antiqua" w:cs="Book Antiqua"/>
          <w:b/>
          <w:color w:val="000000"/>
        </w:rPr>
        <w:t xml:space="preserve">P-Editor: </w:t>
      </w:r>
      <w:r w:rsidR="00DB63BB" w:rsidRPr="00DB63BB">
        <w:rPr>
          <w:rFonts w:ascii="Book Antiqua" w:eastAsia="Book Antiqua" w:hAnsi="Book Antiqua" w:cs="Book Antiqua"/>
          <w:color w:val="000000"/>
        </w:rPr>
        <w:t>L</w:t>
      </w:r>
      <w:r w:rsidR="00DB63BB" w:rsidRPr="00DB63BB">
        <w:rPr>
          <w:rFonts w:ascii="Book Antiqua" w:eastAsia="Book Antiqua" w:hAnsi="Book Antiqua" w:cs="Book Antiqua" w:hint="eastAsia"/>
          <w:color w:val="000000"/>
        </w:rPr>
        <w:t>i</w:t>
      </w:r>
      <w:r w:rsidR="00DB63BB" w:rsidRPr="00DB63BB">
        <w:rPr>
          <w:rFonts w:ascii="Book Antiqua" w:eastAsia="Book Antiqua" w:hAnsi="Book Antiqua" w:cs="Book Antiqua"/>
          <w:color w:val="000000"/>
        </w:rPr>
        <w:t xml:space="preserve"> X</w:t>
      </w:r>
    </w:p>
    <w:p w14:paraId="6AA89CEA" w14:textId="6198B976" w:rsidR="00DB63BB" w:rsidRDefault="00DB63BB" w:rsidP="00B7221C">
      <w:pPr>
        <w:spacing w:line="360" w:lineRule="auto"/>
        <w:jc w:val="both"/>
        <w:rPr>
          <w:rFonts w:ascii="Book Antiqua" w:eastAsia="Book Antiqua" w:hAnsi="Book Antiqua" w:cs="Book Antiqua"/>
          <w:b/>
          <w:color w:val="000000"/>
        </w:rPr>
      </w:pPr>
    </w:p>
    <w:p w14:paraId="4829171F" w14:textId="54023A97" w:rsidR="004E0BC8" w:rsidRPr="00B7221C" w:rsidRDefault="004E0BC8" w:rsidP="00B7221C">
      <w:pPr>
        <w:spacing w:line="360" w:lineRule="auto"/>
        <w:jc w:val="both"/>
        <w:rPr>
          <w:rFonts w:ascii="Book Antiqua" w:hAnsi="Book Antiqua"/>
        </w:rPr>
        <w:sectPr w:rsidR="004E0BC8" w:rsidRPr="00B7221C">
          <w:pgSz w:w="12240" w:h="15840"/>
          <w:pgMar w:top="1440" w:right="1440" w:bottom="1440" w:left="1440" w:header="720" w:footer="720" w:gutter="0"/>
          <w:cols w:space="720"/>
          <w:docGrid w:linePitch="360"/>
        </w:sectPr>
      </w:pPr>
    </w:p>
    <w:p w14:paraId="6B68DEBE" w14:textId="795D7C8E" w:rsidR="00A77B3E" w:rsidRPr="00B7221C" w:rsidRDefault="00A143FB" w:rsidP="00B7221C">
      <w:pPr>
        <w:spacing w:line="360" w:lineRule="auto"/>
        <w:jc w:val="both"/>
        <w:rPr>
          <w:rFonts w:ascii="Book Antiqua" w:eastAsia="Book Antiqua" w:hAnsi="Book Antiqua" w:cs="Book Antiqua"/>
          <w:b/>
          <w:color w:val="000000"/>
        </w:rPr>
      </w:pPr>
      <w:r w:rsidRPr="00B7221C">
        <w:rPr>
          <w:rFonts w:ascii="Book Antiqua" w:eastAsia="Book Antiqua" w:hAnsi="Book Antiqua" w:cs="Book Antiqua"/>
          <w:b/>
          <w:color w:val="000000"/>
        </w:rPr>
        <w:lastRenderedPageBreak/>
        <w:t>Figure Legends</w:t>
      </w:r>
    </w:p>
    <w:p w14:paraId="128049FA" w14:textId="1C83806A" w:rsidR="00EC4D8E" w:rsidRPr="00B7221C" w:rsidRDefault="0083299E" w:rsidP="00B7221C">
      <w:pPr>
        <w:spacing w:line="360" w:lineRule="auto"/>
        <w:jc w:val="both"/>
        <w:rPr>
          <w:rFonts w:ascii="Book Antiqua" w:hAnsi="Book Antiqua"/>
        </w:rPr>
      </w:pPr>
      <w:r>
        <w:rPr>
          <w:noProof/>
          <w:lang w:eastAsia="zh-CN"/>
        </w:rPr>
        <w:drawing>
          <wp:inline distT="0" distB="0" distL="0" distR="0" wp14:anchorId="01D40B1C" wp14:editId="03D6BD72">
            <wp:extent cx="5120640" cy="3339548"/>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4089" cy="3348319"/>
                    </a:xfrm>
                    <a:prstGeom prst="rect">
                      <a:avLst/>
                    </a:prstGeom>
                    <a:noFill/>
                    <a:ln>
                      <a:noFill/>
                    </a:ln>
                  </pic:spPr>
                </pic:pic>
              </a:graphicData>
            </a:graphic>
          </wp:inline>
        </w:drawing>
      </w:r>
    </w:p>
    <w:p w14:paraId="6D5279B9" w14:textId="77777777" w:rsidR="009C48F8" w:rsidRDefault="00A143FB" w:rsidP="00B7221C">
      <w:pPr>
        <w:spacing w:line="360" w:lineRule="auto"/>
        <w:jc w:val="both"/>
        <w:rPr>
          <w:rFonts w:ascii="Book Antiqua" w:eastAsia="Book Antiqua" w:hAnsi="Book Antiqua" w:cs="Book Antiqua"/>
          <w:color w:val="000000"/>
          <w:shd w:val="clear" w:color="auto" w:fill="FFFFFF"/>
        </w:rPr>
      </w:pPr>
      <w:r w:rsidRPr="00B7221C">
        <w:rPr>
          <w:rFonts w:ascii="Book Antiqua" w:eastAsia="Book Antiqua" w:hAnsi="Book Antiqua" w:cs="Book Antiqua"/>
          <w:b/>
          <w:bCs/>
          <w:color w:val="000000"/>
          <w:shd w:val="clear" w:color="auto" w:fill="FFFFFF"/>
        </w:rPr>
        <w:t xml:space="preserve">Figure 1 </w:t>
      </w:r>
      <w:r w:rsidR="009457EF" w:rsidRPr="00B7221C">
        <w:rPr>
          <w:rFonts w:ascii="Book Antiqua" w:eastAsia="Book Antiqua" w:hAnsi="Book Antiqua" w:cs="Book Antiqua"/>
          <w:b/>
          <w:bCs/>
          <w:color w:val="000000"/>
          <w:shd w:val="clear" w:color="auto" w:fill="FFFFFF"/>
        </w:rPr>
        <w:t>Severe acute respiratory syndrome coronavirus 2</w:t>
      </w:r>
      <w:r w:rsidRPr="00B7221C">
        <w:rPr>
          <w:rFonts w:ascii="Book Antiqua" w:eastAsia="Book Antiqua" w:hAnsi="Book Antiqua" w:cs="Book Antiqua"/>
          <w:b/>
          <w:bCs/>
          <w:color w:val="000000"/>
          <w:shd w:val="clear" w:color="auto" w:fill="FFFFFF"/>
        </w:rPr>
        <w:t xml:space="preserve"> </w:t>
      </w:r>
      <w:proofErr w:type="gramStart"/>
      <w:r w:rsidRPr="00B7221C">
        <w:rPr>
          <w:rFonts w:ascii="Book Antiqua" w:eastAsia="Book Antiqua" w:hAnsi="Book Antiqua" w:cs="Book Antiqua"/>
          <w:b/>
          <w:bCs/>
          <w:color w:val="000000"/>
          <w:shd w:val="clear" w:color="auto" w:fill="FFFFFF"/>
        </w:rPr>
        <w:t>infection</w:t>
      </w:r>
      <w:proofErr w:type="gramEnd"/>
      <w:r w:rsidRPr="00B7221C">
        <w:rPr>
          <w:rFonts w:ascii="Book Antiqua" w:eastAsia="Book Antiqua" w:hAnsi="Book Antiqua" w:cs="Book Antiqua"/>
          <w:b/>
          <w:bCs/>
          <w:color w:val="000000"/>
          <w:shd w:val="clear" w:color="auto" w:fill="FFFFFF"/>
        </w:rPr>
        <w:t xml:space="preserve"> induces microbial dysbiosis and intestinal inflammation. </w:t>
      </w:r>
      <w:r w:rsidR="001D2B54" w:rsidRPr="00B7221C">
        <w:rPr>
          <w:rFonts w:ascii="Book Antiqua" w:eastAsia="Book Antiqua" w:hAnsi="Book Antiqua" w:cs="Book Antiqua"/>
          <w:color w:val="000000"/>
          <w:shd w:val="clear" w:color="auto" w:fill="FFFFFF"/>
        </w:rPr>
        <w:t>S</w:t>
      </w:r>
      <w:r w:rsidR="00504A5A" w:rsidRPr="00B7221C">
        <w:rPr>
          <w:rFonts w:ascii="Book Antiqua" w:eastAsia="Book Antiqua" w:hAnsi="Book Antiqua" w:cs="Book Antiqua"/>
          <w:color w:val="000000"/>
          <w:shd w:val="clear" w:color="auto" w:fill="FFFFFF"/>
        </w:rPr>
        <w:t>evere acute respiratory syndrome coronavirus 2</w:t>
      </w:r>
      <w:r w:rsidRPr="00B7221C">
        <w:rPr>
          <w:rFonts w:ascii="Book Antiqua" w:eastAsia="Book Antiqua" w:hAnsi="Book Antiqua" w:cs="Book Antiqua"/>
          <w:color w:val="000000"/>
          <w:shd w:val="clear" w:color="auto" w:fill="FFFFFF"/>
        </w:rPr>
        <w:t xml:space="preserve"> </w:t>
      </w:r>
      <w:r w:rsidR="001337CC">
        <w:rPr>
          <w:rFonts w:ascii="Book Antiqua" w:eastAsia="Book Antiqua" w:hAnsi="Book Antiqua" w:cs="Book Antiqua"/>
          <w:color w:val="000000"/>
          <w:shd w:val="clear" w:color="auto" w:fill="FFFFFF"/>
        </w:rPr>
        <w:t>infections</w:t>
      </w:r>
      <w:r w:rsidRPr="00B7221C">
        <w:rPr>
          <w:rFonts w:ascii="Book Antiqua" w:eastAsia="Book Antiqua" w:hAnsi="Book Antiqua" w:cs="Book Antiqua"/>
          <w:color w:val="000000"/>
          <w:shd w:val="clear" w:color="auto" w:fill="FFFFFF"/>
        </w:rPr>
        <w:t xml:space="preserve"> of intestinal epithelial cells </w:t>
      </w:r>
      <w:r w:rsidR="001337CC">
        <w:rPr>
          <w:rFonts w:ascii="Book Antiqua" w:eastAsia="Book Antiqua" w:hAnsi="Book Antiqua" w:cs="Book Antiqua"/>
          <w:color w:val="000000"/>
          <w:shd w:val="clear" w:color="auto" w:fill="FFFFFF"/>
        </w:rPr>
        <w:t>result</w:t>
      </w:r>
      <w:r w:rsidRPr="00B7221C">
        <w:rPr>
          <w:rFonts w:ascii="Book Antiqua" w:eastAsia="Book Antiqua" w:hAnsi="Book Antiqua" w:cs="Book Antiqua"/>
          <w:color w:val="000000"/>
          <w:shd w:val="clear" w:color="auto" w:fill="FFFFFF"/>
        </w:rPr>
        <w:t xml:space="preserve"> in a pro-inflammatory immune response leading to infiltration of inflammatory lymphocytes and </w:t>
      </w:r>
      <w:r w:rsidR="001337CC">
        <w:rPr>
          <w:rFonts w:ascii="Book Antiqua" w:eastAsia="Book Antiqua" w:hAnsi="Book Antiqua" w:cs="Book Antiqua"/>
          <w:color w:val="000000"/>
          <w:shd w:val="clear" w:color="auto" w:fill="FFFFFF"/>
        </w:rPr>
        <w:t>disrupting</w:t>
      </w:r>
      <w:r w:rsidRPr="00B7221C">
        <w:rPr>
          <w:rFonts w:ascii="Book Antiqua" w:eastAsia="Book Antiqua" w:hAnsi="Book Antiqua" w:cs="Book Antiqua"/>
          <w:color w:val="000000"/>
          <w:shd w:val="clear" w:color="auto" w:fill="FFFFFF"/>
        </w:rPr>
        <w:t xml:space="preserve"> the gut barrier. This disruption to homeostasis allows overgrowth of detrimental bacteria resulting in dysbiosis, and the impaired gut barrier facilitates the translocation of bacteria exacerbating the inflammatory response. Additionally, opportunistic fungal infections have been found in some patients</w:t>
      </w:r>
      <w:r w:rsidR="001337C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further contributing to </w:t>
      </w:r>
      <w:r w:rsidR="001337CC">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dysfunction.</w:t>
      </w:r>
      <w:r w:rsidR="001E2017">
        <w:rPr>
          <w:rFonts w:ascii="Book Antiqua" w:eastAsia="Book Antiqua" w:hAnsi="Book Antiqua" w:cs="Book Antiqua"/>
          <w:color w:val="000000"/>
          <w:shd w:val="clear" w:color="auto" w:fill="FFFFFF"/>
        </w:rPr>
        <w:t xml:space="preserve"> </w:t>
      </w:r>
      <w:r w:rsidR="00B70D15" w:rsidRPr="00B70D15">
        <w:rPr>
          <w:rFonts w:ascii="Book Antiqua" w:eastAsia="Book Antiqua" w:hAnsi="Book Antiqua" w:cs="Book Antiqua"/>
          <w:color w:val="000000"/>
          <w:shd w:val="clear" w:color="auto" w:fill="FFFFFF"/>
        </w:rPr>
        <w:t>SARS-CoV-2: Severe acute respiratory syndrome coronavirus 2.</w:t>
      </w:r>
    </w:p>
    <w:p w14:paraId="4D3D7658" w14:textId="77777777" w:rsidR="00001780" w:rsidRDefault="00001780" w:rsidP="00B7221C">
      <w:pPr>
        <w:spacing w:line="360" w:lineRule="auto"/>
        <w:jc w:val="both"/>
        <w:rPr>
          <w:rFonts w:ascii="Book Antiqua" w:eastAsia="Book Antiqua" w:hAnsi="Book Antiqua" w:cs="Book Antiqua"/>
          <w:color w:val="000000"/>
          <w:shd w:val="clear" w:color="auto" w:fill="FFFFFF"/>
        </w:rPr>
      </w:pPr>
    </w:p>
    <w:p w14:paraId="606DC0D6" w14:textId="77777777" w:rsidR="00001780" w:rsidRDefault="00001780" w:rsidP="00B7221C">
      <w:pPr>
        <w:spacing w:line="360" w:lineRule="auto"/>
        <w:jc w:val="both"/>
        <w:rPr>
          <w:rFonts w:ascii="Book Antiqua" w:eastAsia="Book Antiqua" w:hAnsi="Book Antiqua" w:cs="Book Antiqua"/>
          <w:color w:val="000000"/>
          <w:shd w:val="clear" w:color="auto" w:fill="FFFFFF"/>
        </w:rPr>
      </w:pPr>
    </w:p>
    <w:p w14:paraId="61A60ED6" w14:textId="49F1E868" w:rsidR="00001780" w:rsidRPr="00B70D15" w:rsidRDefault="00001780" w:rsidP="00B7221C">
      <w:pPr>
        <w:spacing w:line="360" w:lineRule="auto"/>
        <w:jc w:val="both"/>
        <w:rPr>
          <w:rFonts w:ascii="Book Antiqua" w:eastAsia="Book Antiqua" w:hAnsi="Book Antiqua" w:cs="Book Antiqua"/>
          <w:color w:val="000000"/>
          <w:shd w:val="clear" w:color="auto" w:fill="FFFFFF"/>
        </w:rPr>
        <w:sectPr w:rsidR="00001780" w:rsidRPr="00B70D15">
          <w:pgSz w:w="12240" w:h="15840"/>
          <w:pgMar w:top="1440" w:right="1440" w:bottom="1440" w:left="1440" w:header="720" w:footer="720" w:gutter="0"/>
          <w:cols w:space="720"/>
          <w:docGrid w:linePitch="360"/>
        </w:sectPr>
      </w:pPr>
    </w:p>
    <w:p w14:paraId="23420912" w14:textId="310983F5" w:rsidR="009C48F8" w:rsidRPr="00B7221C" w:rsidRDefault="0083299E" w:rsidP="00B7221C">
      <w:pPr>
        <w:spacing w:line="360" w:lineRule="auto"/>
        <w:jc w:val="both"/>
        <w:rPr>
          <w:rFonts w:ascii="Book Antiqua" w:hAnsi="Book Antiqua"/>
        </w:rPr>
      </w:pPr>
      <w:r>
        <w:rPr>
          <w:noProof/>
          <w:lang w:eastAsia="zh-CN"/>
        </w:rPr>
        <w:lastRenderedPageBreak/>
        <w:drawing>
          <wp:inline distT="0" distB="0" distL="0" distR="0" wp14:anchorId="68B4EDAF" wp14:editId="5788810A">
            <wp:extent cx="4831080" cy="3885422"/>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7073" cy="3890242"/>
                    </a:xfrm>
                    <a:prstGeom prst="rect">
                      <a:avLst/>
                    </a:prstGeom>
                    <a:noFill/>
                    <a:ln>
                      <a:noFill/>
                    </a:ln>
                  </pic:spPr>
                </pic:pic>
              </a:graphicData>
            </a:graphic>
          </wp:inline>
        </w:drawing>
      </w:r>
    </w:p>
    <w:p w14:paraId="04A0A283" w14:textId="10ACBCA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Figure 2 Role of </w:t>
      </w:r>
      <w:r w:rsidR="00F37DA5" w:rsidRPr="00B7221C">
        <w:rPr>
          <w:rFonts w:ascii="Book Antiqua" w:eastAsia="Book Antiqua" w:hAnsi="Book Antiqua" w:cs="Book Antiqua"/>
          <w:b/>
          <w:bCs/>
          <w:color w:val="000000"/>
        </w:rPr>
        <w:t>a</w:t>
      </w:r>
      <w:r w:rsidRPr="00B7221C">
        <w:rPr>
          <w:rFonts w:ascii="Book Antiqua" w:eastAsia="Book Antiqua" w:hAnsi="Book Antiqua" w:cs="Book Antiqua"/>
          <w:b/>
          <w:bCs/>
          <w:color w:val="000000"/>
        </w:rPr>
        <w:t>cetylcholine</w:t>
      </w:r>
      <w:r w:rsidR="00771208" w:rsidRPr="00B7221C">
        <w:rPr>
          <w:rFonts w:ascii="Book Antiqua" w:eastAsia="Book Antiqua" w:hAnsi="Book Antiqua" w:cs="Book Antiqua"/>
          <w:b/>
          <w:bCs/>
          <w:color w:val="000000"/>
        </w:rPr>
        <w:t xml:space="preserve"> </w:t>
      </w:r>
      <w:r w:rsidRPr="00B7221C">
        <w:rPr>
          <w:rFonts w:ascii="Book Antiqua" w:eastAsia="Book Antiqua" w:hAnsi="Book Antiqua" w:cs="Book Antiqua"/>
          <w:b/>
          <w:bCs/>
          <w:color w:val="000000"/>
        </w:rPr>
        <w:t xml:space="preserve">on immune micro-environments in diverse tissues including the </w:t>
      </w:r>
      <w:r w:rsidR="00121501"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 xml:space="preserve">rain, </w:t>
      </w:r>
      <w:r w:rsidR="00121501" w:rsidRPr="00B7221C">
        <w:rPr>
          <w:rFonts w:ascii="Book Antiqua" w:eastAsia="Book Antiqua" w:hAnsi="Book Antiqua" w:cs="Book Antiqua"/>
          <w:b/>
          <w:bCs/>
          <w:color w:val="000000"/>
        </w:rPr>
        <w:t>h</w:t>
      </w:r>
      <w:r w:rsidRPr="00B7221C">
        <w:rPr>
          <w:rFonts w:ascii="Book Antiqua" w:eastAsia="Book Antiqua" w:hAnsi="Book Antiqua" w:cs="Book Antiqua"/>
          <w:b/>
          <w:bCs/>
          <w:color w:val="000000"/>
        </w:rPr>
        <w:t xml:space="preserve">eart, </w:t>
      </w:r>
      <w:r w:rsidR="00121501" w:rsidRPr="00B7221C">
        <w:rPr>
          <w:rFonts w:ascii="Book Antiqua" w:eastAsia="Book Antiqua" w:hAnsi="Book Antiqua" w:cs="Book Antiqua"/>
          <w:b/>
          <w:bCs/>
          <w:color w:val="000000"/>
        </w:rPr>
        <w:t>l</w:t>
      </w:r>
      <w:r w:rsidRPr="00B7221C">
        <w:rPr>
          <w:rFonts w:ascii="Book Antiqua" w:eastAsia="Book Antiqua" w:hAnsi="Book Antiqua" w:cs="Book Antiqua"/>
          <w:b/>
          <w:bCs/>
          <w:color w:val="000000"/>
        </w:rPr>
        <w:t xml:space="preserve">ungs, and </w:t>
      </w:r>
      <w:r w:rsidR="00121501"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 xml:space="preserve">ut. </w:t>
      </w:r>
      <w:r w:rsidRPr="00B7221C">
        <w:rPr>
          <w:rFonts w:ascii="Book Antiqua" w:eastAsia="Book Antiqua" w:hAnsi="Book Antiqua" w:cs="Book Antiqua"/>
          <w:color w:val="000000"/>
        </w:rPr>
        <w:t>Cholinergic signaling can be exploited to reduce microglia activation in the central nervous system, lower systemic inflammation</w:t>
      </w:r>
      <w:r w:rsidR="00083071">
        <w:rPr>
          <w:rFonts w:ascii="Book Antiqua" w:eastAsia="Book Antiqua" w:hAnsi="Book Antiqua" w:cs="Book Antiqua"/>
          <w:color w:val="000000"/>
        </w:rPr>
        <w:t>,</w:t>
      </w:r>
      <w:r w:rsidRPr="00B7221C">
        <w:rPr>
          <w:rFonts w:ascii="Book Antiqua" w:eastAsia="Book Antiqua" w:hAnsi="Book Antiqua" w:cs="Book Antiqua"/>
          <w:color w:val="000000"/>
        </w:rPr>
        <w:t xml:space="preserve"> and promote optimal organ function in diseased states such as severe </w:t>
      </w:r>
      <w:r w:rsidR="00121501" w:rsidRPr="00B7221C">
        <w:rPr>
          <w:rFonts w:ascii="Book Antiqua" w:eastAsia="Book Antiqua" w:hAnsi="Book Antiqua" w:cs="Book Antiqua"/>
          <w:color w:val="000000"/>
        </w:rPr>
        <w:t>coronavirus disease 19</w:t>
      </w:r>
      <w:r w:rsidRPr="00B7221C">
        <w:rPr>
          <w:rFonts w:ascii="Book Antiqua" w:eastAsia="Book Antiqua" w:hAnsi="Book Antiqua" w:cs="Book Antiqua"/>
          <w:color w:val="000000"/>
        </w:rPr>
        <w:t xml:space="preserve"> infection where systemic dysfunction occurs.</w:t>
      </w:r>
    </w:p>
    <w:p w14:paraId="6827A47A" w14:textId="77777777" w:rsidR="009C48F8" w:rsidRDefault="009C48F8" w:rsidP="00B7221C">
      <w:pPr>
        <w:spacing w:line="360" w:lineRule="auto"/>
        <w:jc w:val="both"/>
        <w:rPr>
          <w:rFonts w:ascii="Book Antiqua" w:eastAsia="Book Antiqua" w:hAnsi="Book Antiqua" w:cs="Book Antiqua"/>
          <w:b/>
          <w:bCs/>
          <w:color w:val="000000"/>
        </w:rPr>
      </w:pPr>
    </w:p>
    <w:p w14:paraId="11D6B9CA" w14:textId="77777777" w:rsidR="00001780" w:rsidRDefault="00001780" w:rsidP="00B7221C">
      <w:pPr>
        <w:spacing w:line="360" w:lineRule="auto"/>
        <w:jc w:val="both"/>
        <w:rPr>
          <w:rFonts w:ascii="Book Antiqua" w:eastAsia="Book Antiqua" w:hAnsi="Book Antiqua" w:cs="Book Antiqua"/>
          <w:b/>
          <w:bCs/>
          <w:color w:val="000000"/>
        </w:rPr>
      </w:pPr>
    </w:p>
    <w:p w14:paraId="064C5CF8" w14:textId="7CB04868" w:rsidR="00001780" w:rsidRPr="00B7221C" w:rsidRDefault="00001780" w:rsidP="00B7221C">
      <w:pPr>
        <w:spacing w:line="360" w:lineRule="auto"/>
        <w:jc w:val="both"/>
        <w:rPr>
          <w:rFonts w:ascii="Book Antiqua" w:eastAsia="Book Antiqua" w:hAnsi="Book Antiqua" w:cs="Book Antiqua"/>
          <w:b/>
          <w:bCs/>
          <w:color w:val="000000"/>
        </w:rPr>
        <w:sectPr w:rsidR="00001780" w:rsidRPr="00B7221C">
          <w:pgSz w:w="12240" w:h="15840"/>
          <w:pgMar w:top="1440" w:right="1440" w:bottom="1440" w:left="1440" w:header="720" w:footer="720" w:gutter="0"/>
          <w:cols w:space="720"/>
          <w:docGrid w:linePitch="360"/>
        </w:sectPr>
      </w:pPr>
    </w:p>
    <w:p w14:paraId="5CE7CD76" w14:textId="059DE0BE" w:rsidR="009C48F8" w:rsidRPr="00B7221C" w:rsidRDefault="0083299E" w:rsidP="00B7221C">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6C15A51" wp14:editId="512F03B6">
            <wp:extent cx="5943600" cy="2997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p>
    <w:p w14:paraId="21873AAF" w14:textId="1035F8E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Figure 3 Potential mechanisms by which </w:t>
      </w:r>
      <w:r w:rsidR="00BF637F" w:rsidRPr="00B7221C">
        <w:rPr>
          <w:rFonts w:ascii="Book Antiqua" w:eastAsia="Book Antiqua" w:hAnsi="Book Antiqua" w:cs="Book Antiqua"/>
          <w:b/>
          <w:bCs/>
          <w:color w:val="000000"/>
        </w:rPr>
        <w:t>severe acute respiratory syndrome coronavirus 2</w:t>
      </w:r>
      <w:r w:rsidRPr="00B7221C">
        <w:rPr>
          <w:rFonts w:ascii="Book Antiqua" w:eastAsia="Book Antiqua" w:hAnsi="Book Antiqua" w:cs="Book Antiqua"/>
          <w:b/>
          <w:bCs/>
          <w:color w:val="000000"/>
        </w:rPr>
        <w:t xml:space="preserve"> dysregulates the </w:t>
      </w:r>
      <w:r w:rsidR="00E41AD0"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ut-</w:t>
      </w:r>
      <w:r w:rsidR="00E41AD0"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 xml:space="preserve">rain </w:t>
      </w:r>
      <w:r w:rsidR="00E41AD0" w:rsidRPr="00B7221C">
        <w:rPr>
          <w:rFonts w:ascii="Book Antiqua" w:eastAsia="Book Antiqua" w:hAnsi="Book Antiqua" w:cs="Book Antiqua"/>
          <w:b/>
          <w:bCs/>
          <w:color w:val="000000"/>
        </w:rPr>
        <w:t>a</w:t>
      </w:r>
      <w:r w:rsidRPr="00B7221C">
        <w:rPr>
          <w:rFonts w:ascii="Book Antiqua" w:eastAsia="Book Antiqua" w:hAnsi="Book Antiqua" w:cs="Book Antiqua"/>
          <w:b/>
          <w:bCs/>
          <w:color w:val="000000"/>
        </w:rPr>
        <w:t xml:space="preserve">xis. </w:t>
      </w:r>
      <w:r w:rsidRPr="00B7221C">
        <w:rPr>
          <w:rFonts w:ascii="Book Antiqua" w:eastAsia="Book Antiqua" w:hAnsi="Book Antiqua" w:cs="Book Antiqua"/>
          <w:color w:val="000000"/>
        </w:rPr>
        <w:t>Side</w:t>
      </w:r>
      <w:r w:rsidRPr="00B7221C">
        <w:rPr>
          <w:rFonts w:ascii="Book Antiqua" w:eastAsia="Book Antiqua" w:hAnsi="Book Antiqua" w:cs="Book Antiqua"/>
          <w:b/>
          <w:bCs/>
          <w:color w:val="000000"/>
        </w:rPr>
        <w:t xml:space="preserve"> </w:t>
      </w:r>
      <w:r w:rsidRPr="00B7221C">
        <w:rPr>
          <w:rFonts w:ascii="Book Antiqua" w:eastAsia="Book Antiqua" w:hAnsi="Book Antiqua" w:cs="Book Antiqua"/>
          <w:color w:val="000000"/>
        </w:rPr>
        <w:t>by side comparisons of the gut-brain-lung axis in a health</w:t>
      </w:r>
      <w:r w:rsidRPr="00B32DF6">
        <w:rPr>
          <w:rFonts w:ascii="Book Antiqua" w:eastAsia="Book Antiqua" w:hAnsi="Book Antiqua" w:cs="Book Antiqua"/>
          <w:color w:val="000000"/>
        </w:rPr>
        <w:t xml:space="preserve">y state </w:t>
      </w:r>
      <w:r w:rsidRPr="00B32DF6">
        <w:rPr>
          <w:rFonts w:ascii="Book Antiqua" w:eastAsia="Book Antiqua" w:hAnsi="Book Antiqua" w:cs="Book Antiqua"/>
          <w:i/>
          <w:iCs/>
          <w:color w:val="000000"/>
        </w:rPr>
        <w:t>vs</w:t>
      </w:r>
      <w:r w:rsidRPr="00B32DF6">
        <w:rPr>
          <w:rFonts w:ascii="Book Antiqua" w:eastAsia="Book Antiqua" w:hAnsi="Book Antiqua" w:cs="Book Antiqua"/>
          <w:color w:val="000000"/>
        </w:rPr>
        <w:t xml:space="preserve"> a </w:t>
      </w:r>
      <w:r w:rsidR="00E41AD0" w:rsidRPr="00B32DF6">
        <w:rPr>
          <w:rFonts w:ascii="Book Antiqua" w:eastAsia="Book Antiqua" w:hAnsi="Book Antiqua" w:cs="Book Antiqua"/>
          <w:color w:val="000000"/>
        </w:rPr>
        <w:t>severe acute respiratory syndrome coronavirus 2</w:t>
      </w:r>
      <w:r w:rsidR="008A7968" w:rsidRPr="00B32DF6">
        <w:rPr>
          <w:rFonts w:ascii="Book Antiqua" w:eastAsia="Book Antiqua" w:hAnsi="Book Antiqua" w:cs="Book Antiqua"/>
          <w:color w:val="000000"/>
        </w:rPr>
        <w:t xml:space="preserve"> </w:t>
      </w:r>
      <w:r w:rsidR="008A7968" w:rsidRPr="00B32DF6">
        <w:rPr>
          <w:rFonts w:ascii="Book Antiqua" w:eastAsia="宋体" w:hAnsi="Book Antiqua" w:cs="宋体"/>
          <w:color w:val="000000"/>
          <w:lang w:eastAsia="zh-CN"/>
        </w:rPr>
        <w:t>(</w:t>
      </w:r>
      <w:r w:rsidR="008A7968" w:rsidRPr="00B32DF6">
        <w:rPr>
          <w:rFonts w:ascii="Book Antiqua" w:eastAsia="Book Antiqua" w:hAnsi="Book Antiqua" w:cs="Book Antiqua"/>
          <w:color w:val="000000"/>
        </w:rPr>
        <w:t>SARS-CoV-2</w:t>
      </w:r>
      <w:r w:rsidR="00815960" w:rsidRPr="00B32DF6">
        <w:rPr>
          <w:rFonts w:ascii="Book Antiqua" w:eastAsia="宋体" w:hAnsi="Book Antiqua" w:cs="宋体"/>
          <w:color w:val="000000"/>
          <w:lang w:eastAsia="zh-CN"/>
        </w:rPr>
        <w:t xml:space="preserve">) </w:t>
      </w:r>
      <w:r w:rsidRPr="00B32DF6">
        <w:rPr>
          <w:rFonts w:ascii="Book Antiqua" w:eastAsia="Book Antiqua" w:hAnsi="Book Antiqua" w:cs="Book Antiqua"/>
          <w:color w:val="000000"/>
        </w:rPr>
        <w:t xml:space="preserve">exposed state. In a healthy state, commensal bacteria outcompete pathogens within the gut micro-environment leading to a predominantly anti-inflammatory state. Peptides released by commensal </w:t>
      </w:r>
      <w:r w:rsidRPr="00B7221C">
        <w:rPr>
          <w:rFonts w:ascii="Book Antiqua" w:eastAsia="Book Antiqua" w:hAnsi="Book Antiqua" w:cs="Book Antiqua"/>
          <w:color w:val="000000"/>
        </w:rPr>
        <w:t xml:space="preserve">gut bacteria support optimal brain and lung function. During </w:t>
      </w:r>
      <w:r w:rsidR="00083071">
        <w:rPr>
          <w:rFonts w:ascii="Book Antiqua" w:eastAsia="Book Antiqua" w:hAnsi="Book Antiqua" w:cs="Book Antiqua"/>
          <w:color w:val="000000"/>
        </w:rPr>
        <w:t>SARS-CoV-2</w:t>
      </w:r>
      <w:r w:rsidRPr="00B7221C">
        <w:rPr>
          <w:rFonts w:ascii="Book Antiqua" w:eastAsia="Book Antiqua" w:hAnsi="Book Antiqua" w:cs="Book Antiqua"/>
          <w:color w:val="000000"/>
        </w:rPr>
        <w:t xml:space="preserve"> infection, gut microbial dysbiosis dysregulates gut, lung, and brain function.</w:t>
      </w:r>
      <w:r w:rsidR="00450BAE"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SARS-CoV-2: Severe acute respiratory syndrome coronavirus</w:t>
      </w:r>
      <w:r w:rsidR="007C5A20"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2</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BBB: Blo</w:t>
      </w:r>
      <w:r w:rsidR="00755EAE" w:rsidRPr="00B7221C">
        <w:rPr>
          <w:rFonts w:ascii="Book Antiqua" w:eastAsia="Book Antiqua" w:hAnsi="Book Antiqua" w:cs="Book Antiqua"/>
          <w:color w:val="000000"/>
        </w:rPr>
        <w:t>od-brain barri</w:t>
      </w:r>
      <w:r w:rsidRPr="00B7221C">
        <w:rPr>
          <w:rFonts w:ascii="Book Antiqua" w:eastAsia="Book Antiqua" w:hAnsi="Book Antiqua" w:cs="Book Antiqua"/>
          <w:color w:val="000000"/>
        </w:rPr>
        <w:t>er</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AM: Alveolar macrophages</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SCFA: </w:t>
      </w:r>
      <w:r w:rsidR="001337CC">
        <w:rPr>
          <w:rFonts w:ascii="Book Antiqua" w:eastAsia="Book Antiqua" w:hAnsi="Book Antiqua" w:cs="Book Antiqua"/>
          <w:color w:val="000000"/>
        </w:rPr>
        <w:t>Short-chain</w:t>
      </w:r>
      <w:r w:rsidR="00755EAE" w:rsidRPr="00B7221C">
        <w:rPr>
          <w:rFonts w:ascii="Book Antiqua" w:eastAsia="Book Antiqua" w:hAnsi="Book Antiqua" w:cs="Book Antiqua"/>
          <w:color w:val="000000"/>
        </w:rPr>
        <w:t xml:space="preserve"> fatty aci</w:t>
      </w:r>
      <w:r w:rsidRPr="00B7221C">
        <w:rPr>
          <w:rFonts w:ascii="Book Antiqua" w:eastAsia="Book Antiqua" w:hAnsi="Book Antiqua" w:cs="Book Antiqua"/>
          <w:color w:val="000000"/>
        </w:rPr>
        <w:t>ds</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T-regs: T regulatory cells.</w:t>
      </w:r>
      <w:r w:rsidRPr="00B7221C">
        <w:rPr>
          <w:rFonts w:ascii="Book Antiqua" w:eastAsia="Book Antiqua" w:hAnsi="Book Antiqua" w:cs="Book Antiqua"/>
          <w:b/>
          <w:bCs/>
          <w:color w:val="000000"/>
        </w:rPr>
        <w:t xml:space="preserve"> </w:t>
      </w:r>
    </w:p>
    <w:p w14:paraId="22FFFC44" w14:textId="77777777" w:rsidR="009C48F8" w:rsidRDefault="009C48F8" w:rsidP="00B7221C">
      <w:pPr>
        <w:spacing w:line="360" w:lineRule="auto"/>
        <w:jc w:val="both"/>
        <w:rPr>
          <w:rFonts w:ascii="Book Antiqua" w:eastAsia="Book Antiqua" w:hAnsi="Book Antiqua" w:cs="Book Antiqua"/>
          <w:b/>
          <w:bCs/>
          <w:color w:val="000000"/>
        </w:rPr>
      </w:pPr>
    </w:p>
    <w:p w14:paraId="596FAAE4" w14:textId="77777777" w:rsidR="00001780" w:rsidRDefault="00001780" w:rsidP="00B7221C">
      <w:pPr>
        <w:spacing w:line="360" w:lineRule="auto"/>
        <w:jc w:val="both"/>
        <w:rPr>
          <w:rFonts w:ascii="Book Antiqua" w:eastAsia="Book Antiqua" w:hAnsi="Book Antiqua" w:cs="Book Antiqua"/>
          <w:b/>
          <w:bCs/>
          <w:color w:val="000000"/>
        </w:rPr>
      </w:pPr>
    </w:p>
    <w:p w14:paraId="5D2BBDF0" w14:textId="517D92A5" w:rsidR="00001780" w:rsidRPr="00B7221C" w:rsidRDefault="00001780" w:rsidP="00B7221C">
      <w:pPr>
        <w:spacing w:line="360" w:lineRule="auto"/>
        <w:jc w:val="both"/>
        <w:rPr>
          <w:rFonts w:ascii="Book Antiqua" w:eastAsia="Book Antiqua" w:hAnsi="Book Antiqua" w:cs="Book Antiqua"/>
          <w:b/>
          <w:bCs/>
          <w:color w:val="000000"/>
        </w:rPr>
        <w:sectPr w:rsidR="00001780" w:rsidRPr="00B7221C">
          <w:pgSz w:w="12240" w:h="15840"/>
          <w:pgMar w:top="1440" w:right="1440" w:bottom="1440" w:left="1440" w:header="720" w:footer="720" w:gutter="0"/>
          <w:cols w:space="720"/>
          <w:docGrid w:linePitch="360"/>
        </w:sectPr>
      </w:pPr>
    </w:p>
    <w:p w14:paraId="5BB9F782" w14:textId="01DB0EDC" w:rsidR="009C48F8" w:rsidRPr="00B7221C" w:rsidRDefault="004B7A92" w:rsidP="00B7221C">
      <w:pPr>
        <w:spacing w:line="360" w:lineRule="auto"/>
        <w:jc w:val="both"/>
        <w:rPr>
          <w:rFonts w:ascii="Book Antiqua" w:eastAsia="Book Antiqua" w:hAnsi="Book Antiqua" w:cs="Book Antiqua"/>
          <w:b/>
          <w:bCs/>
          <w:color w:val="000000"/>
        </w:rPr>
      </w:pPr>
      <w:r w:rsidRPr="00B7221C">
        <w:rPr>
          <w:rFonts w:ascii="Book Antiqua" w:hAnsi="Book Antiqua"/>
          <w:noProof/>
          <w:lang w:eastAsia="zh-CN"/>
        </w:rPr>
        <w:lastRenderedPageBreak/>
        <w:drawing>
          <wp:inline distT="0" distB="0" distL="0" distR="0" wp14:anchorId="3C7FE9E6" wp14:editId="10AB71E4">
            <wp:extent cx="4089400" cy="35205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9400" cy="3520554"/>
                    </a:xfrm>
                    <a:prstGeom prst="rect">
                      <a:avLst/>
                    </a:prstGeom>
                  </pic:spPr>
                </pic:pic>
              </a:graphicData>
            </a:graphic>
          </wp:inline>
        </w:drawing>
      </w:r>
    </w:p>
    <w:p w14:paraId="5BE2FCCD" w14:textId="2B7CC83D" w:rsidR="00A77B3E" w:rsidRPr="00B7221C" w:rsidRDefault="00A143FB" w:rsidP="00B7221C">
      <w:pPr>
        <w:spacing w:line="360" w:lineRule="auto"/>
        <w:jc w:val="both"/>
        <w:rPr>
          <w:rFonts w:ascii="Book Antiqua" w:eastAsia="Book Antiqua" w:hAnsi="Book Antiqua" w:cs="Book Antiqua"/>
          <w:color w:val="000000"/>
        </w:rPr>
      </w:pPr>
      <w:r w:rsidRPr="00B7221C">
        <w:rPr>
          <w:rFonts w:ascii="Book Antiqua" w:eastAsia="Book Antiqua" w:hAnsi="Book Antiqua" w:cs="Book Antiqua"/>
          <w:b/>
          <w:bCs/>
          <w:color w:val="000000"/>
        </w:rPr>
        <w:t xml:space="preserve">Figure 4 Elevated baseline gut inflammation observed in Sub-Saharan African individuals could lead to severe </w:t>
      </w:r>
      <w:r w:rsidR="00204000" w:rsidRPr="00B7221C">
        <w:rPr>
          <w:rFonts w:ascii="Book Antiqua" w:eastAsia="Book Antiqua" w:hAnsi="Book Antiqua" w:cs="Book Antiqua"/>
          <w:b/>
          <w:bCs/>
          <w:color w:val="000000"/>
        </w:rPr>
        <w:t>coronavirus disease 19</w:t>
      </w:r>
      <w:r w:rsidRPr="00B7221C">
        <w:rPr>
          <w:rFonts w:ascii="Book Antiqua" w:eastAsia="Book Antiqua" w:hAnsi="Book Antiqua" w:cs="Book Antiqua"/>
          <w:b/>
          <w:bCs/>
          <w:color w:val="000000"/>
        </w:rPr>
        <w:t xml:space="preserve"> associated dysregulation of the </w:t>
      </w:r>
      <w:r w:rsidR="00D714DC"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ut-</w:t>
      </w:r>
      <w:r w:rsidR="00D714DC"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rain-</w:t>
      </w:r>
      <w:r w:rsidR="00D714DC" w:rsidRPr="00B7221C">
        <w:rPr>
          <w:rFonts w:ascii="Book Antiqua" w:eastAsia="Book Antiqua" w:hAnsi="Book Antiqua" w:cs="Book Antiqua"/>
          <w:b/>
          <w:bCs/>
          <w:color w:val="000000"/>
        </w:rPr>
        <w:t>l</w:t>
      </w:r>
      <w:r w:rsidRPr="00B7221C">
        <w:rPr>
          <w:rFonts w:ascii="Book Antiqua" w:eastAsia="Book Antiqua" w:hAnsi="Book Antiqua" w:cs="Book Antiqua"/>
          <w:b/>
          <w:bCs/>
          <w:color w:val="000000"/>
        </w:rPr>
        <w:t xml:space="preserve">ung axis. </w:t>
      </w:r>
      <w:r w:rsidRPr="00B7221C">
        <w:rPr>
          <w:rFonts w:ascii="Book Antiqua" w:eastAsia="Book Antiqua" w:hAnsi="Book Antiqua" w:cs="Book Antiqua"/>
          <w:color w:val="000000"/>
        </w:rPr>
        <w:t xml:space="preserve">Continuous </w:t>
      </w:r>
      <w:r w:rsidR="001337CC">
        <w:rPr>
          <w:rFonts w:ascii="Book Antiqua" w:eastAsia="Book Antiqua" w:hAnsi="Book Antiqua" w:cs="Book Antiqua"/>
          <w:color w:val="000000"/>
        </w:rPr>
        <w:t>exposure to various</w:t>
      </w:r>
      <w:r w:rsidRPr="00B7221C">
        <w:rPr>
          <w:rFonts w:ascii="Book Antiqua" w:eastAsia="Book Antiqua" w:hAnsi="Book Antiqua" w:cs="Book Antiqua"/>
          <w:color w:val="000000"/>
        </w:rPr>
        <w:t xml:space="preserve"> endemic pathogens such as </w:t>
      </w:r>
      <w:r w:rsidR="004C0E6C" w:rsidRPr="00B7221C">
        <w:rPr>
          <w:rFonts w:ascii="Book Antiqua" w:eastAsia="Book Antiqua" w:hAnsi="Book Antiqua" w:cs="Book Antiqua"/>
          <w:color w:val="000000"/>
        </w:rPr>
        <w:t>human immunodeficiency virus</w:t>
      </w:r>
      <w:r w:rsidRPr="00B7221C">
        <w:rPr>
          <w:rFonts w:ascii="Book Antiqua" w:eastAsia="Book Antiqua" w:hAnsi="Book Antiqua" w:cs="Book Antiqua"/>
          <w:color w:val="000000"/>
        </w:rPr>
        <w:t xml:space="preserve">, </w:t>
      </w:r>
      <w:r w:rsidR="004C0E6C" w:rsidRPr="00B7221C">
        <w:rPr>
          <w:rFonts w:ascii="Book Antiqua" w:eastAsia="Book Antiqua" w:hAnsi="Book Antiqua" w:cs="Book Antiqua"/>
          <w:color w:val="000000"/>
        </w:rPr>
        <w:t>tuberculosis</w:t>
      </w:r>
      <w:r w:rsidRPr="00B7221C">
        <w:rPr>
          <w:rFonts w:ascii="Book Antiqua" w:eastAsia="Book Antiqua" w:hAnsi="Book Antiqua" w:cs="Book Antiqua"/>
          <w:color w:val="000000"/>
        </w:rPr>
        <w:t xml:space="preserve">, </w:t>
      </w:r>
      <w:r w:rsidR="001337CC">
        <w:rPr>
          <w:rFonts w:ascii="Book Antiqua" w:eastAsia="Book Antiqua" w:hAnsi="Book Antiqua" w:cs="Book Antiqua"/>
          <w:color w:val="000000"/>
        </w:rPr>
        <w:t>multiple</w:t>
      </w:r>
      <w:r w:rsidRPr="00B7221C">
        <w:rPr>
          <w:rFonts w:ascii="Book Antiqua" w:eastAsia="Book Antiqua" w:hAnsi="Book Antiqua" w:cs="Book Antiqua"/>
          <w:color w:val="000000"/>
        </w:rPr>
        <w:t xml:space="preserve"> vectors like tsetse flies, and several mosquitoes, in addition to low diets, set the ground for high levels of gut dysbiosis within the entire community populations. Additional studies focused on evaluating the effects of baseline gut dysbiosis on </w:t>
      </w:r>
      <w:r w:rsidR="00C03E25" w:rsidRPr="00B7221C">
        <w:rPr>
          <w:rFonts w:ascii="Book Antiqua" w:eastAsia="Book Antiqua" w:hAnsi="Book Antiqua" w:cs="Book Antiqua"/>
          <w:color w:val="000000"/>
        </w:rPr>
        <w:t>coronavirus disease 19</w:t>
      </w:r>
      <w:r w:rsidRPr="00B7221C">
        <w:rPr>
          <w:rFonts w:ascii="Book Antiqua" w:eastAsia="Book Antiqua" w:hAnsi="Book Antiqua" w:cs="Book Antiqua"/>
          <w:color w:val="000000"/>
        </w:rPr>
        <w:t xml:space="preserve"> infection are highly warranted.</w:t>
      </w:r>
      <w:r w:rsidR="0021621A" w:rsidRPr="00B7221C">
        <w:rPr>
          <w:rFonts w:ascii="Book Antiqua" w:eastAsia="Book Antiqua" w:hAnsi="Book Antiqua" w:cs="Book Antiqua"/>
          <w:color w:val="000000"/>
        </w:rPr>
        <w:t xml:space="preserve"> SARS-CoV-2: Severe acute respiratory syndrome coronavirus 2</w:t>
      </w:r>
      <w:r w:rsidR="003F21CF">
        <w:rPr>
          <w:rFonts w:ascii="Book Antiqua" w:eastAsia="Book Antiqua" w:hAnsi="Book Antiqua" w:cs="Book Antiqua"/>
          <w:color w:val="000000"/>
        </w:rPr>
        <w:t>;</w:t>
      </w:r>
      <w:r w:rsidR="0021621A" w:rsidRPr="00B7221C">
        <w:rPr>
          <w:rFonts w:ascii="Book Antiqua" w:eastAsia="Book Antiqua" w:hAnsi="Book Antiqua" w:cs="Book Antiqua"/>
          <w:color w:val="000000"/>
        </w:rPr>
        <w:t xml:space="preserve"> COVID-19: Coronavirus disease 19, HIV: Human immunodeficiency virus; TB: Tuberculosis.</w:t>
      </w:r>
    </w:p>
    <w:p w14:paraId="3C229666" w14:textId="77777777" w:rsidR="00C91A51" w:rsidRDefault="00C91A51" w:rsidP="00B7221C">
      <w:pPr>
        <w:spacing w:line="360" w:lineRule="auto"/>
        <w:jc w:val="both"/>
        <w:rPr>
          <w:rFonts w:ascii="Book Antiqua" w:hAnsi="Book Antiqua"/>
        </w:rPr>
      </w:pPr>
    </w:p>
    <w:p w14:paraId="49793876" w14:textId="77777777" w:rsidR="0052489A" w:rsidRDefault="0052489A" w:rsidP="00B7221C">
      <w:pPr>
        <w:spacing w:line="360" w:lineRule="auto"/>
        <w:jc w:val="both"/>
        <w:rPr>
          <w:rFonts w:ascii="Book Antiqua" w:hAnsi="Book Antiqua"/>
        </w:rPr>
      </w:pPr>
    </w:p>
    <w:p w14:paraId="5576D4F2" w14:textId="15F09462" w:rsidR="0052489A" w:rsidRPr="00B7221C" w:rsidRDefault="0052489A" w:rsidP="00B7221C">
      <w:pPr>
        <w:spacing w:line="360" w:lineRule="auto"/>
        <w:jc w:val="both"/>
        <w:rPr>
          <w:rFonts w:ascii="Book Antiqua" w:hAnsi="Book Antiqua"/>
        </w:rPr>
        <w:sectPr w:rsidR="0052489A" w:rsidRPr="00B7221C">
          <w:pgSz w:w="12240" w:h="15840"/>
          <w:pgMar w:top="1440" w:right="1440" w:bottom="1440" w:left="1440" w:header="720" w:footer="720" w:gutter="0"/>
          <w:cols w:space="720"/>
          <w:docGrid w:linePitch="360"/>
        </w:sectPr>
      </w:pPr>
    </w:p>
    <w:p w14:paraId="4DE907F7" w14:textId="5871608D" w:rsidR="00C91A51" w:rsidRPr="00B7221C" w:rsidRDefault="000B1117" w:rsidP="00B7221C">
      <w:pPr>
        <w:spacing w:line="360" w:lineRule="auto"/>
        <w:jc w:val="both"/>
        <w:rPr>
          <w:rFonts w:ascii="Book Antiqua" w:hAnsi="Book Antiqua"/>
          <w:b/>
          <w:bCs/>
        </w:rPr>
      </w:pPr>
      <w:r w:rsidRPr="00B7221C">
        <w:rPr>
          <w:rFonts w:ascii="Book Antiqua" w:hAnsi="Book Antiqua"/>
          <w:b/>
          <w:bCs/>
        </w:rPr>
        <w:lastRenderedPageBreak/>
        <w:t>Table 1 C</w:t>
      </w:r>
      <w:r w:rsidR="00FD22DA" w:rsidRPr="00B7221C">
        <w:rPr>
          <w:rFonts w:ascii="Book Antiqua" w:hAnsi="Book Antiqua"/>
          <w:b/>
          <w:bCs/>
        </w:rPr>
        <w:t>omprehensive list of available gut-based and vagus nerve therapies that could be leveraged to limit the severity of</w:t>
      </w:r>
      <w:r w:rsidRPr="00B7221C">
        <w:rPr>
          <w:rFonts w:ascii="Book Antiqua" w:hAnsi="Book Antiqua"/>
          <w:b/>
          <w:bCs/>
        </w:rPr>
        <w:t xml:space="preserve"> </w:t>
      </w:r>
      <w:r w:rsidR="00FD22DA" w:rsidRPr="00B7221C">
        <w:rPr>
          <w:rFonts w:ascii="Book Antiqua" w:hAnsi="Book Antiqua"/>
          <w:b/>
          <w:bCs/>
        </w:rPr>
        <w:t>coronavirus disease 19</w:t>
      </w:r>
      <w:r w:rsidRPr="00B7221C">
        <w:rPr>
          <w:rFonts w:ascii="Book Antiqua" w:hAnsi="Book Antiqua"/>
          <w:b/>
          <w:bCs/>
        </w:rPr>
        <w:t xml:space="preserve"> </w:t>
      </w:r>
      <w:r w:rsidR="00FD22DA" w:rsidRPr="00B7221C">
        <w:rPr>
          <w:rFonts w:ascii="Book Antiqua" w:hAnsi="Book Antiqua"/>
          <w:b/>
          <w:bCs/>
        </w:rPr>
        <w:t>infection</w:t>
      </w:r>
    </w:p>
    <w:tbl>
      <w:tblPr>
        <w:tblStyle w:val="PlainTable3"/>
        <w:tblW w:w="9630" w:type="dxa"/>
        <w:tblLook w:val="0620" w:firstRow="1" w:lastRow="0" w:firstColumn="0" w:lastColumn="0" w:noHBand="1" w:noVBand="1"/>
      </w:tblPr>
      <w:tblGrid>
        <w:gridCol w:w="2504"/>
        <w:gridCol w:w="2740"/>
        <w:gridCol w:w="2200"/>
        <w:gridCol w:w="2186"/>
      </w:tblGrid>
      <w:tr w:rsidR="00E447B1" w:rsidRPr="00B7221C" w14:paraId="43E9D33E" w14:textId="77777777" w:rsidTr="00AD6E02">
        <w:trPr>
          <w:cnfStyle w:val="100000000000" w:firstRow="1" w:lastRow="0" w:firstColumn="0" w:lastColumn="0" w:oddVBand="0" w:evenVBand="0" w:oddHBand="0" w:evenHBand="0" w:firstRowFirstColumn="0" w:firstRowLastColumn="0" w:lastRowFirstColumn="0" w:lastRowLastColumn="0"/>
          <w:trHeight w:val="399"/>
        </w:trPr>
        <w:tc>
          <w:tcPr>
            <w:tcW w:w="2504" w:type="dxa"/>
            <w:tcBorders>
              <w:top w:val="single" w:sz="4" w:space="0" w:color="auto"/>
              <w:bottom w:val="single" w:sz="4" w:space="0" w:color="auto"/>
            </w:tcBorders>
          </w:tcPr>
          <w:p w14:paraId="0806208A" w14:textId="677812F5" w:rsidR="00E447B1" w:rsidRPr="00AD6E02" w:rsidRDefault="00E447B1" w:rsidP="00AD6E02">
            <w:r w:rsidRPr="00AD6E02">
              <w:t>T</w:t>
            </w:r>
            <w:r w:rsidR="00AD6E02" w:rsidRPr="00AD6E02">
              <w:rPr>
                <w:caps w:val="0"/>
              </w:rPr>
              <w:t>herapy</w:t>
            </w:r>
          </w:p>
        </w:tc>
        <w:tc>
          <w:tcPr>
            <w:tcW w:w="2740" w:type="dxa"/>
            <w:tcBorders>
              <w:top w:val="single" w:sz="4" w:space="0" w:color="auto"/>
              <w:bottom w:val="single" w:sz="4" w:space="0" w:color="auto"/>
            </w:tcBorders>
          </w:tcPr>
          <w:p w14:paraId="6E1B134A" w14:textId="2A5D8847" w:rsidR="00E447B1" w:rsidRPr="00AD6E02" w:rsidRDefault="00E447B1" w:rsidP="00AD6E02">
            <w:r w:rsidRPr="00AD6E02">
              <w:t>T</w:t>
            </w:r>
            <w:r w:rsidR="00AD6E02" w:rsidRPr="00AD6E02">
              <w:rPr>
                <w:caps w:val="0"/>
              </w:rPr>
              <w:t>arget</w:t>
            </w:r>
          </w:p>
        </w:tc>
        <w:tc>
          <w:tcPr>
            <w:tcW w:w="2200" w:type="dxa"/>
            <w:tcBorders>
              <w:top w:val="single" w:sz="4" w:space="0" w:color="auto"/>
              <w:bottom w:val="single" w:sz="4" w:space="0" w:color="auto"/>
            </w:tcBorders>
          </w:tcPr>
          <w:p w14:paraId="1FBFF0D3" w14:textId="35392A60" w:rsidR="00E447B1" w:rsidRPr="00AD6E02" w:rsidRDefault="00E447B1" w:rsidP="00AD6E02">
            <w:r w:rsidRPr="00AD6E02">
              <w:t>I</w:t>
            </w:r>
            <w:r w:rsidR="00AD6E02" w:rsidRPr="00AD6E02">
              <w:rPr>
                <w:caps w:val="0"/>
              </w:rPr>
              <w:t>mpact</w:t>
            </w:r>
          </w:p>
        </w:tc>
        <w:tc>
          <w:tcPr>
            <w:tcW w:w="2186" w:type="dxa"/>
            <w:tcBorders>
              <w:top w:val="single" w:sz="4" w:space="0" w:color="auto"/>
              <w:bottom w:val="single" w:sz="4" w:space="0" w:color="auto"/>
            </w:tcBorders>
          </w:tcPr>
          <w:p w14:paraId="21869AB5" w14:textId="4EABB443" w:rsidR="00E447B1" w:rsidRPr="00AD6E02" w:rsidRDefault="00E447B1" w:rsidP="00AD6E02">
            <w:r w:rsidRPr="00AD6E02">
              <w:t>C</w:t>
            </w:r>
            <w:r w:rsidR="00AD6E02" w:rsidRPr="00AD6E02">
              <w:rPr>
                <w:caps w:val="0"/>
              </w:rPr>
              <w:t>linical outcome</w:t>
            </w:r>
          </w:p>
        </w:tc>
      </w:tr>
      <w:tr w:rsidR="00E447B1" w:rsidRPr="00B7221C" w14:paraId="556BC021" w14:textId="77777777" w:rsidTr="005E3231">
        <w:trPr>
          <w:trHeight w:val="388"/>
        </w:trPr>
        <w:tc>
          <w:tcPr>
            <w:tcW w:w="2504" w:type="dxa"/>
            <w:tcBorders>
              <w:top w:val="single" w:sz="4" w:space="0" w:color="auto"/>
            </w:tcBorders>
          </w:tcPr>
          <w:p w14:paraId="7C59C1EB" w14:textId="1167A6D3"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Infliximab</w:t>
            </w:r>
            <w:r w:rsidRPr="00B7221C">
              <w:rPr>
                <w:color w:val="auto"/>
                <w:szCs w:val="24"/>
                <w:vertAlign w:val="superscript"/>
              </w:rPr>
              <w:t>[</w:t>
            </w:r>
            <w:r w:rsidR="006009CC">
              <w:rPr>
                <w:color w:val="auto"/>
                <w:szCs w:val="24"/>
                <w:vertAlign w:val="superscript"/>
              </w:rPr>
              <w:t>57,58</w:t>
            </w:r>
            <w:r w:rsidRPr="00B7221C">
              <w:rPr>
                <w:color w:val="auto"/>
                <w:szCs w:val="24"/>
                <w:vertAlign w:val="superscript"/>
              </w:rPr>
              <w:t>]</w:t>
            </w:r>
          </w:p>
        </w:tc>
        <w:tc>
          <w:tcPr>
            <w:tcW w:w="2740" w:type="dxa"/>
            <w:tcBorders>
              <w:top w:val="single" w:sz="4" w:space="0" w:color="auto"/>
            </w:tcBorders>
          </w:tcPr>
          <w:p w14:paraId="1A7150C1" w14:textId="35A3DD86"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TNF-α</w:t>
            </w:r>
          </w:p>
        </w:tc>
        <w:tc>
          <w:tcPr>
            <w:tcW w:w="2200" w:type="dxa"/>
            <w:tcBorders>
              <w:top w:val="single" w:sz="4" w:space="0" w:color="auto"/>
            </w:tcBorders>
          </w:tcPr>
          <w:p w14:paraId="0833C3AC"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pro-inflammatory response induction and leukocyte migration</w:t>
            </w:r>
          </w:p>
        </w:tc>
        <w:tc>
          <w:tcPr>
            <w:tcW w:w="2186" w:type="dxa"/>
            <w:tcBorders>
              <w:top w:val="single" w:sz="4" w:space="0" w:color="auto"/>
            </w:tcBorders>
          </w:tcPr>
          <w:p w14:paraId="44E662DE"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infection rate, symptoms, hospital rate, and mortality</w:t>
            </w:r>
          </w:p>
        </w:tc>
      </w:tr>
      <w:tr w:rsidR="00E447B1" w:rsidRPr="00B7221C" w14:paraId="084BF4EE" w14:textId="77777777" w:rsidTr="005E3231">
        <w:trPr>
          <w:trHeight w:val="388"/>
        </w:trPr>
        <w:tc>
          <w:tcPr>
            <w:tcW w:w="2504" w:type="dxa"/>
          </w:tcPr>
          <w:p w14:paraId="21B697E5" w14:textId="5077AC31"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Ustekinumab</w:t>
            </w:r>
            <w:r w:rsidRPr="00B7221C">
              <w:rPr>
                <w:color w:val="auto"/>
                <w:szCs w:val="24"/>
                <w:vertAlign w:val="superscript"/>
              </w:rPr>
              <w:t>[</w:t>
            </w:r>
            <w:r w:rsidR="006009CC">
              <w:rPr>
                <w:color w:val="auto"/>
                <w:szCs w:val="24"/>
                <w:vertAlign w:val="superscript"/>
              </w:rPr>
              <w:t>57</w:t>
            </w:r>
            <w:r w:rsidRPr="00B7221C">
              <w:rPr>
                <w:color w:val="auto"/>
                <w:szCs w:val="24"/>
                <w:vertAlign w:val="superscript"/>
              </w:rPr>
              <w:t>]</w:t>
            </w:r>
          </w:p>
        </w:tc>
        <w:tc>
          <w:tcPr>
            <w:tcW w:w="2740" w:type="dxa"/>
          </w:tcPr>
          <w:p w14:paraId="74EDE0DD"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IL-12/IL-23</w:t>
            </w:r>
          </w:p>
        </w:tc>
        <w:tc>
          <w:tcPr>
            <w:tcW w:w="2200" w:type="dxa"/>
          </w:tcPr>
          <w:p w14:paraId="64D872B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Blocks T cell activation</w:t>
            </w:r>
          </w:p>
        </w:tc>
        <w:tc>
          <w:tcPr>
            <w:tcW w:w="2186" w:type="dxa"/>
          </w:tcPr>
          <w:p w14:paraId="5EB60789" w14:textId="0B0C35E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Possible improved outcome (pooled with other biologics)</w:t>
            </w:r>
          </w:p>
        </w:tc>
      </w:tr>
      <w:tr w:rsidR="00E447B1" w:rsidRPr="00B7221C" w14:paraId="1FC7940B" w14:textId="77777777" w:rsidTr="005E3231">
        <w:trPr>
          <w:trHeight w:val="388"/>
        </w:trPr>
        <w:tc>
          <w:tcPr>
            <w:tcW w:w="2504" w:type="dxa"/>
          </w:tcPr>
          <w:p w14:paraId="64FFFFFD" w14:textId="1A15AED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Vedolizumab</w:t>
            </w:r>
            <w:r w:rsidRPr="00B7221C">
              <w:rPr>
                <w:color w:val="auto"/>
                <w:szCs w:val="24"/>
                <w:vertAlign w:val="superscript"/>
              </w:rPr>
              <w:t>[</w:t>
            </w:r>
            <w:r w:rsidR="006009CC">
              <w:rPr>
                <w:color w:val="auto"/>
                <w:szCs w:val="24"/>
                <w:vertAlign w:val="superscript"/>
              </w:rPr>
              <w:t>54,57</w:t>
            </w:r>
            <w:r w:rsidRPr="00B7221C">
              <w:rPr>
                <w:color w:val="auto"/>
                <w:szCs w:val="24"/>
                <w:vertAlign w:val="superscript"/>
              </w:rPr>
              <w:t>]</w:t>
            </w:r>
          </w:p>
        </w:tc>
        <w:tc>
          <w:tcPr>
            <w:tcW w:w="2740" w:type="dxa"/>
          </w:tcPr>
          <w:p w14:paraId="4C0C693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α4β7 integrin</w:t>
            </w:r>
          </w:p>
        </w:tc>
        <w:tc>
          <w:tcPr>
            <w:tcW w:w="2200" w:type="dxa"/>
          </w:tcPr>
          <w:p w14:paraId="132D8128"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Reduced leukocyte trafficking to gut and associated inflammation </w:t>
            </w:r>
          </w:p>
        </w:tc>
        <w:tc>
          <w:tcPr>
            <w:tcW w:w="2186" w:type="dxa"/>
          </w:tcPr>
          <w:p w14:paraId="53C0A004" w14:textId="299BD530"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Possible improved outcome (pooled with other biologics)</w:t>
            </w:r>
          </w:p>
        </w:tc>
      </w:tr>
      <w:tr w:rsidR="00E447B1" w:rsidRPr="00B7221C" w14:paraId="55430294" w14:textId="77777777" w:rsidTr="005E3231">
        <w:trPr>
          <w:trHeight w:val="388"/>
        </w:trPr>
        <w:tc>
          <w:tcPr>
            <w:tcW w:w="2504" w:type="dxa"/>
          </w:tcPr>
          <w:p w14:paraId="468734A0" w14:textId="4CE13C2E"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Corticosteroids</w:t>
            </w:r>
            <w:r w:rsidRPr="00B7221C">
              <w:rPr>
                <w:color w:val="auto"/>
                <w:szCs w:val="24"/>
                <w:vertAlign w:val="superscript"/>
              </w:rPr>
              <w:t>[</w:t>
            </w:r>
            <w:r w:rsidR="006009CC">
              <w:rPr>
                <w:color w:val="auto"/>
                <w:szCs w:val="24"/>
                <w:vertAlign w:val="superscript"/>
              </w:rPr>
              <w:t>57,58,63</w:t>
            </w:r>
            <w:r w:rsidRPr="00B7221C">
              <w:rPr>
                <w:color w:val="auto"/>
                <w:szCs w:val="24"/>
                <w:vertAlign w:val="superscript"/>
              </w:rPr>
              <w:t>]</w:t>
            </w:r>
          </w:p>
        </w:tc>
        <w:tc>
          <w:tcPr>
            <w:tcW w:w="2740" w:type="dxa"/>
          </w:tcPr>
          <w:p w14:paraId="4BFAB4AB"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Glucocorticoid and mineralocorticoid receptors</w:t>
            </w:r>
          </w:p>
        </w:tc>
        <w:tc>
          <w:tcPr>
            <w:tcW w:w="2200" w:type="dxa"/>
          </w:tcPr>
          <w:p w14:paraId="6BF1D617"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c>
          <w:tcPr>
            <w:tcW w:w="2186" w:type="dxa"/>
          </w:tcPr>
          <w:p w14:paraId="37AF259E"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Better or worse clinical outcomes, depending on the timing</w:t>
            </w:r>
          </w:p>
        </w:tc>
      </w:tr>
      <w:tr w:rsidR="00E447B1" w:rsidRPr="00B7221C" w14:paraId="383EA291" w14:textId="77777777" w:rsidTr="005E3231">
        <w:trPr>
          <w:trHeight w:val="388"/>
        </w:trPr>
        <w:tc>
          <w:tcPr>
            <w:tcW w:w="2504" w:type="dxa"/>
          </w:tcPr>
          <w:p w14:paraId="06C6BBFD" w14:textId="77CE94E3"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Microbiome</w:t>
            </w:r>
            <w:r w:rsidRPr="00B7221C">
              <w:rPr>
                <w:color w:val="auto"/>
                <w:szCs w:val="24"/>
                <w:vertAlign w:val="superscript"/>
              </w:rPr>
              <w:t>[</w:t>
            </w:r>
            <w:r w:rsidR="00DA15D1">
              <w:rPr>
                <w:color w:val="auto"/>
                <w:szCs w:val="24"/>
                <w:vertAlign w:val="superscript"/>
              </w:rPr>
              <w:t>176</w:t>
            </w:r>
            <w:r w:rsidRPr="00B7221C">
              <w:rPr>
                <w:color w:val="auto"/>
                <w:szCs w:val="24"/>
                <w:vertAlign w:val="superscript"/>
              </w:rPr>
              <w:t>]</w:t>
            </w:r>
          </w:p>
        </w:tc>
        <w:tc>
          <w:tcPr>
            <w:tcW w:w="2740" w:type="dxa"/>
          </w:tcPr>
          <w:p w14:paraId="112692AF"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Butyrate production</w:t>
            </w:r>
          </w:p>
        </w:tc>
        <w:tc>
          <w:tcPr>
            <w:tcW w:w="2200" w:type="dxa"/>
          </w:tcPr>
          <w:p w14:paraId="0FD5F8C7"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Improved gut barrier integrity and decreased  microbial translocation</w:t>
            </w:r>
          </w:p>
        </w:tc>
        <w:tc>
          <w:tcPr>
            <w:tcW w:w="2186" w:type="dxa"/>
          </w:tcPr>
          <w:p w14:paraId="1EB59C6C"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r>
      <w:tr w:rsidR="00E447B1" w:rsidRPr="00B7221C" w14:paraId="07A2FDB5" w14:textId="77777777" w:rsidTr="005E3231">
        <w:trPr>
          <w:trHeight w:val="388"/>
        </w:trPr>
        <w:tc>
          <w:tcPr>
            <w:tcW w:w="2504" w:type="dxa"/>
          </w:tcPr>
          <w:p w14:paraId="55EF6B84" w14:textId="4B32C30C"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Vitamin D</w:t>
            </w:r>
            <w:r w:rsidRPr="00B7221C">
              <w:rPr>
                <w:color w:val="auto"/>
                <w:szCs w:val="24"/>
                <w:vertAlign w:val="superscript"/>
              </w:rPr>
              <w:t>[</w:t>
            </w:r>
            <w:r w:rsidR="003540C0">
              <w:rPr>
                <w:color w:val="auto"/>
                <w:szCs w:val="24"/>
                <w:vertAlign w:val="superscript"/>
              </w:rPr>
              <w:t>70,72,74</w:t>
            </w:r>
            <w:r w:rsidRPr="00B7221C">
              <w:rPr>
                <w:color w:val="auto"/>
                <w:szCs w:val="24"/>
                <w:vertAlign w:val="superscript"/>
              </w:rPr>
              <w:t>]</w:t>
            </w:r>
          </w:p>
        </w:tc>
        <w:tc>
          <w:tcPr>
            <w:tcW w:w="2740" w:type="dxa"/>
          </w:tcPr>
          <w:p w14:paraId="5CFC94CC" w14:textId="66255438"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Th17 </w:t>
            </w:r>
            <w:r w:rsidR="003F6C08" w:rsidRPr="00B7221C">
              <w:rPr>
                <w:color w:val="auto"/>
                <w:szCs w:val="24"/>
              </w:rPr>
              <w:t>c</w:t>
            </w:r>
            <w:r w:rsidRPr="00B7221C">
              <w:rPr>
                <w:color w:val="auto"/>
                <w:szCs w:val="24"/>
              </w:rPr>
              <w:t>ells</w:t>
            </w:r>
          </w:p>
        </w:tc>
        <w:tc>
          <w:tcPr>
            <w:tcW w:w="2200" w:type="dxa"/>
          </w:tcPr>
          <w:p w14:paraId="60E53AE3"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Reduced gut and </w:t>
            </w:r>
            <w:r w:rsidRPr="00B7221C">
              <w:rPr>
                <w:color w:val="auto"/>
                <w:szCs w:val="24"/>
              </w:rPr>
              <w:lastRenderedPageBreak/>
              <w:t>systemic inflammation</w:t>
            </w:r>
          </w:p>
        </w:tc>
        <w:tc>
          <w:tcPr>
            <w:tcW w:w="2186" w:type="dxa"/>
          </w:tcPr>
          <w:p w14:paraId="5510FC11"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lastRenderedPageBreak/>
              <w:t xml:space="preserve">Reduced infection </w:t>
            </w:r>
            <w:r w:rsidRPr="00B7221C">
              <w:rPr>
                <w:color w:val="auto"/>
                <w:szCs w:val="24"/>
              </w:rPr>
              <w:lastRenderedPageBreak/>
              <w:t>risk and enhanced clinical outcomes</w:t>
            </w:r>
          </w:p>
        </w:tc>
      </w:tr>
      <w:tr w:rsidR="00E447B1" w:rsidRPr="00B7221C" w14:paraId="39F9B830" w14:textId="77777777" w:rsidTr="005E3231">
        <w:trPr>
          <w:trHeight w:val="692"/>
        </w:trPr>
        <w:tc>
          <w:tcPr>
            <w:tcW w:w="2504" w:type="dxa"/>
          </w:tcPr>
          <w:p w14:paraId="12EBC0F4" w14:textId="6C863FE1"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lastRenderedPageBreak/>
              <w:t>Nicotine and related agonists</w:t>
            </w:r>
            <w:r w:rsidRPr="00B7221C">
              <w:rPr>
                <w:color w:val="auto"/>
                <w:szCs w:val="24"/>
                <w:vertAlign w:val="superscript"/>
              </w:rPr>
              <w:t>[</w:t>
            </w:r>
            <w:r w:rsidR="0051297E" w:rsidRPr="00B7221C">
              <w:rPr>
                <w:color w:val="auto"/>
                <w:szCs w:val="24"/>
                <w:vertAlign w:val="superscript"/>
              </w:rPr>
              <w:t>14</w:t>
            </w:r>
            <w:r w:rsidR="0051297E">
              <w:rPr>
                <w:color w:val="auto"/>
                <w:szCs w:val="24"/>
                <w:vertAlign w:val="superscript"/>
              </w:rPr>
              <w:t>2</w:t>
            </w:r>
            <w:r w:rsidRPr="00B7221C">
              <w:rPr>
                <w:color w:val="auto"/>
                <w:szCs w:val="24"/>
                <w:vertAlign w:val="superscript"/>
              </w:rPr>
              <w:t>,</w:t>
            </w:r>
            <w:r w:rsidR="0051297E" w:rsidRPr="00B7221C">
              <w:rPr>
                <w:color w:val="auto"/>
                <w:szCs w:val="24"/>
                <w:vertAlign w:val="superscript"/>
              </w:rPr>
              <w:t>15</w:t>
            </w:r>
            <w:r w:rsidR="0051297E">
              <w:rPr>
                <w:color w:val="auto"/>
                <w:szCs w:val="24"/>
                <w:vertAlign w:val="superscript"/>
              </w:rPr>
              <w:t>2</w:t>
            </w:r>
            <w:r w:rsidRPr="00B7221C">
              <w:rPr>
                <w:color w:val="auto"/>
                <w:szCs w:val="24"/>
                <w:vertAlign w:val="superscript"/>
              </w:rPr>
              <w:t>,</w:t>
            </w:r>
            <w:r w:rsidR="0051297E" w:rsidRPr="00B7221C">
              <w:rPr>
                <w:color w:val="auto"/>
                <w:szCs w:val="24"/>
                <w:vertAlign w:val="superscript"/>
              </w:rPr>
              <w:t>15</w:t>
            </w:r>
            <w:r w:rsidR="0051297E">
              <w:rPr>
                <w:color w:val="auto"/>
                <w:szCs w:val="24"/>
                <w:vertAlign w:val="superscript"/>
              </w:rPr>
              <w:t>3</w:t>
            </w:r>
            <w:r w:rsidRPr="00B7221C">
              <w:rPr>
                <w:color w:val="auto"/>
                <w:szCs w:val="24"/>
                <w:vertAlign w:val="superscript"/>
              </w:rPr>
              <w:t>]</w:t>
            </w:r>
          </w:p>
        </w:tc>
        <w:tc>
          <w:tcPr>
            <w:tcW w:w="2740" w:type="dxa"/>
          </w:tcPr>
          <w:p w14:paraId="79560CF4"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α7nAChR</w:t>
            </w:r>
          </w:p>
        </w:tc>
        <w:tc>
          <w:tcPr>
            <w:tcW w:w="2200" w:type="dxa"/>
          </w:tcPr>
          <w:p w14:paraId="753BF54F"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c>
          <w:tcPr>
            <w:tcW w:w="2186" w:type="dxa"/>
          </w:tcPr>
          <w:p w14:paraId="183EBD88"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infection rate</w:t>
            </w:r>
          </w:p>
        </w:tc>
      </w:tr>
      <w:tr w:rsidR="00E447B1" w:rsidRPr="00B7221C" w14:paraId="6442DA57" w14:textId="77777777" w:rsidTr="005E3231">
        <w:trPr>
          <w:trHeight w:val="827"/>
        </w:trPr>
        <w:tc>
          <w:tcPr>
            <w:tcW w:w="2504" w:type="dxa"/>
            <w:tcBorders>
              <w:bottom w:val="single" w:sz="4" w:space="0" w:color="auto"/>
            </w:tcBorders>
          </w:tcPr>
          <w:p w14:paraId="3C1BE29A" w14:textId="754D965E"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Vagus nerve stimulation</w:t>
            </w:r>
            <w:r w:rsidRPr="00B7221C">
              <w:rPr>
                <w:color w:val="auto"/>
                <w:szCs w:val="24"/>
                <w:vertAlign w:val="superscript"/>
              </w:rPr>
              <w:t>[</w:t>
            </w:r>
            <w:r w:rsidR="003540C0" w:rsidRPr="00B7221C">
              <w:rPr>
                <w:color w:val="auto"/>
                <w:szCs w:val="24"/>
                <w:vertAlign w:val="superscript"/>
              </w:rPr>
              <w:t>15</w:t>
            </w:r>
            <w:r w:rsidR="003540C0">
              <w:rPr>
                <w:color w:val="auto"/>
                <w:szCs w:val="24"/>
                <w:vertAlign w:val="superscript"/>
              </w:rPr>
              <w:t>1</w:t>
            </w:r>
            <w:r w:rsidRPr="00B7221C">
              <w:rPr>
                <w:color w:val="auto"/>
                <w:szCs w:val="24"/>
                <w:vertAlign w:val="superscript"/>
              </w:rPr>
              <w:t>]</w:t>
            </w:r>
          </w:p>
        </w:tc>
        <w:tc>
          <w:tcPr>
            <w:tcW w:w="2740" w:type="dxa"/>
            <w:tcBorders>
              <w:bottom w:val="single" w:sz="4" w:space="0" w:color="auto"/>
            </w:tcBorders>
          </w:tcPr>
          <w:p w14:paraId="14D10DA2"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α7nAChR</w:t>
            </w:r>
          </w:p>
        </w:tc>
        <w:tc>
          <w:tcPr>
            <w:tcW w:w="2200" w:type="dxa"/>
            <w:tcBorders>
              <w:bottom w:val="single" w:sz="4" w:space="0" w:color="auto"/>
            </w:tcBorders>
          </w:tcPr>
          <w:p w14:paraId="3304B19B"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Increased acetylcholine release </w:t>
            </w:r>
          </w:p>
        </w:tc>
        <w:tc>
          <w:tcPr>
            <w:tcW w:w="2186" w:type="dxa"/>
            <w:tcBorders>
              <w:bottom w:val="single" w:sz="4" w:space="0" w:color="auto"/>
            </w:tcBorders>
          </w:tcPr>
          <w:p w14:paraId="561E522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inflammation</w:t>
            </w:r>
          </w:p>
        </w:tc>
      </w:tr>
    </w:tbl>
    <w:p w14:paraId="1091DFC9" w14:textId="56F5D907" w:rsidR="00B25975" w:rsidRDefault="005E3231" w:rsidP="00B7221C">
      <w:pPr>
        <w:spacing w:line="360" w:lineRule="auto"/>
        <w:jc w:val="both"/>
        <w:rPr>
          <w:rFonts w:ascii="Book Antiqua" w:eastAsia="Book Antiqua" w:hAnsi="Book Antiqua" w:cs="Book Antiqua"/>
          <w:color w:val="000000"/>
          <w:shd w:val="clear" w:color="auto" w:fill="FFFFFF"/>
        </w:rPr>
      </w:pPr>
      <w:r w:rsidRPr="00B7221C">
        <w:rPr>
          <w:rFonts w:ascii="Book Antiqua" w:hAnsi="Book Antiqua"/>
        </w:rPr>
        <w:t xml:space="preserve">TNF-α: </w:t>
      </w:r>
      <w:r w:rsidR="002C343E" w:rsidRPr="00B7221C">
        <w:rPr>
          <w:rFonts w:ascii="Book Antiqua" w:eastAsia="Book Antiqua" w:hAnsi="Book Antiqua" w:cs="Book Antiqua"/>
          <w:color w:val="000000"/>
          <w:shd w:val="clear" w:color="auto" w:fill="FFFFFF"/>
        </w:rPr>
        <w:t>Tumor necrosis factor-α</w:t>
      </w:r>
      <w:r w:rsidR="00381827" w:rsidRPr="00B7221C">
        <w:rPr>
          <w:rFonts w:ascii="Book Antiqua" w:hAnsi="Book Antiqua" w:cs="Book Antiqua"/>
          <w:color w:val="000000"/>
          <w:shd w:val="clear" w:color="auto" w:fill="FFFFFF"/>
          <w:lang w:eastAsia="zh-CN"/>
        </w:rPr>
        <w:t xml:space="preserve">; </w:t>
      </w:r>
      <w:r w:rsidRPr="00B7221C">
        <w:rPr>
          <w:rFonts w:ascii="Book Antiqua" w:hAnsi="Book Antiqua"/>
        </w:rPr>
        <w:t>IL:</w:t>
      </w:r>
      <w:r w:rsidR="002C343E" w:rsidRPr="00B7221C">
        <w:rPr>
          <w:rFonts w:ascii="Book Antiqua" w:hAnsi="Book Antiqua"/>
        </w:rPr>
        <w:t xml:space="preserve">  Interleukin</w:t>
      </w:r>
      <w:r w:rsidR="00381827" w:rsidRPr="00B7221C">
        <w:rPr>
          <w:rFonts w:ascii="Book Antiqua" w:hAnsi="Book Antiqua"/>
          <w:lang w:eastAsia="zh-CN"/>
        </w:rPr>
        <w:t xml:space="preserve">; </w:t>
      </w:r>
      <w:r w:rsidR="001D3750" w:rsidRPr="00B7221C">
        <w:rPr>
          <w:rFonts w:ascii="Book Antiqua" w:hAnsi="Book Antiqua"/>
        </w:rPr>
        <w:t xml:space="preserve">Th17: </w:t>
      </w:r>
      <w:r w:rsidR="00204B12" w:rsidRPr="00B7221C">
        <w:rPr>
          <w:rFonts w:ascii="Book Antiqua" w:eastAsia="Book Antiqua" w:hAnsi="Book Antiqua" w:cs="Book Antiqua"/>
          <w:color w:val="000000"/>
        </w:rPr>
        <w:t>T helper</w:t>
      </w:r>
      <w:r w:rsidR="00381827" w:rsidRPr="00B7221C">
        <w:rPr>
          <w:rFonts w:ascii="Book Antiqua" w:hAnsi="Book Antiqua" w:cs="Book Antiqua"/>
          <w:color w:val="000000"/>
          <w:lang w:eastAsia="zh-CN"/>
        </w:rPr>
        <w:t xml:space="preserve">; </w:t>
      </w:r>
      <w:r w:rsidR="001163B3" w:rsidRPr="00B7221C">
        <w:rPr>
          <w:rFonts w:ascii="Book Antiqua" w:hAnsi="Book Antiqua"/>
        </w:rPr>
        <w:t>nAChR</w:t>
      </w:r>
      <w:r w:rsidRPr="00B7221C">
        <w:rPr>
          <w:rFonts w:ascii="Book Antiqua" w:hAnsi="Book Antiqua"/>
        </w:rPr>
        <w:t xml:space="preserve">: </w:t>
      </w:r>
      <w:r w:rsidR="001762F1" w:rsidRPr="00B7221C">
        <w:rPr>
          <w:rFonts w:ascii="Book Antiqua" w:eastAsia="Book Antiqua" w:hAnsi="Book Antiqua" w:cs="Book Antiqua"/>
          <w:color w:val="000000"/>
          <w:shd w:val="clear" w:color="auto" w:fill="FFFFFF"/>
        </w:rPr>
        <w:t>N</w:t>
      </w:r>
      <w:r w:rsidR="000D361B" w:rsidRPr="00B7221C">
        <w:rPr>
          <w:rFonts w:ascii="Book Antiqua" w:eastAsia="Book Antiqua" w:hAnsi="Book Antiqua" w:cs="Book Antiqua"/>
          <w:color w:val="000000"/>
          <w:shd w:val="clear" w:color="auto" w:fill="FFFFFF"/>
        </w:rPr>
        <w:t>icotinic acetylcholine receptor</w:t>
      </w:r>
      <w:r w:rsidR="00A14EE4" w:rsidRPr="00B7221C">
        <w:rPr>
          <w:rFonts w:ascii="Book Antiqua" w:eastAsia="Book Antiqua" w:hAnsi="Book Antiqua" w:cs="Book Antiqua"/>
          <w:color w:val="000000"/>
          <w:shd w:val="clear" w:color="auto" w:fill="FFFFFF"/>
        </w:rPr>
        <w:t>.</w:t>
      </w:r>
    </w:p>
    <w:p w14:paraId="3093BDEE" w14:textId="77777777" w:rsidR="00B25975" w:rsidRDefault="00B25975">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2F4D45B7" w14:textId="77777777" w:rsidR="00B25975" w:rsidRDefault="00B25975" w:rsidP="00B25975">
      <w:pPr>
        <w:jc w:val="center"/>
        <w:rPr>
          <w:rFonts w:ascii="Book Antiqua" w:hAnsi="Book Antiqua"/>
        </w:rPr>
      </w:pPr>
    </w:p>
    <w:p w14:paraId="427859F1" w14:textId="77777777" w:rsidR="00B25975" w:rsidRDefault="00B25975" w:rsidP="00B25975">
      <w:pPr>
        <w:jc w:val="center"/>
        <w:rPr>
          <w:rFonts w:ascii="Book Antiqua" w:hAnsi="Book Antiqua"/>
        </w:rPr>
      </w:pPr>
    </w:p>
    <w:p w14:paraId="1E1F51F0" w14:textId="77777777" w:rsidR="00B25975" w:rsidRDefault="00B25975" w:rsidP="00B25975">
      <w:pPr>
        <w:jc w:val="center"/>
        <w:rPr>
          <w:rFonts w:ascii="Book Antiqua" w:hAnsi="Book Antiqua"/>
        </w:rPr>
      </w:pPr>
    </w:p>
    <w:p w14:paraId="3297206E" w14:textId="77777777" w:rsidR="00B25975" w:rsidRDefault="00B25975" w:rsidP="00B25975">
      <w:pPr>
        <w:jc w:val="center"/>
        <w:rPr>
          <w:rFonts w:ascii="Book Antiqua" w:hAnsi="Book Antiqua"/>
        </w:rPr>
      </w:pPr>
    </w:p>
    <w:p w14:paraId="6AC3F74C" w14:textId="77777777" w:rsidR="00B25975" w:rsidRDefault="00B25975" w:rsidP="00B25975">
      <w:pPr>
        <w:jc w:val="center"/>
        <w:rPr>
          <w:rFonts w:ascii="Book Antiqua" w:hAnsi="Book Antiqua"/>
        </w:rPr>
      </w:pPr>
    </w:p>
    <w:p w14:paraId="7AF3088E" w14:textId="65077A03" w:rsidR="00B25975" w:rsidRDefault="00B25975" w:rsidP="00B25975">
      <w:pPr>
        <w:jc w:val="center"/>
        <w:rPr>
          <w:rFonts w:ascii="Book Antiqua" w:hAnsi="Book Antiqua"/>
        </w:rPr>
      </w:pPr>
      <w:r>
        <w:rPr>
          <w:rFonts w:ascii="Book Antiqua" w:hAnsi="Book Antiqua"/>
          <w:noProof/>
          <w:lang w:eastAsia="zh-CN"/>
        </w:rPr>
        <w:drawing>
          <wp:inline distT="0" distB="0" distL="0" distR="0" wp14:anchorId="152E8F60" wp14:editId="1CD651A9">
            <wp:extent cx="2497455" cy="1437005"/>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89C29A5" w14:textId="77777777" w:rsidR="00B25975" w:rsidRDefault="00B25975" w:rsidP="00B25975">
      <w:pPr>
        <w:jc w:val="center"/>
        <w:rPr>
          <w:rFonts w:ascii="Book Antiqua" w:hAnsi="Book Antiqua"/>
        </w:rPr>
      </w:pPr>
    </w:p>
    <w:p w14:paraId="79F674BB" w14:textId="77777777" w:rsidR="00B25975" w:rsidRDefault="00B25975" w:rsidP="00B2597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EE9294F" w14:textId="77777777" w:rsidR="00B25975" w:rsidRDefault="00B25975" w:rsidP="00B2597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E2B3CF" w14:textId="77777777" w:rsidR="00B25975" w:rsidRDefault="00B25975" w:rsidP="00B2597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18ECA3" w14:textId="77777777" w:rsidR="00B25975" w:rsidRDefault="00B25975" w:rsidP="00B259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3AD3ED" w14:textId="77777777" w:rsidR="00B25975" w:rsidRDefault="00B25975" w:rsidP="00B259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FE0F31B" w14:textId="77777777" w:rsidR="00B25975" w:rsidRDefault="00B25975" w:rsidP="00B2597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3DB2725" w14:textId="77777777" w:rsidR="00B25975" w:rsidRDefault="00B25975" w:rsidP="00B25975">
      <w:pPr>
        <w:jc w:val="center"/>
        <w:rPr>
          <w:rFonts w:ascii="Book Antiqua" w:hAnsi="Book Antiqua"/>
        </w:rPr>
      </w:pPr>
    </w:p>
    <w:p w14:paraId="09796786" w14:textId="77777777" w:rsidR="00B25975" w:rsidRDefault="00B25975" w:rsidP="00B25975">
      <w:pPr>
        <w:jc w:val="center"/>
        <w:rPr>
          <w:rFonts w:ascii="Book Antiqua" w:hAnsi="Book Antiqua"/>
        </w:rPr>
      </w:pPr>
    </w:p>
    <w:p w14:paraId="1185322F" w14:textId="77777777" w:rsidR="00B25975" w:rsidRDefault="00B25975" w:rsidP="00B25975">
      <w:pPr>
        <w:jc w:val="center"/>
        <w:rPr>
          <w:rFonts w:ascii="Book Antiqua" w:hAnsi="Book Antiqua"/>
        </w:rPr>
      </w:pPr>
    </w:p>
    <w:p w14:paraId="3DE2F8E3" w14:textId="1FB850BC" w:rsidR="00B25975" w:rsidRDefault="00B25975" w:rsidP="00B25975">
      <w:pPr>
        <w:jc w:val="center"/>
        <w:rPr>
          <w:rFonts w:ascii="Book Antiqua" w:hAnsi="Book Antiqua"/>
        </w:rPr>
      </w:pPr>
      <w:r>
        <w:rPr>
          <w:rFonts w:ascii="Book Antiqua" w:hAnsi="Book Antiqua"/>
          <w:noProof/>
          <w:lang w:eastAsia="zh-CN"/>
        </w:rPr>
        <w:drawing>
          <wp:inline distT="0" distB="0" distL="0" distR="0" wp14:anchorId="363F23CD" wp14:editId="716DE35D">
            <wp:extent cx="1444625" cy="1437005"/>
            <wp:effectExtent l="0" t="0" r="3175"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4772DEB4" w14:textId="77777777" w:rsidR="00B25975" w:rsidRDefault="00B25975" w:rsidP="00B25975">
      <w:pPr>
        <w:jc w:val="center"/>
        <w:rPr>
          <w:rFonts w:ascii="Book Antiqua" w:hAnsi="Book Antiqua"/>
        </w:rPr>
      </w:pPr>
    </w:p>
    <w:p w14:paraId="1CD668BF" w14:textId="77777777" w:rsidR="00B25975" w:rsidRDefault="00B25975" w:rsidP="00B25975">
      <w:pPr>
        <w:jc w:val="center"/>
        <w:rPr>
          <w:rFonts w:ascii="Book Antiqua" w:hAnsi="Book Antiqua"/>
        </w:rPr>
      </w:pPr>
    </w:p>
    <w:p w14:paraId="687D3A8E" w14:textId="77777777" w:rsidR="00B25975" w:rsidRDefault="00B25975" w:rsidP="00B25975">
      <w:pPr>
        <w:jc w:val="center"/>
        <w:rPr>
          <w:rFonts w:ascii="Book Antiqua" w:hAnsi="Book Antiqua"/>
        </w:rPr>
      </w:pPr>
    </w:p>
    <w:p w14:paraId="273C4B41" w14:textId="77777777" w:rsidR="00B25975" w:rsidRDefault="00B25975" w:rsidP="00B25975">
      <w:pPr>
        <w:jc w:val="center"/>
        <w:rPr>
          <w:rFonts w:ascii="Book Antiqua" w:hAnsi="Book Antiqua"/>
        </w:rPr>
      </w:pPr>
    </w:p>
    <w:p w14:paraId="4F1FC525" w14:textId="77777777" w:rsidR="00B25975" w:rsidRDefault="00B25975" w:rsidP="00B25975">
      <w:pPr>
        <w:jc w:val="center"/>
        <w:rPr>
          <w:rFonts w:ascii="Book Antiqua" w:hAnsi="Book Antiqua"/>
        </w:rPr>
      </w:pPr>
    </w:p>
    <w:p w14:paraId="10DAEFB1" w14:textId="77777777" w:rsidR="00B25975" w:rsidRDefault="00B25975" w:rsidP="00B25975">
      <w:pPr>
        <w:jc w:val="center"/>
        <w:rPr>
          <w:rFonts w:ascii="Book Antiqua" w:hAnsi="Book Antiqua"/>
        </w:rPr>
      </w:pPr>
    </w:p>
    <w:p w14:paraId="3A2A0536" w14:textId="77777777" w:rsidR="00B25975" w:rsidRDefault="00B25975" w:rsidP="00B25975">
      <w:pPr>
        <w:jc w:val="center"/>
        <w:rPr>
          <w:rFonts w:ascii="Book Antiqua" w:hAnsi="Book Antiqua"/>
        </w:rPr>
      </w:pPr>
    </w:p>
    <w:p w14:paraId="7916AD06" w14:textId="77777777" w:rsidR="00B25975" w:rsidRDefault="00B25975" w:rsidP="00B25975">
      <w:pPr>
        <w:jc w:val="center"/>
        <w:rPr>
          <w:rFonts w:ascii="Book Antiqua" w:hAnsi="Book Antiqua"/>
        </w:rPr>
      </w:pPr>
    </w:p>
    <w:p w14:paraId="75F8B929" w14:textId="77777777" w:rsidR="00B25975" w:rsidRDefault="00B25975" w:rsidP="00B25975">
      <w:pPr>
        <w:jc w:val="center"/>
        <w:rPr>
          <w:rFonts w:ascii="Book Antiqua" w:hAnsi="Book Antiqua"/>
        </w:rPr>
      </w:pPr>
    </w:p>
    <w:p w14:paraId="61E44F01" w14:textId="77777777" w:rsidR="00B25975" w:rsidRDefault="00B25975" w:rsidP="00B25975">
      <w:pPr>
        <w:jc w:val="right"/>
        <w:rPr>
          <w:rFonts w:ascii="Book Antiqua" w:hAnsi="Book Antiqua"/>
          <w:color w:val="000000" w:themeColor="text1"/>
        </w:rPr>
      </w:pPr>
    </w:p>
    <w:p w14:paraId="0EB7D5F9" w14:textId="77777777" w:rsidR="00B25975" w:rsidRDefault="00B25975" w:rsidP="00B25975">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7E63E6D" w14:textId="77777777" w:rsidR="00B5115F" w:rsidRPr="00B7221C" w:rsidRDefault="00B5115F" w:rsidP="00B7221C">
      <w:pPr>
        <w:spacing w:line="360" w:lineRule="auto"/>
        <w:jc w:val="both"/>
        <w:rPr>
          <w:rFonts w:ascii="Book Antiqua" w:hAnsi="Book Antiqua"/>
        </w:rPr>
      </w:pPr>
    </w:p>
    <w:sectPr w:rsidR="00B5115F" w:rsidRPr="00B72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5C8F5" w14:textId="77777777" w:rsidR="00702A3F" w:rsidRDefault="00702A3F" w:rsidP="00472764">
      <w:r>
        <w:separator/>
      </w:r>
    </w:p>
  </w:endnote>
  <w:endnote w:type="continuationSeparator" w:id="0">
    <w:p w14:paraId="31711B3A" w14:textId="77777777" w:rsidR="00702A3F" w:rsidRDefault="00702A3F" w:rsidP="0047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5FC89" w14:textId="3E68E5EA" w:rsidR="008007DA" w:rsidRPr="00AF5050" w:rsidRDefault="008007DA" w:rsidP="00AF5050">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587364">
      <w:rPr>
        <w:rFonts w:ascii="Book Antiqua" w:hAnsi="Book Antiqua"/>
        <w:noProof/>
        <w:sz w:val="24"/>
        <w:szCs w:val="24"/>
      </w:rPr>
      <w:t>13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587364">
      <w:rPr>
        <w:rFonts w:ascii="Book Antiqua" w:hAnsi="Book Antiqua"/>
        <w:noProof/>
        <w:sz w:val="24"/>
        <w:szCs w:val="24"/>
      </w:rPr>
      <w:t>53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8FB65" w14:textId="77777777" w:rsidR="00702A3F" w:rsidRDefault="00702A3F" w:rsidP="00472764">
      <w:r>
        <w:separator/>
      </w:r>
    </w:p>
  </w:footnote>
  <w:footnote w:type="continuationSeparator" w:id="0">
    <w:p w14:paraId="57962314" w14:textId="77777777" w:rsidR="00702A3F" w:rsidRDefault="00702A3F" w:rsidP="004727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12F51"/>
    <w:multiLevelType w:val="hybridMultilevel"/>
    <w:tmpl w:val="8B26D8F2"/>
    <w:lvl w:ilvl="0" w:tplc="D65ABF06">
      <w:start w:val="1"/>
      <w:numFmt w:val="bullet"/>
      <w:pStyle w:val="EndNoteBibliography"/>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7B3E"/>
    <w:rsid w:val="00001780"/>
    <w:rsid w:val="00010DB5"/>
    <w:rsid w:val="00012ED7"/>
    <w:rsid w:val="00016D59"/>
    <w:rsid w:val="000237EA"/>
    <w:rsid w:val="00053043"/>
    <w:rsid w:val="00054051"/>
    <w:rsid w:val="0005423D"/>
    <w:rsid w:val="000623A8"/>
    <w:rsid w:val="000713BA"/>
    <w:rsid w:val="0008135E"/>
    <w:rsid w:val="00083071"/>
    <w:rsid w:val="0009348A"/>
    <w:rsid w:val="000A0210"/>
    <w:rsid w:val="000A2866"/>
    <w:rsid w:val="000A3D96"/>
    <w:rsid w:val="000B1117"/>
    <w:rsid w:val="000C0193"/>
    <w:rsid w:val="000D361B"/>
    <w:rsid w:val="000D3FEB"/>
    <w:rsid w:val="000E3734"/>
    <w:rsid w:val="000E48F1"/>
    <w:rsid w:val="000E4EB5"/>
    <w:rsid w:val="000F5EFE"/>
    <w:rsid w:val="0010323F"/>
    <w:rsid w:val="00104FF5"/>
    <w:rsid w:val="001163B3"/>
    <w:rsid w:val="00121501"/>
    <w:rsid w:val="001337CC"/>
    <w:rsid w:val="00137416"/>
    <w:rsid w:val="001419B3"/>
    <w:rsid w:val="00151A38"/>
    <w:rsid w:val="00160291"/>
    <w:rsid w:val="00164258"/>
    <w:rsid w:val="001762F1"/>
    <w:rsid w:val="0017685A"/>
    <w:rsid w:val="00182986"/>
    <w:rsid w:val="00195CDA"/>
    <w:rsid w:val="001B0C67"/>
    <w:rsid w:val="001B2E7E"/>
    <w:rsid w:val="001B35BF"/>
    <w:rsid w:val="001B6EBB"/>
    <w:rsid w:val="001C1815"/>
    <w:rsid w:val="001C3C8B"/>
    <w:rsid w:val="001D2B54"/>
    <w:rsid w:val="001D3750"/>
    <w:rsid w:val="001E0FCA"/>
    <w:rsid w:val="001E2017"/>
    <w:rsid w:val="001E7AD7"/>
    <w:rsid w:val="001F5396"/>
    <w:rsid w:val="00204000"/>
    <w:rsid w:val="00204B12"/>
    <w:rsid w:val="00215B56"/>
    <w:rsid w:val="0021621A"/>
    <w:rsid w:val="00217782"/>
    <w:rsid w:val="00221243"/>
    <w:rsid w:val="00226339"/>
    <w:rsid w:val="0023196F"/>
    <w:rsid w:val="00231FB5"/>
    <w:rsid w:val="00236D05"/>
    <w:rsid w:val="002406F3"/>
    <w:rsid w:val="0024166A"/>
    <w:rsid w:val="00264C40"/>
    <w:rsid w:val="00267FC4"/>
    <w:rsid w:val="002915E5"/>
    <w:rsid w:val="002924E0"/>
    <w:rsid w:val="002C1728"/>
    <w:rsid w:val="002C343E"/>
    <w:rsid w:val="002D2585"/>
    <w:rsid w:val="002D3412"/>
    <w:rsid w:val="002D4DE1"/>
    <w:rsid w:val="002D55F5"/>
    <w:rsid w:val="002D72D9"/>
    <w:rsid w:val="002E029D"/>
    <w:rsid w:val="002E21D2"/>
    <w:rsid w:val="002F3FD3"/>
    <w:rsid w:val="002F5670"/>
    <w:rsid w:val="002F795E"/>
    <w:rsid w:val="0030788E"/>
    <w:rsid w:val="003138BC"/>
    <w:rsid w:val="0031465C"/>
    <w:rsid w:val="00315E56"/>
    <w:rsid w:val="0032247F"/>
    <w:rsid w:val="00326087"/>
    <w:rsid w:val="00330187"/>
    <w:rsid w:val="00335F76"/>
    <w:rsid w:val="00340A2D"/>
    <w:rsid w:val="00340F83"/>
    <w:rsid w:val="00350113"/>
    <w:rsid w:val="003540C0"/>
    <w:rsid w:val="00354142"/>
    <w:rsid w:val="00354ABC"/>
    <w:rsid w:val="00361B13"/>
    <w:rsid w:val="003621F5"/>
    <w:rsid w:val="00381827"/>
    <w:rsid w:val="003833F6"/>
    <w:rsid w:val="003A6F19"/>
    <w:rsid w:val="003B4B27"/>
    <w:rsid w:val="003C0775"/>
    <w:rsid w:val="003D24B2"/>
    <w:rsid w:val="003D348D"/>
    <w:rsid w:val="003D3749"/>
    <w:rsid w:val="003E30C4"/>
    <w:rsid w:val="003E3428"/>
    <w:rsid w:val="003F1D64"/>
    <w:rsid w:val="003F21CF"/>
    <w:rsid w:val="003F32D7"/>
    <w:rsid w:val="003F6C08"/>
    <w:rsid w:val="003F7020"/>
    <w:rsid w:val="003F7824"/>
    <w:rsid w:val="00400020"/>
    <w:rsid w:val="004038AB"/>
    <w:rsid w:val="00411001"/>
    <w:rsid w:val="004170E1"/>
    <w:rsid w:val="00423387"/>
    <w:rsid w:val="00423E2E"/>
    <w:rsid w:val="00432889"/>
    <w:rsid w:val="00436FA9"/>
    <w:rsid w:val="00442753"/>
    <w:rsid w:val="00444487"/>
    <w:rsid w:val="00444654"/>
    <w:rsid w:val="004479E8"/>
    <w:rsid w:val="00450BAE"/>
    <w:rsid w:val="00452D41"/>
    <w:rsid w:val="004601E9"/>
    <w:rsid w:val="00460490"/>
    <w:rsid w:val="00471991"/>
    <w:rsid w:val="00472764"/>
    <w:rsid w:val="00480FD4"/>
    <w:rsid w:val="00483FD5"/>
    <w:rsid w:val="00485DB8"/>
    <w:rsid w:val="00497F62"/>
    <w:rsid w:val="004A23B1"/>
    <w:rsid w:val="004A43F1"/>
    <w:rsid w:val="004A479D"/>
    <w:rsid w:val="004B09E2"/>
    <w:rsid w:val="004B2D34"/>
    <w:rsid w:val="004B5BB7"/>
    <w:rsid w:val="004B7A92"/>
    <w:rsid w:val="004C0E6C"/>
    <w:rsid w:val="004D2DBC"/>
    <w:rsid w:val="004D52FA"/>
    <w:rsid w:val="004D76B8"/>
    <w:rsid w:val="004E0BC8"/>
    <w:rsid w:val="004E27AD"/>
    <w:rsid w:val="00503D6C"/>
    <w:rsid w:val="00504A5A"/>
    <w:rsid w:val="00505458"/>
    <w:rsid w:val="00511543"/>
    <w:rsid w:val="0051297E"/>
    <w:rsid w:val="00522438"/>
    <w:rsid w:val="0052489A"/>
    <w:rsid w:val="00527BF4"/>
    <w:rsid w:val="00534EE7"/>
    <w:rsid w:val="00540154"/>
    <w:rsid w:val="00547A9A"/>
    <w:rsid w:val="00557AE5"/>
    <w:rsid w:val="00566E01"/>
    <w:rsid w:val="00571303"/>
    <w:rsid w:val="005820EB"/>
    <w:rsid w:val="00587364"/>
    <w:rsid w:val="00597570"/>
    <w:rsid w:val="005A1199"/>
    <w:rsid w:val="005B0234"/>
    <w:rsid w:val="005B591B"/>
    <w:rsid w:val="005C18B0"/>
    <w:rsid w:val="005C2FEE"/>
    <w:rsid w:val="005C30ED"/>
    <w:rsid w:val="005C6D41"/>
    <w:rsid w:val="005D1799"/>
    <w:rsid w:val="005D45E9"/>
    <w:rsid w:val="005E3231"/>
    <w:rsid w:val="005E6717"/>
    <w:rsid w:val="005E7DB3"/>
    <w:rsid w:val="006009CC"/>
    <w:rsid w:val="006025F9"/>
    <w:rsid w:val="006446AC"/>
    <w:rsid w:val="00647772"/>
    <w:rsid w:val="00673AE8"/>
    <w:rsid w:val="00674F83"/>
    <w:rsid w:val="00682450"/>
    <w:rsid w:val="00683AA2"/>
    <w:rsid w:val="00690C97"/>
    <w:rsid w:val="006A4C05"/>
    <w:rsid w:val="006B0E5D"/>
    <w:rsid w:val="006B23AA"/>
    <w:rsid w:val="006D2B51"/>
    <w:rsid w:val="006D466D"/>
    <w:rsid w:val="006E7672"/>
    <w:rsid w:val="006F1C6B"/>
    <w:rsid w:val="00700576"/>
    <w:rsid w:val="00702A3F"/>
    <w:rsid w:val="007039E4"/>
    <w:rsid w:val="007158F2"/>
    <w:rsid w:val="0071617D"/>
    <w:rsid w:val="007227D1"/>
    <w:rsid w:val="00725CF9"/>
    <w:rsid w:val="00730335"/>
    <w:rsid w:val="007334DB"/>
    <w:rsid w:val="0073782C"/>
    <w:rsid w:val="00742F21"/>
    <w:rsid w:val="007512EE"/>
    <w:rsid w:val="00755EAE"/>
    <w:rsid w:val="00771208"/>
    <w:rsid w:val="00773060"/>
    <w:rsid w:val="00785E40"/>
    <w:rsid w:val="007941C5"/>
    <w:rsid w:val="007A42C1"/>
    <w:rsid w:val="007B0EB8"/>
    <w:rsid w:val="007B7EFC"/>
    <w:rsid w:val="007C04DE"/>
    <w:rsid w:val="007C06C9"/>
    <w:rsid w:val="007C109A"/>
    <w:rsid w:val="007C479E"/>
    <w:rsid w:val="007C5A20"/>
    <w:rsid w:val="007D464F"/>
    <w:rsid w:val="007E3233"/>
    <w:rsid w:val="007E5B23"/>
    <w:rsid w:val="007F7E42"/>
    <w:rsid w:val="008007DA"/>
    <w:rsid w:val="0080353C"/>
    <w:rsid w:val="00806F43"/>
    <w:rsid w:val="00810142"/>
    <w:rsid w:val="00815960"/>
    <w:rsid w:val="00825B19"/>
    <w:rsid w:val="0083299E"/>
    <w:rsid w:val="00843475"/>
    <w:rsid w:val="00844711"/>
    <w:rsid w:val="00850E26"/>
    <w:rsid w:val="00851C87"/>
    <w:rsid w:val="0086695F"/>
    <w:rsid w:val="00876D59"/>
    <w:rsid w:val="00881D1A"/>
    <w:rsid w:val="00894C6A"/>
    <w:rsid w:val="008A7968"/>
    <w:rsid w:val="008B1362"/>
    <w:rsid w:val="008B173A"/>
    <w:rsid w:val="008B244B"/>
    <w:rsid w:val="008C1A25"/>
    <w:rsid w:val="008C5674"/>
    <w:rsid w:val="008C5E32"/>
    <w:rsid w:val="008D055A"/>
    <w:rsid w:val="008E153D"/>
    <w:rsid w:val="008F2202"/>
    <w:rsid w:val="008F4523"/>
    <w:rsid w:val="00901AE2"/>
    <w:rsid w:val="00910D23"/>
    <w:rsid w:val="00915B63"/>
    <w:rsid w:val="00922CF2"/>
    <w:rsid w:val="0093063D"/>
    <w:rsid w:val="00930D1F"/>
    <w:rsid w:val="00936A38"/>
    <w:rsid w:val="00941039"/>
    <w:rsid w:val="009457EF"/>
    <w:rsid w:val="009521E8"/>
    <w:rsid w:val="0096001D"/>
    <w:rsid w:val="0097140E"/>
    <w:rsid w:val="0098765F"/>
    <w:rsid w:val="009927B1"/>
    <w:rsid w:val="00996724"/>
    <w:rsid w:val="009B10DA"/>
    <w:rsid w:val="009B49B0"/>
    <w:rsid w:val="009C48F8"/>
    <w:rsid w:val="009E46D0"/>
    <w:rsid w:val="009F1BF7"/>
    <w:rsid w:val="009F2744"/>
    <w:rsid w:val="009F2E7C"/>
    <w:rsid w:val="009F547B"/>
    <w:rsid w:val="00A143FB"/>
    <w:rsid w:val="00A14544"/>
    <w:rsid w:val="00A14EE4"/>
    <w:rsid w:val="00A22545"/>
    <w:rsid w:val="00A2463B"/>
    <w:rsid w:val="00A2761F"/>
    <w:rsid w:val="00A27D09"/>
    <w:rsid w:val="00A34D67"/>
    <w:rsid w:val="00A35749"/>
    <w:rsid w:val="00A36E96"/>
    <w:rsid w:val="00A56C4E"/>
    <w:rsid w:val="00A6724A"/>
    <w:rsid w:val="00A71A35"/>
    <w:rsid w:val="00A7298A"/>
    <w:rsid w:val="00A77B3E"/>
    <w:rsid w:val="00A8037C"/>
    <w:rsid w:val="00A81ABD"/>
    <w:rsid w:val="00A85161"/>
    <w:rsid w:val="00A9726B"/>
    <w:rsid w:val="00AA6CBB"/>
    <w:rsid w:val="00AB4D16"/>
    <w:rsid w:val="00AD1956"/>
    <w:rsid w:val="00AD6E02"/>
    <w:rsid w:val="00AE2D2B"/>
    <w:rsid w:val="00AE4B91"/>
    <w:rsid w:val="00AF021B"/>
    <w:rsid w:val="00AF5050"/>
    <w:rsid w:val="00B0559A"/>
    <w:rsid w:val="00B05B10"/>
    <w:rsid w:val="00B06D35"/>
    <w:rsid w:val="00B1635C"/>
    <w:rsid w:val="00B16A30"/>
    <w:rsid w:val="00B25975"/>
    <w:rsid w:val="00B25CBE"/>
    <w:rsid w:val="00B32DF6"/>
    <w:rsid w:val="00B331FE"/>
    <w:rsid w:val="00B347B3"/>
    <w:rsid w:val="00B419B7"/>
    <w:rsid w:val="00B41D30"/>
    <w:rsid w:val="00B429DC"/>
    <w:rsid w:val="00B42D46"/>
    <w:rsid w:val="00B4354A"/>
    <w:rsid w:val="00B5115F"/>
    <w:rsid w:val="00B61CF8"/>
    <w:rsid w:val="00B70D15"/>
    <w:rsid w:val="00B7221C"/>
    <w:rsid w:val="00B8187F"/>
    <w:rsid w:val="00B81DC7"/>
    <w:rsid w:val="00B9444F"/>
    <w:rsid w:val="00BA7AF9"/>
    <w:rsid w:val="00BB1AF0"/>
    <w:rsid w:val="00BB72DF"/>
    <w:rsid w:val="00BC1E95"/>
    <w:rsid w:val="00BE3565"/>
    <w:rsid w:val="00BE6BDA"/>
    <w:rsid w:val="00BE7B3C"/>
    <w:rsid w:val="00BF26D5"/>
    <w:rsid w:val="00BF637F"/>
    <w:rsid w:val="00BF70F0"/>
    <w:rsid w:val="00C0156A"/>
    <w:rsid w:val="00C0336A"/>
    <w:rsid w:val="00C03E25"/>
    <w:rsid w:val="00C12172"/>
    <w:rsid w:val="00C22C0A"/>
    <w:rsid w:val="00C3417F"/>
    <w:rsid w:val="00C45B0E"/>
    <w:rsid w:val="00C47006"/>
    <w:rsid w:val="00C56360"/>
    <w:rsid w:val="00C567C4"/>
    <w:rsid w:val="00C61339"/>
    <w:rsid w:val="00C62E92"/>
    <w:rsid w:val="00C6736B"/>
    <w:rsid w:val="00C676DA"/>
    <w:rsid w:val="00C81827"/>
    <w:rsid w:val="00C91A51"/>
    <w:rsid w:val="00C93B20"/>
    <w:rsid w:val="00C93FA2"/>
    <w:rsid w:val="00C95421"/>
    <w:rsid w:val="00C97584"/>
    <w:rsid w:val="00CA00F1"/>
    <w:rsid w:val="00CA2176"/>
    <w:rsid w:val="00CA2A55"/>
    <w:rsid w:val="00CA6261"/>
    <w:rsid w:val="00CB26AC"/>
    <w:rsid w:val="00CB4D73"/>
    <w:rsid w:val="00CC0749"/>
    <w:rsid w:val="00CC202D"/>
    <w:rsid w:val="00CC726B"/>
    <w:rsid w:val="00CF0AB3"/>
    <w:rsid w:val="00CF13E2"/>
    <w:rsid w:val="00CF1AE1"/>
    <w:rsid w:val="00CF2CB0"/>
    <w:rsid w:val="00CF5918"/>
    <w:rsid w:val="00D14275"/>
    <w:rsid w:val="00D21FCC"/>
    <w:rsid w:val="00D2426C"/>
    <w:rsid w:val="00D31110"/>
    <w:rsid w:val="00D32B88"/>
    <w:rsid w:val="00D37469"/>
    <w:rsid w:val="00D40119"/>
    <w:rsid w:val="00D42C97"/>
    <w:rsid w:val="00D506DA"/>
    <w:rsid w:val="00D519A7"/>
    <w:rsid w:val="00D56250"/>
    <w:rsid w:val="00D565F4"/>
    <w:rsid w:val="00D5693D"/>
    <w:rsid w:val="00D60373"/>
    <w:rsid w:val="00D61BBB"/>
    <w:rsid w:val="00D657B2"/>
    <w:rsid w:val="00D67EFB"/>
    <w:rsid w:val="00D714DC"/>
    <w:rsid w:val="00D72A00"/>
    <w:rsid w:val="00D777D2"/>
    <w:rsid w:val="00D83874"/>
    <w:rsid w:val="00D83CE9"/>
    <w:rsid w:val="00D849A0"/>
    <w:rsid w:val="00D85BCF"/>
    <w:rsid w:val="00D9315D"/>
    <w:rsid w:val="00D977FC"/>
    <w:rsid w:val="00DA15D1"/>
    <w:rsid w:val="00DA21C5"/>
    <w:rsid w:val="00DB130D"/>
    <w:rsid w:val="00DB63BB"/>
    <w:rsid w:val="00DC0587"/>
    <w:rsid w:val="00DC5544"/>
    <w:rsid w:val="00DE4964"/>
    <w:rsid w:val="00DE6177"/>
    <w:rsid w:val="00DF3132"/>
    <w:rsid w:val="00DF4965"/>
    <w:rsid w:val="00E03A49"/>
    <w:rsid w:val="00E1120D"/>
    <w:rsid w:val="00E127C0"/>
    <w:rsid w:val="00E15678"/>
    <w:rsid w:val="00E17C52"/>
    <w:rsid w:val="00E419B9"/>
    <w:rsid w:val="00E41AD0"/>
    <w:rsid w:val="00E447B1"/>
    <w:rsid w:val="00E650C2"/>
    <w:rsid w:val="00EC36E7"/>
    <w:rsid w:val="00EC4D8E"/>
    <w:rsid w:val="00ED68D3"/>
    <w:rsid w:val="00ED699D"/>
    <w:rsid w:val="00EE0B47"/>
    <w:rsid w:val="00EE19ED"/>
    <w:rsid w:val="00EE3DD5"/>
    <w:rsid w:val="00EE530D"/>
    <w:rsid w:val="00EE7EDB"/>
    <w:rsid w:val="00EF1F73"/>
    <w:rsid w:val="00F00FC8"/>
    <w:rsid w:val="00F02D3E"/>
    <w:rsid w:val="00F035BC"/>
    <w:rsid w:val="00F129CB"/>
    <w:rsid w:val="00F13C12"/>
    <w:rsid w:val="00F16146"/>
    <w:rsid w:val="00F17E0D"/>
    <w:rsid w:val="00F234E3"/>
    <w:rsid w:val="00F26B8E"/>
    <w:rsid w:val="00F37DA5"/>
    <w:rsid w:val="00F418C5"/>
    <w:rsid w:val="00F504EB"/>
    <w:rsid w:val="00F6084A"/>
    <w:rsid w:val="00F65E20"/>
    <w:rsid w:val="00F72E88"/>
    <w:rsid w:val="00F73C98"/>
    <w:rsid w:val="00F81FB9"/>
    <w:rsid w:val="00FA3BE8"/>
    <w:rsid w:val="00FA7203"/>
    <w:rsid w:val="00FA7CFA"/>
    <w:rsid w:val="00FB7844"/>
    <w:rsid w:val="00FC3626"/>
    <w:rsid w:val="00FC50E8"/>
    <w:rsid w:val="00FC77CE"/>
    <w:rsid w:val="00FD22DA"/>
    <w:rsid w:val="00FD5737"/>
    <w:rsid w:val="00FF7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D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2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2764"/>
    <w:rPr>
      <w:sz w:val="18"/>
      <w:szCs w:val="18"/>
    </w:rPr>
  </w:style>
  <w:style w:type="paragraph" w:styleId="a4">
    <w:name w:val="footer"/>
    <w:basedOn w:val="a"/>
    <w:link w:val="Char0"/>
    <w:unhideWhenUsed/>
    <w:rsid w:val="00472764"/>
    <w:pPr>
      <w:tabs>
        <w:tab w:val="center" w:pos="4153"/>
        <w:tab w:val="right" w:pos="8306"/>
      </w:tabs>
      <w:snapToGrid w:val="0"/>
    </w:pPr>
    <w:rPr>
      <w:sz w:val="18"/>
      <w:szCs w:val="18"/>
    </w:rPr>
  </w:style>
  <w:style w:type="character" w:customStyle="1" w:styleId="Char0">
    <w:name w:val="页脚 Char"/>
    <w:basedOn w:val="a0"/>
    <w:link w:val="a4"/>
    <w:rsid w:val="00472764"/>
    <w:rPr>
      <w:sz w:val="18"/>
      <w:szCs w:val="18"/>
    </w:rPr>
  </w:style>
  <w:style w:type="character" w:styleId="a5">
    <w:name w:val="annotation reference"/>
    <w:basedOn w:val="a0"/>
    <w:semiHidden/>
    <w:unhideWhenUsed/>
    <w:rsid w:val="00674F83"/>
    <w:rPr>
      <w:sz w:val="21"/>
      <w:szCs w:val="21"/>
    </w:rPr>
  </w:style>
  <w:style w:type="paragraph" w:styleId="a6">
    <w:name w:val="annotation text"/>
    <w:basedOn w:val="a"/>
    <w:link w:val="Char1"/>
    <w:unhideWhenUsed/>
    <w:rsid w:val="00674F83"/>
  </w:style>
  <w:style w:type="character" w:customStyle="1" w:styleId="Char1">
    <w:name w:val="批注文字 Char"/>
    <w:basedOn w:val="a0"/>
    <w:link w:val="a6"/>
    <w:rsid w:val="00674F83"/>
    <w:rPr>
      <w:sz w:val="24"/>
      <w:szCs w:val="24"/>
    </w:rPr>
  </w:style>
  <w:style w:type="paragraph" w:styleId="a7">
    <w:name w:val="annotation subject"/>
    <w:basedOn w:val="a6"/>
    <w:next w:val="a6"/>
    <w:link w:val="Char2"/>
    <w:semiHidden/>
    <w:unhideWhenUsed/>
    <w:rsid w:val="00674F83"/>
    <w:rPr>
      <w:b/>
      <w:bCs/>
    </w:rPr>
  </w:style>
  <w:style w:type="character" w:customStyle="1" w:styleId="Char2">
    <w:name w:val="批注主题 Char"/>
    <w:basedOn w:val="Char1"/>
    <w:link w:val="a7"/>
    <w:semiHidden/>
    <w:rsid w:val="00674F83"/>
    <w:rPr>
      <w:b/>
      <w:bCs/>
      <w:sz w:val="24"/>
      <w:szCs w:val="24"/>
    </w:rPr>
  </w:style>
  <w:style w:type="paragraph" w:customStyle="1" w:styleId="EndNoteBibliography">
    <w:name w:val="EndNote Bibliography"/>
    <w:basedOn w:val="a"/>
    <w:link w:val="EndNoteBibliographyChar"/>
    <w:rsid w:val="00E447B1"/>
    <w:pPr>
      <w:numPr>
        <w:numId w:val="1"/>
      </w:numPr>
      <w:spacing w:after="160" w:line="360" w:lineRule="auto"/>
    </w:pPr>
    <w:rPr>
      <w:rFonts w:ascii="Book Antiqua" w:hAnsi="Book Antiqua"/>
      <w:noProof/>
      <w:color w:val="000000" w:themeColor="text1"/>
      <w:szCs w:val="32"/>
    </w:rPr>
  </w:style>
  <w:style w:type="character" w:customStyle="1" w:styleId="EndNoteBibliographyChar">
    <w:name w:val="EndNote Bibliography Char"/>
    <w:basedOn w:val="a0"/>
    <w:link w:val="EndNoteBibliography"/>
    <w:rsid w:val="00E447B1"/>
    <w:rPr>
      <w:rFonts w:ascii="Book Antiqua" w:hAnsi="Book Antiqua"/>
      <w:noProof/>
      <w:color w:val="000000" w:themeColor="text1"/>
      <w:sz w:val="24"/>
      <w:szCs w:val="32"/>
    </w:rPr>
  </w:style>
  <w:style w:type="table" w:customStyle="1" w:styleId="PlainTable3">
    <w:name w:val="Plain Table 3"/>
    <w:basedOn w:val="a1"/>
    <w:uiPriority w:val="43"/>
    <w:rsid w:val="00E447B1"/>
    <w:rPr>
      <w:rFonts w:cstheme="majorBidi"/>
      <w:color w:val="000000" w:themeColor="text1"/>
      <w:sz w:val="24"/>
      <w:szCs w:val="3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21243"/>
    <w:pPr>
      <w:widowControl w:val="0"/>
      <w:autoSpaceDE w:val="0"/>
      <w:autoSpaceDN w:val="0"/>
      <w:adjustRightInd w:val="0"/>
    </w:pPr>
    <w:rPr>
      <w:rFonts w:ascii="Book Antiqua" w:hAnsi="Book Antiqua" w:cs="Book Antiqua"/>
      <w:color w:val="000000"/>
      <w:sz w:val="24"/>
      <w:szCs w:val="24"/>
    </w:rPr>
  </w:style>
  <w:style w:type="paragraph" w:styleId="a8">
    <w:name w:val="Balloon Text"/>
    <w:basedOn w:val="a"/>
    <w:link w:val="Char3"/>
    <w:rsid w:val="00151A38"/>
    <w:rPr>
      <w:sz w:val="18"/>
      <w:szCs w:val="18"/>
    </w:rPr>
  </w:style>
  <w:style w:type="character" w:customStyle="1" w:styleId="Char3">
    <w:name w:val="批注框文本 Char"/>
    <w:basedOn w:val="a0"/>
    <w:link w:val="a8"/>
    <w:rsid w:val="00151A38"/>
    <w:rPr>
      <w:sz w:val="18"/>
      <w:szCs w:val="18"/>
    </w:rPr>
  </w:style>
  <w:style w:type="character" w:styleId="a9">
    <w:name w:val="Hyperlink"/>
    <w:basedOn w:val="a0"/>
    <w:unhideWhenUsed/>
    <w:rsid w:val="00B2597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2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2764"/>
    <w:rPr>
      <w:sz w:val="18"/>
      <w:szCs w:val="18"/>
    </w:rPr>
  </w:style>
  <w:style w:type="paragraph" w:styleId="a4">
    <w:name w:val="footer"/>
    <w:basedOn w:val="a"/>
    <w:link w:val="Char0"/>
    <w:unhideWhenUsed/>
    <w:rsid w:val="00472764"/>
    <w:pPr>
      <w:tabs>
        <w:tab w:val="center" w:pos="4153"/>
        <w:tab w:val="right" w:pos="8306"/>
      </w:tabs>
      <w:snapToGrid w:val="0"/>
    </w:pPr>
    <w:rPr>
      <w:sz w:val="18"/>
      <w:szCs w:val="18"/>
    </w:rPr>
  </w:style>
  <w:style w:type="character" w:customStyle="1" w:styleId="Char0">
    <w:name w:val="页脚 Char"/>
    <w:basedOn w:val="a0"/>
    <w:link w:val="a4"/>
    <w:rsid w:val="00472764"/>
    <w:rPr>
      <w:sz w:val="18"/>
      <w:szCs w:val="18"/>
    </w:rPr>
  </w:style>
  <w:style w:type="character" w:styleId="a5">
    <w:name w:val="annotation reference"/>
    <w:basedOn w:val="a0"/>
    <w:semiHidden/>
    <w:unhideWhenUsed/>
    <w:rsid w:val="00674F83"/>
    <w:rPr>
      <w:sz w:val="21"/>
      <w:szCs w:val="21"/>
    </w:rPr>
  </w:style>
  <w:style w:type="paragraph" w:styleId="a6">
    <w:name w:val="annotation text"/>
    <w:basedOn w:val="a"/>
    <w:link w:val="Char1"/>
    <w:unhideWhenUsed/>
    <w:rsid w:val="00674F83"/>
  </w:style>
  <w:style w:type="character" w:customStyle="1" w:styleId="Char1">
    <w:name w:val="批注文字 Char"/>
    <w:basedOn w:val="a0"/>
    <w:link w:val="a6"/>
    <w:rsid w:val="00674F83"/>
    <w:rPr>
      <w:sz w:val="24"/>
      <w:szCs w:val="24"/>
    </w:rPr>
  </w:style>
  <w:style w:type="paragraph" w:styleId="a7">
    <w:name w:val="annotation subject"/>
    <w:basedOn w:val="a6"/>
    <w:next w:val="a6"/>
    <w:link w:val="Char2"/>
    <w:semiHidden/>
    <w:unhideWhenUsed/>
    <w:rsid w:val="00674F83"/>
    <w:rPr>
      <w:b/>
      <w:bCs/>
    </w:rPr>
  </w:style>
  <w:style w:type="character" w:customStyle="1" w:styleId="Char2">
    <w:name w:val="批注主题 Char"/>
    <w:basedOn w:val="Char1"/>
    <w:link w:val="a7"/>
    <w:semiHidden/>
    <w:rsid w:val="00674F83"/>
    <w:rPr>
      <w:b/>
      <w:bCs/>
      <w:sz w:val="24"/>
      <w:szCs w:val="24"/>
    </w:rPr>
  </w:style>
  <w:style w:type="paragraph" w:customStyle="1" w:styleId="EndNoteBibliography">
    <w:name w:val="EndNote Bibliography"/>
    <w:basedOn w:val="a"/>
    <w:link w:val="EndNoteBibliographyChar"/>
    <w:rsid w:val="00E447B1"/>
    <w:pPr>
      <w:numPr>
        <w:numId w:val="1"/>
      </w:numPr>
      <w:spacing w:after="160" w:line="360" w:lineRule="auto"/>
    </w:pPr>
    <w:rPr>
      <w:rFonts w:ascii="Book Antiqua" w:hAnsi="Book Antiqua"/>
      <w:noProof/>
      <w:color w:val="000000" w:themeColor="text1"/>
      <w:szCs w:val="32"/>
    </w:rPr>
  </w:style>
  <w:style w:type="character" w:customStyle="1" w:styleId="EndNoteBibliographyChar">
    <w:name w:val="EndNote Bibliography Char"/>
    <w:basedOn w:val="a0"/>
    <w:link w:val="EndNoteBibliography"/>
    <w:rsid w:val="00E447B1"/>
    <w:rPr>
      <w:rFonts w:ascii="Book Antiqua" w:hAnsi="Book Antiqua"/>
      <w:noProof/>
      <w:color w:val="000000" w:themeColor="text1"/>
      <w:sz w:val="24"/>
      <w:szCs w:val="32"/>
    </w:rPr>
  </w:style>
  <w:style w:type="table" w:customStyle="1" w:styleId="PlainTable3">
    <w:name w:val="Plain Table 3"/>
    <w:basedOn w:val="a1"/>
    <w:uiPriority w:val="43"/>
    <w:rsid w:val="00E447B1"/>
    <w:rPr>
      <w:rFonts w:cstheme="majorBidi"/>
      <w:color w:val="000000" w:themeColor="text1"/>
      <w:sz w:val="24"/>
      <w:szCs w:val="3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21243"/>
    <w:pPr>
      <w:widowControl w:val="0"/>
      <w:autoSpaceDE w:val="0"/>
      <w:autoSpaceDN w:val="0"/>
      <w:adjustRightInd w:val="0"/>
    </w:pPr>
    <w:rPr>
      <w:rFonts w:ascii="Book Antiqua" w:hAnsi="Book Antiqua" w:cs="Book Antiqua"/>
      <w:color w:val="000000"/>
      <w:sz w:val="24"/>
      <w:szCs w:val="24"/>
    </w:rPr>
  </w:style>
  <w:style w:type="paragraph" w:styleId="a8">
    <w:name w:val="Balloon Text"/>
    <w:basedOn w:val="a"/>
    <w:link w:val="Char3"/>
    <w:rsid w:val="00151A38"/>
    <w:rPr>
      <w:sz w:val="18"/>
      <w:szCs w:val="18"/>
    </w:rPr>
  </w:style>
  <w:style w:type="character" w:customStyle="1" w:styleId="Char3">
    <w:name w:val="批注框文本 Char"/>
    <w:basedOn w:val="a0"/>
    <w:link w:val="a8"/>
    <w:rsid w:val="00151A38"/>
    <w:rPr>
      <w:sz w:val="18"/>
      <w:szCs w:val="18"/>
    </w:rPr>
  </w:style>
  <w:style w:type="character" w:styleId="a9">
    <w:name w:val="Hyperlink"/>
    <w:basedOn w:val="a0"/>
    <w:unhideWhenUsed/>
    <w:rsid w:val="00B259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67889">
      <w:bodyDiv w:val="1"/>
      <w:marLeft w:val="0"/>
      <w:marRight w:val="0"/>
      <w:marTop w:val="0"/>
      <w:marBottom w:val="0"/>
      <w:divBdr>
        <w:top w:val="none" w:sz="0" w:space="0" w:color="auto"/>
        <w:left w:val="none" w:sz="0" w:space="0" w:color="auto"/>
        <w:bottom w:val="none" w:sz="0" w:space="0" w:color="auto"/>
        <w:right w:val="none" w:sz="0" w:space="0" w:color="auto"/>
      </w:divBdr>
    </w:div>
    <w:div w:id="1929197228">
      <w:bodyDiv w:val="1"/>
      <w:marLeft w:val="0"/>
      <w:marRight w:val="0"/>
      <w:marTop w:val="0"/>
      <w:marBottom w:val="0"/>
      <w:divBdr>
        <w:top w:val="none" w:sz="0" w:space="0" w:color="auto"/>
        <w:left w:val="none" w:sz="0" w:space="0" w:color="auto"/>
        <w:bottom w:val="none" w:sz="0" w:space="0" w:color="auto"/>
        <w:right w:val="none" w:sz="0" w:space="0" w:color="auto"/>
      </w:divBdr>
    </w:div>
    <w:div w:id="1969970092">
      <w:bodyDiv w:val="1"/>
      <w:marLeft w:val="0"/>
      <w:marRight w:val="0"/>
      <w:marTop w:val="0"/>
      <w:marBottom w:val="0"/>
      <w:divBdr>
        <w:top w:val="none" w:sz="0" w:space="0" w:color="auto"/>
        <w:left w:val="none" w:sz="0" w:space="0" w:color="auto"/>
        <w:bottom w:val="none" w:sz="0" w:space="0" w:color="auto"/>
        <w:right w:val="none" w:sz="0" w:space="0" w:color="auto"/>
      </w:divBdr>
      <w:divsChild>
        <w:div w:id="151023499">
          <w:marLeft w:val="0"/>
          <w:marRight w:val="0"/>
          <w:marTop w:val="0"/>
          <w:marBottom w:val="0"/>
          <w:divBdr>
            <w:top w:val="single" w:sz="6" w:space="0" w:color="5B616B"/>
            <w:left w:val="single" w:sz="6" w:space="0" w:color="5B616B"/>
            <w:bottom w:val="single" w:sz="6" w:space="0" w:color="5B616B"/>
            <w:right w:val="single" w:sz="6" w:space="0" w:color="5B616B"/>
          </w:divBdr>
        </w:div>
        <w:div w:id="14326281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31158D-6193-5547-9560-0451572BB9C6}">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4F519-E1EC-45CC-9FC1-6B9344AC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53</Pages>
  <Words>16150</Words>
  <Characters>92055</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107990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Thurman, Michellie A</dc:creator>
  <cp:keywords/>
  <dc:description/>
  <cp:lastModifiedBy>HP</cp:lastModifiedBy>
  <cp:revision>23</cp:revision>
  <cp:lastPrinted>2021-07-28T16:20:00Z</cp:lastPrinted>
  <dcterms:created xsi:type="dcterms:W3CDTF">2021-07-29T04:30:00Z</dcterms:created>
  <dcterms:modified xsi:type="dcterms:W3CDTF">2021-08-05T00:33:00Z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documentId_5876</vt:lpwstr>
  </property>
  <property fmtid="{D5CDD505-2E9C-101B-9397-08002B2CF9AE}" pid="3" name="grammarly_documentContext">
    <vt:lpwstr>{"goals":[],"domain":"general","emotions":[],"dialect":"american"}</vt:lpwstr>
  </property>
</Properties>
</file>