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3FCE1"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Gastroenterology</w:t>
      </w:r>
    </w:p>
    <w:p w14:paraId="0609364F"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66999</w:t>
      </w:r>
    </w:p>
    <w:p w14:paraId="2A751DD6"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FRONTIER</w:t>
      </w:r>
    </w:p>
    <w:p w14:paraId="6A0669DD" w14:textId="77777777" w:rsidR="00C41B3E" w:rsidRDefault="00C41B3E">
      <w:pPr>
        <w:spacing w:line="360" w:lineRule="auto"/>
        <w:jc w:val="both"/>
        <w:rPr>
          <w:rFonts w:ascii="Book Antiqua" w:hAnsi="Book Antiqua"/>
          <w:color w:val="000000" w:themeColor="text1"/>
        </w:rPr>
      </w:pPr>
    </w:p>
    <w:p w14:paraId="13183C4C" w14:textId="77777777" w:rsidR="00C41B3E" w:rsidRDefault="0070572D">
      <w:pPr>
        <w:spacing w:line="360" w:lineRule="auto"/>
        <w:jc w:val="both"/>
        <w:rPr>
          <w:rFonts w:ascii="Book Antiqua" w:hAnsi="Book Antiqua"/>
          <w:color w:val="000000" w:themeColor="text1"/>
          <w:lang w:eastAsia="zh-CN"/>
        </w:rPr>
      </w:pPr>
      <w:r>
        <w:rPr>
          <w:rFonts w:ascii="Book Antiqua" w:eastAsia="Book Antiqua" w:hAnsi="Book Antiqua" w:cs="Book Antiqua"/>
          <w:b/>
          <w:color w:val="000000" w:themeColor="text1"/>
        </w:rPr>
        <w:t>Fluorescent cholangiography: An up-to-date overview twelve years after the first clinical application</w:t>
      </w:r>
    </w:p>
    <w:p w14:paraId="23CDF080" w14:textId="77777777" w:rsidR="00C41B3E" w:rsidRDefault="00C41B3E">
      <w:pPr>
        <w:spacing w:line="360" w:lineRule="auto"/>
        <w:jc w:val="both"/>
        <w:rPr>
          <w:rFonts w:ascii="Book Antiqua" w:hAnsi="Book Antiqua"/>
          <w:color w:val="000000" w:themeColor="text1"/>
        </w:rPr>
      </w:pPr>
    </w:p>
    <w:p w14:paraId="2E901D84"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Pesce </w:t>
      </w:r>
      <w:r>
        <w:rPr>
          <w:rFonts w:ascii="Book Antiqua" w:hAnsi="Book Antiqua" w:cs="Book Antiqua"/>
          <w:color w:val="000000" w:themeColor="text1"/>
          <w:lang w:eastAsia="zh-CN"/>
        </w:rPr>
        <w:t xml:space="preserve">A </w:t>
      </w:r>
      <w:r>
        <w:rPr>
          <w:rFonts w:ascii="Book Antiqua" w:hAnsi="Book Antiqua" w:cs="Book Antiqua"/>
          <w:i/>
          <w:color w:val="000000" w:themeColor="text1"/>
          <w:lang w:eastAsia="zh-CN"/>
        </w:rPr>
        <w:t>et al.</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Overview of ICG fluorescence cholangiography</w:t>
      </w:r>
    </w:p>
    <w:p w14:paraId="69C92193" w14:textId="77777777" w:rsidR="00C41B3E" w:rsidRDefault="00C41B3E">
      <w:pPr>
        <w:spacing w:line="360" w:lineRule="auto"/>
        <w:jc w:val="both"/>
        <w:rPr>
          <w:rFonts w:ascii="Book Antiqua" w:hAnsi="Book Antiqua"/>
          <w:color w:val="000000" w:themeColor="text1"/>
        </w:rPr>
      </w:pPr>
    </w:p>
    <w:p w14:paraId="6419EF53"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Antonio Pesce, Gaetano Piccolo, Francesca Lecchi, Nicolò Fabbri, Michele Diana, Carlo Vittorio Feo</w:t>
      </w:r>
    </w:p>
    <w:p w14:paraId="51FF24B5" w14:textId="77777777" w:rsidR="00C41B3E" w:rsidRDefault="00C41B3E">
      <w:pPr>
        <w:spacing w:line="360" w:lineRule="auto"/>
        <w:jc w:val="both"/>
        <w:rPr>
          <w:rFonts w:ascii="Book Antiqua" w:hAnsi="Book Antiqua"/>
          <w:color w:val="000000" w:themeColor="text1"/>
        </w:rPr>
      </w:pPr>
    </w:p>
    <w:p w14:paraId="443020A0"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Antonio Pesce, </w:t>
      </w:r>
      <w:bookmarkStart w:id="0" w:name="__DdeLink__3126_205800826"/>
      <w:r>
        <w:rPr>
          <w:rFonts w:ascii="Book Antiqua" w:eastAsia="Book Antiqua" w:hAnsi="Book Antiqua" w:cs="Book Antiqua"/>
          <w:b/>
          <w:bCs/>
          <w:color w:val="000000" w:themeColor="text1"/>
        </w:rPr>
        <w:t xml:space="preserve">Nicolò Fabbri, Carlo Vittorio Feo, </w:t>
      </w:r>
      <w:r>
        <w:rPr>
          <w:rFonts w:ascii="Book Antiqua" w:eastAsia="Book Antiqua" w:hAnsi="Book Antiqua" w:cs="Book Antiqua"/>
          <w:color w:val="000000" w:themeColor="text1"/>
        </w:rPr>
        <w:t>Department of Surgery, Section of General Surgery, Ospedale del Delta, Azienda USL of Ferrara, University of Ferrara, Ferrara 44023, Italy</w:t>
      </w:r>
      <w:bookmarkEnd w:id="0"/>
    </w:p>
    <w:p w14:paraId="0560710C" w14:textId="77777777" w:rsidR="00C41B3E" w:rsidRDefault="00C41B3E">
      <w:pPr>
        <w:spacing w:line="360" w:lineRule="auto"/>
        <w:jc w:val="both"/>
        <w:rPr>
          <w:rFonts w:ascii="Book Antiqua" w:hAnsi="Book Antiqua"/>
          <w:color w:val="000000" w:themeColor="text1"/>
        </w:rPr>
      </w:pPr>
    </w:p>
    <w:p w14:paraId="5FDD8172"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Gaetano Piccolo, Francesca Lecchi, </w:t>
      </w:r>
      <w:r>
        <w:rPr>
          <w:rFonts w:ascii="Book Antiqua" w:eastAsia="Book Antiqua" w:hAnsi="Book Antiqua" w:cs="Book Antiqua"/>
          <w:color w:val="000000" w:themeColor="text1"/>
        </w:rPr>
        <w:t>Department of Health Sciences, University of Milan, Unit of Hepato-Bilio-Pancreatic and Digestive Surgery, San Paolo Hospital, Milano 20142, Italy</w:t>
      </w:r>
    </w:p>
    <w:p w14:paraId="4FBBD312" w14:textId="77777777" w:rsidR="00C41B3E" w:rsidRDefault="00C41B3E">
      <w:pPr>
        <w:spacing w:line="360" w:lineRule="auto"/>
        <w:jc w:val="both"/>
        <w:rPr>
          <w:rFonts w:ascii="Book Antiqua" w:hAnsi="Book Antiqua"/>
          <w:color w:val="000000" w:themeColor="text1"/>
        </w:rPr>
      </w:pPr>
    </w:p>
    <w:p w14:paraId="739D3F83" w14:textId="77777777" w:rsidR="00C41B3E" w:rsidRDefault="0070572D">
      <w:pPr>
        <w:spacing w:line="360" w:lineRule="auto"/>
        <w:jc w:val="both"/>
      </w:pPr>
      <w:r>
        <w:rPr>
          <w:rFonts w:ascii="Book Antiqua" w:eastAsia="Book Antiqua" w:hAnsi="Book Antiqua" w:cs="Book Antiqua"/>
          <w:b/>
          <w:bCs/>
          <w:color w:val="000000" w:themeColor="text1"/>
        </w:rPr>
        <w:t xml:space="preserve">Michele Diana, </w:t>
      </w:r>
      <w:r>
        <w:rPr>
          <w:rFonts w:ascii="Book Antiqua" w:eastAsia="Book Antiqua" w:hAnsi="Book Antiqua" w:cs="Book Antiqua"/>
          <w:color w:val="000000" w:themeColor="text1"/>
        </w:rPr>
        <w:t xml:space="preserve">Department of General, Digestive </w:t>
      </w:r>
      <w:r>
        <w:rPr>
          <w:rFonts w:ascii="Book Antiqua" w:hAnsi="Book Antiqua" w:cs="Book Antiqua"/>
          <w:color w:val="000000" w:themeColor="text1"/>
          <w:lang w:eastAsia="zh-CN"/>
        </w:rPr>
        <w:t>and</w:t>
      </w:r>
      <w:r>
        <w:rPr>
          <w:rFonts w:ascii="Book Antiqua" w:eastAsia="Book Antiqua" w:hAnsi="Book Antiqua" w:cs="Book Antiqua"/>
          <w:color w:val="000000" w:themeColor="text1"/>
        </w:rPr>
        <w:t xml:space="preserve"> Endocrine Surgery, University Hospital of Strasbourg, IRCAD, Research Institute Against Digestive Ca</w:t>
      </w:r>
      <w:r w:rsidR="003F590A">
        <w:rPr>
          <w:rFonts w:ascii="Book Antiqua" w:eastAsia="Book Antiqua" w:hAnsi="Book Antiqua" w:cs="Book Antiqua"/>
          <w:color w:val="000000" w:themeColor="text1"/>
        </w:rPr>
        <w:t>ncer</w:t>
      </w:r>
      <w:r>
        <w:rPr>
          <w:rFonts w:ascii="Book Antiqua" w:eastAsia="Book Antiqua" w:hAnsi="Book Antiqua" w:cs="Book Antiqua"/>
          <w:color w:val="000000" w:themeColor="text1"/>
        </w:rPr>
        <w:t>, ICUBE lab, PHOTONICS for He</w:t>
      </w:r>
      <w:r w:rsidR="003F590A">
        <w:rPr>
          <w:rFonts w:ascii="Book Antiqua" w:eastAsia="Book Antiqua" w:hAnsi="Book Antiqua" w:cs="Book Antiqua"/>
          <w:color w:val="000000" w:themeColor="text1"/>
        </w:rPr>
        <w:t>alth, University of Strasbourg</w:t>
      </w:r>
      <w:r>
        <w:rPr>
          <w:rFonts w:ascii="Book Antiqua" w:eastAsia="Book Antiqua" w:hAnsi="Book Antiqua" w:cs="Book Antiqua"/>
          <w:color w:val="000000" w:themeColor="text1"/>
        </w:rPr>
        <w:t>, Strasbourg Cedex F-67091, France</w:t>
      </w:r>
    </w:p>
    <w:p w14:paraId="729A8CF5" w14:textId="77777777" w:rsidR="00C41B3E" w:rsidRDefault="00C41B3E">
      <w:pPr>
        <w:spacing w:line="360" w:lineRule="auto"/>
        <w:jc w:val="both"/>
        <w:rPr>
          <w:rFonts w:ascii="Book Antiqua" w:hAnsi="Book Antiqua"/>
          <w:color w:val="000000" w:themeColor="text1"/>
        </w:rPr>
      </w:pPr>
    </w:p>
    <w:p w14:paraId="2E1E8353"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Pesce A and Piccolo G designed the research</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Pesce A, Piccolo G, Fabbri N, and Lecchi F researched and wrote the manuscript</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Diana M and Feo CV supervised the paper</w:t>
      </w:r>
      <w:r>
        <w:rPr>
          <w:rFonts w:ascii="Book Antiqua" w:hAnsi="Book Antiqua" w:cs="Book Antiqua"/>
          <w:color w:val="000000" w:themeColor="text1"/>
          <w:lang w:eastAsia="zh-CN"/>
        </w:rPr>
        <w:t>; a</w:t>
      </w:r>
      <w:r>
        <w:rPr>
          <w:rFonts w:ascii="Book Antiqua" w:eastAsia="Book Antiqua" w:hAnsi="Book Antiqua" w:cs="Book Antiqua"/>
          <w:color w:val="000000" w:themeColor="text1"/>
        </w:rPr>
        <w:t>ll authors have read and approved the final manuscript.</w:t>
      </w:r>
    </w:p>
    <w:p w14:paraId="63A0C56A" w14:textId="77777777" w:rsidR="00C41B3E" w:rsidRDefault="00C41B3E">
      <w:pPr>
        <w:spacing w:line="360" w:lineRule="auto"/>
        <w:jc w:val="both"/>
        <w:rPr>
          <w:rFonts w:ascii="Book Antiqua" w:hAnsi="Book Antiqua"/>
          <w:color w:val="000000" w:themeColor="text1"/>
        </w:rPr>
      </w:pPr>
    </w:p>
    <w:p w14:paraId="29C2718A"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 xml:space="preserve">Corresponding author: Antonio Pesce, MD, PhD, Research Fellow, Surgeon, </w:t>
      </w:r>
      <w:r>
        <w:rPr>
          <w:rFonts w:ascii="Book Antiqua" w:eastAsia="Book Antiqua" w:hAnsi="Book Antiqua" w:cs="Book Antiqua"/>
          <w:color w:val="000000" w:themeColor="text1"/>
        </w:rPr>
        <w:t>Department of Surgery, Section of General Surgery, Ospedale del Delta, Azienda USL of Ferrara, University of Ferrara, Via Valle Oppio 2, Lagosanto (FE), Ferrara 44023, Italy. antonio.pesce@ausl.fe.it</w:t>
      </w:r>
    </w:p>
    <w:p w14:paraId="238A828B" w14:textId="77777777" w:rsidR="00C41B3E" w:rsidRDefault="00C41B3E">
      <w:pPr>
        <w:spacing w:line="360" w:lineRule="auto"/>
        <w:jc w:val="both"/>
        <w:rPr>
          <w:rFonts w:ascii="Book Antiqua" w:hAnsi="Book Antiqua"/>
          <w:color w:val="000000" w:themeColor="text1"/>
        </w:rPr>
      </w:pPr>
    </w:p>
    <w:p w14:paraId="13BEC5F2"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April 15, 2021</w:t>
      </w:r>
    </w:p>
    <w:p w14:paraId="18BC9847" w14:textId="77777777" w:rsidR="00C41B3E" w:rsidRDefault="0070572D">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 xml:space="preserve">Revised: </w:t>
      </w:r>
      <w:r>
        <w:rPr>
          <w:rFonts w:ascii="Book Antiqua" w:hAnsi="Book Antiqua" w:cs="Book Antiqua"/>
          <w:bCs/>
          <w:color w:val="000000" w:themeColor="text1"/>
          <w:lang w:eastAsia="zh-CN"/>
        </w:rPr>
        <w:t>July 10, 2021</w:t>
      </w:r>
    </w:p>
    <w:p w14:paraId="162A9A96" w14:textId="1E9DA541"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r w:rsidR="0061127A" w:rsidRPr="0061127A">
        <w:rPr>
          <w:rFonts w:ascii="Book Antiqua" w:eastAsia="Book Antiqua" w:hAnsi="Book Antiqua" w:cs="Book Antiqua"/>
          <w:color w:val="000000" w:themeColor="text1"/>
        </w:rPr>
        <w:t>August 30, 2021</w:t>
      </w:r>
    </w:p>
    <w:p w14:paraId="7B792835" w14:textId="38CB130E" w:rsidR="00C41B3E" w:rsidRPr="0036140C" w:rsidRDefault="0070572D">
      <w:pPr>
        <w:spacing w:line="360" w:lineRule="auto"/>
        <w:jc w:val="both"/>
        <w:rPr>
          <w:rFonts w:ascii="Book Antiqua" w:hAnsi="Book Antiqua" w:cs="Book Antiqua"/>
          <w:b/>
          <w:bCs/>
          <w:color w:val="000000" w:themeColor="text1"/>
          <w:lang w:eastAsia="zh-CN"/>
        </w:rPr>
      </w:pPr>
      <w:r>
        <w:rPr>
          <w:rFonts w:ascii="Book Antiqua" w:eastAsia="Book Antiqua" w:hAnsi="Book Antiqua" w:cs="Book Antiqua"/>
          <w:b/>
          <w:bCs/>
          <w:color w:val="000000" w:themeColor="text1"/>
        </w:rPr>
        <w:t>Published online:</w:t>
      </w:r>
      <w:r w:rsidR="0036140C">
        <w:rPr>
          <w:rFonts w:ascii="Book Antiqua" w:hAnsi="Book Antiqua" w:cs="Book Antiqua" w:hint="eastAsia"/>
          <w:b/>
          <w:bCs/>
          <w:color w:val="000000" w:themeColor="text1"/>
          <w:lang w:eastAsia="zh-CN"/>
        </w:rPr>
        <w:t xml:space="preserve"> </w:t>
      </w:r>
      <w:r w:rsidR="0036140C" w:rsidRPr="0036140C">
        <w:rPr>
          <w:rFonts w:ascii="Book Antiqua" w:hAnsi="Book Antiqua" w:cs="Book Antiqua"/>
          <w:bCs/>
          <w:color w:val="000000" w:themeColor="text1"/>
          <w:lang w:eastAsia="zh-CN"/>
        </w:rPr>
        <w:t>September 28, 2021</w:t>
      </w:r>
    </w:p>
    <w:p w14:paraId="72087089" w14:textId="77777777" w:rsidR="00C41B3E" w:rsidRDefault="00C41B3E">
      <w:pPr>
        <w:spacing w:line="360" w:lineRule="auto"/>
        <w:jc w:val="both"/>
        <w:rPr>
          <w:rFonts w:ascii="Book Antiqua" w:hAnsi="Book Antiqua" w:cs="Book Antiqua"/>
          <w:b/>
          <w:bCs/>
          <w:color w:val="000000" w:themeColor="text1"/>
          <w:lang w:eastAsia="zh-CN"/>
        </w:rPr>
      </w:pPr>
    </w:p>
    <w:p w14:paraId="48D23E91" w14:textId="77777777" w:rsidR="00C41B3E" w:rsidRDefault="00C41B3E">
      <w:pPr>
        <w:spacing w:line="360" w:lineRule="auto"/>
        <w:jc w:val="both"/>
        <w:rPr>
          <w:rFonts w:ascii="Book Antiqua" w:hAnsi="Book Antiqua" w:cs="Book Antiqua"/>
          <w:b/>
          <w:bCs/>
          <w:color w:val="000000" w:themeColor="text1"/>
          <w:lang w:eastAsia="zh-CN"/>
        </w:rPr>
      </w:pPr>
    </w:p>
    <w:p w14:paraId="44B711D3" w14:textId="77777777" w:rsidR="00C41B3E" w:rsidRDefault="00C41B3E">
      <w:pPr>
        <w:spacing w:line="360" w:lineRule="auto"/>
        <w:jc w:val="both"/>
        <w:rPr>
          <w:rFonts w:ascii="Book Antiqua" w:hAnsi="Book Antiqua" w:cs="Book Antiqua"/>
          <w:b/>
          <w:bCs/>
          <w:color w:val="000000" w:themeColor="text1"/>
          <w:lang w:eastAsia="zh-CN"/>
        </w:rPr>
      </w:pPr>
    </w:p>
    <w:p w14:paraId="3E339AA1"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Abstract</w:t>
      </w:r>
    </w:p>
    <w:p w14:paraId="5CBFD732"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Laparoscopic cholecystectomy (LC) is one of the most frequently performed gastrointestinal surgeries worldwide. Bile duct injury (BDI) represents the most serious complication of LC, with an incidence of 0.3%-0.7%, resulting in significant perioperative morbidity and mortality, impaired quality of life, and high rates of subsequent medico-legal litigation. In most cases, the primary cause of BDI is the misinterpretation of biliary anatomy, leading to unexpected biliary lesions. Near-infrared fluorescent cholangiography</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is widely spreading in clinical practice to delineate biliary anatomy during LC in elective and emergency settings. The primary aim of this article was to perform an up-to-date overview of the evolution of this method 12 years after the first clinical application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in 2009 and to highlight all advantages and current limitations according to the available scientific evidence.</w:t>
      </w:r>
    </w:p>
    <w:p w14:paraId="46AF88A8" w14:textId="77777777" w:rsidR="00C41B3E" w:rsidRDefault="00C41B3E">
      <w:pPr>
        <w:spacing w:line="360" w:lineRule="auto"/>
        <w:jc w:val="both"/>
        <w:rPr>
          <w:rFonts w:ascii="Book Antiqua" w:hAnsi="Book Antiqua"/>
          <w:color w:val="000000" w:themeColor="text1"/>
        </w:rPr>
      </w:pPr>
    </w:p>
    <w:p w14:paraId="571A79A9" w14:textId="77777777" w:rsidR="00C41B3E" w:rsidRDefault="0070572D">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 xml:space="preserve">Key Words: </w:t>
      </w:r>
      <w:r>
        <w:rPr>
          <w:rFonts w:ascii="Book Antiqua" w:hAnsi="Book Antiqua" w:cs="Book Antiqua"/>
          <w:color w:val="000000" w:themeColor="text1"/>
          <w:lang w:eastAsia="zh-CN"/>
        </w:rPr>
        <w:t>L</w:t>
      </w:r>
      <w:r>
        <w:rPr>
          <w:rFonts w:ascii="Book Antiqua" w:eastAsia="Book Antiqua" w:hAnsi="Book Antiqua" w:cs="Book Antiqua"/>
          <w:color w:val="000000" w:themeColor="text1"/>
        </w:rPr>
        <w:t xml:space="preserve">aparoscopic cholecystectomy; </w:t>
      </w:r>
      <w:r>
        <w:rPr>
          <w:rFonts w:ascii="Book Antiqua" w:hAnsi="Book Antiqua" w:cs="Book Antiqua"/>
          <w:color w:val="000000" w:themeColor="text1"/>
          <w:lang w:eastAsia="zh-CN"/>
        </w:rPr>
        <w:t>B</w:t>
      </w:r>
      <w:r>
        <w:rPr>
          <w:rFonts w:ascii="Book Antiqua" w:eastAsia="Book Antiqua" w:hAnsi="Book Antiqua" w:cs="Book Antiqua"/>
          <w:color w:val="000000" w:themeColor="text1"/>
        </w:rPr>
        <w:t>ile duct injury</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color w:val="000000" w:themeColor="text1"/>
          <w:lang w:eastAsia="zh-CN"/>
        </w:rPr>
        <w:t>B</w:t>
      </w:r>
      <w:r>
        <w:rPr>
          <w:rFonts w:ascii="Book Antiqua" w:eastAsia="Book Antiqua" w:hAnsi="Book Antiqua" w:cs="Book Antiqua"/>
          <w:color w:val="000000" w:themeColor="text1"/>
        </w:rPr>
        <w:t xml:space="preserve">iliary anatomy; </w:t>
      </w:r>
      <w:r>
        <w:rPr>
          <w:rFonts w:ascii="Book Antiqua" w:hAnsi="Book Antiqua" w:cs="Book Antiqua"/>
          <w:color w:val="000000" w:themeColor="text1"/>
          <w:lang w:eastAsia="zh-CN"/>
        </w:rPr>
        <w:t>F</w:t>
      </w:r>
      <w:r>
        <w:rPr>
          <w:rFonts w:ascii="Book Antiqua" w:eastAsia="Book Antiqua" w:hAnsi="Book Antiqua" w:cs="Book Antiqua"/>
          <w:color w:val="000000" w:themeColor="text1"/>
        </w:rPr>
        <w:t xml:space="preserve">luorescent cholangiography; </w:t>
      </w:r>
      <w:r>
        <w:rPr>
          <w:rFonts w:ascii="Book Antiqua" w:hAnsi="Book Antiqua" w:cs="Book Antiqua"/>
          <w:color w:val="000000" w:themeColor="text1"/>
          <w:lang w:eastAsia="zh-CN"/>
        </w:rPr>
        <w:t>I</w:t>
      </w:r>
      <w:r>
        <w:rPr>
          <w:rFonts w:ascii="Book Antiqua" w:eastAsia="Book Antiqua" w:hAnsi="Book Antiqua" w:cs="Book Antiqua"/>
          <w:color w:val="000000" w:themeColor="text1"/>
        </w:rPr>
        <w:t>ndocyanine green</w:t>
      </w:r>
    </w:p>
    <w:p w14:paraId="19E742E0" w14:textId="77777777" w:rsidR="00EE3CFE" w:rsidRDefault="00EE3CFE" w:rsidP="00EE3CFE">
      <w:pPr>
        <w:spacing w:line="360" w:lineRule="auto"/>
        <w:jc w:val="both"/>
        <w:rPr>
          <w:lang w:eastAsia="zh-CN"/>
        </w:rPr>
      </w:pPr>
    </w:p>
    <w:p w14:paraId="57FD3AE1" w14:textId="77777777" w:rsidR="00EE3CFE" w:rsidRPr="00026CB8" w:rsidRDefault="00EE3CFE" w:rsidP="00EE3CFE">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8C8A9B9" w14:textId="77777777" w:rsidR="00EE3CFE" w:rsidRPr="009C101B" w:rsidRDefault="00EE3CFE" w:rsidP="00EE3CFE">
      <w:pPr>
        <w:spacing w:line="360" w:lineRule="auto"/>
        <w:jc w:val="both"/>
        <w:rPr>
          <w:lang w:eastAsia="zh-CN"/>
        </w:rPr>
      </w:pPr>
    </w:p>
    <w:p w14:paraId="664ED87B" w14:textId="4FE8F42C" w:rsidR="00E36CCB" w:rsidRDefault="00EE3CFE" w:rsidP="00EE3CFE">
      <w:pPr>
        <w:spacing w:line="360" w:lineRule="auto"/>
        <w:jc w:val="both"/>
        <w:rPr>
          <w:rFonts w:ascii="Book Antiqua" w:eastAsia="Book Antiqua" w:hAnsi="Book Antiqua" w:cs="Book Antiqua"/>
          <w:color w:val="000000" w:themeColor="text1"/>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70572D">
        <w:rPr>
          <w:rFonts w:ascii="Book Antiqua" w:eastAsia="Book Antiqua" w:hAnsi="Book Antiqua" w:cs="Book Antiqua"/>
          <w:color w:val="000000" w:themeColor="text1"/>
        </w:rPr>
        <w:t xml:space="preserve">Pesce A, Piccolo G, Lecchi F, Fabbri N, Diana M, Feo CV. Fluorescent cholangiography: An up-to-date overview twelve years after the first clinical application. </w:t>
      </w:r>
      <w:r w:rsidR="0070572D">
        <w:rPr>
          <w:rFonts w:ascii="Book Antiqua" w:eastAsia="Book Antiqua" w:hAnsi="Book Antiqua" w:cs="Book Antiqua"/>
          <w:i/>
          <w:iCs/>
          <w:color w:val="000000" w:themeColor="text1"/>
        </w:rPr>
        <w:t>World J Gastroenterol</w:t>
      </w:r>
      <w:r w:rsidR="0036140C">
        <w:rPr>
          <w:rFonts w:ascii="Book Antiqua" w:eastAsia="Book Antiqua" w:hAnsi="Book Antiqua" w:cs="Book Antiqua"/>
          <w:color w:val="000000" w:themeColor="text1"/>
        </w:rPr>
        <w:t xml:space="preserve"> 2021;</w:t>
      </w:r>
      <w:r w:rsidR="0036140C">
        <w:rPr>
          <w:rFonts w:ascii="Book Antiqua" w:hAnsi="Book Antiqua" w:cs="Book Antiqua" w:hint="eastAsia"/>
          <w:color w:val="000000" w:themeColor="text1"/>
          <w:lang w:eastAsia="zh-CN"/>
        </w:rPr>
        <w:t xml:space="preserve"> </w:t>
      </w:r>
      <w:r w:rsidR="0036140C" w:rsidRPr="0036140C">
        <w:rPr>
          <w:rFonts w:ascii="Book Antiqua" w:eastAsia="Book Antiqua" w:hAnsi="Book Antiqua" w:cs="Book Antiqua"/>
          <w:color w:val="000000" w:themeColor="text1"/>
        </w:rPr>
        <w:t xml:space="preserve">27(36): </w:t>
      </w:r>
      <w:r w:rsidR="00E36CCB">
        <w:rPr>
          <w:rFonts w:ascii="Book Antiqua" w:hAnsi="Book Antiqua"/>
          <w:color w:val="000000" w:themeColor="text1"/>
        </w:rPr>
        <w:t>5989</w:t>
      </w:r>
      <w:r w:rsidR="00E36CCB">
        <w:rPr>
          <w:rFonts w:ascii="Book Antiqua" w:hAnsi="Book Antiqua" w:hint="eastAsia"/>
          <w:color w:val="000000" w:themeColor="text1"/>
          <w:lang w:eastAsia="zh-CN"/>
        </w:rPr>
        <w:t>-</w:t>
      </w:r>
      <w:r w:rsidR="00E36CCB">
        <w:rPr>
          <w:rFonts w:ascii="Book Antiqua" w:hAnsi="Book Antiqua"/>
          <w:color w:val="000000" w:themeColor="text1"/>
        </w:rPr>
        <w:t>6003</w:t>
      </w:r>
    </w:p>
    <w:p w14:paraId="3CA09321" w14:textId="1B5272D7" w:rsidR="00E36CCB" w:rsidRDefault="0036140C" w:rsidP="00EE3CFE">
      <w:pPr>
        <w:spacing w:line="360" w:lineRule="auto"/>
        <w:jc w:val="both"/>
        <w:rPr>
          <w:rFonts w:ascii="Book Antiqua" w:eastAsia="Book Antiqua" w:hAnsi="Book Antiqua" w:cs="Book Antiqua"/>
          <w:color w:val="000000" w:themeColor="text1"/>
        </w:rPr>
      </w:pPr>
      <w:r w:rsidRPr="0036140C">
        <w:rPr>
          <w:rFonts w:ascii="Book Antiqua" w:eastAsia="Book Antiqua" w:hAnsi="Book Antiqua" w:cs="Book Antiqua"/>
          <w:color w:val="000000" w:themeColor="text1"/>
        </w:rPr>
        <w:t>URL: https://www.wjgnet.com/1007-9327/full/v27/i36/</w:t>
      </w:r>
      <w:r w:rsidR="002F0789">
        <w:rPr>
          <w:rFonts w:ascii="Book Antiqua" w:hAnsi="Book Antiqua"/>
          <w:color w:val="000000" w:themeColor="text1"/>
        </w:rPr>
        <w:t>5989</w:t>
      </w:r>
      <w:r w:rsidRPr="0036140C">
        <w:rPr>
          <w:rFonts w:ascii="Book Antiqua" w:eastAsia="Book Antiqua" w:hAnsi="Book Antiqua" w:cs="Book Antiqua"/>
          <w:color w:val="000000" w:themeColor="text1"/>
        </w:rPr>
        <w:t xml:space="preserve">.htm </w:t>
      </w:r>
    </w:p>
    <w:p w14:paraId="586CCD38" w14:textId="46A21543" w:rsidR="00C41B3E" w:rsidRPr="0036140C" w:rsidRDefault="0036140C" w:rsidP="00EE3CFE">
      <w:pPr>
        <w:spacing w:line="360" w:lineRule="auto"/>
        <w:jc w:val="both"/>
        <w:rPr>
          <w:rFonts w:ascii="Book Antiqua" w:eastAsia="Book Antiqua" w:hAnsi="Book Antiqua" w:cs="Book Antiqua"/>
          <w:color w:val="000000" w:themeColor="text1"/>
        </w:rPr>
      </w:pPr>
      <w:r w:rsidRPr="0036140C">
        <w:rPr>
          <w:rFonts w:ascii="Book Antiqua" w:eastAsia="Book Antiqua" w:hAnsi="Book Antiqua" w:cs="Book Antiqua"/>
          <w:color w:val="000000" w:themeColor="text1"/>
        </w:rPr>
        <w:t>DOI: https://dx.doi.org/10.3748/wjg.v27.i36.</w:t>
      </w:r>
      <w:r w:rsidR="002F0789">
        <w:rPr>
          <w:rFonts w:ascii="Book Antiqua" w:hAnsi="Book Antiqua"/>
          <w:color w:val="000000" w:themeColor="text1"/>
        </w:rPr>
        <w:t>5989</w:t>
      </w:r>
    </w:p>
    <w:p w14:paraId="6109BB27" w14:textId="77777777" w:rsidR="00C41B3E" w:rsidRDefault="00C41B3E">
      <w:pPr>
        <w:spacing w:line="360" w:lineRule="auto"/>
        <w:jc w:val="both"/>
        <w:rPr>
          <w:rFonts w:ascii="Book Antiqua" w:hAnsi="Book Antiqua"/>
          <w:color w:val="000000" w:themeColor="text1"/>
        </w:rPr>
      </w:pPr>
    </w:p>
    <w:p w14:paraId="4D5DB0E4"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Fluorescence image-guided surgery is one of the most recent innovations in laparoscopic and robotic surgery. The visualization of biliary anatomy using fluorescence during surgery is becoming one of the most promising frontier approaches in minimally invasive surgery. This novel method is a powerful tool to detect biliary variants that could guide surgeons during dissection to prevent major bile duct lesions, and it has enormous potential to be considered the gold standard during all cholecystectomies. The up-to-date overview of this method confirms the efficacy of indocyanine green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fluorescence cholangiography in detecting biliary anatomy, its importance as a teaching tool for young surgeons, and the effects on the reduction of conversion rate and bile duct injury, even if further considerable research remains necessary to optimize its use.</w:t>
      </w:r>
    </w:p>
    <w:p w14:paraId="1E57FFFC" w14:textId="77777777" w:rsidR="00C41B3E" w:rsidRDefault="00C41B3E">
      <w:pPr>
        <w:spacing w:line="360" w:lineRule="auto"/>
        <w:jc w:val="both"/>
        <w:rPr>
          <w:rFonts w:ascii="Book Antiqua" w:hAnsi="Book Antiqua"/>
          <w:color w:val="000000" w:themeColor="text1"/>
        </w:rPr>
      </w:pPr>
    </w:p>
    <w:p w14:paraId="31042244" w14:textId="77777777" w:rsidR="00C41B3E" w:rsidRDefault="0070572D">
      <w:pPr>
        <w:rPr>
          <w:rFonts w:ascii="Book Antiqua" w:eastAsia="Book Antiqua" w:hAnsi="Book Antiqua" w:cs="Book Antiqua"/>
          <w:b/>
          <w:caps/>
          <w:color w:val="000000" w:themeColor="text1"/>
          <w:u w:val="single"/>
        </w:rPr>
      </w:pPr>
      <w:r>
        <w:br w:type="page"/>
      </w:r>
    </w:p>
    <w:p w14:paraId="06A35BA1"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lastRenderedPageBreak/>
        <w:t>INTRODUCTION</w:t>
      </w:r>
    </w:p>
    <w:p w14:paraId="43FEE98F"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Laparoscopic cholecystectomy (LC) is one of the most frequently performed gastrointestinal surgeries worldwide. Bile duct injury (BDI) represents the most serious complication of LC, with an incidence of 0.3</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to 0.7%, resulting in significant perioperative morbidity and mortality, impaired quality of life, and high rates of subsequent medico-legal litigation</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In most cases, the primary cause of BDI is the misinterpretation of biliary anatomy, leading surgeons to unexpected biliary lesions (71%-97% of all cases)</w:t>
      </w:r>
      <w:r>
        <w:rPr>
          <w:rFonts w:ascii="Book Antiqua" w:eastAsia="Book Antiqua" w:hAnsi="Book Antiqua" w:cs="Book Antiqua"/>
          <w:color w:val="000000" w:themeColor="text1"/>
          <w:vertAlign w:val="superscript"/>
        </w:rPr>
        <w:t>[3,4]</w:t>
      </w:r>
      <w:r>
        <w:rPr>
          <w:rFonts w:ascii="Book Antiqua" w:eastAsia="Book Antiqua" w:hAnsi="Book Antiqua" w:cs="Book Antiqua"/>
          <w:color w:val="000000" w:themeColor="text1"/>
        </w:rPr>
        <w:t>. Various methods have been proposed and used to prevent iatrogenic biliary tract lesions</w:t>
      </w:r>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xml:space="preserve">. Among them, near-infrared fluorescent cholangiography (NIRF-C) is widely spreading in clinical practice to delineate biliary anatomy during </w:t>
      </w:r>
      <w:r>
        <w:rPr>
          <w:rFonts w:ascii="Book Antiqua" w:hAnsi="Book Antiqua" w:cs="Book Antiqua"/>
          <w:color w:val="000000" w:themeColor="text1"/>
          <w:lang w:eastAsia="zh-CN"/>
        </w:rPr>
        <w:t>LC</w:t>
      </w:r>
      <w:r>
        <w:rPr>
          <w:rFonts w:ascii="Book Antiqua" w:eastAsia="Book Antiqua" w:hAnsi="Book Antiqua" w:cs="Book Antiqua"/>
          <w:color w:val="000000" w:themeColor="text1"/>
        </w:rPr>
        <w:t xml:space="preserve"> in elective and emergency settings. It is becoming one of the most popular and promising clinical applications in minimally invasive surgery</w:t>
      </w:r>
      <w:r>
        <w:rPr>
          <w:rFonts w:ascii="Book Antiqua" w:eastAsia="Book Antiqua" w:hAnsi="Book Antiqua" w:cs="Book Antiqua"/>
          <w:color w:val="000000" w:themeColor="text1"/>
          <w:vertAlign w:val="superscript"/>
        </w:rPr>
        <w:t>[5,6]</w:t>
      </w:r>
      <w:r>
        <w:rPr>
          <w:rFonts w:ascii="Book Antiqua" w:eastAsia="Book Antiqua" w:hAnsi="Book Antiqua" w:cs="Book Antiqua"/>
          <w:color w:val="000000" w:themeColor="text1"/>
        </w:rPr>
        <w:t xml:space="preserve">. In 2006, Stiles BM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 xml:space="preserve"> first proposed fluorescent cholangiography in a mouse model by exploiting the unique auto fluorescent properties of bile for the intraoperative identification of the biliary anatomy in mice. The first application in humans was performed and described by </w:t>
      </w:r>
      <w:r>
        <w:rPr>
          <w:rFonts w:ascii="Book Antiqua" w:eastAsia="Book Antiqua" w:hAnsi="Book Antiqua" w:cs="Book Antiqua"/>
          <w:i/>
          <w:iCs/>
          <w:color w:val="000000" w:themeColor="text1"/>
        </w:rPr>
        <w:t>Ishizawa et al</w:t>
      </w:r>
      <w:r>
        <w:rPr>
          <w:rFonts w:ascii="Book Antiqua" w:eastAsia="Book Antiqua" w:hAnsi="Book Antiqua" w:cs="Book Antiqua"/>
          <w:color w:val="000000" w:themeColor="text1"/>
          <w:vertAlign w:val="superscript"/>
        </w:rPr>
        <w:t>[8]</w:t>
      </w:r>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 xml:space="preserve">a few years later (2009). This classical method involves the intravenous injection of indocyanine green (ICG) dye before surgery. ICG binds to plasma proteins, with albumin as the principal carrier (95%), and is eliminated exclusively by the liver. The excitation of ICG by means of near-infrared light causes fluorescence, thereby delineating the anatomy of the biliary elements in real time. This innovative method was introduced as a means to prevent bile duct injuries during LC due to a better visualization of biliary anatomy during dissection. In 2015, we performed a systematic review of available studies by analyzing the efficacy of the novel technique in detecting bile duct structures during surgery. Detection rates of the biliary anatomy in 590 pooled patients were as follows: </w:t>
      </w:r>
      <w:r>
        <w:rPr>
          <w:rFonts w:ascii="Book Antiqua" w:hAnsi="Book Antiqua" w:cs="Book Antiqua"/>
          <w:color w:val="000000" w:themeColor="text1"/>
          <w:lang w:eastAsia="zh-CN"/>
        </w:rPr>
        <w:t>C</w:t>
      </w:r>
      <w:r>
        <w:rPr>
          <w:rFonts w:ascii="Book Antiqua" w:eastAsia="Book Antiqua" w:hAnsi="Book Antiqua" w:cs="Book Antiqua"/>
          <w:color w:val="000000" w:themeColor="text1"/>
        </w:rPr>
        <w:t>ystic duct (CD) 96.2% (94.7</w:t>
      </w:r>
      <w:r>
        <w:rPr>
          <w:rFonts w:ascii="Book Antiqua" w:hAnsi="Book Antiqua" w:cs="Book Antiqua"/>
          <w:color w:val="000000" w:themeColor="text1"/>
          <w:lang w:eastAsia="zh-CN"/>
        </w:rPr>
        <w:t>%</w:t>
      </w:r>
      <w:r>
        <w:rPr>
          <w:rFonts w:ascii="Book Antiqua" w:eastAsia="Book Antiqua" w:hAnsi="Book Antiqua" w:cs="Book Antiqua"/>
          <w:color w:val="000000" w:themeColor="text1"/>
        </w:rPr>
        <w:t>-97.7%), common hepatic duct (CHD) 78.1% (74.8</w:t>
      </w:r>
      <w:r>
        <w:rPr>
          <w:rFonts w:ascii="Book Antiqua" w:hAnsi="Book Antiqua" w:cs="Book Antiqua"/>
          <w:color w:val="000000" w:themeColor="text1"/>
          <w:lang w:eastAsia="zh-CN"/>
        </w:rPr>
        <w:t>%</w:t>
      </w:r>
      <w:r>
        <w:rPr>
          <w:rFonts w:ascii="Book Antiqua" w:eastAsia="Book Antiqua" w:hAnsi="Book Antiqua" w:cs="Book Antiqua"/>
          <w:color w:val="000000" w:themeColor="text1"/>
        </w:rPr>
        <w:t>-81.4%), CD-CHD junction 72.0% (69.0</w:t>
      </w:r>
      <w:r>
        <w:rPr>
          <w:rFonts w:ascii="Book Antiqua" w:hAnsi="Book Antiqua" w:cs="Book Antiqua"/>
          <w:color w:val="000000" w:themeColor="text1"/>
          <w:lang w:eastAsia="zh-CN"/>
        </w:rPr>
        <w:t>%</w:t>
      </w:r>
      <w:r>
        <w:rPr>
          <w:rFonts w:ascii="Book Antiqua" w:eastAsia="Book Antiqua" w:hAnsi="Book Antiqua" w:cs="Book Antiqua"/>
          <w:color w:val="000000" w:themeColor="text1"/>
        </w:rPr>
        <w:t>-75.0%), and common bile duct (CBD) 86.0% (83.3</w:t>
      </w:r>
      <w:r>
        <w:rPr>
          <w:rFonts w:ascii="Book Antiqua" w:hAnsi="Book Antiqua" w:cs="Book Antiqua"/>
          <w:color w:val="000000" w:themeColor="text1"/>
          <w:lang w:eastAsia="zh-CN"/>
        </w:rPr>
        <w:t>%</w:t>
      </w:r>
      <w:r>
        <w:rPr>
          <w:rFonts w:ascii="Book Antiqua" w:eastAsia="Book Antiqua" w:hAnsi="Book Antiqua" w:cs="Book Antiqua"/>
          <w:color w:val="000000" w:themeColor="text1"/>
        </w:rPr>
        <w:t>-88.8%)</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Overall, these preliminary studies indicated that ICG fluorescence cholangiography is highly sensitive for the detection of extrahepatic biliary anatomy and may facilitate the prevention of </w:t>
      </w:r>
      <w:r>
        <w:rPr>
          <w:rFonts w:ascii="Book Antiqua" w:eastAsia="Book Antiqua" w:hAnsi="Book Antiqua" w:cs="Book Antiqua"/>
          <w:color w:val="000000" w:themeColor="text1"/>
        </w:rPr>
        <w:lastRenderedPageBreak/>
        <w:t>bile duct injuries. Over the years, several single-center experiences from different countries</w:t>
      </w:r>
      <w:r>
        <w:rPr>
          <w:rFonts w:ascii="Book Antiqua" w:eastAsia="Book Antiqua" w:hAnsi="Book Antiqua" w:cs="Book Antiqua"/>
          <w:color w:val="000000" w:themeColor="text1"/>
          <w:vertAlign w:val="superscript"/>
        </w:rPr>
        <w:t>[10-12]</w:t>
      </w:r>
      <w:r>
        <w:rPr>
          <w:rFonts w:ascii="Book Antiqua" w:eastAsia="Book Antiqua" w:hAnsi="Book Antiqua" w:cs="Book Antiqua"/>
          <w:color w:val="000000" w:themeColor="text1"/>
        </w:rPr>
        <w:t xml:space="preserve"> have been published regarding the usefulness of ICG fluorescence cholangiography in detecting biliary anatomy and analyzing patient outcomes after LC. The level of scientific evidence on ICG fluorescence cholangiography remains low. However, recent studies have significantly propelled the literature forward.</w:t>
      </w:r>
    </w:p>
    <w:p w14:paraId="2552E406" w14:textId="77777777" w:rsidR="00C41B3E" w:rsidRDefault="0070572D">
      <w:pPr>
        <w:spacing w:line="360" w:lineRule="auto"/>
        <w:ind w:firstLine="240"/>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The primary aim of this article was to perform an up-to-date overview of the evolution of this method 12 years after its first clinical application and to highlight all the advantages and current limitations according to the available scientific literature.</w:t>
      </w:r>
    </w:p>
    <w:p w14:paraId="7802822F" w14:textId="77777777" w:rsidR="00C41B3E" w:rsidRDefault="00C41B3E">
      <w:pPr>
        <w:spacing w:line="360" w:lineRule="auto"/>
        <w:jc w:val="both"/>
        <w:rPr>
          <w:rFonts w:ascii="Book Antiqua" w:hAnsi="Book Antiqua"/>
          <w:color w:val="000000" w:themeColor="text1"/>
          <w:lang w:eastAsia="zh-CN"/>
        </w:rPr>
      </w:pPr>
    </w:p>
    <w:p w14:paraId="13493445" w14:textId="77777777" w:rsidR="00C41B3E" w:rsidRPr="00AF393F" w:rsidRDefault="00AF393F">
      <w:pPr>
        <w:spacing w:line="360" w:lineRule="auto"/>
        <w:jc w:val="both"/>
        <w:rPr>
          <w:rFonts w:ascii="Book Antiqua" w:hAnsi="Book Antiqua"/>
          <w:b/>
          <w:color w:val="000000" w:themeColor="text1"/>
          <w:u w:val="single"/>
        </w:rPr>
      </w:pPr>
      <w:r w:rsidRPr="00AF393F">
        <w:rPr>
          <w:rFonts w:ascii="Book Antiqua" w:eastAsia="Book Antiqua" w:hAnsi="Book Antiqua" w:cs="Book Antiqua"/>
          <w:b/>
          <w:iCs/>
          <w:color w:val="000000" w:themeColor="text1"/>
          <w:u w:val="single"/>
        </w:rPr>
        <w:t>TECHNIQUES</w:t>
      </w:r>
    </w:p>
    <w:p w14:paraId="7A6703D2" w14:textId="77777777" w:rsidR="00C41B3E" w:rsidRDefault="0070572D">
      <w:pPr>
        <w:spacing w:line="360" w:lineRule="auto"/>
        <w:jc w:val="both"/>
      </w:pPr>
      <w:r>
        <w:rPr>
          <w:rFonts w:ascii="Book Antiqua" w:eastAsia="Book Antiqua" w:hAnsi="Book Antiqua" w:cs="Book Antiqua"/>
          <w:color w:val="000000" w:themeColor="text1"/>
        </w:rPr>
        <w:t xml:space="preserve">ICG administration can be performed in two different ways. The classical method described by Ishizawa T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[8]</w:t>
      </w:r>
      <w:r>
        <w:rPr>
          <w:rFonts w:ascii="Book Antiqua" w:eastAsia="Book Antiqua" w:hAnsi="Book Antiqua" w:cs="Book Antiqua"/>
          <w:color w:val="000000" w:themeColor="text1"/>
        </w:rPr>
        <w:t xml:space="preserve"> in 2009 consists of the intravenous injection of ICG 30 min before surgery. Biliary visualization should be obtained prior to any dissection, during the dissection of the hepatocystic triangle, and after complete dissection according to the critical view of safety (CVS) method</w:t>
      </w:r>
      <w:r>
        <w:rPr>
          <w:rFonts w:ascii="Book Antiqua" w:eastAsia="Book Antiqua" w:hAnsi="Book Antiqua" w:cs="Book Antiqua"/>
          <w:color w:val="000000" w:themeColor="text1"/>
          <w:vertAlign w:val="superscript"/>
        </w:rPr>
        <w:t>[13,14]</w:t>
      </w:r>
      <w:r>
        <w:rPr>
          <w:rFonts w:ascii="Book Antiqua" w:eastAsia="Book Antiqua" w:hAnsi="Book Antiqua" w:cs="Book Antiqua"/>
          <w:color w:val="000000" w:themeColor="text1"/>
        </w:rPr>
        <w:t xml:space="preserve">.This approach enables surgeons to check the biliary anatomy intraoperatively at any time. Recently, Dip F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rPr>
        <w:t xml:space="preserve"> summarized 10 important steps for the correct performance of fluorescent cholangiography during LC. The first two steps involve ICG intravenous administration and complete exposure of the hepatoduodenal ligament prior to any dissection. The primary objective of step 3 is the localization of the main biliary structures after the partial dissection of the hepatocystic triangle. Steps 4-7 are characterized by the identification of the CD, gallbladder-CD junction, CD-CHD</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junction, and CBD; step 8 is the identification of the cystic artery, in some cases by repeating ICG injection for fluorescent angiography to detect any anatomical arterial variations; step 9 is called “time-out”, and it consists of the re-evaluation of the CVS before clipping and cutting any structures (as shown in Figures 1-2). After completing gallbladder removal, near-infrared (NIR) light should be turned on to identify any potential biliary leaks from the liver bed (step 10). At the current stage, there are two unresolved issues regarding NIRF-C, </w:t>
      </w:r>
      <w:r>
        <w:rPr>
          <w:rFonts w:ascii="Book Antiqua" w:eastAsia="Book Antiqua" w:hAnsi="Book Antiqua" w:cs="Book Antiqua"/>
          <w:i/>
          <w:color w:val="000000" w:themeColor="text1"/>
        </w:rPr>
        <w:t>i.e.</w:t>
      </w:r>
      <w:r>
        <w:rPr>
          <w:rFonts w:ascii="Book Antiqua" w:eastAsia="Book Antiqua" w:hAnsi="Book Antiqua" w:cs="Book Antiqua"/>
          <w:color w:val="000000" w:themeColor="text1"/>
        </w:rPr>
        <w:t xml:space="preserve">, the dose and the time required to obtain an </w:t>
      </w:r>
      <w:r>
        <w:rPr>
          <w:rFonts w:ascii="Book Antiqua" w:eastAsia="Book Antiqua" w:hAnsi="Book Antiqua" w:cs="Book Antiqua"/>
          <w:color w:val="000000" w:themeColor="text1"/>
        </w:rPr>
        <w:lastRenderedPageBreak/>
        <w:t>optimal bile duct-to-liver fluorescence ratio &gt;1. An elevated background liver signal may hinder the correct visualization of biliary anatomy. The dose and the time of administration of ICG are quite variable, as reported in the literature</w:t>
      </w:r>
      <w:r>
        <w:rPr>
          <w:rFonts w:ascii="Book Antiqua" w:eastAsia="Book Antiqua" w:hAnsi="Book Antiqua" w:cs="Book Antiqua"/>
          <w:color w:val="000000" w:themeColor="text1"/>
          <w:vertAlign w:val="superscript"/>
        </w:rPr>
        <w:t>[16]</w:t>
      </w:r>
      <w:r>
        <w:rPr>
          <w:rFonts w:ascii="Book Antiqua" w:eastAsia="Book Antiqua" w:hAnsi="Book Antiqua" w:cs="Book Antiqua"/>
          <w:color w:val="000000" w:themeColor="text1"/>
        </w:rPr>
        <w:t>. A recent study with data from the European Fluorescence Image-Guided Surgery (FIGS) registry</w:t>
      </w:r>
      <w:r>
        <w:rPr>
          <w:rFonts w:ascii="Book Antiqua" w:eastAsia="Book Antiqua" w:hAnsi="Book Antiqua" w:cs="Book Antiqua"/>
          <w:color w:val="000000" w:themeColor="text1"/>
          <w:vertAlign w:val="superscript"/>
        </w:rPr>
        <w:t>[17]</w:t>
      </w:r>
      <w:r>
        <w:rPr>
          <w:rFonts w:ascii="Book Antiqua" w:eastAsia="Book Antiqua" w:hAnsi="Book Antiqua" w:cs="Book Antiqua"/>
          <w:color w:val="000000" w:themeColor="text1"/>
        </w:rPr>
        <w:t xml:space="preserve"> has shown a wide disparity in ICG dose and timing in NIRF-C across different European countries. Boogerd L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[18]</w:t>
      </w:r>
      <w:r>
        <w:rPr>
          <w:rFonts w:ascii="Book Antiqua" w:eastAsia="Book Antiqua" w:hAnsi="Book Antiqua" w:cs="Book Antiqua"/>
          <w:color w:val="000000" w:themeColor="text1"/>
        </w:rPr>
        <w:t xml:space="preserve"> demonstrated that the highest bile duct-to-liver ratio was achieved 3 to 7 h after administration of 5 mg of ICG and 5 to 25 h after administration of 10 mg of ICG. Another study by Zarrinpar A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[19]</w:t>
      </w:r>
      <w:r>
        <w:rPr>
          <w:rFonts w:ascii="Book Antiqua" w:eastAsia="Book Antiqua" w:hAnsi="Book Antiqua" w:cs="Book Antiqua"/>
          <w:color w:val="000000" w:themeColor="text1"/>
        </w:rPr>
        <w:t xml:space="preserve"> confirmed that a single dose of 0.25 mg/kg administered at least 45 min prior to visualization of the hepatocystic triangle facilitates intra-operative anatomical identification. Recently, Chen Q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 xml:space="preserve">[20] </w:t>
      </w:r>
      <w:r>
        <w:rPr>
          <w:rFonts w:ascii="Book Antiqua" w:eastAsia="Book Antiqua" w:hAnsi="Book Antiqua" w:cs="Book Antiqua"/>
          <w:color w:val="000000" w:themeColor="text1"/>
        </w:rPr>
        <w:t xml:space="preserve">demonstrated that the optimal effect of fluorescent cholangiography can be achieved by injecting 10 mg of ICG 10 to 12 h prior to surgery. Matsumura M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 xml:space="preserve">[21] </w:t>
      </w:r>
      <w:r>
        <w:rPr>
          <w:rFonts w:ascii="Book Antiqua" w:eastAsia="Book Antiqua" w:hAnsi="Book Antiqua" w:cs="Book Antiqua"/>
          <w:color w:val="000000" w:themeColor="text1"/>
        </w:rPr>
        <w:t xml:space="preserve">recommended the administration of 0.25 mg/kg ICG on the evening before surgery, as it may increase bile duct detectability in fluorescence cholangiography during </w:t>
      </w:r>
      <w:r>
        <w:rPr>
          <w:rFonts w:ascii="Book Antiqua" w:hAnsi="Book Antiqua" w:cs="Book Antiqua"/>
          <w:color w:val="000000" w:themeColor="text1"/>
          <w:lang w:eastAsia="zh-CN"/>
        </w:rPr>
        <w:t>LC</w:t>
      </w:r>
      <w:r>
        <w:rPr>
          <w:rFonts w:ascii="Book Antiqua" w:eastAsia="Book Antiqua" w:hAnsi="Book Antiqua" w:cs="Book Antiqua"/>
          <w:color w:val="000000" w:themeColor="text1"/>
        </w:rPr>
        <w:t>. Based on our experience, we think that the administration of ICG 45 to 60 min before surgery is—from a logistical point of view</w:t>
      </w:r>
      <w:r>
        <w:rPr>
          <w:rFonts w:ascii="Book Antiqua" w:hAnsi="Book Antiqua" w:cs="Book Antiqua"/>
          <w:color w:val="000000" w:themeColor="text1"/>
          <w:lang w:eastAsia="zh-CN"/>
        </w:rPr>
        <w:t xml:space="preserve"> - </w:t>
      </w:r>
      <w:r>
        <w:rPr>
          <w:rFonts w:ascii="Book Antiqua" w:eastAsia="Book Antiqua" w:hAnsi="Book Antiqua" w:cs="Book Antiqua"/>
          <w:color w:val="000000" w:themeColor="text1"/>
        </w:rPr>
        <w:t>more practical since most patients are usually hospitalized on the same day as the surgical procedure. Indeed, the debate remains open, and a consensus conference may help the surgical community.</w:t>
      </w:r>
    </w:p>
    <w:p w14:paraId="5D0A7770"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The direct injection of ICG into the gallbladder is a technique that allows overcoming the strong background signal in the liver. Liu YY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[22]</w:t>
      </w:r>
      <w:r>
        <w:rPr>
          <w:rFonts w:ascii="Book Antiqua" w:eastAsia="Book Antiqua" w:hAnsi="Book Antiqua" w:cs="Book Antiqua"/>
          <w:color w:val="000000" w:themeColor="text1"/>
        </w:rPr>
        <w:t xml:space="preserve"> were the first to describe intracholecystic ICG administration during LC in a porcine model, proving the feasibility and usefulness of this technique to achieve adequate CVS. Few clinical studies of NIR cholecystocholangiography with direct ICG injection into the gallbladder were conducted, namely, two case reports, one case-control study, and a few prospective cohort studies, for a total of 80 patients, of whom 49 underwent surgery for symptomatic cholelithiasis and 31 for acute cholecystitis</w:t>
      </w:r>
      <w:r>
        <w:rPr>
          <w:rFonts w:ascii="Book Antiqua" w:eastAsia="Book Antiqua" w:hAnsi="Book Antiqua" w:cs="Book Antiqua"/>
          <w:color w:val="000000" w:themeColor="text1"/>
          <w:vertAlign w:val="superscript"/>
        </w:rPr>
        <w:t>[22-26]</w:t>
      </w:r>
      <w:r>
        <w:rPr>
          <w:rFonts w:ascii="Book Antiqua" w:eastAsia="Book Antiqua" w:hAnsi="Book Antiqua" w:cs="Book Antiqua"/>
          <w:color w:val="000000" w:themeColor="text1"/>
        </w:rPr>
        <w:t>, as summarized in Table 1.</w:t>
      </w:r>
    </w:p>
    <w:p w14:paraId="7594F01B"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Liu YY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[22]</w:t>
      </w:r>
      <w:r>
        <w:rPr>
          <w:rFonts w:ascii="Book Antiqua" w:eastAsia="Book Antiqua" w:hAnsi="Book Antiqua" w:cs="Book Antiqua"/>
          <w:color w:val="000000" w:themeColor="text1"/>
        </w:rPr>
        <w:t xml:space="preserve"> and Škrabec C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 xml:space="preserve"> conducted the two widest studies, namely, a prospective cohort study of 46 patients and a case-control study including 20 patients, respectively. The authors described two different routes for intracholecystic ICG </w:t>
      </w:r>
      <w:r>
        <w:rPr>
          <w:rFonts w:ascii="Book Antiqua" w:eastAsia="Book Antiqua" w:hAnsi="Book Antiqua" w:cs="Book Antiqua"/>
          <w:color w:val="000000" w:themeColor="text1"/>
        </w:rPr>
        <w:lastRenderedPageBreak/>
        <w:t xml:space="preserve">injection, </w:t>
      </w:r>
      <w:r>
        <w:rPr>
          <w:rFonts w:ascii="Book Antiqua" w:eastAsia="Book Antiqua" w:hAnsi="Book Antiqua" w:cs="Book Antiqua"/>
          <w:i/>
          <w:color w:val="000000" w:themeColor="text1"/>
        </w:rPr>
        <w:t>i.e.</w:t>
      </w:r>
      <w:r>
        <w:rPr>
          <w:rFonts w:ascii="Book Antiqua" w:eastAsia="Book Antiqua" w:hAnsi="Book Antiqua" w:cs="Book Antiqua"/>
          <w:color w:val="000000" w:themeColor="text1"/>
        </w:rPr>
        <w:t>, percutaneous transhepatic gallbladder drainage (trans-PTGBD) and intra-operative direct gallbladder puncture. A 1 mL amount of an ICG bile solution was used (ICG concentration = 0.025 mg/mL) made from a combination of 9 mL of bile mixed with 1 mL of a preparation of ICG and sterile water at a concentration of 0.25 mg/mL. NIR cholecystocholangiography with direct gallbladder injection was more successful in acute cholecystitis patients who underwent early or interval LC after the preliminary positioning of a PTGBD. Among all cases reported in the literature, only one patient required conversion to open cholecystectomy due to acute necrotic cholecystitis, which precluded safe laparoscopic dissection.</w:t>
      </w:r>
    </w:p>
    <w:p w14:paraId="6DCC35A4"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Intracholecystic ICG injection provides relevant advantages compared to intravenous NIR cholecystocholangiography, such as the real-time visualization of the biliary anatomy, including the gallbladder neck and Hartmann’s pouch, which are safe landmarks to start the dissection. Additionally, the timing of ICG injection is irrelevant, and small dosages can be used.</w:t>
      </w:r>
    </w:p>
    <w:p w14:paraId="4E32BBE7"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The downside of direct ICG injection lies in the possibility of ICG bile leakage or lymph spillage during gallbladder dissection for acute cholecystitis, as ICG may enter through the necrotic gallbladder mucosa into the submucosal lymphatic drainage. In regard to the widest experiences reported in the literature</w:t>
      </w:r>
      <w:r>
        <w:rPr>
          <w:rFonts w:ascii="Book Antiqua" w:eastAsia="Book Antiqua" w:hAnsi="Book Antiqua" w:cs="Book Antiqua"/>
          <w:color w:val="000000" w:themeColor="text1"/>
          <w:vertAlign w:val="superscript"/>
        </w:rPr>
        <w:t>[22,23]</w:t>
      </w:r>
      <w:r>
        <w:rPr>
          <w:rFonts w:ascii="Book Antiqua" w:eastAsia="Book Antiqua" w:hAnsi="Book Antiqua" w:cs="Book Antiqua"/>
          <w:color w:val="000000" w:themeColor="text1"/>
        </w:rPr>
        <w:t>, ICG bile leakage occurred in six patients in whom ICG was directly injected through a fine-needle puncture. Another limitation lies in the absence of progression of the dye into the CD in cases of stone obstruction.</w:t>
      </w:r>
    </w:p>
    <w:p w14:paraId="0B5F7958"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Based on the available data, we suggest that larger studies are necessary to validate the technique of intracholecystic ICG injection for NIR fluorescent cholangiography.</w:t>
      </w:r>
    </w:p>
    <w:p w14:paraId="68BED213" w14:textId="77777777" w:rsidR="00C41B3E" w:rsidRDefault="00C41B3E">
      <w:pPr>
        <w:spacing w:line="360" w:lineRule="auto"/>
        <w:jc w:val="both"/>
        <w:rPr>
          <w:rFonts w:ascii="Book Antiqua" w:hAnsi="Book Antiqua"/>
          <w:color w:val="000000" w:themeColor="text1"/>
        </w:rPr>
      </w:pPr>
    </w:p>
    <w:p w14:paraId="7B8E0A13" w14:textId="77777777" w:rsidR="00C41B3E" w:rsidRPr="00AF393F" w:rsidRDefault="00AF393F">
      <w:pPr>
        <w:spacing w:line="360" w:lineRule="auto"/>
        <w:jc w:val="both"/>
        <w:rPr>
          <w:rFonts w:ascii="Book Antiqua" w:eastAsia="Book Antiqua" w:hAnsi="Book Antiqua" w:cs="Book Antiqua"/>
          <w:b/>
          <w:iCs/>
          <w:color w:val="000000" w:themeColor="text1"/>
          <w:u w:val="single"/>
        </w:rPr>
      </w:pPr>
      <w:r w:rsidRPr="00AF393F">
        <w:rPr>
          <w:rFonts w:ascii="Book Antiqua" w:eastAsia="Book Antiqua" w:hAnsi="Book Antiqua" w:cs="Book Antiqua"/>
          <w:b/>
          <w:iCs/>
          <w:color w:val="000000" w:themeColor="text1"/>
          <w:u w:val="single"/>
        </w:rPr>
        <w:t>ICG FLUORESCENT CHOLANGIOGRAPHY IN PATIENTS WITH ACUTE CHOLECYSTITIS</w:t>
      </w:r>
    </w:p>
    <w:p w14:paraId="13257FAE"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Early LC is the gold standard treatment for patients with mild (grade I) and moderate (grade II) acute cholecystitis who have no response to initial (within 24 h) conservative </w:t>
      </w:r>
      <w:r>
        <w:rPr>
          <w:rFonts w:ascii="Book Antiqua" w:eastAsia="Book Antiqua" w:hAnsi="Book Antiqua" w:cs="Book Antiqua"/>
          <w:color w:val="000000" w:themeColor="text1"/>
        </w:rPr>
        <w:lastRenderedPageBreak/>
        <w:t>treatment if performed within 72 h from the onset of symptoms according to 2018 Tokyo guidelines</w:t>
      </w:r>
      <w:r>
        <w:rPr>
          <w:rFonts w:ascii="Book Antiqua" w:eastAsia="Book Antiqua" w:hAnsi="Book Antiqua" w:cs="Book Antiqua"/>
          <w:color w:val="000000" w:themeColor="text1"/>
          <w:vertAlign w:val="superscript"/>
        </w:rPr>
        <w:t>[27]</w:t>
      </w:r>
      <w:r>
        <w:rPr>
          <w:rFonts w:ascii="Book Antiqua" w:eastAsia="Book Antiqua" w:hAnsi="Book Antiqua" w:cs="Book Antiqua"/>
          <w:color w:val="000000" w:themeColor="text1"/>
        </w:rPr>
        <w:t>.</w:t>
      </w:r>
    </w:p>
    <w:p w14:paraId="209FE498"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Fluorescent cholangiography may be very challenging in an emergency setting, when inflammation and adhesions at the hepatoduodenal ligament may impair the identification of biliary elements during dissection. Reaching the CVS may be particularly difficult in such situations</w:t>
      </w:r>
      <w:r>
        <w:rPr>
          <w:rFonts w:ascii="Book Antiqua" w:eastAsia="Book Antiqua" w:hAnsi="Book Antiqua" w:cs="Book Antiqua"/>
          <w:color w:val="000000" w:themeColor="text1"/>
          <w:vertAlign w:val="superscript"/>
        </w:rPr>
        <w:t>[28]</w:t>
      </w:r>
      <w:r>
        <w:rPr>
          <w:rFonts w:ascii="Book Antiqua" w:eastAsia="Book Antiqua" w:hAnsi="Book Antiqua" w:cs="Book Antiqua"/>
          <w:color w:val="000000" w:themeColor="text1"/>
        </w:rPr>
        <w:t>.</w:t>
      </w:r>
    </w:p>
    <w:p w14:paraId="31115F68"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a recent meta-analysis, Dip F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[29]</w:t>
      </w:r>
      <w:r>
        <w:rPr>
          <w:rFonts w:ascii="Book Antiqua" w:eastAsia="Book Antiqua" w:hAnsi="Book Antiqua" w:cs="Book Antiqua"/>
          <w:color w:val="000000" w:themeColor="text1"/>
        </w:rPr>
        <w:t xml:space="preserve"> suggested that using NIRF-C during elective cholecystectomy led to decreased BDI and conversion to open surgery compared to white light alone. However, there are limited data about its feasibility in an emergency setting. The identification of biliary structures may be challenging, especially in cases where there is an abundance of adhesions and severe inflammation of the gallbladder wall and surrounding tissues</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w:t>
      </w:r>
    </w:p>
    <w:p w14:paraId="0285D780"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The literature contains four articles that provide data of patients who underwent LC for acute cholecystitis with NIR devices, </w:t>
      </w:r>
      <w:r>
        <w:rPr>
          <w:rFonts w:ascii="Book Antiqua" w:eastAsia="Book Antiqua" w:hAnsi="Book Antiqua" w:cs="Book Antiqua"/>
          <w:i/>
          <w:color w:val="000000" w:themeColor="text1"/>
        </w:rPr>
        <w:t>i.e</w:t>
      </w:r>
      <w:r>
        <w:rPr>
          <w:rFonts w:ascii="Book Antiqua" w:eastAsia="Book Antiqua" w:hAnsi="Book Antiqua" w:cs="Book Antiqua"/>
          <w:color w:val="000000" w:themeColor="text1"/>
        </w:rPr>
        <w:t>., two cohort studies</w:t>
      </w:r>
      <w:r>
        <w:rPr>
          <w:rFonts w:ascii="Book Antiqua" w:eastAsia="Book Antiqua" w:hAnsi="Book Antiqua" w:cs="Book Antiqua"/>
          <w:color w:val="000000" w:themeColor="text1"/>
          <w:vertAlign w:val="superscript"/>
        </w:rPr>
        <w:t>[30,31]</w:t>
      </w:r>
      <w:r>
        <w:rPr>
          <w:rFonts w:ascii="Book Antiqua" w:eastAsia="Book Antiqua" w:hAnsi="Book Antiqua" w:cs="Book Antiqua"/>
          <w:color w:val="000000" w:themeColor="text1"/>
        </w:rPr>
        <w:t>, one international European registry</w:t>
      </w:r>
      <w:r>
        <w:rPr>
          <w:rFonts w:ascii="Book Antiqua" w:eastAsia="Book Antiqua" w:hAnsi="Book Antiqua" w:cs="Book Antiqua"/>
          <w:color w:val="000000" w:themeColor="text1"/>
          <w:vertAlign w:val="superscript"/>
        </w:rPr>
        <w:t>[17]</w:t>
      </w:r>
      <w:r>
        <w:rPr>
          <w:rFonts w:ascii="Book Antiqua" w:eastAsia="Book Antiqua" w:hAnsi="Book Antiqua" w:cs="Book Antiqua"/>
          <w:color w:val="000000" w:themeColor="text1"/>
        </w:rPr>
        <w:t>, and one randomized controlled trial (RCT)</w:t>
      </w:r>
      <w:r>
        <w:rPr>
          <w:rFonts w:ascii="Book Antiqua" w:eastAsia="Book Antiqua" w:hAnsi="Book Antiqua" w:cs="Book Antiqua"/>
          <w:color w:val="000000" w:themeColor="text1"/>
          <w:vertAlign w:val="superscript"/>
        </w:rPr>
        <w:t xml:space="preserve">[32] </w:t>
      </w:r>
      <w:r>
        <w:rPr>
          <w:rFonts w:ascii="Book Antiqua" w:eastAsia="Book Antiqua" w:hAnsi="Book Antiqua" w:cs="Book Antiqua"/>
          <w:color w:val="000000" w:themeColor="text1"/>
        </w:rPr>
        <w:t>are reported in Table 2.</w:t>
      </w:r>
    </w:p>
    <w:p w14:paraId="63A8FE3F"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a large retrospective study involving 184 consecutive patients, Daskalaki E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[31]</w:t>
      </w:r>
      <w:r>
        <w:rPr>
          <w:rFonts w:ascii="Book Antiqua" w:eastAsia="Book Antiqua" w:hAnsi="Book Antiqua" w:cs="Book Antiqua"/>
          <w:color w:val="000000" w:themeColor="text1"/>
        </w:rPr>
        <w:t xml:space="preserve"> reported the results of 24 patients who underwent robotic cholecystectomies (RCs) with ICG fluorescence for acute and gangrenous cholecystitis. The authors evaluated the detection rate of four biliary structures, </w:t>
      </w:r>
      <w:r>
        <w:rPr>
          <w:rFonts w:ascii="Book Antiqua" w:eastAsia="Book Antiqua" w:hAnsi="Book Antiqua" w:cs="Book Antiqua"/>
          <w:i/>
          <w:color w:val="000000" w:themeColor="text1"/>
        </w:rPr>
        <w:t>i.e.</w:t>
      </w:r>
      <w:r>
        <w:rPr>
          <w:rFonts w:ascii="Book Antiqua" w:eastAsia="Book Antiqua" w:hAnsi="Book Antiqua" w:cs="Book Antiqua"/>
          <w:color w:val="000000" w:themeColor="text1"/>
        </w:rPr>
        <w:t>, CD, CHD, CBD, and CD-CHD junction. In this subset of challenging surgical cases, the CD, CHD, CBD, and CD-CHD junction were successfully visualized in 91.6%, 79.1%, 79.1%, and 75% of cases, respectively.</w:t>
      </w:r>
    </w:p>
    <w:p w14:paraId="652EB24B"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Agnus V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[17]</w:t>
      </w:r>
      <w:r>
        <w:rPr>
          <w:rFonts w:ascii="Book Antiqua" w:eastAsia="Book Antiqua" w:hAnsi="Book Antiqua" w:cs="Book Antiqua"/>
          <w:color w:val="000000" w:themeColor="text1"/>
        </w:rPr>
        <w:t xml:space="preserve"> reported data from the Euro-FIGS database, which enrolled 314 cases from 12 European surgical centers, including patients affected by symptomatic cholelithiasis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248) and patients with acute cholecystitis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58). A 5-point Likert scale was used to evaluate the quality of biliary anatomy visualization before and after the dissection of the hepatocystic triangle during LC with NIR devices. When the two groups (cholelithiasis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acute cholecystitis) were compared, lower visualization quality scores were obtained in the CD group (2.76 ± 1.9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3.54 ± 1.6,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0.001) and CD-CHD </w:t>
      </w:r>
      <w:r>
        <w:rPr>
          <w:rFonts w:ascii="Book Antiqua" w:eastAsia="Book Antiqua" w:hAnsi="Book Antiqua" w:cs="Book Antiqua"/>
          <w:color w:val="000000" w:themeColor="text1"/>
        </w:rPr>
        <w:lastRenderedPageBreak/>
        <w:t xml:space="preserve">junction (2.43 ± 2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3 ± 1.9,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0.04) before the preliminary dissection. The impact of variable inflammation on the visualization score of the biliary tree was also confirmed by means of multivariate linear regression analysis.</w:t>
      </w:r>
    </w:p>
    <w:p w14:paraId="4B7ADE4F"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Similar data have been reported in a single-blinded randomized controlled trial</w:t>
      </w:r>
      <w:r>
        <w:rPr>
          <w:rFonts w:ascii="Book Antiqua" w:eastAsia="Book Antiqua" w:hAnsi="Book Antiqua" w:cs="Book Antiqua"/>
          <w:color w:val="000000" w:themeColor="text1"/>
          <w:vertAlign w:val="superscript"/>
        </w:rPr>
        <w:t>[32]</w:t>
      </w:r>
      <w:r>
        <w:rPr>
          <w:rFonts w:ascii="Book Antiqua" w:eastAsia="Book Antiqua" w:hAnsi="Book Antiqua" w:cs="Book Antiqua"/>
          <w:color w:val="000000" w:themeColor="text1"/>
        </w:rPr>
        <w:t xml:space="preserve"> comparing the efficacy of NIR fluorescent cholangiography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white light alone. The primary objective was the structure detection rate, defined as the total number of patients in whom a particular biliary structure was detected, both before and after dissection, in each study arm, divided by the total number of patients in each arm. The authors found that the degree of gallbladder inflammation was the most important variable, affecting the detection of CD and CBD before and after dissection, respectively, and of the </w:t>
      </w:r>
      <w:r>
        <w:rPr>
          <w:rFonts w:ascii="Book Antiqua" w:hAnsi="Book Antiqua" w:cs="Book Antiqua"/>
          <w:color w:val="000000" w:themeColor="text1"/>
          <w:lang w:eastAsia="zh-CN"/>
        </w:rPr>
        <w:t>CD</w:t>
      </w:r>
      <w:r>
        <w:rPr>
          <w:rFonts w:ascii="Book Antiqua" w:eastAsia="Book Antiqua" w:hAnsi="Book Antiqua" w:cs="Book Antiqua"/>
          <w:color w:val="000000" w:themeColor="text1"/>
        </w:rPr>
        <w:t>-gallbladder junction only after dissection.</w:t>
      </w:r>
    </w:p>
    <w:p w14:paraId="43AF483A"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The usefulness of NIRF-C was also confirmed by Yoshiya S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[33]</w:t>
      </w:r>
      <w:r>
        <w:rPr>
          <w:rFonts w:ascii="Book Antiqua" w:eastAsia="Book Antiqua" w:hAnsi="Book Antiqua" w:cs="Book Antiqua"/>
          <w:color w:val="000000" w:themeColor="text1"/>
        </w:rPr>
        <w:t xml:space="preserve"> during LC after PTGBD in patients with severe acute cholecystitis. The ICG fluorescence cholangiography group showed a significantly shorter operative time, a lower conversion rate, and a lower proportion of subtotal cholecystectomies</w:t>
      </w:r>
      <w:r>
        <w:rPr>
          <w:rFonts w:ascii="Book Antiqua" w:eastAsia="Book Antiqua" w:hAnsi="Book Antiqua" w:cs="Book Antiqua"/>
          <w:color w:val="000000" w:themeColor="text1"/>
          <w:vertAlign w:val="superscript"/>
        </w:rPr>
        <w:t>[33]</w:t>
      </w:r>
      <w:r>
        <w:rPr>
          <w:rFonts w:ascii="Book Antiqua" w:eastAsia="Book Antiqua" w:hAnsi="Book Antiqua" w:cs="Book Antiqua"/>
          <w:color w:val="000000" w:themeColor="text1"/>
        </w:rPr>
        <w:t>.</w:t>
      </w:r>
    </w:p>
    <w:p w14:paraId="3672B682"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NIR fluorescence cholangiography in emergency cholecystectomies is a safe and useful tool to prevent BDI during LC. However, the available data require further elaboration in randomized controlled studies in larger numbers of patients with acute cholecystitis undergoing LC with the aid of intra-operative fluorescent cholangiography.</w:t>
      </w:r>
    </w:p>
    <w:p w14:paraId="69D0601B" w14:textId="77777777" w:rsidR="00C41B3E" w:rsidRDefault="00C41B3E">
      <w:pPr>
        <w:spacing w:line="360" w:lineRule="auto"/>
        <w:jc w:val="both"/>
        <w:rPr>
          <w:rFonts w:ascii="Book Antiqua" w:hAnsi="Book Antiqua"/>
          <w:color w:val="000000" w:themeColor="text1"/>
        </w:rPr>
      </w:pPr>
    </w:p>
    <w:p w14:paraId="7A03E590" w14:textId="77777777" w:rsidR="00C41B3E" w:rsidRPr="00AF393F" w:rsidRDefault="00AF393F">
      <w:pPr>
        <w:spacing w:line="360" w:lineRule="auto"/>
        <w:jc w:val="both"/>
        <w:rPr>
          <w:rFonts w:ascii="Book Antiqua" w:hAnsi="Book Antiqua"/>
          <w:b/>
          <w:color w:val="000000" w:themeColor="text1"/>
          <w:u w:val="single"/>
        </w:rPr>
      </w:pPr>
      <w:r w:rsidRPr="00AF393F">
        <w:rPr>
          <w:rFonts w:ascii="Book Antiqua" w:eastAsia="Book Antiqua" w:hAnsi="Book Antiqua" w:cs="Book Antiqua"/>
          <w:b/>
          <w:iCs/>
          <w:color w:val="000000" w:themeColor="text1"/>
          <w:u w:val="single"/>
        </w:rPr>
        <w:t>DETECTION OF BILIARY VARIANTS USING ICG FLUORESCENCE</w:t>
      </w:r>
    </w:p>
    <w:p w14:paraId="028ACBE3"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Various reports have underlined the importance of fluorescence image-guided cholecystectomy in detecting biliary variants. Fluorescent cholangiography allows the intraoperative identification of subvesical Luschka’s ducts</w:t>
      </w:r>
      <w:r>
        <w:rPr>
          <w:rFonts w:ascii="Book Antiqua" w:eastAsia="Book Antiqua" w:hAnsi="Book Antiqua" w:cs="Book Antiqua"/>
          <w:color w:val="000000" w:themeColor="text1"/>
          <w:vertAlign w:val="superscript"/>
        </w:rPr>
        <w:t>[34,35]</w:t>
      </w:r>
      <w:r>
        <w:rPr>
          <w:rFonts w:ascii="Book Antiqua" w:eastAsia="Book Antiqua" w:hAnsi="Book Antiqua" w:cs="Book Antiqua"/>
          <w:color w:val="000000" w:themeColor="text1"/>
        </w:rPr>
        <w:t>, aberrant bile ducts</w:t>
      </w:r>
      <w:r>
        <w:rPr>
          <w:rFonts w:ascii="Book Antiqua" w:eastAsia="Book Antiqua" w:hAnsi="Book Antiqua" w:cs="Book Antiqua"/>
          <w:color w:val="000000" w:themeColor="text1"/>
          <w:vertAlign w:val="superscript"/>
        </w:rPr>
        <w:t>[36-38]</w:t>
      </w:r>
      <w:r>
        <w:rPr>
          <w:rFonts w:ascii="Book Antiqua" w:eastAsia="Book Antiqua" w:hAnsi="Book Antiqua" w:cs="Book Antiqua"/>
          <w:color w:val="000000" w:themeColor="text1"/>
        </w:rPr>
        <w:t xml:space="preserve">, anatomical </w:t>
      </w:r>
      <w:r>
        <w:rPr>
          <w:rFonts w:ascii="Book Antiqua" w:hAnsi="Book Antiqua" w:cs="Book Antiqua"/>
          <w:color w:val="000000" w:themeColor="text1"/>
          <w:lang w:eastAsia="zh-CN"/>
        </w:rPr>
        <w:t>CD</w:t>
      </w:r>
      <w:r>
        <w:rPr>
          <w:rFonts w:ascii="Book Antiqua" w:eastAsia="Book Antiqua" w:hAnsi="Book Antiqua" w:cs="Book Antiqua"/>
          <w:color w:val="000000" w:themeColor="text1"/>
        </w:rPr>
        <w:t xml:space="preserve"> variations</w:t>
      </w:r>
      <w:r>
        <w:rPr>
          <w:rFonts w:ascii="Book Antiqua" w:eastAsia="Book Antiqua" w:hAnsi="Book Antiqua" w:cs="Book Antiqua"/>
          <w:color w:val="000000" w:themeColor="text1"/>
          <w:vertAlign w:val="superscript"/>
        </w:rPr>
        <w:t>[39]</w:t>
      </w:r>
      <w:r>
        <w:rPr>
          <w:rFonts w:ascii="Book Antiqua" w:eastAsia="Book Antiqua" w:hAnsi="Book Antiqua" w:cs="Book Antiqua"/>
          <w:color w:val="000000" w:themeColor="text1"/>
        </w:rPr>
        <w:t>, and gallbladder aberrations</w:t>
      </w:r>
      <w:r>
        <w:rPr>
          <w:rFonts w:ascii="Book Antiqua" w:eastAsia="Book Antiqua" w:hAnsi="Book Antiqua" w:cs="Book Antiqua"/>
          <w:color w:val="000000" w:themeColor="text1"/>
          <w:vertAlign w:val="superscript"/>
        </w:rPr>
        <w:t>[40,41]</w:t>
      </w:r>
      <w:r>
        <w:rPr>
          <w:rFonts w:ascii="Book Antiqua" w:eastAsia="Book Antiqua" w:hAnsi="Book Antiqua" w:cs="Book Antiqua"/>
          <w:color w:val="000000" w:themeColor="text1"/>
        </w:rPr>
        <w:t>.</w:t>
      </w:r>
    </w:p>
    <w:p w14:paraId="21BC7FA2"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specific studies, the diagnostic accuracy of NIRF-C in the evaluation of </w:t>
      </w:r>
      <w:r>
        <w:rPr>
          <w:rFonts w:ascii="Book Antiqua" w:hAnsi="Book Antiqua" w:cs="Book Antiqua"/>
          <w:color w:val="000000" w:themeColor="text1"/>
          <w:lang w:eastAsia="zh-CN"/>
        </w:rPr>
        <w:t>CD</w:t>
      </w:r>
      <w:r>
        <w:rPr>
          <w:rFonts w:ascii="Book Antiqua" w:eastAsia="Book Antiqua" w:hAnsi="Book Antiqua" w:cs="Book Antiqua"/>
          <w:color w:val="000000" w:themeColor="text1"/>
        </w:rPr>
        <w:t xml:space="preserve"> anatomy has been compared to that of magnetic resonance cholangiopancreatography (MRCP), which is the gold standard radiology diagnostic tool for the preoperative study of the biliary tree</w:t>
      </w:r>
      <w:r>
        <w:rPr>
          <w:rFonts w:ascii="Book Antiqua" w:eastAsia="Book Antiqua" w:hAnsi="Book Antiqua" w:cs="Book Antiqua"/>
          <w:color w:val="000000" w:themeColor="text1"/>
          <w:vertAlign w:val="superscript"/>
        </w:rPr>
        <w:t>[42,43]</w:t>
      </w:r>
      <w:r>
        <w:rPr>
          <w:rFonts w:ascii="Book Antiqua" w:eastAsia="Book Antiqua" w:hAnsi="Book Antiqua" w:cs="Book Antiqua"/>
          <w:color w:val="000000" w:themeColor="text1"/>
        </w:rPr>
        <w:t xml:space="preserve">. Pesce A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[44]</w:t>
      </w:r>
      <w:r>
        <w:rPr>
          <w:rFonts w:ascii="Book Antiqua" w:eastAsia="Book Antiqua" w:hAnsi="Book Antiqua" w:cs="Book Antiqua"/>
          <w:color w:val="000000" w:themeColor="text1"/>
        </w:rPr>
        <w:t xml:space="preserve"> evaluated the ability of the two imaging </w:t>
      </w:r>
      <w:r>
        <w:rPr>
          <w:rFonts w:ascii="Book Antiqua" w:eastAsia="Book Antiqua" w:hAnsi="Book Antiqua" w:cs="Book Antiqua"/>
          <w:color w:val="000000" w:themeColor="text1"/>
        </w:rPr>
        <w:lastRenderedPageBreak/>
        <w:t>methods to identify three selected features, namely, the insertion of CD, CD-CHD junction, and CD course. The level of insertion, course, and wall implantation of the CD were achieved by means of NIRF-C with diagnostic accuracy values of 65.2</w:t>
      </w:r>
      <w:r>
        <w:rPr>
          <w:rFonts w:ascii="Book Antiqua" w:hAnsi="Book Antiqua" w:cs="Book Antiqua"/>
          <w:color w:val="000000" w:themeColor="text1"/>
          <w:lang w:eastAsia="zh-CN"/>
        </w:rPr>
        <w:t>%</w:t>
      </w:r>
      <w:r>
        <w:rPr>
          <w:rFonts w:ascii="Book Antiqua" w:eastAsia="Book Antiqua" w:hAnsi="Book Antiqua" w:cs="Book Antiqua"/>
          <w:color w:val="000000" w:themeColor="text1"/>
        </w:rPr>
        <w:t>, 78.3</w:t>
      </w:r>
      <w:r>
        <w:rPr>
          <w:rFonts w:ascii="Book Antiqua" w:hAnsi="Book Antiqua" w:cs="Book Antiqua"/>
          <w:color w:val="000000" w:themeColor="text1"/>
          <w:lang w:eastAsia="zh-CN"/>
        </w:rPr>
        <w:t>%</w:t>
      </w:r>
      <w:r>
        <w:rPr>
          <w:rFonts w:ascii="Book Antiqua" w:eastAsia="Book Antiqua" w:hAnsi="Book Antiqua" w:cs="Book Antiqua"/>
          <w:color w:val="000000" w:themeColor="text1"/>
        </w:rPr>
        <w:t>, and 91.3%, respectively, in comparison with MRCP data.</w:t>
      </w:r>
    </w:p>
    <w:p w14:paraId="57793E39"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2017, Diana M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[45]</w:t>
      </w:r>
      <w:r>
        <w:rPr>
          <w:rFonts w:ascii="Book Antiqua" w:eastAsia="Book Antiqua" w:hAnsi="Book Antiqua" w:cs="Book Antiqua"/>
          <w:color w:val="000000" w:themeColor="text1"/>
        </w:rPr>
        <w:t xml:space="preserve"> prospectively evaluated the combination of three imaging modalities during robotic cholecystectomy, </w:t>
      </w:r>
      <w:r>
        <w:rPr>
          <w:rFonts w:ascii="Book Antiqua" w:eastAsia="Book Antiqua" w:hAnsi="Book Antiqua" w:cs="Book Antiqua"/>
          <w:i/>
          <w:color w:val="000000" w:themeColor="text1"/>
        </w:rPr>
        <w:t>i.e.</w:t>
      </w:r>
      <w:r>
        <w:rPr>
          <w:rFonts w:ascii="Book Antiqua" w:eastAsia="Book Antiqua" w:hAnsi="Book Antiqua" w:cs="Book Antiqua"/>
          <w:color w:val="000000" w:themeColor="text1"/>
        </w:rPr>
        <w:t>, virtual reality</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3D modeling of MRCP, NIRF-C, and intraoperative cholangiogram (IOC). Surprisingly, expert hepatobiliary radiologists missed 5 out of 8 anatomical variants on preoperative MRCP, while surgeons were able to identify all variants through a virtual surgical exploration complemented with intraoperative fluorescent cholangiography.</w:t>
      </w:r>
    </w:p>
    <w:p w14:paraId="6154EF6A"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another observational study in 65 patients by Hiwatashi K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[46]</w:t>
      </w:r>
      <w:r>
        <w:rPr>
          <w:rFonts w:ascii="Book Antiqua" w:eastAsia="Book Antiqua" w:hAnsi="Book Antiqua" w:cs="Book Antiqua"/>
          <w:color w:val="000000" w:themeColor="text1"/>
        </w:rPr>
        <w:t>, the authors found a statistically significant correlation between the delineation of CD using ICG cholangiography and preoperative MRCP.</w:t>
      </w:r>
    </w:p>
    <w:p w14:paraId="1271A621"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Based on the current scientific literature (RCTs shown in Table 3), we strongly believe that NIRF-C is a useful tool to detect biliary variants that could guide surgeons during dissection to prevent any major bile duct lesions.</w:t>
      </w:r>
    </w:p>
    <w:p w14:paraId="2CFEF3B1" w14:textId="77777777" w:rsidR="00C41B3E" w:rsidRDefault="00C41B3E">
      <w:pPr>
        <w:spacing w:line="360" w:lineRule="auto"/>
        <w:jc w:val="both"/>
        <w:rPr>
          <w:rFonts w:ascii="Book Antiqua" w:hAnsi="Book Antiqua"/>
          <w:color w:val="000000" w:themeColor="text1"/>
        </w:rPr>
      </w:pPr>
    </w:p>
    <w:p w14:paraId="4BD78D84" w14:textId="77777777" w:rsidR="00C41B3E" w:rsidRPr="00AF393F" w:rsidRDefault="00AF393F">
      <w:pPr>
        <w:spacing w:line="360" w:lineRule="auto"/>
        <w:jc w:val="both"/>
        <w:rPr>
          <w:rFonts w:ascii="Book Antiqua" w:hAnsi="Book Antiqua"/>
          <w:b/>
          <w:color w:val="000000" w:themeColor="text1"/>
          <w:u w:val="single"/>
        </w:rPr>
      </w:pPr>
      <w:r w:rsidRPr="00AF393F">
        <w:rPr>
          <w:rFonts w:ascii="Book Antiqua" w:eastAsia="Book Antiqua" w:hAnsi="Book Antiqua" w:cs="Book Antiqua"/>
          <w:b/>
          <w:iCs/>
          <w:color w:val="000000" w:themeColor="text1"/>
          <w:u w:val="single"/>
        </w:rPr>
        <w:t xml:space="preserve">FLUORESCENT CHOLANGIOGRAPHY </w:t>
      </w:r>
      <w:r w:rsidRPr="00AF393F">
        <w:rPr>
          <w:rFonts w:ascii="Book Antiqua" w:eastAsia="Book Antiqua" w:hAnsi="Book Antiqua" w:cs="Book Antiqua"/>
          <w:b/>
          <w:i/>
          <w:color w:val="000000" w:themeColor="text1"/>
          <w:u w:val="single"/>
        </w:rPr>
        <w:t>VS</w:t>
      </w:r>
      <w:r w:rsidRPr="00AF393F">
        <w:rPr>
          <w:rFonts w:ascii="Book Antiqua" w:eastAsia="Book Antiqua" w:hAnsi="Book Antiqua" w:cs="Book Antiqua"/>
          <w:b/>
          <w:iCs/>
          <w:color w:val="000000" w:themeColor="text1"/>
          <w:u w:val="single"/>
        </w:rPr>
        <w:t xml:space="preserve"> STANDARD INTRAOPERATIVE CHOLANGIOGRAPHY</w:t>
      </w:r>
    </w:p>
    <w:p w14:paraId="275CCDFB"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NIRF-C has been recognized as providing some advantages over conventional radiographic IOC, such as feasibility and safety, real-time visualization of biliary anatomy with safer dissection of the hepatocystic triangle, the lack of a learning curve, reduced X-ray exposure, and reduced costs and operative times</w:t>
      </w:r>
      <w:r>
        <w:rPr>
          <w:rFonts w:ascii="Book Antiqua" w:eastAsia="Book Antiqua" w:hAnsi="Book Antiqua" w:cs="Book Antiqua"/>
          <w:color w:val="000000" w:themeColor="text1"/>
          <w:vertAlign w:val="superscript"/>
        </w:rPr>
        <w:t>[5,47-49]</w:t>
      </w:r>
      <w:r>
        <w:rPr>
          <w:rFonts w:ascii="Book Antiqua" w:eastAsia="Book Antiqua" w:hAnsi="Book Antiqua" w:cs="Book Antiqua"/>
          <w:color w:val="000000" w:themeColor="text1"/>
        </w:rPr>
        <w:t>. In a Danish randomized controlled single-blind clinical trial</w:t>
      </w:r>
      <w:r>
        <w:rPr>
          <w:rFonts w:ascii="Book Antiqua" w:eastAsia="Book Antiqua" w:hAnsi="Book Antiqua" w:cs="Book Antiqua"/>
          <w:color w:val="000000" w:themeColor="text1"/>
          <w:vertAlign w:val="superscript"/>
        </w:rPr>
        <w:t>[50]</w:t>
      </w:r>
      <w:r>
        <w:rPr>
          <w:rFonts w:ascii="Book Antiqua" w:eastAsia="Book Antiqua" w:hAnsi="Book Antiqua" w:cs="Book Antiqua"/>
          <w:color w:val="000000" w:themeColor="text1"/>
        </w:rPr>
        <w:t xml:space="preserve">, the authors compared NIRF-C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IOC. They demonstrated that fluorescent cholangiography has the same capacity to identify the CVS, and is significantly faster and easier to perform than X-ray cholangiography</w:t>
      </w:r>
      <w:r>
        <w:rPr>
          <w:rFonts w:ascii="Book Antiqua" w:eastAsia="Book Antiqua" w:hAnsi="Book Antiqua" w:cs="Book Antiqua"/>
          <w:color w:val="000000" w:themeColor="text1"/>
          <w:vertAlign w:val="superscript"/>
        </w:rPr>
        <w:t>[50]</w:t>
      </w:r>
      <w:r>
        <w:rPr>
          <w:rFonts w:ascii="Book Antiqua" w:eastAsia="Book Antiqua" w:hAnsi="Book Antiqua" w:cs="Book Antiqua"/>
          <w:color w:val="000000" w:themeColor="text1"/>
        </w:rPr>
        <w:t xml:space="preserve">. In a recent meta-analysis by Lim SH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[51]</w:t>
      </w:r>
      <w:r>
        <w:rPr>
          <w:rFonts w:ascii="Book Antiqua" w:eastAsia="Book Antiqua" w:hAnsi="Book Antiqua" w:cs="Book Antiqua"/>
          <w:color w:val="000000" w:themeColor="text1"/>
        </w:rPr>
        <w:t xml:space="preserve">, the authors concluded that there was no difference in the visualization of the CD, CBD, and CD-CBD junction </w:t>
      </w:r>
      <w:r>
        <w:rPr>
          <w:rFonts w:ascii="Book Antiqua" w:eastAsia="Book Antiqua" w:hAnsi="Book Antiqua" w:cs="Book Antiqua"/>
          <w:color w:val="000000" w:themeColor="text1"/>
        </w:rPr>
        <w:lastRenderedPageBreak/>
        <w:t>using ICG fluorescence cholangiography compared to IOC. However, the ICG group reported increased rates of CHD visualization.</w:t>
      </w:r>
    </w:p>
    <w:p w14:paraId="2E56E589" w14:textId="77777777" w:rsidR="00C41B3E" w:rsidRDefault="0070572D">
      <w:pPr>
        <w:spacing w:line="360" w:lineRule="auto"/>
        <w:ind w:firstLine="240"/>
        <w:jc w:val="both"/>
      </w:pPr>
      <w:r>
        <w:rPr>
          <w:rFonts w:ascii="Book Antiqua" w:eastAsia="Book Antiqua" w:hAnsi="Book Antiqua" w:cs="Book Antiqua"/>
          <w:color w:val="000000" w:themeColor="text1"/>
        </w:rPr>
        <w:t xml:space="preserve">Dip F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 xml:space="preserve">[52] </w:t>
      </w:r>
      <w:r>
        <w:rPr>
          <w:rFonts w:ascii="Book Antiqua" w:eastAsia="Book Antiqua" w:hAnsi="Book Antiqua" w:cs="Book Antiqua"/>
          <w:color w:val="000000" w:themeColor="text1"/>
        </w:rPr>
        <w:t xml:space="preserve">analyzed medical costs and stated that the median cost of ICG fluorescence cholangiography was cheaper than that of IOC (13.97 ± 4.3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778.43 ± 0.4 USD per patient,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0.0001).</w:t>
      </w:r>
    </w:p>
    <w:p w14:paraId="56B079F5"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Quaresima S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 xml:space="preserve">[53] </w:t>
      </w:r>
      <w:r>
        <w:rPr>
          <w:rFonts w:ascii="Book Antiqua" w:eastAsia="Book Antiqua" w:hAnsi="Book Antiqua" w:cs="Book Antiqua"/>
          <w:color w:val="000000" w:themeColor="text1"/>
        </w:rPr>
        <w:t>proposed that NIRF-C is a safe and effective procedure for the early recognition of anatomical biliary landmarks, with an important reduction in operative times compared to LC with intraoperative cholangiography.</w:t>
      </w:r>
    </w:p>
    <w:p w14:paraId="4B4386E4"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an article by Prevot F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[54]</w:t>
      </w:r>
      <w:r>
        <w:rPr>
          <w:rFonts w:ascii="Book Antiqua" w:eastAsia="Book Antiqua" w:hAnsi="Book Antiqua" w:cs="Book Antiqua"/>
          <w:color w:val="000000" w:themeColor="text1"/>
        </w:rPr>
        <w:t>, the authors analyzed the ability to identify the CD, the CD-hepatic duct junction, and the CBD using fluorescence in comparison with standard IOC. The results of this study suggested that ICG fluorescence cholangiography is more effective than IOC in identifying the biliary tract after dissection.</w:t>
      </w:r>
    </w:p>
    <w:p w14:paraId="789ABF54"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In conclusion, we believe that there is considerable scientific evidence supporting the usefulness of NIRF-C with important advantages over conventional intraoperative cholangiography. NIRF-C represents a powerful real-time diagnostic tool for the detection of extrahepatic biliary anatomy during LC. Advantages and current limitations are summarized in Table 4.</w:t>
      </w:r>
    </w:p>
    <w:p w14:paraId="63AAE5EF" w14:textId="77777777" w:rsidR="00C41B3E" w:rsidRDefault="00C41B3E">
      <w:pPr>
        <w:spacing w:line="360" w:lineRule="auto"/>
        <w:jc w:val="both"/>
        <w:rPr>
          <w:rFonts w:ascii="Book Antiqua" w:hAnsi="Book Antiqua"/>
          <w:color w:val="000000" w:themeColor="text1"/>
        </w:rPr>
      </w:pPr>
    </w:p>
    <w:p w14:paraId="2E43FBBC" w14:textId="77777777" w:rsidR="00C41B3E" w:rsidRPr="00AF393F" w:rsidRDefault="00AF393F">
      <w:pPr>
        <w:spacing w:line="360" w:lineRule="auto"/>
        <w:jc w:val="both"/>
        <w:rPr>
          <w:rFonts w:ascii="Book Antiqua" w:hAnsi="Book Antiqua"/>
          <w:b/>
          <w:color w:val="000000" w:themeColor="text1"/>
          <w:u w:val="single"/>
        </w:rPr>
      </w:pPr>
      <w:r w:rsidRPr="00AF393F">
        <w:rPr>
          <w:rFonts w:ascii="Book Antiqua" w:eastAsia="Book Antiqua" w:hAnsi="Book Antiqua" w:cs="Book Antiqua"/>
          <w:b/>
          <w:iCs/>
          <w:color w:val="000000" w:themeColor="text1"/>
          <w:u w:val="single"/>
        </w:rPr>
        <w:t>FLUORESCENT CHOLANGIOGRAPHY IN OBESE PATIENTS</w:t>
      </w:r>
    </w:p>
    <w:p w14:paraId="011D2315" w14:textId="77777777" w:rsidR="00C41B3E" w:rsidRDefault="0070572D">
      <w:pPr>
        <w:spacing w:line="360" w:lineRule="auto"/>
        <w:jc w:val="both"/>
      </w:pPr>
      <w:r>
        <w:rPr>
          <w:rFonts w:ascii="Book Antiqua" w:eastAsia="Book Antiqua" w:hAnsi="Book Antiqua" w:cs="Book Antiqua"/>
          <w:color w:val="000000" w:themeColor="text1"/>
        </w:rPr>
        <w:t>As reported in previous studies</w:t>
      </w:r>
      <w:r>
        <w:rPr>
          <w:rFonts w:ascii="Book Antiqua" w:eastAsia="Book Antiqua" w:hAnsi="Book Antiqua" w:cs="Book Antiqua"/>
          <w:color w:val="000000" w:themeColor="text1"/>
          <w:vertAlign w:val="superscript"/>
        </w:rPr>
        <w:t>[9,31,55-57]</w:t>
      </w:r>
      <w:r>
        <w:rPr>
          <w:rFonts w:ascii="Book Antiqua" w:eastAsia="Book Antiqua" w:hAnsi="Book Antiqua" w:cs="Book Antiqua"/>
          <w:color w:val="000000" w:themeColor="text1"/>
        </w:rPr>
        <w:t>, the presence of dense adipose tissue surrounding the hepatocystic triangle may negatively affect the visualization of extrahepatic biliary tract using fluorescence. Obesity may represent a limitation of NIRF-C because NIR light has a penetration capability of only 5 to 10 mm</w:t>
      </w:r>
      <w:r>
        <w:rPr>
          <w:rFonts w:ascii="Book Antiqua" w:eastAsia="Book Antiqua" w:hAnsi="Book Antiqua" w:cs="Book Antiqua"/>
          <w:color w:val="000000" w:themeColor="text1"/>
          <w:vertAlign w:val="superscript"/>
        </w:rPr>
        <w:t>[7-9]</w:t>
      </w:r>
      <w:r>
        <w:rPr>
          <w:rFonts w:ascii="Book Antiqua" w:eastAsia="Book Antiqua" w:hAnsi="Book Antiqua" w:cs="Book Antiqua"/>
          <w:color w:val="000000" w:themeColor="text1"/>
        </w:rPr>
        <w:t xml:space="preserve">. In 2016, Dip F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[58]</w:t>
      </w:r>
      <w:r>
        <w:rPr>
          <w:rFonts w:ascii="Book Antiqua" w:eastAsia="Book Antiqua" w:hAnsi="Book Antiqua" w:cs="Book Antiqua"/>
          <w:color w:val="000000" w:themeColor="text1"/>
        </w:rPr>
        <w:t xml:space="preserve"> conducted a prospective study to evaluate the accuracy of NIRF-C in obese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non-obese patients. The results showed no difference in hepatic duct, CBD, or accessory duct detection rates between the two groups (</w:t>
      </w:r>
      <w:r>
        <w:rPr>
          <w:rFonts w:ascii="Book Antiqua" w:hAnsi="Book Antiqua" w:cs="Book Antiqua"/>
          <w:i/>
          <w:iCs/>
          <w:color w:val="000000" w:themeColor="text1"/>
          <w:lang w:eastAsia="zh-CN"/>
        </w:rPr>
        <w:t xml:space="preserve">P </w:t>
      </w:r>
      <w:r>
        <w:rPr>
          <w:rFonts w:ascii="Book Antiqua" w:eastAsia="Book Antiqua" w:hAnsi="Book Antiqua" w:cs="Book Antiqua"/>
          <w:color w:val="000000" w:themeColor="text1"/>
        </w:rPr>
        <w: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0.09, 0.16, and 0.66, respectively) before and after dissection of the hepatocystic triangle.</w:t>
      </w:r>
    </w:p>
    <w:p w14:paraId="55D7908E"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lastRenderedPageBreak/>
        <w:t>On the other hand, a German study</w:t>
      </w:r>
      <w:r>
        <w:rPr>
          <w:rFonts w:ascii="Book Antiqua" w:eastAsia="Book Antiqua" w:hAnsi="Book Antiqua" w:cs="Book Antiqua"/>
          <w:color w:val="000000" w:themeColor="text1"/>
          <w:vertAlign w:val="superscript"/>
        </w:rPr>
        <w:t>[59]</w:t>
      </w:r>
      <w:r>
        <w:rPr>
          <w:rFonts w:ascii="Book Antiqua" w:eastAsia="Book Antiqua" w:hAnsi="Book Antiqua" w:cs="Book Antiqua"/>
          <w:color w:val="000000" w:themeColor="text1"/>
        </w:rPr>
        <w:t xml:space="preserve"> suggested that a BMI</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&gt;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25 kg/m² and male sex significantly reduced the identification rate of CD before dissection of the hepatocystic triangle.</w:t>
      </w:r>
    </w:p>
    <w:p w14:paraId="49D16CB5"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In a randomized controlled multicenter trial</w:t>
      </w:r>
      <w:r>
        <w:rPr>
          <w:rFonts w:ascii="Book Antiqua" w:eastAsia="Book Antiqua" w:hAnsi="Book Antiqua" w:cs="Book Antiqua"/>
          <w:color w:val="000000" w:themeColor="text1"/>
          <w:vertAlign w:val="superscript"/>
        </w:rPr>
        <w:t>[32]</w:t>
      </w:r>
      <w:r>
        <w:rPr>
          <w:rFonts w:ascii="Book Antiqua" w:eastAsia="Book Antiqua" w:hAnsi="Book Antiqua" w:cs="Book Antiqua"/>
          <w:color w:val="000000" w:themeColor="text1"/>
        </w:rPr>
        <w:t xml:space="preserve"> comparing ICG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white light alone, an increased BMI was associated with a reduced detection of most biliary structures in both groups, especially before dissection.</w:t>
      </w:r>
    </w:p>
    <w:p w14:paraId="024427E3"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In general, our opinion is to use fluorescence to perform a complete dissection of the hepatocystic triangle in overweight and obese patients to obtain a good quality visualization of the biliary anatomy. In difficult cases where the surgeon is not able to clearly check the biliary anatomy, the surgeon should respect a sufficient thickness between the dissecting site and the main bile duct by working close to the gallbladder infundibulum to avoid unexpected biliary lesions. NIR imaging cannot be considered a substitute for good dissection and structure identification.</w:t>
      </w:r>
    </w:p>
    <w:p w14:paraId="0BBAD190" w14:textId="77777777" w:rsidR="00C41B3E" w:rsidRDefault="00C41B3E">
      <w:pPr>
        <w:spacing w:line="360" w:lineRule="auto"/>
        <w:jc w:val="both"/>
        <w:rPr>
          <w:rFonts w:ascii="Book Antiqua" w:hAnsi="Book Antiqua"/>
          <w:color w:val="000000" w:themeColor="text1"/>
        </w:rPr>
      </w:pPr>
    </w:p>
    <w:p w14:paraId="1906273B" w14:textId="77777777" w:rsidR="00C41B3E" w:rsidRPr="00AF393F" w:rsidRDefault="00AF393F">
      <w:pPr>
        <w:spacing w:line="360" w:lineRule="auto"/>
        <w:jc w:val="both"/>
        <w:rPr>
          <w:rFonts w:ascii="Book Antiqua" w:hAnsi="Book Antiqua"/>
          <w:b/>
          <w:color w:val="000000" w:themeColor="text1"/>
          <w:u w:val="single"/>
        </w:rPr>
      </w:pPr>
      <w:r w:rsidRPr="00AF393F">
        <w:rPr>
          <w:rFonts w:ascii="Book Antiqua" w:eastAsia="Book Antiqua" w:hAnsi="Book Antiqua" w:cs="Book Antiqua"/>
          <w:b/>
          <w:iCs/>
          <w:color w:val="000000" w:themeColor="text1"/>
          <w:u w:val="single"/>
        </w:rPr>
        <w:t>FLUORESCENT INCISIONLESS CHOLANGIOGRAPHY AS A TEACHING TOOL FOR YOUNG SURGEONS</w:t>
      </w:r>
    </w:p>
    <w:p w14:paraId="1C1BC975"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It is well established that the risk of BDI</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correlates with the quality of the procedure performed, rather than the number of cases seen by the surgeon</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A clear identification of the biliary anatomy is crucial to perform a safe cholecystectomy and achieving CVS is now being taught as a key step of the operation to young surgeons</w:t>
      </w:r>
      <w:r>
        <w:rPr>
          <w:rFonts w:ascii="Book Antiqua" w:eastAsia="Book Antiqua" w:hAnsi="Book Antiqua" w:cs="Book Antiqua"/>
          <w:color w:val="000000" w:themeColor="text1"/>
          <w:vertAlign w:val="superscript"/>
        </w:rPr>
        <w:t>[4,13]</w:t>
      </w:r>
      <w:r>
        <w:rPr>
          <w:rFonts w:ascii="Book Antiqua" w:eastAsia="Book Antiqua" w:hAnsi="Book Antiqua" w:cs="Book Antiqua"/>
          <w:color w:val="000000" w:themeColor="text1"/>
        </w:rPr>
        <w:t>. In a recent randomized controlled trial</w:t>
      </w:r>
      <w:r>
        <w:rPr>
          <w:rFonts w:ascii="Book Antiqua" w:eastAsia="Book Antiqua" w:hAnsi="Book Antiqua" w:cs="Book Antiqua"/>
          <w:color w:val="000000" w:themeColor="text1"/>
          <w:vertAlign w:val="superscript"/>
        </w:rPr>
        <w:t>[60]</w:t>
      </w:r>
      <w:r>
        <w:rPr>
          <w:rFonts w:ascii="Book Antiqua" w:eastAsia="Book Antiqua" w:hAnsi="Book Antiqua" w:cs="Book Antiqua"/>
          <w:color w:val="000000" w:themeColor="text1"/>
        </w:rPr>
        <w:t>, the time to achieve CVS from the gallbladder fundus retraction was measured by analyzing different levels of difficulty. The mean time, expressed in minutes, to achieve CVS was 22.3 ± 12.9 in the ICG-LC group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30) and 22.8 ± 14.3 in the conventional LC group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0.867). The authors concluded that fluorescent cholangiography may be a useful tool in difficult LC and in surgical training. A randomized controlled multicenter Dutch trial (FALCON trial) regarding the time to visualize CVS with NIRF-C compared to white light alone is still ongoing</w:t>
      </w:r>
      <w:r>
        <w:rPr>
          <w:rFonts w:ascii="Book Antiqua" w:eastAsia="Book Antiqua" w:hAnsi="Book Antiqua" w:cs="Book Antiqua"/>
          <w:color w:val="000000" w:themeColor="text1"/>
          <w:vertAlign w:val="superscript"/>
        </w:rPr>
        <w:t>[61]</w:t>
      </w:r>
      <w:r>
        <w:rPr>
          <w:rFonts w:ascii="Book Antiqua" w:eastAsia="Book Antiqua" w:hAnsi="Book Antiqua" w:cs="Book Antiqua"/>
          <w:color w:val="000000" w:themeColor="text1"/>
        </w:rPr>
        <w:t xml:space="preserve">. However, biliary structures are not always easily visualized laparoscopically. Fluorescence incisionless cholangiography may be a promising tool for training new surgeons in safe </w:t>
      </w:r>
      <w:r>
        <w:rPr>
          <w:rFonts w:ascii="Book Antiqua" w:eastAsia="Book Antiqua" w:hAnsi="Book Antiqua" w:cs="Book Antiqua"/>
          <w:color w:val="000000" w:themeColor="text1"/>
        </w:rPr>
        <w:lastRenderedPageBreak/>
        <w:t>laparoscopic cholecystectomies by helping with biliary anatomy identification. To date, few studies have been conducted regarding the potential role of this technique in surgical training programs</w:t>
      </w:r>
      <w:r>
        <w:rPr>
          <w:rFonts w:ascii="Book Antiqua" w:eastAsia="Book Antiqua" w:hAnsi="Book Antiqua" w:cs="Book Antiqua"/>
          <w:color w:val="000000" w:themeColor="text1"/>
          <w:vertAlign w:val="superscript"/>
        </w:rPr>
        <w:t>[62-64]</w:t>
      </w:r>
      <w:r>
        <w:rPr>
          <w:rFonts w:ascii="Book Antiqua" w:eastAsia="Book Antiqua" w:hAnsi="Book Antiqua" w:cs="Book Antiqua"/>
          <w:color w:val="000000" w:themeColor="text1"/>
        </w:rPr>
        <w:t>.</w:t>
      </w:r>
    </w:p>
    <w:p w14:paraId="710C5F96"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2016, Roy M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[62]</w:t>
      </w:r>
      <w:r>
        <w:rPr>
          <w:rFonts w:ascii="Book Antiqua" w:eastAsia="Book Antiqua" w:hAnsi="Book Antiqua" w:cs="Book Antiqua"/>
          <w:color w:val="000000" w:themeColor="text1"/>
        </w:rPr>
        <w:t xml:space="preserve"> tested the ability of surgical students and residents to identify major biliary structures at NIR light. Participants were shown pictures taken at the same stage of hepatocystic triangle dissection in 10 cases of LC, first with NIR light and then with Xenon white light. Both students and residents had a higher success rate of biliary tree identification with NIR fluorescence cholangiography. The authors also underlined the importance of NIRF-C to achieve appropriate intraoperative communication to guide residents, as it allows us to point out glowing structures in real time.</w:t>
      </w:r>
    </w:p>
    <w:p w14:paraId="02BBEA08"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Similarly, in 2020, Rungsakulkij N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[63]</w:t>
      </w:r>
      <w:r>
        <w:rPr>
          <w:rFonts w:ascii="Book Antiqua" w:eastAsia="Book Antiqua" w:hAnsi="Book Antiqua" w:cs="Book Antiqua"/>
          <w:color w:val="000000" w:themeColor="text1"/>
        </w:rPr>
        <w:t xml:space="preserve"> conducted a study to investigate the beneficial impact of fluorescence cholangiography on the ability of surgical residents to identify biliary structures. Participants were asked to identify the CD and artery, CBD and CHD in five LC videos, first without fluorescence, and then with NIRF-C. The results showed a higher misidentification rate among surgical residents in the without-FC modality than in the with-FC modality, proving the benefit of the technique among trainees.</w:t>
      </w:r>
    </w:p>
    <w:p w14:paraId="7E0DD965"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a study by Pesce A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[47]</w:t>
      </w:r>
      <w:r>
        <w:rPr>
          <w:rFonts w:ascii="Book Antiqua" w:eastAsia="Book Antiqua" w:hAnsi="Book Antiqua" w:cs="Book Antiqua"/>
          <w:color w:val="000000" w:themeColor="text1"/>
        </w:rPr>
        <w:t xml:space="preserve"> on the usefulness of fluorescent cholangiography for biliary anatomy identification, surgical residents completed a survey on the perceived benefits of the technique. Responses were measured with a Likert scale. All participants agreed that NIRF-C facilitates the dissection of the hepatocystic triangle, hence being a useful adjuvant to training programs; 92% of respondents found the method easy to perform; 88% declared that it was effective in visualizing the biliary tree, and 84% found that the image quality was good. Consequently, residents consider the novel method a useful tool to visualize biliary anatomy and perform a safe dissection of the hepatocystic triangle, decreasing the risk of BDI.</w:t>
      </w:r>
    </w:p>
    <w:p w14:paraId="7459E323"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From these experiences, it is safe to conclude that there is a large consensus regarding the beneficial role of NIRF-C in the training process of young surgeons. However, larger </w:t>
      </w:r>
      <w:r>
        <w:rPr>
          <w:rFonts w:ascii="Book Antiqua" w:eastAsia="Book Antiqua" w:hAnsi="Book Antiqua" w:cs="Book Antiqua"/>
          <w:color w:val="000000" w:themeColor="text1"/>
        </w:rPr>
        <w:lastRenderedPageBreak/>
        <w:t>studies proving the benefits on the skills of surgical residents are required for the technique to be routinely performed in a teaching setting.</w:t>
      </w:r>
    </w:p>
    <w:p w14:paraId="376BB8C4" w14:textId="77777777" w:rsidR="00C41B3E" w:rsidRDefault="00C41B3E">
      <w:pPr>
        <w:spacing w:line="360" w:lineRule="auto"/>
        <w:jc w:val="both"/>
        <w:rPr>
          <w:rFonts w:ascii="Book Antiqua" w:hAnsi="Book Antiqua"/>
          <w:color w:val="000000" w:themeColor="text1"/>
        </w:rPr>
      </w:pPr>
    </w:p>
    <w:p w14:paraId="3A9C0534" w14:textId="77777777" w:rsidR="00C41B3E" w:rsidRPr="00AF393F" w:rsidRDefault="00AF393F">
      <w:pPr>
        <w:spacing w:line="360" w:lineRule="auto"/>
        <w:jc w:val="both"/>
        <w:rPr>
          <w:rFonts w:ascii="Book Antiqua" w:hAnsi="Book Antiqua"/>
          <w:b/>
          <w:color w:val="000000" w:themeColor="text1"/>
          <w:u w:val="single"/>
        </w:rPr>
      </w:pPr>
      <w:r w:rsidRPr="00AF393F">
        <w:rPr>
          <w:rFonts w:ascii="Book Antiqua" w:eastAsia="Book Antiqua" w:hAnsi="Book Antiqua" w:cs="Book Antiqua"/>
          <w:b/>
          <w:iCs/>
          <w:color w:val="000000" w:themeColor="text1"/>
          <w:u w:val="single"/>
        </w:rPr>
        <w:t>FLUORESCENT CHOLANGIOGRAPHY AND DETECTION OF BILIARY STONES</w:t>
      </w:r>
    </w:p>
    <w:p w14:paraId="0E80791B"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To date, there is no evidence that FC can effectively identify CBD stones by replacing IOC</w:t>
      </w:r>
      <w:r>
        <w:rPr>
          <w:rFonts w:ascii="Book Antiqua" w:eastAsia="Book Antiqua" w:hAnsi="Book Antiqua" w:cs="Book Antiqua"/>
          <w:color w:val="000000" w:themeColor="text1"/>
          <w:vertAlign w:val="superscript"/>
        </w:rPr>
        <w:t>[64,65]</w:t>
      </w:r>
      <w:r>
        <w:rPr>
          <w:rFonts w:ascii="Book Antiqua" w:eastAsia="Book Antiqua" w:hAnsi="Book Antiqua" w:cs="Book Antiqua"/>
          <w:color w:val="000000" w:themeColor="text1"/>
        </w:rPr>
        <w:t>. Intraoperative laparoscopic ultrasound (IOUS) could well represent a valid alternative to IOC in the detection of CBD stones</w:t>
      </w:r>
      <w:r>
        <w:rPr>
          <w:rFonts w:ascii="Book Antiqua" w:eastAsia="Book Antiqua" w:hAnsi="Book Antiqua" w:cs="Book Antiqua"/>
          <w:color w:val="000000" w:themeColor="text1"/>
          <w:vertAlign w:val="superscript"/>
        </w:rPr>
        <w:t>[66,67]</w:t>
      </w:r>
      <w:r>
        <w:rPr>
          <w:rFonts w:ascii="Book Antiqua" w:eastAsia="Book Antiqua" w:hAnsi="Book Antiqua" w:cs="Book Antiqua"/>
          <w:color w:val="000000" w:themeColor="text1"/>
        </w:rPr>
        <w:t>. Current limitations are related to the difficult learning curve and the lack of randomized controlled trials</w:t>
      </w:r>
      <w:r>
        <w:rPr>
          <w:rFonts w:ascii="Book Antiqua" w:eastAsia="Book Antiqua" w:hAnsi="Book Antiqua" w:cs="Book Antiqua"/>
          <w:color w:val="000000" w:themeColor="text1"/>
          <w:vertAlign w:val="superscript"/>
        </w:rPr>
        <w:t>[66]</w:t>
      </w:r>
      <w:r>
        <w:rPr>
          <w:rFonts w:ascii="Book Antiqua" w:eastAsia="Book Antiqua" w:hAnsi="Book Antiqua" w:cs="Book Antiqua"/>
          <w:color w:val="000000" w:themeColor="text1"/>
        </w:rPr>
        <w:t xml:space="preserve">. According to Daskalaki M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[27]</w:t>
      </w:r>
      <w:r>
        <w:rPr>
          <w:rFonts w:ascii="Book Antiqua" w:eastAsia="Book Antiqua" w:hAnsi="Book Antiqua" w:cs="Book Antiqua"/>
          <w:color w:val="000000" w:themeColor="text1"/>
        </w:rPr>
        <w:t xml:space="preserve">, ICG fluorescence cholangiography can help to detect CD dilation and gallbladder stones (as shown in Figure 3), but it cannot rule out the presence of CBD stones. In a recent correspondence by Labil PL and Aroori S published in </w:t>
      </w:r>
      <w:r>
        <w:rPr>
          <w:rFonts w:ascii="Book Antiqua" w:eastAsia="Book Antiqua" w:hAnsi="Book Antiqua" w:cs="Book Antiqua"/>
          <w:i/>
          <w:iCs/>
          <w:color w:val="000000" w:themeColor="text1"/>
        </w:rPr>
        <w:t>Br J Surg</w:t>
      </w:r>
      <w:r>
        <w:rPr>
          <w:rFonts w:ascii="Book Antiqua" w:eastAsia="Book Antiqua" w:hAnsi="Book Antiqua" w:cs="Book Antiqua"/>
          <w:color w:val="000000" w:themeColor="text1"/>
          <w:vertAlign w:val="superscript"/>
        </w:rPr>
        <w:t>[65]</w:t>
      </w:r>
      <w:r>
        <w:rPr>
          <w:rFonts w:ascii="Book Antiqua" w:eastAsia="Book Antiqua" w:hAnsi="Book Antiqua" w:cs="Book Antiqua"/>
          <w:color w:val="000000" w:themeColor="text1"/>
        </w:rPr>
        <w:t>, the authors suggested performing an RCT comparing IOUS with X-ray and/or fluorescence cholangiography in LCto detect a difference in the rate of bile duct stone identification, as well as viewing the critical junction.</w:t>
      </w:r>
    </w:p>
    <w:p w14:paraId="71B2B2C8" w14:textId="77777777" w:rsidR="00C41B3E" w:rsidRDefault="00C41B3E">
      <w:pPr>
        <w:spacing w:line="360" w:lineRule="auto"/>
        <w:jc w:val="both"/>
        <w:rPr>
          <w:rFonts w:ascii="Book Antiqua" w:hAnsi="Book Antiqua"/>
          <w:color w:val="000000" w:themeColor="text1"/>
        </w:rPr>
      </w:pPr>
    </w:p>
    <w:p w14:paraId="6F81A8C6" w14:textId="77777777" w:rsidR="00C41B3E" w:rsidRPr="00AF393F" w:rsidRDefault="00AF393F">
      <w:pPr>
        <w:spacing w:line="360" w:lineRule="auto"/>
        <w:jc w:val="both"/>
        <w:rPr>
          <w:rFonts w:ascii="Book Antiqua" w:hAnsi="Book Antiqua"/>
          <w:b/>
          <w:color w:val="000000" w:themeColor="text1"/>
          <w:u w:val="single"/>
        </w:rPr>
      </w:pPr>
      <w:r w:rsidRPr="00AF393F">
        <w:rPr>
          <w:rFonts w:ascii="Book Antiqua" w:eastAsia="Book Antiqua" w:hAnsi="Book Antiqua" w:cs="Book Antiqua"/>
          <w:b/>
          <w:iCs/>
          <w:color w:val="000000" w:themeColor="text1"/>
          <w:u w:val="single"/>
        </w:rPr>
        <w:t>NIRF-C</w:t>
      </w:r>
      <w:r w:rsidRPr="00AF393F">
        <w:rPr>
          <w:rFonts w:ascii="Book Antiqua" w:hAnsi="Book Antiqua" w:cs="Book Antiqua"/>
          <w:b/>
          <w:iCs/>
          <w:color w:val="000000" w:themeColor="text1"/>
          <w:u w:val="single"/>
          <w:lang w:eastAsia="zh-CN"/>
        </w:rPr>
        <w:t xml:space="preserve"> </w:t>
      </w:r>
      <w:r w:rsidRPr="00AF393F">
        <w:rPr>
          <w:rFonts w:ascii="Book Antiqua" w:eastAsia="Book Antiqua" w:hAnsi="Book Antiqua" w:cs="Book Antiqua"/>
          <w:b/>
          <w:iCs/>
          <w:color w:val="000000" w:themeColor="text1"/>
          <w:u w:val="single"/>
        </w:rPr>
        <w:t>AND ROBOTIC CHOLECYSTECTOMY</w:t>
      </w:r>
    </w:p>
    <w:p w14:paraId="5C34B987"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Since the introduction of the robotic surgical platform in the 2000s, approximately 10% of all cholecystectomies are performed robotically</w:t>
      </w:r>
      <w:r>
        <w:rPr>
          <w:rFonts w:ascii="Book Antiqua" w:eastAsia="Book Antiqua" w:hAnsi="Book Antiqua" w:cs="Book Antiqua"/>
          <w:color w:val="000000" w:themeColor="text1"/>
          <w:vertAlign w:val="superscript"/>
        </w:rPr>
        <w:t xml:space="preserve">[68] </w:t>
      </w:r>
      <w:r>
        <w:rPr>
          <w:rFonts w:ascii="Book Antiqua" w:eastAsia="Book Antiqua" w:hAnsi="Book Antiqua" w:cs="Book Antiqua"/>
          <w:color w:val="000000" w:themeColor="text1"/>
        </w:rPr>
        <w:t>today. ICG technology was soon incorporated into the robotic platform, and the first case series involved patients who underwent single-incision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or multiport robotic cholecystectomy (RC) with NIRF-C, as summarized in Table 5.</w:t>
      </w:r>
    </w:p>
    <w:p w14:paraId="6DBE44C9"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a large retrospective cohort study including 184 patients, Daskalaki D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[31]</w:t>
      </w:r>
      <w:r>
        <w:rPr>
          <w:rFonts w:ascii="Book Antiqua" w:eastAsia="Book Antiqua" w:hAnsi="Book Antiqua" w:cs="Book Antiqua"/>
          <w:color w:val="000000" w:themeColor="text1"/>
        </w:rPr>
        <w:t xml:space="preserve"> proved the feasibility of this technique. The four main biliary structures (CD, CHD, CD-CHD junction, CBD) were recognized using fluorescence imaging in 83% of cases. At least one structure was visualized in 99% of cases. Similar data have been reported by other authors</w:t>
      </w:r>
      <w:r>
        <w:rPr>
          <w:rFonts w:ascii="Book Antiqua" w:eastAsia="Book Antiqua" w:hAnsi="Book Antiqua" w:cs="Book Antiqua"/>
          <w:color w:val="000000" w:themeColor="text1"/>
          <w:vertAlign w:val="superscript"/>
        </w:rPr>
        <w:t>[55, 69-71]</w:t>
      </w:r>
      <w:r>
        <w:rPr>
          <w:rFonts w:ascii="Book Antiqua" w:eastAsia="Book Antiqua" w:hAnsi="Book Antiqua" w:cs="Book Antiqua"/>
          <w:color w:val="000000" w:themeColor="text1"/>
        </w:rPr>
        <w:t>.</w:t>
      </w:r>
    </w:p>
    <w:p w14:paraId="3761BD92"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Spinoglio G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[70]</w:t>
      </w:r>
      <w:r>
        <w:rPr>
          <w:rFonts w:ascii="Book Antiqua" w:eastAsia="Book Antiqua" w:hAnsi="Book Antiqua" w:cs="Book Antiqua"/>
          <w:color w:val="000000" w:themeColor="text1"/>
        </w:rPr>
        <w:t xml:space="preserve"> showed that after dissection of the hepatocystic triangle, the visualization rates for each structure (CD, CHD, CD-CHD junction, CBD) increased to 97%. In addition, the rate of patients with two or three ducts visualized with NIR </w:t>
      </w:r>
      <w:r>
        <w:rPr>
          <w:rFonts w:ascii="Book Antiqua" w:eastAsia="Book Antiqua" w:hAnsi="Book Antiqua" w:cs="Book Antiqua"/>
          <w:color w:val="000000" w:themeColor="text1"/>
        </w:rPr>
        <w:lastRenderedPageBreak/>
        <w:t>fluorescent cholangiography increased from 91% to 97% and from 86% to 95% before and after dissection, respectively.</w:t>
      </w:r>
    </w:p>
    <w:p w14:paraId="3BB248E8"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recent years, some authors compared data of patients who underwent robotic cholecystectomy with the use of ICG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conventional LC</w:t>
      </w:r>
      <w:r>
        <w:rPr>
          <w:rFonts w:ascii="Book Antiqua" w:eastAsia="Book Antiqua" w:hAnsi="Book Antiqua" w:cs="Book Antiqua"/>
          <w:color w:val="000000" w:themeColor="text1"/>
          <w:vertAlign w:val="superscript"/>
        </w:rPr>
        <w:t>[72,73]</w:t>
      </w:r>
      <w:r>
        <w:rPr>
          <w:rFonts w:ascii="Book Antiqua" w:eastAsia="Book Antiqua" w:hAnsi="Book Antiqua" w:cs="Book Antiqua"/>
          <w:color w:val="000000" w:themeColor="text1"/>
        </w:rPr>
        <w:t xml:space="preserve">. In a retrospective cohort study, Sharma S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 xml:space="preserve">[72] </w:t>
      </w:r>
      <w:r>
        <w:rPr>
          <w:rFonts w:ascii="Book Antiqua" w:eastAsia="Book Antiqua" w:hAnsi="Book Antiqua" w:cs="Book Antiqua"/>
          <w:color w:val="000000" w:themeColor="text1"/>
        </w:rPr>
        <w:t>analyzed 287 consecutive cases, including 96 RCs and 191 LCs. The authors found a lower open conversion rate in the robotic cohort (2.1%</w:t>
      </w:r>
      <w:r>
        <w:rPr>
          <w:rFonts w:ascii="Book Antiqua" w:eastAsia="Book Antiqua" w:hAnsi="Book Antiqua" w:cs="Book Antiqua"/>
          <w:i/>
          <w:color w:val="000000" w:themeColor="text1"/>
        </w:rPr>
        <w:t xml:space="preserve"> vs</w:t>
      </w:r>
      <w:r>
        <w:rPr>
          <w:rFonts w:ascii="Book Antiqua" w:eastAsia="Book Antiqua" w:hAnsi="Book Antiqua" w:cs="Book Antiqua"/>
          <w:color w:val="000000" w:themeColor="text1"/>
        </w:rPr>
        <w:t xml:space="preserve"> 8.9% in LC), although this difference was not statistically significant.</w:t>
      </w:r>
    </w:p>
    <w:p w14:paraId="41A3AEF8"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Gangemi A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[73]</w:t>
      </w:r>
      <w:r>
        <w:rPr>
          <w:rFonts w:ascii="Book Antiqua" w:eastAsia="Book Antiqua" w:hAnsi="Book Antiqua" w:cs="Book Antiqua"/>
          <w:color w:val="000000" w:themeColor="text1"/>
        </w:rPr>
        <w:t xml:space="preserve"> conducted a case-control study comparing the outcomes of ICG-aided RC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LC at the University of Illinois (Chicago, United States). The authors reported a statistically significant difference between RC performed with the help of ICG and traditional LC in terms of the overall open conversion rate (0.15%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4.5%), open conversion rate in the acute setting (0.76%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9.57%), mean blood loss during surgery (14.37 mL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21.08 mL), and minor biliary injury rate (0.15</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1.04%). Additionally, a biliary tree anomaly was found in 2.07% of patients who underwent ICG-aided RC compared to 0.69% of patients who underwent LC with conventional intraoperative cholangiography.</w:t>
      </w:r>
    </w:p>
    <w:p w14:paraId="3F7C2CE5"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Recently, Dip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[29]</w:t>
      </w:r>
      <w:r>
        <w:rPr>
          <w:rFonts w:ascii="Book Antiqua" w:eastAsia="Book Antiqua" w:hAnsi="Book Antiqua" w:cs="Book Antiqua"/>
          <w:color w:val="000000" w:themeColor="text1"/>
        </w:rPr>
        <w:t xml:space="preserve"> conducted a meta-analysis evaluating whether NIFC with ICG could reduce conversion to open surgery and bile duct injuries during laparoscopic and robotic cholecystectomy. Patients who underwent ICG-aided RC showed a marked reduction in the rate of conversion to open surgery compared to RC without NIFC (weighted rate: 12/10.000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322/10.000). Similar data were reported in the ICG-aided LC group (weighted rate: 23/10.000</w:t>
      </w:r>
      <w:r>
        <w:rPr>
          <w:rFonts w:ascii="Book Antiqua" w:eastAsia="Book Antiqua" w:hAnsi="Book Antiqua" w:cs="Book Antiqua"/>
          <w:i/>
          <w:color w:val="000000" w:themeColor="text1"/>
        </w:rPr>
        <w:t xml:space="preserve"> vs </w:t>
      </w:r>
      <w:r>
        <w:rPr>
          <w:rFonts w:ascii="Book Antiqua" w:eastAsia="Book Antiqua" w:hAnsi="Book Antiqua" w:cs="Book Antiqua"/>
          <w:color w:val="000000" w:themeColor="text1"/>
        </w:rPr>
        <w:t>255/10.000). For BDI, a reduction was reported in the ICG-aided LC group compared to LC without NIFC (weighted rate: 23/10.000</w:t>
      </w:r>
      <w:r>
        <w:rPr>
          <w:rFonts w:ascii="Book Antiqua" w:eastAsia="Book Antiqua" w:hAnsi="Book Antiqua" w:cs="Book Antiqua"/>
          <w:i/>
          <w:color w:val="000000" w:themeColor="text1"/>
        </w:rPr>
        <w:t xml:space="preserve"> vs </w:t>
      </w:r>
      <w:r>
        <w:rPr>
          <w:rFonts w:ascii="Book Antiqua" w:eastAsia="Book Antiqua" w:hAnsi="Book Antiqua" w:cs="Book Antiqua"/>
          <w:color w:val="000000" w:themeColor="text1"/>
        </w:rPr>
        <w:t>255/10.000), while no difference was noted regarding RC with and without NIFC. In conclusion, we believe that the use of NIRF-C may reduce the conversion rate in both minimally invasive procedures, laparoscopic and robotic cholecystectomy, while the reduction rate only exists in LC for BDI. However, further studies are required.</w:t>
      </w:r>
    </w:p>
    <w:p w14:paraId="19D32E00" w14:textId="77777777" w:rsidR="00C41B3E" w:rsidRDefault="00C41B3E">
      <w:pPr>
        <w:spacing w:line="360" w:lineRule="auto"/>
        <w:jc w:val="both"/>
        <w:rPr>
          <w:rFonts w:ascii="Book Antiqua" w:hAnsi="Book Antiqua"/>
          <w:color w:val="000000" w:themeColor="text1"/>
        </w:rPr>
      </w:pPr>
    </w:p>
    <w:p w14:paraId="5598838D" w14:textId="77777777" w:rsidR="00C41B3E" w:rsidRPr="00AF393F" w:rsidRDefault="00AF393F">
      <w:pPr>
        <w:spacing w:line="360" w:lineRule="auto"/>
        <w:jc w:val="both"/>
        <w:rPr>
          <w:rFonts w:ascii="Book Antiqua" w:hAnsi="Book Antiqua"/>
          <w:b/>
          <w:color w:val="000000" w:themeColor="text1"/>
          <w:u w:val="single"/>
        </w:rPr>
      </w:pPr>
      <w:r w:rsidRPr="00AF393F">
        <w:rPr>
          <w:rFonts w:ascii="Book Antiqua" w:eastAsia="Book Antiqua" w:hAnsi="Book Antiqua" w:cs="Book Antiqua"/>
          <w:b/>
          <w:iCs/>
          <w:color w:val="000000" w:themeColor="text1"/>
          <w:u w:val="single"/>
        </w:rPr>
        <w:t>CONSENSUS CONFERENCES AND GUIDELINES</w:t>
      </w:r>
    </w:p>
    <w:p w14:paraId="56FB91FC"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During the 4th International Congress of Fluorescence-Guided Surgery in Boca Raton, Florida in 2017, Dip F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[74]</w:t>
      </w:r>
      <w:r>
        <w:rPr>
          <w:rFonts w:ascii="Book Antiqua" w:eastAsia="Book Antiqua" w:hAnsi="Book Antiqua" w:cs="Book Antiqua"/>
          <w:color w:val="000000" w:themeColor="text1"/>
        </w:rPr>
        <w:t xml:space="preserve"> conducted a pilot survey of 51 attending surgeons who routinely performed laparoscopic cholecystectomies to identify their surgical practice and perceptions of intraoperative fluorescent cholangiography. Ten experts in ICG fluorescence-guided LC from North and South America, Europe, and Asia designed the survey for conference attendees. Seventy-eight percent of respondents underlined the importance for surgeons of having a noninvasive, simple, and reproducible diagnostic tool to identify the extrahepatic biliary anatomy in real time. In general, they recommended the routine use of NIRF-C during LC as a complimentary imaging technique, and 93.3% of them felt that the procedure would be useful in surgical training programs.</w:t>
      </w:r>
    </w:p>
    <w:p w14:paraId="0C1C619E" w14:textId="77777777" w:rsidR="00C41B3E" w:rsidRDefault="0070572D">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In a recent state-of-the-art consensus conference on the prevention of BDI during cholecystectomy published in </w:t>
      </w:r>
      <w:r>
        <w:rPr>
          <w:rFonts w:ascii="Book Antiqua" w:eastAsia="Book Antiqua" w:hAnsi="Book Antiqua" w:cs="Book Antiqua"/>
          <w:i/>
          <w:iCs/>
          <w:color w:val="000000" w:themeColor="text1"/>
        </w:rPr>
        <w:t>Annals of Surgery</w:t>
      </w:r>
      <w:r>
        <w:rPr>
          <w:rFonts w:ascii="Book Antiqua" w:eastAsia="Book Antiqua" w:hAnsi="Book Antiqua" w:cs="Book Antiqua"/>
          <w:color w:val="000000" w:themeColor="text1"/>
          <w:vertAlign w:val="superscript"/>
        </w:rPr>
        <w:t>[75]</w:t>
      </w:r>
      <w:r>
        <w:rPr>
          <w:rFonts w:ascii="Book Antiqua" w:eastAsia="Book Antiqua" w:hAnsi="Book Antiqua" w:cs="Book Antiqua"/>
          <w:color w:val="000000" w:themeColor="text1"/>
        </w:rPr>
        <w:t xml:space="preserve">, a pool of experts from five surgical societies (Society of Gastrointestinal and Endoscopic Surgeons, Americas Hepato-Pancreato-Biliary Association, International Hepato-Pancreato-Biliary Association, Society for Surgery of the Alimentary Tract, and European Association for Endoscopic Surgery) analyzed the scientific evidence among surgical practices to prevent bile duct injuries. At question 5B, </w:t>
      </w:r>
      <w:r>
        <w:rPr>
          <w:rFonts w:ascii="Book Antiqua" w:eastAsia="Book Antiqua" w:hAnsi="Book Antiqua" w:cs="Book Antiqua"/>
          <w:i/>
          <w:color w:val="000000" w:themeColor="text1"/>
        </w:rPr>
        <w:t>i.e</w:t>
      </w:r>
      <w:r>
        <w:rPr>
          <w:rFonts w:ascii="Book Antiqua" w:eastAsia="Book Antiqua" w:hAnsi="Book Antiqua" w:cs="Book Antiqua"/>
          <w:color w:val="000000" w:themeColor="text1"/>
        </w:rPr>
        <w:t>., “</w:t>
      </w:r>
      <w:r>
        <w:rPr>
          <w:rFonts w:ascii="Book Antiqua" w:eastAsia="Book Antiqua" w:hAnsi="Book Antiqua" w:cs="Book Antiqua"/>
          <w:iCs/>
          <w:color w:val="000000" w:themeColor="text1"/>
        </w:rPr>
        <w:t xml:space="preserve">Should intraoperative NIR biliary imaging with white light </w:t>
      </w:r>
      <w:r>
        <w:rPr>
          <w:rFonts w:ascii="Book Antiqua" w:eastAsia="Book Antiqua" w:hAnsi="Book Antiqua" w:cs="Book Antiqua"/>
          <w:color w:val="000000" w:themeColor="text1"/>
        </w:rPr>
        <w:t>versus</w:t>
      </w:r>
      <w:r>
        <w:rPr>
          <w:rFonts w:ascii="Book Antiqua" w:eastAsia="Book Antiqua" w:hAnsi="Book Antiqua" w:cs="Book Antiqua"/>
          <w:iCs/>
          <w:color w:val="000000" w:themeColor="text1"/>
        </w:rPr>
        <w:t xml:space="preserve"> white light biliary imaging alone be used to limit the risk or severity of BDI during LC?”</w:t>
      </w:r>
      <w:r>
        <w:rPr>
          <w:rFonts w:ascii="Book Antiqua" w:eastAsia="Book Antiqua" w:hAnsi="Book Antiqua" w:cs="Book Antiqua"/>
          <w:color w:val="000000" w:themeColor="text1"/>
        </w:rPr>
        <w:t xml:space="preserve">, they answered the following question: </w:t>
      </w:r>
      <w:r>
        <w:rPr>
          <w:rFonts w:ascii="Book Antiqua" w:eastAsia="Book Antiqua" w:hAnsi="Book Antiqua" w:cs="Book Antiqua"/>
          <w:iCs/>
          <w:color w:val="000000" w:themeColor="text1"/>
        </w:rPr>
        <w:t>We suggest that the use of NIR imaging may be considered an adjunct to white light alone to identify the biliary anatomy during cholecystectomy (conditional recommendation, very low certainty of evidence).</w:t>
      </w:r>
    </w:p>
    <w:p w14:paraId="37D9A18C" w14:textId="77777777" w:rsidR="00C41B3E" w:rsidRDefault="0070572D">
      <w:pPr>
        <w:spacing w:line="360" w:lineRule="auto"/>
        <w:ind w:firstLine="240"/>
        <w:jc w:val="both"/>
      </w:pPr>
      <w:r>
        <w:rPr>
          <w:rFonts w:ascii="Book Antiqua" w:eastAsia="Book Antiqua" w:hAnsi="Book Antiqua" w:cs="Book Antiqua"/>
          <w:color w:val="000000" w:themeColor="text1"/>
        </w:rPr>
        <w:t>However, in a Delphi survey of 19 international experts in fluorescence-guided surgery attending a 1</w:t>
      </w:r>
      <w:r>
        <w:rPr>
          <w:rFonts w:ascii="Book Antiqua" w:hAnsi="Book Antiqua" w:cs="Book Antiqua"/>
          <w:color w:val="000000" w:themeColor="text1"/>
          <w:lang w:eastAsia="zh-CN"/>
        </w:rPr>
        <w:t xml:space="preserve"> d</w:t>
      </w:r>
      <w:r>
        <w:rPr>
          <w:rFonts w:ascii="Book Antiqua" w:eastAsia="Book Antiqua" w:hAnsi="Book Antiqua" w:cs="Book Antiqua"/>
          <w:color w:val="000000" w:themeColor="text1"/>
        </w:rPr>
        <w:t xml:space="preserve"> consensus meeting in Frankfurt, Germany in September 2019, fluorescence imaging was almost unanimously perceived to be both effective and safe across a broad range of clinical settings</w:t>
      </w:r>
      <w:r>
        <w:rPr>
          <w:rFonts w:ascii="Book Antiqua" w:eastAsia="Book Antiqua" w:hAnsi="Book Antiqua" w:cs="Book Antiqua"/>
          <w:color w:val="000000" w:themeColor="text1"/>
          <w:vertAlign w:val="superscript"/>
        </w:rPr>
        <w:t>[76]</w:t>
      </w:r>
      <w:r>
        <w:rPr>
          <w:rFonts w:ascii="Book Antiqua" w:eastAsia="Book Antiqua" w:hAnsi="Book Antiqua" w:cs="Book Antiqua"/>
          <w:color w:val="000000" w:themeColor="text1"/>
        </w:rPr>
        <w:t xml:space="preserve">. No specific recommendations were given for fluorescent cholangiography. Moreover, the safety of ICG dye has been underlined: the risk of adverse reactions to ICG injection, such as anaphylactic shock, is very small </w:t>
      </w:r>
      <w:r>
        <w:rPr>
          <w:rFonts w:ascii="Book Antiqua" w:eastAsia="Book Antiqua" w:hAnsi="Book Antiqua" w:cs="Book Antiqua"/>
          <w:color w:val="000000" w:themeColor="text1"/>
        </w:rPr>
        <w:lastRenderedPageBreak/>
        <w:t>(approximately</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0.003% at doses exceeding 0.5 mg/kg) according to the literature data</w:t>
      </w:r>
      <w:r>
        <w:rPr>
          <w:rFonts w:ascii="Book Antiqua" w:eastAsia="Book Antiqua" w:hAnsi="Book Antiqua" w:cs="Book Antiqua"/>
          <w:color w:val="000000" w:themeColor="text1"/>
          <w:vertAlign w:val="superscript"/>
        </w:rPr>
        <w:t>[9,77]</w:t>
      </w:r>
      <w:r>
        <w:rPr>
          <w:rFonts w:ascii="Book Antiqua" w:eastAsia="Book Antiqua" w:hAnsi="Book Antiqua" w:cs="Book Antiqua"/>
          <w:color w:val="000000" w:themeColor="text1"/>
        </w:rPr>
        <w:t>.</w:t>
      </w:r>
    </w:p>
    <w:p w14:paraId="331745B6" w14:textId="77777777" w:rsidR="00C41B3E" w:rsidRDefault="00C41B3E">
      <w:pPr>
        <w:spacing w:line="360" w:lineRule="auto"/>
        <w:jc w:val="both"/>
        <w:rPr>
          <w:rFonts w:ascii="Book Antiqua" w:hAnsi="Book Antiqua"/>
          <w:color w:val="000000" w:themeColor="text1"/>
        </w:rPr>
      </w:pPr>
    </w:p>
    <w:p w14:paraId="1EDA2665"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31FFAAE9"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results of the current up-to-date overview confirmed the efficacy of ICG-fluorescence cholangiography in detecting biliary anatomy, its importance as a teaching tool for young surgeons, and the effects on the reduction of conversion rate and BDI, even if further considerable research remains necessary to optimize its use. This frontier method has enormous potential to become the gold standard during all cholecystectomies in elective and emergency settings due to its safety and limited costs. However, clear clinical guidelines are necessary for the surgical community.</w:t>
      </w:r>
    </w:p>
    <w:p w14:paraId="384C8BA8" w14:textId="77777777" w:rsidR="00C41B3E" w:rsidRDefault="00C41B3E">
      <w:pPr>
        <w:spacing w:line="360" w:lineRule="auto"/>
        <w:jc w:val="both"/>
        <w:rPr>
          <w:rFonts w:ascii="Book Antiqua" w:hAnsi="Book Antiqua"/>
          <w:color w:val="000000" w:themeColor="text1"/>
        </w:rPr>
      </w:pPr>
    </w:p>
    <w:p w14:paraId="6B966BCB"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14:paraId="04B23AB1"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Nuzzo G</w:t>
      </w:r>
      <w:r>
        <w:rPr>
          <w:rFonts w:ascii="Book Antiqua" w:eastAsia="Book Antiqua" w:hAnsi="Book Antiqua" w:cs="Book Antiqua"/>
          <w:color w:val="000000" w:themeColor="text1"/>
        </w:rPr>
        <w:t xml:space="preserve">, Giuliante F, Giovannini I, Ardito F, D'Acapito F, Vellone M, Murazio M, Capelli G. Bile duct injury during laparoscopic cholecystectomy: results of an Italian national survey on 56 591 cholecystectomies. </w:t>
      </w:r>
      <w:r>
        <w:rPr>
          <w:rFonts w:ascii="Book Antiqua" w:eastAsia="Book Antiqua" w:hAnsi="Book Antiqua" w:cs="Book Antiqua"/>
          <w:i/>
          <w:iCs/>
          <w:color w:val="000000" w:themeColor="text1"/>
        </w:rPr>
        <w:t>Arch Surg</w:t>
      </w:r>
      <w:r>
        <w:rPr>
          <w:rFonts w:ascii="Book Antiqua" w:eastAsia="Book Antiqua" w:hAnsi="Book Antiqua" w:cs="Book Antiqua"/>
          <w:color w:val="000000" w:themeColor="text1"/>
        </w:rPr>
        <w:t xml:space="preserve"> 2005; </w:t>
      </w:r>
      <w:r>
        <w:rPr>
          <w:rFonts w:ascii="Book Antiqua" w:eastAsia="Book Antiqua" w:hAnsi="Book Antiqua" w:cs="Book Antiqua"/>
          <w:b/>
          <w:bCs/>
          <w:color w:val="000000" w:themeColor="text1"/>
        </w:rPr>
        <w:t>140</w:t>
      </w:r>
      <w:r>
        <w:rPr>
          <w:rFonts w:ascii="Book Antiqua" w:eastAsia="Book Antiqua" w:hAnsi="Book Antiqua" w:cs="Book Antiqua"/>
          <w:color w:val="000000" w:themeColor="text1"/>
        </w:rPr>
        <w:t>: 986-992 [PMID: 16230550 DOI: 10.1001/archsurg.140.10.986]</w:t>
      </w:r>
    </w:p>
    <w:p w14:paraId="44825A2A"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2 </w:t>
      </w:r>
      <w:r>
        <w:rPr>
          <w:rFonts w:ascii="Book Antiqua" w:eastAsia="Book Antiqua" w:hAnsi="Book Antiqua" w:cs="Book Antiqua"/>
          <w:b/>
          <w:bCs/>
          <w:color w:val="000000" w:themeColor="text1"/>
        </w:rPr>
        <w:t>Way LW</w:t>
      </w:r>
      <w:r>
        <w:rPr>
          <w:rFonts w:ascii="Book Antiqua" w:eastAsia="Book Antiqua" w:hAnsi="Book Antiqua" w:cs="Book Antiqua"/>
          <w:color w:val="000000" w:themeColor="text1"/>
        </w:rPr>
        <w:t xml:space="preserve">, Stewart L, Gantert W, Liu K, Lee CM, Whang K, Hunter JG. Causes and prevention of laparoscopic bile duct injuries: analysis of 252 cases from a human factors and cognitive psychology perspective. </w:t>
      </w:r>
      <w:r>
        <w:rPr>
          <w:rFonts w:ascii="Book Antiqua" w:eastAsia="Book Antiqua" w:hAnsi="Book Antiqua" w:cs="Book Antiqua"/>
          <w:i/>
          <w:iCs/>
          <w:color w:val="000000" w:themeColor="text1"/>
        </w:rPr>
        <w:t>Ann Surg</w:t>
      </w:r>
      <w:r>
        <w:rPr>
          <w:rFonts w:ascii="Book Antiqua" w:eastAsia="Book Antiqua" w:hAnsi="Book Antiqua" w:cs="Book Antiqua"/>
          <w:color w:val="000000" w:themeColor="text1"/>
        </w:rPr>
        <w:t xml:space="preserve"> 2003; </w:t>
      </w:r>
      <w:r>
        <w:rPr>
          <w:rFonts w:ascii="Book Antiqua" w:eastAsia="Book Antiqua" w:hAnsi="Book Antiqua" w:cs="Book Antiqua"/>
          <w:b/>
          <w:bCs/>
          <w:color w:val="000000" w:themeColor="text1"/>
        </w:rPr>
        <w:t>237</w:t>
      </w:r>
      <w:r>
        <w:rPr>
          <w:rFonts w:ascii="Book Antiqua" w:eastAsia="Book Antiqua" w:hAnsi="Book Antiqua" w:cs="Book Antiqua"/>
          <w:color w:val="000000" w:themeColor="text1"/>
        </w:rPr>
        <w:t>: 460-469 [PMID: 12677139 DOI: 10.1097/01.SLA.0000060680.92690.E9]</w:t>
      </w:r>
    </w:p>
    <w:p w14:paraId="57C9CA22"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3 </w:t>
      </w:r>
      <w:r>
        <w:rPr>
          <w:rFonts w:ascii="Book Antiqua" w:eastAsia="Book Antiqua" w:hAnsi="Book Antiqua" w:cs="Book Antiqua"/>
          <w:b/>
          <w:bCs/>
          <w:color w:val="000000" w:themeColor="text1"/>
        </w:rPr>
        <w:t>Pesce A</w:t>
      </w:r>
      <w:r>
        <w:rPr>
          <w:rFonts w:ascii="Book Antiqua" w:eastAsia="Book Antiqua" w:hAnsi="Book Antiqua" w:cs="Book Antiqua"/>
          <w:color w:val="000000" w:themeColor="text1"/>
        </w:rPr>
        <w:t xml:space="preserve">, Portale TR, Minutolo V, Scilletta R, Li Destri G, Puleo S. Bile duct injury during laparoscopic cholecystectomy without intraoperative cholangiography: a retrospective study on 1,100 selected patients. </w:t>
      </w:r>
      <w:r>
        <w:rPr>
          <w:rFonts w:ascii="Book Antiqua" w:eastAsia="Book Antiqua" w:hAnsi="Book Antiqua" w:cs="Book Antiqua"/>
          <w:i/>
          <w:iCs/>
          <w:color w:val="000000" w:themeColor="text1"/>
        </w:rPr>
        <w:t>Dig Surg</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29</w:t>
      </w:r>
      <w:r>
        <w:rPr>
          <w:rFonts w:ascii="Book Antiqua" w:eastAsia="Book Antiqua" w:hAnsi="Book Antiqua" w:cs="Book Antiqua"/>
          <w:color w:val="000000" w:themeColor="text1"/>
        </w:rPr>
        <w:t>: 310-314 [PMID: 22986956 DOI: 10.1159/000341660]</w:t>
      </w:r>
    </w:p>
    <w:p w14:paraId="735C6220"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 </w:t>
      </w:r>
      <w:r>
        <w:rPr>
          <w:rFonts w:ascii="Book Antiqua" w:eastAsia="Book Antiqua" w:hAnsi="Book Antiqua" w:cs="Book Antiqua"/>
          <w:b/>
          <w:bCs/>
          <w:color w:val="000000" w:themeColor="text1"/>
        </w:rPr>
        <w:t>Pesce A</w:t>
      </w:r>
      <w:r>
        <w:rPr>
          <w:rFonts w:ascii="Book Antiqua" w:eastAsia="Book Antiqua" w:hAnsi="Book Antiqua" w:cs="Book Antiqua"/>
          <w:color w:val="000000" w:themeColor="text1"/>
        </w:rPr>
        <w:t xml:space="preserve">, Palmucci S, La Greca G, Puleo S. Iatrogenic bile duct injury: impact and management challenges. </w:t>
      </w:r>
      <w:r>
        <w:rPr>
          <w:rFonts w:ascii="Book Antiqua" w:eastAsia="Book Antiqua" w:hAnsi="Book Antiqua" w:cs="Book Antiqua"/>
          <w:i/>
          <w:iCs/>
          <w:color w:val="000000" w:themeColor="text1"/>
        </w:rPr>
        <w:t>Clin Exp Gastroenterol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121-128 [PMID: 30881079 DOI: 10.2147/CEG.S169492]</w:t>
      </w:r>
    </w:p>
    <w:p w14:paraId="3A2D556B"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lastRenderedPageBreak/>
        <w:t xml:space="preserve">5 </w:t>
      </w:r>
      <w:r>
        <w:rPr>
          <w:rFonts w:ascii="Book Antiqua" w:eastAsia="Book Antiqua" w:hAnsi="Book Antiqua" w:cs="Book Antiqua"/>
          <w:b/>
          <w:bCs/>
          <w:color w:val="000000" w:themeColor="text1"/>
        </w:rPr>
        <w:t>Majlesara A</w:t>
      </w:r>
      <w:r>
        <w:rPr>
          <w:rFonts w:ascii="Book Antiqua" w:eastAsia="Book Antiqua" w:hAnsi="Book Antiqua" w:cs="Book Antiqua"/>
          <w:color w:val="000000" w:themeColor="text1"/>
        </w:rPr>
        <w:t xml:space="preserve">, Golriz M, Hafezi M, Saffari A, Stenau E, Maier-Hein L, Müller-Stich BP, Mehrabi A. Indocyanine green fluorescence imaging in hepatobiliary surgery. </w:t>
      </w:r>
      <w:r>
        <w:rPr>
          <w:rFonts w:ascii="Book Antiqua" w:eastAsia="Book Antiqua" w:hAnsi="Book Antiqua" w:cs="Book Antiqua"/>
          <w:i/>
          <w:iCs/>
          <w:color w:val="000000" w:themeColor="text1"/>
        </w:rPr>
        <w:t>Photodiagnosis Photodyn Ther</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208-215 [PMID: 28017834 DOI: 10.1016/j.pdpdt.2016.12.005]</w:t>
      </w:r>
    </w:p>
    <w:p w14:paraId="7832C402"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 </w:t>
      </w:r>
      <w:r>
        <w:rPr>
          <w:rFonts w:ascii="Book Antiqua" w:eastAsia="Book Antiqua" w:hAnsi="Book Antiqua" w:cs="Book Antiqua"/>
          <w:b/>
          <w:bCs/>
          <w:color w:val="000000" w:themeColor="text1"/>
        </w:rPr>
        <w:t>Baiocchi GL</w:t>
      </w:r>
      <w:r>
        <w:rPr>
          <w:rFonts w:ascii="Book Antiqua" w:eastAsia="Book Antiqua" w:hAnsi="Book Antiqua" w:cs="Book Antiqua"/>
          <w:color w:val="000000" w:themeColor="text1"/>
        </w:rPr>
        <w:t xml:space="preserve">, Diana M, Boni L. Indocyanine green-based fluorescence imaging in visceral and hepatobiliary and pancreatic surgery: State of the art and future directions.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24</w:t>
      </w:r>
      <w:r>
        <w:rPr>
          <w:rFonts w:ascii="Book Antiqua" w:eastAsia="Book Antiqua" w:hAnsi="Book Antiqua" w:cs="Book Antiqua"/>
          <w:color w:val="000000" w:themeColor="text1"/>
        </w:rPr>
        <w:t>: 2921-2930 [PMID: 30038461 DOI: 10.3748/wjg.v24.i27.2921]</w:t>
      </w:r>
    </w:p>
    <w:p w14:paraId="4E966E45"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7 </w:t>
      </w:r>
      <w:r>
        <w:rPr>
          <w:rFonts w:ascii="Book Antiqua" w:eastAsia="Book Antiqua" w:hAnsi="Book Antiqua" w:cs="Book Antiqua"/>
          <w:b/>
          <w:bCs/>
          <w:color w:val="000000" w:themeColor="text1"/>
        </w:rPr>
        <w:t>Stiles BM</w:t>
      </w:r>
      <w:r>
        <w:rPr>
          <w:rFonts w:ascii="Book Antiqua" w:eastAsia="Book Antiqua" w:hAnsi="Book Antiqua" w:cs="Book Antiqua"/>
          <w:color w:val="000000" w:themeColor="text1"/>
        </w:rPr>
        <w:t xml:space="preserve">, Adusumilli PS, Bhargava A, Fong Y. Fluorescent cholangiography in a mouse model: an innovative method for improved laparoscopic identification of the biliary anatomy.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20</w:t>
      </w:r>
      <w:r>
        <w:rPr>
          <w:rFonts w:ascii="Book Antiqua" w:eastAsia="Book Antiqua" w:hAnsi="Book Antiqua" w:cs="Book Antiqua"/>
          <w:color w:val="000000" w:themeColor="text1"/>
        </w:rPr>
        <w:t>: 1291-1295 [PMID: 16858526 DOI: 10.1007/s00464-005-0664-x]</w:t>
      </w:r>
    </w:p>
    <w:p w14:paraId="7C113C7B"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8 </w:t>
      </w:r>
      <w:r>
        <w:rPr>
          <w:rFonts w:ascii="Book Antiqua" w:eastAsia="Book Antiqua" w:hAnsi="Book Antiqua" w:cs="Book Antiqua"/>
          <w:b/>
          <w:bCs/>
          <w:color w:val="000000" w:themeColor="text1"/>
        </w:rPr>
        <w:t>Ishizawa T</w:t>
      </w:r>
      <w:r>
        <w:rPr>
          <w:rFonts w:ascii="Book Antiqua" w:eastAsia="Book Antiqua" w:hAnsi="Book Antiqua" w:cs="Book Antiqua"/>
          <w:color w:val="000000" w:themeColor="text1"/>
        </w:rPr>
        <w:t xml:space="preserve">, Tamura S, Masuda K, Aoki T, Hasegawa K, Imamura H, Beck Y, Kokudo N. Intraoperative fluorescent cholangiography using indocyanine green: a biliary road map for safe surgery. </w:t>
      </w:r>
      <w:r>
        <w:rPr>
          <w:rFonts w:ascii="Book Antiqua" w:eastAsia="Book Antiqua" w:hAnsi="Book Antiqua" w:cs="Book Antiqua"/>
          <w:i/>
          <w:iCs/>
          <w:color w:val="000000" w:themeColor="text1"/>
        </w:rPr>
        <w:t>J Am Coll Surg</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208</w:t>
      </w:r>
      <w:r>
        <w:rPr>
          <w:rFonts w:ascii="Book Antiqua" w:eastAsia="Book Antiqua" w:hAnsi="Book Antiqua" w:cs="Book Antiqua"/>
          <w:color w:val="000000" w:themeColor="text1"/>
        </w:rPr>
        <w:t>: e1-e4 [PMID: 19228492 DOI: 10.1016/j.jamcollsurg.2008.09.024]</w:t>
      </w:r>
    </w:p>
    <w:p w14:paraId="3C4A3EB5"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9 </w:t>
      </w:r>
      <w:r>
        <w:rPr>
          <w:rFonts w:ascii="Book Antiqua" w:eastAsia="Book Antiqua" w:hAnsi="Book Antiqua" w:cs="Book Antiqua"/>
          <w:b/>
          <w:bCs/>
          <w:color w:val="000000" w:themeColor="text1"/>
        </w:rPr>
        <w:t>Pesce A</w:t>
      </w:r>
      <w:r>
        <w:rPr>
          <w:rFonts w:ascii="Book Antiqua" w:eastAsia="Book Antiqua" w:hAnsi="Book Antiqua" w:cs="Book Antiqua"/>
          <w:color w:val="000000" w:themeColor="text1"/>
        </w:rPr>
        <w:t xml:space="preserve">, Piccolo G, La Greca G, Puleo S. Utility of fluorescent cholangiography during laparoscopic cholecystectomy: A systematic review.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21</w:t>
      </w:r>
      <w:r>
        <w:rPr>
          <w:rFonts w:ascii="Book Antiqua" w:eastAsia="Book Antiqua" w:hAnsi="Book Antiqua" w:cs="Book Antiqua"/>
          <w:color w:val="000000" w:themeColor="text1"/>
        </w:rPr>
        <w:t>: 7877-7883 [PMID: 26167088 DOI: 10.3748/wjg.v21.i25.7877]</w:t>
      </w:r>
    </w:p>
    <w:p w14:paraId="075481B2"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10 </w:t>
      </w:r>
      <w:r>
        <w:rPr>
          <w:rFonts w:ascii="Book Antiqua" w:eastAsia="Book Antiqua" w:hAnsi="Book Antiqua" w:cs="Book Antiqua"/>
          <w:b/>
          <w:bCs/>
          <w:color w:val="000000" w:themeColor="text1"/>
        </w:rPr>
        <w:t>Igami T</w:t>
      </w:r>
      <w:r>
        <w:rPr>
          <w:rFonts w:ascii="Book Antiqua" w:eastAsia="Book Antiqua" w:hAnsi="Book Antiqua" w:cs="Book Antiqua"/>
          <w:color w:val="000000" w:themeColor="text1"/>
        </w:rPr>
        <w:t xml:space="preserve">, Nojiri M, Shinohara K, Ebata T, Yokoyama Y, Sugawara G, Mizuno T, Yamaguchi J, Nagino M. Clinical value and pitfalls of fluorescent cholangiography during single-incision laparoscopic cholecystectomy. </w:t>
      </w:r>
      <w:r>
        <w:rPr>
          <w:rFonts w:ascii="Book Antiqua" w:eastAsia="Book Antiqua" w:hAnsi="Book Antiqua" w:cs="Book Antiqua"/>
          <w:i/>
          <w:iCs/>
          <w:color w:val="000000" w:themeColor="text1"/>
        </w:rPr>
        <w:t>Surg Today</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46</w:t>
      </w:r>
      <w:r>
        <w:rPr>
          <w:rFonts w:ascii="Book Antiqua" w:eastAsia="Book Antiqua" w:hAnsi="Book Antiqua" w:cs="Book Antiqua"/>
          <w:color w:val="000000" w:themeColor="text1"/>
        </w:rPr>
        <w:t>: 1443-1450 [PMID: 27002714 DOI: 10.1007/s00595-016-1330-8]</w:t>
      </w:r>
    </w:p>
    <w:p w14:paraId="50003845"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11 </w:t>
      </w:r>
      <w:r>
        <w:rPr>
          <w:rFonts w:ascii="Book Antiqua" w:eastAsia="Book Antiqua" w:hAnsi="Book Antiqua" w:cs="Book Antiqua"/>
          <w:b/>
          <w:bCs/>
          <w:color w:val="000000" w:themeColor="text1"/>
        </w:rPr>
        <w:t>Broderick RC,</w:t>
      </w:r>
      <w:r>
        <w:rPr>
          <w:rFonts w:ascii="Book Antiqua" w:eastAsia="Book Antiqua" w:hAnsi="Book Antiqua" w:cs="Book Antiqua"/>
          <w:color w:val="000000" w:themeColor="text1"/>
        </w:rPr>
        <w:t xml:space="preserve"> Lee AM, Cheverie JN, Zhao B, Blitzer RR, Patel RJ, Soltero S, Sandler BJ, Jacobsen GR, Doucet JJ, Horgan S. Fluorescent cholangiography significantly improves patient outcomes for laparoscopic cholecystectomy. </w:t>
      </w:r>
      <w:r>
        <w:rPr>
          <w:rFonts w:ascii="Book Antiqua" w:eastAsia="Book Antiqua" w:hAnsi="Book Antiqua" w:cs="Book Antiqua"/>
          <w:i/>
          <w:color w:val="000000" w:themeColor="text1"/>
        </w:rPr>
        <w:t>Surg Endosc</w:t>
      </w:r>
      <w:r>
        <w:rPr>
          <w:rFonts w:ascii="Book Antiqua" w:eastAsia="Book Antiqua" w:hAnsi="Book Antiqua" w:cs="Book Antiqua"/>
          <w:color w:val="000000" w:themeColor="text1"/>
        </w:rPr>
        <w:t xml:space="preserve"> 2020 [PMID: 33052527</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DOI:</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10.1007/s00464-020-08045-x]</w:t>
      </w:r>
    </w:p>
    <w:p w14:paraId="337B8828"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12 </w:t>
      </w:r>
      <w:r>
        <w:rPr>
          <w:rFonts w:ascii="Book Antiqua" w:eastAsia="Book Antiqua" w:hAnsi="Book Antiqua" w:cs="Book Antiqua"/>
          <w:b/>
          <w:bCs/>
          <w:color w:val="000000" w:themeColor="text1"/>
        </w:rPr>
        <w:t>Bleszynski MS</w:t>
      </w:r>
      <w:r>
        <w:rPr>
          <w:rFonts w:ascii="Book Antiqua" w:eastAsia="Book Antiqua" w:hAnsi="Book Antiqua" w:cs="Book Antiqua"/>
          <w:color w:val="000000" w:themeColor="text1"/>
        </w:rPr>
        <w:t xml:space="preserve">, DeGirolamo KM, Meneghetti AT, Chiu CJ, Panton ON. Fluorescent Cholangiography in Laparoscopic Cholecystectomy: An Updated Canadian Experience. </w:t>
      </w:r>
      <w:r>
        <w:rPr>
          <w:rFonts w:ascii="Book Antiqua" w:eastAsia="Book Antiqua" w:hAnsi="Book Antiqua" w:cs="Book Antiqua"/>
          <w:i/>
          <w:iCs/>
          <w:color w:val="000000" w:themeColor="text1"/>
        </w:rPr>
        <w:t>Surg Innov</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27</w:t>
      </w:r>
      <w:r>
        <w:rPr>
          <w:rFonts w:ascii="Book Antiqua" w:eastAsia="Book Antiqua" w:hAnsi="Book Antiqua" w:cs="Book Antiqua"/>
          <w:color w:val="000000" w:themeColor="text1"/>
        </w:rPr>
        <w:t>: 38-43 [PMID: 31744398 DOI: 10.1177/1553350619885792]</w:t>
      </w:r>
    </w:p>
    <w:p w14:paraId="25233F40"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lastRenderedPageBreak/>
        <w:t xml:space="preserve">13 </w:t>
      </w:r>
      <w:r>
        <w:rPr>
          <w:rFonts w:ascii="Book Antiqua" w:eastAsia="Book Antiqua" w:hAnsi="Book Antiqua" w:cs="Book Antiqua"/>
          <w:b/>
          <w:bCs/>
          <w:color w:val="000000" w:themeColor="text1"/>
        </w:rPr>
        <w:t>Strasberg SM</w:t>
      </w:r>
      <w:r>
        <w:rPr>
          <w:rFonts w:ascii="Book Antiqua" w:eastAsia="Book Antiqua" w:hAnsi="Book Antiqua" w:cs="Book Antiqua"/>
          <w:color w:val="000000" w:themeColor="text1"/>
        </w:rPr>
        <w:t xml:space="preserve">, Brunt LM. Rationale and use of the critical view of safety in laparoscopic cholecystectomy. </w:t>
      </w:r>
      <w:r>
        <w:rPr>
          <w:rFonts w:ascii="Book Antiqua" w:eastAsia="Book Antiqua" w:hAnsi="Book Antiqua" w:cs="Book Antiqua"/>
          <w:i/>
          <w:iCs/>
          <w:color w:val="000000" w:themeColor="text1"/>
        </w:rPr>
        <w:t>J Am Coll Surg</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211</w:t>
      </w:r>
      <w:r>
        <w:rPr>
          <w:rFonts w:ascii="Book Antiqua" w:eastAsia="Book Antiqua" w:hAnsi="Book Antiqua" w:cs="Book Antiqua"/>
          <w:color w:val="000000" w:themeColor="text1"/>
        </w:rPr>
        <w:t>: 132-138 [PMID: 20610259 DOI: 10.1016/j.jamcollsurg.2010.02.053]</w:t>
      </w:r>
    </w:p>
    <w:p w14:paraId="543E301F"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14 </w:t>
      </w:r>
      <w:r>
        <w:rPr>
          <w:rFonts w:ascii="Book Antiqua" w:eastAsia="Book Antiqua" w:hAnsi="Book Antiqua" w:cs="Book Antiqua"/>
          <w:b/>
          <w:bCs/>
          <w:color w:val="000000" w:themeColor="text1"/>
        </w:rPr>
        <w:t>Ishizawa T</w:t>
      </w:r>
      <w:r>
        <w:rPr>
          <w:rFonts w:ascii="Book Antiqua" w:eastAsia="Book Antiqua" w:hAnsi="Book Antiqua" w:cs="Book Antiqua"/>
          <w:color w:val="000000" w:themeColor="text1"/>
        </w:rPr>
        <w:t xml:space="preserve">, Bandai Y, Ijichi M, Kaneko J, Hasegawa K, Kokudo N. Fluorescent cholangiography illuminating the biliary tree during laparoscopic cholecystectomy. </w:t>
      </w:r>
      <w:r>
        <w:rPr>
          <w:rFonts w:ascii="Book Antiqua" w:eastAsia="Book Antiqua" w:hAnsi="Book Antiqua" w:cs="Book Antiqua"/>
          <w:i/>
          <w:iCs/>
          <w:color w:val="000000" w:themeColor="text1"/>
        </w:rPr>
        <w:t>Br J Surg</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97</w:t>
      </w:r>
      <w:r>
        <w:rPr>
          <w:rFonts w:ascii="Book Antiqua" w:eastAsia="Book Antiqua" w:hAnsi="Book Antiqua" w:cs="Book Antiqua"/>
          <w:color w:val="000000" w:themeColor="text1"/>
        </w:rPr>
        <w:t>: 1369-1377 [PMID: 20623766 DOI: 10.1002/bjs.7125]</w:t>
      </w:r>
    </w:p>
    <w:p w14:paraId="70C9061A"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15 </w:t>
      </w:r>
      <w:r>
        <w:rPr>
          <w:rFonts w:ascii="Book Antiqua" w:eastAsia="Book Antiqua" w:hAnsi="Book Antiqua" w:cs="Book Antiqua"/>
          <w:b/>
          <w:bCs/>
          <w:color w:val="000000" w:themeColor="text1"/>
        </w:rPr>
        <w:t>Dip F,</w:t>
      </w:r>
      <w:r>
        <w:rPr>
          <w:rFonts w:ascii="Book Antiqua" w:eastAsia="Book Antiqua" w:hAnsi="Book Antiqua" w:cs="Book Antiqua"/>
          <w:color w:val="000000" w:themeColor="text1"/>
        </w:rPr>
        <w:t xml:space="preserve"> Aleman R, Frieder JS, Gomez CO, Menzo EL, Szomstein S, Rosenthal RJ. Understanding intraoperative fluorescent cholangiography: ten steps for an effective and successful procedure. </w:t>
      </w:r>
      <w:r>
        <w:rPr>
          <w:rFonts w:ascii="Book Antiqua" w:eastAsia="Book Antiqua" w:hAnsi="Book Antiqua" w:cs="Book Antiqua"/>
          <w:i/>
          <w:color w:val="000000" w:themeColor="text1"/>
        </w:rPr>
        <w:t>Surg Endosc</w:t>
      </w:r>
      <w:r>
        <w:rPr>
          <w:rFonts w:ascii="Book Antiqua" w:eastAsia="Book Antiqua" w:hAnsi="Book Antiqua" w:cs="Book Antiqua"/>
          <w:color w:val="000000" w:themeColor="text1"/>
        </w:rPr>
        <w:t xml:space="preserve"> 2021 [PMID: 33475844 DOI:</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10.1007/s00464-020-08219-7]</w:t>
      </w:r>
    </w:p>
    <w:p w14:paraId="6AFC0269"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16 </w:t>
      </w:r>
      <w:r>
        <w:rPr>
          <w:rFonts w:ascii="Book Antiqua" w:eastAsia="Book Antiqua" w:hAnsi="Book Antiqua" w:cs="Book Antiqua"/>
          <w:b/>
          <w:bCs/>
          <w:color w:val="000000" w:themeColor="text1"/>
        </w:rPr>
        <w:t>van den Bos J</w:t>
      </w:r>
      <w:r>
        <w:rPr>
          <w:rFonts w:ascii="Book Antiqua" w:eastAsia="Book Antiqua" w:hAnsi="Book Antiqua" w:cs="Book Antiqua"/>
          <w:color w:val="000000" w:themeColor="text1"/>
        </w:rPr>
        <w:t xml:space="preserve">, Wieringa FP, Bouvy ND, Stassen LPS. Optimizing the image of fluorescence cholangiography using ICG: a systematic review and ex vivo experiments.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32</w:t>
      </w:r>
      <w:r>
        <w:rPr>
          <w:rFonts w:ascii="Book Antiqua" w:eastAsia="Book Antiqua" w:hAnsi="Book Antiqua" w:cs="Book Antiqua"/>
          <w:color w:val="000000" w:themeColor="text1"/>
        </w:rPr>
        <w:t>: 4820-4832 [PMID: 29777357 DOI: 10.1007/s00464-018-6233-x]</w:t>
      </w:r>
    </w:p>
    <w:p w14:paraId="60F576CB"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17 </w:t>
      </w:r>
      <w:r>
        <w:rPr>
          <w:rFonts w:ascii="Book Antiqua" w:eastAsia="Book Antiqua" w:hAnsi="Book Antiqua" w:cs="Book Antiqua"/>
          <w:b/>
          <w:bCs/>
          <w:color w:val="000000" w:themeColor="text1"/>
        </w:rPr>
        <w:t>Agnus V</w:t>
      </w:r>
      <w:r>
        <w:rPr>
          <w:rFonts w:ascii="Book Antiqua" w:eastAsia="Book Antiqua" w:hAnsi="Book Antiqua" w:cs="Book Antiqua"/>
          <w:color w:val="000000" w:themeColor="text1"/>
        </w:rPr>
        <w:t xml:space="preserve">, Pesce A, Boni L, Van Den Bos J, Morales-Conde S, Paganini AM, Quaresima S, Balla A, La Greca G, Plaudis H, Moretto G, Castagnola M, Santi C, Casali L, Tartamella L, Saadi A, Picchetto A, Arezzo A, Marescaux J, Diana M. Fluorescence-based cholangiography: preliminary results from the IHU-IRCAD-EAES EURO-FIGS registry.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34</w:t>
      </w:r>
      <w:r>
        <w:rPr>
          <w:rFonts w:ascii="Book Antiqua" w:eastAsia="Book Antiqua" w:hAnsi="Book Antiqua" w:cs="Book Antiqua"/>
          <w:color w:val="000000" w:themeColor="text1"/>
        </w:rPr>
        <w:t>: 3888-3896 [PMID: 31591654 DOI: 10.1007/s00464-019-07157-3]</w:t>
      </w:r>
    </w:p>
    <w:p w14:paraId="43DB454E"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18 </w:t>
      </w:r>
      <w:r>
        <w:rPr>
          <w:rFonts w:ascii="Book Antiqua" w:eastAsia="Book Antiqua" w:hAnsi="Book Antiqua" w:cs="Book Antiqua"/>
          <w:b/>
          <w:bCs/>
          <w:color w:val="000000" w:themeColor="text1"/>
        </w:rPr>
        <w:t>Boogerd LSF</w:t>
      </w:r>
      <w:r>
        <w:rPr>
          <w:rFonts w:ascii="Book Antiqua" w:eastAsia="Book Antiqua" w:hAnsi="Book Antiqua" w:cs="Book Antiqua"/>
          <w:color w:val="000000" w:themeColor="text1"/>
        </w:rPr>
        <w:t xml:space="preserve">, Handgraaf HJM, Huurman VAL, Lam HD, Mieog JSD, van der Made WJ, van de Velde CJH, Vahrmeijer AL. The Best Approach for Laparoscopic Fluorescence Cholangiography: Overview of the Literature and Optimization of Dose and Dosing Time. </w:t>
      </w:r>
      <w:r>
        <w:rPr>
          <w:rFonts w:ascii="Book Antiqua" w:eastAsia="Book Antiqua" w:hAnsi="Book Antiqua" w:cs="Book Antiqua"/>
          <w:i/>
          <w:iCs/>
          <w:color w:val="000000" w:themeColor="text1"/>
        </w:rPr>
        <w:t>Surg Innov</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24</w:t>
      </w:r>
      <w:r>
        <w:rPr>
          <w:rFonts w:ascii="Book Antiqua" w:eastAsia="Book Antiqua" w:hAnsi="Book Antiqua" w:cs="Book Antiqua"/>
          <w:color w:val="000000" w:themeColor="text1"/>
        </w:rPr>
        <w:t>: 386-396 [PMID: 28457194 DOI: 10.1177/1553350617702311]</w:t>
      </w:r>
    </w:p>
    <w:p w14:paraId="4DFE88F8"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19 </w:t>
      </w:r>
      <w:r>
        <w:rPr>
          <w:rFonts w:ascii="Book Antiqua" w:eastAsia="Book Antiqua" w:hAnsi="Book Antiqua" w:cs="Book Antiqua"/>
          <w:b/>
          <w:bCs/>
          <w:color w:val="000000" w:themeColor="text1"/>
        </w:rPr>
        <w:t>Zarrinpar A</w:t>
      </w:r>
      <w:r>
        <w:rPr>
          <w:rFonts w:ascii="Book Antiqua" w:eastAsia="Book Antiqua" w:hAnsi="Book Antiqua" w:cs="Book Antiqua"/>
          <w:color w:val="000000" w:themeColor="text1"/>
        </w:rPr>
        <w:t xml:space="preserve">, Dutson EP, Mobley C, Busuttil RW, Lewis CE, Tillou A, Cheaito A, Hines OJ, Agopian VG, Hiyama DT. Intraoperative Laparoscopic Near-Infrared Fluorescence Cholangiography to Facilitate Anatomical Identification: When to Give Indocyanine Green and How Much. </w:t>
      </w:r>
      <w:r>
        <w:rPr>
          <w:rFonts w:ascii="Book Antiqua" w:eastAsia="Book Antiqua" w:hAnsi="Book Antiqua" w:cs="Book Antiqua"/>
          <w:i/>
          <w:iCs/>
          <w:color w:val="000000" w:themeColor="text1"/>
        </w:rPr>
        <w:t>Surg Innov</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360-365 [PMID: 26964557 DOI: 10.1177/1553350616637671]</w:t>
      </w:r>
    </w:p>
    <w:p w14:paraId="38D95E72"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lastRenderedPageBreak/>
        <w:t xml:space="preserve">20 </w:t>
      </w:r>
      <w:r>
        <w:rPr>
          <w:rFonts w:ascii="Book Antiqua" w:eastAsia="Book Antiqua" w:hAnsi="Book Antiqua" w:cs="Book Antiqua"/>
          <w:b/>
          <w:bCs/>
          <w:color w:val="000000" w:themeColor="text1"/>
        </w:rPr>
        <w:t>Chen Q,</w:t>
      </w:r>
      <w:r>
        <w:rPr>
          <w:rFonts w:ascii="Book Antiqua" w:eastAsia="Book Antiqua" w:hAnsi="Book Antiqua" w:cs="Book Antiqua"/>
          <w:color w:val="000000" w:themeColor="text1"/>
        </w:rPr>
        <w:t xml:space="preserve"> Zhou R, Weng J, Lai Y, Liu H, Kuang J, Zhang S, Wu Z, Wang W, Gu W. Extrahepatic biliary tract visualization using near-infrared fluorescence imaging with indocyanine green: optimization of dose and dosing time. </w:t>
      </w:r>
      <w:r>
        <w:rPr>
          <w:rFonts w:ascii="Book Antiqua" w:eastAsia="Book Antiqua" w:hAnsi="Book Antiqua" w:cs="Book Antiqua"/>
          <w:i/>
          <w:color w:val="000000" w:themeColor="text1"/>
        </w:rPr>
        <w:t>Surg Endosc</w:t>
      </w:r>
      <w:r>
        <w:rPr>
          <w:rFonts w:ascii="Book Antiqua" w:eastAsia="Book Antiqua" w:hAnsi="Book Antiqua" w:cs="Book Antiqua"/>
          <w:color w:val="000000" w:themeColor="text1"/>
        </w:rPr>
        <w:t xml:space="preserve"> 2020 [PMID: 33026517 DOI:</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10.1007/s00464-020-08058-6]</w:t>
      </w:r>
    </w:p>
    <w:p w14:paraId="060918C7"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21 </w:t>
      </w:r>
      <w:r>
        <w:rPr>
          <w:rFonts w:ascii="Book Antiqua" w:eastAsia="Book Antiqua" w:hAnsi="Book Antiqua" w:cs="Book Antiqua"/>
          <w:b/>
          <w:bCs/>
          <w:color w:val="000000" w:themeColor="text1"/>
        </w:rPr>
        <w:t>Matsumura M</w:t>
      </w:r>
      <w:r>
        <w:rPr>
          <w:rFonts w:ascii="Book Antiqua" w:eastAsia="Book Antiqua" w:hAnsi="Book Antiqua" w:cs="Book Antiqua"/>
          <w:color w:val="000000" w:themeColor="text1"/>
        </w:rPr>
        <w:t xml:space="preserve">, Kawaguchi Y, Kobayashi Y, Kobayashi K, Ishizawa T, Akamatsu N, Kaneko J, Arita J, Kokudo N, Hasegawa K. Indocyanine green administration a day before surgery may increase bile duct detectability on fluorescence cholangiography during laparoscopic cholecystectomy. </w:t>
      </w:r>
      <w:r>
        <w:rPr>
          <w:rFonts w:ascii="Book Antiqua" w:eastAsia="Book Antiqua" w:hAnsi="Book Antiqua" w:cs="Book Antiqua"/>
          <w:i/>
          <w:iCs/>
          <w:color w:val="000000" w:themeColor="text1"/>
        </w:rPr>
        <w:t>J Hepatobiliary Pancreat Sci</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28</w:t>
      </w:r>
      <w:r>
        <w:rPr>
          <w:rFonts w:ascii="Book Antiqua" w:eastAsia="Book Antiqua" w:hAnsi="Book Antiqua" w:cs="Book Antiqua"/>
          <w:color w:val="000000" w:themeColor="text1"/>
        </w:rPr>
        <w:t>: 202-210 [PMID: 33091224 DOI: 10.1002/jhbp.855]</w:t>
      </w:r>
    </w:p>
    <w:p w14:paraId="26084A35"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22 </w:t>
      </w:r>
      <w:r>
        <w:rPr>
          <w:rFonts w:ascii="Book Antiqua" w:eastAsia="Book Antiqua" w:hAnsi="Book Antiqua" w:cs="Book Antiqua"/>
          <w:b/>
          <w:bCs/>
          <w:color w:val="000000" w:themeColor="text1"/>
        </w:rPr>
        <w:t>Liu YY</w:t>
      </w:r>
      <w:r>
        <w:rPr>
          <w:rFonts w:ascii="Book Antiqua" w:eastAsia="Book Antiqua" w:hAnsi="Book Antiqua" w:cs="Book Antiqua"/>
          <w:color w:val="000000" w:themeColor="text1"/>
        </w:rPr>
        <w:t xml:space="preserve">, Liao CH, Diana M, Wang SY, Kong SH, Yeh CN, Dallemagne B, Marescaux J, Yeh TS. Near-infrared cholecystocholangiography with direct intragallbladder indocyanine green injection: preliminary clinical results.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32</w:t>
      </w:r>
      <w:r>
        <w:rPr>
          <w:rFonts w:ascii="Book Antiqua" w:eastAsia="Book Antiqua" w:hAnsi="Book Antiqua" w:cs="Book Antiqua"/>
          <w:color w:val="000000" w:themeColor="text1"/>
        </w:rPr>
        <w:t>: 1506-1514 [PMID: 28916859 DOI: 10.1007/s00464-017-5838-9]</w:t>
      </w:r>
    </w:p>
    <w:p w14:paraId="2713AAC6"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23 </w:t>
      </w:r>
      <w:r>
        <w:rPr>
          <w:rFonts w:ascii="Book Antiqua" w:eastAsia="Book Antiqua" w:hAnsi="Book Antiqua" w:cs="Book Antiqua"/>
          <w:b/>
          <w:bCs/>
          <w:color w:val="000000" w:themeColor="text1"/>
        </w:rPr>
        <w:t>Gené Škrabec C</w:t>
      </w:r>
      <w:r>
        <w:rPr>
          <w:rFonts w:ascii="Book Antiqua" w:eastAsia="Book Antiqua" w:hAnsi="Book Antiqua" w:cs="Book Antiqua"/>
          <w:color w:val="000000" w:themeColor="text1"/>
        </w:rPr>
        <w:t xml:space="preserve">, Pardo Aranda F, Espín F, Cremades M, Navinés J, Zárate A, Cugat E. Fluorescent cholangiography with direct injection of indocyanine green (ICG) into the gallbladder: a safety method to outline biliary anatomy. </w:t>
      </w:r>
      <w:r>
        <w:rPr>
          <w:rFonts w:ascii="Book Antiqua" w:eastAsia="Book Antiqua" w:hAnsi="Book Antiqua" w:cs="Book Antiqua"/>
          <w:i/>
          <w:iCs/>
          <w:color w:val="000000" w:themeColor="text1"/>
        </w:rPr>
        <w:t>Langenbecks Arch Surg</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405</w:t>
      </w:r>
      <w:r>
        <w:rPr>
          <w:rFonts w:ascii="Book Antiqua" w:eastAsia="Book Antiqua" w:hAnsi="Book Antiqua" w:cs="Book Antiqua"/>
          <w:color w:val="000000" w:themeColor="text1"/>
        </w:rPr>
        <w:t>: 827-832 [PMID: 32827267 DOI: 10.1007/s00423-020-01967-z]</w:t>
      </w:r>
    </w:p>
    <w:p w14:paraId="388B2767"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24 </w:t>
      </w:r>
      <w:r>
        <w:rPr>
          <w:rFonts w:ascii="Book Antiqua" w:eastAsia="Book Antiqua" w:hAnsi="Book Antiqua" w:cs="Book Antiqua"/>
          <w:b/>
          <w:bCs/>
          <w:color w:val="000000" w:themeColor="text1"/>
        </w:rPr>
        <w:t>Nitta T</w:t>
      </w:r>
      <w:r>
        <w:rPr>
          <w:rFonts w:ascii="Book Antiqua" w:eastAsia="Book Antiqua" w:hAnsi="Book Antiqua" w:cs="Book Antiqua"/>
          <w:color w:val="000000" w:themeColor="text1"/>
        </w:rPr>
        <w:t xml:space="preserve">, Kataoka J, Ohta M, Ueda Y, Senpuku S, Kurashima Y, Shimizu T, Ishibashi T. Laparoscopic cholecystectomy for cholecystitis using direct gallbladder indocyanine green injection fluorescence cholangiography: A case report. </w:t>
      </w:r>
      <w:r>
        <w:rPr>
          <w:rFonts w:ascii="Book Antiqua" w:eastAsia="Book Antiqua" w:hAnsi="Book Antiqua" w:cs="Book Antiqua"/>
          <w:i/>
          <w:iCs/>
          <w:color w:val="000000" w:themeColor="text1"/>
        </w:rPr>
        <w:t>Ann Med Surg (Lond)</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57</w:t>
      </w:r>
      <w:r>
        <w:rPr>
          <w:rFonts w:ascii="Book Antiqua" w:eastAsia="Book Antiqua" w:hAnsi="Book Antiqua" w:cs="Book Antiqua"/>
          <w:color w:val="000000" w:themeColor="text1"/>
        </w:rPr>
        <w:t>: 218-222 [PMID: 32793342 DOI: 10.1016/j.amsu.2020.07.057]</w:t>
      </w:r>
    </w:p>
    <w:p w14:paraId="4D735A1B"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25 </w:t>
      </w:r>
      <w:r>
        <w:rPr>
          <w:rFonts w:ascii="Book Antiqua" w:eastAsia="Book Antiqua" w:hAnsi="Book Antiqua" w:cs="Book Antiqua"/>
          <w:b/>
          <w:bCs/>
          <w:color w:val="000000" w:themeColor="text1"/>
        </w:rPr>
        <w:t>Graves C</w:t>
      </w:r>
      <w:r>
        <w:rPr>
          <w:rFonts w:ascii="Book Antiqua" w:eastAsia="Book Antiqua" w:hAnsi="Book Antiqua" w:cs="Book Antiqua"/>
          <w:color w:val="000000" w:themeColor="text1"/>
        </w:rPr>
        <w:t xml:space="preserve">, Ely S, Idowu O, Newton C, Kim S. Direct Gallbladder Indocyanine Green Injection Fluorescence Cholangiography During Laparoscopic Cholecystectomy. </w:t>
      </w:r>
      <w:r>
        <w:rPr>
          <w:rFonts w:ascii="Book Antiqua" w:eastAsia="Book Antiqua" w:hAnsi="Book Antiqua" w:cs="Book Antiqua"/>
          <w:i/>
          <w:iCs/>
          <w:color w:val="000000" w:themeColor="text1"/>
        </w:rPr>
        <w:t>J Laparoendosc Adv Surg Tech A</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27</w:t>
      </w:r>
      <w:r>
        <w:rPr>
          <w:rFonts w:ascii="Book Antiqua" w:eastAsia="Book Antiqua" w:hAnsi="Book Antiqua" w:cs="Book Antiqua"/>
          <w:color w:val="000000" w:themeColor="text1"/>
        </w:rPr>
        <w:t>: 1069-1073 [PMID: 28574801 DOI: 10.1089/lap.2017.0070]</w:t>
      </w:r>
    </w:p>
    <w:p w14:paraId="5D54A6C8"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26 </w:t>
      </w:r>
      <w:r>
        <w:rPr>
          <w:rFonts w:ascii="Book Antiqua" w:eastAsia="Book Antiqua" w:hAnsi="Book Antiqua" w:cs="Book Antiqua"/>
          <w:b/>
          <w:bCs/>
          <w:color w:val="000000" w:themeColor="text1"/>
        </w:rPr>
        <w:t>Jao ML</w:t>
      </w:r>
      <w:r>
        <w:rPr>
          <w:rFonts w:ascii="Book Antiqua" w:eastAsia="Book Antiqua" w:hAnsi="Book Antiqua" w:cs="Book Antiqua"/>
          <w:color w:val="000000" w:themeColor="text1"/>
        </w:rPr>
        <w:t xml:space="preserve">, Wang YY, Wong HP, Bachhav S, Liu KC. Intracholecystic administration of indocyanine green for fluorescent cholangiography during laparoscopic cholecystectomy-A two-case report. </w:t>
      </w:r>
      <w:r>
        <w:rPr>
          <w:rFonts w:ascii="Book Antiqua" w:eastAsia="Book Antiqua" w:hAnsi="Book Antiqua" w:cs="Book Antiqua"/>
          <w:i/>
          <w:iCs/>
          <w:color w:val="000000" w:themeColor="text1"/>
        </w:rPr>
        <w:t>Int J Surg Case Rep</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68</w:t>
      </w:r>
      <w:r>
        <w:rPr>
          <w:rFonts w:ascii="Book Antiqua" w:eastAsia="Book Antiqua" w:hAnsi="Book Antiqua" w:cs="Book Antiqua"/>
          <w:color w:val="000000" w:themeColor="text1"/>
        </w:rPr>
        <w:t>: 193-197 [PMID: 32172195 DOI: 10.1016/j.ijscr.2020.02.054]</w:t>
      </w:r>
    </w:p>
    <w:p w14:paraId="138F32DB"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lastRenderedPageBreak/>
        <w:t xml:space="preserve">27 </w:t>
      </w:r>
      <w:r>
        <w:rPr>
          <w:rFonts w:ascii="Book Antiqua" w:eastAsia="Book Antiqua" w:hAnsi="Book Antiqua" w:cs="Book Antiqua"/>
          <w:b/>
          <w:bCs/>
          <w:color w:val="000000" w:themeColor="text1"/>
        </w:rPr>
        <w:t>Okamoto K</w:t>
      </w:r>
      <w:r>
        <w:rPr>
          <w:rFonts w:ascii="Book Antiqua" w:eastAsia="Book Antiqua" w:hAnsi="Book Antiqua" w:cs="Book Antiqua"/>
          <w:color w:val="000000" w:themeColor="text1"/>
        </w:rPr>
        <w:t xml:space="preserve">, Suzuki K, Takada T, Strasberg SM, Asbun HJ, Endo I, Iwashita Y, Hibi T, Pitt HA, Umezawa A, Asai K, Han HS, Hwang TL, Mori Y, Yoon YS, Huang WS, Belli G, Dervenis C, Yokoe M, Kiriyama S, Itoi T, Jagannath P, Garden OJ, Miura F, Nakamura M, Horiguchi A, Wakabayashi G, Cherqui D, de Santibañes E, Shikata S, Noguchi Y, Ukai T, Higuchi R, Wada K, Honda G, Supe AN, Yoshida M, Mayumi T, Gouma DJ, Deziel DJ, Liau KH, Chen MF, Shibao K, Liu KH, Su CH, Chan ACW, Yoon DS, Choi IS, Jonas E, Chen XP, Fan ST, Ker CG, Giménez ME, Kitano S, Inomata M, Hirata K, Inui K, Sumiyama Y, Yamamoto M. Tokyo Guidelines 2018: flowchart for the management of acute cholecystitis. </w:t>
      </w:r>
      <w:r>
        <w:rPr>
          <w:rFonts w:ascii="Book Antiqua" w:eastAsia="Book Antiqua" w:hAnsi="Book Antiqua" w:cs="Book Antiqua"/>
          <w:i/>
          <w:iCs/>
          <w:color w:val="000000" w:themeColor="text1"/>
        </w:rPr>
        <w:t>J Hepatobiliary Pancreat Sci</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25</w:t>
      </w:r>
      <w:r>
        <w:rPr>
          <w:rFonts w:ascii="Book Antiqua" w:eastAsia="Book Antiqua" w:hAnsi="Book Antiqua" w:cs="Book Antiqua"/>
          <w:color w:val="000000" w:themeColor="text1"/>
        </w:rPr>
        <w:t>: 55-72 [PMID: 29045062 DOI: 10.1002/jhbp.516]</w:t>
      </w:r>
    </w:p>
    <w:p w14:paraId="779EBA1F"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28 </w:t>
      </w:r>
      <w:r>
        <w:rPr>
          <w:rFonts w:ascii="Book Antiqua" w:eastAsia="Book Antiqua" w:hAnsi="Book Antiqua" w:cs="Book Antiqua"/>
          <w:b/>
          <w:bCs/>
          <w:color w:val="000000" w:themeColor="text1"/>
        </w:rPr>
        <w:t>Alander JT</w:t>
      </w:r>
      <w:r>
        <w:rPr>
          <w:rFonts w:ascii="Book Antiqua" w:eastAsia="Book Antiqua" w:hAnsi="Book Antiqua" w:cs="Book Antiqua"/>
          <w:color w:val="000000" w:themeColor="text1"/>
        </w:rPr>
        <w:t xml:space="preserve">, Kaartinen I, Laakso A, Pätilä T, Spillmann T, Tuchin VV, Venermo M, Välisuo P. A review of indocyanine green fluorescent imaging in surgery. </w:t>
      </w:r>
      <w:r>
        <w:rPr>
          <w:rFonts w:ascii="Book Antiqua" w:eastAsia="Book Antiqua" w:hAnsi="Book Antiqua" w:cs="Book Antiqua"/>
          <w:i/>
          <w:iCs/>
          <w:color w:val="000000" w:themeColor="text1"/>
        </w:rPr>
        <w:t>Int J Biomed Imaging</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2012</w:t>
      </w:r>
      <w:r>
        <w:rPr>
          <w:rFonts w:ascii="Book Antiqua" w:eastAsia="Book Antiqua" w:hAnsi="Book Antiqua" w:cs="Book Antiqua"/>
          <w:color w:val="000000" w:themeColor="text1"/>
        </w:rPr>
        <w:t>: 940585 [PMID: 22577366 DOI: 10.1155/2012/940585]</w:t>
      </w:r>
    </w:p>
    <w:p w14:paraId="1F572ACE"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29 </w:t>
      </w:r>
      <w:r>
        <w:rPr>
          <w:rFonts w:ascii="Book Antiqua" w:eastAsia="Book Antiqua" w:hAnsi="Book Antiqua" w:cs="Book Antiqua"/>
          <w:b/>
          <w:bCs/>
          <w:color w:val="000000" w:themeColor="text1"/>
        </w:rPr>
        <w:t>Dip F</w:t>
      </w:r>
      <w:r>
        <w:rPr>
          <w:rFonts w:ascii="Book Antiqua" w:eastAsia="Book Antiqua" w:hAnsi="Book Antiqua" w:cs="Book Antiqua"/>
          <w:color w:val="000000" w:themeColor="text1"/>
        </w:rPr>
        <w:t xml:space="preserve">, Lo Menzo E, White KP, Rosenthal RJ. Does near-infrared fluorescent cholangiography with indocyanine green reduce bile duct injuries and conversions to open surgery during laparoscopic or robotic cholecystectomy? - A meta-analysis. </w:t>
      </w:r>
      <w:r>
        <w:rPr>
          <w:rFonts w:ascii="Book Antiqua" w:eastAsia="Book Antiqua" w:hAnsi="Book Antiqua" w:cs="Book Antiqua"/>
          <w:i/>
          <w:iCs/>
          <w:color w:val="000000" w:themeColor="text1"/>
        </w:rPr>
        <w:t>Surgery</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169</w:t>
      </w:r>
      <w:r>
        <w:rPr>
          <w:rFonts w:ascii="Book Antiqua" w:eastAsia="Book Antiqua" w:hAnsi="Book Antiqua" w:cs="Book Antiqua"/>
          <w:color w:val="000000" w:themeColor="text1"/>
        </w:rPr>
        <w:t>: 859-867 [PMID: 33478756 DOI: 10.1016/j.surg.2020.12.008]</w:t>
      </w:r>
    </w:p>
    <w:p w14:paraId="6E11D7E8"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30 </w:t>
      </w:r>
      <w:r>
        <w:rPr>
          <w:rFonts w:ascii="Book Antiqua" w:eastAsia="Book Antiqua" w:hAnsi="Book Antiqua" w:cs="Book Antiqua"/>
          <w:b/>
          <w:bCs/>
          <w:color w:val="000000" w:themeColor="text1"/>
        </w:rPr>
        <w:t>Di Maggio F,</w:t>
      </w:r>
      <w:r>
        <w:rPr>
          <w:rFonts w:ascii="Book Antiqua" w:eastAsia="Book Antiqua" w:hAnsi="Book Antiqua" w:cs="Book Antiqua"/>
          <w:color w:val="000000" w:themeColor="text1"/>
        </w:rPr>
        <w:t xml:space="preserve"> Hossain N, De Zanna A, Husain D, Bonomo L. Near-Infrared Fluorescence Cholangiography can be a Useful Adjunct during Emergency Cholecystectomies. </w:t>
      </w:r>
      <w:r>
        <w:rPr>
          <w:rFonts w:ascii="Book Antiqua" w:eastAsia="Book Antiqua" w:hAnsi="Book Antiqua" w:cs="Book Antiqua"/>
          <w:i/>
          <w:color w:val="000000" w:themeColor="text1"/>
        </w:rPr>
        <w:t>Surg Innov</w:t>
      </w:r>
      <w:r>
        <w:rPr>
          <w:rFonts w:ascii="Book Antiqua" w:eastAsia="Book Antiqua" w:hAnsi="Book Antiqua" w:cs="Book Antiqua"/>
          <w:color w:val="000000" w:themeColor="text1"/>
        </w:rPr>
        <w:t xml:space="preserve"> 2020</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1553350620958562 [PMID: 32936054</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DOI:</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10.1177/1553350620958562]</w:t>
      </w:r>
    </w:p>
    <w:p w14:paraId="3D94CC87"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31 </w:t>
      </w:r>
      <w:r>
        <w:rPr>
          <w:rFonts w:ascii="Book Antiqua" w:eastAsia="Book Antiqua" w:hAnsi="Book Antiqua" w:cs="Book Antiqua"/>
          <w:b/>
          <w:bCs/>
          <w:color w:val="000000" w:themeColor="text1"/>
        </w:rPr>
        <w:t>Daskalaki D</w:t>
      </w:r>
      <w:r>
        <w:rPr>
          <w:rFonts w:ascii="Book Antiqua" w:eastAsia="Book Antiqua" w:hAnsi="Book Antiqua" w:cs="Book Antiqua"/>
          <w:color w:val="000000" w:themeColor="text1"/>
        </w:rPr>
        <w:t xml:space="preserve">, Fernandes E, Wang X, Bianco FM, Elli EF, Ayloo S, Masrur M, Milone L, Giulianotti PC. Indocyanine green (ICG) fluorescent cholangiography during robotic cholecystectomy: results of 184 consecutive cases in a single institution. </w:t>
      </w:r>
      <w:r>
        <w:rPr>
          <w:rFonts w:ascii="Book Antiqua" w:eastAsia="Book Antiqua" w:hAnsi="Book Antiqua" w:cs="Book Antiqua"/>
          <w:i/>
          <w:iCs/>
          <w:color w:val="000000" w:themeColor="text1"/>
        </w:rPr>
        <w:t>Surg Innov</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21</w:t>
      </w:r>
      <w:r>
        <w:rPr>
          <w:rFonts w:ascii="Book Antiqua" w:eastAsia="Book Antiqua" w:hAnsi="Book Antiqua" w:cs="Book Antiqua"/>
          <w:color w:val="000000" w:themeColor="text1"/>
        </w:rPr>
        <w:t>: 615-621 [PMID: 24616013 DOI: 10.1177/1553350614524839]</w:t>
      </w:r>
    </w:p>
    <w:p w14:paraId="10772A97"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32 </w:t>
      </w:r>
      <w:r>
        <w:rPr>
          <w:rFonts w:ascii="Book Antiqua" w:eastAsia="Book Antiqua" w:hAnsi="Book Antiqua" w:cs="Book Antiqua"/>
          <w:b/>
          <w:bCs/>
          <w:color w:val="000000" w:themeColor="text1"/>
        </w:rPr>
        <w:t>Dip F</w:t>
      </w:r>
      <w:r>
        <w:rPr>
          <w:rFonts w:ascii="Book Antiqua" w:eastAsia="Book Antiqua" w:hAnsi="Book Antiqua" w:cs="Book Antiqua"/>
          <w:color w:val="000000" w:themeColor="text1"/>
        </w:rPr>
        <w:t xml:space="preserve">, LoMenzo E, Sarotto L, Phillips E, Todeschini H, Nahmod M, Alle L, Schneider S, Kaja L, Boni L, Ferraina P, Carus T, Kokudo N, Ishizawa T, Walsh M, Simpfendorfer C, Mayank R, White K, Rosenthal RJ. Randomized Trial of Near-infrared Incisionless </w:t>
      </w:r>
      <w:r>
        <w:rPr>
          <w:rFonts w:ascii="Book Antiqua" w:eastAsia="Book Antiqua" w:hAnsi="Book Antiqua" w:cs="Book Antiqua"/>
          <w:color w:val="000000" w:themeColor="text1"/>
        </w:rPr>
        <w:lastRenderedPageBreak/>
        <w:t xml:space="preserve">Fluorescent Cholangiography. </w:t>
      </w:r>
      <w:r>
        <w:rPr>
          <w:rFonts w:ascii="Book Antiqua" w:eastAsia="Book Antiqua" w:hAnsi="Book Antiqua" w:cs="Book Antiqua"/>
          <w:i/>
          <w:iCs/>
          <w:color w:val="000000" w:themeColor="text1"/>
        </w:rPr>
        <w:t>Ann Surg</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270</w:t>
      </w:r>
      <w:r>
        <w:rPr>
          <w:rFonts w:ascii="Book Antiqua" w:eastAsia="Book Antiqua" w:hAnsi="Book Antiqua" w:cs="Book Antiqua"/>
          <w:color w:val="000000" w:themeColor="text1"/>
        </w:rPr>
        <w:t>: 992-999 [PMID: 30614881 DOI: 10.1097/SLA.0000000000003178]</w:t>
      </w:r>
    </w:p>
    <w:p w14:paraId="46A9AAA3"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33 </w:t>
      </w:r>
      <w:r>
        <w:rPr>
          <w:rFonts w:ascii="Book Antiqua" w:eastAsia="Book Antiqua" w:hAnsi="Book Antiqua" w:cs="Book Antiqua"/>
          <w:b/>
          <w:bCs/>
          <w:color w:val="000000" w:themeColor="text1"/>
        </w:rPr>
        <w:t>Yoshiya S</w:t>
      </w:r>
      <w:r>
        <w:rPr>
          <w:rFonts w:ascii="Book Antiqua" w:eastAsia="Book Antiqua" w:hAnsi="Book Antiqua" w:cs="Book Antiqua"/>
          <w:color w:val="000000" w:themeColor="text1"/>
        </w:rPr>
        <w:t xml:space="preserve">, Minagawa R, Kamo K, Kasai M, Taketani K, Yukaya T, Kimura Y, Koga T, Kai M, Kajiyama K, Yoshizumi T. Usability of Intraoperative Fluorescence Imaging with Indocyanine Green During Laparoscopic Cholecystectomy After Percutaneous Transhepatic Gallbladder Drainage. </w:t>
      </w:r>
      <w:r>
        <w:rPr>
          <w:rFonts w:ascii="Book Antiqua" w:eastAsia="Book Antiqua" w:hAnsi="Book Antiqua" w:cs="Book Antiqua"/>
          <w:i/>
          <w:iCs/>
          <w:color w:val="000000" w:themeColor="text1"/>
        </w:rPr>
        <w:t>World J Surg</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43</w:t>
      </w:r>
      <w:r>
        <w:rPr>
          <w:rFonts w:ascii="Book Antiqua" w:eastAsia="Book Antiqua" w:hAnsi="Book Antiqua" w:cs="Book Antiqua"/>
          <w:color w:val="000000" w:themeColor="text1"/>
        </w:rPr>
        <w:t>: 127-133 [PMID: 30105635 DOI: 10.1007/s00268-018-4760-1]</w:t>
      </w:r>
    </w:p>
    <w:p w14:paraId="76040980"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34 </w:t>
      </w:r>
      <w:r>
        <w:rPr>
          <w:rFonts w:ascii="Book Antiqua" w:eastAsia="Book Antiqua" w:hAnsi="Book Antiqua" w:cs="Book Antiqua"/>
          <w:b/>
          <w:bCs/>
          <w:color w:val="000000" w:themeColor="text1"/>
        </w:rPr>
        <w:t>Kitamura H</w:t>
      </w:r>
      <w:r>
        <w:rPr>
          <w:rFonts w:ascii="Book Antiqua" w:eastAsia="Book Antiqua" w:hAnsi="Book Antiqua" w:cs="Book Antiqua"/>
          <w:color w:val="000000" w:themeColor="text1"/>
        </w:rPr>
        <w:t xml:space="preserve">, Tsuji T, Yamamoto D, Takahashi T, Kadoya S, Kurokawa M, Bando H. Efficiency of fluorescent cholangiography during laparoscopic cholecystectomy for subvesical bile ducts: A case report. </w:t>
      </w:r>
      <w:r>
        <w:rPr>
          <w:rFonts w:ascii="Book Antiqua" w:eastAsia="Book Antiqua" w:hAnsi="Book Antiqua" w:cs="Book Antiqua"/>
          <w:i/>
          <w:iCs/>
          <w:color w:val="000000" w:themeColor="text1"/>
        </w:rPr>
        <w:t>Int J Surg Case Rep</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57</w:t>
      </w:r>
      <w:r>
        <w:rPr>
          <w:rFonts w:ascii="Book Antiqua" w:eastAsia="Book Antiqua" w:hAnsi="Book Antiqua" w:cs="Book Antiqua"/>
          <w:color w:val="000000" w:themeColor="text1"/>
        </w:rPr>
        <w:t>: 194-196 [PMID: 30981075 DOI: 10.1016/j.ijscr.2019.03.042]</w:t>
      </w:r>
    </w:p>
    <w:p w14:paraId="13ED6EFC"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35 </w:t>
      </w:r>
      <w:r>
        <w:rPr>
          <w:rFonts w:ascii="Book Antiqua" w:eastAsia="Book Antiqua" w:hAnsi="Book Antiqua" w:cs="Book Antiqua"/>
          <w:b/>
          <w:bCs/>
          <w:color w:val="000000" w:themeColor="text1"/>
        </w:rPr>
        <w:t>Iwasaki T</w:t>
      </w:r>
      <w:r>
        <w:rPr>
          <w:rFonts w:ascii="Book Antiqua" w:eastAsia="Book Antiqua" w:hAnsi="Book Antiqua" w:cs="Book Antiqua"/>
          <w:color w:val="000000" w:themeColor="text1"/>
        </w:rPr>
        <w:t xml:space="preserve">, Takeyama Y, Yoshida Y, Kawaguchi K, Matsumoto M, Murase T, Kamei K, Takebe A, Matsumoto I, Nakai T. Identification of aberrant subvesical bile duct by using intraoperative fluorescent cholangiography: A case report. </w:t>
      </w:r>
      <w:r>
        <w:rPr>
          <w:rFonts w:ascii="Book Antiqua" w:eastAsia="Book Antiqua" w:hAnsi="Book Antiqua" w:cs="Book Antiqua"/>
          <w:i/>
          <w:iCs/>
          <w:color w:val="000000" w:themeColor="text1"/>
        </w:rPr>
        <w:t>Int J Surg Case Rep</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61</w:t>
      </w:r>
      <w:r>
        <w:rPr>
          <w:rFonts w:ascii="Book Antiqua" w:eastAsia="Book Antiqua" w:hAnsi="Book Antiqua" w:cs="Book Antiqua"/>
          <w:color w:val="000000" w:themeColor="text1"/>
        </w:rPr>
        <w:t>: 115-118 [PMID: 31357101 DOI: 10.1016/j.ijscr.2019.07.013]</w:t>
      </w:r>
    </w:p>
    <w:p w14:paraId="16C77A36"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36 </w:t>
      </w:r>
      <w:r>
        <w:rPr>
          <w:rFonts w:ascii="Book Antiqua" w:eastAsia="Book Antiqua" w:hAnsi="Book Antiqua" w:cs="Book Antiqua"/>
          <w:b/>
          <w:bCs/>
          <w:color w:val="000000" w:themeColor="text1"/>
        </w:rPr>
        <w:t>Tsuruda Y</w:t>
      </w:r>
      <w:r>
        <w:rPr>
          <w:rFonts w:ascii="Book Antiqua" w:eastAsia="Book Antiqua" w:hAnsi="Book Antiqua" w:cs="Book Antiqua"/>
          <w:color w:val="000000" w:themeColor="text1"/>
        </w:rPr>
        <w:t xml:space="preserve">, Okumura H, Setoyama T, Hiwatashi K, Minami K, Ando K, Wada M, Maenohara S, Natsugoe S. Laparoscopic cholecystectomy with aberrant bile duct detected by intraoperative fluorescent cholangiography concomitant with angiography: A case report. </w:t>
      </w:r>
      <w:r>
        <w:rPr>
          <w:rFonts w:ascii="Book Antiqua" w:eastAsia="Book Antiqua" w:hAnsi="Book Antiqua" w:cs="Book Antiqua"/>
          <w:i/>
          <w:iCs/>
          <w:color w:val="000000" w:themeColor="text1"/>
        </w:rPr>
        <w:t>Int J Surg Case Rep</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51</w:t>
      </w:r>
      <w:r>
        <w:rPr>
          <w:rFonts w:ascii="Book Antiqua" w:eastAsia="Book Antiqua" w:hAnsi="Book Antiqua" w:cs="Book Antiqua"/>
          <w:color w:val="000000" w:themeColor="text1"/>
        </w:rPr>
        <w:t>: 14-16 [PMID: 30130667 DOI: 10.1016/j.ijscr.2018.08.009]</w:t>
      </w:r>
    </w:p>
    <w:p w14:paraId="7DA83A16"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37 </w:t>
      </w:r>
      <w:r>
        <w:rPr>
          <w:rFonts w:ascii="Book Antiqua" w:eastAsia="Book Antiqua" w:hAnsi="Book Antiqua" w:cs="Book Antiqua"/>
          <w:b/>
          <w:bCs/>
          <w:color w:val="000000" w:themeColor="text1"/>
        </w:rPr>
        <w:t>Bozzay J</w:t>
      </w:r>
      <w:r>
        <w:rPr>
          <w:rFonts w:ascii="Book Antiqua" w:eastAsia="Book Antiqua" w:hAnsi="Book Antiqua" w:cs="Book Antiqua"/>
          <w:color w:val="000000" w:themeColor="text1"/>
        </w:rPr>
        <w:t xml:space="preserve">, Vicente D, Jessie EM, Rodriguez CJ. Identification of Abnormal Biliary Anatomy Utilizing Real-Time Near-Infrared Cholangiography: A Report of Two Cases. </w:t>
      </w:r>
      <w:r>
        <w:rPr>
          <w:rFonts w:ascii="Book Antiqua" w:eastAsia="Book Antiqua" w:hAnsi="Book Antiqua" w:cs="Book Antiqua"/>
          <w:i/>
          <w:iCs/>
          <w:color w:val="000000" w:themeColor="text1"/>
        </w:rPr>
        <w:t>Case Rep Gastrointest Med</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2017</w:t>
      </w:r>
      <w:r>
        <w:rPr>
          <w:rFonts w:ascii="Book Antiqua" w:eastAsia="Book Antiqua" w:hAnsi="Book Antiqua" w:cs="Book Antiqua"/>
          <w:color w:val="000000" w:themeColor="text1"/>
        </w:rPr>
        <w:t>: 8628206 [PMID: 28536662 DOI: 10.1155/2017/8628206]</w:t>
      </w:r>
    </w:p>
    <w:p w14:paraId="39C96158"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38 </w:t>
      </w:r>
      <w:r>
        <w:rPr>
          <w:rFonts w:ascii="Book Antiqua" w:eastAsia="Book Antiqua" w:hAnsi="Book Antiqua" w:cs="Book Antiqua"/>
          <w:b/>
          <w:bCs/>
          <w:color w:val="000000" w:themeColor="text1"/>
        </w:rPr>
        <w:t>Asai Y</w:t>
      </w:r>
      <w:r>
        <w:rPr>
          <w:rFonts w:ascii="Book Antiqua" w:eastAsia="Book Antiqua" w:hAnsi="Book Antiqua" w:cs="Book Antiqua"/>
          <w:color w:val="000000" w:themeColor="text1"/>
        </w:rPr>
        <w:t xml:space="preserve">, Igami T, Ebata T, Yokoyama Y, Mizuno T, Yamaguchi J, Onoe S, Watanabe N, Nagino M. Application of fluorescent cholangiography during single-incision laparoscopic cholecystectomy in the cystohepatic duct without preoperative diagnosis. </w:t>
      </w:r>
      <w:r>
        <w:rPr>
          <w:rFonts w:ascii="Book Antiqua" w:eastAsia="Book Antiqua" w:hAnsi="Book Antiqua" w:cs="Book Antiqua"/>
          <w:i/>
          <w:iCs/>
          <w:color w:val="000000" w:themeColor="text1"/>
        </w:rPr>
        <w:t>ANZ J Surg</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91</w:t>
      </w:r>
      <w:r>
        <w:rPr>
          <w:rFonts w:ascii="Book Antiqua" w:eastAsia="Book Antiqua" w:hAnsi="Book Antiqua" w:cs="Book Antiqua"/>
          <w:color w:val="000000" w:themeColor="text1"/>
        </w:rPr>
        <w:t>: 470-472 [PMID: 32681758 DOI: 10.1111/ans.16162]</w:t>
      </w:r>
    </w:p>
    <w:p w14:paraId="7DA8307A"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lastRenderedPageBreak/>
        <w:t xml:space="preserve">39 </w:t>
      </w:r>
      <w:r>
        <w:rPr>
          <w:rFonts w:ascii="Book Antiqua" w:eastAsia="Book Antiqua" w:hAnsi="Book Antiqua" w:cs="Book Antiqua"/>
          <w:b/>
          <w:bCs/>
          <w:color w:val="000000" w:themeColor="text1"/>
        </w:rPr>
        <w:t>Kim NS</w:t>
      </w:r>
      <w:r>
        <w:rPr>
          <w:rFonts w:ascii="Book Antiqua" w:eastAsia="Book Antiqua" w:hAnsi="Book Antiqua" w:cs="Book Antiqua"/>
          <w:color w:val="000000" w:themeColor="text1"/>
        </w:rPr>
        <w:t xml:space="preserve">, Jin HY, Kim EY, Hong TH. Cystic duct variation detected by near-infrared fluorescent cholangiography during laparoscopic cholecystectomy. </w:t>
      </w:r>
      <w:r>
        <w:rPr>
          <w:rFonts w:ascii="Book Antiqua" w:eastAsia="Book Antiqua" w:hAnsi="Book Antiqua" w:cs="Book Antiqua"/>
          <w:i/>
          <w:iCs/>
          <w:color w:val="000000" w:themeColor="text1"/>
        </w:rPr>
        <w:t>Ann Surg Treat Res</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92</w:t>
      </w:r>
      <w:r>
        <w:rPr>
          <w:rFonts w:ascii="Book Antiqua" w:eastAsia="Book Antiqua" w:hAnsi="Book Antiqua" w:cs="Book Antiqua"/>
          <w:color w:val="000000" w:themeColor="text1"/>
        </w:rPr>
        <w:t>: 47-50 [PMID: 28090506 DOI: 10.4174/astr.2017.92.1.47]</w:t>
      </w:r>
    </w:p>
    <w:p w14:paraId="3858AB69"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40 </w:t>
      </w:r>
      <w:r>
        <w:rPr>
          <w:rFonts w:ascii="Book Antiqua" w:eastAsia="Book Antiqua" w:hAnsi="Book Antiqua" w:cs="Book Antiqua"/>
          <w:b/>
          <w:bCs/>
          <w:color w:val="000000" w:themeColor="text1"/>
        </w:rPr>
        <w:t>Naganuma S</w:t>
      </w:r>
      <w:r>
        <w:rPr>
          <w:rFonts w:ascii="Book Antiqua" w:eastAsia="Book Antiqua" w:hAnsi="Book Antiqua" w:cs="Book Antiqua"/>
          <w:color w:val="000000" w:themeColor="text1"/>
        </w:rPr>
        <w:t xml:space="preserve">, Ishida H, Konno K, Hamashima Y, Hoshino T, Naganuma H, Komatsuda T, Ohyama Y, Yamada N, Ishida J, Masamune O. Sonographic findings of anomalous position of the gallbladder. </w:t>
      </w:r>
      <w:r>
        <w:rPr>
          <w:rFonts w:ascii="Book Antiqua" w:eastAsia="Book Antiqua" w:hAnsi="Book Antiqua" w:cs="Book Antiqua"/>
          <w:i/>
          <w:iCs/>
          <w:color w:val="000000" w:themeColor="text1"/>
        </w:rPr>
        <w:t>Abdom Imaging</w:t>
      </w:r>
      <w:r>
        <w:rPr>
          <w:rFonts w:ascii="Book Antiqua" w:eastAsia="Book Antiqua" w:hAnsi="Book Antiqua" w:cs="Book Antiqua"/>
          <w:color w:val="000000" w:themeColor="text1"/>
        </w:rPr>
        <w:t xml:space="preserve"> 1998;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67-72 [PMID: 9437066 DOI: 10.1007/s002619900287]</w:t>
      </w:r>
    </w:p>
    <w:p w14:paraId="3CB4B4FC"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41 </w:t>
      </w:r>
      <w:r>
        <w:rPr>
          <w:rFonts w:ascii="Book Antiqua" w:eastAsia="Book Antiqua" w:hAnsi="Book Antiqua" w:cs="Book Antiqua"/>
          <w:b/>
          <w:bCs/>
          <w:color w:val="000000" w:themeColor="text1"/>
        </w:rPr>
        <w:t>Nojiri M</w:t>
      </w:r>
      <w:r>
        <w:rPr>
          <w:rFonts w:ascii="Book Antiqua" w:eastAsia="Book Antiqua" w:hAnsi="Book Antiqua" w:cs="Book Antiqua"/>
          <w:color w:val="000000" w:themeColor="text1"/>
        </w:rPr>
        <w:t xml:space="preserve">, Igami T, Toyoda Y, Ebata T, Yokoyama Y, Sugawara G, Mizuno T, Yamaguchi J, Nagino M. Application of fluorescent cholangiography during single-incision laparoscopic cholecystectomy for cholecystitis with a right-sided round ligament: Preliminary experience. </w:t>
      </w:r>
      <w:r>
        <w:rPr>
          <w:rFonts w:ascii="Book Antiqua" w:eastAsia="Book Antiqua" w:hAnsi="Book Antiqua" w:cs="Book Antiqua"/>
          <w:i/>
          <w:iCs/>
          <w:color w:val="000000" w:themeColor="text1"/>
        </w:rPr>
        <w:t>J Minim Access Surg</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14</w:t>
      </w:r>
      <w:r>
        <w:rPr>
          <w:rFonts w:ascii="Book Antiqua" w:eastAsia="Book Antiqua" w:hAnsi="Book Antiqua" w:cs="Book Antiqua"/>
          <w:color w:val="000000" w:themeColor="text1"/>
        </w:rPr>
        <w:t>: 244-246 [PMID: 29226884 DOI: 10.4103/jmas.JMAS_159_17]</w:t>
      </w:r>
    </w:p>
    <w:p w14:paraId="7B8FF937"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42 </w:t>
      </w:r>
      <w:r>
        <w:rPr>
          <w:rFonts w:ascii="Book Antiqua" w:eastAsia="Book Antiqua" w:hAnsi="Book Antiqua" w:cs="Book Antiqua"/>
          <w:b/>
          <w:bCs/>
          <w:color w:val="000000" w:themeColor="text1"/>
        </w:rPr>
        <w:t>Shanmugam V</w:t>
      </w:r>
      <w:r>
        <w:rPr>
          <w:rFonts w:ascii="Book Antiqua" w:eastAsia="Book Antiqua" w:hAnsi="Book Antiqua" w:cs="Book Antiqua"/>
          <w:color w:val="000000" w:themeColor="text1"/>
        </w:rPr>
        <w:t xml:space="preserve">, Beattie GC, Yule SR, Reid W, Loudon MA. Is magnetic resonance cholangiopancreatography the new gold standard in biliary imaging? </w:t>
      </w:r>
      <w:r>
        <w:rPr>
          <w:rFonts w:ascii="Book Antiqua" w:eastAsia="Book Antiqua" w:hAnsi="Book Antiqua" w:cs="Book Antiqua"/>
          <w:i/>
          <w:iCs/>
          <w:color w:val="000000" w:themeColor="text1"/>
        </w:rPr>
        <w:t>Br J Radiol</w:t>
      </w:r>
      <w:r>
        <w:rPr>
          <w:rFonts w:ascii="Book Antiqua" w:eastAsia="Book Antiqua" w:hAnsi="Book Antiqua" w:cs="Book Antiqua"/>
          <w:color w:val="000000" w:themeColor="text1"/>
        </w:rPr>
        <w:t xml:space="preserve"> 2005; </w:t>
      </w:r>
      <w:r>
        <w:rPr>
          <w:rFonts w:ascii="Book Antiqua" w:eastAsia="Book Antiqua" w:hAnsi="Book Antiqua" w:cs="Book Antiqua"/>
          <w:b/>
          <w:bCs/>
          <w:color w:val="000000" w:themeColor="text1"/>
        </w:rPr>
        <w:t>78</w:t>
      </w:r>
      <w:r>
        <w:rPr>
          <w:rFonts w:ascii="Book Antiqua" w:eastAsia="Book Antiqua" w:hAnsi="Book Antiqua" w:cs="Book Antiqua"/>
          <w:color w:val="000000" w:themeColor="text1"/>
        </w:rPr>
        <w:t>: 888-893 [PMID: 16177010 DOI: 10.1259/bjr/51075444]</w:t>
      </w:r>
    </w:p>
    <w:p w14:paraId="5D58B2BB"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43 </w:t>
      </w:r>
      <w:r>
        <w:rPr>
          <w:rFonts w:ascii="Book Antiqua" w:eastAsia="Book Antiqua" w:hAnsi="Book Antiqua" w:cs="Book Antiqua"/>
          <w:b/>
          <w:bCs/>
          <w:color w:val="000000" w:themeColor="text1"/>
        </w:rPr>
        <w:t>Griffin N</w:t>
      </w:r>
      <w:r>
        <w:rPr>
          <w:rFonts w:ascii="Book Antiqua" w:eastAsia="Book Antiqua" w:hAnsi="Book Antiqua" w:cs="Book Antiqua"/>
          <w:color w:val="000000" w:themeColor="text1"/>
        </w:rPr>
        <w:t xml:space="preserve">, Charles-Edwards G, Grant LA. Magnetic resonance cholangiopancreatography: the ABC of MRCP. </w:t>
      </w:r>
      <w:r>
        <w:rPr>
          <w:rFonts w:ascii="Book Antiqua" w:eastAsia="Book Antiqua" w:hAnsi="Book Antiqua" w:cs="Book Antiqua"/>
          <w:i/>
          <w:iCs/>
          <w:color w:val="000000" w:themeColor="text1"/>
        </w:rPr>
        <w:t>Insights Imaging</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3</w:t>
      </w:r>
      <w:r>
        <w:rPr>
          <w:rFonts w:ascii="Book Antiqua" w:eastAsia="Book Antiqua" w:hAnsi="Book Antiqua" w:cs="Book Antiqua"/>
          <w:color w:val="000000" w:themeColor="text1"/>
        </w:rPr>
        <w:t>: 11-21 [PMID: 22695995 DOI: 10.1007/s13244-011-0129-9]</w:t>
      </w:r>
    </w:p>
    <w:p w14:paraId="2ECDA499"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44 </w:t>
      </w:r>
      <w:r>
        <w:rPr>
          <w:rFonts w:ascii="Book Antiqua" w:eastAsia="Book Antiqua" w:hAnsi="Book Antiqua" w:cs="Book Antiqua"/>
          <w:b/>
          <w:bCs/>
          <w:color w:val="000000" w:themeColor="text1"/>
        </w:rPr>
        <w:t>Pesce A</w:t>
      </w:r>
      <w:r>
        <w:rPr>
          <w:rFonts w:ascii="Book Antiqua" w:eastAsia="Book Antiqua" w:hAnsi="Book Antiqua" w:cs="Book Antiqua"/>
          <w:color w:val="000000" w:themeColor="text1"/>
        </w:rPr>
        <w:t xml:space="preserve">, La Greca G, Esposto Ultimo L, Basile A, Puleo S, Palmucci S. Effectiveness of near-infrared fluorescent cholangiography in the identification of cystic duct-common hepatic duct anatomy in comparison to magnetic resonance cholangio-pancreatography: a preliminary study.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34</w:t>
      </w:r>
      <w:r>
        <w:rPr>
          <w:rFonts w:ascii="Book Antiqua" w:eastAsia="Book Antiqua" w:hAnsi="Book Antiqua" w:cs="Book Antiqua"/>
          <w:color w:val="000000" w:themeColor="text1"/>
        </w:rPr>
        <w:t>: 2715-2721 [PMID: 31598878 DOI: 10.1007/s00464-019-07158-2]</w:t>
      </w:r>
    </w:p>
    <w:p w14:paraId="2230544E"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45 </w:t>
      </w:r>
      <w:r>
        <w:rPr>
          <w:rFonts w:ascii="Book Antiqua" w:eastAsia="Book Antiqua" w:hAnsi="Book Antiqua" w:cs="Book Antiqua"/>
          <w:b/>
          <w:bCs/>
          <w:color w:val="000000" w:themeColor="text1"/>
        </w:rPr>
        <w:t>Diana M</w:t>
      </w:r>
      <w:r>
        <w:rPr>
          <w:rFonts w:ascii="Book Antiqua" w:eastAsia="Book Antiqua" w:hAnsi="Book Antiqua" w:cs="Book Antiqua"/>
          <w:color w:val="000000" w:themeColor="text1"/>
        </w:rPr>
        <w:t xml:space="preserve">, Soler L, Agnus V, D'Urso A, Vix M, Dallemagne B, Faucher V, Roy C, Mutter D, Marescaux J, Pessaux P. Prospective Evaluation of Precision Multimodal Gallbladder Surgery Navigation: Virtual Reality, Near-infrared Fluorescence, and X-ray-based Intraoperative Cholangiography. </w:t>
      </w:r>
      <w:r>
        <w:rPr>
          <w:rFonts w:ascii="Book Antiqua" w:eastAsia="Book Antiqua" w:hAnsi="Book Antiqua" w:cs="Book Antiqua"/>
          <w:i/>
          <w:iCs/>
          <w:color w:val="000000" w:themeColor="text1"/>
        </w:rPr>
        <w:t>Ann Surg</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266</w:t>
      </w:r>
      <w:r>
        <w:rPr>
          <w:rFonts w:ascii="Book Antiqua" w:eastAsia="Book Antiqua" w:hAnsi="Book Antiqua" w:cs="Book Antiqua"/>
          <w:color w:val="000000" w:themeColor="text1"/>
        </w:rPr>
        <w:t>: 890-897 [PMID: 28742709 DOI: 10.1097/SLA.0000000000002400]</w:t>
      </w:r>
    </w:p>
    <w:p w14:paraId="331EFC31"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lastRenderedPageBreak/>
        <w:t xml:space="preserve">46 </w:t>
      </w:r>
      <w:r>
        <w:rPr>
          <w:rFonts w:ascii="Book Antiqua" w:eastAsia="Book Antiqua" w:hAnsi="Book Antiqua" w:cs="Book Antiqua"/>
          <w:b/>
          <w:bCs/>
          <w:color w:val="000000" w:themeColor="text1"/>
        </w:rPr>
        <w:t>Hiwatashi K</w:t>
      </w:r>
      <w:r>
        <w:rPr>
          <w:rFonts w:ascii="Book Antiqua" w:eastAsia="Book Antiqua" w:hAnsi="Book Antiqua" w:cs="Book Antiqua"/>
          <w:color w:val="000000" w:themeColor="text1"/>
        </w:rPr>
        <w:t xml:space="preserve">, Okumura H, Setoyama T, Ando K, Ogura Y, Aridome K, Maenohara S, Natsugoe S. Evaluation of laparoscopic cholecystectomy using indocyanine green cholangiography including cholecystitis: A retrospective study. </w:t>
      </w:r>
      <w:r>
        <w:rPr>
          <w:rFonts w:ascii="Book Antiqua" w:eastAsia="Book Antiqua" w:hAnsi="Book Antiqua" w:cs="Book Antiqua"/>
          <w:i/>
          <w:iCs/>
          <w:color w:val="000000" w:themeColor="text1"/>
        </w:rPr>
        <w:t>Medicine (Baltimore)</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97</w:t>
      </w:r>
      <w:r>
        <w:rPr>
          <w:rFonts w:ascii="Book Antiqua" w:eastAsia="Book Antiqua" w:hAnsi="Book Antiqua" w:cs="Book Antiqua"/>
          <w:color w:val="000000" w:themeColor="text1"/>
        </w:rPr>
        <w:t>: e11654 [PMID: 30045318 DOI: 10.1097/MD.0000000000011654]</w:t>
      </w:r>
    </w:p>
    <w:p w14:paraId="46BDC50F"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47 </w:t>
      </w:r>
      <w:r>
        <w:rPr>
          <w:rFonts w:ascii="Book Antiqua" w:eastAsia="Book Antiqua" w:hAnsi="Book Antiqua" w:cs="Book Antiqua"/>
          <w:b/>
          <w:bCs/>
          <w:color w:val="000000" w:themeColor="text1"/>
        </w:rPr>
        <w:t>Pesce A</w:t>
      </w:r>
      <w:r>
        <w:rPr>
          <w:rFonts w:ascii="Book Antiqua" w:eastAsia="Book Antiqua" w:hAnsi="Book Antiqua" w:cs="Book Antiqua"/>
          <w:color w:val="000000" w:themeColor="text1"/>
        </w:rPr>
        <w:t xml:space="preserve">, Latteri S, Barchitta M, Portale TR, Di Stefano B, Agodi A, Russello D, Puleo S, La Greca G. Near-infrared fluorescent cholangiography - real-time visualization of the biliary tree during elective laparoscopic cholecystectomy. </w:t>
      </w:r>
      <w:r>
        <w:rPr>
          <w:rFonts w:ascii="Book Antiqua" w:eastAsia="Book Antiqua" w:hAnsi="Book Antiqua" w:cs="Book Antiqua"/>
          <w:i/>
          <w:iCs/>
          <w:color w:val="000000" w:themeColor="text1"/>
        </w:rPr>
        <w:t>HPB (Oxford)</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20</w:t>
      </w:r>
      <w:r>
        <w:rPr>
          <w:rFonts w:ascii="Book Antiqua" w:eastAsia="Book Antiqua" w:hAnsi="Book Antiqua" w:cs="Book Antiqua"/>
          <w:color w:val="000000" w:themeColor="text1"/>
        </w:rPr>
        <w:t>: 538-545 [PMID: 29292071 DOI: 10.1016/j.hpb.2017.11.013]</w:t>
      </w:r>
    </w:p>
    <w:p w14:paraId="793DA172"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48 </w:t>
      </w:r>
      <w:r>
        <w:rPr>
          <w:rFonts w:ascii="Book Antiqua" w:eastAsia="Book Antiqua" w:hAnsi="Book Antiqua" w:cs="Book Antiqua"/>
          <w:b/>
          <w:bCs/>
          <w:color w:val="000000" w:themeColor="text1"/>
        </w:rPr>
        <w:t>Pesce A</w:t>
      </w:r>
      <w:r>
        <w:rPr>
          <w:rFonts w:ascii="Book Antiqua" w:eastAsia="Book Antiqua" w:hAnsi="Book Antiqua" w:cs="Book Antiqua"/>
          <w:color w:val="000000" w:themeColor="text1"/>
        </w:rPr>
        <w:t xml:space="preserve">, Diana M. Critical View of Safety During Laparoscopic Cholecystectomy: From the Surgeon's Eye to Fluorescent Vision. </w:t>
      </w:r>
      <w:r>
        <w:rPr>
          <w:rFonts w:ascii="Book Antiqua" w:eastAsia="Book Antiqua" w:hAnsi="Book Antiqua" w:cs="Book Antiqua"/>
          <w:i/>
          <w:iCs/>
          <w:color w:val="000000" w:themeColor="text1"/>
        </w:rPr>
        <w:t>Surg Innov</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25</w:t>
      </w:r>
      <w:r>
        <w:rPr>
          <w:rFonts w:ascii="Book Antiqua" w:eastAsia="Book Antiqua" w:hAnsi="Book Antiqua" w:cs="Book Antiqua"/>
          <w:color w:val="000000" w:themeColor="text1"/>
        </w:rPr>
        <w:t>: 197-198 [PMID: 29557253 DOI: 10.1177/1553350618763200]</w:t>
      </w:r>
    </w:p>
    <w:p w14:paraId="4C6779D1"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49 </w:t>
      </w:r>
      <w:r>
        <w:rPr>
          <w:rFonts w:ascii="Book Antiqua" w:eastAsia="Book Antiqua" w:hAnsi="Book Antiqua" w:cs="Book Antiqua"/>
          <w:b/>
          <w:bCs/>
          <w:color w:val="000000" w:themeColor="text1"/>
        </w:rPr>
        <w:t>Dip FD</w:t>
      </w:r>
      <w:r>
        <w:rPr>
          <w:rFonts w:ascii="Book Antiqua" w:eastAsia="Book Antiqua" w:hAnsi="Book Antiqua" w:cs="Book Antiqua"/>
          <w:color w:val="000000" w:themeColor="text1"/>
        </w:rPr>
        <w:t xml:space="preserve">, Asbun D, Rosales-Velderrain A, Lo Menzo E, Simpfendorfer CH, Szomstein S, Rosenthal RJ. Cost analysis and effectiveness comparing the routine use of intraoperative fluorescent cholangiography with fluoroscopic cholangiogram in patients undergoing laparoscopic cholecystectomy.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28</w:t>
      </w:r>
      <w:r>
        <w:rPr>
          <w:rFonts w:ascii="Book Antiqua" w:eastAsia="Book Antiqua" w:hAnsi="Book Antiqua" w:cs="Book Antiqua"/>
          <w:color w:val="000000" w:themeColor="text1"/>
        </w:rPr>
        <w:t>: 1838-1843 [PMID: 24414461 DOI: 10.1007/s00464-013-3394-5]</w:t>
      </w:r>
    </w:p>
    <w:p w14:paraId="38B913E1"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50 </w:t>
      </w:r>
      <w:r>
        <w:rPr>
          <w:rFonts w:ascii="Book Antiqua" w:eastAsia="Book Antiqua" w:hAnsi="Book Antiqua" w:cs="Book Antiqua"/>
          <w:b/>
          <w:bCs/>
          <w:color w:val="000000" w:themeColor="text1"/>
        </w:rPr>
        <w:t>Lehrskov LL</w:t>
      </w:r>
      <w:r>
        <w:rPr>
          <w:rFonts w:ascii="Book Antiqua" w:eastAsia="Book Antiqua" w:hAnsi="Book Antiqua" w:cs="Book Antiqua"/>
          <w:color w:val="000000" w:themeColor="text1"/>
        </w:rPr>
        <w:t xml:space="preserve">, Westen M, Larsen SS, Jensen AB, Kristensen BB, Bisgaard T. Fluorescence or X-ray cholangiography in elective laparoscopic cholecystectomy: a randomized clinical trial. </w:t>
      </w:r>
      <w:r>
        <w:rPr>
          <w:rFonts w:ascii="Book Antiqua" w:eastAsia="Book Antiqua" w:hAnsi="Book Antiqua" w:cs="Book Antiqua"/>
          <w:i/>
          <w:iCs/>
          <w:color w:val="000000" w:themeColor="text1"/>
        </w:rPr>
        <w:t>Br J Surg</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107</w:t>
      </w:r>
      <w:r>
        <w:rPr>
          <w:rFonts w:ascii="Book Antiqua" w:eastAsia="Book Antiqua" w:hAnsi="Book Antiqua" w:cs="Book Antiqua"/>
          <w:color w:val="000000" w:themeColor="text1"/>
        </w:rPr>
        <w:t>: 655-661 [PMID: 32057103 DOI: 10.1002/bjs.11510]</w:t>
      </w:r>
    </w:p>
    <w:p w14:paraId="2F3C671F"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51 </w:t>
      </w:r>
      <w:r>
        <w:rPr>
          <w:rFonts w:ascii="Book Antiqua" w:eastAsia="Book Antiqua" w:hAnsi="Book Antiqua" w:cs="Book Antiqua"/>
          <w:b/>
          <w:bCs/>
          <w:color w:val="000000" w:themeColor="text1"/>
        </w:rPr>
        <w:t>Lim SH</w:t>
      </w:r>
      <w:r>
        <w:rPr>
          <w:rFonts w:ascii="Book Antiqua" w:eastAsia="Book Antiqua" w:hAnsi="Book Antiqua" w:cs="Book Antiqua"/>
          <w:color w:val="000000" w:themeColor="text1"/>
        </w:rPr>
        <w:t xml:space="preserve">, Tan HTA, Shelat VG. Comparison of indocyanine green dye fluorescent cholangiography with intra-operative cholangiography in laparoscopic cholecystectomy: a meta-analysis.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35</w:t>
      </w:r>
      <w:r>
        <w:rPr>
          <w:rFonts w:ascii="Book Antiqua" w:eastAsia="Book Antiqua" w:hAnsi="Book Antiqua" w:cs="Book Antiqua"/>
          <w:color w:val="000000" w:themeColor="text1"/>
        </w:rPr>
        <w:t>: 1511-1520 [PMID: 33398590 DOI: 10.1007/s00464-020-08164-5]</w:t>
      </w:r>
    </w:p>
    <w:p w14:paraId="3B4CD592"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52 </w:t>
      </w:r>
      <w:r>
        <w:rPr>
          <w:rFonts w:ascii="Book Antiqua" w:eastAsia="Book Antiqua" w:hAnsi="Book Antiqua" w:cs="Book Antiqua"/>
          <w:b/>
          <w:bCs/>
          <w:color w:val="000000" w:themeColor="text1"/>
        </w:rPr>
        <w:t>Dip F</w:t>
      </w:r>
      <w:r>
        <w:rPr>
          <w:rFonts w:ascii="Book Antiqua" w:eastAsia="Book Antiqua" w:hAnsi="Book Antiqua" w:cs="Book Antiqua"/>
          <w:color w:val="000000" w:themeColor="text1"/>
        </w:rPr>
        <w:t xml:space="preserve">, Roy M, Lo Menzo E, Simpfendorfer C, Szomstein S, Rosenthal RJ. Routine use of fluorescent incisionless cholangiography as a new imaging modality during laparoscopic cholecystectomy.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29</w:t>
      </w:r>
      <w:r>
        <w:rPr>
          <w:rFonts w:ascii="Book Antiqua" w:eastAsia="Book Antiqua" w:hAnsi="Book Antiqua" w:cs="Book Antiqua"/>
          <w:color w:val="000000" w:themeColor="text1"/>
        </w:rPr>
        <w:t>: 1621-1626 [PMID: 25277476 DOI: 10.1007/s00464-014-3853-7]</w:t>
      </w:r>
    </w:p>
    <w:p w14:paraId="0DAA1C8E"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lastRenderedPageBreak/>
        <w:t xml:space="preserve">53 </w:t>
      </w:r>
      <w:r>
        <w:rPr>
          <w:rFonts w:ascii="Book Antiqua" w:eastAsia="Book Antiqua" w:hAnsi="Book Antiqua" w:cs="Book Antiqua"/>
          <w:b/>
          <w:bCs/>
          <w:color w:val="000000" w:themeColor="text1"/>
        </w:rPr>
        <w:t>Quaresima S,</w:t>
      </w:r>
      <w:r>
        <w:rPr>
          <w:rFonts w:ascii="Book Antiqua" w:eastAsia="Book Antiqua" w:hAnsi="Book Antiqua" w:cs="Book Antiqua"/>
          <w:color w:val="000000" w:themeColor="text1"/>
        </w:rPr>
        <w:t xml:space="preserve"> Balla A, Palmieri L, Seitaj A, Fingerhut A, Ursi P, Paganini AM. Routine near infra-red indocyanine green fluorescent cholangiography vs intraoperative cholangiography during laparoscopic cholecystectomy: a case-matched comparison.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34</w:t>
      </w:r>
      <w:r>
        <w:rPr>
          <w:rFonts w:ascii="Book Antiqua" w:eastAsia="Book Antiqua" w:hAnsi="Book Antiqua" w:cs="Book Antiqua"/>
          <w:color w:val="000000" w:themeColor="text1"/>
        </w:rPr>
        <w:t>: 1959-1967 [PMID: 31309307 DOI: 10.1007/s00464-019-06970-0]</w:t>
      </w:r>
    </w:p>
    <w:p w14:paraId="5216373F"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54 </w:t>
      </w:r>
      <w:r>
        <w:rPr>
          <w:rFonts w:ascii="Book Antiqua" w:eastAsia="Book Antiqua" w:hAnsi="Book Antiqua" w:cs="Book Antiqua"/>
          <w:b/>
          <w:bCs/>
          <w:color w:val="000000" w:themeColor="text1"/>
        </w:rPr>
        <w:t>Osayi SN</w:t>
      </w:r>
      <w:r>
        <w:rPr>
          <w:rFonts w:ascii="Book Antiqua" w:eastAsia="Book Antiqua" w:hAnsi="Book Antiqua" w:cs="Book Antiqua"/>
          <w:color w:val="000000" w:themeColor="text1"/>
        </w:rPr>
        <w:t xml:space="preserve">, Wendling MR, Drosdeck JM, Chaudhry UI, Perry KA, Noria SF, Mikami DJ, Needleman BJ, Muscarella P 2nd, Abdel-Rasoul M, Renton DB, Melvin WS, Hazey JW, Narula VK. Near-infrared fluorescent cholangiography facilitates identification of biliary anatomy during laparoscopic cholecystectomy.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29</w:t>
      </w:r>
      <w:r>
        <w:rPr>
          <w:rFonts w:ascii="Book Antiqua" w:eastAsia="Book Antiqua" w:hAnsi="Book Antiqua" w:cs="Book Antiqua"/>
          <w:color w:val="000000" w:themeColor="text1"/>
        </w:rPr>
        <w:t>: 368-375 [PMID: 24986018 DOI: 10.1007/s00464-014-3677-5]</w:t>
      </w:r>
    </w:p>
    <w:p w14:paraId="3952468D"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55 </w:t>
      </w:r>
      <w:r>
        <w:rPr>
          <w:rFonts w:ascii="Book Antiqua" w:eastAsia="Book Antiqua" w:hAnsi="Book Antiqua" w:cs="Book Antiqua"/>
          <w:b/>
          <w:bCs/>
          <w:color w:val="000000" w:themeColor="text1"/>
        </w:rPr>
        <w:t>Buchs NC</w:t>
      </w:r>
      <w:r>
        <w:rPr>
          <w:rFonts w:ascii="Book Antiqua" w:eastAsia="Book Antiqua" w:hAnsi="Book Antiqua" w:cs="Book Antiqua"/>
          <w:color w:val="000000" w:themeColor="text1"/>
        </w:rPr>
        <w:t xml:space="preserve">, Pugin F, Azagury DE, Jung M, Volonte F, Hagen ME, Morel P. Real-time near-infrared fluorescent cholangiography could shorten operative time during robotic single-site cholecystectomy.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27</w:t>
      </w:r>
      <w:r>
        <w:rPr>
          <w:rFonts w:ascii="Book Antiqua" w:eastAsia="Book Antiqua" w:hAnsi="Book Antiqua" w:cs="Book Antiqua"/>
          <w:color w:val="000000" w:themeColor="text1"/>
        </w:rPr>
        <w:t>: 3897-3901 [PMID: 23670747 DOI: 10.1007/s00464-013-3005-5]</w:t>
      </w:r>
    </w:p>
    <w:p w14:paraId="246960D2"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56 </w:t>
      </w:r>
      <w:r>
        <w:rPr>
          <w:rFonts w:ascii="Book Antiqua" w:eastAsia="Book Antiqua" w:hAnsi="Book Antiqua" w:cs="Book Antiqua"/>
          <w:b/>
          <w:bCs/>
          <w:color w:val="000000" w:themeColor="text1"/>
        </w:rPr>
        <w:t>Aoki T</w:t>
      </w:r>
      <w:r>
        <w:rPr>
          <w:rFonts w:ascii="Book Antiqua" w:eastAsia="Book Antiqua" w:hAnsi="Book Antiqua" w:cs="Book Antiqua"/>
          <w:color w:val="000000" w:themeColor="text1"/>
        </w:rPr>
        <w:t xml:space="preserve">, Murakami M, Yasuda D, Shimizu Y, Kusano T, Matsuda K, Niiya T, Kato H, Murai N, Otsuka K, Kusano M, Kato T. Intraoperative fluorescent imaging using indocyanine green for liver mapping and cholangiography. </w:t>
      </w:r>
      <w:r>
        <w:rPr>
          <w:rFonts w:ascii="Book Antiqua" w:eastAsia="Book Antiqua" w:hAnsi="Book Antiqua" w:cs="Book Antiqua"/>
          <w:i/>
          <w:iCs/>
          <w:color w:val="000000" w:themeColor="text1"/>
        </w:rPr>
        <w:t>J Hepatobiliary Pancreat Sci</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590-594 [PMID: 19844652 DOI: 10.1007/s00534-009-0197-0]</w:t>
      </w:r>
    </w:p>
    <w:p w14:paraId="79B42AB5"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57 </w:t>
      </w:r>
      <w:r>
        <w:rPr>
          <w:rFonts w:ascii="Book Antiqua" w:eastAsia="Book Antiqua" w:hAnsi="Book Antiqua" w:cs="Book Antiqua"/>
          <w:b/>
          <w:bCs/>
          <w:color w:val="000000" w:themeColor="text1"/>
        </w:rPr>
        <w:t>Vlek SL</w:t>
      </w:r>
      <w:r>
        <w:rPr>
          <w:rFonts w:ascii="Book Antiqua" w:eastAsia="Book Antiqua" w:hAnsi="Book Antiqua" w:cs="Book Antiqua"/>
          <w:color w:val="000000" w:themeColor="text1"/>
        </w:rPr>
        <w:t xml:space="preserve">, van Dam DA, Rubinstein SM, de Lange-de Klerk ESM, Schoonmade LJ, Tuynman JB, Meijerink WJHJ, Ankersmit M. Biliary tract visualization using near-infrared imaging with indocyanine green during laparoscopic cholecystectomy: results of a systematic review.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31</w:t>
      </w:r>
      <w:r>
        <w:rPr>
          <w:rFonts w:ascii="Book Antiqua" w:eastAsia="Book Antiqua" w:hAnsi="Book Antiqua" w:cs="Book Antiqua"/>
          <w:color w:val="000000" w:themeColor="text1"/>
        </w:rPr>
        <w:t>: 2731-2742 [PMID: 27844236 DOI: 10.1007/s00464-016-5318-7]</w:t>
      </w:r>
    </w:p>
    <w:p w14:paraId="0FD75A77"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58 </w:t>
      </w:r>
      <w:r>
        <w:rPr>
          <w:rFonts w:ascii="Book Antiqua" w:eastAsia="Book Antiqua" w:hAnsi="Book Antiqua" w:cs="Book Antiqua"/>
          <w:b/>
          <w:bCs/>
          <w:color w:val="000000" w:themeColor="text1"/>
        </w:rPr>
        <w:t>Dip F</w:t>
      </w:r>
      <w:r>
        <w:rPr>
          <w:rFonts w:ascii="Book Antiqua" w:eastAsia="Book Antiqua" w:hAnsi="Book Antiqua" w:cs="Book Antiqua"/>
          <w:color w:val="000000" w:themeColor="text1"/>
        </w:rPr>
        <w:t xml:space="preserve">, Nguyen D, Montorfano L, Szretter Noste ME, Lo Menzo E, Simpfendorfer C, Szomstein S, Rosenthal R. Accuracy of Near Infrared-Guided Surgery in Morbidly Obese Subjects Undergoing Laparoscopic Cholecystectomy. </w:t>
      </w:r>
      <w:r>
        <w:rPr>
          <w:rFonts w:ascii="Book Antiqua" w:eastAsia="Book Antiqua" w:hAnsi="Book Antiqua" w:cs="Book Antiqua"/>
          <w:i/>
          <w:iCs/>
          <w:color w:val="000000" w:themeColor="text1"/>
        </w:rPr>
        <w:t>Obes Surg</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26</w:t>
      </w:r>
      <w:r>
        <w:rPr>
          <w:rFonts w:ascii="Book Antiqua" w:eastAsia="Book Antiqua" w:hAnsi="Book Antiqua" w:cs="Book Antiqua"/>
          <w:color w:val="000000" w:themeColor="text1"/>
        </w:rPr>
        <w:t>: 525-530 [PMID: 26224370 DOI: 10.1007/s11695-015-1781-9]</w:t>
      </w:r>
    </w:p>
    <w:p w14:paraId="53B652AF"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59 </w:t>
      </w:r>
      <w:r>
        <w:rPr>
          <w:rFonts w:ascii="Book Antiqua" w:eastAsia="Book Antiqua" w:hAnsi="Book Antiqua" w:cs="Book Antiqua"/>
          <w:b/>
          <w:bCs/>
          <w:color w:val="000000" w:themeColor="text1"/>
        </w:rPr>
        <w:t>Pax V</w:t>
      </w:r>
      <w:r>
        <w:rPr>
          <w:rFonts w:ascii="Book Antiqua" w:eastAsia="Book Antiqua" w:hAnsi="Book Antiqua" w:cs="Book Antiqua"/>
          <w:color w:val="000000" w:themeColor="text1"/>
        </w:rPr>
        <w:t xml:space="preserve">, Schneider-Koriath S, Scholz M, Wießner R, Ludwig K. [Fluorescence Cholangiography in Comparison to Radiographic Cholangiography During </w:t>
      </w:r>
      <w:r>
        <w:rPr>
          <w:rFonts w:ascii="Book Antiqua" w:eastAsia="Book Antiqua" w:hAnsi="Book Antiqua" w:cs="Book Antiqua"/>
          <w:color w:val="000000" w:themeColor="text1"/>
        </w:rPr>
        <w:lastRenderedPageBreak/>
        <w:t xml:space="preserve">Laparoscopic Cholecystectomy]. </w:t>
      </w:r>
      <w:r>
        <w:rPr>
          <w:rFonts w:ascii="Book Antiqua" w:eastAsia="Book Antiqua" w:hAnsi="Book Antiqua" w:cs="Book Antiqua"/>
          <w:i/>
          <w:iCs/>
          <w:color w:val="000000" w:themeColor="text1"/>
        </w:rPr>
        <w:t>Zentralbl Chir</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143</w:t>
      </w:r>
      <w:r>
        <w:rPr>
          <w:rFonts w:ascii="Book Antiqua" w:eastAsia="Book Antiqua" w:hAnsi="Book Antiqua" w:cs="Book Antiqua"/>
          <w:color w:val="000000" w:themeColor="text1"/>
        </w:rPr>
        <w:t>: 35-41 [PMID: 29166696 DOI: 10.1055/s-0043-117495]</w:t>
      </w:r>
    </w:p>
    <w:p w14:paraId="148EDA0B"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60 </w:t>
      </w:r>
      <w:r>
        <w:rPr>
          <w:rFonts w:ascii="Book Antiqua" w:eastAsia="Book Antiqua" w:hAnsi="Book Antiqua" w:cs="Book Antiqua"/>
          <w:b/>
          <w:bCs/>
          <w:color w:val="000000" w:themeColor="text1"/>
        </w:rPr>
        <w:t>Koong JK</w:t>
      </w:r>
      <w:r>
        <w:rPr>
          <w:rFonts w:ascii="Book Antiqua" w:eastAsia="Book Antiqua" w:hAnsi="Book Antiqua" w:cs="Book Antiqua"/>
          <w:color w:val="000000" w:themeColor="text1"/>
        </w:rPr>
        <w:t xml:space="preserve">, Ng GH, Ramayah K, Koh PS, Yoong BK. Early identification of the critical view of safety in laparoscopic cholecystectomy using indocyanine green fluorescence cholangiography: A randomised controlled study. </w:t>
      </w:r>
      <w:r>
        <w:rPr>
          <w:rFonts w:ascii="Book Antiqua" w:eastAsia="Book Antiqua" w:hAnsi="Book Antiqua" w:cs="Book Antiqua"/>
          <w:i/>
          <w:iCs/>
          <w:color w:val="000000" w:themeColor="text1"/>
        </w:rPr>
        <w:t>Asian J Surg</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44</w:t>
      </w:r>
      <w:r>
        <w:rPr>
          <w:rFonts w:ascii="Book Antiqua" w:eastAsia="Book Antiqua" w:hAnsi="Book Antiqua" w:cs="Book Antiqua"/>
          <w:color w:val="000000" w:themeColor="text1"/>
        </w:rPr>
        <w:t>: 537-543 [PMID: 33223453 DOI: 10.1016/j.asjsur.2020.11.002]</w:t>
      </w:r>
    </w:p>
    <w:p w14:paraId="474FA300"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61 </w:t>
      </w:r>
      <w:r>
        <w:rPr>
          <w:rFonts w:ascii="Book Antiqua" w:eastAsia="Book Antiqua" w:hAnsi="Book Antiqua" w:cs="Book Antiqua"/>
          <w:b/>
          <w:bCs/>
          <w:color w:val="000000" w:themeColor="text1"/>
        </w:rPr>
        <w:t>van den Bos J,</w:t>
      </w:r>
      <w:r>
        <w:rPr>
          <w:rFonts w:ascii="Book Antiqua" w:eastAsia="Book Antiqua" w:hAnsi="Book Antiqua" w:cs="Book Antiqua"/>
          <w:color w:val="000000" w:themeColor="text1"/>
        </w:rPr>
        <w:t xml:space="preserve"> Schols RM, Luyer MD, van Dam RM, Vahrmeijer AL, Meijerink WJ, Gobardhan PD, van Dam GM, Bouvy ND, Stassen LP. Near-infrared fluorescence cholangiography assisted laparoscopic cholecystectomy vs conventional laparoscopic cholecystectomy (FALCON trial): study protocol for a multicentre randomised controlled trial. </w:t>
      </w:r>
      <w:r>
        <w:rPr>
          <w:rFonts w:ascii="Book Antiqua" w:eastAsia="Book Antiqua" w:hAnsi="Book Antiqua" w:cs="Book Antiqua"/>
          <w:i/>
          <w:iCs/>
          <w:color w:val="000000" w:themeColor="text1"/>
        </w:rPr>
        <w:t>BMJ Open</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6</w:t>
      </w:r>
      <w:r>
        <w:rPr>
          <w:rFonts w:ascii="Book Antiqua" w:eastAsia="Book Antiqua" w:hAnsi="Book Antiqua" w:cs="Book Antiqua"/>
          <w:color w:val="000000" w:themeColor="text1"/>
        </w:rPr>
        <w:t>: e011668 [PMID: 27566635 DOI: 10.1136/bmjopen-2016-011668]</w:t>
      </w:r>
    </w:p>
    <w:p w14:paraId="552D0A05"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62 </w:t>
      </w:r>
      <w:r>
        <w:rPr>
          <w:rFonts w:ascii="Book Antiqua" w:eastAsia="Book Antiqua" w:hAnsi="Book Antiqua" w:cs="Book Antiqua"/>
          <w:b/>
          <w:bCs/>
          <w:color w:val="000000" w:themeColor="text1"/>
        </w:rPr>
        <w:t>Roy M</w:t>
      </w:r>
      <w:r>
        <w:rPr>
          <w:rFonts w:ascii="Book Antiqua" w:eastAsia="Book Antiqua" w:hAnsi="Book Antiqua" w:cs="Book Antiqua"/>
          <w:color w:val="000000" w:themeColor="text1"/>
        </w:rPr>
        <w:t xml:space="preserve">, Dip F, Nguyen D, Simpfendorfer CH, Menzo EL, Szomstein S, Rosenthal RJ. Fluorescent incisionless cholangiography as a teaching tool for identification of Calot's triangle.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31</w:t>
      </w:r>
      <w:r>
        <w:rPr>
          <w:rFonts w:ascii="Book Antiqua" w:eastAsia="Book Antiqua" w:hAnsi="Book Antiqua" w:cs="Book Antiqua"/>
          <w:color w:val="000000" w:themeColor="text1"/>
        </w:rPr>
        <w:t>: 2483-2490 [PMID: 27778170 DOI: 10.1007/s00464-016-5250-x]</w:t>
      </w:r>
    </w:p>
    <w:p w14:paraId="3BE6458C"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63 </w:t>
      </w:r>
      <w:r>
        <w:rPr>
          <w:rFonts w:ascii="Book Antiqua" w:eastAsia="Book Antiqua" w:hAnsi="Book Antiqua" w:cs="Book Antiqua"/>
          <w:b/>
          <w:bCs/>
          <w:color w:val="000000" w:themeColor="text1"/>
        </w:rPr>
        <w:t>Rungsakulkij N</w:t>
      </w:r>
      <w:r>
        <w:rPr>
          <w:rFonts w:ascii="Book Antiqua" w:eastAsia="Book Antiqua" w:hAnsi="Book Antiqua" w:cs="Book Antiqua"/>
          <w:color w:val="000000" w:themeColor="text1"/>
        </w:rPr>
        <w:t xml:space="preserve">, Thewmorakot S, Suragul W, Vassanasiri W, Tangtawee P, Muangkaew P, Mingphruedhi S, Aeesoa S. Fluorescence cholangiography enhances surgical residents' biliary delineation skill for laparoscopic cholecystectomies. </w:t>
      </w:r>
      <w:r>
        <w:rPr>
          <w:rFonts w:ascii="Book Antiqua" w:eastAsia="Book Antiqua" w:hAnsi="Book Antiqua" w:cs="Book Antiqua"/>
          <w:i/>
          <w:iCs/>
          <w:color w:val="000000" w:themeColor="text1"/>
        </w:rPr>
        <w:t>World J Gastrointest Surg</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93-103 [PMID: 32218892 DOI: 10.4240/wjgs.v12.i3.93]</w:t>
      </w:r>
    </w:p>
    <w:p w14:paraId="0C06DCA3"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64 </w:t>
      </w:r>
      <w:r>
        <w:rPr>
          <w:rFonts w:ascii="Book Antiqua" w:eastAsia="Book Antiqua" w:hAnsi="Book Antiqua" w:cs="Book Antiqua"/>
          <w:b/>
          <w:bCs/>
          <w:color w:val="000000" w:themeColor="text1"/>
        </w:rPr>
        <w:t>van de Graaf FW</w:t>
      </w:r>
      <w:r>
        <w:rPr>
          <w:rFonts w:ascii="Book Antiqua" w:eastAsia="Book Antiqua" w:hAnsi="Book Antiqua" w:cs="Book Antiqua"/>
          <w:color w:val="000000" w:themeColor="text1"/>
        </w:rPr>
        <w:t xml:space="preserve">, Zaïmi I, Stassen LPS, Lange JF. Safe laparoscopic cholecystectomy: A systematic review of bile duct injury prevention. </w:t>
      </w:r>
      <w:r>
        <w:rPr>
          <w:rFonts w:ascii="Book Antiqua" w:eastAsia="Book Antiqua" w:hAnsi="Book Antiqua" w:cs="Book Antiqua"/>
          <w:i/>
          <w:iCs/>
          <w:color w:val="000000" w:themeColor="text1"/>
        </w:rPr>
        <w:t>Int J Surg</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60</w:t>
      </w:r>
      <w:r>
        <w:rPr>
          <w:rFonts w:ascii="Book Antiqua" w:eastAsia="Book Antiqua" w:hAnsi="Book Antiqua" w:cs="Book Antiqua"/>
          <w:color w:val="000000" w:themeColor="text1"/>
        </w:rPr>
        <w:t>: 164-172 [PMID: 30439536 DOI: 10.1016/j.ijsu.2018.11.006]</w:t>
      </w:r>
    </w:p>
    <w:p w14:paraId="7E4B0558"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65 </w:t>
      </w:r>
      <w:r>
        <w:rPr>
          <w:rFonts w:ascii="Book Antiqua" w:eastAsia="Book Antiqua" w:hAnsi="Book Antiqua" w:cs="Book Antiqua"/>
          <w:b/>
          <w:bCs/>
          <w:color w:val="000000" w:themeColor="text1"/>
        </w:rPr>
        <w:t>Labib PL,</w:t>
      </w:r>
      <w:r>
        <w:rPr>
          <w:rFonts w:ascii="Book Antiqua" w:eastAsia="Book Antiqua" w:hAnsi="Book Antiqua" w:cs="Book Antiqua"/>
          <w:color w:val="000000" w:themeColor="text1"/>
        </w:rPr>
        <w:t xml:space="preserve"> Aroori S. Intraoperative ultrasound vs fluorescence and X-ray cholangiography for the identification of bile duct stones, biliary anatomy and bile duct injury during laparoscopic cholecystectomy: Time for a randomized controlled trial? </w:t>
      </w:r>
      <w:r>
        <w:rPr>
          <w:rFonts w:ascii="Book Antiqua" w:eastAsia="Book Antiqua" w:hAnsi="Book Antiqua" w:cs="Book Antiqua"/>
          <w:i/>
          <w:iCs/>
          <w:color w:val="000000" w:themeColor="text1"/>
        </w:rPr>
        <w:t>Br J Surg</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107</w:t>
      </w:r>
      <w:r>
        <w:rPr>
          <w:rFonts w:ascii="Book Antiqua" w:eastAsia="Book Antiqua" w:hAnsi="Book Antiqua" w:cs="Book Antiqua"/>
          <w:color w:val="000000" w:themeColor="text1"/>
        </w:rPr>
        <w:t>: e563 [PMID: 32841376 DOI: 10.1002/bjs.11862]</w:t>
      </w:r>
    </w:p>
    <w:p w14:paraId="1F1900A6"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lastRenderedPageBreak/>
        <w:t xml:space="preserve">66 </w:t>
      </w:r>
      <w:r>
        <w:rPr>
          <w:rFonts w:ascii="Book Antiqua" w:eastAsia="Book Antiqua" w:hAnsi="Book Antiqua" w:cs="Book Antiqua"/>
          <w:b/>
          <w:bCs/>
          <w:color w:val="000000" w:themeColor="text1"/>
        </w:rPr>
        <w:t>Dili A</w:t>
      </w:r>
      <w:r>
        <w:rPr>
          <w:rFonts w:ascii="Book Antiqua" w:eastAsia="Book Antiqua" w:hAnsi="Book Antiqua" w:cs="Book Antiqua"/>
          <w:color w:val="000000" w:themeColor="text1"/>
        </w:rPr>
        <w:t xml:space="preserve">, Bertrand C. Laparoscopic ultrasonography as an alternative to intraoperative cholangiography during laparoscopic cholecystectomy.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5438-5450 [PMID: 28839445 DOI: 10.3748/wjg.v23.i29.5438]</w:t>
      </w:r>
    </w:p>
    <w:p w14:paraId="1D3AA790"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67 </w:t>
      </w:r>
      <w:r>
        <w:rPr>
          <w:rFonts w:ascii="Book Antiqua" w:eastAsia="Book Antiqua" w:hAnsi="Book Antiqua" w:cs="Book Antiqua"/>
          <w:b/>
          <w:bCs/>
          <w:color w:val="000000" w:themeColor="text1"/>
        </w:rPr>
        <w:t>Machi J</w:t>
      </w:r>
      <w:r>
        <w:rPr>
          <w:rFonts w:ascii="Book Antiqua" w:eastAsia="Book Antiqua" w:hAnsi="Book Antiqua" w:cs="Book Antiqua"/>
          <w:color w:val="000000" w:themeColor="text1"/>
        </w:rPr>
        <w:t xml:space="preserve">, Johnson JO, Deziel DJ, Soper NJ, Berber E, Siperstein A, Hata M, Patel A, Singh K, Arregui ME. The routine use of laparoscopic ultrasound decreases bile duct injury: a multicenter study.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384-388 [PMID: 18528611 DOI: 10.1007/s00464-008-9985-x]</w:t>
      </w:r>
    </w:p>
    <w:p w14:paraId="6E3B0F2F"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68 </w:t>
      </w:r>
      <w:r>
        <w:rPr>
          <w:rFonts w:ascii="Book Antiqua" w:eastAsia="Book Antiqua" w:hAnsi="Book Antiqua" w:cs="Book Antiqua"/>
          <w:b/>
          <w:bCs/>
          <w:color w:val="000000" w:themeColor="text1"/>
        </w:rPr>
        <w:t>Spinoglio G</w:t>
      </w:r>
      <w:r>
        <w:rPr>
          <w:rFonts w:ascii="Book Antiqua" w:eastAsia="Book Antiqua" w:hAnsi="Book Antiqua" w:cs="Book Antiqua"/>
          <w:color w:val="000000" w:themeColor="text1"/>
        </w:rPr>
        <w:t xml:space="preserve">, Lenti LM, Maglione V, Lucido FS, Priora F, Bianchi PP, Grosso F, Quarati R. Single-site robotic cholecystectomy (SSRC) versus single-incision laparoscopic cholecystectomy (SILC): comparison of learning curves. First European experience.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26</w:t>
      </w:r>
      <w:r>
        <w:rPr>
          <w:rFonts w:ascii="Book Antiqua" w:eastAsia="Book Antiqua" w:hAnsi="Book Antiqua" w:cs="Book Antiqua"/>
          <w:color w:val="000000" w:themeColor="text1"/>
        </w:rPr>
        <w:t>: 1648-1655 [PMID: 22179472 DOI: 10.1007/s00464-011-2087-1]</w:t>
      </w:r>
    </w:p>
    <w:p w14:paraId="6AC2700A"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69 </w:t>
      </w:r>
      <w:r>
        <w:rPr>
          <w:rFonts w:ascii="Book Antiqua" w:eastAsia="Book Antiqua" w:hAnsi="Book Antiqua" w:cs="Book Antiqua"/>
          <w:b/>
          <w:bCs/>
          <w:color w:val="000000" w:themeColor="text1"/>
        </w:rPr>
        <w:t>Buchs NC</w:t>
      </w:r>
      <w:r>
        <w:rPr>
          <w:rFonts w:ascii="Book Antiqua" w:eastAsia="Book Antiqua" w:hAnsi="Book Antiqua" w:cs="Book Antiqua"/>
          <w:color w:val="000000" w:themeColor="text1"/>
        </w:rPr>
        <w:t xml:space="preserve">, Hagen ME, Pugin F, Volonte F, Bucher P, Schiffer E, Morel P. Intra-operative fluorescent cholangiography using indocyanin green during robotic single site cholecystectomy. </w:t>
      </w:r>
      <w:r>
        <w:rPr>
          <w:rFonts w:ascii="Book Antiqua" w:eastAsia="Book Antiqua" w:hAnsi="Book Antiqua" w:cs="Book Antiqua"/>
          <w:i/>
          <w:iCs/>
          <w:color w:val="000000" w:themeColor="text1"/>
        </w:rPr>
        <w:t>Int J Med Robot</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8</w:t>
      </w:r>
      <w:r>
        <w:rPr>
          <w:rFonts w:ascii="Book Antiqua" w:eastAsia="Book Antiqua" w:hAnsi="Book Antiqua" w:cs="Book Antiqua"/>
          <w:color w:val="000000" w:themeColor="text1"/>
        </w:rPr>
        <w:t>: 436-440 [PMID: 22648637 DOI: 10.1002/rcs.1437]</w:t>
      </w:r>
    </w:p>
    <w:p w14:paraId="4051141D"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70 </w:t>
      </w:r>
      <w:r>
        <w:rPr>
          <w:rFonts w:ascii="Book Antiqua" w:eastAsia="Book Antiqua" w:hAnsi="Book Antiqua" w:cs="Book Antiqua"/>
          <w:b/>
          <w:bCs/>
          <w:color w:val="000000" w:themeColor="text1"/>
        </w:rPr>
        <w:t>Spinoglio G</w:t>
      </w:r>
      <w:r>
        <w:rPr>
          <w:rFonts w:ascii="Book Antiqua" w:eastAsia="Book Antiqua" w:hAnsi="Book Antiqua" w:cs="Book Antiqua"/>
          <w:color w:val="000000" w:themeColor="text1"/>
        </w:rPr>
        <w:t xml:space="preserve">, Priora F, Bianchi PP, Lucido FS, Licciardello A, Maglione V, Grosso F, Quarati R, Ravazzoni F, Lenti LM. Real-time near-infrared (NIR) fluorescent cholangiography in single-site robotic cholecystectomy (SSRC): a single-institutional prospective study.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27</w:t>
      </w:r>
      <w:r>
        <w:rPr>
          <w:rFonts w:ascii="Book Antiqua" w:eastAsia="Book Antiqua" w:hAnsi="Book Antiqua" w:cs="Book Antiqua"/>
          <w:color w:val="000000" w:themeColor="text1"/>
        </w:rPr>
        <w:t>: 2156-2162 [PMID: 23271272 DOI: 10.1007/s00464-012-2733-2]</w:t>
      </w:r>
    </w:p>
    <w:p w14:paraId="017D6645"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71 </w:t>
      </w:r>
      <w:r>
        <w:rPr>
          <w:rFonts w:ascii="Book Antiqua" w:eastAsia="Book Antiqua" w:hAnsi="Book Antiqua" w:cs="Book Antiqua"/>
          <w:b/>
          <w:bCs/>
          <w:color w:val="000000" w:themeColor="text1"/>
        </w:rPr>
        <w:t>Maker AV</w:t>
      </w:r>
      <w:r>
        <w:rPr>
          <w:rFonts w:ascii="Book Antiqua" w:eastAsia="Book Antiqua" w:hAnsi="Book Antiqua" w:cs="Book Antiqua"/>
          <w:color w:val="000000" w:themeColor="text1"/>
        </w:rPr>
        <w:t xml:space="preserve">, Kunda N. A Technique to Define Extrahepatic Biliary Anatomy Using Robotic Near-Infrared Fluorescent Cholangiography. </w:t>
      </w:r>
      <w:r>
        <w:rPr>
          <w:rFonts w:ascii="Book Antiqua" w:eastAsia="Book Antiqua" w:hAnsi="Book Antiqua" w:cs="Book Antiqua"/>
          <w:i/>
          <w:iCs/>
          <w:color w:val="000000" w:themeColor="text1"/>
        </w:rPr>
        <w:t>J Gastrointest Surg</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21</w:t>
      </w:r>
      <w:r>
        <w:rPr>
          <w:rFonts w:ascii="Book Antiqua" w:eastAsia="Book Antiqua" w:hAnsi="Book Antiqua" w:cs="Book Antiqua"/>
          <w:color w:val="000000" w:themeColor="text1"/>
        </w:rPr>
        <w:t>: 1961-1962 [PMID: 28585107 DOI: 10.1007/s11605-017-3455-5]</w:t>
      </w:r>
    </w:p>
    <w:p w14:paraId="42C90E5A"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72 </w:t>
      </w:r>
      <w:r>
        <w:rPr>
          <w:rFonts w:ascii="Book Antiqua" w:eastAsia="Book Antiqua" w:hAnsi="Book Antiqua" w:cs="Book Antiqua"/>
          <w:b/>
          <w:bCs/>
          <w:color w:val="000000" w:themeColor="text1"/>
        </w:rPr>
        <w:t>Sharma S</w:t>
      </w:r>
      <w:r>
        <w:rPr>
          <w:rFonts w:ascii="Book Antiqua" w:eastAsia="Book Antiqua" w:hAnsi="Book Antiqua" w:cs="Book Antiqua"/>
          <w:color w:val="000000" w:themeColor="text1"/>
        </w:rPr>
        <w:t xml:space="preserve">, Huang R, Hui S, Smith MC, Chung PJ, Schwartzman A, Sugiyama G. The utilization of fluorescent cholangiography during robotic cholecystectomy at an inner-city academic medical center. </w:t>
      </w:r>
      <w:r>
        <w:rPr>
          <w:rFonts w:ascii="Book Antiqua" w:eastAsia="Book Antiqua" w:hAnsi="Book Antiqua" w:cs="Book Antiqua"/>
          <w:i/>
          <w:iCs/>
          <w:color w:val="000000" w:themeColor="text1"/>
        </w:rPr>
        <w:t>J Robot Surg</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481-485 [PMID: 29181777 DOI: 10.1007/s11701-017-0769-y]</w:t>
      </w:r>
    </w:p>
    <w:p w14:paraId="36386FC2"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lastRenderedPageBreak/>
        <w:t xml:space="preserve">73 </w:t>
      </w:r>
      <w:r>
        <w:rPr>
          <w:rFonts w:ascii="Book Antiqua" w:eastAsia="Book Antiqua" w:hAnsi="Book Antiqua" w:cs="Book Antiqua"/>
          <w:b/>
          <w:bCs/>
          <w:color w:val="000000" w:themeColor="text1"/>
        </w:rPr>
        <w:t>Gangemi A</w:t>
      </w:r>
      <w:r>
        <w:rPr>
          <w:rFonts w:ascii="Book Antiqua" w:eastAsia="Book Antiqua" w:hAnsi="Book Antiqua" w:cs="Book Antiqua"/>
          <w:color w:val="000000" w:themeColor="text1"/>
        </w:rPr>
        <w:t xml:space="preserve">, Danilkowicz R, Elli FE, Bianco F, Masrur M, Giulianotti PC. Could ICG-aided robotic cholecystectomy reduce the rate of open conversion reported with laparoscopic approach? A head to head comparison of the largest single institution studies. </w:t>
      </w:r>
      <w:r>
        <w:rPr>
          <w:rFonts w:ascii="Book Antiqua" w:eastAsia="Book Antiqua" w:hAnsi="Book Antiqua" w:cs="Book Antiqua"/>
          <w:i/>
          <w:iCs/>
          <w:color w:val="000000" w:themeColor="text1"/>
        </w:rPr>
        <w:t>J Robot Surg</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77-82 [PMID: 27435700 DOI: 10.1007/s11701-016-0624-6]</w:t>
      </w:r>
    </w:p>
    <w:p w14:paraId="2E243B59"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74 </w:t>
      </w:r>
      <w:r>
        <w:rPr>
          <w:rFonts w:ascii="Book Antiqua" w:eastAsia="Book Antiqua" w:hAnsi="Book Antiqua" w:cs="Book Antiqua"/>
          <w:b/>
          <w:bCs/>
          <w:color w:val="000000" w:themeColor="text1"/>
        </w:rPr>
        <w:t>Dip F</w:t>
      </w:r>
      <w:r>
        <w:rPr>
          <w:rFonts w:ascii="Book Antiqua" w:eastAsia="Book Antiqua" w:hAnsi="Book Antiqua" w:cs="Book Antiqua"/>
          <w:color w:val="000000" w:themeColor="text1"/>
        </w:rPr>
        <w:t xml:space="preserve">, Sarotto L, Roy M, Lee A, LoMenzo E, Walsh M, Carus T, Schneider S, Boni L, Ishizawa T, Kokudo N, White K, Rosenthal RJ. Incisionless fluorescent cholangiography (IFC): a pilot survey of surgeons on procedural familiarity, practices, and perceptions.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34</w:t>
      </w:r>
      <w:r>
        <w:rPr>
          <w:rFonts w:ascii="Book Antiqua" w:eastAsia="Book Antiqua" w:hAnsi="Book Antiqua" w:cs="Book Antiqua"/>
          <w:color w:val="000000" w:themeColor="text1"/>
        </w:rPr>
        <w:t>: 675-685 [PMID: 31062156 DOI: 10.1007/s00464-019-06814-x]</w:t>
      </w:r>
    </w:p>
    <w:p w14:paraId="3F057EF4"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75 </w:t>
      </w:r>
      <w:r>
        <w:rPr>
          <w:rFonts w:ascii="Book Antiqua" w:eastAsia="Book Antiqua" w:hAnsi="Book Antiqua" w:cs="Book Antiqua"/>
          <w:b/>
          <w:bCs/>
          <w:color w:val="000000" w:themeColor="text1"/>
        </w:rPr>
        <w:t>Brunt LM</w:t>
      </w:r>
      <w:r>
        <w:rPr>
          <w:rFonts w:ascii="Book Antiqua" w:eastAsia="Book Antiqua" w:hAnsi="Book Antiqua" w:cs="Book Antiqua"/>
          <w:color w:val="000000" w:themeColor="text1"/>
        </w:rPr>
        <w:t xml:space="preserve">, Deziel DJ, Telem DA, Strasberg SM, Aggarwal R, Asbun H, Bonjer J, McDonald M, Alseidi A, Ujiki M, Riall TS, Hammill C, Moulton CA, Pucher PH, Parks RW, Ansari MT, Connor S, Dirks RC, Anderson B, Altieri MS, Tsamalaidze L, Stefanidis D; and the Prevention of Bile Duct Injury Consensus Work Group. Safe Cholecystectomy Multi-society Practice Guideline and State of the Art Consensus Conference on Prevention of Bile Duct Injury During Cholecystectomy. </w:t>
      </w:r>
      <w:r>
        <w:rPr>
          <w:rFonts w:ascii="Book Antiqua" w:eastAsia="Book Antiqua" w:hAnsi="Book Antiqua" w:cs="Book Antiqua"/>
          <w:i/>
          <w:iCs/>
          <w:color w:val="000000" w:themeColor="text1"/>
        </w:rPr>
        <w:t>Ann Surg</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272</w:t>
      </w:r>
      <w:r>
        <w:rPr>
          <w:rFonts w:ascii="Book Antiqua" w:eastAsia="Book Antiqua" w:hAnsi="Book Antiqua" w:cs="Book Antiqua"/>
          <w:color w:val="000000" w:themeColor="text1"/>
        </w:rPr>
        <w:t>: 3-23 [PMID: 32404658 DOI: 10.1097/SLA.0000000000003791]</w:t>
      </w:r>
    </w:p>
    <w:p w14:paraId="50E42444" w14:textId="77777777" w:rsidR="00C41B3E" w:rsidRDefault="0070572D">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76 </w:t>
      </w:r>
      <w:r>
        <w:rPr>
          <w:rFonts w:ascii="Book Antiqua" w:eastAsia="Book Antiqua" w:hAnsi="Book Antiqua" w:cs="Book Antiqua"/>
          <w:b/>
          <w:bCs/>
          <w:color w:val="000000" w:themeColor="text1"/>
        </w:rPr>
        <w:t>Dip F,</w:t>
      </w:r>
      <w:r>
        <w:rPr>
          <w:rFonts w:ascii="Book Antiqua" w:eastAsia="Book Antiqua" w:hAnsi="Book Antiqua" w:cs="Book Antiqua"/>
          <w:color w:val="000000" w:themeColor="text1"/>
        </w:rPr>
        <w:t xml:space="preserve"> Boni L, Bouvet M, Carus T, Diana M, Falco J, Gurtner GC, Ishizawa T, Kokudo N, Lo Menzo E, Low PS, Masia J, Muehrcke D, Papay FA, Pulitano C, Schneider-Koraith S, Sherwinter D, Spinoglio G, Stassen L, Urano Y, Vahrmeijer A, Vibert E, Warram J, Wexner SD, White K, Rosenthal RJ. Consensus Conference Statement on the General Use of Near-Infrared Fluorescence Imaging and Indocyanine Green Guided Surgery: Results of a Modified Delphi Study. </w:t>
      </w:r>
      <w:r>
        <w:rPr>
          <w:rFonts w:ascii="Book Antiqua" w:eastAsia="Book Antiqua" w:hAnsi="Book Antiqua" w:cs="Book Antiqua"/>
          <w:i/>
          <w:iCs/>
          <w:color w:val="000000" w:themeColor="text1"/>
        </w:rPr>
        <w:t>Ann Surg</w:t>
      </w:r>
      <w:r>
        <w:rPr>
          <w:rFonts w:ascii="Book Antiqua" w:eastAsia="Book Antiqua" w:hAnsi="Book Antiqua" w:cs="Book Antiqua"/>
          <w:color w:val="000000" w:themeColor="text1"/>
        </w:rPr>
        <w:t xml:space="preserve"> 2020 [PMID: 33214476 DOI: 10.1097/SLA.0000000000004412]</w:t>
      </w:r>
    </w:p>
    <w:p w14:paraId="5B50256F" w14:textId="77777777" w:rsidR="00C41B3E" w:rsidRDefault="0070572D">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77 </w:t>
      </w:r>
      <w:r>
        <w:rPr>
          <w:rFonts w:ascii="Book Antiqua" w:eastAsia="Book Antiqua" w:hAnsi="Book Antiqua" w:cs="Book Antiqua"/>
          <w:b/>
          <w:bCs/>
          <w:color w:val="000000" w:themeColor="text1"/>
        </w:rPr>
        <w:t>Benya R</w:t>
      </w:r>
      <w:r>
        <w:rPr>
          <w:rFonts w:ascii="Book Antiqua" w:eastAsia="Book Antiqua" w:hAnsi="Book Antiqua" w:cs="Book Antiqua"/>
          <w:color w:val="000000" w:themeColor="text1"/>
        </w:rPr>
        <w:t xml:space="preserve">, Quintana J, Brundage B. Adverse reactions to indocyanine green: a case report and a review of the literature. </w:t>
      </w:r>
      <w:r>
        <w:rPr>
          <w:rFonts w:ascii="Book Antiqua" w:eastAsia="Book Antiqua" w:hAnsi="Book Antiqua" w:cs="Book Antiqua"/>
          <w:i/>
          <w:iCs/>
          <w:color w:val="000000" w:themeColor="text1"/>
        </w:rPr>
        <w:t>Cathet Cardiovasc Diagn</w:t>
      </w:r>
      <w:r>
        <w:rPr>
          <w:rFonts w:ascii="Book Antiqua" w:eastAsia="Book Antiqua" w:hAnsi="Book Antiqua" w:cs="Book Antiqua"/>
          <w:color w:val="000000" w:themeColor="text1"/>
        </w:rPr>
        <w:t xml:space="preserve"> 1989;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231-233 [PMID: 2670244 DOI: 10.1002/ccd.1810170410]</w:t>
      </w:r>
    </w:p>
    <w:p w14:paraId="2CB90045" w14:textId="77777777" w:rsidR="00C41B3E" w:rsidRDefault="00C41B3E">
      <w:pPr>
        <w:spacing w:line="360" w:lineRule="auto"/>
        <w:jc w:val="both"/>
        <w:rPr>
          <w:rFonts w:ascii="Book Antiqua" w:hAnsi="Book Antiqua" w:cs="Book Antiqua"/>
          <w:color w:val="000000" w:themeColor="text1"/>
          <w:lang w:eastAsia="zh-CN"/>
        </w:rPr>
      </w:pPr>
    </w:p>
    <w:p w14:paraId="504C34F3" w14:textId="77777777" w:rsidR="00C41B3E" w:rsidRDefault="00C41B3E">
      <w:pPr>
        <w:spacing w:line="360" w:lineRule="auto"/>
        <w:jc w:val="both"/>
        <w:rPr>
          <w:rFonts w:ascii="Book Antiqua" w:hAnsi="Book Antiqua" w:cs="Book Antiqua"/>
          <w:b/>
          <w:color w:val="000000" w:themeColor="text1"/>
          <w:lang w:eastAsia="zh-CN"/>
        </w:rPr>
      </w:pPr>
    </w:p>
    <w:p w14:paraId="16983EF9"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Footnotes</w:t>
      </w:r>
    </w:p>
    <w:p w14:paraId="69B49120"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 xml:space="preserve">Conflict-of-interest statement: </w:t>
      </w:r>
      <w:r>
        <w:rPr>
          <w:rFonts w:ascii="Book Antiqua" w:eastAsia="Book Antiqua" w:hAnsi="Book Antiqua" w:cs="Book Antiqua"/>
          <w:color w:val="000000" w:themeColor="text1"/>
        </w:rPr>
        <w:t>The corresponding author declares that the manuscript has been submitted on behalf of all authors. All authors declare that they have no competing interests.</w:t>
      </w:r>
    </w:p>
    <w:p w14:paraId="4F305B15" w14:textId="77777777" w:rsidR="00C41B3E" w:rsidRDefault="00C41B3E">
      <w:pPr>
        <w:spacing w:line="360" w:lineRule="auto"/>
        <w:jc w:val="both"/>
        <w:rPr>
          <w:rFonts w:ascii="Book Antiqua" w:hAnsi="Book Antiqua"/>
          <w:color w:val="000000" w:themeColor="text1"/>
        </w:rPr>
      </w:pPr>
    </w:p>
    <w:p w14:paraId="0D230209"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311B8BD" w14:textId="77777777" w:rsidR="00C41B3E" w:rsidRDefault="00C41B3E">
      <w:pPr>
        <w:spacing w:line="360" w:lineRule="auto"/>
        <w:jc w:val="both"/>
        <w:rPr>
          <w:rFonts w:ascii="Book Antiqua" w:hAnsi="Book Antiqua"/>
          <w:color w:val="000000" w:themeColor="text1"/>
        </w:rPr>
      </w:pPr>
    </w:p>
    <w:p w14:paraId="29E8D73F"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source: </w:t>
      </w:r>
      <w:r>
        <w:rPr>
          <w:rFonts w:ascii="Book Antiqua" w:eastAsia="Book Antiqua" w:hAnsi="Book Antiqua" w:cs="Book Antiqua"/>
          <w:color w:val="000000" w:themeColor="text1"/>
        </w:rPr>
        <w:t xml:space="preserve">Invited </w:t>
      </w:r>
      <w:r>
        <w:rPr>
          <w:rFonts w:ascii="Book Antiqua" w:hAnsi="Book Antiqua" w:cs="Book Antiqua"/>
          <w:color w:val="000000" w:themeColor="text1"/>
          <w:lang w:eastAsia="zh-CN"/>
        </w:rPr>
        <w:t>m</w:t>
      </w:r>
      <w:r>
        <w:rPr>
          <w:rFonts w:ascii="Book Antiqua" w:eastAsia="Book Antiqua" w:hAnsi="Book Antiqua" w:cs="Book Antiqua"/>
          <w:color w:val="000000" w:themeColor="text1"/>
        </w:rPr>
        <w:t>anuscript</w:t>
      </w:r>
    </w:p>
    <w:p w14:paraId="64964248" w14:textId="77777777" w:rsidR="00C41B3E" w:rsidRDefault="00C41B3E">
      <w:pPr>
        <w:spacing w:line="360" w:lineRule="auto"/>
        <w:jc w:val="both"/>
        <w:rPr>
          <w:rFonts w:ascii="Book Antiqua" w:hAnsi="Book Antiqua"/>
          <w:color w:val="000000" w:themeColor="text1"/>
        </w:rPr>
      </w:pPr>
    </w:p>
    <w:p w14:paraId="7379BF69"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April 15, 2021</w:t>
      </w:r>
    </w:p>
    <w:p w14:paraId="20B117A2"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July 1, 2021</w:t>
      </w:r>
    </w:p>
    <w:p w14:paraId="44E45853" w14:textId="2AECCF48"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r w:rsidR="00AF635A" w:rsidRPr="0061127A">
        <w:rPr>
          <w:rFonts w:ascii="Book Antiqua" w:eastAsia="Book Antiqua" w:hAnsi="Book Antiqua" w:cs="Book Antiqua"/>
          <w:color w:val="000000" w:themeColor="text1"/>
        </w:rPr>
        <w:t>August 30, 2021</w:t>
      </w:r>
    </w:p>
    <w:p w14:paraId="071D4405" w14:textId="77777777" w:rsidR="00C41B3E" w:rsidRDefault="00C41B3E">
      <w:pPr>
        <w:spacing w:line="360" w:lineRule="auto"/>
        <w:jc w:val="both"/>
        <w:rPr>
          <w:rFonts w:ascii="Book Antiqua" w:hAnsi="Book Antiqua"/>
          <w:color w:val="000000" w:themeColor="text1"/>
        </w:rPr>
      </w:pPr>
    </w:p>
    <w:p w14:paraId="08C71B75"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 xml:space="preserve">Gastroenterology and </w:t>
      </w:r>
      <w:r>
        <w:rPr>
          <w:rFonts w:ascii="Book Antiqua" w:hAnsi="Book Antiqua" w:cs="Book Antiqua"/>
          <w:color w:val="000000" w:themeColor="text1"/>
          <w:lang w:eastAsia="zh-CN"/>
        </w:rPr>
        <w:t>h</w:t>
      </w:r>
      <w:r>
        <w:rPr>
          <w:rFonts w:ascii="Book Antiqua" w:eastAsia="Book Antiqua" w:hAnsi="Book Antiqua" w:cs="Book Antiqua"/>
          <w:color w:val="000000" w:themeColor="text1"/>
        </w:rPr>
        <w:t>epatology</w:t>
      </w:r>
    </w:p>
    <w:p w14:paraId="59750E5A"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Italy</w:t>
      </w:r>
    </w:p>
    <w:p w14:paraId="7AB46B08"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767B1806"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14:paraId="6B55A3C6"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 B, B, B</w:t>
      </w:r>
    </w:p>
    <w:p w14:paraId="4F78DE09"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0</w:t>
      </w:r>
    </w:p>
    <w:p w14:paraId="6AEAE9E4"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14:paraId="511BBBE0"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30035785" w14:textId="77777777" w:rsidR="00C41B3E" w:rsidRDefault="00C41B3E">
      <w:pPr>
        <w:spacing w:line="360" w:lineRule="auto"/>
        <w:jc w:val="both"/>
        <w:rPr>
          <w:rFonts w:ascii="Book Antiqua" w:hAnsi="Book Antiqua"/>
          <w:color w:val="000000" w:themeColor="text1"/>
        </w:rPr>
      </w:pPr>
    </w:p>
    <w:p w14:paraId="0B414650" w14:textId="310CAF0C" w:rsidR="00C41B3E" w:rsidRDefault="0070572D">
      <w:pPr>
        <w:spacing w:line="360" w:lineRule="auto"/>
        <w:jc w:val="both"/>
        <w:rPr>
          <w:rFonts w:ascii="Book Antiqua" w:hAnsi="Book Antiqua"/>
          <w:color w:val="000000" w:themeColor="text1"/>
        </w:rPr>
        <w:sectPr w:rsidR="00C41B3E">
          <w:footerReference w:type="default" r:id="rId7"/>
          <w:pgSz w:w="12240" w:h="15840"/>
          <w:pgMar w:top="1440" w:right="1440" w:bottom="1440" w:left="1440" w:header="0" w:footer="720" w:gutter="0"/>
          <w:cols w:space="720"/>
          <w:formProt w:val="0"/>
          <w:docGrid w:linePitch="360"/>
        </w:sect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Ghannam WM, Grosek J, Komatsu S, Wang SY</w:t>
      </w:r>
      <w:r>
        <w:rPr>
          <w:rFonts w:ascii="Book Antiqua" w:eastAsia="Book Antiqua" w:hAnsi="Book Antiqua" w:cs="Book Antiqua"/>
          <w:b/>
          <w:color w:val="000000" w:themeColor="text1"/>
        </w:rPr>
        <w:t xml:space="preserve"> S-Editor: </w:t>
      </w:r>
      <w:r>
        <w:rPr>
          <w:rFonts w:ascii="Book Antiqua" w:eastAsia="Book Antiqua" w:hAnsi="Book Antiqua" w:cs="Book Antiqua"/>
          <w:color w:val="000000" w:themeColor="text1"/>
        </w:rPr>
        <w:t xml:space="preserve">Wang </w:t>
      </w:r>
      <w:r>
        <w:rPr>
          <w:rFonts w:ascii="Book Antiqua" w:hAnsi="Book Antiqua" w:cs="Book Antiqua"/>
          <w:color w:val="000000" w:themeColor="text1"/>
          <w:lang w:eastAsia="zh-CN"/>
        </w:rPr>
        <w:t>L</w:t>
      </w:r>
      <w:r>
        <w:rPr>
          <w:rFonts w:ascii="Book Antiqua" w:eastAsia="Book Antiqua" w:hAnsi="Book Antiqua" w:cs="Book Antiqua"/>
          <w:color w:val="000000" w:themeColor="text1"/>
        </w:rPr>
        <w:t>L</w:t>
      </w:r>
      <w:r>
        <w:rPr>
          <w:rFonts w:ascii="Book Antiqua" w:eastAsia="Book Antiqua" w:hAnsi="Book Antiqua" w:cs="Book Antiqua"/>
          <w:b/>
          <w:color w:val="000000" w:themeColor="text1"/>
        </w:rPr>
        <w:t xml:space="preserve"> L-Editor:</w:t>
      </w:r>
      <w:r w:rsidR="00AF635A">
        <w:rPr>
          <w:rFonts w:ascii="Book Antiqua" w:hAnsi="Book Antiqua" w:cs="Book Antiqua" w:hint="eastAsia"/>
          <w:b/>
          <w:color w:val="000000" w:themeColor="text1"/>
          <w:lang w:eastAsia="zh-CN"/>
        </w:rPr>
        <w:t xml:space="preserve"> </w:t>
      </w:r>
      <w:r w:rsidR="00AF635A" w:rsidRPr="00AF635A">
        <w:rPr>
          <w:rFonts w:ascii="Book Antiqua" w:hAnsi="Book Antiqua" w:cs="Book Antiqua" w:hint="eastAsia"/>
          <w:color w:val="000000" w:themeColor="text1"/>
          <w:lang w:eastAsia="zh-CN"/>
        </w:rPr>
        <w:t>A</w:t>
      </w:r>
      <w:r w:rsidR="00AF635A">
        <w:rPr>
          <w:rFonts w:ascii="Book Antiqua" w:hAnsi="Book Antiqua" w:cs="Book Antiqua" w:hint="eastAsia"/>
          <w:b/>
          <w:color w:val="000000" w:themeColor="text1"/>
          <w:lang w:eastAsia="zh-CN"/>
        </w:rPr>
        <w:t xml:space="preserve"> </w:t>
      </w:r>
      <w:r>
        <w:rPr>
          <w:rFonts w:ascii="Book Antiqua" w:eastAsia="Book Antiqua" w:hAnsi="Book Antiqua" w:cs="Book Antiqua"/>
          <w:b/>
          <w:color w:val="000000" w:themeColor="text1"/>
        </w:rPr>
        <w:t xml:space="preserve">P-Editor: </w:t>
      </w:r>
      <w:r w:rsidR="00AF635A" w:rsidRPr="00AF635A">
        <w:rPr>
          <w:rFonts w:ascii="Book Antiqua" w:eastAsia="Book Antiqua" w:hAnsi="Book Antiqua" w:cs="Book Antiqua"/>
          <w:color w:val="000000" w:themeColor="text1"/>
        </w:rPr>
        <w:t>Xing YX</w:t>
      </w:r>
    </w:p>
    <w:p w14:paraId="623318FE" w14:textId="77777777" w:rsidR="00C41B3E" w:rsidRDefault="0070572D">
      <w:pPr>
        <w:spacing w:line="360" w:lineRule="auto"/>
        <w:jc w:val="both"/>
        <w:rPr>
          <w:rFonts w:ascii="Book Antiqua" w:hAnsi="Book Antiqua" w:cs="Book Antiqua"/>
          <w:b/>
          <w:color w:val="000000" w:themeColor="text1"/>
          <w:lang w:eastAsia="zh-CN"/>
        </w:rPr>
      </w:pPr>
      <w:r>
        <w:rPr>
          <w:rFonts w:ascii="Book Antiqua" w:eastAsia="Book Antiqua" w:hAnsi="Book Antiqua" w:cs="Book Antiqua"/>
          <w:b/>
          <w:color w:val="000000" w:themeColor="text1"/>
        </w:rPr>
        <w:lastRenderedPageBreak/>
        <w:t>Figure Legends</w:t>
      </w:r>
    </w:p>
    <w:p w14:paraId="5D52AF60" w14:textId="77777777" w:rsidR="00C41B3E" w:rsidRDefault="0070572D">
      <w:pPr>
        <w:spacing w:line="360" w:lineRule="auto"/>
        <w:jc w:val="both"/>
        <w:rPr>
          <w:rFonts w:ascii="Book Antiqua" w:hAnsi="Book Antiqua"/>
          <w:color w:val="000000" w:themeColor="text1"/>
          <w:lang w:eastAsia="zh-CN"/>
        </w:rPr>
      </w:pPr>
      <w:r>
        <w:rPr>
          <w:noProof/>
          <w:lang w:eastAsia="zh-CN"/>
        </w:rPr>
        <w:drawing>
          <wp:inline distT="0" distB="0" distL="0" distR="0" wp14:anchorId="2FA167A7" wp14:editId="5E123BFF">
            <wp:extent cx="5761355" cy="4846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stretch>
                      <a:fillRect/>
                    </a:stretch>
                  </pic:blipFill>
                  <pic:spPr bwMode="auto">
                    <a:xfrm>
                      <a:off x="0" y="0"/>
                      <a:ext cx="5761355" cy="4846955"/>
                    </a:xfrm>
                    <a:prstGeom prst="rect">
                      <a:avLst/>
                    </a:prstGeom>
                  </pic:spPr>
                </pic:pic>
              </a:graphicData>
            </a:graphic>
          </wp:inline>
        </w:drawing>
      </w:r>
    </w:p>
    <w:p w14:paraId="481ECD51" w14:textId="77777777" w:rsidR="00C41B3E" w:rsidRDefault="0070572D">
      <w:pPr>
        <w:spacing w:line="360" w:lineRule="auto"/>
        <w:jc w:val="both"/>
        <w:rPr>
          <w:rFonts w:ascii="Book Antiqua" w:hAnsi="Book Antiqua"/>
          <w:color w:val="000000" w:themeColor="text1"/>
        </w:rPr>
      </w:pPr>
      <w:r>
        <w:rPr>
          <w:rFonts w:ascii="Book Antiqua" w:eastAsia="Book Antiqua" w:hAnsi="Book Antiqua" w:cs="Book Antiqua"/>
          <w:b/>
          <w:iCs/>
          <w:color w:val="000000" w:themeColor="text1"/>
        </w:rPr>
        <w:t>Figure 1</w:t>
      </w:r>
      <w:r>
        <w:rPr>
          <w:rFonts w:ascii="Book Antiqua" w:hAnsi="Book Antiqua" w:cs="Book Antiqua"/>
          <w:b/>
          <w:color w:val="000000" w:themeColor="text1"/>
          <w:lang w:eastAsia="zh-CN"/>
        </w:rPr>
        <w:t xml:space="preserve"> </w:t>
      </w:r>
      <w:r>
        <w:rPr>
          <w:rFonts w:ascii="Book Antiqua" w:eastAsia="Book Antiqua" w:hAnsi="Book Antiqua" w:cs="Book Antiqua"/>
          <w:b/>
          <w:color w:val="000000" w:themeColor="text1"/>
        </w:rPr>
        <w:t>Intra-operative real-time identification of biliary structures in a cirrhotic patient, with visible light</w:t>
      </w:r>
      <w:r>
        <w:rPr>
          <w:rFonts w:ascii="Book Antiqua" w:hAnsi="Book Antiqua" w:cs="Book Antiqua"/>
          <w:b/>
          <w:color w:val="000000" w:themeColor="text1"/>
          <w:lang w:eastAsia="zh-CN"/>
        </w:rPr>
        <w:t xml:space="preserve"> </w:t>
      </w:r>
      <w:r>
        <w:rPr>
          <w:rFonts w:ascii="Book Antiqua" w:eastAsia="Book Antiqua" w:hAnsi="Book Antiqua" w:cs="Book Antiqua"/>
          <w:b/>
          <w:color w:val="000000" w:themeColor="text1"/>
        </w:rPr>
        <w:t xml:space="preserve">to the left and NIRF-C to the right. </w:t>
      </w:r>
      <w:r>
        <w:rPr>
          <w:rFonts w:ascii="Book Antiqua" w:eastAsia="Book Antiqua" w:hAnsi="Book Antiqua" w:cs="Book Antiqua"/>
          <w:color w:val="000000" w:themeColor="text1"/>
        </w:rPr>
        <w:t xml:space="preserve">A: </w:t>
      </w:r>
      <w:r>
        <w:rPr>
          <w:rFonts w:ascii="Book Antiqua" w:hAnsi="Book Antiqua" w:cs="Book Antiqua"/>
          <w:color w:val="000000" w:themeColor="text1"/>
          <w:lang w:eastAsia="zh-CN"/>
        </w:rPr>
        <w:t>P</w:t>
      </w:r>
      <w:r>
        <w:rPr>
          <w:rFonts w:ascii="Book Antiqua" w:eastAsia="Book Antiqua" w:hAnsi="Book Antiqua" w:cs="Book Antiqua"/>
          <w:color w:val="000000" w:themeColor="text1"/>
        </w:rPr>
        <w:t xml:space="preserve">re-dissection visualization of biliary anatomy; B: </w:t>
      </w:r>
      <w:r>
        <w:rPr>
          <w:rFonts w:ascii="Book Antiqua" w:hAnsi="Book Antiqua" w:cs="Book Antiqua"/>
          <w:color w:val="000000" w:themeColor="text1"/>
          <w:lang w:eastAsia="zh-CN"/>
        </w:rPr>
        <w:t>A</w:t>
      </w:r>
      <w:r>
        <w:rPr>
          <w:rFonts w:ascii="Book Antiqua" w:eastAsia="Book Antiqua" w:hAnsi="Book Antiqua" w:cs="Book Antiqua"/>
          <w:color w:val="000000" w:themeColor="text1"/>
        </w:rPr>
        <w:t>fter complete dissection. One can observe the posterior implantation of the cystic duct on the common hepatic duct.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CD: </w:t>
      </w:r>
      <w:r>
        <w:rPr>
          <w:rFonts w:ascii="Book Antiqua" w:hAnsi="Book Antiqua" w:cs="Book Antiqua"/>
          <w:color w:val="000000" w:themeColor="text1"/>
          <w:lang w:eastAsia="zh-CN"/>
        </w:rPr>
        <w:t>C</w:t>
      </w:r>
      <w:r>
        <w:rPr>
          <w:rFonts w:ascii="Book Antiqua" w:eastAsia="Book Antiqua" w:hAnsi="Book Antiqua" w:cs="Book Antiqua"/>
          <w:color w:val="000000" w:themeColor="text1"/>
        </w:rPr>
        <w:t xml:space="preserve">ystic duct; CHD: </w:t>
      </w:r>
      <w:r>
        <w:rPr>
          <w:rFonts w:ascii="Book Antiqua" w:hAnsi="Book Antiqua" w:cs="Book Antiqua"/>
          <w:color w:val="000000" w:themeColor="text1"/>
          <w:lang w:eastAsia="zh-CN"/>
        </w:rPr>
        <w:t>C</w:t>
      </w:r>
      <w:r>
        <w:rPr>
          <w:rFonts w:ascii="Book Antiqua" w:eastAsia="Book Antiqua" w:hAnsi="Book Antiqua" w:cs="Book Antiqua"/>
          <w:color w:val="000000" w:themeColor="text1"/>
        </w:rPr>
        <w:t xml:space="preserve">ommon hepatic duct; CBD: </w:t>
      </w:r>
      <w:r>
        <w:rPr>
          <w:rFonts w:ascii="Book Antiqua" w:hAnsi="Book Antiqua" w:cs="Book Antiqua"/>
          <w:color w:val="000000" w:themeColor="text1"/>
          <w:lang w:eastAsia="zh-CN"/>
        </w:rPr>
        <w:t>C</w:t>
      </w:r>
      <w:r>
        <w:rPr>
          <w:rFonts w:ascii="Book Antiqua" w:eastAsia="Book Antiqua" w:hAnsi="Book Antiqua" w:cs="Book Antiqua"/>
          <w:color w:val="000000" w:themeColor="text1"/>
        </w:rPr>
        <w:t>ommon bile duct.</w:t>
      </w:r>
      <w:r>
        <w:br w:type="page"/>
      </w:r>
    </w:p>
    <w:p w14:paraId="60B7754A" w14:textId="77777777" w:rsidR="00C41B3E" w:rsidRDefault="0070572D">
      <w:pPr>
        <w:spacing w:line="360" w:lineRule="auto"/>
        <w:jc w:val="both"/>
        <w:rPr>
          <w:rFonts w:ascii="Book Antiqua" w:hAnsi="Book Antiqua" w:cs="Book Antiqua"/>
          <w:i/>
          <w:iCs/>
          <w:color w:val="000000" w:themeColor="text1"/>
          <w:lang w:eastAsia="zh-CN"/>
        </w:rPr>
      </w:pPr>
      <w:r>
        <w:rPr>
          <w:noProof/>
          <w:lang w:eastAsia="zh-CN"/>
        </w:rPr>
        <w:lastRenderedPageBreak/>
        <w:drawing>
          <wp:inline distT="0" distB="0" distL="0" distR="0" wp14:anchorId="7C9486AA" wp14:editId="68FF3093">
            <wp:extent cx="4206875" cy="38836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stretch>
                      <a:fillRect/>
                    </a:stretch>
                  </pic:blipFill>
                  <pic:spPr bwMode="auto">
                    <a:xfrm>
                      <a:off x="0" y="0"/>
                      <a:ext cx="4206875" cy="3883660"/>
                    </a:xfrm>
                    <a:prstGeom prst="rect">
                      <a:avLst/>
                    </a:prstGeom>
                  </pic:spPr>
                </pic:pic>
              </a:graphicData>
            </a:graphic>
          </wp:inline>
        </w:drawing>
      </w:r>
    </w:p>
    <w:p w14:paraId="791B820E" w14:textId="77777777" w:rsidR="00C41B3E" w:rsidRDefault="0070572D">
      <w:pPr>
        <w:spacing w:line="360" w:lineRule="auto"/>
        <w:jc w:val="both"/>
      </w:pPr>
      <w:r>
        <w:rPr>
          <w:rFonts w:ascii="Book Antiqua" w:eastAsia="Book Antiqua" w:hAnsi="Book Antiqua" w:cs="Book Antiqua"/>
          <w:b/>
          <w:iCs/>
          <w:color w:val="000000" w:themeColor="text1"/>
        </w:rPr>
        <w:t>Figure 2</w:t>
      </w:r>
      <w:r>
        <w:rPr>
          <w:rFonts w:ascii="Book Antiqua" w:hAnsi="Book Antiqua" w:cs="Book Antiqua"/>
          <w:b/>
          <w:color w:val="000000" w:themeColor="text1"/>
          <w:lang w:eastAsia="zh-CN"/>
        </w:rPr>
        <w:t xml:space="preserve"> </w:t>
      </w:r>
      <w:r>
        <w:rPr>
          <w:rFonts w:ascii="Book Antiqua" w:eastAsia="Book Antiqua" w:hAnsi="Book Antiqua" w:cs="Book Antiqua"/>
          <w:b/>
          <w:color w:val="000000" w:themeColor="text1"/>
        </w:rPr>
        <w:t xml:space="preserve">Classical extrahepatic biliary anatomy with identification of the right and left hepatic ducts using </w:t>
      </w:r>
      <w:r>
        <w:rPr>
          <w:rFonts w:ascii="Book Antiqua" w:hAnsi="Book Antiqua" w:cs="Book Antiqua"/>
          <w:b/>
          <w:color w:val="000000" w:themeColor="text1"/>
          <w:lang w:eastAsia="zh-CN"/>
        </w:rPr>
        <w:t>n</w:t>
      </w:r>
      <w:r>
        <w:rPr>
          <w:rFonts w:ascii="Book Antiqua" w:eastAsia="Book Antiqua" w:hAnsi="Book Antiqua" w:cs="Book Antiqua"/>
          <w:b/>
          <w:color w:val="000000" w:themeColor="text1"/>
        </w:rPr>
        <w:t>ear-infrared fluorescent cholangiography.</w:t>
      </w:r>
      <w:r>
        <w:rPr>
          <w:rFonts w:ascii="Book Antiqua" w:hAnsi="Book Antiqua" w:cs="Book Antiqua"/>
          <w:b/>
          <w:color w:val="000000" w:themeColor="text1"/>
          <w:lang w:eastAsia="zh-CN"/>
        </w:rPr>
        <w:t xml:space="preserve"> </w:t>
      </w:r>
      <w:r>
        <w:rPr>
          <w:rFonts w:ascii="Book Antiqua" w:eastAsia="Book Antiqua" w:hAnsi="Book Antiqua" w:cs="Book Antiqua"/>
          <w:color w:val="000000" w:themeColor="text1"/>
        </w:rPr>
        <w:t xml:space="preserve">CD: </w:t>
      </w:r>
      <w:r>
        <w:rPr>
          <w:rFonts w:ascii="Book Antiqua" w:hAnsi="Book Antiqua" w:cs="Book Antiqua"/>
          <w:color w:val="000000" w:themeColor="text1"/>
          <w:lang w:eastAsia="zh-CN"/>
        </w:rPr>
        <w:t>C</w:t>
      </w:r>
      <w:r>
        <w:rPr>
          <w:rFonts w:ascii="Book Antiqua" w:eastAsia="Book Antiqua" w:hAnsi="Book Antiqua" w:cs="Book Antiqua"/>
          <w:color w:val="000000" w:themeColor="text1"/>
        </w:rPr>
        <w:t xml:space="preserve">ystic duct; CHD: </w:t>
      </w:r>
      <w:r>
        <w:rPr>
          <w:rFonts w:ascii="Book Antiqua" w:hAnsi="Book Antiqua" w:cs="Book Antiqua"/>
          <w:color w:val="000000" w:themeColor="text1"/>
          <w:lang w:eastAsia="zh-CN"/>
        </w:rPr>
        <w:t>C</w:t>
      </w:r>
      <w:r>
        <w:rPr>
          <w:rFonts w:ascii="Book Antiqua" w:eastAsia="Book Antiqua" w:hAnsi="Book Antiqua" w:cs="Book Antiqua"/>
          <w:color w:val="000000" w:themeColor="text1"/>
        </w:rPr>
        <w:t xml:space="preserve">ommon hepatic duct; </w:t>
      </w:r>
      <w:r>
        <w:rPr>
          <w:rFonts w:ascii="Book Antiqua" w:hAnsi="Book Antiqua" w:cs="Book Antiqua"/>
          <w:color w:val="000000" w:themeColor="text1"/>
          <w:lang w:eastAsia="zh-CN"/>
        </w:rPr>
        <w:t>RH</w:t>
      </w:r>
      <w:r>
        <w:rPr>
          <w:rFonts w:ascii="Book Antiqua" w:eastAsia="Book Antiqua" w:hAnsi="Book Antiqua" w:cs="Book Antiqua"/>
          <w:color w:val="000000" w:themeColor="text1"/>
        </w:rPr>
        <w:t>D: Right hepatic duct</w:t>
      </w:r>
      <w:r>
        <w:rPr>
          <w:rFonts w:ascii="Book Antiqua" w:hAnsi="Book Antiqua" w:cs="Book Antiqua"/>
          <w:color w:val="000000" w:themeColor="text1"/>
          <w:lang w:eastAsia="zh-CN"/>
        </w:rPr>
        <w:t>; LHD: Left hepatic duct.</w:t>
      </w:r>
      <w:r>
        <w:br w:type="page"/>
      </w:r>
    </w:p>
    <w:p w14:paraId="2F593BB0" w14:textId="77777777" w:rsidR="00C41B3E" w:rsidRDefault="0070572D">
      <w:pPr>
        <w:spacing w:line="360" w:lineRule="auto"/>
        <w:jc w:val="both"/>
        <w:rPr>
          <w:rFonts w:ascii="Book Antiqua" w:hAnsi="Book Antiqua" w:cs="Book Antiqua"/>
          <w:i/>
          <w:iCs/>
          <w:color w:val="000000" w:themeColor="text1"/>
          <w:lang w:eastAsia="zh-CN"/>
        </w:rPr>
      </w:pPr>
      <w:r>
        <w:rPr>
          <w:noProof/>
          <w:lang w:eastAsia="zh-CN"/>
        </w:rPr>
        <w:lastRenderedPageBreak/>
        <w:drawing>
          <wp:inline distT="0" distB="0" distL="0" distR="0" wp14:anchorId="20F76B52" wp14:editId="4EDCDC30">
            <wp:extent cx="4425950" cy="34626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stretch>
                      <a:fillRect/>
                    </a:stretch>
                  </pic:blipFill>
                  <pic:spPr bwMode="auto">
                    <a:xfrm>
                      <a:off x="0" y="0"/>
                      <a:ext cx="4425950" cy="3462655"/>
                    </a:xfrm>
                    <a:prstGeom prst="rect">
                      <a:avLst/>
                    </a:prstGeom>
                  </pic:spPr>
                </pic:pic>
              </a:graphicData>
            </a:graphic>
          </wp:inline>
        </w:drawing>
      </w:r>
    </w:p>
    <w:p w14:paraId="0D53984C" w14:textId="77777777" w:rsidR="00C41B3E" w:rsidRDefault="0070572D">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iCs/>
          <w:color w:val="000000" w:themeColor="text1"/>
        </w:rPr>
        <w:t>Figure 3</w:t>
      </w:r>
      <w:r>
        <w:rPr>
          <w:rFonts w:ascii="Book Antiqua" w:hAnsi="Book Antiqua" w:cs="Book Antiqua"/>
          <w:b/>
          <w:iCs/>
          <w:color w:val="000000" w:themeColor="text1"/>
          <w:lang w:eastAsia="zh-CN"/>
        </w:rPr>
        <w:t xml:space="preserve"> </w:t>
      </w:r>
      <w:r>
        <w:rPr>
          <w:rFonts w:ascii="Book Antiqua" w:eastAsia="Book Antiqua" w:hAnsi="Book Antiqua" w:cs="Book Antiqua"/>
          <w:b/>
          <w:color w:val="000000" w:themeColor="text1"/>
        </w:rPr>
        <w:t>Identification of cystic duct stones by means of fluorescence.</w:t>
      </w:r>
      <w:r>
        <w:br w:type="page"/>
      </w:r>
    </w:p>
    <w:p w14:paraId="5B06486A" w14:textId="77777777" w:rsidR="00C41B3E" w:rsidRDefault="0070572D">
      <w:pPr>
        <w:spacing w:line="360" w:lineRule="auto"/>
        <w:jc w:val="both"/>
        <w:rPr>
          <w:rFonts w:ascii="Book Antiqua" w:eastAsia="Book Antiqua" w:hAnsi="Book Antiqua" w:cs="Book Antiqua"/>
          <w:b/>
          <w:color w:val="000000" w:themeColor="text1"/>
        </w:rPr>
      </w:pPr>
      <w:r>
        <w:rPr>
          <w:rFonts w:ascii="Book Antiqua" w:eastAsia="Calibri" w:hAnsi="Book Antiqua"/>
          <w:b/>
          <w:bCs/>
          <w:color w:val="000000" w:themeColor="text1"/>
          <w:u w:color="4F81BD"/>
          <w:lang w:eastAsia="it-IT"/>
        </w:rPr>
        <w:lastRenderedPageBreak/>
        <w:t>Table 1</w:t>
      </w:r>
      <w:r>
        <w:rPr>
          <w:rFonts w:ascii="Book Antiqua" w:hAnsi="Book Antiqua"/>
          <w:b/>
          <w:bCs/>
          <w:color w:val="000000" w:themeColor="text1"/>
          <w:u w:color="4F81BD"/>
          <w:lang w:eastAsia="zh-CN"/>
        </w:rPr>
        <w:t xml:space="preserve"> </w:t>
      </w:r>
      <w:r>
        <w:rPr>
          <w:rFonts w:ascii="Book Antiqua" w:eastAsia="Calibri" w:hAnsi="Book Antiqua"/>
          <w:b/>
          <w:bCs/>
          <w:color w:val="000000" w:themeColor="text1"/>
          <w:u w:color="4F81BD"/>
          <w:lang w:eastAsia="it-IT"/>
        </w:rPr>
        <w:t>Cholecysto-cholangiography with direct intra-gallbladder indocyanine green injection</w:t>
      </w:r>
    </w:p>
    <w:tbl>
      <w:tblPr>
        <w:tblStyle w:val="TableNormal"/>
        <w:tblW w:w="10036" w:type="dxa"/>
        <w:tblBorders>
          <w:top w:val="single" w:sz="4" w:space="0" w:color="000000"/>
          <w:bottom w:val="single" w:sz="4" w:space="0" w:color="000000"/>
          <w:insideH w:val="single" w:sz="4" w:space="0" w:color="000000"/>
        </w:tblBorders>
        <w:shd w:val="clear" w:color="auto" w:fill="CED7E7"/>
        <w:tblCellMar>
          <w:top w:w="80" w:type="dxa"/>
          <w:left w:w="80" w:type="dxa"/>
          <w:bottom w:w="80" w:type="dxa"/>
          <w:right w:w="80" w:type="dxa"/>
        </w:tblCellMar>
        <w:tblLook w:val="04A0" w:firstRow="1" w:lastRow="0" w:firstColumn="1" w:lastColumn="0" w:noHBand="0" w:noVBand="1"/>
      </w:tblPr>
      <w:tblGrid>
        <w:gridCol w:w="1162"/>
        <w:gridCol w:w="1427"/>
        <w:gridCol w:w="1040"/>
        <w:gridCol w:w="1427"/>
        <w:gridCol w:w="1520"/>
        <w:gridCol w:w="1173"/>
        <w:gridCol w:w="1494"/>
        <w:gridCol w:w="1267"/>
      </w:tblGrid>
      <w:tr w:rsidR="00C41B3E" w14:paraId="042FEC1C" w14:textId="77777777">
        <w:trPr>
          <w:trHeight w:val="393"/>
        </w:trPr>
        <w:tc>
          <w:tcPr>
            <w:tcW w:w="1021" w:type="dxa"/>
            <w:tcBorders>
              <w:top w:val="single" w:sz="4" w:space="0" w:color="000000"/>
              <w:bottom w:val="single" w:sz="4" w:space="0" w:color="000000"/>
            </w:tcBorders>
            <w:shd w:val="clear" w:color="auto" w:fill="FFFFFF"/>
          </w:tcPr>
          <w:p w14:paraId="1B14FC2D" w14:textId="77777777" w:rsidR="00C41B3E" w:rsidRDefault="0070572D">
            <w:pPr>
              <w:spacing w:line="360" w:lineRule="auto"/>
              <w:jc w:val="both"/>
              <w:rPr>
                <w:rFonts w:ascii="Book Antiqua" w:hAnsi="Book Antiqua"/>
                <w:b/>
                <w:color w:val="000000" w:themeColor="text1"/>
                <w:lang w:eastAsia="zh-CN"/>
              </w:rPr>
            </w:pPr>
            <w:r>
              <w:rPr>
                <w:rFonts w:ascii="Book Antiqua" w:eastAsia="Arial Unicode MS" w:hAnsi="Book Antiqua"/>
                <w:b/>
                <w:bCs/>
                <w:color w:val="000000" w:themeColor="text1"/>
                <w:lang w:eastAsia="zh-CN"/>
              </w:rPr>
              <w:t>Ref.</w:t>
            </w:r>
          </w:p>
        </w:tc>
        <w:tc>
          <w:tcPr>
            <w:tcW w:w="1584" w:type="dxa"/>
            <w:tcBorders>
              <w:top w:val="single" w:sz="4" w:space="0" w:color="000000"/>
              <w:bottom w:val="single" w:sz="4" w:space="0" w:color="000000"/>
            </w:tcBorders>
            <w:shd w:val="clear" w:color="auto" w:fill="FFFFFF"/>
          </w:tcPr>
          <w:p w14:paraId="0F1B12E2" w14:textId="77777777" w:rsidR="00C41B3E" w:rsidRDefault="0070572D">
            <w:pPr>
              <w:spacing w:line="360" w:lineRule="auto"/>
              <w:jc w:val="both"/>
              <w:rPr>
                <w:rFonts w:ascii="Book Antiqua" w:hAnsi="Book Antiqua"/>
                <w:b/>
                <w:color w:val="000000" w:themeColor="text1"/>
              </w:rPr>
            </w:pPr>
            <w:r>
              <w:rPr>
                <w:rFonts w:ascii="Book Antiqua" w:eastAsia="Arial Unicode MS" w:hAnsi="Book Antiqua"/>
                <w:b/>
                <w:bCs/>
                <w:color w:val="000000" w:themeColor="text1"/>
              </w:rPr>
              <w:t>Type of publication</w:t>
            </w:r>
          </w:p>
        </w:tc>
        <w:tc>
          <w:tcPr>
            <w:tcW w:w="913" w:type="dxa"/>
            <w:tcBorders>
              <w:top w:val="single" w:sz="4" w:space="0" w:color="000000"/>
              <w:bottom w:val="single" w:sz="4" w:space="0" w:color="000000"/>
            </w:tcBorders>
            <w:shd w:val="clear" w:color="auto" w:fill="FFFFFF"/>
          </w:tcPr>
          <w:p w14:paraId="1CB014FC" w14:textId="1C347252" w:rsidR="00C41B3E" w:rsidRDefault="0070572D">
            <w:pPr>
              <w:spacing w:line="360" w:lineRule="auto"/>
              <w:jc w:val="both"/>
              <w:rPr>
                <w:rFonts w:ascii="Book Antiqua" w:hAnsi="Book Antiqua"/>
                <w:b/>
                <w:color w:val="000000" w:themeColor="text1"/>
              </w:rPr>
            </w:pPr>
            <w:r>
              <w:rPr>
                <w:rFonts w:ascii="Book Antiqua" w:eastAsia="Arial Unicode MS" w:hAnsi="Book Antiqua"/>
                <w:b/>
                <w:bCs/>
                <w:color w:val="000000" w:themeColor="text1"/>
              </w:rPr>
              <w:t>N</w:t>
            </w:r>
            <w:r w:rsidR="0061127A">
              <w:rPr>
                <w:rFonts w:ascii="Book Antiqua" w:eastAsia="Arial Unicode MS" w:hAnsi="Book Antiqua"/>
                <w:b/>
                <w:bCs/>
                <w:color w:val="000000" w:themeColor="text1"/>
              </w:rPr>
              <w:t>o.</w:t>
            </w:r>
            <w:r>
              <w:rPr>
                <w:rFonts w:ascii="Book Antiqua" w:eastAsia="Arial Unicode MS" w:hAnsi="Book Antiqua"/>
                <w:b/>
                <w:bCs/>
                <w:color w:val="000000" w:themeColor="text1"/>
              </w:rPr>
              <w:t xml:space="preserve"> of patients</w:t>
            </w:r>
          </w:p>
        </w:tc>
        <w:tc>
          <w:tcPr>
            <w:tcW w:w="1187" w:type="dxa"/>
            <w:tcBorders>
              <w:top w:val="single" w:sz="4" w:space="0" w:color="000000"/>
              <w:bottom w:val="single" w:sz="4" w:space="0" w:color="000000"/>
            </w:tcBorders>
            <w:shd w:val="clear" w:color="auto" w:fill="FFFFFF"/>
          </w:tcPr>
          <w:p w14:paraId="2A21D9D2" w14:textId="58D0632D" w:rsidR="00C41B3E" w:rsidRDefault="0070572D">
            <w:pPr>
              <w:spacing w:line="360" w:lineRule="auto"/>
              <w:jc w:val="both"/>
              <w:rPr>
                <w:rFonts w:ascii="Book Antiqua" w:hAnsi="Book Antiqua"/>
                <w:b/>
                <w:bCs/>
                <w:color w:val="000000" w:themeColor="text1"/>
              </w:rPr>
            </w:pPr>
            <w:r>
              <w:rPr>
                <w:rFonts w:ascii="Book Antiqua" w:eastAsia="Arial Unicode MS" w:hAnsi="Book Antiqua"/>
                <w:b/>
                <w:bCs/>
                <w:color w:val="000000" w:themeColor="text1"/>
              </w:rPr>
              <w:t>N</w:t>
            </w:r>
            <w:r w:rsidR="0061127A">
              <w:rPr>
                <w:rFonts w:ascii="Book Antiqua" w:eastAsia="Arial Unicode MS" w:hAnsi="Book Antiqua"/>
                <w:b/>
                <w:bCs/>
                <w:color w:val="000000" w:themeColor="text1"/>
              </w:rPr>
              <w:t>o.</w:t>
            </w:r>
            <w:r>
              <w:rPr>
                <w:rFonts w:ascii="Book Antiqua" w:eastAsia="Arial Unicode MS" w:hAnsi="Book Antiqua"/>
                <w:b/>
                <w:bCs/>
                <w:color w:val="000000" w:themeColor="text1"/>
              </w:rPr>
              <w:t xml:space="preserve"> of patients with gallbladder lithiasis</w:t>
            </w:r>
          </w:p>
        </w:tc>
        <w:tc>
          <w:tcPr>
            <w:tcW w:w="1309" w:type="dxa"/>
            <w:tcBorders>
              <w:top w:val="single" w:sz="4" w:space="0" w:color="000000"/>
              <w:bottom w:val="single" w:sz="4" w:space="0" w:color="000000"/>
            </w:tcBorders>
            <w:shd w:val="clear" w:color="auto" w:fill="FFFFFF"/>
          </w:tcPr>
          <w:p w14:paraId="6FAE11B2" w14:textId="28AF1487" w:rsidR="00C41B3E" w:rsidRDefault="0070572D">
            <w:pPr>
              <w:spacing w:line="360" w:lineRule="auto"/>
              <w:jc w:val="both"/>
              <w:rPr>
                <w:rFonts w:ascii="Book Antiqua" w:hAnsi="Book Antiqua"/>
                <w:b/>
                <w:color w:val="000000" w:themeColor="text1"/>
              </w:rPr>
            </w:pPr>
            <w:r>
              <w:rPr>
                <w:rFonts w:ascii="Book Antiqua" w:eastAsia="Arial Unicode MS" w:hAnsi="Book Antiqua"/>
                <w:b/>
                <w:bCs/>
                <w:color w:val="000000" w:themeColor="text1"/>
              </w:rPr>
              <w:t>N</w:t>
            </w:r>
            <w:r w:rsidR="0061127A">
              <w:rPr>
                <w:rFonts w:ascii="Book Antiqua" w:eastAsia="Arial Unicode MS" w:hAnsi="Book Antiqua"/>
                <w:b/>
                <w:bCs/>
                <w:color w:val="000000" w:themeColor="text1"/>
              </w:rPr>
              <w:t>o.</w:t>
            </w:r>
            <w:r>
              <w:rPr>
                <w:rFonts w:ascii="Book Antiqua" w:eastAsia="Arial Unicode MS" w:hAnsi="Book Antiqua"/>
                <w:b/>
                <w:bCs/>
                <w:color w:val="000000" w:themeColor="text1"/>
              </w:rPr>
              <w:t xml:space="preserve"> of patients with acute cholecystitis</w:t>
            </w:r>
          </w:p>
        </w:tc>
        <w:tc>
          <w:tcPr>
            <w:tcW w:w="1581" w:type="dxa"/>
            <w:tcBorders>
              <w:top w:val="single" w:sz="4" w:space="0" w:color="000000"/>
              <w:bottom w:val="single" w:sz="4" w:space="0" w:color="000000"/>
            </w:tcBorders>
            <w:shd w:val="clear" w:color="auto" w:fill="FFFFFF"/>
            <w:tcMar>
              <w:top w:w="0" w:type="dxa"/>
              <w:left w:w="0" w:type="dxa"/>
              <w:bottom w:w="0" w:type="dxa"/>
              <w:right w:w="0" w:type="dxa"/>
            </w:tcMar>
          </w:tcPr>
          <w:p w14:paraId="03E9D3A7" w14:textId="77777777" w:rsidR="00C41B3E" w:rsidRDefault="0070572D">
            <w:pPr>
              <w:spacing w:line="360" w:lineRule="auto"/>
              <w:jc w:val="both"/>
              <w:rPr>
                <w:rFonts w:ascii="Book Antiqua" w:hAnsi="Book Antiqua"/>
                <w:b/>
                <w:bCs/>
                <w:color w:val="000000" w:themeColor="text1"/>
              </w:rPr>
            </w:pPr>
            <w:r>
              <w:rPr>
                <w:rFonts w:ascii="Book Antiqua" w:eastAsia="Arial Unicode MS" w:hAnsi="Book Antiqua"/>
                <w:b/>
                <w:bCs/>
                <w:color w:val="000000" w:themeColor="text1"/>
              </w:rPr>
              <w:t>Technique</w:t>
            </w:r>
          </w:p>
        </w:tc>
        <w:tc>
          <w:tcPr>
            <w:tcW w:w="1310" w:type="dxa"/>
            <w:tcBorders>
              <w:top w:val="single" w:sz="4" w:space="0" w:color="000000"/>
              <w:bottom w:val="single" w:sz="4" w:space="0" w:color="000000"/>
            </w:tcBorders>
            <w:shd w:val="clear" w:color="auto" w:fill="FFFFFF"/>
            <w:tcMar>
              <w:top w:w="0" w:type="dxa"/>
              <w:left w:w="0" w:type="dxa"/>
              <w:bottom w:w="0" w:type="dxa"/>
              <w:right w:w="0" w:type="dxa"/>
            </w:tcMar>
          </w:tcPr>
          <w:p w14:paraId="3C69560E" w14:textId="77777777" w:rsidR="00C41B3E" w:rsidRDefault="0070572D">
            <w:pPr>
              <w:spacing w:line="360" w:lineRule="auto"/>
              <w:jc w:val="both"/>
              <w:rPr>
                <w:rFonts w:ascii="Book Antiqua" w:hAnsi="Book Antiqua"/>
                <w:b/>
                <w:bCs/>
                <w:color w:val="000000" w:themeColor="text1"/>
              </w:rPr>
            </w:pPr>
            <w:r>
              <w:rPr>
                <w:rFonts w:ascii="Book Antiqua" w:eastAsia="Arial Unicode MS" w:hAnsi="Book Antiqua"/>
                <w:b/>
                <w:bCs/>
                <w:color w:val="000000" w:themeColor="text1"/>
              </w:rPr>
              <w:t>Complication</w:t>
            </w:r>
          </w:p>
        </w:tc>
        <w:tc>
          <w:tcPr>
            <w:tcW w:w="1131" w:type="dxa"/>
            <w:tcBorders>
              <w:top w:val="single" w:sz="4" w:space="0" w:color="000000"/>
              <w:bottom w:val="single" w:sz="4" w:space="0" w:color="000000"/>
            </w:tcBorders>
            <w:shd w:val="clear" w:color="auto" w:fill="FFFFFF"/>
            <w:tcMar>
              <w:top w:w="0" w:type="dxa"/>
              <w:left w:w="0" w:type="dxa"/>
              <w:bottom w:w="0" w:type="dxa"/>
              <w:right w:w="0" w:type="dxa"/>
            </w:tcMar>
          </w:tcPr>
          <w:p w14:paraId="30172D41" w14:textId="77777777" w:rsidR="00C41B3E" w:rsidRDefault="0070572D">
            <w:pPr>
              <w:spacing w:line="360" w:lineRule="auto"/>
              <w:jc w:val="both"/>
              <w:rPr>
                <w:rFonts w:ascii="Book Antiqua" w:hAnsi="Book Antiqua"/>
                <w:b/>
                <w:bCs/>
                <w:color w:val="000000" w:themeColor="text1"/>
              </w:rPr>
            </w:pPr>
            <w:r>
              <w:rPr>
                <w:rFonts w:ascii="Book Antiqua" w:eastAsia="Arial Unicode MS" w:hAnsi="Book Antiqua"/>
                <w:b/>
                <w:bCs/>
                <w:color w:val="000000" w:themeColor="text1"/>
              </w:rPr>
              <w:t>Conversion to open surgery</w:t>
            </w:r>
          </w:p>
        </w:tc>
      </w:tr>
      <w:tr w:rsidR="00C41B3E" w14:paraId="7EC1BF18" w14:textId="77777777">
        <w:trPr>
          <w:trHeight w:val="573"/>
        </w:trPr>
        <w:tc>
          <w:tcPr>
            <w:tcW w:w="1021" w:type="dxa"/>
            <w:tcBorders>
              <w:top w:val="single" w:sz="4" w:space="0" w:color="000000"/>
              <w:bottom w:val="single" w:sz="4" w:space="0" w:color="000000"/>
            </w:tcBorders>
            <w:shd w:val="clear" w:color="auto" w:fill="FFFFFF"/>
          </w:tcPr>
          <w:p w14:paraId="3D81AB50"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bCs/>
                <w:color w:val="000000" w:themeColor="text1"/>
              </w:rPr>
              <w:t xml:space="preserve">Jao </w:t>
            </w:r>
            <w:r>
              <w:rPr>
                <w:rFonts w:ascii="Book Antiqua" w:eastAsia="Arial Unicode MS" w:hAnsi="Book Antiqua"/>
                <w:bCs/>
                <w:i/>
                <w:color w:val="000000" w:themeColor="text1"/>
              </w:rPr>
              <w:t>et al</w:t>
            </w:r>
            <w:r>
              <w:rPr>
                <w:rFonts w:ascii="Book Antiqua" w:eastAsia="Arial Unicode MS" w:hAnsi="Book Antiqua"/>
                <w:bCs/>
                <w:color w:val="000000" w:themeColor="text1"/>
                <w:vertAlign w:val="superscript"/>
              </w:rPr>
              <w:t>[26]</w:t>
            </w:r>
            <w:r>
              <w:rPr>
                <w:rFonts w:ascii="Book Antiqua" w:eastAsia="Arial Unicode MS" w:hAnsi="Book Antiqua"/>
                <w:bCs/>
                <w:color w:val="000000" w:themeColor="text1"/>
              </w:rPr>
              <w:t>,</w:t>
            </w:r>
            <w:r>
              <w:rPr>
                <w:rFonts w:ascii="Book Antiqua" w:eastAsia="Arial Unicode MS" w:hAnsi="Book Antiqua"/>
                <w:bCs/>
                <w:color w:val="000000" w:themeColor="text1"/>
                <w:lang w:eastAsia="zh-CN"/>
              </w:rPr>
              <w:t xml:space="preserve"> </w:t>
            </w:r>
            <w:r>
              <w:rPr>
                <w:rFonts w:ascii="Book Antiqua" w:eastAsia="Arial Unicode MS" w:hAnsi="Book Antiqua"/>
                <w:bCs/>
                <w:color w:val="000000" w:themeColor="text1"/>
              </w:rPr>
              <w:t>2020</w:t>
            </w:r>
          </w:p>
        </w:tc>
        <w:tc>
          <w:tcPr>
            <w:tcW w:w="1584" w:type="dxa"/>
            <w:tcBorders>
              <w:top w:val="single" w:sz="4" w:space="0" w:color="000000"/>
              <w:bottom w:val="single" w:sz="4" w:space="0" w:color="000000"/>
            </w:tcBorders>
            <w:shd w:val="clear" w:color="auto" w:fill="FFFFFF"/>
          </w:tcPr>
          <w:p w14:paraId="3295FE4B"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Case series</w:t>
            </w:r>
          </w:p>
        </w:tc>
        <w:tc>
          <w:tcPr>
            <w:tcW w:w="913" w:type="dxa"/>
            <w:tcBorders>
              <w:top w:val="single" w:sz="4" w:space="0" w:color="000000"/>
              <w:bottom w:val="single" w:sz="4" w:space="0" w:color="000000"/>
            </w:tcBorders>
            <w:shd w:val="clear" w:color="auto" w:fill="FFFFFF"/>
          </w:tcPr>
          <w:p w14:paraId="3F49621B"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2</w:t>
            </w:r>
          </w:p>
        </w:tc>
        <w:tc>
          <w:tcPr>
            <w:tcW w:w="1187" w:type="dxa"/>
            <w:tcBorders>
              <w:top w:val="single" w:sz="4" w:space="0" w:color="000000"/>
              <w:bottom w:val="single" w:sz="4" w:space="0" w:color="000000"/>
            </w:tcBorders>
            <w:shd w:val="clear" w:color="auto" w:fill="FFFFFF"/>
          </w:tcPr>
          <w:p w14:paraId="7D457DFF"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0</w:t>
            </w:r>
          </w:p>
        </w:tc>
        <w:tc>
          <w:tcPr>
            <w:tcW w:w="1309" w:type="dxa"/>
            <w:tcBorders>
              <w:top w:val="single" w:sz="4" w:space="0" w:color="000000"/>
              <w:bottom w:val="single" w:sz="4" w:space="0" w:color="000000"/>
            </w:tcBorders>
            <w:shd w:val="clear" w:color="auto" w:fill="FFFFFF"/>
          </w:tcPr>
          <w:p w14:paraId="6DFF97D2"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 xml:space="preserve">2 </w:t>
            </w:r>
          </w:p>
        </w:tc>
        <w:tc>
          <w:tcPr>
            <w:tcW w:w="1581" w:type="dxa"/>
            <w:tcBorders>
              <w:top w:val="single" w:sz="4" w:space="0" w:color="000000"/>
              <w:bottom w:val="single" w:sz="4" w:space="0" w:color="000000"/>
            </w:tcBorders>
            <w:shd w:val="clear" w:color="auto" w:fill="FFFFFF"/>
            <w:tcMar>
              <w:top w:w="0" w:type="dxa"/>
              <w:left w:w="0" w:type="dxa"/>
              <w:bottom w:w="0" w:type="dxa"/>
              <w:right w:w="0" w:type="dxa"/>
            </w:tcMar>
          </w:tcPr>
          <w:p w14:paraId="01703A9F" w14:textId="77777777" w:rsidR="00C41B3E" w:rsidRDefault="0070572D">
            <w:pPr>
              <w:spacing w:line="360" w:lineRule="auto"/>
              <w:jc w:val="both"/>
            </w:pPr>
            <w:r>
              <w:rPr>
                <w:rFonts w:ascii="Book Antiqua" w:eastAsia="Arial Unicode MS" w:hAnsi="Book Antiqua"/>
                <w:color w:val="000000" w:themeColor="text1"/>
              </w:rPr>
              <w:t>2 trans-PTGBD</w:t>
            </w:r>
            <w:r>
              <w:rPr>
                <w:rFonts w:ascii="Book Antiqua" w:eastAsia="Arial Unicode MS" w:hAnsi="Book Antiqua"/>
                <w:color w:val="000000" w:themeColor="text1"/>
                <w:lang w:eastAsia="zh-CN"/>
              </w:rPr>
              <w:t xml:space="preserve"> </w:t>
            </w:r>
            <w:r>
              <w:rPr>
                <w:rFonts w:ascii="Book Antiqua" w:eastAsia="Arial Unicode MS" w:hAnsi="Book Antiqua"/>
                <w:color w:val="000000" w:themeColor="text1"/>
              </w:rPr>
              <w:t>cases</w:t>
            </w:r>
          </w:p>
        </w:tc>
        <w:tc>
          <w:tcPr>
            <w:tcW w:w="1310" w:type="dxa"/>
            <w:tcBorders>
              <w:top w:val="single" w:sz="4" w:space="0" w:color="000000"/>
              <w:bottom w:val="single" w:sz="4" w:space="0" w:color="000000"/>
            </w:tcBorders>
            <w:shd w:val="clear" w:color="auto" w:fill="FFFFFF"/>
            <w:tcMar>
              <w:top w:w="0" w:type="dxa"/>
              <w:left w:w="0" w:type="dxa"/>
              <w:bottom w:w="0" w:type="dxa"/>
              <w:right w:w="0" w:type="dxa"/>
            </w:tcMar>
          </w:tcPr>
          <w:p w14:paraId="49858575" w14:textId="77777777" w:rsidR="00C41B3E" w:rsidRDefault="0070572D">
            <w:pPr>
              <w:spacing w:line="360" w:lineRule="auto"/>
              <w:jc w:val="both"/>
              <w:rPr>
                <w:color w:val="000000" w:themeColor="text1"/>
              </w:rPr>
            </w:pPr>
            <w:r>
              <w:rPr>
                <w:rFonts w:ascii="Book Antiqua" w:eastAsia="Arial Unicode MS" w:hAnsi="Book Antiqua"/>
                <w:color w:val="000000" w:themeColor="text1"/>
                <w:lang w:eastAsia="zh-CN"/>
              </w:rPr>
              <w:t>L</w:t>
            </w:r>
            <w:r>
              <w:rPr>
                <w:rFonts w:ascii="Book Antiqua" w:eastAsia="Arial Unicode MS" w:hAnsi="Book Antiqua"/>
                <w:color w:val="000000" w:themeColor="text1"/>
              </w:rPr>
              <w:t>ymphatic spillage</w:t>
            </w:r>
          </w:p>
        </w:tc>
        <w:tc>
          <w:tcPr>
            <w:tcW w:w="1131" w:type="dxa"/>
            <w:tcBorders>
              <w:top w:val="single" w:sz="4" w:space="0" w:color="000000"/>
              <w:bottom w:val="single" w:sz="4" w:space="0" w:color="000000"/>
            </w:tcBorders>
            <w:shd w:val="clear" w:color="auto" w:fill="FFFFFF"/>
            <w:tcMar>
              <w:top w:w="0" w:type="dxa"/>
              <w:left w:w="0" w:type="dxa"/>
              <w:bottom w:w="0" w:type="dxa"/>
              <w:right w:w="0" w:type="dxa"/>
            </w:tcMar>
          </w:tcPr>
          <w:p w14:paraId="225DACFA"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0</w:t>
            </w:r>
          </w:p>
        </w:tc>
      </w:tr>
      <w:tr w:rsidR="00C41B3E" w14:paraId="068F8D71" w14:textId="77777777">
        <w:trPr>
          <w:trHeight w:val="553"/>
        </w:trPr>
        <w:tc>
          <w:tcPr>
            <w:tcW w:w="1021" w:type="dxa"/>
            <w:tcBorders>
              <w:top w:val="single" w:sz="4" w:space="0" w:color="000000"/>
              <w:bottom w:val="single" w:sz="4" w:space="0" w:color="000000"/>
            </w:tcBorders>
            <w:shd w:val="clear" w:color="auto" w:fill="FFFFFF"/>
          </w:tcPr>
          <w:p w14:paraId="69CCF879"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bCs/>
                <w:color w:val="000000" w:themeColor="text1"/>
              </w:rPr>
              <w:t xml:space="preserve">Nitta </w:t>
            </w:r>
            <w:r>
              <w:rPr>
                <w:rFonts w:ascii="Book Antiqua" w:eastAsia="Arial Unicode MS" w:hAnsi="Book Antiqua"/>
                <w:bCs/>
                <w:i/>
                <w:color w:val="000000" w:themeColor="text1"/>
              </w:rPr>
              <w:t>et al</w:t>
            </w:r>
            <w:r>
              <w:rPr>
                <w:rFonts w:ascii="Book Antiqua" w:eastAsia="Arial Unicode MS" w:hAnsi="Book Antiqua"/>
                <w:bCs/>
                <w:color w:val="000000" w:themeColor="text1"/>
                <w:vertAlign w:val="superscript"/>
              </w:rPr>
              <w:t>[24]</w:t>
            </w:r>
            <w:r>
              <w:rPr>
                <w:rFonts w:ascii="Book Antiqua" w:eastAsia="Arial Unicode MS" w:hAnsi="Book Antiqua"/>
                <w:bCs/>
                <w:color w:val="000000" w:themeColor="text1"/>
              </w:rPr>
              <w:t>,</w:t>
            </w:r>
            <w:r>
              <w:rPr>
                <w:rFonts w:ascii="Book Antiqua" w:eastAsia="Arial Unicode MS" w:hAnsi="Book Antiqua"/>
                <w:bCs/>
                <w:color w:val="000000" w:themeColor="text1"/>
                <w:lang w:eastAsia="zh-CN"/>
              </w:rPr>
              <w:t xml:space="preserve"> </w:t>
            </w:r>
            <w:r>
              <w:rPr>
                <w:rFonts w:ascii="Book Antiqua" w:eastAsia="Arial Unicode MS" w:hAnsi="Book Antiqua"/>
                <w:bCs/>
                <w:color w:val="000000" w:themeColor="text1"/>
              </w:rPr>
              <w:t>2020</w:t>
            </w:r>
          </w:p>
        </w:tc>
        <w:tc>
          <w:tcPr>
            <w:tcW w:w="1584" w:type="dxa"/>
            <w:tcBorders>
              <w:top w:val="single" w:sz="4" w:space="0" w:color="000000"/>
              <w:bottom w:val="single" w:sz="4" w:space="0" w:color="000000"/>
            </w:tcBorders>
            <w:shd w:val="clear" w:color="auto" w:fill="FFFFFF"/>
          </w:tcPr>
          <w:p w14:paraId="7765246D"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Case report</w:t>
            </w:r>
          </w:p>
        </w:tc>
        <w:tc>
          <w:tcPr>
            <w:tcW w:w="913" w:type="dxa"/>
            <w:tcBorders>
              <w:top w:val="single" w:sz="4" w:space="0" w:color="000000"/>
              <w:bottom w:val="single" w:sz="4" w:space="0" w:color="000000"/>
            </w:tcBorders>
            <w:shd w:val="clear" w:color="auto" w:fill="FFFFFF"/>
          </w:tcPr>
          <w:p w14:paraId="7E336E11"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1</w:t>
            </w:r>
          </w:p>
        </w:tc>
        <w:tc>
          <w:tcPr>
            <w:tcW w:w="1187" w:type="dxa"/>
            <w:tcBorders>
              <w:top w:val="single" w:sz="4" w:space="0" w:color="000000"/>
              <w:bottom w:val="single" w:sz="4" w:space="0" w:color="000000"/>
            </w:tcBorders>
            <w:shd w:val="clear" w:color="auto" w:fill="FFFFFF"/>
          </w:tcPr>
          <w:p w14:paraId="161287C7"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0</w:t>
            </w:r>
          </w:p>
        </w:tc>
        <w:tc>
          <w:tcPr>
            <w:tcW w:w="1309" w:type="dxa"/>
            <w:tcBorders>
              <w:top w:val="single" w:sz="4" w:space="0" w:color="000000"/>
              <w:bottom w:val="single" w:sz="4" w:space="0" w:color="000000"/>
            </w:tcBorders>
            <w:shd w:val="clear" w:color="auto" w:fill="FFFFFF"/>
          </w:tcPr>
          <w:p w14:paraId="5FEF8BAC"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1</w:t>
            </w:r>
          </w:p>
        </w:tc>
        <w:tc>
          <w:tcPr>
            <w:tcW w:w="1581" w:type="dxa"/>
            <w:tcBorders>
              <w:top w:val="single" w:sz="4" w:space="0" w:color="000000"/>
              <w:bottom w:val="single" w:sz="4" w:space="0" w:color="000000"/>
            </w:tcBorders>
            <w:shd w:val="clear" w:color="auto" w:fill="FFFFFF"/>
            <w:tcMar>
              <w:top w:w="0" w:type="dxa"/>
              <w:left w:w="0" w:type="dxa"/>
              <w:bottom w:w="0" w:type="dxa"/>
              <w:right w:w="0" w:type="dxa"/>
            </w:tcMar>
          </w:tcPr>
          <w:p w14:paraId="03CE3009"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1 case through DGBP</w:t>
            </w:r>
          </w:p>
        </w:tc>
        <w:tc>
          <w:tcPr>
            <w:tcW w:w="1310" w:type="dxa"/>
            <w:tcBorders>
              <w:top w:val="single" w:sz="4" w:space="0" w:color="000000"/>
              <w:bottom w:val="single" w:sz="4" w:space="0" w:color="000000"/>
            </w:tcBorders>
            <w:shd w:val="clear" w:color="auto" w:fill="FFFFFF"/>
            <w:tcMar>
              <w:top w:w="0" w:type="dxa"/>
              <w:left w:w="0" w:type="dxa"/>
              <w:bottom w:w="0" w:type="dxa"/>
              <w:right w:w="0" w:type="dxa"/>
            </w:tcMar>
          </w:tcPr>
          <w:p w14:paraId="181587FD"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w:t>
            </w:r>
          </w:p>
        </w:tc>
        <w:tc>
          <w:tcPr>
            <w:tcW w:w="1131" w:type="dxa"/>
            <w:tcBorders>
              <w:top w:val="single" w:sz="4" w:space="0" w:color="000000"/>
              <w:bottom w:val="single" w:sz="4" w:space="0" w:color="000000"/>
            </w:tcBorders>
            <w:shd w:val="clear" w:color="auto" w:fill="FFFFFF"/>
            <w:tcMar>
              <w:top w:w="0" w:type="dxa"/>
              <w:left w:w="0" w:type="dxa"/>
              <w:bottom w:w="0" w:type="dxa"/>
              <w:right w:w="0" w:type="dxa"/>
            </w:tcMar>
          </w:tcPr>
          <w:p w14:paraId="0D0EA9AA"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0</w:t>
            </w:r>
          </w:p>
        </w:tc>
      </w:tr>
      <w:tr w:rsidR="00C41B3E" w14:paraId="7BAD3D8B" w14:textId="77777777">
        <w:trPr>
          <w:trHeight w:val="553"/>
        </w:trPr>
        <w:tc>
          <w:tcPr>
            <w:tcW w:w="1021" w:type="dxa"/>
            <w:tcBorders>
              <w:top w:val="single" w:sz="4" w:space="0" w:color="000000"/>
              <w:bottom w:val="single" w:sz="4" w:space="0" w:color="000000"/>
            </w:tcBorders>
            <w:shd w:val="clear" w:color="auto" w:fill="FFFFFF"/>
          </w:tcPr>
          <w:p w14:paraId="4C31E1BF" w14:textId="77777777" w:rsidR="00C41B3E" w:rsidRDefault="0070572D">
            <w:pPr>
              <w:spacing w:line="360" w:lineRule="auto"/>
              <w:jc w:val="both"/>
              <w:rPr>
                <w:rFonts w:ascii="Book Antiqua" w:eastAsia="Times New Roman" w:hAnsi="Book Antiqua"/>
                <w:bCs/>
                <w:color w:val="000000" w:themeColor="text1"/>
              </w:rPr>
            </w:pPr>
            <w:r>
              <w:rPr>
                <w:rFonts w:ascii="Book Antiqua" w:hAnsi="Book Antiqua"/>
                <w:bCs/>
                <w:color w:val="000000" w:themeColor="text1"/>
              </w:rPr>
              <w:t>Škrabec</w:t>
            </w:r>
            <w:r>
              <w:rPr>
                <w:rFonts w:ascii="Book Antiqua" w:hAnsi="Book Antiqua"/>
                <w:bCs/>
                <w:i/>
                <w:color w:val="000000" w:themeColor="text1"/>
              </w:rPr>
              <w:t>et al</w:t>
            </w:r>
            <w:r>
              <w:rPr>
                <w:rFonts w:ascii="Book Antiqua" w:hAnsi="Book Antiqua"/>
                <w:bCs/>
                <w:color w:val="000000" w:themeColor="text1"/>
                <w:vertAlign w:val="superscript"/>
              </w:rPr>
              <w:t>[23]</w:t>
            </w:r>
            <w:r>
              <w:rPr>
                <w:rFonts w:ascii="Book Antiqua" w:hAnsi="Book Antiqua"/>
                <w:bCs/>
                <w:color w:val="000000" w:themeColor="text1"/>
              </w:rPr>
              <w:t>,</w:t>
            </w:r>
            <w:r>
              <w:rPr>
                <w:rFonts w:ascii="Book Antiqua" w:eastAsia="Times New Roman" w:hAnsi="Book Antiqua"/>
                <w:bCs/>
                <w:color w:val="000000" w:themeColor="text1"/>
              </w:rPr>
              <w:t xml:space="preserve"> 2</w:t>
            </w:r>
            <w:r>
              <w:rPr>
                <w:rFonts w:ascii="Book Antiqua" w:hAnsi="Book Antiqua"/>
                <w:bCs/>
                <w:color w:val="000000" w:themeColor="text1"/>
              </w:rPr>
              <w:t>020</w:t>
            </w:r>
          </w:p>
        </w:tc>
        <w:tc>
          <w:tcPr>
            <w:tcW w:w="1584" w:type="dxa"/>
            <w:tcBorders>
              <w:top w:val="single" w:sz="4" w:space="0" w:color="000000"/>
              <w:bottom w:val="single" w:sz="4" w:space="0" w:color="000000"/>
            </w:tcBorders>
            <w:shd w:val="clear" w:color="auto" w:fill="FFFFFF"/>
          </w:tcPr>
          <w:p w14:paraId="30AE30FB"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Case-controlled study</w:t>
            </w:r>
          </w:p>
        </w:tc>
        <w:tc>
          <w:tcPr>
            <w:tcW w:w="913" w:type="dxa"/>
            <w:tcBorders>
              <w:top w:val="single" w:sz="4" w:space="0" w:color="000000"/>
              <w:bottom w:val="single" w:sz="4" w:space="0" w:color="000000"/>
            </w:tcBorders>
            <w:shd w:val="clear" w:color="auto" w:fill="FFFFFF"/>
          </w:tcPr>
          <w:p w14:paraId="2599E9CC"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20</w:t>
            </w:r>
          </w:p>
        </w:tc>
        <w:tc>
          <w:tcPr>
            <w:tcW w:w="1187" w:type="dxa"/>
            <w:tcBorders>
              <w:top w:val="single" w:sz="4" w:space="0" w:color="000000"/>
              <w:bottom w:val="single" w:sz="4" w:space="0" w:color="000000"/>
            </w:tcBorders>
            <w:shd w:val="clear" w:color="auto" w:fill="FFFFFF"/>
          </w:tcPr>
          <w:p w14:paraId="1CAAFE12"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19</w:t>
            </w:r>
          </w:p>
        </w:tc>
        <w:tc>
          <w:tcPr>
            <w:tcW w:w="1309" w:type="dxa"/>
            <w:tcBorders>
              <w:top w:val="single" w:sz="4" w:space="0" w:color="000000"/>
              <w:bottom w:val="single" w:sz="4" w:space="0" w:color="000000"/>
            </w:tcBorders>
            <w:shd w:val="clear" w:color="auto" w:fill="FFFFFF"/>
          </w:tcPr>
          <w:p w14:paraId="66E1AC8A"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1</w:t>
            </w:r>
          </w:p>
        </w:tc>
        <w:tc>
          <w:tcPr>
            <w:tcW w:w="1581" w:type="dxa"/>
            <w:tcBorders>
              <w:top w:val="single" w:sz="4" w:space="0" w:color="000000"/>
              <w:bottom w:val="single" w:sz="4" w:space="0" w:color="000000"/>
            </w:tcBorders>
            <w:shd w:val="clear" w:color="auto" w:fill="FFFFFF"/>
            <w:tcMar>
              <w:top w:w="0" w:type="dxa"/>
              <w:left w:w="0" w:type="dxa"/>
              <w:bottom w:w="0" w:type="dxa"/>
              <w:right w:w="0" w:type="dxa"/>
            </w:tcMar>
          </w:tcPr>
          <w:p w14:paraId="7AA50637"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20 cases through DGBP</w:t>
            </w:r>
          </w:p>
        </w:tc>
        <w:tc>
          <w:tcPr>
            <w:tcW w:w="1310" w:type="dxa"/>
            <w:tcBorders>
              <w:top w:val="single" w:sz="4" w:space="0" w:color="000000"/>
              <w:bottom w:val="single" w:sz="4" w:space="0" w:color="000000"/>
            </w:tcBorders>
            <w:shd w:val="clear" w:color="auto" w:fill="FFFFFF"/>
            <w:tcMar>
              <w:top w:w="0" w:type="dxa"/>
              <w:left w:w="0" w:type="dxa"/>
              <w:bottom w:w="0" w:type="dxa"/>
              <w:right w:w="0" w:type="dxa"/>
            </w:tcMar>
          </w:tcPr>
          <w:p w14:paraId="27EC7540"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ICG bile leakage in 1 case</w:t>
            </w:r>
            <w:r>
              <w:rPr>
                <w:rFonts w:ascii="Book Antiqua" w:eastAsia="Arial Unicode MS" w:hAnsi="Book Antiqua"/>
                <w:color w:val="000000" w:themeColor="text1"/>
                <w:lang w:eastAsia="zh-CN"/>
              </w:rPr>
              <w:t xml:space="preserve">; </w:t>
            </w:r>
            <w:r>
              <w:rPr>
                <w:rFonts w:ascii="Book Antiqua" w:eastAsia="Arial Unicode MS" w:hAnsi="Book Antiqua"/>
                <w:color w:val="000000" w:themeColor="text1"/>
              </w:rPr>
              <w:t>No progression of dye into the CD in 3 cases</w:t>
            </w:r>
          </w:p>
        </w:tc>
        <w:tc>
          <w:tcPr>
            <w:tcW w:w="1131" w:type="dxa"/>
            <w:tcBorders>
              <w:top w:val="single" w:sz="4" w:space="0" w:color="000000"/>
              <w:bottom w:val="single" w:sz="4" w:space="0" w:color="000000"/>
            </w:tcBorders>
            <w:shd w:val="clear" w:color="auto" w:fill="FFFFFF"/>
            <w:tcMar>
              <w:top w:w="0" w:type="dxa"/>
              <w:left w:w="0" w:type="dxa"/>
              <w:bottom w:w="0" w:type="dxa"/>
              <w:right w:w="0" w:type="dxa"/>
            </w:tcMar>
          </w:tcPr>
          <w:p w14:paraId="355AE919"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color w:val="000000" w:themeColor="text1"/>
              </w:rPr>
              <w:t>1</w:t>
            </w:r>
          </w:p>
        </w:tc>
      </w:tr>
      <w:tr w:rsidR="00C41B3E" w14:paraId="62368C23" w14:textId="77777777">
        <w:trPr>
          <w:trHeight w:val="553"/>
        </w:trPr>
        <w:tc>
          <w:tcPr>
            <w:tcW w:w="1021" w:type="dxa"/>
            <w:tcBorders>
              <w:top w:val="single" w:sz="4" w:space="0" w:color="000000"/>
              <w:bottom w:val="single" w:sz="4" w:space="0" w:color="000000"/>
            </w:tcBorders>
            <w:shd w:val="clear" w:color="auto" w:fill="FFFFFF"/>
          </w:tcPr>
          <w:p w14:paraId="401EF90E" w14:textId="77777777" w:rsidR="00C41B3E" w:rsidRDefault="0070572D">
            <w:pPr>
              <w:spacing w:line="360" w:lineRule="auto"/>
              <w:jc w:val="both"/>
              <w:rPr>
                <w:rFonts w:ascii="Book Antiqua" w:hAnsi="Book Antiqua"/>
                <w:color w:val="000000" w:themeColor="text1"/>
              </w:rPr>
            </w:pPr>
            <w:r>
              <w:rPr>
                <w:rFonts w:ascii="Book Antiqua" w:eastAsia="Arial Unicode MS" w:hAnsi="Book Antiqua"/>
                <w:bCs/>
                <w:color w:val="000000" w:themeColor="text1"/>
              </w:rPr>
              <w:t xml:space="preserve">Liu </w:t>
            </w:r>
            <w:r>
              <w:rPr>
                <w:rFonts w:ascii="Book Antiqua" w:eastAsia="Arial Unicode MS" w:hAnsi="Book Antiqua"/>
                <w:bCs/>
                <w:i/>
                <w:color w:val="000000" w:themeColor="text1"/>
              </w:rPr>
              <w:t>et al</w:t>
            </w:r>
            <w:r>
              <w:rPr>
                <w:rFonts w:ascii="Book Antiqua" w:eastAsia="Arial Unicode MS" w:hAnsi="Book Antiqua"/>
                <w:bCs/>
                <w:color w:val="000000" w:themeColor="text1"/>
                <w:vertAlign w:val="superscript"/>
              </w:rPr>
              <w:t>[22]</w:t>
            </w:r>
            <w:r>
              <w:rPr>
                <w:rFonts w:ascii="Book Antiqua" w:eastAsia="Arial Unicode MS" w:hAnsi="Book Antiqua"/>
                <w:bCs/>
                <w:color w:val="000000" w:themeColor="text1"/>
              </w:rPr>
              <w:t>,</w:t>
            </w:r>
            <w:r>
              <w:rPr>
                <w:rFonts w:ascii="Book Antiqua" w:eastAsia="Arial Unicode MS" w:hAnsi="Book Antiqua"/>
                <w:bCs/>
                <w:color w:val="000000" w:themeColor="text1"/>
                <w:lang w:eastAsia="zh-CN"/>
              </w:rPr>
              <w:t xml:space="preserve"> </w:t>
            </w:r>
            <w:r>
              <w:rPr>
                <w:rFonts w:ascii="Book Antiqua" w:eastAsia="Arial Unicode MS" w:hAnsi="Book Antiqua"/>
                <w:bCs/>
                <w:color w:val="000000" w:themeColor="text1"/>
              </w:rPr>
              <w:t>2017</w:t>
            </w:r>
          </w:p>
        </w:tc>
        <w:tc>
          <w:tcPr>
            <w:tcW w:w="1584" w:type="dxa"/>
            <w:tcBorders>
              <w:top w:val="single" w:sz="4" w:space="0" w:color="000000"/>
              <w:bottom w:val="single" w:sz="4" w:space="0" w:color="000000"/>
            </w:tcBorders>
            <w:shd w:val="clear" w:color="auto" w:fill="FFFFFF"/>
          </w:tcPr>
          <w:p w14:paraId="7F4555CA"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Cohort study</w:t>
            </w:r>
          </w:p>
        </w:tc>
        <w:tc>
          <w:tcPr>
            <w:tcW w:w="913" w:type="dxa"/>
            <w:tcBorders>
              <w:top w:val="single" w:sz="4" w:space="0" w:color="000000"/>
              <w:bottom w:val="single" w:sz="4" w:space="0" w:color="000000"/>
            </w:tcBorders>
            <w:shd w:val="clear" w:color="auto" w:fill="FFFFFF"/>
          </w:tcPr>
          <w:p w14:paraId="21F92012"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46</w:t>
            </w:r>
          </w:p>
        </w:tc>
        <w:tc>
          <w:tcPr>
            <w:tcW w:w="1187" w:type="dxa"/>
            <w:tcBorders>
              <w:top w:val="single" w:sz="4" w:space="0" w:color="000000"/>
              <w:bottom w:val="single" w:sz="4" w:space="0" w:color="000000"/>
            </w:tcBorders>
            <w:shd w:val="clear" w:color="auto" w:fill="FFFFFF"/>
          </w:tcPr>
          <w:p w14:paraId="6D50056A" w14:textId="77777777" w:rsidR="00C41B3E" w:rsidRDefault="0070572D">
            <w:pPr>
              <w:tabs>
                <w:tab w:val="decimal" w:pos="62"/>
              </w:tabs>
              <w:spacing w:line="360" w:lineRule="auto"/>
              <w:jc w:val="both"/>
              <w:rPr>
                <w:rFonts w:ascii="Book Antiqua" w:hAnsi="Book Antiqua"/>
                <w:color w:val="000000" w:themeColor="text1"/>
              </w:rPr>
            </w:pPr>
            <w:r>
              <w:rPr>
                <w:rFonts w:ascii="Book Antiqua" w:eastAsia="Arial Unicode MS" w:hAnsi="Book Antiqua"/>
                <w:color w:val="000000" w:themeColor="text1"/>
              </w:rPr>
              <w:t>21</w:t>
            </w:r>
          </w:p>
        </w:tc>
        <w:tc>
          <w:tcPr>
            <w:tcW w:w="1309" w:type="dxa"/>
            <w:tcBorders>
              <w:top w:val="single" w:sz="4" w:space="0" w:color="000000"/>
              <w:bottom w:val="single" w:sz="4" w:space="0" w:color="000000"/>
            </w:tcBorders>
            <w:shd w:val="clear" w:color="auto" w:fill="FFFFFF"/>
          </w:tcPr>
          <w:p w14:paraId="31EC9A29"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25</w:t>
            </w:r>
          </w:p>
        </w:tc>
        <w:tc>
          <w:tcPr>
            <w:tcW w:w="1581" w:type="dxa"/>
            <w:tcBorders>
              <w:top w:val="single" w:sz="4" w:space="0" w:color="000000"/>
              <w:bottom w:val="single" w:sz="4" w:space="0" w:color="000000"/>
            </w:tcBorders>
            <w:shd w:val="clear" w:color="auto" w:fill="FFFFFF"/>
            <w:tcMar>
              <w:top w:w="0" w:type="dxa"/>
              <w:left w:w="0" w:type="dxa"/>
              <w:bottom w:w="0" w:type="dxa"/>
              <w:right w:w="0" w:type="dxa"/>
            </w:tcMar>
          </w:tcPr>
          <w:p w14:paraId="5CE2EB0A" w14:textId="77777777" w:rsidR="00C41B3E" w:rsidRDefault="0070572D">
            <w:pPr>
              <w:tabs>
                <w:tab w:val="decimal" w:pos="0"/>
              </w:tabs>
              <w:spacing w:line="360" w:lineRule="auto"/>
              <w:jc w:val="both"/>
              <w:rPr>
                <w:rFonts w:ascii="Book Antiqua" w:hAnsi="Book Antiqua"/>
                <w:color w:val="000000" w:themeColor="text1"/>
              </w:rPr>
            </w:pPr>
            <w:r>
              <w:rPr>
                <w:rFonts w:ascii="Book Antiqua" w:eastAsia="Arial Unicode MS" w:hAnsi="Book Antiqua"/>
                <w:color w:val="000000" w:themeColor="text1"/>
              </w:rPr>
              <w:t>18 trans-PTGBD cases</w:t>
            </w:r>
          </w:p>
          <w:p w14:paraId="085FB7CD" w14:textId="77777777" w:rsidR="00C41B3E" w:rsidRDefault="0070572D">
            <w:pPr>
              <w:tabs>
                <w:tab w:val="decimal" w:pos="0"/>
              </w:tabs>
              <w:spacing w:line="360" w:lineRule="auto"/>
              <w:jc w:val="both"/>
              <w:rPr>
                <w:rFonts w:ascii="Book Antiqua" w:hAnsi="Book Antiqua"/>
                <w:color w:val="000000" w:themeColor="text1"/>
              </w:rPr>
            </w:pPr>
            <w:r>
              <w:rPr>
                <w:rFonts w:ascii="Book Antiqua" w:eastAsia="Arial Unicode MS" w:hAnsi="Book Antiqua"/>
                <w:color w:val="000000" w:themeColor="text1"/>
              </w:rPr>
              <w:t>28 cases through DGBP</w:t>
            </w:r>
          </w:p>
        </w:tc>
        <w:tc>
          <w:tcPr>
            <w:tcW w:w="1310" w:type="dxa"/>
            <w:tcBorders>
              <w:top w:val="single" w:sz="4" w:space="0" w:color="000000"/>
              <w:bottom w:val="single" w:sz="4" w:space="0" w:color="000000"/>
            </w:tcBorders>
            <w:shd w:val="clear" w:color="auto" w:fill="FFFFFF"/>
            <w:tcMar>
              <w:top w:w="0" w:type="dxa"/>
              <w:left w:w="0" w:type="dxa"/>
              <w:bottom w:w="0" w:type="dxa"/>
              <w:right w:w="0" w:type="dxa"/>
            </w:tcMar>
          </w:tcPr>
          <w:p w14:paraId="5B1AECCB"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ICG leakage in 5 cases</w:t>
            </w:r>
          </w:p>
        </w:tc>
        <w:tc>
          <w:tcPr>
            <w:tcW w:w="1131" w:type="dxa"/>
            <w:tcBorders>
              <w:top w:val="single" w:sz="4" w:space="0" w:color="000000"/>
              <w:bottom w:val="single" w:sz="4" w:space="0" w:color="000000"/>
            </w:tcBorders>
            <w:shd w:val="clear" w:color="auto" w:fill="FFFFFF"/>
            <w:tcMar>
              <w:top w:w="0" w:type="dxa"/>
              <w:left w:w="0" w:type="dxa"/>
              <w:bottom w:w="0" w:type="dxa"/>
              <w:right w:w="0" w:type="dxa"/>
            </w:tcMar>
          </w:tcPr>
          <w:p w14:paraId="32FAFFDD" w14:textId="77777777" w:rsidR="00C41B3E" w:rsidRDefault="0070572D">
            <w:pPr>
              <w:tabs>
                <w:tab w:val="decimal" w:pos="567"/>
              </w:tabs>
              <w:spacing w:line="360" w:lineRule="auto"/>
              <w:jc w:val="both"/>
              <w:rPr>
                <w:rFonts w:ascii="Book Antiqua" w:hAnsi="Book Antiqua"/>
                <w:color w:val="000000" w:themeColor="text1"/>
              </w:rPr>
            </w:pPr>
            <w:r>
              <w:rPr>
                <w:rFonts w:ascii="Book Antiqua" w:eastAsia="Arial Unicode MS" w:hAnsi="Book Antiqua"/>
                <w:color w:val="000000" w:themeColor="text1"/>
              </w:rPr>
              <w:t>0</w:t>
            </w:r>
          </w:p>
        </w:tc>
      </w:tr>
      <w:tr w:rsidR="00C41B3E" w14:paraId="2D8B5438" w14:textId="77777777">
        <w:trPr>
          <w:trHeight w:val="553"/>
        </w:trPr>
        <w:tc>
          <w:tcPr>
            <w:tcW w:w="1021" w:type="dxa"/>
            <w:tcBorders>
              <w:top w:val="single" w:sz="4" w:space="0" w:color="000000"/>
              <w:bottom w:val="single" w:sz="4" w:space="0" w:color="000000"/>
            </w:tcBorders>
            <w:shd w:val="clear" w:color="auto" w:fill="FFFFFF"/>
          </w:tcPr>
          <w:p w14:paraId="61AB0629" w14:textId="77777777" w:rsidR="00C41B3E" w:rsidRDefault="0070572D">
            <w:pPr>
              <w:spacing w:line="360" w:lineRule="auto"/>
              <w:jc w:val="both"/>
              <w:rPr>
                <w:rFonts w:ascii="Book Antiqua" w:hAnsi="Book Antiqua"/>
                <w:bCs/>
                <w:color w:val="000000" w:themeColor="text1"/>
              </w:rPr>
            </w:pPr>
            <w:r>
              <w:rPr>
                <w:rFonts w:ascii="Book Antiqua" w:eastAsia="Arial Unicode MS" w:hAnsi="Book Antiqua"/>
                <w:bCs/>
                <w:color w:val="000000" w:themeColor="text1"/>
              </w:rPr>
              <w:lastRenderedPageBreak/>
              <w:t xml:space="preserve">Graves </w:t>
            </w:r>
            <w:r>
              <w:rPr>
                <w:rFonts w:ascii="Book Antiqua" w:eastAsia="Arial Unicode MS" w:hAnsi="Book Antiqua"/>
                <w:bCs/>
                <w:i/>
                <w:color w:val="000000" w:themeColor="text1"/>
              </w:rPr>
              <w:t>et al</w:t>
            </w:r>
            <w:r>
              <w:rPr>
                <w:rFonts w:ascii="Book Antiqua" w:eastAsia="Arial Unicode MS" w:hAnsi="Book Antiqua"/>
                <w:bCs/>
                <w:color w:val="000000" w:themeColor="text1"/>
                <w:vertAlign w:val="superscript"/>
              </w:rPr>
              <w:t>[25]</w:t>
            </w:r>
            <w:r>
              <w:rPr>
                <w:rFonts w:ascii="Book Antiqua" w:eastAsia="Arial Unicode MS" w:hAnsi="Book Antiqua"/>
                <w:bCs/>
                <w:color w:val="000000" w:themeColor="text1"/>
              </w:rPr>
              <w:t>, 2017</w:t>
            </w:r>
          </w:p>
        </w:tc>
        <w:tc>
          <w:tcPr>
            <w:tcW w:w="1584" w:type="dxa"/>
            <w:tcBorders>
              <w:top w:val="single" w:sz="4" w:space="0" w:color="000000"/>
              <w:bottom w:val="single" w:sz="4" w:space="0" w:color="000000"/>
            </w:tcBorders>
            <w:shd w:val="clear" w:color="auto" w:fill="FFFFFF"/>
          </w:tcPr>
          <w:p w14:paraId="79183EDD"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Cohort study</w:t>
            </w:r>
          </w:p>
        </w:tc>
        <w:tc>
          <w:tcPr>
            <w:tcW w:w="913" w:type="dxa"/>
            <w:tcBorders>
              <w:top w:val="single" w:sz="4" w:space="0" w:color="000000"/>
              <w:bottom w:val="single" w:sz="4" w:space="0" w:color="000000"/>
            </w:tcBorders>
            <w:shd w:val="clear" w:color="auto" w:fill="FFFFFF"/>
          </w:tcPr>
          <w:p w14:paraId="32309AAC"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11</w:t>
            </w:r>
          </w:p>
        </w:tc>
        <w:tc>
          <w:tcPr>
            <w:tcW w:w="1187" w:type="dxa"/>
            <w:tcBorders>
              <w:top w:val="single" w:sz="4" w:space="0" w:color="000000"/>
              <w:bottom w:val="single" w:sz="4" w:space="0" w:color="000000"/>
            </w:tcBorders>
            <w:shd w:val="clear" w:color="auto" w:fill="FFFFFF"/>
          </w:tcPr>
          <w:p w14:paraId="0DAA9207" w14:textId="77777777" w:rsidR="00C41B3E" w:rsidRDefault="0070572D">
            <w:pPr>
              <w:tabs>
                <w:tab w:val="decimal" w:pos="0"/>
              </w:tabs>
              <w:spacing w:line="360" w:lineRule="auto"/>
              <w:jc w:val="both"/>
              <w:rPr>
                <w:rFonts w:ascii="Book Antiqua" w:hAnsi="Book Antiqua"/>
                <w:color w:val="000000" w:themeColor="text1"/>
              </w:rPr>
            </w:pPr>
            <w:r>
              <w:rPr>
                <w:rFonts w:ascii="Book Antiqua" w:eastAsia="Arial Unicode MS" w:hAnsi="Book Antiqua"/>
                <w:color w:val="000000" w:themeColor="text1"/>
              </w:rPr>
              <w:t>9</w:t>
            </w:r>
          </w:p>
        </w:tc>
        <w:tc>
          <w:tcPr>
            <w:tcW w:w="1309" w:type="dxa"/>
            <w:tcBorders>
              <w:top w:val="single" w:sz="4" w:space="0" w:color="000000"/>
              <w:bottom w:val="single" w:sz="4" w:space="0" w:color="000000"/>
            </w:tcBorders>
            <w:shd w:val="clear" w:color="auto" w:fill="FFFFFF"/>
          </w:tcPr>
          <w:p w14:paraId="63B0CC57"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2</w:t>
            </w:r>
          </w:p>
        </w:tc>
        <w:tc>
          <w:tcPr>
            <w:tcW w:w="1581" w:type="dxa"/>
            <w:tcBorders>
              <w:top w:val="single" w:sz="4" w:space="0" w:color="000000"/>
              <w:bottom w:val="single" w:sz="4" w:space="0" w:color="000000"/>
            </w:tcBorders>
            <w:shd w:val="clear" w:color="auto" w:fill="FFFFFF"/>
            <w:tcMar>
              <w:top w:w="0" w:type="dxa"/>
              <w:left w:w="0" w:type="dxa"/>
              <w:bottom w:w="0" w:type="dxa"/>
              <w:right w:w="0" w:type="dxa"/>
            </w:tcMar>
          </w:tcPr>
          <w:p w14:paraId="109C0F7B" w14:textId="77777777" w:rsidR="00C41B3E" w:rsidRDefault="0070572D">
            <w:pPr>
              <w:tabs>
                <w:tab w:val="decimal" w:pos="0"/>
              </w:tabs>
              <w:spacing w:line="360" w:lineRule="auto"/>
              <w:jc w:val="both"/>
              <w:rPr>
                <w:rFonts w:ascii="Book Antiqua" w:hAnsi="Book Antiqua"/>
                <w:color w:val="000000" w:themeColor="text1"/>
              </w:rPr>
            </w:pPr>
            <w:r>
              <w:rPr>
                <w:rFonts w:ascii="Book Antiqua" w:eastAsia="Arial Unicode MS" w:hAnsi="Book Antiqua"/>
                <w:color w:val="000000" w:themeColor="text1"/>
              </w:rPr>
              <w:t>11 cases through DGBP</w:t>
            </w:r>
          </w:p>
        </w:tc>
        <w:tc>
          <w:tcPr>
            <w:tcW w:w="1310" w:type="dxa"/>
            <w:tcBorders>
              <w:top w:val="single" w:sz="4" w:space="0" w:color="000000"/>
              <w:bottom w:val="single" w:sz="4" w:space="0" w:color="000000"/>
            </w:tcBorders>
            <w:shd w:val="clear" w:color="auto" w:fill="FFFFFF"/>
            <w:tcMar>
              <w:top w:w="0" w:type="dxa"/>
              <w:left w:w="0" w:type="dxa"/>
              <w:bottom w:w="0" w:type="dxa"/>
              <w:right w:w="0" w:type="dxa"/>
            </w:tcMar>
          </w:tcPr>
          <w:p w14:paraId="4E0AAE69" w14:textId="77777777" w:rsidR="00C41B3E" w:rsidRDefault="0070572D">
            <w:pPr>
              <w:tabs>
                <w:tab w:val="decimal" w:pos="360"/>
              </w:tabs>
              <w:spacing w:line="360" w:lineRule="auto"/>
              <w:jc w:val="both"/>
              <w:rPr>
                <w:rFonts w:ascii="Book Antiqua" w:hAnsi="Book Antiqua"/>
                <w:color w:val="000000" w:themeColor="text1"/>
              </w:rPr>
            </w:pPr>
            <w:r>
              <w:rPr>
                <w:rFonts w:ascii="Book Antiqua" w:eastAsia="Arial Unicode MS" w:hAnsi="Book Antiqua"/>
                <w:color w:val="000000" w:themeColor="text1"/>
              </w:rPr>
              <w:t>No progression of dye into the CD in 1 case</w:t>
            </w:r>
          </w:p>
        </w:tc>
        <w:tc>
          <w:tcPr>
            <w:tcW w:w="1131" w:type="dxa"/>
            <w:tcBorders>
              <w:top w:val="single" w:sz="4" w:space="0" w:color="000000"/>
              <w:bottom w:val="single" w:sz="4" w:space="0" w:color="000000"/>
            </w:tcBorders>
            <w:shd w:val="clear" w:color="auto" w:fill="FFFFFF"/>
            <w:tcMar>
              <w:top w:w="0" w:type="dxa"/>
              <w:left w:w="0" w:type="dxa"/>
              <w:bottom w:w="0" w:type="dxa"/>
              <w:right w:w="0" w:type="dxa"/>
            </w:tcMar>
          </w:tcPr>
          <w:p w14:paraId="0AD1CBFD" w14:textId="77777777" w:rsidR="00C41B3E" w:rsidRDefault="0070572D">
            <w:pPr>
              <w:tabs>
                <w:tab w:val="decimal" w:pos="567"/>
              </w:tabs>
              <w:spacing w:line="360" w:lineRule="auto"/>
              <w:jc w:val="both"/>
              <w:rPr>
                <w:rFonts w:ascii="Book Antiqua" w:hAnsi="Book Antiqua"/>
                <w:color w:val="000000" w:themeColor="text1"/>
              </w:rPr>
            </w:pPr>
            <w:r>
              <w:rPr>
                <w:rFonts w:ascii="Book Antiqua" w:eastAsia="Arial Unicode MS" w:hAnsi="Book Antiqua"/>
                <w:color w:val="000000" w:themeColor="text1"/>
              </w:rPr>
              <w:t>0</w:t>
            </w:r>
          </w:p>
        </w:tc>
      </w:tr>
    </w:tbl>
    <w:p w14:paraId="552AC1BB" w14:textId="77777777" w:rsidR="00C41B3E" w:rsidRDefault="0070572D">
      <w:pPr>
        <w:spacing w:line="360" w:lineRule="auto"/>
        <w:jc w:val="both"/>
      </w:pPr>
      <w:r>
        <w:rPr>
          <w:rFonts w:ascii="Book Antiqua" w:eastAsia="宋体" w:hAnsi="Book Antiqua"/>
          <w:color w:val="000000" w:themeColor="text1"/>
        </w:rPr>
        <w:t xml:space="preserve">PTGBD: </w:t>
      </w:r>
      <w:r>
        <w:rPr>
          <w:rFonts w:ascii="Book Antiqua" w:eastAsia="宋体" w:hAnsi="Book Antiqua"/>
          <w:color w:val="000000" w:themeColor="text1"/>
          <w:lang w:eastAsia="zh-CN"/>
        </w:rPr>
        <w:t>P</w:t>
      </w:r>
      <w:r>
        <w:rPr>
          <w:rFonts w:ascii="Book Antiqua" w:eastAsia="宋体" w:hAnsi="Book Antiqua"/>
          <w:color w:val="000000" w:themeColor="text1"/>
        </w:rPr>
        <w:t xml:space="preserve">ercutaneous transhepatic gallbladder drainage; DGBP: </w:t>
      </w:r>
      <w:r>
        <w:rPr>
          <w:rFonts w:ascii="Book Antiqua" w:eastAsia="宋体" w:hAnsi="Book Antiqua"/>
          <w:color w:val="000000" w:themeColor="text1"/>
          <w:lang w:eastAsia="zh-CN"/>
        </w:rPr>
        <w:t>D</w:t>
      </w:r>
      <w:r>
        <w:rPr>
          <w:rFonts w:ascii="Book Antiqua" w:eastAsia="宋体" w:hAnsi="Book Antiqua"/>
          <w:color w:val="000000" w:themeColor="text1"/>
        </w:rPr>
        <w:t>irect gallbladder puncture; ICG: Indocyanine green; CD: Cystic duct.</w:t>
      </w:r>
      <w:r>
        <w:br w:type="page"/>
      </w:r>
    </w:p>
    <w:p w14:paraId="64571785" w14:textId="77777777" w:rsidR="00C41B3E" w:rsidRDefault="0070572D">
      <w:pPr>
        <w:spacing w:line="360" w:lineRule="auto"/>
        <w:jc w:val="both"/>
      </w:pPr>
      <w:r>
        <w:rPr>
          <w:rFonts w:ascii="Book Antiqua" w:eastAsia="宋体" w:hAnsi="Book Antiqua"/>
          <w:b/>
          <w:bCs/>
          <w:color w:val="000000" w:themeColor="text1"/>
          <w:lang w:val="en-GB"/>
        </w:rPr>
        <w:lastRenderedPageBreak/>
        <w:t>Table 2</w:t>
      </w:r>
      <w:r>
        <w:rPr>
          <w:rFonts w:ascii="Book Antiqua" w:eastAsia="宋体" w:hAnsi="Book Antiqua"/>
          <w:b/>
          <w:bCs/>
          <w:color w:val="000000" w:themeColor="text1"/>
          <w:lang w:val="en-GB" w:eastAsia="zh-CN"/>
        </w:rPr>
        <w:t xml:space="preserve"> </w:t>
      </w:r>
      <w:r>
        <w:rPr>
          <w:rFonts w:ascii="Book Antiqua" w:eastAsia="宋体" w:hAnsi="Book Antiqua"/>
          <w:b/>
          <w:bCs/>
          <w:color w:val="000000" w:themeColor="text1"/>
          <w:lang w:val="en-GB"/>
        </w:rPr>
        <w:t>Fluorescent cholangiography in patients with acute cholecystitis</w:t>
      </w:r>
    </w:p>
    <w:tbl>
      <w:tblPr>
        <w:tblW w:w="5000" w:type="pct"/>
        <w:tblBorders>
          <w:top w:val="single" w:sz="4" w:space="0" w:color="000000"/>
          <w:left w:val="single" w:sz="6" w:space="0" w:color="FFFFFF"/>
          <w:bottom w:val="single" w:sz="4" w:space="0" w:color="000000"/>
          <w:right w:val="single" w:sz="6" w:space="0" w:color="FFFFFF"/>
          <w:insideH w:val="single" w:sz="4" w:space="0" w:color="000000"/>
          <w:insideV w:val="single" w:sz="6" w:space="0" w:color="FFFFFF"/>
        </w:tblBorders>
        <w:tblCellMar>
          <w:left w:w="80" w:type="dxa"/>
          <w:right w:w="80" w:type="dxa"/>
        </w:tblCellMar>
        <w:tblLook w:val="0000" w:firstRow="0" w:lastRow="0" w:firstColumn="0" w:lastColumn="0" w:noHBand="0" w:noVBand="0"/>
      </w:tblPr>
      <w:tblGrid>
        <w:gridCol w:w="2402"/>
        <w:gridCol w:w="3199"/>
        <w:gridCol w:w="2203"/>
        <w:gridCol w:w="1716"/>
      </w:tblGrid>
      <w:tr w:rsidR="00C41B3E" w14:paraId="6B1EEEDE" w14:textId="77777777">
        <w:trPr>
          <w:trHeight w:val="393"/>
        </w:trPr>
        <w:tc>
          <w:tcPr>
            <w:tcW w:w="2361" w:type="dxa"/>
            <w:tcBorders>
              <w:top w:val="single" w:sz="4" w:space="0" w:color="000000"/>
              <w:left w:val="single" w:sz="6" w:space="0" w:color="FFFFFF"/>
              <w:bottom w:val="single" w:sz="4" w:space="0" w:color="000000"/>
              <w:right w:val="single" w:sz="6" w:space="0" w:color="FFFFFF"/>
            </w:tcBorders>
            <w:shd w:val="clear" w:color="auto" w:fill="FFFFFF"/>
          </w:tcPr>
          <w:p w14:paraId="7C2E3B6E" w14:textId="77777777" w:rsidR="00C41B3E" w:rsidRDefault="0070572D">
            <w:pPr>
              <w:spacing w:line="360" w:lineRule="auto"/>
              <w:jc w:val="both"/>
              <w:rPr>
                <w:rFonts w:ascii="Book Antiqua" w:eastAsia="宋体" w:hAnsi="Book Antiqua"/>
                <w:b/>
                <w:color w:val="000000" w:themeColor="text1"/>
                <w:lang w:val="fr-FR" w:eastAsia="zh-CN"/>
              </w:rPr>
            </w:pPr>
            <w:r>
              <w:rPr>
                <w:rFonts w:ascii="Book Antiqua" w:eastAsia="宋体" w:hAnsi="Book Antiqua"/>
                <w:b/>
                <w:bCs/>
                <w:color w:val="000000" w:themeColor="text1"/>
                <w:lang w:val="fr-FR" w:eastAsia="zh-CN"/>
              </w:rPr>
              <w:t>Ref.</w:t>
            </w:r>
          </w:p>
        </w:tc>
        <w:tc>
          <w:tcPr>
            <w:tcW w:w="3145" w:type="dxa"/>
            <w:tcBorders>
              <w:top w:val="single" w:sz="4" w:space="0" w:color="000000"/>
              <w:left w:val="single" w:sz="6" w:space="0" w:color="FFFFFF"/>
              <w:bottom w:val="single" w:sz="4" w:space="0" w:color="000000"/>
              <w:right w:val="single" w:sz="6" w:space="0" w:color="FFFFFF"/>
            </w:tcBorders>
            <w:shd w:val="clear" w:color="auto" w:fill="FFFFFF"/>
          </w:tcPr>
          <w:p w14:paraId="14AADD4E" w14:textId="77777777" w:rsidR="00C41B3E" w:rsidRDefault="0070572D">
            <w:pPr>
              <w:spacing w:line="360" w:lineRule="auto"/>
              <w:jc w:val="both"/>
              <w:rPr>
                <w:rFonts w:ascii="Book Antiqua" w:eastAsia="宋体" w:hAnsi="Book Antiqua"/>
                <w:b/>
                <w:color w:val="000000" w:themeColor="text1"/>
                <w:lang w:val="fr-FR"/>
              </w:rPr>
            </w:pPr>
            <w:r>
              <w:rPr>
                <w:rFonts w:ascii="Book Antiqua" w:eastAsia="宋体" w:hAnsi="Book Antiqua"/>
                <w:b/>
                <w:bCs/>
                <w:color w:val="000000" w:themeColor="text1"/>
                <w:lang w:val="fr-FR"/>
              </w:rPr>
              <w:t>Type of publication</w:t>
            </w:r>
          </w:p>
        </w:tc>
        <w:tc>
          <w:tcPr>
            <w:tcW w:w="2166" w:type="dxa"/>
            <w:tcBorders>
              <w:top w:val="single" w:sz="4" w:space="0" w:color="000000"/>
              <w:left w:val="single" w:sz="6" w:space="0" w:color="FFFFFF"/>
              <w:bottom w:val="single" w:sz="4" w:space="0" w:color="000000"/>
              <w:right w:val="single" w:sz="6" w:space="0" w:color="FFFFFF"/>
            </w:tcBorders>
            <w:shd w:val="clear" w:color="auto" w:fill="FFFFFF"/>
          </w:tcPr>
          <w:p w14:paraId="79F8B400" w14:textId="77777777" w:rsidR="00C41B3E" w:rsidRDefault="0070572D">
            <w:pPr>
              <w:spacing w:line="360" w:lineRule="auto"/>
              <w:jc w:val="both"/>
              <w:rPr>
                <w:rFonts w:ascii="Book Antiqua" w:eastAsia="宋体" w:hAnsi="Book Antiqua"/>
                <w:b/>
                <w:color w:val="000000" w:themeColor="text1"/>
                <w:lang w:val="fr-FR"/>
              </w:rPr>
            </w:pPr>
            <w:r>
              <w:rPr>
                <w:rFonts w:ascii="Book Antiqua" w:eastAsia="宋体" w:hAnsi="Book Antiqua"/>
                <w:b/>
                <w:bCs/>
                <w:color w:val="000000" w:themeColor="text1"/>
                <w:lang w:val="fr-FR"/>
              </w:rPr>
              <w:t>Procedure</w:t>
            </w:r>
          </w:p>
        </w:tc>
        <w:tc>
          <w:tcPr>
            <w:tcW w:w="1687" w:type="dxa"/>
            <w:tcBorders>
              <w:top w:val="single" w:sz="4" w:space="0" w:color="000000"/>
              <w:left w:val="single" w:sz="6" w:space="0" w:color="FFFFFF"/>
              <w:bottom w:val="single" w:sz="4" w:space="0" w:color="000000"/>
              <w:right w:val="single" w:sz="6" w:space="0" w:color="FFFFFF"/>
            </w:tcBorders>
            <w:shd w:val="clear" w:color="auto" w:fill="FFFFFF"/>
          </w:tcPr>
          <w:p w14:paraId="551E6CD1" w14:textId="68959303" w:rsidR="00C41B3E" w:rsidRDefault="0061127A">
            <w:pPr>
              <w:spacing w:line="360" w:lineRule="auto"/>
              <w:jc w:val="both"/>
              <w:rPr>
                <w:rFonts w:ascii="Book Antiqua" w:eastAsia="宋体" w:hAnsi="Book Antiqua"/>
                <w:b/>
                <w:color w:val="000000" w:themeColor="text1"/>
                <w:lang w:val="fr-FR"/>
              </w:rPr>
            </w:pPr>
            <w:r>
              <w:rPr>
                <w:rFonts w:ascii="Book Antiqua" w:eastAsia="宋体" w:hAnsi="Book Antiqua"/>
                <w:b/>
                <w:bCs/>
                <w:color w:val="000000" w:themeColor="text1"/>
                <w:lang w:val="fr-FR"/>
              </w:rPr>
              <w:t>No.</w:t>
            </w:r>
            <w:r w:rsidR="0070572D">
              <w:rPr>
                <w:rFonts w:ascii="Book Antiqua" w:eastAsia="宋体" w:hAnsi="Book Antiqua"/>
                <w:b/>
                <w:bCs/>
                <w:color w:val="000000" w:themeColor="text1"/>
                <w:lang w:val="fr-FR"/>
              </w:rPr>
              <w:t xml:space="preserve"> of patients</w:t>
            </w:r>
          </w:p>
          <w:p w14:paraId="0B4181D8" w14:textId="77777777" w:rsidR="00C41B3E" w:rsidRDefault="00C41B3E">
            <w:pPr>
              <w:spacing w:line="360" w:lineRule="auto"/>
              <w:jc w:val="both"/>
              <w:rPr>
                <w:rFonts w:ascii="Book Antiqua" w:eastAsia="宋体" w:hAnsi="Book Antiqua"/>
                <w:b/>
                <w:color w:val="000000" w:themeColor="text1"/>
                <w:lang w:val="fr-FR"/>
              </w:rPr>
            </w:pPr>
          </w:p>
        </w:tc>
      </w:tr>
      <w:tr w:rsidR="00C41B3E" w14:paraId="55DAF057" w14:textId="77777777">
        <w:trPr>
          <w:trHeight w:val="573"/>
        </w:trPr>
        <w:tc>
          <w:tcPr>
            <w:tcW w:w="2361" w:type="dxa"/>
            <w:tcBorders>
              <w:top w:val="single" w:sz="4" w:space="0" w:color="000000"/>
              <w:left w:val="single" w:sz="6" w:space="0" w:color="FFFFFF"/>
              <w:bottom w:val="single" w:sz="6" w:space="0" w:color="FFFFFF"/>
              <w:right w:val="single" w:sz="6" w:space="0" w:color="FFFFFF"/>
            </w:tcBorders>
            <w:shd w:val="clear" w:color="auto" w:fill="FFFFFF"/>
          </w:tcPr>
          <w:p w14:paraId="1CBEABB8" w14:textId="77777777" w:rsidR="00C41B3E" w:rsidRDefault="0070572D">
            <w:pPr>
              <w:spacing w:line="360" w:lineRule="auto"/>
              <w:jc w:val="both"/>
              <w:rPr>
                <w:rFonts w:ascii="Book Antiqua" w:eastAsia="宋体" w:hAnsi="Book Antiqua"/>
                <w:color w:val="000000" w:themeColor="text1"/>
                <w:lang w:val="fr-FR"/>
              </w:rPr>
            </w:pPr>
            <w:r>
              <w:rPr>
                <w:rFonts w:ascii="Book Antiqua" w:eastAsia="宋体" w:hAnsi="Book Antiqua"/>
                <w:bCs/>
                <w:color w:val="000000" w:themeColor="text1"/>
                <w:lang w:val="fr-FR"/>
              </w:rPr>
              <w:t xml:space="preserve">Agnus </w:t>
            </w:r>
            <w:r>
              <w:rPr>
                <w:rFonts w:ascii="Book Antiqua" w:eastAsia="宋体" w:hAnsi="Book Antiqua"/>
                <w:bCs/>
                <w:i/>
                <w:color w:val="000000" w:themeColor="text1"/>
                <w:lang w:val="fr-FR"/>
              </w:rPr>
              <w:t>et al</w:t>
            </w:r>
            <w:r>
              <w:rPr>
                <w:rFonts w:ascii="Book Antiqua" w:eastAsia="宋体" w:hAnsi="Book Antiqua"/>
                <w:bCs/>
                <w:color w:val="000000" w:themeColor="text1"/>
                <w:vertAlign w:val="superscript"/>
                <w:lang w:val="fr-FR"/>
              </w:rPr>
              <w:t>[17]</w:t>
            </w:r>
            <w:r>
              <w:rPr>
                <w:rFonts w:ascii="Book Antiqua" w:eastAsia="宋体" w:hAnsi="Book Antiqua"/>
                <w:bCs/>
                <w:color w:val="000000" w:themeColor="text1"/>
                <w:lang w:val="fr-FR"/>
              </w:rPr>
              <w:t>,</w:t>
            </w:r>
            <w:r>
              <w:rPr>
                <w:rFonts w:ascii="Book Antiqua" w:eastAsia="宋体" w:hAnsi="Book Antiqua"/>
                <w:bCs/>
                <w:color w:val="000000" w:themeColor="text1"/>
                <w:lang w:val="fr-FR" w:eastAsia="zh-CN"/>
              </w:rPr>
              <w:t xml:space="preserve"> </w:t>
            </w:r>
            <w:r>
              <w:rPr>
                <w:rFonts w:ascii="Book Antiqua" w:eastAsia="宋体" w:hAnsi="Book Antiqua"/>
                <w:bCs/>
                <w:color w:val="000000" w:themeColor="text1"/>
                <w:lang w:val="fr-FR"/>
              </w:rPr>
              <w:t>2020</w:t>
            </w:r>
          </w:p>
        </w:tc>
        <w:tc>
          <w:tcPr>
            <w:tcW w:w="3145" w:type="dxa"/>
            <w:tcBorders>
              <w:top w:val="single" w:sz="4" w:space="0" w:color="000000"/>
              <w:left w:val="single" w:sz="6" w:space="0" w:color="FFFFFF"/>
              <w:bottom w:val="single" w:sz="6" w:space="0" w:color="FFFFFF"/>
              <w:right w:val="single" w:sz="6" w:space="0" w:color="FFFFFF"/>
            </w:tcBorders>
            <w:shd w:val="clear" w:color="auto" w:fill="FFFFFF"/>
          </w:tcPr>
          <w:p w14:paraId="59CE6911" w14:textId="77777777" w:rsidR="00C41B3E" w:rsidRDefault="0070572D">
            <w:pPr>
              <w:tabs>
                <w:tab w:val="decimal" w:pos="360"/>
              </w:tabs>
              <w:spacing w:line="360" w:lineRule="auto"/>
              <w:jc w:val="both"/>
              <w:rPr>
                <w:rFonts w:ascii="Book Antiqua" w:eastAsia="宋体" w:hAnsi="Book Antiqua"/>
                <w:color w:val="000000" w:themeColor="text1"/>
                <w:lang w:val="fr-FR"/>
              </w:rPr>
            </w:pPr>
            <w:r>
              <w:rPr>
                <w:rFonts w:ascii="Book Antiqua" w:eastAsia="宋体" w:hAnsi="Book Antiqua"/>
                <w:color w:val="000000" w:themeColor="text1"/>
                <w:lang w:val="fr-FR"/>
              </w:rPr>
              <w:t>Euro-FIGS registry</w:t>
            </w:r>
          </w:p>
        </w:tc>
        <w:tc>
          <w:tcPr>
            <w:tcW w:w="2166" w:type="dxa"/>
            <w:tcBorders>
              <w:top w:val="single" w:sz="4" w:space="0" w:color="000000"/>
              <w:left w:val="single" w:sz="6" w:space="0" w:color="FFFFFF"/>
              <w:bottom w:val="single" w:sz="6" w:space="0" w:color="FFFFFF"/>
              <w:right w:val="single" w:sz="6" w:space="0" w:color="FFFFFF"/>
            </w:tcBorders>
            <w:shd w:val="clear" w:color="auto" w:fill="FFFFFF"/>
          </w:tcPr>
          <w:p w14:paraId="5EA185FE" w14:textId="77777777" w:rsidR="00C41B3E" w:rsidRDefault="0070572D">
            <w:pPr>
              <w:tabs>
                <w:tab w:val="decimal" w:pos="360"/>
              </w:tabs>
              <w:spacing w:line="360" w:lineRule="auto"/>
              <w:jc w:val="both"/>
              <w:rPr>
                <w:rFonts w:ascii="Book Antiqua" w:eastAsia="宋体" w:hAnsi="Book Antiqua"/>
                <w:color w:val="000000" w:themeColor="text1"/>
                <w:lang w:val="fr-FR"/>
              </w:rPr>
            </w:pPr>
            <w:r>
              <w:rPr>
                <w:rFonts w:ascii="Book Antiqua" w:eastAsia="宋体" w:hAnsi="Book Antiqua"/>
                <w:color w:val="000000" w:themeColor="text1"/>
                <w:lang w:val="fr-FR"/>
              </w:rPr>
              <w:t>LC</w:t>
            </w:r>
          </w:p>
        </w:tc>
        <w:tc>
          <w:tcPr>
            <w:tcW w:w="1687" w:type="dxa"/>
            <w:tcBorders>
              <w:top w:val="single" w:sz="4" w:space="0" w:color="000000"/>
              <w:left w:val="single" w:sz="6" w:space="0" w:color="FFFFFF"/>
              <w:bottom w:val="single" w:sz="6" w:space="0" w:color="FFFFFF"/>
              <w:right w:val="single" w:sz="6" w:space="0" w:color="FFFFFF"/>
            </w:tcBorders>
            <w:shd w:val="clear" w:color="auto" w:fill="FFFFFF"/>
          </w:tcPr>
          <w:p w14:paraId="759E52C9" w14:textId="77777777" w:rsidR="00C41B3E" w:rsidRDefault="0070572D">
            <w:pPr>
              <w:spacing w:line="360" w:lineRule="auto"/>
              <w:jc w:val="both"/>
              <w:rPr>
                <w:rFonts w:ascii="Book Antiqua" w:eastAsia="宋体" w:hAnsi="Book Antiqua"/>
                <w:color w:val="000000" w:themeColor="text1"/>
                <w:lang w:val="fr-FR"/>
              </w:rPr>
            </w:pPr>
            <w:r>
              <w:rPr>
                <w:rFonts w:ascii="Book Antiqua" w:eastAsia="宋体" w:hAnsi="Book Antiqua"/>
                <w:color w:val="000000" w:themeColor="text1"/>
                <w:lang w:val="fr-FR"/>
              </w:rPr>
              <w:t>58</w:t>
            </w:r>
          </w:p>
        </w:tc>
      </w:tr>
      <w:tr w:rsidR="00C41B3E" w14:paraId="053E3DA1" w14:textId="77777777">
        <w:trPr>
          <w:trHeight w:val="553"/>
        </w:trPr>
        <w:tc>
          <w:tcPr>
            <w:tcW w:w="2361" w:type="dxa"/>
            <w:tcBorders>
              <w:top w:val="single" w:sz="6" w:space="0" w:color="FFFFFF"/>
              <w:left w:val="single" w:sz="6" w:space="0" w:color="FFFFFF"/>
              <w:bottom w:val="single" w:sz="6" w:space="0" w:color="FFFFFF"/>
              <w:right w:val="single" w:sz="6" w:space="0" w:color="FFFFFF"/>
            </w:tcBorders>
            <w:shd w:val="clear" w:color="auto" w:fill="FFFFFF"/>
          </w:tcPr>
          <w:p w14:paraId="4B43153E" w14:textId="77777777" w:rsidR="00C41B3E" w:rsidRDefault="0070572D">
            <w:pPr>
              <w:spacing w:line="360" w:lineRule="auto"/>
              <w:jc w:val="both"/>
              <w:rPr>
                <w:rFonts w:ascii="Book Antiqua" w:eastAsia="宋体" w:hAnsi="Book Antiqua"/>
                <w:color w:val="000000" w:themeColor="text1"/>
                <w:lang w:val="fr-FR"/>
              </w:rPr>
            </w:pPr>
            <w:r>
              <w:rPr>
                <w:rFonts w:ascii="Book Antiqua" w:eastAsia="宋体" w:hAnsi="Book Antiqua"/>
                <w:bCs/>
                <w:color w:val="000000" w:themeColor="text1"/>
                <w:lang w:val="fr-FR"/>
              </w:rPr>
              <w:t xml:space="preserve">Dip </w:t>
            </w:r>
            <w:r>
              <w:rPr>
                <w:rFonts w:ascii="Book Antiqua" w:eastAsia="宋体" w:hAnsi="Book Antiqua"/>
                <w:bCs/>
                <w:i/>
                <w:color w:val="000000" w:themeColor="text1"/>
                <w:lang w:val="fr-FR"/>
              </w:rPr>
              <w:t>et al</w:t>
            </w:r>
            <w:r>
              <w:rPr>
                <w:rFonts w:ascii="Book Antiqua" w:eastAsia="宋体" w:hAnsi="Book Antiqua"/>
                <w:bCs/>
                <w:color w:val="000000" w:themeColor="text1"/>
                <w:vertAlign w:val="superscript"/>
                <w:lang w:val="fr-FR"/>
              </w:rPr>
              <w:t>[32]</w:t>
            </w:r>
            <w:r>
              <w:rPr>
                <w:rFonts w:ascii="Book Antiqua" w:eastAsia="宋体" w:hAnsi="Book Antiqua"/>
                <w:bCs/>
                <w:color w:val="000000" w:themeColor="text1"/>
                <w:lang w:val="fr-FR"/>
              </w:rPr>
              <w:t>,</w:t>
            </w:r>
            <w:r>
              <w:rPr>
                <w:rFonts w:ascii="Book Antiqua" w:eastAsia="宋体" w:hAnsi="Book Antiqua"/>
                <w:bCs/>
                <w:color w:val="000000" w:themeColor="text1"/>
                <w:lang w:val="fr-FR" w:eastAsia="zh-CN"/>
              </w:rPr>
              <w:t xml:space="preserve"> </w:t>
            </w:r>
            <w:r>
              <w:rPr>
                <w:rFonts w:ascii="Book Antiqua" w:eastAsia="宋体" w:hAnsi="Book Antiqua"/>
                <w:bCs/>
                <w:color w:val="000000" w:themeColor="text1"/>
                <w:lang w:val="fr-FR"/>
              </w:rPr>
              <w:t>2020</w:t>
            </w:r>
          </w:p>
        </w:tc>
        <w:tc>
          <w:tcPr>
            <w:tcW w:w="3145" w:type="dxa"/>
            <w:tcBorders>
              <w:top w:val="single" w:sz="6" w:space="0" w:color="FFFFFF"/>
              <w:left w:val="single" w:sz="6" w:space="0" w:color="FFFFFF"/>
              <w:bottom w:val="single" w:sz="6" w:space="0" w:color="FFFFFF"/>
              <w:right w:val="single" w:sz="6" w:space="0" w:color="FFFFFF"/>
            </w:tcBorders>
            <w:shd w:val="clear" w:color="auto" w:fill="FFFFFF"/>
          </w:tcPr>
          <w:p w14:paraId="6792CAFB" w14:textId="77777777" w:rsidR="00C41B3E" w:rsidRDefault="0070572D">
            <w:pPr>
              <w:tabs>
                <w:tab w:val="decimal" w:pos="360"/>
              </w:tabs>
              <w:spacing w:line="360" w:lineRule="auto"/>
              <w:jc w:val="both"/>
              <w:rPr>
                <w:rFonts w:ascii="Book Antiqua" w:eastAsia="宋体" w:hAnsi="Book Antiqua"/>
                <w:color w:val="000000" w:themeColor="text1"/>
                <w:lang w:val="fr-FR"/>
              </w:rPr>
            </w:pPr>
            <w:r>
              <w:rPr>
                <w:rFonts w:ascii="Book Antiqua" w:eastAsia="宋体" w:hAnsi="Book Antiqua"/>
                <w:color w:val="000000" w:themeColor="text1"/>
                <w:lang w:val="fr-FR"/>
              </w:rPr>
              <w:t>RCT</w:t>
            </w:r>
          </w:p>
        </w:tc>
        <w:tc>
          <w:tcPr>
            <w:tcW w:w="2166" w:type="dxa"/>
            <w:tcBorders>
              <w:top w:val="single" w:sz="6" w:space="0" w:color="FFFFFF"/>
              <w:left w:val="single" w:sz="6" w:space="0" w:color="FFFFFF"/>
              <w:bottom w:val="single" w:sz="6" w:space="0" w:color="FFFFFF"/>
              <w:right w:val="single" w:sz="6" w:space="0" w:color="FFFFFF"/>
            </w:tcBorders>
            <w:shd w:val="clear" w:color="auto" w:fill="FFFFFF"/>
          </w:tcPr>
          <w:p w14:paraId="0581E8C3" w14:textId="77777777" w:rsidR="00C41B3E" w:rsidRDefault="0070572D">
            <w:pPr>
              <w:tabs>
                <w:tab w:val="decimal" w:pos="360"/>
              </w:tabs>
              <w:spacing w:line="360" w:lineRule="auto"/>
              <w:jc w:val="both"/>
              <w:rPr>
                <w:rFonts w:ascii="Book Antiqua" w:eastAsia="宋体" w:hAnsi="Book Antiqua"/>
                <w:color w:val="000000" w:themeColor="text1"/>
                <w:lang w:val="fr-FR"/>
              </w:rPr>
            </w:pPr>
            <w:r>
              <w:rPr>
                <w:rFonts w:ascii="Book Antiqua" w:eastAsia="宋体" w:hAnsi="Book Antiqua"/>
                <w:color w:val="000000" w:themeColor="text1"/>
                <w:lang w:val="fr-FR"/>
              </w:rPr>
              <w:t>LC</w:t>
            </w:r>
          </w:p>
        </w:tc>
        <w:tc>
          <w:tcPr>
            <w:tcW w:w="1687" w:type="dxa"/>
            <w:tcBorders>
              <w:top w:val="single" w:sz="6" w:space="0" w:color="FFFFFF"/>
              <w:left w:val="single" w:sz="6" w:space="0" w:color="FFFFFF"/>
              <w:bottom w:val="single" w:sz="6" w:space="0" w:color="FFFFFF"/>
              <w:right w:val="single" w:sz="6" w:space="0" w:color="FFFFFF"/>
            </w:tcBorders>
            <w:shd w:val="clear" w:color="auto" w:fill="FFFFFF"/>
          </w:tcPr>
          <w:p w14:paraId="63CB31B1" w14:textId="77777777" w:rsidR="00C41B3E" w:rsidRDefault="0070572D">
            <w:pPr>
              <w:spacing w:line="360" w:lineRule="auto"/>
              <w:jc w:val="both"/>
              <w:rPr>
                <w:rFonts w:ascii="Book Antiqua" w:eastAsia="宋体" w:hAnsi="Book Antiqua"/>
                <w:color w:val="000000" w:themeColor="text1"/>
                <w:lang w:val="it-IT"/>
              </w:rPr>
            </w:pPr>
            <w:r>
              <w:rPr>
                <w:rFonts w:ascii="Book Antiqua" w:eastAsia="宋体" w:hAnsi="Book Antiqua"/>
                <w:color w:val="000000" w:themeColor="text1"/>
                <w:lang w:val="it-IT"/>
              </w:rPr>
              <w:t>44</w:t>
            </w:r>
          </w:p>
        </w:tc>
      </w:tr>
      <w:tr w:rsidR="00C41B3E" w14:paraId="6B6BBA36" w14:textId="77777777">
        <w:trPr>
          <w:trHeight w:val="553"/>
        </w:trPr>
        <w:tc>
          <w:tcPr>
            <w:tcW w:w="2361" w:type="dxa"/>
            <w:tcBorders>
              <w:top w:val="single" w:sz="6" w:space="0" w:color="FFFFFF"/>
              <w:left w:val="single" w:sz="6" w:space="0" w:color="FFFFFF"/>
              <w:bottom w:val="single" w:sz="6" w:space="0" w:color="FFFFFF"/>
              <w:right w:val="single" w:sz="6" w:space="0" w:color="FFFFFF"/>
            </w:tcBorders>
            <w:shd w:val="clear" w:color="auto" w:fill="FFFFFF"/>
          </w:tcPr>
          <w:p w14:paraId="3FCEF34C" w14:textId="77777777" w:rsidR="00C41B3E" w:rsidRDefault="0070572D">
            <w:pPr>
              <w:spacing w:line="360" w:lineRule="auto"/>
              <w:jc w:val="both"/>
              <w:rPr>
                <w:rFonts w:ascii="Book Antiqua" w:eastAsia="宋体" w:hAnsi="Book Antiqua"/>
                <w:color w:val="000000" w:themeColor="text1"/>
                <w:lang w:val="it-IT"/>
              </w:rPr>
            </w:pPr>
            <w:r>
              <w:rPr>
                <w:rFonts w:ascii="Book Antiqua" w:eastAsia="宋体" w:hAnsi="Book Antiqua"/>
                <w:bCs/>
                <w:color w:val="000000" w:themeColor="text1"/>
                <w:lang w:val="it-IT"/>
              </w:rPr>
              <w:t xml:space="preserve">Di Maggio </w:t>
            </w:r>
            <w:r>
              <w:rPr>
                <w:rFonts w:ascii="Book Antiqua" w:eastAsia="宋体" w:hAnsi="Book Antiqua"/>
                <w:bCs/>
                <w:i/>
                <w:color w:val="000000" w:themeColor="text1"/>
                <w:lang w:val="it-IT"/>
              </w:rPr>
              <w:t>et al</w:t>
            </w:r>
            <w:r>
              <w:rPr>
                <w:rFonts w:ascii="Book Antiqua" w:eastAsia="宋体" w:hAnsi="Book Antiqua"/>
                <w:bCs/>
                <w:color w:val="000000" w:themeColor="text1"/>
                <w:vertAlign w:val="superscript"/>
                <w:lang w:val="it-IT"/>
              </w:rPr>
              <w:t>[30]</w:t>
            </w:r>
            <w:r>
              <w:rPr>
                <w:rFonts w:ascii="Book Antiqua" w:eastAsia="宋体" w:hAnsi="Book Antiqua"/>
                <w:bCs/>
                <w:color w:val="000000" w:themeColor="text1"/>
                <w:lang w:val="it-IT"/>
              </w:rPr>
              <w:t>,</w:t>
            </w:r>
            <w:r>
              <w:rPr>
                <w:rFonts w:ascii="Book Antiqua" w:eastAsia="宋体" w:hAnsi="Book Antiqua"/>
                <w:bCs/>
                <w:color w:val="000000" w:themeColor="text1"/>
                <w:lang w:val="it-IT" w:eastAsia="zh-CN"/>
              </w:rPr>
              <w:t xml:space="preserve"> </w:t>
            </w:r>
            <w:r>
              <w:rPr>
                <w:rFonts w:ascii="Book Antiqua" w:eastAsia="宋体" w:hAnsi="Book Antiqua"/>
                <w:bCs/>
                <w:color w:val="000000" w:themeColor="text1"/>
                <w:lang w:val="it-IT"/>
              </w:rPr>
              <w:t>2020</w:t>
            </w:r>
          </w:p>
        </w:tc>
        <w:tc>
          <w:tcPr>
            <w:tcW w:w="3145" w:type="dxa"/>
            <w:tcBorders>
              <w:top w:val="single" w:sz="6" w:space="0" w:color="FFFFFF"/>
              <w:left w:val="single" w:sz="6" w:space="0" w:color="FFFFFF"/>
              <w:bottom w:val="single" w:sz="6" w:space="0" w:color="FFFFFF"/>
              <w:right w:val="single" w:sz="6" w:space="0" w:color="FFFFFF"/>
            </w:tcBorders>
            <w:shd w:val="clear" w:color="auto" w:fill="FFFFFF"/>
          </w:tcPr>
          <w:p w14:paraId="01589217" w14:textId="77777777" w:rsidR="00C41B3E" w:rsidRDefault="0070572D">
            <w:pPr>
              <w:tabs>
                <w:tab w:val="decimal" w:pos="360"/>
              </w:tabs>
              <w:spacing w:line="360" w:lineRule="auto"/>
              <w:jc w:val="both"/>
              <w:rPr>
                <w:rFonts w:ascii="Book Antiqua" w:eastAsia="宋体" w:hAnsi="Book Antiqua"/>
                <w:color w:val="000000" w:themeColor="text1"/>
                <w:lang w:val="it-IT"/>
              </w:rPr>
            </w:pPr>
            <w:r>
              <w:rPr>
                <w:rFonts w:ascii="Book Antiqua" w:eastAsia="宋体" w:hAnsi="Book Antiqua"/>
                <w:color w:val="000000" w:themeColor="text1"/>
                <w:lang w:val="it-IT"/>
              </w:rPr>
              <w:t>Prospective cohort study</w:t>
            </w:r>
          </w:p>
        </w:tc>
        <w:tc>
          <w:tcPr>
            <w:tcW w:w="2166" w:type="dxa"/>
            <w:tcBorders>
              <w:top w:val="single" w:sz="6" w:space="0" w:color="FFFFFF"/>
              <w:left w:val="single" w:sz="6" w:space="0" w:color="FFFFFF"/>
              <w:bottom w:val="single" w:sz="6" w:space="0" w:color="FFFFFF"/>
              <w:right w:val="single" w:sz="6" w:space="0" w:color="FFFFFF"/>
            </w:tcBorders>
            <w:shd w:val="clear" w:color="auto" w:fill="FFFFFF"/>
          </w:tcPr>
          <w:p w14:paraId="3DE929EA" w14:textId="77777777" w:rsidR="00C41B3E" w:rsidRDefault="0070572D">
            <w:pPr>
              <w:tabs>
                <w:tab w:val="decimal" w:pos="360"/>
              </w:tabs>
              <w:spacing w:line="360" w:lineRule="auto"/>
              <w:jc w:val="both"/>
              <w:rPr>
                <w:rFonts w:ascii="Book Antiqua" w:eastAsia="宋体" w:hAnsi="Book Antiqua"/>
                <w:color w:val="000000" w:themeColor="text1"/>
                <w:lang w:val="it-IT"/>
              </w:rPr>
            </w:pPr>
            <w:r>
              <w:rPr>
                <w:rFonts w:ascii="Book Antiqua" w:eastAsia="宋体" w:hAnsi="Book Antiqua"/>
                <w:color w:val="000000" w:themeColor="text1"/>
                <w:lang w:val="it-IT"/>
              </w:rPr>
              <w:t>LC</w:t>
            </w:r>
          </w:p>
        </w:tc>
        <w:tc>
          <w:tcPr>
            <w:tcW w:w="1687" w:type="dxa"/>
            <w:tcBorders>
              <w:top w:val="single" w:sz="6" w:space="0" w:color="FFFFFF"/>
              <w:left w:val="single" w:sz="6" w:space="0" w:color="FFFFFF"/>
              <w:bottom w:val="single" w:sz="6" w:space="0" w:color="FFFFFF"/>
              <w:right w:val="single" w:sz="6" w:space="0" w:color="FFFFFF"/>
            </w:tcBorders>
            <w:shd w:val="clear" w:color="auto" w:fill="FFFFFF"/>
          </w:tcPr>
          <w:p w14:paraId="34F9BA45" w14:textId="77777777" w:rsidR="00C41B3E" w:rsidRDefault="0070572D">
            <w:pPr>
              <w:spacing w:line="360" w:lineRule="auto"/>
              <w:jc w:val="both"/>
              <w:rPr>
                <w:rFonts w:ascii="Book Antiqua" w:eastAsia="宋体" w:hAnsi="Book Antiqua"/>
                <w:color w:val="000000" w:themeColor="text1"/>
                <w:lang w:val="it-IT"/>
              </w:rPr>
            </w:pPr>
            <w:r>
              <w:rPr>
                <w:rFonts w:ascii="Book Antiqua" w:eastAsia="宋体" w:hAnsi="Book Antiqua"/>
                <w:color w:val="000000" w:themeColor="text1"/>
                <w:lang w:val="it-IT"/>
              </w:rPr>
              <w:t>16</w:t>
            </w:r>
          </w:p>
        </w:tc>
      </w:tr>
      <w:tr w:rsidR="00C41B3E" w14:paraId="0D34150C" w14:textId="77777777">
        <w:trPr>
          <w:trHeight w:val="553"/>
        </w:trPr>
        <w:tc>
          <w:tcPr>
            <w:tcW w:w="2361" w:type="dxa"/>
            <w:tcBorders>
              <w:top w:val="single" w:sz="6" w:space="0" w:color="FFFFFF"/>
              <w:left w:val="single" w:sz="6" w:space="0" w:color="FFFFFF"/>
              <w:bottom w:val="single" w:sz="6" w:space="0" w:color="FFFFFF"/>
              <w:right w:val="single" w:sz="6" w:space="0" w:color="FFFFFF"/>
            </w:tcBorders>
            <w:shd w:val="clear" w:color="auto" w:fill="FFFFFF"/>
          </w:tcPr>
          <w:p w14:paraId="1ED39EF5" w14:textId="77777777" w:rsidR="00C41B3E" w:rsidRDefault="0070572D">
            <w:pPr>
              <w:spacing w:line="360" w:lineRule="auto"/>
              <w:jc w:val="both"/>
              <w:rPr>
                <w:rFonts w:ascii="Book Antiqua" w:eastAsia="宋体" w:hAnsi="Book Antiqua"/>
                <w:color w:val="000000" w:themeColor="text1"/>
                <w:lang w:val="it-IT"/>
              </w:rPr>
            </w:pPr>
            <w:r>
              <w:rPr>
                <w:rFonts w:ascii="Book Antiqua" w:eastAsia="宋体" w:hAnsi="Book Antiqua"/>
                <w:bCs/>
                <w:color w:val="000000" w:themeColor="text1"/>
                <w:lang w:val="it-IT"/>
              </w:rPr>
              <w:t xml:space="preserve">Daskalaki </w:t>
            </w:r>
            <w:r>
              <w:rPr>
                <w:rFonts w:ascii="Book Antiqua" w:eastAsia="宋体" w:hAnsi="Book Antiqua"/>
                <w:bCs/>
                <w:i/>
                <w:color w:val="000000" w:themeColor="text1"/>
                <w:lang w:val="it-IT"/>
              </w:rPr>
              <w:t>et al</w:t>
            </w:r>
            <w:r>
              <w:rPr>
                <w:rFonts w:ascii="Book Antiqua" w:eastAsia="宋体" w:hAnsi="Book Antiqua"/>
                <w:bCs/>
                <w:color w:val="000000" w:themeColor="text1"/>
                <w:vertAlign w:val="superscript"/>
                <w:lang w:val="it-IT"/>
              </w:rPr>
              <w:t>[31]</w:t>
            </w:r>
            <w:r>
              <w:rPr>
                <w:rFonts w:ascii="Book Antiqua" w:eastAsia="宋体" w:hAnsi="Book Antiqua"/>
                <w:bCs/>
                <w:color w:val="000000" w:themeColor="text1"/>
                <w:lang w:val="it-IT"/>
              </w:rPr>
              <w:t>,</w:t>
            </w:r>
            <w:r>
              <w:rPr>
                <w:rFonts w:ascii="Book Antiqua" w:eastAsia="宋体" w:hAnsi="Book Antiqua"/>
                <w:bCs/>
                <w:color w:val="000000" w:themeColor="text1"/>
                <w:lang w:val="it-IT" w:eastAsia="zh-CN"/>
              </w:rPr>
              <w:t xml:space="preserve"> </w:t>
            </w:r>
            <w:r>
              <w:rPr>
                <w:rFonts w:ascii="Book Antiqua" w:eastAsia="宋体" w:hAnsi="Book Antiqua"/>
                <w:bCs/>
                <w:color w:val="000000" w:themeColor="text1"/>
                <w:lang w:val="it-IT"/>
              </w:rPr>
              <w:t>2014</w:t>
            </w:r>
          </w:p>
        </w:tc>
        <w:tc>
          <w:tcPr>
            <w:tcW w:w="3145" w:type="dxa"/>
            <w:tcBorders>
              <w:top w:val="single" w:sz="6" w:space="0" w:color="FFFFFF"/>
              <w:left w:val="single" w:sz="6" w:space="0" w:color="FFFFFF"/>
              <w:bottom w:val="single" w:sz="6" w:space="0" w:color="FFFFFF"/>
              <w:right w:val="single" w:sz="6" w:space="0" w:color="FFFFFF"/>
            </w:tcBorders>
            <w:shd w:val="clear" w:color="auto" w:fill="FFFFFF"/>
          </w:tcPr>
          <w:p w14:paraId="3785E1DD" w14:textId="77777777" w:rsidR="00C41B3E" w:rsidRDefault="0070572D">
            <w:pPr>
              <w:tabs>
                <w:tab w:val="decimal" w:pos="360"/>
              </w:tabs>
              <w:spacing w:line="360" w:lineRule="auto"/>
              <w:jc w:val="both"/>
              <w:rPr>
                <w:rFonts w:ascii="Book Antiqua" w:eastAsia="宋体" w:hAnsi="Book Antiqua"/>
                <w:color w:val="000000" w:themeColor="text1"/>
                <w:lang w:val="it-IT"/>
              </w:rPr>
            </w:pPr>
            <w:r>
              <w:rPr>
                <w:rFonts w:ascii="Book Antiqua" w:eastAsia="宋体" w:hAnsi="Book Antiqua"/>
                <w:color w:val="000000" w:themeColor="text1"/>
                <w:lang w:val="it-IT"/>
              </w:rPr>
              <w:t>Retrospective cohort study</w:t>
            </w:r>
          </w:p>
        </w:tc>
        <w:tc>
          <w:tcPr>
            <w:tcW w:w="2166" w:type="dxa"/>
            <w:tcBorders>
              <w:top w:val="single" w:sz="6" w:space="0" w:color="FFFFFF"/>
              <w:left w:val="single" w:sz="6" w:space="0" w:color="FFFFFF"/>
              <w:bottom w:val="single" w:sz="6" w:space="0" w:color="FFFFFF"/>
              <w:right w:val="single" w:sz="6" w:space="0" w:color="FFFFFF"/>
            </w:tcBorders>
            <w:shd w:val="clear" w:color="auto" w:fill="FFFFFF"/>
          </w:tcPr>
          <w:p w14:paraId="2636B25B" w14:textId="77777777" w:rsidR="00C41B3E" w:rsidRDefault="0070572D">
            <w:pPr>
              <w:tabs>
                <w:tab w:val="decimal" w:pos="360"/>
              </w:tabs>
              <w:spacing w:line="360" w:lineRule="auto"/>
              <w:jc w:val="both"/>
              <w:rPr>
                <w:rFonts w:ascii="Book Antiqua" w:eastAsia="宋体" w:hAnsi="Book Antiqua"/>
                <w:color w:val="000000" w:themeColor="text1"/>
                <w:lang w:val="it-IT"/>
              </w:rPr>
            </w:pPr>
            <w:r>
              <w:rPr>
                <w:rFonts w:ascii="Book Antiqua" w:eastAsia="宋体" w:hAnsi="Book Antiqua"/>
                <w:color w:val="000000" w:themeColor="text1"/>
                <w:lang w:val="it-IT"/>
              </w:rPr>
              <w:t>RC</w:t>
            </w:r>
          </w:p>
        </w:tc>
        <w:tc>
          <w:tcPr>
            <w:tcW w:w="1687" w:type="dxa"/>
            <w:tcBorders>
              <w:top w:val="single" w:sz="6" w:space="0" w:color="FFFFFF"/>
              <w:left w:val="single" w:sz="6" w:space="0" w:color="FFFFFF"/>
              <w:bottom w:val="single" w:sz="6" w:space="0" w:color="FFFFFF"/>
              <w:right w:val="single" w:sz="6" w:space="0" w:color="FFFFFF"/>
            </w:tcBorders>
            <w:shd w:val="clear" w:color="auto" w:fill="FFFFFF"/>
          </w:tcPr>
          <w:p w14:paraId="1B650316" w14:textId="77777777" w:rsidR="00C41B3E" w:rsidRDefault="0070572D">
            <w:pPr>
              <w:spacing w:line="360" w:lineRule="auto"/>
              <w:jc w:val="both"/>
              <w:rPr>
                <w:rFonts w:ascii="Book Antiqua" w:eastAsia="宋体" w:hAnsi="Book Antiqua"/>
                <w:color w:val="000000" w:themeColor="text1"/>
                <w:lang w:val="it-IT"/>
              </w:rPr>
            </w:pPr>
            <w:r>
              <w:rPr>
                <w:rFonts w:ascii="Book Antiqua" w:eastAsia="宋体" w:hAnsi="Book Antiqua"/>
                <w:color w:val="000000" w:themeColor="text1"/>
                <w:lang w:val="it-IT"/>
              </w:rPr>
              <w:t>24</w:t>
            </w:r>
          </w:p>
        </w:tc>
      </w:tr>
      <w:tr w:rsidR="00C41B3E" w14:paraId="350DEAE1" w14:textId="77777777">
        <w:trPr>
          <w:trHeight w:val="553"/>
        </w:trPr>
        <w:tc>
          <w:tcPr>
            <w:tcW w:w="2361" w:type="dxa"/>
            <w:tcBorders>
              <w:top w:val="single" w:sz="6" w:space="0" w:color="FFFFFF"/>
              <w:left w:val="single" w:sz="6" w:space="0" w:color="FFFFFF"/>
              <w:bottom w:val="single" w:sz="4" w:space="0" w:color="000000"/>
              <w:right w:val="single" w:sz="6" w:space="0" w:color="FFFFFF"/>
            </w:tcBorders>
            <w:shd w:val="clear" w:color="auto" w:fill="FFFFFF"/>
          </w:tcPr>
          <w:p w14:paraId="22182DBA" w14:textId="77777777" w:rsidR="00C41B3E" w:rsidRDefault="0070572D">
            <w:pPr>
              <w:spacing w:line="360" w:lineRule="auto"/>
              <w:jc w:val="both"/>
              <w:rPr>
                <w:rFonts w:ascii="Book Antiqua" w:eastAsia="宋体" w:hAnsi="Book Antiqua"/>
                <w:bCs/>
                <w:color w:val="000000" w:themeColor="text1"/>
                <w:lang w:val="it-IT"/>
              </w:rPr>
            </w:pPr>
            <w:r>
              <w:rPr>
                <w:rFonts w:ascii="Book Antiqua" w:eastAsia="宋体" w:hAnsi="Book Antiqua"/>
                <w:bCs/>
                <w:color w:val="000000" w:themeColor="text1"/>
              </w:rPr>
              <w:t>Yoshiya</w:t>
            </w:r>
            <w:r>
              <w:rPr>
                <w:rFonts w:ascii="Book Antiqua" w:eastAsia="宋体" w:hAnsi="Book Antiqua"/>
                <w:bCs/>
                <w:color w:val="000000" w:themeColor="text1"/>
                <w:lang w:eastAsia="zh-CN"/>
              </w:rPr>
              <w:t xml:space="preserve"> </w:t>
            </w:r>
            <w:r>
              <w:rPr>
                <w:rFonts w:ascii="Book Antiqua" w:eastAsia="宋体" w:hAnsi="Book Antiqua"/>
                <w:bCs/>
                <w:i/>
                <w:iCs/>
                <w:color w:val="000000" w:themeColor="text1"/>
              </w:rPr>
              <w:t>et al</w:t>
            </w:r>
            <w:r>
              <w:rPr>
                <w:rFonts w:ascii="Book Antiqua" w:eastAsia="宋体" w:hAnsi="Book Antiqua"/>
                <w:bCs/>
                <w:color w:val="000000" w:themeColor="text1"/>
                <w:vertAlign w:val="superscript"/>
              </w:rPr>
              <w:t>[33]</w:t>
            </w:r>
            <w:r>
              <w:rPr>
                <w:rFonts w:ascii="Book Antiqua" w:eastAsia="宋体" w:hAnsi="Book Antiqua"/>
                <w:bCs/>
                <w:color w:val="000000" w:themeColor="text1"/>
                <w:lang w:eastAsia="zh-CN"/>
              </w:rPr>
              <w:t xml:space="preserve">, </w:t>
            </w:r>
            <w:r>
              <w:rPr>
                <w:rFonts w:ascii="Book Antiqua" w:eastAsia="宋体" w:hAnsi="Book Antiqua"/>
                <w:bCs/>
                <w:color w:val="000000" w:themeColor="text1"/>
              </w:rPr>
              <w:t>2019</w:t>
            </w:r>
          </w:p>
        </w:tc>
        <w:tc>
          <w:tcPr>
            <w:tcW w:w="3145" w:type="dxa"/>
            <w:tcBorders>
              <w:top w:val="single" w:sz="6" w:space="0" w:color="FFFFFF"/>
              <w:left w:val="single" w:sz="6" w:space="0" w:color="FFFFFF"/>
              <w:bottom w:val="single" w:sz="4" w:space="0" w:color="000000"/>
              <w:right w:val="single" w:sz="6" w:space="0" w:color="FFFFFF"/>
            </w:tcBorders>
            <w:shd w:val="clear" w:color="auto" w:fill="FFFFFF"/>
          </w:tcPr>
          <w:p w14:paraId="149EED2C" w14:textId="77777777" w:rsidR="00C41B3E" w:rsidRDefault="0070572D">
            <w:pPr>
              <w:tabs>
                <w:tab w:val="decimal" w:pos="360"/>
              </w:tabs>
              <w:spacing w:line="360" w:lineRule="auto"/>
              <w:jc w:val="both"/>
              <w:rPr>
                <w:rFonts w:ascii="Book Antiqua" w:eastAsia="宋体" w:hAnsi="Book Antiqua"/>
                <w:color w:val="000000" w:themeColor="text1"/>
                <w:lang w:val="it-IT"/>
              </w:rPr>
            </w:pPr>
            <w:r>
              <w:rPr>
                <w:rFonts w:ascii="Book Antiqua" w:eastAsia="宋体" w:hAnsi="Book Antiqua"/>
                <w:color w:val="000000" w:themeColor="text1"/>
                <w:lang w:val="it-IT"/>
              </w:rPr>
              <w:t>Retrospective cohort study</w:t>
            </w:r>
          </w:p>
        </w:tc>
        <w:tc>
          <w:tcPr>
            <w:tcW w:w="2166" w:type="dxa"/>
            <w:tcBorders>
              <w:top w:val="single" w:sz="6" w:space="0" w:color="FFFFFF"/>
              <w:left w:val="single" w:sz="6" w:space="0" w:color="FFFFFF"/>
              <w:bottom w:val="single" w:sz="4" w:space="0" w:color="000000"/>
              <w:right w:val="single" w:sz="6" w:space="0" w:color="FFFFFF"/>
            </w:tcBorders>
            <w:shd w:val="clear" w:color="auto" w:fill="FFFFFF"/>
          </w:tcPr>
          <w:p w14:paraId="2FFD7818" w14:textId="77777777" w:rsidR="00C41B3E" w:rsidRDefault="0070572D">
            <w:pPr>
              <w:tabs>
                <w:tab w:val="decimal" w:pos="360"/>
              </w:tabs>
              <w:spacing w:line="360" w:lineRule="auto"/>
              <w:jc w:val="both"/>
              <w:rPr>
                <w:rFonts w:ascii="Book Antiqua" w:eastAsia="宋体" w:hAnsi="Book Antiqua"/>
                <w:color w:val="000000" w:themeColor="text1"/>
                <w:lang w:val="it-IT"/>
              </w:rPr>
            </w:pPr>
            <w:r>
              <w:rPr>
                <w:rFonts w:ascii="Book Antiqua" w:eastAsia="宋体" w:hAnsi="Book Antiqua"/>
                <w:color w:val="000000" w:themeColor="text1"/>
                <w:lang w:val="it-IT"/>
              </w:rPr>
              <w:t>LC after-PTGBD</w:t>
            </w:r>
          </w:p>
        </w:tc>
        <w:tc>
          <w:tcPr>
            <w:tcW w:w="1687" w:type="dxa"/>
            <w:tcBorders>
              <w:top w:val="single" w:sz="6" w:space="0" w:color="FFFFFF"/>
              <w:left w:val="single" w:sz="6" w:space="0" w:color="FFFFFF"/>
              <w:bottom w:val="single" w:sz="4" w:space="0" w:color="000000"/>
              <w:right w:val="single" w:sz="6" w:space="0" w:color="FFFFFF"/>
            </w:tcBorders>
            <w:shd w:val="clear" w:color="auto" w:fill="FFFFFF"/>
          </w:tcPr>
          <w:p w14:paraId="29F4F2A8" w14:textId="77777777" w:rsidR="00C41B3E" w:rsidRDefault="0070572D">
            <w:pPr>
              <w:spacing w:line="360" w:lineRule="auto"/>
              <w:jc w:val="both"/>
              <w:rPr>
                <w:rFonts w:ascii="Book Antiqua" w:eastAsia="宋体" w:hAnsi="Book Antiqua"/>
                <w:color w:val="000000" w:themeColor="text1"/>
                <w:lang w:val="it-IT"/>
              </w:rPr>
            </w:pPr>
            <w:r>
              <w:rPr>
                <w:rFonts w:ascii="Book Antiqua" w:eastAsia="宋体" w:hAnsi="Book Antiqua"/>
                <w:color w:val="000000" w:themeColor="text1"/>
                <w:lang w:val="it-IT"/>
              </w:rPr>
              <w:t>130</w:t>
            </w:r>
          </w:p>
        </w:tc>
      </w:tr>
    </w:tbl>
    <w:p w14:paraId="4FBA10D6" w14:textId="77777777" w:rsidR="00C41B3E" w:rsidRDefault="0070572D">
      <w:pPr>
        <w:spacing w:line="360" w:lineRule="auto"/>
        <w:jc w:val="both"/>
        <w:rPr>
          <w:rFonts w:ascii="Book Antiqua" w:eastAsia="宋体" w:hAnsi="Book Antiqua"/>
          <w:color w:val="000000" w:themeColor="text1"/>
        </w:rPr>
      </w:pPr>
      <w:r>
        <w:rPr>
          <w:rFonts w:ascii="Book Antiqua" w:eastAsia="宋体" w:hAnsi="Book Antiqua"/>
          <w:color w:val="000000" w:themeColor="text1"/>
          <w:lang w:val="it-IT"/>
        </w:rPr>
        <w:t xml:space="preserve">FIGS: </w:t>
      </w:r>
      <w:r>
        <w:rPr>
          <w:rFonts w:ascii="Book Antiqua" w:eastAsia="宋体" w:hAnsi="Book Antiqua"/>
          <w:color w:val="000000" w:themeColor="text1"/>
          <w:lang w:val="it-IT" w:eastAsia="zh-CN"/>
        </w:rPr>
        <w:t>F</w:t>
      </w:r>
      <w:r>
        <w:rPr>
          <w:rFonts w:ascii="Book Antiqua" w:eastAsia="宋体" w:hAnsi="Book Antiqua"/>
          <w:color w:val="000000" w:themeColor="text1"/>
          <w:lang w:val="it-IT"/>
        </w:rPr>
        <w:t xml:space="preserve">luorescence image-guided surgery; RCT: </w:t>
      </w:r>
      <w:r>
        <w:rPr>
          <w:rFonts w:ascii="Book Antiqua" w:eastAsia="宋体" w:hAnsi="Book Antiqua"/>
          <w:color w:val="000000" w:themeColor="text1"/>
          <w:lang w:val="it-IT" w:eastAsia="zh-CN"/>
        </w:rPr>
        <w:t>R</w:t>
      </w:r>
      <w:r>
        <w:rPr>
          <w:rFonts w:ascii="Book Antiqua" w:eastAsia="宋体" w:hAnsi="Book Antiqua"/>
          <w:color w:val="000000" w:themeColor="text1"/>
          <w:lang w:val="it-IT"/>
        </w:rPr>
        <w:t xml:space="preserve">andomized controlled trial; LC: </w:t>
      </w:r>
      <w:r>
        <w:rPr>
          <w:rFonts w:ascii="Book Antiqua" w:eastAsia="宋体" w:hAnsi="Book Antiqua"/>
          <w:color w:val="000000" w:themeColor="text1"/>
          <w:lang w:val="it-IT" w:eastAsia="zh-CN"/>
        </w:rPr>
        <w:t>L</w:t>
      </w:r>
      <w:r>
        <w:rPr>
          <w:rFonts w:ascii="Book Antiqua" w:eastAsia="宋体" w:hAnsi="Book Antiqua"/>
          <w:color w:val="000000" w:themeColor="text1"/>
          <w:lang w:val="it-IT"/>
        </w:rPr>
        <w:t xml:space="preserve">aparoscopic cholecystectomy; RC: </w:t>
      </w:r>
      <w:r>
        <w:rPr>
          <w:rFonts w:ascii="Book Antiqua" w:eastAsia="宋体" w:hAnsi="Book Antiqua"/>
          <w:color w:val="000000" w:themeColor="text1"/>
          <w:lang w:val="it-IT" w:eastAsia="zh-CN"/>
        </w:rPr>
        <w:t>R</w:t>
      </w:r>
      <w:r>
        <w:rPr>
          <w:rFonts w:ascii="Book Antiqua" w:eastAsia="宋体" w:hAnsi="Book Antiqua"/>
          <w:color w:val="000000" w:themeColor="text1"/>
          <w:lang w:val="it-IT"/>
        </w:rPr>
        <w:t xml:space="preserve">obotic cholecystectomy; </w:t>
      </w:r>
      <w:r>
        <w:rPr>
          <w:rFonts w:ascii="Book Antiqua" w:eastAsia="宋体" w:hAnsi="Book Antiqua"/>
          <w:color w:val="000000" w:themeColor="text1"/>
        </w:rPr>
        <w:t xml:space="preserve">PTGBD: </w:t>
      </w:r>
      <w:r>
        <w:rPr>
          <w:rFonts w:ascii="Book Antiqua" w:eastAsia="宋体" w:hAnsi="Book Antiqua"/>
          <w:color w:val="000000" w:themeColor="text1"/>
          <w:lang w:eastAsia="zh-CN"/>
        </w:rPr>
        <w:t>P</w:t>
      </w:r>
      <w:r>
        <w:rPr>
          <w:rFonts w:ascii="Book Antiqua" w:eastAsia="宋体" w:hAnsi="Book Antiqua"/>
          <w:color w:val="000000" w:themeColor="text1"/>
        </w:rPr>
        <w:t>ercutaneous transhepatic gallbladder drainage.</w:t>
      </w:r>
    </w:p>
    <w:p w14:paraId="71F87707" w14:textId="20D969BC" w:rsidR="0061127A" w:rsidRDefault="0061127A">
      <w:pPr>
        <w:spacing w:line="360" w:lineRule="auto"/>
        <w:jc w:val="both"/>
        <w:rPr>
          <w:rFonts w:ascii="Book Antiqua" w:eastAsia="宋体" w:hAnsi="Book Antiqua"/>
          <w:color w:val="000000" w:themeColor="text1"/>
          <w:lang w:eastAsia="zh-CN"/>
        </w:rPr>
        <w:sectPr w:rsidR="0061127A">
          <w:footerReference w:type="default" r:id="rId11"/>
          <w:pgSz w:w="12240" w:h="15840"/>
          <w:pgMar w:top="1440" w:right="1440" w:bottom="1440" w:left="1440" w:header="0" w:footer="720" w:gutter="0"/>
          <w:cols w:space="720"/>
          <w:formProt w:val="0"/>
          <w:docGrid w:linePitch="360"/>
        </w:sectPr>
      </w:pPr>
    </w:p>
    <w:p w14:paraId="63FB37B5" w14:textId="77777777" w:rsidR="00C41B3E" w:rsidRDefault="0070572D">
      <w:pPr>
        <w:spacing w:line="360" w:lineRule="auto"/>
        <w:jc w:val="both"/>
        <w:rPr>
          <w:rFonts w:ascii="Book Antiqua" w:eastAsia="宋体" w:hAnsi="Book Antiqua"/>
          <w:b/>
          <w:bCs/>
          <w:color w:val="000000" w:themeColor="text1"/>
          <w:lang w:val="en-GB" w:eastAsia="zh-CN"/>
        </w:rPr>
      </w:pPr>
      <w:r>
        <w:rPr>
          <w:rFonts w:ascii="Book Antiqua" w:eastAsia="宋体" w:hAnsi="Book Antiqua"/>
          <w:b/>
          <w:bCs/>
          <w:color w:val="000000" w:themeColor="text1"/>
          <w:lang w:val="en-GB"/>
        </w:rPr>
        <w:lastRenderedPageBreak/>
        <w:t>Table 3</w:t>
      </w:r>
      <w:r>
        <w:rPr>
          <w:rFonts w:ascii="Book Antiqua" w:eastAsia="宋体" w:hAnsi="Book Antiqua"/>
          <w:b/>
          <w:bCs/>
          <w:color w:val="000000" w:themeColor="text1"/>
          <w:lang w:val="en-GB" w:eastAsia="zh-CN"/>
        </w:rPr>
        <w:t xml:space="preserve"> </w:t>
      </w:r>
      <w:r>
        <w:rPr>
          <w:rFonts w:ascii="Book Antiqua" w:eastAsia="宋体" w:hAnsi="Book Antiqua"/>
          <w:b/>
          <w:bCs/>
          <w:color w:val="000000" w:themeColor="text1"/>
          <w:lang w:val="en-GB"/>
        </w:rPr>
        <w:t>Recruiting randomized controlled trials using indocyanine green fluorescence cholangiography</w:t>
      </w:r>
    </w:p>
    <w:tbl>
      <w:tblPr>
        <w:tblStyle w:val="1"/>
        <w:tblW w:w="5000" w:type="pct"/>
        <w:tblLook w:val="04A0" w:firstRow="1" w:lastRow="0" w:firstColumn="1" w:lastColumn="0" w:noHBand="0" w:noVBand="1"/>
      </w:tblPr>
      <w:tblGrid>
        <w:gridCol w:w="999"/>
        <w:gridCol w:w="965"/>
        <w:gridCol w:w="683"/>
        <w:gridCol w:w="878"/>
        <w:gridCol w:w="810"/>
        <w:gridCol w:w="972"/>
        <w:gridCol w:w="1065"/>
        <w:gridCol w:w="937"/>
        <w:gridCol w:w="802"/>
        <w:gridCol w:w="888"/>
        <w:gridCol w:w="577"/>
      </w:tblGrid>
      <w:tr w:rsidR="00C41B3E" w14:paraId="7FB5A63B" w14:textId="77777777">
        <w:tc>
          <w:tcPr>
            <w:tcW w:w="974" w:type="dxa"/>
            <w:tcBorders>
              <w:left w:val="nil"/>
              <w:right w:val="nil"/>
            </w:tcBorders>
            <w:shd w:val="clear" w:color="auto" w:fill="auto"/>
          </w:tcPr>
          <w:p w14:paraId="379517CF" w14:textId="77777777" w:rsidR="00C41B3E" w:rsidRDefault="0070572D">
            <w:pPr>
              <w:spacing w:line="360" w:lineRule="auto"/>
              <w:rPr>
                <w:rFonts w:ascii="Book Antiqua" w:eastAsia="宋体" w:hAnsi="Book Antiqua"/>
                <w:b/>
                <w:bCs/>
                <w:color w:val="000000" w:themeColor="text1"/>
                <w:lang w:val="en-GB" w:eastAsia="zh-CN"/>
              </w:rPr>
            </w:pPr>
            <w:r>
              <w:rPr>
                <w:rFonts w:ascii="Book Antiqua" w:eastAsia="宋体" w:hAnsi="Book Antiqua"/>
                <w:b/>
                <w:bCs/>
                <w:color w:val="000000" w:themeColor="text1"/>
                <w:szCs w:val="22"/>
                <w:lang w:val="en-GB" w:eastAsia="zh-CN"/>
              </w:rPr>
              <w:t>Study coordinator; NCT No.</w:t>
            </w:r>
          </w:p>
        </w:tc>
        <w:tc>
          <w:tcPr>
            <w:tcW w:w="941" w:type="dxa"/>
            <w:tcBorders>
              <w:left w:val="nil"/>
              <w:right w:val="nil"/>
            </w:tcBorders>
            <w:shd w:val="clear" w:color="auto" w:fill="auto"/>
          </w:tcPr>
          <w:p w14:paraId="6DBF401B" w14:textId="77777777" w:rsidR="00C41B3E" w:rsidRDefault="0070572D">
            <w:pPr>
              <w:keepNext/>
              <w:spacing w:line="360" w:lineRule="auto"/>
              <w:jc w:val="both"/>
              <w:rPr>
                <w:rFonts w:ascii="Book Antiqua" w:eastAsia="宋体" w:hAnsi="Book Antiqua"/>
                <w:b/>
                <w:bCs/>
                <w:color w:val="000000" w:themeColor="text1"/>
                <w:szCs w:val="22"/>
                <w:lang w:val="en-GB"/>
              </w:rPr>
            </w:pPr>
            <w:r>
              <w:rPr>
                <w:rFonts w:ascii="Book Antiqua" w:eastAsia="宋体" w:hAnsi="Book Antiqua"/>
                <w:b/>
                <w:bCs/>
                <w:color w:val="000000" w:themeColor="text1"/>
                <w:szCs w:val="22"/>
                <w:lang w:val="en-GB"/>
              </w:rPr>
              <w:t>Participating country</w:t>
            </w:r>
          </w:p>
        </w:tc>
        <w:tc>
          <w:tcPr>
            <w:tcW w:w="686" w:type="dxa"/>
            <w:tcBorders>
              <w:left w:val="nil"/>
              <w:right w:val="nil"/>
            </w:tcBorders>
            <w:shd w:val="clear" w:color="auto" w:fill="auto"/>
          </w:tcPr>
          <w:p w14:paraId="5D0B38D4" w14:textId="72A8FFDB" w:rsidR="00C41B3E" w:rsidRDefault="0061127A">
            <w:pPr>
              <w:keepNext/>
              <w:spacing w:line="360" w:lineRule="auto"/>
              <w:jc w:val="both"/>
              <w:rPr>
                <w:rFonts w:ascii="Book Antiqua" w:eastAsia="宋体" w:hAnsi="Book Antiqua"/>
                <w:b/>
                <w:bCs/>
                <w:color w:val="000000" w:themeColor="text1"/>
                <w:lang w:val="en-GB"/>
              </w:rPr>
            </w:pPr>
            <w:r>
              <w:rPr>
                <w:rFonts w:ascii="Book Antiqua" w:eastAsia="宋体" w:hAnsi="Book Antiqua"/>
                <w:b/>
                <w:bCs/>
                <w:color w:val="000000" w:themeColor="text1"/>
                <w:szCs w:val="22"/>
                <w:lang w:val="en-GB"/>
              </w:rPr>
              <w:t>No.</w:t>
            </w:r>
            <w:r w:rsidR="0070572D">
              <w:rPr>
                <w:rFonts w:ascii="Book Antiqua" w:eastAsia="宋体" w:hAnsi="Book Antiqua"/>
                <w:b/>
                <w:bCs/>
                <w:color w:val="000000" w:themeColor="text1"/>
                <w:szCs w:val="22"/>
                <w:lang w:val="en-GB"/>
              </w:rPr>
              <w:t xml:space="preserve"> of patients</w:t>
            </w:r>
          </w:p>
        </w:tc>
        <w:tc>
          <w:tcPr>
            <w:tcW w:w="859" w:type="dxa"/>
            <w:tcBorders>
              <w:left w:val="nil"/>
              <w:right w:val="nil"/>
            </w:tcBorders>
            <w:shd w:val="clear" w:color="auto" w:fill="auto"/>
          </w:tcPr>
          <w:p w14:paraId="129001F2" w14:textId="77777777" w:rsidR="00C41B3E" w:rsidRDefault="0070572D">
            <w:pPr>
              <w:keepNext/>
              <w:spacing w:line="360" w:lineRule="auto"/>
              <w:jc w:val="both"/>
              <w:rPr>
                <w:rFonts w:ascii="Book Antiqua" w:eastAsia="宋体" w:hAnsi="Book Antiqua"/>
                <w:b/>
                <w:bCs/>
                <w:color w:val="000000" w:themeColor="text1"/>
                <w:lang w:val="en-GB"/>
              </w:rPr>
            </w:pPr>
            <w:r>
              <w:rPr>
                <w:rFonts w:ascii="Book Antiqua" w:eastAsia="宋体" w:hAnsi="Book Antiqua"/>
                <w:b/>
                <w:bCs/>
                <w:color w:val="000000" w:themeColor="text1"/>
                <w:szCs w:val="22"/>
                <w:lang w:val="en-GB"/>
              </w:rPr>
              <w:t>Period study</w:t>
            </w:r>
          </w:p>
        </w:tc>
        <w:tc>
          <w:tcPr>
            <w:tcW w:w="790" w:type="dxa"/>
            <w:tcBorders>
              <w:left w:val="nil"/>
              <w:right w:val="nil"/>
            </w:tcBorders>
            <w:shd w:val="clear" w:color="auto" w:fill="auto"/>
          </w:tcPr>
          <w:p w14:paraId="39A76E17" w14:textId="77777777" w:rsidR="00C41B3E" w:rsidRDefault="0070572D">
            <w:pPr>
              <w:keepNext/>
              <w:spacing w:line="360" w:lineRule="auto"/>
              <w:jc w:val="both"/>
              <w:rPr>
                <w:rFonts w:ascii="Book Antiqua" w:eastAsia="宋体" w:hAnsi="Book Antiqua"/>
                <w:b/>
                <w:bCs/>
                <w:color w:val="000000" w:themeColor="text1"/>
                <w:lang w:val="en-GB"/>
              </w:rPr>
            </w:pPr>
            <w:r>
              <w:rPr>
                <w:rFonts w:ascii="Book Antiqua" w:eastAsia="宋体" w:hAnsi="Book Antiqua"/>
                <w:b/>
                <w:bCs/>
                <w:color w:val="000000" w:themeColor="text1"/>
                <w:szCs w:val="22"/>
                <w:lang w:val="en-GB"/>
              </w:rPr>
              <w:t>Published data</w:t>
            </w:r>
          </w:p>
        </w:tc>
        <w:tc>
          <w:tcPr>
            <w:tcW w:w="948" w:type="dxa"/>
            <w:tcBorders>
              <w:left w:val="nil"/>
              <w:right w:val="nil"/>
            </w:tcBorders>
            <w:shd w:val="clear" w:color="auto" w:fill="auto"/>
          </w:tcPr>
          <w:p w14:paraId="673745A4" w14:textId="77777777" w:rsidR="00C41B3E" w:rsidRDefault="0070572D">
            <w:pPr>
              <w:keepNext/>
              <w:spacing w:line="360" w:lineRule="auto"/>
              <w:jc w:val="both"/>
              <w:rPr>
                <w:rFonts w:ascii="Book Antiqua" w:eastAsia="宋体" w:hAnsi="Book Antiqua"/>
                <w:b/>
                <w:bCs/>
                <w:color w:val="000000" w:themeColor="text1"/>
                <w:lang w:val="en-GB"/>
              </w:rPr>
            </w:pPr>
            <w:r>
              <w:rPr>
                <w:rFonts w:ascii="Book Antiqua" w:eastAsia="宋体" w:hAnsi="Book Antiqua"/>
                <w:b/>
                <w:bCs/>
                <w:color w:val="000000" w:themeColor="text1"/>
                <w:szCs w:val="22"/>
                <w:lang w:val="en-GB"/>
              </w:rPr>
              <w:t>Main outcome</w:t>
            </w:r>
          </w:p>
        </w:tc>
        <w:tc>
          <w:tcPr>
            <w:tcW w:w="1040" w:type="dxa"/>
            <w:tcBorders>
              <w:left w:val="nil"/>
              <w:right w:val="nil"/>
            </w:tcBorders>
            <w:shd w:val="clear" w:color="auto" w:fill="auto"/>
          </w:tcPr>
          <w:p w14:paraId="4E7783E3" w14:textId="77777777" w:rsidR="00C41B3E" w:rsidRDefault="0070572D">
            <w:pPr>
              <w:keepNext/>
              <w:spacing w:line="360" w:lineRule="auto"/>
              <w:jc w:val="both"/>
              <w:rPr>
                <w:rFonts w:ascii="Book Antiqua" w:eastAsia="宋体" w:hAnsi="Book Antiqua"/>
                <w:b/>
                <w:bCs/>
                <w:color w:val="000000" w:themeColor="text1"/>
                <w:lang w:val="en-GB"/>
              </w:rPr>
            </w:pPr>
            <w:r>
              <w:rPr>
                <w:rFonts w:ascii="Book Antiqua" w:eastAsia="宋体" w:hAnsi="Book Antiqua"/>
                <w:b/>
                <w:bCs/>
                <w:color w:val="000000" w:themeColor="text1"/>
                <w:szCs w:val="22"/>
                <w:lang w:val="en-GB"/>
              </w:rPr>
              <w:t>Controlled group</w:t>
            </w:r>
          </w:p>
        </w:tc>
        <w:tc>
          <w:tcPr>
            <w:tcW w:w="914" w:type="dxa"/>
            <w:tcBorders>
              <w:left w:val="nil"/>
              <w:right w:val="nil"/>
            </w:tcBorders>
            <w:shd w:val="clear" w:color="auto" w:fill="auto"/>
          </w:tcPr>
          <w:p w14:paraId="5A0B771A" w14:textId="77777777" w:rsidR="00C41B3E" w:rsidRDefault="0070572D">
            <w:pPr>
              <w:keepNext/>
              <w:spacing w:line="360" w:lineRule="auto"/>
              <w:jc w:val="both"/>
              <w:rPr>
                <w:rFonts w:ascii="Book Antiqua" w:eastAsia="宋体" w:hAnsi="Book Antiqua"/>
                <w:b/>
                <w:bCs/>
                <w:color w:val="000000" w:themeColor="text1"/>
                <w:lang w:val="en-GB"/>
              </w:rPr>
            </w:pPr>
            <w:r>
              <w:rPr>
                <w:rFonts w:ascii="Book Antiqua" w:eastAsia="宋体" w:hAnsi="Book Antiqua"/>
                <w:b/>
                <w:bCs/>
                <w:color w:val="000000" w:themeColor="text1"/>
                <w:szCs w:val="22"/>
                <w:lang w:val="en-GB"/>
              </w:rPr>
              <w:t xml:space="preserve">Dose indocyanine green </w:t>
            </w:r>
          </w:p>
        </w:tc>
        <w:tc>
          <w:tcPr>
            <w:tcW w:w="783" w:type="dxa"/>
            <w:tcBorders>
              <w:left w:val="nil"/>
              <w:right w:val="nil"/>
            </w:tcBorders>
            <w:shd w:val="clear" w:color="auto" w:fill="auto"/>
          </w:tcPr>
          <w:p w14:paraId="04E4FFE8" w14:textId="77777777" w:rsidR="00C41B3E" w:rsidRDefault="0070572D">
            <w:pPr>
              <w:keepNext/>
              <w:spacing w:line="360" w:lineRule="auto"/>
              <w:jc w:val="both"/>
              <w:rPr>
                <w:rFonts w:ascii="Book Antiqua" w:eastAsia="宋体" w:hAnsi="Book Antiqua"/>
                <w:b/>
                <w:bCs/>
                <w:color w:val="000000" w:themeColor="text1"/>
                <w:lang w:val="en-GB"/>
              </w:rPr>
            </w:pPr>
            <w:r>
              <w:rPr>
                <w:rFonts w:ascii="Book Antiqua" w:eastAsia="宋体" w:hAnsi="Book Antiqua"/>
                <w:b/>
                <w:bCs/>
                <w:color w:val="000000" w:themeColor="text1"/>
                <w:szCs w:val="22"/>
                <w:lang w:val="en-GB"/>
              </w:rPr>
              <w:t>Dosing time</w:t>
            </w:r>
          </w:p>
        </w:tc>
        <w:tc>
          <w:tcPr>
            <w:tcW w:w="867" w:type="dxa"/>
            <w:tcBorders>
              <w:left w:val="nil"/>
              <w:right w:val="nil"/>
            </w:tcBorders>
            <w:shd w:val="clear" w:color="auto" w:fill="auto"/>
          </w:tcPr>
          <w:p w14:paraId="603A2A7E" w14:textId="77777777" w:rsidR="00C41B3E" w:rsidRDefault="0070572D">
            <w:pPr>
              <w:keepNext/>
              <w:spacing w:line="360" w:lineRule="auto"/>
              <w:jc w:val="both"/>
              <w:rPr>
                <w:rFonts w:ascii="Book Antiqua" w:eastAsia="宋体" w:hAnsi="Book Antiqua"/>
                <w:b/>
                <w:bCs/>
                <w:color w:val="000000" w:themeColor="text1"/>
                <w:lang w:val="en-GB"/>
              </w:rPr>
            </w:pPr>
            <w:r>
              <w:rPr>
                <w:rFonts w:ascii="Book Antiqua" w:eastAsia="宋体" w:hAnsi="Book Antiqua"/>
                <w:b/>
                <w:bCs/>
                <w:color w:val="000000" w:themeColor="text1"/>
                <w:szCs w:val="22"/>
                <w:lang w:val="en-GB"/>
              </w:rPr>
              <w:t>Conversion to open surgery</w:t>
            </w:r>
          </w:p>
        </w:tc>
        <w:tc>
          <w:tcPr>
            <w:tcW w:w="556" w:type="dxa"/>
            <w:tcBorders>
              <w:left w:val="nil"/>
              <w:right w:val="nil"/>
            </w:tcBorders>
            <w:shd w:val="clear" w:color="auto" w:fill="auto"/>
          </w:tcPr>
          <w:p w14:paraId="327CFAFE" w14:textId="77777777" w:rsidR="00C41B3E" w:rsidRDefault="0070572D">
            <w:pPr>
              <w:keepNext/>
              <w:spacing w:line="360" w:lineRule="auto"/>
              <w:jc w:val="both"/>
              <w:rPr>
                <w:rFonts w:ascii="Book Antiqua" w:eastAsia="宋体" w:hAnsi="Book Antiqua"/>
                <w:b/>
                <w:bCs/>
                <w:color w:val="000000" w:themeColor="text1"/>
                <w:lang w:val="en-GB"/>
              </w:rPr>
            </w:pPr>
            <w:r>
              <w:rPr>
                <w:rFonts w:ascii="Book Antiqua" w:eastAsia="宋体" w:hAnsi="Book Antiqua"/>
                <w:b/>
                <w:bCs/>
                <w:color w:val="000000" w:themeColor="text1"/>
                <w:szCs w:val="22"/>
                <w:lang w:val="en-GB"/>
              </w:rPr>
              <w:t>Bile duct injury</w:t>
            </w:r>
          </w:p>
        </w:tc>
      </w:tr>
      <w:tr w:rsidR="00C41B3E" w14:paraId="15BC3536" w14:textId="77777777">
        <w:tc>
          <w:tcPr>
            <w:tcW w:w="974" w:type="dxa"/>
            <w:tcBorders>
              <w:top w:val="nil"/>
              <w:left w:val="nil"/>
              <w:bottom w:val="nil"/>
              <w:right w:val="nil"/>
            </w:tcBorders>
            <w:shd w:val="clear" w:color="auto" w:fill="auto"/>
          </w:tcPr>
          <w:p w14:paraId="76B71BF8" w14:textId="77777777" w:rsidR="00C41B3E" w:rsidRDefault="0070572D">
            <w:pPr>
              <w:spacing w:line="360" w:lineRule="auto"/>
              <w:rPr>
                <w:rFonts w:ascii="Book Antiqua" w:eastAsia="宋体" w:hAnsi="Book Antiqua"/>
                <w:bCs/>
                <w:color w:val="000000" w:themeColor="text1"/>
                <w:lang w:val="en-GB"/>
              </w:rPr>
            </w:pPr>
            <w:r>
              <w:rPr>
                <w:rFonts w:ascii="Book Antiqua" w:eastAsia="宋体" w:hAnsi="Book Antiqua"/>
                <w:bCs/>
                <w:color w:val="000000" w:themeColor="text1"/>
                <w:szCs w:val="22"/>
                <w:lang w:val="en-GB"/>
              </w:rPr>
              <w:t xml:space="preserve">Dip </w:t>
            </w:r>
            <w:r>
              <w:rPr>
                <w:rFonts w:ascii="Book Antiqua" w:eastAsia="宋体" w:hAnsi="Book Antiqua"/>
                <w:bCs/>
                <w:i/>
                <w:color w:val="000000" w:themeColor="text1"/>
                <w:szCs w:val="22"/>
                <w:lang w:val="en-GB"/>
              </w:rPr>
              <w:t>et al</w:t>
            </w:r>
            <w:r>
              <w:rPr>
                <w:rFonts w:ascii="Book Antiqua" w:eastAsia="宋体" w:hAnsi="Book Antiqua"/>
                <w:bCs/>
                <w:color w:val="000000" w:themeColor="text1"/>
                <w:szCs w:val="22"/>
                <w:vertAlign w:val="superscript"/>
                <w:lang w:val="en-GB"/>
              </w:rPr>
              <w:t>[32]</w:t>
            </w:r>
            <w:r>
              <w:rPr>
                <w:rFonts w:ascii="Book Antiqua" w:eastAsia="宋体" w:hAnsi="Book Antiqua"/>
                <w:bCs/>
                <w:color w:val="000000" w:themeColor="text1"/>
                <w:szCs w:val="22"/>
                <w:lang w:val="en-GB" w:eastAsia="zh-CN"/>
              </w:rPr>
              <w:t xml:space="preserve">; </w:t>
            </w:r>
            <w:r>
              <w:rPr>
                <w:rFonts w:ascii="Book Antiqua" w:eastAsia="宋体" w:hAnsi="Book Antiqua"/>
                <w:bCs/>
                <w:color w:val="000000" w:themeColor="text1"/>
                <w:szCs w:val="22"/>
                <w:lang w:val="en-GB"/>
              </w:rPr>
              <w:t>NCT 02702843</w:t>
            </w:r>
          </w:p>
        </w:tc>
        <w:tc>
          <w:tcPr>
            <w:tcW w:w="941" w:type="dxa"/>
            <w:tcBorders>
              <w:top w:val="nil"/>
              <w:left w:val="nil"/>
              <w:bottom w:val="nil"/>
              <w:right w:val="nil"/>
            </w:tcBorders>
            <w:shd w:val="clear" w:color="auto" w:fill="auto"/>
          </w:tcPr>
          <w:p w14:paraId="69B8E0B8"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United States</w:t>
            </w:r>
          </w:p>
        </w:tc>
        <w:tc>
          <w:tcPr>
            <w:tcW w:w="686" w:type="dxa"/>
            <w:tcBorders>
              <w:top w:val="nil"/>
              <w:left w:val="nil"/>
              <w:bottom w:val="nil"/>
              <w:right w:val="nil"/>
            </w:tcBorders>
            <w:shd w:val="clear" w:color="auto" w:fill="auto"/>
          </w:tcPr>
          <w:p w14:paraId="7491D4C6"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639</w:t>
            </w:r>
          </w:p>
        </w:tc>
        <w:tc>
          <w:tcPr>
            <w:tcW w:w="859" w:type="dxa"/>
            <w:tcBorders>
              <w:top w:val="nil"/>
              <w:left w:val="nil"/>
              <w:bottom w:val="nil"/>
              <w:right w:val="nil"/>
            </w:tcBorders>
            <w:shd w:val="clear" w:color="auto" w:fill="auto"/>
          </w:tcPr>
          <w:p w14:paraId="199C9948"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April 2016</w:t>
            </w:r>
          </w:p>
        </w:tc>
        <w:tc>
          <w:tcPr>
            <w:tcW w:w="790" w:type="dxa"/>
            <w:tcBorders>
              <w:top w:val="nil"/>
              <w:left w:val="nil"/>
              <w:bottom w:val="nil"/>
              <w:right w:val="nil"/>
            </w:tcBorders>
            <w:shd w:val="clear" w:color="auto" w:fill="auto"/>
          </w:tcPr>
          <w:p w14:paraId="27B1219F"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i/>
                <w:color w:val="000000" w:themeColor="text1"/>
                <w:szCs w:val="22"/>
                <w:lang w:val="en-GB"/>
              </w:rPr>
              <w:t xml:space="preserve">Ann Surg </w:t>
            </w:r>
            <w:r>
              <w:rPr>
                <w:rFonts w:ascii="Book Antiqua" w:eastAsia="宋体" w:hAnsi="Book Antiqua"/>
                <w:bCs/>
                <w:color w:val="000000" w:themeColor="text1"/>
                <w:szCs w:val="22"/>
                <w:lang w:val="en-GB"/>
              </w:rPr>
              <w:t>2020</w:t>
            </w:r>
          </w:p>
        </w:tc>
        <w:tc>
          <w:tcPr>
            <w:tcW w:w="948" w:type="dxa"/>
            <w:tcBorders>
              <w:top w:val="nil"/>
              <w:left w:val="nil"/>
              <w:bottom w:val="nil"/>
              <w:right w:val="nil"/>
            </w:tcBorders>
            <w:shd w:val="clear" w:color="auto" w:fill="auto"/>
          </w:tcPr>
          <w:p w14:paraId="516388A8"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Identification of biliary anatomy</w:t>
            </w:r>
          </w:p>
        </w:tc>
        <w:tc>
          <w:tcPr>
            <w:tcW w:w="1040" w:type="dxa"/>
            <w:tcBorders>
              <w:top w:val="nil"/>
              <w:left w:val="nil"/>
              <w:bottom w:val="nil"/>
              <w:right w:val="nil"/>
            </w:tcBorders>
            <w:shd w:val="clear" w:color="auto" w:fill="auto"/>
          </w:tcPr>
          <w:p w14:paraId="727E8233"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White light</w:t>
            </w:r>
          </w:p>
        </w:tc>
        <w:tc>
          <w:tcPr>
            <w:tcW w:w="914" w:type="dxa"/>
            <w:tcBorders>
              <w:top w:val="nil"/>
              <w:left w:val="nil"/>
              <w:bottom w:val="nil"/>
              <w:right w:val="nil"/>
            </w:tcBorders>
            <w:shd w:val="clear" w:color="auto" w:fill="auto"/>
          </w:tcPr>
          <w:p w14:paraId="7A55D150"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0.05</w:t>
            </w:r>
            <w:r>
              <w:rPr>
                <w:rFonts w:ascii="Book Antiqua" w:eastAsia="宋体" w:hAnsi="Book Antiqua"/>
                <w:bCs/>
                <w:color w:val="000000" w:themeColor="text1"/>
                <w:szCs w:val="22"/>
                <w:lang w:val="en-GB" w:eastAsia="zh-CN"/>
              </w:rPr>
              <w:t xml:space="preserve"> </w:t>
            </w:r>
            <w:r>
              <w:rPr>
                <w:rFonts w:ascii="Book Antiqua" w:eastAsia="宋体" w:hAnsi="Book Antiqua"/>
                <w:bCs/>
                <w:color w:val="000000" w:themeColor="text1"/>
                <w:szCs w:val="22"/>
                <w:lang w:val="en-GB"/>
              </w:rPr>
              <w:t>mg/kg</w:t>
            </w:r>
          </w:p>
        </w:tc>
        <w:tc>
          <w:tcPr>
            <w:tcW w:w="783" w:type="dxa"/>
            <w:tcBorders>
              <w:top w:val="nil"/>
              <w:left w:val="nil"/>
              <w:bottom w:val="nil"/>
              <w:right w:val="nil"/>
            </w:tcBorders>
            <w:shd w:val="clear" w:color="auto" w:fill="auto"/>
          </w:tcPr>
          <w:p w14:paraId="494BF4C1"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&gt;</w:t>
            </w:r>
            <w:r>
              <w:rPr>
                <w:rFonts w:ascii="Book Antiqua" w:eastAsia="宋体" w:hAnsi="Book Antiqua"/>
                <w:bCs/>
                <w:color w:val="000000" w:themeColor="text1"/>
                <w:szCs w:val="22"/>
                <w:lang w:val="en-GB" w:eastAsia="zh-CN"/>
              </w:rPr>
              <w:t xml:space="preserve"> </w:t>
            </w:r>
            <w:r>
              <w:rPr>
                <w:rFonts w:ascii="Book Antiqua" w:eastAsia="宋体" w:hAnsi="Book Antiqua"/>
                <w:bCs/>
                <w:color w:val="000000" w:themeColor="text1"/>
                <w:szCs w:val="22"/>
                <w:lang w:val="en-GB"/>
              </w:rPr>
              <w:t>45 min prior to surgery</w:t>
            </w:r>
          </w:p>
        </w:tc>
        <w:tc>
          <w:tcPr>
            <w:tcW w:w="867" w:type="dxa"/>
            <w:tcBorders>
              <w:top w:val="nil"/>
              <w:left w:val="nil"/>
              <w:bottom w:val="nil"/>
              <w:right w:val="nil"/>
            </w:tcBorders>
            <w:shd w:val="clear" w:color="auto" w:fill="auto"/>
          </w:tcPr>
          <w:p w14:paraId="01F97259"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One patient for bleeding</w:t>
            </w:r>
          </w:p>
        </w:tc>
        <w:tc>
          <w:tcPr>
            <w:tcW w:w="556" w:type="dxa"/>
            <w:tcBorders>
              <w:top w:val="nil"/>
              <w:left w:val="nil"/>
              <w:bottom w:val="nil"/>
              <w:right w:val="nil"/>
            </w:tcBorders>
            <w:shd w:val="clear" w:color="auto" w:fill="auto"/>
          </w:tcPr>
          <w:p w14:paraId="59A478D4"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eastAsia="zh-CN"/>
              </w:rPr>
              <w:t>N</w:t>
            </w:r>
            <w:r>
              <w:rPr>
                <w:rFonts w:ascii="Book Antiqua" w:eastAsia="宋体" w:hAnsi="Book Antiqua"/>
                <w:bCs/>
                <w:color w:val="000000" w:themeColor="text1"/>
                <w:szCs w:val="22"/>
                <w:lang w:val="en-GB"/>
              </w:rPr>
              <w:t>o</w:t>
            </w:r>
          </w:p>
        </w:tc>
      </w:tr>
      <w:tr w:rsidR="00C41B3E" w14:paraId="692AA457" w14:textId="77777777">
        <w:tc>
          <w:tcPr>
            <w:tcW w:w="974" w:type="dxa"/>
            <w:tcBorders>
              <w:top w:val="nil"/>
              <w:left w:val="nil"/>
              <w:bottom w:val="nil"/>
              <w:right w:val="nil"/>
            </w:tcBorders>
            <w:shd w:val="clear" w:color="auto" w:fill="auto"/>
          </w:tcPr>
          <w:p w14:paraId="70521B13" w14:textId="77777777" w:rsidR="00C41B3E" w:rsidRDefault="0070572D">
            <w:pPr>
              <w:spacing w:line="360" w:lineRule="auto"/>
              <w:rPr>
                <w:rFonts w:ascii="Book Antiqua" w:eastAsia="宋体" w:hAnsi="Book Antiqua"/>
                <w:bCs/>
                <w:color w:val="000000" w:themeColor="text1"/>
                <w:lang w:val="en-GB"/>
              </w:rPr>
            </w:pPr>
            <w:r>
              <w:rPr>
                <w:rFonts w:ascii="Book Antiqua" w:eastAsia="宋体" w:hAnsi="Book Antiqua"/>
                <w:bCs/>
                <w:color w:val="000000" w:themeColor="text1"/>
                <w:szCs w:val="22"/>
                <w:lang w:val="en-GB"/>
              </w:rPr>
              <w:t xml:space="preserve">Lehrskov </w:t>
            </w:r>
            <w:r>
              <w:rPr>
                <w:rFonts w:ascii="Book Antiqua" w:eastAsia="宋体" w:hAnsi="Book Antiqua"/>
                <w:bCs/>
                <w:i/>
                <w:color w:val="000000" w:themeColor="text1"/>
                <w:szCs w:val="22"/>
                <w:lang w:val="en-GB"/>
              </w:rPr>
              <w:t>et al</w:t>
            </w:r>
            <w:r>
              <w:rPr>
                <w:rFonts w:ascii="Book Antiqua" w:eastAsia="宋体" w:hAnsi="Book Antiqua"/>
                <w:bCs/>
                <w:color w:val="000000" w:themeColor="text1"/>
                <w:szCs w:val="22"/>
                <w:vertAlign w:val="superscript"/>
                <w:lang w:val="en-GB"/>
              </w:rPr>
              <w:t>[50]</w:t>
            </w:r>
            <w:r>
              <w:rPr>
                <w:rFonts w:ascii="Book Antiqua" w:eastAsia="宋体" w:hAnsi="Book Antiqua"/>
                <w:bCs/>
                <w:color w:val="000000" w:themeColor="text1"/>
                <w:szCs w:val="22"/>
                <w:lang w:val="en-GB" w:eastAsia="zh-CN"/>
              </w:rPr>
              <w:t xml:space="preserve">; </w:t>
            </w:r>
            <w:r>
              <w:rPr>
                <w:rFonts w:ascii="Book Antiqua" w:eastAsia="宋体" w:hAnsi="Book Antiqua"/>
                <w:bCs/>
                <w:color w:val="000000" w:themeColor="text1"/>
                <w:szCs w:val="22"/>
                <w:lang w:val="en-GB"/>
              </w:rPr>
              <w:t>NCT 02344654</w:t>
            </w:r>
          </w:p>
        </w:tc>
        <w:tc>
          <w:tcPr>
            <w:tcW w:w="941" w:type="dxa"/>
            <w:tcBorders>
              <w:top w:val="nil"/>
              <w:left w:val="nil"/>
              <w:bottom w:val="nil"/>
              <w:right w:val="nil"/>
            </w:tcBorders>
            <w:shd w:val="clear" w:color="auto" w:fill="auto"/>
          </w:tcPr>
          <w:p w14:paraId="18E5AC87"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Denmark</w:t>
            </w:r>
          </w:p>
        </w:tc>
        <w:tc>
          <w:tcPr>
            <w:tcW w:w="686" w:type="dxa"/>
            <w:tcBorders>
              <w:top w:val="nil"/>
              <w:left w:val="nil"/>
              <w:bottom w:val="nil"/>
              <w:right w:val="nil"/>
            </w:tcBorders>
            <w:shd w:val="clear" w:color="auto" w:fill="auto"/>
          </w:tcPr>
          <w:p w14:paraId="3E187E00"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120</w:t>
            </w:r>
          </w:p>
        </w:tc>
        <w:tc>
          <w:tcPr>
            <w:tcW w:w="859" w:type="dxa"/>
            <w:tcBorders>
              <w:top w:val="nil"/>
              <w:left w:val="nil"/>
              <w:bottom w:val="nil"/>
              <w:right w:val="nil"/>
            </w:tcBorders>
            <w:shd w:val="clear" w:color="auto" w:fill="auto"/>
          </w:tcPr>
          <w:p w14:paraId="4CA6A05D"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fr-FR"/>
              </w:rPr>
              <w:t>March 2015-August 2018</w:t>
            </w:r>
          </w:p>
        </w:tc>
        <w:tc>
          <w:tcPr>
            <w:tcW w:w="790" w:type="dxa"/>
            <w:tcBorders>
              <w:top w:val="nil"/>
              <w:left w:val="nil"/>
              <w:bottom w:val="nil"/>
              <w:right w:val="nil"/>
            </w:tcBorders>
            <w:shd w:val="clear" w:color="auto" w:fill="auto"/>
          </w:tcPr>
          <w:p w14:paraId="2F62EBE0"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i/>
                <w:color w:val="000000" w:themeColor="text1"/>
                <w:szCs w:val="22"/>
                <w:lang w:val="en-GB"/>
              </w:rPr>
              <w:t>Br J Surg</w:t>
            </w:r>
            <w:r>
              <w:rPr>
                <w:rFonts w:ascii="Book Antiqua" w:eastAsia="宋体" w:hAnsi="Book Antiqua"/>
                <w:bCs/>
                <w:color w:val="000000" w:themeColor="text1"/>
                <w:szCs w:val="22"/>
                <w:lang w:val="en-GB"/>
              </w:rPr>
              <w:t xml:space="preserve"> 2020</w:t>
            </w:r>
          </w:p>
        </w:tc>
        <w:tc>
          <w:tcPr>
            <w:tcW w:w="948" w:type="dxa"/>
            <w:tcBorders>
              <w:top w:val="nil"/>
              <w:left w:val="nil"/>
              <w:bottom w:val="nil"/>
              <w:right w:val="nil"/>
            </w:tcBorders>
            <w:shd w:val="clear" w:color="auto" w:fill="auto"/>
          </w:tcPr>
          <w:p w14:paraId="00FFACEC" w14:textId="77777777" w:rsidR="00C41B3E" w:rsidRDefault="0070572D">
            <w:pPr>
              <w:keepNext/>
              <w:spacing w:line="360" w:lineRule="auto"/>
              <w:jc w:val="both"/>
              <w:rPr>
                <w:rFonts w:ascii="Book Antiqua" w:eastAsia="宋体" w:hAnsi="Book Antiqua"/>
                <w:bCs/>
                <w:color w:val="000000" w:themeColor="text1"/>
              </w:rPr>
            </w:pPr>
            <w:r>
              <w:rPr>
                <w:rFonts w:ascii="Book Antiqua" w:eastAsia="宋体" w:hAnsi="Book Antiqua"/>
                <w:bCs/>
                <w:color w:val="000000" w:themeColor="text1"/>
                <w:szCs w:val="22"/>
              </w:rPr>
              <w:t xml:space="preserve">Visualization of the critical junction </w:t>
            </w:r>
          </w:p>
        </w:tc>
        <w:tc>
          <w:tcPr>
            <w:tcW w:w="1040" w:type="dxa"/>
            <w:tcBorders>
              <w:top w:val="nil"/>
              <w:left w:val="nil"/>
              <w:bottom w:val="nil"/>
              <w:right w:val="nil"/>
            </w:tcBorders>
            <w:shd w:val="clear" w:color="auto" w:fill="auto"/>
          </w:tcPr>
          <w:p w14:paraId="6B998437"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eastAsia="zh-CN"/>
              </w:rPr>
              <w:t>I</w:t>
            </w:r>
            <w:r>
              <w:rPr>
                <w:rFonts w:ascii="Book Antiqua" w:eastAsia="宋体" w:hAnsi="Book Antiqua"/>
                <w:bCs/>
                <w:color w:val="000000" w:themeColor="text1"/>
                <w:szCs w:val="22"/>
                <w:lang w:val="en-GB"/>
              </w:rPr>
              <w:t>ntraoperative cholangiogram</w:t>
            </w:r>
          </w:p>
        </w:tc>
        <w:tc>
          <w:tcPr>
            <w:tcW w:w="914" w:type="dxa"/>
            <w:tcBorders>
              <w:top w:val="nil"/>
              <w:left w:val="nil"/>
              <w:bottom w:val="nil"/>
              <w:right w:val="nil"/>
            </w:tcBorders>
            <w:shd w:val="clear" w:color="auto" w:fill="auto"/>
          </w:tcPr>
          <w:p w14:paraId="7B7231CE"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0.05</w:t>
            </w:r>
            <w:r>
              <w:rPr>
                <w:rFonts w:ascii="Book Antiqua" w:eastAsia="宋体" w:hAnsi="Book Antiqua"/>
                <w:bCs/>
                <w:color w:val="000000" w:themeColor="text1"/>
                <w:szCs w:val="22"/>
                <w:lang w:val="en-GB" w:eastAsia="zh-CN"/>
              </w:rPr>
              <w:t xml:space="preserve"> </w:t>
            </w:r>
            <w:r>
              <w:rPr>
                <w:rFonts w:ascii="Book Antiqua" w:eastAsia="宋体" w:hAnsi="Book Antiqua"/>
                <w:bCs/>
                <w:color w:val="000000" w:themeColor="text1"/>
                <w:szCs w:val="22"/>
                <w:lang w:val="en-GB"/>
              </w:rPr>
              <w:t>mg/kg</w:t>
            </w:r>
          </w:p>
        </w:tc>
        <w:tc>
          <w:tcPr>
            <w:tcW w:w="783" w:type="dxa"/>
            <w:tcBorders>
              <w:top w:val="nil"/>
              <w:left w:val="nil"/>
              <w:bottom w:val="nil"/>
              <w:right w:val="nil"/>
            </w:tcBorders>
            <w:shd w:val="clear" w:color="auto" w:fill="auto"/>
          </w:tcPr>
          <w:p w14:paraId="66EDB2EE"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After intubation</w:t>
            </w:r>
          </w:p>
        </w:tc>
        <w:tc>
          <w:tcPr>
            <w:tcW w:w="867" w:type="dxa"/>
            <w:tcBorders>
              <w:top w:val="nil"/>
              <w:left w:val="nil"/>
              <w:bottom w:val="nil"/>
              <w:right w:val="nil"/>
            </w:tcBorders>
            <w:shd w:val="clear" w:color="auto" w:fill="auto"/>
          </w:tcPr>
          <w:p w14:paraId="47F6417B"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eastAsia="zh-CN"/>
              </w:rPr>
              <w:t>N</w:t>
            </w:r>
            <w:r>
              <w:rPr>
                <w:rFonts w:ascii="Book Antiqua" w:eastAsia="宋体" w:hAnsi="Book Antiqua"/>
                <w:bCs/>
                <w:color w:val="000000" w:themeColor="text1"/>
                <w:szCs w:val="22"/>
                <w:lang w:val="en-GB"/>
              </w:rPr>
              <w:t>o</w:t>
            </w:r>
          </w:p>
        </w:tc>
        <w:tc>
          <w:tcPr>
            <w:tcW w:w="556" w:type="dxa"/>
            <w:tcBorders>
              <w:top w:val="nil"/>
              <w:left w:val="nil"/>
              <w:bottom w:val="nil"/>
              <w:right w:val="nil"/>
            </w:tcBorders>
            <w:shd w:val="clear" w:color="auto" w:fill="auto"/>
          </w:tcPr>
          <w:p w14:paraId="4D3AF089"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eastAsia="zh-CN"/>
              </w:rPr>
              <w:t>N</w:t>
            </w:r>
            <w:r>
              <w:rPr>
                <w:rFonts w:ascii="Book Antiqua" w:eastAsia="宋体" w:hAnsi="Book Antiqua"/>
                <w:bCs/>
                <w:color w:val="000000" w:themeColor="text1"/>
                <w:szCs w:val="22"/>
                <w:lang w:val="en-GB"/>
              </w:rPr>
              <w:t>o</w:t>
            </w:r>
          </w:p>
        </w:tc>
      </w:tr>
      <w:tr w:rsidR="00C41B3E" w14:paraId="1C2BC1E0" w14:textId="77777777">
        <w:tc>
          <w:tcPr>
            <w:tcW w:w="974" w:type="dxa"/>
            <w:tcBorders>
              <w:top w:val="nil"/>
              <w:left w:val="nil"/>
              <w:bottom w:val="nil"/>
              <w:right w:val="nil"/>
            </w:tcBorders>
            <w:shd w:val="clear" w:color="auto" w:fill="auto"/>
          </w:tcPr>
          <w:p w14:paraId="23EF7F04" w14:textId="77777777" w:rsidR="00C41B3E" w:rsidRDefault="0070572D">
            <w:pPr>
              <w:spacing w:line="360" w:lineRule="auto"/>
              <w:rPr>
                <w:rFonts w:ascii="Book Antiqua" w:eastAsia="宋体" w:hAnsi="Book Antiqua"/>
                <w:bCs/>
                <w:color w:val="000000" w:themeColor="text1"/>
                <w:lang w:val="en-GB"/>
              </w:rPr>
            </w:pPr>
            <w:r>
              <w:rPr>
                <w:rFonts w:ascii="Book Antiqua" w:eastAsia="宋体" w:hAnsi="Book Antiqua"/>
                <w:bCs/>
                <w:color w:val="000000" w:themeColor="text1"/>
                <w:szCs w:val="22"/>
                <w:lang w:val="en-GB"/>
              </w:rPr>
              <w:t xml:space="preserve">van den Bos </w:t>
            </w:r>
            <w:r>
              <w:rPr>
                <w:rFonts w:ascii="Book Antiqua" w:eastAsia="宋体" w:hAnsi="Book Antiqua"/>
                <w:bCs/>
                <w:i/>
                <w:color w:val="000000" w:themeColor="text1"/>
                <w:szCs w:val="22"/>
                <w:lang w:val="en-GB"/>
              </w:rPr>
              <w:t>et al</w:t>
            </w:r>
            <w:r>
              <w:rPr>
                <w:rFonts w:ascii="Book Antiqua" w:eastAsia="宋体" w:hAnsi="Book Antiqua"/>
                <w:bCs/>
                <w:color w:val="000000" w:themeColor="text1"/>
                <w:szCs w:val="22"/>
                <w:vertAlign w:val="superscript"/>
                <w:lang w:val="en-GB"/>
              </w:rPr>
              <w:t>[61]</w:t>
            </w:r>
            <w:r>
              <w:rPr>
                <w:rFonts w:ascii="Book Antiqua" w:eastAsia="宋体" w:hAnsi="Book Antiqua"/>
                <w:bCs/>
                <w:color w:val="000000" w:themeColor="text1"/>
                <w:szCs w:val="22"/>
                <w:lang w:val="en-GB" w:eastAsia="zh-CN"/>
              </w:rPr>
              <w:t xml:space="preserve">; </w:t>
            </w:r>
            <w:r>
              <w:rPr>
                <w:rFonts w:ascii="Book Antiqua" w:eastAsia="宋体" w:hAnsi="Book Antiqua"/>
                <w:bCs/>
                <w:color w:val="000000" w:themeColor="text1"/>
                <w:szCs w:val="22"/>
                <w:lang w:val="en-GB"/>
              </w:rPr>
              <w:t>NCT 02558556</w:t>
            </w:r>
          </w:p>
        </w:tc>
        <w:tc>
          <w:tcPr>
            <w:tcW w:w="941" w:type="dxa"/>
            <w:tcBorders>
              <w:top w:val="nil"/>
              <w:left w:val="nil"/>
              <w:bottom w:val="nil"/>
              <w:right w:val="nil"/>
            </w:tcBorders>
            <w:shd w:val="clear" w:color="auto" w:fill="auto"/>
          </w:tcPr>
          <w:p w14:paraId="35E87506"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The Netherlands</w:t>
            </w:r>
          </w:p>
        </w:tc>
        <w:tc>
          <w:tcPr>
            <w:tcW w:w="686" w:type="dxa"/>
            <w:tcBorders>
              <w:top w:val="nil"/>
              <w:left w:val="nil"/>
              <w:bottom w:val="nil"/>
              <w:right w:val="nil"/>
            </w:tcBorders>
            <w:shd w:val="clear" w:color="auto" w:fill="auto"/>
          </w:tcPr>
          <w:p w14:paraId="31DE4657"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308</w:t>
            </w:r>
          </w:p>
        </w:tc>
        <w:tc>
          <w:tcPr>
            <w:tcW w:w="859" w:type="dxa"/>
            <w:tcBorders>
              <w:top w:val="nil"/>
              <w:left w:val="nil"/>
              <w:bottom w:val="nil"/>
              <w:right w:val="nil"/>
            </w:tcBorders>
            <w:shd w:val="clear" w:color="auto" w:fill="auto"/>
          </w:tcPr>
          <w:p w14:paraId="373D454F"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January 2016</w:t>
            </w:r>
          </w:p>
        </w:tc>
        <w:tc>
          <w:tcPr>
            <w:tcW w:w="790" w:type="dxa"/>
            <w:tcBorders>
              <w:top w:val="nil"/>
              <w:left w:val="nil"/>
              <w:bottom w:val="nil"/>
              <w:right w:val="nil"/>
            </w:tcBorders>
            <w:shd w:val="clear" w:color="auto" w:fill="auto"/>
          </w:tcPr>
          <w:p w14:paraId="4498A909"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eastAsia="zh-CN"/>
              </w:rPr>
              <w:t>O</w:t>
            </w:r>
            <w:r>
              <w:rPr>
                <w:rFonts w:ascii="Book Antiqua" w:eastAsia="宋体" w:hAnsi="Book Antiqua"/>
                <w:bCs/>
                <w:color w:val="000000" w:themeColor="text1"/>
                <w:szCs w:val="22"/>
                <w:lang w:val="en-GB"/>
              </w:rPr>
              <w:t>ngoing</w:t>
            </w:r>
          </w:p>
        </w:tc>
        <w:tc>
          <w:tcPr>
            <w:tcW w:w="948" w:type="dxa"/>
            <w:tcBorders>
              <w:top w:val="nil"/>
              <w:left w:val="nil"/>
              <w:bottom w:val="nil"/>
              <w:right w:val="nil"/>
            </w:tcBorders>
            <w:shd w:val="clear" w:color="auto" w:fill="auto"/>
          </w:tcPr>
          <w:p w14:paraId="2F99A718"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Time to achieve critical view of safety</w:t>
            </w:r>
          </w:p>
        </w:tc>
        <w:tc>
          <w:tcPr>
            <w:tcW w:w="1040" w:type="dxa"/>
            <w:tcBorders>
              <w:top w:val="nil"/>
              <w:left w:val="nil"/>
              <w:bottom w:val="nil"/>
              <w:right w:val="nil"/>
            </w:tcBorders>
            <w:shd w:val="clear" w:color="auto" w:fill="auto"/>
          </w:tcPr>
          <w:p w14:paraId="34AC21FB"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White light</w:t>
            </w:r>
          </w:p>
        </w:tc>
        <w:tc>
          <w:tcPr>
            <w:tcW w:w="914" w:type="dxa"/>
            <w:tcBorders>
              <w:top w:val="nil"/>
              <w:left w:val="nil"/>
              <w:bottom w:val="nil"/>
              <w:right w:val="nil"/>
            </w:tcBorders>
            <w:shd w:val="clear" w:color="auto" w:fill="auto"/>
          </w:tcPr>
          <w:p w14:paraId="4AA060FE"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2.5mg</w:t>
            </w:r>
          </w:p>
        </w:tc>
        <w:tc>
          <w:tcPr>
            <w:tcW w:w="783" w:type="dxa"/>
            <w:tcBorders>
              <w:top w:val="nil"/>
              <w:left w:val="nil"/>
              <w:bottom w:val="nil"/>
              <w:right w:val="nil"/>
            </w:tcBorders>
            <w:shd w:val="clear" w:color="auto" w:fill="auto"/>
          </w:tcPr>
          <w:p w14:paraId="05B5BCB4"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After intubation</w:t>
            </w:r>
          </w:p>
        </w:tc>
        <w:tc>
          <w:tcPr>
            <w:tcW w:w="867" w:type="dxa"/>
            <w:tcBorders>
              <w:top w:val="nil"/>
              <w:left w:val="nil"/>
              <w:bottom w:val="nil"/>
              <w:right w:val="nil"/>
            </w:tcBorders>
            <w:shd w:val="clear" w:color="auto" w:fill="auto"/>
          </w:tcPr>
          <w:p w14:paraId="2815035C"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eastAsia="zh-CN"/>
              </w:rPr>
              <w:t>NA</w:t>
            </w:r>
          </w:p>
        </w:tc>
        <w:tc>
          <w:tcPr>
            <w:tcW w:w="556" w:type="dxa"/>
            <w:tcBorders>
              <w:top w:val="nil"/>
              <w:left w:val="nil"/>
              <w:bottom w:val="nil"/>
              <w:right w:val="nil"/>
            </w:tcBorders>
            <w:shd w:val="clear" w:color="auto" w:fill="auto"/>
          </w:tcPr>
          <w:p w14:paraId="492E9C37" w14:textId="77777777" w:rsidR="00C41B3E" w:rsidRDefault="0070572D">
            <w:pPr>
              <w:keepNext/>
              <w:spacing w:line="360" w:lineRule="auto"/>
              <w:jc w:val="both"/>
              <w:rPr>
                <w:rFonts w:ascii="Book Antiqua" w:eastAsia="宋体" w:hAnsi="Book Antiqua"/>
                <w:bCs/>
                <w:color w:val="000000" w:themeColor="text1"/>
                <w:lang w:val="en-GB" w:eastAsia="zh-CN"/>
              </w:rPr>
            </w:pPr>
            <w:r>
              <w:rPr>
                <w:rFonts w:ascii="Book Antiqua" w:eastAsia="宋体" w:hAnsi="Book Antiqua"/>
                <w:bCs/>
                <w:color w:val="000000" w:themeColor="text1"/>
                <w:szCs w:val="22"/>
                <w:lang w:val="en-GB" w:eastAsia="zh-CN"/>
              </w:rPr>
              <w:t>NA</w:t>
            </w:r>
          </w:p>
        </w:tc>
      </w:tr>
      <w:tr w:rsidR="00C41B3E" w14:paraId="389EEE41" w14:textId="77777777">
        <w:tc>
          <w:tcPr>
            <w:tcW w:w="974" w:type="dxa"/>
            <w:tcBorders>
              <w:top w:val="nil"/>
              <w:left w:val="nil"/>
              <w:right w:val="nil"/>
            </w:tcBorders>
            <w:shd w:val="clear" w:color="auto" w:fill="auto"/>
          </w:tcPr>
          <w:p w14:paraId="55B96453" w14:textId="77777777" w:rsidR="00C41B3E" w:rsidRDefault="0070572D">
            <w:pPr>
              <w:spacing w:line="360" w:lineRule="auto"/>
            </w:pPr>
            <w:r>
              <w:rPr>
                <w:rFonts w:ascii="Book Antiqua" w:eastAsia="宋体" w:hAnsi="Book Antiqua"/>
                <w:bCs/>
                <w:color w:val="000000" w:themeColor="text1"/>
                <w:szCs w:val="22"/>
                <w:lang w:val="fr-FR"/>
              </w:rPr>
              <w:lastRenderedPageBreak/>
              <w:t xml:space="preserve">Koong </w:t>
            </w:r>
            <w:r>
              <w:rPr>
                <w:rFonts w:ascii="Book Antiqua" w:eastAsia="宋体" w:hAnsi="Book Antiqua"/>
                <w:bCs/>
                <w:i/>
                <w:color w:val="000000" w:themeColor="text1"/>
                <w:szCs w:val="22"/>
                <w:lang w:val="fr-FR"/>
              </w:rPr>
              <w:t>et al</w:t>
            </w:r>
            <w:r>
              <w:rPr>
                <w:rFonts w:ascii="Book Antiqua" w:eastAsia="宋体" w:hAnsi="Book Antiqua"/>
                <w:bCs/>
                <w:color w:val="000000" w:themeColor="text1"/>
                <w:szCs w:val="22"/>
                <w:vertAlign w:val="superscript"/>
                <w:lang w:val="fr-FR"/>
              </w:rPr>
              <w:t>[60] </w:t>
            </w:r>
            <w:r>
              <w:rPr>
                <w:rFonts w:ascii="Book Antiqua" w:eastAsia="宋体" w:hAnsi="Book Antiqua"/>
                <w:bCs/>
                <w:color w:val="000000" w:themeColor="text1"/>
                <w:szCs w:val="22"/>
                <w:lang w:val="fr-FR" w:eastAsia="zh-CN"/>
              </w:rPr>
              <w:t xml:space="preserve">; </w:t>
            </w:r>
            <w:hyperlink r:id="rId12" w:tgtFrame="See in ClinicalTrials.gov">
              <w:r>
                <w:rPr>
                  <w:rStyle w:val="ListLabel1"/>
                  <w:szCs w:val="22"/>
                  <w:u w:val="none"/>
                </w:rPr>
                <w:t>NCT04228835</w:t>
              </w:r>
            </w:hyperlink>
          </w:p>
        </w:tc>
        <w:tc>
          <w:tcPr>
            <w:tcW w:w="941" w:type="dxa"/>
            <w:tcBorders>
              <w:top w:val="nil"/>
              <w:left w:val="nil"/>
              <w:right w:val="nil"/>
            </w:tcBorders>
            <w:shd w:val="clear" w:color="auto" w:fill="auto"/>
          </w:tcPr>
          <w:p w14:paraId="444A9599"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Malaysia</w:t>
            </w:r>
          </w:p>
        </w:tc>
        <w:tc>
          <w:tcPr>
            <w:tcW w:w="686" w:type="dxa"/>
            <w:tcBorders>
              <w:top w:val="nil"/>
              <w:left w:val="nil"/>
              <w:right w:val="nil"/>
            </w:tcBorders>
            <w:shd w:val="clear" w:color="auto" w:fill="auto"/>
          </w:tcPr>
          <w:p w14:paraId="7C59F96D"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63</w:t>
            </w:r>
          </w:p>
        </w:tc>
        <w:tc>
          <w:tcPr>
            <w:tcW w:w="859" w:type="dxa"/>
            <w:tcBorders>
              <w:top w:val="nil"/>
              <w:left w:val="nil"/>
              <w:right w:val="nil"/>
            </w:tcBorders>
            <w:shd w:val="clear" w:color="auto" w:fill="auto"/>
          </w:tcPr>
          <w:p w14:paraId="22C2CB8D"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March2017-July 2019</w:t>
            </w:r>
          </w:p>
        </w:tc>
        <w:tc>
          <w:tcPr>
            <w:tcW w:w="790" w:type="dxa"/>
            <w:tcBorders>
              <w:top w:val="nil"/>
              <w:left w:val="nil"/>
              <w:right w:val="nil"/>
            </w:tcBorders>
            <w:shd w:val="clear" w:color="auto" w:fill="auto"/>
          </w:tcPr>
          <w:p w14:paraId="2607AAEE"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i/>
                <w:color w:val="000000" w:themeColor="text1"/>
                <w:szCs w:val="22"/>
                <w:lang w:val="en-GB"/>
              </w:rPr>
              <w:t>Asian J Surg</w:t>
            </w:r>
            <w:r>
              <w:rPr>
                <w:rFonts w:ascii="Book Antiqua" w:eastAsia="宋体" w:hAnsi="Book Antiqua"/>
                <w:bCs/>
                <w:color w:val="000000" w:themeColor="text1"/>
                <w:szCs w:val="22"/>
                <w:lang w:val="en-GB"/>
              </w:rPr>
              <w:t xml:space="preserve"> 2021</w:t>
            </w:r>
          </w:p>
        </w:tc>
        <w:tc>
          <w:tcPr>
            <w:tcW w:w="948" w:type="dxa"/>
            <w:tcBorders>
              <w:top w:val="nil"/>
              <w:left w:val="nil"/>
              <w:right w:val="nil"/>
            </w:tcBorders>
            <w:shd w:val="clear" w:color="auto" w:fill="auto"/>
          </w:tcPr>
          <w:p w14:paraId="0F35239D" w14:textId="77777777" w:rsidR="00C41B3E" w:rsidRDefault="0070572D">
            <w:pPr>
              <w:keepNext/>
              <w:spacing w:line="360" w:lineRule="auto"/>
              <w:jc w:val="both"/>
              <w:rPr>
                <w:rFonts w:ascii="Book Antiqua" w:eastAsia="宋体" w:hAnsi="Book Antiqua"/>
                <w:bCs/>
                <w:color w:val="000000" w:themeColor="text1"/>
                <w:lang w:val="fr-FR"/>
              </w:rPr>
            </w:pPr>
            <w:r>
              <w:rPr>
                <w:rFonts w:ascii="Book Antiqua" w:eastAsia="宋体" w:hAnsi="Book Antiqua"/>
                <w:bCs/>
                <w:color w:val="000000" w:themeColor="text1"/>
                <w:szCs w:val="22"/>
                <w:lang w:val="fr-FR"/>
              </w:rPr>
              <w:t>Time to achieve critical view of safety</w:t>
            </w:r>
          </w:p>
        </w:tc>
        <w:tc>
          <w:tcPr>
            <w:tcW w:w="1040" w:type="dxa"/>
            <w:tcBorders>
              <w:top w:val="nil"/>
              <w:left w:val="nil"/>
              <w:right w:val="nil"/>
            </w:tcBorders>
            <w:shd w:val="clear" w:color="auto" w:fill="auto"/>
          </w:tcPr>
          <w:p w14:paraId="04A3E587"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White light</w:t>
            </w:r>
          </w:p>
        </w:tc>
        <w:tc>
          <w:tcPr>
            <w:tcW w:w="914" w:type="dxa"/>
            <w:tcBorders>
              <w:top w:val="nil"/>
              <w:left w:val="nil"/>
              <w:right w:val="nil"/>
            </w:tcBorders>
            <w:shd w:val="clear" w:color="auto" w:fill="auto"/>
          </w:tcPr>
          <w:p w14:paraId="1EA914F5"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2.5mg</w:t>
            </w:r>
          </w:p>
        </w:tc>
        <w:tc>
          <w:tcPr>
            <w:tcW w:w="783" w:type="dxa"/>
            <w:tcBorders>
              <w:top w:val="nil"/>
              <w:left w:val="nil"/>
              <w:right w:val="nil"/>
            </w:tcBorders>
            <w:shd w:val="clear" w:color="auto" w:fill="auto"/>
          </w:tcPr>
          <w:p w14:paraId="5795B539"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Before induction of anesthesia</w:t>
            </w:r>
          </w:p>
        </w:tc>
        <w:tc>
          <w:tcPr>
            <w:tcW w:w="867" w:type="dxa"/>
            <w:tcBorders>
              <w:top w:val="nil"/>
              <w:left w:val="nil"/>
              <w:right w:val="nil"/>
            </w:tcBorders>
            <w:shd w:val="clear" w:color="auto" w:fill="auto"/>
          </w:tcPr>
          <w:p w14:paraId="25562AB8"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eastAsia="zh-CN"/>
              </w:rPr>
              <w:t>N</w:t>
            </w:r>
            <w:r>
              <w:rPr>
                <w:rFonts w:ascii="Book Antiqua" w:eastAsia="宋体" w:hAnsi="Book Antiqua"/>
                <w:bCs/>
                <w:color w:val="000000" w:themeColor="text1"/>
                <w:szCs w:val="22"/>
                <w:lang w:val="en-GB"/>
              </w:rPr>
              <w:t>o</w:t>
            </w:r>
          </w:p>
        </w:tc>
        <w:tc>
          <w:tcPr>
            <w:tcW w:w="556" w:type="dxa"/>
            <w:tcBorders>
              <w:top w:val="nil"/>
              <w:left w:val="nil"/>
              <w:right w:val="nil"/>
            </w:tcBorders>
            <w:shd w:val="clear" w:color="auto" w:fill="auto"/>
          </w:tcPr>
          <w:p w14:paraId="75B1949B"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eastAsia="zh-CN"/>
              </w:rPr>
              <w:t>N</w:t>
            </w:r>
            <w:r>
              <w:rPr>
                <w:rFonts w:ascii="Book Antiqua" w:eastAsia="宋体" w:hAnsi="Book Antiqua"/>
                <w:bCs/>
                <w:color w:val="000000" w:themeColor="text1"/>
                <w:szCs w:val="22"/>
                <w:lang w:val="en-GB"/>
              </w:rPr>
              <w:t>o</w:t>
            </w:r>
          </w:p>
        </w:tc>
      </w:tr>
    </w:tbl>
    <w:p w14:paraId="4426F57A" w14:textId="77777777" w:rsidR="00C41B3E" w:rsidRDefault="0070572D">
      <w:pPr>
        <w:spacing w:line="360" w:lineRule="auto"/>
        <w:jc w:val="both"/>
        <w:rPr>
          <w:rFonts w:ascii="Book Antiqua" w:eastAsia="宋体" w:hAnsi="Book Antiqua"/>
          <w:b/>
          <w:bCs/>
          <w:color w:val="000000" w:themeColor="text1"/>
          <w:lang w:val="en-GB" w:eastAsia="zh-CN"/>
        </w:rPr>
      </w:pPr>
      <w:r>
        <w:rPr>
          <w:rFonts w:ascii="Book Antiqua" w:eastAsia="宋体" w:hAnsi="Book Antiqua"/>
          <w:bCs/>
          <w:color w:val="000000" w:themeColor="text1"/>
          <w:szCs w:val="22"/>
          <w:lang w:val="en-GB" w:eastAsia="zh-CN"/>
        </w:rPr>
        <w:t>NA: Not available.</w:t>
      </w:r>
      <w:r>
        <w:br w:type="page"/>
      </w:r>
    </w:p>
    <w:p w14:paraId="25A41633" w14:textId="77777777" w:rsidR="00C41B3E" w:rsidRDefault="0070572D">
      <w:pPr>
        <w:spacing w:line="360" w:lineRule="auto"/>
        <w:jc w:val="both"/>
        <w:rPr>
          <w:rFonts w:ascii="Book Antiqua" w:eastAsia="宋体" w:hAnsi="Book Antiqua"/>
          <w:color w:val="000000" w:themeColor="text1"/>
          <w:lang w:val="en-GB"/>
        </w:rPr>
      </w:pPr>
      <w:r>
        <w:rPr>
          <w:rFonts w:ascii="Book Antiqua" w:eastAsia="宋体" w:hAnsi="Book Antiqua"/>
          <w:b/>
          <w:bCs/>
          <w:color w:val="000000" w:themeColor="text1"/>
          <w:lang w:val="en-GB"/>
        </w:rPr>
        <w:lastRenderedPageBreak/>
        <w:t>Table 4</w:t>
      </w:r>
      <w:r>
        <w:rPr>
          <w:rFonts w:ascii="Book Antiqua" w:eastAsia="宋体" w:hAnsi="Book Antiqua"/>
          <w:b/>
          <w:bCs/>
          <w:color w:val="000000" w:themeColor="text1"/>
          <w:lang w:val="en-GB" w:eastAsia="zh-CN"/>
        </w:rPr>
        <w:t xml:space="preserve"> </w:t>
      </w:r>
      <w:r>
        <w:rPr>
          <w:rFonts w:ascii="Book Antiqua" w:eastAsia="宋体" w:hAnsi="Book Antiqua"/>
          <w:b/>
          <w:bCs/>
          <w:color w:val="000000" w:themeColor="text1"/>
          <w:lang w:val="en-GB"/>
        </w:rPr>
        <w:t>Advantages and current limitations of fluorescent cholangiography in comparison to intraoperative cholangiogram and laparoscopic ultrasonography</w:t>
      </w:r>
    </w:p>
    <w:tbl>
      <w:tblPr>
        <w:tblStyle w:val="1"/>
        <w:tblW w:w="9576" w:type="dxa"/>
        <w:tblLook w:val="04A0" w:firstRow="1" w:lastRow="0" w:firstColumn="1" w:lastColumn="0" w:noHBand="0" w:noVBand="1"/>
      </w:tblPr>
      <w:tblGrid>
        <w:gridCol w:w="4797"/>
        <w:gridCol w:w="4779"/>
      </w:tblGrid>
      <w:tr w:rsidR="00C41B3E" w14:paraId="7A12C052" w14:textId="77777777">
        <w:tc>
          <w:tcPr>
            <w:tcW w:w="4796" w:type="dxa"/>
            <w:tcBorders>
              <w:left w:val="nil"/>
              <w:right w:val="nil"/>
            </w:tcBorders>
            <w:shd w:val="clear" w:color="auto" w:fill="auto"/>
          </w:tcPr>
          <w:p w14:paraId="22F463F1" w14:textId="77777777" w:rsidR="00C41B3E" w:rsidRDefault="0070572D">
            <w:pPr>
              <w:spacing w:line="360" w:lineRule="auto"/>
              <w:jc w:val="both"/>
              <w:rPr>
                <w:rFonts w:ascii="Book Antiqua" w:eastAsia="宋体" w:hAnsi="Book Antiqua"/>
                <w:b/>
                <w:bCs/>
                <w:color w:val="000000" w:themeColor="text1"/>
                <w:lang w:val="en-GB"/>
              </w:rPr>
            </w:pPr>
            <w:r>
              <w:rPr>
                <w:rFonts w:ascii="Book Antiqua" w:eastAsia="宋体" w:hAnsi="Book Antiqua"/>
                <w:b/>
                <w:bCs/>
                <w:color w:val="000000" w:themeColor="text1"/>
                <w:szCs w:val="22"/>
                <w:lang w:val="en-GB"/>
              </w:rPr>
              <w:t>Advantages</w:t>
            </w:r>
          </w:p>
        </w:tc>
        <w:tc>
          <w:tcPr>
            <w:tcW w:w="4779" w:type="dxa"/>
            <w:tcBorders>
              <w:left w:val="nil"/>
              <w:right w:val="nil"/>
            </w:tcBorders>
            <w:shd w:val="clear" w:color="auto" w:fill="auto"/>
          </w:tcPr>
          <w:p w14:paraId="14AADDFC" w14:textId="77777777" w:rsidR="00C41B3E" w:rsidRDefault="0070572D">
            <w:pPr>
              <w:keepNext/>
              <w:spacing w:line="360" w:lineRule="auto"/>
              <w:jc w:val="both"/>
              <w:rPr>
                <w:rFonts w:ascii="Book Antiqua" w:eastAsia="宋体" w:hAnsi="Book Antiqua"/>
                <w:b/>
                <w:bCs/>
                <w:color w:val="000000" w:themeColor="text1"/>
                <w:lang w:val="en-GB"/>
              </w:rPr>
            </w:pPr>
            <w:r>
              <w:rPr>
                <w:rFonts w:ascii="Book Antiqua" w:eastAsia="宋体" w:hAnsi="Book Antiqua"/>
                <w:b/>
                <w:bCs/>
                <w:color w:val="000000" w:themeColor="text1"/>
                <w:szCs w:val="22"/>
                <w:lang w:val="en-GB"/>
              </w:rPr>
              <w:t>Limitations</w:t>
            </w:r>
          </w:p>
        </w:tc>
      </w:tr>
      <w:tr w:rsidR="00C41B3E" w14:paraId="78B8AC44" w14:textId="77777777">
        <w:tc>
          <w:tcPr>
            <w:tcW w:w="4796" w:type="dxa"/>
            <w:tcBorders>
              <w:top w:val="nil"/>
              <w:left w:val="nil"/>
              <w:bottom w:val="nil"/>
              <w:right w:val="nil"/>
            </w:tcBorders>
            <w:shd w:val="clear" w:color="auto" w:fill="auto"/>
          </w:tcPr>
          <w:p w14:paraId="3C68F756" w14:textId="77777777" w:rsidR="00C41B3E" w:rsidRDefault="0070572D">
            <w:pPr>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Real-time visualization of biliary anatomy in elective and emergent settings</w:t>
            </w:r>
          </w:p>
        </w:tc>
        <w:tc>
          <w:tcPr>
            <w:tcW w:w="4779" w:type="dxa"/>
            <w:tcBorders>
              <w:top w:val="nil"/>
              <w:left w:val="nil"/>
              <w:bottom w:val="nil"/>
              <w:right w:val="nil"/>
            </w:tcBorders>
            <w:shd w:val="clear" w:color="auto" w:fill="auto"/>
          </w:tcPr>
          <w:p w14:paraId="21E5674D"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Limited in patients with specific conditions, such as overweight and obesity; it needs a preliminary dissection and exposure of the hepatocystic triangle</w:t>
            </w:r>
          </w:p>
        </w:tc>
      </w:tr>
      <w:tr w:rsidR="00C41B3E" w14:paraId="5862380F" w14:textId="77777777">
        <w:tc>
          <w:tcPr>
            <w:tcW w:w="4796" w:type="dxa"/>
            <w:tcBorders>
              <w:top w:val="nil"/>
              <w:left w:val="nil"/>
              <w:bottom w:val="nil"/>
              <w:right w:val="nil"/>
            </w:tcBorders>
            <w:shd w:val="clear" w:color="auto" w:fill="auto"/>
          </w:tcPr>
          <w:p w14:paraId="5FB5AEDA" w14:textId="77777777" w:rsidR="00C41B3E" w:rsidRDefault="0070572D">
            <w:pPr>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Safer dissection of the hepatocystic triangle</w:t>
            </w:r>
          </w:p>
        </w:tc>
        <w:tc>
          <w:tcPr>
            <w:tcW w:w="4779" w:type="dxa"/>
            <w:tcBorders>
              <w:top w:val="nil"/>
              <w:left w:val="nil"/>
              <w:bottom w:val="nil"/>
              <w:right w:val="nil"/>
            </w:tcBorders>
            <w:shd w:val="clear" w:color="auto" w:fill="auto"/>
          </w:tcPr>
          <w:p w14:paraId="5801CEAA"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Limited scientific evidence in the setting of acute cholecystitis</w:t>
            </w:r>
          </w:p>
        </w:tc>
      </w:tr>
      <w:tr w:rsidR="00C41B3E" w14:paraId="323B0AB9" w14:textId="77777777">
        <w:tc>
          <w:tcPr>
            <w:tcW w:w="4796" w:type="dxa"/>
            <w:tcBorders>
              <w:top w:val="nil"/>
              <w:left w:val="nil"/>
              <w:bottom w:val="nil"/>
              <w:right w:val="nil"/>
            </w:tcBorders>
            <w:shd w:val="clear" w:color="auto" w:fill="auto"/>
          </w:tcPr>
          <w:p w14:paraId="4B0D6B4B" w14:textId="77777777" w:rsidR="00C41B3E" w:rsidRDefault="0070572D">
            <w:pPr>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Detection of biliary variants and biliary leaks</w:t>
            </w:r>
          </w:p>
        </w:tc>
        <w:tc>
          <w:tcPr>
            <w:tcW w:w="4779" w:type="dxa"/>
            <w:tcBorders>
              <w:top w:val="nil"/>
              <w:left w:val="nil"/>
              <w:bottom w:val="nil"/>
              <w:right w:val="nil"/>
            </w:tcBorders>
            <w:shd w:val="clear" w:color="auto" w:fill="auto"/>
          </w:tcPr>
          <w:p w14:paraId="5CD9FFE6"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High variability about indocyanine green dose and dosing time</w:t>
            </w:r>
          </w:p>
        </w:tc>
      </w:tr>
      <w:tr w:rsidR="00C41B3E" w14:paraId="625745FF" w14:textId="77777777">
        <w:tc>
          <w:tcPr>
            <w:tcW w:w="4796" w:type="dxa"/>
            <w:tcBorders>
              <w:top w:val="nil"/>
              <w:left w:val="nil"/>
              <w:bottom w:val="nil"/>
              <w:right w:val="nil"/>
            </w:tcBorders>
            <w:shd w:val="clear" w:color="auto" w:fill="auto"/>
          </w:tcPr>
          <w:p w14:paraId="1E1731D4" w14:textId="77777777" w:rsidR="00C41B3E" w:rsidRDefault="0070572D">
            <w:pPr>
              <w:spacing w:line="360" w:lineRule="auto"/>
              <w:jc w:val="both"/>
              <w:rPr>
                <w:rFonts w:ascii="Book Antiqua" w:eastAsia="宋体" w:hAnsi="Book Antiqua"/>
                <w:bCs/>
                <w:color w:val="000000" w:themeColor="text1"/>
              </w:rPr>
            </w:pPr>
            <w:r>
              <w:rPr>
                <w:rFonts w:ascii="Book Antiqua" w:eastAsia="宋体" w:hAnsi="Book Antiqua"/>
                <w:bCs/>
                <w:color w:val="000000" w:themeColor="text1"/>
                <w:szCs w:val="22"/>
                <w:lang w:val="en-GB"/>
              </w:rPr>
              <w:t xml:space="preserve">Implementing method in combination </w:t>
            </w:r>
            <w:r>
              <w:rPr>
                <w:rFonts w:ascii="Book Antiqua" w:eastAsia="宋体" w:hAnsi="Book Antiqua"/>
                <w:bCs/>
                <w:color w:val="000000" w:themeColor="text1"/>
                <w:szCs w:val="22"/>
              </w:rPr>
              <w:t>with adequate dissection and identification technique to achieve critical view of safety</w:t>
            </w:r>
          </w:p>
        </w:tc>
        <w:tc>
          <w:tcPr>
            <w:tcW w:w="4779" w:type="dxa"/>
            <w:tcBorders>
              <w:top w:val="nil"/>
              <w:left w:val="nil"/>
              <w:bottom w:val="nil"/>
              <w:right w:val="nil"/>
            </w:tcBorders>
            <w:shd w:val="clear" w:color="auto" w:fill="auto"/>
          </w:tcPr>
          <w:p w14:paraId="7ADF4497"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Detection of bile duct stones</w:t>
            </w:r>
          </w:p>
        </w:tc>
      </w:tr>
      <w:tr w:rsidR="00C41B3E" w14:paraId="115477EC" w14:textId="77777777">
        <w:tc>
          <w:tcPr>
            <w:tcW w:w="4796" w:type="dxa"/>
            <w:tcBorders>
              <w:top w:val="nil"/>
              <w:left w:val="nil"/>
              <w:bottom w:val="nil"/>
              <w:right w:val="nil"/>
            </w:tcBorders>
            <w:shd w:val="clear" w:color="auto" w:fill="auto"/>
          </w:tcPr>
          <w:p w14:paraId="49252C44" w14:textId="77777777" w:rsidR="00C41B3E" w:rsidRDefault="0070572D">
            <w:pPr>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Feasibility and safety</w:t>
            </w:r>
          </w:p>
        </w:tc>
        <w:tc>
          <w:tcPr>
            <w:tcW w:w="4779" w:type="dxa"/>
            <w:tcBorders>
              <w:top w:val="nil"/>
              <w:left w:val="nil"/>
              <w:bottom w:val="nil"/>
              <w:right w:val="nil"/>
            </w:tcBorders>
            <w:shd w:val="clear" w:color="auto" w:fill="auto"/>
          </w:tcPr>
          <w:p w14:paraId="3220045F" w14:textId="77777777" w:rsidR="00C41B3E" w:rsidRDefault="0070572D">
            <w:pPr>
              <w:keepNext/>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Need for consensus conference and international guidelines</w:t>
            </w:r>
          </w:p>
        </w:tc>
      </w:tr>
      <w:tr w:rsidR="00C41B3E" w14:paraId="4DC32D8D" w14:textId="77777777">
        <w:tc>
          <w:tcPr>
            <w:tcW w:w="4796" w:type="dxa"/>
            <w:tcBorders>
              <w:top w:val="nil"/>
              <w:left w:val="nil"/>
              <w:bottom w:val="nil"/>
              <w:right w:val="nil"/>
            </w:tcBorders>
            <w:shd w:val="clear" w:color="auto" w:fill="auto"/>
          </w:tcPr>
          <w:p w14:paraId="7089502E" w14:textId="77777777" w:rsidR="00C41B3E" w:rsidRDefault="0070572D">
            <w:pPr>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Reduced medical costs</w:t>
            </w:r>
          </w:p>
        </w:tc>
        <w:tc>
          <w:tcPr>
            <w:tcW w:w="4779" w:type="dxa"/>
            <w:tcBorders>
              <w:top w:val="nil"/>
              <w:left w:val="nil"/>
              <w:bottom w:val="nil"/>
              <w:right w:val="nil"/>
            </w:tcBorders>
            <w:shd w:val="clear" w:color="auto" w:fill="auto"/>
          </w:tcPr>
          <w:p w14:paraId="5ED5DE6F" w14:textId="77777777" w:rsidR="00C41B3E" w:rsidRDefault="00C41B3E">
            <w:pPr>
              <w:keepNext/>
              <w:spacing w:line="360" w:lineRule="auto"/>
              <w:jc w:val="both"/>
              <w:rPr>
                <w:rFonts w:ascii="Calibri" w:eastAsia="宋体" w:hAnsi="Calibri"/>
                <w:b/>
                <w:bCs/>
                <w:color w:val="000000" w:themeColor="text1"/>
                <w:szCs w:val="22"/>
              </w:rPr>
            </w:pPr>
          </w:p>
        </w:tc>
      </w:tr>
      <w:tr w:rsidR="00C41B3E" w14:paraId="639B553D" w14:textId="77777777">
        <w:tc>
          <w:tcPr>
            <w:tcW w:w="4796" w:type="dxa"/>
            <w:tcBorders>
              <w:top w:val="nil"/>
              <w:left w:val="nil"/>
              <w:bottom w:val="nil"/>
              <w:right w:val="nil"/>
            </w:tcBorders>
            <w:shd w:val="clear" w:color="auto" w:fill="auto"/>
          </w:tcPr>
          <w:p w14:paraId="53B76345" w14:textId="77777777" w:rsidR="00C41B3E" w:rsidRDefault="0070572D">
            <w:pPr>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Time/faster</w:t>
            </w:r>
          </w:p>
        </w:tc>
        <w:tc>
          <w:tcPr>
            <w:tcW w:w="4779" w:type="dxa"/>
            <w:tcBorders>
              <w:top w:val="nil"/>
              <w:left w:val="nil"/>
              <w:bottom w:val="nil"/>
              <w:right w:val="nil"/>
            </w:tcBorders>
            <w:shd w:val="clear" w:color="auto" w:fill="auto"/>
          </w:tcPr>
          <w:p w14:paraId="3D68413B" w14:textId="77777777" w:rsidR="00C41B3E" w:rsidRDefault="00C41B3E">
            <w:pPr>
              <w:keepNext/>
              <w:spacing w:line="360" w:lineRule="auto"/>
              <w:jc w:val="both"/>
              <w:rPr>
                <w:rFonts w:ascii="Calibri" w:eastAsia="宋体" w:hAnsi="Calibri"/>
                <w:b/>
                <w:bCs/>
                <w:color w:val="000000" w:themeColor="text1"/>
                <w:szCs w:val="22"/>
              </w:rPr>
            </w:pPr>
          </w:p>
        </w:tc>
      </w:tr>
      <w:tr w:rsidR="00C41B3E" w14:paraId="1BC795D4" w14:textId="77777777">
        <w:tc>
          <w:tcPr>
            <w:tcW w:w="4796" w:type="dxa"/>
            <w:tcBorders>
              <w:top w:val="nil"/>
              <w:left w:val="nil"/>
              <w:bottom w:val="nil"/>
              <w:right w:val="nil"/>
            </w:tcBorders>
            <w:shd w:val="clear" w:color="auto" w:fill="auto"/>
          </w:tcPr>
          <w:p w14:paraId="5921F913" w14:textId="77777777" w:rsidR="00C41B3E" w:rsidRDefault="0070572D">
            <w:pPr>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Lack of X-ray exposure</w:t>
            </w:r>
          </w:p>
        </w:tc>
        <w:tc>
          <w:tcPr>
            <w:tcW w:w="4779" w:type="dxa"/>
            <w:tcBorders>
              <w:top w:val="nil"/>
              <w:left w:val="nil"/>
              <w:bottom w:val="nil"/>
              <w:right w:val="nil"/>
            </w:tcBorders>
            <w:shd w:val="clear" w:color="auto" w:fill="auto"/>
          </w:tcPr>
          <w:p w14:paraId="075D27AC" w14:textId="77777777" w:rsidR="00C41B3E" w:rsidRDefault="00C41B3E">
            <w:pPr>
              <w:keepNext/>
              <w:spacing w:line="360" w:lineRule="auto"/>
              <w:jc w:val="both"/>
              <w:rPr>
                <w:rFonts w:ascii="Calibri" w:eastAsia="宋体" w:hAnsi="Calibri"/>
                <w:b/>
                <w:bCs/>
                <w:color w:val="000000" w:themeColor="text1"/>
                <w:szCs w:val="22"/>
              </w:rPr>
            </w:pPr>
          </w:p>
        </w:tc>
      </w:tr>
      <w:tr w:rsidR="00C41B3E" w14:paraId="3E7E5B72" w14:textId="77777777">
        <w:tc>
          <w:tcPr>
            <w:tcW w:w="4796" w:type="dxa"/>
            <w:tcBorders>
              <w:top w:val="nil"/>
              <w:left w:val="nil"/>
              <w:bottom w:val="nil"/>
              <w:right w:val="nil"/>
            </w:tcBorders>
            <w:shd w:val="clear" w:color="auto" w:fill="auto"/>
          </w:tcPr>
          <w:p w14:paraId="52CB9D29" w14:textId="77777777" w:rsidR="00C41B3E" w:rsidRDefault="0070572D">
            <w:pPr>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Simplicity and lack of learning curve</w:t>
            </w:r>
          </w:p>
        </w:tc>
        <w:tc>
          <w:tcPr>
            <w:tcW w:w="4779" w:type="dxa"/>
            <w:tcBorders>
              <w:top w:val="nil"/>
              <w:left w:val="nil"/>
              <w:bottom w:val="nil"/>
              <w:right w:val="nil"/>
            </w:tcBorders>
            <w:shd w:val="clear" w:color="auto" w:fill="auto"/>
          </w:tcPr>
          <w:p w14:paraId="6859221B" w14:textId="77777777" w:rsidR="00C41B3E" w:rsidRDefault="00C41B3E">
            <w:pPr>
              <w:keepNext/>
              <w:spacing w:line="360" w:lineRule="auto"/>
              <w:jc w:val="both"/>
              <w:rPr>
                <w:rFonts w:ascii="Calibri" w:eastAsia="宋体" w:hAnsi="Calibri"/>
                <w:b/>
                <w:bCs/>
                <w:color w:val="000000" w:themeColor="text1"/>
                <w:szCs w:val="22"/>
              </w:rPr>
            </w:pPr>
          </w:p>
        </w:tc>
      </w:tr>
      <w:tr w:rsidR="00C41B3E" w14:paraId="35C86512" w14:textId="77777777">
        <w:tc>
          <w:tcPr>
            <w:tcW w:w="4796" w:type="dxa"/>
            <w:tcBorders>
              <w:top w:val="nil"/>
              <w:left w:val="nil"/>
              <w:bottom w:val="nil"/>
              <w:right w:val="nil"/>
            </w:tcBorders>
            <w:shd w:val="clear" w:color="auto" w:fill="auto"/>
          </w:tcPr>
          <w:p w14:paraId="10870500" w14:textId="77777777" w:rsidR="00C41B3E" w:rsidRDefault="0070572D">
            <w:pPr>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Teaching tool for young surgeons</w:t>
            </w:r>
          </w:p>
        </w:tc>
        <w:tc>
          <w:tcPr>
            <w:tcW w:w="4779" w:type="dxa"/>
            <w:tcBorders>
              <w:top w:val="nil"/>
              <w:left w:val="nil"/>
              <w:bottom w:val="nil"/>
              <w:right w:val="nil"/>
            </w:tcBorders>
            <w:shd w:val="clear" w:color="auto" w:fill="auto"/>
          </w:tcPr>
          <w:p w14:paraId="26D789A6" w14:textId="77777777" w:rsidR="00C41B3E" w:rsidRDefault="00C41B3E">
            <w:pPr>
              <w:keepNext/>
              <w:spacing w:line="360" w:lineRule="auto"/>
              <w:jc w:val="both"/>
              <w:rPr>
                <w:rFonts w:ascii="Calibri" w:eastAsia="宋体" w:hAnsi="Calibri"/>
                <w:b/>
                <w:bCs/>
                <w:color w:val="000000" w:themeColor="text1"/>
                <w:szCs w:val="22"/>
              </w:rPr>
            </w:pPr>
          </w:p>
        </w:tc>
      </w:tr>
      <w:tr w:rsidR="00C41B3E" w14:paraId="122E98C3" w14:textId="77777777">
        <w:tc>
          <w:tcPr>
            <w:tcW w:w="4796" w:type="dxa"/>
            <w:tcBorders>
              <w:top w:val="nil"/>
              <w:left w:val="nil"/>
              <w:bottom w:val="nil"/>
              <w:right w:val="nil"/>
            </w:tcBorders>
            <w:shd w:val="clear" w:color="auto" w:fill="auto"/>
          </w:tcPr>
          <w:p w14:paraId="63DA2D1E" w14:textId="77777777" w:rsidR="00C41B3E" w:rsidRDefault="0070572D">
            <w:pPr>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Possibility to associate fluorescent angiography</w:t>
            </w:r>
          </w:p>
        </w:tc>
        <w:tc>
          <w:tcPr>
            <w:tcW w:w="4779" w:type="dxa"/>
            <w:tcBorders>
              <w:top w:val="nil"/>
              <w:left w:val="nil"/>
              <w:bottom w:val="nil"/>
              <w:right w:val="nil"/>
            </w:tcBorders>
            <w:shd w:val="clear" w:color="auto" w:fill="auto"/>
          </w:tcPr>
          <w:p w14:paraId="4401BFF9" w14:textId="77777777" w:rsidR="00C41B3E" w:rsidRDefault="00C41B3E">
            <w:pPr>
              <w:keepNext/>
              <w:spacing w:line="360" w:lineRule="auto"/>
              <w:jc w:val="both"/>
              <w:rPr>
                <w:rFonts w:ascii="Calibri" w:eastAsia="宋体" w:hAnsi="Calibri"/>
                <w:b/>
                <w:bCs/>
                <w:color w:val="000000" w:themeColor="text1"/>
                <w:szCs w:val="22"/>
              </w:rPr>
            </w:pPr>
          </w:p>
        </w:tc>
      </w:tr>
      <w:tr w:rsidR="00C41B3E" w14:paraId="0DB94D1C" w14:textId="77777777">
        <w:tc>
          <w:tcPr>
            <w:tcW w:w="4796" w:type="dxa"/>
            <w:tcBorders>
              <w:top w:val="nil"/>
              <w:left w:val="nil"/>
              <w:right w:val="nil"/>
            </w:tcBorders>
            <w:shd w:val="clear" w:color="auto" w:fill="auto"/>
          </w:tcPr>
          <w:p w14:paraId="20A73A7F" w14:textId="77777777" w:rsidR="00C41B3E" w:rsidRDefault="0070572D">
            <w:pPr>
              <w:spacing w:line="360" w:lineRule="auto"/>
              <w:jc w:val="both"/>
              <w:rPr>
                <w:rFonts w:ascii="Book Antiqua" w:eastAsia="宋体" w:hAnsi="Book Antiqua"/>
                <w:bCs/>
                <w:color w:val="000000" w:themeColor="text1"/>
                <w:lang w:val="en-GB"/>
              </w:rPr>
            </w:pPr>
            <w:r>
              <w:rPr>
                <w:rFonts w:ascii="Book Antiqua" w:eastAsia="宋体" w:hAnsi="Book Antiqua"/>
                <w:bCs/>
                <w:color w:val="000000" w:themeColor="text1"/>
                <w:szCs w:val="22"/>
                <w:lang w:val="en-GB"/>
              </w:rPr>
              <w:t>Strong</w:t>
            </w:r>
            <w:r>
              <w:rPr>
                <w:rFonts w:ascii="Book Antiqua" w:eastAsia="宋体" w:hAnsi="Book Antiqua"/>
                <w:bCs/>
                <w:color w:val="000000" w:themeColor="text1"/>
                <w:szCs w:val="22"/>
              </w:rPr>
              <w:t xml:space="preserve"> potential to become a gold standard during all cholecystectomies</w:t>
            </w:r>
          </w:p>
        </w:tc>
        <w:tc>
          <w:tcPr>
            <w:tcW w:w="4779" w:type="dxa"/>
            <w:tcBorders>
              <w:top w:val="nil"/>
              <w:left w:val="nil"/>
              <w:right w:val="nil"/>
            </w:tcBorders>
            <w:shd w:val="clear" w:color="auto" w:fill="auto"/>
          </w:tcPr>
          <w:p w14:paraId="4A7BE2D1" w14:textId="77777777" w:rsidR="00C41B3E" w:rsidRDefault="00C41B3E">
            <w:pPr>
              <w:keepNext/>
              <w:spacing w:line="360" w:lineRule="auto"/>
              <w:jc w:val="both"/>
              <w:rPr>
                <w:rFonts w:ascii="Calibri" w:eastAsia="宋体" w:hAnsi="Calibri"/>
                <w:b/>
                <w:bCs/>
                <w:color w:val="000000" w:themeColor="text1"/>
                <w:szCs w:val="22"/>
              </w:rPr>
            </w:pPr>
          </w:p>
        </w:tc>
      </w:tr>
    </w:tbl>
    <w:p w14:paraId="18CFF534" w14:textId="77777777" w:rsidR="00C41B3E" w:rsidRDefault="0070572D">
      <w:pPr>
        <w:spacing w:line="360" w:lineRule="auto"/>
        <w:jc w:val="both"/>
        <w:rPr>
          <w:rFonts w:ascii="Book Antiqua" w:eastAsia="宋体" w:hAnsi="Book Antiqua"/>
          <w:color w:val="000000" w:themeColor="text1"/>
          <w:lang w:val="en-GB"/>
        </w:rPr>
      </w:pPr>
      <w:r>
        <w:br w:type="page"/>
      </w:r>
      <w:r>
        <w:rPr>
          <w:rFonts w:ascii="Book Antiqua" w:eastAsia="宋体" w:hAnsi="Book Antiqua"/>
          <w:b/>
          <w:bCs/>
          <w:color w:val="000000" w:themeColor="text1"/>
          <w:lang w:val="en-GB"/>
        </w:rPr>
        <w:lastRenderedPageBreak/>
        <w:t>Table 5</w:t>
      </w:r>
      <w:r>
        <w:rPr>
          <w:rFonts w:ascii="Book Antiqua" w:eastAsia="宋体" w:hAnsi="Book Antiqua"/>
          <w:b/>
          <w:bCs/>
          <w:color w:val="000000" w:themeColor="text1"/>
          <w:lang w:val="en-GB" w:eastAsia="zh-CN"/>
        </w:rPr>
        <w:t xml:space="preserve"> </w:t>
      </w:r>
      <w:r>
        <w:rPr>
          <w:rFonts w:ascii="Book Antiqua" w:eastAsia="宋体" w:hAnsi="Book Antiqua"/>
          <w:b/>
          <w:bCs/>
          <w:color w:val="000000" w:themeColor="text1"/>
          <w:lang w:val="en-GB"/>
        </w:rPr>
        <w:t>Studies reporting robotic cholecystectomy and near-infrared fluorescent cholangiography</w:t>
      </w:r>
    </w:p>
    <w:tbl>
      <w:tblPr>
        <w:tblW w:w="5000" w:type="pct"/>
        <w:tblBorders>
          <w:top w:val="single" w:sz="4" w:space="0" w:color="000000"/>
          <w:bottom w:val="single" w:sz="4" w:space="0" w:color="000000"/>
          <w:insideH w:val="single" w:sz="4" w:space="0" w:color="000000"/>
        </w:tblBorders>
        <w:shd w:val="clear" w:color="auto" w:fill="CED7E7"/>
        <w:tblCellMar>
          <w:top w:w="80" w:type="dxa"/>
          <w:left w:w="80" w:type="dxa"/>
          <w:bottom w:w="80" w:type="dxa"/>
          <w:right w:w="80" w:type="dxa"/>
        </w:tblCellMar>
        <w:tblLook w:val="04A0" w:firstRow="1" w:lastRow="0" w:firstColumn="1" w:lastColumn="0" w:noHBand="0" w:noVBand="1"/>
      </w:tblPr>
      <w:tblGrid>
        <w:gridCol w:w="1916"/>
        <w:gridCol w:w="2309"/>
        <w:gridCol w:w="1420"/>
        <w:gridCol w:w="1884"/>
        <w:gridCol w:w="1921"/>
      </w:tblGrid>
      <w:tr w:rsidR="00C41B3E" w14:paraId="2F43355B" w14:textId="77777777">
        <w:trPr>
          <w:trHeight w:val="393"/>
        </w:trPr>
        <w:tc>
          <w:tcPr>
            <w:tcW w:w="1898" w:type="dxa"/>
            <w:tcBorders>
              <w:top w:val="single" w:sz="4" w:space="0" w:color="000000"/>
              <w:bottom w:val="single" w:sz="4" w:space="0" w:color="000000"/>
            </w:tcBorders>
            <w:shd w:val="clear" w:color="auto" w:fill="FFFFFF"/>
          </w:tcPr>
          <w:p w14:paraId="7CFE910C" w14:textId="77777777" w:rsidR="00C41B3E" w:rsidRDefault="0070572D">
            <w:pPr>
              <w:spacing w:line="360" w:lineRule="auto"/>
              <w:jc w:val="both"/>
              <w:rPr>
                <w:rFonts w:ascii="Book Antiqua" w:eastAsia="Arial Unicode MS" w:hAnsi="Book Antiqua"/>
                <w:b/>
                <w:color w:val="000000" w:themeColor="text1"/>
                <w:lang w:val="it-IT" w:eastAsia="zh-CN"/>
              </w:rPr>
            </w:pPr>
            <w:r>
              <w:rPr>
                <w:rFonts w:ascii="Book Antiqua" w:eastAsia="Arial Unicode MS" w:hAnsi="Book Antiqua"/>
                <w:b/>
                <w:bCs/>
                <w:color w:val="000000" w:themeColor="text1"/>
                <w:lang w:eastAsia="zh-CN"/>
              </w:rPr>
              <w:t>Ref.</w:t>
            </w:r>
          </w:p>
        </w:tc>
        <w:tc>
          <w:tcPr>
            <w:tcW w:w="2287" w:type="dxa"/>
            <w:tcBorders>
              <w:top w:val="single" w:sz="4" w:space="0" w:color="000000"/>
              <w:bottom w:val="single" w:sz="4" w:space="0" w:color="000000"/>
            </w:tcBorders>
            <w:shd w:val="clear" w:color="auto" w:fill="FFFFFF"/>
            <w:tcMar>
              <w:top w:w="0" w:type="dxa"/>
              <w:left w:w="10" w:type="dxa"/>
              <w:bottom w:w="0" w:type="dxa"/>
              <w:right w:w="10" w:type="dxa"/>
            </w:tcMar>
          </w:tcPr>
          <w:p w14:paraId="4D0F6C4D" w14:textId="77777777" w:rsidR="00C41B3E" w:rsidRDefault="0070572D">
            <w:pPr>
              <w:spacing w:line="360" w:lineRule="auto"/>
              <w:jc w:val="both"/>
              <w:rPr>
                <w:rFonts w:ascii="Book Antiqua" w:eastAsia="Arial Unicode MS" w:hAnsi="Book Antiqua"/>
                <w:b/>
                <w:color w:val="000000" w:themeColor="text1"/>
                <w:lang w:val="it-IT"/>
              </w:rPr>
            </w:pPr>
            <w:r>
              <w:rPr>
                <w:rFonts w:ascii="Book Antiqua" w:eastAsia="Arial Unicode MS" w:hAnsi="Book Antiqua"/>
                <w:b/>
                <w:bCs/>
                <w:color w:val="000000" w:themeColor="text1"/>
              </w:rPr>
              <w:t>Type of publication</w:t>
            </w:r>
          </w:p>
        </w:tc>
        <w:tc>
          <w:tcPr>
            <w:tcW w:w="1406" w:type="dxa"/>
            <w:tcBorders>
              <w:top w:val="single" w:sz="4" w:space="0" w:color="000000"/>
              <w:bottom w:val="single" w:sz="4" w:space="0" w:color="000000"/>
            </w:tcBorders>
            <w:shd w:val="clear" w:color="auto" w:fill="FFFFFF"/>
            <w:tcMar>
              <w:top w:w="0" w:type="dxa"/>
              <w:left w:w="10" w:type="dxa"/>
              <w:bottom w:w="0" w:type="dxa"/>
              <w:right w:w="10" w:type="dxa"/>
            </w:tcMar>
          </w:tcPr>
          <w:p w14:paraId="63BA9206" w14:textId="171EF95C" w:rsidR="00C41B3E" w:rsidRDefault="0070572D">
            <w:pPr>
              <w:spacing w:line="360" w:lineRule="auto"/>
              <w:jc w:val="both"/>
              <w:rPr>
                <w:rFonts w:ascii="Book Antiqua" w:eastAsia="Arial Unicode MS" w:hAnsi="Book Antiqua"/>
                <w:b/>
                <w:color w:val="000000" w:themeColor="text1"/>
                <w:lang w:val="it-IT"/>
              </w:rPr>
            </w:pPr>
            <w:r>
              <w:rPr>
                <w:rFonts w:ascii="Book Antiqua" w:eastAsia="Arial Unicode MS" w:hAnsi="Book Antiqua"/>
                <w:b/>
                <w:bCs/>
                <w:color w:val="000000" w:themeColor="text1"/>
              </w:rPr>
              <w:t>N</w:t>
            </w:r>
            <w:r w:rsidR="0061127A">
              <w:rPr>
                <w:rFonts w:ascii="Book Antiqua" w:eastAsia="Arial Unicode MS" w:hAnsi="Book Antiqua"/>
                <w:b/>
                <w:bCs/>
                <w:color w:val="000000" w:themeColor="text1"/>
              </w:rPr>
              <w:t>o.</w:t>
            </w:r>
            <w:r>
              <w:rPr>
                <w:rFonts w:ascii="Book Antiqua" w:eastAsia="Arial Unicode MS" w:hAnsi="Book Antiqua"/>
                <w:b/>
                <w:bCs/>
                <w:color w:val="000000" w:themeColor="text1"/>
              </w:rPr>
              <w:t xml:space="preserve"> of patients</w:t>
            </w:r>
          </w:p>
        </w:tc>
        <w:tc>
          <w:tcPr>
            <w:tcW w:w="1866" w:type="dxa"/>
            <w:tcBorders>
              <w:top w:val="single" w:sz="4" w:space="0" w:color="000000"/>
              <w:bottom w:val="single" w:sz="4" w:space="0" w:color="000000"/>
            </w:tcBorders>
            <w:shd w:val="clear" w:color="auto" w:fill="FFFFFF"/>
            <w:tcMar>
              <w:top w:w="0" w:type="dxa"/>
              <w:left w:w="10" w:type="dxa"/>
              <w:bottom w:w="0" w:type="dxa"/>
              <w:right w:w="10" w:type="dxa"/>
            </w:tcMar>
          </w:tcPr>
          <w:p w14:paraId="0780D809" w14:textId="77777777" w:rsidR="00C41B3E" w:rsidRDefault="0070572D">
            <w:pPr>
              <w:spacing w:line="360" w:lineRule="auto"/>
              <w:jc w:val="both"/>
              <w:rPr>
                <w:rFonts w:ascii="Book Antiqua" w:eastAsia="Arial Unicode MS" w:hAnsi="Book Antiqua"/>
                <w:b/>
                <w:color w:val="000000" w:themeColor="text1"/>
              </w:rPr>
            </w:pPr>
            <w:r>
              <w:rPr>
                <w:rFonts w:ascii="Book Antiqua" w:eastAsia="Arial Unicode MS" w:hAnsi="Book Antiqua"/>
                <w:b/>
                <w:color w:val="000000" w:themeColor="text1"/>
              </w:rPr>
              <w:t>Technique</w:t>
            </w:r>
          </w:p>
        </w:tc>
        <w:tc>
          <w:tcPr>
            <w:tcW w:w="1903" w:type="dxa"/>
            <w:tcBorders>
              <w:top w:val="single" w:sz="4" w:space="0" w:color="000000"/>
              <w:bottom w:val="single" w:sz="4" w:space="0" w:color="000000"/>
            </w:tcBorders>
            <w:shd w:val="clear" w:color="auto" w:fill="FFFFFF"/>
            <w:tcMar>
              <w:top w:w="0" w:type="dxa"/>
              <w:left w:w="10" w:type="dxa"/>
              <w:bottom w:w="0" w:type="dxa"/>
              <w:right w:w="10" w:type="dxa"/>
            </w:tcMar>
          </w:tcPr>
          <w:p w14:paraId="74EC7B4D" w14:textId="77777777" w:rsidR="00C41B3E" w:rsidRDefault="0070572D">
            <w:pPr>
              <w:spacing w:line="360" w:lineRule="auto"/>
              <w:jc w:val="both"/>
              <w:rPr>
                <w:rFonts w:ascii="Book Antiqua" w:eastAsia="Arial Unicode MS" w:hAnsi="Book Antiqua"/>
                <w:b/>
                <w:bCs/>
                <w:color w:val="000000" w:themeColor="text1"/>
                <w:lang w:eastAsia="zh-CN"/>
              </w:rPr>
            </w:pPr>
            <w:r>
              <w:rPr>
                <w:rFonts w:ascii="Book Antiqua" w:eastAsia="Arial Unicode MS" w:hAnsi="Book Antiqua"/>
                <w:b/>
                <w:bCs/>
                <w:color w:val="000000" w:themeColor="text1"/>
              </w:rPr>
              <w:t>Incidence of conversion rate to open surgery</w:t>
            </w:r>
            <w:r>
              <w:rPr>
                <w:rFonts w:ascii="Book Antiqua" w:eastAsia="Arial Unicode MS" w:hAnsi="Book Antiqua"/>
                <w:b/>
                <w:bCs/>
                <w:color w:val="000000" w:themeColor="text1"/>
                <w:lang w:eastAsia="zh-CN"/>
              </w:rPr>
              <w:t xml:space="preserve"> (%)</w:t>
            </w:r>
          </w:p>
        </w:tc>
      </w:tr>
      <w:tr w:rsidR="00C41B3E" w14:paraId="7316E5C3" w14:textId="77777777">
        <w:trPr>
          <w:trHeight w:val="573"/>
        </w:trPr>
        <w:tc>
          <w:tcPr>
            <w:tcW w:w="1898" w:type="dxa"/>
            <w:tcBorders>
              <w:top w:val="single" w:sz="4" w:space="0" w:color="000000"/>
              <w:bottom w:val="single" w:sz="4" w:space="0" w:color="000000"/>
            </w:tcBorders>
            <w:shd w:val="clear" w:color="auto" w:fill="FFFFFF"/>
          </w:tcPr>
          <w:p w14:paraId="4062AB9E" w14:textId="77777777" w:rsidR="00C41B3E" w:rsidRDefault="0070572D">
            <w:pPr>
              <w:spacing w:line="360" w:lineRule="auto"/>
              <w:jc w:val="both"/>
              <w:rPr>
                <w:rFonts w:ascii="Book Antiqua" w:eastAsia="Arial Unicode MS" w:hAnsi="Book Antiqua"/>
                <w:color w:val="000000" w:themeColor="text1"/>
                <w:lang w:val="it-IT"/>
              </w:rPr>
            </w:pPr>
            <w:r>
              <w:rPr>
                <w:rFonts w:ascii="Book Antiqua" w:eastAsia="Arial Unicode MS" w:hAnsi="Book Antiqua"/>
                <w:bCs/>
                <w:color w:val="000000" w:themeColor="text1"/>
              </w:rPr>
              <w:t xml:space="preserve">Sharma </w:t>
            </w:r>
            <w:r>
              <w:rPr>
                <w:rFonts w:ascii="Book Antiqua" w:eastAsia="Arial Unicode MS" w:hAnsi="Book Antiqua"/>
                <w:bCs/>
                <w:i/>
                <w:color w:val="000000" w:themeColor="text1"/>
              </w:rPr>
              <w:t>et al</w:t>
            </w:r>
            <w:r>
              <w:rPr>
                <w:rFonts w:ascii="Book Antiqua" w:eastAsia="Arial Unicode MS" w:hAnsi="Book Antiqua"/>
                <w:bCs/>
                <w:color w:val="000000" w:themeColor="text1"/>
                <w:vertAlign w:val="superscript"/>
              </w:rPr>
              <w:t>[72]</w:t>
            </w:r>
            <w:r>
              <w:rPr>
                <w:rFonts w:ascii="Book Antiqua" w:eastAsia="Arial Unicode MS" w:hAnsi="Book Antiqua"/>
                <w:bCs/>
                <w:color w:val="000000" w:themeColor="text1"/>
              </w:rPr>
              <w:t>,</w:t>
            </w:r>
            <w:r>
              <w:rPr>
                <w:rFonts w:ascii="Book Antiqua" w:eastAsia="Arial Unicode MS" w:hAnsi="Book Antiqua"/>
                <w:bCs/>
                <w:color w:val="000000" w:themeColor="text1"/>
                <w:lang w:eastAsia="zh-CN"/>
              </w:rPr>
              <w:t xml:space="preserve"> </w:t>
            </w:r>
            <w:r>
              <w:rPr>
                <w:rFonts w:ascii="Book Antiqua" w:eastAsia="Arial Unicode MS" w:hAnsi="Book Antiqua"/>
                <w:bCs/>
                <w:color w:val="000000" w:themeColor="text1"/>
              </w:rPr>
              <w:t>2017</w:t>
            </w:r>
          </w:p>
        </w:tc>
        <w:tc>
          <w:tcPr>
            <w:tcW w:w="2287" w:type="dxa"/>
            <w:tcBorders>
              <w:top w:val="single" w:sz="4" w:space="0" w:color="000000"/>
              <w:bottom w:val="single" w:sz="4" w:space="0" w:color="000000"/>
            </w:tcBorders>
            <w:shd w:val="clear" w:color="auto" w:fill="FFFFFF"/>
            <w:tcMar>
              <w:top w:w="0" w:type="dxa"/>
              <w:left w:w="10" w:type="dxa"/>
              <w:bottom w:w="0" w:type="dxa"/>
              <w:right w:w="10" w:type="dxa"/>
            </w:tcMar>
          </w:tcPr>
          <w:p w14:paraId="245E91C9" w14:textId="77777777" w:rsidR="00C41B3E" w:rsidRDefault="0070572D">
            <w:pPr>
              <w:tabs>
                <w:tab w:val="decimal" w:pos="360"/>
              </w:tabs>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rPr>
              <w:t>Retrospective cohort study</w:t>
            </w:r>
          </w:p>
        </w:tc>
        <w:tc>
          <w:tcPr>
            <w:tcW w:w="1406" w:type="dxa"/>
            <w:tcBorders>
              <w:top w:val="single" w:sz="4" w:space="0" w:color="000000"/>
              <w:bottom w:val="single" w:sz="4" w:space="0" w:color="000000"/>
            </w:tcBorders>
            <w:shd w:val="clear" w:color="auto" w:fill="FFFFFF"/>
            <w:tcMar>
              <w:top w:w="0" w:type="dxa"/>
              <w:left w:w="10" w:type="dxa"/>
              <w:bottom w:w="0" w:type="dxa"/>
              <w:right w:w="10" w:type="dxa"/>
            </w:tcMar>
          </w:tcPr>
          <w:p w14:paraId="5B0B8723" w14:textId="77777777" w:rsidR="00C41B3E" w:rsidRDefault="0070572D">
            <w:pPr>
              <w:tabs>
                <w:tab w:val="decimal" w:pos="360"/>
              </w:tabs>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lang w:val="it-IT"/>
              </w:rPr>
              <w:t>96</w:t>
            </w:r>
          </w:p>
        </w:tc>
        <w:tc>
          <w:tcPr>
            <w:tcW w:w="1866" w:type="dxa"/>
            <w:tcBorders>
              <w:top w:val="single" w:sz="4" w:space="0" w:color="000000"/>
              <w:bottom w:val="single" w:sz="4" w:space="0" w:color="000000"/>
            </w:tcBorders>
            <w:shd w:val="clear" w:color="auto" w:fill="FFFFFF"/>
            <w:tcMar>
              <w:top w:w="0" w:type="dxa"/>
              <w:left w:w="10" w:type="dxa"/>
              <w:bottom w:w="0" w:type="dxa"/>
              <w:right w:w="10" w:type="dxa"/>
            </w:tcMar>
          </w:tcPr>
          <w:p w14:paraId="644C2F9E" w14:textId="77777777" w:rsidR="00C41B3E" w:rsidRDefault="0070572D">
            <w:pPr>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lang w:val="it-IT"/>
              </w:rPr>
              <w:t>RC</w:t>
            </w:r>
          </w:p>
        </w:tc>
        <w:tc>
          <w:tcPr>
            <w:tcW w:w="1903" w:type="dxa"/>
            <w:tcBorders>
              <w:top w:val="single" w:sz="4" w:space="0" w:color="000000"/>
              <w:bottom w:val="single" w:sz="4" w:space="0" w:color="000000"/>
            </w:tcBorders>
            <w:shd w:val="clear" w:color="auto" w:fill="FFFFFF"/>
            <w:tcMar>
              <w:top w:w="0" w:type="dxa"/>
              <w:left w:w="10" w:type="dxa"/>
              <w:bottom w:w="0" w:type="dxa"/>
              <w:right w:w="10" w:type="dxa"/>
            </w:tcMar>
          </w:tcPr>
          <w:p w14:paraId="59CB9B6F" w14:textId="77777777" w:rsidR="00C41B3E" w:rsidRDefault="0070572D">
            <w:pPr>
              <w:spacing w:line="360" w:lineRule="auto"/>
              <w:jc w:val="both"/>
              <w:rPr>
                <w:rFonts w:ascii="Book Antiqua" w:eastAsia="Arial Unicode MS" w:hAnsi="Book Antiqua"/>
                <w:color w:val="000000" w:themeColor="text1"/>
              </w:rPr>
            </w:pPr>
            <w:r>
              <w:rPr>
                <w:rFonts w:ascii="Book Antiqua" w:eastAsia="Arial Unicode MS" w:hAnsi="Book Antiqua"/>
                <w:color w:val="000000" w:themeColor="text1"/>
              </w:rPr>
              <w:t>2.1</w:t>
            </w:r>
          </w:p>
        </w:tc>
      </w:tr>
      <w:tr w:rsidR="00C41B3E" w14:paraId="27584D8D" w14:textId="77777777">
        <w:trPr>
          <w:trHeight w:val="553"/>
        </w:trPr>
        <w:tc>
          <w:tcPr>
            <w:tcW w:w="1898" w:type="dxa"/>
            <w:tcBorders>
              <w:top w:val="single" w:sz="4" w:space="0" w:color="000000"/>
              <w:bottom w:val="single" w:sz="4" w:space="0" w:color="000000"/>
            </w:tcBorders>
            <w:shd w:val="clear" w:color="auto" w:fill="FFFFFF"/>
          </w:tcPr>
          <w:p w14:paraId="50794E05" w14:textId="77777777" w:rsidR="00C41B3E" w:rsidRDefault="0070572D">
            <w:pPr>
              <w:spacing w:line="360" w:lineRule="auto"/>
              <w:jc w:val="both"/>
              <w:rPr>
                <w:rFonts w:ascii="Book Antiqua" w:eastAsia="Arial Unicode MS" w:hAnsi="Book Antiqua"/>
                <w:color w:val="000000" w:themeColor="text1"/>
                <w:lang w:val="it-IT"/>
              </w:rPr>
            </w:pPr>
            <w:r>
              <w:rPr>
                <w:rFonts w:ascii="Book Antiqua" w:eastAsia="Arial Unicode MS" w:hAnsi="Book Antiqua"/>
                <w:bCs/>
                <w:color w:val="000000" w:themeColor="text1"/>
              </w:rPr>
              <w:t xml:space="preserve">Gangemi </w:t>
            </w:r>
            <w:r>
              <w:rPr>
                <w:rFonts w:ascii="Book Antiqua" w:eastAsia="Arial Unicode MS" w:hAnsi="Book Antiqua"/>
                <w:bCs/>
                <w:i/>
                <w:color w:val="000000" w:themeColor="text1"/>
              </w:rPr>
              <w:t>et al</w:t>
            </w:r>
            <w:r>
              <w:rPr>
                <w:rFonts w:ascii="Book Antiqua" w:eastAsia="Arial Unicode MS" w:hAnsi="Book Antiqua"/>
                <w:bCs/>
                <w:color w:val="000000" w:themeColor="text1"/>
                <w:vertAlign w:val="superscript"/>
              </w:rPr>
              <w:t>[73]</w:t>
            </w:r>
            <w:r>
              <w:rPr>
                <w:rFonts w:ascii="Book Antiqua" w:eastAsia="Arial Unicode MS" w:hAnsi="Book Antiqua"/>
                <w:bCs/>
                <w:color w:val="000000" w:themeColor="text1"/>
              </w:rPr>
              <w:t>,</w:t>
            </w:r>
            <w:r>
              <w:rPr>
                <w:rFonts w:ascii="Book Antiqua" w:eastAsia="Arial Unicode MS" w:hAnsi="Book Antiqua"/>
                <w:bCs/>
                <w:color w:val="000000" w:themeColor="text1"/>
                <w:lang w:eastAsia="zh-CN"/>
              </w:rPr>
              <w:t xml:space="preserve"> </w:t>
            </w:r>
            <w:r>
              <w:rPr>
                <w:rFonts w:ascii="Book Antiqua" w:eastAsia="Arial Unicode MS" w:hAnsi="Book Antiqua"/>
                <w:bCs/>
                <w:color w:val="000000" w:themeColor="text1"/>
              </w:rPr>
              <w:t>2017</w:t>
            </w:r>
          </w:p>
        </w:tc>
        <w:tc>
          <w:tcPr>
            <w:tcW w:w="2287" w:type="dxa"/>
            <w:tcBorders>
              <w:top w:val="single" w:sz="4" w:space="0" w:color="000000"/>
              <w:bottom w:val="single" w:sz="4" w:space="0" w:color="000000"/>
            </w:tcBorders>
            <w:shd w:val="clear" w:color="auto" w:fill="FFFFFF"/>
            <w:tcMar>
              <w:top w:w="0" w:type="dxa"/>
              <w:left w:w="10" w:type="dxa"/>
              <w:bottom w:w="0" w:type="dxa"/>
              <w:right w:w="10" w:type="dxa"/>
            </w:tcMar>
          </w:tcPr>
          <w:p w14:paraId="58B2EA1C" w14:textId="77777777" w:rsidR="00C41B3E" w:rsidRDefault="0070572D">
            <w:pPr>
              <w:tabs>
                <w:tab w:val="decimal" w:pos="360"/>
              </w:tabs>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rPr>
              <w:t>Retrospective cohort study</w:t>
            </w:r>
          </w:p>
        </w:tc>
        <w:tc>
          <w:tcPr>
            <w:tcW w:w="1406" w:type="dxa"/>
            <w:tcBorders>
              <w:top w:val="single" w:sz="4" w:space="0" w:color="000000"/>
              <w:bottom w:val="single" w:sz="4" w:space="0" w:color="000000"/>
            </w:tcBorders>
            <w:shd w:val="clear" w:color="auto" w:fill="FFFFFF"/>
            <w:tcMar>
              <w:top w:w="0" w:type="dxa"/>
              <w:left w:w="10" w:type="dxa"/>
              <w:bottom w:w="0" w:type="dxa"/>
              <w:right w:w="10" w:type="dxa"/>
            </w:tcMar>
          </w:tcPr>
          <w:p w14:paraId="62CC1B45" w14:textId="77777777" w:rsidR="00C41B3E" w:rsidRDefault="0070572D">
            <w:pPr>
              <w:tabs>
                <w:tab w:val="decimal" w:pos="360"/>
              </w:tabs>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lang w:val="it-IT"/>
              </w:rPr>
              <w:t>676</w:t>
            </w:r>
          </w:p>
        </w:tc>
        <w:tc>
          <w:tcPr>
            <w:tcW w:w="1866" w:type="dxa"/>
            <w:tcBorders>
              <w:top w:val="single" w:sz="4" w:space="0" w:color="000000"/>
              <w:bottom w:val="single" w:sz="4" w:space="0" w:color="000000"/>
            </w:tcBorders>
            <w:shd w:val="clear" w:color="auto" w:fill="FFFFFF"/>
            <w:tcMar>
              <w:top w:w="0" w:type="dxa"/>
              <w:left w:w="10" w:type="dxa"/>
              <w:bottom w:w="0" w:type="dxa"/>
              <w:right w:w="10" w:type="dxa"/>
            </w:tcMar>
          </w:tcPr>
          <w:p w14:paraId="4B3F23DF" w14:textId="77777777" w:rsidR="00C41B3E" w:rsidRDefault="0070572D">
            <w:pPr>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lang w:val="it-IT"/>
              </w:rPr>
              <w:t>RC</w:t>
            </w:r>
          </w:p>
        </w:tc>
        <w:tc>
          <w:tcPr>
            <w:tcW w:w="1903" w:type="dxa"/>
            <w:tcBorders>
              <w:top w:val="single" w:sz="4" w:space="0" w:color="000000"/>
              <w:bottom w:val="single" w:sz="4" w:space="0" w:color="000000"/>
            </w:tcBorders>
            <w:shd w:val="clear" w:color="auto" w:fill="FFFFFF"/>
            <w:tcMar>
              <w:top w:w="0" w:type="dxa"/>
              <w:left w:w="10" w:type="dxa"/>
              <w:bottom w:w="0" w:type="dxa"/>
              <w:right w:w="10" w:type="dxa"/>
            </w:tcMar>
          </w:tcPr>
          <w:p w14:paraId="504FFAE0" w14:textId="77777777" w:rsidR="00C41B3E" w:rsidRDefault="0070572D">
            <w:pPr>
              <w:spacing w:line="360" w:lineRule="auto"/>
              <w:jc w:val="both"/>
              <w:rPr>
                <w:rFonts w:ascii="Book Antiqua" w:eastAsia="Arial Unicode MS" w:hAnsi="Book Antiqua"/>
                <w:color w:val="000000" w:themeColor="text1"/>
                <w:lang w:eastAsia="zh-CN"/>
              </w:rPr>
            </w:pPr>
            <w:r>
              <w:rPr>
                <w:rFonts w:ascii="Book Antiqua" w:eastAsia="Arial Unicode MS" w:hAnsi="Book Antiqua"/>
                <w:color w:val="000000" w:themeColor="text1"/>
              </w:rPr>
              <w:t>0.15</w:t>
            </w:r>
          </w:p>
        </w:tc>
      </w:tr>
      <w:tr w:rsidR="00C41B3E" w14:paraId="3EC151D9" w14:textId="77777777">
        <w:trPr>
          <w:trHeight w:val="553"/>
        </w:trPr>
        <w:tc>
          <w:tcPr>
            <w:tcW w:w="1898" w:type="dxa"/>
            <w:tcBorders>
              <w:top w:val="single" w:sz="4" w:space="0" w:color="000000"/>
              <w:bottom w:val="single" w:sz="4" w:space="0" w:color="000000"/>
            </w:tcBorders>
            <w:shd w:val="clear" w:color="auto" w:fill="FFFFFF"/>
          </w:tcPr>
          <w:p w14:paraId="01A3DC77" w14:textId="77777777" w:rsidR="00C41B3E" w:rsidRDefault="0070572D">
            <w:pPr>
              <w:spacing w:line="360" w:lineRule="auto"/>
              <w:jc w:val="both"/>
            </w:pPr>
            <w:r>
              <w:rPr>
                <w:rFonts w:ascii="Book Antiqua" w:eastAsia="Arial Unicode MS" w:hAnsi="Book Antiqua"/>
                <w:bCs/>
                <w:color w:val="000000" w:themeColor="text1"/>
              </w:rPr>
              <w:t xml:space="preserve">Maker </w:t>
            </w:r>
            <w:r>
              <w:rPr>
                <w:rFonts w:ascii="Book Antiqua" w:eastAsia="Arial Unicode MS" w:hAnsi="Book Antiqua"/>
                <w:bCs/>
                <w:i/>
                <w:color w:val="000000" w:themeColor="text1"/>
              </w:rPr>
              <w:t>et al</w:t>
            </w:r>
            <w:r>
              <w:rPr>
                <w:rFonts w:ascii="Book Antiqua" w:eastAsia="Arial Unicode MS" w:hAnsi="Book Antiqua"/>
                <w:bCs/>
                <w:color w:val="000000" w:themeColor="text1"/>
                <w:vertAlign w:val="superscript"/>
              </w:rPr>
              <w:t>[71]</w:t>
            </w:r>
            <w:r>
              <w:rPr>
                <w:rFonts w:ascii="Book Antiqua" w:eastAsia="Arial Unicode MS" w:hAnsi="Book Antiqua"/>
                <w:bCs/>
                <w:color w:val="000000" w:themeColor="text1"/>
              </w:rPr>
              <w:t>, 2017</w:t>
            </w:r>
          </w:p>
        </w:tc>
        <w:tc>
          <w:tcPr>
            <w:tcW w:w="2287" w:type="dxa"/>
            <w:tcBorders>
              <w:top w:val="single" w:sz="4" w:space="0" w:color="000000"/>
              <w:bottom w:val="single" w:sz="4" w:space="0" w:color="000000"/>
            </w:tcBorders>
            <w:shd w:val="clear" w:color="auto" w:fill="FFFFFF"/>
            <w:tcMar>
              <w:top w:w="0" w:type="dxa"/>
              <w:left w:w="10" w:type="dxa"/>
              <w:bottom w:w="0" w:type="dxa"/>
              <w:right w:w="10" w:type="dxa"/>
            </w:tcMar>
          </w:tcPr>
          <w:p w14:paraId="064D643A" w14:textId="77777777" w:rsidR="00C41B3E" w:rsidRDefault="0070572D">
            <w:pPr>
              <w:tabs>
                <w:tab w:val="decimal" w:pos="360"/>
              </w:tabs>
              <w:spacing w:line="360" w:lineRule="auto"/>
              <w:jc w:val="both"/>
              <w:rPr>
                <w:rFonts w:ascii="Book Antiqua" w:eastAsia="Arial Unicode MS" w:hAnsi="Book Antiqua"/>
                <w:color w:val="000000" w:themeColor="text1"/>
              </w:rPr>
            </w:pPr>
            <w:r>
              <w:rPr>
                <w:rFonts w:ascii="Book Antiqua" w:eastAsia="Arial Unicode MS" w:hAnsi="Book Antiqua"/>
                <w:color w:val="000000" w:themeColor="text1"/>
              </w:rPr>
              <w:t>Cohort study</w:t>
            </w:r>
          </w:p>
        </w:tc>
        <w:tc>
          <w:tcPr>
            <w:tcW w:w="1406" w:type="dxa"/>
            <w:tcBorders>
              <w:top w:val="single" w:sz="4" w:space="0" w:color="000000"/>
              <w:bottom w:val="single" w:sz="4" w:space="0" w:color="000000"/>
            </w:tcBorders>
            <w:shd w:val="clear" w:color="auto" w:fill="FFFFFF"/>
            <w:tcMar>
              <w:top w:w="0" w:type="dxa"/>
              <w:left w:w="10" w:type="dxa"/>
              <w:bottom w:w="0" w:type="dxa"/>
              <w:right w:w="10" w:type="dxa"/>
            </w:tcMar>
          </w:tcPr>
          <w:p w14:paraId="620AB1E0" w14:textId="77777777" w:rsidR="00C41B3E" w:rsidRDefault="0070572D">
            <w:pPr>
              <w:tabs>
                <w:tab w:val="decimal" w:pos="360"/>
              </w:tabs>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lang w:val="it-IT"/>
              </w:rPr>
              <w:t>35</w:t>
            </w:r>
          </w:p>
        </w:tc>
        <w:tc>
          <w:tcPr>
            <w:tcW w:w="1866" w:type="dxa"/>
            <w:tcBorders>
              <w:top w:val="single" w:sz="4" w:space="0" w:color="000000"/>
              <w:bottom w:val="single" w:sz="4" w:space="0" w:color="000000"/>
            </w:tcBorders>
            <w:shd w:val="clear" w:color="auto" w:fill="FFFFFF"/>
            <w:tcMar>
              <w:top w:w="0" w:type="dxa"/>
              <w:left w:w="10" w:type="dxa"/>
              <w:bottom w:w="0" w:type="dxa"/>
              <w:right w:w="10" w:type="dxa"/>
            </w:tcMar>
          </w:tcPr>
          <w:p w14:paraId="4F56DB8A" w14:textId="77777777" w:rsidR="00C41B3E" w:rsidRDefault="0070572D">
            <w:pPr>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lang w:val="it-IT"/>
              </w:rPr>
              <w:t>RC</w:t>
            </w:r>
          </w:p>
        </w:tc>
        <w:tc>
          <w:tcPr>
            <w:tcW w:w="1903" w:type="dxa"/>
            <w:tcBorders>
              <w:top w:val="single" w:sz="4" w:space="0" w:color="000000"/>
              <w:bottom w:val="single" w:sz="4" w:space="0" w:color="000000"/>
            </w:tcBorders>
            <w:shd w:val="clear" w:color="auto" w:fill="FFFFFF"/>
            <w:tcMar>
              <w:top w:w="0" w:type="dxa"/>
              <w:left w:w="10" w:type="dxa"/>
              <w:bottom w:w="0" w:type="dxa"/>
              <w:right w:w="10" w:type="dxa"/>
            </w:tcMar>
          </w:tcPr>
          <w:p w14:paraId="52310CB5" w14:textId="77777777" w:rsidR="00C41B3E" w:rsidRDefault="0070572D">
            <w:pPr>
              <w:spacing w:line="360" w:lineRule="auto"/>
              <w:jc w:val="both"/>
              <w:rPr>
                <w:rFonts w:ascii="Book Antiqua" w:eastAsia="Arial Unicode MS" w:hAnsi="Book Antiqua"/>
                <w:color w:val="000000" w:themeColor="text1"/>
              </w:rPr>
            </w:pPr>
            <w:r>
              <w:rPr>
                <w:rFonts w:ascii="Book Antiqua" w:eastAsia="Arial Unicode MS" w:hAnsi="Book Antiqua"/>
                <w:color w:val="000000" w:themeColor="text1"/>
              </w:rPr>
              <w:t>NR</w:t>
            </w:r>
          </w:p>
        </w:tc>
      </w:tr>
      <w:tr w:rsidR="00C41B3E" w14:paraId="702A5C5D" w14:textId="77777777">
        <w:trPr>
          <w:trHeight w:val="553"/>
        </w:trPr>
        <w:tc>
          <w:tcPr>
            <w:tcW w:w="1898" w:type="dxa"/>
            <w:tcBorders>
              <w:top w:val="single" w:sz="4" w:space="0" w:color="000000"/>
              <w:bottom w:val="single" w:sz="4" w:space="0" w:color="000000"/>
            </w:tcBorders>
            <w:shd w:val="clear" w:color="auto" w:fill="FFFFFF"/>
          </w:tcPr>
          <w:p w14:paraId="196DC05C" w14:textId="77777777" w:rsidR="00C41B3E" w:rsidRDefault="0070572D">
            <w:pPr>
              <w:spacing w:line="360" w:lineRule="auto"/>
              <w:jc w:val="both"/>
              <w:rPr>
                <w:rFonts w:ascii="Book Antiqua" w:eastAsia="Arial Unicode MS" w:hAnsi="Book Antiqua"/>
                <w:bCs/>
                <w:color w:val="000000" w:themeColor="text1"/>
              </w:rPr>
            </w:pPr>
            <w:r>
              <w:rPr>
                <w:rFonts w:ascii="Book Antiqua" w:eastAsia="Arial Unicode MS" w:hAnsi="Book Antiqua"/>
                <w:bCs/>
                <w:color w:val="000000" w:themeColor="text1"/>
              </w:rPr>
              <w:t xml:space="preserve">Daskalaki </w:t>
            </w:r>
            <w:r>
              <w:rPr>
                <w:rFonts w:ascii="Book Antiqua" w:eastAsia="Arial Unicode MS" w:hAnsi="Book Antiqua"/>
                <w:bCs/>
                <w:i/>
                <w:color w:val="000000" w:themeColor="text1"/>
              </w:rPr>
              <w:t>et al</w:t>
            </w:r>
            <w:r>
              <w:rPr>
                <w:rFonts w:ascii="Book Antiqua" w:eastAsia="Arial Unicode MS" w:hAnsi="Book Antiqua"/>
                <w:bCs/>
                <w:color w:val="000000" w:themeColor="text1"/>
                <w:vertAlign w:val="superscript"/>
              </w:rPr>
              <w:t>[31]</w:t>
            </w:r>
            <w:r>
              <w:rPr>
                <w:rFonts w:ascii="Book Antiqua" w:eastAsia="Arial Unicode MS" w:hAnsi="Book Antiqua"/>
                <w:bCs/>
                <w:color w:val="000000" w:themeColor="text1"/>
              </w:rPr>
              <w:t>,</w:t>
            </w:r>
            <w:r>
              <w:rPr>
                <w:rFonts w:ascii="Book Antiqua" w:eastAsia="Arial Unicode MS" w:hAnsi="Book Antiqua"/>
                <w:bCs/>
                <w:color w:val="000000" w:themeColor="text1"/>
                <w:lang w:eastAsia="zh-CN"/>
              </w:rPr>
              <w:t xml:space="preserve"> </w:t>
            </w:r>
            <w:r>
              <w:rPr>
                <w:rFonts w:ascii="Book Antiqua" w:eastAsia="Arial Unicode MS" w:hAnsi="Book Antiqua"/>
                <w:bCs/>
                <w:color w:val="000000" w:themeColor="text1"/>
              </w:rPr>
              <w:t>2014</w:t>
            </w:r>
          </w:p>
        </w:tc>
        <w:tc>
          <w:tcPr>
            <w:tcW w:w="2287" w:type="dxa"/>
            <w:tcBorders>
              <w:top w:val="single" w:sz="4" w:space="0" w:color="000000"/>
              <w:bottom w:val="single" w:sz="4" w:space="0" w:color="000000"/>
            </w:tcBorders>
            <w:shd w:val="clear" w:color="auto" w:fill="FFFFFF"/>
            <w:tcMar>
              <w:top w:w="0" w:type="dxa"/>
              <w:left w:w="10" w:type="dxa"/>
              <w:bottom w:w="0" w:type="dxa"/>
              <w:right w:w="10" w:type="dxa"/>
            </w:tcMar>
          </w:tcPr>
          <w:p w14:paraId="22794AB0" w14:textId="77777777" w:rsidR="00C41B3E" w:rsidRDefault="0070572D">
            <w:pPr>
              <w:tabs>
                <w:tab w:val="decimal" w:pos="360"/>
              </w:tabs>
              <w:spacing w:line="360" w:lineRule="auto"/>
              <w:jc w:val="both"/>
              <w:rPr>
                <w:rFonts w:ascii="Book Antiqua" w:eastAsia="Arial Unicode MS" w:hAnsi="Book Antiqua"/>
                <w:color w:val="000000" w:themeColor="text1"/>
              </w:rPr>
            </w:pPr>
            <w:r>
              <w:rPr>
                <w:rFonts w:ascii="Book Antiqua" w:eastAsia="Arial Unicode MS" w:hAnsi="Book Antiqua"/>
                <w:color w:val="000000" w:themeColor="text1"/>
              </w:rPr>
              <w:t>Retrospective cohort study</w:t>
            </w:r>
          </w:p>
        </w:tc>
        <w:tc>
          <w:tcPr>
            <w:tcW w:w="1406" w:type="dxa"/>
            <w:tcBorders>
              <w:top w:val="single" w:sz="4" w:space="0" w:color="000000"/>
              <w:bottom w:val="single" w:sz="4" w:space="0" w:color="000000"/>
            </w:tcBorders>
            <w:shd w:val="clear" w:color="auto" w:fill="FFFFFF"/>
            <w:tcMar>
              <w:top w:w="0" w:type="dxa"/>
              <w:left w:w="10" w:type="dxa"/>
              <w:bottom w:w="0" w:type="dxa"/>
              <w:right w:w="10" w:type="dxa"/>
            </w:tcMar>
          </w:tcPr>
          <w:p w14:paraId="2232FD6F" w14:textId="77777777" w:rsidR="00C41B3E" w:rsidRDefault="0070572D">
            <w:pPr>
              <w:tabs>
                <w:tab w:val="decimal" w:pos="360"/>
              </w:tabs>
              <w:spacing w:line="360" w:lineRule="auto"/>
              <w:jc w:val="both"/>
              <w:rPr>
                <w:rFonts w:ascii="Book Antiqua" w:eastAsia="Arial Unicode MS" w:hAnsi="Book Antiqua"/>
                <w:color w:val="000000" w:themeColor="text1"/>
              </w:rPr>
            </w:pPr>
            <w:r>
              <w:rPr>
                <w:rFonts w:ascii="Book Antiqua" w:eastAsia="Arial Unicode MS" w:hAnsi="Book Antiqua"/>
                <w:color w:val="000000" w:themeColor="text1"/>
              </w:rPr>
              <w:t>184</w:t>
            </w:r>
          </w:p>
        </w:tc>
        <w:tc>
          <w:tcPr>
            <w:tcW w:w="1866" w:type="dxa"/>
            <w:tcBorders>
              <w:top w:val="single" w:sz="4" w:space="0" w:color="000000"/>
              <w:bottom w:val="single" w:sz="4" w:space="0" w:color="000000"/>
            </w:tcBorders>
            <w:shd w:val="clear" w:color="auto" w:fill="FFFFFF"/>
            <w:tcMar>
              <w:top w:w="0" w:type="dxa"/>
              <w:left w:w="10" w:type="dxa"/>
              <w:bottom w:w="0" w:type="dxa"/>
              <w:right w:w="10" w:type="dxa"/>
            </w:tcMar>
          </w:tcPr>
          <w:p w14:paraId="19314758" w14:textId="77777777" w:rsidR="00C41B3E" w:rsidRDefault="0070572D">
            <w:pPr>
              <w:spacing w:line="360" w:lineRule="auto"/>
              <w:jc w:val="both"/>
              <w:rPr>
                <w:rFonts w:ascii="Book Antiqua" w:eastAsia="Arial Unicode MS" w:hAnsi="Book Antiqua"/>
                <w:color w:val="000000" w:themeColor="text1"/>
              </w:rPr>
            </w:pPr>
            <w:r>
              <w:rPr>
                <w:rFonts w:ascii="Book Antiqua" w:eastAsia="Arial Unicode MS" w:hAnsi="Book Antiqua"/>
                <w:color w:val="000000" w:themeColor="text1"/>
              </w:rPr>
              <w:t>RC</w:t>
            </w:r>
          </w:p>
        </w:tc>
        <w:tc>
          <w:tcPr>
            <w:tcW w:w="1903" w:type="dxa"/>
            <w:tcBorders>
              <w:top w:val="single" w:sz="4" w:space="0" w:color="000000"/>
              <w:bottom w:val="single" w:sz="4" w:space="0" w:color="000000"/>
            </w:tcBorders>
            <w:shd w:val="clear" w:color="auto" w:fill="FFFFFF"/>
            <w:tcMar>
              <w:top w:w="0" w:type="dxa"/>
              <w:left w:w="10" w:type="dxa"/>
              <w:bottom w:w="0" w:type="dxa"/>
              <w:right w:w="10" w:type="dxa"/>
            </w:tcMar>
          </w:tcPr>
          <w:p w14:paraId="128AC168" w14:textId="77777777" w:rsidR="00C41B3E" w:rsidRDefault="0070572D">
            <w:pPr>
              <w:spacing w:line="360" w:lineRule="auto"/>
              <w:jc w:val="both"/>
              <w:rPr>
                <w:rFonts w:ascii="Book Antiqua" w:eastAsia="Arial Unicode MS" w:hAnsi="Book Antiqua"/>
                <w:color w:val="000000" w:themeColor="text1"/>
                <w:lang w:eastAsia="zh-CN"/>
              </w:rPr>
            </w:pPr>
            <w:r>
              <w:rPr>
                <w:rFonts w:ascii="Book Antiqua" w:eastAsia="Arial Unicode MS" w:hAnsi="Book Antiqua"/>
                <w:color w:val="000000" w:themeColor="text1"/>
              </w:rPr>
              <w:t>0.00</w:t>
            </w:r>
          </w:p>
        </w:tc>
      </w:tr>
      <w:tr w:rsidR="00C41B3E" w14:paraId="3E7212D3" w14:textId="77777777">
        <w:trPr>
          <w:trHeight w:val="553"/>
        </w:trPr>
        <w:tc>
          <w:tcPr>
            <w:tcW w:w="1898" w:type="dxa"/>
            <w:tcBorders>
              <w:top w:val="single" w:sz="4" w:space="0" w:color="000000"/>
              <w:bottom w:val="single" w:sz="4" w:space="0" w:color="000000"/>
            </w:tcBorders>
            <w:shd w:val="clear" w:color="auto" w:fill="FFFFFF"/>
          </w:tcPr>
          <w:p w14:paraId="242654B9" w14:textId="77777777" w:rsidR="00C41B3E" w:rsidRDefault="0070572D">
            <w:pPr>
              <w:spacing w:line="360" w:lineRule="auto"/>
              <w:jc w:val="both"/>
              <w:rPr>
                <w:rFonts w:ascii="Book Antiqua" w:eastAsia="Arial Unicode MS" w:hAnsi="Book Antiqua"/>
                <w:color w:val="000000" w:themeColor="text1"/>
                <w:lang w:val="it-IT"/>
              </w:rPr>
            </w:pPr>
            <w:r>
              <w:rPr>
                <w:rFonts w:ascii="Book Antiqua" w:eastAsia="Arial Unicode MS" w:hAnsi="Book Antiqua"/>
                <w:bCs/>
                <w:color w:val="000000" w:themeColor="text1"/>
              </w:rPr>
              <w:t xml:space="preserve">Spinoglio </w:t>
            </w:r>
            <w:r>
              <w:rPr>
                <w:rFonts w:ascii="Book Antiqua" w:eastAsia="Arial Unicode MS" w:hAnsi="Book Antiqua"/>
                <w:bCs/>
                <w:i/>
                <w:color w:val="000000" w:themeColor="text1"/>
              </w:rPr>
              <w:t>et al</w:t>
            </w:r>
            <w:r>
              <w:rPr>
                <w:rFonts w:ascii="Book Antiqua" w:eastAsia="Arial Unicode MS" w:hAnsi="Book Antiqua"/>
                <w:bCs/>
                <w:color w:val="000000" w:themeColor="text1"/>
                <w:vertAlign w:val="superscript"/>
              </w:rPr>
              <w:t>[70]</w:t>
            </w:r>
            <w:r>
              <w:rPr>
                <w:rFonts w:ascii="Book Antiqua" w:eastAsia="Arial Unicode MS" w:hAnsi="Book Antiqua"/>
                <w:bCs/>
                <w:color w:val="000000" w:themeColor="text1"/>
              </w:rPr>
              <w:t>,</w:t>
            </w:r>
            <w:r>
              <w:rPr>
                <w:rFonts w:ascii="Book Antiqua" w:eastAsia="Arial Unicode MS" w:hAnsi="Book Antiqua"/>
                <w:bCs/>
                <w:color w:val="000000" w:themeColor="text1"/>
                <w:lang w:eastAsia="zh-CN"/>
              </w:rPr>
              <w:t xml:space="preserve"> </w:t>
            </w:r>
            <w:r>
              <w:rPr>
                <w:rFonts w:ascii="Book Antiqua" w:eastAsia="Arial Unicode MS" w:hAnsi="Book Antiqua"/>
                <w:bCs/>
                <w:color w:val="000000" w:themeColor="text1"/>
              </w:rPr>
              <w:t>2013</w:t>
            </w:r>
          </w:p>
        </w:tc>
        <w:tc>
          <w:tcPr>
            <w:tcW w:w="2287" w:type="dxa"/>
            <w:tcBorders>
              <w:top w:val="single" w:sz="4" w:space="0" w:color="000000"/>
              <w:bottom w:val="single" w:sz="4" w:space="0" w:color="000000"/>
            </w:tcBorders>
            <w:shd w:val="clear" w:color="auto" w:fill="FFFFFF"/>
            <w:tcMar>
              <w:top w:w="0" w:type="dxa"/>
              <w:left w:w="10" w:type="dxa"/>
              <w:bottom w:w="0" w:type="dxa"/>
              <w:right w:w="10" w:type="dxa"/>
            </w:tcMar>
          </w:tcPr>
          <w:p w14:paraId="6D8CF746" w14:textId="77777777" w:rsidR="00C41B3E" w:rsidRDefault="0070572D">
            <w:pPr>
              <w:tabs>
                <w:tab w:val="decimal" w:pos="360"/>
              </w:tabs>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rPr>
              <w:t>Cohort study</w:t>
            </w:r>
          </w:p>
        </w:tc>
        <w:tc>
          <w:tcPr>
            <w:tcW w:w="1406" w:type="dxa"/>
            <w:tcBorders>
              <w:top w:val="single" w:sz="4" w:space="0" w:color="000000"/>
              <w:bottom w:val="single" w:sz="4" w:space="0" w:color="000000"/>
            </w:tcBorders>
            <w:shd w:val="clear" w:color="auto" w:fill="FFFFFF"/>
            <w:tcMar>
              <w:top w:w="0" w:type="dxa"/>
              <w:left w:w="10" w:type="dxa"/>
              <w:bottom w:w="0" w:type="dxa"/>
              <w:right w:w="10" w:type="dxa"/>
            </w:tcMar>
          </w:tcPr>
          <w:p w14:paraId="53F72FDD" w14:textId="77777777" w:rsidR="00C41B3E" w:rsidRDefault="0070572D">
            <w:pPr>
              <w:tabs>
                <w:tab w:val="decimal" w:pos="360"/>
              </w:tabs>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lang w:val="it-IT"/>
              </w:rPr>
              <w:t>45</w:t>
            </w:r>
          </w:p>
        </w:tc>
        <w:tc>
          <w:tcPr>
            <w:tcW w:w="1866" w:type="dxa"/>
            <w:tcBorders>
              <w:top w:val="single" w:sz="4" w:space="0" w:color="000000"/>
              <w:bottom w:val="single" w:sz="4" w:space="0" w:color="000000"/>
            </w:tcBorders>
            <w:shd w:val="clear" w:color="auto" w:fill="FFFFFF"/>
            <w:tcMar>
              <w:top w:w="0" w:type="dxa"/>
              <w:left w:w="10" w:type="dxa"/>
              <w:bottom w:w="0" w:type="dxa"/>
              <w:right w:w="10" w:type="dxa"/>
            </w:tcMar>
          </w:tcPr>
          <w:p w14:paraId="4CF41FCE" w14:textId="77777777" w:rsidR="00C41B3E" w:rsidRDefault="0070572D">
            <w:pPr>
              <w:tabs>
                <w:tab w:val="decimal" w:pos="62"/>
              </w:tabs>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rPr>
              <w:t>SIRC</w:t>
            </w:r>
          </w:p>
        </w:tc>
        <w:tc>
          <w:tcPr>
            <w:tcW w:w="1903" w:type="dxa"/>
            <w:tcBorders>
              <w:top w:val="single" w:sz="4" w:space="0" w:color="000000"/>
              <w:bottom w:val="single" w:sz="4" w:space="0" w:color="000000"/>
            </w:tcBorders>
            <w:shd w:val="clear" w:color="auto" w:fill="FFFFFF"/>
            <w:tcMar>
              <w:top w:w="0" w:type="dxa"/>
              <w:left w:w="10" w:type="dxa"/>
              <w:bottom w:w="0" w:type="dxa"/>
              <w:right w:w="10" w:type="dxa"/>
            </w:tcMar>
          </w:tcPr>
          <w:p w14:paraId="4C74F89A" w14:textId="77777777" w:rsidR="00C41B3E" w:rsidRDefault="0070572D">
            <w:r>
              <w:rPr>
                <w:rFonts w:ascii="Book Antiqua" w:eastAsia="Arial Unicode MS" w:hAnsi="Book Antiqua"/>
                <w:color w:val="000000" w:themeColor="text1"/>
              </w:rPr>
              <w:t>0.00</w:t>
            </w:r>
          </w:p>
        </w:tc>
      </w:tr>
      <w:tr w:rsidR="00C41B3E" w14:paraId="3F3083C0" w14:textId="77777777">
        <w:trPr>
          <w:trHeight w:val="553"/>
        </w:trPr>
        <w:tc>
          <w:tcPr>
            <w:tcW w:w="1898" w:type="dxa"/>
            <w:tcBorders>
              <w:top w:val="single" w:sz="4" w:space="0" w:color="000000"/>
              <w:bottom w:val="single" w:sz="4" w:space="0" w:color="000000"/>
            </w:tcBorders>
            <w:shd w:val="clear" w:color="auto" w:fill="FFFFFF"/>
          </w:tcPr>
          <w:p w14:paraId="3948EB30" w14:textId="77777777" w:rsidR="00C41B3E" w:rsidRDefault="0070572D">
            <w:pPr>
              <w:spacing w:line="360" w:lineRule="auto"/>
              <w:jc w:val="both"/>
              <w:rPr>
                <w:rFonts w:ascii="Book Antiqua" w:eastAsia="Arial Unicode MS" w:hAnsi="Book Antiqua"/>
                <w:bCs/>
                <w:color w:val="000000" w:themeColor="text1"/>
              </w:rPr>
            </w:pPr>
            <w:r>
              <w:rPr>
                <w:rFonts w:ascii="Book Antiqua" w:eastAsia="Arial Unicode MS" w:hAnsi="Book Antiqua"/>
                <w:bCs/>
                <w:color w:val="000000" w:themeColor="text1"/>
              </w:rPr>
              <w:t xml:space="preserve">Buchs </w:t>
            </w:r>
            <w:r>
              <w:rPr>
                <w:rFonts w:ascii="Book Antiqua" w:eastAsia="Arial Unicode MS" w:hAnsi="Book Antiqua"/>
                <w:bCs/>
                <w:i/>
                <w:color w:val="000000" w:themeColor="text1"/>
              </w:rPr>
              <w:t>et al</w:t>
            </w:r>
            <w:r>
              <w:rPr>
                <w:rFonts w:ascii="Book Antiqua" w:eastAsia="Arial Unicode MS" w:hAnsi="Book Antiqua"/>
                <w:bCs/>
                <w:color w:val="000000" w:themeColor="text1"/>
                <w:vertAlign w:val="superscript"/>
              </w:rPr>
              <w:t>[55]</w:t>
            </w:r>
            <w:r>
              <w:rPr>
                <w:rFonts w:ascii="Book Antiqua" w:eastAsia="Arial Unicode MS" w:hAnsi="Book Antiqua"/>
                <w:bCs/>
                <w:color w:val="000000" w:themeColor="text1"/>
              </w:rPr>
              <w:t>,</w:t>
            </w:r>
            <w:r>
              <w:rPr>
                <w:rFonts w:ascii="Book Antiqua" w:eastAsia="Arial Unicode MS" w:hAnsi="Book Antiqua"/>
                <w:bCs/>
                <w:color w:val="000000" w:themeColor="text1"/>
                <w:lang w:eastAsia="zh-CN"/>
              </w:rPr>
              <w:t xml:space="preserve"> </w:t>
            </w:r>
            <w:r>
              <w:rPr>
                <w:rFonts w:ascii="Book Antiqua" w:eastAsia="Arial Unicode MS" w:hAnsi="Book Antiqua"/>
                <w:bCs/>
                <w:color w:val="000000" w:themeColor="text1"/>
              </w:rPr>
              <w:t>2013</w:t>
            </w:r>
          </w:p>
        </w:tc>
        <w:tc>
          <w:tcPr>
            <w:tcW w:w="2287" w:type="dxa"/>
            <w:tcBorders>
              <w:top w:val="single" w:sz="4" w:space="0" w:color="000000"/>
              <w:bottom w:val="single" w:sz="4" w:space="0" w:color="000000"/>
            </w:tcBorders>
            <w:shd w:val="clear" w:color="auto" w:fill="FFFFFF"/>
            <w:tcMar>
              <w:top w:w="0" w:type="dxa"/>
              <w:left w:w="10" w:type="dxa"/>
              <w:bottom w:w="0" w:type="dxa"/>
              <w:right w:w="10" w:type="dxa"/>
            </w:tcMar>
          </w:tcPr>
          <w:p w14:paraId="3D7375AB" w14:textId="77777777" w:rsidR="00C41B3E" w:rsidRDefault="0070572D">
            <w:pPr>
              <w:tabs>
                <w:tab w:val="decimal" w:pos="360"/>
              </w:tabs>
              <w:spacing w:line="360" w:lineRule="auto"/>
              <w:jc w:val="both"/>
              <w:rPr>
                <w:rFonts w:ascii="Book Antiqua" w:eastAsia="Arial Unicode MS" w:hAnsi="Book Antiqua"/>
                <w:color w:val="000000" w:themeColor="text1"/>
              </w:rPr>
            </w:pPr>
            <w:r>
              <w:rPr>
                <w:rFonts w:ascii="Book Antiqua" w:eastAsia="Arial Unicode MS" w:hAnsi="Book Antiqua"/>
                <w:color w:val="000000" w:themeColor="text1"/>
              </w:rPr>
              <w:t>Cohort study</w:t>
            </w:r>
          </w:p>
        </w:tc>
        <w:tc>
          <w:tcPr>
            <w:tcW w:w="1406" w:type="dxa"/>
            <w:tcBorders>
              <w:top w:val="single" w:sz="4" w:space="0" w:color="000000"/>
              <w:bottom w:val="single" w:sz="4" w:space="0" w:color="000000"/>
            </w:tcBorders>
            <w:shd w:val="clear" w:color="auto" w:fill="FFFFFF"/>
            <w:tcMar>
              <w:top w:w="0" w:type="dxa"/>
              <w:left w:w="10" w:type="dxa"/>
              <w:bottom w:w="0" w:type="dxa"/>
              <w:right w:w="10" w:type="dxa"/>
            </w:tcMar>
          </w:tcPr>
          <w:p w14:paraId="1175E3CF" w14:textId="77777777" w:rsidR="00C41B3E" w:rsidRDefault="0070572D">
            <w:pPr>
              <w:tabs>
                <w:tab w:val="decimal" w:pos="360"/>
              </w:tabs>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lang w:val="it-IT"/>
              </w:rPr>
              <w:t>23</w:t>
            </w:r>
          </w:p>
        </w:tc>
        <w:tc>
          <w:tcPr>
            <w:tcW w:w="1866" w:type="dxa"/>
            <w:tcBorders>
              <w:top w:val="single" w:sz="4" w:space="0" w:color="000000"/>
              <w:bottom w:val="single" w:sz="4" w:space="0" w:color="000000"/>
            </w:tcBorders>
            <w:shd w:val="clear" w:color="auto" w:fill="FFFFFF"/>
            <w:tcMar>
              <w:top w:w="0" w:type="dxa"/>
              <w:left w:w="10" w:type="dxa"/>
              <w:bottom w:w="0" w:type="dxa"/>
              <w:right w:w="10" w:type="dxa"/>
            </w:tcMar>
          </w:tcPr>
          <w:p w14:paraId="72B148FF" w14:textId="77777777" w:rsidR="00C41B3E" w:rsidRDefault="0070572D">
            <w:pPr>
              <w:tabs>
                <w:tab w:val="decimal" w:pos="0"/>
              </w:tabs>
              <w:spacing w:line="360" w:lineRule="auto"/>
              <w:jc w:val="both"/>
              <w:rPr>
                <w:rFonts w:ascii="Book Antiqua" w:eastAsia="Arial Unicode MS" w:hAnsi="Book Antiqua"/>
                <w:color w:val="000000" w:themeColor="text1"/>
              </w:rPr>
            </w:pPr>
            <w:r>
              <w:rPr>
                <w:rFonts w:ascii="Book Antiqua" w:eastAsia="Arial Unicode MS" w:hAnsi="Book Antiqua"/>
                <w:color w:val="000000" w:themeColor="text1"/>
              </w:rPr>
              <w:t>SIRC</w:t>
            </w:r>
          </w:p>
        </w:tc>
        <w:tc>
          <w:tcPr>
            <w:tcW w:w="1903" w:type="dxa"/>
            <w:tcBorders>
              <w:top w:val="single" w:sz="4" w:space="0" w:color="000000"/>
              <w:bottom w:val="single" w:sz="4" w:space="0" w:color="000000"/>
            </w:tcBorders>
            <w:shd w:val="clear" w:color="auto" w:fill="FFFFFF"/>
            <w:tcMar>
              <w:top w:w="0" w:type="dxa"/>
              <w:left w:w="10" w:type="dxa"/>
              <w:bottom w:w="0" w:type="dxa"/>
              <w:right w:w="10" w:type="dxa"/>
            </w:tcMar>
          </w:tcPr>
          <w:p w14:paraId="164A65CF" w14:textId="77777777" w:rsidR="00C41B3E" w:rsidRDefault="0070572D">
            <w:r>
              <w:rPr>
                <w:rFonts w:ascii="Book Antiqua" w:eastAsia="Arial Unicode MS" w:hAnsi="Book Antiqua"/>
                <w:color w:val="000000" w:themeColor="text1"/>
              </w:rPr>
              <w:t>0.00</w:t>
            </w:r>
          </w:p>
        </w:tc>
      </w:tr>
      <w:tr w:rsidR="00C41B3E" w14:paraId="4080200B" w14:textId="77777777">
        <w:trPr>
          <w:trHeight w:val="553"/>
        </w:trPr>
        <w:tc>
          <w:tcPr>
            <w:tcW w:w="1898" w:type="dxa"/>
            <w:tcBorders>
              <w:top w:val="single" w:sz="4" w:space="0" w:color="000000"/>
              <w:bottom w:val="single" w:sz="4" w:space="0" w:color="000000"/>
            </w:tcBorders>
            <w:shd w:val="clear" w:color="auto" w:fill="FFFFFF"/>
          </w:tcPr>
          <w:p w14:paraId="433B3684" w14:textId="77777777" w:rsidR="00C41B3E" w:rsidRDefault="0070572D">
            <w:pPr>
              <w:spacing w:line="360" w:lineRule="auto"/>
              <w:jc w:val="both"/>
              <w:rPr>
                <w:rFonts w:ascii="Book Antiqua" w:eastAsia="Arial Unicode MS" w:hAnsi="Book Antiqua"/>
                <w:bCs/>
                <w:color w:val="000000" w:themeColor="text1"/>
              </w:rPr>
            </w:pPr>
            <w:r>
              <w:rPr>
                <w:rFonts w:ascii="Book Antiqua" w:eastAsia="Arial Unicode MS" w:hAnsi="Book Antiqua"/>
                <w:bCs/>
                <w:color w:val="000000" w:themeColor="text1"/>
              </w:rPr>
              <w:t xml:space="preserve">Buchs </w:t>
            </w:r>
            <w:r>
              <w:rPr>
                <w:rFonts w:ascii="Book Antiqua" w:eastAsia="Arial Unicode MS" w:hAnsi="Book Antiqua"/>
                <w:bCs/>
                <w:i/>
                <w:color w:val="000000" w:themeColor="text1"/>
              </w:rPr>
              <w:t>et al</w:t>
            </w:r>
            <w:r>
              <w:rPr>
                <w:rFonts w:ascii="Book Antiqua" w:eastAsia="Arial Unicode MS" w:hAnsi="Book Antiqua"/>
                <w:bCs/>
                <w:color w:val="000000" w:themeColor="text1"/>
                <w:vertAlign w:val="superscript"/>
              </w:rPr>
              <w:t>[69]</w:t>
            </w:r>
            <w:r>
              <w:rPr>
                <w:rFonts w:ascii="Book Antiqua" w:eastAsia="Arial Unicode MS" w:hAnsi="Book Antiqua"/>
                <w:bCs/>
                <w:color w:val="000000" w:themeColor="text1"/>
              </w:rPr>
              <w:t>,</w:t>
            </w:r>
            <w:r>
              <w:rPr>
                <w:rFonts w:ascii="Book Antiqua" w:eastAsia="Arial Unicode MS" w:hAnsi="Book Antiqua"/>
                <w:bCs/>
                <w:color w:val="000000" w:themeColor="text1"/>
                <w:lang w:eastAsia="zh-CN"/>
              </w:rPr>
              <w:t xml:space="preserve"> </w:t>
            </w:r>
            <w:r>
              <w:rPr>
                <w:rFonts w:ascii="Book Antiqua" w:eastAsia="Arial Unicode MS" w:hAnsi="Book Antiqua"/>
                <w:bCs/>
                <w:color w:val="000000" w:themeColor="text1"/>
              </w:rPr>
              <w:t>2012</w:t>
            </w:r>
          </w:p>
        </w:tc>
        <w:tc>
          <w:tcPr>
            <w:tcW w:w="2287" w:type="dxa"/>
            <w:tcBorders>
              <w:top w:val="single" w:sz="4" w:space="0" w:color="000000"/>
              <w:bottom w:val="single" w:sz="4" w:space="0" w:color="000000"/>
            </w:tcBorders>
            <w:shd w:val="clear" w:color="auto" w:fill="FFFFFF"/>
            <w:tcMar>
              <w:top w:w="0" w:type="dxa"/>
              <w:left w:w="10" w:type="dxa"/>
              <w:bottom w:w="0" w:type="dxa"/>
              <w:right w:w="10" w:type="dxa"/>
            </w:tcMar>
          </w:tcPr>
          <w:p w14:paraId="51A730A8" w14:textId="77777777" w:rsidR="00C41B3E" w:rsidRDefault="0070572D">
            <w:pPr>
              <w:tabs>
                <w:tab w:val="decimal" w:pos="360"/>
              </w:tabs>
              <w:spacing w:line="360" w:lineRule="auto"/>
              <w:jc w:val="both"/>
              <w:rPr>
                <w:rFonts w:ascii="Book Antiqua" w:eastAsia="Arial Unicode MS" w:hAnsi="Book Antiqua"/>
                <w:color w:val="000000" w:themeColor="text1"/>
              </w:rPr>
            </w:pPr>
            <w:r>
              <w:rPr>
                <w:rFonts w:ascii="Book Antiqua" w:eastAsia="Arial Unicode MS" w:hAnsi="Book Antiqua"/>
                <w:color w:val="000000" w:themeColor="text1"/>
              </w:rPr>
              <w:t>Prospective cohort study</w:t>
            </w:r>
          </w:p>
        </w:tc>
        <w:tc>
          <w:tcPr>
            <w:tcW w:w="1406" w:type="dxa"/>
            <w:tcBorders>
              <w:top w:val="single" w:sz="4" w:space="0" w:color="000000"/>
              <w:bottom w:val="single" w:sz="4" w:space="0" w:color="000000"/>
            </w:tcBorders>
            <w:shd w:val="clear" w:color="auto" w:fill="FFFFFF"/>
            <w:tcMar>
              <w:top w:w="0" w:type="dxa"/>
              <w:left w:w="10" w:type="dxa"/>
              <w:bottom w:w="0" w:type="dxa"/>
              <w:right w:w="10" w:type="dxa"/>
            </w:tcMar>
          </w:tcPr>
          <w:p w14:paraId="16027A8B" w14:textId="77777777" w:rsidR="00C41B3E" w:rsidRDefault="0070572D">
            <w:pPr>
              <w:tabs>
                <w:tab w:val="decimal" w:pos="360"/>
              </w:tabs>
              <w:spacing w:line="360" w:lineRule="auto"/>
              <w:jc w:val="both"/>
              <w:rPr>
                <w:rFonts w:ascii="Book Antiqua" w:eastAsia="Arial Unicode MS" w:hAnsi="Book Antiqua"/>
                <w:color w:val="000000" w:themeColor="text1"/>
                <w:lang w:val="it-IT"/>
              </w:rPr>
            </w:pPr>
            <w:r>
              <w:rPr>
                <w:rFonts w:ascii="Book Antiqua" w:eastAsia="Arial Unicode MS" w:hAnsi="Book Antiqua"/>
                <w:color w:val="000000" w:themeColor="text1"/>
                <w:lang w:val="it-IT"/>
              </w:rPr>
              <w:t>12</w:t>
            </w:r>
          </w:p>
        </w:tc>
        <w:tc>
          <w:tcPr>
            <w:tcW w:w="1866" w:type="dxa"/>
            <w:tcBorders>
              <w:top w:val="single" w:sz="4" w:space="0" w:color="000000"/>
              <w:bottom w:val="single" w:sz="4" w:space="0" w:color="000000"/>
            </w:tcBorders>
            <w:shd w:val="clear" w:color="auto" w:fill="FFFFFF"/>
            <w:tcMar>
              <w:top w:w="0" w:type="dxa"/>
              <w:left w:w="10" w:type="dxa"/>
              <w:bottom w:w="0" w:type="dxa"/>
              <w:right w:w="10" w:type="dxa"/>
            </w:tcMar>
          </w:tcPr>
          <w:p w14:paraId="7823F458" w14:textId="77777777" w:rsidR="00C41B3E" w:rsidRDefault="0070572D">
            <w:pPr>
              <w:tabs>
                <w:tab w:val="decimal" w:pos="0"/>
              </w:tabs>
              <w:spacing w:line="360" w:lineRule="auto"/>
              <w:jc w:val="both"/>
              <w:rPr>
                <w:rFonts w:ascii="Book Antiqua" w:eastAsia="Arial Unicode MS" w:hAnsi="Book Antiqua"/>
                <w:color w:val="000000" w:themeColor="text1"/>
              </w:rPr>
            </w:pPr>
            <w:r>
              <w:rPr>
                <w:rFonts w:ascii="Book Antiqua" w:eastAsia="Arial Unicode MS" w:hAnsi="Book Antiqua"/>
                <w:color w:val="000000" w:themeColor="text1"/>
              </w:rPr>
              <w:t>SIRC</w:t>
            </w:r>
          </w:p>
        </w:tc>
        <w:tc>
          <w:tcPr>
            <w:tcW w:w="1903" w:type="dxa"/>
            <w:tcBorders>
              <w:top w:val="single" w:sz="4" w:space="0" w:color="000000"/>
              <w:bottom w:val="single" w:sz="4" w:space="0" w:color="000000"/>
            </w:tcBorders>
            <w:shd w:val="clear" w:color="auto" w:fill="FFFFFF"/>
            <w:tcMar>
              <w:top w:w="0" w:type="dxa"/>
              <w:left w:w="10" w:type="dxa"/>
              <w:bottom w:w="0" w:type="dxa"/>
              <w:right w:w="10" w:type="dxa"/>
            </w:tcMar>
          </w:tcPr>
          <w:p w14:paraId="1661C99C" w14:textId="77777777" w:rsidR="00C41B3E" w:rsidRDefault="0070572D">
            <w:r>
              <w:rPr>
                <w:rFonts w:ascii="Book Antiqua" w:eastAsia="Arial Unicode MS" w:hAnsi="Book Antiqua"/>
                <w:color w:val="000000" w:themeColor="text1"/>
              </w:rPr>
              <w:t>0.00</w:t>
            </w:r>
          </w:p>
        </w:tc>
      </w:tr>
    </w:tbl>
    <w:p w14:paraId="0E5A0C95" w14:textId="03EBCE80" w:rsidR="001F7AF2" w:rsidRDefault="0070572D">
      <w:pPr>
        <w:spacing w:line="360" w:lineRule="auto"/>
        <w:jc w:val="both"/>
        <w:rPr>
          <w:rFonts w:ascii="Book Antiqua" w:eastAsia="宋体" w:hAnsi="Book Antiqua"/>
          <w:color w:val="000000" w:themeColor="text1"/>
          <w:lang w:val="fr-FR"/>
        </w:rPr>
      </w:pPr>
      <w:r>
        <w:rPr>
          <w:rFonts w:ascii="Book Antiqua" w:eastAsia="宋体" w:hAnsi="Book Antiqua"/>
          <w:color w:val="000000" w:themeColor="text1"/>
          <w:lang w:val="fr-FR"/>
        </w:rPr>
        <w:t xml:space="preserve">RC: Robotic cholecystectomy; SIRC: Single-incision robotic cholecystectomy; NR: Not reported. </w:t>
      </w:r>
    </w:p>
    <w:p w14:paraId="085DB009" w14:textId="77777777" w:rsidR="001F7AF2" w:rsidRDefault="001F7AF2">
      <w:pPr>
        <w:rPr>
          <w:rFonts w:ascii="Book Antiqua" w:eastAsia="宋体" w:hAnsi="Book Antiqua"/>
          <w:color w:val="000000" w:themeColor="text1"/>
          <w:lang w:val="fr-FR"/>
        </w:rPr>
      </w:pPr>
      <w:r>
        <w:rPr>
          <w:rFonts w:ascii="Book Antiqua" w:eastAsia="宋体" w:hAnsi="Book Antiqua"/>
          <w:color w:val="000000" w:themeColor="text1"/>
          <w:lang w:val="fr-FR"/>
        </w:rPr>
        <w:br w:type="page"/>
      </w:r>
    </w:p>
    <w:p w14:paraId="0D371134" w14:textId="77777777" w:rsidR="001F7AF2" w:rsidRDefault="001F7AF2" w:rsidP="001F7AF2">
      <w:pPr>
        <w:jc w:val="center"/>
        <w:rPr>
          <w:rFonts w:ascii="Book Antiqua" w:hAnsi="Book Antiqua"/>
          <w:lang w:eastAsia="zh-CN"/>
        </w:rPr>
      </w:pPr>
    </w:p>
    <w:p w14:paraId="149BB9C1" w14:textId="77777777" w:rsidR="001F7AF2" w:rsidRDefault="001F7AF2" w:rsidP="001F7AF2">
      <w:pPr>
        <w:jc w:val="center"/>
        <w:rPr>
          <w:rFonts w:ascii="Book Antiqua" w:hAnsi="Book Antiqua"/>
          <w:lang w:eastAsia="zh-CN"/>
        </w:rPr>
      </w:pPr>
    </w:p>
    <w:p w14:paraId="3531EDFE" w14:textId="77777777" w:rsidR="001F7AF2" w:rsidRDefault="001F7AF2" w:rsidP="001F7AF2">
      <w:pPr>
        <w:jc w:val="center"/>
        <w:rPr>
          <w:rFonts w:ascii="Book Antiqua" w:hAnsi="Book Antiqua"/>
          <w:lang w:eastAsia="zh-CN"/>
        </w:rPr>
      </w:pPr>
    </w:p>
    <w:p w14:paraId="5783EAAF" w14:textId="77777777" w:rsidR="001F7AF2" w:rsidRDefault="001F7AF2" w:rsidP="001F7AF2">
      <w:pPr>
        <w:jc w:val="center"/>
        <w:rPr>
          <w:rFonts w:ascii="Book Antiqua" w:hAnsi="Book Antiqua"/>
          <w:lang w:eastAsia="zh-CN"/>
        </w:rPr>
      </w:pPr>
    </w:p>
    <w:p w14:paraId="7ACF2B5D" w14:textId="77777777" w:rsidR="001F7AF2" w:rsidRDefault="001F7AF2" w:rsidP="001F7AF2">
      <w:pPr>
        <w:jc w:val="center"/>
        <w:rPr>
          <w:rFonts w:ascii="Book Antiqua" w:hAnsi="Book Antiqua"/>
          <w:lang w:eastAsia="zh-CN"/>
        </w:rPr>
      </w:pPr>
    </w:p>
    <w:p w14:paraId="78BF8F49" w14:textId="77777777" w:rsidR="001F7AF2" w:rsidRDefault="001F7AF2" w:rsidP="001F7AF2">
      <w:pPr>
        <w:jc w:val="center"/>
        <w:rPr>
          <w:rFonts w:ascii="Book Antiqua" w:hAnsi="Book Antiqua"/>
          <w:lang w:eastAsia="zh-CN"/>
        </w:rPr>
      </w:pPr>
      <w:r>
        <w:rPr>
          <w:rFonts w:ascii="Book Antiqua" w:hAnsi="Book Antiqua"/>
          <w:noProof/>
          <w:lang w:eastAsia="zh-CN"/>
        </w:rPr>
        <w:drawing>
          <wp:inline distT="0" distB="0" distL="0" distR="0" wp14:anchorId="3F1EE847" wp14:editId="1FC1B0A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7E8D123" w14:textId="77777777" w:rsidR="001F7AF2" w:rsidRDefault="001F7AF2" w:rsidP="001F7AF2">
      <w:pPr>
        <w:jc w:val="center"/>
        <w:rPr>
          <w:rFonts w:ascii="Book Antiqua" w:hAnsi="Book Antiqua"/>
          <w:lang w:eastAsia="zh-CN"/>
        </w:rPr>
      </w:pPr>
    </w:p>
    <w:p w14:paraId="69AC2206" w14:textId="77777777" w:rsidR="001F7AF2" w:rsidRPr="00763D22" w:rsidRDefault="001F7AF2" w:rsidP="001F7AF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BA2391E" w14:textId="77777777" w:rsidR="001F7AF2" w:rsidRPr="00763D22" w:rsidRDefault="001F7AF2" w:rsidP="001F7AF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975EDD1" w14:textId="77777777" w:rsidR="001F7AF2" w:rsidRPr="00763D22" w:rsidRDefault="001F7AF2" w:rsidP="001F7AF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C31546C" w14:textId="77777777" w:rsidR="001F7AF2" w:rsidRPr="00763D22" w:rsidRDefault="001F7AF2" w:rsidP="001F7AF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B80A9D9" w14:textId="77777777" w:rsidR="001F7AF2" w:rsidRPr="00763D22" w:rsidRDefault="001F7AF2" w:rsidP="001F7AF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200B1FD" w14:textId="77777777" w:rsidR="001F7AF2" w:rsidRPr="00763D22" w:rsidRDefault="001F7AF2" w:rsidP="001F7AF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FB90DAC" w14:textId="77777777" w:rsidR="001F7AF2" w:rsidRDefault="001F7AF2" w:rsidP="001F7AF2">
      <w:pPr>
        <w:jc w:val="center"/>
        <w:rPr>
          <w:rFonts w:ascii="Book Antiqua" w:hAnsi="Book Antiqua"/>
          <w:lang w:eastAsia="zh-CN"/>
        </w:rPr>
      </w:pPr>
    </w:p>
    <w:p w14:paraId="794E8CB9" w14:textId="77777777" w:rsidR="001F7AF2" w:rsidRDefault="001F7AF2" w:rsidP="001F7AF2">
      <w:pPr>
        <w:jc w:val="center"/>
        <w:rPr>
          <w:rFonts w:ascii="Book Antiqua" w:hAnsi="Book Antiqua"/>
          <w:lang w:eastAsia="zh-CN"/>
        </w:rPr>
      </w:pPr>
    </w:p>
    <w:p w14:paraId="55797E2E" w14:textId="77777777" w:rsidR="001F7AF2" w:rsidRDefault="001F7AF2" w:rsidP="001F7AF2">
      <w:pPr>
        <w:jc w:val="center"/>
        <w:rPr>
          <w:rFonts w:ascii="Book Antiqua" w:hAnsi="Book Antiqua"/>
          <w:lang w:eastAsia="zh-CN"/>
        </w:rPr>
      </w:pPr>
    </w:p>
    <w:p w14:paraId="30EA96FC" w14:textId="77777777" w:rsidR="001F7AF2" w:rsidRDefault="001F7AF2" w:rsidP="001F7AF2">
      <w:pPr>
        <w:jc w:val="center"/>
        <w:rPr>
          <w:rFonts w:ascii="Book Antiqua" w:hAnsi="Book Antiqua"/>
          <w:lang w:eastAsia="zh-CN"/>
        </w:rPr>
      </w:pPr>
      <w:r>
        <w:rPr>
          <w:rFonts w:ascii="Book Antiqua" w:hAnsi="Book Antiqua"/>
          <w:noProof/>
          <w:lang w:eastAsia="zh-CN"/>
        </w:rPr>
        <w:drawing>
          <wp:inline distT="0" distB="0" distL="0" distR="0" wp14:anchorId="64A2CDBC" wp14:editId="54BB81A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2AF0715" w14:textId="77777777" w:rsidR="001F7AF2" w:rsidRDefault="001F7AF2" w:rsidP="001F7AF2">
      <w:pPr>
        <w:jc w:val="center"/>
        <w:rPr>
          <w:rFonts w:ascii="Book Antiqua" w:hAnsi="Book Antiqua"/>
          <w:lang w:eastAsia="zh-CN"/>
        </w:rPr>
      </w:pPr>
    </w:p>
    <w:p w14:paraId="7FAF79AE" w14:textId="77777777" w:rsidR="001F7AF2" w:rsidRDefault="001F7AF2" w:rsidP="001F7AF2">
      <w:pPr>
        <w:jc w:val="center"/>
        <w:rPr>
          <w:rFonts w:ascii="Book Antiqua" w:hAnsi="Book Antiqua"/>
          <w:lang w:eastAsia="zh-CN"/>
        </w:rPr>
      </w:pPr>
    </w:p>
    <w:p w14:paraId="09DC0C3D" w14:textId="77777777" w:rsidR="001F7AF2" w:rsidRDefault="001F7AF2" w:rsidP="001F7AF2">
      <w:pPr>
        <w:jc w:val="center"/>
        <w:rPr>
          <w:rFonts w:ascii="Book Antiqua" w:hAnsi="Book Antiqua"/>
          <w:lang w:eastAsia="zh-CN"/>
        </w:rPr>
      </w:pPr>
    </w:p>
    <w:p w14:paraId="59CE35BC" w14:textId="77777777" w:rsidR="001F7AF2" w:rsidRDefault="001F7AF2" w:rsidP="001F7AF2">
      <w:pPr>
        <w:jc w:val="center"/>
        <w:rPr>
          <w:rFonts w:ascii="Book Antiqua" w:hAnsi="Book Antiqua"/>
          <w:lang w:eastAsia="zh-CN"/>
        </w:rPr>
      </w:pPr>
    </w:p>
    <w:p w14:paraId="56F04244" w14:textId="77777777" w:rsidR="001F7AF2" w:rsidRDefault="001F7AF2" w:rsidP="001F7AF2">
      <w:pPr>
        <w:jc w:val="center"/>
        <w:rPr>
          <w:rFonts w:ascii="Book Antiqua" w:hAnsi="Book Antiqua"/>
          <w:lang w:eastAsia="zh-CN"/>
        </w:rPr>
      </w:pPr>
    </w:p>
    <w:p w14:paraId="5A2B03CB" w14:textId="77777777" w:rsidR="001F7AF2" w:rsidRDefault="001F7AF2" w:rsidP="001F7AF2">
      <w:pPr>
        <w:jc w:val="center"/>
        <w:rPr>
          <w:rFonts w:ascii="Book Antiqua" w:hAnsi="Book Antiqua"/>
          <w:lang w:eastAsia="zh-CN"/>
        </w:rPr>
      </w:pPr>
    </w:p>
    <w:p w14:paraId="3F3D5B76" w14:textId="77777777" w:rsidR="001F7AF2" w:rsidRDefault="001F7AF2" w:rsidP="001F7AF2">
      <w:pPr>
        <w:jc w:val="center"/>
        <w:rPr>
          <w:rFonts w:ascii="Book Antiqua" w:hAnsi="Book Antiqua"/>
          <w:lang w:eastAsia="zh-CN"/>
        </w:rPr>
      </w:pPr>
    </w:p>
    <w:p w14:paraId="2FEA9A1B" w14:textId="77777777" w:rsidR="001F7AF2" w:rsidRDefault="001F7AF2" w:rsidP="001F7AF2">
      <w:pPr>
        <w:jc w:val="center"/>
        <w:rPr>
          <w:rFonts w:ascii="Book Antiqua" w:hAnsi="Book Antiqua"/>
          <w:lang w:eastAsia="zh-CN"/>
        </w:rPr>
      </w:pPr>
    </w:p>
    <w:p w14:paraId="5626C849" w14:textId="77777777" w:rsidR="001F7AF2" w:rsidRDefault="001F7AF2" w:rsidP="001F7AF2">
      <w:pPr>
        <w:jc w:val="center"/>
        <w:rPr>
          <w:rFonts w:ascii="Book Antiqua" w:hAnsi="Book Antiqua"/>
          <w:lang w:eastAsia="zh-CN"/>
        </w:rPr>
      </w:pPr>
    </w:p>
    <w:p w14:paraId="28DE877D" w14:textId="77777777" w:rsidR="001F7AF2" w:rsidRPr="00763D22" w:rsidRDefault="001F7AF2" w:rsidP="001F7AF2">
      <w:pPr>
        <w:jc w:val="right"/>
        <w:rPr>
          <w:rFonts w:ascii="Book Antiqua" w:hAnsi="Book Antiqua"/>
          <w:color w:val="000000" w:themeColor="text1"/>
          <w:lang w:eastAsia="zh-CN"/>
        </w:rPr>
      </w:pPr>
    </w:p>
    <w:p w14:paraId="7C00A09F" w14:textId="77777777" w:rsidR="001F7AF2" w:rsidRPr="00763D22" w:rsidRDefault="001F7AF2" w:rsidP="001F7AF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FBAFF95" w14:textId="77777777" w:rsidR="00C41B3E" w:rsidRDefault="00C41B3E">
      <w:pPr>
        <w:spacing w:line="360" w:lineRule="auto"/>
        <w:jc w:val="both"/>
      </w:pPr>
    </w:p>
    <w:sectPr w:rsidR="00C41B3E">
      <w:footerReference w:type="default" r:id="rId15"/>
      <w:pgSz w:w="12240" w:h="15840"/>
      <w:pgMar w:top="1440" w:right="1440" w:bottom="1440" w:left="1440" w:header="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4A115" w14:textId="77777777" w:rsidR="00A37175" w:rsidRDefault="00A37175">
      <w:r>
        <w:separator/>
      </w:r>
    </w:p>
  </w:endnote>
  <w:endnote w:type="continuationSeparator" w:id="0">
    <w:p w14:paraId="2780D60D" w14:textId="77777777" w:rsidR="00A37175" w:rsidRDefault="00A37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Liberation Sans">
    <w:altName w:val="Arial"/>
    <w:charset w:val="00"/>
    <w:family w:val="roman"/>
    <w:pitch w:val="variable"/>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5545" w14:textId="77777777" w:rsidR="00C41B3E" w:rsidRDefault="0070572D">
    <w:pPr>
      <w:pStyle w:val="ac"/>
      <w:jc w:val="right"/>
    </w:pP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AF635A">
      <w:rPr>
        <w:rFonts w:ascii="Book Antiqua" w:hAnsi="Book Antiqua"/>
        <w:noProof/>
        <w:sz w:val="24"/>
        <w:szCs w:val="24"/>
      </w:rPr>
      <w:t>29</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AF635A">
      <w:rPr>
        <w:rFonts w:ascii="Book Antiqua" w:hAnsi="Book Antiqua"/>
        <w:noProof/>
        <w:sz w:val="24"/>
        <w:szCs w:val="24"/>
      </w:rPr>
      <w:t>39</w:t>
    </w:r>
    <w:r>
      <w:rPr>
        <w:rFonts w:ascii="Book Antiqua" w:hAnsi="Book Antiqua"/>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3423" w14:textId="77777777" w:rsidR="00C41B3E" w:rsidRDefault="0070572D">
    <w:pPr>
      <w:pStyle w:val="ac"/>
      <w:jc w:val="right"/>
    </w:pP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AF635A">
      <w:rPr>
        <w:rFonts w:ascii="Book Antiqua" w:hAnsi="Book Antiqua"/>
        <w:noProof/>
        <w:sz w:val="24"/>
        <w:szCs w:val="24"/>
      </w:rPr>
      <w:t>30</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AF635A">
      <w:rPr>
        <w:rFonts w:ascii="Book Antiqua" w:hAnsi="Book Antiqua"/>
        <w:noProof/>
        <w:sz w:val="24"/>
        <w:szCs w:val="24"/>
      </w:rPr>
      <w:t>39</w:t>
    </w:r>
    <w:r>
      <w:rPr>
        <w:rFonts w:ascii="Book Antiqua" w:hAnsi="Book Antiqua"/>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5AB6" w14:textId="77777777" w:rsidR="00C41B3E" w:rsidRDefault="0070572D">
    <w:pPr>
      <w:pStyle w:val="ac"/>
      <w:jc w:val="right"/>
    </w:pP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36140C">
      <w:rPr>
        <w:rFonts w:ascii="Book Antiqua" w:hAnsi="Book Antiqua"/>
        <w:noProof/>
        <w:sz w:val="24"/>
        <w:szCs w:val="24"/>
      </w:rPr>
      <w:t>39</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36140C">
      <w:rPr>
        <w:rFonts w:ascii="Book Antiqua" w:hAnsi="Book Antiqua"/>
        <w:noProof/>
        <w:sz w:val="24"/>
        <w:szCs w:val="24"/>
      </w:rPr>
      <w:t>39</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66E10" w14:textId="77777777" w:rsidR="00A37175" w:rsidRDefault="00A37175">
      <w:r>
        <w:separator/>
      </w:r>
    </w:p>
  </w:footnote>
  <w:footnote w:type="continuationSeparator" w:id="0">
    <w:p w14:paraId="38BD5891" w14:textId="77777777" w:rsidR="00A37175" w:rsidRDefault="00A371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41B3E"/>
    <w:rsid w:val="00016ED4"/>
    <w:rsid w:val="001F7AF2"/>
    <w:rsid w:val="002F0789"/>
    <w:rsid w:val="0036140C"/>
    <w:rsid w:val="003F590A"/>
    <w:rsid w:val="0061127A"/>
    <w:rsid w:val="006A1773"/>
    <w:rsid w:val="006D7BDD"/>
    <w:rsid w:val="0070572D"/>
    <w:rsid w:val="00891581"/>
    <w:rsid w:val="00A37175"/>
    <w:rsid w:val="00AF393F"/>
    <w:rsid w:val="00AF635A"/>
    <w:rsid w:val="00C41B3E"/>
    <w:rsid w:val="00E36CCB"/>
    <w:rsid w:val="00EE3CFE"/>
    <w:rsid w:val="00F4453D"/>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C08AF"/>
  <w15:docId w15:val="{E4BC2573-8655-4A71-9763-ADA2F286E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批注框文本 字符"/>
    <w:basedOn w:val="a0"/>
    <w:link w:val="a4"/>
    <w:qFormat/>
    <w:rsid w:val="006E62CF"/>
    <w:rPr>
      <w:sz w:val="18"/>
      <w:szCs w:val="18"/>
    </w:rPr>
  </w:style>
  <w:style w:type="character" w:customStyle="1" w:styleId="a5">
    <w:name w:val="批注文字 字符"/>
    <w:basedOn w:val="a0"/>
    <w:link w:val="a6"/>
    <w:qFormat/>
    <w:rsid w:val="006053CD"/>
    <w:rPr>
      <w:sz w:val="18"/>
      <w:szCs w:val="18"/>
    </w:rPr>
  </w:style>
  <w:style w:type="character" w:customStyle="1" w:styleId="Char">
    <w:name w:val="批注文字 Char"/>
    <w:basedOn w:val="a0"/>
    <w:qFormat/>
    <w:rsid w:val="006053CD"/>
    <w:rPr>
      <w:sz w:val="18"/>
      <w:szCs w:val="18"/>
    </w:rPr>
  </w:style>
  <w:style w:type="character" w:styleId="a7">
    <w:name w:val="annotation reference"/>
    <w:basedOn w:val="a0"/>
    <w:qFormat/>
    <w:rsid w:val="00E6301E"/>
    <w:rPr>
      <w:sz w:val="21"/>
      <w:szCs w:val="21"/>
    </w:rPr>
  </w:style>
  <w:style w:type="character" w:customStyle="1" w:styleId="Char1">
    <w:name w:val="批注主题 Char1"/>
    <w:basedOn w:val="a0"/>
    <w:qFormat/>
    <w:rsid w:val="00E6301E"/>
    <w:rPr>
      <w:sz w:val="24"/>
      <w:szCs w:val="24"/>
    </w:rPr>
  </w:style>
  <w:style w:type="character" w:customStyle="1" w:styleId="Char0">
    <w:name w:val="批注主题 Char"/>
    <w:basedOn w:val="Char1"/>
    <w:qFormat/>
    <w:rsid w:val="00E6301E"/>
    <w:rPr>
      <w:b/>
      <w:bCs/>
      <w:sz w:val="24"/>
      <w:szCs w:val="24"/>
    </w:rPr>
  </w:style>
  <w:style w:type="character" w:customStyle="1" w:styleId="ListLabel1">
    <w:name w:val="ListLabel 1"/>
    <w:qFormat/>
    <w:rPr>
      <w:rFonts w:ascii="Book Antiqua" w:eastAsia="宋体" w:hAnsi="Book Antiqua"/>
      <w:bCs/>
      <w:color w:val="000000" w:themeColor="text1"/>
      <w:u w:val="single"/>
      <w:lang w:val="fr-FR"/>
    </w:rPr>
  </w:style>
  <w:style w:type="character" w:customStyle="1" w:styleId="CollegamentoInternet">
    <w:name w:val="Collegamento Internet"/>
    <w:rPr>
      <w:color w:val="000080"/>
      <w:u w:val="single"/>
    </w:rPr>
  </w:style>
  <w:style w:type="character" w:customStyle="1" w:styleId="ListLabel2">
    <w:name w:val="ListLabel 2"/>
    <w:qFormat/>
    <w:rPr>
      <w:rFonts w:ascii="Book Antiqua" w:eastAsia="宋体" w:hAnsi="Book Antiqua"/>
      <w:bCs/>
      <w:color w:val="000000" w:themeColor="text1"/>
      <w:szCs w:val="22"/>
      <w:u w:val="single"/>
      <w:lang w:val="fr-FR"/>
    </w:rPr>
  </w:style>
  <w:style w:type="character" w:customStyle="1" w:styleId="ListLabel3">
    <w:name w:val="ListLabel 3"/>
    <w:qFormat/>
    <w:rPr>
      <w:rFonts w:ascii="Book Antiqua" w:eastAsia="宋体" w:hAnsi="Book Antiqua"/>
      <w:bCs/>
      <w:color w:val="000000" w:themeColor="text1"/>
      <w:szCs w:val="22"/>
      <w:u w:val="none"/>
      <w:lang w:val="fr-FR"/>
    </w:rPr>
  </w:style>
  <w:style w:type="character" w:customStyle="1" w:styleId="ListLabel4">
    <w:name w:val="ListLabel 4"/>
    <w:qFormat/>
    <w:rPr>
      <w:szCs w:val="22"/>
      <w:u w:val="none"/>
    </w:rPr>
  </w:style>
  <w:style w:type="character" w:customStyle="1" w:styleId="ListLabel5">
    <w:name w:val="ListLabel 5"/>
    <w:qFormat/>
    <w:rPr>
      <w:szCs w:val="22"/>
      <w:u w:val="none"/>
    </w:rPr>
  </w:style>
  <w:style w:type="character" w:customStyle="1" w:styleId="ListLabel6">
    <w:name w:val="ListLabel 6"/>
    <w:qFormat/>
    <w:rPr>
      <w:szCs w:val="22"/>
      <w:u w:val="none"/>
    </w:rPr>
  </w:style>
  <w:style w:type="paragraph" w:customStyle="1" w:styleId="Titolo">
    <w:name w:val="Titolo"/>
    <w:basedOn w:val="a"/>
    <w:next w:val="a8"/>
    <w:qFormat/>
    <w:pPr>
      <w:keepNext/>
      <w:spacing w:before="240" w:after="120"/>
    </w:pPr>
    <w:rPr>
      <w:rFonts w:ascii="Liberation Sans" w:eastAsia="微软雅黑" w:hAnsi="Liberation Sans" w:cs="Arial"/>
      <w:sz w:val="28"/>
      <w:szCs w:val="28"/>
    </w:rPr>
  </w:style>
  <w:style w:type="paragraph" w:styleId="a8">
    <w:name w:val="Body Text"/>
    <w:basedOn w:val="a"/>
    <w:pPr>
      <w:spacing w:after="140" w:line="276" w:lineRule="auto"/>
    </w:pPr>
  </w:style>
  <w:style w:type="paragraph" w:styleId="a9">
    <w:name w:val="List"/>
    <w:basedOn w:val="a8"/>
    <w:rPr>
      <w:rFonts w:cs="Arial"/>
    </w:rPr>
  </w:style>
  <w:style w:type="paragraph" w:styleId="aa">
    <w:name w:val="caption"/>
    <w:basedOn w:val="a"/>
    <w:next w:val="a"/>
    <w:semiHidden/>
    <w:unhideWhenUsed/>
    <w:qFormat/>
    <w:rsid w:val="006E62CF"/>
    <w:rPr>
      <w:rFonts w:asciiTheme="majorHAnsi" w:eastAsia="黑体" w:hAnsiTheme="majorHAnsi" w:cstheme="majorBidi"/>
      <w:sz w:val="20"/>
      <w:szCs w:val="20"/>
    </w:rPr>
  </w:style>
  <w:style w:type="paragraph" w:customStyle="1" w:styleId="Indice">
    <w:name w:val="Indice"/>
    <w:basedOn w:val="a"/>
    <w:qFormat/>
    <w:pPr>
      <w:suppressLineNumbers/>
    </w:pPr>
    <w:rPr>
      <w:rFonts w:cs="Arial"/>
    </w:rPr>
  </w:style>
  <w:style w:type="paragraph" w:styleId="a4">
    <w:name w:val="Balloon Text"/>
    <w:basedOn w:val="a"/>
    <w:link w:val="a3"/>
    <w:qFormat/>
    <w:rsid w:val="006E62CF"/>
    <w:rPr>
      <w:sz w:val="18"/>
      <w:szCs w:val="18"/>
    </w:rPr>
  </w:style>
  <w:style w:type="paragraph" w:styleId="ab">
    <w:name w:val="header"/>
    <w:basedOn w:val="a"/>
    <w:rsid w:val="006053CD"/>
    <w:pPr>
      <w:pBdr>
        <w:bottom w:val="single" w:sz="6" w:space="1" w:color="000000"/>
      </w:pBdr>
      <w:tabs>
        <w:tab w:val="center" w:pos="4153"/>
        <w:tab w:val="right" w:pos="8306"/>
      </w:tabs>
      <w:snapToGrid w:val="0"/>
      <w:jc w:val="center"/>
    </w:pPr>
    <w:rPr>
      <w:sz w:val="18"/>
      <w:szCs w:val="18"/>
    </w:rPr>
  </w:style>
  <w:style w:type="paragraph" w:styleId="ac">
    <w:name w:val="footer"/>
    <w:basedOn w:val="a"/>
    <w:rsid w:val="006053CD"/>
    <w:pPr>
      <w:tabs>
        <w:tab w:val="center" w:pos="4153"/>
        <w:tab w:val="right" w:pos="8306"/>
      </w:tabs>
      <w:snapToGrid w:val="0"/>
    </w:pPr>
    <w:rPr>
      <w:sz w:val="18"/>
      <w:szCs w:val="18"/>
    </w:rPr>
  </w:style>
  <w:style w:type="paragraph" w:styleId="a6">
    <w:name w:val="annotation text"/>
    <w:basedOn w:val="a"/>
    <w:link w:val="a5"/>
    <w:qFormat/>
    <w:rsid w:val="00E6301E"/>
  </w:style>
  <w:style w:type="paragraph" w:styleId="ad">
    <w:name w:val="annotation subject"/>
    <w:basedOn w:val="a6"/>
    <w:next w:val="a6"/>
    <w:qFormat/>
    <w:rsid w:val="00E6301E"/>
    <w:rPr>
      <w:b/>
      <w:bCs/>
    </w:rPr>
  </w:style>
  <w:style w:type="table" w:customStyle="1" w:styleId="TableNormal">
    <w:name w:val="Table Normal"/>
    <w:rsid w:val="006E62CF"/>
    <w:rPr>
      <w:lang w:val="it-IT" w:eastAsia="it-IT"/>
    </w:rPr>
    <w:tblPr>
      <w:tblInd w:w="0" w:type="dxa"/>
      <w:tblCellMar>
        <w:top w:w="0" w:type="dxa"/>
        <w:left w:w="0" w:type="dxa"/>
        <w:bottom w:w="0" w:type="dxa"/>
        <w:right w:w="0" w:type="dxa"/>
      </w:tblCellMar>
    </w:tblPr>
  </w:style>
  <w:style w:type="table" w:customStyle="1" w:styleId="1">
    <w:name w:val="网格型1"/>
    <w:basedOn w:val="a1"/>
    <w:uiPriority w:val="59"/>
    <w:rsid w:val="006E62CF"/>
    <w:rPr>
      <w:sz w:val="22"/>
      <w:szCs w:val="22"/>
      <w:lang w:val="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e">
    <w:name w:val="Table Grid"/>
    <w:basedOn w:val="a1"/>
    <w:rsid w:val="006E6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3F59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clinicaltrials.gov/show/NCT0422883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76937-1E21-4362-A899-3A1F6B17F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40</Pages>
  <Words>9436</Words>
  <Characters>53790</Characters>
  <Application>Microsoft Office Word</Application>
  <DocSecurity>0</DocSecurity>
  <Lines>448</Lines>
  <Paragraphs>126</Paragraphs>
  <ScaleCrop>false</ScaleCrop>
  <Company/>
  <LinksUpToDate>false</LinksUpToDate>
  <CharactersWithSpaces>63100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Li Jia-Hui</cp:lastModifiedBy>
  <cp:revision>42</cp:revision>
  <dcterms:created xsi:type="dcterms:W3CDTF">2021-08-23T14:17:00Z</dcterms:created>
  <dcterms:modified xsi:type="dcterms:W3CDTF">2021-09-22T03:57:00Z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