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5C7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Name of Journal: </w:t>
      </w:r>
      <w:r w:rsidRPr="001C61A1">
        <w:rPr>
          <w:rFonts w:ascii="Book Antiqua" w:eastAsia="Book Antiqua" w:hAnsi="Book Antiqua" w:cs="Book Antiqua"/>
          <w:i/>
          <w:color w:val="000000"/>
        </w:rPr>
        <w:t>World Journal of Gastroenterology</w:t>
      </w:r>
    </w:p>
    <w:p w14:paraId="5A0B15D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Manuscript NO: </w:t>
      </w:r>
      <w:r w:rsidRPr="001C61A1">
        <w:rPr>
          <w:rFonts w:ascii="Book Antiqua" w:eastAsia="Book Antiqua" w:hAnsi="Book Antiqua" w:cs="Book Antiqua"/>
          <w:color w:val="000000"/>
        </w:rPr>
        <w:t>79927</w:t>
      </w:r>
    </w:p>
    <w:p w14:paraId="76511C43" w14:textId="0AA5EDCF"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Manuscript Type: </w:t>
      </w:r>
      <w:r w:rsidRPr="001C61A1">
        <w:rPr>
          <w:rFonts w:ascii="Book Antiqua" w:eastAsia="Book Antiqua" w:hAnsi="Book Antiqua" w:cs="Book Antiqua"/>
          <w:color w:val="000000"/>
        </w:rPr>
        <w:t>REVIEW</w:t>
      </w:r>
    </w:p>
    <w:p w14:paraId="20B623AA" w14:textId="77777777" w:rsidR="00A77B3E" w:rsidRPr="001C61A1" w:rsidRDefault="00A77B3E" w:rsidP="000D1A82">
      <w:pPr>
        <w:spacing w:line="360" w:lineRule="auto"/>
        <w:jc w:val="both"/>
        <w:rPr>
          <w:rFonts w:ascii="Book Antiqua" w:hAnsi="Book Antiqua"/>
        </w:rPr>
      </w:pPr>
    </w:p>
    <w:p w14:paraId="0682E4D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Liver injury in COVID-19: Clinical features, potential mechanisms, risk factors and clinical treatments</w:t>
      </w:r>
    </w:p>
    <w:p w14:paraId="6691A26F" w14:textId="77777777" w:rsidR="00A77B3E" w:rsidRPr="001C61A1" w:rsidRDefault="00A77B3E" w:rsidP="000D1A82">
      <w:pPr>
        <w:spacing w:line="360" w:lineRule="auto"/>
        <w:jc w:val="both"/>
        <w:rPr>
          <w:rFonts w:ascii="Book Antiqua" w:hAnsi="Book Antiqua"/>
        </w:rPr>
      </w:pPr>
    </w:p>
    <w:p w14:paraId="7C115B1B" w14:textId="77777777" w:rsidR="00A77B3E" w:rsidRPr="001C61A1" w:rsidRDefault="009C79CB" w:rsidP="000D1A82">
      <w:pPr>
        <w:spacing w:line="360" w:lineRule="auto"/>
        <w:jc w:val="both"/>
        <w:rPr>
          <w:rFonts w:ascii="Book Antiqua" w:hAnsi="Book Antiqua"/>
        </w:rPr>
      </w:pPr>
      <w:r w:rsidRPr="001C61A1">
        <w:rPr>
          <w:rFonts w:ascii="Book Antiqua" w:eastAsia="Book Antiqua" w:hAnsi="Book Antiqua" w:cs="Book Antiqua"/>
          <w:color w:val="000000"/>
        </w:rPr>
        <w:t xml:space="preserve">Zhao SW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rPr>
        <w:t>. Liver injury in COVID-19</w:t>
      </w:r>
    </w:p>
    <w:p w14:paraId="40E11265" w14:textId="77777777" w:rsidR="00A77B3E" w:rsidRPr="001C61A1" w:rsidRDefault="00A77B3E" w:rsidP="000D1A82">
      <w:pPr>
        <w:spacing w:line="360" w:lineRule="auto"/>
        <w:jc w:val="both"/>
        <w:rPr>
          <w:rFonts w:ascii="Book Antiqua" w:hAnsi="Book Antiqua"/>
        </w:rPr>
      </w:pPr>
    </w:p>
    <w:p w14:paraId="158B82A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Shu-Wu Zhao, Yi-Ming Li, Yi-Lin Li, Chen Su</w:t>
      </w:r>
    </w:p>
    <w:p w14:paraId="241F67CE" w14:textId="77777777" w:rsidR="00A77B3E" w:rsidRPr="001C61A1" w:rsidRDefault="00A77B3E" w:rsidP="000D1A82">
      <w:pPr>
        <w:spacing w:line="360" w:lineRule="auto"/>
        <w:jc w:val="both"/>
        <w:rPr>
          <w:rFonts w:ascii="Book Antiqua" w:hAnsi="Book Antiqua"/>
        </w:rPr>
      </w:pPr>
    </w:p>
    <w:p w14:paraId="63DE1357" w14:textId="1E4440A5"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Shu-Wu Zhao, </w:t>
      </w:r>
      <w:r w:rsidRPr="001C61A1">
        <w:rPr>
          <w:rFonts w:ascii="Book Antiqua" w:eastAsia="Book Antiqua" w:hAnsi="Book Antiqua" w:cs="Book Antiqua"/>
          <w:color w:val="000000"/>
        </w:rPr>
        <w:t>Department of Anesthesiology, Hunan Cancer Hospital/The Affiliated Cancer Hospital of Xiangya School of Medicine,</w:t>
      </w:r>
      <w:r w:rsidR="008C4E0D" w:rsidRPr="001C61A1">
        <w:rPr>
          <w:rFonts w:ascii="Book Antiqua" w:hAnsi="Book Antiqua"/>
        </w:rPr>
        <w:t xml:space="preserve"> </w:t>
      </w:r>
      <w:r w:rsidRPr="001C61A1">
        <w:rPr>
          <w:rFonts w:ascii="Book Antiqua" w:eastAsia="Book Antiqua" w:hAnsi="Book Antiqua" w:cs="Book Antiqua"/>
          <w:color w:val="000000"/>
        </w:rPr>
        <w:t>Changsha 410013, Hunan Province, China</w:t>
      </w:r>
    </w:p>
    <w:p w14:paraId="5998D1B6" w14:textId="77777777" w:rsidR="00A77B3E" w:rsidRPr="001C61A1" w:rsidRDefault="00A77B3E" w:rsidP="000D1A82">
      <w:pPr>
        <w:spacing w:line="360" w:lineRule="auto"/>
        <w:jc w:val="both"/>
        <w:rPr>
          <w:rFonts w:ascii="Book Antiqua" w:hAnsi="Book Antiqua"/>
        </w:rPr>
      </w:pPr>
    </w:p>
    <w:p w14:paraId="56B21C8A" w14:textId="404E10FF"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Yi-Ming Li, </w:t>
      </w:r>
      <w:r w:rsidRPr="001C61A1">
        <w:rPr>
          <w:rFonts w:ascii="Book Antiqua" w:eastAsia="Book Antiqua" w:hAnsi="Book Antiqua" w:cs="Book Antiqua"/>
          <w:color w:val="000000"/>
        </w:rPr>
        <w:t>School of Basic M</w:t>
      </w:r>
      <w:r w:rsidR="00C51401" w:rsidRPr="001C61A1">
        <w:rPr>
          <w:rFonts w:ascii="Book Antiqua" w:eastAsia="Book Antiqua" w:hAnsi="Book Antiqua" w:cs="Book Antiqua"/>
          <w:color w:val="000000"/>
          <w:lang w:eastAsia="zh-CN"/>
        </w:rPr>
        <w:t>e</w:t>
      </w:r>
      <w:r w:rsidRPr="001C61A1">
        <w:rPr>
          <w:rFonts w:ascii="Book Antiqua" w:eastAsia="Book Antiqua" w:hAnsi="Book Antiqua" w:cs="Book Antiqua"/>
          <w:color w:val="000000"/>
        </w:rPr>
        <w:t>d</w:t>
      </w:r>
      <w:r w:rsidR="00C51401" w:rsidRPr="001C61A1">
        <w:rPr>
          <w:rFonts w:ascii="Book Antiqua" w:eastAsia="Book Antiqua" w:hAnsi="Book Antiqua" w:cs="Book Antiqua"/>
          <w:color w:val="000000"/>
          <w:lang w:eastAsia="zh-CN"/>
        </w:rPr>
        <w:t>i</w:t>
      </w:r>
      <w:r w:rsidRPr="001C61A1">
        <w:rPr>
          <w:rFonts w:ascii="Book Antiqua" w:eastAsia="Book Antiqua" w:hAnsi="Book Antiqua" w:cs="Book Antiqua"/>
          <w:color w:val="000000"/>
        </w:rPr>
        <w:t>cal Science, Naval Medical University/Second Military University, Shanghai 200433, China</w:t>
      </w:r>
    </w:p>
    <w:p w14:paraId="09FDC9C8" w14:textId="77777777" w:rsidR="00A77B3E" w:rsidRPr="001C61A1" w:rsidRDefault="00A77B3E" w:rsidP="000D1A82">
      <w:pPr>
        <w:spacing w:line="360" w:lineRule="auto"/>
        <w:jc w:val="both"/>
        <w:rPr>
          <w:rFonts w:ascii="Book Antiqua" w:hAnsi="Book Antiqua"/>
        </w:rPr>
      </w:pPr>
    </w:p>
    <w:p w14:paraId="6832A37E" w14:textId="6D814660"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Yi-Lin Li, </w:t>
      </w:r>
      <w:r w:rsidRPr="001C61A1">
        <w:rPr>
          <w:rFonts w:ascii="Book Antiqua" w:eastAsia="Book Antiqua" w:hAnsi="Book Antiqua" w:cs="Book Antiqua"/>
          <w:color w:val="000000"/>
        </w:rPr>
        <w:t>Department of Pathology, Hunan Cancer Hospital/The Affiliated Cancer Hospital of Xiangya School of Medicine, Changsha 410013, Hunan Province, China</w:t>
      </w:r>
    </w:p>
    <w:p w14:paraId="79B70E8F" w14:textId="77777777" w:rsidR="00A77B3E" w:rsidRPr="001C61A1" w:rsidRDefault="00A77B3E" w:rsidP="000D1A82">
      <w:pPr>
        <w:spacing w:line="360" w:lineRule="auto"/>
        <w:jc w:val="both"/>
        <w:rPr>
          <w:rFonts w:ascii="Book Antiqua" w:hAnsi="Book Antiqua"/>
        </w:rPr>
      </w:pPr>
    </w:p>
    <w:p w14:paraId="7EB67277" w14:textId="539D9F50"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Chen Su, </w:t>
      </w:r>
      <w:r w:rsidRPr="001C61A1">
        <w:rPr>
          <w:rFonts w:ascii="Book Antiqua" w:eastAsia="Book Antiqua" w:hAnsi="Book Antiqua" w:cs="Book Antiqua"/>
          <w:color w:val="000000"/>
        </w:rPr>
        <w:t>Department of Anesthesiology and Pain, Hunan Cancer Hospital/The Affiliated Cancer Hospital of Xiangya School of Medicine, Changsha 410013, Hunan Province, China</w:t>
      </w:r>
    </w:p>
    <w:p w14:paraId="38523C70" w14:textId="77777777" w:rsidR="00A77B3E" w:rsidRPr="001C61A1" w:rsidRDefault="00A77B3E" w:rsidP="000D1A82">
      <w:pPr>
        <w:spacing w:line="360" w:lineRule="auto"/>
        <w:jc w:val="both"/>
        <w:rPr>
          <w:rFonts w:ascii="Book Antiqua" w:hAnsi="Book Antiqua"/>
        </w:rPr>
      </w:pPr>
    </w:p>
    <w:p w14:paraId="45E55C3E"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Author contributions:</w:t>
      </w:r>
      <w:r w:rsidRPr="001C61A1">
        <w:rPr>
          <w:rFonts w:ascii="Book Antiqua" w:eastAsia="Book Antiqua" w:hAnsi="Book Antiqua" w:cs="Book Antiqua"/>
          <w:color w:val="000000"/>
        </w:rPr>
        <w:t xml:space="preserve"> Zhao</w:t>
      </w:r>
      <w:r w:rsidR="009C79CB" w:rsidRPr="001C61A1">
        <w:rPr>
          <w:rFonts w:ascii="Book Antiqua" w:eastAsia="Book Antiqua" w:hAnsi="Book Antiqua" w:cs="Book Antiqua"/>
          <w:b/>
          <w:bCs/>
          <w:color w:val="000000"/>
        </w:rPr>
        <w:t xml:space="preserve"> </w:t>
      </w:r>
      <w:r w:rsidR="009C79CB" w:rsidRPr="001C61A1">
        <w:rPr>
          <w:rFonts w:ascii="Book Antiqua" w:eastAsia="Book Antiqua" w:hAnsi="Book Antiqua" w:cs="Book Antiqua"/>
          <w:color w:val="000000"/>
        </w:rPr>
        <w:t>SW</w:t>
      </w:r>
      <w:r w:rsidRPr="001C61A1">
        <w:rPr>
          <w:rFonts w:ascii="Book Antiqua" w:eastAsia="Book Antiqua" w:hAnsi="Book Antiqua" w:cs="Book Antiqua"/>
          <w:color w:val="000000"/>
        </w:rPr>
        <w:t xml:space="preserve"> performed the majority of the writing, prepared the figures and tables; Li</w:t>
      </w:r>
      <w:r w:rsidR="009C79CB" w:rsidRPr="001C61A1">
        <w:rPr>
          <w:rFonts w:ascii="Book Antiqua" w:eastAsia="Book Antiqua" w:hAnsi="Book Antiqua" w:cs="Book Antiqua"/>
          <w:color w:val="000000"/>
        </w:rPr>
        <w:t xml:space="preserve"> YM</w:t>
      </w:r>
      <w:r w:rsidRPr="001C61A1">
        <w:rPr>
          <w:rFonts w:ascii="Book Antiqua" w:eastAsia="Book Antiqua" w:hAnsi="Book Antiqua" w:cs="Book Antiqua"/>
          <w:color w:val="000000"/>
        </w:rPr>
        <w:t xml:space="preserve"> performed data accusation and writing; Li</w:t>
      </w:r>
      <w:r w:rsidR="009C79CB" w:rsidRPr="001C61A1">
        <w:rPr>
          <w:rFonts w:ascii="Book Antiqua" w:eastAsia="Book Antiqua" w:hAnsi="Book Antiqua" w:cs="Book Antiqua"/>
          <w:color w:val="000000"/>
        </w:rPr>
        <w:t xml:space="preserve"> YL</w:t>
      </w:r>
      <w:r w:rsidRPr="001C61A1">
        <w:rPr>
          <w:rFonts w:ascii="Book Antiqua" w:eastAsia="Book Antiqua" w:hAnsi="Book Antiqua" w:cs="Book Antiqua"/>
          <w:color w:val="000000"/>
        </w:rPr>
        <w:t xml:space="preserve"> provided the input in writing the paper; Su</w:t>
      </w:r>
      <w:r w:rsidR="009C79CB" w:rsidRPr="001C61A1">
        <w:rPr>
          <w:rFonts w:ascii="Book Antiqua" w:eastAsia="Book Antiqua" w:hAnsi="Book Antiqua" w:cs="Book Antiqua"/>
          <w:color w:val="000000"/>
        </w:rPr>
        <w:t xml:space="preserve"> C</w:t>
      </w:r>
      <w:r w:rsidRPr="001C61A1">
        <w:rPr>
          <w:rFonts w:ascii="Book Antiqua" w:eastAsia="Book Antiqua" w:hAnsi="Book Antiqua" w:cs="Book Antiqua"/>
          <w:color w:val="000000"/>
        </w:rPr>
        <w:t xml:space="preserve"> designed the outline and coordinated the writing of the paper.</w:t>
      </w:r>
    </w:p>
    <w:p w14:paraId="0B10A246" w14:textId="77777777" w:rsidR="00A77B3E" w:rsidRPr="001C61A1" w:rsidRDefault="00A77B3E" w:rsidP="000D1A82">
      <w:pPr>
        <w:spacing w:line="360" w:lineRule="auto"/>
        <w:jc w:val="both"/>
        <w:rPr>
          <w:rFonts w:ascii="Book Antiqua" w:hAnsi="Book Antiqua"/>
        </w:rPr>
      </w:pPr>
    </w:p>
    <w:p w14:paraId="182E128D"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Supported by </w:t>
      </w:r>
      <w:r w:rsidRPr="001C61A1">
        <w:rPr>
          <w:rFonts w:ascii="Book Antiqua" w:eastAsia="Book Antiqua" w:hAnsi="Book Antiqua" w:cs="Book Antiqua"/>
          <w:color w:val="000000"/>
        </w:rPr>
        <w:t>the National Natural Science Foundation of China, No. 81901141; and the Scientific Research Project of Hunan Provincial Health Commission, No. 202204114480.</w:t>
      </w:r>
    </w:p>
    <w:p w14:paraId="3A8A6AC3" w14:textId="77777777" w:rsidR="00A77B3E" w:rsidRPr="001C61A1" w:rsidRDefault="00A77B3E" w:rsidP="000D1A82">
      <w:pPr>
        <w:spacing w:line="360" w:lineRule="auto"/>
        <w:jc w:val="both"/>
        <w:rPr>
          <w:rFonts w:ascii="Book Antiqua" w:hAnsi="Book Antiqua"/>
        </w:rPr>
      </w:pPr>
    </w:p>
    <w:p w14:paraId="6B2E95E0" w14:textId="436C8ECF"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Corresponding author: Chen Su, MD, PhD, Assistant Professor, Doctor, </w:t>
      </w:r>
      <w:r w:rsidRPr="001C61A1">
        <w:rPr>
          <w:rFonts w:ascii="Book Antiqua" w:eastAsia="Book Antiqua" w:hAnsi="Book Antiqua" w:cs="Book Antiqua"/>
          <w:color w:val="000000"/>
        </w:rPr>
        <w:t xml:space="preserve">Department of Anesthesiology and Pain, Hunan Cancer Hospital/The Affiliated Cancer Hospital of Xiangya School of Medicine, </w:t>
      </w:r>
      <w:r w:rsidR="003844D3" w:rsidRPr="001C61A1">
        <w:rPr>
          <w:rFonts w:ascii="Book Antiqua" w:eastAsia="Book Antiqua" w:hAnsi="Book Antiqua" w:cs="Book Antiqua"/>
          <w:color w:val="000000"/>
        </w:rPr>
        <w:t>No</w:t>
      </w:r>
      <w:r w:rsidRPr="001C61A1">
        <w:rPr>
          <w:rFonts w:ascii="Book Antiqua" w:eastAsia="Book Antiqua" w:hAnsi="Book Antiqua" w:cs="Book Antiqua"/>
          <w:color w:val="000000"/>
        </w:rPr>
        <w:t>. 283 Tongzipo Road, Yuelu District, Changsha 410013, Hunan Province, China. suchen@hnca.org.cn</w:t>
      </w:r>
    </w:p>
    <w:p w14:paraId="7538A6D0" w14:textId="77777777" w:rsidR="00A77B3E" w:rsidRPr="001C61A1" w:rsidRDefault="00A77B3E" w:rsidP="000D1A82">
      <w:pPr>
        <w:spacing w:line="360" w:lineRule="auto"/>
        <w:jc w:val="both"/>
        <w:rPr>
          <w:rFonts w:ascii="Book Antiqua" w:hAnsi="Book Antiqua"/>
        </w:rPr>
      </w:pPr>
    </w:p>
    <w:p w14:paraId="19645DE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Received: </w:t>
      </w:r>
      <w:r w:rsidRPr="001C61A1">
        <w:rPr>
          <w:rFonts w:ascii="Book Antiqua" w:eastAsia="Book Antiqua" w:hAnsi="Book Antiqua" w:cs="Book Antiqua"/>
          <w:color w:val="000000"/>
        </w:rPr>
        <w:t>September 14, 2022</w:t>
      </w:r>
    </w:p>
    <w:p w14:paraId="3A72D60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Revised: </w:t>
      </w:r>
      <w:r w:rsidRPr="001C61A1">
        <w:rPr>
          <w:rFonts w:ascii="Book Antiqua" w:eastAsia="Book Antiqua" w:hAnsi="Book Antiqua" w:cs="Book Antiqua"/>
          <w:color w:val="000000"/>
        </w:rPr>
        <w:t>November 11, 2022</w:t>
      </w:r>
    </w:p>
    <w:p w14:paraId="628ADC4F" w14:textId="5DF11C98"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Accepted: </w:t>
      </w:r>
      <w:r w:rsidR="00AF1660" w:rsidRPr="001C61A1">
        <w:rPr>
          <w:rFonts w:ascii="Book Antiqua" w:eastAsia="Book Antiqua" w:hAnsi="Book Antiqua" w:cs="Book Antiqua"/>
          <w:color w:val="000000"/>
        </w:rPr>
        <w:t>December 8, 2022</w:t>
      </w:r>
    </w:p>
    <w:p w14:paraId="04329AE5" w14:textId="31418E34"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Published online: </w:t>
      </w:r>
      <w:r w:rsidR="009D016B" w:rsidRPr="001C61A1">
        <w:rPr>
          <w:rFonts w:ascii="Book Antiqua" w:hAnsi="Book Antiqua"/>
          <w:color w:val="000000"/>
          <w:shd w:val="clear" w:color="auto" w:fill="FFFFFF"/>
        </w:rPr>
        <w:t>January 14, 2023</w:t>
      </w:r>
    </w:p>
    <w:p w14:paraId="246CEEA7" w14:textId="77777777" w:rsidR="00A77B3E" w:rsidRPr="001C61A1" w:rsidRDefault="00A77B3E" w:rsidP="000D1A82">
      <w:pPr>
        <w:spacing w:line="360" w:lineRule="auto"/>
        <w:jc w:val="both"/>
        <w:rPr>
          <w:rFonts w:ascii="Book Antiqua" w:hAnsi="Book Antiqua"/>
        </w:rPr>
        <w:sectPr w:rsidR="00A77B3E" w:rsidRPr="001C61A1">
          <w:footerReference w:type="default" r:id="rId6"/>
          <w:pgSz w:w="12240" w:h="15840"/>
          <w:pgMar w:top="1440" w:right="1440" w:bottom="1440" w:left="1440" w:header="720" w:footer="720" w:gutter="0"/>
          <w:cols w:space="720"/>
          <w:docGrid w:linePitch="360"/>
        </w:sectPr>
      </w:pPr>
    </w:p>
    <w:p w14:paraId="020C3DA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lastRenderedPageBreak/>
        <w:t>Abstract</w:t>
      </w:r>
    </w:p>
    <w:p w14:paraId="2AA535D6" w14:textId="53A8D622"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shd w:val="clear" w:color="auto" w:fill="FFFFFF"/>
        </w:rPr>
        <w:t xml:space="preserve">The </w:t>
      </w:r>
      <w:bookmarkStart w:id="0" w:name="_Hlk120818115"/>
      <w:r w:rsidR="009C79CB" w:rsidRPr="001C61A1">
        <w:rPr>
          <w:rFonts w:ascii="Book Antiqua" w:eastAsia="Book Antiqua" w:hAnsi="Book Antiqua" w:cs="Book Antiqua"/>
          <w:color w:val="000000"/>
          <w:shd w:val="clear" w:color="auto" w:fill="FFFFFF"/>
        </w:rPr>
        <w:t>coronavirus disease 2019</w:t>
      </w:r>
      <w:bookmarkEnd w:id="0"/>
      <w:r w:rsidR="009C79CB" w:rsidRPr="001C61A1">
        <w:rPr>
          <w:rFonts w:ascii="Book Antiqua" w:eastAsia="Book Antiqua" w:hAnsi="Book Antiqua" w:cs="Book Antiqua"/>
          <w:color w:val="000000"/>
          <w:shd w:val="clear" w:color="auto" w:fill="FFFFFF"/>
        </w:rPr>
        <w:t xml:space="preserve"> (</w:t>
      </w:r>
      <w:r w:rsidRPr="001C61A1">
        <w:rPr>
          <w:rFonts w:ascii="Book Antiqua" w:eastAsia="Book Antiqua" w:hAnsi="Book Antiqua" w:cs="Book Antiqua"/>
          <w:color w:val="000000"/>
          <w:shd w:val="clear" w:color="auto" w:fill="FFFFFF"/>
        </w:rPr>
        <w:t>COVID-19</w:t>
      </w:r>
      <w:r w:rsidR="009C79CB" w:rsidRPr="001C61A1">
        <w:rPr>
          <w:rFonts w:ascii="Book Antiqua" w:eastAsia="Book Antiqua" w:hAnsi="Book Antiqua" w:cs="Book Antiqua"/>
          <w:color w:val="000000"/>
          <w:shd w:val="clear" w:color="auto" w:fill="FFFFFF"/>
        </w:rPr>
        <w:t>)</w:t>
      </w:r>
      <w:r w:rsidRPr="001C61A1">
        <w:rPr>
          <w:rFonts w:ascii="Book Antiqua" w:eastAsia="Book Antiqua" w:hAnsi="Book Antiqua" w:cs="Book Antiqua"/>
          <w:color w:val="000000"/>
          <w:shd w:val="clear" w:color="auto" w:fill="FFFFFF"/>
        </w:rPr>
        <w:t xml:space="preserve"> pandemic has been a serious threat to global health for nearly </w:t>
      </w:r>
      <w:r w:rsidR="008A2F00" w:rsidRPr="001C61A1">
        <w:rPr>
          <w:rFonts w:ascii="Book Antiqua" w:eastAsia="Book Antiqua" w:hAnsi="Book Antiqua" w:cs="Book Antiqua"/>
          <w:color w:val="000000"/>
          <w:shd w:val="clear" w:color="auto" w:fill="FFFFFF"/>
        </w:rPr>
        <w:t xml:space="preserve">3 </w:t>
      </w:r>
      <w:r w:rsidRPr="001C61A1">
        <w:rPr>
          <w:rFonts w:ascii="Book Antiqua" w:eastAsia="Book Antiqua" w:hAnsi="Book Antiqua" w:cs="Book Antiqua"/>
          <w:color w:val="000000"/>
          <w:shd w:val="clear" w:color="auto" w:fill="FFFFFF"/>
        </w:rPr>
        <w:t xml:space="preserve">years. In addition to pulmonary complications, liver injury is not uncommon in patients with novel COVID-19. Although the </w:t>
      </w:r>
      <w:r w:rsidRPr="001C61A1">
        <w:rPr>
          <w:rFonts w:ascii="Book Antiqua" w:eastAsia="Book Antiqua" w:hAnsi="Book Antiqua" w:cs="Book Antiqua"/>
          <w:color w:val="000000"/>
        </w:rPr>
        <w:t xml:space="preserve">prevalence of liver injury varies widely among COVID-19 patients, its incidence is significantly increased in severe cases. Hence, there is an urgent need to understand liver injury caused by COVID-19. </w:t>
      </w:r>
      <w:r w:rsidRPr="001C61A1">
        <w:rPr>
          <w:rFonts w:ascii="Book Antiqua" w:eastAsia="Book Antiqua" w:hAnsi="Book Antiqua" w:cs="Book Antiqua"/>
          <w:color w:val="000000"/>
          <w:shd w:val="clear" w:color="auto" w:fill="FFFFFF"/>
        </w:rPr>
        <w:t>Clinical features of liver injury include detectable liver function abnormalities and liver imaging changes.</w:t>
      </w:r>
      <w:r w:rsidRPr="001C61A1">
        <w:rPr>
          <w:rFonts w:ascii="Book Antiqua" w:eastAsia="Book Antiqua" w:hAnsi="Book Antiqua" w:cs="Book Antiqua"/>
          <w:color w:val="000000"/>
        </w:rPr>
        <w:t xml:space="preserve"> Liver function tests,</w:t>
      </w:r>
      <w:r w:rsidRPr="001C61A1">
        <w:rPr>
          <w:rFonts w:ascii="Book Antiqua" w:eastAsia="Book Antiqua" w:hAnsi="Book Antiqua" w:cs="Book Antiqua"/>
          <w:color w:val="000000"/>
          <w:shd w:val="clear" w:color="auto" w:fill="FFFFFF"/>
        </w:rPr>
        <w:t xml:space="preserve"> </w:t>
      </w:r>
      <w:r w:rsidR="009C79CB" w:rsidRPr="001C61A1">
        <w:rPr>
          <w:rFonts w:ascii="Book Antiqua" w:eastAsia="Book Antiqua" w:hAnsi="Book Antiqua" w:cs="Book Antiqua"/>
          <w:color w:val="000000"/>
          <w:shd w:val="clear" w:color="auto" w:fill="FFFFFF"/>
        </w:rPr>
        <w:t>computed tomography</w:t>
      </w:r>
      <w:r w:rsidRPr="001C61A1">
        <w:rPr>
          <w:rFonts w:ascii="Book Antiqua" w:eastAsia="Book Antiqua" w:hAnsi="Book Antiqua" w:cs="Book Antiqua"/>
          <w:color w:val="000000"/>
          <w:shd w:val="clear" w:color="auto" w:fill="FFFFFF"/>
        </w:rPr>
        <w:t xml:space="preserve"> scans, and ultrasound can help evaluate liver injury. Risk factors for liver injury in patients with COVID-19 include male </w:t>
      </w:r>
      <w:r w:rsidR="008A2F00" w:rsidRPr="001C61A1">
        <w:rPr>
          <w:rFonts w:ascii="Book Antiqua" w:eastAsia="Book Antiqua" w:hAnsi="Book Antiqua" w:cs="Book Antiqua"/>
          <w:color w:val="000000"/>
          <w:shd w:val="clear" w:color="auto" w:fill="FFFFFF"/>
        </w:rPr>
        <w:t>sex</w:t>
      </w:r>
      <w:r w:rsidRPr="001C61A1">
        <w:rPr>
          <w:rFonts w:ascii="Book Antiqua" w:eastAsia="Book Antiqua" w:hAnsi="Book Antiqua" w:cs="Book Antiqua"/>
          <w:color w:val="000000"/>
          <w:shd w:val="clear" w:color="auto" w:fill="FFFFFF"/>
        </w:rPr>
        <w:t>, preexisting liver disease including liver transplantation and chronic liver disease, diabetes, obesity, and hypertension. To date, the mechanism of COVID-19-related liver injury is not fully understood. Its pathophysiological basis can generally be explained by systemic inflammatory response, hypoxic damage, ischemia-reperfusion injury, and drug side effects. In this review, we systematically summarize the existing literature on liver injury caused by COVID-19, including clinical features, underlying mechanisms, and potential risk factors. Finally, we discuss clinical management and provide recommendations for the care of patients with liver injury.</w:t>
      </w:r>
    </w:p>
    <w:p w14:paraId="1F0F1F40" w14:textId="77777777" w:rsidR="00A77B3E" w:rsidRPr="001C61A1" w:rsidRDefault="00A77B3E" w:rsidP="000D1A82">
      <w:pPr>
        <w:spacing w:line="360" w:lineRule="auto"/>
        <w:jc w:val="both"/>
        <w:rPr>
          <w:rFonts w:ascii="Book Antiqua" w:hAnsi="Book Antiqua"/>
        </w:rPr>
      </w:pPr>
    </w:p>
    <w:p w14:paraId="222E8FD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Key Words: </w:t>
      </w:r>
      <w:r w:rsidRPr="001C61A1">
        <w:rPr>
          <w:rFonts w:ascii="Book Antiqua" w:eastAsia="Book Antiqua" w:hAnsi="Book Antiqua" w:cs="Book Antiqua"/>
          <w:color w:val="000000"/>
        </w:rPr>
        <w:t>Liver injury; COVID-19; Clinical feature; Risk factor; Treatment and management strategy</w:t>
      </w:r>
    </w:p>
    <w:p w14:paraId="6F50669E" w14:textId="77777777" w:rsidR="00A77B3E" w:rsidRPr="001C61A1" w:rsidRDefault="00A77B3E" w:rsidP="000D1A82">
      <w:pPr>
        <w:spacing w:line="360" w:lineRule="auto"/>
        <w:jc w:val="both"/>
        <w:rPr>
          <w:rFonts w:ascii="Book Antiqua" w:hAnsi="Book Antiqua"/>
        </w:rPr>
      </w:pPr>
    </w:p>
    <w:p w14:paraId="2F447AAA" w14:textId="2F269FA0" w:rsidR="001C61A1" w:rsidRPr="001C61A1" w:rsidRDefault="001C61A1" w:rsidP="001C61A1">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1C61A1">
        <w:rPr>
          <w:rFonts w:ascii="Book Antiqua" w:eastAsia="Book Antiqua" w:hAnsi="Book Antiqua" w:cs="Book Antiqua" w:hint="eastAsia"/>
          <w:b/>
          <w:color w:val="000000"/>
        </w:rPr>
        <w:t>©</w:t>
      </w:r>
      <w:r w:rsidRPr="001C61A1">
        <w:rPr>
          <w:rFonts w:ascii="Book Antiqua" w:eastAsia="Book Antiqua" w:hAnsi="Book Antiqua" w:cs="Book Antiqua"/>
          <w:b/>
          <w:color w:val="000000"/>
        </w:rPr>
        <w:t>The</w:t>
      </w:r>
      <w:r w:rsidRPr="001C61A1">
        <w:rPr>
          <w:rFonts w:ascii="Book Antiqua" w:eastAsia="Book Antiqua" w:hAnsi="Book Antiqua" w:cs="Book Antiqua"/>
          <w:color w:val="000000"/>
        </w:rPr>
        <w:t xml:space="preserve"> </w:t>
      </w:r>
      <w:r w:rsidRPr="001C61A1">
        <w:rPr>
          <w:rFonts w:ascii="Book Antiqua" w:eastAsia="Book Antiqua" w:hAnsi="Book Antiqua" w:cs="Book Antiqua"/>
          <w:b/>
          <w:color w:val="000000"/>
        </w:rPr>
        <w:t>Author(s) 202</w:t>
      </w:r>
      <w:r w:rsidR="009A7A12">
        <w:rPr>
          <w:rFonts w:ascii="Book Antiqua" w:eastAsia="Book Antiqua" w:hAnsi="Book Antiqua" w:cs="Book Antiqua"/>
          <w:b/>
          <w:color w:val="000000"/>
        </w:rPr>
        <w:t>3</w:t>
      </w:r>
      <w:r w:rsidRPr="001C61A1">
        <w:rPr>
          <w:rFonts w:ascii="Book Antiqua" w:eastAsia="Book Antiqua" w:hAnsi="Book Antiqua" w:cs="Book Antiqua"/>
          <w:b/>
          <w:color w:val="000000"/>
        </w:rPr>
        <w:t xml:space="preserve">. </w:t>
      </w:r>
      <w:r w:rsidRPr="001C61A1">
        <w:rPr>
          <w:rFonts w:ascii="Book Antiqua" w:eastAsia="Book Antiqua" w:hAnsi="Book Antiqua" w:cs="Book Antiqua"/>
          <w:color w:val="000000"/>
        </w:rPr>
        <w:t>Published by Baishideng Publishing Group Inc. All rights reserved.</w:t>
      </w:r>
      <w:bookmarkEnd w:id="1"/>
      <w:r w:rsidRPr="001C61A1">
        <w:rPr>
          <w:rFonts w:ascii="Book Antiqua" w:eastAsia="Book Antiqua" w:hAnsi="Book Antiqua" w:cs="Book Antiqua"/>
          <w:color w:val="000000"/>
        </w:rPr>
        <w:t xml:space="preserve"> </w:t>
      </w:r>
    </w:p>
    <w:bookmarkEnd w:id="2"/>
    <w:p w14:paraId="71229DA7" w14:textId="77777777" w:rsidR="001C61A1" w:rsidRPr="001C61A1" w:rsidRDefault="001C61A1" w:rsidP="001C61A1">
      <w:pPr>
        <w:spacing w:line="360" w:lineRule="auto"/>
        <w:jc w:val="both"/>
        <w:rPr>
          <w:lang w:eastAsia="zh-CN"/>
        </w:rPr>
      </w:pPr>
    </w:p>
    <w:p w14:paraId="3929AE85" w14:textId="77777777" w:rsidR="001C61A1" w:rsidRPr="001C61A1" w:rsidRDefault="001C61A1" w:rsidP="001C61A1">
      <w:pPr>
        <w:spacing w:line="360" w:lineRule="auto"/>
        <w:jc w:val="both"/>
        <w:rPr>
          <w:rFonts w:ascii="Book Antiqua" w:eastAsia="Book Antiqua" w:hAnsi="Book Antiqua" w:cs="Book Antiqua"/>
          <w:color w:val="000000"/>
        </w:rPr>
      </w:pPr>
      <w:bookmarkStart w:id="5" w:name="_Hlk88512899"/>
      <w:bookmarkStart w:id="6" w:name="_Hlk88512352"/>
      <w:bookmarkEnd w:id="3"/>
      <w:r w:rsidRPr="001C61A1">
        <w:rPr>
          <w:rFonts w:ascii="Book Antiqua" w:hAnsi="Book Antiqua" w:cs="Book Antiqua" w:hint="eastAsia"/>
          <w:b/>
          <w:color w:val="000000"/>
          <w:lang w:eastAsia="zh-CN"/>
        </w:rPr>
        <w:t>Citation:</w:t>
      </w:r>
      <w:bookmarkEnd w:id="4"/>
      <w:bookmarkEnd w:id="5"/>
      <w:r w:rsidRPr="001C61A1">
        <w:rPr>
          <w:rFonts w:ascii="Book Antiqua" w:hAnsi="Book Antiqua" w:cs="Book Antiqua" w:hint="eastAsia"/>
          <w:color w:val="000000"/>
          <w:lang w:eastAsia="zh-CN"/>
        </w:rPr>
        <w:t xml:space="preserve"> </w:t>
      </w:r>
      <w:bookmarkEnd w:id="6"/>
      <w:r w:rsidR="00093B77" w:rsidRPr="001C61A1">
        <w:rPr>
          <w:rFonts w:ascii="Book Antiqua" w:eastAsia="Book Antiqua" w:hAnsi="Book Antiqua" w:cs="Book Antiqua"/>
          <w:color w:val="000000"/>
        </w:rPr>
        <w:t xml:space="preserve">Zhao SW, Li YM, Li YL, Su C. Liver injury in COVID-19: Clinical features, potential mechanisms, risk factors and clinical treatments. </w:t>
      </w:r>
      <w:r w:rsidR="00093B77" w:rsidRPr="001C61A1">
        <w:rPr>
          <w:rFonts w:ascii="Book Antiqua" w:eastAsia="Book Antiqua" w:hAnsi="Book Antiqua" w:cs="Book Antiqua"/>
          <w:i/>
          <w:iCs/>
          <w:color w:val="000000"/>
        </w:rPr>
        <w:t>World J Gastroenterol</w:t>
      </w:r>
      <w:r w:rsidR="00093B77" w:rsidRPr="001C61A1">
        <w:rPr>
          <w:rFonts w:ascii="Book Antiqua" w:eastAsia="Book Antiqua" w:hAnsi="Book Antiqua" w:cs="Book Antiqua"/>
          <w:color w:val="000000"/>
        </w:rPr>
        <w:t xml:space="preserve"> 202</w:t>
      </w:r>
      <w:r w:rsidR="00C56D8F" w:rsidRPr="001C61A1">
        <w:rPr>
          <w:rFonts w:ascii="Book Antiqua" w:eastAsia="Book Antiqua" w:hAnsi="Book Antiqua" w:cs="Book Antiqua"/>
          <w:color w:val="000000"/>
        </w:rPr>
        <w:t>3</w:t>
      </w:r>
      <w:r w:rsidR="00093B77" w:rsidRPr="001C61A1">
        <w:rPr>
          <w:rFonts w:ascii="Book Antiqua" w:eastAsia="Book Antiqua" w:hAnsi="Book Antiqua" w:cs="Book Antiqua"/>
          <w:color w:val="000000"/>
        </w:rPr>
        <w:t xml:space="preserve">; </w:t>
      </w:r>
      <w:r w:rsidR="009D016B" w:rsidRPr="001C61A1">
        <w:rPr>
          <w:rFonts w:ascii="Book Antiqua" w:eastAsia="Book Antiqua" w:hAnsi="Book Antiqua" w:cs="Book Antiqua"/>
          <w:color w:val="000000"/>
        </w:rPr>
        <w:t xml:space="preserve">29(2): </w:t>
      </w:r>
      <w:r w:rsidRPr="001C61A1">
        <w:rPr>
          <w:rFonts w:ascii="Book Antiqua" w:eastAsia="Book Antiqua" w:hAnsi="Book Antiqua" w:cs="Book Antiqua"/>
          <w:color w:val="000000"/>
        </w:rPr>
        <w:t>241</w:t>
      </w:r>
      <w:r w:rsidR="009D016B" w:rsidRPr="001C61A1">
        <w:rPr>
          <w:rFonts w:ascii="Book Antiqua" w:eastAsia="Book Antiqua" w:hAnsi="Book Antiqua" w:cs="Book Antiqua"/>
          <w:color w:val="000000"/>
        </w:rPr>
        <w:t>-</w:t>
      </w:r>
      <w:r w:rsidRPr="001C61A1">
        <w:rPr>
          <w:rFonts w:ascii="Book Antiqua" w:eastAsia="Book Antiqua" w:hAnsi="Book Antiqua" w:cs="Book Antiqua"/>
          <w:color w:val="000000"/>
        </w:rPr>
        <w:t>256</w:t>
      </w:r>
    </w:p>
    <w:p w14:paraId="613E3D20" w14:textId="029BA76F" w:rsidR="001C61A1" w:rsidRPr="001C61A1" w:rsidRDefault="009D016B" w:rsidP="001C61A1">
      <w:pPr>
        <w:spacing w:line="360" w:lineRule="auto"/>
        <w:jc w:val="both"/>
        <w:rPr>
          <w:rFonts w:ascii="Book Antiqua" w:eastAsia="Book Antiqua" w:hAnsi="Book Antiqua" w:cs="Book Antiqua"/>
          <w:color w:val="000000"/>
        </w:rPr>
      </w:pPr>
      <w:r w:rsidRPr="001C61A1">
        <w:rPr>
          <w:rFonts w:ascii="Book Antiqua" w:eastAsia="Book Antiqua" w:hAnsi="Book Antiqua" w:cs="Book Antiqua"/>
          <w:b/>
          <w:bCs/>
          <w:color w:val="000000"/>
        </w:rPr>
        <w:t>URL:</w:t>
      </w:r>
      <w:r w:rsidRPr="001C61A1">
        <w:rPr>
          <w:rFonts w:ascii="Book Antiqua" w:eastAsia="Book Antiqua" w:hAnsi="Book Antiqua" w:cs="Book Antiqua"/>
          <w:color w:val="000000"/>
        </w:rPr>
        <w:t xml:space="preserve"> </w:t>
      </w:r>
      <w:hyperlink r:id="rId7" w:history="1">
        <w:r w:rsidR="001C61A1" w:rsidRPr="001C61A1">
          <w:rPr>
            <w:rStyle w:val="ae"/>
            <w:rFonts w:ascii="Book Antiqua" w:eastAsia="Book Antiqua" w:hAnsi="Book Antiqua" w:cs="Book Antiqua"/>
          </w:rPr>
          <w:t>https://www.wjgnet.com/1007-9327/full/v29/i2/241.htm</w:t>
        </w:r>
      </w:hyperlink>
    </w:p>
    <w:p w14:paraId="7A7DBAD9" w14:textId="491261C9" w:rsidR="00A77B3E" w:rsidRPr="001C61A1" w:rsidRDefault="009D016B" w:rsidP="001C61A1">
      <w:pPr>
        <w:spacing w:line="360" w:lineRule="auto"/>
        <w:jc w:val="both"/>
        <w:rPr>
          <w:rFonts w:ascii="Book Antiqua" w:hAnsi="Book Antiqua"/>
        </w:rPr>
      </w:pPr>
      <w:r w:rsidRPr="001C61A1">
        <w:rPr>
          <w:rFonts w:ascii="Book Antiqua" w:eastAsia="Book Antiqua" w:hAnsi="Book Antiqua" w:cs="Book Antiqua"/>
          <w:b/>
          <w:bCs/>
          <w:color w:val="000000"/>
        </w:rPr>
        <w:t xml:space="preserve">DOI: </w:t>
      </w:r>
      <w:r w:rsidRPr="001C61A1">
        <w:rPr>
          <w:rFonts w:ascii="Book Antiqua" w:eastAsia="Book Antiqua" w:hAnsi="Book Antiqua" w:cs="Book Antiqua"/>
          <w:color w:val="000000"/>
        </w:rPr>
        <w:t>https://dx.doi.org/10.3748/wjg.v29.i2.</w:t>
      </w:r>
      <w:r w:rsidR="001C61A1" w:rsidRPr="001C61A1">
        <w:rPr>
          <w:rFonts w:ascii="Book Antiqua" w:eastAsia="Book Antiqua" w:hAnsi="Book Antiqua" w:cs="Book Antiqua"/>
          <w:color w:val="000000"/>
        </w:rPr>
        <w:t>241</w:t>
      </w:r>
    </w:p>
    <w:p w14:paraId="447615FC" w14:textId="77777777" w:rsidR="00A77B3E" w:rsidRPr="001C61A1" w:rsidRDefault="00A77B3E" w:rsidP="000D1A82">
      <w:pPr>
        <w:spacing w:line="360" w:lineRule="auto"/>
        <w:jc w:val="both"/>
        <w:rPr>
          <w:rFonts w:ascii="Book Antiqua" w:hAnsi="Book Antiqua"/>
        </w:rPr>
      </w:pPr>
    </w:p>
    <w:p w14:paraId="013647D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lastRenderedPageBreak/>
        <w:t xml:space="preserve">Core Tip: </w:t>
      </w:r>
      <w:r w:rsidRPr="001C61A1">
        <w:rPr>
          <w:rFonts w:ascii="Book Antiqua" w:eastAsia="Book Antiqua" w:hAnsi="Book Antiqua" w:cs="Book Antiqua"/>
          <w:color w:val="000000"/>
        </w:rPr>
        <w:t xml:space="preserve">A growing body of evidence suggests that patients with </w:t>
      </w:r>
      <w:r w:rsidR="009C79CB" w:rsidRPr="001C61A1">
        <w:rPr>
          <w:rFonts w:ascii="Book Antiqua" w:eastAsia="Book Antiqua" w:hAnsi="Book Antiqua" w:cs="Book Antiqua"/>
          <w:color w:val="000000"/>
          <w:shd w:val="clear" w:color="auto" w:fill="FFFFFF"/>
        </w:rPr>
        <w:t>coronavirus disease</w:t>
      </w:r>
      <w:r w:rsidR="009C79CB" w:rsidRPr="001C61A1">
        <w:rPr>
          <w:rFonts w:ascii="Book Antiqua" w:eastAsia="Book Antiqua" w:hAnsi="Book Antiqua" w:cs="Book Antiqua"/>
          <w:color w:val="000000"/>
        </w:rPr>
        <w:t xml:space="preserve"> 2019 (</w:t>
      </w:r>
      <w:r w:rsidRPr="001C61A1">
        <w:rPr>
          <w:rFonts w:ascii="Book Antiqua" w:eastAsia="Book Antiqua" w:hAnsi="Book Antiqua" w:cs="Book Antiqua"/>
          <w:color w:val="000000"/>
        </w:rPr>
        <w:t>COVID-19</w:t>
      </w:r>
      <w:r w:rsidR="009C79CB" w:rsidRPr="001C61A1">
        <w:rPr>
          <w:rFonts w:ascii="Book Antiqua" w:eastAsia="Book Antiqua" w:hAnsi="Book Antiqua" w:cs="Book Antiqua"/>
          <w:color w:val="000000"/>
        </w:rPr>
        <w:t>)</w:t>
      </w:r>
      <w:r w:rsidRPr="001C61A1">
        <w:rPr>
          <w:rFonts w:ascii="Book Antiqua" w:eastAsia="Book Antiqua" w:hAnsi="Book Antiqua" w:cs="Book Antiqua"/>
          <w:color w:val="000000"/>
        </w:rPr>
        <w:t xml:space="preserve"> may experience varying degrees of liver injury. The characteristics and mechanisms of liver injury associated with COVID-19 are not fully understood. In this review, we summarized the clinical features, mechanisms, and management strategies of liver injury associated with COVID-19. Moreover, we collected all the information about high risk factors for liver injury from COVID-19, which is of significance and help for further study of liver damage related to </w:t>
      </w:r>
      <w:r w:rsidR="009C79CB" w:rsidRPr="001C61A1">
        <w:rPr>
          <w:rFonts w:ascii="Book Antiqua" w:eastAsia="Book Antiqua" w:hAnsi="Book Antiqua" w:cs="Book Antiqua"/>
          <w:color w:val="000000"/>
        </w:rPr>
        <w:t>severe acute respiratory syndrome corona</w:t>
      </w:r>
      <w:r w:rsidRPr="001C61A1">
        <w:rPr>
          <w:rFonts w:ascii="Book Antiqua" w:eastAsia="Book Antiqua" w:hAnsi="Book Antiqua" w:cs="Book Antiqua"/>
          <w:color w:val="000000"/>
        </w:rPr>
        <w:t>virus 2.</w:t>
      </w:r>
    </w:p>
    <w:p w14:paraId="1A6E5D58" w14:textId="77777777" w:rsidR="00A77B3E" w:rsidRPr="001C61A1" w:rsidRDefault="00A77B3E" w:rsidP="000D1A82">
      <w:pPr>
        <w:spacing w:line="360" w:lineRule="auto"/>
        <w:jc w:val="both"/>
        <w:rPr>
          <w:rFonts w:ascii="Book Antiqua" w:hAnsi="Book Antiqua"/>
        </w:rPr>
      </w:pPr>
    </w:p>
    <w:p w14:paraId="16FFBDD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aps/>
          <w:color w:val="000000"/>
          <w:u w:val="single"/>
        </w:rPr>
        <w:t>INTRODUCTION</w:t>
      </w:r>
    </w:p>
    <w:p w14:paraId="6C225095" w14:textId="0F2BB464"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shd w:val="clear" w:color="auto" w:fill="FFFFFF"/>
        </w:rPr>
        <w:t>Coronavirus disease</w:t>
      </w:r>
      <w:r w:rsidR="009C79CB" w:rsidRPr="001C61A1">
        <w:rPr>
          <w:rFonts w:ascii="Book Antiqua" w:eastAsia="Book Antiqua" w:hAnsi="Book Antiqua" w:cs="Book Antiqua"/>
          <w:color w:val="000000"/>
          <w:shd w:val="clear" w:color="auto" w:fill="FFFFFF"/>
        </w:rPr>
        <w:t xml:space="preserve"> 2019</w:t>
      </w:r>
      <w:r w:rsidRPr="001C61A1">
        <w:rPr>
          <w:rFonts w:ascii="Book Antiqua" w:eastAsia="Book Antiqua" w:hAnsi="Book Antiqua" w:cs="Book Antiqua"/>
          <w:color w:val="000000"/>
          <w:shd w:val="clear" w:color="auto" w:fill="FFFFFF"/>
        </w:rPr>
        <w:t xml:space="preserve"> (COVID-19) is an infectious disease caused by the </w:t>
      </w:r>
      <w:r w:rsidR="009C79CB" w:rsidRPr="001C61A1">
        <w:rPr>
          <w:rFonts w:ascii="Book Antiqua" w:eastAsia="Book Antiqua" w:hAnsi="Book Antiqua" w:cs="Book Antiqua"/>
          <w:color w:val="000000"/>
        </w:rPr>
        <w:t>severe acute respiratory syndrome coronavirus 2 (</w:t>
      </w:r>
      <w:r w:rsidRPr="001C61A1">
        <w:rPr>
          <w:rFonts w:ascii="Book Antiqua" w:eastAsia="Book Antiqua" w:hAnsi="Book Antiqua" w:cs="Book Antiqua"/>
          <w:color w:val="000000"/>
          <w:shd w:val="clear" w:color="auto" w:fill="FFFFFF"/>
        </w:rPr>
        <w:t>SARS-CoV-2</w:t>
      </w:r>
      <w:r w:rsidR="009C79CB" w:rsidRPr="001C61A1">
        <w:rPr>
          <w:rFonts w:ascii="Book Antiqua" w:eastAsia="Book Antiqua" w:hAnsi="Book Antiqua" w:cs="Book Antiqua"/>
          <w:color w:val="000000"/>
          <w:shd w:val="clear" w:color="auto" w:fill="FFFFFF"/>
        </w:rPr>
        <w:t>)</w:t>
      </w:r>
      <w:r w:rsidRPr="001C61A1">
        <w:rPr>
          <w:rFonts w:ascii="Book Antiqua" w:eastAsia="Book Antiqua" w:hAnsi="Book Antiqua" w:cs="Book Antiqua"/>
          <w:color w:val="000000"/>
          <w:shd w:val="clear" w:color="auto" w:fill="FFFFFF"/>
        </w:rPr>
        <w:t xml:space="preserve"> virus. </w:t>
      </w:r>
      <w:r w:rsidRPr="001C61A1">
        <w:rPr>
          <w:rFonts w:ascii="Book Antiqua" w:eastAsia="Book Antiqua" w:hAnsi="Book Antiqua" w:cs="Book Antiqua"/>
          <w:color w:val="000000"/>
        </w:rPr>
        <w:t xml:space="preserve">Since the first outbreak in late December 2019 in China, </w:t>
      </w:r>
      <w:r w:rsidRPr="001C61A1">
        <w:rPr>
          <w:rFonts w:ascii="Book Antiqua" w:eastAsia="Book Antiqua" w:hAnsi="Book Antiqua" w:cs="Book Antiqua"/>
          <w:color w:val="000000"/>
          <w:shd w:val="clear" w:color="auto" w:fill="FFFFFF"/>
        </w:rPr>
        <w:t>it</w:t>
      </w:r>
      <w:r w:rsidRPr="001C61A1">
        <w:rPr>
          <w:rFonts w:ascii="Book Antiqua" w:eastAsia="Book Antiqua" w:hAnsi="Book Antiqua" w:cs="Book Antiqua"/>
          <w:color w:val="000000"/>
        </w:rPr>
        <w:t xml:space="preserve"> has unleashed a matchless public health crisis worldwide. The COVID pandemic has been going on for nearly </w:t>
      </w:r>
      <w:r w:rsidR="008A2F00" w:rsidRPr="001C61A1">
        <w:rPr>
          <w:rFonts w:ascii="Book Antiqua" w:eastAsia="Book Antiqua" w:hAnsi="Book Antiqua" w:cs="Book Antiqua"/>
          <w:color w:val="000000"/>
        </w:rPr>
        <w:t xml:space="preserve">3 </w:t>
      </w:r>
      <w:r w:rsidRPr="001C61A1">
        <w:rPr>
          <w:rFonts w:ascii="Book Antiqua" w:eastAsia="Book Antiqua" w:hAnsi="Book Antiqua" w:cs="Book Antiqua"/>
          <w:color w:val="000000"/>
        </w:rPr>
        <w:t>years, and there is still no end in sight. Initially, it was considered solely an atypical pneumonia until patients started to show signs of multiorgan involvement</w:t>
      </w:r>
      <w:r w:rsidRPr="001C61A1">
        <w:rPr>
          <w:rFonts w:ascii="Book Antiqua" w:eastAsia="Book Antiqua" w:hAnsi="Book Antiqua" w:cs="Book Antiqua"/>
          <w:color w:val="000000"/>
          <w:vertAlign w:val="superscript"/>
        </w:rPr>
        <w:t>[1]</w:t>
      </w:r>
      <w:r w:rsidRPr="001C61A1">
        <w:rPr>
          <w:rFonts w:ascii="Book Antiqua" w:eastAsia="Book Antiqua" w:hAnsi="Book Antiqua" w:cs="Book Antiqua"/>
          <w:color w:val="000000"/>
        </w:rPr>
        <w:t>. Now we know that the effects of COVID-19 on the body are extensive. In addition to the respiratory system</w:t>
      </w:r>
      <w:r w:rsidR="009C79CB" w:rsidRPr="001C61A1">
        <w:rPr>
          <w:rFonts w:ascii="Book Antiqua" w:eastAsia="Book Antiqua" w:hAnsi="Book Antiqua" w:cs="Book Antiqua"/>
          <w:color w:val="000000"/>
        </w:rPr>
        <w:t>,</w:t>
      </w:r>
      <w:r w:rsidR="009C79CB" w:rsidRPr="001C61A1">
        <w:rPr>
          <w:rFonts w:ascii="Book Antiqua" w:hAnsi="Book Antiqua" w:cs="Book Antiqua"/>
          <w:color w:val="000000"/>
          <w:lang w:eastAsia="zh-CN"/>
        </w:rPr>
        <w:t xml:space="preserve"> </w:t>
      </w:r>
      <w:r w:rsidRPr="001C61A1">
        <w:rPr>
          <w:rFonts w:ascii="Book Antiqua" w:eastAsia="Book Antiqua" w:hAnsi="Book Antiqua" w:cs="Book Antiqua"/>
          <w:color w:val="000000"/>
        </w:rPr>
        <w:t>almost all systems in the body, including the circulatory system, cardiovascular system, urinary system, gastrointestinal and hepatobiliary system, endocrine system, nervous system, ophthalmic system, and skin system can be affected</w:t>
      </w:r>
      <w:r w:rsidRPr="001C61A1">
        <w:rPr>
          <w:rFonts w:ascii="Book Antiqua" w:eastAsia="Book Antiqua" w:hAnsi="Book Antiqua" w:cs="Book Antiqua"/>
          <w:color w:val="000000"/>
          <w:vertAlign w:val="superscript"/>
        </w:rPr>
        <w:t>[2,3]</w:t>
      </w:r>
      <w:r w:rsidRPr="001C61A1">
        <w:rPr>
          <w:rFonts w:ascii="Book Antiqua" w:eastAsia="Book Antiqua" w:hAnsi="Book Antiqua" w:cs="Book Antiqua"/>
          <w:color w:val="000000"/>
        </w:rPr>
        <w:t>. SARS-Co</w:t>
      </w:r>
      <w:r w:rsidR="009C79CB" w:rsidRPr="001C61A1">
        <w:rPr>
          <w:rFonts w:ascii="Book Antiqua" w:eastAsia="Book Antiqua" w:hAnsi="Book Antiqua" w:cs="Book Antiqua"/>
          <w:color w:val="000000"/>
        </w:rPr>
        <w:t>V</w:t>
      </w:r>
      <w:r w:rsidRPr="001C61A1">
        <w:rPr>
          <w:rFonts w:ascii="Book Antiqua" w:eastAsia="Book Antiqua" w:hAnsi="Book Antiqua" w:cs="Book Antiqua"/>
          <w:color w:val="000000"/>
        </w:rPr>
        <w:t>-2 virus mainly affects the respiratory system, causing common symptoms such as fever, fatigue, cough, and dyspnea. Relatively, diarrhea, myalgia, hemoptysis, and sore throat are less common</w:t>
      </w:r>
      <w:r w:rsidRPr="001C61A1">
        <w:rPr>
          <w:rFonts w:ascii="Book Antiqua" w:eastAsia="Book Antiqua" w:hAnsi="Book Antiqua" w:cs="Book Antiqua"/>
          <w:color w:val="000000"/>
          <w:vertAlign w:val="superscript"/>
        </w:rPr>
        <w:t>[4]</w:t>
      </w:r>
      <w:r w:rsidRPr="001C61A1">
        <w:rPr>
          <w:rFonts w:ascii="Book Antiqua" w:eastAsia="Book Antiqua" w:hAnsi="Book Antiqua" w:cs="Book Antiqua"/>
          <w:color w:val="000000"/>
        </w:rPr>
        <w:t>. Other reports show that liver dysfunction is a common manifestation of COVID-19 and is associated with higher mortality</w:t>
      </w:r>
      <w:r w:rsidRPr="001C61A1">
        <w:rPr>
          <w:rFonts w:ascii="Book Antiqua" w:eastAsia="Book Antiqua" w:hAnsi="Book Antiqua" w:cs="Book Antiqua"/>
          <w:color w:val="000000"/>
          <w:vertAlign w:val="superscript"/>
        </w:rPr>
        <w:t>[5]</w:t>
      </w:r>
      <w:r w:rsidRPr="001C61A1">
        <w:rPr>
          <w:rFonts w:ascii="Book Antiqua" w:eastAsia="Book Antiqua" w:hAnsi="Book Antiqua" w:cs="Book Antiqua"/>
          <w:color w:val="000000"/>
        </w:rPr>
        <w:t>. It is worth mentioning that the incidence of liver injury in severe COVID-19 cases can reach 93%</w:t>
      </w:r>
      <w:r w:rsidRPr="001C61A1">
        <w:rPr>
          <w:rFonts w:ascii="Book Antiqua" w:eastAsia="Book Antiqua" w:hAnsi="Book Antiqua" w:cs="Book Antiqua"/>
          <w:color w:val="000000"/>
          <w:vertAlign w:val="superscript"/>
        </w:rPr>
        <w:t>[6]</w:t>
      </w:r>
      <w:r w:rsidRPr="001C61A1">
        <w:rPr>
          <w:rFonts w:ascii="Book Antiqua" w:eastAsia="Book Antiqua" w:hAnsi="Book Antiqua" w:cs="Book Antiqua"/>
          <w:color w:val="000000"/>
        </w:rPr>
        <w:t>. However, the exact mechanism of how COVID-19 impairs liver function remains unclear. This comprehensive literature review is aimed at providing useful guidance for diagnosis, risk factor identification, and management of liver injury associated with COVID-19.</w:t>
      </w:r>
    </w:p>
    <w:p w14:paraId="7B7A4F29" w14:textId="77777777" w:rsidR="00A77B3E" w:rsidRPr="001C61A1" w:rsidRDefault="00A77B3E" w:rsidP="000D1A82">
      <w:pPr>
        <w:spacing w:line="360" w:lineRule="auto"/>
        <w:jc w:val="both"/>
        <w:rPr>
          <w:rFonts w:ascii="Book Antiqua" w:hAnsi="Book Antiqua"/>
        </w:rPr>
      </w:pPr>
    </w:p>
    <w:p w14:paraId="1E3BD73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aps/>
          <w:color w:val="000000"/>
          <w:u w:val="single"/>
        </w:rPr>
        <w:lastRenderedPageBreak/>
        <w:t>CLINICAL FEATURES OF LIVER INJURY IN COVID-19</w:t>
      </w:r>
    </w:p>
    <w:p w14:paraId="78BB8A6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Liver injury is mainly manifested as </w:t>
      </w:r>
      <w:bookmarkStart w:id="7" w:name="_Hlk120816903"/>
      <w:r w:rsidRPr="001C61A1">
        <w:rPr>
          <w:rFonts w:ascii="Book Antiqua" w:eastAsia="Book Antiqua" w:hAnsi="Book Antiqua" w:cs="Book Antiqua"/>
          <w:color w:val="000000"/>
        </w:rPr>
        <w:t>abnormal liver function</w:t>
      </w:r>
      <w:bookmarkEnd w:id="7"/>
      <w:r w:rsidR="00044439" w:rsidRPr="001C61A1">
        <w:rPr>
          <w:rFonts w:ascii="Book Antiqua" w:eastAsia="Book Antiqua" w:hAnsi="Book Antiqua" w:cs="Book Antiqua"/>
          <w:color w:val="000000"/>
        </w:rPr>
        <w:t xml:space="preserve"> (ALF)</w:t>
      </w:r>
      <w:r w:rsidRPr="001C61A1">
        <w:rPr>
          <w:rFonts w:ascii="Book Antiqua" w:eastAsia="Book Antiqua" w:hAnsi="Book Antiqua" w:cs="Book Antiqua"/>
          <w:color w:val="000000"/>
        </w:rPr>
        <w:t xml:space="preserve"> indexes. Alterations in hepatocyte damage biomarkers (HDBs), such as alanine aminotransferase (ALT), aspartate aminotransferase (AST), bilirubin</w:t>
      </w:r>
      <w:r w:rsidR="009C79CB" w:rsidRPr="001C61A1">
        <w:rPr>
          <w:rFonts w:ascii="Book Antiqua" w:eastAsia="Book Antiqua" w:hAnsi="Book Antiqua" w:cs="Book Antiqua"/>
          <w:color w:val="000000"/>
        </w:rPr>
        <w:t>,</w:t>
      </w:r>
      <w:r w:rsidR="009C79CB" w:rsidRPr="001C61A1">
        <w:rPr>
          <w:rFonts w:ascii="Book Antiqua" w:hAnsi="Book Antiqua" w:cs="Book Antiqua"/>
          <w:color w:val="000000"/>
          <w:lang w:eastAsia="zh-CN"/>
        </w:rPr>
        <w:t xml:space="preserve"> </w:t>
      </w:r>
      <w:r w:rsidRPr="001C61A1">
        <w:rPr>
          <w:rFonts w:ascii="Book Antiqua" w:eastAsia="Book Antiqua" w:hAnsi="Book Antiqua" w:cs="Book Antiqua"/>
          <w:color w:val="000000"/>
        </w:rPr>
        <w:t>alkaline phosphatase (ALP), and gamma-glutamyl transferase (GGT), are commonly used to evaluate COVID-19-related liver injury</w:t>
      </w:r>
      <w:r w:rsidRPr="001C61A1">
        <w:rPr>
          <w:rFonts w:ascii="Book Antiqua" w:eastAsia="Book Antiqua" w:hAnsi="Book Antiqua" w:cs="Book Antiqua"/>
          <w:color w:val="000000"/>
          <w:vertAlign w:val="superscript"/>
        </w:rPr>
        <w:t>[6,7]</w:t>
      </w:r>
      <w:r w:rsidRPr="001C61A1">
        <w:rPr>
          <w:rFonts w:ascii="Book Antiqua" w:eastAsia="Book Antiqua" w:hAnsi="Book Antiqua" w:cs="Book Antiqua"/>
          <w:color w:val="000000"/>
        </w:rPr>
        <w:t>. In some cases, elevated lactate dehydrogenase (LDH), hypoproteinemia, prolonged prothrombin time</w:t>
      </w:r>
      <w:r w:rsidR="009C79CB" w:rsidRPr="001C61A1">
        <w:rPr>
          <w:rFonts w:ascii="Book Antiqua" w:eastAsia="Book Antiqua" w:hAnsi="Book Antiqua" w:cs="Book Antiqua"/>
          <w:color w:val="000000"/>
        </w:rPr>
        <w:t>,</w:t>
      </w:r>
      <w:r w:rsidR="009C79CB" w:rsidRPr="001C61A1">
        <w:rPr>
          <w:rFonts w:ascii="Book Antiqua" w:hAnsi="Book Antiqua" w:cs="Book Antiqua"/>
          <w:color w:val="000000"/>
          <w:lang w:eastAsia="zh-CN"/>
        </w:rPr>
        <w:t xml:space="preserve"> </w:t>
      </w:r>
      <w:r w:rsidRPr="001C61A1">
        <w:rPr>
          <w:rFonts w:ascii="Book Antiqua" w:eastAsia="Book Antiqua" w:hAnsi="Book Antiqua" w:cs="Book Antiqua"/>
          <w:color w:val="000000"/>
        </w:rPr>
        <w:t>total bilirubin (TBil), and direct bilirubin (DBiL) are also used to assess liver function in COVID-19 patients</w:t>
      </w:r>
      <w:r w:rsidRPr="001C61A1">
        <w:rPr>
          <w:rFonts w:ascii="Book Antiqua" w:eastAsia="Book Antiqua" w:hAnsi="Book Antiqua" w:cs="Book Antiqua"/>
          <w:color w:val="000000"/>
          <w:vertAlign w:val="superscript"/>
        </w:rPr>
        <w:t>[8-10]</w:t>
      </w:r>
      <w:r w:rsidRPr="001C61A1">
        <w:rPr>
          <w:rFonts w:ascii="Book Antiqua" w:eastAsia="Book Antiqua" w:hAnsi="Book Antiqua" w:cs="Book Antiqua"/>
          <w:color w:val="000000"/>
        </w:rPr>
        <w:t>.</w:t>
      </w:r>
    </w:p>
    <w:p w14:paraId="4DB896AF"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 xml:space="preserve">In COVID-19 patients, transaminase elevations are usually mild </w:t>
      </w:r>
      <w:r w:rsidR="009C79CB" w:rsidRPr="001C61A1">
        <w:rPr>
          <w:rFonts w:ascii="Book Antiqua" w:eastAsia="Book Antiqua" w:hAnsi="Book Antiqua" w:cs="Book Antiqua"/>
          <w:color w:val="000000"/>
        </w:rPr>
        <w:t>[</w:t>
      </w:r>
      <w:r w:rsidRPr="001C61A1">
        <w:rPr>
          <w:rFonts w:ascii="Book Antiqua" w:eastAsia="Book Antiqua" w:hAnsi="Book Antiqua" w:cs="Book Antiqua"/>
          <w:color w:val="000000"/>
        </w:rPr>
        <w:t xml:space="preserve">1-2 times the upper limit of normal </w:t>
      </w:r>
      <w:r w:rsidR="009C79CB" w:rsidRPr="001C61A1">
        <w:rPr>
          <w:rFonts w:ascii="Book Antiqua" w:eastAsia="Book Antiqua" w:hAnsi="Book Antiqua" w:cs="Book Antiqua"/>
          <w:color w:val="000000"/>
        </w:rPr>
        <w:t>(</w:t>
      </w:r>
      <w:r w:rsidRPr="001C61A1">
        <w:rPr>
          <w:rFonts w:ascii="Book Antiqua" w:eastAsia="Book Antiqua" w:hAnsi="Book Antiqua" w:cs="Book Antiqua"/>
          <w:color w:val="000000"/>
        </w:rPr>
        <w:t>ULN</w:t>
      </w:r>
      <w:r w:rsidR="009C79CB" w:rsidRPr="001C61A1">
        <w:rPr>
          <w:rFonts w:ascii="Book Antiqua" w:eastAsia="Book Antiqua" w:hAnsi="Book Antiqua" w:cs="Book Antiqua"/>
          <w:color w:val="000000"/>
        </w:rPr>
        <w:t>)</w:t>
      </w:r>
      <w:r w:rsidRPr="001C61A1">
        <w:rPr>
          <w:rFonts w:ascii="Book Antiqua" w:eastAsia="Book Antiqua" w:hAnsi="Book Antiqua" w:cs="Book Antiqua"/>
          <w:color w:val="000000"/>
        </w:rPr>
        <w:t>]</w:t>
      </w:r>
      <w:r w:rsidRPr="001C61A1">
        <w:rPr>
          <w:rFonts w:ascii="Book Antiqua" w:eastAsia="Book Antiqua" w:hAnsi="Book Antiqua" w:cs="Book Antiqua"/>
          <w:color w:val="000000"/>
          <w:vertAlign w:val="superscript"/>
        </w:rPr>
        <w:t>[9]</w:t>
      </w:r>
      <w:r w:rsidRPr="001C61A1">
        <w:rPr>
          <w:rFonts w:ascii="Book Antiqua" w:eastAsia="Book Antiqua" w:hAnsi="Book Antiqua" w:cs="Book Antiqua"/>
          <w:color w:val="000000"/>
        </w:rPr>
        <w:t xml:space="preserve">. These changes in laboratory values may persist for a long time, even after hospital discharge. ALF was defined as at least one test HDB exceeding the ULN. Xu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[10]</w:t>
      </w:r>
      <w:r w:rsidRPr="001C61A1">
        <w:rPr>
          <w:rFonts w:ascii="Book Antiqua" w:eastAsia="Book Antiqua" w:hAnsi="Book Antiqua" w:cs="Book Antiqua"/>
          <w:color w:val="000000"/>
        </w:rPr>
        <w:t xml:space="preserve"> evaluated the proportion of patients with abnormal HDBs, and found on admission ALT 13.2%, AST 8.5%, ALP 2.0%, GGT 7.4%, LDH 37.6%, TBiL 4.0%, DBiL 7.8%, and albumin 10.1%, and peak during the hospitalization ALT 29.4%, AST 17.5%, ALP 2.6%, GGT 13.4%, LDH 49.4%, TBiL 10.1%, DBiL 18.0%, and albumin 30.6%.</w:t>
      </w:r>
      <w:r w:rsidRPr="001C61A1">
        <w:rPr>
          <w:rFonts w:ascii="Book Antiqua" w:eastAsia="Book Antiqua" w:hAnsi="Book Antiqua" w:cs="Book Antiqua"/>
          <w:color w:val="000000"/>
          <w:vertAlign w:val="superscript"/>
        </w:rPr>
        <w:t xml:space="preserve"> </w:t>
      </w:r>
      <w:r w:rsidRPr="001C61A1">
        <w:rPr>
          <w:rFonts w:ascii="Book Antiqua" w:eastAsia="Book Antiqua" w:hAnsi="Book Antiqua" w:cs="Book Antiqua"/>
          <w:color w:val="000000"/>
        </w:rPr>
        <w:t>In another study, the proportion of patients with at least one of the HDBs and TBil exceeding the ULN for the first time immediately after hospitalization, before discharge, a median of 14.0 d after discharge, and 1 year after discharge was 32.2%, 45.8%, 54.8%, and 28.8%, respectively</w:t>
      </w:r>
      <w:r w:rsidRPr="001C61A1">
        <w:rPr>
          <w:rFonts w:ascii="Book Antiqua" w:eastAsia="Book Antiqua" w:hAnsi="Book Antiqua" w:cs="Book Antiqua"/>
          <w:color w:val="000000"/>
          <w:vertAlign w:val="superscript"/>
        </w:rPr>
        <w:t>[11]</w:t>
      </w:r>
      <w:r w:rsidRPr="001C61A1">
        <w:rPr>
          <w:rFonts w:ascii="Book Antiqua" w:eastAsia="Book Antiqua" w:hAnsi="Book Antiqua" w:cs="Book Antiqua"/>
          <w:color w:val="000000"/>
        </w:rPr>
        <w:t>. In addition, a single-center prospective cohort study found that the proportion of patients with any ALF was 25.1% at 1 mo, 13.2% at 3 mo, 16.7% at 6 mo, and 13.2% at 12 mo after discharge</w:t>
      </w:r>
      <w:r w:rsidRPr="001C61A1">
        <w:rPr>
          <w:rFonts w:ascii="Book Antiqua" w:eastAsia="Book Antiqua" w:hAnsi="Book Antiqua" w:cs="Book Antiqua"/>
          <w:color w:val="000000"/>
          <w:vertAlign w:val="superscript"/>
        </w:rPr>
        <w:t>[12]</w:t>
      </w:r>
      <w:r w:rsidRPr="001C61A1">
        <w:rPr>
          <w:rFonts w:ascii="Book Antiqua" w:eastAsia="Book Antiqua" w:hAnsi="Book Antiqua" w:cs="Book Antiqua"/>
          <w:color w:val="000000"/>
        </w:rPr>
        <w:t>. Based on these data, long-term monitoring of liver enzymes may be warranted in patients with a history of COVID-19.</w:t>
      </w:r>
    </w:p>
    <w:p w14:paraId="3D79A3B2" w14:textId="1AB4123C"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AST is generally considered to be less specific for liver injury than ALT due to additional extra-hepatic production</w:t>
      </w:r>
      <w:r w:rsidRPr="001C61A1">
        <w:rPr>
          <w:rFonts w:ascii="Book Antiqua" w:eastAsia="Book Antiqua" w:hAnsi="Book Antiqua" w:cs="Book Antiqua"/>
          <w:color w:val="000000"/>
          <w:vertAlign w:val="superscript"/>
        </w:rPr>
        <w:t>[13</w:t>
      </w:r>
      <w:r w:rsidR="00044439"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vertAlign w:val="superscript"/>
        </w:rPr>
        <w:t>14]</w:t>
      </w:r>
      <w:r w:rsidRPr="001C61A1">
        <w:rPr>
          <w:rFonts w:ascii="Book Antiqua" w:eastAsia="Book Antiqua" w:hAnsi="Book Antiqua" w:cs="Book Antiqua"/>
          <w:color w:val="000000"/>
        </w:rPr>
        <w:t>. Nevertheless, in liver damage, elevated AST levels appear earlier, and the increase in AST levels at admission is usually more pronounced than ALT levels. In cases of severe COVID-19, however, ALT levels typically rise rapidly, exceed the ULN value</w:t>
      </w:r>
      <w:r w:rsidR="00130C9F" w:rsidRPr="001C61A1">
        <w:rPr>
          <w:rFonts w:ascii="Book Antiqua" w:eastAsia="Book Antiqua" w:hAnsi="Book Antiqua" w:cs="Book Antiqua"/>
          <w:color w:val="000000"/>
        </w:rPr>
        <w:t xml:space="preserve"> and</w:t>
      </w:r>
      <w:r w:rsidRPr="001C61A1">
        <w:rPr>
          <w:rFonts w:ascii="Book Antiqua" w:eastAsia="Book Antiqua" w:hAnsi="Book Antiqua" w:cs="Book Antiqua"/>
          <w:color w:val="000000"/>
        </w:rPr>
        <w:t xml:space="preserve"> peak within 10-15 d of admission. Subsequently, ALT levels remained stable in all patients with liver injury and then gradually decreased with longer hospital stay. ALT is a more effective indicator of liver injury in COVID-19 </w:t>
      </w:r>
      <w:r w:rsidRPr="001C61A1">
        <w:rPr>
          <w:rFonts w:ascii="Book Antiqua" w:eastAsia="Book Antiqua" w:hAnsi="Book Antiqua" w:cs="Book Antiqua"/>
          <w:color w:val="000000"/>
        </w:rPr>
        <w:lastRenderedPageBreak/>
        <w:t>patients with severe manifestations</w:t>
      </w:r>
      <w:r w:rsidRPr="001C61A1">
        <w:rPr>
          <w:rFonts w:ascii="Book Antiqua" w:eastAsia="Book Antiqua" w:hAnsi="Book Antiqua" w:cs="Book Antiqua"/>
          <w:color w:val="000000"/>
          <w:vertAlign w:val="superscript"/>
        </w:rPr>
        <w:t>[15]</w:t>
      </w:r>
      <w:r w:rsidRPr="001C61A1">
        <w:rPr>
          <w:rFonts w:ascii="Book Antiqua" w:eastAsia="Book Antiqua" w:hAnsi="Book Antiqua" w:cs="Book Antiqua"/>
          <w:color w:val="000000"/>
        </w:rPr>
        <w:t>. However, if serum AST and LDH levels are elevated but ALT levels remain normal, other causes of elevated liver biochemical responses rather than liver injury should be considered, such as myositis (especially AST &gt; ALT), cardiac injury, ischemia, and cytokine release syndrome (CRS)</w:t>
      </w:r>
      <w:r w:rsidRPr="001C61A1">
        <w:rPr>
          <w:rFonts w:ascii="Book Antiqua" w:eastAsia="Book Antiqua" w:hAnsi="Book Antiqua" w:cs="Book Antiqua"/>
          <w:color w:val="000000"/>
          <w:vertAlign w:val="superscript"/>
        </w:rPr>
        <w:t>[16]</w:t>
      </w:r>
      <w:r w:rsidRPr="001C61A1">
        <w:rPr>
          <w:rFonts w:ascii="Book Antiqua" w:eastAsia="Book Antiqua" w:hAnsi="Book Antiqua" w:cs="Book Antiqua"/>
          <w:color w:val="000000"/>
        </w:rPr>
        <w:t>.</w:t>
      </w:r>
    </w:p>
    <w:p w14:paraId="7E89C19F"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The reported prevalence of liver injury in COVID-19 patients varied widely across studies, ranging from 4.8% to 78%</w:t>
      </w:r>
      <w:r w:rsidRPr="001C61A1">
        <w:rPr>
          <w:rFonts w:ascii="Book Antiqua" w:eastAsia="Book Antiqua" w:hAnsi="Book Antiqua" w:cs="Book Antiqua"/>
          <w:color w:val="000000"/>
          <w:vertAlign w:val="superscript"/>
        </w:rPr>
        <w:t>[17]</w:t>
      </w:r>
      <w:r w:rsidRPr="001C61A1">
        <w:rPr>
          <w:rFonts w:ascii="Book Antiqua" w:eastAsia="Book Antiqua" w:hAnsi="Book Antiqua" w:cs="Book Antiqua"/>
          <w:color w:val="000000"/>
        </w:rPr>
        <w:t>. This is mainly due to a variety of factors, including dynamic changes in</w:t>
      </w:r>
      <w:r w:rsidR="00044439"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liver function, small sample sizes, different admission criteria, lack of adjustment for baseline chronic liver disease (CLD), use of different HDBs, and inconsistent definitions of “liver injury”</w:t>
      </w:r>
      <w:r w:rsidRPr="001C61A1">
        <w:rPr>
          <w:rFonts w:ascii="Book Antiqua" w:eastAsia="Book Antiqua" w:hAnsi="Book Antiqua" w:cs="Book Antiqua"/>
          <w:color w:val="000000"/>
          <w:vertAlign w:val="superscript"/>
        </w:rPr>
        <w:t>[10,18-20]</w:t>
      </w:r>
      <w:r w:rsidRPr="001C61A1">
        <w:rPr>
          <w:rFonts w:ascii="Book Antiqua" w:eastAsia="Book Antiqua" w:hAnsi="Book Antiqua" w:cs="Book Antiqua"/>
          <w:color w:val="000000"/>
        </w:rPr>
        <w:t>.</w:t>
      </w:r>
      <w:r w:rsidRPr="001C61A1">
        <w:rPr>
          <w:rFonts w:ascii="Book Antiqua" w:eastAsia="Book Antiqua" w:hAnsi="Book Antiqua" w:cs="Book Antiqua"/>
          <w:color w:val="000000"/>
          <w:vertAlign w:val="superscript"/>
        </w:rPr>
        <w:t xml:space="preserve"> </w:t>
      </w:r>
      <w:r w:rsidRPr="001C61A1">
        <w:rPr>
          <w:rFonts w:ascii="Book Antiqua" w:eastAsia="Book Antiqua" w:hAnsi="Book Antiqua" w:cs="Book Antiqua"/>
          <w:color w:val="000000"/>
        </w:rPr>
        <w:t>Notably, almost all studies were conducted on hospitalized patients, ignoring non-hospitalized patients, thus resulting in unclear overall morbidity (Table 1).</w:t>
      </w:r>
    </w:p>
    <w:p w14:paraId="05D5E86D" w14:textId="77777777" w:rsidR="00A77B3E" w:rsidRPr="001C61A1" w:rsidRDefault="00A77B3E" w:rsidP="000D1A82">
      <w:pPr>
        <w:spacing w:line="360" w:lineRule="auto"/>
        <w:ind w:firstLine="240"/>
        <w:jc w:val="both"/>
        <w:rPr>
          <w:rFonts w:ascii="Book Antiqua" w:hAnsi="Book Antiqua"/>
        </w:rPr>
      </w:pPr>
    </w:p>
    <w:p w14:paraId="7A42543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aps/>
          <w:color w:val="000000"/>
          <w:u w:val="single"/>
        </w:rPr>
        <w:t>LIVER INJURY AND PROGNOSIS</w:t>
      </w:r>
    </w:p>
    <w:p w14:paraId="5DA5D224" w14:textId="56E769D6"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COVID-19 patients with moderate or severe liver injury (SLI) have</w:t>
      </w:r>
      <w:r w:rsidR="00A74D96" w:rsidRPr="001C61A1">
        <w:rPr>
          <w:rFonts w:ascii="Book Antiqua" w:eastAsia="Book Antiqua" w:hAnsi="Book Antiqua" w:cs="Book Antiqua"/>
          <w:color w:val="000000"/>
        </w:rPr>
        <w:t xml:space="preserve"> an</w:t>
      </w:r>
      <w:r w:rsidRPr="001C61A1">
        <w:rPr>
          <w:rFonts w:ascii="Book Antiqua" w:eastAsia="Book Antiqua" w:hAnsi="Book Antiqua" w:cs="Book Antiqua"/>
          <w:color w:val="000000"/>
        </w:rPr>
        <w:t xml:space="preserve"> increased risk of admission to the intensive care unit (ICU), disease progression, and death compared with patients without elevated liver chemistries</w:t>
      </w:r>
      <w:r w:rsidRPr="001C61A1">
        <w:rPr>
          <w:rFonts w:ascii="Book Antiqua" w:eastAsia="Book Antiqua" w:hAnsi="Book Antiqua" w:cs="Book Antiqua"/>
          <w:color w:val="000000"/>
          <w:vertAlign w:val="superscript"/>
        </w:rPr>
        <w:t>[9,19,23]</w:t>
      </w:r>
      <w:r w:rsidRPr="001C61A1">
        <w:rPr>
          <w:rFonts w:ascii="Book Antiqua" w:eastAsia="Book Antiqua" w:hAnsi="Book Antiqua" w:cs="Book Antiqua"/>
          <w:color w:val="000000"/>
        </w:rPr>
        <w:t xml:space="preserve">. Cai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[6]</w:t>
      </w:r>
      <w:r w:rsidRPr="001C61A1">
        <w:rPr>
          <w:rFonts w:ascii="Book Antiqua" w:eastAsia="Book Antiqua" w:hAnsi="Book Antiqua" w:cs="Book Antiqua"/>
          <w:color w:val="000000"/>
        </w:rPr>
        <w:t xml:space="preserve"> have reported that patients with liver injury have a 9-fold greater risk for developing severe COVID-19. In a retrospective cohort study, when compared with moderate liver injury (2-5 ULN) and no/mild liver injury (&lt;</w:t>
      </w:r>
      <w:r w:rsidR="00044439"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2 ULN), COVID-</w:t>
      </w:r>
      <w:r w:rsidR="00A74D96" w:rsidRPr="001C61A1">
        <w:rPr>
          <w:rFonts w:ascii="Book Antiqua" w:eastAsia="Book Antiqua" w:hAnsi="Book Antiqua" w:cs="Book Antiqua"/>
          <w:color w:val="000000"/>
        </w:rPr>
        <w:t>1</w:t>
      </w:r>
      <w:r w:rsidRPr="001C61A1">
        <w:rPr>
          <w:rFonts w:ascii="Book Antiqua" w:eastAsia="Book Antiqua" w:hAnsi="Book Antiqua" w:cs="Book Antiqua"/>
          <w:color w:val="000000"/>
        </w:rPr>
        <w:t>9 patients with SLI (ALT &gt;</w:t>
      </w:r>
      <w:r w:rsidR="00044439"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 xml:space="preserve">5 ULN) had more severe clinical outcomes, including higher ICU admission rates (69% </w:t>
      </w:r>
      <w:r w:rsidRPr="001C61A1">
        <w:rPr>
          <w:rFonts w:ascii="Book Antiqua" w:eastAsia="Book Antiqua" w:hAnsi="Book Antiqua" w:cs="Book Antiqua"/>
          <w:i/>
          <w:iCs/>
          <w:color w:val="000000"/>
        </w:rPr>
        <w:t>vs</w:t>
      </w:r>
      <w:r w:rsidRPr="001C61A1">
        <w:rPr>
          <w:rFonts w:ascii="Book Antiqua" w:eastAsia="Book Antiqua" w:hAnsi="Book Antiqua" w:cs="Book Antiqua"/>
          <w:color w:val="000000"/>
        </w:rPr>
        <w:t xml:space="preserve"> 42% </w:t>
      </w:r>
      <w:r w:rsidRPr="001C61A1">
        <w:rPr>
          <w:rFonts w:ascii="Book Antiqua" w:eastAsia="Book Antiqua" w:hAnsi="Book Antiqua" w:cs="Book Antiqua"/>
          <w:i/>
          <w:iCs/>
          <w:color w:val="000000"/>
        </w:rPr>
        <w:t>vs</w:t>
      </w:r>
      <w:r w:rsidRPr="001C61A1">
        <w:rPr>
          <w:rFonts w:ascii="Book Antiqua" w:eastAsia="Book Antiqua" w:hAnsi="Book Antiqua" w:cs="Book Antiqua"/>
          <w:color w:val="000000"/>
        </w:rPr>
        <w:t xml:space="preserve"> 16%), intubation (65% </w:t>
      </w:r>
      <w:r w:rsidRPr="001C61A1">
        <w:rPr>
          <w:rFonts w:ascii="Book Antiqua" w:eastAsia="Book Antiqua" w:hAnsi="Book Antiqua" w:cs="Book Antiqua"/>
          <w:i/>
          <w:iCs/>
          <w:color w:val="000000"/>
        </w:rPr>
        <w:t>vs</w:t>
      </w:r>
      <w:r w:rsidRPr="001C61A1">
        <w:rPr>
          <w:rFonts w:ascii="Book Antiqua" w:eastAsia="Book Antiqua" w:hAnsi="Book Antiqua" w:cs="Book Antiqua"/>
          <w:color w:val="000000"/>
        </w:rPr>
        <w:t xml:space="preserve"> 38% </w:t>
      </w:r>
      <w:r w:rsidRPr="001C61A1">
        <w:rPr>
          <w:rFonts w:ascii="Book Antiqua" w:eastAsia="Book Antiqua" w:hAnsi="Book Antiqua" w:cs="Book Antiqua"/>
          <w:i/>
          <w:iCs/>
          <w:color w:val="000000"/>
        </w:rPr>
        <w:t>vs</w:t>
      </w:r>
      <w:r w:rsidRPr="001C61A1">
        <w:rPr>
          <w:rFonts w:ascii="Book Antiqua" w:eastAsia="Book Antiqua" w:hAnsi="Book Antiqua" w:cs="Book Antiqua"/>
          <w:color w:val="000000"/>
        </w:rPr>
        <w:t xml:space="preserve"> 13%), renal replacement therapy (33% </w:t>
      </w:r>
      <w:r w:rsidR="00044439" w:rsidRPr="001C61A1">
        <w:rPr>
          <w:rFonts w:ascii="Book Antiqua" w:eastAsia="Book Antiqua" w:hAnsi="Book Antiqua" w:cs="Book Antiqua"/>
          <w:i/>
          <w:iCs/>
          <w:color w:val="000000"/>
        </w:rPr>
        <w:t>vs</w:t>
      </w:r>
      <w:r w:rsidRPr="001C61A1">
        <w:rPr>
          <w:rFonts w:ascii="Book Antiqua" w:eastAsia="Book Antiqua" w:hAnsi="Book Antiqua" w:cs="Book Antiqua"/>
          <w:color w:val="000000"/>
        </w:rPr>
        <w:t xml:space="preserve"> 15% </w:t>
      </w:r>
      <w:r w:rsidR="00044439" w:rsidRPr="001C61A1">
        <w:rPr>
          <w:rFonts w:ascii="Book Antiqua" w:eastAsia="Book Antiqua" w:hAnsi="Book Antiqua" w:cs="Book Antiqua"/>
          <w:i/>
          <w:iCs/>
          <w:color w:val="000000"/>
        </w:rPr>
        <w:t>vs</w:t>
      </w:r>
      <w:r w:rsidRPr="001C61A1">
        <w:rPr>
          <w:rFonts w:ascii="Book Antiqua" w:eastAsia="Book Antiqua" w:hAnsi="Book Antiqua" w:cs="Book Antiqua"/>
          <w:color w:val="000000"/>
        </w:rPr>
        <w:t xml:space="preserve"> 7.5%), and mortality (42% </w:t>
      </w:r>
      <w:r w:rsidR="00044439" w:rsidRPr="001C61A1">
        <w:rPr>
          <w:rFonts w:ascii="Book Antiqua" w:eastAsia="Book Antiqua" w:hAnsi="Book Antiqua" w:cs="Book Antiqua"/>
          <w:i/>
          <w:iCs/>
          <w:color w:val="000000"/>
        </w:rPr>
        <w:t>vs</w:t>
      </w:r>
      <w:r w:rsidRPr="001C61A1">
        <w:rPr>
          <w:rFonts w:ascii="Book Antiqua" w:eastAsia="Book Antiqua" w:hAnsi="Book Antiqua" w:cs="Book Antiqua"/>
          <w:color w:val="000000"/>
        </w:rPr>
        <w:t xml:space="preserve"> 23% </w:t>
      </w:r>
      <w:r w:rsidR="00044439" w:rsidRPr="001C61A1">
        <w:rPr>
          <w:rFonts w:ascii="Book Antiqua" w:eastAsia="Book Antiqua" w:hAnsi="Book Antiqua" w:cs="Book Antiqua"/>
          <w:i/>
          <w:iCs/>
          <w:color w:val="000000"/>
        </w:rPr>
        <w:t>vs</w:t>
      </w:r>
      <w:r w:rsidRPr="001C61A1">
        <w:rPr>
          <w:rFonts w:ascii="Book Antiqua" w:eastAsia="Book Antiqua" w:hAnsi="Book Antiqua" w:cs="Book Antiqua"/>
          <w:color w:val="000000"/>
        </w:rPr>
        <w:t xml:space="preserve"> 21%). Among SLI patients, 70% required vasopressors, 12% received inotropes, 39% were paralyzed, 10% were proned, and 2.8% required extracorporeal membrane oxygenation</w:t>
      </w:r>
      <w:r w:rsidRPr="001C61A1">
        <w:rPr>
          <w:rFonts w:ascii="Book Antiqua" w:eastAsia="Book Antiqua" w:hAnsi="Book Antiqua" w:cs="Book Antiqua"/>
          <w:color w:val="000000"/>
          <w:vertAlign w:val="superscript"/>
        </w:rPr>
        <w:t>[19]</w:t>
      </w:r>
      <w:r w:rsidRPr="001C61A1">
        <w:rPr>
          <w:rFonts w:ascii="Book Antiqua" w:eastAsia="Book Antiqua" w:hAnsi="Book Antiqua" w:cs="Book Antiqua"/>
          <w:color w:val="000000"/>
        </w:rPr>
        <w:t>.</w:t>
      </w:r>
    </w:p>
    <w:p w14:paraId="3D7B9B33"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Changes in liver function are predictors of severity and mortality in patients with COVID-19</w:t>
      </w:r>
      <w:r w:rsidRPr="001C61A1">
        <w:rPr>
          <w:rFonts w:ascii="Book Antiqua" w:eastAsia="Book Antiqua" w:hAnsi="Book Antiqua" w:cs="Book Antiqua"/>
          <w:color w:val="000000"/>
          <w:vertAlign w:val="superscript"/>
        </w:rPr>
        <w:t>[5,23]</w:t>
      </w:r>
      <w:r w:rsidRPr="001C61A1">
        <w:rPr>
          <w:rFonts w:ascii="Book Antiqua" w:eastAsia="Book Antiqua" w:hAnsi="Book Antiqua" w:cs="Book Antiqua"/>
          <w:color w:val="000000"/>
        </w:rPr>
        <w:t xml:space="preserve">. Abnormal liver biochemical parameters are closely related to an increased risk of mortality in critically ill patients with COVID-19. The levels of ALT, AST, GGT, LDH, TBil, and DBil in severe patients were significantly higher than those in mild-moderate patients. Conversely, severe patients had significantly lower albumin levels </w:t>
      </w:r>
      <w:r w:rsidRPr="001C61A1">
        <w:rPr>
          <w:rFonts w:ascii="Book Antiqua" w:eastAsia="Book Antiqua" w:hAnsi="Book Antiqua" w:cs="Book Antiqua"/>
          <w:color w:val="000000"/>
        </w:rPr>
        <w:lastRenderedPageBreak/>
        <w:t>than non-severe patients</w:t>
      </w:r>
      <w:r w:rsidRPr="001C61A1">
        <w:rPr>
          <w:rFonts w:ascii="Book Antiqua" w:eastAsia="Book Antiqua" w:hAnsi="Book Antiqua" w:cs="Book Antiqua"/>
          <w:color w:val="000000"/>
          <w:vertAlign w:val="superscript"/>
        </w:rPr>
        <w:t>[5,20]</w:t>
      </w:r>
      <w:r w:rsidRPr="001C61A1">
        <w:rPr>
          <w:rFonts w:ascii="Book Antiqua" w:eastAsia="Book Antiqua" w:hAnsi="Book Antiqua" w:cs="Book Antiqua"/>
          <w:color w:val="000000"/>
        </w:rPr>
        <w:t xml:space="preserve">. In a study of 151 hospitalized patients, 5 </w:t>
      </w:r>
      <w:r w:rsidR="00044439" w:rsidRPr="001C61A1">
        <w:rPr>
          <w:rFonts w:ascii="Book Antiqua" w:eastAsia="Book Antiqua" w:hAnsi="Book Antiqua" w:cs="Book Antiqua"/>
          <w:color w:val="000000"/>
        </w:rPr>
        <w:t>l</w:t>
      </w:r>
      <w:r w:rsidRPr="001C61A1">
        <w:rPr>
          <w:rFonts w:ascii="Book Antiqua" w:eastAsia="Book Antiqua" w:hAnsi="Book Antiqua" w:cs="Book Antiqua"/>
          <w:color w:val="000000"/>
        </w:rPr>
        <w:t>iver injury parameters, ALT, AST, TBil, DBil, and indirect bilirubin, were identified as notable prognostic factors, while total protein, albumin, ALP, GGT, and total bile acid appeared to be less related to prognosis</w:t>
      </w:r>
      <w:r w:rsidRPr="001C61A1">
        <w:rPr>
          <w:rFonts w:ascii="Book Antiqua" w:eastAsia="Book Antiqua" w:hAnsi="Book Antiqua" w:cs="Book Antiqua"/>
          <w:color w:val="000000"/>
          <w:vertAlign w:val="superscript"/>
        </w:rPr>
        <w:t>[25]</w:t>
      </w:r>
      <w:r w:rsidRPr="001C61A1">
        <w:rPr>
          <w:rFonts w:ascii="Book Antiqua" w:eastAsia="Book Antiqua" w:hAnsi="Book Antiqua" w:cs="Book Antiqua"/>
          <w:color w:val="000000"/>
        </w:rPr>
        <w:t>. In other studies, low albumin is also a marker of severe infection and poor prognosis</w:t>
      </w:r>
      <w:r w:rsidRPr="001C61A1">
        <w:rPr>
          <w:rFonts w:ascii="Book Antiqua" w:eastAsia="Book Antiqua" w:hAnsi="Book Antiqua" w:cs="Book Antiqua"/>
          <w:color w:val="000000"/>
          <w:vertAlign w:val="superscript"/>
        </w:rPr>
        <w:t>[10,26]</w:t>
      </w:r>
      <w:r w:rsidRPr="001C61A1">
        <w:rPr>
          <w:rFonts w:ascii="Book Antiqua" w:eastAsia="Book Antiqua" w:hAnsi="Book Antiqua" w:cs="Book Antiqua"/>
          <w:color w:val="000000"/>
        </w:rPr>
        <w:t xml:space="preserve">. </w:t>
      </w:r>
      <w:r w:rsidR="00044439" w:rsidRPr="001C61A1">
        <w:rPr>
          <w:rFonts w:ascii="Book Antiqua" w:eastAsia="Book Antiqua" w:hAnsi="Book Antiqua" w:cs="Book Antiqua"/>
          <w:color w:val="000000"/>
        </w:rPr>
        <w:t>Lei</w:t>
      </w:r>
      <w:r w:rsidRPr="001C61A1">
        <w:rPr>
          <w:rFonts w:ascii="Book Antiqua" w:eastAsia="Book Antiqua" w:hAnsi="Book Antiqua" w:cs="Book Antiqua"/>
          <w:color w:val="000000"/>
        </w:rPr>
        <w:t xml:space="preserve">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[15]</w:t>
      </w:r>
      <w:r w:rsidRPr="001C61A1">
        <w:rPr>
          <w:rFonts w:ascii="Book Antiqua" w:eastAsia="Book Antiqua" w:hAnsi="Book Antiqua" w:cs="Book Antiqua"/>
          <w:color w:val="000000"/>
        </w:rPr>
        <w:t xml:space="preserve"> emphasized the association of </w:t>
      </w:r>
      <w:r w:rsidR="00044439" w:rsidRPr="001C61A1">
        <w:rPr>
          <w:rFonts w:ascii="Book Antiqua" w:eastAsia="Book Antiqua" w:hAnsi="Book Antiqua" w:cs="Book Antiqua"/>
          <w:color w:val="000000"/>
        </w:rPr>
        <w:t>ALF</w:t>
      </w:r>
      <w:r w:rsidRPr="001C61A1">
        <w:rPr>
          <w:rFonts w:ascii="Book Antiqua" w:eastAsia="Book Antiqua" w:hAnsi="Book Antiqua" w:cs="Book Antiqua"/>
          <w:color w:val="000000"/>
        </w:rPr>
        <w:t xml:space="preserve"> tests, especially AST and TBil, with higher mortality. They observed that AST was more frequently elevated than ALT in severe patients. However, elevated ALP and peak ALT were significantly associated with discharge to hospice and death</w:t>
      </w:r>
      <w:r w:rsidRPr="001C61A1">
        <w:rPr>
          <w:rFonts w:ascii="Book Antiqua" w:eastAsia="Book Antiqua" w:hAnsi="Book Antiqua" w:cs="Book Antiqua"/>
          <w:color w:val="000000"/>
          <w:vertAlign w:val="superscript"/>
        </w:rPr>
        <w:t>[19,27]</w:t>
      </w:r>
      <w:r w:rsidRPr="001C61A1">
        <w:rPr>
          <w:rFonts w:ascii="Book Antiqua" w:eastAsia="Book Antiqua" w:hAnsi="Book Antiqua" w:cs="Book Antiqua"/>
          <w:color w:val="000000"/>
        </w:rPr>
        <w:t>.</w:t>
      </w:r>
    </w:p>
    <w:p w14:paraId="49FDD17D" w14:textId="77777777" w:rsidR="00A77B3E" w:rsidRPr="001C61A1" w:rsidRDefault="00A77B3E" w:rsidP="000D1A82">
      <w:pPr>
        <w:spacing w:line="360" w:lineRule="auto"/>
        <w:jc w:val="both"/>
        <w:rPr>
          <w:rFonts w:ascii="Book Antiqua" w:hAnsi="Book Antiqua"/>
        </w:rPr>
      </w:pPr>
    </w:p>
    <w:p w14:paraId="295A79B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aps/>
          <w:color w:val="000000"/>
          <w:u w:val="single"/>
        </w:rPr>
        <w:t>ABDOMINAL IMAGING FINDINGS</w:t>
      </w:r>
    </w:p>
    <w:p w14:paraId="7272E996" w14:textId="2FB4F801"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Possible imaging signs of liver damage on </w:t>
      </w:r>
      <w:r w:rsidR="00044439" w:rsidRPr="001C61A1">
        <w:rPr>
          <w:rFonts w:ascii="Book Antiqua" w:eastAsia="Book Antiqua" w:hAnsi="Book Antiqua" w:cs="Book Antiqua"/>
          <w:color w:val="000000"/>
        </w:rPr>
        <w:t>computed tomography (</w:t>
      </w:r>
      <w:r w:rsidRPr="001C61A1">
        <w:rPr>
          <w:rFonts w:ascii="Book Antiqua" w:eastAsia="Book Antiqua" w:hAnsi="Book Antiqua" w:cs="Book Antiqua"/>
          <w:color w:val="000000"/>
        </w:rPr>
        <w:t>CT</w:t>
      </w:r>
      <w:r w:rsidR="00044439" w:rsidRPr="001C61A1">
        <w:rPr>
          <w:rFonts w:ascii="Book Antiqua" w:eastAsia="Book Antiqua" w:hAnsi="Book Antiqua" w:cs="Book Antiqua"/>
          <w:color w:val="000000"/>
        </w:rPr>
        <w:t>)</w:t>
      </w:r>
      <w:r w:rsidRPr="001C61A1">
        <w:rPr>
          <w:rFonts w:ascii="Book Antiqua" w:eastAsia="Book Antiqua" w:hAnsi="Book Antiqua" w:cs="Book Antiqua"/>
          <w:color w:val="000000"/>
        </w:rPr>
        <w:t xml:space="preserve"> scans of the hepatobiliary system include hepatomegaly, decreased liver density, periportal edema, fat stranding around the gallbladder, portal lymphadenopath</w:t>
      </w:r>
      <w:r w:rsidR="00BB1144" w:rsidRPr="001C61A1">
        <w:rPr>
          <w:rFonts w:ascii="Book Antiqua" w:eastAsia="Book Antiqua" w:hAnsi="Book Antiqua" w:cs="Book Antiqua"/>
          <w:color w:val="000000"/>
        </w:rPr>
        <w:t>y</w:t>
      </w:r>
      <w:r w:rsidRPr="001C61A1">
        <w:rPr>
          <w:rFonts w:ascii="Book Antiqua" w:eastAsia="Book Antiqua" w:hAnsi="Book Antiqua" w:cs="Book Antiqua"/>
          <w:color w:val="000000"/>
        </w:rPr>
        <w:t>, and dilated gallbladder and bile ducts</w:t>
      </w:r>
      <w:r w:rsidRPr="001C61A1">
        <w:rPr>
          <w:rFonts w:ascii="Book Antiqua" w:eastAsia="Book Antiqua" w:hAnsi="Book Antiqua" w:cs="Book Antiqua"/>
          <w:color w:val="000000"/>
          <w:vertAlign w:val="superscript"/>
        </w:rPr>
        <w:t>[28,29]</w:t>
      </w:r>
      <w:r w:rsidRPr="001C61A1">
        <w:rPr>
          <w:rFonts w:ascii="Book Antiqua" w:eastAsia="Book Antiqua" w:hAnsi="Book Antiqua" w:cs="Book Antiqua"/>
          <w:color w:val="000000"/>
        </w:rPr>
        <w:t>. Portal venous gas can be seen in patients with mesenteric ischemia, especially in critically ill patients</w:t>
      </w:r>
      <w:r w:rsidRPr="001C61A1">
        <w:rPr>
          <w:rFonts w:ascii="Book Antiqua" w:eastAsia="Book Antiqua" w:hAnsi="Book Antiqua" w:cs="Book Antiqua"/>
          <w:color w:val="000000"/>
          <w:vertAlign w:val="superscript"/>
        </w:rPr>
        <w:t>[30]</w:t>
      </w:r>
      <w:r w:rsidRPr="001C61A1">
        <w:rPr>
          <w:rFonts w:ascii="Book Antiqua" w:eastAsia="Book Antiqua" w:hAnsi="Book Antiqua" w:cs="Book Antiqua"/>
          <w:color w:val="000000"/>
        </w:rPr>
        <w:t>.</w:t>
      </w:r>
      <w:r w:rsidR="000D1A82"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CT-quantified liver density can be assessed by the liver-spleen attenuation ratio, which correlates with the severity of liver injury. A common manifestation of liver damage caused by COVID-19 is homogeneous or heterogeneous low density of the liver. Liver hypodensity is more common in critically ill cases</w:t>
      </w:r>
      <w:r w:rsidRPr="001C61A1">
        <w:rPr>
          <w:rFonts w:ascii="Book Antiqua" w:eastAsia="Book Antiqua" w:hAnsi="Book Antiqua" w:cs="Book Antiqua"/>
          <w:color w:val="000000"/>
          <w:vertAlign w:val="superscript"/>
        </w:rPr>
        <w:t>[28]</w:t>
      </w:r>
      <w:r w:rsidRPr="001C61A1">
        <w:rPr>
          <w:rFonts w:ascii="Book Antiqua" w:eastAsia="Book Antiqua" w:hAnsi="Book Antiqua" w:cs="Book Antiqua"/>
          <w:color w:val="000000"/>
        </w:rPr>
        <w:t>.</w:t>
      </w:r>
      <w:r w:rsidR="00044439" w:rsidRPr="001C61A1">
        <w:rPr>
          <w:rFonts w:ascii="Book Antiqua" w:hAnsi="Book Antiqua"/>
          <w:lang w:eastAsia="zh-CN"/>
        </w:rPr>
        <w:t xml:space="preserve"> </w:t>
      </w:r>
      <w:r w:rsidRPr="001C61A1">
        <w:rPr>
          <w:rFonts w:ascii="Book Antiqua" w:eastAsia="Book Antiqua" w:hAnsi="Book Antiqua" w:cs="Book Antiqua"/>
          <w:color w:val="000000"/>
        </w:rPr>
        <w:t>Ultrasound can be easily performed in COVID-19 patients to help identify liver damage quickly and effectively. The most frequent sonographic finding is hepatomegaly with increased parenchymal echogenicity, followed by biliary disease, including gallbladder sludge and distention, gallbladder wall thickening, mural hyperemia, intraluminal mud, and pericholecystic fluid</w:t>
      </w:r>
      <w:r w:rsidRPr="001C61A1">
        <w:rPr>
          <w:rFonts w:ascii="Book Antiqua" w:eastAsia="Book Antiqua" w:hAnsi="Book Antiqua" w:cs="Book Antiqua"/>
          <w:color w:val="000000"/>
          <w:vertAlign w:val="superscript"/>
        </w:rPr>
        <w:t>[29-31]</w:t>
      </w:r>
      <w:r w:rsidRPr="001C61A1">
        <w:rPr>
          <w:rFonts w:ascii="Book Antiqua" w:eastAsia="Book Antiqua" w:hAnsi="Book Antiqua" w:cs="Book Antiqua"/>
          <w:color w:val="000000"/>
        </w:rPr>
        <w:t>. Portal venous gas suggests mesenteric ischemia. Further, gallbladder cholestasis is common in critically ill patients of COVID-19</w:t>
      </w:r>
      <w:r w:rsidRPr="001C61A1">
        <w:rPr>
          <w:rFonts w:ascii="Book Antiqua" w:eastAsia="Book Antiqua" w:hAnsi="Book Antiqua" w:cs="Book Antiqua"/>
          <w:color w:val="000000"/>
          <w:vertAlign w:val="superscript"/>
        </w:rPr>
        <w:t>[30]</w:t>
      </w:r>
      <w:r w:rsidRPr="001C61A1">
        <w:rPr>
          <w:rFonts w:ascii="Book Antiqua" w:eastAsia="Book Antiqua" w:hAnsi="Book Antiqua" w:cs="Book Antiqua"/>
          <w:color w:val="000000"/>
        </w:rPr>
        <w:t>. Collectively, imaging of liver injury can reveal changes in liver density, gallbladder and bile duct dilation, portal pneumatosis and/or mesenteric ischemia.</w:t>
      </w:r>
    </w:p>
    <w:p w14:paraId="3D780FBC" w14:textId="77777777" w:rsidR="00A77B3E" w:rsidRPr="001C61A1" w:rsidRDefault="00A77B3E" w:rsidP="000D1A82">
      <w:pPr>
        <w:spacing w:line="360" w:lineRule="auto"/>
        <w:jc w:val="both"/>
        <w:rPr>
          <w:rFonts w:ascii="Book Antiqua" w:hAnsi="Book Antiqua"/>
        </w:rPr>
      </w:pPr>
    </w:p>
    <w:p w14:paraId="42007D0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aps/>
          <w:color w:val="000000"/>
          <w:u w:val="single"/>
        </w:rPr>
        <w:t>PROPOSED MECHANISMS OF LIVER INJURY</w:t>
      </w:r>
    </w:p>
    <w:p w14:paraId="27C97EAA"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The pathological basis of liver injury following COVID-19 infection is puzzling and not fully understood. Studies suggest that direct cytotoxicity, hypoxic hepatitis, cytokine storm syndrome, exacerbation of preexisting liver disease, and drug-induced liver injury (DILI) may be major mechanisms of COVID-19-related liver injury.</w:t>
      </w:r>
    </w:p>
    <w:p w14:paraId="780D02AA" w14:textId="77777777" w:rsidR="00A77B3E" w:rsidRPr="001C61A1" w:rsidRDefault="00A77B3E" w:rsidP="000D1A82">
      <w:pPr>
        <w:spacing w:line="360" w:lineRule="auto"/>
        <w:jc w:val="both"/>
        <w:rPr>
          <w:rFonts w:ascii="Book Antiqua" w:hAnsi="Book Antiqua"/>
        </w:rPr>
      </w:pPr>
    </w:p>
    <w:p w14:paraId="262C3BD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Direct cytotoxicity</w:t>
      </w:r>
    </w:p>
    <w:p w14:paraId="0A000877" w14:textId="2B3D2098"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The dual blood supply to the liver may be a route of infection. It is speculated that retrograde liver infection occurs after intestinal infection with SARS-CoV-2</w:t>
      </w:r>
      <w:r w:rsidRPr="001C61A1">
        <w:rPr>
          <w:rFonts w:ascii="Book Antiqua" w:eastAsia="Book Antiqua" w:hAnsi="Book Antiqua" w:cs="Book Antiqua"/>
          <w:color w:val="000000"/>
          <w:vertAlign w:val="superscript"/>
        </w:rPr>
        <w:t>[32</w:t>
      </w:r>
      <w:r w:rsidR="00044439"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vertAlign w:val="superscript"/>
        </w:rPr>
        <w:t>33]</w:t>
      </w:r>
      <w:r w:rsidRPr="001C61A1">
        <w:rPr>
          <w:rFonts w:ascii="Book Antiqua" w:eastAsia="Book Antiqua" w:hAnsi="Book Antiqua" w:cs="Book Antiqua"/>
          <w:color w:val="000000"/>
        </w:rPr>
        <w:t>. It is known that the S protein of SARS-CoV-2 binds to the angiotensin-converting enzyme 2 (ACE2) receptor to facilitate virus entry into host cells. ACE2 receptors are widely expressed in multiple organs, including the liver</w:t>
      </w:r>
      <w:r w:rsidRPr="001C61A1">
        <w:rPr>
          <w:rFonts w:ascii="Book Antiqua" w:eastAsia="Book Antiqua" w:hAnsi="Book Antiqua" w:cs="Book Antiqua"/>
          <w:color w:val="000000"/>
          <w:vertAlign w:val="superscript"/>
        </w:rPr>
        <w:t>[34]</w:t>
      </w:r>
      <w:r w:rsidRPr="001C61A1">
        <w:rPr>
          <w:rFonts w:ascii="Book Antiqua" w:eastAsia="Book Antiqua" w:hAnsi="Book Antiqua" w:cs="Book Antiqua"/>
          <w:color w:val="000000"/>
        </w:rPr>
        <w:t>. Although the expression of ACE2 is much low</w:t>
      </w:r>
      <w:r w:rsidR="00D60A2E" w:rsidRPr="001C61A1">
        <w:rPr>
          <w:rFonts w:ascii="Book Antiqua" w:eastAsia="Book Antiqua" w:hAnsi="Book Antiqua" w:cs="Book Antiqua"/>
          <w:color w:val="000000"/>
        </w:rPr>
        <w:t>er</w:t>
      </w:r>
      <w:r w:rsidRPr="001C61A1">
        <w:rPr>
          <w:rFonts w:ascii="Book Antiqua" w:eastAsia="Book Antiqua" w:hAnsi="Book Antiqua" w:cs="Book Antiqua"/>
          <w:color w:val="000000"/>
        </w:rPr>
        <w:t xml:space="preserve"> in hepatocytes compared to type 2 pneumocytes, its expression levels are similar in cholangiocytes and type 2 pneumocytes</w:t>
      </w:r>
      <w:r w:rsidRPr="001C61A1">
        <w:rPr>
          <w:rFonts w:ascii="Book Antiqua" w:eastAsia="Book Antiqua" w:hAnsi="Book Antiqua" w:cs="Book Antiqua"/>
          <w:color w:val="000000"/>
          <w:vertAlign w:val="superscript"/>
        </w:rPr>
        <w:t>[35]</w:t>
      </w:r>
      <w:r w:rsidRPr="001C61A1">
        <w:rPr>
          <w:rFonts w:ascii="Book Antiqua" w:eastAsia="Book Antiqua" w:hAnsi="Book Antiqua" w:cs="Book Antiqua"/>
          <w:color w:val="000000"/>
        </w:rPr>
        <w:t>, indicating that the hepatobiliary system is a potential target organ of SARS-CoV</w:t>
      </w:r>
      <w:r w:rsidR="00044439" w:rsidRPr="001C61A1">
        <w:rPr>
          <w:rFonts w:ascii="Book Antiqua" w:eastAsia="Book Antiqua" w:hAnsi="Book Antiqua" w:cs="Book Antiqua"/>
          <w:color w:val="000000"/>
        </w:rPr>
        <w:t>-</w:t>
      </w:r>
      <w:r w:rsidRPr="001C61A1">
        <w:rPr>
          <w:rFonts w:ascii="Book Antiqua" w:eastAsia="Book Antiqua" w:hAnsi="Book Antiqua" w:cs="Book Antiqua"/>
          <w:color w:val="000000"/>
        </w:rPr>
        <w:t>2.</w:t>
      </w:r>
    </w:p>
    <w:p w14:paraId="3E51658B"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SARS-CoV-2 RNA has been reported to be detectable in the liver of COVID-19 patients. Electron microscopy also revealed larger numbers of coronavirus particles in the livers of these patients</w:t>
      </w:r>
      <w:r w:rsidRPr="001C61A1">
        <w:rPr>
          <w:rFonts w:ascii="Book Antiqua" w:eastAsia="Book Antiqua" w:hAnsi="Book Antiqua" w:cs="Book Antiqua"/>
          <w:color w:val="000000"/>
          <w:vertAlign w:val="superscript"/>
        </w:rPr>
        <w:t>[</w:t>
      </w:r>
      <w:r w:rsidR="00044439" w:rsidRPr="001C61A1">
        <w:rPr>
          <w:rFonts w:ascii="Book Antiqua" w:eastAsia="Book Antiqua" w:hAnsi="Book Antiqua" w:cs="Book Antiqua"/>
          <w:color w:val="000000"/>
          <w:vertAlign w:val="superscript"/>
        </w:rPr>
        <w:t>21,</w:t>
      </w:r>
      <w:r w:rsidRPr="001C61A1">
        <w:rPr>
          <w:rFonts w:ascii="Book Antiqua" w:eastAsia="Book Antiqua" w:hAnsi="Book Antiqua" w:cs="Book Antiqua"/>
          <w:color w:val="000000"/>
          <w:vertAlign w:val="superscript"/>
        </w:rPr>
        <w:t>36]</w:t>
      </w:r>
      <w:r w:rsidRPr="001C61A1">
        <w:rPr>
          <w:rFonts w:ascii="Book Antiqua" w:eastAsia="Book Antiqua" w:hAnsi="Book Antiqua" w:cs="Book Antiqua"/>
          <w:color w:val="000000"/>
        </w:rPr>
        <w:t>. Postmortem liver biopsies showed typical coronavirus particles in the cytoplasm and typical viral infection lesions, such as mitochondrial swelling, endoplasmic reticulum dilation, and decreased glycogen granules. Besides, massive hepatocyte apoptosis and some binuclear hepatocytes were also observed</w:t>
      </w:r>
      <w:r w:rsidRPr="001C61A1">
        <w:rPr>
          <w:rFonts w:ascii="Book Antiqua" w:eastAsia="Book Antiqua" w:hAnsi="Book Antiqua" w:cs="Book Antiqua"/>
          <w:color w:val="000000"/>
          <w:vertAlign w:val="superscript"/>
        </w:rPr>
        <w:t>[21]</w:t>
      </w:r>
      <w:r w:rsidRPr="001C61A1">
        <w:rPr>
          <w:rFonts w:ascii="Book Antiqua" w:eastAsia="Book Antiqua" w:hAnsi="Book Antiqua" w:cs="Book Antiqua"/>
          <w:color w:val="000000"/>
        </w:rPr>
        <w:t>.</w:t>
      </w:r>
    </w:p>
    <w:p w14:paraId="53B154B2" w14:textId="77777777" w:rsidR="00A77B3E" w:rsidRPr="001C61A1" w:rsidRDefault="00A77B3E" w:rsidP="000D1A82">
      <w:pPr>
        <w:spacing w:line="360" w:lineRule="auto"/>
        <w:jc w:val="both"/>
        <w:rPr>
          <w:rFonts w:ascii="Book Antiqua" w:hAnsi="Book Antiqua"/>
        </w:rPr>
      </w:pPr>
    </w:p>
    <w:p w14:paraId="550B0A4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Cytokine storm syndrome</w:t>
      </w:r>
    </w:p>
    <w:p w14:paraId="239628ED"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Cytokine storm refers to the rapid and massive production of various cytokines in body fluids, which plays an important role in acute respiratory distress syndrome and multiple organ failure. The liver cannot escape the cytokine storm. The pathogenesis of cytokine-mediated liver injury may stem from inflammation, altered coagulation, and activation of the renin-angiotensin-aldosterone system, culminating in microvascular insult, hepatocyte damage, and perpetuation of inflammation</w:t>
      </w:r>
      <w:r w:rsidRPr="001C61A1">
        <w:rPr>
          <w:rFonts w:ascii="Book Antiqua" w:eastAsia="Book Antiqua" w:hAnsi="Book Antiqua" w:cs="Book Antiqua"/>
          <w:color w:val="000000"/>
          <w:vertAlign w:val="superscript"/>
        </w:rPr>
        <w:t>[37]</w:t>
      </w:r>
      <w:r w:rsidRPr="001C61A1">
        <w:rPr>
          <w:rFonts w:ascii="Book Antiqua" w:eastAsia="Book Antiqua" w:hAnsi="Book Antiqua" w:cs="Book Antiqua"/>
          <w:color w:val="000000"/>
        </w:rPr>
        <w:t xml:space="preserve">. It has been reported that plasma levels of </w:t>
      </w:r>
      <w:bookmarkStart w:id="8" w:name="_Hlk120818380"/>
      <w:r w:rsidRPr="001C61A1">
        <w:rPr>
          <w:rFonts w:ascii="Book Antiqua" w:eastAsia="Book Antiqua" w:hAnsi="Book Antiqua" w:cs="Book Antiqua"/>
          <w:color w:val="000000"/>
        </w:rPr>
        <w:t>interleukin</w:t>
      </w:r>
      <w:bookmarkEnd w:id="8"/>
      <w:r w:rsidRPr="001C61A1">
        <w:rPr>
          <w:rFonts w:ascii="Book Antiqua" w:eastAsia="Book Antiqua" w:hAnsi="Book Antiqua" w:cs="Book Antiqua"/>
          <w:color w:val="000000"/>
        </w:rPr>
        <w:t xml:space="preserve"> (IL)-2, IL-6, IL-7, IL-10, interferon (IFN)-γ, granulocyte </w:t>
      </w:r>
      <w:r w:rsidRPr="001C61A1">
        <w:rPr>
          <w:rFonts w:ascii="Book Antiqua" w:eastAsia="Book Antiqua" w:hAnsi="Book Antiqua" w:cs="Book Antiqua"/>
          <w:color w:val="000000"/>
        </w:rPr>
        <w:lastRenderedPageBreak/>
        <w:t xml:space="preserve">colony-stimulating factor, </w:t>
      </w:r>
      <w:r w:rsidR="00044439" w:rsidRPr="001C61A1">
        <w:rPr>
          <w:rFonts w:ascii="Book Antiqua" w:eastAsia="Book Antiqua" w:hAnsi="Book Antiqua" w:cs="Book Antiqua"/>
          <w:color w:val="000000"/>
        </w:rPr>
        <w:t>IFN</w:t>
      </w:r>
      <w:r w:rsidRPr="001C61A1">
        <w:rPr>
          <w:rFonts w:ascii="Book Antiqua" w:eastAsia="Book Antiqua" w:hAnsi="Book Antiqua" w:cs="Book Antiqua"/>
          <w:color w:val="000000"/>
        </w:rPr>
        <w:t xml:space="preserve">-inducible protein-10, monocyte chemoattractant protein-1, recombinant macrophage inflammatory protein 1 alpha, and </w:t>
      </w:r>
      <w:bookmarkStart w:id="9" w:name="_Hlk120818401"/>
      <w:r w:rsidRPr="001C61A1">
        <w:rPr>
          <w:rFonts w:ascii="Book Antiqua" w:eastAsia="Book Antiqua" w:hAnsi="Book Antiqua" w:cs="Book Antiqua"/>
          <w:color w:val="000000"/>
        </w:rPr>
        <w:t>tumor necrosis factor alpha</w:t>
      </w:r>
      <w:bookmarkEnd w:id="9"/>
      <w:r w:rsidRPr="001C61A1">
        <w:rPr>
          <w:rFonts w:ascii="Book Antiqua" w:eastAsia="Book Antiqua" w:hAnsi="Book Antiqua" w:cs="Book Antiqua"/>
          <w:color w:val="000000"/>
        </w:rPr>
        <w:t xml:space="preserve"> (TNF-α) were higher in severe COVID-19</w:t>
      </w:r>
      <w:r w:rsidRPr="001C61A1">
        <w:rPr>
          <w:rFonts w:ascii="Book Antiqua" w:eastAsia="Book Antiqua" w:hAnsi="Book Antiqua" w:cs="Book Antiqua"/>
          <w:color w:val="000000"/>
          <w:shd w:val="clear" w:color="auto" w:fill="FFFFFF"/>
        </w:rPr>
        <w:t xml:space="preserve"> patients </w:t>
      </w:r>
      <w:r w:rsidRPr="001C61A1">
        <w:rPr>
          <w:rFonts w:ascii="Book Antiqua" w:eastAsia="Book Antiqua" w:hAnsi="Book Antiqua" w:cs="Book Antiqua"/>
          <w:color w:val="000000"/>
        </w:rPr>
        <w:t>than in mild and moderate cases</w:t>
      </w:r>
      <w:r w:rsidRPr="001C61A1">
        <w:rPr>
          <w:rFonts w:ascii="Book Antiqua" w:eastAsia="Book Antiqua" w:hAnsi="Book Antiqua" w:cs="Book Antiqua"/>
          <w:color w:val="000000"/>
          <w:shd w:val="clear" w:color="auto" w:fill="FFFFFF"/>
          <w:vertAlign w:val="superscript"/>
        </w:rPr>
        <w:t>[38,39]</w:t>
      </w:r>
      <w:r w:rsidRPr="001C61A1">
        <w:rPr>
          <w:rFonts w:ascii="Book Antiqua" w:eastAsia="Book Antiqua" w:hAnsi="Book Antiqua" w:cs="Book Antiqua"/>
          <w:color w:val="000000"/>
          <w:shd w:val="clear" w:color="auto" w:fill="FFFFFF"/>
        </w:rPr>
        <w:t>.</w:t>
      </w:r>
    </w:p>
    <w:p w14:paraId="52ACCB7C"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shd w:val="clear" w:color="auto" w:fill="FFFFFF"/>
        </w:rPr>
        <w:t xml:space="preserve">The </w:t>
      </w:r>
      <w:r w:rsidRPr="001C61A1">
        <w:rPr>
          <w:rFonts w:ascii="Book Antiqua" w:eastAsia="Book Antiqua" w:hAnsi="Book Antiqua" w:cs="Book Antiqua"/>
          <w:color w:val="000000"/>
        </w:rPr>
        <w:t>IL-6 signaling complex causes deleterious changes in hepatic sinusoidal endothelial cells and may promote blood clotting. This may be a possible mechanism behind liver injury in these patients</w:t>
      </w:r>
      <w:r w:rsidRPr="001C61A1">
        <w:rPr>
          <w:rFonts w:ascii="Book Antiqua" w:eastAsia="Book Antiqua" w:hAnsi="Book Antiqua" w:cs="Book Antiqua"/>
          <w:color w:val="000000"/>
          <w:vertAlign w:val="superscript"/>
        </w:rPr>
        <w:t>[40]</w:t>
      </w:r>
      <w:r w:rsidRPr="001C61A1">
        <w:rPr>
          <w:rFonts w:ascii="Book Antiqua" w:eastAsia="Book Antiqua" w:hAnsi="Book Antiqua" w:cs="Book Antiqua"/>
          <w:color w:val="000000"/>
        </w:rPr>
        <w:t>. Animal experiments have demonstrated that TNF-α has a moderate contribution to ALT elevation, necroinflammation, and apoptosis</w:t>
      </w:r>
      <w:r w:rsidRPr="001C61A1">
        <w:rPr>
          <w:rFonts w:ascii="Book Antiqua" w:eastAsia="Book Antiqua" w:hAnsi="Book Antiqua" w:cs="Book Antiqua"/>
          <w:color w:val="000000"/>
          <w:vertAlign w:val="superscript"/>
        </w:rPr>
        <w:t>[41]</w:t>
      </w:r>
      <w:r w:rsidRPr="001C61A1">
        <w:rPr>
          <w:rFonts w:ascii="Book Antiqua" w:eastAsia="Book Antiqua" w:hAnsi="Book Antiqua" w:cs="Book Antiqua"/>
          <w:color w:val="000000"/>
        </w:rPr>
        <w:t>. The role of other cytokines in liver injury in COVID-19 patients still requires further study.</w:t>
      </w:r>
    </w:p>
    <w:p w14:paraId="4A074783" w14:textId="77777777" w:rsidR="00A77B3E" w:rsidRPr="001C61A1" w:rsidRDefault="00A77B3E" w:rsidP="000D1A82">
      <w:pPr>
        <w:spacing w:line="360" w:lineRule="auto"/>
        <w:jc w:val="both"/>
        <w:rPr>
          <w:rFonts w:ascii="Book Antiqua" w:hAnsi="Book Antiqua"/>
        </w:rPr>
      </w:pPr>
    </w:p>
    <w:p w14:paraId="144F42E9"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Hypoxia, endotheliitis, and coagulation dysfunction</w:t>
      </w:r>
    </w:p>
    <w:p w14:paraId="3FC6A1B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Patients with COVID-19, especially with severe manifestations, may have varying degrees of hypoxemia. Interestingly, some of them have no experience with breathing difficulties</w:t>
      </w:r>
      <w:r w:rsidRPr="001C61A1">
        <w:rPr>
          <w:rFonts w:ascii="Book Antiqua" w:eastAsia="Book Antiqua" w:hAnsi="Book Antiqua" w:cs="Book Antiqua"/>
          <w:color w:val="000000"/>
          <w:vertAlign w:val="superscript"/>
        </w:rPr>
        <w:t>[42]</w:t>
      </w:r>
      <w:r w:rsidRPr="001C61A1">
        <w:rPr>
          <w:rFonts w:ascii="Book Antiqua" w:eastAsia="Book Antiqua" w:hAnsi="Book Antiqua" w:cs="Book Antiqua"/>
          <w:color w:val="000000"/>
        </w:rPr>
        <w:t xml:space="preserve">. </w:t>
      </w:r>
      <w:r w:rsidRPr="001C61A1">
        <w:rPr>
          <w:rFonts w:ascii="Book Antiqua" w:eastAsia="Book Antiqua" w:hAnsi="Book Antiqua" w:cs="Book Antiqua"/>
          <w:i/>
          <w:iCs/>
          <w:color w:val="000000"/>
        </w:rPr>
        <w:t>In vivo</w:t>
      </w:r>
      <w:r w:rsidRPr="001C61A1">
        <w:rPr>
          <w:rFonts w:ascii="Book Antiqua" w:eastAsia="Book Antiqua" w:hAnsi="Book Antiqua" w:cs="Book Antiqua"/>
          <w:color w:val="000000"/>
        </w:rPr>
        <w:t xml:space="preserve"> and </w:t>
      </w:r>
      <w:r w:rsidRPr="001C61A1">
        <w:rPr>
          <w:rFonts w:ascii="Book Antiqua" w:eastAsia="Book Antiqua" w:hAnsi="Book Antiqua" w:cs="Book Antiqua"/>
          <w:i/>
          <w:iCs/>
          <w:color w:val="000000"/>
        </w:rPr>
        <w:t>in vitro</w:t>
      </w:r>
      <w:r w:rsidRPr="001C61A1">
        <w:rPr>
          <w:rFonts w:ascii="Book Antiqua" w:eastAsia="Book Antiqua" w:hAnsi="Book Antiqua" w:cs="Book Antiqua"/>
          <w:color w:val="000000"/>
        </w:rPr>
        <w:t xml:space="preserve"> studies have observed the occurrence of hepatic ischemia and hypoxia, hepatic cell death, and inflammatory cell infiltration</w:t>
      </w:r>
      <w:r w:rsidRPr="001C61A1">
        <w:rPr>
          <w:rFonts w:ascii="Book Antiqua" w:eastAsia="Book Antiqua" w:hAnsi="Book Antiqua" w:cs="Book Antiqua"/>
          <w:color w:val="000000"/>
          <w:vertAlign w:val="superscript"/>
        </w:rPr>
        <w:t>[43]</w:t>
      </w:r>
      <w:r w:rsidRPr="001C61A1">
        <w:rPr>
          <w:rFonts w:ascii="Book Antiqua" w:eastAsia="Book Antiqua" w:hAnsi="Book Antiqua" w:cs="Book Antiqua"/>
          <w:color w:val="000000"/>
        </w:rPr>
        <w:t>. Moreover, studies have found that SARS-CoV-2 enters endothelial cells, destroys vascular endothelium, and causes diffuse endothelial inflammation that can rapidly induce vasoconstriction and procoagulant tendency</w:t>
      </w:r>
      <w:r w:rsidRPr="001C61A1">
        <w:rPr>
          <w:rFonts w:ascii="Book Antiqua" w:eastAsia="Book Antiqua" w:hAnsi="Book Antiqua" w:cs="Book Antiqua"/>
          <w:color w:val="000000"/>
          <w:vertAlign w:val="superscript"/>
        </w:rPr>
        <w:t>[44</w:t>
      </w:r>
      <w:r w:rsidR="00CC53BB"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vertAlign w:val="superscript"/>
        </w:rPr>
        <w:t>45]</w:t>
      </w:r>
      <w:r w:rsidRPr="001C61A1">
        <w:rPr>
          <w:rFonts w:ascii="Book Antiqua" w:eastAsia="Book Antiqua" w:hAnsi="Book Antiqua" w:cs="Book Antiqua"/>
          <w:color w:val="000000"/>
        </w:rPr>
        <w:t>.</w:t>
      </w:r>
    </w:p>
    <w:p w14:paraId="42369E61"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 xml:space="preserve">Spiezia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[46]</w:t>
      </w:r>
      <w:r w:rsidRPr="001C61A1">
        <w:rPr>
          <w:rFonts w:ascii="Book Antiqua" w:eastAsia="Book Antiqua" w:hAnsi="Book Antiqua" w:cs="Book Antiqua"/>
          <w:color w:val="000000"/>
        </w:rPr>
        <w:t xml:space="preserve"> found that COVID-19 patients with acute respiratory failure presented with severe hypercoagulability rather than consumptive coagulopathy. In these patients, plasma levels of fibrinogen and D-dimer were significantly elevated and a marked hypercoagulable thromboelastometry profile was observed. Rampotas </w:t>
      </w:r>
      <w:r w:rsidR="00CC53BB" w:rsidRPr="001C61A1">
        <w:rPr>
          <w:rFonts w:ascii="Book Antiqua" w:eastAsia="Book Antiqua" w:hAnsi="Book Antiqua" w:cs="Book Antiqua"/>
          <w:color w:val="000000"/>
        </w:rPr>
        <w:t>and Pavord</w:t>
      </w:r>
      <w:r w:rsidRPr="001C61A1">
        <w:rPr>
          <w:rFonts w:ascii="Book Antiqua" w:eastAsia="Book Antiqua" w:hAnsi="Book Antiqua" w:cs="Book Antiqua"/>
          <w:color w:val="000000"/>
          <w:vertAlign w:val="superscript"/>
        </w:rPr>
        <w:t>[47]</w:t>
      </w:r>
      <w:r w:rsidRPr="001C61A1">
        <w:rPr>
          <w:rFonts w:ascii="Book Antiqua" w:eastAsia="Book Antiqua" w:hAnsi="Book Antiqua" w:cs="Book Antiqua"/>
          <w:color w:val="000000"/>
        </w:rPr>
        <w:t xml:space="preserve"> examined 20 random blood films from COVID-19 patients receiving invasive ventilation and observed the presence of platelet aggregates and macrothrombocytes, indicating increased platelet activity.</w:t>
      </w:r>
    </w:p>
    <w:p w14:paraId="4466D238" w14:textId="77777777" w:rsidR="00A77B3E" w:rsidRPr="001C61A1" w:rsidRDefault="00A77B3E" w:rsidP="000D1A82">
      <w:pPr>
        <w:spacing w:line="360" w:lineRule="auto"/>
        <w:jc w:val="both"/>
        <w:rPr>
          <w:rFonts w:ascii="Book Antiqua" w:hAnsi="Book Antiqua"/>
        </w:rPr>
      </w:pPr>
    </w:p>
    <w:p w14:paraId="379B8629"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Reactivation of pre-existing liver disease</w:t>
      </w:r>
    </w:p>
    <w:p w14:paraId="6476A83C" w14:textId="092C3A3A"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 xml:space="preserve">Liu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[48]</w:t>
      </w:r>
      <w:r w:rsidRPr="001C61A1">
        <w:rPr>
          <w:rFonts w:ascii="Book Antiqua" w:eastAsia="Book Antiqua" w:hAnsi="Book Antiqua" w:cs="Book Antiqua"/>
          <w:color w:val="000000"/>
        </w:rPr>
        <w:t xml:space="preserve"> evaluated hepatitis B virus (HBV)-DNA viral load in 19 hospitalized patients with COVID-19. They found that three patients had HBV reactivation (HBVr) and one patient had a high HBV-DNA viral load throughout the hospital stay. This study suggests that COVID-19 patients with pre-existing chronic HBV infection, with or without corticosteroids use, may be at risk for hepatitis B reactivation. In a review, Perrillo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[49]</w:t>
      </w:r>
      <w:r w:rsidRPr="001C61A1">
        <w:rPr>
          <w:rFonts w:ascii="Book Antiqua" w:eastAsia="Book Antiqua" w:hAnsi="Book Antiqua" w:cs="Book Antiqua"/>
          <w:color w:val="000000"/>
        </w:rPr>
        <w:t xml:space="preserve"> divided the drugs that induce HBVr into three categories. High-risk drugs are anticipated to induce HBVr in &gt;</w:t>
      </w:r>
      <w:r w:rsidR="00CC53BB"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10% of cases, moderate-risk drugs are anticipated to induce HBVr in 1</w:t>
      </w:r>
      <w:r w:rsidR="00CC53BB" w:rsidRPr="001C61A1">
        <w:rPr>
          <w:rFonts w:ascii="Book Antiqua" w:eastAsia="Book Antiqua" w:hAnsi="Book Antiqua" w:cs="Book Antiqua"/>
          <w:color w:val="000000"/>
        </w:rPr>
        <w:t>%</w:t>
      </w:r>
      <w:r w:rsidRPr="001C61A1">
        <w:rPr>
          <w:rFonts w:ascii="Book Antiqua" w:eastAsia="Book Antiqua" w:hAnsi="Book Antiqua" w:cs="Book Antiqua"/>
          <w:color w:val="000000"/>
        </w:rPr>
        <w:t>-10% of cases, and low-risk drugs are anticipated to induce HBVr in &lt;</w:t>
      </w:r>
      <w:r w:rsidR="00CC53BB"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1% of cases. Moderate/high-dose corticosteroid therapy for ≥</w:t>
      </w:r>
      <w:r w:rsidR="00CC53BB"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4 wk is a high-risk factor for HBVr</w:t>
      </w:r>
      <w:r w:rsidR="00717906" w:rsidRPr="001C61A1">
        <w:rPr>
          <w:rFonts w:ascii="Book Antiqua" w:eastAsia="Book Antiqua" w:hAnsi="Book Antiqua" w:cs="Book Antiqua"/>
          <w:color w:val="000000"/>
        </w:rPr>
        <w:t>.</w:t>
      </w:r>
      <w:r w:rsidRPr="001C61A1">
        <w:rPr>
          <w:rFonts w:ascii="Book Antiqua" w:eastAsia="Book Antiqua" w:hAnsi="Book Antiqua" w:cs="Book Antiqua"/>
          <w:color w:val="000000"/>
        </w:rPr>
        <w:t xml:space="preserve"> Anthracycline derivatives are moderate/high-risk drugs. Moderate-risk drugs include TNF-</w:t>
      </w:r>
      <w:r w:rsidR="00CC53BB" w:rsidRPr="001C61A1">
        <w:rPr>
          <w:rFonts w:ascii="Book Antiqua" w:hAnsi="Book Antiqua" w:cs="Book Antiqua"/>
          <w:color w:val="000000"/>
          <w:lang w:eastAsia="zh-CN"/>
        </w:rPr>
        <w:t>α</w:t>
      </w:r>
      <w:r w:rsidRPr="001C61A1">
        <w:rPr>
          <w:rFonts w:ascii="Book Antiqua" w:eastAsia="Book Antiqua" w:hAnsi="Book Antiqua" w:cs="Book Antiqua"/>
          <w:color w:val="000000"/>
        </w:rPr>
        <w:t xml:space="preserve"> and other cytokine inhibitors, integrin inhibitors, tyrosine kinase inhibitors, and ≥</w:t>
      </w:r>
      <w:r w:rsidR="00CC53BB"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4 wk of low-dose corticosteroid therapy. Therefore, patients receiving any of these drugs for COVID-19 are at risk of inducing HBVr and its complications.</w:t>
      </w:r>
    </w:p>
    <w:p w14:paraId="372101BB" w14:textId="77777777" w:rsidR="00A77B3E" w:rsidRPr="001C61A1" w:rsidRDefault="00A77B3E" w:rsidP="000D1A82">
      <w:pPr>
        <w:spacing w:line="360" w:lineRule="auto"/>
        <w:jc w:val="both"/>
        <w:rPr>
          <w:rFonts w:ascii="Book Antiqua" w:hAnsi="Book Antiqua"/>
        </w:rPr>
      </w:pPr>
    </w:p>
    <w:p w14:paraId="084C270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DILI</w:t>
      </w:r>
    </w:p>
    <w:p w14:paraId="6C82AF1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Various potentially hepatotoxic drugs such as remdesivir, lopinavir, azithromycin, hydroxychloroquine, acetaminophen, antibiotics, and corticosteroids are thought to induce liver injury</w:t>
      </w:r>
      <w:r w:rsidRPr="001C61A1">
        <w:rPr>
          <w:rFonts w:ascii="Book Antiqua" w:eastAsia="Book Antiqua" w:hAnsi="Book Antiqua" w:cs="Book Antiqua"/>
          <w:color w:val="000000"/>
          <w:vertAlign w:val="superscript"/>
        </w:rPr>
        <w:t>[50,51]</w:t>
      </w:r>
      <w:r w:rsidRPr="001C61A1">
        <w:rPr>
          <w:rFonts w:ascii="Book Antiqua" w:eastAsia="Book Antiqua" w:hAnsi="Book Antiqua" w:cs="Book Antiqua"/>
          <w:color w:val="000000"/>
        </w:rPr>
        <w:t>. In some cases, the extent of liver damage depends on the dose</w:t>
      </w:r>
      <w:r w:rsidRPr="001C61A1">
        <w:rPr>
          <w:rFonts w:ascii="Book Antiqua" w:eastAsia="Book Antiqua" w:hAnsi="Book Antiqua" w:cs="Book Antiqua"/>
          <w:color w:val="000000"/>
          <w:vertAlign w:val="superscript"/>
        </w:rPr>
        <w:t>[52]</w:t>
      </w:r>
      <w:r w:rsidRPr="001C61A1">
        <w:rPr>
          <w:rFonts w:ascii="Book Antiqua" w:eastAsia="Book Antiqua" w:hAnsi="Book Antiqua" w:cs="Book Antiqua"/>
          <w:color w:val="000000"/>
        </w:rPr>
        <w:t>.</w:t>
      </w:r>
      <w:r w:rsidR="00CC53BB" w:rsidRPr="001C61A1">
        <w:rPr>
          <w:rFonts w:ascii="Book Antiqua" w:hAnsi="Book Antiqua"/>
          <w:lang w:eastAsia="zh-CN"/>
        </w:rPr>
        <w:t xml:space="preserve"> </w:t>
      </w:r>
      <w:r w:rsidRPr="001C61A1">
        <w:rPr>
          <w:rFonts w:ascii="Book Antiqua" w:eastAsia="Book Antiqua" w:hAnsi="Book Antiqua" w:cs="Book Antiqua"/>
          <w:color w:val="000000"/>
        </w:rPr>
        <w:t>Antiviral drugs have been used against SARS-CoV-2, examples of such antivirals are remdesivir, lopinavir-ritonavir, and others. They have all been documented to be potentially hepatotoxic. Although some small-scale trials have reported ALT/AST elevations with remdesivir, most clinical trials have not shown significant hepatotoxicity in the treatment of COVID-19</w:t>
      </w:r>
      <w:r w:rsidRPr="001C61A1">
        <w:rPr>
          <w:rFonts w:ascii="Book Antiqua" w:eastAsia="Book Antiqua" w:hAnsi="Book Antiqua" w:cs="Book Antiqua"/>
          <w:color w:val="000000"/>
          <w:vertAlign w:val="superscript"/>
        </w:rPr>
        <w:t>[53]</w:t>
      </w:r>
      <w:r w:rsidRPr="001C61A1">
        <w:rPr>
          <w:rFonts w:ascii="Book Antiqua" w:eastAsia="Book Antiqua" w:hAnsi="Book Antiqua" w:cs="Book Antiqua"/>
          <w:color w:val="000000"/>
        </w:rPr>
        <w:t>. Lopinavir/ritonavir and remdesivir have similar hepatotoxicity profiles</w:t>
      </w:r>
      <w:r w:rsidRPr="001C61A1">
        <w:rPr>
          <w:rFonts w:ascii="Book Antiqua" w:eastAsia="Book Antiqua" w:hAnsi="Book Antiqua" w:cs="Book Antiqua"/>
          <w:color w:val="000000"/>
          <w:vertAlign w:val="superscript"/>
        </w:rPr>
        <w:t>[54]</w:t>
      </w:r>
      <w:r w:rsidRPr="001C61A1">
        <w:rPr>
          <w:rFonts w:ascii="Book Antiqua" w:eastAsia="Book Antiqua" w:hAnsi="Book Antiqua" w:cs="Book Antiqua"/>
          <w:color w:val="000000"/>
        </w:rPr>
        <w:t>.</w:t>
      </w:r>
    </w:p>
    <w:p w14:paraId="6C847E0A" w14:textId="4E1A32AF"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Dexamethasone, used for hypoxic respiratory failure in patients with COVID-19, is known to induce</w:t>
      </w:r>
      <w:r w:rsidR="00441156" w:rsidRPr="001C61A1">
        <w:rPr>
          <w:rFonts w:ascii="Book Antiqua" w:eastAsia="Book Antiqua" w:hAnsi="Book Antiqua" w:cs="Book Antiqua"/>
          <w:color w:val="000000"/>
        </w:rPr>
        <w:t xml:space="preserve"> the</w:t>
      </w:r>
      <w:r w:rsidRPr="001C61A1">
        <w:rPr>
          <w:rFonts w:ascii="Book Antiqua" w:eastAsia="Book Antiqua" w:hAnsi="Book Antiqua" w:cs="Book Antiqua"/>
          <w:color w:val="000000"/>
        </w:rPr>
        <w:t xml:space="preserve"> elevation of liver enzymes, increase hepatic lipid peroxidation, and decrease antioxidant activity</w:t>
      </w:r>
      <w:r w:rsidRPr="001C61A1">
        <w:rPr>
          <w:rFonts w:ascii="Book Antiqua" w:eastAsia="Book Antiqua" w:hAnsi="Book Antiqua" w:cs="Book Antiqua"/>
          <w:color w:val="000000"/>
          <w:vertAlign w:val="superscript"/>
        </w:rPr>
        <w:t>[55]</w:t>
      </w:r>
      <w:r w:rsidRPr="001C61A1">
        <w:rPr>
          <w:rFonts w:ascii="Book Antiqua" w:eastAsia="Book Antiqua" w:hAnsi="Book Antiqua" w:cs="Book Antiqua"/>
          <w:color w:val="000000"/>
        </w:rPr>
        <w:t>. The liver-damaging effects of azithromycin and acetaminophen have been proven for many years</w:t>
      </w:r>
      <w:r w:rsidRPr="001C61A1">
        <w:rPr>
          <w:rFonts w:ascii="Book Antiqua" w:eastAsia="Book Antiqua" w:hAnsi="Book Antiqua" w:cs="Book Antiqua"/>
          <w:color w:val="000000"/>
          <w:vertAlign w:val="superscript"/>
        </w:rPr>
        <w:t>[56,57]</w:t>
      </w:r>
      <w:r w:rsidRPr="001C61A1">
        <w:rPr>
          <w:rFonts w:ascii="Book Antiqua" w:eastAsia="Book Antiqua" w:hAnsi="Book Antiqua" w:cs="Book Antiqua"/>
          <w:color w:val="000000"/>
        </w:rPr>
        <w:t xml:space="preserve">. Acetaminophen, an analgesic and </w:t>
      </w:r>
      <w:r w:rsidRPr="001C61A1">
        <w:rPr>
          <w:rFonts w:ascii="Book Antiqua" w:eastAsia="Book Antiqua" w:hAnsi="Book Antiqua" w:cs="Book Antiqua"/>
          <w:color w:val="000000"/>
        </w:rPr>
        <w:lastRenderedPageBreak/>
        <w:t>antipyretic drug widely used for mild-to-moderate pain and fever, may cause dose-dependent hepatotoxicity</w:t>
      </w:r>
      <w:r w:rsidRPr="001C61A1">
        <w:rPr>
          <w:rFonts w:ascii="Book Antiqua" w:eastAsia="Book Antiqua" w:hAnsi="Book Antiqua" w:cs="Book Antiqua"/>
          <w:color w:val="000000"/>
          <w:vertAlign w:val="superscript"/>
        </w:rPr>
        <w:t>[52]</w:t>
      </w:r>
      <w:r w:rsidRPr="001C61A1">
        <w:rPr>
          <w:rFonts w:ascii="Book Antiqua" w:eastAsia="Book Antiqua" w:hAnsi="Book Antiqua" w:cs="Book Antiqua"/>
          <w:color w:val="000000"/>
        </w:rPr>
        <w:t>.</w:t>
      </w:r>
    </w:p>
    <w:p w14:paraId="31E440BE" w14:textId="77777777" w:rsidR="00A77B3E" w:rsidRPr="001C61A1" w:rsidRDefault="00A77B3E" w:rsidP="000D1A82">
      <w:pPr>
        <w:spacing w:line="360" w:lineRule="auto"/>
        <w:ind w:firstLine="240"/>
        <w:jc w:val="both"/>
        <w:rPr>
          <w:rFonts w:ascii="Book Antiqua" w:hAnsi="Book Antiqua"/>
        </w:rPr>
      </w:pPr>
    </w:p>
    <w:p w14:paraId="1C947D49"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aps/>
          <w:color w:val="000000"/>
          <w:u w:val="single"/>
        </w:rPr>
        <w:t>RISK FACTORS FOR LIVER INJURY</w:t>
      </w:r>
    </w:p>
    <w:p w14:paraId="07971F35" w14:textId="123B050D"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Studies have shown that the incidence of liver injury in severe/critically ill patients is much higher than the incidence in moderate cases</w:t>
      </w:r>
      <w:r w:rsidRPr="001C61A1">
        <w:rPr>
          <w:rFonts w:ascii="Book Antiqua" w:eastAsia="Book Antiqua" w:hAnsi="Book Antiqua" w:cs="Book Antiqua"/>
          <w:color w:val="000000"/>
          <w:vertAlign w:val="superscript"/>
        </w:rPr>
        <w:t>[17,58]</w:t>
      </w:r>
      <w:r w:rsidRPr="001C61A1">
        <w:rPr>
          <w:rFonts w:ascii="Book Antiqua" w:eastAsia="Book Antiqua" w:hAnsi="Book Antiqua" w:cs="Book Antiqua"/>
          <w:color w:val="000000"/>
        </w:rPr>
        <w:t>. Apparently, male sex</w:t>
      </w:r>
      <w:r w:rsidR="00CC53BB" w:rsidRPr="001C61A1">
        <w:rPr>
          <w:rFonts w:ascii="Book Antiqua" w:eastAsia="Book Antiqua" w:hAnsi="Book Antiqua" w:cs="Book Antiqua"/>
          <w:color w:val="000000"/>
        </w:rPr>
        <w:t>,</w:t>
      </w:r>
      <w:r w:rsidR="00CC53BB" w:rsidRPr="001C61A1">
        <w:rPr>
          <w:rFonts w:ascii="Book Antiqua" w:hAnsi="Book Antiqua" w:cs="Book Antiqua"/>
          <w:color w:val="000000"/>
          <w:lang w:eastAsia="zh-CN"/>
        </w:rPr>
        <w:t xml:space="preserve"> </w:t>
      </w:r>
      <w:r w:rsidRPr="001C61A1">
        <w:rPr>
          <w:rFonts w:ascii="Book Antiqua" w:eastAsia="Book Antiqua" w:hAnsi="Book Antiqua" w:cs="Book Antiqua"/>
          <w:color w:val="000000"/>
        </w:rPr>
        <w:t>older age, and higher body mass index are also associated with liver damage from COVID-19</w:t>
      </w:r>
      <w:r w:rsidRPr="001C61A1">
        <w:rPr>
          <w:rFonts w:ascii="Book Antiqua" w:eastAsia="Book Antiqua" w:hAnsi="Book Antiqua" w:cs="Book Antiqua"/>
          <w:color w:val="000000"/>
          <w:vertAlign w:val="superscript"/>
        </w:rPr>
        <w:t>[6,17,58,59]</w:t>
      </w:r>
      <w:r w:rsidRPr="001C61A1">
        <w:rPr>
          <w:rFonts w:ascii="Book Antiqua" w:eastAsia="Book Antiqua" w:hAnsi="Book Antiqua" w:cs="Book Antiqua"/>
          <w:color w:val="000000"/>
        </w:rPr>
        <w:t>. Besides, coexisting diseases such as hypertension, diabetes, cardiovascular disease, malignancy, and some liver diseases may</w:t>
      </w:r>
      <w:r w:rsidR="00E41E2B" w:rsidRPr="001C61A1">
        <w:rPr>
          <w:rFonts w:ascii="Book Antiqua" w:eastAsia="Book Antiqua" w:hAnsi="Book Antiqua" w:cs="Book Antiqua"/>
          <w:color w:val="000000"/>
        </w:rPr>
        <w:t xml:space="preserve"> all</w:t>
      </w:r>
      <w:r w:rsidRPr="001C61A1">
        <w:rPr>
          <w:rFonts w:ascii="Book Antiqua" w:eastAsia="Book Antiqua" w:hAnsi="Book Antiqua" w:cs="Book Antiqua"/>
          <w:color w:val="000000"/>
        </w:rPr>
        <w:t xml:space="preserve"> be risk factors for liver damage</w:t>
      </w:r>
      <w:r w:rsidRPr="001C61A1">
        <w:rPr>
          <w:rFonts w:ascii="Book Antiqua" w:eastAsia="Book Antiqua" w:hAnsi="Book Antiqua" w:cs="Book Antiqua"/>
          <w:color w:val="000000"/>
          <w:vertAlign w:val="superscript"/>
        </w:rPr>
        <w:t>[60,61]</w:t>
      </w:r>
      <w:r w:rsidRPr="001C61A1">
        <w:rPr>
          <w:rFonts w:ascii="Book Antiqua" w:eastAsia="Book Antiqua" w:hAnsi="Book Antiqua" w:cs="Book Antiqua"/>
          <w:color w:val="000000"/>
        </w:rPr>
        <w:t>. Currently, the susceptibility of children and pregnant women to liver injury is not fully understood.</w:t>
      </w:r>
    </w:p>
    <w:p w14:paraId="4B94E4E2" w14:textId="77777777" w:rsidR="00A77B3E" w:rsidRPr="001C61A1" w:rsidRDefault="00A77B3E" w:rsidP="000D1A82">
      <w:pPr>
        <w:spacing w:line="360" w:lineRule="auto"/>
        <w:jc w:val="both"/>
        <w:rPr>
          <w:rFonts w:ascii="Book Antiqua" w:hAnsi="Book Antiqua"/>
        </w:rPr>
      </w:pPr>
    </w:p>
    <w:p w14:paraId="2A1D878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Male sex</w:t>
      </w:r>
    </w:p>
    <w:p w14:paraId="49E4D5DA" w14:textId="2A0DCB83"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Multiple studies show that men with COVID-19 have</w:t>
      </w:r>
      <w:r w:rsidR="00871B1A" w:rsidRPr="001C61A1">
        <w:rPr>
          <w:rFonts w:ascii="Book Antiqua" w:eastAsia="Book Antiqua" w:hAnsi="Book Antiqua" w:cs="Book Antiqua"/>
          <w:color w:val="000000"/>
        </w:rPr>
        <w:t xml:space="preserve"> an</w:t>
      </w:r>
      <w:r w:rsidRPr="001C61A1">
        <w:rPr>
          <w:rFonts w:ascii="Book Antiqua" w:eastAsia="Book Antiqua" w:hAnsi="Book Antiqua" w:cs="Book Antiqua"/>
          <w:color w:val="000000"/>
        </w:rPr>
        <w:t xml:space="preserve"> increased risk of liver damage</w:t>
      </w:r>
      <w:r w:rsidRPr="001C61A1">
        <w:rPr>
          <w:rFonts w:ascii="Book Antiqua" w:eastAsia="Book Antiqua" w:hAnsi="Book Antiqua" w:cs="Book Antiqua"/>
          <w:color w:val="000000"/>
          <w:vertAlign w:val="superscript"/>
        </w:rPr>
        <w:t>[6,17,59,62]</w:t>
      </w:r>
      <w:r w:rsidRPr="001C61A1">
        <w:rPr>
          <w:rFonts w:ascii="Book Antiqua" w:eastAsia="Book Antiqua" w:hAnsi="Book Antiqua" w:cs="Book Antiqua"/>
          <w:color w:val="000000"/>
        </w:rPr>
        <w:t>. Among younger patients, men</w:t>
      </w:r>
      <w:r w:rsidR="00AC39B7" w:rsidRPr="001C61A1">
        <w:rPr>
          <w:rFonts w:ascii="Book Antiqua" w:eastAsia="Book Antiqua" w:hAnsi="Book Antiqua" w:cs="Book Antiqua"/>
          <w:color w:val="000000"/>
        </w:rPr>
        <w:t xml:space="preserve"> also</w:t>
      </w:r>
      <w:r w:rsidRPr="001C61A1">
        <w:rPr>
          <w:rFonts w:ascii="Book Antiqua" w:eastAsia="Book Antiqua" w:hAnsi="Book Antiqua" w:cs="Book Antiqua"/>
          <w:color w:val="000000"/>
        </w:rPr>
        <w:t xml:space="preserve"> have higher odds of severe pneumonia, acute kidney injury, and acute liver injury than women. However, among elderly patients, there was no difference in the likelihood of poor outcomes between men and women</w:t>
      </w:r>
      <w:r w:rsidRPr="001C61A1">
        <w:rPr>
          <w:rFonts w:ascii="Book Antiqua" w:eastAsia="Book Antiqua" w:hAnsi="Book Antiqua" w:cs="Book Antiqua"/>
          <w:color w:val="000000"/>
          <w:vertAlign w:val="superscript"/>
        </w:rPr>
        <w:t>[62]</w:t>
      </w:r>
      <w:r w:rsidRPr="001C61A1">
        <w:rPr>
          <w:rFonts w:ascii="Book Antiqua" w:eastAsia="Book Antiqua" w:hAnsi="Book Antiqua" w:cs="Book Antiqua"/>
          <w:color w:val="000000"/>
        </w:rPr>
        <w:t>.</w:t>
      </w:r>
    </w:p>
    <w:p w14:paraId="6AECF28C"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 xml:space="preserve">Possible mechanisms are attributed to the activity of sex hormones and X-linked genes and differential regulation of innate and adaptive immune responses to viral infection. Compared with women, men have higher circulating levels of ACE2 and ACE2 </w:t>
      </w:r>
      <w:r w:rsidR="00CC53BB" w:rsidRPr="001C61A1">
        <w:rPr>
          <w:rFonts w:ascii="Book Antiqua" w:eastAsia="Book Antiqua" w:hAnsi="Book Antiqua" w:cs="Book Antiqua"/>
          <w:color w:val="000000"/>
        </w:rPr>
        <w:t>l</w:t>
      </w:r>
      <w:r w:rsidRPr="001C61A1">
        <w:rPr>
          <w:rFonts w:ascii="Book Antiqua" w:eastAsia="Book Antiqua" w:hAnsi="Book Antiqua" w:cs="Book Antiqua"/>
          <w:color w:val="000000"/>
        </w:rPr>
        <w:t>evels in the lungs. Moreover, testes have much higher levels of ACE2 than ovaries. Additionally, men have lower expression of protective cytokines but higher levels of pro-inflammatory cytokines and chemokines</w:t>
      </w:r>
      <w:r w:rsidRPr="001C61A1">
        <w:rPr>
          <w:rFonts w:ascii="Book Antiqua" w:eastAsia="Book Antiqua" w:hAnsi="Book Antiqua" w:cs="Book Antiqua"/>
          <w:color w:val="000000"/>
          <w:vertAlign w:val="superscript"/>
        </w:rPr>
        <w:t>[62]</w:t>
      </w:r>
      <w:r w:rsidRPr="001C61A1">
        <w:rPr>
          <w:rFonts w:ascii="Book Antiqua" w:eastAsia="Book Antiqua" w:hAnsi="Book Antiqua" w:cs="Book Antiqua"/>
          <w:color w:val="000000"/>
        </w:rPr>
        <w:t>.</w:t>
      </w:r>
    </w:p>
    <w:p w14:paraId="1F21C359" w14:textId="77777777" w:rsidR="00A77B3E" w:rsidRPr="001C61A1" w:rsidRDefault="00A77B3E" w:rsidP="000D1A82">
      <w:pPr>
        <w:spacing w:line="360" w:lineRule="auto"/>
        <w:jc w:val="both"/>
        <w:rPr>
          <w:rFonts w:ascii="Book Antiqua" w:hAnsi="Book Antiqua"/>
        </w:rPr>
      </w:pPr>
    </w:p>
    <w:p w14:paraId="6D4FE2C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Elderly</w:t>
      </w:r>
    </w:p>
    <w:p w14:paraId="2CBAF38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In a study of 900 patients with COVID-19, those aged 40-69 were at particularly high risk of liver injury and liver-related death. COVID-19-related deaths were more frequent in patients 40-69 years and ≥</w:t>
      </w:r>
      <w:r w:rsidR="00CC53BB"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 xml:space="preserve">70 years of age with elevated AST levels. Although only a small </w:t>
      </w:r>
      <w:r w:rsidRPr="001C61A1">
        <w:rPr>
          <w:rFonts w:ascii="Book Antiqua" w:eastAsia="Book Antiqua" w:hAnsi="Book Antiqua" w:cs="Book Antiqua"/>
          <w:color w:val="000000"/>
        </w:rPr>
        <w:lastRenderedPageBreak/>
        <w:t>proportion (1.7%) of patients without prior liver disease also died from liver-related causes, severe liver impairment and acute liver failure are rare but important complications of COVID-19</w:t>
      </w:r>
      <w:r w:rsidRPr="001C61A1">
        <w:rPr>
          <w:rFonts w:ascii="Book Antiqua" w:eastAsia="Book Antiqua" w:hAnsi="Book Antiqua" w:cs="Book Antiqua"/>
          <w:color w:val="000000"/>
          <w:vertAlign w:val="superscript"/>
        </w:rPr>
        <w:t>[63]</w:t>
      </w:r>
      <w:r w:rsidRPr="001C61A1">
        <w:rPr>
          <w:rFonts w:ascii="Book Antiqua" w:eastAsia="Book Antiqua" w:hAnsi="Book Antiqua" w:cs="Book Antiqua"/>
          <w:color w:val="000000"/>
        </w:rPr>
        <w:t>. Liver dysfunction is associated with poor prognosis in elderly patients with higher mortality due to liver cell damage</w:t>
      </w:r>
      <w:r w:rsidRPr="001C61A1">
        <w:rPr>
          <w:rFonts w:ascii="Book Antiqua" w:eastAsia="Book Antiqua" w:hAnsi="Book Antiqua" w:cs="Book Antiqua"/>
          <w:color w:val="000000"/>
          <w:vertAlign w:val="superscript"/>
        </w:rPr>
        <w:t>[64]</w:t>
      </w:r>
      <w:r w:rsidRPr="001C61A1">
        <w:rPr>
          <w:rFonts w:ascii="Book Antiqua" w:eastAsia="Book Antiqua" w:hAnsi="Book Antiqua" w:cs="Book Antiqua"/>
          <w:color w:val="000000"/>
        </w:rPr>
        <w:t>.</w:t>
      </w:r>
    </w:p>
    <w:p w14:paraId="1B1CA390" w14:textId="77777777" w:rsidR="00A77B3E" w:rsidRPr="001C61A1" w:rsidRDefault="00A77B3E" w:rsidP="000D1A82">
      <w:pPr>
        <w:spacing w:line="360" w:lineRule="auto"/>
        <w:jc w:val="both"/>
        <w:rPr>
          <w:rFonts w:ascii="Book Antiqua" w:hAnsi="Book Antiqua"/>
        </w:rPr>
      </w:pPr>
    </w:p>
    <w:p w14:paraId="34BB7CE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L</w:t>
      </w:r>
      <w:bookmarkStart w:id="10" w:name="_Hlk120815617"/>
      <w:r w:rsidRPr="001C61A1">
        <w:rPr>
          <w:rFonts w:ascii="Book Antiqua" w:eastAsia="Book Antiqua" w:hAnsi="Book Antiqua" w:cs="Book Antiqua"/>
          <w:b/>
          <w:bCs/>
          <w:i/>
          <w:iCs/>
          <w:color w:val="000000"/>
        </w:rPr>
        <w:t>iver transplant</w:t>
      </w:r>
      <w:bookmarkEnd w:id="10"/>
    </w:p>
    <w:p w14:paraId="17B4004A" w14:textId="1BC8179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According to recent reports, </w:t>
      </w:r>
      <w:r w:rsidR="00CC53BB" w:rsidRPr="001C61A1">
        <w:rPr>
          <w:rFonts w:ascii="Book Antiqua" w:eastAsia="Book Antiqua" w:hAnsi="Book Antiqua" w:cs="Book Antiqua"/>
          <w:color w:val="000000"/>
        </w:rPr>
        <w:t>liver transplant (</w:t>
      </w:r>
      <w:r w:rsidRPr="001C61A1">
        <w:rPr>
          <w:rFonts w:ascii="Book Antiqua" w:eastAsia="Book Antiqua" w:hAnsi="Book Antiqua" w:cs="Book Antiqua"/>
          <w:color w:val="000000"/>
        </w:rPr>
        <w:t>LT</w:t>
      </w:r>
      <w:r w:rsidR="00CC53BB" w:rsidRPr="001C61A1">
        <w:rPr>
          <w:rFonts w:ascii="Book Antiqua" w:eastAsia="Book Antiqua" w:hAnsi="Book Antiqua" w:cs="Book Antiqua"/>
          <w:color w:val="000000"/>
        </w:rPr>
        <w:t>)</w:t>
      </w:r>
      <w:r w:rsidRPr="001C61A1">
        <w:rPr>
          <w:rFonts w:ascii="Book Antiqua" w:eastAsia="Book Antiqua" w:hAnsi="Book Antiqua" w:cs="Book Antiqua"/>
          <w:color w:val="000000"/>
        </w:rPr>
        <w:t xml:space="preserve"> patients have a higher incidence of COVID-19, possibly due to long-term immunosuppression. Despite</w:t>
      </w:r>
      <w:r w:rsidR="00EA5746" w:rsidRPr="001C61A1">
        <w:rPr>
          <w:rFonts w:ascii="Book Antiqua" w:eastAsia="Book Antiqua" w:hAnsi="Book Antiqua" w:cs="Book Antiqua"/>
          <w:color w:val="000000"/>
        </w:rPr>
        <w:t xml:space="preserve"> the</w:t>
      </w:r>
      <w:r w:rsidRPr="001C61A1">
        <w:rPr>
          <w:rFonts w:ascii="Book Antiqua" w:eastAsia="Book Antiqua" w:hAnsi="Book Antiqua" w:cs="Book Antiqua"/>
          <w:color w:val="000000"/>
        </w:rPr>
        <w:t xml:space="preserve"> increased risk of acquiring COVID-19, LT patients have lower mortality rates than matched general individuals</w:t>
      </w:r>
      <w:r w:rsidRPr="001C61A1">
        <w:rPr>
          <w:rFonts w:ascii="Book Antiqua" w:eastAsia="Book Antiqua" w:hAnsi="Book Antiqua" w:cs="Book Antiqua"/>
          <w:color w:val="000000"/>
          <w:vertAlign w:val="superscript"/>
        </w:rPr>
        <w:t>[65]</w:t>
      </w:r>
      <w:r w:rsidRPr="001C61A1">
        <w:rPr>
          <w:rFonts w:ascii="Book Antiqua" w:eastAsia="Book Antiqua" w:hAnsi="Book Antiqua" w:cs="Book Antiqua"/>
          <w:color w:val="000000"/>
        </w:rPr>
        <w:t>. In another study, the prevalence of COVID-19 in LT patients was 6.05%, twice that of the general population of the same age, possibly due to higher susceptibility to the virus</w:t>
      </w:r>
      <w:r w:rsidRPr="001C61A1">
        <w:rPr>
          <w:rFonts w:ascii="Book Antiqua" w:eastAsia="Book Antiqua" w:hAnsi="Book Antiqua" w:cs="Book Antiqua"/>
          <w:color w:val="000000"/>
          <w:vertAlign w:val="superscript"/>
        </w:rPr>
        <w:t>[66]</w:t>
      </w:r>
      <w:r w:rsidRPr="001C61A1">
        <w:rPr>
          <w:rFonts w:ascii="Book Antiqua" w:eastAsia="Book Antiqua" w:hAnsi="Book Antiqua" w:cs="Book Antiqua"/>
          <w:color w:val="000000"/>
        </w:rPr>
        <w:t xml:space="preserve">. Verbeek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[67]</w:t>
      </w:r>
      <w:r w:rsidRPr="001C61A1">
        <w:rPr>
          <w:rFonts w:ascii="Book Antiqua" w:eastAsia="Book Antiqua" w:hAnsi="Book Antiqua" w:cs="Book Antiqua"/>
          <w:color w:val="000000"/>
        </w:rPr>
        <w:t xml:space="preserve"> suggested that organ transplantation should be avoided in patients with active infection and respiratory symptoms because of the risk of COVID-19 progression and subsequent organ failure, as well as the risk of exposure to the virus for transplant operators.</w:t>
      </w:r>
    </w:p>
    <w:p w14:paraId="6F7BE435" w14:textId="317A2E1A"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Furthermore, patients with LT are at high risk for hepatic decompensation and increased mortality, and may suffer from severe extrahepatic sequelae of COVID-19</w:t>
      </w:r>
      <w:r w:rsidRPr="001C61A1">
        <w:rPr>
          <w:rFonts w:ascii="Book Antiqua" w:eastAsia="Book Antiqua" w:hAnsi="Book Antiqua" w:cs="Book Antiqua"/>
          <w:color w:val="000000"/>
          <w:vertAlign w:val="superscript"/>
        </w:rPr>
        <w:t>[68,69]</w:t>
      </w:r>
      <w:r w:rsidRPr="001C61A1">
        <w:rPr>
          <w:rFonts w:ascii="Book Antiqua" w:eastAsia="Book Antiqua" w:hAnsi="Book Antiqua" w:cs="Book Antiqua"/>
          <w:color w:val="000000"/>
        </w:rPr>
        <w:t>. Due to lack of evidence that LT children are at</w:t>
      </w:r>
      <w:r w:rsidR="00EA5746" w:rsidRPr="001C61A1">
        <w:rPr>
          <w:rFonts w:ascii="Book Antiqua" w:eastAsia="Book Antiqua" w:hAnsi="Book Antiqua" w:cs="Book Antiqua"/>
          <w:color w:val="000000"/>
        </w:rPr>
        <w:t xml:space="preserve"> a</w:t>
      </w:r>
      <w:r w:rsidRPr="001C61A1">
        <w:rPr>
          <w:rFonts w:ascii="Book Antiqua" w:eastAsia="Book Antiqua" w:hAnsi="Book Antiqua" w:cs="Book Antiqua"/>
          <w:color w:val="000000"/>
        </w:rPr>
        <w:t xml:space="preserve"> greater risk of contracting COVID-19, routine withdrawal of immunosuppressive drugs is not recommended for LT children or patients with autoimmune liver disease</w:t>
      </w:r>
      <w:r w:rsidRPr="001C61A1">
        <w:rPr>
          <w:rFonts w:ascii="Book Antiqua" w:eastAsia="Book Antiqua" w:hAnsi="Book Antiqua" w:cs="Book Antiqua"/>
          <w:color w:val="000000"/>
          <w:vertAlign w:val="superscript"/>
        </w:rPr>
        <w:t>[70]</w:t>
      </w:r>
      <w:r w:rsidRPr="001C61A1">
        <w:rPr>
          <w:rFonts w:ascii="Book Antiqua" w:eastAsia="Book Antiqua" w:hAnsi="Book Antiqua" w:cs="Book Antiqua"/>
          <w:color w:val="000000"/>
        </w:rPr>
        <w:t>. Generally, LT recipients do not appear to have an increased risk of death following COVID-19 infection compared to</w:t>
      </w:r>
      <w:r w:rsidR="00EA5746" w:rsidRPr="001C61A1">
        <w:rPr>
          <w:rFonts w:ascii="Book Antiqua" w:eastAsia="Book Antiqua" w:hAnsi="Book Antiqua" w:cs="Book Antiqua"/>
          <w:color w:val="000000"/>
        </w:rPr>
        <w:t xml:space="preserve"> the</w:t>
      </w:r>
      <w:r w:rsidRPr="001C61A1">
        <w:rPr>
          <w:rFonts w:ascii="Book Antiqua" w:eastAsia="Book Antiqua" w:hAnsi="Book Antiqua" w:cs="Book Antiqua"/>
          <w:color w:val="000000"/>
        </w:rPr>
        <w:t xml:space="preserve"> matched general population</w:t>
      </w:r>
      <w:r w:rsidRPr="001C61A1">
        <w:rPr>
          <w:rFonts w:ascii="Book Antiqua" w:eastAsia="Book Antiqua" w:hAnsi="Book Antiqua" w:cs="Book Antiqua"/>
          <w:color w:val="000000"/>
          <w:vertAlign w:val="superscript"/>
        </w:rPr>
        <w:t>[71]</w:t>
      </w:r>
      <w:r w:rsidRPr="001C61A1">
        <w:rPr>
          <w:rFonts w:ascii="Book Antiqua" w:eastAsia="Book Antiqua" w:hAnsi="Book Antiqua" w:cs="Book Antiqua"/>
          <w:color w:val="000000"/>
        </w:rPr>
        <w:t>.</w:t>
      </w:r>
    </w:p>
    <w:p w14:paraId="7EEEB079" w14:textId="77777777" w:rsidR="00A77B3E" w:rsidRPr="001C61A1" w:rsidRDefault="00A77B3E" w:rsidP="000D1A82">
      <w:pPr>
        <w:spacing w:line="360" w:lineRule="auto"/>
        <w:jc w:val="both"/>
        <w:rPr>
          <w:rFonts w:ascii="Book Antiqua" w:hAnsi="Book Antiqua"/>
        </w:rPr>
      </w:pPr>
    </w:p>
    <w:p w14:paraId="25F50F7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CLD</w:t>
      </w:r>
    </w:p>
    <w:p w14:paraId="455F054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The most common cause of CLD is nonalcoholic fatty liver disease (NAFLD), followed by </w:t>
      </w:r>
      <w:r w:rsidR="00CC53BB" w:rsidRPr="001C61A1">
        <w:rPr>
          <w:rFonts w:ascii="Book Antiqua" w:eastAsia="Book Antiqua" w:hAnsi="Book Antiqua" w:cs="Book Antiqua"/>
          <w:color w:val="000000"/>
        </w:rPr>
        <w:t>HBV</w:t>
      </w:r>
      <w:r w:rsidRPr="001C61A1">
        <w:rPr>
          <w:rFonts w:ascii="Book Antiqua" w:eastAsia="Book Antiqua" w:hAnsi="Book Antiqua" w:cs="Book Antiqua"/>
          <w:color w:val="000000"/>
        </w:rPr>
        <w:t xml:space="preserve"> infection, alcohol-related liver disease, and hepatitis C virus infection</w:t>
      </w:r>
      <w:r w:rsidRPr="001C61A1">
        <w:rPr>
          <w:rFonts w:ascii="Book Antiqua" w:eastAsia="Book Antiqua" w:hAnsi="Book Antiqua" w:cs="Book Antiqua"/>
          <w:color w:val="000000"/>
          <w:vertAlign w:val="superscript"/>
        </w:rPr>
        <w:t>[72]</w:t>
      </w:r>
      <w:r w:rsidRPr="001C61A1">
        <w:rPr>
          <w:rFonts w:ascii="Book Antiqua" w:eastAsia="Book Antiqua" w:hAnsi="Book Antiqua" w:cs="Book Antiqua"/>
          <w:color w:val="000000"/>
        </w:rPr>
        <w:t>. Liver injury and pre-existing CLD are significantly associated with disease severity and mortality in COVID-19 patients</w:t>
      </w:r>
      <w:r w:rsidRPr="001C61A1">
        <w:rPr>
          <w:rFonts w:ascii="Book Antiqua" w:eastAsia="Book Antiqua" w:hAnsi="Book Antiqua" w:cs="Book Antiqua"/>
          <w:color w:val="000000"/>
          <w:vertAlign w:val="superscript"/>
        </w:rPr>
        <w:t>[73,74]</w:t>
      </w:r>
      <w:r w:rsidRPr="001C61A1">
        <w:rPr>
          <w:rFonts w:ascii="Book Antiqua" w:eastAsia="Book Antiqua" w:hAnsi="Book Antiqua" w:cs="Book Antiqua"/>
          <w:color w:val="000000"/>
        </w:rPr>
        <w:t xml:space="preserve">. Yang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[75]</w:t>
      </w:r>
      <w:r w:rsidRPr="001C61A1">
        <w:rPr>
          <w:rFonts w:ascii="Book Antiqua" w:eastAsia="Book Antiqua" w:hAnsi="Book Antiqua" w:cs="Book Antiqua"/>
          <w:color w:val="000000"/>
        </w:rPr>
        <w:t xml:space="preserve"> found that CLD is independently associated with COVID-19 severity and mortality, especially in a male-dominated elderly </w:t>
      </w:r>
      <w:r w:rsidRPr="001C61A1">
        <w:rPr>
          <w:rFonts w:ascii="Book Antiqua" w:eastAsia="Book Antiqua" w:hAnsi="Book Antiqua" w:cs="Book Antiqua"/>
          <w:color w:val="000000"/>
        </w:rPr>
        <w:lastRenderedPageBreak/>
        <w:t>population. However, some studies believe that liver injury is indeed an independent predictor of key outcomes, but CLD and HBV infection status are not significant comorbidities of COVID-19</w:t>
      </w:r>
      <w:r w:rsidRPr="001C61A1">
        <w:rPr>
          <w:rFonts w:ascii="Book Antiqua" w:eastAsia="Book Antiqua" w:hAnsi="Book Antiqua" w:cs="Book Antiqua"/>
          <w:color w:val="000000"/>
          <w:vertAlign w:val="superscript"/>
        </w:rPr>
        <w:t>[73,74,76]</w:t>
      </w:r>
      <w:r w:rsidRPr="001C61A1">
        <w:rPr>
          <w:rFonts w:ascii="Book Antiqua" w:eastAsia="Book Antiqua" w:hAnsi="Book Antiqua" w:cs="Book Antiqua"/>
          <w:color w:val="000000"/>
        </w:rPr>
        <w:t>.</w:t>
      </w:r>
    </w:p>
    <w:p w14:paraId="695B0FDF" w14:textId="78E70056"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Similar to other CLDs, metabolically associated fatty liver disease (MAFLD) has been shown to have longer viral shedding,</w:t>
      </w:r>
      <w:r w:rsidR="00B77512" w:rsidRPr="001C61A1">
        <w:rPr>
          <w:rFonts w:ascii="Book Antiqua" w:eastAsia="Book Antiqua" w:hAnsi="Book Antiqua" w:cs="Book Antiqua"/>
          <w:color w:val="000000"/>
        </w:rPr>
        <w:t xml:space="preserve"> a</w:t>
      </w:r>
      <w:r w:rsidRPr="001C61A1">
        <w:rPr>
          <w:rFonts w:ascii="Book Antiqua" w:eastAsia="Book Antiqua" w:hAnsi="Book Antiqua" w:cs="Book Antiqua"/>
          <w:color w:val="000000"/>
        </w:rPr>
        <w:t xml:space="preserve"> higher risk of disease progression,</w:t>
      </w:r>
      <w:r w:rsidR="00B77512" w:rsidRPr="001C61A1">
        <w:rPr>
          <w:rFonts w:ascii="Book Antiqua" w:eastAsia="Book Antiqua" w:hAnsi="Book Antiqua" w:cs="Book Antiqua"/>
          <w:color w:val="000000"/>
        </w:rPr>
        <w:t xml:space="preserve"> a</w:t>
      </w:r>
      <w:r w:rsidRPr="001C61A1">
        <w:rPr>
          <w:rFonts w:ascii="Book Antiqua" w:eastAsia="Book Antiqua" w:hAnsi="Book Antiqua" w:cs="Book Antiqua"/>
          <w:color w:val="000000"/>
        </w:rPr>
        <w:t xml:space="preserve"> higher all-cause mortality, and higher COVID-19-related mortality than patients without MAFLD</w:t>
      </w:r>
      <w:r w:rsidRPr="001C61A1">
        <w:rPr>
          <w:rFonts w:ascii="Book Antiqua" w:eastAsia="Book Antiqua" w:hAnsi="Book Antiqua" w:cs="Book Antiqua"/>
          <w:color w:val="000000"/>
          <w:vertAlign w:val="superscript"/>
        </w:rPr>
        <w:t>[72,77]</w:t>
      </w:r>
      <w:r w:rsidRPr="001C61A1">
        <w:rPr>
          <w:rFonts w:ascii="Book Antiqua" w:eastAsia="Book Antiqua" w:hAnsi="Book Antiqua" w:cs="Book Antiqua"/>
          <w:color w:val="000000"/>
        </w:rPr>
        <w:t>. Compared with other causes of CLD, patients with autoimmune hepatitis have a worse prognosis for COVID-19</w:t>
      </w:r>
      <w:r w:rsidRPr="001C61A1">
        <w:rPr>
          <w:rFonts w:ascii="Book Antiqua" w:eastAsia="Book Antiqua" w:hAnsi="Book Antiqua" w:cs="Book Antiqua"/>
          <w:color w:val="000000"/>
          <w:vertAlign w:val="superscript"/>
        </w:rPr>
        <w:t>[78,79]</w:t>
      </w:r>
      <w:r w:rsidRPr="001C61A1">
        <w:rPr>
          <w:rFonts w:ascii="Book Antiqua" w:eastAsia="Book Antiqua" w:hAnsi="Book Antiqua" w:cs="Book Antiqua"/>
          <w:color w:val="000000"/>
        </w:rPr>
        <w:t>.</w:t>
      </w:r>
    </w:p>
    <w:p w14:paraId="657CC0FD"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In adult studies, certain populations, such as those with cirrhosis, nonalcoholic steatohepatitis, and liver cancer, have been found to have an increased risk of severe COVID-19 and a poorer prognosis</w:t>
      </w:r>
      <w:r w:rsidRPr="001C61A1">
        <w:rPr>
          <w:rFonts w:ascii="Book Antiqua" w:eastAsia="Book Antiqua" w:hAnsi="Book Antiqua" w:cs="Book Antiqua"/>
          <w:color w:val="000000"/>
          <w:vertAlign w:val="superscript"/>
        </w:rPr>
        <w:t>[69,80-82]</w:t>
      </w:r>
      <w:r w:rsidRPr="001C61A1">
        <w:rPr>
          <w:rFonts w:ascii="Book Antiqua" w:eastAsia="Book Antiqua" w:hAnsi="Book Antiqua" w:cs="Book Antiqua"/>
          <w:color w:val="000000"/>
        </w:rPr>
        <w:t>. In adults with COVID-19, cirrhosis is a risk factor associated with worse outcomes. A large survey of 220727 patients found that COVID-19 infection in patients with cirrhosis was associated with a 2.38-fold risk of death, while cirrhosis in CLD patients with COVID-19 was associated with a 3.31-fold risk of death</w:t>
      </w:r>
      <w:r w:rsidRPr="001C61A1">
        <w:rPr>
          <w:rFonts w:ascii="Book Antiqua" w:eastAsia="Book Antiqua" w:hAnsi="Book Antiqua" w:cs="Book Antiqua"/>
          <w:color w:val="000000"/>
          <w:vertAlign w:val="superscript"/>
        </w:rPr>
        <w:t>[83]</w:t>
      </w:r>
      <w:r w:rsidRPr="001C61A1">
        <w:rPr>
          <w:rFonts w:ascii="Book Antiqua" w:eastAsia="Book Antiqua" w:hAnsi="Book Antiqua" w:cs="Book Antiqua"/>
          <w:color w:val="000000"/>
        </w:rPr>
        <w:t xml:space="preserve">. These results suggest that cirrhotic patients with COVID-19 infection are associated with an increased risk of all-cause mortality. Zecher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[84]</w:t>
      </w:r>
      <w:r w:rsidRPr="001C61A1">
        <w:rPr>
          <w:rFonts w:ascii="Book Antiqua" w:eastAsia="Book Antiqua" w:hAnsi="Book Antiqua" w:cs="Book Antiqua"/>
          <w:color w:val="000000"/>
        </w:rPr>
        <w:t xml:space="preserve"> concluded that there were no differences in age, sex, </w:t>
      </w:r>
      <w:r w:rsidR="00CC53BB" w:rsidRPr="001C61A1">
        <w:rPr>
          <w:rFonts w:ascii="Book Antiqua" w:eastAsia="Book Antiqua" w:hAnsi="Book Antiqua" w:cs="Book Antiqua"/>
          <w:color w:val="000000"/>
        </w:rPr>
        <w:t>autoimmune liver disease</w:t>
      </w:r>
      <w:r w:rsidRPr="001C61A1">
        <w:rPr>
          <w:rFonts w:ascii="Book Antiqua" w:eastAsia="Book Antiqua" w:hAnsi="Book Antiqua" w:cs="Book Antiqua"/>
          <w:color w:val="000000"/>
        </w:rPr>
        <w:t>, and cirrhotic status between COVID-19 and non-COVID-19 cases.</w:t>
      </w:r>
    </w:p>
    <w:p w14:paraId="7E04A816" w14:textId="5CC7FB7F"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Children with CLD, including obese children with suspected or confirmed NAFLD, may be at</w:t>
      </w:r>
      <w:r w:rsidR="00B77512" w:rsidRPr="001C61A1">
        <w:rPr>
          <w:rFonts w:ascii="Book Antiqua" w:eastAsia="Book Antiqua" w:hAnsi="Book Antiqua" w:cs="Book Antiqua"/>
          <w:color w:val="000000"/>
        </w:rPr>
        <w:t xml:space="preserve"> an</w:t>
      </w:r>
      <w:r w:rsidRPr="001C61A1">
        <w:rPr>
          <w:rFonts w:ascii="Book Antiqua" w:eastAsia="Book Antiqua" w:hAnsi="Book Antiqua" w:cs="Book Antiqua"/>
          <w:color w:val="000000"/>
        </w:rPr>
        <w:t xml:space="preserve"> increased risk for COVID-19 infection and severe COVID-19</w:t>
      </w:r>
      <w:r w:rsidRPr="001C61A1">
        <w:rPr>
          <w:rFonts w:ascii="Book Antiqua" w:eastAsia="Book Antiqua" w:hAnsi="Book Antiqua" w:cs="Book Antiqua"/>
          <w:color w:val="000000"/>
          <w:vertAlign w:val="superscript"/>
        </w:rPr>
        <w:t>[70,85]</w:t>
      </w:r>
      <w:r w:rsidRPr="001C61A1">
        <w:rPr>
          <w:rFonts w:ascii="Book Antiqua" w:eastAsia="Book Antiqua" w:hAnsi="Book Antiqua" w:cs="Book Antiqua"/>
          <w:color w:val="000000"/>
        </w:rPr>
        <w:t>. Children with CLD may experience decompensation of end-stage liver disease during COVID-19 infection</w:t>
      </w:r>
      <w:r w:rsidRPr="001C61A1">
        <w:rPr>
          <w:rFonts w:ascii="Book Antiqua" w:eastAsia="Book Antiqua" w:hAnsi="Book Antiqua" w:cs="Book Antiqua"/>
          <w:color w:val="000000"/>
          <w:vertAlign w:val="superscript"/>
        </w:rPr>
        <w:t>[70]</w:t>
      </w:r>
      <w:r w:rsidRPr="001C61A1">
        <w:rPr>
          <w:rFonts w:ascii="Book Antiqua" w:eastAsia="Book Antiqua" w:hAnsi="Book Antiqua" w:cs="Book Antiqua"/>
          <w:color w:val="000000"/>
        </w:rPr>
        <w:t>. Compared with LT recipients, children with CLD, including children with end-stage liver disease, are more likely to be hospitalized and require intensive care</w:t>
      </w:r>
      <w:r w:rsidRPr="001C61A1">
        <w:rPr>
          <w:rFonts w:ascii="Book Antiqua" w:eastAsia="Book Antiqua" w:hAnsi="Book Antiqua" w:cs="Book Antiqua"/>
          <w:color w:val="000000"/>
          <w:vertAlign w:val="superscript"/>
        </w:rPr>
        <w:t>[86]</w:t>
      </w:r>
      <w:r w:rsidRPr="001C61A1">
        <w:rPr>
          <w:rFonts w:ascii="Book Antiqua" w:eastAsia="Book Antiqua" w:hAnsi="Book Antiqua" w:cs="Book Antiqua"/>
          <w:color w:val="000000"/>
        </w:rPr>
        <w:t xml:space="preserve">. However, in the study by Di Giorgio </w:t>
      </w:r>
      <w:r w:rsidRPr="001C61A1">
        <w:rPr>
          <w:rFonts w:ascii="Book Antiqua" w:eastAsia="Book Antiqua" w:hAnsi="Book Antiqua" w:cs="Book Antiqua"/>
          <w:i/>
          <w:iCs/>
          <w:color w:val="000000"/>
        </w:rPr>
        <w:t>et al</w:t>
      </w:r>
      <w:r w:rsidRPr="001C61A1">
        <w:rPr>
          <w:rFonts w:ascii="Book Antiqua" w:eastAsia="Book Antiqua" w:hAnsi="Book Antiqua" w:cs="Book Antiqua"/>
          <w:color w:val="000000"/>
          <w:vertAlign w:val="superscript"/>
        </w:rPr>
        <w:t>[87]</w:t>
      </w:r>
      <w:r w:rsidRPr="001C61A1">
        <w:rPr>
          <w:rFonts w:ascii="Book Antiqua" w:eastAsia="Book Antiqua" w:hAnsi="Book Antiqua" w:cs="Book Antiqua"/>
          <w:color w:val="000000"/>
        </w:rPr>
        <w:t>, the susceptibility of different pediatric patient groups to COVID-19 infection was similar, and underlying liver disease may not increase the risk of severe COVID-19. The inconsistency between these findings may be related to the different sample sizes collected.</w:t>
      </w:r>
    </w:p>
    <w:p w14:paraId="13B14FB4" w14:textId="77777777" w:rsidR="00A77B3E" w:rsidRPr="001C61A1" w:rsidRDefault="00A77B3E" w:rsidP="000D1A82">
      <w:pPr>
        <w:spacing w:line="360" w:lineRule="auto"/>
        <w:ind w:firstLine="240"/>
        <w:jc w:val="both"/>
        <w:rPr>
          <w:rFonts w:ascii="Book Antiqua" w:hAnsi="Book Antiqua"/>
        </w:rPr>
      </w:pPr>
    </w:p>
    <w:p w14:paraId="144B5BA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Obesity</w:t>
      </w:r>
    </w:p>
    <w:p w14:paraId="2A08A090" w14:textId="47ECE106"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Cumulative evidence support obesity as a risk factor for severe COVID-19 and related death, directly or indirectly increasing inflammation, hypercoagulability, and mechanical obstruction</w:t>
      </w:r>
      <w:r w:rsidRPr="001C61A1">
        <w:rPr>
          <w:rFonts w:ascii="Book Antiqua" w:eastAsia="Book Antiqua" w:hAnsi="Book Antiqua" w:cs="Book Antiqua"/>
          <w:color w:val="000000"/>
          <w:vertAlign w:val="superscript"/>
        </w:rPr>
        <w:t>[88]</w:t>
      </w:r>
      <w:r w:rsidRPr="001C61A1">
        <w:rPr>
          <w:rFonts w:ascii="Book Antiqua" w:eastAsia="Book Antiqua" w:hAnsi="Book Antiqua" w:cs="Book Antiqua"/>
          <w:color w:val="000000"/>
        </w:rPr>
        <w:t>. Obesity has emerged as a strong independent determinant of increased risk of morbidity and mortality in patients infected with COVID-19. In addition, data suggest that visceral obesity and hyperglycemia in non-diabetic and diabetic patients may also be significant independent risk factors for severe COVID-19</w:t>
      </w:r>
      <w:r w:rsidRPr="001C61A1">
        <w:rPr>
          <w:rFonts w:ascii="Book Antiqua" w:eastAsia="Book Antiqua" w:hAnsi="Book Antiqua" w:cs="Book Antiqua"/>
          <w:color w:val="000000"/>
          <w:vertAlign w:val="superscript"/>
        </w:rPr>
        <w:t>[89]</w:t>
      </w:r>
      <w:r w:rsidRPr="001C61A1">
        <w:rPr>
          <w:rFonts w:ascii="Book Antiqua" w:eastAsia="Book Antiqua" w:hAnsi="Book Antiqua" w:cs="Book Antiqua"/>
          <w:color w:val="000000"/>
        </w:rPr>
        <w:t>. In another study, patients aged 40-69 had a higher prevalence of obesity (44.4%), suggesting that a certain proportion of patients with hepatic steatosis in this age group may be predisposed to COVID-19-related liver damage</w:t>
      </w:r>
      <w:r w:rsidRPr="001C61A1">
        <w:rPr>
          <w:rFonts w:ascii="Book Antiqua" w:eastAsia="Book Antiqua" w:hAnsi="Book Antiqua" w:cs="Book Antiqua"/>
          <w:color w:val="000000"/>
          <w:vertAlign w:val="superscript"/>
        </w:rPr>
        <w:t>[63,78,90]</w:t>
      </w:r>
      <w:r w:rsidRPr="001C61A1">
        <w:rPr>
          <w:rFonts w:ascii="Book Antiqua" w:eastAsia="Book Antiqua" w:hAnsi="Book Antiqua" w:cs="Book Antiqua"/>
          <w:color w:val="000000"/>
        </w:rPr>
        <w:t>. Furthermore, one study showed that &gt;</w:t>
      </w:r>
      <w:r w:rsidR="00CC53BB"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50% of COVID-19 cases in patients with underlying hepatic steatosis were severe, with a mortality rate of 17%</w:t>
      </w:r>
      <w:r w:rsidRPr="001C61A1">
        <w:rPr>
          <w:rFonts w:ascii="Book Antiqua" w:eastAsia="Book Antiqua" w:hAnsi="Book Antiqua" w:cs="Book Antiqua"/>
          <w:color w:val="000000"/>
          <w:vertAlign w:val="superscript"/>
        </w:rPr>
        <w:t>[91]</w:t>
      </w:r>
      <w:r w:rsidRPr="001C61A1">
        <w:rPr>
          <w:rFonts w:ascii="Book Antiqua" w:eastAsia="Book Antiqua" w:hAnsi="Book Antiqua" w:cs="Book Antiqua"/>
          <w:color w:val="000000"/>
        </w:rPr>
        <w:t>.</w:t>
      </w:r>
    </w:p>
    <w:p w14:paraId="28048E4E" w14:textId="77777777" w:rsidR="00A77B3E" w:rsidRPr="001C61A1" w:rsidRDefault="00A77B3E" w:rsidP="000D1A82">
      <w:pPr>
        <w:spacing w:line="360" w:lineRule="auto"/>
        <w:jc w:val="both"/>
        <w:rPr>
          <w:rFonts w:ascii="Book Antiqua" w:hAnsi="Book Antiqua"/>
        </w:rPr>
      </w:pPr>
    </w:p>
    <w:p w14:paraId="51D3FF9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Diabetes mellitus</w:t>
      </w:r>
    </w:p>
    <w:p w14:paraId="4D00C847" w14:textId="04FEF094"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Diabetes mellitus, whether due to insufficient pancreatic beta cells or peripheral insulin resistance, is considered a risk factor for COVID-19 infection. Numerous studies have shown that new-onset hyperglycemia, ketoacidosis, and diabetes are frequently observed in patients with COVID-19</w:t>
      </w:r>
      <w:r w:rsidRPr="001C61A1">
        <w:rPr>
          <w:rFonts w:ascii="Book Antiqua" w:eastAsia="Book Antiqua" w:hAnsi="Book Antiqua" w:cs="Book Antiqua"/>
          <w:color w:val="000000"/>
          <w:vertAlign w:val="superscript"/>
        </w:rPr>
        <w:t>[88,89,92,93]</w:t>
      </w:r>
      <w:r w:rsidRPr="001C61A1">
        <w:rPr>
          <w:rFonts w:ascii="Book Antiqua" w:eastAsia="Book Antiqua" w:hAnsi="Book Antiqua" w:cs="Book Antiqua"/>
          <w:color w:val="000000"/>
        </w:rPr>
        <w:t>. Individuals with diabetes often have associated comorbidities, such as obesity, hypertension, and cardiovascular disease, as well as diabetic complications, including chronic kidney disease, vascular disease, and related immune dysfunction, all of which put them at risk for infectious complications</w:t>
      </w:r>
      <w:r w:rsidRPr="001C61A1">
        <w:rPr>
          <w:rFonts w:ascii="Book Antiqua" w:eastAsia="Book Antiqua" w:hAnsi="Book Antiqua" w:cs="Book Antiqua"/>
          <w:color w:val="000000"/>
          <w:vertAlign w:val="superscript"/>
        </w:rPr>
        <w:t>[94]</w:t>
      </w:r>
      <w:r w:rsidRPr="001C61A1">
        <w:rPr>
          <w:rFonts w:ascii="Book Antiqua" w:eastAsia="Book Antiqua" w:hAnsi="Book Antiqua" w:cs="Book Antiqua"/>
          <w:color w:val="000000"/>
        </w:rPr>
        <w:t>. In a study of 458 patients with COVID-19 and diabetes, those with liver injury and chronic kidney disease had significantly higher mortality rates than other complications</w:t>
      </w:r>
      <w:r w:rsidRPr="001C61A1">
        <w:rPr>
          <w:rFonts w:ascii="Book Antiqua" w:eastAsia="Book Antiqua" w:hAnsi="Book Antiqua" w:cs="Book Antiqua"/>
          <w:color w:val="000000"/>
          <w:vertAlign w:val="superscript"/>
        </w:rPr>
        <w:t>[95]</w:t>
      </w:r>
      <w:r w:rsidRPr="001C61A1">
        <w:rPr>
          <w:rFonts w:ascii="Book Antiqua" w:eastAsia="Book Antiqua" w:hAnsi="Book Antiqua" w:cs="Book Antiqua"/>
          <w:color w:val="000000"/>
        </w:rPr>
        <w:t>. In other words, chronic kidney disease and liver disease are the two main contributors to the rise in mortality among patients with diabetes and COVID-19.</w:t>
      </w:r>
    </w:p>
    <w:p w14:paraId="32101AC5" w14:textId="77777777" w:rsidR="00A77B3E" w:rsidRPr="001C61A1" w:rsidRDefault="00A77B3E" w:rsidP="000D1A82">
      <w:pPr>
        <w:spacing w:line="360" w:lineRule="auto"/>
        <w:jc w:val="both"/>
        <w:rPr>
          <w:rFonts w:ascii="Book Antiqua" w:hAnsi="Book Antiqua"/>
        </w:rPr>
      </w:pPr>
    </w:p>
    <w:p w14:paraId="2EDFBC4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Malignancy</w:t>
      </w:r>
    </w:p>
    <w:p w14:paraId="5846B8EC" w14:textId="38F4931E"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Hepatocellular carcinoma (HCC) has been identified as a predictor of poor prognosis in COVID-19 patients</w:t>
      </w:r>
      <w:r w:rsidRPr="001C61A1">
        <w:rPr>
          <w:rFonts w:ascii="Book Antiqua" w:eastAsia="Book Antiqua" w:hAnsi="Book Antiqua" w:cs="Book Antiqua"/>
          <w:color w:val="000000"/>
          <w:vertAlign w:val="superscript"/>
        </w:rPr>
        <w:t>[72,76]</w:t>
      </w:r>
      <w:r w:rsidRPr="001C61A1">
        <w:rPr>
          <w:rFonts w:ascii="Book Antiqua" w:eastAsia="Book Antiqua" w:hAnsi="Book Antiqua" w:cs="Book Antiqua"/>
          <w:color w:val="000000"/>
        </w:rPr>
        <w:t>. HCC is often associated with cirrhosis, suggesting that dec</w:t>
      </w:r>
      <w:r w:rsidR="004A5D12" w:rsidRPr="001C61A1">
        <w:rPr>
          <w:rFonts w:ascii="Book Antiqua" w:eastAsia="Book Antiqua" w:hAnsi="Book Antiqua" w:cs="Book Antiqua"/>
          <w:color w:val="000000"/>
        </w:rPr>
        <w:t>r</w:t>
      </w:r>
      <w:r w:rsidRPr="001C61A1">
        <w:rPr>
          <w:rFonts w:ascii="Book Antiqua" w:eastAsia="Book Antiqua" w:hAnsi="Book Antiqua" w:cs="Book Antiqua"/>
          <w:color w:val="000000"/>
        </w:rPr>
        <w:t xml:space="preserve">eased immunity may increase the risk of severe COVID-19, and that infection with </w:t>
      </w:r>
      <w:r w:rsidRPr="001C61A1">
        <w:rPr>
          <w:rFonts w:ascii="Book Antiqua" w:eastAsia="Book Antiqua" w:hAnsi="Book Antiqua" w:cs="Book Antiqua"/>
          <w:color w:val="000000"/>
        </w:rPr>
        <w:lastRenderedPageBreak/>
        <w:t>COVID-19 can exacerbate pre-existing liver disease, complicating cancer management</w:t>
      </w:r>
      <w:r w:rsidRPr="001C61A1">
        <w:rPr>
          <w:rFonts w:ascii="Book Antiqua" w:eastAsia="Book Antiqua" w:hAnsi="Book Antiqua" w:cs="Book Antiqua"/>
          <w:color w:val="000000"/>
          <w:vertAlign w:val="superscript"/>
        </w:rPr>
        <w:t>[96]</w:t>
      </w:r>
      <w:r w:rsidRPr="001C61A1">
        <w:rPr>
          <w:rFonts w:ascii="Book Antiqua" w:eastAsia="Book Antiqua" w:hAnsi="Book Antiqua" w:cs="Book Antiqua"/>
          <w:color w:val="000000"/>
        </w:rPr>
        <w:t>. Furthermore, COVID-19 vaccination is recommended for LT candidates and patients with CLD or HCC as they are susceptible to severe COVID-19</w:t>
      </w:r>
      <w:r w:rsidRPr="001C61A1">
        <w:rPr>
          <w:rFonts w:ascii="Book Antiqua" w:eastAsia="Book Antiqua" w:hAnsi="Book Antiqua" w:cs="Book Antiqua"/>
          <w:color w:val="000000"/>
          <w:vertAlign w:val="superscript"/>
        </w:rPr>
        <w:t>[68]</w:t>
      </w:r>
      <w:r w:rsidRPr="001C61A1">
        <w:rPr>
          <w:rFonts w:ascii="Book Antiqua" w:eastAsia="Book Antiqua" w:hAnsi="Book Antiqua" w:cs="Book Antiqua"/>
          <w:color w:val="000000"/>
        </w:rPr>
        <w:t>. Overall, cancer patients are considered to be at high risk of developing severe COVID-19 due to comorbidities and immunosuppressive status, especially among those who have recently received chemotherapy or had surgery within a month</w:t>
      </w:r>
      <w:r w:rsidRPr="001C61A1">
        <w:rPr>
          <w:rFonts w:ascii="Book Antiqua" w:eastAsia="Book Antiqua" w:hAnsi="Book Antiqua" w:cs="Book Antiqua"/>
          <w:color w:val="000000"/>
          <w:vertAlign w:val="superscript"/>
        </w:rPr>
        <w:t>[96,97]</w:t>
      </w:r>
      <w:r w:rsidRPr="001C61A1">
        <w:rPr>
          <w:rFonts w:ascii="Book Antiqua" w:eastAsia="Book Antiqua" w:hAnsi="Book Antiqua" w:cs="Book Antiqua"/>
          <w:color w:val="000000"/>
        </w:rPr>
        <w:t>.</w:t>
      </w:r>
    </w:p>
    <w:p w14:paraId="2C311A5D" w14:textId="77777777" w:rsidR="00A77B3E" w:rsidRPr="001C61A1" w:rsidRDefault="00A77B3E" w:rsidP="000D1A82">
      <w:pPr>
        <w:spacing w:line="360" w:lineRule="auto"/>
        <w:jc w:val="both"/>
        <w:rPr>
          <w:rFonts w:ascii="Book Antiqua" w:hAnsi="Book Antiqua"/>
        </w:rPr>
      </w:pPr>
    </w:p>
    <w:p w14:paraId="72CD397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Hypertension</w:t>
      </w:r>
    </w:p>
    <w:p w14:paraId="4621DE8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In a study of 300 patients with COVID-19, 33.2% were diagnosed with hypertension at admission. These hypertensive patients displayed higher levels of Troponin T and creatinine near hospital discharge</w:t>
      </w:r>
      <w:r w:rsidRPr="001C61A1">
        <w:rPr>
          <w:rFonts w:ascii="Book Antiqua" w:eastAsia="Book Antiqua" w:hAnsi="Book Antiqua" w:cs="Book Antiqua"/>
          <w:color w:val="000000"/>
          <w:vertAlign w:val="superscript"/>
        </w:rPr>
        <w:t>[93]</w:t>
      </w:r>
      <w:r w:rsidRPr="001C61A1">
        <w:rPr>
          <w:rFonts w:ascii="Book Antiqua" w:eastAsia="Book Antiqua" w:hAnsi="Book Antiqua" w:cs="Book Antiqua"/>
          <w:color w:val="000000"/>
        </w:rPr>
        <w:t>. Notably, the proportion of hypertensive patients in severe COVID-19 was significantly higher, and the mortality rate of severe patients was higher</w:t>
      </w:r>
      <w:r w:rsidRPr="001C61A1">
        <w:rPr>
          <w:rFonts w:ascii="Book Antiqua" w:eastAsia="Book Antiqua" w:hAnsi="Book Antiqua" w:cs="Book Antiqua"/>
          <w:color w:val="000000"/>
          <w:vertAlign w:val="superscript"/>
        </w:rPr>
        <w:t>[93]</w:t>
      </w:r>
      <w:r w:rsidRPr="001C61A1">
        <w:rPr>
          <w:rFonts w:ascii="Book Antiqua" w:eastAsia="Book Antiqua" w:hAnsi="Book Antiqua" w:cs="Book Antiqua"/>
          <w:color w:val="000000"/>
        </w:rPr>
        <w:t>. In addition, high blood pressure may increase the risk of liver damage following COVID-19 infection in elderly patients without pre-existing CLD</w:t>
      </w:r>
      <w:r w:rsidRPr="001C61A1">
        <w:rPr>
          <w:rFonts w:ascii="Book Antiqua" w:eastAsia="Book Antiqua" w:hAnsi="Book Antiqua" w:cs="Book Antiqua"/>
          <w:color w:val="000000"/>
          <w:vertAlign w:val="superscript"/>
        </w:rPr>
        <w:t>[73]</w:t>
      </w:r>
      <w:r w:rsidRPr="001C61A1">
        <w:rPr>
          <w:rFonts w:ascii="Book Antiqua" w:eastAsia="Book Antiqua" w:hAnsi="Book Antiqua" w:cs="Book Antiqua"/>
          <w:color w:val="000000"/>
        </w:rPr>
        <w:t>.</w:t>
      </w:r>
    </w:p>
    <w:p w14:paraId="1C637EBF" w14:textId="77777777"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It has been reported that hypertensive patients have a higher probability of liver damage and a poorer prognosis. The underlying mechanism may be related to the activation of the renin-angiotensin system and the damage of ACE2-positive cholangiocytes and hepatocytes, which further lead to cholangiocyte and hepatocyte-associated disorders</w:t>
      </w:r>
      <w:r w:rsidRPr="001C61A1">
        <w:rPr>
          <w:rFonts w:ascii="Book Antiqua" w:eastAsia="Book Antiqua" w:hAnsi="Book Antiqua" w:cs="Book Antiqua"/>
          <w:color w:val="000000"/>
          <w:vertAlign w:val="superscript"/>
        </w:rPr>
        <w:t>[69,81,98,99]</w:t>
      </w:r>
      <w:r w:rsidRPr="001C61A1">
        <w:rPr>
          <w:rFonts w:ascii="Book Antiqua" w:eastAsia="Book Antiqua" w:hAnsi="Book Antiqua" w:cs="Book Antiqua"/>
          <w:color w:val="000000"/>
        </w:rPr>
        <w:t xml:space="preserve">. ACE2-stimulating drugs for high blood pressure have been hypothesized to increase the risk of fatal COVID-19. Fang </w:t>
      </w:r>
      <w:r w:rsidRPr="001C61A1">
        <w:rPr>
          <w:rFonts w:ascii="Book Antiqua" w:eastAsia="Book Antiqua" w:hAnsi="Book Antiqua" w:cs="Book Antiqua"/>
          <w:i/>
          <w:iCs/>
          <w:color w:val="000000"/>
        </w:rPr>
        <w:t>et al</w:t>
      </w:r>
      <w:r w:rsidR="00CC53BB" w:rsidRPr="001C61A1">
        <w:rPr>
          <w:rFonts w:ascii="Book Antiqua" w:eastAsia="Book Antiqua" w:hAnsi="Book Antiqua" w:cs="Book Antiqua"/>
          <w:color w:val="000000"/>
          <w:vertAlign w:val="superscript"/>
        </w:rPr>
        <w:t>[100]</w:t>
      </w:r>
      <w:r w:rsidRPr="001C61A1">
        <w:rPr>
          <w:rFonts w:ascii="Book Antiqua" w:eastAsia="Book Antiqua" w:hAnsi="Book Antiqua" w:cs="Book Antiqua"/>
          <w:color w:val="000000"/>
        </w:rPr>
        <w:t xml:space="preserve"> reported that patients using ACE2-elevating drugs for hypertension, diabetes or heart disease are at increased risk of COVID-19 infection.</w:t>
      </w:r>
    </w:p>
    <w:p w14:paraId="30022FB8" w14:textId="77777777" w:rsidR="00A77B3E" w:rsidRPr="001C61A1" w:rsidRDefault="00A77B3E" w:rsidP="000D1A82">
      <w:pPr>
        <w:spacing w:line="360" w:lineRule="auto"/>
        <w:jc w:val="both"/>
        <w:rPr>
          <w:rFonts w:ascii="Book Antiqua" w:hAnsi="Book Antiqua"/>
        </w:rPr>
      </w:pPr>
    </w:p>
    <w:p w14:paraId="5EED608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Pregnancy</w:t>
      </w:r>
    </w:p>
    <w:p w14:paraId="539C640B" w14:textId="79B85BFD"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Pregnant woman with COVID-19 have significantly decreased blood lymphocytes, increased neutrophils, and elevated C-reactive protein and TBil levels</w:t>
      </w:r>
      <w:r w:rsidRPr="001C61A1">
        <w:rPr>
          <w:rFonts w:ascii="Book Antiqua" w:eastAsia="Book Antiqua" w:hAnsi="Book Antiqua" w:cs="Book Antiqua"/>
          <w:color w:val="000000"/>
          <w:vertAlign w:val="superscript"/>
        </w:rPr>
        <w:t>[101]</w:t>
      </w:r>
      <w:r w:rsidRPr="001C61A1">
        <w:rPr>
          <w:rFonts w:ascii="Book Antiqua" w:eastAsia="Book Antiqua" w:hAnsi="Book Antiqua" w:cs="Book Antiqua"/>
          <w:color w:val="000000"/>
        </w:rPr>
        <w:t xml:space="preserve">. In the study by Deng </w:t>
      </w:r>
      <w:r w:rsidRPr="001C61A1">
        <w:rPr>
          <w:rFonts w:ascii="Book Antiqua" w:eastAsia="Book Antiqua" w:hAnsi="Book Antiqua" w:cs="Book Antiqua"/>
          <w:i/>
          <w:iCs/>
          <w:color w:val="000000"/>
        </w:rPr>
        <w:t>et al</w:t>
      </w:r>
      <w:r w:rsidR="009E1AF2" w:rsidRPr="001C61A1">
        <w:rPr>
          <w:rFonts w:ascii="Book Antiqua" w:eastAsia="Book Antiqua" w:hAnsi="Book Antiqua" w:cs="Book Antiqua"/>
          <w:color w:val="000000"/>
          <w:vertAlign w:val="superscript"/>
        </w:rPr>
        <w:t>[102]</w:t>
      </w:r>
      <w:r w:rsidRPr="001C61A1">
        <w:rPr>
          <w:rFonts w:ascii="Book Antiqua" w:eastAsia="Book Antiqua" w:hAnsi="Book Antiqua" w:cs="Book Antiqua"/>
          <w:color w:val="000000"/>
        </w:rPr>
        <w:t xml:space="preserve">, the incidence of liver injury in pregnant women infected with COVID-19 was 29.7%. Despite a higher frequency of ICU admissions, in-hospital mortality was lower among pregnant patients compared with non-pregnant patients with COVID-19 </w:t>
      </w:r>
      <w:r w:rsidRPr="001C61A1">
        <w:rPr>
          <w:rFonts w:ascii="Book Antiqua" w:eastAsia="Book Antiqua" w:hAnsi="Book Antiqua" w:cs="Book Antiqua"/>
          <w:color w:val="000000"/>
        </w:rPr>
        <w:lastRenderedPageBreak/>
        <w:t>viral pneumonia, at 1.1% for pregnant women and 3.5% for non-pregnant women. Pregnancy is not an independent risk factor for in-hospital mortality in COVID-19 patients</w:t>
      </w:r>
      <w:r w:rsidRPr="001C61A1">
        <w:rPr>
          <w:rFonts w:ascii="Book Antiqua" w:eastAsia="Book Antiqua" w:hAnsi="Book Antiqua" w:cs="Book Antiqua"/>
          <w:color w:val="000000"/>
          <w:vertAlign w:val="superscript"/>
        </w:rPr>
        <w:t>[103]</w:t>
      </w:r>
      <w:r w:rsidRPr="001C61A1">
        <w:rPr>
          <w:rFonts w:ascii="Book Antiqua" w:eastAsia="Book Antiqua" w:hAnsi="Book Antiqua" w:cs="Book Antiqua"/>
          <w:color w:val="000000"/>
        </w:rPr>
        <w:t xml:space="preserve">. In the study by </w:t>
      </w:r>
      <w:r w:rsidR="001C30F2" w:rsidRPr="001C61A1">
        <w:rPr>
          <w:rFonts w:ascii="Book Antiqua" w:eastAsia="Book Antiqua" w:hAnsi="Book Antiqua" w:cs="Book Antiqua"/>
          <w:color w:val="000000"/>
        </w:rPr>
        <w:t>Tunç</w:t>
      </w:r>
      <w:r w:rsidRPr="001C61A1">
        <w:rPr>
          <w:rFonts w:ascii="Book Antiqua" w:eastAsia="Book Antiqua" w:hAnsi="Book Antiqua" w:cs="Book Antiqua"/>
          <w:color w:val="000000"/>
        </w:rPr>
        <w:t xml:space="preserve"> </w:t>
      </w:r>
      <w:r w:rsidRPr="001C61A1">
        <w:rPr>
          <w:rFonts w:ascii="Book Antiqua" w:eastAsia="Book Antiqua" w:hAnsi="Book Antiqua" w:cs="Book Antiqua"/>
          <w:i/>
          <w:iCs/>
          <w:color w:val="000000"/>
        </w:rPr>
        <w:t>et al</w:t>
      </w:r>
      <w:r w:rsidR="005419E1" w:rsidRPr="001C61A1">
        <w:rPr>
          <w:rFonts w:ascii="Book Antiqua" w:eastAsia="Book Antiqua" w:hAnsi="Book Antiqua" w:cs="Book Antiqua"/>
          <w:color w:val="000000"/>
          <w:vertAlign w:val="superscript"/>
        </w:rPr>
        <w:t>[10</w:t>
      </w:r>
      <w:r w:rsidR="005419E1" w:rsidRPr="001C61A1">
        <w:rPr>
          <w:rFonts w:ascii="Book Antiqua" w:hAnsi="Book Antiqua" w:cs="Book Antiqua"/>
          <w:color w:val="000000"/>
          <w:vertAlign w:val="superscript"/>
          <w:lang w:eastAsia="zh-CN"/>
        </w:rPr>
        <w:t>4</w:t>
      </w:r>
      <w:r w:rsidR="005419E1"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COVID-19-related hospitalization rates were 24.1% in the first trimester, 36% in the second trimester, and 57.3% in the third trimester; there was no significant relationship between pregnancy duration and the need for ICU admission.</w:t>
      </w:r>
    </w:p>
    <w:p w14:paraId="31B6EDC3" w14:textId="00C27FEB"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However, pregnant women may have many comorbidities, including hypertension, chronic lung disease, diabetes, and obesity, compared with non-pregnant women</w:t>
      </w:r>
      <w:r w:rsidRPr="001C61A1">
        <w:rPr>
          <w:rFonts w:ascii="Book Antiqua" w:eastAsia="Book Antiqua" w:hAnsi="Book Antiqua" w:cs="Book Antiqua"/>
          <w:color w:val="000000"/>
          <w:vertAlign w:val="superscript"/>
        </w:rPr>
        <w:t>[103]</w:t>
      </w:r>
      <w:r w:rsidRPr="001C61A1">
        <w:rPr>
          <w:rFonts w:ascii="Book Antiqua" w:eastAsia="Book Antiqua" w:hAnsi="Book Antiqua" w:cs="Book Antiqua"/>
          <w:color w:val="000000"/>
        </w:rPr>
        <w:t>. Pregnant patients with COVID</w:t>
      </w:r>
      <w:r w:rsidR="009E1AF2" w:rsidRPr="001C61A1">
        <w:rPr>
          <w:rFonts w:ascii="Book Antiqua" w:eastAsia="Book Antiqua" w:hAnsi="Book Antiqua" w:cs="Book Antiqua"/>
          <w:color w:val="000000"/>
        </w:rPr>
        <w:t>-</w:t>
      </w:r>
      <w:r w:rsidRPr="001C61A1">
        <w:rPr>
          <w:rFonts w:ascii="Book Antiqua" w:eastAsia="Book Antiqua" w:hAnsi="Book Antiqua" w:cs="Book Antiqua"/>
          <w:color w:val="000000"/>
        </w:rPr>
        <w:t>19 and chronic complications such as hypertension and diabetes have</w:t>
      </w:r>
      <w:r w:rsidR="007B4AB4" w:rsidRPr="001C61A1">
        <w:rPr>
          <w:rFonts w:ascii="Book Antiqua" w:eastAsia="Book Antiqua" w:hAnsi="Book Antiqua" w:cs="Book Antiqua"/>
          <w:color w:val="000000"/>
        </w:rPr>
        <w:t xml:space="preserve"> an</w:t>
      </w:r>
      <w:r w:rsidRPr="001C61A1">
        <w:rPr>
          <w:rFonts w:ascii="Book Antiqua" w:eastAsia="Book Antiqua" w:hAnsi="Book Antiqua" w:cs="Book Antiqua"/>
          <w:color w:val="000000"/>
        </w:rPr>
        <w:t xml:space="preserve"> increased risk of developing inflammation and liver damage</w:t>
      </w:r>
      <w:r w:rsidRPr="001C61A1">
        <w:rPr>
          <w:rFonts w:ascii="Book Antiqua" w:eastAsia="Book Antiqua" w:hAnsi="Book Antiqua" w:cs="Book Antiqua"/>
          <w:color w:val="000000"/>
          <w:vertAlign w:val="superscript"/>
        </w:rPr>
        <w:t>[101]</w:t>
      </w:r>
      <w:r w:rsidRPr="001C61A1">
        <w:rPr>
          <w:rFonts w:ascii="Book Antiqua" w:eastAsia="Book Antiqua" w:hAnsi="Book Antiqua" w:cs="Book Antiqua"/>
          <w:color w:val="000000"/>
        </w:rPr>
        <w:t xml:space="preserve">. Pregnant women taking antiviral drugs have several options, including continuing treatment, stopping or switching to safer drugs. Patients with high pretreatment ALT or less than </w:t>
      </w:r>
      <w:r w:rsidR="008A2F00" w:rsidRPr="001C61A1">
        <w:rPr>
          <w:rFonts w:ascii="Book Antiqua" w:eastAsia="Book Antiqua" w:hAnsi="Book Antiqua" w:cs="Book Antiqua"/>
          <w:color w:val="000000"/>
        </w:rPr>
        <w:t xml:space="preserve">1 </w:t>
      </w:r>
      <w:r w:rsidRPr="001C61A1">
        <w:rPr>
          <w:rFonts w:ascii="Book Antiqua" w:eastAsia="Book Antiqua" w:hAnsi="Book Antiqua" w:cs="Book Antiqua"/>
          <w:color w:val="000000"/>
        </w:rPr>
        <w:t>year of treatment prior to pregnancy have a high risk of severe hepatitis flares after cessation of antiviral agents</w:t>
      </w:r>
      <w:r w:rsidRPr="001C61A1">
        <w:rPr>
          <w:rFonts w:ascii="Book Antiqua" w:eastAsia="Book Antiqua" w:hAnsi="Book Antiqua" w:cs="Book Antiqua"/>
          <w:color w:val="000000"/>
          <w:vertAlign w:val="superscript"/>
        </w:rPr>
        <w:t>[</w:t>
      </w:r>
      <w:r w:rsidR="00AB63F5" w:rsidRPr="001C61A1">
        <w:rPr>
          <w:rFonts w:ascii="Book Antiqua" w:eastAsia="Book Antiqua" w:hAnsi="Book Antiqua" w:cs="Book Antiqua"/>
          <w:color w:val="000000"/>
          <w:vertAlign w:val="superscript"/>
        </w:rPr>
        <w:t>10</w:t>
      </w:r>
      <w:r w:rsidR="00AB63F5" w:rsidRPr="001C61A1">
        <w:rPr>
          <w:rFonts w:ascii="Book Antiqua" w:hAnsi="Book Antiqua" w:cs="Book Antiqua"/>
          <w:color w:val="000000"/>
          <w:vertAlign w:val="superscript"/>
          <w:lang w:eastAsia="zh-CN"/>
        </w:rPr>
        <w:t>5</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51CC1DAB" w14:textId="575F9854"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The perinatal outcomes of all reported cases were reassuring, with 98% live births, 78% full-term births without neonatal complications, and</w:t>
      </w:r>
      <w:r w:rsidR="009B7612" w:rsidRPr="001C61A1">
        <w:rPr>
          <w:rFonts w:ascii="Book Antiqua" w:eastAsia="Book Antiqua" w:hAnsi="Book Antiqua" w:cs="Book Antiqua"/>
          <w:color w:val="000000"/>
        </w:rPr>
        <w:t xml:space="preserve"> a</w:t>
      </w:r>
      <w:r w:rsidRPr="001C61A1">
        <w:rPr>
          <w:rFonts w:ascii="Book Antiqua" w:eastAsia="Book Antiqua" w:hAnsi="Book Antiqua" w:cs="Book Antiqua"/>
          <w:color w:val="000000"/>
        </w:rPr>
        <w:t xml:space="preserve"> 20% neonatal ICU admission rate. The stillbirth rate was as low as 1.7%, and the neonatal mortality rate was 0.8%. No vertical transmission was found in 98.4% of neonates</w:t>
      </w:r>
      <w:r w:rsidRPr="001C61A1">
        <w:rPr>
          <w:rFonts w:ascii="Book Antiqua" w:eastAsia="Book Antiqua" w:hAnsi="Book Antiqua" w:cs="Book Antiqua"/>
          <w:color w:val="000000"/>
          <w:vertAlign w:val="superscript"/>
        </w:rPr>
        <w:t>[</w:t>
      </w:r>
      <w:r w:rsidR="00AB63F5" w:rsidRPr="001C61A1">
        <w:rPr>
          <w:rFonts w:ascii="Book Antiqua" w:eastAsia="Book Antiqua" w:hAnsi="Book Antiqua" w:cs="Book Antiqua"/>
          <w:color w:val="000000"/>
          <w:vertAlign w:val="superscript"/>
        </w:rPr>
        <w:t>10</w:t>
      </w:r>
      <w:r w:rsidR="00AB63F5" w:rsidRPr="001C61A1">
        <w:rPr>
          <w:rFonts w:ascii="Book Antiqua" w:hAnsi="Book Antiqua" w:cs="Book Antiqua"/>
          <w:color w:val="000000"/>
          <w:vertAlign w:val="superscript"/>
          <w:lang w:eastAsia="zh-CN"/>
        </w:rPr>
        <w:t>6</w:t>
      </w:r>
      <w:r w:rsidRPr="001C61A1">
        <w:rPr>
          <w:rFonts w:ascii="Book Antiqua" w:eastAsia="Book Antiqua" w:hAnsi="Book Antiqua" w:cs="Book Antiqua"/>
          <w:color w:val="000000"/>
          <w:vertAlign w:val="superscript"/>
        </w:rPr>
        <w:t>,</w:t>
      </w:r>
      <w:r w:rsidR="00AB63F5" w:rsidRPr="001C61A1">
        <w:rPr>
          <w:rFonts w:ascii="Book Antiqua" w:eastAsia="Book Antiqua" w:hAnsi="Book Antiqua" w:cs="Book Antiqua"/>
          <w:color w:val="000000"/>
          <w:vertAlign w:val="superscript"/>
        </w:rPr>
        <w:t>10</w:t>
      </w:r>
      <w:r w:rsidR="00AB63F5" w:rsidRPr="001C61A1">
        <w:rPr>
          <w:rFonts w:ascii="Book Antiqua" w:hAnsi="Book Antiqua" w:cs="Book Antiqua"/>
          <w:color w:val="000000"/>
          <w:vertAlign w:val="superscript"/>
          <w:lang w:eastAsia="zh-CN"/>
        </w:rPr>
        <w:t>7</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1E9AFC12" w14:textId="77777777" w:rsidR="00A77B3E" w:rsidRPr="001C61A1" w:rsidRDefault="00A77B3E" w:rsidP="000D1A82">
      <w:pPr>
        <w:spacing w:line="360" w:lineRule="auto"/>
        <w:jc w:val="both"/>
        <w:rPr>
          <w:rFonts w:ascii="Book Antiqua" w:hAnsi="Book Antiqua"/>
        </w:rPr>
      </w:pPr>
    </w:p>
    <w:p w14:paraId="3AC4F4F0"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i/>
          <w:iCs/>
          <w:color w:val="000000"/>
        </w:rPr>
        <w:t>Children</w:t>
      </w:r>
    </w:p>
    <w:p w14:paraId="30F57015" w14:textId="2D19E815"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Children with COVID-19 infection often have minimal or no increase in liver enzymes</w:t>
      </w:r>
      <w:r w:rsidRPr="001C61A1">
        <w:rPr>
          <w:rFonts w:ascii="Book Antiqua" w:eastAsia="Book Antiqua" w:hAnsi="Book Antiqua" w:cs="Book Antiqua"/>
          <w:color w:val="000000"/>
          <w:vertAlign w:val="superscript"/>
        </w:rPr>
        <w:t>[60]</w:t>
      </w:r>
      <w:r w:rsidRPr="001C61A1">
        <w:rPr>
          <w:rFonts w:ascii="Book Antiqua" w:eastAsia="Book Antiqua" w:hAnsi="Book Antiqua" w:cs="Book Antiqua"/>
          <w:color w:val="000000"/>
        </w:rPr>
        <w:t>. COVID</w:t>
      </w:r>
      <w:r w:rsidR="006802C7" w:rsidRPr="001C61A1">
        <w:rPr>
          <w:rFonts w:ascii="Book Antiqua" w:eastAsia="Book Antiqua" w:hAnsi="Book Antiqua" w:cs="Book Antiqua"/>
          <w:color w:val="000000"/>
        </w:rPr>
        <w:t>-</w:t>
      </w:r>
      <w:r w:rsidRPr="001C61A1">
        <w:rPr>
          <w:rFonts w:ascii="Book Antiqua" w:eastAsia="Book Antiqua" w:hAnsi="Book Antiqua" w:cs="Book Antiqua"/>
          <w:color w:val="000000"/>
        </w:rPr>
        <w:t>19 may impair liver function, usually resulting in transient and moderate elevations in liver markers without significant impairment of hepatic synthesis. COVID-19-infected patients with elevated ALT are at risk for a more severe disease course, including longer hospital stay and ICU stay</w:t>
      </w:r>
      <w:r w:rsidRPr="001C61A1">
        <w:rPr>
          <w:rFonts w:ascii="Book Antiqua" w:eastAsia="Book Antiqua" w:hAnsi="Book Antiqua" w:cs="Book Antiqua"/>
          <w:color w:val="000000"/>
          <w:vertAlign w:val="superscript"/>
        </w:rPr>
        <w:t>[85]</w:t>
      </w:r>
      <w:r w:rsidRPr="001C61A1">
        <w:rPr>
          <w:rFonts w:ascii="Book Antiqua" w:eastAsia="Book Antiqua" w:hAnsi="Book Antiqua" w:cs="Book Antiqua"/>
          <w:color w:val="000000"/>
        </w:rPr>
        <w:t>. Compared with adult patients, pediatric patients have relatively lower rates of lymphopenia, higher inflammatory markers, and possible thrombocytopenia</w:t>
      </w:r>
      <w:r w:rsidRPr="001C61A1">
        <w:rPr>
          <w:rFonts w:ascii="Book Antiqua" w:eastAsia="Book Antiqua" w:hAnsi="Book Antiqua" w:cs="Book Antiqua"/>
          <w:color w:val="000000"/>
          <w:vertAlign w:val="superscript"/>
        </w:rPr>
        <w:t>[</w:t>
      </w:r>
      <w:r w:rsidR="00AB63F5" w:rsidRPr="001C61A1">
        <w:rPr>
          <w:rFonts w:ascii="Book Antiqua" w:eastAsia="Book Antiqua" w:hAnsi="Book Antiqua" w:cs="Book Antiqua"/>
          <w:color w:val="000000"/>
          <w:vertAlign w:val="superscript"/>
        </w:rPr>
        <w:t>10</w:t>
      </w:r>
      <w:r w:rsidR="00AB63F5" w:rsidRPr="001C61A1">
        <w:rPr>
          <w:rFonts w:ascii="Book Antiqua" w:hAnsi="Book Antiqua" w:cs="Book Antiqua"/>
          <w:color w:val="000000"/>
          <w:vertAlign w:val="superscript"/>
          <w:lang w:eastAsia="zh-CN"/>
        </w:rPr>
        <w:t>8</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52D9A7C0" w14:textId="77777777" w:rsidR="00A77B3E" w:rsidRPr="001C61A1" w:rsidRDefault="00A77B3E" w:rsidP="000D1A82">
      <w:pPr>
        <w:spacing w:line="360" w:lineRule="auto"/>
        <w:jc w:val="both"/>
        <w:rPr>
          <w:rFonts w:ascii="Book Antiqua" w:hAnsi="Book Antiqua"/>
        </w:rPr>
      </w:pPr>
    </w:p>
    <w:p w14:paraId="03054D9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aps/>
          <w:color w:val="000000"/>
          <w:u w:val="single"/>
        </w:rPr>
        <w:t>MANAGEMENT OF LIVER INJURY IN PATIENTS WITH COVID-19</w:t>
      </w:r>
    </w:p>
    <w:p w14:paraId="7D7E4F5A" w14:textId="4CA5FA74"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Liver injury in mild cases of COVID-19 is usually transient, self-limiting, and reversible without treatment. However, some COVID-19 patients who present with liver injury may become critically ill and require medical attention</w:t>
      </w:r>
      <w:r w:rsidRPr="001C61A1">
        <w:rPr>
          <w:rFonts w:ascii="Book Antiqua" w:eastAsia="Book Antiqua" w:hAnsi="Book Antiqua" w:cs="Book Antiqua"/>
          <w:color w:val="000000"/>
          <w:vertAlign w:val="superscript"/>
        </w:rPr>
        <w:t>[16]</w:t>
      </w:r>
      <w:r w:rsidRPr="001C61A1">
        <w:rPr>
          <w:rFonts w:ascii="Book Antiqua" w:eastAsia="Book Antiqua" w:hAnsi="Book Antiqua" w:cs="Book Antiqua"/>
          <w:color w:val="000000"/>
        </w:rPr>
        <w:t>. The cause of liver injury should be analyzed and judged in all patients. Initial screening includes careful review of preexisting liver disease, exposure to hepatotoxins (alcohol, drugs, herbs, and chemicals), hypoxia, and circulation status (Table 2). Liver function indicators including ALT, AST, TBil, DBiL, albumin, prothrombin activity, and international normalized ratio should be closely monitored</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10</w:t>
      </w:r>
      <w:r w:rsidR="00444148" w:rsidRPr="001C61A1">
        <w:rPr>
          <w:rFonts w:ascii="Book Antiqua" w:hAnsi="Book Antiqua" w:cs="Book Antiqua"/>
          <w:color w:val="000000"/>
          <w:vertAlign w:val="superscript"/>
          <w:lang w:eastAsia="zh-CN"/>
        </w:rPr>
        <w:t>9</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w:t>
      </w:r>
      <w:r w:rsidR="00444148" w:rsidRPr="001C61A1">
        <w:rPr>
          <w:rFonts w:ascii="Book Antiqua" w:hAnsi="Book Antiqua" w:cs="Book Antiqua"/>
          <w:color w:val="000000"/>
          <w:vertAlign w:val="superscript"/>
          <w:lang w:eastAsia="zh-CN"/>
        </w:rPr>
        <w:t>10</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71B7240F" w14:textId="0D14A1F6"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Prophylactic use of hepatoprotective and enzyme-lowering drugs is not recommended</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10</w:t>
      </w:r>
      <w:r w:rsidR="00444148" w:rsidRPr="001C61A1">
        <w:rPr>
          <w:rFonts w:ascii="Book Antiqua" w:hAnsi="Book Antiqua" w:cs="Book Antiqua"/>
          <w:color w:val="000000"/>
          <w:vertAlign w:val="superscript"/>
          <w:lang w:eastAsia="zh-CN"/>
        </w:rPr>
        <w:t>9</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Theoretically, reducing viral load with antiviral therapy is the most effective way to reduce organ damage. However, there is currently a lack of clinical data to support it, and more attention is paid to antiviral drug-related liver injury. This may be one reason for the lack of particularly effective antiviral drugs until recently.</w:t>
      </w:r>
    </w:p>
    <w:p w14:paraId="19EF47AA" w14:textId="2F96E7E3"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The management of liver injury from COVID-19 is largely empirical and mainly supportive. Patients with severe liver damage associated with COVID-19 should be treated with hepatoprotective, anti-inflammatory, and jaundice-reducing agents such as glycyrrhizic acid, polyene phosphatidyl choline (PPC), bicyclol, and vitamin E</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11</w:t>
      </w:r>
      <w:r w:rsidR="00444148" w:rsidRPr="001C61A1">
        <w:rPr>
          <w:rFonts w:ascii="Book Antiqua" w:hAnsi="Book Antiqua" w:cs="Book Antiqua"/>
          <w:color w:val="000000"/>
          <w:vertAlign w:val="superscript"/>
          <w:lang w:eastAsia="zh-CN"/>
        </w:rPr>
        <w:t>1</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11</w:t>
      </w:r>
      <w:r w:rsidR="00444148" w:rsidRPr="001C61A1">
        <w:rPr>
          <w:rFonts w:ascii="Book Antiqua" w:hAnsi="Book Antiqua" w:cs="Book Antiqua"/>
          <w:color w:val="000000"/>
          <w:vertAlign w:val="superscript"/>
          <w:lang w:eastAsia="zh-CN"/>
        </w:rPr>
        <w:t>2</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Glycyrrhizic acid can effectively inhibit the replication and cytopathic effect of coronavirus without obvious cytotoxicity to host cells</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11</w:t>
      </w:r>
      <w:r w:rsidR="00444148" w:rsidRPr="001C61A1">
        <w:rPr>
          <w:rFonts w:ascii="Book Antiqua" w:hAnsi="Book Antiqua" w:cs="Book Antiqua"/>
          <w:color w:val="000000"/>
          <w:vertAlign w:val="superscript"/>
          <w:lang w:eastAsia="zh-CN"/>
        </w:rPr>
        <w:t>3</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Glycyrrhizin has anti-inflammatory properties that may offer protection against liver disease</w:t>
      </w:r>
      <w:r w:rsidRPr="001C61A1">
        <w:rPr>
          <w:rFonts w:ascii="Book Antiqua" w:eastAsia="Book Antiqua" w:hAnsi="Book Antiqua" w:cs="Book Antiqua"/>
          <w:color w:val="000000"/>
          <w:vertAlign w:val="superscript"/>
        </w:rPr>
        <w:t>[</w:t>
      </w:r>
      <w:r w:rsidR="00F4245B" w:rsidRPr="001C61A1">
        <w:rPr>
          <w:rFonts w:ascii="Book Antiqua" w:eastAsia="Book Antiqua" w:hAnsi="Book Antiqua" w:cs="Book Antiqua"/>
          <w:color w:val="000000"/>
          <w:vertAlign w:val="superscript"/>
        </w:rPr>
        <w:t>10</w:t>
      </w:r>
      <w:r w:rsidR="00F4245B" w:rsidRPr="001C61A1">
        <w:rPr>
          <w:rFonts w:ascii="Book Antiqua" w:hAnsi="Book Antiqua" w:cs="Book Antiqua"/>
          <w:color w:val="000000"/>
          <w:vertAlign w:val="superscript"/>
          <w:lang w:eastAsia="zh-CN"/>
        </w:rPr>
        <w:t>9</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PPC may be a drug that enhances the hepatoprotective function through glutathione and magnesium isoglycyrrhizinate</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11</w:t>
      </w:r>
      <w:r w:rsidR="00444148" w:rsidRPr="001C61A1">
        <w:rPr>
          <w:rFonts w:ascii="Book Antiqua" w:hAnsi="Book Antiqua" w:cs="Book Antiqua"/>
          <w:color w:val="000000"/>
          <w:vertAlign w:val="superscript"/>
          <w:lang w:eastAsia="zh-CN"/>
        </w:rPr>
        <w:t>4</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0B9D141C" w14:textId="06DEB122"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Currently, there is no specific treatment for critically ill patients with COVID-19. Effective suppression of the host’</w:t>
      </w:r>
      <w:r w:rsidR="0011177C" w:rsidRPr="001C61A1">
        <w:rPr>
          <w:rFonts w:ascii="Book Antiqua" w:eastAsia="Book Antiqua" w:hAnsi="Book Antiqua" w:cs="Book Antiqua"/>
          <w:color w:val="000000"/>
        </w:rPr>
        <w:t>s</w:t>
      </w:r>
      <w:r w:rsidRPr="001C61A1">
        <w:rPr>
          <w:rFonts w:ascii="Book Antiqua" w:eastAsia="Book Antiqua" w:hAnsi="Book Antiqua" w:cs="Book Antiqua"/>
          <w:color w:val="000000"/>
        </w:rPr>
        <w:t xml:space="preserve"> uncontrolled immune response during cytokine storm may be a critical step in preventing disease progression and reducing mortality</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11</w:t>
      </w:r>
      <w:r w:rsidR="00444148" w:rsidRPr="001C61A1">
        <w:rPr>
          <w:rFonts w:ascii="Book Antiqua" w:hAnsi="Book Antiqua" w:cs="Book Antiqua"/>
          <w:color w:val="000000"/>
          <w:vertAlign w:val="superscript"/>
          <w:lang w:eastAsia="zh-CN"/>
        </w:rPr>
        <w:t>5</w:t>
      </w:r>
      <w:r w:rsidRPr="001C61A1">
        <w:rPr>
          <w:rFonts w:ascii="Book Antiqua" w:eastAsia="Book Antiqua" w:hAnsi="Book Antiqua" w:cs="Book Antiqua"/>
          <w:color w:val="000000"/>
          <w:vertAlign w:val="superscript"/>
        </w:rPr>
        <w:t>,</w:t>
      </w:r>
      <w:r w:rsidR="00444148" w:rsidRPr="001C61A1">
        <w:rPr>
          <w:rFonts w:ascii="Book Antiqua" w:eastAsia="Book Antiqua" w:hAnsi="Book Antiqua" w:cs="Book Antiqua"/>
          <w:color w:val="000000"/>
          <w:vertAlign w:val="superscript"/>
        </w:rPr>
        <w:t>11</w:t>
      </w:r>
      <w:r w:rsidR="00444148" w:rsidRPr="001C61A1">
        <w:rPr>
          <w:rFonts w:ascii="Book Antiqua" w:hAnsi="Book Antiqua" w:cs="Book Antiqua"/>
          <w:color w:val="000000"/>
          <w:vertAlign w:val="superscript"/>
          <w:lang w:eastAsia="zh-CN"/>
        </w:rPr>
        <w:t>6</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Anakinra is an IL-1 receptor antagonist that blocks the release of IL-</w:t>
      </w:r>
      <w:r w:rsidR="009E1AF2" w:rsidRPr="001C61A1">
        <w:rPr>
          <w:rFonts w:ascii="Book Antiqua" w:eastAsia="Book Antiqua" w:hAnsi="Book Antiqua" w:cs="Book Antiqua"/>
          <w:color w:val="000000"/>
        </w:rPr>
        <w:t>β</w:t>
      </w:r>
      <w:r w:rsidRPr="001C61A1">
        <w:rPr>
          <w:rFonts w:ascii="Book Antiqua" w:eastAsia="Book Antiqua" w:hAnsi="Book Antiqua" w:cs="Book Antiqua"/>
          <w:color w:val="000000"/>
        </w:rPr>
        <w:t>. A study concluded that early anakinra treatment is associated with significantly lower ICU admissions and mortality in patients with moderate/severe COVID-19</w:t>
      </w:r>
      <w:r w:rsidRPr="001C61A1">
        <w:rPr>
          <w:rFonts w:ascii="Book Antiqua" w:eastAsia="Book Antiqua" w:hAnsi="Book Antiqua" w:cs="Book Antiqua"/>
          <w:color w:val="000000"/>
          <w:vertAlign w:val="superscript"/>
        </w:rPr>
        <w:t>[</w:t>
      </w:r>
      <w:r w:rsidR="00EF22CB" w:rsidRPr="001C61A1">
        <w:rPr>
          <w:rFonts w:ascii="Book Antiqua" w:eastAsia="Book Antiqua" w:hAnsi="Book Antiqua" w:cs="Book Antiqua"/>
          <w:color w:val="000000"/>
          <w:vertAlign w:val="superscript"/>
        </w:rPr>
        <w:t>11</w:t>
      </w:r>
      <w:r w:rsidR="00EF22CB" w:rsidRPr="001C61A1">
        <w:rPr>
          <w:rFonts w:ascii="Book Antiqua" w:hAnsi="Book Antiqua" w:cs="Book Antiqua"/>
          <w:color w:val="000000"/>
          <w:vertAlign w:val="superscript"/>
          <w:lang w:eastAsia="zh-CN"/>
        </w:rPr>
        <w:t>7</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Successful anakinra therapy includes treatment duration ≥</w:t>
      </w:r>
      <w:r w:rsidR="009E1AF2"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10 d, dose ≥</w:t>
      </w:r>
      <w:r w:rsidR="009E1AF2"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 xml:space="preserve">100 mg, intravenous administration, and early </w:t>
      </w:r>
      <w:r w:rsidRPr="001C61A1">
        <w:rPr>
          <w:rFonts w:ascii="Book Antiqua" w:eastAsia="Book Antiqua" w:hAnsi="Book Antiqua" w:cs="Book Antiqua"/>
          <w:color w:val="000000"/>
        </w:rPr>
        <w:lastRenderedPageBreak/>
        <w:t>initiation of therapy</w:t>
      </w:r>
      <w:r w:rsidRPr="001C61A1">
        <w:rPr>
          <w:rFonts w:ascii="Book Antiqua" w:eastAsia="Book Antiqua" w:hAnsi="Book Antiqua" w:cs="Book Antiqua"/>
          <w:color w:val="000000"/>
          <w:vertAlign w:val="superscript"/>
        </w:rPr>
        <w:t>[</w:t>
      </w:r>
      <w:r w:rsidR="00EF22CB" w:rsidRPr="001C61A1">
        <w:rPr>
          <w:rFonts w:ascii="Book Antiqua" w:eastAsia="Book Antiqua" w:hAnsi="Book Antiqua" w:cs="Book Antiqua"/>
          <w:color w:val="000000"/>
          <w:vertAlign w:val="superscript"/>
        </w:rPr>
        <w:t>11</w:t>
      </w:r>
      <w:r w:rsidR="00EF22CB" w:rsidRPr="001C61A1">
        <w:rPr>
          <w:rFonts w:ascii="Book Antiqua" w:hAnsi="Book Antiqua" w:cs="Book Antiqua"/>
          <w:color w:val="000000"/>
          <w:vertAlign w:val="superscript"/>
          <w:lang w:eastAsia="zh-CN"/>
        </w:rPr>
        <w:t>8</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Canakinumab is a human monoclonal anti-IL-1β specific antibody. Studies have shown that canakinumab therapy provides rapid and durable improvement in oxygenation levels, reduced proinflammatory markers and</w:t>
      </w:r>
      <w:r w:rsidR="00903156" w:rsidRPr="001C61A1">
        <w:rPr>
          <w:rFonts w:ascii="Book Antiqua" w:eastAsia="Book Antiqua" w:hAnsi="Book Antiqua" w:cs="Book Antiqua"/>
          <w:color w:val="000000"/>
        </w:rPr>
        <w:t xml:space="preserve"> reduced</w:t>
      </w:r>
      <w:r w:rsidRPr="001C61A1">
        <w:rPr>
          <w:rFonts w:ascii="Book Antiqua" w:eastAsia="Book Antiqua" w:hAnsi="Book Antiqua" w:cs="Book Antiqua"/>
          <w:color w:val="000000"/>
        </w:rPr>
        <w:t xml:space="preserve"> need for mechanical ventilation resulting in better outcomes</w:t>
      </w:r>
      <w:r w:rsidRPr="001C61A1">
        <w:rPr>
          <w:rFonts w:ascii="Book Antiqua" w:eastAsia="Book Antiqua" w:hAnsi="Book Antiqua" w:cs="Book Antiqua"/>
          <w:color w:val="000000"/>
          <w:vertAlign w:val="superscript"/>
        </w:rPr>
        <w:t>[</w:t>
      </w:r>
      <w:r w:rsidR="00EF22CB" w:rsidRPr="001C61A1">
        <w:rPr>
          <w:rFonts w:ascii="Book Antiqua" w:eastAsia="Book Antiqua" w:hAnsi="Book Antiqua" w:cs="Book Antiqua"/>
          <w:color w:val="000000"/>
          <w:vertAlign w:val="superscript"/>
        </w:rPr>
        <w:t>11</w:t>
      </w:r>
      <w:r w:rsidR="00EF22CB" w:rsidRPr="001C61A1">
        <w:rPr>
          <w:rFonts w:ascii="Book Antiqua" w:hAnsi="Book Antiqua" w:cs="Book Antiqua"/>
          <w:color w:val="000000"/>
          <w:vertAlign w:val="superscript"/>
          <w:lang w:eastAsia="zh-CN"/>
        </w:rPr>
        <w:t>9</w:t>
      </w:r>
      <w:r w:rsidRPr="001C61A1">
        <w:rPr>
          <w:rFonts w:ascii="Book Antiqua" w:eastAsia="Book Antiqua" w:hAnsi="Book Antiqua" w:cs="Book Antiqua"/>
          <w:color w:val="000000"/>
          <w:vertAlign w:val="superscript"/>
        </w:rPr>
        <w:t>,</w:t>
      </w:r>
      <w:r w:rsidR="00EF22CB" w:rsidRPr="001C61A1">
        <w:rPr>
          <w:rFonts w:ascii="Book Antiqua" w:eastAsia="Book Antiqua" w:hAnsi="Book Antiqua" w:cs="Book Antiqua"/>
          <w:color w:val="000000"/>
          <w:vertAlign w:val="superscript"/>
        </w:rPr>
        <w:t>1</w:t>
      </w:r>
      <w:r w:rsidR="00EF22CB" w:rsidRPr="001C61A1">
        <w:rPr>
          <w:rFonts w:ascii="Book Antiqua" w:hAnsi="Book Antiqua" w:cs="Book Antiqua"/>
          <w:color w:val="000000"/>
          <w:vertAlign w:val="superscript"/>
          <w:lang w:eastAsia="zh-CN"/>
        </w:rPr>
        <w:t>20</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2419375D" w14:textId="36D3D96D"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IL-6 is one of the key mediators of cytokine storm-induced damage</w:t>
      </w:r>
      <w:r w:rsidRPr="001C61A1">
        <w:rPr>
          <w:rFonts w:ascii="Book Antiqua" w:eastAsia="Book Antiqua" w:hAnsi="Book Antiqua" w:cs="Book Antiqua"/>
          <w:color w:val="000000"/>
          <w:vertAlign w:val="superscript"/>
        </w:rPr>
        <w:t>[</w:t>
      </w:r>
      <w:r w:rsidR="00EF22CB" w:rsidRPr="001C61A1">
        <w:rPr>
          <w:rFonts w:ascii="Book Antiqua" w:eastAsia="Book Antiqua" w:hAnsi="Book Antiqua" w:cs="Book Antiqua"/>
          <w:color w:val="000000"/>
          <w:vertAlign w:val="superscript"/>
        </w:rPr>
        <w:t>12</w:t>
      </w:r>
      <w:r w:rsidR="00EF22CB" w:rsidRPr="001C61A1">
        <w:rPr>
          <w:rFonts w:ascii="Book Antiqua" w:hAnsi="Book Antiqua" w:cs="Book Antiqua"/>
          <w:color w:val="000000"/>
          <w:vertAlign w:val="superscript"/>
          <w:lang w:eastAsia="zh-CN"/>
        </w:rPr>
        <w:t>1</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Currently, there are two main types of IL-6 inhibitors that target IL-6 itself (siltuximab) or its receptors (tocilizumab and sarilumab)</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11</w:t>
      </w:r>
      <w:r w:rsidR="00126464" w:rsidRPr="001C61A1">
        <w:rPr>
          <w:rFonts w:ascii="Book Antiqua" w:hAnsi="Book Antiqua" w:cs="Book Antiqua"/>
          <w:color w:val="000000"/>
          <w:vertAlign w:val="superscript"/>
          <w:lang w:eastAsia="zh-CN"/>
        </w:rPr>
        <w:t>5</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xml:space="preserve">. IL-6 </w:t>
      </w:r>
      <w:r w:rsidR="009E1AF2" w:rsidRPr="001C61A1">
        <w:rPr>
          <w:rFonts w:ascii="Book Antiqua" w:eastAsia="Book Antiqua" w:hAnsi="Book Antiqua" w:cs="Book Antiqua"/>
          <w:color w:val="000000"/>
        </w:rPr>
        <w:t>l</w:t>
      </w:r>
      <w:r w:rsidRPr="001C61A1">
        <w:rPr>
          <w:rFonts w:ascii="Book Antiqua" w:eastAsia="Book Antiqua" w:hAnsi="Book Antiqua" w:cs="Book Antiqua"/>
          <w:color w:val="000000"/>
        </w:rPr>
        <w:t>evels drop after administration of siltuximab, suggesting that the inhibitor may reduce CRS and mortality</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2</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The literature supports the early use of tocilizumab as it has been observed to lower mortality in adults with COVID-19 pneumonia</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3</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4</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xml:space="preserve"> and achieve better clinical recovery at day 28</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5</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In another study, clinical improvement and mortality were not statistically different between tocilizumab and standard treatment</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5</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The reason may be a higher risk of bacterial or fungal infection in patients within tocilizumab application</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3</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4</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6</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Sarilumab is a high-affinity anti-IL-6 receptor antibody. In a phase II, open-label, randomized, controlled clinical trial of hospitalized patients with COVID-19, early use of sarilumab was safe and associated with a trend for better outcomes</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7</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However, in some other studies, the efficacy of sarilumab in hospitalized patients with moderate-to-severe COVID-19 has not been established</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12</w:t>
      </w:r>
      <w:r w:rsidR="00126464" w:rsidRPr="001C61A1">
        <w:rPr>
          <w:rFonts w:ascii="Book Antiqua" w:hAnsi="Book Antiqua" w:cs="Book Antiqua"/>
          <w:color w:val="000000"/>
          <w:vertAlign w:val="superscript"/>
          <w:lang w:eastAsia="zh-CN"/>
        </w:rPr>
        <w:t>8</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w:t>
      </w:r>
      <w:r w:rsidR="00126464" w:rsidRPr="001C61A1">
        <w:rPr>
          <w:rFonts w:ascii="Book Antiqua" w:hAnsi="Book Antiqua" w:cs="Book Antiqua"/>
          <w:color w:val="000000"/>
          <w:vertAlign w:val="superscript"/>
          <w:lang w:eastAsia="zh-CN"/>
        </w:rPr>
        <w:t>30</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Inhibition of IL-6-mediated signaling may not be sufficient to reduce CRS, and the answer may lie in combination therapy and interfere with other related pathways. So far, conflicting results hinder efforts to use IL inhibitors to combat COVID-19 infection</w:t>
      </w:r>
      <w:r w:rsidRPr="001C61A1">
        <w:rPr>
          <w:rFonts w:ascii="Book Antiqua" w:eastAsia="Book Antiqua" w:hAnsi="Book Antiqua" w:cs="Book Antiqua"/>
          <w:color w:val="000000"/>
          <w:vertAlign w:val="superscript"/>
        </w:rPr>
        <w:t>[</w:t>
      </w:r>
      <w:r w:rsidR="00126464" w:rsidRPr="001C61A1">
        <w:rPr>
          <w:rFonts w:ascii="Book Antiqua" w:eastAsia="Book Antiqua" w:hAnsi="Book Antiqua" w:cs="Book Antiqua"/>
          <w:color w:val="000000"/>
          <w:vertAlign w:val="superscript"/>
        </w:rPr>
        <w:t>13</w:t>
      </w:r>
      <w:r w:rsidR="00126464" w:rsidRPr="001C61A1">
        <w:rPr>
          <w:rFonts w:ascii="Book Antiqua" w:hAnsi="Book Antiqua" w:cs="Book Antiqua"/>
          <w:color w:val="000000"/>
          <w:vertAlign w:val="superscript"/>
          <w:lang w:eastAsia="zh-CN"/>
        </w:rPr>
        <w:t>1</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766D9F4F" w14:textId="283E2125"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Anti-TNF therapy has also shown conflicting results. In a case-cohort study, patients treated with anti-TNF</w:t>
      </w:r>
      <w:r w:rsidR="009E1AF2" w:rsidRPr="001C61A1">
        <w:rPr>
          <w:rFonts w:ascii="Book Antiqua" w:eastAsia="Book Antiqua" w:hAnsi="Book Antiqua" w:cs="Book Antiqua"/>
          <w:color w:val="000000"/>
        </w:rPr>
        <w:t>-</w:t>
      </w:r>
      <w:r w:rsidRPr="001C61A1">
        <w:rPr>
          <w:rFonts w:ascii="Book Antiqua" w:eastAsia="Book Antiqua" w:hAnsi="Book Antiqua" w:cs="Book Antiqua"/>
          <w:color w:val="000000"/>
        </w:rPr>
        <w:t>α inhibitors were hospitalized less frequently</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2</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r w:rsidR="00DE4455" w:rsidRPr="001C61A1">
        <w:rPr>
          <w:rFonts w:ascii="Book Antiqua" w:eastAsia="Book Antiqua" w:hAnsi="Book Antiqua" w:cs="Book Antiqua"/>
          <w:color w:val="000000"/>
        </w:rPr>
        <w:t xml:space="preserve"> This was</w:t>
      </w:r>
      <w:r w:rsidRPr="001C61A1">
        <w:rPr>
          <w:rFonts w:ascii="Book Antiqua" w:eastAsia="Book Antiqua" w:hAnsi="Book Antiqua" w:cs="Book Antiqua"/>
          <w:color w:val="000000"/>
        </w:rPr>
        <w:t xml:space="preserve"> a systematic review and meta-analysis of COVID-19 and outcomes in patients with inflammatory bowel diseases (IBD). Compared with patients on corticosteroids, those on anti-TNF</w:t>
      </w:r>
      <w:r w:rsidR="009E1AF2" w:rsidRPr="001C61A1">
        <w:rPr>
          <w:rFonts w:ascii="Book Antiqua" w:eastAsia="Book Antiqua" w:hAnsi="Book Antiqua" w:cs="Book Antiqua"/>
          <w:color w:val="000000"/>
        </w:rPr>
        <w:t>-</w:t>
      </w:r>
      <w:r w:rsidRPr="001C61A1">
        <w:rPr>
          <w:rFonts w:ascii="Book Antiqua" w:eastAsia="Book Antiqua" w:hAnsi="Book Antiqua" w:cs="Book Antiqua"/>
          <w:color w:val="000000"/>
        </w:rPr>
        <w:t>α therapy had a lower risk of hospitalization and ICU admission. Moreover, similar results were seen in patients treated with anti-TNF</w:t>
      </w:r>
      <w:r w:rsidR="009E1AF2" w:rsidRPr="001C61A1">
        <w:rPr>
          <w:rFonts w:ascii="Book Antiqua" w:eastAsia="Book Antiqua" w:hAnsi="Book Antiqua" w:cs="Book Antiqua"/>
          <w:color w:val="000000"/>
        </w:rPr>
        <w:t>-</w:t>
      </w:r>
      <w:r w:rsidRPr="001C61A1">
        <w:rPr>
          <w:rFonts w:ascii="Book Antiqua" w:eastAsia="Book Antiqua" w:hAnsi="Book Antiqua" w:cs="Book Antiqua"/>
          <w:color w:val="000000"/>
        </w:rPr>
        <w:t>α compared to patients treated with mesalamine</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3</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Colonic ACE2 expression was downregulated after anti-TNF</w:t>
      </w:r>
      <w:r w:rsidR="009E1AF2" w:rsidRPr="001C61A1">
        <w:rPr>
          <w:rFonts w:ascii="Book Antiqua" w:eastAsia="Book Antiqua" w:hAnsi="Book Antiqua" w:cs="Book Antiqua"/>
          <w:color w:val="000000"/>
        </w:rPr>
        <w:t>-</w:t>
      </w:r>
      <w:r w:rsidRPr="001C61A1">
        <w:rPr>
          <w:rFonts w:ascii="Book Antiqua" w:eastAsia="Book Antiqua" w:hAnsi="Book Antiqua" w:cs="Book Antiqua"/>
          <w:color w:val="000000"/>
        </w:rPr>
        <w:t>α therapy in IBD patients</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4</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but no liver-related data have been reported. In another meta-</w:t>
      </w:r>
      <w:r w:rsidRPr="001C61A1">
        <w:rPr>
          <w:rFonts w:ascii="Book Antiqua" w:eastAsia="Book Antiqua" w:hAnsi="Book Antiqua" w:cs="Book Antiqua"/>
          <w:color w:val="000000"/>
        </w:rPr>
        <w:lastRenderedPageBreak/>
        <w:t>analysis and systematic review of 84 studies, no difference was found in the risk of hospitalization in patients receiving anti-TNF</w:t>
      </w:r>
      <w:r w:rsidR="009E1AF2" w:rsidRPr="001C61A1">
        <w:rPr>
          <w:rFonts w:ascii="Book Antiqua" w:eastAsia="Book Antiqua" w:hAnsi="Book Antiqua" w:cs="Book Antiqua"/>
          <w:color w:val="000000"/>
        </w:rPr>
        <w:t>-</w:t>
      </w:r>
      <w:r w:rsidRPr="001C61A1">
        <w:rPr>
          <w:rFonts w:ascii="Book Antiqua" w:eastAsia="Book Antiqua" w:hAnsi="Book Antiqua" w:cs="Book Antiqua"/>
          <w:color w:val="000000"/>
        </w:rPr>
        <w:t>α therapy compared to patients not receiving anti-TNF</w:t>
      </w:r>
      <w:r w:rsidR="009E1AF2" w:rsidRPr="001C61A1">
        <w:rPr>
          <w:rFonts w:ascii="Book Antiqua" w:eastAsia="Book Antiqua" w:hAnsi="Book Antiqua" w:cs="Book Antiqua"/>
          <w:color w:val="000000"/>
        </w:rPr>
        <w:t>-</w:t>
      </w:r>
      <w:r w:rsidRPr="001C61A1">
        <w:rPr>
          <w:rFonts w:ascii="Book Antiqua" w:eastAsia="Book Antiqua" w:hAnsi="Book Antiqua" w:cs="Book Antiqua"/>
          <w:color w:val="000000"/>
        </w:rPr>
        <w:t>α therapy</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5</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Foods rich in vitamins, minerals, polyphenols, and other bioactive compounds may decrease inflammatory pathway activity and prevent liver damage in COVID-19 patients</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6</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66858033" w14:textId="64270D10" w:rsidR="00A77B3E" w:rsidRPr="001C61A1" w:rsidRDefault="00093B77" w:rsidP="000D1A82">
      <w:pPr>
        <w:spacing w:line="360" w:lineRule="auto"/>
        <w:ind w:firstLine="240"/>
        <w:jc w:val="both"/>
        <w:rPr>
          <w:rFonts w:ascii="Book Antiqua" w:hAnsi="Book Antiqua"/>
        </w:rPr>
      </w:pPr>
      <w:r w:rsidRPr="001C61A1">
        <w:rPr>
          <w:rFonts w:ascii="Book Antiqua" w:eastAsia="Book Antiqua" w:hAnsi="Book Antiqua" w:cs="Book Antiqua"/>
          <w:color w:val="000000"/>
        </w:rPr>
        <w:t>Corticosteroids have a dual effect. They have been associated with DILI, especially at high doses, however they are used to treat drug-induced cholestatic hepatitis and DILI associated with hypersensitivity reactions</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7</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8</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The only specific antidote for acute DILI remains N-acetylcysteine for acetaminophen poisoning. Glycyrrhizin, ursodeoxycholic acid, and silymarin have been used for decades to treat DILI, but success remains anecdotal</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8</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 The most effective treatment for suspected DILI is to discontinue drug therapy before progression to irreversible liver failure, which results in spontaneous recovery in approximately 90% of cases</w:t>
      </w:r>
      <w:r w:rsidRPr="001C61A1">
        <w:rPr>
          <w:rFonts w:ascii="Book Antiqua" w:eastAsia="Book Antiqua" w:hAnsi="Book Antiqua" w:cs="Book Antiqua"/>
          <w:color w:val="000000"/>
          <w:vertAlign w:val="superscript"/>
        </w:rPr>
        <w:t>[</w:t>
      </w:r>
      <w:r w:rsidR="00AD46BB" w:rsidRPr="001C61A1">
        <w:rPr>
          <w:rFonts w:ascii="Book Antiqua" w:eastAsia="Book Antiqua" w:hAnsi="Book Antiqua" w:cs="Book Antiqua"/>
          <w:color w:val="000000"/>
          <w:vertAlign w:val="superscript"/>
        </w:rPr>
        <w:t>13</w:t>
      </w:r>
      <w:r w:rsidR="00AD46BB" w:rsidRPr="001C61A1">
        <w:rPr>
          <w:rFonts w:ascii="Book Antiqua" w:hAnsi="Book Antiqua" w:cs="Book Antiqua"/>
          <w:color w:val="000000"/>
          <w:vertAlign w:val="superscript"/>
          <w:lang w:eastAsia="zh-CN"/>
        </w:rPr>
        <w:t>9</w:t>
      </w:r>
      <w:r w:rsidRPr="001C61A1">
        <w:rPr>
          <w:rFonts w:ascii="Book Antiqua" w:eastAsia="Book Antiqua" w:hAnsi="Book Antiqua" w:cs="Book Antiqua"/>
          <w:color w:val="000000"/>
          <w:vertAlign w:val="superscript"/>
        </w:rPr>
        <w:t>]</w:t>
      </w:r>
      <w:r w:rsidRPr="001C61A1">
        <w:rPr>
          <w:rFonts w:ascii="Book Antiqua" w:eastAsia="Book Antiqua" w:hAnsi="Book Antiqua" w:cs="Book Antiqua"/>
          <w:color w:val="000000"/>
        </w:rPr>
        <w:t>.</w:t>
      </w:r>
    </w:p>
    <w:p w14:paraId="2A9410F3" w14:textId="77777777" w:rsidR="00A77B3E" w:rsidRPr="001C61A1" w:rsidRDefault="00A77B3E" w:rsidP="000D1A82">
      <w:pPr>
        <w:spacing w:line="360" w:lineRule="auto"/>
        <w:jc w:val="both"/>
        <w:rPr>
          <w:rFonts w:ascii="Book Antiqua" w:hAnsi="Book Antiqua"/>
        </w:rPr>
      </w:pPr>
    </w:p>
    <w:p w14:paraId="0D5B0DC0"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aps/>
          <w:color w:val="000000"/>
          <w:u w:val="single"/>
        </w:rPr>
        <w:t>CONCLUSION</w:t>
      </w:r>
    </w:p>
    <w:p w14:paraId="792B3F8F" w14:textId="170A710C"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Nearly </w:t>
      </w:r>
      <w:r w:rsidR="008A2F00" w:rsidRPr="001C61A1">
        <w:rPr>
          <w:rFonts w:ascii="Book Antiqua" w:eastAsia="Book Antiqua" w:hAnsi="Book Antiqua" w:cs="Book Antiqua"/>
          <w:color w:val="000000"/>
        </w:rPr>
        <w:t xml:space="preserve">3 </w:t>
      </w:r>
      <w:r w:rsidRPr="001C61A1">
        <w:rPr>
          <w:rFonts w:ascii="Book Antiqua" w:eastAsia="Book Antiqua" w:hAnsi="Book Antiqua" w:cs="Book Antiqua"/>
          <w:color w:val="000000"/>
        </w:rPr>
        <w:t>years later, there is still no sign that the COVID-19 pandemic is over. COVID has long-term devastating effects involving multiple organs. Particular attention should be given to liver injury associated with COVID-19. There is growing evidence that liver injury is a typical long-term effect of COVID-19, especially in critically ill cases, and may require monitoring after</w:t>
      </w:r>
      <w:r w:rsidR="0069034B" w:rsidRPr="001C61A1">
        <w:rPr>
          <w:rFonts w:ascii="Book Antiqua" w:eastAsia="Book Antiqua" w:hAnsi="Book Antiqua" w:cs="Book Antiqua"/>
          <w:color w:val="000000"/>
        </w:rPr>
        <w:t xml:space="preserve"> the</w:t>
      </w:r>
      <w:r w:rsidRPr="001C61A1">
        <w:rPr>
          <w:rFonts w:ascii="Book Antiqua" w:eastAsia="Book Antiqua" w:hAnsi="Book Antiqua" w:cs="Book Antiqua"/>
          <w:color w:val="000000"/>
        </w:rPr>
        <w:t xml:space="preserve"> patient</w:t>
      </w:r>
      <w:r w:rsidR="0069034B" w:rsidRPr="001C61A1">
        <w:rPr>
          <w:rFonts w:ascii="Book Antiqua" w:eastAsia="Book Antiqua" w:hAnsi="Book Antiqua" w:cs="Book Antiqua"/>
          <w:color w:val="000000"/>
        </w:rPr>
        <w:t xml:space="preserve"> is</w:t>
      </w:r>
      <w:r w:rsidRPr="001C61A1">
        <w:rPr>
          <w:rFonts w:ascii="Book Antiqua" w:eastAsia="Book Antiqua" w:hAnsi="Book Antiqua" w:cs="Book Antiqua"/>
          <w:color w:val="000000"/>
        </w:rPr>
        <w:t xml:space="preserve"> discharged. The exact incidence and underlying mechanism of liver damage are not well known. Fortunately, most patients with mild liver damage recover without special treatment. However, </w:t>
      </w:r>
      <w:r w:rsidR="00044439" w:rsidRPr="001C61A1">
        <w:rPr>
          <w:rFonts w:ascii="Book Antiqua" w:eastAsia="Book Antiqua" w:hAnsi="Book Antiqua" w:cs="Book Antiqua"/>
          <w:color w:val="000000"/>
        </w:rPr>
        <w:t>SLI</w:t>
      </w:r>
      <w:r w:rsidRPr="001C61A1">
        <w:rPr>
          <w:rFonts w:ascii="Book Antiqua" w:eastAsia="Book Antiqua" w:hAnsi="Book Antiqua" w:cs="Book Antiqua"/>
          <w:color w:val="000000"/>
        </w:rPr>
        <w:t xml:space="preserve"> is believed to worsen</w:t>
      </w:r>
      <w:r w:rsidR="00F905F1" w:rsidRPr="001C61A1">
        <w:rPr>
          <w:rFonts w:ascii="Book Antiqua" w:eastAsia="Book Antiqua" w:hAnsi="Book Antiqua" w:cs="Book Antiqua"/>
          <w:color w:val="000000"/>
        </w:rPr>
        <w:t xml:space="preserve"> the</w:t>
      </w:r>
      <w:r w:rsidRPr="001C61A1">
        <w:rPr>
          <w:rFonts w:ascii="Book Antiqua" w:eastAsia="Book Antiqua" w:hAnsi="Book Antiqua" w:cs="Book Antiqua"/>
          <w:color w:val="000000"/>
        </w:rPr>
        <w:t xml:space="preserve"> prognosis and increase mortality from COVID-19. Increased research efforts are needed to identify those patients at higher risk of complications,</w:t>
      </w:r>
      <w:r w:rsidR="00F905F1"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better defin</w:t>
      </w:r>
      <w:r w:rsidR="00F905F1" w:rsidRPr="001C61A1">
        <w:rPr>
          <w:rFonts w:ascii="Book Antiqua" w:eastAsia="Book Antiqua" w:hAnsi="Book Antiqua" w:cs="Book Antiqua"/>
          <w:color w:val="000000"/>
        </w:rPr>
        <w:t>ition of</w:t>
      </w:r>
      <w:r w:rsidRPr="001C61A1">
        <w:rPr>
          <w:rFonts w:ascii="Book Antiqua" w:eastAsia="Book Antiqua" w:hAnsi="Book Antiqua" w:cs="Book Antiqua"/>
          <w:color w:val="000000"/>
        </w:rPr>
        <w:t xml:space="preserve"> liver injury,</w:t>
      </w:r>
      <w:r w:rsidR="00F905F1" w:rsidRPr="001C61A1">
        <w:rPr>
          <w:rFonts w:ascii="Book Antiqua" w:eastAsia="Book Antiqua" w:hAnsi="Book Antiqua" w:cs="Book Antiqua"/>
          <w:color w:val="000000"/>
        </w:rPr>
        <w:t xml:space="preserve"> </w:t>
      </w:r>
      <w:r w:rsidRPr="001C61A1">
        <w:rPr>
          <w:rFonts w:ascii="Book Antiqua" w:eastAsia="Book Antiqua" w:hAnsi="Book Antiqua" w:cs="Book Antiqua"/>
          <w:color w:val="000000"/>
        </w:rPr>
        <w:t>better understand</w:t>
      </w:r>
      <w:r w:rsidR="00F905F1" w:rsidRPr="001C61A1">
        <w:rPr>
          <w:rFonts w:ascii="Book Antiqua" w:eastAsia="Book Antiqua" w:hAnsi="Book Antiqua" w:cs="Book Antiqua"/>
          <w:color w:val="000000"/>
        </w:rPr>
        <w:t>ing of</w:t>
      </w:r>
      <w:r w:rsidRPr="001C61A1">
        <w:rPr>
          <w:rFonts w:ascii="Book Antiqua" w:eastAsia="Book Antiqua" w:hAnsi="Book Antiqua" w:cs="Book Antiqua"/>
          <w:color w:val="000000"/>
        </w:rPr>
        <w:t xml:space="preserve"> the pathophysiology, and effective therap</w:t>
      </w:r>
      <w:r w:rsidR="00F905F1" w:rsidRPr="001C61A1">
        <w:rPr>
          <w:rFonts w:ascii="Book Antiqua" w:eastAsia="Book Antiqua" w:hAnsi="Book Antiqua" w:cs="Book Antiqua"/>
          <w:color w:val="000000"/>
        </w:rPr>
        <w:t>ies</w:t>
      </w:r>
      <w:r w:rsidRPr="001C61A1">
        <w:rPr>
          <w:rFonts w:ascii="Book Antiqua" w:eastAsia="Book Antiqua" w:hAnsi="Book Antiqua" w:cs="Book Antiqua"/>
          <w:color w:val="000000"/>
        </w:rPr>
        <w:t>.</w:t>
      </w:r>
    </w:p>
    <w:p w14:paraId="0B3255BA" w14:textId="77777777" w:rsidR="00A77B3E" w:rsidRPr="001C61A1" w:rsidRDefault="00A77B3E" w:rsidP="000D1A82">
      <w:pPr>
        <w:spacing w:line="360" w:lineRule="auto"/>
        <w:jc w:val="both"/>
        <w:rPr>
          <w:rFonts w:ascii="Book Antiqua" w:hAnsi="Book Antiqua"/>
        </w:rPr>
      </w:pPr>
    </w:p>
    <w:p w14:paraId="250F6EF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aps/>
          <w:color w:val="000000"/>
          <w:u w:val="single"/>
        </w:rPr>
        <w:t>ACKNOWLEDGEMENTS</w:t>
      </w:r>
    </w:p>
    <w:p w14:paraId="5C204AD3" w14:textId="6D2E8A34"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Thanks are due to Ivet Torres Cordoba MD for assistance with editing and polishing to our work.</w:t>
      </w:r>
    </w:p>
    <w:p w14:paraId="5DE365BB" w14:textId="77777777" w:rsidR="00A77B3E" w:rsidRPr="001C61A1" w:rsidRDefault="00A77B3E" w:rsidP="000D1A82">
      <w:pPr>
        <w:spacing w:line="360" w:lineRule="auto"/>
        <w:jc w:val="both"/>
        <w:rPr>
          <w:rFonts w:ascii="Book Antiqua" w:hAnsi="Book Antiqua"/>
        </w:rPr>
      </w:pPr>
    </w:p>
    <w:p w14:paraId="77C2920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REFERENCES</w:t>
      </w:r>
    </w:p>
    <w:p w14:paraId="7E69AB6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 </w:t>
      </w:r>
      <w:r w:rsidRPr="001C61A1">
        <w:rPr>
          <w:rFonts w:ascii="Book Antiqua" w:eastAsia="Book Antiqua" w:hAnsi="Book Antiqua" w:cs="Book Antiqua"/>
          <w:b/>
          <w:bCs/>
          <w:color w:val="000000"/>
        </w:rPr>
        <w:t>He F</w:t>
      </w:r>
      <w:r w:rsidRPr="001C61A1">
        <w:rPr>
          <w:rFonts w:ascii="Book Antiqua" w:eastAsia="Book Antiqua" w:hAnsi="Book Antiqua" w:cs="Book Antiqua"/>
          <w:color w:val="000000"/>
        </w:rPr>
        <w:t xml:space="preserve">, Deng Y, Li W. Coronavirus disease 2019: What we know? </w:t>
      </w:r>
      <w:r w:rsidRPr="001C61A1">
        <w:rPr>
          <w:rFonts w:ascii="Book Antiqua" w:eastAsia="Book Antiqua" w:hAnsi="Book Antiqua" w:cs="Book Antiqua"/>
          <w:i/>
          <w:iCs/>
          <w:color w:val="000000"/>
        </w:rPr>
        <w:t>J Med Virol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92</w:t>
      </w:r>
      <w:r w:rsidRPr="001C61A1">
        <w:rPr>
          <w:rFonts w:ascii="Book Antiqua" w:eastAsia="Book Antiqua" w:hAnsi="Book Antiqua" w:cs="Book Antiqua"/>
          <w:color w:val="000000"/>
        </w:rPr>
        <w:t>: 719-725 [PMID: 32170865 DOI: 10.1002/jmv.25766]</w:t>
      </w:r>
    </w:p>
    <w:p w14:paraId="36E16E8D"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 </w:t>
      </w:r>
      <w:r w:rsidRPr="001C61A1">
        <w:rPr>
          <w:rFonts w:ascii="Book Antiqua" w:eastAsia="Book Antiqua" w:hAnsi="Book Antiqua" w:cs="Book Antiqua"/>
          <w:b/>
          <w:bCs/>
          <w:color w:val="000000"/>
        </w:rPr>
        <w:t>Singh A</w:t>
      </w:r>
      <w:r w:rsidRPr="001C61A1">
        <w:rPr>
          <w:rFonts w:ascii="Book Antiqua" w:eastAsia="Book Antiqua" w:hAnsi="Book Antiqua" w:cs="Book Antiqua"/>
          <w:color w:val="000000"/>
        </w:rPr>
        <w:t xml:space="preserve">, Zaheer S, Kumar N, Singla T, Ranga S. Covid19, beyond just the lungs: A review of multisystemic involvement by Covid19. </w:t>
      </w:r>
      <w:r w:rsidRPr="001C61A1">
        <w:rPr>
          <w:rFonts w:ascii="Book Antiqua" w:eastAsia="Book Antiqua" w:hAnsi="Book Antiqua" w:cs="Book Antiqua"/>
          <w:i/>
          <w:iCs/>
          <w:color w:val="000000"/>
        </w:rPr>
        <w:t>Pathol Res Pract</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224</w:t>
      </w:r>
      <w:r w:rsidRPr="001C61A1">
        <w:rPr>
          <w:rFonts w:ascii="Book Antiqua" w:eastAsia="Book Antiqua" w:hAnsi="Book Antiqua" w:cs="Book Antiqua"/>
          <w:color w:val="000000"/>
        </w:rPr>
        <w:t>: 153384 [PMID: 34153654 DOI: 10.1016/j.prp.2021.153384]</w:t>
      </w:r>
    </w:p>
    <w:p w14:paraId="015AF2DD"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 </w:t>
      </w:r>
      <w:r w:rsidRPr="001C61A1">
        <w:rPr>
          <w:rFonts w:ascii="Book Antiqua" w:eastAsia="Book Antiqua" w:hAnsi="Book Antiqua" w:cs="Book Antiqua"/>
          <w:b/>
          <w:bCs/>
          <w:color w:val="000000"/>
        </w:rPr>
        <w:t>Gupta A</w:t>
      </w:r>
      <w:r w:rsidRPr="001C61A1">
        <w:rPr>
          <w:rFonts w:ascii="Book Antiqua" w:eastAsia="Book Antiqua" w:hAnsi="Book Antiqua" w:cs="Book Antiqua"/>
          <w:color w:val="000000"/>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1C61A1">
        <w:rPr>
          <w:rFonts w:ascii="Book Antiqua" w:eastAsia="Book Antiqua" w:hAnsi="Book Antiqua" w:cs="Book Antiqua"/>
          <w:i/>
          <w:iCs/>
          <w:color w:val="000000"/>
        </w:rPr>
        <w:t>Nat Med</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26</w:t>
      </w:r>
      <w:r w:rsidRPr="001C61A1">
        <w:rPr>
          <w:rFonts w:ascii="Book Antiqua" w:eastAsia="Book Antiqua" w:hAnsi="Book Antiqua" w:cs="Book Antiqua"/>
          <w:color w:val="000000"/>
        </w:rPr>
        <w:t>: 1017-1032 [PMID: 32651579 DOI: 10.1038/s41591-020-0968-3]</w:t>
      </w:r>
    </w:p>
    <w:p w14:paraId="1923C16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 </w:t>
      </w:r>
      <w:r w:rsidRPr="001C61A1">
        <w:rPr>
          <w:rFonts w:ascii="Book Antiqua" w:eastAsia="Book Antiqua" w:hAnsi="Book Antiqua" w:cs="Book Antiqua"/>
          <w:b/>
          <w:bCs/>
          <w:color w:val="000000"/>
        </w:rPr>
        <w:t>Alimohamadi Y</w:t>
      </w:r>
      <w:r w:rsidRPr="001C61A1">
        <w:rPr>
          <w:rFonts w:ascii="Book Antiqua" w:eastAsia="Book Antiqua" w:hAnsi="Book Antiqua" w:cs="Book Antiqua"/>
          <w:color w:val="000000"/>
        </w:rPr>
        <w:t xml:space="preserve">, Sepandi M, Taghdir M, Hosamirudsari H. Determine the most common clinical symptoms in COVID-19 patients: a systematic review and meta-analysis. </w:t>
      </w:r>
      <w:r w:rsidRPr="001C61A1">
        <w:rPr>
          <w:rFonts w:ascii="Book Antiqua" w:eastAsia="Book Antiqua" w:hAnsi="Book Antiqua" w:cs="Book Antiqua"/>
          <w:i/>
          <w:iCs/>
          <w:color w:val="000000"/>
        </w:rPr>
        <w:t>J Prev Med Hyg</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61</w:t>
      </w:r>
      <w:r w:rsidRPr="001C61A1">
        <w:rPr>
          <w:rFonts w:ascii="Book Antiqua" w:eastAsia="Book Antiqua" w:hAnsi="Book Antiqua" w:cs="Book Antiqua"/>
          <w:color w:val="000000"/>
        </w:rPr>
        <w:t>: E304-E312 [PMID: 33150219 DOI: 10.15167/2421-4248/jpmh2020.61.3.1530]</w:t>
      </w:r>
    </w:p>
    <w:p w14:paraId="0BBE8FD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 </w:t>
      </w:r>
      <w:r w:rsidRPr="001C61A1">
        <w:rPr>
          <w:rFonts w:ascii="Book Antiqua" w:eastAsia="Book Antiqua" w:hAnsi="Book Antiqua" w:cs="Book Antiqua"/>
          <w:b/>
          <w:bCs/>
          <w:color w:val="000000"/>
        </w:rPr>
        <w:t>Salık F</w:t>
      </w:r>
      <w:r w:rsidRPr="001C61A1">
        <w:rPr>
          <w:rFonts w:ascii="Book Antiqua" w:eastAsia="Book Antiqua" w:hAnsi="Book Antiqua" w:cs="Book Antiqua"/>
          <w:color w:val="000000"/>
        </w:rPr>
        <w:t xml:space="preserve">, Uzundere O, Bıçak M, Akelma H, Akgündüz M, Korhan Z, Kandemir D, Kaçar CK. Liver function as a predictor of mortality in COVID-19: A retrospective study. </w:t>
      </w:r>
      <w:r w:rsidRPr="001C61A1">
        <w:rPr>
          <w:rFonts w:ascii="Book Antiqua" w:eastAsia="Book Antiqua" w:hAnsi="Book Antiqua" w:cs="Book Antiqua"/>
          <w:i/>
          <w:iCs/>
          <w:color w:val="000000"/>
        </w:rPr>
        <w:t>Ann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26</w:t>
      </w:r>
      <w:r w:rsidRPr="001C61A1">
        <w:rPr>
          <w:rFonts w:ascii="Book Antiqua" w:eastAsia="Book Antiqua" w:hAnsi="Book Antiqua" w:cs="Book Antiqua"/>
          <w:color w:val="000000"/>
        </w:rPr>
        <w:t>: 100553 [PMID: 34624543 DOI: 10.1016/j.aohep.2021.100553]</w:t>
      </w:r>
    </w:p>
    <w:p w14:paraId="28A0014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 </w:t>
      </w:r>
      <w:r w:rsidRPr="001C61A1">
        <w:rPr>
          <w:rFonts w:ascii="Book Antiqua" w:eastAsia="Book Antiqua" w:hAnsi="Book Antiqua" w:cs="Book Antiqua"/>
          <w:b/>
          <w:bCs/>
          <w:color w:val="000000"/>
        </w:rPr>
        <w:t>Cai Q</w:t>
      </w:r>
      <w:r w:rsidRPr="001C61A1">
        <w:rPr>
          <w:rFonts w:ascii="Book Antiqua" w:eastAsia="Book Antiqua" w:hAnsi="Book Antiqua" w:cs="Book Antiqua"/>
          <w:color w:val="000000"/>
        </w:rPr>
        <w:t xml:space="preserve">, Huang D, Yu H, Zhu Z, Xia Z, Su Y, Li Z, Zhou G, Gou J, Qu J, Sun Y, Liu Y, He Q, Chen J, Liu L, Xu L. COVID-19: Abnormal liver function tests.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73</w:t>
      </w:r>
      <w:r w:rsidRPr="001C61A1">
        <w:rPr>
          <w:rFonts w:ascii="Book Antiqua" w:eastAsia="Book Antiqua" w:hAnsi="Book Antiqua" w:cs="Book Antiqua"/>
          <w:color w:val="000000"/>
        </w:rPr>
        <w:t>: 566-574 [PMID: 32298767 DOI: 10.1016/j.jhep.2020.04.006]</w:t>
      </w:r>
    </w:p>
    <w:p w14:paraId="1D5DF9C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 </w:t>
      </w:r>
      <w:r w:rsidRPr="001C61A1">
        <w:rPr>
          <w:rFonts w:ascii="Book Antiqua" w:eastAsia="Book Antiqua" w:hAnsi="Book Antiqua" w:cs="Book Antiqua"/>
          <w:b/>
          <w:bCs/>
          <w:color w:val="000000"/>
        </w:rPr>
        <w:t>Wijarnpreecha K</w:t>
      </w:r>
      <w:r w:rsidRPr="001C61A1">
        <w:rPr>
          <w:rFonts w:ascii="Book Antiqua" w:eastAsia="Book Antiqua" w:hAnsi="Book Antiqua" w:cs="Book Antiqua"/>
          <w:color w:val="000000"/>
        </w:rPr>
        <w:t xml:space="preserve">, Ungprasert P, Panjawatanan P, Harnois DM, Zaver HB, Ahmed A, Kim D. COVID-19 and liver injury: a meta-analysis. </w:t>
      </w:r>
      <w:r w:rsidRPr="001C61A1">
        <w:rPr>
          <w:rFonts w:ascii="Book Antiqua" w:eastAsia="Book Antiqua" w:hAnsi="Book Antiqua" w:cs="Book Antiqua"/>
          <w:i/>
          <w:iCs/>
          <w:color w:val="000000"/>
        </w:rPr>
        <w:t>Eur J Gastroenterol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33</w:t>
      </w:r>
      <w:r w:rsidRPr="001C61A1">
        <w:rPr>
          <w:rFonts w:ascii="Book Antiqua" w:eastAsia="Book Antiqua" w:hAnsi="Book Antiqua" w:cs="Book Antiqua"/>
          <w:color w:val="000000"/>
        </w:rPr>
        <w:t>: 990-995 [PMID: 32639420 DOI: 10.1097/MEG.0000000000001817]</w:t>
      </w:r>
    </w:p>
    <w:p w14:paraId="3943A4CA"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 </w:t>
      </w:r>
      <w:r w:rsidRPr="001C61A1">
        <w:rPr>
          <w:rFonts w:ascii="Book Antiqua" w:eastAsia="Book Antiqua" w:hAnsi="Book Antiqua" w:cs="Book Antiqua"/>
          <w:b/>
          <w:bCs/>
          <w:color w:val="000000"/>
        </w:rPr>
        <w:t>Fan Z</w:t>
      </w:r>
      <w:r w:rsidRPr="001C61A1">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1C61A1">
        <w:rPr>
          <w:rFonts w:ascii="Book Antiqua" w:eastAsia="Book Antiqua" w:hAnsi="Book Antiqua" w:cs="Book Antiqua"/>
          <w:i/>
          <w:iCs/>
          <w:color w:val="000000"/>
        </w:rPr>
        <w:t>Clin Gastroenterol Hepatol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18</w:t>
      </w:r>
      <w:r w:rsidRPr="001C61A1">
        <w:rPr>
          <w:rFonts w:ascii="Book Antiqua" w:eastAsia="Book Antiqua" w:hAnsi="Book Antiqua" w:cs="Book Antiqua"/>
          <w:color w:val="000000"/>
        </w:rPr>
        <w:t>: 1561-1566 [PMID: 32283325 DOI: 10.1016/j.cgh.2020.04.002]</w:t>
      </w:r>
    </w:p>
    <w:p w14:paraId="7315ADA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 xml:space="preserve">9 </w:t>
      </w:r>
      <w:r w:rsidRPr="001C61A1">
        <w:rPr>
          <w:rFonts w:ascii="Book Antiqua" w:eastAsia="Book Antiqua" w:hAnsi="Book Antiqua" w:cs="Book Antiqua"/>
          <w:b/>
          <w:bCs/>
          <w:color w:val="000000"/>
        </w:rPr>
        <w:t>Kulkarni AV</w:t>
      </w:r>
      <w:r w:rsidRPr="001C61A1">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1C61A1">
        <w:rPr>
          <w:rFonts w:ascii="Book Antiqua" w:eastAsia="Book Antiqua" w:hAnsi="Book Antiqua" w:cs="Book Antiqua"/>
          <w:i/>
          <w:iCs/>
          <w:color w:val="000000"/>
        </w:rPr>
        <w:t>Aliment Pharmacol Ther</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52</w:t>
      </w:r>
      <w:r w:rsidRPr="001C61A1">
        <w:rPr>
          <w:rFonts w:ascii="Book Antiqua" w:eastAsia="Book Antiqua" w:hAnsi="Book Antiqua" w:cs="Book Antiqua"/>
          <w:color w:val="000000"/>
        </w:rPr>
        <w:t>: 584-599 [PMID: 32638436 DOI: 10.1111/apt.15916]</w:t>
      </w:r>
    </w:p>
    <w:p w14:paraId="21B33D0E"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10 </w:t>
      </w:r>
      <w:r w:rsidRPr="001C61A1">
        <w:rPr>
          <w:rFonts w:ascii="Book Antiqua" w:eastAsia="Book Antiqua" w:hAnsi="Book Antiqua" w:cs="Book Antiqua"/>
          <w:b/>
          <w:bCs/>
          <w:color w:val="000000"/>
        </w:rPr>
        <w:t>Xu W</w:t>
      </w:r>
      <w:r w:rsidRPr="001C61A1">
        <w:rPr>
          <w:rFonts w:ascii="Book Antiqua" w:eastAsia="Book Antiqua" w:hAnsi="Book Antiqua" w:cs="Book Antiqua"/>
          <w:color w:val="000000"/>
        </w:rPr>
        <w:t xml:space="preserve">, Huang C, Fei L, Li Q, Chen L. Dynamic Changes in Liver Function Tests and Their Correlation with Illness Severity and Mortality in Patients with COVID-19: A Retrospective Cohort Study. </w:t>
      </w:r>
      <w:r w:rsidRPr="001C61A1">
        <w:rPr>
          <w:rFonts w:ascii="Book Antiqua" w:eastAsia="Book Antiqua" w:hAnsi="Book Antiqua" w:cs="Book Antiqua"/>
          <w:i/>
          <w:iCs/>
          <w:color w:val="000000"/>
        </w:rPr>
        <w:t>Clin Interv Aging</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16</w:t>
      </w:r>
      <w:r w:rsidRPr="001C61A1">
        <w:rPr>
          <w:rFonts w:ascii="Book Antiqua" w:eastAsia="Book Antiqua" w:hAnsi="Book Antiqua" w:cs="Book Antiqua"/>
          <w:color w:val="000000"/>
        </w:rPr>
        <w:t>: 675-685 [PMID: 33911856 DOI: 10.2147/CIA.S303629]</w:t>
      </w:r>
    </w:p>
    <w:p w14:paraId="7439F8D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11 </w:t>
      </w:r>
      <w:r w:rsidRPr="001C61A1">
        <w:rPr>
          <w:rFonts w:ascii="Book Antiqua" w:eastAsia="Book Antiqua" w:hAnsi="Book Antiqua" w:cs="Book Antiqua"/>
          <w:b/>
          <w:bCs/>
          <w:color w:val="000000"/>
        </w:rPr>
        <w:t>Zhu X</w:t>
      </w:r>
      <w:r w:rsidRPr="001C61A1">
        <w:rPr>
          <w:rFonts w:ascii="Book Antiqua" w:eastAsia="Book Antiqua" w:hAnsi="Book Antiqua" w:cs="Book Antiqua"/>
          <w:color w:val="000000"/>
        </w:rPr>
        <w:t xml:space="preserve">, Wang J, Du J, Chen S, Chen S, Li J, Shen B. Changes in Serum Liver Function for Patients with COVID-19: A 1-Year Follow-Up Study. </w:t>
      </w:r>
      <w:r w:rsidRPr="001C61A1">
        <w:rPr>
          <w:rFonts w:ascii="Book Antiqua" w:eastAsia="Book Antiqua" w:hAnsi="Book Antiqua" w:cs="Book Antiqua"/>
          <w:i/>
          <w:iCs/>
          <w:color w:val="000000"/>
        </w:rPr>
        <w:t>Infect Drug Resist</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15</w:t>
      </w:r>
      <w:r w:rsidRPr="001C61A1">
        <w:rPr>
          <w:rFonts w:ascii="Book Antiqua" w:eastAsia="Book Antiqua" w:hAnsi="Book Antiqua" w:cs="Book Antiqua"/>
          <w:color w:val="000000"/>
        </w:rPr>
        <w:t>: 1857-1870 [PMID: 35450115 DOI: 10.2147/IDR.S356181]</w:t>
      </w:r>
    </w:p>
    <w:p w14:paraId="6F0CE14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12 </w:t>
      </w:r>
      <w:r w:rsidRPr="001C61A1">
        <w:rPr>
          <w:rFonts w:ascii="Book Antiqua" w:eastAsia="Book Antiqua" w:hAnsi="Book Antiqua" w:cs="Book Antiqua"/>
          <w:b/>
          <w:bCs/>
          <w:color w:val="000000"/>
        </w:rPr>
        <w:t>Liao X</w:t>
      </w:r>
      <w:r w:rsidRPr="001C61A1">
        <w:rPr>
          <w:rFonts w:ascii="Book Antiqua" w:eastAsia="Book Antiqua" w:hAnsi="Book Antiqua" w:cs="Book Antiqua"/>
          <w:color w:val="000000"/>
        </w:rPr>
        <w:t xml:space="preserve">, Li D, Ma Z, Zhang L, Zheng B, Li Z, Li G, Liu L, Zhang Z. 12-Month Post-Discharge Liver Function Test Abnormalities Among Patients With COVID-19: A Single-Center Prospective Cohort Study. </w:t>
      </w:r>
      <w:r w:rsidRPr="001C61A1">
        <w:rPr>
          <w:rFonts w:ascii="Book Antiqua" w:eastAsia="Book Antiqua" w:hAnsi="Book Antiqua" w:cs="Book Antiqua"/>
          <w:i/>
          <w:iCs/>
          <w:color w:val="000000"/>
        </w:rPr>
        <w:t>Front Cell Infect Microbiol</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12</w:t>
      </w:r>
      <w:r w:rsidRPr="001C61A1">
        <w:rPr>
          <w:rFonts w:ascii="Book Antiqua" w:eastAsia="Book Antiqua" w:hAnsi="Book Antiqua" w:cs="Book Antiqua"/>
          <w:color w:val="000000"/>
        </w:rPr>
        <w:t>: 864933 [PMID: 35493732 DOI: 10.3389/fcimb.2022.864933]</w:t>
      </w:r>
    </w:p>
    <w:p w14:paraId="5C2BDE4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13 </w:t>
      </w:r>
      <w:r w:rsidRPr="001C61A1">
        <w:rPr>
          <w:rFonts w:ascii="Book Antiqua" w:eastAsia="Book Antiqua" w:hAnsi="Book Antiqua" w:cs="Book Antiqua"/>
          <w:b/>
          <w:bCs/>
          <w:color w:val="000000"/>
        </w:rPr>
        <w:t>Hundt MA</w:t>
      </w:r>
      <w:r w:rsidRPr="001C61A1">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72</w:t>
      </w:r>
      <w:r w:rsidRPr="001C61A1">
        <w:rPr>
          <w:rFonts w:ascii="Book Antiqua" w:eastAsia="Book Antiqua" w:hAnsi="Book Antiqua" w:cs="Book Antiqua"/>
          <w:color w:val="000000"/>
        </w:rPr>
        <w:t>: 1169-1176 [PMID: 32725890 DOI: 10.1002/hep.31487]</w:t>
      </w:r>
    </w:p>
    <w:p w14:paraId="19FB102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14 </w:t>
      </w:r>
      <w:r w:rsidRPr="001C61A1">
        <w:rPr>
          <w:rFonts w:ascii="Book Antiqua" w:eastAsia="Book Antiqua" w:hAnsi="Book Antiqua" w:cs="Book Antiqua"/>
          <w:b/>
          <w:bCs/>
          <w:color w:val="000000"/>
        </w:rPr>
        <w:t>Balderramo D</w:t>
      </w:r>
      <w:r w:rsidRPr="001C61A1">
        <w:rPr>
          <w:rFonts w:ascii="Book Antiqua" w:eastAsia="Book Antiqua" w:hAnsi="Book Antiqua" w:cs="Book Antiqua"/>
          <w:color w:val="000000"/>
        </w:rPr>
        <w:t xml:space="preserve">, Mattos AZ, Mulqui V, Chiesa T, Plácido-Damián Z, Abarca J, Bolomo A, Carlino Y, Bombassaro IZ, Wiltgen D, Castillo LT, Díaz K, Acuña J, Manero E, Prieto J, Carrera E, Díaz-Ferrer J, Debes JD. Abnormal Liver Tests during Hospitalization Predict Mortality in Patients with COVID-19: A Multicenter Study from South America. </w:t>
      </w:r>
      <w:r w:rsidRPr="001C61A1">
        <w:rPr>
          <w:rFonts w:ascii="Book Antiqua" w:eastAsia="Book Antiqua" w:hAnsi="Book Antiqua" w:cs="Book Antiqua"/>
          <w:i/>
          <w:iCs/>
          <w:color w:val="000000"/>
        </w:rPr>
        <w:t>Can J Gastroenterol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2021</w:t>
      </w:r>
      <w:r w:rsidRPr="001C61A1">
        <w:rPr>
          <w:rFonts w:ascii="Book Antiqua" w:eastAsia="Book Antiqua" w:hAnsi="Book Antiqua" w:cs="Book Antiqua"/>
          <w:color w:val="000000"/>
        </w:rPr>
        <w:t>: 1622533 [PMID: 34621710 DOI: 10.1155/2021/1622533]</w:t>
      </w:r>
    </w:p>
    <w:p w14:paraId="4FA7712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15 </w:t>
      </w:r>
      <w:r w:rsidRPr="001C61A1">
        <w:rPr>
          <w:rFonts w:ascii="Book Antiqua" w:eastAsia="Book Antiqua" w:hAnsi="Book Antiqua" w:cs="Book Antiqua"/>
          <w:b/>
          <w:bCs/>
          <w:color w:val="000000"/>
        </w:rPr>
        <w:t>Lei F</w:t>
      </w:r>
      <w:r w:rsidRPr="001C61A1">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w:t>
      </w:r>
      <w:r w:rsidRPr="001C61A1">
        <w:rPr>
          <w:rFonts w:ascii="Book Antiqua" w:eastAsia="Book Antiqua" w:hAnsi="Book Antiqua" w:cs="Book Antiqua"/>
          <w:color w:val="000000"/>
        </w:rPr>
        <w:lastRenderedPageBreak/>
        <w:t xml:space="preserve">Markers of Liver Injury and Mortality in COVID-19 in China.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72</w:t>
      </w:r>
      <w:r w:rsidRPr="001C61A1">
        <w:rPr>
          <w:rFonts w:ascii="Book Antiqua" w:eastAsia="Book Antiqua" w:hAnsi="Book Antiqua" w:cs="Book Antiqua"/>
          <w:color w:val="000000"/>
        </w:rPr>
        <w:t>: 389-398 [PMID: 32359177 DOI: 10.1002/hep.31301]</w:t>
      </w:r>
    </w:p>
    <w:p w14:paraId="65AC957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16 </w:t>
      </w:r>
      <w:r w:rsidRPr="001C61A1">
        <w:rPr>
          <w:rFonts w:ascii="Book Antiqua" w:eastAsia="Book Antiqua" w:hAnsi="Book Antiqua" w:cs="Book Antiqua"/>
          <w:b/>
          <w:bCs/>
          <w:color w:val="000000"/>
        </w:rPr>
        <w:t>Fix OK</w:t>
      </w:r>
      <w:r w:rsidRPr="001C61A1">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72</w:t>
      </w:r>
      <w:r w:rsidRPr="001C61A1">
        <w:rPr>
          <w:rFonts w:ascii="Book Antiqua" w:eastAsia="Book Antiqua" w:hAnsi="Book Antiqua" w:cs="Book Antiqua"/>
          <w:color w:val="000000"/>
        </w:rPr>
        <w:t>: 287-304 [PMID: 32298473 DOI: 10.1002/hep.31281]</w:t>
      </w:r>
    </w:p>
    <w:p w14:paraId="28F0090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17 </w:t>
      </w:r>
      <w:r w:rsidRPr="001C61A1">
        <w:rPr>
          <w:rFonts w:ascii="Book Antiqua" w:eastAsia="Book Antiqua" w:hAnsi="Book Antiqua" w:cs="Book Antiqua"/>
          <w:b/>
          <w:bCs/>
          <w:color w:val="000000"/>
        </w:rPr>
        <w:t>Bin Arif T</w:t>
      </w:r>
      <w:r w:rsidRPr="001C61A1">
        <w:rPr>
          <w:rFonts w:ascii="Book Antiqua" w:eastAsia="Book Antiqua" w:hAnsi="Book Antiqua" w:cs="Book Antiqua"/>
          <w:color w:val="000000"/>
        </w:rPr>
        <w:t xml:space="preserve">, Khalid S, Siddiqui MS, Hussain H, Sohail H. Incidence, patterns, risk factors, and histopathological findings of liver injury in coronavirus disease 2019 (COVID-19): a scoping review. </w:t>
      </w:r>
      <w:r w:rsidRPr="001C61A1">
        <w:rPr>
          <w:rFonts w:ascii="Book Antiqua" w:eastAsia="Book Antiqua" w:hAnsi="Book Antiqua" w:cs="Book Antiqua"/>
          <w:i/>
          <w:iCs/>
          <w:color w:val="000000"/>
        </w:rPr>
        <w:t>Hong Kong Med J</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27</w:t>
      </w:r>
      <w:r w:rsidRPr="001C61A1">
        <w:rPr>
          <w:rFonts w:ascii="Book Antiqua" w:eastAsia="Book Antiqua" w:hAnsi="Book Antiqua" w:cs="Book Antiqua"/>
          <w:color w:val="000000"/>
        </w:rPr>
        <w:t>: 198-209 [PMID: 33122448 DOI: 10.12809/hkmj208732]</w:t>
      </w:r>
    </w:p>
    <w:p w14:paraId="1B97D80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18 </w:t>
      </w:r>
      <w:r w:rsidRPr="001C61A1">
        <w:rPr>
          <w:rFonts w:ascii="Book Antiqua" w:eastAsia="Book Antiqua" w:hAnsi="Book Antiqua" w:cs="Book Antiqua"/>
          <w:b/>
          <w:bCs/>
          <w:color w:val="000000"/>
        </w:rPr>
        <w:t>Zeng QL</w:t>
      </w:r>
      <w:r w:rsidRPr="001C61A1">
        <w:rPr>
          <w:rFonts w:ascii="Book Antiqua" w:eastAsia="Book Antiqua" w:hAnsi="Book Antiqua" w:cs="Book Antiqua"/>
          <w:color w:val="000000"/>
        </w:rPr>
        <w:t xml:space="preserve">, Yu ZJ, Ji F, Li GM, Zhang GF, Xu JH, Lin WB, Zhang GQ, Li GT, Cui GL, Wang FS. Dynamic changes in liver function parameters in patients with coronavirus disease 2019: a multicentre, retrospective study. </w:t>
      </w:r>
      <w:r w:rsidRPr="001C61A1">
        <w:rPr>
          <w:rFonts w:ascii="Book Antiqua" w:eastAsia="Book Antiqua" w:hAnsi="Book Antiqua" w:cs="Book Antiqua"/>
          <w:i/>
          <w:iCs/>
          <w:color w:val="000000"/>
        </w:rPr>
        <w:t>BMC Infect Dis</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21</w:t>
      </w:r>
      <w:r w:rsidRPr="001C61A1">
        <w:rPr>
          <w:rFonts w:ascii="Book Antiqua" w:eastAsia="Book Antiqua" w:hAnsi="Book Antiqua" w:cs="Book Antiqua"/>
          <w:color w:val="000000"/>
        </w:rPr>
        <w:t>: 818 [PMID: 34399709 DOI: 10.1186/s12879-021-06572-z]</w:t>
      </w:r>
    </w:p>
    <w:p w14:paraId="2B46F64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19 </w:t>
      </w:r>
      <w:r w:rsidRPr="001C61A1">
        <w:rPr>
          <w:rFonts w:ascii="Book Antiqua" w:eastAsia="Book Antiqua" w:hAnsi="Book Antiqua" w:cs="Book Antiqua"/>
          <w:b/>
          <w:bCs/>
          <w:color w:val="000000"/>
        </w:rPr>
        <w:t>Phipps MM</w:t>
      </w:r>
      <w:r w:rsidRPr="001C61A1">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72</w:t>
      </w:r>
      <w:r w:rsidRPr="001C61A1">
        <w:rPr>
          <w:rFonts w:ascii="Book Antiqua" w:eastAsia="Book Antiqua" w:hAnsi="Book Antiqua" w:cs="Book Antiqua"/>
          <w:color w:val="000000"/>
        </w:rPr>
        <w:t>: 807-817 [PMID: 32473607 DOI: 10.1002/hep.31404]</w:t>
      </w:r>
    </w:p>
    <w:p w14:paraId="5C63FAE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20 </w:t>
      </w:r>
      <w:r w:rsidRPr="001C61A1">
        <w:rPr>
          <w:rFonts w:ascii="Book Antiqua" w:eastAsia="Book Antiqua" w:hAnsi="Book Antiqua" w:cs="Book Antiqua"/>
          <w:b/>
          <w:bCs/>
          <w:color w:val="000000"/>
        </w:rPr>
        <w:t>Ahmed J</w:t>
      </w:r>
      <w:r w:rsidRPr="001C61A1">
        <w:rPr>
          <w:rFonts w:ascii="Book Antiqua" w:eastAsia="Book Antiqua" w:hAnsi="Book Antiqua" w:cs="Book Antiqua"/>
          <w:color w:val="000000"/>
        </w:rPr>
        <w:t xml:space="preserve">, Rizwan T, Malik F, Akhter R, Malik M, Ahmad J, Khan AW, Chaudhary MA, Usman MS. COVID-19 and Liver Injury: A Systematic Review and Meta-Analysis. </w:t>
      </w:r>
      <w:r w:rsidRPr="001C61A1">
        <w:rPr>
          <w:rFonts w:ascii="Book Antiqua" w:eastAsia="Book Antiqua" w:hAnsi="Book Antiqua" w:cs="Book Antiqua"/>
          <w:i/>
          <w:iCs/>
          <w:color w:val="000000"/>
        </w:rPr>
        <w:t>Cureus</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12</w:t>
      </w:r>
      <w:r w:rsidRPr="001C61A1">
        <w:rPr>
          <w:rFonts w:ascii="Book Antiqua" w:eastAsia="Book Antiqua" w:hAnsi="Book Antiqua" w:cs="Book Antiqua"/>
          <w:color w:val="000000"/>
        </w:rPr>
        <w:t>: e9424 [PMID: 32864250 DOI: 10.7759/cureus.9424]</w:t>
      </w:r>
    </w:p>
    <w:p w14:paraId="029D77B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21 </w:t>
      </w:r>
      <w:r w:rsidRPr="001C61A1">
        <w:rPr>
          <w:rFonts w:ascii="Book Antiqua" w:eastAsia="Book Antiqua" w:hAnsi="Book Antiqua" w:cs="Book Antiqua"/>
          <w:b/>
          <w:bCs/>
          <w:color w:val="000000"/>
        </w:rPr>
        <w:t>Wang Y</w:t>
      </w:r>
      <w:r w:rsidRPr="001C61A1">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73</w:t>
      </w:r>
      <w:r w:rsidRPr="001C61A1">
        <w:rPr>
          <w:rFonts w:ascii="Book Antiqua" w:eastAsia="Book Antiqua" w:hAnsi="Book Antiqua" w:cs="Book Antiqua"/>
          <w:color w:val="000000"/>
        </w:rPr>
        <w:t>: 807-816 [PMID: 32437830 DOI: 10.1016/j.jhep.2020.05.002]</w:t>
      </w:r>
    </w:p>
    <w:p w14:paraId="6E0579D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22 </w:t>
      </w:r>
      <w:r w:rsidRPr="001C61A1">
        <w:rPr>
          <w:rFonts w:ascii="Book Antiqua" w:eastAsia="Book Antiqua" w:hAnsi="Book Antiqua" w:cs="Book Antiqua"/>
          <w:b/>
          <w:bCs/>
          <w:color w:val="000000"/>
        </w:rPr>
        <w:t>Liu F</w:t>
      </w:r>
      <w:r w:rsidRPr="001C61A1">
        <w:rPr>
          <w:rFonts w:ascii="Book Antiqua" w:eastAsia="Book Antiqua" w:hAnsi="Book Antiqua" w:cs="Book Antiqua"/>
          <w:color w:val="000000"/>
        </w:rPr>
        <w:t>, Liu H, Yu WY, Liu Z, Zhang X, Wang Y, Miao LB, Li ZY, Huang JS, Bao JF. The Associations of Lymphocyte Ratio and Neutrophil Ratio on Liver Dysfunction in COVID-</w:t>
      </w:r>
      <w:r w:rsidRPr="001C61A1">
        <w:rPr>
          <w:rFonts w:ascii="Book Antiqua" w:eastAsia="Book Antiqua" w:hAnsi="Book Antiqua" w:cs="Book Antiqua"/>
          <w:color w:val="000000"/>
        </w:rPr>
        <w:lastRenderedPageBreak/>
        <w:t xml:space="preserve">19 Patients. </w:t>
      </w:r>
      <w:r w:rsidRPr="001C61A1">
        <w:rPr>
          <w:rFonts w:ascii="Book Antiqua" w:eastAsia="Book Antiqua" w:hAnsi="Book Antiqua" w:cs="Book Antiqua"/>
          <w:i/>
          <w:iCs/>
          <w:color w:val="000000"/>
        </w:rPr>
        <w:t>Front Immunol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12</w:t>
      </w:r>
      <w:r w:rsidRPr="001C61A1">
        <w:rPr>
          <w:rFonts w:ascii="Book Antiqua" w:eastAsia="Book Antiqua" w:hAnsi="Book Antiqua" w:cs="Book Antiqua"/>
          <w:color w:val="000000"/>
        </w:rPr>
        <w:t>: 717461 [PMID: 34552588 DOI: 10.3389/fimmu.2021.717461]</w:t>
      </w:r>
    </w:p>
    <w:p w14:paraId="63213F2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23 </w:t>
      </w:r>
      <w:r w:rsidRPr="001C61A1">
        <w:rPr>
          <w:rFonts w:ascii="Book Antiqua" w:eastAsia="Book Antiqua" w:hAnsi="Book Antiqua" w:cs="Book Antiqua"/>
          <w:b/>
          <w:bCs/>
          <w:color w:val="000000"/>
        </w:rPr>
        <w:t>Chaibi S</w:t>
      </w:r>
      <w:r w:rsidRPr="001C61A1">
        <w:rPr>
          <w:rFonts w:ascii="Book Antiqua" w:eastAsia="Book Antiqua" w:hAnsi="Book Antiqua" w:cs="Book Antiqua"/>
          <w:color w:val="000000"/>
        </w:rPr>
        <w:t xml:space="preserve">, Boussier J, Hajj WE, Abitbol Y, Taieb S, Horaist C, Jouannaud V, Wang P, Piquet J, Maurer C, Lahmek P, Nahon S. Liver function test abnormalities are associated with a poorer prognosis in Covid-19 patients: Results of a French cohort. </w:t>
      </w:r>
      <w:r w:rsidRPr="001C61A1">
        <w:rPr>
          <w:rFonts w:ascii="Book Antiqua" w:eastAsia="Book Antiqua" w:hAnsi="Book Antiqua" w:cs="Book Antiqua"/>
          <w:i/>
          <w:iCs/>
          <w:color w:val="000000"/>
        </w:rPr>
        <w:t>Clin Res Hepatol Gastroenterol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45</w:t>
      </w:r>
      <w:r w:rsidRPr="001C61A1">
        <w:rPr>
          <w:rFonts w:ascii="Book Antiqua" w:eastAsia="Book Antiqua" w:hAnsi="Book Antiqua" w:cs="Book Antiqua"/>
          <w:color w:val="000000"/>
        </w:rPr>
        <w:t>: 101556 [PMID: 33139241 DOI: 10.1016/j.clinre.2020.10.002]</w:t>
      </w:r>
    </w:p>
    <w:p w14:paraId="0D815FC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24 </w:t>
      </w:r>
      <w:r w:rsidRPr="001C61A1">
        <w:rPr>
          <w:rFonts w:ascii="Book Antiqua" w:eastAsia="Book Antiqua" w:hAnsi="Book Antiqua" w:cs="Book Antiqua"/>
          <w:b/>
          <w:bCs/>
          <w:color w:val="000000"/>
        </w:rPr>
        <w:t>Shousha HI</w:t>
      </w:r>
      <w:r w:rsidRPr="001C61A1">
        <w:rPr>
          <w:rFonts w:ascii="Book Antiqua" w:eastAsia="Book Antiqua" w:hAnsi="Book Antiqua" w:cs="Book Antiqua"/>
          <w:color w:val="000000"/>
        </w:rPr>
        <w:t xml:space="preserve">, Afify S, Maher R, Asem N, Fouad E, Mostafa EF, Medhat MA, Abdalazeem A, Elmorsy H, Aziz MM, Mohammed RS, Ibrahem M, Elgarem H, Omran D, Hassany M, Elsayed B, Abdelaziz AY, El Kassas M. Hepatic and gastrointestinal disturbances in Egyptian patients infected with coronavirus disease 2019: A multicentre cohort study. </w:t>
      </w:r>
      <w:r w:rsidRPr="001C61A1">
        <w:rPr>
          <w:rFonts w:ascii="Book Antiqua" w:eastAsia="Book Antiqua" w:hAnsi="Book Antiqua" w:cs="Book Antiqua"/>
          <w:i/>
          <w:iCs/>
          <w:color w:val="000000"/>
        </w:rPr>
        <w:t>World J Gastroenterol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27</w:t>
      </w:r>
      <w:r w:rsidRPr="001C61A1">
        <w:rPr>
          <w:rFonts w:ascii="Book Antiqua" w:eastAsia="Book Antiqua" w:hAnsi="Book Antiqua" w:cs="Book Antiqua"/>
          <w:color w:val="000000"/>
        </w:rPr>
        <w:t>: 6951-6966 [PMID: 34790017 DOI: 10.3748/wjg.v27.i40.6951]</w:t>
      </w:r>
    </w:p>
    <w:p w14:paraId="3743A17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25 </w:t>
      </w:r>
      <w:r w:rsidRPr="001C61A1">
        <w:rPr>
          <w:rFonts w:ascii="Book Antiqua" w:eastAsia="Book Antiqua" w:hAnsi="Book Antiqua" w:cs="Book Antiqua"/>
          <w:b/>
          <w:bCs/>
          <w:color w:val="000000"/>
        </w:rPr>
        <w:t>Luo K</w:t>
      </w:r>
      <w:r w:rsidRPr="001C61A1">
        <w:rPr>
          <w:rFonts w:ascii="Book Antiqua" w:eastAsia="Book Antiqua" w:hAnsi="Book Antiqua" w:cs="Book Antiqua"/>
          <w:color w:val="000000"/>
        </w:rPr>
        <w:t xml:space="preserve">, Chen Y, Yang J, Tao Q, Luo M. Liver Injury and Elevated Levels of Interleukins, Interleukin-2 Receptor, and Interleukin-6 Predict the Severity in Patients With COVID-19. </w:t>
      </w:r>
      <w:r w:rsidRPr="001C61A1">
        <w:rPr>
          <w:rFonts w:ascii="Book Antiqua" w:eastAsia="Book Antiqua" w:hAnsi="Book Antiqua" w:cs="Book Antiqua"/>
          <w:i/>
          <w:iCs/>
          <w:color w:val="000000"/>
        </w:rPr>
        <w:t>Front Public Health</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9</w:t>
      </w:r>
      <w:r w:rsidRPr="001C61A1">
        <w:rPr>
          <w:rFonts w:ascii="Book Antiqua" w:eastAsia="Book Antiqua" w:hAnsi="Book Antiqua" w:cs="Book Antiqua"/>
          <w:color w:val="000000"/>
        </w:rPr>
        <w:t>: 778340 [PMID: 34970527 DOI: 10.3389/fpubh.2021.778340]</w:t>
      </w:r>
    </w:p>
    <w:p w14:paraId="3895519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26 </w:t>
      </w:r>
      <w:r w:rsidRPr="001C61A1">
        <w:rPr>
          <w:rFonts w:ascii="Book Antiqua" w:eastAsia="Book Antiqua" w:hAnsi="Book Antiqua" w:cs="Book Antiqua"/>
          <w:b/>
          <w:bCs/>
          <w:color w:val="000000"/>
        </w:rPr>
        <w:t>Liu W</w:t>
      </w:r>
      <w:r w:rsidRPr="001C61A1">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sidRPr="001C61A1">
        <w:rPr>
          <w:rFonts w:ascii="Book Antiqua" w:eastAsia="Book Antiqua" w:hAnsi="Book Antiqua" w:cs="Book Antiqua"/>
          <w:i/>
          <w:iCs/>
          <w:color w:val="000000"/>
        </w:rPr>
        <w:t>Chin Med J (Engl)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133</w:t>
      </w:r>
      <w:r w:rsidRPr="001C61A1">
        <w:rPr>
          <w:rFonts w:ascii="Book Antiqua" w:eastAsia="Book Antiqua" w:hAnsi="Book Antiqua" w:cs="Book Antiqua"/>
          <w:color w:val="000000"/>
        </w:rPr>
        <w:t>: 1032-1038 [PMID: 32118640 DOI: 10.1097/CM9.0000000000000775]</w:t>
      </w:r>
    </w:p>
    <w:p w14:paraId="5367795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27 </w:t>
      </w:r>
      <w:r w:rsidRPr="001C61A1">
        <w:rPr>
          <w:rFonts w:ascii="Book Antiqua" w:eastAsia="Book Antiqua" w:hAnsi="Book Antiqua" w:cs="Book Antiqua"/>
          <w:b/>
          <w:bCs/>
          <w:color w:val="000000"/>
        </w:rPr>
        <w:t>Ponziani FR</w:t>
      </w:r>
      <w:r w:rsidRPr="001C61A1">
        <w:rPr>
          <w:rFonts w:ascii="Book Antiqua" w:eastAsia="Book Antiqua" w:hAnsi="Book Antiqua" w:cs="Book Antiqua"/>
          <w:color w:val="000000"/>
        </w:rPr>
        <w:t xml:space="preserve">, Del Zompo F, Nesci A, Santopaolo F, Ianiro G, Pompili M, Gasbarrini A; “Gemelli against COVID-19” group. Liver involvement is not associated with mortality: results from a large cohort of SARS-CoV-2-positive patients. </w:t>
      </w:r>
      <w:r w:rsidRPr="001C61A1">
        <w:rPr>
          <w:rFonts w:ascii="Book Antiqua" w:eastAsia="Book Antiqua" w:hAnsi="Book Antiqua" w:cs="Book Antiqua"/>
          <w:i/>
          <w:iCs/>
          <w:color w:val="000000"/>
        </w:rPr>
        <w:t>Aliment Pharmacol Ther</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52</w:t>
      </w:r>
      <w:r w:rsidRPr="001C61A1">
        <w:rPr>
          <w:rFonts w:ascii="Book Antiqua" w:eastAsia="Book Antiqua" w:hAnsi="Book Antiqua" w:cs="Book Antiqua"/>
          <w:color w:val="000000"/>
        </w:rPr>
        <w:t>: 1060-1068 [PMID: 32628793 DOI: 10.1111/apt.15996]</w:t>
      </w:r>
    </w:p>
    <w:p w14:paraId="43A647D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28 </w:t>
      </w:r>
      <w:r w:rsidRPr="001C61A1">
        <w:rPr>
          <w:rFonts w:ascii="Book Antiqua" w:eastAsia="Book Antiqua" w:hAnsi="Book Antiqua" w:cs="Book Antiqua"/>
          <w:b/>
          <w:bCs/>
          <w:color w:val="000000"/>
        </w:rPr>
        <w:t>Lei P</w:t>
      </w:r>
      <w:r w:rsidRPr="001C61A1">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sidRPr="001C61A1">
        <w:rPr>
          <w:rFonts w:ascii="Book Antiqua" w:eastAsia="Book Antiqua" w:hAnsi="Book Antiqua" w:cs="Book Antiqua"/>
          <w:i/>
          <w:iCs/>
          <w:color w:val="000000"/>
        </w:rPr>
        <w:t>Hepatol Int</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14</w:t>
      </w:r>
      <w:r w:rsidRPr="001C61A1">
        <w:rPr>
          <w:rFonts w:ascii="Book Antiqua" w:eastAsia="Book Antiqua" w:hAnsi="Book Antiqua" w:cs="Book Antiqua"/>
          <w:color w:val="000000"/>
        </w:rPr>
        <w:t>: 733-742 [PMID: 32886333 DOI: 10.1007/s12072-020-10087-1]</w:t>
      </w:r>
    </w:p>
    <w:p w14:paraId="5D1E98A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29 </w:t>
      </w:r>
      <w:r w:rsidRPr="001C61A1">
        <w:rPr>
          <w:rFonts w:ascii="Book Antiqua" w:eastAsia="Book Antiqua" w:hAnsi="Book Antiqua" w:cs="Book Antiqua"/>
          <w:b/>
          <w:bCs/>
          <w:color w:val="000000"/>
        </w:rPr>
        <w:t>Vaidya T</w:t>
      </w:r>
      <w:r w:rsidRPr="001C61A1">
        <w:rPr>
          <w:rFonts w:ascii="Book Antiqua" w:eastAsia="Book Antiqua" w:hAnsi="Book Antiqua" w:cs="Book Antiqua"/>
          <w:color w:val="000000"/>
        </w:rPr>
        <w:t xml:space="preserve">, Nanivadekar A, Patel R. Imaging spectrum of abdominal manifestations of COVID-19. </w:t>
      </w:r>
      <w:r w:rsidRPr="001C61A1">
        <w:rPr>
          <w:rFonts w:ascii="Book Antiqua" w:eastAsia="Book Antiqua" w:hAnsi="Book Antiqua" w:cs="Book Antiqua"/>
          <w:i/>
          <w:iCs/>
          <w:color w:val="000000"/>
        </w:rPr>
        <w:t>World J Radiol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13</w:t>
      </w:r>
      <w:r w:rsidRPr="001C61A1">
        <w:rPr>
          <w:rFonts w:ascii="Book Antiqua" w:eastAsia="Book Antiqua" w:hAnsi="Book Antiqua" w:cs="Book Antiqua"/>
          <w:color w:val="000000"/>
        </w:rPr>
        <w:t>: 157-170 [PMID: 34249237 DOI: 10.4329/wjr.v13.i6.157]</w:t>
      </w:r>
    </w:p>
    <w:p w14:paraId="79D4576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 xml:space="preserve">30 </w:t>
      </w:r>
      <w:r w:rsidRPr="001C61A1">
        <w:rPr>
          <w:rFonts w:ascii="Book Antiqua" w:eastAsia="Book Antiqua" w:hAnsi="Book Antiqua" w:cs="Book Antiqua"/>
          <w:b/>
          <w:bCs/>
          <w:color w:val="000000"/>
        </w:rPr>
        <w:t>Bhayana R</w:t>
      </w:r>
      <w:r w:rsidRPr="001C61A1">
        <w:rPr>
          <w:rFonts w:ascii="Book Antiqua" w:eastAsia="Book Antiqua" w:hAnsi="Book Antiqua" w:cs="Book Antiqua"/>
          <w:color w:val="000000"/>
        </w:rPr>
        <w:t xml:space="preserve">, Som A, Li MD, Carey DE, Anderson MA, Blake MA, Catalano O, Gee MS, Hahn PF, Harisinghani M, Kilcoyne A, Lee SI, Mojtahed A, Pandharipande PV, Pierce TT, Rosman DA, Saini S, Samir AE, Simeone JF, Gervais DA, Velmahos G, Misdraji J, Kambadakone A. Abdominal Imaging Findings in COVID-19: Preliminary Observations. </w:t>
      </w:r>
      <w:r w:rsidRPr="001C61A1">
        <w:rPr>
          <w:rFonts w:ascii="Book Antiqua" w:eastAsia="Book Antiqua" w:hAnsi="Book Antiqua" w:cs="Book Antiqua"/>
          <w:i/>
          <w:iCs/>
          <w:color w:val="000000"/>
        </w:rPr>
        <w:t>Radiology</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297</w:t>
      </w:r>
      <w:r w:rsidRPr="001C61A1">
        <w:rPr>
          <w:rFonts w:ascii="Book Antiqua" w:eastAsia="Book Antiqua" w:hAnsi="Book Antiqua" w:cs="Book Antiqua"/>
          <w:color w:val="000000"/>
        </w:rPr>
        <w:t>: E207-E215 [PMID: 32391742 DOI: 10.1148/radiol.2020201908]</w:t>
      </w:r>
    </w:p>
    <w:p w14:paraId="6229DE7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31 </w:t>
      </w:r>
      <w:r w:rsidRPr="001C61A1">
        <w:rPr>
          <w:rFonts w:ascii="Book Antiqua" w:eastAsia="Book Antiqua" w:hAnsi="Book Antiqua" w:cs="Book Antiqua"/>
          <w:b/>
          <w:bCs/>
          <w:color w:val="000000"/>
        </w:rPr>
        <w:t>Balaban DV</w:t>
      </w:r>
      <w:r w:rsidRPr="001C61A1">
        <w:rPr>
          <w:rFonts w:ascii="Book Antiqua" w:eastAsia="Book Antiqua" w:hAnsi="Book Antiqua" w:cs="Book Antiqua"/>
          <w:color w:val="000000"/>
        </w:rPr>
        <w:t xml:space="preserve">, Baston OM, Jinga M. Abdominal imaging in COVID-19. </w:t>
      </w:r>
      <w:r w:rsidRPr="001C61A1">
        <w:rPr>
          <w:rFonts w:ascii="Book Antiqua" w:eastAsia="Book Antiqua" w:hAnsi="Book Antiqua" w:cs="Book Antiqua"/>
          <w:i/>
          <w:iCs/>
          <w:color w:val="000000"/>
        </w:rPr>
        <w:t>World J Radiol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13</w:t>
      </w:r>
      <w:r w:rsidRPr="001C61A1">
        <w:rPr>
          <w:rFonts w:ascii="Book Antiqua" w:eastAsia="Book Antiqua" w:hAnsi="Book Antiqua" w:cs="Book Antiqua"/>
          <w:color w:val="000000"/>
        </w:rPr>
        <w:t>: 227-232 [PMID: 34367509 DOI: 10.4329/wjr.v13.i7.227]</w:t>
      </w:r>
    </w:p>
    <w:p w14:paraId="7B4933C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32 </w:t>
      </w:r>
      <w:r w:rsidRPr="001C61A1">
        <w:rPr>
          <w:rFonts w:ascii="Book Antiqua" w:eastAsia="Book Antiqua" w:hAnsi="Book Antiqua" w:cs="Book Antiqua"/>
          <w:b/>
          <w:bCs/>
          <w:color w:val="000000"/>
        </w:rPr>
        <w:t>Hamming I</w:t>
      </w:r>
      <w:r w:rsidRPr="001C61A1">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sidRPr="001C61A1">
        <w:rPr>
          <w:rFonts w:ascii="Book Antiqua" w:eastAsia="Book Antiqua" w:hAnsi="Book Antiqua" w:cs="Book Antiqua"/>
          <w:i/>
          <w:iCs/>
          <w:color w:val="000000"/>
        </w:rPr>
        <w:t>J Pathol</w:t>
      </w:r>
      <w:r w:rsidRPr="001C61A1">
        <w:rPr>
          <w:rFonts w:ascii="Book Antiqua" w:eastAsia="Book Antiqua" w:hAnsi="Book Antiqua" w:cs="Book Antiqua"/>
          <w:color w:val="000000"/>
        </w:rPr>
        <w:t xml:space="preserve"> 2004; </w:t>
      </w:r>
      <w:r w:rsidRPr="001C61A1">
        <w:rPr>
          <w:rFonts w:ascii="Book Antiqua" w:eastAsia="Book Antiqua" w:hAnsi="Book Antiqua" w:cs="Book Antiqua"/>
          <w:b/>
          <w:bCs/>
          <w:color w:val="000000"/>
        </w:rPr>
        <w:t>203</w:t>
      </w:r>
      <w:r w:rsidRPr="001C61A1">
        <w:rPr>
          <w:rFonts w:ascii="Book Antiqua" w:eastAsia="Book Antiqua" w:hAnsi="Book Antiqua" w:cs="Book Antiqua"/>
          <w:color w:val="000000"/>
        </w:rPr>
        <w:t>: 631-637 [PMID: 15141377 DOI: 10.1002/path.1570]</w:t>
      </w:r>
    </w:p>
    <w:p w14:paraId="425364D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33 </w:t>
      </w:r>
      <w:r w:rsidRPr="001C61A1">
        <w:rPr>
          <w:rFonts w:ascii="Book Antiqua" w:eastAsia="Book Antiqua" w:hAnsi="Book Antiqua" w:cs="Book Antiqua"/>
          <w:b/>
          <w:bCs/>
          <w:color w:val="000000"/>
        </w:rPr>
        <w:t>Zhang X</w:t>
      </w:r>
      <w:r w:rsidRPr="001C61A1">
        <w:rPr>
          <w:rFonts w:ascii="Book Antiqua" w:eastAsia="Book Antiqua" w:hAnsi="Book Antiqua" w:cs="Book Antiqua"/>
          <w:color w:val="000000"/>
        </w:rPr>
        <w:t xml:space="preserve">, Yu Y, Zhang C, Wang H, Zhao L, Wang H, Su Y, Yang M. Mechanism of SARS-CoV-2 Invasion into the Liver and Hepatic Injury in Patients with COVID-19. </w:t>
      </w:r>
      <w:r w:rsidRPr="001C61A1">
        <w:rPr>
          <w:rFonts w:ascii="Book Antiqua" w:eastAsia="Book Antiqua" w:hAnsi="Book Antiqua" w:cs="Book Antiqua"/>
          <w:i/>
          <w:iCs/>
          <w:color w:val="000000"/>
        </w:rPr>
        <w:t>Mediterr J Hematol Infect Dis</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14</w:t>
      </w:r>
      <w:r w:rsidRPr="001C61A1">
        <w:rPr>
          <w:rFonts w:ascii="Book Antiqua" w:eastAsia="Book Antiqua" w:hAnsi="Book Antiqua" w:cs="Book Antiqua"/>
          <w:color w:val="000000"/>
        </w:rPr>
        <w:t>: e2022003 [PMID: 35070210 DOI: 10.4084/MJHID.2022.003]</w:t>
      </w:r>
    </w:p>
    <w:p w14:paraId="1450F53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34 </w:t>
      </w:r>
      <w:r w:rsidRPr="001C61A1">
        <w:rPr>
          <w:rFonts w:ascii="Book Antiqua" w:eastAsia="Book Antiqua" w:hAnsi="Book Antiqua" w:cs="Book Antiqua"/>
          <w:b/>
          <w:bCs/>
          <w:color w:val="000000"/>
        </w:rPr>
        <w:t>Li MY</w:t>
      </w:r>
      <w:r w:rsidRPr="001C61A1">
        <w:rPr>
          <w:rFonts w:ascii="Book Antiqua" w:eastAsia="Book Antiqua" w:hAnsi="Book Antiqua" w:cs="Book Antiqua"/>
          <w:color w:val="000000"/>
        </w:rPr>
        <w:t xml:space="preserve">, Li L, Zhang Y, Wang XS. Expression of the SARS-CoV-2 cell receptor gene ACE2 in a wide variety of human tissues. </w:t>
      </w:r>
      <w:r w:rsidRPr="001C61A1">
        <w:rPr>
          <w:rFonts w:ascii="Book Antiqua" w:eastAsia="Book Antiqua" w:hAnsi="Book Antiqua" w:cs="Book Antiqua"/>
          <w:i/>
          <w:iCs/>
          <w:color w:val="000000"/>
        </w:rPr>
        <w:t>Infect Dis Poverty</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9</w:t>
      </w:r>
      <w:r w:rsidRPr="001C61A1">
        <w:rPr>
          <w:rFonts w:ascii="Book Antiqua" w:eastAsia="Book Antiqua" w:hAnsi="Book Antiqua" w:cs="Book Antiqua"/>
          <w:color w:val="000000"/>
        </w:rPr>
        <w:t>: 45 [PMID: 32345362 DOI: 10.1186/s40249-020-00662-x]</w:t>
      </w:r>
    </w:p>
    <w:p w14:paraId="00DBCF5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35 </w:t>
      </w:r>
      <w:r w:rsidRPr="001C61A1">
        <w:rPr>
          <w:rFonts w:ascii="Book Antiqua" w:eastAsia="Book Antiqua" w:hAnsi="Book Antiqua" w:cs="Book Antiqua"/>
          <w:b/>
          <w:bCs/>
          <w:color w:val="000000"/>
        </w:rPr>
        <w:t>Chen N</w:t>
      </w:r>
      <w:r w:rsidRPr="001C61A1">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1C61A1">
        <w:rPr>
          <w:rFonts w:ascii="Book Antiqua" w:eastAsia="Book Antiqua" w:hAnsi="Book Antiqua" w:cs="Book Antiqua"/>
          <w:i/>
          <w:iCs/>
          <w:color w:val="000000"/>
        </w:rPr>
        <w:t>Lancet</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395</w:t>
      </w:r>
      <w:r w:rsidRPr="001C61A1">
        <w:rPr>
          <w:rFonts w:ascii="Book Antiqua" w:eastAsia="Book Antiqua" w:hAnsi="Book Antiqua" w:cs="Book Antiqua"/>
          <w:color w:val="000000"/>
        </w:rPr>
        <w:t>: 507-513 [PMID: 32007143 DOI: 10.1016/S0140-6736(20)30211-7]</w:t>
      </w:r>
    </w:p>
    <w:p w14:paraId="0BAD20D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36 </w:t>
      </w:r>
      <w:r w:rsidRPr="001C61A1">
        <w:rPr>
          <w:rFonts w:ascii="Book Antiqua" w:eastAsia="Book Antiqua" w:hAnsi="Book Antiqua" w:cs="Book Antiqua"/>
          <w:b/>
          <w:bCs/>
          <w:color w:val="000000"/>
        </w:rPr>
        <w:t>Puelles VG</w:t>
      </w:r>
      <w:r w:rsidRPr="001C61A1">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1C61A1">
        <w:rPr>
          <w:rFonts w:ascii="Book Antiqua" w:eastAsia="Book Antiqua" w:hAnsi="Book Antiqua" w:cs="Book Antiqua"/>
          <w:i/>
          <w:iCs/>
          <w:color w:val="000000"/>
        </w:rPr>
        <w:t>N Engl J Med</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383</w:t>
      </w:r>
      <w:r w:rsidRPr="001C61A1">
        <w:rPr>
          <w:rFonts w:ascii="Book Antiqua" w:eastAsia="Book Antiqua" w:hAnsi="Book Antiqua" w:cs="Book Antiqua"/>
          <w:color w:val="000000"/>
        </w:rPr>
        <w:t>: 590-592 [PMID: 32402155 DOI: 10.1056/NEJMc2011400]</w:t>
      </w:r>
    </w:p>
    <w:p w14:paraId="0BD14D0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37 </w:t>
      </w:r>
      <w:r w:rsidRPr="001C61A1">
        <w:rPr>
          <w:rFonts w:ascii="Book Antiqua" w:eastAsia="Book Antiqua" w:hAnsi="Book Antiqua" w:cs="Book Antiqua"/>
          <w:b/>
          <w:bCs/>
          <w:color w:val="000000"/>
        </w:rPr>
        <w:t>Anirvan P</w:t>
      </w:r>
      <w:r w:rsidRPr="001C61A1">
        <w:rPr>
          <w:rFonts w:ascii="Book Antiqua" w:eastAsia="Book Antiqua" w:hAnsi="Book Antiqua" w:cs="Book Antiqua"/>
          <w:color w:val="000000"/>
        </w:rPr>
        <w:t xml:space="preserve">, Narain S, Hajizadeh N, Aloor FZ, Singh SP, Satapathy SK. Cytokine-induced liver injury in coronavirus disease-2019 (COVID-19): untangling the knots. </w:t>
      </w:r>
      <w:r w:rsidRPr="001C61A1">
        <w:rPr>
          <w:rFonts w:ascii="Book Antiqua" w:eastAsia="Book Antiqua" w:hAnsi="Book Antiqua" w:cs="Book Antiqua"/>
          <w:i/>
          <w:iCs/>
          <w:color w:val="000000"/>
        </w:rPr>
        <w:t xml:space="preserve">Eur J </w:t>
      </w:r>
      <w:r w:rsidRPr="001C61A1">
        <w:rPr>
          <w:rFonts w:ascii="Book Antiqua" w:eastAsia="Book Antiqua" w:hAnsi="Book Antiqua" w:cs="Book Antiqua"/>
          <w:i/>
          <w:iCs/>
          <w:color w:val="000000"/>
        </w:rPr>
        <w:lastRenderedPageBreak/>
        <w:t>Gastroenterol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33</w:t>
      </w:r>
      <w:r w:rsidRPr="001C61A1">
        <w:rPr>
          <w:rFonts w:ascii="Book Antiqua" w:eastAsia="Book Antiqua" w:hAnsi="Book Antiqua" w:cs="Book Antiqua"/>
          <w:color w:val="000000"/>
        </w:rPr>
        <w:t>: e42-e49 [PMID: 33405427 DOI: 10.1097/MEG.0000000000002034]</w:t>
      </w:r>
    </w:p>
    <w:p w14:paraId="77847C49"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38 </w:t>
      </w:r>
      <w:r w:rsidRPr="001C61A1">
        <w:rPr>
          <w:rFonts w:ascii="Book Antiqua" w:eastAsia="Book Antiqua" w:hAnsi="Book Antiqua" w:cs="Book Antiqua"/>
          <w:b/>
          <w:bCs/>
          <w:color w:val="000000"/>
        </w:rPr>
        <w:t>Huang C</w:t>
      </w:r>
      <w:r w:rsidRPr="001C61A1">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1C61A1">
        <w:rPr>
          <w:rFonts w:ascii="Book Antiqua" w:eastAsia="Book Antiqua" w:hAnsi="Book Antiqua" w:cs="Book Antiqua"/>
          <w:i/>
          <w:iCs/>
          <w:color w:val="000000"/>
        </w:rPr>
        <w:t>Lancet</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395</w:t>
      </w:r>
      <w:r w:rsidRPr="001C61A1">
        <w:rPr>
          <w:rFonts w:ascii="Book Antiqua" w:eastAsia="Book Antiqua" w:hAnsi="Book Antiqua" w:cs="Book Antiqua"/>
          <w:color w:val="000000"/>
        </w:rPr>
        <w:t>: 497-506 [PMID: 31986264 DOI: 10.1016/S0140-6736(20)30183-5]</w:t>
      </w:r>
    </w:p>
    <w:p w14:paraId="30A0FF4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39 </w:t>
      </w:r>
      <w:r w:rsidRPr="001C61A1">
        <w:rPr>
          <w:rFonts w:ascii="Book Antiqua" w:eastAsia="Book Antiqua" w:hAnsi="Book Antiqua" w:cs="Book Antiqua"/>
          <w:b/>
          <w:bCs/>
          <w:color w:val="000000"/>
        </w:rPr>
        <w:t>Liu J</w:t>
      </w:r>
      <w:r w:rsidRPr="001C61A1">
        <w:rPr>
          <w:rFonts w:ascii="Book Antiqua" w:eastAsia="Book Antiqua" w:hAnsi="Book Antiqua" w:cs="Book Antiqua"/>
          <w:color w:val="000000"/>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sidRPr="001C61A1">
        <w:rPr>
          <w:rFonts w:ascii="Book Antiqua" w:eastAsia="Book Antiqua" w:hAnsi="Book Antiqua" w:cs="Book Antiqua"/>
          <w:i/>
          <w:iCs/>
          <w:color w:val="000000"/>
        </w:rPr>
        <w:t>EBioMedicine</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55</w:t>
      </w:r>
      <w:r w:rsidRPr="001C61A1">
        <w:rPr>
          <w:rFonts w:ascii="Book Antiqua" w:eastAsia="Book Antiqua" w:hAnsi="Book Antiqua" w:cs="Book Antiqua"/>
          <w:color w:val="000000"/>
        </w:rPr>
        <w:t>: 102763 [PMID: 32361250 DOI: 10.1016/j.ebiom.2020.102763]</w:t>
      </w:r>
    </w:p>
    <w:p w14:paraId="2B6F427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40 </w:t>
      </w:r>
      <w:r w:rsidRPr="001C61A1">
        <w:rPr>
          <w:rFonts w:ascii="Book Antiqua" w:eastAsia="Book Antiqua" w:hAnsi="Book Antiqua" w:cs="Book Antiqua"/>
          <w:b/>
          <w:bCs/>
          <w:color w:val="000000"/>
        </w:rPr>
        <w:t>McConnell MJ</w:t>
      </w:r>
      <w:r w:rsidRPr="001C61A1">
        <w:rPr>
          <w:rFonts w:ascii="Book Antiqua" w:eastAsia="Book Antiqua" w:hAnsi="Book Antiqua" w:cs="Book Antiqua"/>
          <w:color w:val="000000"/>
        </w:rPr>
        <w:t xml:space="preserve">, Kawaguchi N, Kondo R, Sonzogni A, Licini L, Valle C, Bonaffini PA, Sironi S, Alessio MG, Previtali G, Seghezzi M, Zhang X, Lee AI, Pine AB, Chun HJ, Zhang X, Fernandez-Hernando C, Qing H, Wang A, Price C, Sun Z, Utsumi T, Hwa J, Strazzabosco M, Iwakiri Y. Liver injury in COVID-19 and IL-6 trans-signaling-induced endotheliopathy.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75</w:t>
      </w:r>
      <w:r w:rsidRPr="001C61A1">
        <w:rPr>
          <w:rFonts w:ascii="Book Antiqua" w:eastAsia="Book Antiqua" w:hAnsi="Book Antiqua" w:cs="Book Antiqua"/>
          <w:color w:val="000000"/>
        </w:rPr>
        <w:t>: 647-658 [PMID: 33991637 DOI: 10.1016/j.jhep.2021.04.050]</w:t>
      </w:r>
    </w:p>
    <w:p w14:paraId="6655444A"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41 </w:t>
      </w:r>
      <w:r w:rsidRPr="001C61A1">
        <w:rPr>
          <w:rFonts w:ascii="Book Antiqua" w:eastAsia="Book Antiqua" w:hAnsi="Book Antiqua" w:cs="Book Antiqua"/>
          <w:b/>
          <w:bCs/>
          <w:color w:val="000000"/>
        </w:rPr>
        <w:t>Ji C</w:t>
      </w:r>
      <w:r w:rsidRPr="001C61A1">
        <w:rPr>
          <w:rFonts w:ascii="Book Antiqua" w:eastAsia="Book Antiqua" w:hAnsi="Book Antiqua" w:cs="Book Antiqua"/>
          <w:color w:val="000000"/>
        </w:rPr>
        <w:t xml:space="preserve">, Deng Q, Kaplowitz N. Role of TNF-alpha in ethanol-induced hyperhomocysteinemia and murine alcoholic liver injury.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2004; </w:t>
      </w:r>
      <w:r w:rsidRPr="001C61A1">
        <w:rPr>
          <w:rFonts w:ascii="Book Antiqua" w:eastAsia="Book Antiqua" w:hAnsi="Book Antiqua" w:cs="Book Antiqua"/>
          <w:b/>
          <w:bCs/>
          <w:color w:val="000000"/>
        </w:rPr>
        <w:t>40</w:t>
      </w:r>
      <w:r w:rsidRPr="001C61A1">
        <w:rPr>
          <w:rFonts w:ascii="Book Antiqua" w:eastAsia="Book Antiqua" w:hAnsi="Book Antiqua" w:cs="Book Antiqua"/>
          <w:color w:val="000000"/>
        </w:rPr>
        <w:t>: 442-451 [PMID: 15368449 DOI: 10.1002/hep.20309]</w:t>
      </w:r>
    </w:p>
    <w:p w14:paraId="7029B72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42 </w:t>
      </w:r>
      <w:r w:rsidRPr="001C61A1">
        <w:rPr>
          <w:rFonts w:ascii="Book Antiqua" w:eastAsia="Book Antiqua" w:hAnsi="Book Antiqua" w:cs="Book Antiqua"/>
          <w:b/>
          <w:bCs/>
          <w:color w:val="000000"/>
        </w:rPr>
        <w:t>Rahman A</w:t>
      </w:r>
      <w:r w:rsidRPr="001C61A1">
        <w:rPr>
          <w:rFonts w:ascii="Book Antiqua" w:eastAsia="Book Antiqua" w:hAnsi="Book Antiqua" w:cs="Book Antiqua"/>
          <w:color w:val="000000"/>
        </w:rPr>
        <w:t xml:space="preserve">, Tabassum T, Araf Y, Al Nahid A, Ullah MA, Hosen MJ. Silent hypoxia in COVID-19: pathomechanism and possible management strategy. </w:t>
      </w:r>
      <w:r w:rsidRPr="001C61A1">
        <w:rPr>
          <w:rFonts w:ascii="Book Antiqua" w:eastAsia="Book Antiqua" w:hAnsi="Book Antiqua" w:cs="Book Antiqua"/>
          <w:i/>
          <w:iCs/>
          <w:color w:val="000000"/>
        </w:rPr>
        <w:t>Mol Biol Rep</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48</w:t>
      </w:r>
      <w:r w:rsidRPr="001C61A1">
        <w:rPr>
          <w:rFonts w:ascii="Book Antiqua" w:eastAsia="Book Antiqua" w:hAnsi="Book Antiqua" w:cs="Book Antiqua"/>
          <w:color w:val="000000"/>
        </w:rPr>
        <w:t>: 3863-3869 [PMID: 33891272 DOI: 10.1007/s11033-021-06358-1]</w:t>
      </w:r>
    </w:p>
    <w:p w14:paraId="0B643F1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43 </w:t>
      </w:r>
      <w:r w:rsidRPr="001C61A1">
        <w:rPr>
          <w:rFonts w:ascii="Book Antiqua" w:eastAsia="Book Antiqua" w:hAnsi="Book Antiqua" w:cs="Book Antiqua"/>
          <w:b/>
          <w:bCs/>
          <w:color w:val="000000"/>
        </w:rPr>
        <w:t>Yang L</w:t>
      </w:r>
      <w:r w:rsidRPr="001C61A1">
        <w:rPr>
          <w:rFonts w:ascii="Book Antiqua" w:eastAsia="Book Antiqua" w:hAnsi="Book Antiqua" w:cs="Book Antiqua"/>
          <w:color w:val="000000"/>
        </w:rPr>
        <w:t xml:space="preserve">, Wang W, Wang X, Zhao J, Xiao L, Gui W, Fan H, Xia J, Li Z, Yan J, Alasbahi A, Zhu Q, Hou X. Creg in Hepatocytes Ameliorates Liver Ischemia/Reperfusion Injury </w:t>
      </w:r>
      <w:r w:rsidRPr="001C61A1">
        <w:rPr>
          <w:rFonts w:ascii="Book Antiqua" w:eastAsia="Book Antiqua" w:hAnsi="Book Antiqua" w:cs="Book Antiqua"/>
          <w:color w:val="000000"/>
        </w:rPr>
        <w:lastRenderedPageBreak/>
        <w:t xml:space="preserve">in a TAK1-Dependent Manner in Mice.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2019; </w:t>
      </w:r>
      <w:r w:rsidRPr="001C61A1">
        <w:rPr>
          <w:rFonts w:ascii="Book Antiqua" w:eastAsia="Book Antiqua" w:hAnsi="Book Antiqua" w:cs="Book Antiqua"/>
          <w:b/>
          <w:bCs/>
          <w:color w:val="000000"/>
        </w:rPr>
        <w:t>69</w:t>
      </w:r>
      <w:r w:rsidRPr="001C61A1">
        <w:rPr>
          <w:rFonts w:ascii="Book Antiqua" w:eastAsia="Book Antiqua" w:hAnsi="Book Antiqua" w:cs="Book Antiqua"/>
          <w:color w:val="000000"/>
        </w:rPr>
        <w:t>: 294-313 [PMID: 30076625 DOI: 10.1002/hep.30203]</w:t>
      </w:r>
    </w:p>
    <w:p w14:paraId="1FD4383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44 </w:t>
      </w:r>
      <w:r w:rsidRPr="001C61A1">
        <w:rPr>
          <w:rFonts w:ascii="Book Antiqua" w:eastAsia="Book Antiqua" w:hAnsi="Book Antiqua" w:cs="Book Antiqua"/>
          <w:b/>
          <w:bCs/>
          <w:color w:val="000000"/>
        </w:rPr>
        <w:t>Varga Z</w:t>
      </w:r>
      <w:r w:rsidRPr="001C61A1">
        <w:rPr>
          <w:rFonts w:ascii="Book Antiqua" w:eastAsia="Book Antiqua" w:hAnsi="Book Antiqua" w:cs="Book Antiqua"/>
          <w:color w:val="000000"/>
        </w:rPr>
        <w:t xml:space="preserve">, Flammer AJ, Steiger P, Haberecker M, Andermatt R, Zinkernagel AS, Mehra MR, Schuepbach RA, Ruschitzka F, Moch H. Endothelial cell infection and endotheliitis in COVID-19. </w:t>
      </w:r>
      <w:r w:rsidRPr="001C61A1">
        <w:rPr>
          <w:rFonts w:ascii="Book Antiqua" w:eastAsia="Book Antiqua" w:hAnsi="Book Antiqua" w:cs="Book Antiqua"/>
          <w:i/>
          <w:iCs/>
          <w:color w:val="000000"/>
        </w:rPr>
        <w:t>Lancet</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395</w:t>
      </w:r>
      <w:r w:rsidRPr="001C61A1">
        <w:rPr>
          <w:rFonts w:ascii="Book Antiqua" w:eastAsia="Book Antiqua" w:hAnsi="Book Antiqua" w:cs="Book Antiqua"/>
          <w:color w:val="000000"/>
        </w:rPr>
        <w:t>: 1417-1418 [PMID: 32325026 DOI: 10.1016/S0140-6736(20)30937-5]</w:t>
      </w:r>
    </w:p>
    <w:p w14:paraId="2B7E0D1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45 </w:t>
      </w:r>
      <w:r w:rsidRPr="001C61A1">
        <w:rPr>
          <w:rFonts w:ascii="Book Antiqua" w:eastAsia="Book Antiqua" w:hAnsi="Book Antiqua" w:cs="Book Antiqua"/>
          <w:b/>
          <w:bCs/>
          <w:color w:val="000000"/>
        </w:rPr>
        <w:t>Cai Y</w:t>
      </w:r>
      <w:r w:rsidRPr="001C61A1">
        <w:rPr>
          <w:rFonts w:ascii="Book Antiqua" w:eastAsia="Book Antiqua" w:hAnsi="Book Antiqua" w:cs="Book Antiqua"/>
          <w:color w:val="000000"/>
        </w:rPr>
        <w:t xml:space="preserve">, Ye LP, Song YQ, Mao XL, Wang L, Jiang YZ, Que WT, Li SW. Liver injury in COVID-19: Detection, pathogenesis, and treatment. </w:t>
      </w:r>
      <w:r w:rsidRPr="001C61A1">
        <w:rPr>
          <w:rFonts w:ascii="Book Antiqua" w:eastAsia="Book Antiqua" w:hAnsi="Book Antiqua" w:cs="Book Antiqua"/>
          <w:i/>
          <w:iCs/>
          <w:color w:val="000000"/>
        </w:rPr>
        <w:t>World J Gastroenterol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27</w:t>
      </w:r>
      <w:r w:rsidRPr="001C61A1">
        <w:rPr>
          <w:rFonts w:ascii="Book Antiqua" w:eastAsia="Book Antiqua" w:hAnsi="Book Antiqua" w:cs="Book Antiqua"/>
          <w:color w:val="000000"/>
        </w:rPr>
        <w:t>: 3022-3036 [PMID: 34168405 DOI: 10.3748/wjg.v27.i22.3022]</w:t>
      </w:r>
    </w:p>
    <w:p w14:paraId="1DC92D8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46 </w:t>
      </w:r>
      <w:r w:rsidRPr="001C61A1">
        <w:rPr>
          <w:rFonts w:ascii="Book Antiqua" w:eastAsia="Book Antiqua" w:hAnsi="Book Antiqua" w:cs="Book Antiqua"/>
          <w:b/>
          <w:bCs/>
          <w:color w:val="000000"/>
        </w:rPr>
        <w:t>Spiezia L</w:t>
      </w:r>
      <w:r w:rsidRPr="001C61A1">
        <w:rPr>
          <w:rFonts w:ascii="Book Antiqua" w:eastAsia="Book Antiqua" w:hAnsi="Book Antiqua" w:cs="Book Antiqua"/>
          <w:color w:val="000000"/>
        </w:rPr>
        <w:t xml:space="preserve">, Boscolo A, Poletto F, Cerruti L, Tiberio I, Campello E, Navalesi P, Simioni P. COVID-19-Related Severe Hypercoagulability in Patients Admitted to Intensive Care Unit for Acute Respiratory Failure. </w:t>
      </w:r>
      <w:r w:rsidRPr="001C61A1">
        <w:rPr>
          <w:rFonts w:ascii="Book Antiqua" w:eastAsia="Book Antiqua" w:hAnsi="Book Antiqua" w:cs="Book Antiqua"/>
          <w:i/>
          <w:iCs/>
          <w:color w:val="000000"/>
        </w:rPr>
        <w:t>Thromb Haemost</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120</w:t>
      </w:r>
      <w:r w:rsidRPr="001C61A1">
        <w:rPr>
          <w:rFonts w:ascii="Book Antiqua" w:eastAsia="Book Antiqua" w:hAnsi="Book Antiqua" w:cs="Book Antiqua"/>
          <w:color w:val="000000"/>
        </w:rPr>
        <w:t>: 998-1000 [PMID: 32316063 DOI: 10.1055/s-0040-1710018]</w:t>
      </w:r>
    </w:p>
    <w:p w14:paraId="49E39B4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47 </w:t>
      </w:r>
      <w:r w:rsidRPr="001C61A1">
        <w:rPr>
          <w:rFonts w:ascii="Book Antiqua" w:eastAsia="Book Antiqua" w:hAnsi="Book Antiqua" w:cs="Book Antiqua"/>
          <w:b/>
          <w:bCs/>
          <w:color w:val="000000"/>
        </w:rPr>
        <w:t>Rampotas A</w:t>
      </w:r>
      <w:r w:rsidRPr="001C61A1">
        <w:rPr>
          <w:rFonts w:ascii="Book Antiqua" w:eastAsia="Book Antiqua" w:hAnsi="Book Antiqua" w:cs="Book Antiqua"/>
          <w:color w:val="000000"/>
        </w:rPr>
        <w:t xml:space="preserve">, Pavord S. Platelet aggregates, a marker of severe COVID-19 disease. </w:t>
      </w:r>
      <w:r w:rsidRPr="001C61A1">
        <w:rPr>
          <w:rFonts w:ascii="Book Antiqua" w:eastAsia="Book Antiqua" w:hAnsi="Book Antiqua" w:cs="Book Antiqua"/>
          <w:i/>
          <w:iCs/>
          <w:color w:val="000000"/>
        </w:rPr>
        <w:t>J Clin Pathol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74</w:t>
      </w:r>
      <w:r w:rsidRPr="001C61A1">
        <w:rPr>
          <w:rFonts w:ascii="Book Antiqua" w:eastAsia="Book Antiqua" w:hAnsi="Book Antiqua" w:cs="Book Antiqua"/>
          <w:color w:val="000000"/>
        </w:rPr>
        <w:t>: 750-751 [PMID: 33067181 DOI: 10.1136/jclinpath-2020-206933]</w:t>
      </w:r>
    </w:p>
    <w:p w14:paraId="3BC8144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48 </w:t>
      </w:r>
      <w:r w:rsidRPr="001C61A1">
        <w:rPr>
          <w:rFonts w:ascii="Book Antiqua" w:eastAsia="Book Antiqua" w:hAnsi="Book Antiqua" w:cs="Book Antiqua"/>
          <w:b/>
          <w:bCs/>
          <w:color w:val="000000"/>
        </w:rPr>
        <w:t>Liu J</w:t>
      </w:r>
      <w:r w:rsidRPr="001C61A1">
        <w:rPr>
          <w:rFonts w:ascii="Book Antiqua" w:eastAsia="Book Antiqua" w:hAnsi="Book Antiqua" w:cs="Book Antiqua"/>
          <w:color w:val="000000"/>
        </w:rPr>
        <w:t xml:space="preserve">, Wang T, Cai Q, Sun L, Huang D, Zhou G, He Q, Wang FS, Liu L, Chen J. Longitudinal changes of liver function and hepatitis B reactivation in COVID-19 patients with pre-existing chronic hepatitis B virus infection. </w:t>
      </w:r>
      <w:r w:rsidRPr="001C61A1">
        <w:rPr>
          <w:rFonts w:ascii="Book Antiqua" w:eastAsia="Book Antiqua" w:hAnsi="Book Antiqua" w:cs="Book Antiqua"/>
          <w:i/>
          <w:iCs/>
          <w:color w:val="000000"/>
        </w:rPr>
        <w:t>Hepatol Res</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50</w:t>
      </w:r>
      <w:r w:rsidRPr="001C61A1">
        <w:rPr>
          <w:rFonts w:ascii="Book Antiqua" w:eastAsia="Book Antiqua" w:hAnsi="Book Antiqua" w:cs="Book Antiqua"/>
          <w:color w:val="000000"/>
        </w:rPr>
        <w:t>: 1211-1221 [PMID: 32761993 DOI: 10.1111/hepr.13553]</w:t>
      </w:r>
    </w:p>
    <w:p w14:paraId="05BFF2A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49 </w:t>
      </w:r>
      <w:r w:rsidRPr="001C61A1">
        <w:rPr>
          <w:rFonts w:ascii="Book Antiqua" w:eastAsia="Book Antiqua" w:hAnsi="Book Antiqua" w:cs="Book Antiqua"/>
          <w:b/>
          <w:bCs/>
          <w:color w:val="000000"/>
        </w:rPr>
        <w:t>Perrillo RP</w:t>
      </w:r>
      <w:r w:rsidRPr="001C61A1">
        <w:rPr>
          <w:rFonts w:ascii="Book Antiqua" w:eastAsia="Book Antiqua" w:hAnsi="Book Antiqua" w:cs="Book Antiqua"/>
          <w:color w:val="000000"/>
        </w:rPr>
        <w:t xml:space="preserve">, Gish R, Falck-Ytter YT. American Gastroenterological Association Institute technical review on prevention and treatment of hepatitis B virus reactivation during immunosuppressive drug therapy. </w:t>
      </w:r>
      <w:r w:rsidRPr="001C61A1">
        <w:rPr>
          <w:rFonts w:ascii="Book Antiqua" w:eastAsia="Book Antiqua" w:hAnsi="Book Antiqua" w:cs="Book Antiqua"/>
          <w:i/>
          <w:iCs/>
          <w:color w:val="000000"/>
        </w:rPr>
        <w:t>Gastroenterology</w:t>
      </w:r>
      <w:r w:rsidRPr="001C61A1">
        <w:rPr>
          <w:rFonts w:ascii="Book Antiqua" w:eastAsia="Book Antiqua" w:hAnsi="Book Antiqua" w:cs="Book Antiqua"/>
          <w:color w:val="000000"/>
        </w:rPr>
        <w:t xml:space="preserve"> 2015; </w:t>
      </w:r>
      <w:r w:rsidRPr="001C61A1">
        <w:rPr>
          <w:rFonts w:ascii="Book Antiqua" w:eastAsia="Book Antiqua" w:hAnsi="Book Antiqua" w:cs="Book Antiqua"/>
          <w:b/>
          <w:bCs/>
          <w:color w:val="000000"/>
        </w:rPr>
        <w:t>148</w:t>
      </w:r>
      <w:r w:rsidRPr="001C61A1">
        <w:rPr>
          <w:rFonts w:ascii="Book Antiqua" w:eastAsia="Book Antiqua" w:hAnsi="Book Antiqua" w:cs="Book Antiqua"/>
          <w:color w:val="000000"/>
        </w:rPr>
        <w:t>: 221-244.e3 [PMID: 25447852 DOI: 10.1053/j.gastro.2014.10.038]</w:t>
      </w:r>
    </w:p>
    <w:p w14:paraId="2FCD470A"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50 </w:t>
      </w:r>
      <w:r w:rsidRPr="001C61A1">
        <w:rPr>
          <w:rFonts w:ascii="Book Antiqua" w:eastAsia="Book Antiqua" w:hAnsi="Book Antiqua" w:cs="Book Antiqua"/>
          <w:b/>
          <w:bCs/>
          <w:color w:val="000000"/>
        </w:rPr>
        <w:t>Zhai G</w:t>
      </w:r>
      <w:r w:rsidRPr="001C61A1">
        <w:rPr>
          <w:rFonts w:ascii="Book Antiqua" w:eastAsia="Book Antiqua" w:hAnsi="Book Antiqua" w:cs="Book Antiqua"/>
          <w:color w:val="000000"/>
        </w:rPr>
        <w:t xml:space="preserve">, Li M, Wang Y, Wu J. Drug-Induced Liver Disturbance During the Treatment of COVID-19. </w:t>
      </w:r>
      <w:r w:rsidRPr="001C61A1">
        <w:rPr>
          <w:rFonts w:ascii="Book Antiqua" w:eastAsia="Book Antiqua" w:hAnsi="Book Antiqua" w:cs="Book Antiqua"/>
          <w:i/>
          <w:iCs/>
          <w:color w:val="000000"/>
        </w:rPr>
        <w:t>Front Pharmacol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12</w:t>
      </w:r>
      <w:r w:rsidRPr="001C61A1">
        <w:rPr>
          <w:rFonts w:ascii="Book Antiqua" w:eastAsia="Book Antiqua" w:hAnsi="Book Antiqua" w:cs="Book Antiqua"/>
          <w:color w:val="000000"/>
        </w:rPr>
        <w:t>: 719308 [PMID: 34483929 DOI: 10.3389/fphar.2021.719308]</w:t>
      </w:r>
    </w:p>
    <w:p w14:paraId="712B17F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51 </w:t>
      </w:r>
      <w:r w:rsidRPr="001C61A1">
        <w:rPr>
          <w:rFonts w:ascii="Book Antiqua" w:eastAsia="Book Antiqua" w:hAnsi="Book Antiqua" w:cs="Book Antiqua"/>
          <w:b/>
          <w:bCs/>
          <w:color w:val="000000"/>
        </w:rPr>
        <w:t>Feng G</w:t>
      </w:r>
      <w:r w:rsidRPr="001C61A1">
        <w:rPr>
          <w:rFonts w:ascii="Book Antiqua" w:eastAsia="Book Antiqua" w:hAnsi="Book Antiqua" w:cs="Book Antiqua"/>
          <w:color w:val="000000"/>
        </w:rPr>
        <w:t xml:space="preserve">, Zheng KI, Yan QQ, Rios RS, Targher G, Byrne CD, Poucke SV, Liu WY, Zheng MH. COVID-19 and Liver Dysfunction: Current Insights and Emergent Therapeutic </w:t>
      </w:r>
      <w:r w:rsidRPr="001C61A1">
        <w:rPr>
          <w:rFonts w:ascii="Book Antiqua" w:eastAsia="Book Antiqua" w:hAnsi="Book Antiqua" w:cs="Book Antiqua"/>
          <w:color w:val="000000"/>
        </w:rPr>
        <w:lastRenderedPageBreak/>
        <w:t xml:space="preserve">Strategies. </w:t>
      </w:r>
      <w:r w:rsidRPr="001C61A1">
        <w:rPr>
          <w:rFonts w:ascii="Book Antiqua" w:eastAsia="Book Antiqua" w:hAnsi="Book Antiqua" w:cs="Book Antiqua"/>
          <w:i/>
          <w:iCs/>
          <w:color w:val="000000"/>
        </w:rPr>
        <w:t>J Clin Transl Hepatol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8</w:t>
      </w:r>
      <w:r w:rsidRPr="001C61A1">
        <w:rPr>
          <w:rFonts w:ascii="Book Antiqua" w:eastAsia="Book Antiqua" w:hAnsi="Book Antiqua" w:cs="Book Antiqua"/>
          <w:color w:val="000000"/>
        </w:rPr>
        <w:t>: 18-24 [PMID: 32274342 DOI: 10.14218/JCTH.2020.00018]</w:t>
      </w:r>
    </w:p>
    <w:p w14:paraId="1D42FD3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52 </w:t>
      </w:r>
      <w:r w:rsidRPr="001C61A1">
        <w:rPr>
          <w:rFonts w:ascii="Book Antiqua" w:eastAsia="Book Antiqua" w:hAnsi="Book Antiqua" w:cs="Book Antiqua"/>
          <w:b/>
          <w:bCs/>
          <w:color w:val="000000"/>
        </w:rPr>
        <w:t>Jaeschke H</w:t>
      </w:r>
      <w:r w:rsidRPr="001C61A1">
        <w:rPr>
          <w:rFonts w:ascii="Book Antiqua" w:eastAsia="Book Antiqua" w:hAnsi="Book Antiqua" w:cs="Book Antiqua"/>
          <w:color w:val="000000"/>
        </w:rPr>
        <w:t xml:space="preserve">. Acetaminophen: Dose-Dependent Drug Hepatotoxicity and Acute Liver Failure in Patients. </w:t>
      </w:r>
      <w:r w:rsidRPr="001C61A1">
        <w:rPr>
          <w:rFonts w:ascii="Book Antiqua" w:eastAsia="Book Antiqua" w:hAnsi="Book Antiqua" w:cs="Book Antiqua"/>
          <w:i/>
          <w:iCs/>
          <w:color w:val="000000"/>
        </w:rPr>
        <w:t>Dig Dis</w:t>
      </w:r>
      <w:r w:rsidRPr="001C61A1">
        <w:rPr>
          <w:rFonts w:ascii="Book Antiqua" w:eastAsia="Book Antiqua" w:hAnsi="Book Antiqua" w:cs="Book Antiqua"/>
          <w:color w:val="000000"/>
        </w:rPr>
        <w:t xml:space="preserve"> 2015; </w:t>
      </w:r>
      <w:r w:rsidRPr="001C61A1">
        <w:rPr>
          <w:rFonts w:ascii="Book Antiqua" w:eastAsia="Book Antiqua" w:hAnsi="Book Antiqua" w:cs="Book Antiqua"/>
          <w:b/>
          <w:bCs/>
          <w:color w:val="000000"/>
        </w:rPr>
        <w:t>33</w:t>
      </w:r>
      <w:r w:rsidRPr="001C61A1">
        <w:rPr>
          <w:rFonts w:ascii="Book Antiqua" w:eastAsia="Book Antiqua" w:hAnsi="Book Antiqua" w:cs="Book Antiqua"/>
          <w:color w:val="000000"/>
        </w:rPr>
        <w:t>: 464-471 [PMID: 26159260 DOI: 10.1159/000374090]</w:t>
      </w:r>
    </w:p>
    <w:p w14:paraId="2DF9713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53 </w:t>
      </w:r>
      <w:r w:rsidRPr="001C61A1">
        <w:rPr>
          <w:rFonts w:ascii="Book Antiqua" w:eastAsia="Book Antiqua" w:hAnsi="Book Antiqua" w:cs="Book Antiqua"/>
          <w:b/>
          <w:bCs/>
          <w:color w:val="000000"/>
        </w:rPr>
        <w:t>Wang Y</w:t>
      </w:r>
      <w:r w:rsidRPr="001C61A1">
        <w:rPr>
          <w:rFonts w:ascii="Book Antiqua" w:eastAsia="Book Antiqua" w:hAnsi="Book Antiqua" w:cs="Book Antiqua"/>
          <w:color w:val="000000"/>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1C61A1">
        <w:rPr>
          <w:rFonts w:ascii="Book Antiqua" w:eastAsia="Book Antiqua" w:hAnsi="Book Antiqua" w:cs="Book Antiqua"/>
          <w:i/>
          <w:iCs/>
          <w:color w:val="000000"/>
        </w:rPr>
        <w:t>Lancet</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395</w:t>
      </w:r>
      <w:r w:rsidRPr="001C61A1">
        <w:rPr>
          <w:rFonts w:ascii="Book Antiqua" w:eastAsia="Book Antiqua" w:hAnsi="Book Antiqua" w:cs="Book Antiqua"/>
          <w:color w:val="000000"/>
        </w:rPr>
        <w:t>: 1569-1578 [PMID: 32423584 DOI: 10.1016/S0140-6736(20)31022-9]</w:t>
      </w:r>
    </w:p>
    <w:p w14:paraId="557907F9"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54 </w:t>
      </w:r>
      <w:r w:rsidRPr="001C61A1">
        <w:rPr>
          <w:rFonts w:ascii="Book Antiqua" w:eastAsia="Book Antiqua" w:hAnsi="Book Antiqua" w:cs="Book Antiqua"/>
          <w:b/>
          <w:bCs/>
          <w:color w:val="000000"/>
        </w:rPr>
        <w:t>Cao B</w:t>
      </w:r>
      <w:r w:rsidRPr="001C61A1">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1C61A1">
        <w:rPr>
          <w:rFonts w:ascii="Book Antiqua" w:eastAsia="Book Antiqua" w:hAnsi="Book Antiqua" w:cs="Book Antiqua"/>
          <w:i/>
          <w:iCs/>
          <w:color w:val="000000"/>
        </w:rPr>
        <w:t>N Engl J Med</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382</w:t>
      </w:r>
      <w:r w:rsidRPr="001C61A1">
        <w:rPr>
          <w:rFonts w:ascii="Book Antiqua" w:eastAsia="Book Antiqua" w:hAnsi="Book Antiqua" w:cs="Book Antiqua"/>
          <w:color w:val="000000"/>
        </w:rPr>
        <w:t>: 1787-1799 [PMID: 32187464 DOI: 10.1056/NEJMoa2001282]</w:t>
      </w:r>
    </w:p>
    <w:p w14:paraId="1F33AFC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55 </w:t>
      </w:r>
      <w:r w:rsidRPr="001C61A1">
        <w:rPr>
          <w:rFonts w:ascii="Book Antiqua" w:eastAsia="Book Antiqua" w:hAnsi="Book Antiqua" w:cs="Book Antiqua"/>
          <w:b/>
          <w:bCs/>
          <w:color w:val="000000"/>
        </w:rPr>
        <w:t>Hasona N</w:t>
      </w:r>
      <w:r w:rsidRPr="001C61A1">
        <w:rPr>
          <w:rFonts w:ascii="Book Antiqua" w:eastAsia="Book Antiqua" w:hAnsi="Book Antiqua" w:cs="Book Antiqua"/>
          <w:color w:val="000000"/>
        </w:rPr>
        <w:t xml:space="preserve">, Morsi A. Grape Seed Extract Alleviates Dexamethasone-Induced Hyperlipidemia, Lipid Peroxidation, and Hematological Alteration in Rats. </w:t>
      </w:r>
      <w:r w:rsidRPr="001C61A1">
        <w:rPr>
          <w:rFonts w:ascii="Book Antiqua" w:eastAsia="Book Antiqua" w:hAnsi="Book Antiqua" w:cs="Book Antiqua"/>
          <w:i/>
          <w:iCs/>
          <w:color w:val="000000"/>
        </w:rPr>
        <w:t>Indian J Clin Biochem</w:t>
      </w:r>
      <w:r w:rsidRPr="001C61A1">
        <w:rPr>
          <w:rFonts w:ascii="Book Antiqua" w:eastAsia="Book Antiqua" w:hAnsi="Book Antiqua" w:cs="Book Antiqua"/>
          <w:color w:val="000000"/>
        </w:rPr>
        <w:t xml:space="preserve"> 2019; </w:t>
      </w:r>
      <w:r w:rsidRPr="001C61A1">
        <w:rPr>
          <w:rFonts w:ascii="Book Antiqua" w:eastAsia="Book Antiqua" w:hAnsi="Book Antiqua" w:cs="Book Antiqua"/>
          <w:b/>
          <w:bCs/>
          <w:color w:val="000000"/>
        </w:rPr>
        <w:t>34</w:t>
      </w:r>
      <w:r w:rsidRPr="001C61A1">
        <w:rPr>
          <w:rFonts w:ascii="Book Antiqua" w:eastAsia="Book Antiqua" w:hAnsi="Book Antiqua" w:cs="Book Antiqua"/>
          <w:color w:val="000000"/>
        </w:rPr>
        <w:t>: 213-218 [PMID: 31092996 DOI: 10.1007/s12291-018-0736-z]</w:t>
      </w:r>
    </w:p>
    <w:p w14:paraId="1CEA3FD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56 </w:t>
      </w:r>
      <w:r w:rsidRPr="001C61A1">
        <w:rPr>
          <w:rFonts w:ascii="Book Antiqua" w:eastAsia="Book Antiqua" w:hAnsi="Book Antiqua" w:cs="Book Antiqua"/>
          <w:b/>
          <w:bCs/>
          <w:color w:val="000000"/>
        </w:rPr>
        <w:t>Ramachandran A</w:t>
      </w:r>
      <w:r w:rsidRPr="001C61A1">
        <w:rPr>
          <w:rFonts w:ascii="Book Antiqua" w:eastAsia="Book Antiqua" w:hAnsi="Book Antiqua" w:cs="Book Antiqua"/>
          <w:color w:val="000000"/>
        </w:rPr>
        <w:t xml:space="preserve">, Jaeschke H. Acetaminophen Toxicity: Novel Insights Into Mechanisms and Future Perspectives. </w:t>
      </w:r>
      <w:r w:rsidRPr="001C61A1">
        <w:rPr>
          <w:rFonts w:ascii="Book Antiqua" w:eastAsia="Book Antiqua" w:hAnsi="Book Antiqua" w:cs="Book Antiqua"/>
          <w:i/>
          <w:iCs/>
          <w:color w:val="000000"/>
        </w:rPr>
        <w:t>Gene Expr</w:t>
      </w:r>
      <w:r w:rsidRPr="001C61A1">
        <w:rPr>
          <w:rFonts w:ascii="Book Antiqua" w:eastAsia="Book Antiqua" w:hAnsi="Book Antiqua" w:cs="Book Antiqua"/>
          <w:color w:val="000000"/>
        </w:rPr>
        <w:t xml:space="preserve"> 2018; </w:t>
      </w:r>
      <w:r w:rsidRPr="001C61A1">
        <w:rPr>
          <w:rFonts w:ascii="Book Antiqua" w:eastAsia="Book Antiqua" w:hAnsi="Book Antiqua" w:cs="Book Antiqua"/>
          <w:b/>
          <w:bCs/>
          <w:color w:val="000000"/>
        </w:rPr>
        <w:t>18</w:t>
      </w:r>
      <w:r w:rsidRPr="001C61A1">
        <w:rPr>
          <w:rFonts w:ascii="Book Antiqua" w:eastAsia="Book Antiqua" w:hAnsi="Book Antiqua" w:cs="Book Antiqua"/>
          <w:color w:val="000000"/>
        </w:rPr>
        <w:t>: 19-30 [PMID: 29054140 DOI: 10.3727/105221617X15084371374138]</w:t>
      </w:r>
    </w:p>
    <w:p w14:paraId="61A065A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57 </w:t>
      </w:r>
      <w:r w:rsidRPr="001C61A1">
        <w:rPr>
          <w:rFonts w:ascii="Book Antiqua" w:eastAsia="Book Antiqua" w:hAnsi="Book Antiqua" w:cs="Book Antiqua"/>
          <w:b/>
          <w:bCs/>
          <w:color w:val="000000"/>
        </w:rPr>
        <w:t>Noguchi S</w:t>
      </w:r>
      <w:r w:rsidRPr="001C61A1">
        <w:rPr>
          <w:rFonts w:ascii="Book Antiqua" w:eastAsia="Book Antiqua" w:hAnsi="Book Antiqua" w:cs="Book Antiqua"/>
          <w:color w:val="000000"/>
        </w:rPr>
        <w:t xml:space="preserve">, Yatera K, Kawanami T, Yamasaki K, Uchimura K, Hata R, Tachiwada T, Oda K, Hara K, Suzuki Y, Akata K, Ogoshi T, Tokuyama S, Inoue N, Nishida C, Orihashi T, Yoshida Y, Kawanami Y, Taura Y, Ishimoto H, Obata H, Tsuda T, Yoshii C, Mukae H. </w:t>
      </w:r>
      <w:r w:rsidRPr="001C61A1">
        <w:rPr>
          <w:rFonts w:ascii="Book Antiqua" w:eastAsia="Book Antiqua" w:hAnsi="Book Antiqua" w:cs="Book Antiqua"/>
          <w:color w:val="000000"/>
        </w:rPr>
        <w:lastRenderedPageBreak/>
        <w:t xml:space="preserve">[Efficacy and safety of azithromycin infusion in patients with mild or moderate community-acquired pneumonia]. </w:t>
      </w:r>
      <w:r w:rsidRPr="001C61A1">
        <w:rPr>
          <w:rFonts w:ascii="Book Antiqua" w:eastAsia="Book Antiqua" w:hAnsi="Book Antiqua" w:cs="Book Antiqua"/>
          <w:i/>
          <w:iCs/>
          <w:color w:val="000000"/>
        </w:rPr>
        <w:t>Jpn J Antibiot</w:t>
      </w:r>
      <w:r w:rsidRPr="001C61A1">
        <w:rPr>
          <w:rFonts w:ascii="Book Antiqua" w:eastAsia="Book Antiqua" w:hAnsi="Book Antiqua" w:cs="Book Antiqua"/>
          <w:color w:val="000000"/>
        </w:rPr>
        <w:t xml:space="preserve"> 2014; </w:t>
      </w:r>
      <w:r w:rsidRPr="001C61A1">
        <w:rPr>
          <w:rFonts w:ascii="Book Antiqua" w:eastAsia="Book Antiqua" w:hAnsi="Book Antiqua" w:cs="Book Antiqua"/>
          <w:b/>
          <w:bCs/>
          <w:color w:val="000000"/>
        </w:rPr>
        <w:t>67</w:t>
      </w:r>
      <w:r w:rsidRPr="001C61A1">
        <w:rPr>
          <w:rFonts w:ascii="Book Antiqua" w:eastAsia="Book Antiqua" w:hAnsi="Book Antiqua" w:cs="Book Antiqua"/>
          <w:color w:val="000000"/>
        </w:rPr>
        <w:t>: 193-203 [PMID: 25163252]</w:t>
      </w:r>
    </w:p>
    <w:p w14:paraId="6167F71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58 </w:t>
      </w:r>
      <w:r w:rsidRPr="001C61A1">
        <w:rPr>
          <w:rFonts w:ascii="Book Antiqua" w:eastAsia="Book Antiqua" w:hAnsi="Book Antiqua" w:cs="Book Antiqua"/>
          <w:b/>
          <w:bCs/>
          <w:color w:val="000000"/>
        </w:rPr>
        <w:t>Wang M</w:t>
      </w:r>
      <w:r w:rsidRPr="001C61A1">
        <w:rPr>
          <w:rFonts w:ascii="Book Antiqua" w:eastAsia="Book Antiqua" w:hAnsi="Book Antiqua" w:cs="Book Antiqua"/>
          <w:color w:val="000000"/>
        </w:rPr>
        <w:t xml:space="preserve">, Yan W, Qi W, Wu D, Zhu L, Li W, Wang X, Ma K, Ni M, Xu D, Wang H, Chen G, Yu H, Ding H, Xing M, Han M, Luo X, Chen T, Guo W, Xi D, Ning Q. Clinical characteristics and risk factors of liver injury in COVID-19: a retrospective cohort study from Wuhan, China. </w:t>
      </w:r>
      <w:r w:rsidRPr="001C61A1">
        <w:rPr>
          <w:rFonts w:ascii="Book Antiqua" w:eastAsia="Book Antiqua" w:hAnsi="Book Antiqua" w:cs="Book Antiqua"/>
          <w:i/>
          <w:iCs/>
          <w:color w:val="000000"/>
        </w:rPr>
        <w:t>Hepatol Int</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14</w:t>
      </w:r>
      <w:r w:rsidRPr="001C61A1">
        <w:rPr>
          <w:rFonts w:ascii="Book Antiqua" w:eastAsia="Book Antiqua" w:hAnsi="Book Antiqua" w:cs="Book Antiqua"/>
          <w:color w:val="000000"/>
        </w:rPr>
        <w:t>: 723-732 [PMID: 33026573 DOI: 10.1007/s12072-020-10075-5]</w:t>
      </w:r>
    </w:p>
    <w:p w14:paraId="6C7EA470"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59 </w:t>
      </w:r>
      <w:r w:rsidRPr="001C61A1">
        <w:rPr>
          <w:rFonts w:ascii="Book Antiqua" w:eastAsia="Book Antiqua" w:hAnsi="Book Antiqua" w:cs="Book Antiqua"/>
          <w:b/>
          <w:bCs/>
          <w:color w:val="000000"/>
        </w:rPr>
        <w:t>Zhang H</w:t>
      </w:r>
      <w:r w:rsidRPr="001C61A1">
        <w:rPr>
          <w:rFonts w:ascii="Book Antiqua" w:eastAsia="Book Antiqua" w:hAnsi="Book Antiqua" w:cs="Book Antiqua"/>
          <w:color w:val="000000"/>
        </w:rPr>
        <w:t xml:space="preserve">, Liao YS, Gong J, Liu J, Zhang H. Clinical characteristics and risk factors for liver injury in COVID-19 patients in Wuhan. </w:t>
      </w:r>
      <w:r w:rsidRPr="001C61A1">
        <w:rPr>
          <w:rFonts w:ascii="Book Antiqua" w:eastAsia="Book Antiqua" w:hAnsi="Book Antiqua" w:cs="Book Antiqua"/>
          <w:i/>
          <w:iCs/>
          <w:color w:val="000000"/>
        </w:rPr>
        <w:t>World J Gastroenterol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26</w:t>
      </w:r>
      <w:r w:rsidRPr="001C61A1">
        <w:rPr>
          <w:rFonts w:ascii="Book Antiqua" w:eastAsia="Book Antiqua" w:hAnsi="Book Antiqua" w:cs="Book Antiqua"/>
          <w:color w:val="000000"/>
        </w:rPr>
        <w:t>: 4694-4702 [PMID: 32884226 DOI: 10.3748/wjg.v26.i31.4694]</w:t>
      </w:r>
    </w:p>
    <w:p w14:paraId="51774549"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60 </w:t>
      </w:r>
      <w:r w:rsidRPr="001C61A1">
        <w:rPr>
          <w:rFonts w:ascii="Book Antiqua" w:eastAsia="Book Antiqua" w:hAnsi="Book Antiqua" w:cs="Book Antiqua"/>
          <w:b/>
          <w:bCs/>
          <w:color w:val="000000"/>
        </w:rPr>
        <w:t>Garrido I</w:t>
      </w:r>
      <w:r w:rsidRPr="001C61A1">
        <w:rPr>
          <w:rFonts w:ascii="Book Antiqua" w:eastAsia="Book Antiqua" w:hAnsi="Book Antiqua" w:cs="Book Antiqua"/>
          <w:color w:val="000000"/>
        </w:rPr>
        <w:t xml:space="preserve">, Liberal R, Macedo G. Review article: COVID-19 and liver disease-what we know on 1st May 2020. </w:t>
      </w:r>
      <w:r w:rsidRPr="001C61A1">
        <w:rPr>
          <w:rFonts w:ascii="Book Antiqua" w:eastAsia="Book Antiqua" w:hAnsi="Book Antiqua" w:cs="Book Antiqua"/>
          <w:i/>
          <w:iCs/>
          <w:color w:val="000000"/>
        </w:rPr>
        <w:t>Aliment Pharmacol Ther</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52</w:t>
      </w:r>
      <w:r w:rsidRPr="001C61A1">
        <w:rPr>
          <w:rFonts w:ascii="Book Antiqua" w:eastAsia="Book Antiqua" w:hAnsi="Book Antiqua" w:cs="Book Antiqua"/>
          <w:color w:val="000000"/>
        </w:rPr>
        <w:t>: 267-275 [PMID: 32402090 DOI: 10.1111/apt.15813]</w:t>
      </w:r>
    </w:p>
    <w:p w14:paraId="67A9F13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61 </w:t>
      </w:r>
      <w:r w:rsidRPr="001C61A1">
        <w:rPr>
          <w:rFonts w:ascii="Book Antiqua" w:eastAsia="Book Antiqua" w:hAnsi="Book Antiqua" w:cs="Book Antiqua"/>
          <w:b/>
          <w:bCs/>
          <w:color w:val="000000"/>
        </w:rPr>
        <w:t>Shen JX</w:t>
      </w:r>
      <w:r w:rsidRPr="001C61A1">
        <w:rPr>
          <w:rFonts w:ascii="Book Antiqua" w:eastAsia="Book Antiqua" w:hAnsi="Book Antiqua" w:cs="Book Antiqua"/>
          <w:color w:val="000000"/>
        </w:rPr>
        <w:t xml:space="preserve">, Zhuang ZH, Zhang QX, Huang JF, Chen GP, Fang YY, Cheng AG. Risk Factors and Prognosis in Patients with COVID-19 and Liver Injury: A Retrospective Analysis. </w:t>
      </w:r>
      <w:r w:rsidRPr="001C61A1">
        <w:rPr>
          <w:rFonts w:ascii="Book Antiqua" w:eastAsia="Book Antiqua" w:hAnsi="Book Antiqua" w:cs="Book Antiqua"/>
          <w:i/>
          <w:iCs/>
          <w:color w:val="000000"/>
        </w:rPr>
        <w:t>J Multidiscip Healthc</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14</w:t>
      </w:r>
      <w:r w:rsidRPr="001C61A1">
        <w:rPr>
          <w:rFonts w:ascii="Book Antiqua" w:eastAsia="Book Antiqua" w:hAnsi="Book Antiqua" w:cs="Book Antiqua"/>
          <w:color w:val="000000"/>
        </w:rPr>
        <w:t>: 629-637 [PMID: 33731999 DOI: 10.2147/JMDH.S293378]</w:t>
      </w:r>
    </w:p>
    <w:p w14:paraId="7D98845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62 </w:t>
      </w:r>
      <w:r w:rsidRPr="001C61A1">
        <w:rPr>
          <w:rFonts w:ascii="Book Antiqua" w:eastAsia="Book Antiqua" w:hAnsi="Book Antiqua" w:cs="Book Antiqua"/>
          <w:b/>
          <w:bCs/>
          <w:color w:val="000000"/>
        </w:rPr>
        <w:t>Naaraayan A</w:t>
      </w:r>
      <w:r w:rsidRPr="001C61A1">
        <w:rPr>
          <w:rFonts w:ascii="Book Antiqua" w:eastAsia="Book Antiqua" w:hAnsi="Book Antiqua" w:cs="Book Antiqua"/>
          <w:color w:val="000000"/>
        </w:rPr>
        <w:t xml:space="preserve">, Nimkar A, Hasan A, Pant S, Durdevic M, Elenius H, Nava Suarez C, Jesmajian S. Analysis of Male Sex as a Risk Factor in Older Adults With Coronavirus Disease 2019: A Retrospective Cohort Study From the New York City Metropolitan Region. </w:t>
      </w:r>
      <w:r w:rsidRPr="001C61A1">
        <w:rPr>
          <w:rFonts w:ascii="Book Antiqua" w:eastAsia="Book Antiqua" w:hAnsi="Book Antiqua" w:cs="Book Antiqua"/>
          <w:i/>
          <w:iCs/>
          <w:color w:val="000000"/>
        </w:rPr>
        <w:t>Cureus</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12</w:t>
      </w:r>
      <w:r w:rsidRPr="001C61A1">
        <w:rPr>
          <w:rFonts w:ascii="Book Antiqua" w:eastAsia="Book Antiqua" w:hAnsi="Book Antiqua" w:cs="Book Antiqua"/>
          <w:color w:val="000000"/>
        </w:rPr>
        <w:t>: e9912 [PMID: 32974111 DOI: 10.7759/cureus.9912]</w:t>
      </w:r>
    </w:p>
    <w:p w14:paraId="5F197C2E"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63 </w:t>
      </w:r>
      <w:r w:rsidRPr="001C61A1">
        <w:rPr>
          <w:rFonts w:ascii="Book Antiqua" w:eastAsia="Book Antiqua" w:hAnsi="Book Antiqua" w:cs="Book Antiqua"/>
          <w:b/>
          <w:bCs/>
          <w:color w:val="000000"/>
        </w:rPr>
        <w:t>Hartl L</w:t>
      </w:r>
      <w:r w:rsidRPr="001C61A1">
        <w:rPr>
          <w:rFonts w:ascii="Book Antiqua" w:eastAsia="Book Antiqua" w:hAnsi="Book Antiqua" w:cs="Book Antiqua"/>
          <w:color w:val="000000"/>
        </w:rPr>
        <w:t xml:space="preserve">, Haslinger K, Angerer M, Jachs M, Simbrunner B, Bauer DJM, Semmler G, Scheiner B, Eigenbauer E, Strassl R, Breuer M, Kimberger O, Laxar D, Trauner M, Mandorfer M, Reiberger T. Age-adjusted mortality and predictive value of liver chemistries in a Viennese cohort of COVID-19 patients. </w:t>
      </w:r>
      <w:r w:rsidRPr="001C61A1">
        <w:rPr>
          <w:rFonts w:ascii="Book Antiqua" w:eastAsia="Book Antiqua" w:hAnsi="Book Antiqua" w:cs="Book Antiqua"/>
          <w:i/>
          <w:iCs/>
          <w:color w:val="000000"/>
        </w:rPr>
        <w:t>Liver Int</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42</w:t>
      </w:r>
      <w:r w:rsidRPr="001C61A1">
        <w:rPr>
          <w:rFonts w:ascii="Book Antiqua" w:eastAsia="Book Antiqua" w:hAnsi="Book Antiqua" w:cs="Book Antiqua"/>
          <w:color w:val="000000"/>
        </w:rPr>
        <w:t>: 1297-1307 [PMID: 35412018 DOI: 10.1111/</w:t>
      </w:r>
      <w:r w:rsidR="00B019E2" w:rsidRPr="001C61A1">
        <w:rPr>
          <w:rFonts w:ascii="Book Antiqua" w:eastAsia="Book Antiqua" w:hAnsi="Book Antiqua" w:cs="Book Antiqua"/>
          <w:color w:val="000000"/>
        </w:rPr>
        <w:t>liv</w:t>
      </w:r>
      <w:r w:rsidRPr="001C61A1">
        <w:rPr>
          <w:rFonts w:ascii="Book Antiqua" w:eastAsia="Book Antiqua" w:hAnsi="Book Antiqua" w:cs="Book Antiqua"/>
          <w:color w:val="000000"/>
        </w:rPr>
        <w:t>.15274]</w:t>
      </w:r>
    </w:p>
    <w:p w14:paraId="6FBDDFAD"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64 </w:t>
      </w:r>
      <w:r w:rsidRPr="001C61A1">
        <w:rPr>
          <w:rFonts w:ascii="Book Antiqua" w:eastAsia="Book Antiqua" w:hAnsi="Book Antiqua" w:cs="Book Antiqua"/>
          <w:b/>
          <w:bCs/>
          <w:color w:val="000000"/>
        </w:rPr>
        <w:t>Palavras MJ</w:t>
      </w:r>
      <w:r w:rsidRPr="001C61A1">
        <w:rPr>
          <w:rFonts w:ascii="Book Antiqua" w:eastAsia="Book Antiqua" w:hAnsi="Book Antiqua" w:cs="Book Antiqua"/>
          <w:color w:val="000000"/>
        </w:rPr>
        <w:t xml:space="preserve">, Faria C, Fernandes P, Lagarto A, Ponciano A, Alçada F, Banza MJ. The Impact of the Third Wave of the COVID-19 Pandemic on the Elderly and Very Elderly </w:t>
      </w:r>
      <w:r w:rsidRPr="001C61A1">
        <w:rPr>
          <w:rFonts w:ascii="Book Antiqua" w:eastAsia="Book Antiqua" w:hAnsi="Book Antiqua" w:cs="Book Antiqua"/>
          <w:color w:val="000000"/>
        </w:rPr>
        <w:lastRenderedPageBreak/>
        <w:t xml:space="preserve">Population in a Tertiary Care Hospital in Portugal. </w:t>
      </w:r>
      <w:r w:rsidRPr="001C61A1">
        <w:rPr>
          <w:rFonts w:ascii="Book Antiqua" w:eastAsia="Book Antiqua" w:hAnsi="Book Antiqua" w:cs="Book Antiqua"/>
          <w:i/>
          <w:iCs/>
          <w:color w:val="000000"/>
        </w:rPr>
        <w:t>Cureus</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14</w:t>
      </w:r>
      <w:r w:rsidRPr="001C61A1">
        <w:rPr>
          <w:rFonts w:ascii="Book Antiqua" w:eastAsia="Book Antiqua" w:hAnsi="Book Antiqua" w:cs="Book Antiqua"/>
          <w:color w:val="000000"/>
        </w:rPr>
        <w:t>: e22653 [PMID: 35371715 DOI: 10.7759/cureus.22653]</w:t>
      </w:r>
    </w:p>
    <w:p w14:paraId="623AF06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65 </w:t>
      </w:r>
      <w:r w:rsidRPr="001C61A1">
        <w:rPr>
          <w:rFonts w:ascii="Book Antiqua" w:eastAsia="Book Antiqua" w:hAnsi="Book Antiqua" w:cs="Book Antiqua"/>
          <w:b/>
          <w:bCs/>
          <w:color w:val="000000"/>
        </w:rPr>
        <w:t>Colmenero J</w:t>
      </w:r>
      <w:r w:rsidRPr="001C61A1">
        <w:rPr>
          <w:rFonts w:ascii="Book Antiqua" w:eastAsia="Book Antiqua" w:hAnsi="Book Antiqua" w:cs="Book Antiqua"/>
          <w:color w:val="000000"/>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74</w:t>
      </w:r>
      <w:r w:rsidRPr="001C61A1">
        <w:rPr>
          <w:rFonts w:ascii="Book Antiqua" w:eastAsia="Book Antiqua" w:hAnsi="Book Antiqua" w:cs="Book Antiqua"/>
          <w:color w:val="000000"/>
        </w:rPr>
        <w:t>: 148-155 [PMID: 32750442 DOI: 10.1016/j.jhep.2020.07.040]</w:t>
      </w:r>
    </w:p>
    <w:p w14:paraId="0A2653C0"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66 </w:t>
      </w:r>
      <w:r w:rsidRPr="001C61A1">
        <w:rPr>
          <w:rFonts w:ascii="Book Antiqua" w:eastAsia="Book Antiqua" w:hAnsi="Book Antiqua" w:cs="Book Antiqua"/>
          <w:b/>
          <w:bCs/>
          <w:color w:val="000000"/>
        </w:rPr>
        <w:t>Belli LS</w:t>
      </w:r>
      <w:r w:rsidRPr="001C61A1">
        <w:rPr>
          <w:rFonts w:ascii="Book Antiqua" w:eastAsia="Book Antiqua" w:hAnsi="Book Antiqua" w:cs="Book Antiqua"/>
          <w:color w:val="000000"/>
        </w:rPr>
        <w:t xml:space="preserve">, Duvoux C, Cortesi PA, Facchetti R, Iacob S, Perricone G, Radenne S, Conti S, Patrono D, Berlakovich G, Hann A, Pasulo L, Castells L, Faitot F, Detry O, Invernizzi F, Magini G, De Simone P, Kounis I, Morelli MC, Díaz Fontenla F, Ericzon BG, Loinaz C, Johnston C, Gheorghe L, Lesurtel M, Romagnoli R, Kollmann D, Perera MTP, Fagiuoli S, Mirza D, Coilly A, Toso C, Zieniewicz K, Elkrief L, Karam V, Adam R, den Hoed C, Merli M, Puoti M, De Carlis L, Oniscu GC, Piano S, Angeli P, Fondevila C, Polak WG; for all the centres contributing to the ELITA-ELTR COVID-19 Registry. COVID-19 in liver transplant candidates: pretransplant and post-transplant outcomes - an ELITA/ELTR multicentre cohort study. </w:t>
      </w:r>
      <w:r w:rsidRPr="001C61A1">
        <w:rPr>
          <w:rFonts w:ascii="Book Antiqua" w:eastAsia="Book Antiqua" w:hAnsi="Book Antiqua" w:cs="Book Antiqua"/>
          <w:i/>
          <w:iCs/>
          <w:color w:val="000000"/>
        </w:rPr>
        <w:t>Gut</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70</w:t>
      </w:r>
      <w:r w:rsidRPr="001C61A1">
        <w:rPr>
          <w:rFonts w:ascii="Book Antiqua" w:eastAsia="Book Antiqua" w:hAnsi="Book Antiqua" w:cs="Book Antiqua"/>
          <w:color w:val="000000"/>
        </w:rPr>
        <w:t>: 1914-1924 [PMID: 34281984 DOI: 10.1136/gutjnl-2021-324879]</w:t>
      </w:r>
    </w:p>
    <w:p w14:paraId="7B67B18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67 </w:t>
      </w:r>
      <w:r w:rsidRPr="001C61A1">
        <w:rPr>
          <w:rFonts w:ascii="Book Antiqua" w:eastAsia="Book Antiqua" w:hAnsi="Book Antiqua" w:cs="Book Antiqua"/>
          <w:b/>
          <w:bCs/>
          <w:color w:val="000000"/>
        </w:rPr>
        <w:t>Verbeek J</w:t>
      </w:r>
      <w:r w:rsidRPr="001C61A1">
        <w:rPr>
          <w:rFonts w:ascii="Book Antiqua" w:eastAsia="Book Antiqua" w:hAnsi="Book Antiqua" w:cs="Book Antiqua"/>
          <w:color w:val="000000"/>
        </w:rPr>
        <w:t xml:space="preserve">, Vrij C, Vermeersch P, Van Elslande J, Vets S, Lagrou K, Vos R, van Cleemput J, Jochmans I, Monbaliu D, Pirenne J, Kuypers D, Nevens F. Liver or Kidney Transplantation After SARS-CoV-2 Infection: Prevalence, Short-term Outcome, and Kinetics of Serum IgG Antibodies. </w:t>
      </w:r>
      <w:r w:rsidRPr="001C61A1">
        <w:rPr>
          <w:rFonts w:ascii="Book Antiqua" w:eastAsia="Book Antiqua" w:hAnsi="Book Antiqua" w:cs="Book Antiqua"/>
          <w:i/>
          <w:iCs/>
          <w:color w:val="000000"/>
        </w:rPr>
        <w:t>Transplantation</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106</w:t>
      </w:r>
      <w:r w:rsidRPr="001C61A1">
        <w:rPr>
          <w:rFonts w:ascii="Book Antiqua" w:eastAsia="Book Antiqua" w:hAnsi="Book Antiqua" w:cs="Book Antiqua"/>
          <w:color w:val="000000"/>
        </w:rPr>
        <w:t>: 862-868 [PMID: 34534192 DOI: 10.1097/TP.0000000000003955]</w:t>
      </w:r>
    </w:p>
    <w:p w14:paraId="5412A4DE"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68 </w:t>
      </w:r>
      <w:r w:rsidRPr="001C61A1">
        <w:rPr>
          <w:rFonts w:ascii="Book Antiqua" w:eastAsia="Book Antiqua" w:hAnsi="Book Antiqua" w:cs="Book Antiqua"/>
          <w:b/>
          <w:bCs/>
          <w:color w:val="000000"/>
        </w:rPr>
        <w:t>Cornberg M</w:t>
      </w:r>
      <w:r w:rsidRPr="001C61A1">
        <w:rPr>
          <w:rFonts w:ascii="Book Antiqua" w:eastAsia="Book Antiqua" w:hAnsi="Book Antiqua" w:cs="Book Antiqua"/>
          <w:color w:val="000000"/>
        </w:rPr>
        <w:t xml:space="preserve">, Buti M, Eberhardt CS, Grossi PA, Shouval D. EASL position paper on the use of COVID-19 vaccines in patients with chronic liver diseases, hepatobiliary cancer and liver transplant recipients.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74</w:t>
      </w:r>
      <w:r w:rsidRPr="001C61A1">
        <w:rPr>
          <w:rFonts w:ascii="Book Antiqua" w:eastAsia="Book Antiqua" w:hAnsi="Book Antiqua" w:cs="Book Antiqua"/>
          <w:color w:val="000000"/>
        </w:rPr>
        <w:t>: 944-951 [PMID: 33563499 DOI: 10.1016/j.jhep.2021.01.032]</w:t>
      </w:r>
    </w:p>
    <w:p w14:paraId="6A4BB93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 xml:space="preserve">69 </w:t>
      </w:r>
      <w:r w:rsidRPr="001C61A1">
        <w:rPr>
          <w:rFonts w:ascii="Book Antiqua" w:eastAsia="Book Antiqua" w:hAnsi="Book Antiqua" w:cs="Book Antiqua"/>
          <w:b/>
          <w:bCs/>
          <w:color w:val="000000"/>
        </w:rPr>
        <w:t>Cabibbo G</w:t>
      </w:r>
      <w:r w:rsidRPr="001C61A1">
        <w:rPr>
          <w:rFonts w:ascii="Book Antiqua" w:eastAsia="Book Antiqua" w:hAnsi="Book Antiqua" w:cs="Book Antiqua"/>
          <w:color w:val="000000"/>
        </w:rPr>
        <w:t xml:space="preserve">, Rizzo GEM, Stornello C, Craxì A. SARS-CoV-2 infection in patients with a normal or abnormal liver. </w:t>
      </w:r>
      <w:r w:rsidRPr="001C61A1">
        <w:rPr>
          <w:rFonts w:ascii="Book Antiqua" w:eastAsia="Book Antiqua" w:hAnsi="Book Antiqua" w:cs="Book Antiqua"/>
          <w:i/>
          <w:iCs/>
          <w:color w:val="000000"/>
        </w:rPr>
        <w:t>J Viral Hepat</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28</w:t>
      </w:r>
      <w:r w:rsidRPr="001C61A1">
        <w:rPr>
          <w:rFonts w:ascii="Book Antiqua" w:eastAsia="Book Antiqua" w:hAnsi="Book Antiqua" w:cs="Book Antiqua"/>
          <w:color w:val="000000"/>
        </w:rPr>
        <w:t>: 4-11 [PMID: 33190321 DOI: 10.1111/jvh.13440]</w:t>
      </w:r>
    </w:p>
    <w:p w14:paraId="760DEB7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70 </w:t>
      </w:r>
      <w:r w:rsidRPr="001C61A1">
        <w:rPr>
          <w:rFonts w:ascii="Book Antiqua" w:eastAsia="Book Antiqua" w:hAnsi="Book Antiqua" w:cs="Book Antiqua"/>
          <w:b/>
          <w:bCs/>
          <w:color w:val="000000"/>
        </w:rPr>
        <w:t>Nicastro E</w:t>
      </w:r>
      <w:r w:rsidRPr="001C61A1">
        <w:rPr>
          <w:rFonts w:ascii="Book Antiqua" w:eastAsia="Book Antiqua" w:hAnsi="Book Antiqua" w:cs="Book Antiqua"/>
          <w:color w:val="000000"/>
        </w:rPr>
        <w:t xml:space="preserve">, Ebel NH, Kehar M, Czubkowski P, Ng VL, Michaels MG, Lobritto SJ, Martinez M, Indolfi G. The Impact of Severe Acute Respiratory Syndrome Coronavirus Type 2 on Children With Liver Diseases: A Joint European Society for Pediatric Gastroenterology, Hepatology and Nutrition and Society of Pediatric Liver Transplantation Position Paper. </w:t>
      </w:r>
      <w:r w:rsidRPr="001C61A1">
        <w:rPr>
          <w:rFonts w:ascii="Book Antiqua" w:eastAsia="Book Antiqua" w:hAnsi="Book Antiqua" w:cs="Book Antiqua"/>
          <w:i/>
          <w:iCs/>
          <w:color w:val="000000"/>
        </w:rPr>
        <w:t>J Pediatr Gastroenterol Nutr</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74</w:t>
      </w:r>
      <w:r w:rsidRPr="001C61A1">
        <w:rPr>
          <w:rFonts w:ascii="Book Antiqua" w:eastAsia="Book Antiqua" w:hAnsi="Book Antiqua" w:cs="Book Antiqua"/>
          <w:color w:val="000000"/>
        </w:rPr>
        <w:t>: 159-170 [PMID: 34694269 DOI: 10.1097/MPG.0000000000003339]</w:t>
      </w:r>
    </w:p>
    <w:p w14:paraId="0F0E342E"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71 </w:t>
      </w:r>
      <w:r w:rsidRPr="001C61A1">
        <w:rPr>
          <w:rFonts w:ascii="Book Antiqua" w:eastAsia="Book Antiqua" w:hAnsi="Book Antiqua" w:cs="Book Antiqua"/>
          <w:b/>
          <w:bCs/>
          <w:color w:val="000000"/>
        </w:rPr>
        <w:t>Marjot T</w:t>
      </w:r>
      <w:r w:rsidRPr="001C61A1">
        <w:rPr>
          <w:rFonts w:ascii="Book Antiqua" w:eastAsia="Book Antiqua" w:hAnsi="Book Antiqua" w:cs="Book Antiqua"/>
          <w:color w:val="000000"/>
        </w:rPr>
        <w:t xml:space="preserve">, Webb GJ, Barritt AS 4th, Moon AM, Stamataki Z, Wong VW, Barnes E. COVID-19 and liver disease: mechanistic and clinical perspectives. </w:t>
      </w:r>
      <w:r w:rsidRPr="001C61A1">
        <w:rPr>
          <w:rFonts w:ascii="Book Antiqua" w:eastAsia="Book Antiqua" w:hAnsi="Book Antiqua" w:cs="Book Antiqua"/>
          <w:i/>
          <w:iCs/>
          <w:color w:val="000000"/>
        </w:rPr>
        <w:t>Nat Rev Gastroenterol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18</w:t>
      </w:r>
      <w:r w:rsidRPr="001C61A1">
        <w:rPr>
          <w:rFonts w:ascii="Book Antiqua" w:eastAsia="Book Antiqua" w:hAnsi="Book Antiqua" w:cs="Book Antiqua"/>
          <w:color w:val="000000"/>
        </w:rPr>
        <w:t>: 348-364 [PMID: 33692570 DOI: 10.1038/s41575-021-00426-4]</w:t>
      </w:r>
    </w:p>
    <w:p w14:paraId="2EF4925E"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72 </w:t>
      </w:r>
      <w:r w:rsidRPr="001C61A1">
        <w:rPr>
          <w:rFonts w:ascii="Book Antiqua" w:eastAsia="Book Antiqua" w:hAnsi="Book Antiqua" w:cs="Book Antiqua"/>
          <w:b/>
          <w:bCs/>
          <w:color w:val="000000"/>
        </w:rPr>
        <w:t>Kim D</w:t>
      </w:r>
      <w:r w:rsidRPr="001C61A1">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1C61A1">
        <w:rPr>
          <w:rFonts w:ascii="Book Antiqua" w:eastAsia="Book Antiqua" w:hAnsi="Book Antiqua" w:cs="Book Antiqua"/>
          <w:i/>
          <w:iCs/>
          <w:color w:val="000000"/>
        </w:rPr>
        <w:t>Clin Gastroenterol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19</w:t>
      </w:r>
      <w:r w:rsidRPr="001C61A1">
        <w:rPr>
          <w:rFonts w:ascii="Book Antiqua" w:eastAsia="Book Antiqua" w:hAnsi="Book Antiqua" w:cs="Book Antiqua"/>
          <w:color w:val="000000"/>
        </w:rPr>
        <w:t>: 1469-1479.e19 [PMID: 32950749 DOI: 10.1016/j.cgh.2020.09.027]</w:t>
      </w:r>
    </w:p>
    <w:p w14:paraId="779FE8D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73 </w:t>
      </w:r>
      <w:r w:rsidRPr="001C61A1">
        <w:rPr>
          <w:rFonts w:ascii="Book Antiqua" w:eastAsia="Book Antiqua" w:hAnsi="Book Antiqua" w:cs="Book Antiqua"/>
          <w:b/>
          <w:bCs/>
          <w:color w:val="000000"/>
        </w:rPr>
        <w:t>Shao J</w:t>
      </w:r>
      <w:r w:rsidRPr="001C61A1">
        <w:rPr>
          <w:rFonts w:ascii="Book Antiqua" w:eastAsia="Book Antiqua" w:hAnsi="Book Antiqua" w:cs="Book Antiqua"/>
          <w:color w:val="000000"/>
        </w:rPr>
        <w:t xml:space="preserve">, Liang Y, Li Y, Ding R, Zhu M, You W, Wang Z, Huang B, Wu M, Zhang T, Li K, Wu W, Wu L, Wang Q, Xia X, Wang S, Lu L. Implications of liver injury in risk-stratification and management of patients with COVID-19. </w:t>
      </w:r>
      <w:r w:rsidRPr="001C61A1">
        <w:rPr>
          <w:rFonts w:ascii="Book Antiqua" w:eastAsia="Book Antiqua" w:hAnsi="Book Antiqua" w:cs="Book Antiqua"/>
          <w:i/>
          <w:iCs/>
          <w:color w:val="000000"/>
        </w:rPr>
        <w:t>Hepatol Int</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15</w:t>
      </w:r>
      <w:r w:rsidRPr="001C61A1">
        <w:rPr>
          <w:rFonts w:ascii="Book Antiqua" w:eastAsia="Book Antiqua" w:hAnsi="Book Antiqua" w:cs="Book Antiqua"/>
          <w:color w:val="000000"/>
        </w:rPr>
        <w:t>: 202-212 [PMID: 33548030 DOI: 10.1007/s12072-020-10123-0]</w:t>
      </w:r>
    </w:p>
    <w:p w14:paraId="4CB3EE3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74 </w:t>
      </w:r>
      <w:r w:rsidRPr="001C61A1">
        <w:rPr>
          <w:rFonts w:ascii="Book Antiqua" w:eastAsia="Book Antiqua" w:hAnsi="Book Antiqua" w:cs="Book Antiqua"/>
          <w:b/>
          <w:bCs/>
          <w:color w:val="000000"/>
        </w:rPr>
        <w:t>Yip TC</w:t>
      </w:r>
      <w:r w:rsidRPr="001C61A1">
        <w:rPr>
          <w:rFonts w:ascii="Book Antiqua" w:eastAsia="Book Antiqua" w:hAnsi="Book Antiqua" w:cs="Book Antiqua"/>
          <w:color w:val="000000"/>
        </w:rPr>
        <w:t xml:space="preserve">, Wong VW, Lui GC, Chow VC, Tse YK, Hui VW, Liang LY, Chan HL, Hui DS, Wong GL. Current and Past Infections of HBV Do Not Increase Mortality in Patients With COVID-19.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74</w:t>
      </w:r>
      <w:r w:rsidRPr="001C61A1">
        <w:rPr>
          <w:rFonts w:ascii="Book Antiqua" w:eastAsia="Book Antiqua" w:hAnsi="Book Antiqua" w:cs="Book Antiqua"/>
          <w:color w:val="000000"/>
        </w:rPr>
        <w:t>: 1750-1765 [PMID: 33961298 DOI: 10.1002/hep.31890]</w:t>
      </w:r>
    </w:p>
    <w:p w14:paraId="2DC5E4A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75 </w:t>
      </w:r>
      <w:r w:rsidRPr="001C61A1">
        <w:rPr>
          <w:rFonts w:ascii="Book Antiqua" w:eastAsia="Book Antiqua" w:hAnsi="Book Antiqua" w:cs="Book Antiqua"/>
          <w:b/>
          <w:bCs/>
          <w:color w:val="000000"/>
        </w:rPr>
        <w:t>Yang H</w:t>
      </w:r>
      <w:r w:rsidRPr="001C61A1">
        <w:rPr>
          <w:rFonts w:ascii="Book Antiqua" w:eastAsia="Book Antiqua" w:hAnsi="Book Antiqua" w:cs="Book Antiqua"/>
          <w:color w:val="000000"/>
        </w:rPr>
        <w:t xml:space="preserve">, Xu J, Liang X, Shi L, Wang Y. Chronic liver disease independently associated with COVID-19 severity: evidence based on adjusted effect estimates. </w:t>
      </w:r>
      <w:r w:rsidRPr="001C61A1">
        <w:rPr>
          <w:rFonts w:ascii="Book Antiqua" w:eastAsia="Book Antiqua" w:hAnsi="Book Antiqua" w:cs="Book Antiqua"/>
          <w:i/>
          <w:iCs/>
          <w:color w:val="000000"/>
        </w:rPr>
        <w:t>Hepatol Int</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15</w:t>
      </w:r>
      <w:r w:rsidRPr="001C61A1">
        <w:rPr>
          <w:rFonts w:ascii="Book Antiqua" w:eastAsia="Book Antiqua" w:hAnsi="Book Antiqua" w:cs="Book Antiqua"/>
          <w:color w:val="000000"/>
        </w:rPr>
        <w:t>: 217-222 [PMID: 33507484 DOI: 10.1007/s12072-020-10133-y]</w:t>
      </w:r>
    </w:p>
    <w:p w14:paraId="1BE0E6F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 xml:space="preserve">76 </w:t>
      </w:r>
      <w:r w:rsidRPr="001C61A1">
        <w:rPr>
          <w:rFonts w:ascii="Book Antiqua" w:eastAsia="Book Antiqua" w:hAnsi="Book Antiqua" w:cs="Book Antiqua"/>
          <w:b/>
          <w:bCs/>
          <w:color w:val="000000"/>
        </w:rPr>
        <w:t>Lin J</w:t>
      </w:r>
      <w:r w:rsidRPr="001C61A1">
        <w:rPr>
          <w:rFonts w:ascii="Book Antiqua" w:eastAsia="Book Antiqua" w:hAnsi="Book Antiqua" w:cs="Book Antiqua"/>
          <w:color w:val="000000"/>
        </w:rPr>
        <w:t xml:space="preserve">, Bao B, Khurram NA, Halsey K, Choi JW, Wang L, Tran TML, Liao WH, Feldman MD, Zhang PJ, Wu J, Bai HX. Chronic liver disease not a significant comorbid condition for COVID-19. </w:t>
      </w:r>
      <w:r w:rsidRPr="001C61A1">
        <w:rPr>
          <w:rFonts w:ascii="Book Antiqua" w:eastAsia="Book Antiqua" w:hAnsi="Book Antiqua" w:cs="Book Antiqua"/>
          <w:i/>
          <w:iCs/>
          <w:color w:val="000000"/>
        </w:rPr>
        <w:t>Sci Rep</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11</w:t>
      </w:r>
      <w:r w:rsidRPr="001C61A1">
        <w:rPr>
          <w:rFonts w:ascii="Book Antiqua" w:eastAsia="Book Antiqua" w:hAnsi="Book Antiqua" w:cs="Book Antiqua"/>
          <w:color w:val="000000"/>
        </w:rPr>
        <w:t>: 11734 [PMID: 34083670 DOI: 10.1038/s41598-021-91238-8]</w:t>
      </w:r>
    </w:p>
    <w:p w14:paraId="1E09F3A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77 </w:t>
      </w:r>
      <w:r w:rsidRPr="001C61A1">
        <w:rPr>
          <w:rFonts w:ascii="Book Antiqua" w:eastAsia="Book Antiqua" w:hAnsi="Book Antiqua" w:cs="Book Antiqua"/>
          <w:b/>
          <w:bCs/>
          <w:color w:val="000000"/>
        </w:rPr>
        <w:t>Taylor R 3rd</w:t>
      </w:r>
      <w:r w:rsidRPr="001C61A1">
        <w:rPr>
          <w:rFonts w:ascii="Book Antiqua" w:eastAsia="Book Antiqua" w:hAnsi="Book Antiqua" w:cs="Book Antiqua"/>
          <w:color w:val="000000"/>
        </w:rPr>
        <w:t xml:space="preserve">, Mallon D. COVID-19 and Pediatric Gastroenterology. </w:t>
      </w:r>
      <w:r w:rsidRPr="001C61A1">
        <w:rPr>
          <w:rFonts w:ascii="Book Antiqua" w:eastAsia="Book Antiqua" w:hAnsi="Book Antiqua" w:cs="Book Antiqua"/>
          <w:i/>
          <w:iCs/>
          <w:color w:val="000000"/>
        </w:rPr>
        <w:t>Pediatr Clin North Am</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68</w:t>
      </w:r>
      <w:r w:rsidRPr="001C61A1">
        <w:rPr>
          <w:rFonts w:ascii="Book Antiqua" w:eastAsia="Book Antiqua" w:hAnsi="Book Antiqua" w:cs="Book Antiqua"/>
          <w:color w:val="000000"/>
        </w:rPr>
        <w:t>: 1157-1169 [PMID: 34736582 DOI: 10.1016/j.pcl.2021.07.003]</w:t>
      </w:r>
    </w:p>
    <w:p w14:paraId="7ED4A6DA"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78 </w:t>
      </w:r>
      <w:r w:rsidRPr="001C61A1">
        <w:rPr>
          <w:rFonts w:ascii="Book Antiqua" w:eastAsia="Book Antiqua" w:hAnsi="Book Antiqua" w:cs="Book Antiqua"/>
          <w:b/>
          <w:bCs/>
          <w:color w:val="000000"/>
        </w:rPr>
        <w:t>Zhang Y</w:t>
      </w:r>
      <w:r w:rsidRPr="001C61A1">
        <w:rPr>
          <w:rFonts w:ascii="Book Antiqua" w:eastAsia="Book Antiqua" w:hAnsi="Book Antiqua" w:cs="Book Antiqua"/>
          <w:color w:val="000000"/>
        </w:rPr>
        <w:t xml:space="preserve">, Yang H, Li S, Li WD, Wang J, Wang Y. Association analysis framework of genetic and exposure risks for COVID-19 in middle-aged and elderly adults. </w:t>
      </w:r>
      <w:r w:rsidRPr="001C61A1">
        <w:rPr>
          <w:rFonts w:ascii="Book Antiqua" w:eastAsia="Book Antiqua" w:hAnsi="Book Antiqua" w:cs="Book Antiqua"/>
          <w:i/>
          <w:iCs/>
          <w:color w:val="000000"/>
        </w:rPr>
        <w:t>Mech Ageing Dev</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194</w:t>
      </w:r>
      <w:r w:rsidRPr="001C61A1">
        <w:rPr>
          <w:rFonts w:ascii="Book Antiqua" w:eastAsia="Book Antiqua" w:hAnsi="Book Antiqua" w:cs="Book Antiqua"/>
          <w:color w:val="000000"/>
        </w:rPr>
        <w:t>: 111433 [PMID: 33444631 DOI: 10.1016/j.mad.2021.111433]</w:t>
      </w:r>
    </w:p>
    <w:p w14:paraId="3F11F5F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79 </w:t>
      </w:r>
      <w:r w:rsidRPr="001C61A1">
        <w:rPr>
          <w:rFonts w:ascii="Book Antiqua" w:eastAsia="Book Antiqua" w:hAnsi="Book Antiqua" w:cs="Book Antiqua"/>
          <w:b/>
          <w:bCs/>
          <w:color w:val="000000"/>
        </w:rPr>
        <w:t>Efe C</w:t>
      </w:r>
      <w:r w:rsidRPr="001C61A1">
        <w:rPr>
          <w:rFonts w:ascii="Book Antiqua" w:eastAsia="Book Antiqua" w:hAnsi="Book Antiqua" w:cs="Book Antiqua"/>
          <w:color w:val="000000"/>
        </w:rPr>
        <w:t xml:space="preserve">, Dhanasekaran R, Lammert C, Ebik B, Higuera-de la Tijera F, Aloman C, Rıza Calışkan A, Peralta M, Gerussi A, Massoumi H, Catana AM, Torgutalp M, Purnak T, Rigamonti C, Gomez Aldana AJ, Khakoo N, Kacmaz H, Nazal L, Frager S, Demir N, Irak K, Ellik ZM, Balaban Y, Atay K, Eren F, Cristoferi L, Batıbay E, Urzua Á, Snijders R, Kıyıcı M, Akyıldız M, Ekin N, Carr RM, Harputluoğlu M, Hatemi I, Mendizabal M, Silva M, Idilman R, Silveira M, Drenth JPH, Assis DN, Björnsson E, Boyer JL, Invernizzi P, Levy C, Schiano TD, Ridruejo E, Wahlin S. Outcome of COVID-19 in Patients With Autoimmune Hepatitis: An International Multicenter Study.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73</w:t>
      </w:r>
      <w:r w:rsidRPr="001C61A1">
        <w:rPr>
          <w:rFonts w:ascii="Book Antiqua" w:eastAsia="Book Antiqua" w:hAnsi="Book Antiqua" w:cs="Book Antiqua"/>
          <w:color w:val="000000"/>
        </w:rPr>
        <w:t>: 2099-2109 [PMID: 33713486 DOI: 10.1002/hep.31797]</w:t>
      </w:r>
    </w:p>
    <w:p w14:paraId="2F1555C0"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80 </w:t>
      </w:r>
      <w:r w:rsidRPr="001C61A1">
        <w:rPr>
          <w:rFonts w:ascii="Book Antiqua" w:eastAsia="Book Antiqua" w:hAnsi="Book Antiqua" w:cs="Book Antiqua"/>
          <w:b/>
          <w:bCs/>
          <w:color w:val="000000"/>
        </w:rPr>
        <w:t>Iavarone M</w:t>
      </w:r>
      <w:r w:rsidRPr="001C61A1">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73</w:t>
      </w:r>
      <w:r w:rsidRPr="001C61A1">
        <w:rPr>
          <w:rFonts w:ascii="Book Antiqua" w:eastAsia="Book Antiqua" w:hAnsi="Book Antiqua" w:cs="Book Antiqua"/>
          <w:color w:val="000000"/>
        </w:rPr>
        <w:t>: 1063-1071 [PMID: 32526252 DOI: 10.1016/j.jhep.2020.06.001]</w:t>
      </w:r>
    </w:p>
    <w:p w14:paraId="608784D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81 </w:t>
      </w:r>
      <w:r w:rsidRPr="001C61A1">
        <w:rPr>
          <w:rFonts w:ascii="Book Antiqua" w:eastAsia="Book Antiqua" w:hAnsi="Book Antiqua" w:cs="Book Antiqua"/>
          <w:b/>
          <w:bCs/>
          <w:color w:val="000000"/>
        </w:rPr>
        <w:t>Alqahtani SA</w:t>
      </w:r>
      <w:r w:rsidRPr="001C61A1">
        <w:rPr>
          <w:rFonts w:ascii="Book Antiqua" w:eastAsia="Book Antiqua" w:hAnsi="Book Antiqua" w:cs="Book Antiqua"/>
          <w:color w:val="000000"/>
        </w:rPr>
        <w:t xml:space="preserve">, Schattenberg JM. Liver injury in COVID-19: The current evidence. </w:t>
      </w:r>
      <w:r w:rsidRPr="001C61A1">
        <w:rPr>
          <w:rFonts w:ascii="Book Antiqua" w:eastAsia="Book Antiqua" w:hAnsi="Book Antiqua" w:cs="Book Antiqua"/>
          <w:i/>
          <w:iCs/>
          <w:color w:val="000000"/>
        </w:rPr>
        <w:t>United European Gastroenterol J</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8</w:t>
      </w:r>
      <w:r w:rsidRPr="001C61A1">
        <w:rPr>
          <w:rFonts w:ascii="Book Antiqua" w:eastAsia="Book Antiqua" w:hAnsi="Book Antiqua" w:cs="Book Antiqua"/>
          <w:color w:val="000000"/>
        </w:rPr>
        <w:t>: 509-519 [PMID: 32450787 DOI: 10.1177/2050640620924157]</w:t>
      </w:r>
    </w:p>
    <w:p w14:paraId="4A00CB2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82 </w:t>
      </w:r>
      <w:r w:rsidRPr="001C61A1">
        <w:rPr>
          <w:rFonts w:ascii="Book Antiqua" w:eastAsia="Book Antiqua" w:hAnsi="Book Antiqua" w:cs="Book Antiqua"/>
          <w:b/>
          <w:bCs/>
          <w:color w:val="000000"/>
        </w:rPr>
        <w:t>Ji D</w:t>
      </w:r>
      <w:r w:rsidRPr="001C61A1">
        <w:rPr>
          <w:rFonts w:ascii="Book Antiqua" w:eastAsia="Book Antiqua" w:hAnsi="Book Antiqua" w:cs="Book Antiqua"/>
          <w:color w:val="000000"/>
        </w:rPr>
        <w:t xml:space="preserve">, Qin E, Xu J, Zhang D, Cheng G, Wang Y, Lau G. Non-alcoholic fatty liver diseases in patients with COVID-19: A retrospective study.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73</w:t>
      </w:r>
      <w:r w:rsidRPr="001C61A1">
        <w:rPr>
          <w:rFonts w:ascii="Book Antiqua" w:eastAsia="Book Antiqua" w:hAnsi="Book Antiqua" w:cs="Book Antiqua"/>
          <w:color w:val="000000"/>
        </w:rPr>
        <w:t>: 451-453 [PMID: 32278005 DOI: 10.1016/j.jhep.2020.03.044]</w:t>
      </w:r>
    </w:p>
    <w:p w14:paraId="1B7E9234"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 xml:space="preserve">83 </w:t>
      </w:r>
      <w:r w:rsidRPr="001C61A1">
        <w:rPr>
          <w:rFonts w:ascii="Book Antiqua" w:eastAsia="Book Antiqua" w:hAnsi="Book Antiqua" w:cs="Book Antiqua"/>
          <w:b/>
          <w:bCs/>
          <w:color w:val="000000"/>
        </w:rPr>
        <w:t>Ge J</w:t>
      </w:r>
      <w:r w:rsidRPr="001C61A1">
        <w:rPr>
          <w:rFonts w:ascii="Book Antiqua" w:eastAsia="Book Antiqua" w:hAnsi="Book Antiqua" w:cs="Book Antiqua"/>
          <w:color w:val="000000"/>
        </w:rPr>
        <w:t xml:space="preserve">, Pletcher MJ, Lai JC; N3C Consortium. Outcomes of SARS-CoV-2 Infection in Patients With Chronic Liver Disease and Cirrhosis: A National COVID Cohort Collaborative Study. </w:t>
      </w:r>
      <w:r w:rsidRPr="001C61A1">
        <w:rPr>
          <w:rFonts w:ascii="Book Antiqua" w:eastAsia="Book Antiqua" w:hAnsi="Book Antiqua" w:cs="Book Antiqua"/>
          <w:i/>
          <w:iCs/>
          <w:color w:val="000000"/>
        </w:rPr>
        <w:t>Gastroenterology</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161</w:t>
      </w:r>
      <w:r w:rsidRPr="001C61A1">
        <w:rPr>
          <w:rFonts w:ascii="Book Antiqua" w:eastAsia="Book Antiqua" w:hAnsi="Book Antiqua" w:cs="Book Antiqua"/>
          <w:color w:val="000000"/>
        </w:rPr>
        <w:t>: 1487-1501.e5 [PMID: 34284037 DOI: 10.1053/j.gastro.2021.07.010]</w:t>
      </w:r>
    </w:p>
    <w:p w14:paraId="61BB921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84 </w:t>
      </w:r>
      <w:r w:rsidRPr="001C61A1">
        <w:rPr>
          <w:rFonts w:ascii="Book Antiqua" w:eastAsia="Book Antiqua" w:hAnsi="Book Antiqua" w:cs="Book Antiqua"/>
          <w:b/>
          <w:bCs/>
          <w:color w:val="000000"/>
        </w:rPr>
        <w:t>Zecher BF</w:t>
      </w:r>
      <w:r w:rsidRPr="001C61A1">
        <w:rPr>
          <w:rFonts w:ascii="Book Antiqua" w:eastAsia="Book Antiqua" w:hAnsi="Book Antiqua" w:cs="Book Antiqua"/>
          <w:color w:val="000000"/>
        </w:rPr>
        <w:t xml:space="preserve">, Buescher G, Willemse J, Walmsley M, Taylor A, Leburgue A, Schramm C, Lohse AW, Sebode M. Prevalence of COVID-19 in patients with autoimmune liver disease in Europe: A patient-oriented online survey. </w:t>
      </w:r>
      <w:r w:rsidRPr="001C61A1">
        <w:rPr>
          <w:rFonts w:ascii="Book Antiqua" w:eastAsia="Book Antiqua" w:hAnsi="Book Antiqua" w:cs="Book Antiqua"/>
          <w:i/>
          <w:iCs/>
          <w:color w:val="000000"/>
        </w:rPr>
        <w:t>United European Gastroenterol J</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9</w:t>
      </w:r>
      <w:r w:rsidRPr="001C61A1">
        <w:rPr>
          <w:rFonts w:ascii="Book Antiqua" w:eastAsia="Book Antiqua" w:hAnsi="Book Antiqua" w:cs="Book Antiqua"/>
          <w:color w:val="000000"/>
        </w:rPr>
        <w:t>: 797-808 [PMID: 34105883 DOI: 10.1002/ueg2.12100]</w:t>
      </w:r>
    </w:p>
    <w:p w14:paraId="73E0FF0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85 </w:t>
      </w:r>
      <w:r w:rsidRPr="001C61A1">
        <w:rPr>
          <w:rFonts w:ascii="Book Antiqua" w:eastAsia="Book Antiqua" w:hAnsi="Book Antiqua" w:cs="Book Antiqua"/>
          <w:b/>
          <w:bCs/>
          <w:color w:val="000000"/>
        </w:rPr>
        <w:t>Perez A</w:t>
      </w:r>
      <w:r w:rsidRPr="001C61A1">
        <w:rPr>
          <w:rFonts w:ascii="Book Antiqua" w:eastAsia="Book Antiqua" w:hAnsi="Book Antiqua" w:cs="Book Antiqua"/>
          <w:color w:val="000000"/>
        </w:rPr>
        <w:t xml:space="preserve">, Cantor A, Rudolph B, Miller J, Kogan-Liberman D, Gao Q, Da Silva B, Margolis KG, Ovchinsky N, Martinez M. Liver involvement in children with SARS-COV-2 infection: Two distinct clinical phenotypes caused by the same virus. </w:t>
      </w:r>
      <w:r w:rsidRPr="001C61A1">
        <w:rPr>
          <w:rFonts w:ascii="Book Antiqua" w:eastAsia="Book Antiqua" w:hAnsi="Book Antiqua" w:cs="Book Antiqua"/>
          <w:i/>
          <w:iCs/>
          <w:color w:val="000000"/>
        </w:rPr>
        <w:t>Liver Int</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41</w:t>
      </w:r>
      <w:r w:rsidRPr="001C61A1">
        <w:rPr>
          <w:rFonts w:ascii="Book Antiqua" w:eastAsia="Book Antiqua" w:hAnsi="Book Antiqua" w:cs="Book Antiqua"/>
          <w:color w:val="000000"/>
        </w:rPr>
        <w:t>: 2068-2075 [PMID: 33826804 DOI: 10.1111/</w:t>
      </w:r>
      <w:r w:rsidR="00B019E2" w:rsidRPr="001C61A1">
        <w:rPr>
          <w:rFonts w:ascii="Book Antiqua" w:eastAsia="Book Antiqua" w:hAnsi="Book Antiqua" w:cs="Book Antiqua"/>
          <w:color w:val="000000"/>
        </w:rPr>
        <w:t>liv</w:t>
      </w:r>
      <w:r w:rsidRPr="001C61A1">
        <w:rPr>
          <w:rFonts w:ascii="Book Antiqua" w:eastAsia="Book Antiqua" w:hAnsi="Book Antiqua" w:cs="Book Antiqua"/>
          <w:color w:val="000000"/>
        </w:rPr>
        <w:t>.14887]</w:t>
      </w:r>
    </w:p>
    <w:p w14:paraId="19A3CA7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86 </w:t>
      </w:r>
      <w:r w:rsidRPr="001C61A1">
        <w:rPr>
          <w:rFonts w:ascii="Book Antiqua" w:eastAsia="Book Antiqua" w:hAnsi="Book Antiqua" w:cs="Book Antiqua"/>
          <w:b/>
          <w:bCs/>
          <w:color w:val="000000"/>
        </w:rPr>
        <w:t>Kumar-M P</w:t>
      </w:r>
      <w:r w:rsidRPr="001C61A1">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sidRPr="001C61A1">
        <w:rPr>
          <w:rFonts w:ascii="Book Antiqua" w:eastAsia="Book Antiqua" w:hAnsi="Book Antiqua" w:cs="Book Antiqua"/>
          <w:i/>
          <w:iCs/>
          <w:color w:val="000000"/>
        </w:rPr>
        <w:t>Hepatol Int</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14</w:t>
      </w:r>
      <w:r w:rsidRPr="001C61A1">
        <w:rPr>
          <w:rFonts w:ascii="Book Antiqua" w:eastAsia="Book Antiqua" w:hAnsi="Book Antiqua" w:cs="Book Antiqua"/>
          <w:color w:val="000000"/>
        </w:rPr>
        <w:t>: 711-722 [PMID: 32623633 DOI: 10.1007/s12072-020-10071-9]</w:t>
      </w:r>
    </w:p>
    <w:p w14:paraId="3B9B0FD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87 </w:t>
      </w:r>
      <w:r w:rsidRPr="001C61A1">
        <w:rPr>
          <w:rFonts w:ascii="Book Antiqua" w:eastAsia="Book Antiqua" w:hAnsi="Book Antiqua" w:cs="Book Antiqua"/>
          <w:b/>
          <w:bCs/>
          <w:color w:val="000000"/>
        </w:rPr>
        <w:t>Di Giorgio A</w:t>
      </w:r>
      <w:r w:rsidRPr="001C61A1">
        <w:rPr>
          <w:rFonts w:ascii="Book Antiqua" w:eastAsia="Book Antiqua" w:hAnsi="Book Antiqua" w:cs="Book Antiqua"/>
          <w:color w:val="000000"/>
        </w:rPr>
        <w:t xml:space="preserve">, Nicastro E, Arnaboldi S, Montini O, Di Stasio F, D'Antiga L, Gaio P, Fovino LN, Cananzi M, Pinon M, Calvo PL, Camelli V. "Health status of children with chronic liver disease during the SARS-CoV-2 outbreak: results from a multicentre study". </w:t>
      </w:r>
      <w:r w:rsidRPr="001C61A1">
        <w:rPr>
          <w:rFonts w:ascii="Book Antiqua" w:eastAsia="Book Antiqua" w:hAnsi="Book Antiqua" w:cs="Book Antiqua"/>
          <w:i/>
          <w:iCs/>
          <w:color w:val="000000"/>
        </w:rPr>
        <w:t>Clin Res Hepatol Gastroenterol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45</w:t>
      </w:r>
      <w:r w:rsidRPr="001C61A1">
        <w:rPr>
          <w:rFonts w:ascii="Book Antiqua" w:eastAsia="Book Antiqua" w:hAnsi="Book Antiqua" w:cs="Book Antiqua"/>
          <w:color w:val="000000"/>
        </w:rPr>
        <w:t>: 101610 [PMID: 33588313 DOI: 10.1016/j.clinre.2020.101610]</w:t>
      </w:r>
    </w:p>
    <w:p w14:paraId="46BCB34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88 </w:t>
      </w:r>
      <w:r w:rsidRPr="001C61A1">
        <w:rPr>
          <w:rFonts w:ascii="Book Antiqua" w:eastAsia="Book Antiqua" w:hAnsi="Book Antiqua" w:cs="Book Antiqua"/>
          <w:b/>
          <w:bCs/>
          <w:color w:val="000000"/>
        </w:rPr>
        <w:t>Steenblock C</w:t>
      </w:r>
      <w:r w:rsidRPr="001C61A1">
        <w:rPr>
          <w:rFonts w:ascii="Book Antiqua" w:eastAsia="Book Antiqua" w:hAnsi="Book Antiqua" w:cs="Book Antiqua"/>
          <w:color w:val="000000"/>
        </w:rPr>
        <w:t xml:space="preserve">, Schwarz PEH, Ludwig B, Linkermann A, Zimmet P, Kulebyakin K, Tkachuk VA, Markov AG, Lehnert H, de Angelis MH, Rietzsch H, Rodionov RN, Khunti K, Hopkins D, Birkenfeld AL, Boehm B, Holt RIG, Skyler JS, DeVries JH, Renard E, Eckel RH, Alberti KGMM, Geloneze B, Chan JC, Mbanya JC, Onyegbutulem HC, Ramachandran A, Basit A, Hassanein M, Bewick G, Spinas GA, Beuschlein F, Landgraf R, Rubino F, Mingrone G, Bornstein SR. COVID-19 and metabolic disease: mechanisms and clinical management. </w:t>
      </w:r>
      <w:r w:rsidRPr="001C61A1">
        <w:rPr>
          <w:rFonts w:ascii="Book Antiqua" w:eastAsia="Book Antiqua" w:hAnsi="Book Antiqua" w:cs="Book Antiqua"/>
          <w:i/>
          <w:iCs/>
          <w:color w:val="000000"/>
        </w:rPr>
        <w:t>Lancet Diabetes Endocrinol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9</w:t>
      </w:r>
      <w:r w:rsidRPr="001C61A1">
        <w:rPr>
          <w:rFonts w:ascii="Book Antiqua" w:eastAsia="Book Antiqua" w:hAnsi="Book Antiqua" w:cs="Book Antiqua"/>
          <w:color w:val="000000"/>
        </w:rPr>
        <w:t>: 786-798 [PMID: 34619105 DOI: 10.1016/S2213-8587(21)00244-8]</w:t>
      </w:r>
    </w:p>
    <w:p w14:paraId="50369FC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 xml:space="preserve">89 </w:t>
      </w:r>
      <w:r w:rsidRPr="001C61A1">
        <w:rPr>
          <w:rFonts w:ascii="Book Antiqua" w:eastAsia="Book Antiqua" w:hAnsi="Book Antiqua" w:cs="Book Antiqua"/>
          <w:b/>
          <w:bCs/>
          <w:color w:val="000000"/>
        </w:rPr>
        <w:t>Stefan N</w:t>
      </w:r>
      <w:r w:rsidRPr="001C61A1">
        <w:rPr>
          <w:rFonts w:ascii="Book Antiqua" w:eastAsia="Book Antiqua" w:hAnsi="Book Antiqua" w:cs="Book Antiqua"/>
          <w:color w:val="000000"/>
        </w:rPr>
        <w:t xml:space="preserve">, Birkenfeld AL, Schulze MB. Global pandemics interconnected - obesity, impaired metabolic health and COVID-19. </w:t>
      </w:r>
      <w:r w:rsidRPr="001C61A1">
        <w:rPr>
          <w:rFonts w:ascii="Book Antiqua" w:eastAsia="Book Antiqua" w:hAnsi="Book Antiqua" w:cs="Book Antiqua"/>
          <w:i/>
          <w:iCs/>
          <w:color w:val="000000"/>
        </w:rPr>
        <w:t>Nat Rev Endocrinol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17</w:t>
      </w:r>
      <w:r w:rsidRPr="001C61A1">
        <w:rPr>
          <w:rFonts w:ascii="Book Antiqua" w:eastAsia="Book Antiqua" w:hAnsi="Book Antiqua" w:cs="Book Antiqua"/>
          <w:color w:val="000000"/>
        </w:rPr>
        <w:t>: 135-149 [PMID: 33479538 DOI: 10.1038/s41574-020-00462-1]</w:t>
      </w:r>
    </w:p>
    <w:p w14:paraId="5A9B9DB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90 </w:t>
      </w:r>
      <w:r w:rsidRPr="001C61A1">
        <w:rPr>
          <w:rFonts w:ascii="Book Antiqua" w:eastAsia="Book Antiqua" w:hAnsi="Book Antiqua" w:cs="Book Antiqua"/>
          <w:b/>
          <w:bCs/>
          <w:color w:val="000000"/>
        </w:rPr>
        <w:t>Asselah T</w:t>
      </w:r>
      <w:r w:rsidRPr="001C61A1">
        <w:rPr>
          <w:rFonts w:ascii="Book Antiqua" w:eastAsia="Book Antiqua" w:hAnsi="Book Antiqua" w:cs="Book Antiqua"/>
          <w:color w:val="000000"/>
        </w:rPr>
        <w:t xml:space="preserve">, Durantel D, Pasmant E, Lau G, Schinazi RF. COVID-19: Discovery, diagnostics and drug development.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74</w:t>
      </w:r>
      <w:r w:rsidRPr="001C61A1">
        <w:rPr>
          <w:rFonts w:ascii="Book Antiqua" w:eastAsia="Book Antiqua" w:hAnsi="Book Antiqua" w:cs="Book Antiqua"/>
          <w:color w:val="000000"/>
        </w:rPr>
        <w:t>: 168-184 [PMID: 33038433 DOI: 10.1016/j.jhep.2020.09.031]</w:t>
      </w:r>
    </w:p>
    <w:p w14:paraId="1EFE067E"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91 </w:t>
      </w:r>
      <w:r w:rsidRPr="001C61A1">
        <w:rPr>
          <w:rFonts w:ascii="Book Antiqua" w:eastAsia="Book Antiqua" w:hAnsi="Book Antiqua" w:cs="Book Antiqua"/>
          <w:b/>
          <w:bCs/>
          <w:color w:val="000000"/>
        </w:rPr>
        <w:t>Sansoè G</w:t>
      </w:r>
      <w:r w:rsidRPr="001C61A1">
        <w:rPr>
          <w:rFonts w:ascii="Book Antiqua" w:eastAsia="Book Antiqua" w:hAnsi="Book Antiqua" w:cs="Book Antiqua"/>
          <w:color w:val="000000"/>
        </w:rPr>
        <w:t xml:space="preserve">, Aragno M, Wong F. COVID-19 and Liver Cirrhosis: Focus on the Nonclassical Renin-Angiotensin System and Implications for Therapy. </w:t>
      </w:r>
      <w:r w:rsidRPr="001C61A1">
        <w:rPr>
          <w:rFonts w:ascii="Book Antiqua" w:eastAsia="Book Antiqua" w:hAnsi="Book Antiqua" w:cs="Book Antiqua"/>
          <w:i/>
          <w:iCs/>
          <w:color w:val="000000"/>
        </w:rPr>
        <w:t>Hepatology</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74</w:t>
      </w:r>
      <w:r w:rsidRPr="001C61A1">
        <w:rPr>
          <w:rFonts w:ascii="Book Antiqua" w:eastAsia="Book Antiqua" w:hAnsi="Book Antiqua" w:cs="Book Antiqua"/>
          <w:color w:val="000000"/>
        </w:rPr>
        <w:t>: 1074-1080 [PMID: 33524188 DOI: 10.1002/hep.31728]</w:t>
      </w:r>
    </w:p>
    <w:p w14:paraId="124BCC2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92 </w:t>
      </w:r>
      <w:r w:rsidRPr="001C61A1">
        <w:rPr>
          <w:rFonts w:ascii="Book Antiqua" w:eastAsia="Book Antiqua" w:hAnsi="Book Antiqua" w:cs="Book Antiqua"/>
          <w:b/>
          <w:bCs/>
          <w:color w:val="000000"/>
        </w:rPr>
        <w:t>Dariya B</w:t>
      </w:r>
      <w:r w:rsidRPr="001C61A1">
        <w:rPr>
          <w:rFonts w:ascii="Book Antiqua" w:eastAsia="Book Antiqua" w:hAnsi="Book Antiqua" w:cs="Book Antiqua"/>
          <w:color w:val="000000"/>
        </w:rPr>
        <w:t xml:space="preserve">, Nagaraju GP. Understanding novel COVID-19: Its impact on organ failure and risk assessment for diabetic and cancer patients. </w:t>
      </w:r>
      <w:r w:rsidRPr="001C61A1">
        <w:rPr>
          <w:rFonts w:ascii="Book Antiqua" w:eastAsia="Book Antiqua" w:hAnsi="Book Antiqua" w:cs="Book Antiqua"/>
          <w:i/>
          <w:iCs/>
          <w:color w:val="000000"/>
        </w:rPr>
        <w:t>Cytokine Growth Factor Rev</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53</w:t>
      </w:r>
      <w:r w:rsidRPr="001C61A1">
        <w:rPr>
          <w:rFonts w:ascii="Book Antiqua" w:eastAsia="Book Antiqua" w:hAnsi="Book Antiqua" w:cs="Book Antiqua"/>
          <w:color w:val="000000"/>
        </w:rPr>
        <w:t>: 43-52 [PMID: 32409230 DOI: 10.1016/j.cytogfr.2020.05.001]</w:t>
      </w:r>
    </w:p>
    <w:p w14:paraId="00E45089"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93 </w:t>
      </w:r>
      <w:r w:rsidRPr="001C61A1">
        <w:rPr>
          <w:rFonts w:ascii="Book Antiqua" w:eastAsia="Book Antiqua" w:hAnsi="Book Antiqua" w:cs="Book Antiqua"/>
          <w:b/>
          <w:bCs/>
          <w:color w:val="000000"/>
        </w:rPr>
        <w:t>Deng YP</w:t>
      </w:r>
      <w:r w:rsidRPr="001C61A1">
        <w:rPr>
          <w:rFonts w:ascii="Book Antiqua" w:eastAsia="Book Antiqua" w:hAnsi="Book Antiqua" w:cs="Book Antiqua"/>
          <w:color w:val="000000"/>
        </w:rPr>
        <w:t xml:space="preserve">, Xie W, Liu T, Wang SY, Wang MR, Zan YX, Meng XB, Deng YQ, Xiong HR, Fu XD. Association of Hypertension with Severity and Mortality in Hospitalized Patients with COVID-19 in Wuhan, China: A Single-centered, Retrospective Study. </w:t>
      </w:r>
      <w:r w:rsidRPr="001C61A1">
        <w:rPr>
          <w:rFonts w:ascii="Book Antiqua" w:eastAsia="Book Antiqua" w:hAnsi="Book Antiqua" w:cs="Book Antiqua"/>
          <w:i/>
          <w:iCs/>
          <w:color w:val="000000"/>
        </w:rPr>
        <w:t>Arq Bras Cardiol</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117</w:t>
      </w:r>
      <w:r w:rsidRPr="001C61A1">
        <w:rPr>
          <w:rFonts w:ascii="Book Antiqua" w:eastAsia="Book Antiqua" w:hAnsi="Book Antiqua" w:cs="Book Antiqua"/>
          <w:color w:val="000000"/>
        </w:rPr>
        <w:t>: 911-921 [PMID: 34287571 DOI: 10.36660/abc.20200733]</w:t>
      </w:r>
    </w:p>
    <w:p w14:paraId="51F2531D"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94 </w:t>
      </w:r>
      <w:r w:rsidRPr="001C61A1">
        <w:rPr>
          <w:rFonts w:ascii="Book Antiqua" w:eastAsia="Book Antiqua" w:hAnsi="Book Antiqua" w:cs="Book Antiqua"/>
          <w:b/>
          <w:bCs/>
          <w:color w:val="000000"/>
        </w:rPr>
        <w:t>Sabri S</w:t>
      </w:r>
      <w:r w:rsidRPr="001C61A1">
        <w:rPr>
          <w:rFonts w:ascii="Book Antiqua" w:eastAsia="Book Antiqua" w:hAnsi="Book Antiqua" w:cs="Book Antiqua"/>
          <w:color w:val="000000"/>
        </w:rPr>
        <w:t xml:space="preserve">, Bourron O, Phan F, Nguyen LS. Interactions between diabetes and COVID-19: A narrative review. </w:t>
      </w:r>
      <w:r w:rsidRPr="001C61A1">
        <w:rPr>
          <w:rFonts w:ascii="Book Antiqua" w:eastAsia="Book Antiqua" w:hAnsi="Book Antiqua" w:cs="Book Antiqua"/>
          <w:i/>
          <w:iCs/>
          <w:color w:val="000000"/>
        </w:rPr>
        <w:t>World J Diabetes</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12</w:t>
      </w:r>
      <w:r w:rsidRPr="001C61A1">
        <w:rPr>
          <w:rFonts w:ascii="Book Antiqua" w:eastAsia="Book Antiqua" w:hAnsi="Book Antiqua" w:cs="Book Antiqua"/>
          <w:color w:val="000000"/>
        </w:rPr>
        <w:t>: 1674-1692 [PMID: 34754370 DOI: 10.4239/wjd.v12.i10.1674]</w:t>
      </w:r>
    </w:p>
    <w:p w14:paraId="586B53F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95 </w:t>
      </w:r>
      <w:r w:rsidRPr="001C61A1">
        <w:rPr>
          <w:rFonts w:ascii="Book Antiqua" w:eastAsia="Book Antiqua" w:hAnsi="Book Antiqua" w:cs="Book Antiqua"/>
          <w:b/>
          <w:bCs/>
          <w:color w:val="000000"/>
        </w:rPr>
        <w:t>Emami A</w:t>
      </w:r>
      <w:r w:rsidRPr="001C61A1">
        <w:rPr>
          <w:rFonts w:ascii="Book Antiqua" w:eastAsia="Book Antiqua" w:hAnsi="Book Antiqua" w:cs="Book Antiqua"/>
          <w:color w:val="000000"/>
        </w:rPr>
        <w:t xml:space="preserve">, Akbari A, Basirat A, Zare H, Javanmardi F, Falahati F, Rezaei A. The role of comorbidities on mortality of COVID-19 in patients with diabetes. </w:t>
      </w:r>
      <w:r w:rsidRPr="001C61A1">
        <w:rPr>
          <w:rFonts w:ascii="Book Antiqua" w:eastAsia="Book Antiqua" w:hAnsi="Book Antiqua" w:cs="Book Antiqua"/>
          <w:i/>
          <w:iCs/>
          <w:color w:val="000000"/>
        </w:rPr>
        <w:t>Obes Med</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25</w:t>
      </w:r>
      <w:r w:rsidRPr="001C61A1">
        <w:rPr>
          <w:rFonts w:ascii="Book Antiqua" w:eastAsia="Book Antiqua" w:hAnsi="Book Antiqua" w:cs="Book Antiqua"/>
          <w:color w:val="000000"/>
        </w:rPr>
        <w:t>: 100352 [PMID: 34027220 DOI: 10.1016/j.obmed.2021.100352]</w:t>
      </w:r>
    </w:p>
    <w:p w14:paraId="28819E5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96 </w:t>
      </w:r>
      <w:r w:rsidRPr="001C61A1">
        <w:rPr>
          <w:rFonts w:ascii="Book Antiqua" w:eastAsia="Book Antiqua" w:hAnsi="Book Antiqua" w:cs="Book Antiqua"/>
          <w:b/>
          <w:bCs/>
          <w:color w:val="000000"/>
        </w:rPr>
        <w:t>Ekpanyapong S</w:t>
      </w:r>
      <w:r w:rsidRPr="001C61A1">
        <w:rPr>
          <w:rFonts w:ascii="Book Antiqua" w:eastAsia="Book Antiqua" w:hAnsi="Book Antiqua" w:cs="Book Antiqua"/>
          <w:color w:val="000000"/>
        </w:rPr>
        <w:t xml:space="preserve">, Bunchorntavakul C, Reddy KR. COVID-19 and the Liver: Lessons Learnt from the EAST and the WEST, A Year Later. </w:t>
      </w:r>
      <w:r w:rsidRPr="001C61A1">
        <w:rPr>
          <w:rFonts w:ascii="Book Antiqua" w:eastAsia="Book Antiqua" w:hAnsi="Book Antiqua" w:cs="Book Antiqua"/>
          <w:i/>
          <w:iCs/>
          <w:color w:val="000000"/>
        </w:rPr>
        <w:t>J Viral Hepat</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29</w:t>
      </w:r>
      <w:r w:rsidRPr="001C61A1">
        <w:rPr>
          <w:rFonts w:ascii="Book Antiqua" w:eastAsia="Book Antiqua" w:hAnsi="Book Antiqua" w:cs="Book Antiqua"/>
          <w:color w:val="000000"/>
        </w:rPr>
        <w:t>: 4-20 [PMID: 34352133 DOI: 10.1111/jvh.13590]</w:t>
      </w:r>
    </w:p>
    <w:p w14:paraId="0FA39D5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97 </w:t>
      </w:r>
      <w:r w:rsidRPr="001C61A1">
        <w:rPr>
          <w:rFonts w:ascii="Book Antiqua" w:eastAsia="Book Antiqua" w:hAnsi="Book Antiqua" w:cs="Book Antiqua"/>
          <w:b/>
          <w:bCs/>
          <w:color w:val="000000"/>
        </w:rPr>
        <w:t>Treskova-Schwarzbach M</w:t>
      </w:r>
      <w:r w:rsidRPr="001C61A1">
        <w:rPr>
          <w:rFonts w:ascii="Book Antiqua" w:eastAsia="Book Antiqua" w:hAnsi="Book Antiqua" w:cs="Book Antiqua"/>
          <w:color w:val="000000"/>
        </w:rPr>
        <w:t xml:space="preserve">, Haas L, Reda S, Pilic A, Borodova A, Karimi K, Koch J, Nygren T, Scholz S, Schönfeld V, Vygen-Bonnet S, Wichmann O, Harder T. Pre-existing health conditions and severe COVID-19 outcomes: an umbrella review approach and </w:t>
      </w:r>
      <w:r w:rsidRPr="001C61A1">
        <w:rPr>
          <w:rFonts w:ascii="Book Antiqua" w:eastAsia="Book Antiqua" w:hAnsi="Book Antiqua" w:cs="Book Antiqua"/>
          <w:color w:val="000000"/>
        </w:rPr>
        <w:lastRenderedPageBreak/>
        <w:t xml:space="preserve">meta-analysis of global evidence. </w:t>
      </w:r>
      <w:r w:rsidRPr="001C61A1">
        <w:rPr>
          <w:rFonts w:ascii="Book Antiqua" w:eastAsia="Book Antiqua" w:hAnsi="Book Antiqua" w:cs="Book Antiqua"/>
          <w:i/>
          <w:iCs/>
          <w:color w:val="000000"/>
        </w:rPr>
        <w:t>BMC Med</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19</w:t>
      </w:r>
      <w:r w:rsidRPr="001C61A1">
        <w:rPr>
          <w:rFonts w:ascii="Book Antiqua" w:eastAsia="Book Antiqua" w:hAnsi="Book Antiqua" w:cs="Book Antiqua"/>
          <w:color w:val="000000"/>
        </w:rPr>
        <w:t>: 212 [PMID: 34446016 DOI: 10.1186/s12916-021-02058-6]</w:t>
      </w:r>
    </w:p>
    <w:p w14:paraId="12D7B52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98 </w:t>
      </w:r>
      <w:r w:rsidRPr="001C61A1">
        <w:rPr>
          <w:rFonts w:ascii="Book Antiqua" w:eastAsia="Book Antiqua" w:hAnsi="Book Antiqua" w:cs="Book Antiqua"/>
          <w:b/>
          <w:bCs/>
          <w:color w:val="000000"/>
        </w:rPr>
        <w:t>Zhan K</w:t>
      </w:r>
      <w:r w:rsidRPr="001C61A1">
        <w:rPr>
          <w:rFonts w:ascii="Book Antiqua" w:eastAsia="Book Antiqua" w:hAnsi="Book Antiqua" w:cs="Book Antiqua"/>
          <w:color w:val="000000"/>
        </w:rPr>
        <w:t xml:space="preserve">, Liao S, Li J, Bai Y, Lv L, Yu K, Qiu L, Li C, Yuan G, Zhang A, Mei Z. Risk factors in patients with COVID-19 developing severe liver injury during hospitalisation. </w:t>
      </w:r>
      <w:r w:rsidRPr="001C61A1">
        <w:rPr>
          <w:rFonts w:ascii="Book Antiqua" w:eastAsia="Book Antiqua" w:hAnsi="Book Antiqua" w:cs="Book Antiqua"/>
          <w:i/>
          <w:iCs/>
          <w:color w:val="000000"/>
        </w:rPr>
        <w:t>Gut</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70</w:t>
      </w:r>
      <w:r w:rsidRPr="001C61A1">
        <w:rPr>
          <w:rFonts w:ascii="Book Antiqua" w:eastAsia="Book Antiqua" w:hAnsi="Book Antiqua" w:cs="Book Antiqua"/>
          <w:color w:val="000000"/>
        </w:rPr>
        <w:t>: 628-629 [PMID: 32571973 DOI: 10.1136/gutjnl-2020-321913]</w:t>
      </w:r>
    </w:p>
    <w:p w14:paraId="784D4286"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99 </w:t>
      </w:r>
      <w:r w:rsidRPr="001C61A1">
        <w:rPr>
          <w:rFonts w:ascii="Book Antiqua" w:eastAsia="Book Antiqua" w:hAnsi="Book Antiqua" w:cs="Book Antiqua"/>
          <w:b/>
          <w:bCs/>
          <w:color w:val="000000"/>
        </w:rPr>
        <w:t>Kurbel S</w:t>
      </w:r>
      <w:r w:rsidRPr="001C61A1">
        <w:rPr>
          <w:rFonts w:ascii="Book Antiqua" w:eastAsia="Book Antiqua" w:hAnsi="Book Antiqua" w:cs="Book Antiqua"/>
          <w:color w:val="000000"/>
        </w:rPr>
        <w:t xml:space="preserve">. The renin-angiotensin system in COVID-19: Why ACE2 targeting by coronaviruses produces higher mortality in elderly hypertensive patients? </w:t>
      </w:r>
      <w:r w:rsidRPr="001C61A1">
        <w:rPr>
          <w:rFonts w:ascii="Book Antiqua" w:eastAsia="Book Antiqua" w:hAnsi="Book Antiqua" w:cs="Book Antiqua"/>
          <w:i/>
          <w:iCs/>
          <w:color w:val="000000"/>
        </w:rPr>
        <w:t>Bioessays</w:t>
      </w:r>
      <w:r w:rsidRPr="001C61A1">
        <w:rPr>
          <w:rFonts w:ascii="Book Antiqua" w:eastAsia="Book Antiqua" w:hAnsi="Book Antiqua" w:cs="Book Antiqua"/>
          <w:color w:val="000000"/>
        </w:rPr>
        <w:t xml:space="preserve"> 2021; </w:t>
      </w:r>
      <w:r w:rsidRPr="001C61A1">
        <w:rPr>
          <w:rFonts w:ascii="Book Antiqua" w:eastAsia="Book Antiqua" w:hAnsi="Book Antiqua" w:cs="Book Antiqua"/>
          <w:b/>
          <w:bCs/>
          <w:color w:val="000000"/>
        </w:rPr>
        <w:t>43</w:t>
      </w:r>
      <w:r w:rsidRPr="001C61A1">
        <w:rPr>
          <w:rFonts w:ascii="Book Antiqua" w:eastAsia="Book Antiqua" w:hAnsi="Book Antiqua" w:cs="Book Antiqua"/>
          <w:color w:val="000000"/>
        </w:rPr>
        <w:t>: e2000112 [PMID: 33336824 DOI: 10.1002/bies.202000112]</w:t>
      </w:r>
    </w:p>
    <w:p w14:paraId="46FE191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100 </w:t>
      </w:r>
      <w:r w:rsidRPr="001C61A1">
        <w:rPr>
          <w:rFonts w:ascii="Book Antiqua" w:eastAsia="Book Antiqua" w:hAnsi="Book Antiqua" w:cs="Book Antiqua"/>
          <w:b/>
          <w:bCs/>
          <w:color w:val="000000"/>
        </w:rPr>
        <w:t>Fang L</w:t>
      </w:r>
      <w:r w:rsidRPr="001C61A1">
        <w:rPr>
          <w:rFonts w:ascii="Book Antiqua" w:eastAsia="Book Antiqua" w:hAnsi="Book Antiqua" w:cs="Book Antiqua"/>
          <w:color w:val="000000"/>
        </w:rPr>
        <w:t xml:space="preserve">, Karakiulakis G, Roth M. Are patients with hypertension and diabetes mellitus at increased risk for COVID-19 infection? </w:t>
      </w:r>
      <w:r w:rsidRPr="001C61A1">
        <w:rPr>
          <w:rFonts w:ascii="Book Antiqua" w:eastAsia="Book Antiqua" w:hAnsi="Book Antiqua" w:cs="Book Antiqua"/>
          <w:i/>
          <w:iCs/>
          <w:color w:val="000000"/>
        </w:rPr>
        <w:t>Lancet Respir Med</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8</w:t>
      </w:r>
      <w:r w:rsidRPr="001C61A1">
        <w:rPr>
          <w:rFonts w:ascii="Book Antiqua" w:eastAsia="Book Antiqua" w:hAnsi="Book Antiqua" w:cs="Book Antiqua"/>
          <w:color w:val="000000"/>
        </w:rPr>
        <w:t>: e21 [PMID: 32171062 DOI: 10.1016/S2213-2600(20)30116-8]</w:t>
      </w:r>
    </w:p>
    <w:p w14:paraId="1D14B44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101 </w:t>
      </w:r>
      <w:r w:rsidRPr="001C61A1">
        <w:rPr>
          <w:rFonts w:ascii="Book Antiqua" w:eastAsia="Book Antiqua" w:hAnsi="Book Antiqua" w:cs="Book Antiqua"/>
          <w:b/>
          <w:bCs/>
          <w:color w:val="000000"/>
        </w:rPr>
        <w:t>Sun G</w:t>
      </w:r>
      <w:r w:rsidRPr="001C61A1">
        <w:rPr>
          <w:rFonts w:ascii="Book Antiqua" w:eastAsia="Book Antiqua" w:hAnsi="Book Antiqua" w:cs="Book Antiqua"/>
          <w:color w:val="000000"/>
        </w:rPr>
        <w:t xml:space="preserve">, Zhang Y, Liao Q, Cheng Y. Blood Test Results of Pregnant COVID-19 Patients: An Updated Case-Control Study. </w:t>
      </w:r>
      <w:r w:rsidRPr="001C61A1">
        <w:rPr>
          <w:rFonts w:ascii="Book Antiqua" w:eastAsia="Book Antiqua" w:hAnsi="Book Antiqua" w:cs="Book Antiqua"/>
          <w:i/>
          <w:iCs/>
          <w:color w:val="000000"/>
        </w:rPr>
        <w:t>Front Cell Infect Microbiol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10</w:t>
      </w:r>
      <w:r w:rsidRPr="001C61A1">
        <w:rPr>
          <w:rFonts w:ascii="Book Antiqua" w:eastAsia="Book Antiqua" w:hAnsi="Book Antiqua" w:cs="Book Antiqua"/>
          <w:color w:val="000000"/>
        </w:rPr>
        <w:t>: 560899 [PMID: 33117727 DOI: 10.3389/fcimb.2020.560899]</w:t>
      </w:r>
    </w:p>
    <w:p w14:paraId="3E54375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102 </w:t>
      </w:r>
      <w:r w:rsidRPr="001C61A1">
        <w:rPr>
          <w:rFonts w:ascii="Book Antiqua" w:eastAsia="Book Antiqua" w:hAnsi="Book Antiqua" w:cs="Book Antiqua"/>
          <w:b/>
          <w:bCs/>
          <w:color w:val="000000"/>
        </w:rPr>
        <w:t>Deng G</w:t>
      </w:r>
      <w:r w:rsidRPr="001C61A1">
        <w:rPr>
          <w:rFonts w:ascii="Book Antiqua" w:eastAsia="Book Antiqua" w:hAnsi="Book Antiqua" w:cs="Book Antiqua"/>
          <w:color w:val="000000"/>
        </w:rPr>
        <w:t xml:space="preserve">, Zeng F, Zhang L, Chen H, Chen X, Yin M. Characteristics of pregnant patients with COVID-19 and liver injury. </w:t>
      </w:r>
      <w:r w:rsidRPr="001C61A1">
        <w:rPr>
          <w:rFonts w:ascii="Book Antiqua" w:eastAsia="Book Antiqua" w:hAnsi="Book Antiqua" w:cs="Book Antiqua"/>
          <w:i/>
          <w:iCs/>
          <w:color w:val="000000"/>
        </w:rPr>
        <w:t>J Hepatol</w:t>
      </w:r>
      <w:r w:rsidRPr="001C61A1">
        <w:rPr>
          <w:rFonts w:ascii="Book Antiqua" w:eastAsia="Book Antiqua" w:hAnsi="Book Antiqua" w:cs="Book Antiqua"/>
          <w:color w:val="000000"/>
        </w:rPr>
        <w:t xml:space="preserve"> 2020; </w:t>
      </w:r>
      <w:r w:rsidRPr="001C61A1">
        <w:rPr>
          <w:rFonts w:ascii="Book Antiqua" w:eastAsia="Book Antiqua" w:hAnsi="Book Antiqua" w:cs="Book Antiqua"/>
          <w:b/>
          <w:bCs/>
          <w:color w:val="000000"/>
        </w:rPr>
        <w:t>73</w:t>
      </w:r>
      <w:r w:rsidRPr="001C61A1">
        <w:rPr>
          <w:rFonts w:ascii="Book Antiqua" w:eastAsia="Book Antiqua" w:hAnsi="Book Antiqua" w:cs="Book Antiqua"/>
          <w:color w:val="000000"/>
        </w:rPr>
        <w:t>: 989-991 [PMID: 32569609 DOI: 10.1016/j.jhep.2020.06.022]</w:t>
      </w:r>
    </w:p>
    <w:p w14:paraId="3FDB1B7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 xml:space="preserve">103 </w:t>
      </w:r>
      <w:r w:rsidRPr="001C61A1">
        <w:rPr>
          <w:rFonts w:ascii="Book Antiqua" w:eastAsia="Book Antiqua" w:hAnsi="Book Antiqua" w:cs="Book Antiqua"/>
          <w:b/>
          <w:bCs/>
          <w:color w:val="000000"/>
        </w:rPr>
        <w:t>Pineles BL</w:t>
      </w:r>
      <w:r w:rsidRPr="001C61A1">
        <w:rPr>
          <w:rFonts w:ascii="Book Antiqua" w:eastAsia="Book Antiqua" w:hAnsi="Book Antiqua" w:cs="Book Antiqua"/>
          <w:color w:val="000000"/>
        </w:rPr>
        <w:t xml:space="preserve">, Goodman KE, Pineles L, O'Hara LM, Nadimpalli G, Magder LS, Baghdadi JD, Parchem JG, Harris AD. Pregnancy and the Risk of In-Hospital Coronavirus Disease 2019 (COVID-19) Mortality. </w:t>
      </w:r>
      <w:r w:rsidRPr="001C61A1">
        <w:rPr>
          <w:rFonts w:ascii="Book Antiqua" w:eastAsia="Book Antiqua" w:hAnsi="Book Antiqua" w:cs="Book Antiqua"/>
          <w:i/>
          <w:iCs/>
          <w:color w:val="000000"/>
        </w:rPr>
        <w:t>Obstet Gynecol</w:t>
      </w:r>
      <w:r w:rsidRPr="001C61A1">
        <w:rPr>
          <w:rFonts w:ascii="Book Antiqua" w:eastAsia="Book Antiqua" w:hAnsi="Book Antiqua" w:cs="Book Antiqua"/>
          <w:color w:val="000000"/>
        </w:rPr>
        <w:t xml:space="preserve"> 2022; </w:t>
      </w:r>
      <w:r w:rsidRPr="001C61A1">
        <w:rPr>
          <w:rFonts w:ascii="Book Antiqua" w:eastAsia="Book Antiqua" w:hAnsi="Book Antiqua" w:cs="Book Antiqua"/>
          <w:b/>
          <w:bCs/>
          <w:color w:val="000000"/>
        </w:rPr>
        <w:t>139</w:t>
      </w:r>
      <w:r w:rsidRPr="001C61A1">
        <w:rPr>
          <w:rFonts w:ascii="Book Antiqua" w:eastAsia="Book Antiqua" w:hAnsi="Book Antiqua" w:cs="Book Antiqua"/>
          <w:color w:val="000000"/>
        </w:rPr>
        <w:t>: 846-854 [PMID: 35576343 DOI: 10.1097/AOG.0000000000004744]</w:t>
      </w:r>
    </w:p>
    <w:p w14:paraId="53BA1D97" w14:textId="124E9F6F" w:rsidR="005419E1" w:rsidRPr="001C61A1" w:rsidRDefault="00093B77" w:rsidP="000D1A82">
      <w:pPr>
        <w:spacing w:line="360" w:lineRule="auto"/>
        <w:jc w:val="both"/>
        <w:rPr>
          <w:rFonts w:ascii="Book Antiqua" w:hAnsi="Book Antiqua" w:cs="Book Antiqua"/>
          <w:color w:val="000000"/>
          <w:lang w:eastAsia="zh-CN"/>
        </w:rPr>
      </w:pPr>
      <w:r w:rsidRPr="001C61A1">
        <w:rPr>
          <w:rFonts w:ascii="Book Antiqua" w:eastAsia="Book Antiqua" w:hAnsi="Book Antiqua" w:cs="Book Antiqua"/>
          <w:color w:val="000000"/>
        </w:rPr>
        <w:t xml:space="preserve">104 </w:t>
      </w:r>
      <w:bookmarkStart w:id="11" w:name="_Hlk121219499"/>
      <w:r w:rsidR="001C30F2" w:rsidRPr="001C61A1">
        <w:rPr>
          <w:rFonts w:ascii="Book Antiqua" w:eastAsia="Book Antiqua" w:hAnsi="Book Antiqua" w:cs="Book Antiqua"/>
          <w:b/>
          <w:bCs/>
          <w:color w:val="000000"/>
        </w:rPr>
        <w:t>Tunç Ş</w:t>
      </w:r>
      <w:r w:rsidR="001C30F2" w:rsidRPr="001C61A1">
        <w:rPr>
          <w:rFonts w:ascii="Book Antiqua" w:eastAsia="Book Antiqua" w:hAnsi="Book Antiqua" w:cs="Book Antiqua"/>
          <w:color w:val="000000"/>
        </w:rPr>
        <w:t xml:space="preserve">, Göklü MR, Oğlak SC. COVID-19 in pregnant women: An evaluation of clinical symptoms and laboratory parameters based on the 3 trimesters. </w:t>
      </w:r>
      <w:r w:rsidR="001C30F2" w:rsidRPr="001C61A1">
        <w:rPr>
          <w:rFonts w:ascii="Book Antiqua" w:eastAsia="Book Antiqua" w:hAnsi="Book Antiqua" w:cs="Book Antiqua"/>
          <w:i/>
          <w:iCs/>
          <w:color w:val="000000"/>
        </w:rPr>
        <w:t>Saudi Med J</w:t>
      </w:r>
      <w:r w:rsidR="001C30F2" w:rsidRPr="001C61A1">
        <w:rPr>
          <w:rFonts w:ascii="Book Antiqua" w:eastAsia="Book Antiqua" w:hAnsi="Book Antiqua" w:cs="Book Antiqua"/>
          <w:color w:val="000000"/>
        </w:rPr>
        <w:t xml:space="preserve"> 2022; </w:t>
      </w:r>
      <w:r w:rsidR="001C30F2" w:rsidRPr="001C61A1">
        <w:rPr>
          <w:rFonts w:ascii="Book Antiqua" w:eastAsia="Book Antiqua" w:hAnsi="Book Antiqua" w:cs="Book Antiqua"/>
          <w:b/>
          <w:bCs/>
          <w:color w:val="000000"/>
        </w:rPr>
        <w:t>43</w:t>
      </w:r>
      <w:r w:rsidR="001C30F2" w:rsidRPr="001C61A1">
        <w:rPr>
          <w:rFonts w:ascii="Book Antiqua" w:eastAsia="Book Antiqua" w:hAnsi="Book Antiqua" w:cs="Book Antiqua"/>
          <w:color w:val="000000"/>
        </w:rPr>
        <w:t>: 378-385 [PMID: 35414616 DOI: 10.15537/smj.2022.43.4.20210904]</w:t>
      </w:r>
      <w:bookmarkEnd w:id="11"/>
    </w:p>
    <w:p w14:paraId="260E16E1" w14:textId="77777777" w:rsidR="00A77B3E" w:rsidRPr="001C61A1" w:rsidRDefault="005419E1" w:rsidP="000D1A82">
      <w:pPr>
        <w:spacing w:line="360" w:lineRule="auto"/>
        <w:jc w:val="both"/>
        <w:rPr>
          <w:rFonts w:ascii="Book Antiqua" w:hAnsi="Book Antiqua"/>
        </w:rPr>
      </w:pPr>
      <w:r w:rsidRPr="001C61A1">
        <w:rPr>
          <w:rFonts w:ascii="Book Antiqua" w:hAnsi="Book Antiqua" w:cs="Book Antiqua"/>
          <w:b/>
          <w:bCs/>
          <w:color w:val="000000"/>
          <w:lang w:eastAsia="zh-CN"/>
        </w:rPr>
        <w:t xml:space="preserve">105 </w:t>
      </w:r>
      <w:r w:rsidR="00093B77" w:rsidRPr="001C61A1">
        <w:rPr>
          <w:rFonts w:ascii="Book Antiqua" w:eastAsia="Book Antiqua" w:hAnsi="Book Antiqua" w:cs="Book Antiqua"/>
          <w:b/>
          <w:bCs/>
          <w:color w:val="000000"/>
        </w:rPr>
        <w:t>Kim HY</w:t>
      </w:r>
      <w:r w:rsidR="00093B77" w:rsidRPr="001C61A1">
        <w:rPr>
          <w:rFonts w:ascii="Book Antiqua" w:eastAsia="Book Antiqua" w:hAnsi="Book Antiqua" w:cs="Book Antiqua"/>
          <w:color w:val="000000"/>
        </w:rPr>
        <w:t xml:space="preserve">, Choi JY, Park CH, Jang JW, Kim CW, Bae SH, Yoon SK, Yang JM, Lee CD, Lee YS. Outcome after discontinuing antiviral agents during pregnancy in women infected with hepatitis B virus. </w:t>
      </w:r>
      <w:r w:rsidR="00093B77" w:rsidRPr="001C61A1">
        <w:rPr>
          <w:rFonts w:ascii="Book Antiqua" w:eastAsia="Book Antiqua" w:hAnsi="Book Antiqua" w:cs="Book Antiqua"/>
          <w:i/>
          <w:iCs/>
          <w:color w:val="000000"/>
        </w:rPr>
        <w:t>J Clin Virol</w:t>
      </w:r>
      <w:r w:rsidR="00093B77" w:rsidRPr="001C61A1">
        <w:rPr>
          <w:rFonts w:ascii="Book Antiqua" w:eastAsia="Book Antiqua" w:hAnsi="Book Antiqua" w:cs="Book Antiqua"/>
          <w:color w:val="000000"/>
        </w:rPr>
        <w:t xml:space="preserve"> 2013; </w:t>
      </w:r>
      <w:r w:rsidR="00093B77" w:rsidRPr="001C61A1">
        <w:rPr>
          <w:rFonts w:ascii="Book Antiqua" w:eastAsia="Book Antiqua" w:hAnsi="Book Antiqua" w:cs="Book Antiqua"/>
          <w:b/>
          <w:bCs/>
          <w:color w:val="000000"/>
        </w:rPr>
        <w:t>56</w:t>
      </w:r>
      <w:r w:rsidR="00093B77" w:rsidRPr="001C61A1">
        <w:rPr>
          <w:rFonts w:ascii="Book Antiqua" w:eastAsia="Book Antiqua" w:hAnsi="Book Antiqua" w:cs="Book Antiqua"/>
          <w:color w:val="000000"/>
        </w:rPr>
        <w:t>: 299-305 [PMID: 23273664 DOI: 10.1016/j.jcv.2012.11.019]</w:t>
      </w:r>
    </w:p>
    <w:p w14:paraId="0590743B" w14:textId="41249294"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10</w:t>
      </w:r>
      <w:r w:rsidRPr="001C61A1">
        <w:rPr>
          <w:rFonts w:ascii="Book Antiqua" w:hAnsi="Book Antiqua" w:cs="Book Antiqua"/>
          <w:color w:val="000000"/>
          <w:lang w:eastAsia="zh-CN"/>
        </w:rPr>
        <w:t>6</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Dashraath P</w:t>
      </w:r>
      <w:r w:rsidR="00093B77" w:rsidRPr="001C61A1">
        <w:rPr>
          <w:rFonts w:ascii="Book Antiqua" w:eastAsia="Book Antiqua" w:hAnsi="Book Antiqua" w:cs="Book Antiqua"/>
          <w:color w:val="000000"/>
        </w:rPr>
        <w:t xml:space="preserve">, Wong JLJ, Lim MXK, Lim LM, Li S, Biswas A, Choolani M, Mattar C, Su LL. Coronavirus disease 2019 (COVID-19) pandemic and pregnancy. </w:t>
      </w:r>
      <w:r w:rsidR="00093B77" w:rsidRPr="001C61A1">
        <w:rPr>
          <w:rFonts w:ascii="Book Antiqua" w:eastAsia="Book Antiqua" w:hAnsi="Book Antiqua" w:cs="Book Antiqua"/>
          <w:i/>
          <w:iCs/>
          <w:color w:val="000000"/>
        </w:rPr>
        <w:t>Am J Obstet Gynecol</w:t>
      </w:r>
      <w:r w:rsidR="00093B77" w:rsidRPr="001C61A1">
        <w:rPr>
          <w:rFonts w:ascii="Book Antiqua" w:eastAsia="Book Antiqua" w:hAnsi="Book Antiqua" w:cs="Book Antiqua"/>
          <w:color w:val="000000"/>
        </w:rPr>
        <w:t xml:space="preserve"> 2020; </w:t>
      </w:r>
      <w:r w:rsidR="00093B77" w:rsidRPr="001C61A1">
        <w:rPr>
          <w:rFonts w:ascii="Book Antiqua" w:eastAsia="Book Antiqua" w:hAnsi="Book Antiqua" w:cs="Book Antiqua"/>
          <w:b/>
          <w:bCs/>
          <w:color w:val="000000"/>
        </w:rPr>
        <w:t>222</w:t>
      </w:r>
      <w:r w:rsidR="00093B77" w:rsidRPr="001C61A1">
        <w:rPr>
          <w:rFonts w:ascii="Book Antiqua" w:eastAsia="Book Antiqua" w:hAnsi="Book Antiqua" w:cs="Book Antiqua"/>
          <w:color w:val="000000"/>
        </w:rPr>
        <w:t>: 521-531 [PMID: 32217113 DOI: 10.1016/j.ajog.2020.03.021]</w:t>
      </w:r>
    </w:p>
    <w:p w14:paraId="11C7C1A5" w14:textId="02E6DB3A"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10</w:t>
      </w:r>
      <w:r w:rsidRPr="001C61A1">
        <w:rPr>
          <w:rFonts w:ascii="Book Antiqua" w:hAnsi="Book Antiqua" w:cs="Book Antiqua"/>
          <w:color w:val="000000"/>
          <w:lang w:eastAsia="zh-CN"/>
        </w:rPr>
        <w:t>7</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Figueiro-Filho EA</w:t>
      </w:r>
      <w:r w:rsidR="00093B77" w:rsidRPr="001C61A1">
        <w:rPr>
          <w:rFonts w:ascii="Book Antiqua" w:eastAsia="Book Antiqua" w:hAnsi="Book Antiqua" w:cs="Book Antiqua"/>
          <w:color w:val="000000"/>
        </w:rPr>
        <w:t xml:space="preserve">, Yudin M, Farine D. COVID-19 during pregnancy: an overview of maternal characteristics, clinical symptoms, maternal and neonatal outcomes of 10,996 cases described in 15 countries. </w:t>
      </w:r>
      <w:r w:rsidR="00093B77" w:rsidRPr="001C61A1">
        <w:rPr>
          <w:rFonts w:ascii="Book Antiqua" w:eastAsia="Book Antiqua" w:hAnsi="Book Antiqua" w:cs="Book Antiqua"/>
          <w:i/>
          <w:iCs/>
          <w:color w:val="000000"/>
        </w:rPr>
        <w:t>J Perinat Med</w:t>
      </w:r>
      <w:r w:rsidR="00093B77" w:rsidRPr="001C61A1">
        <w:rPr>
          <w:rFonts w:ascii="Book Antiqua" w:eastAsia="Book Antiqua" w:hAnsi="Book Antiqua" w:cs="Book Antiqua"/>
          <w:color w:val="000000"/>
        </w:rPr>
        <w:t xml:space="preserve"> 2020; </w:t>
      </w:r>
      <w:r w:rsidR="00093B77" w:rsidRPr="001C61A1">
        <w:rPr>
          <w:rFonts w:ascii="Book Antiqua" w:eastAsia="Book Antiqua" w:hAnsi="Book Antiqua" w:cs="Book Antiqua"/>
          <w:b/>
          <w:bCs/>
          <w:color w:val="000000"/>
        </w:rPr>
        <w:t>48</w:t>
      </w:r>
      <w:r w:rsidR="00093B77" w:rsidRPr="001C61A1">
        <w:rPr>
          <w:rFonts w:ascii="Book Antiqua" w:eastAsia="Book Antiqua" w:hAnsi="Book Antiqua" w:cs="Book Antiqua"/>
          <w:color w:val="000000"/>
        </w:rPr>
        <w:t>: 900-911 [PMID: 33001856 DOI: 10.1515/jpm-2020-0364]</w:t>
      </w:r>
    </w:p>
    <w:p w14:paraId="375C91FC" w14:textId="11A6A9A0"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10</w:t>
      </w:r>
      <w:r w:rsidRPr="001C61A1">
        <w:rPr>
          <w:rFonts w:ascii="Book Antiqua" w:hAnsi="Book Antiqua" w:cs="Book Antiqua"/>
          <w:color w:val="000000"/>
          <w:lang w:eastAsia="zh-CN"/>
        </w:rPr>
        <w:t>8</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Al-Beltagi M</w:t>
      </w:r>
      <w:r w:rsidR="00093B77" w:rsidRPr="001C61A1">
        <w:rPr>
          <w:rFonts w:ascii="Book Antiqua" w:eastAsia="Book Antiqua" w:hAnsi="Book Antiqua" w:cs="Book Antiqua"/>
          <w:color w:val="000000"/>
        </w:rPr>
        <w:t xml:space="preserve">, Saeed NK, Bediwy AS, El-Sawaf Y. Paediatric gastrointestinal disorders in SARS-CoV-2 infection: Epidemiological and clinical implications. </w:t>
      </w:r>
      <w:r w:rsidR="00093B77" w:rsidRPr="001C61A1">
        <w:rPr>
          <w:rFonts w:ascii="Book Antiqua" w:eastAsia="Book Antiqua" w:hAnsi="Book Antiqua" w:cs="Book Antiqua"/>
          <w:i/>
          <w:iCs/>
          <w:color w:val="000000"/>
        </w:rPr>
        <w:t>World J Gastroenterol</w:t>
      </w:r>
      <w:r w:rsidR="00093B77" w:rsidRPr="001C61A1">
        <w:rPr>
          <w:rFonts w:ascii="Book Antiqua" w:eastAsia="Book Antiqua" w:hAnsi="Book Antiqua" w:cs="Book Antiqua"/>
          <w:color w:val="000000"/>
        </w:rPr>
        <w:t xml:space="preserve"> 2021; </w:t>
      </w:r>
      <w:r w:rsidR="00093B77" w:rsidRPr="001C61A1">
        <w:rPr>
          <w:rFonts w:ascii="Book Antiqua" w:eastAsia="Book Antiqua" w:hAnsi="Book Antiqua" w:cs="Book Antiqua"/>
          <w:b/>
          <w:bCs/>
          <w:color w:val="000000"/>
        </w:rPr>
        <w:t>27</w:t>
      </w:r>
      <w:r w:rsidR="00093B77" w:rsidRPr="001C61A1">
        <w:rPr>
          <w:rFonts w:ascii="Book Antiqua" w:eastAsia="Book Antiqua" w:hAnsi="Book Antiqua" w:cs="Book Antiqua"/>
          <w:color w:val="000000"/>
        </w:rPr>
        <w:t>: 1716-1727 [PMID: 33967552 DOI: 10.3748/wjg.v27.i16.1716]</w:t>
      </w:r>
    </w:p>
    <w:p w14:paraId="75594F7A" w14:textId="11D58419"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10</w:t>
      </w:r>
      <w:r w:rsidRPr="001C61A1">
        <w:rPr>
          <w:rFonts w:ascii="Book Antiqua" w:hAnsi="Book Antiqua" w:cs="Book Antiqua"/>
          <w:color w:val="000000"/>
          <w:lang w:eastAsia="zh-CN"/>
        </w:rPr>
        <w:t>9</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Vitiello A</w:t>
      </w:r>
      <w:r w:rsidR="00093B77" w:rsidRPr="001C61A1">
        <w:rPr>
          <w:rFonts w:ascii="Book Antiqua" w:eastAsia="Book Antiqua" w:hAnsi="Book Antiqua" w:cs="Book Antiqua"/>
          <w:color w:val="000000"/>
        </w:rPr>
        <w:t xml:space="preserve">, La Porta R, D'Aiuto V, Ferrara F. The risks of liver injury in COVID-19 patients and pharmacological management to reduce or prevent the damage induced. </w:t>
      </w:r>
      <w:r w:rsidR="00093B77" w:rsidRPr="001C61A1">
        <w:rPr>
          <w:rFonts w:ascii="Book Antiqua" w:eastAsia="Book Antiqua" w:hAnsi="Book Antiqua" w:cs="Book Antiqua"/>
          <w:i/>
          <w:iCs/>
          <w:color w:val="000000"/>
        </w:rPr>
        <w:t>Egypt Liver J</w:t>
      </w:r>
      <w:r w:rsidR="00093B77" w:rsidRPr="001C61A1">
        <w:rPr>
          <w:rFonts w:ascii="Book Antiqua" w:eastAsia="Book Antiqua" w:hAnsi="Book Antiqua" w:cs="Book Antiqua"/>
          <w:color w:val="000000"/>
        </w:rPr>
        <w:t xml:space="preserve"> 2021; </w:t>
      </w:r>
      <w:r w:rsidR="00093B77" w:rsidRPr="001C61A1">
        <w:rPr>
          <w:rFonts w:ascii="Book Antiqua" w:eastAsia="Book Antiqua" w:hAnsi="Book Antiqua" w:cs="Book Antiqua"/>
          <w:b/>
          <w:bCs/>
          <w:color w:val="000000"/>
        </w:rPr>
        <w:t>11</w:t>
      </w:r>
      <w:r w:rsidR="00093B77" w:rsidRPr="001C61A1">
        <w:rPr>
          <w:rFonts w:ascii="Book Antiqua" w:eastAsia="Book Antiqua" w:hAnsi="Book Antiqua" w:cs="Book Antiqua"/>
          <w:color w:val="000000"/>
        </w:rPr>
        <w:t>: 11 [PMID: 34777865 DOI: 10.1186/s43066-021-00082-y]</w:t>
      </w:r>
    </w:p>
    <w:p w14:paraId="7E4B00D7" w14:textId="5E9E91E9"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w:t>
      </w:r>
      <w:r w:rsidRPr="001C61A1">
        <w:rPr>
          <w:rFonts w:ascii="Book Antiqua" w:hAnsi="Book Antiqua" w:cs="Book Antiqua"/>
          <w:color w:val="000000"/>
          <w:lang w:eastAsia="zh-CN"/>
        </w:rPr>
        <w:t>10</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Zhang C</w:t>
      </w:r>
      <w:r w:rsidR="00093B77" w:rsidRPr="001C61A1">
        <w:rPr>
          <w:rFonts w:ascii="Book Antiqua" w:eastAsia="Book Antiqua" w:hAnsi="Book Antiqua" w:cs="Book Antiqua"/>
          <w:color w:val="000000"/>
        </w:rPr>
        <w:t xml:space="preserve">, Shi L, Wang FS. Liver injury in COVID-19: management and challenges. </w:t>
      </w:r>
      <w:r w:rsidR="00093B77" w:rsidRPr="001C61A1">
        <w:rPr>
          <w:rFonts w:ascii="Book Antiqua" w:eastAsia="Book Antiqua" w:hAnsi="Book Antiqua" w:cs="Book Antiqua"/>
          <w:i/>
          <w:iCs/>
          <w:color w:val="000000"/>
        </w:rPr>
        <w:t>Lancet Gastroenterol Hepatol</w:t>
      </w:r>
      <w:r w:rsidR="00093B77" w:rsidRPr="001C61A1">
        <w:rPr>
          <w:rFonts w:ascii="Book Antiqua" w:eastAsia="Book Antiqua" w:hAnsi="Book Antiqua" w:cs="Book Antiqua"/>
          <w:color w:val="000000"/>
        </w:rPr>
        <w:t xml:space="preserve"> 2020; </w:t>
      </w:r>
      <w:r w:rsidR="00093B77" w:rsidRPr="001C61A1">
        <w:rPr>
          <w:rFonts w:ascii="Book Antiqua" w:eastAsia="Book Antiqua" w:hAnsi="Book Antiqua" w:cs="Book Antiqua"/>
          <w:b/>
          <w:bCs/>
          <w:color w:val="000000"/>
        </w:rPr>
        <w:t>5</w:t>
      </w:r>
      <w:r w:rsidR="00093B77" w:rsidRPr="001C61A1">
        <w:rPr>
          <w:rFonts w:ascii="Book Antiqua" w:eastAsia="Book Antiqua" w:hAnsi="Book Antiqua" w:cs="Book Antiqua"/>
          <w:color w:val="000000"/>
        </w:rPr>
        <w:t>: 428-430 [PMID: 32145190 DOI: 10.1016/S2468-1253(20)30057-1]</w:t>
      </w:r>
    </w:p>
    <w:p w14:paraId="1E6C2C52" w14:textId="2C455E13"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1</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Lombardi N</w:t>
      </w:r>
      <w:r w:rsidR="00093B77" w:rsidRPr="001C61A1">
        <w:rPr>
          <w:rFonts w:ascii="Book Antiqua" w:eastAsia="Book Antiqua" w:hAnsi="Book Antiqua" w:cs="Book Antiqua"/>
          <w:color w:val="000000"/>
        </w:rPr>
        <w:t xml:space="preserve">, Crescioli G, Bettiol A, Marconi E, Vitiello A, Bonaiuti R, Calvani AM, Masi S, Lucenteforte E, Mugelli A, Giovannelli L, Vannacci A. Characterization of serious adverse drug reactions as cause of emergency department visit in children: a 5-years active pharmacovigilance study. </w:t>
      </w:r>
      <w:r w:rsidR="00093B77" w:rsidRPr="001C61A1">
        <w:rPr>
          <w:rFonts w:ascii="Book Antiqua" w:eastAsia="Book Antiqua" w:hAnsi="Book Antiqua" w:cs="Book Antiqua"/>
          <w:i/>
          <w:iCs/>
          <w:color w:val="000000"/>
        </w:rPr>
        <w:t>BMC Pharmacol Toxicol</w:t>
      </w:r>
      <w:r w:rsidR="00093B77" w:rsidRPr="001C61A1">
        <w:rPr>
          <w:rFonts w:ascii="Book Antiqua" w:eastAsia="Book Antiqua" w:hAnsi="Book Antiqua" w:cs="Book Antiqua"/>
          <w:color w:val="000000"/>
        </w:rPr>
        <w:t xml:space="preserve"> 2018; </w:t>
      </w:r>
      <w:r w:rsidR="00093B77" w:rsidRPr="001C61A1">
        <w:rPr>
          <w:rFonts w:ascii="Book Antiqua" w:eastAsia="Book Antiqua" w:hAnsi="Book Antiqua" w:cs="Book Antiqua"/>
          <w:b/>
          <w:bCs/>
          <w:color w:val="000000"/>
        </w:rPr>
        <w:t>19</w:t>
      </w:r>
      <w:r w:rsidR="00093B77" w:rsidRPr="001C61A1">
        <w:rPr>
          <w:rFonts w:ascii="Book Antiqua" w:eastAsia="Book Antiqua" w:hAnsi="Book Antiqua" w:cs="Book Antiqua"/>
          <w:color w:val="000000"/>
        </w:rPr>
        <w:t>: 16 [PMID: 29661234 DOI: 10.1186/s40360-018-0207-4]</w:t>
      </w:r>
    </w:p>
    <w:p w14:paraId="36ED1524" w14:textId="62721DB4"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2</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Wu J</w:t>
      </w:r>
      <w:r w:rsidR="00093B77" w:rsidRPr="001C61A1">
        <w:rPr>
          <w:rFonts w:ascii="Book Antiqua" w:eastAsia="Book Antiqua" w:hAnsi="Book Antiqua" w:cs="Book Antiqua"/>
          <w:color w:val="000000"/>
        </w:rPr>
        <w:t xml:space="preserve">, Song S, Cao HC, Li LJ. Liver diseases in COVID-19: Etiology, treatment and prognosis. </w:t>
      </w:r>
      <w:r w:rsidR="00093B77" w:rsidRPr="001C61A1">
        <w:rPr>
          <w:rFonts w:ascii="Book Antiqua" w:eastAsia="Book Antiqua" w:hAnsi="Book Antiqua" w:cs="Book Antiqua"/>
          <w:i/>
          <w:iCs/>
          <w:color w:val="000000"/>
        </w:rPr>
        <w:t>World J Gastroenterol</w:t>
      </w:r>
      <w:r w:rsidR="00093B77" w:rsidRPr="001C61A1">
        <w:rPr>
          <w:rFonts w:ascii="Book Antiqua" w:eastAsia="Book Antiqua" w:hAnsi="Book Antiqua" w:cs="Book Antiqua"/>
          <w:color w:val="000000"/>
        </w:rPr>
        <w:t xml:space="preserve"> 2020; </w:t>
      </w:r>
      <w:r w:rsidR="00093B77" w:rsidRPr="001C61A1">
        <w:rPr>
          <w:rFonts w:ascii="Book Antiqua" w:eastAsia="Book Antiqua" w:hAnsi="Book Antiqua" w:cs="Book Antiqua"/>
          <w:b/>
          <w:bCs/>
          <w:color w:val="000000"/>
        </w:rPr>
        <w:t>26</w:t>
      </w:r>
      <w:r w:rsidR="00093B77" w:rsidRPr="001C61A1">
        <w:rPr>
          <w:rFonts w:ascii="Book Antiqua" w:eastAsia="Book Antiqua" w:hAnsi="Book Antiqua" w:cs="Book Antiqua"/>
          <w:color w:val="000000"/>
        </w:rPr>
        <w:t>: 2286-2293 [PMID: 32476793 DOI: 10.3748/wjg.v26.i19.2286]</w:t>
      </w:r>
    </w:p>
    <w:p w14:paraId="4050C744" w14:textId="0E914F7B"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3</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Bailly C</w:t>
      </w:r>
      <w:r w:rsidR="00093B77" w:rsidRPr="001C61A1">
        <w:rPr>
          <w:rFonts w:ascii="Book Antiqua" w:eastAsia="Book Antiqua" w:hAnsi="Book Antiqua" w:cs="Book Antiqua"/>
          <w:color w:val="000000"/>
        </w:rPr>
        <w:t xml:space="preserve">, Vergoten G. Glycyrrhizin: An alternative drug for the treatment of COVID-19 infection and the associated respiratory syndrome? </w:t>
      </w:r>
      <w:r w:rsidR="00093B77" w:rsidRPr="001C61A1">
        <w:rPr>
          <w:rFonts w:ascii="Book Antiqua" w:eastAsia="Book Antiqua" w:hAnsi="Book Antiqua" w:cs="Book Antiqua"/>
          <w:i/>
          <w:iCs/>
          <w:color w:val="000000"/>
        </w:rPr>
        <w:t>Pharmacol Ther</w:t>
      </w:r>
      <w:r w:rsidR="00093B77" w:rsidRPr="001C61A1">
        <w:rPr>
          <w:rFonts w:ascii="Book Antiqua" w:eastAsia="Book Antiqua" w:hAnsi="Book Antiqua" w:cs="Book Antiqua"/>
          <w:color w:val="000000"/>
        </w:rPr>
        <w:t xml:space="preserve"> 2020; </w:t>
      </w:r>
      <w:r w:rsidR="00093B77" w:rsidRPr="001C61A1">
        <w:rPr>
          <w:rFonts w:ascii="Book Antiqua" w:eastAsia="Book Antiqua" w:hAnsi="Book Antiqua" w:cs="Book Antiqua"/>
          <w:b/>
          <w:bCs/>
          <w:color w:val="000000"/>
        </w:rPr>
        <w:t>214</w:t>
      </w:r>
      <w:r w:rsidR="00093B77" w:rsidRPr="001C61A1">
        <w:rPr>
          <w:rFonts w:ascii="Book Antiqua" w:eastAsia="Book Antiqua" w:hAnsi="Book Antiqua" w:cs="Book Antiqua"/>
          <w:color w:val="000000"/>
        </w:rPr>
        <w:t>: 107618 [PMID: 32592716 DOI: 10.1016/j.pharmthera.2020.107618]</w:t>
      </w:r>
    </w:p>
    <w:p w14:paraId="75F95697" w14:textId="4E1341D6"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4</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Fan JG</w:t>
      </w:r>
      <w:r w:rsidR="00093B77" w:rsidRPr="001C61A1">
        <w:rPr>
          <w:rFonts w:ascii="Book Antiqua" w:eastAsia="Book Antiqua" w:hAnsi="Book Antiqua" w:cs="Book Antiqua"/>
          <w:color w:val="000000"/>
        </w:rPr>
        <w:t xml:space="preserve">, Li Y, Yu Z, Luo XX, Zheng P, Hao X, Wang ZY, Gao F, Zhang GQ, Feng WY. Effectiveness and Economic Evaluation of Polyene Phosphatidyl Choline in Patients With </w:t>
      </w:r>
      <w:r w:rsidR="00093B77" w:rsidRPr="001C61A1">
        <w:rPr>
          <w:rFonts w:ascii="Book Antiqua" w:eastAsia="Book Antiqua" w:hAnsi="Book Antiqua" w:cs="Book Antiqua"/>
          <w:color w:val="000000"/>
        </w:rPr>
        <w:lastRenderedPageBreak/>
        <w:t xml:space="preserve">Liver Diseases Based on Real-World Research. </w:t>
      </w:r>
      <w:r w:rsidR="00093B77" w:rsidRPr="001C61A1">
        <w:rPr>
          <w:rFonts w:ascii="Book Antiqua" w:eastAsia="Book Antiqua" w:hAnsi="Book Antiqua" w:cs="Book Antiqua"/>
          <w:i/>
          <w:iCs/>
          <w:color w:val="000000"/>
        </w:rPr>
        <w:t>Front Pharmacol</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13</w:t>
      </w:r>
      <w:r w:rsidR="00093B77" w:rsidRPr="001C61A1">
        <w:rPr>
          <w:rFonts w:ascii="Book Antiqua" w:eastAsia="Book Antiqua" w:hAnsi="Book Antiqua" w:cs="Book Antiqua"/>
          <w:color w:val="000000"/>
        </w:rPr>
        <w:t>: 806787 [PMID: 35330831 DOI: 10.3389/fphar.2022.806787]</w:t>
      </w:r>
    </w:p>
    <w:p w14:paraId="797BC55B" w14:textId="425B30FE"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5</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Montazersaheb S</w:t>
      </w:r>
      <w:r w:rsidR="00093B77" w:rsidRPr="001C61A1">
        <w:rPr>
          <w:rFonts w:ascii="Book Antiqua" w:eastAsia="Book Antiqua" w:hAnsi="Book Antiqua" w:cs="Book Antiqua"/>
          <w:color w:val="000000"/>
        </w:rPr>
        <w:t xml:space="preserve">, Hosseiniyan Khatibi SM, Hejazi MS, Tarhriz V, Farjami A, Ghasemian Sorbeni F, Farahzadi R, Ghasemnejad T. COVID-19 infection: an overview on cytokine storm and related interventions. </w:t>
      </w:r>
      <w:r w:rsidR="00093B77" w:rsidRPr="001C61A1">
        <w:rPr>
          <w:rFonts w:ascii="Book Antiqua" w:eastAsia="Book Antiqua" w:hAnsi="Book Antiqua" w:cs="Book Antiqua"/>
          <w:i/>
          <w:iCs/>
          <w:color w:val="000000"/>
        </w:rPr>
        <w:t>Virol J</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19</w:t>
      </w:r>
      <w:r w:rsidR="00093B77" w:rsidRPr="001C61A1">
        <w:rPr>
          <w:rFonts w:ascii="Book Antiqua" w:eastAsia="Book Antiqua" w:hAnsi="Book Antiqua" w:cs="Book Antiqua"/>
          <w:color w:val="000000"/>
        </w:rPr>
        <w:t>: 92 [PMID: 35619180 DOI: 10.1186/s12985-022-01814-1]</w:t>
      </w:r>
    </w:p>
    <w:p w14:paraId="1C4F207B" w14:textId="452DC346"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6</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Patel S</w:t>
      </w:r>
      <w:r w:rsidR="00093B77" w:rsidRPr="001C61A1">
        <w:rPr>
          <w:rFonts w:ascii="Book Antiqua" w:eastAsia="Book Antiqua" w:hAnsi="Book Antiqua" w:cs="Book Antiqua"/>
          <w:color w:val="000000"/>
        </w:rPr>
        <w:t xml:space="preserve">, Saxena B, Mehta P. Recent updates in the clinical trials of therapeutic monoclonal antibodies targeting cytokine storm for the management of COVID-19. </w:t>
      </w:r>
      <w:r w:rsidR="00093B77" w:rsidRPr="001C61A1">
        <w:rPr>
          <w:rFonts w:ascii="Book Antiqua" w:eastAsia="Book Antiqua" w:hAnsi="Book Antiqua" w:cs="Book Antiqua"/>
          <w:i/>
          <w:iCs/>
          <w:color w:val="000000"/>
        </w:rPr>
        <w:t>Heliyon</w:t>
      </w:r>
      <w:r w:rsidR="00093B77" w:rsidRPr="001C61A1">
        <w:rPr>
          <w:rFonts w:ascii="Book Antiqua" w:eastAsia="Book Antiqua" w:hAnsi="Book Antiqua" w:cs="Book Antiqua"/>
          <w:color w:val="000000"/>
        </w:rPr>
        <w:t xml:space="preserve"> 2021; </w:t>
      </w:r>
      <w:r w:rsidR="00093B77" w:rsidRPr="001C61A1">
        <w:rPr>
          <w:rFonts w:ascii="Book Antiqua" w:eastAsia="Book Antiqua" w:hAnsi="Book Antiqua" w:cs="Book Antiqua"/>
          <w:b/>
          <w:bCs/>
          <w:color w:val="000000"/>
        </w:rPr>
        <w:t>7</w:t>
      </w:r>
      <w:r w:rsidR="00093B77" w:rsidRPr="001C61A1">
        <w:rPr>
          <w:rFonts w:ascii="Book Antiqua" w:eastAsia="Book Antiqua" w:hAnsi="Book Antiqua" w:cs="Book Antiqua"/>
          <w:color w:val="000000"/>
        </w:rPr>
        <w:t>: e06158 [PMID: 33553708 DOI: 10.1016/j.heliyon.2021.e06158]</w:t>
      </w:r>
    </w:p>
    <w:p w14:paraId="229DE23B" w14:textId="7155E48E"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7</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Rich C</w:t>
      </w:r>
      <w:r w:rsidR="00093B77" w:rsidRPr="001C61A1">
        <w:rPr>
          <w:rFonts w:ascii="Book Antiqua" w:eastAsia="Book Antiqua" w:hAnsi="Book Antiqua" w:cs="Book Antiqua"/>
          <w:color w:val="000000"/>
        </w:rPr>
        <w:t xml:space="preserve">, Eriksson D, Dolfi F, Jablonska K, Dabbous F, Nazir J. Patients diagnosed with COVID-19 and treated with anakinra: a real-world study in the USA. </w:t>
      </w:r>
      <w:r w:rsidR="00093B77" w:rsidRPr="001C61A1">
        <w:rPr>
          <w:rFonts w:ascii="Book Antiqua" w:eastAsia="Book Antiqua" w:hAnsi="Book Antiqua" w:cs="Book Antiqua"/>
          <w:i/>
          <w:iCs/>
          <w:color w:val="000000"/>
        </w:rPr>
        <w:t>Clin Exp Immunol</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207</w:t>
      </w:r>
      <w:r w:rsidR="00093B77" w:rsidRPr="001C61A1">
        <w:rPr>
          <w:rFonts w:ascii="Book Antiqua" w:eastAsia="Book Antiqua" w:hAnsi="Book Antiqua" w:cs="Book Antiqua"/>
          <w:color w:val="000000"/>
        </w:rPr>
        <w:t>: 218-226 [PMID: 35020840 DOI: 10.1093/cei/uxab024]</w:t>
      </w:r>
    </w:p>
    <w:p w14:paraId="1DFCB938" w14:textId="4355B3D4"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8</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Khani E</w:t>
      </w:r>
      <w:r w:rsidR="00093B77" w:rsidRPr="001C61A1">
        <w:rPr>
          <w:rFonts w:ascii="Book Antiqua" w:eastAsia="Book Antiqua" w:hAnsi="Book Antiqua" w:cs="Book Antiqua"/>
          <w:color w:val="000000"/>
        </w:rPr>
        <w:t xml:space="preserve">, Shahrabi M, Rezaei H, Pourkarim F, Afsharirad H, Solduzian M. Current evidence on the use of anakinra in COVID-19. </w:t>
      </w:r>
      <w:r w:rsidR="00093B77" w:rsidRPr="001C61A1">
        <w:rPr>
          <w:rFonts w:ascii="Book Antiqua" w:eastAsia="Book Antiqua" w:hAnsi="Book Antiqua" w:cs="Book Antiqua"/>
          <w:i/>
          <w:iCs/>
          <w:color w:val="000000"/>
        </w:rPr>
        <w:t>Int Immunopharmacol</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111</w:t>
      </w:r>
      <w:r w:rsidR="00093B77" w:rsidRPr="001C61A1">
        <w:rPr>
          <w:rFonts w:ascii="Book Antiqua" w:eastAsia="Book Antiqua" w:hAnsi="Book Antiqua" w:cs="Book Antiqua"/>
          <w:color w:val="000000"/>
        </w:rPr>
        <w:t>: 109075 [PMID: 35905562 DOI: 10.1016/j.intimp.2022.109075]</w:t>
      </w:r>
    </w:p>
    <w:p w14:paraId="035A4D46" w14:textId="62F10871"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11</w:t>
      </w:r>
      <w:r w:rsidRPr="001C61A1">
        <w:rPr>
          <w:rFonts w:ascii="Book Antiqua" w:hAnsi="Book Antiqua" w:cs="Book Antiqua"/>
          <w:color w:val="000000"/>
          <w:lang w:eastAsia="zh-CN"/>
        </w:rPr>
        <w:t>9</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Katia F</w:t>
      </w:r>
      <w:r w:rsidR="00093B77" w:rsidRPr="001C61A1">
        <w:rPr>
          <w:rFonts w:ascii="Book Antiqua" w:eastAsia="Book Antiqua" w:hAnsi="Book Antiqua" w:cs="Book Antiqua"/>
          <w:color w:val="000000"/>
        </w:rPr>
        <w:t xml:space="preserve">, Myriam DP, Ucciferri C, Auricchio A, Di Nicola M, Marchioni M, Eleonora C, Emanuela S, Cipollone F, Vecchiet J. Efficacy of canakinumab in mild or severe COVID-19 pneumonia. </w:t>
      </w:r>
      <w:r w:rsidR="00093B77" w:rsidRPr="001C61A1">
        <w:rPr>
          <w:rFonts w:ascii="Book Antiqua" w:eastAsia="Book Antiqua" w:hAnsi="Book Antiqua" w:cs="Book Antiqua"/>
          <w:i/>
          <w:iCs/>
          <w:color w:val="000000"/>
        </w:rPr>
        <w:t>Immun Inflamm Dis</w:t>
      </w:r>
      <w:r w:rsidR="00093B77" w:rsidRPr="001C61A1">
        <w:rPr>
          <w:rFonts w:ascii="Book Antiqua" w:eastAsia="Book Antiqua" w:hAnsi="Book Antiqua" w:cs="Book Antiqua"/>
          <w:color w:val="000000"/>
        </w:rPr>
        <w:t xml:space="preserve"> 2021; </w:t>
      </w:r>
      <w:r w:rsidR="00093B77" w:rsidRPr="001C61A1">
        <w:rPr>
          <w:rFonts w:ascii="Book Antiqua" w:eastAsia="Book Antiqua" w:hAnsi="Book Antiqua" w:cs="Book Antiqua"/>
          <w:b/>
          <w:bCs/>
          <w:color w:val="000000"/>
        </w:rPr>
        <w:t>9</w:t>
      </w:r>
      <w:r w:rsidR="00093B77" w:rsidRPr="001C61A1">
        <w:rPr>
          <w:rFonts w:ascii="Book Antiqua" w:eastAsia="Book Antiqua" w:hAnsi="Book Antiqua" w:cs="Book Antiqua"/>
          <w:color w:val="000000"/>
        </w:rPr>
        <w:t>: 399-405 [PMID: 33465283 DOI: 10.1002/iid3.400]</w:t>
      </w:r>
    </w:p>
    <w:p w14:paraId="3A532530" w14:textId="49BEBE68"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w:t>
      </w:r>
      <w:r w:rsidRPr="001C61A1">
        <w:rPr>
          <w:rFonts w:ascii="Book Antiqua" w:hAnsi="Book Antiqua" w:cs="Book Antiqua"/>
          <w:color w:val="000000"/>
          <w:lang w:eastAsia="zh-CN"/>
        </w:rPr>
        <w:t>20</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Ao G</w:t>
      </w:r>
      <w:r w:rsidR="00093B77" w:rsidRPr="001C61A1">
        <w:rPr>
          <w:rFonts w:ascii="Book Antiqua" w:eastAsia="Book Antiqua" w:hAnsi="Book Antiqua" w:cs="Book Antiqua"/>
          <w:color w:val="000000"/>
        </w:rPr>
        <w:t xml:space="preserve">, Wang Y, Li A, Tran C, Yang Q. The effect of canakinumab on clinical outcomes in patients with COVID-19: A meta-analysis. </w:t>
      </w:r>
      <w:r w:rsidR="00093B77" w:rsidRPr="001C61A1">
        <w:rPr>
          <w:rFonts w:ascii="Book Antiqua" w:eastAsia="Book Antiqua" w:hAnsi="Book Antiqua" w:cs="Book Antiqua"/>
          <w:i/>
          <w:iCs/>
          <w:color w:val="000000"/>
        </w:rPr>
        <w:t>J Infect</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84</w:t>
      </w:r>
      <w:r w:rsidR="00093B77" w:rsidRPr="001C61A1">
        <w:rPr>
          <w:rFonts w:ascii="Book Antiqua" w:eastAsia="Book Antiqua" w:hAnsi="Book Antiqua" w:cs="Book Antiqua"/>
          <w:color w:val="000000"/>
        </w:rPr>
        <w:t>: 834-872 [PMID: 35301014 DOI: 10.1016/j.jinf.2022.03.011]</w:t>
      </w:r>
    </w:p>
    <w:p w14:paraId="22C6631A" w14:textId="025146DE"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12</w:t>
      </w:r>
      <w:r w:rsidRPr="001C61A1">
        <w:rPr>
          <w:rFonts w:ascii="Book Antiqua" w:hAnsi="Book Antiqua" w:cs="Book Antiqua"/>
          <w:color w:val="000000"/>
          <w:lang w:eastAsia="zh-CN"/>
        </w:rPr>
        <w:t>1</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Palanques-Pastor T</w:t>
      </w:r>
      <w:r w:rsidR="00093B77" w:rsidRPr="001C61A1">
        <w:rPr>
          <w:rFonts w:ascii="Book Antiqua" w:eastAsia="Book Antiqua" w:hAnsi="Book Antiqua" w:cs="Book Antiqua"/>
          <w:color w:val="000000"/>
        </w:rPr>
        <w:t xml:space="preserve">, López-Briz E, Poveda Andrés JL. Involvement of interleukin 6 in SARS-CoV-2 infection: siltuximab as a therapeutic option against COVID-19. </w:t>
      </w:r>
      <w:r w:rsidR="00093B77" w:rsidRPr="001C61A1">
        <w:rPr>
          <w:rFonts w:ascii="Book Antiqua" w:eastAsia="Book Antiqua" w:hAnsi="Book Antiqua" w:cs="Book Antiqua"/>
          <w:i/>
          <w:iCs/>
          <w:color w:val="000000"/>
        </w:rPr>
        <w:t>Eur J Hosp Pharm</w:t>
      </w:r>
      <w:r w:rsidR="00093B77" w:rsidRPr="001C61A1">
        <w:rPr>
          <w:rFonts w:ascii="Book Antiqua" w:eastAsia="Book Antiqua" w:hAnsi="Book Antiqua" w:cs="Book Antiqua"/>
          <w:color w:val="000000"/>
        </w:rPr>
        <w:t xml:space="preserve"> 2020; </w:t>
      </w:r>
      <w:r w:rsidR="00093B77" w:rsidRPr="001C61A1">
        <w:rPr>
          <w:rFonts w:ascii="Book Antiqua" w:eastAsia="Book Antiqua" w:hAnsi="Book Antiqua" w:cs="Book Antiqua"/>
          <w:b/>
          <w:bCs/>
          <w:color w:val="000000"/>
        </w:rPr>
        <w:t>27</w:t>
      </w:r>
      <w:r w:rsidR="00093B77" w:rsidRPr="001C61A1">
        <w:rPr>
          <w:rFonts w:ascii="Book Antiqua" w:eastAsia="Book Antiqua" w:hAnsi="Book Antiqua" w:cs="Book Antiqua"/>
          <w:color w:val="000000"/>
        </w:rPr>
        <w:t>: 297-298 [PMID: 32499314 DOI: 10.1136/ejhpharm-2020-002322]</w:t>
      </w:r>
    </w:p>
    <w:p w14:paraId="2FD4ACEB" w14:textId="5A57923E"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12</w:t>
      </w:r>
      <w:r w:rsidRPr="001C61A1">
        <w:rPr>
          <w:rFonts w:ascii="Book Antiqua" w:hAnsi="Book Antiqua" w:cs="Book Antiqua"/>
          <w:color w:val="000000"/>
          <w:lang w:eastAsia="zh-CN"/>
        </w:rPr>
        <w:t>2</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Villaescusa L</w:t>
      </w:r>
      <w:r w:rsidR="00093B77" w:rsidRPr="001C61A1">
        <w:rPr>
          <w:rFonts w:ascii="Book Antiqua" w:eastAsia="Book Antiqua" w:hAnsi="Book Antiqua" w:cs="Book Antiqua"/>
          <w:color w:val="000000"/>
        </w:rPr>
        <w:t xml:space="preserve">, Zaragozá F, Gayo-Abeleira I, Zaragozá C. A New Approach to the Management of COVID-19. Antagonists of IL-6: Siltuximab. </w:t>
      </w:r>
      <w:r w:rsidR="00093B77" w:rsidRPr="001C61A1">
        <w:rPr>
          <w:rFonts w:ascii="Book Antiqua" w:eastAsia="Book Antiqua" w:hAnsi="Book Antiqua" w:cs="Book Antiqua"/>
          <w:i/>
          <w:iCs/>
          <w:color w:val="000000"/>
        </w:rPr>
        <w:t>Adv Ther</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39</w:t>
      </w:r>
      <w:r w:rsidR="00093B77" w:rsidRPr="001C61A1">
        <w:rPr>
          <w:rFonts w:ascii="Book Antiqua" w:eastAsia="Book Antiqua" w:hAnsi="Book Antiqua" w:cs="Book Antiqua"/>
          <w:color w:val="000000"/>
        </w:rPr>
        <w:t>: 1126-1148 [PMID: 35072887 DOI: 10.1007/s12325-022-02042-3]</w:t>
      </w:r>
    </w:p>
    <w:p w14:paraId="0CFA905C" w14:textId="3952BA43"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lastRenderedPageBreak/>
        <w:t>12</w:t>
      </w:r>
      <w:r w:rsidRPr="001C61A1">
        <w:rPr>
          <w:rFonts w:ascii="Book Antiqua" w:hAnsi="Book Antiqua" w:cs="Book Antiqua"/>
          <w:color w:val="000000"/>
          <w:lang w:eastAsia="zh-CN"/>
        </w:rPr>
        <w:t>3</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Gupta S</w:t>
      </w:r>
      <w:r w:rsidR="00093B77" w:rsidRPr="001C61A1">
        <w:rPr>
          <w:rFonts w:ascii="Book Antiqua" w:eastAsia="Book Antiqua" w:hAnsi="Book Antiqua" w:cs="Book Antiqua"/>
          <w:color w:val="000000"/>
        </w:rPr>
        <w:t xml:space="preserve">, Wang W, Hayek SS, Chan L, Mathews KS, Melamed ML, Brenner SK, Leonberg-Yoo A, Schenck EJ, Radbel J, Reiser J, Bansal A, Srivastava A, Zhou Y, Finkel D, Green A, Mallappallil M, Faugno AJ, Zhang J, Velez JCQ, Shaefi S, Parikh CR, Charytan DM, Athavale AM, Friedman AN, Redfern RE, Short SAP, Correa S, Pokharel KK, Admon AJ, Donnelly JP, Gershengorn HB, Douin DJ, Semler MW, Hernán MA, Leaf DE; STOP-COVID Investigators. Association Between Early Treatment With Tocilizumab and Mortality Among Critically Ill Patients With COVID-19. </w:t>
      </w:r>
      <w:r w:rsidR="00093B77" w:rsidRPr="001C61A1">
        <w:rPr>
          <w:rFonts w:ascii="Book Antiqua" w:eastAsia="Book Antiqua" w:hAnsi="Book Antiqua" w:cs="Book Antiqua"/>
          <w:i/>
          <w:iCs/>
          <w:color w:val="000000"/>
        </w:rPr>
        <w:t>JAMA Intern Med</w:t>
      </w:r>
      <w:r w:rsidR="00093B77" w:rsidRPr="001C61A1">
        <w:rPr>
          <w:rFonts w:ascii="Book Antiqua" w:eastAsia="Book Antiqua" w:hAnsi="Book Antiqua" w:cs="Book Antiqua"/>
          <w:color w:val="000000"/>
        </w:rPr>
        <w:t xml:space="preserve"> 2021; </w:t>
      </w:r>
      <w:r w:rsidR="00093B77" w:rsidRPr="001C61A1">
        <w:rPr>
          <w:rFonts w:ascii="Book Antiqua" w:eastAsia="Book Antiqua" w:hAnsi="Book Antiqua" w:cs="Book Antiqua"/>
          <w:b/>
          <w:bCs/>
          <w:color w:val="000000"/>
        </w:rPr>
        <w:t>181</w:t>
      </w:r>
      <w:r w:rsidR="00093B77" w:rsidRPr="001C61A1">
        <w:rPr>
          <w:rFonts w:ascii="Book Antiqua" w:eastAsia="Book Antiqua" w:hAnsi="Book Antiqua" w:cs="Book Antiqua"/>
          <w:color w:val="000000"/>
        </w:rPr>
        <w:t>: 41-51 [PMID: 33080002 DOI: 10.1001/jamainternmed.2020.6252]</w:t>
      </w:r>
    </w:p>
    <w:p w14:paraId="0380DCDD" w14:textId="35EC87A5"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12</w:t>
      </w:r>
      <w:r w:rsidRPr="001C61A1">
        <w:rPr>
          <w:rFonts w:ascii="Book Antiqua" w:hAnsi="Book Antiqua" w:cs="Book Antiqua"/>
          <w:color w:val="000000"/>
          <w:lang w:eastAsia="zh-CN"/>
        </w:rPr>
        <w:t>4</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Chen CC</w:t>
      </w:r>
      <w:r w:rsidR="00093B77" w:rsidRPr="001C61A1">
        <w:rPr>
          <w:rFonts w:ascii="Book Antiqua" w:eastAsia="Book Antiqua" w:hAnsi="Book Antiqua" w:cs="Book Antiqua"/>
          <w:color w:val="000000"/>
        </w:rPr>
        <w:t xml:space="preserve">, Yang YP, Tsai HL, Tung TH. Effects of Tocilizumab on Adults With COVID-19 Pneumonia: A Meta-Analysis. </w:t>
      </w:r>
      <w:r w:rsidR="00093B77" w:rsidRPr="001C61A1">
        <w:rPr>
          <w:rFonts w:ascii="Book Antiqua" w:eastAsia="Book Antiqua" w:hAnsi="Book Antiqua" w:cs="Book Antiqua"/>
          <w:i/>
          <w:iCs/>
          <w:color w:val="000000"/>
        </w:rPr>
        <w:t>Front Med (Lausanne)</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9</w:t>
      </w:r>
      <w:r w:rsidR="00093B77" w:rsidRPr="001C61A1">
        <w:rPr>
          <w:rFonts w:ascii="Book Antiqua" w:eastAsia="Book Antiqua" w:hAnsi="Book Antiqua" w:cs="Book Antiqua"/>
          <w:color w:val="000000"/>
        </w:rPr>
        <w:t>: 838904 [PMID: 35433719 DOI: 10.3389/fmed.2022.838904]</w:t>
      </w:r>
    </w:p>
    <w:p w14:paraId="01A5A9AF" w14:textId="3A246329"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12</w:t>
      </w:r>
      <w:r w:rsidRPr="001C61A1">
        <w:rPr>
          <w:rFonts w:ascii="Book Antiqua" w:hAnsi="Book Antiqua" w:cs="Book Antiqua"/>
          <w:color w:val="000000"/>
          <w:lang w:eastAsia="zh-CN"/>
        </w:rPr>
        <w:t>5</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Broman N</w:t>
      </w:r>
      <w:r w:rsidR="00093B77" w:rsidRPr="001C61A1">
        <w:rPr>
          <w:rFonts w:ascii="Book Antiqua" w:eastAsia="Book Antiqua" w:hAnsi="Book Antiqua" w:cs="Book Antiqua"/>
          <w:color w:val="000000"/>
        </w:rPr>
        <w:t xml:space="preserve">, Feuth T, Vuorinen T, Valtonen M, Hohenthal U, Löyttyniemi E, Hirvioja T, Jalava-Karvinen P, Marttila H, Nordberg M, Oksi J. Early administration of tocilizumab in hospitalized COVID-19 patients with elevated inflammatory markers; COVIDSTORM-a prospective, randomized, single-centre, open-label study. </w:t>
      </w:r>
      <w:r w:rsidR="00093B77" w:rsidRPr="001C61A1">
        <w:rPr>
          <w:rFonts w:ascii="Book Antiqua" w:eastAsia="Book Antiqua" w:hAnsi="Book Antiqua" w:cs="Book Antiqua"/>
          <w:i/>
          <w:iCs/>
          <w:color w:val="000000"/>
        </w:rPr>
        <w:t>Clin Microbiol Infect</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28</w:t>
      </w:r>
      <w:r w:rsidR="00093B77" w:rsidRPr="001C61A1">
        <w:rPr>
          <w:rFonts w:ascii="Book Antiqua" w:eastAsia="Book Antiqua" w:hAnsi="Book Antiqua" w:cs="Book Antiqua"/>
          <w:color w:val="000000"/>
        </w:rPr>
        <w:t>: 844-851 [PMID: 35259529 DOI: 10.1016/j.cmi.2022.02.027]</w:t>
      </w:r>
    </w:p>
    <w:p w14:paraId="4B6B562C" w14:textId="1827CA3B"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12</w:t>
      </w:r>
      <w:r w:rsidRPr="001C61A1">
        <w:rPr>
          <w:rFonts w:ascii="Book Antiqua" w:hAnsi="Book Antiqua" w:cs="Book Antiqua"/>
          <w:color w:val="000000"/>
          <w:lang w:eastAsia="zh-CN"/>
        </w:rPr>
        <w:t>6</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Sarhan RM</w:t>
      </w:r>
      <w:r w:rsidR="00093B77" w:rsidRPr="001C61A1">
        <w:rPr>
          <w:rFonts w:ascii="Book Antiqua" w:eastAsia="Book Antiqua" w:hAnsi="Book Antiqua" w:cs="Book Antiqua"/>
          <w:color w:val="000000"/>
        </w:rPr>
        <w:t xml:space="preserve">, Harb HS, Abou Warda AE, Salem-Bekhit MM, Shakeel F, Alzahrani SA, Madney YM, Boshra MS. Efficacy of the early treatment with tocilizumab-hydroxychloroquine and tocilizumab-remdesivir in severe COVID-19 Patients. </w:t>
      </w:r>
      <w:r w:rsidR="00093B77" w:rsidRPr="001C61A1">
        <w:rPr>
          <w:rFonts w:ascii="Book Antiqua" w:eastAsia="Book Antiqua" w:hAnsi="Book Antiqua" w:cs="Book Antiqua"/>
          <w:i/>
          <w:iCs/>
          <w:color w:val="000000"/>
        </w:rPr>
        <w:t>J Infect Public Health</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15</w:t>
      </w:r>
      <w:r w:rsidR="00093B77" w:rsidRPr="001C61A1">
        <w:rPr>
          <w:rFonts w:ascii="Book Antiqua" w:eastAsia="Book Antiqua" w:hAnsi="Book Antiqua" w:cs="Book Antiqua"/>
          <w:color w:val="000000"/>
        </w:rPr>
        <w:t>: 116-122 [PMID: 34764044 DOI: 10.1016/j.jiph.2021.10.024]</w:t>
      </w:r>
    </w:p>
    <w:p w14:paraId="6FD5A748" w14:textId="129471BC"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12</w:t>
      </w:r>
      <w:r w:rsidRPr="001C61A1">
        <w:rPr>
          <w:rFonts w:ascii="Book Antiqua" w:hAnsi="Book Antiqua" w:cs="Book Antiqua"/>
          <w:color w:val="000000"/>
          <w:lang w:eastAsia="zh-CN"/>
        </w:rPr>
        <w:t>7</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Merchante N</w:t>
      </w:r>
      <w:r w:rsidR="00093B77" w:rsidRPr="001C61A1">
        <w:rPr>
          <w:rFonts w:ascii="Book Antiqua" w:eastAsia="Book Antiqua" w:hAnsi="Book Antiqua" w:cs="Book Antiqua"/>
          <w:color w:val="000000"/>
        </w:rPr>
        <w:t xml:space="preserve">, Cárcel S, Garrido-Gracia JC, Trigo-Rodríguez M, Moreno MÁE, León-López R, Espíndola-Gómez R, Alonso EA, García DV, Romero-Palacios A, Pérez-Camacho I, Gutiérrez-Gutiérrez B, Martínez-Marcos FJ, Fernández-Roldán C, Pérez-Crespo PMM, Caño AA, León E, Corzo JE, de la Fuente C, Torre-Cisneros J. Early Use of Sarilumab in Patients Hospitalized with COVID-19 Pneumonia and Features of Systemic Inflammation: the SARICOR Randomized Clinical Trial. </w:t>
      </w:r>
      <w:r w:rsidR="00093B77" w:rsidRPr="001C61A1">
        <w:rPr>
          <w:rFonts w:ascii="Book Antiqua" w:eastAsia="Book Antiqua" w:hAnsi="Book Antiqua" w:cs="Book Antiqua"/>
          <w:i/>
          <w:iCs/>
          <w:color w:val="000000"/>
        </w:rPr>
        <w:t>Antimicrob Agents Chemother</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66</w:t>
      </w:r>
      <w:r w:rsidR="00093B77" w:rsidRPr="001C61A1">
        <w:rPr>
          <w:rFonts w:ascii="Book Antiqua" w:eastAsia="Book Antiqua" w:hAnsi="Book Antiqua" w:cs="Book Antiqua"/>
          <w:color w:val="000000"/>
        </w:rPr>
        <w:t>: e0210721 [PMID: 34902262 DOI: 10.1128/AAC.02107-21]</w:t>
      </w:r>
    </w:p>
    <w:p w14:paraId="727F5D87" w14:textId="723EA766"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12</w:t>
      </w:r>
      <w:r w:rsidRPr="001C61A1">
        <w:rPr>
          <w:rFonts w:ascii="Book Antiqua" w:hAnsi="Book Antiqua" w:cs="Book Antiqua"/>
          <w:color w:val="000000"/>
          <w:lang w:eastAsia="zh-CN"/>
        </w:rPr>
        <w:t>8</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CORIMUNO-19 Collaborative group</w:t>
      </w:r>
      <w:r w:rsidR="00093B77" w:rsidRPr="001C61A1">
        <w:rPr>
          <w:rFonts w:ascii="Book Antiqua" w:eastAsia="Book Antiqua" w:hAnsi="Book Antiqua" w:cs="Book Antiqua"/>
          <w:color w:val="000000"/>
        </w:rPr>
        <w:t xml:space="preserve">. Sarilumab in adults hospitalised with moderate-to-severe COVID-19 pneumonia (CORIMUNO-SARI-1): An open-label </w:t>
      </w:r>
      <w:r w:rsidR="00093B77" w:rsidRPr="001C61A1">
        <w:rPr>
          <w:rFonts w:ascii="Book Antiqua" w:eastAsia="Book Antiqua" w:hAnsi="Book Antiqua" w:cs="Book Antiqua"/>
          <w:color w:val="000000"/>
        </w:rPr>
        <w:lastRenderedPageBreak/>
        <w:t xml:space="preserve">randomised controlled trial. </w:t>
      </w:r>
      <w:r w:rsidR="00093B77" w:rsidRPr="001C61A1">
        <w:rPr>
          <w:rFonts w:ascii="Book Antiqua" w:eastAsia="Book Antiqua" w:hAnsi="Book Antiqua" w:cs="Book Antiqua"/>
          <w:i/>
          <w:iCs/>
          <w:color w:val="000000"/>
        </w:rPr>
        <w:t>Lancet Rheumatol</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4</w:t>
      </w:r>
      <w:r w:rsidR="00093B77" w:rsidRPr="001C61A1">
        <w:rPr>
          <w:rFonts w:ascii="Book Antiqua" w:eastAsia="Book Antiqua" w:hAnsi="Book Antiqua" w:cs="Book Antiqua"/>
          <w:color w:val="000000"/>
        </w:rPr>
        <w:t>: e24-e32 [PMID: 34812424 DOI: 10.1016/S2665-9913(21)00315-5]</w:t>
      </w:r>
    </w:p>
    <w:p w14:paraId="1B34054C" w14:textId="024211FC"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12</w:t>
      </w:r>
      <w:r w:rsidRPr="001C61A1">
        <w:rPr>
          <w:rFonts w:ascii="Book Antiqua" w:hAnsi="Book Antiqua" w:cs="Book Antiqua"/>
          <w:color w:val="000000"/>
          <w:lang w:eastAsia="zh-CN"/>
        </w:rPr>
        <w:t>9</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García-Vicuña R</w:t>
      </w:r>
      <w:r w:rsidR="00093B77" w:rsidRPr="001C61A1">
        <w:rPr>
          <w:rFonts w:ascii="Book Antiqua" w:eastAsia="Book Antiqua" w:hAnsi="Book Antiqua" w:cs="Book Antiqua"/>
          <w:color w:val="000000"/>
        </w:rPr>
        <w:t xml:space="preserve">, Rodriguez-García SC, Abad-Santos F, Bautista Hernández A, García-Fraile L, Barrios Blandino A, Gutiérrez Liarte A, Alonso-Pérez T, Cardeñoso L, Alfranca A, Mejía-Abril G, Sanz Sanz J, González-Alvaro I. Subcutaneous IL-6 Inhibitor Sarilumab vs. Standard Care in Hospitalized Patients With Moderate-To-Severe COVID-19: An Open Label Randomized Clinical Trial. </w:t>
      </w:r>
      <w:r w:rsidR="00093B77" w:rsidRPr="001C61A1">
        <w:rPr>
          <w:rFonts w:ascii="Book Antiqua" w:eastAsia="Book Antiqua" w:hAnsi="Book Antiqua" w:cs="Book Antiqua"/>
          <w:i/>
          <w:iCs/>
          <w:color w:val="000000"/>
        </w:rPr>
        <w:t>Front Med (Lausanne)</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9</w:t>
      </w:r>
      <w:r w:rsidR="00093B77" w:rsidRPr="001C61A1">
        <w:rPr>
          <w:rFonts w:ascii="Book Antiqua" w:eastAsia="Book Antiqua" w:hAnsi="Book Antiqua" w:cs="Book Antiqua"/>
          <w:color w:val="000000"/>
        </w:rPr>
        <w:t>: 819621 [PMID: 35280907 DOI: 10.3389/fmed.2022.819621]</w:t>
      </w:r>
    </w:p>
    <w:p w14:paraId="35BBF4D3" w14:textId="2950B192"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w:t>
      </w:r>
      <w:r w:rsidRPr="001C61A1">
        <w:rPr>
          <w:rFonts w:ascii="Book Antiqua" w:hAnsi="Book Antiqua" w:cs="Book Antiqua"/>
          <w:color w:val="000000"/>
          <w:lang w:eastAsia="zh-CN"/>
        </w:rPr>
        <w:t>30</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Sivapalasingam S</w:t>
      </w:r>
      <w:r w:rsidR="00093B77" w:rsidRPr="001C61A1">
        <w:rPr>
          <w:rFonts w:ascii="Book Antiqua" w:eastAsia="Book Antiqua" w:hAnsi="Book Antiqua" w:cs="Book Antiqua"/>
          <w:color w:val="000000"/>
        </w:rPr>
        <w:t xml:space="preserve">, Lederer DJ, Bhore R, Hajizadeh N, Criner G, Hosain R, Mahmood A, Giannelou A, Somersan-Karakaya S, O'Brien MP, Boyapati A, Parrino J, Musser BJ, Labriola-Tompkins E, Ramesh D, Purcell LA, Gulabani D, Kampman W, Waldron A, Ng Gong M, Saggar S, Sperber SJ, Menon V, Stein DK, Sobieszczyk ME, Park W, Aberg JA, Brown SM, Kosmicki JA, Horowitz JE, Ferreira MA, Baras A, Kowal B, Thomas DiCioccio A, Akinlade B, Nivens MC, Braunstein N, Herman GA, Yancopoulos GD, Weinreich DM. Efficacy and Safety of Sarilumab in Hospitalized Patients With Coronavirus Disease 2019: A Randomized Clinical Trial. </w:t>
      </w:r>
      <w:r w:rsidR="00093B77" w:rsidRPr="001C61A1">
        <w:rPr>
          <w:rFonts w:ascii="Book Antiqua" w:eastAsia="Book Antiqua" w:hAnsi="Book Antiqua" w:cs="Book Antiqua"/>
          <w:i/>
          <w:iCs/>
          <w:color w:val="000000"/>
        </w:rPr>
        <w:t>Clin Infect Dis</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75</w:t>
      </w:r>
      <w:r w:rsidR="00093B77" w:rsidRPr="001C61A1">
        <w:rPr>
          <w:rFonts w:ascii="Book Antiqua" w:eastAsia="Book Antiqua" w:hAnsi="Book Antiqua" w:cs="Book Antiqua"/>
          <w:color w:val="000000"/>
        </w:rPr>
        <w:t>: e380-e388 [PMID: 35219277 DOI: 10.1093/cid/ciac153]</w:t>
      </w:r>
    </w:p>
    <w:p w14:paraId="06AC0FAF" w14:textId="6B6EADF6"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1</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Boretti A</w:t>
      </w:r>
      <w:r w:rsidR="00093B77" w:rsidRPr="001C61A1">
        <w:rPr>
          <w:rFonts w:ascii="Book Antiqua" w:eastAsia="Book Antiqua" w:hAnsi="Book Antiqua" w:cs="Book Antiqua"/>
          <w:color w:val="000000"/>
        </w:rPr>
        <w:t xml:space="preserve">, Banik B. Modulation of Covid-19 cytokine storm by tocilizumab. </w:t>
      </w:r>
      <w:r w:rsidR="00093B77" w:rsidRPr="001C61A1">
        <w:rPr>
          <w:rFonts w:ascii="Book Antiqua" w:eastAsia="Book Antiqua" w:hAnsi="Book Antiqua" w:cs="Book Antiqua"/>
          <w:i/>
          <w:iCs/>
          <w:color w:val="000000"/>
        </w:rPr>
        <w:t>J Med Virol</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94</w:t>
      </w:r>
      <w:r w:rsidR="00093B77" w:rsidRPr="001C61A1">
        <w:rPr>
          <w:rFonts w:ascii="Book Antiqua" w:eastAsia="Book Antiqua" w:hAnsi="Book Antiqua" w:cs="Book Antiqua"/>
          <w:color w:val="000000"/>
        </w:rPr>
        <w:t>: 823-828 [PMID: 34617604 DOI: 10.1002/jmv.27380]</w:t>
      </w:r>
    </w:p>
    <w:p w14:paraId="11E25590" w14:textId="2C4A149D"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2</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Arleo T</w:t>
      </w:r>
      <w:r w:rsidR="00093B77" w:rsidRPr="001C61A1">
        <w:rPr>
          <w:rFonts w:ascii="Book Antiqua" w:eastAsia="Book Antiqua" w:hAnsi="Book Antiqua" w:cs="Book Antiqua"/>
          <w:color w:val="000000"/>
        </w:rPr>
        <w:t xml:space="preserve">, Tong D, Shabto J, O'Keefe G, Khosroshahi A. Clinical course and outcomes of COVID-19 in rheumatic disease patients: a case cohort study with a diverse population. </w:t>
      </w:r>
      <w:r w:rsidR="00093B77" w:rsidRPr="001C61A1">
        <w:rPr>
          <w:rFonts w:ascii="Book Antiqua" w:eastAsia="Book Antiqua" w:hAnsi="Book Antiqua" w:cs="Book Antiqua"/>
          <w:i/>
          <w:iCs/>
          <w:color w:val="000000"/>
        </w:rPr>
        <w:t>Clin Rheumatol</w:t>
      </w:r>
      <w:r w:rsidR="00093B77" w:rsidRPr="001C61A1">
        <w:rPr>
          <w:rFonts w:ascii="Book Antiqua" w:eastAsia="Book Antiqua" w:hAnsi="Book Antiqua" w:cs="Book Antiqua"/>
          <w:color w:val="000000"/>
        </w:rPr>
        <w:t xml:space="preserve"> 2021; </w:t>
      </w:r>
      <w:r w:rsidR="00093B77" w:rsidRPr="001C61A1">
        <w:rPr>
          <w:rFonts w:ascii="Book Antiqua" w:eastAsia="Book Antiqua" w:hAnsi="Book Antiqua" w:cs="Book Antiqua"/>
          <w:b/>
          <w:bCs/>
          <w:color w:val="000000"/>
        </w:rPr>
        <w:t>40</w:t>
      </w:r>
      <w:r w:rsidR="00093B77" w:rsidRPr="001C61A1">
        <w:rPr>
          <w:rFonts w:ascii="Book Antiqua" w:eastAsia="Book Antiqua" w:hAnsi="Book Antiqua" w:cs="Book Antiqua"/>
          <w:color w:val="000000"/>
        </w:rPr>
        <w:t>: 2633-2642 [PMID: 33420870 DOI: 10.1007/s10067-021-05578-x]</w:t>
      </w:r>
    </w:p>
    <w:p w14:paraId="32F93680" w14:textId="25D4A3B3"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3</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Tripathi K</w:t>
      </w:r>
      <w:r w:rsidR="00093B77" w:rsidRPr="001C61A1">
        <w:rPr>
          <w:rFonts w:ascii="Book Antiqua" w:eastAsia="Book Antiqua" w:hAnsi="Book Antiqua" w:cs="Book Antiqua"/>
          <w:color w:val="000000"/>
        </w:rPr>
        <w:t xml:space="preserve">, Godoy Brewer G, Thu Nguyen M, Singh Y, Saleh Ismail M, Sauk JS, Parian AM, Limketkai BN. COVID-19 and Outcomes in Patients With Inflammatory Bowel Disease: Systematic Review and Meta-Analysis. </w:t>
      </w:r>
      <w:r w:rsidR="00093B77" w:rsidRPr="001C61A1">
        <w:rPr>
          <w:rFonts w:ascii="Book Antiqua" w:eastAsia="Book Antiqua" w:hAnsi="Book Antiqua" w:cs="Book Antiqua"/>
          <w:i/>
          <w:iCs/>
          <w:color w:val="000000"/>
        </w:rPr>
        <w:t>Inflamm Bowel Dis</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28</w:t>
      </w:r>
      <w:r w:rsidR="00093B77" w:rsidRPr="001C61A1">
        <w:rPr>
          <w:rFonts w:ascii="Book Antiqua" w:eastAsia="Book Antiqua" w:hAnsi="Book Antiqua" w:cs="Book Antiqua"/>
          <w:color w:val="000000"/>
        </w:rPr>
        <w:t>: 1265-1279 [PMID: 34718595 DOI: 10.1093/ibd/izab236]</w:t>
      </w:r>
    </w:p>
    <w:p w14:paraId="1DACA764" w14:textId="485F4E83"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4</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Li XZ</w:t>
      </w:r>
      <w:r w:rsidR="00093B77" w:rsidRPr="001C61A1">
        <w:rPr>
          <w:rFonts w:ascii="Book Antiqua" w:eastAsia="Book Antiqua" w:hAnsi="Book Antiqua" w:cs="Book Antiqua"/>
          <w:color w:val="000000"/>
        </w:rPr>
        <w:t xml:space="preserve">, Qiu Y, Jeffery L, Liu F, Feng R, He JS, Tan JY, Ye ZY, Lin SN, Ghosh S, Iacucci M, Chen MH, Mao R. Down-Regulation of Colonic ACE2 Expression in Patients With </w:t>
      </w:r>
      <w:r w:rsidR="00093B77" w:rsidRPr="001C61A1">
        <w:rPr>
          <w:rFonts w:ascii="Book Antiqua" w:eastAsia="Book Antiqua" w:hAnsi="Book Antiqua" w:cs="Book Antiqua"/>
          <w:color w:val="000000"/>
        </w:rPr>
        <w:lastRenderedPageBreak/>
        <w:t xml:space="preserve">Inflammatory Bowel Disease Responding to Anti-TNF Therapy: Implications for COVID-19. </w:t>
      </w:r>
      <w:r w:rsidR="00093B77" w:rsidRPr="001C61A1">
        <w:rPr>
          <w:rFonts w:ascii="Book Antiqua" w:eastAsia="Book Antiqua" w:hAnsi="Book Antiqua" w:cs="Book Antiqua"/>
          <w:i/>
          <w:iCs/>
          <w:color w:val="000000"/>
        </w:rPr>
        <w:t>Front Med (Lausanne)</w:t>
      </w:r>
      <w:r w:rsidR="00093B77" w:rsidRPr="001C61A1">
        <w:rPr>
          <w:rFonts w:ascii="Book Antiqua" w:eastAsia="Book Antiqua" w:hAnsi="Book Antiqua" w:cs="Book Antiqua"/>
          <w:color w:val="000000"/>
        </w:rPr>
        <w:t xml:space="preserve"> 2020; </w:t>
      </w:r>
      <w:r w:rsidR="00093B77" w:rsidRPr="001C61A1">
        <w:rPr>
          <w:rFonts w:ascii="Book Antiqua" w:eastAsia="Book Antiqua" w:hAnsi="Book Antiqua" w:cs="Book Antiqua"/>
          <w:b/>
          <w:bCs/>
          <w:color w:val="000000"/>
        </w:rPr>
        <w:t>7</w:t>
      </w:r>
      <w:r w:rsidR="00093B77" w:rsidRPr="001C61A1">
        <w:rPr>
          <w:rFonts w:ascii="Book Antiqua" w:eastAsia="Book Antiqua" w:hAnsi="Book Antiqua" w:cs="Book Antiqua"/>
          <w:color w:val="000000"/>
        </w:rPr>
        <w:t>: 613475 [PMID: 33511147 DOI: 10.3389/fmed.2020.613475]</w:t>
      </w:r>
    </w:p>
    <w:p w14:paraId="039E6779" w14:textId="6BBF777B"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5</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Kokkotis G</w:t>
      </w:r>
      <w:r w:rsidR="00093B77" w:rsidRPr="001C61A1">
        <w:rPr>
          <w:rFonts w:ascii="Book Antiqua" w:eastAsia="Book Antiqua" w:hAnsi="Book Antiqua" w:cs="Book Antiqua"/>
          <w:color w:val="000000"/>
        </w:rPr>
        <w:t xml:space="preserve">, Kitsou K, Xynogalas I, Spoulou V, Magiorkinis G, Trontzas I, Trontzas P, Poulakou G, Syrigos K, Bamias G. Systematic review with meta-analysis: COVID-19 outcomes in patients receiving anti-TNF treatments. </w:t>
      </w:r>
      <w:r w:rsidR="00093B77" w:rsidRPr="001C61A1">
        <w:rPr>
          <w:rFonts w:ascii="Book Antiqua" w:eastAsia="Book Antiqua" w:hAnsi="Book Antiqua" w:cs="Book Antiqua"/>
          <w:i/>
          <w:iCs/>
          <w:color w:val="000000"/>
        </w:rPr>
        <w:t>Aliment Pharmacol Ther</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55</w:t>
      </w:r>
      <w:r w:rsidR="00093B77" w:rsidRPr="001C61A1">
        <w:rPr>
          <w:rFonts w:ascii="Book Antiqua" w:eastAsia="Book Antiqua" w:hAnsi="Book Antiqua" w:cs="Book Antiqua"/>
          <w:color w:val="000000"/>
        </w:rPr>
        <w:t>: 154-167 [PMID: 34881430 DOI: 10.1111/apt.16717]</w:t>
      </w:r>
    </w:p>
    <w:p w14:paraId="6EF42CA6" w14:textId="05A6FCDC"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6</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Ristic-Medic D</w:t>
      </w:r>
      <w:r w:rsidR="00093B77" w:rsidRPr="001C61A1">
        <w:rPr>
          <w:rFonts w:ascii="Book Antiqua" w:eastAsia="Book Antiqua" w:hAnsi="Book Antiqua" w:cs="Book Antiqua"/>
          <w:color w:val="000000"/>
        </w:rPr>
        <w:t xml:space="preserve">, Petrovic S, Arsic A, Vucic V. Liver disease and COVID-19: The link with oxidative stress, antioxidants and nutrition. </w:t>
      </w:r>
      <w:r w:rsidR="00093B77" w:rsidRPr="001C61A1">
        <w:rPr>
          <w:rFonts w:ascii="Book Antiqua" w:eastAsia="Book Antiqua" w:hAnsi="Book Antiqua" w:cs="Book Antiqua"/>
          <w:i/>
          <w:iCs/>
          <w:color w:val="000000"/>
        </w:rPr>
        <w:t>World J Gastroenterol</w:t>
      </w:r>
      <w:r w:rsidR="00093B77" w:rsidRPr="001C61A1">
        <w:rPr>
          <w:rFonts w:ascii="Book Antiqua" w:eastAsia="Book Antiqua" w:hAnsi="Book Antiqua" w:cs="Book Antiqua"/>
          <w:color w:val="000000"/>
        </w:rPr>
        <w:t xml:space="preserve"> 2021; </w:t>
      </w:r>
      <w:r w:rsidR="00093B77" w:rsidRPr="001C61A1">
        <w:rPr>
          <w:rFonts w:ascii="Book Antiqua" w:eastAsia="Book Antiqua" w:hAnsi="Book Antiqua" w:cs="Book Antiqua"/>
          <w:b/>
          <w:bCs/>
          <w:color w:val="000000"/>
        </w:rPr>
        <w:t>27</w:t>
      </w:r>
      <w:r w:rsidR="00093B77" w:rsidRPr="001C61A1">
        <w:rPr>
          <w:rFonts w:ascii="Book Antiqua" w:eastAsia="Book Antiqua" w:hAnsi="Book Antiqua" w:cs="Book Antiqua"/>
          <w:color w:val="000000"/>
        </w:rPr>
        <w:t>: 5682-5699 [PMID: 34629794 DOI: 10.3748/wjg.v27.i34.5682]</w:t>
      </w:r>
    </w:p>
    <w:p w14:paraId="2861D624" w14:textId="0AA8AEBE"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7</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Wree A</w:t>
      </w:r>
      <w:r w:rsidR="00093B77" w:rsidRPr="001C61A1">
        <w:rPr>
          <w:rFonts w:ascii="Book Antiqua" w:eastAsia="Book Antiqua" w:hAnsi="Book Antiqua" w:cs="Book Antiqua"/>
          <w:color w:val="000000"/>
        </w:rPr>
        <w:t xml:space="preserve">, Dechêne A, Herzer K, Hilgard P, Syn WK, Gerken G, Canbay A. Steroid and ursodesoxycholic Acid combination therapy in severe drug-induced liver injury. </w:t>
      </w:r>
      <w:r w:rsidR="00093B77" w:rsidRPr="001C61A1">
        <w:rPr>
          <w:rFonts w:ascii="Book Antiqua" w:eastAsia="Book Antiqua" w:hAnsi="Book Antiqua" w:cs="Book Antiqua"/>
          <w:i/>
          <w:iCs/>
          <w:color w:val="000000"/>
        </w:rPr>
        <w:t>Digestion</w:t>
      </w:r>
      <w:r w:rsidR="00093B77" w:rsidRPr="001C61A1">
        <w:rPr>
          <w:rFonts w:ascii="Book Antiqua" w:eastAsia="Book Antiqua" w:hAnsi="Book Antiqua" w:cs="Book Antiqua"/>
          <w:color w:val="000000"/>
        </w:rPr>
        <w:t xml:space="preserve"> 2011; </w:t>
      </w:r>
      <w:r w:rsidR="00093B77" w:rsidRPr="001C61A1">
        <w:rPr>
          <w:rFonts w:ascii="Book Antiqua" w:eastAsia="Book Antiqua" w:hAnsi="Book Antiqua" w:cs="Book Antiqua"/>
          <w:b/>
          <w:bCs/>
          <w:color w:val="000000"/>
        </w:rPr>
        <w:t>84</w:t>
      </w:r>
      <w:r w:rsidR="00093B77" w:rsidRPr="001C61A1">
        <w:rPr>
          <w:rFonts w:ascii="Book Antiqua" w:eastAsia="Book Antiqua" w:hAnsi="Book Antiqua" w:cs="Book Antiqua"/>
          <w:color w:val="000000"/>
        </w:rPr>
        <w:t>: 54-59 [PMID: 21304237 DOI: 10.1159/000322298]</w:t>
      </w:r>
    </w:p>
    <w:p w14:paraId="4C60E40A" w14:textId="2BCD0BDF"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8</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Stine JG</w:t>
      </w:r>
      <w:r w:rsidR="00093B77" w:rsidRPr="001C61A1">
        <w:rPr>
          <w:rFonts w:ascii="Book Antiqua" w:eastAsia="Book Antiqua" w:hAnsi="Book Antiqua" w:cs="Book Antiqua"/>
          <w:color w:val="000000"/>
        </w:rPr>
        <w:t xml:space="preserve">, Lewis JH. Current and future directions in the treatment and prevention of drug-induced liver injury: a systematic review. </w:t>
      </w:r>
      <w:r w:rsidR="00093B77" w:rsidRPr="001C61A1">
        <w:rPr>
          <w:rFonts w:ascii="Book Antiqua" w:eastAsia="Book Antiqua" w:hAnsi="Book Antiqua" w:cs="Book Antiqua"/>
          <w:i/>
          <w:iCs/>
          <w:color w:val="000000"/>
        </w:rPr>
        <w:t>Expert Rev Gastroenterol Hepatol</w:t>
      </w:r>
      <w:r w:rsidR="00093B77" w:rsidRPr="001C61A1">
        <w:rPr>
          <w:rFonts w:ascii="Book Antiqua" w:eastAsia="Book Antiqua" w:hAnsi="Book Antiqua" w:cs="Book Antiqua"/>
          <w:color w:val="000000"/>
        </w:rPr>
        <w:t xml:space="preserve"> 2016; </w:t>
      </w:r>
      <w:r w:rsidR="00093B77" w:rsidRPr="001C61A1">
        <w:rPr>
          <w:rFonts w:ascii="Book Antiqua" w:eastAsia="Book Antiqua" w:hAnsi="Book Antiqua" w:cs="Book Antiqua"/>
          <w:b/>
          <w:bCs/>
          <w:color w:val="000000"/>
        </w:rPr>
        <w:t>10</w:t>
      </w:r>
      <w:r w:rsidR="00093B77" w:rsidRPr="001C61A1">
        <w:rPr>
          <w:rFonts w:ascii="Book Antiqua" w:eastAsia="Book Antiqua" w:hAnsi="Book Antiqua" w:cs="Book Antiqua"/>
          <w:color w:val="000000"/>
        </w:rPr>
        <w:t>: 517-536 [PMID: 26633044 DOI: 10.1586/17474124.2016.1127756]</w:t>
      </w:r>
    </w:p>
    <w:p w14:paraId="3C193FFB" w14:textId="34AF13CD"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13</w:t>
      </w:r>
      <w:r w:rsidRPr="001C61A1">
        <w:rPr>
          <w:rFonts w:ascii="Book Antiqua" w:hAnsi="Book Antiqua" w:cs="Book Antiqua"/>
          <w:color w:val="000000"/>
          <w:lang w:eastAsia="zh-CN"/>
        </w:rPr>
        <w:t>9</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Gabrielli M</w:t>
      </w:r>
      <w:r w:rsidR="00093B77" w:rsidRPr="001C61A1">
        <w:rPr>
          <w:rFonts w:ascii="Book Antiqua" w:eastAsia="Book Antiqua" w:hAnsi="Book Antiqua" w:cs="Book Antiqua"/>
          <w:color w:val="000000"/>
        </w:rPr>
        <w:t xml:space="preserve">, Franza L, Esperide A, Gasparrini I, Gasbarrini A, Franceschi F, On Behalf Of Gemelli Against Covid. Liver Injury in Patients Hospitalized for COVID-19: Possible Role of Therapy. </w:t>
      </w:r>
      <w:r w:rsidR="00093B77" w:rsidRPr="001C61A1">
        <w:rPr>
          <w:rFonts w:ascii="Book Antiqua" w:eastAsia="Book Antiqua" w:hAnsi="Book Antiqua" w:cs="Book Antiqua"/>
          <w:i/>
          <w:iCs/>
          <w:color w:val="000000"/>
        </w:rPr>
        <w:t>Vaccines (Basel)</w:t>
      </w:r>
      <w:r w:rsidR="00093B77" w:rsidRPr="001C61A1">
        <w:rPr>
          <w:rFonts w:ascii="Book Antiqua" w:eastAsia="Book Antiqua" w:hAnsi="Book Antiqua" w:cs="Book Antiqua"/>
          <w:color w:val="000000"/>
        </w:rPr>
        <w:t xml:space="preserve"> 2022; </w:t>
      </w:r>
      <w:r w:rsidR="00093B77" w:rsidRPr="001C61A1">
        <w:rPr>
          <w:rFonts w:ascii="Book Antiqua" w:eastAsia="Book Antiqua" w:hAnsi="Book Antiqua" w:cs="Book Antiqua"/>
          <w:b/>
          <w:bCs/>
          <w:color w:val="000000"/>
        </w:rPr>
        <w:t>10</w:t>
      </w:r>
      <w:r w:rsidR="00093B77" w:rsidRPr="001C61A1">
        <w:rPr>
          <w:rFonts w:ascii="Book Antiqua" w:eastAsia="Book Antiqua" w:hAnsi="Book Antiqua" w:cs="Book Antiqua"/>
          <w:color w:val="000000"/>
        </w:rPr>
        <w:t xml:space="preserve"> [PMID: 35214651 DOI: 10.3390/vaccines10020192]</w:t>
      </w:r>
    </w:p>
    <w:p w14:paraId="2FB84CB0" w14:textId="5650D0FE" w:rsidR="00A77B3E" w:rsidRPr="001C61A1" w:rsidRDefault="005419E1" w:rsidP="000D1A82">
      <w:pPr>
        <w:spacing w:line="360" w:lineRule="auto"/>
        <w:jc w:val="both"/>
        <w:rPr>
          <w:rFonts w:ascii="Book Antiqua" w:hAnsi="Book Antiqua"/>
        </w:rPr>
      </w:pPr>
      <w:r w:rsidRPr="001C61A1">
        <w:rPr>
          <w:rFonts w:ascii="Book Antiqua" w:eastAsia="Book Antiqua" w:hAnsi="Book Antiqua" w:cs="Book Antiqua"/>
          <w:color w:val="000000"/>
        </w:rPr>
        <w:t>1</w:t>
      </w:r>
      <w:r w:rsidRPr="001C61A1">
        <w:rPr>
          <w:rFonts w:ascii="Book Antiqua" w:hAnsi="Book Antiqua" w:cs="Book Antiqua"/>
          <w:color w:val="000000"/>
          <w:lang w:eastAsia="zh-CN"/>
        </w:rPr>
        <w:t>40</w:t>
      </w:r>
      <w:r w:rsidRPr="001C61A1">
        <w:rPr>
          <w:rFonts w:ascii="Book Antiqua" w:eastAsia="Book Antiqua" w:hAnsi="Book Antiqua" w:cs="Book Antiqua"/>
          <w:color w:val="000000"/>
        </w:rPr>
        <w:t xml:space="preserve"> </w:t>
      </w:r>
      <w:r w:rsidR="00093B77" w:rsidRPr="001C61A1">
        <w:rPr>
          <w:rFonts w:ascii="Book Antiqua" w:eastAsia="Book Antiqua" w:hAnsi="Book Antiqua" w:cs="Book Antiqua"/>
          <w:b/>
          <w:bCs/>
          <w:color w:val="000000"/>
        </w:rPr>
        <w:t>Yang RX</w:t>
      </w:r>
      <w:r w:rsidR="00093B77" w:rsidRPr="001C61A1">
        <w:rPr>
          <w:rFonts w:ascii="Book Antiqua" w:eastAsia="Book Antiqua" w:hAnsi="Book Antiqua" w:cs="Book Antiqua"/>
          <w:color w:val="000000"/>
        </w:rPr>
        <w:t xml:space="preserve">, Zheng RD, Fan JG. Etiology and management of liver injury in patients with COVID-19. </w:t>
      </w:r>
      <w:r w:rsidR="00093B77" w:rsidRPr="001C61A1">
        <w:rPr>
          <w:rFonts w:ascii="Book Antiqua" w:eastAsia="Book Antiqua" w:hAnsi="Book Antiqua" w:cs="Book Antiqua"/>
          <w:i/>
          <w:iCs/>
          <w:color w:val="000000"/>
        </w:rPr>
        <w:t>World J Gastroenterol</w:t>
      </w:r>
      <w:r w:rsidR="00093B77" w:rsidRPr="001C61A1">
        <w:rPr>
          <w:rFonts w:ascii="Book Antiqua" w:eastAsia="Book Antiqua" w:hAnsi="Book Antiqua" w:cs="Book Antiqua"/>
          <w:color w:val="000000"/>
        </w:rPr>
        <w:t xml:space="preserve"> 2020; </w:t>
      </w:r>
      <w:r w:rsidR="00093B77" w:rsidRPr="001C61A1">
        <w:rPr>
          <w:rFonts w:ascii="Book Antiqua" w:eastAsia="Book Antiqua" w:hAnsi="Book Antiqua" w:cs="Book Antiqua"/>
          <w:b/>
          <w:bCs/>
          <w:color w:val="000000"/>
        </w:rPr>
        <w:t>26</w:t>
      </w:r>
      <w:r w:rsidR="00093B77" w:rsidRPr="001C61A1">
        <w:rPr>
          <w:rFonts w:ascii="Book Antiqua" w:eastAsia="Book Antiqua" w:hAnsi="Book Antiqua" w:cs="Book Antiqua"/>
          <w:color w:val="000000"/>
        </w:rPr>
        <w:t>: 4753-4762 [PMID: 32921955 DOI: 10.3748/wjg.v26.i32.4753]</w:t>
      </w:r>
    </w:p>
    <w:p w14:paraId="4C62C0DF" w14:textId="77777777" w:rsidR="00A77B3E" w:rsidRPr="001C61A1" w:rsidRDefault="00A77B3E" w:rsidP="000D1A82">
      <w:pPr>
        <w:spacing w:line="360" w:lineRule="auto"/>
        <w:jc w:val="both"/>
        <w:rPr>
          <w:rFonts w:ascii="Book Antiqua" w:hAnsi="Book Antiqua"/>
        </w:rPr>
        <w:sectPr w:rsidR="00A77B3E" w:rsidRPr="001C61A1">
          <w:pgSz w:w="12240" w:h="15840"/>
          <w:pgMar w:top="1440" w:right="1440" w:bottom="1440" w:left="1440" w:header="720" w:footer="720" w:gutter="0"/>
          <w:cols w:space="720"/>
          <w:docGrid w:linePitch="360"/>
        </w:sectPr>
      </w:pPr>
    </w:p>
    <w:p w14:paraId="038E090D"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lastRenderedPageBreak/>
        <w:t>Footnotes</w:t>
      </w:r>
    </w:p>
    <w:p w14:paraId="7AFDE99F"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Conflict-of-interest statement: </w:t>
      </w:r>
      <w:r w:rsidRPr="001C61A1">
        <w:rPr>
          <w:rFonts w:ascii="Book Antiqua" w:eastAsia="Book Antiqua" w:hAnsi="Book Antiqua" w:cs="Book Antiqua"/>
          <w:color w:val="000000"/>
        </w:rPr>
        <w:t>All the authors report no relevant conflicts of interest for this article.</w:t>
      </w:r>
    </w:p>
    <w:p w14:paraId="79F877E9" w14:textId="77777777" w:rsidR="00A77B3E" w:rsidRPr="001C61A1" w:rsidRDefault="00A77B3E" w:rsidP="000D1A82">
      <w:pPr>
        <w:spacing w:line="360" w:lineRule="auto"/>
        <w:jc w:val="both"/>
        <w:rPr>
          <w:rFonts w:ascii="Book Antiqua" w:hAnsi="Book Antiqua"/>
        </w:rPr>
      </w:pPr>
    </w:p>
    <w:p w14:paraId="4C1D2F4A"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bCs/>
          <w:color w:val="000000"/>
        </w:rPr>
        <w:t xml:space="preserve">Open-Access: </w:t>
      </w:r>
      <w:r w:rsidRPr="001C61A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ABF749" w14:textId="77777777" w:rsidR="00A77B3E" w:rsidRPr="001C61A1" w:rsidRDefault="00A77B3E" w:rsidP="000D1A82">
      <w:pPr>
        <w:spacing w:line="360" w:lineRule="auto"/>
        <w:jc w:val="both"/>
        <w:rPr>
          <w:rFonts w:ascii="Book Antiqua" w:hAnsi="Book Antiqua"/>
        </w:rPr>
      </w:pPr>
    </w:p>
    <w:p w14:paraId="5E3A7758" w14:textId="062A9C66"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Provenance and peer review: </w:t>
      </w:r>
      <w:r w:rsidRPr="001C61A1">
        <w:rPr>
          <w:rFonts w:ascii="Book Antiqua" w:eastAsia="Book Antiqua" w:hAnsi="Book Antiqua" w:cs="Book Antiqua"/>
          <w:color w:val="000000"/>
        </w:rPr>
        <w:t>Invited article; Externally peer reviewed</w:t>
      </w:r>
      <w:r w:rsidR="009D016B" w:rsidRPr="001C61A1">
        <w:rPr>
          <w:rFonts w:ascii="Book Antiqua" w:eastAsia="Book Antiqua" w:hAnsi="Book Antiqua" w:cs="Book Antiqua"/>
          <w:color w:val="000000"/>
        </w:rPr>
        <w:t>.</w:t>
      </w:r>
    </w:p>
    <w:p w14:paraId="0401644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Peer-review model: </w:t>
      </w:r>
      <w:r w:rsidRPr="001C61A1">
        <w:rPr>
          <w:rFonts w:ascii="Book Antiqua" w:eastAsia="Book Antiqua" w:hAnsi="Book Antiqua" w:cs="Book Antiqua"/>
          <w:color w:val="000000"/>
        </w:rPr>
        <w:t>Single blind</w:t>
      </w:r>
    </w:p>
    <w:p w14:paraId="4470D48E" w14:textId="77777777" w:rsidR="00A77B3E" w:rsidRPr="001C61A1" w:rsidRDefault="00A77B3E" w:rsidP="000D1A82">
      <w:pPr>
        <w:spacing w:line="360" w:lineRule="auto"/>
        <w:jc w:val="both"/>
        <w:rPr>
          <w:rFonts w:ascii="Book Antiqua" w:hAnsi="Book Antiqua"/>
        </w:rPr>
      </w:pPr>
    </w:p>
    <w:p w14:paraId="3797207B"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Peer-review started: </w:t>
      </w:r>
      <w:r w:rsidRPr="001C61A1">
        <w:rPr>
          <w:rFonts w:ascii="Book Antiqua" w:eastAsia="Book Antiqua" w:hAnsi="Book Antiqua" w:cs="Book Antiqua"/>
          <w:color w:val="000000"/>
        </w:rPr>
        <w:t>September 14, 2022</w:t>
      </w:r>
    </w:p>
    <w:p w14:paraId="3BC5E0CE"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First decision: </w:t>
      </w:r>
      <w:r w:rsidRPr="001C61A1">
        <w:rPr>
          <w:rFonts w:ascii="Book Antiqua" w:eastAsia="Book Antiqua" w:hAnsi="Book Antiqua" w:cs="Book Antiqua"/>
          <w:color w:val="000000"/>
        </w:rPr>
        <w:t>October 19, 2022</w:t>
      </w:r>
    </w:p>
    <w:p w14:paraId="314E1BAC" w14:textId="455FC58D"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Article in press: </w:t>
      </w:r>
      <w:r w:rsidR="009D016B" w:rsidRPr="001C61A1">
        <w:rPr>
          <w:rFonts w:ascii="Book Antiqua" w:eastAsia="Book Antiqua" w:hAnsi="Book Antiqua" w:cs="Book Antiqua"/>
          <w:color w:val="000000"/>
        </w:rPr>
        <w:t>December 8, 2022</w:t>
      </w:r>
    </w:p>
    <w:p w14:paraId="1C887159" w14:textId="77777777" w:rsidR="00A77B3E" w:rsidRPr="001C61A1" w:rsidRDefault="00A77B3E" w:rsidP="000D1A82">
      <w:pPr>
        <w:spacing w:line="360" w:lineRule="auto"/>
        <w:jc w:val="both"/>
        <w:rPr>
          <w:rFonts w:ascii="Book Antiqua" w:hAnsi="Book Antiqua"/>
        </w:rPr>
      </w:pPr>
    </w:p>
    <w:p w14:paraId="39713155"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Specialty type: </w:t>
      </w:r>
      <w:bookmarkStart w:id="12" w:name="OLE_LINK1473"/>
      <w:bookmarkStart w:id="13" w:name="OLE_LINK1474"/>
      <w:r w:rsidR="009E1AF2" w:rsidRPr="001C61A1">
        <w:rPr>
          <w:rFonts w:ascii="Book Antiqua" w:eastAsia="微软雅黑" w:hAnsi="Book Antiqua" w:cs="宋体"/>
        </w:rPr>
        <w:t>Gastroenterology and hepatology</w:t>
      </w:r>
      <w:bookmarkEnd w:id="12"/>
      <w:bookmarkEnd w:id="13"/>
    </w:p>
    <w:p w14:paraId="467E6717"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 xml:space="preserve">Country/Territory of origin: </w:t>
      </w:r>
      <w:r w:rsidRPr="001C61A1">
        <w:rPr>
          <w:rFonts w:ascii="Book Antiqua" w:eastAsia="Book Antiqua" w:hAnsi="Book Antiqua" w:cs="Book Antiqua"/>
          <w:color w:val="000000"/>
        </w:rPr>
        <w:t>China</w:t>
      </w:r>
    </w:p>
    <w:p w14:paraId="7A45B5B1"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b/>
          <w:color w:val="000000"/>
        </w:rPr>
        <w:t>Peer-review report’s scientific quality classification</w:t>
      </w:r>
    </w:p>
    <w:p w14:paraId="5F584D6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Grade A (Excellent): 0</w:t>
      </w:r>
    </w:p>
    <w:p w14:paraId="599F0778"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Grade B (Very good): B</w:t>
      </w:r>
    </w:p>
    <w:p w14:paraId="44EE5B43"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Grade C (Good): C, C</w:t>
      </w:r>
    </w:p>
    <w:p w14:paraId="072FFCEC"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Grade D (Fair): 0</w:t>
      </w:r>
    </w:p>
    <w:p w14:paraId="5706AC92" w14:textId="77777777" w:rsidR="00A77B3E" w:rsidRPr="001C61A1" w:rsidRDefault="00093B77" w:rsidP="000D1A82">
      <w:pPr>
        <w:spacing w:line="360" w:lineRule="auto"/>
        <w:jc w:val="both"/>
        <w:rPr>
          <w:rFonts w:ascii="Book Antiqua" w:hAnsi="Book Antiqua"/>
        </w:rPr>
      </w:pPr>
      <w:r w:rsidRPr="001C61A1">
        <w:rPr>
          <w:rFonts w:ascii="Book Antiqua" w:eastAsia="Book Antiqua" w:hAnsi="Book Antiqua" w:cs="Book Antiqua"/>
          <w:color w:val="000000"/>
        </w:rPr>
        <w:t>Grade E (Poor): 0</w:t>
      </w:r>
    </w:p>
    <w:p w14:paraId="361737C7" w14:textId="77777777" w:rsidR="00A77B3E" w:rsidRPr="001C61A1" w:rsidRDefault="00A77B3E" w:rsidP="000D1A82">
      <w:pPr>
        <w:spacing w:line="360" w:lineRule="auto"/>
        <w:jc w:val="both"/>
        <w:rPr>
          <w:rFonts w:ascii="Book Antiqua" w:hAnsi="Book Antiqua"/>
        </w:rPr>
      </w:pPr>
    </w:p>
    <w:p w14:paraId="33C3A5DC" w14:textId="329AC41E" w:rsidR="00A77B3E" w:rsidRPr="001C61A1" w:rsidRDefault="00093B77" w:rsidP="000D1A82">
      <w:pPr>
        <w:spacing w:line="360" w:lineRule="auto"/>
        <w:jc w:val="both"/>
        <w:rPr>
          <w:rFonts w:ascii="Book Antiqua" w:eastAsia="Book Antiqua" w:hAnsi="Book Antiqua" w:cs="Book Antiqua"/>
          <w:b/>
          <w:color w:val="000000"/>
        </w:rPr>
      </w:pPr>
      <w:r w:rsidRPr="001C61A1">
        <w:rPr>
          <w:rFonts w:ascii="Book Antiqua" w:eastAsia="Book Antiqua" w:hAnsi="Book Antiqua" w:cs="Book Antiqua"/>
          <w:b/>
          <w:color w:val="000000"/>
        </w:rPr>
        <w:t xml:space="preserve">P-Reviewer: </w:t>
      </w:r>
      <w:r w:rsidRPr="001C61A1">
        <w:rPr>
          <w:rFonts w:ascii="Book Antiqua" w:eastAsia="Book Antiqua" w:hAnsi="Book Antiqua" w:cs="Book Antiqua"/>
          <w:color w:val="000000"/>
        </w:rPr>
        <w:t>Bredt LC, Brazil; Gheshlaghi S</w:t>
      </w:r>
      <w:r w:rsidR="009E1AF2" w:rsidRPr="001C61A1">
        <w:rPr>
          <w:rFonts w:ascii="Book Antiqua" w:eastAsia="Book Antiqua" w:hAnsi="Book Antiqua" w:cs="Book Antiqua"/>
          <w:color w:val="000000"/>
        </w:rPr>
        <w:t>, Iran</w:t>
      </w:r>
      <w:r w:rsidRPr="001C61A1">
        <w:rPr>
          <w:rFonts w:ascii="Book Antiqua" w:eastAsia="Book Antiqua" w:hAnsi="Book Antiqua" w:cs="Book Antiqua"/>
          <w:color w:val="000000"/>
        </w:rPr>
        <w:t>; Yao G</w:t>
      </w:r>
      <w:r w:rsidR="009E1AF2" w:rsidRPr="001C61A1">
        <w:rPr>
          <w:rFonts w:ascii="Book Antiqua" w:eastAsia="Book Antiqua" w:hAnsi="Book Antiqua" w:cs="Book Antiqua"/>
          <w:color w:val="000000"/>
        </w:rPr>
        <w:t>, China</w:t>
      </w:r>
      <w:r w:rsidRPr="001C61A1">
        <w:rPr>
          <w:rFonts w:ascii="Book Antiqua" w:eastAsia="Book Antiqua" w:hAnsi="Book Antiqua" w:cs="Book Antiqua"/>
          <w:b/>
          <w:color w:val="000000"/>
        </w:rPr>
        <w:t xml:space="preserve"> S-Editor: </w:t>
      </w:r>
      <w:r w:rsidR="009E1AF2" w:rsidRPr="001C61A1">
        <w:rPr>
          <w:rFonts w:ascii="Book Antiqua" w:eastAsia="Book Antiqua" w:hAnsi="Book Antiqua" w:cs="Book Antiqua"/>
          <w:bCs/>
          <w:color w:val="000000"/>
        </w:rPr>
        <w:t>Wang JJ</w:t>
      </w:r>
      <w:r w:rsidRPr="001C61A1">
        <w:rPr>
          <w:rFonts w:ascii="Book Antiqua" w:eastAsia="Book Antiqua" w:hAnsi="Book Antiqua" w:cs="Book Antiqua"/>
          <w:b/>
          <w:color w:val="000000"/>
        </w:rPr>
        <w:t xml:space="preserve"> L-Editor: </w:t>
      </w:r>
      <w:r w:rsidR="000C21AE" w:rsidRPr="001C61A1">
        <w:rPr>
          <w:rFonts w:ascii="Book Antiqua" w:eastAsia="Book Antiqua" w:hAnsi="Book Antiqua" w:cs="Book Antiqua"/>
          <w:bCs/>
          <w:color w:val="000000"/>
        </w:rPr>
        <w:t>Filipodia</w:t>
      </w:r>
      <w:r w:rsidRPr="001C61A1">
        <w:rPr>
          <w:rFonts w:ascii="Book Antiqua" w:eastAsia="Book Antiqua" w:hAnsi="Book Antiqua" w:cs="Book Antiqua"/>
          <w:b/>
          <w:color w:val="000000"/>
        </w:rPr>
        <w:t xml:space="preserve"> P-Editor: </w:t>
      </w:r>
      <w:r w:rsidR="009D016B" w:rsidRPr="001C61A1">
        <w:rPr>
          <w:rFonts w:ascii="Book Antiqua" w:eastAsia="Book Antiqua" w:hAnsi="Book Antiqua" w:cs="Book Antiqua"/>
          <w:bCs/>
          <w:color w:val="000000"/>
        </w:rPr>
        <w:t>Wang JJ</w:t>
      </w:r>
    </w:p>
    <w:p w14:paraId="73AAAA39" w14:textId="77777777" w:rsidR="004D5606" w:rsidRPr="001C61A1" w:rsidRDefault="004D5606" w:rsidP="000D1A82">
      <w:pPr>
        <w:spacing w:line="360" w:lineRule="auto"/>
        <w:jc w:val="both"/>
        <w:rPr>
          <w:rFonts w:ascii="Book Antiqua" w:eastAsia="Book Antiqua" w:hAnsi="Book Antiqua" w:cs="Book Antiqua"/>
          <w:b/>
          <w:color w:val="000000"/>
        </w:rPr>
      </w:pPr>
    </w:p>
    <w:p w14:paraId="7687D86D" w14:textId="77777777" w:rsidR="005E3E41" w:rsidRPr="001C61A1" w:rsidRDefault="005E3E41" w:rsidP="000D1A82">
      <w:pPr>
        <w:spacing w:line="360" w:lineRule="auto"/>
        <w:jc w:val="both"/>
        <w:rPr>
          <w:rFonts w:ascii="Book Antiqua" w:hAnsi="Book Antiqua"/>
          <w:b/>
          <w:bCs/>
        </w:rPr>
      </w:pPr>
      <w:r w:rsidRPr="001C61A1">
        <w:rPr>
          <w:rFonts w:ascii="Book Antiqua" w:hAnsi="Book Antiqua"/>
          <w:b/>
          <w:bCs/>
        </w:rPr>
        <w:t>Table 1 Criteria, grading, and incidence of abnormal liver function or injury</w:t>
      </w:r>
    </w:p>
    <w:tbl>
      <w:tblPr>
        <w:tblW w:w="11484" w:type="dxa"/>
        <w:jc w:val="center"/>
        <w:tblLook w:val="04A0" w:firstRow="1" w:lastRow="0" w:firstColumn="1" w:lastColumn="0" w:noHBand="0" w:noVBand="1"/>
      </w:tblPr>
      <w:tblGrid>
        <w:gridCol w:w="1910"/>
        <w:gridCol w:w="1133"/>
        <w:gridCol w:w="1722"/>
        <w:gridCol w:w="3622"/>
        <w:gridCol w:w="3097"/>
      </w:tblGrid>
      <w:tr w:rsidR="00640F7E" w:rsidRPr="001C61A1" w14:paraId="3263259D" w14:textId="77777777" w:rsidTr="00701E9D">
        <w:trPr>
          <w:jc w:val="center"/>
        </w:trPr>
        <w:tc>
          <w:tcPr>
            <w:tcW w:w="1910" w:type="dxa"/>
            <w:tcBorders>
              <w:top w:val="single" w:sz="4" w:space="0" w:color="auto"/>
              <w:bottom w:val="single" w:sz="4" w:space="0" w:color="auto"/>
            </w:tcBorders>
          </w:tcPr>
          <w:p w14:paraId="5486BBD1"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Ref.</w:t>
            </w:r>
          </w:p>
        </w:tc>
        <w:tc>
          <w:tcPr>
            <w:tcW w:w="1133" w:type="dxa"/>
            <w:tcBorders>
              <w:top w:val="single" w:sz="4" w:space="0" w:color="auto"/>
              <w:bottom w:val="single" w:sz="4" w:space="0" w:color="auto"/>
            </w:tcBorders>
          </w:tcPr>
          <w:p w14:paraId="4FE02242"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Sample size</w:t>
            </w:r>
          </w:p>
        </w:tc>
        <w:tc>
          <w:tcPr>
            <w:tcW w:w="1722" w:type="dxa"/>
            <w:tcBorders>
              <w:top w:val="single" w:sz="4" w:space="0" w:color="auto"/>
              <w:bottom w:val="single" w:sz="4" w:space="0" w:color="auto"/>
            </w:tcBorders>
          </w:tcPr>
          <w:p w14:paraId="648F15F1"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Study type</w:t>
            </w:r>
          </w:p>
        </w:tc>
        <w:tc>
          <w:tcPr>
            <w:tcW w:w="3622" w:type="dxa"/>
            <w:tcBorders>
              <w:top w:val="single" w:sz="4" w:space="0" w:color="auto"/>
              <w:bottom w:val="single" w:sz="4" w:space="0" w:color="auto"/>
            </w:tcBorders>
          </w:tcPr>
          <w:p w14:paraId="6049A1D4"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Criteria and grading of ALF or injury</w:t>
            </w:r>
          </w:p>
        </w:tc>
        <w:tc>
          <w:tcPr>
            <w:tcW w:w="3097" w:type="dxa"/>
            <w:tcBorders>
              <w:top w:val="single" w:sz="4" w:space="0" w:color="auto"/>
              <w:bottom w:val="single" w:sz="4" w:space="0" w:color="auto"/>
            </w:tcBorders>
          </w:tcPr>
          <w:p w14:paraId="03D235B5"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Comments</w:t>
            </w:r>
          </w:p>
        </w:tc>
      </w:tr>
      <w:tr w:rsidR="00640F7E" w:rsidRPr="001C61A1" w14:paraId="296515D8" w14:textId="77777777" w:rsidTr="00701E9D">
        <w:trPr>
          <w:trHeight w:val="1248"/>
          <w:jc w:val="center"/>
        </w:trPr>
        <w:tc>
          <w:tcPr>
            <w:tcW w:w="1910" w:type="dxa"/>
            <w:tcBorders>
              <w:top w:val="single" w:sz="4" w:space="0" w:color="auto"/>
            </w:tcBorders>
          </w:tcPr>
          <w:p w14:paraId="20A6CF1B"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t xml:space="preserve">Salık </w:t>
            </w:r>
            <w:r w:rsidRPr="001C61A1">
              <w:rPr>
                <w:rFonts w:ascii="Book Antiqua" w:hAnsi="Book Antiqua" w:cs="Segoe UI"/>
                <w:i/>
                <w:iCs/>
                <w:color w:val="000000" w:themeColor="text1"/>
                <w:shd w:val="clear" w:color="auto" w:fill="FFFFFF"/>
              </w:rPr>
              <w:t>et al</w:t>
            </w:r>
            <w:r w:rsidRPr="001C61A1">
              <w:rPr>
                <w:rFonts w:ascii="Book Antiqua" w:hAnsi="Book Antiqua" w:cs="Segoe UI"/>
                <w:color w:val="000000" w:themeColor="text1"/>
                <w:shd w:val="clear" w:color="auto" w:fill="FFFFFF"/>
                <w:vertAlign w:val="superscript"/>
              </w:rPr>
              <w:t>[5]</w:t>
            </w:r>
          </w:p>
        </w:tc>
        <w:tc>
          <w:tcPr>
            <w:tcW w:w="1133" w:type="dxa"/>
            <w:tcBorders>
              <w:top w:val="single" w:sz="4" w:space="0" w:color="auto"/>
            </w:tcBorders>
          </w:tcPr>
          <w:p w14:paraId="3A63F4D5"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533</w:t>
            </w:r>
          </w:p>
        </w:tc>
        <w:tc>
          <w:tcPr>
            <w:tcW w:w="1722" w:type="dxa"/>
            <w:tcBorders>
              <w:top w:val="single" w:sz="4" w:space="0" w:color="auto"/>
            </w:tcBorders>
          </w:tcPr>
          <w:p w14:paraId="27B467CC"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Retrospective study</w:t>
            </w:r>
          </w:p>
        </w:tc>
        <w:tc>
          <w:tcPr>
            <w:tcW w:w="3622" w:type="dxa"/>
            <w:tcBorders>
              <w:top w:val="single" w:sz="4" w:space="0" w:color="auto"/>
            </w:tcBorders>
          </w:tcPr>
          <w:p w14:paraId="4EFEBD79" w14:textId="36B0015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Liver biochemical parameters: ALT, AST,</w:t>
            </w:r>
            <w:r w:rsidRPr="001C61A1">
              <w:rPr>
                <w:rFonts w:ascii="Book Antiqua" w:hAnsi="Book Antiqua"/>
                <w:color w:val="000000" w:themeColor="text1"/>
                <w:lang w:eastAsia="zh-CN"/>
              </w:rPr>
              <w:t xml:space="preserve"> </w:t>
            </w:r>
            <w:r w:rsidRPr="001C61A1">
              <w:rPr>
                <w:rFonts w:ascii="Book Antiqua" w:hAnsi="Book Antiqua"/>
                <w:color w:val="000000" w:themeColor="text1"/>
              </w:rPr>
              <w:t>and TBiL &gt; ULN.</w:t>
            </w:r>
            <w:r w:rsidRPr="001C61A1">
              <w:rPr>
                <w:rFonts w:ascii="Book Antiqua" w:hAnsi="Book Antiqua"/>
                <w:color w:val="000000" w:themeColor="text1"/>
                <w:lang w:eastAsia="zh-CN"/>
              </w:rPr>
              <w:t xml:space="preserve"> </w:t>
            </w:r>
            <w:r w:rsidRPr="001C61A1">
              <w:rPr>
                <w:rFonts w:ascii="Book Antiqua" w:hAnsi="Book Antiqua"/>
                <w:color w:val="000000" w:themeColor="text1"/>
              </w:rPr>
              <w:t>Liver injury: ALT and/or AST &gt; 3 ULN, and/or TBiL &gt; 3 ULN</w:t>
            </w:r>
          </w:p>
        </w:tc>
        <w:tc>
          <w:tcPr>
            <w:tcW w:w="3097" w:type="dxa"/>
            <w:tcBorders>
              <w:top w:val="single" w:sz="4" w:space="0" w:color="auto"/>
            </w:tcBorders>
          </w:tcPr>
          <w:p w14:paraId="1DB7A5EC"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NA</w:t>
            </w:r>
          </w:p>
        </w:tc>
      </w:tr>
      <w:tr w:rsidR="00640F7E" w:rsidRPr="001C61A1" w14:paraId="4A539BC5" w14:textId="77777777" w:rsidTr="00701E9D">
        <w:trPr>
          <w:trHeight w:val="1248"/>
          <w:jc w:val="center"/>
        </w:trPr>
        <w:tc>
          <w:tcPr>
            <w:tcW w:w="1910" w:type="dxa"/>
          </w:tcPr>
          <w:p w14:paraId="2603C168"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s="Segoe UI"/>
                <w:color w:val="000000" w:themeColor="text1"/>
                <w:shd w:val="clear" w:color="auto" w:fill="FFFFFF"/>
              </w:rPr>
              <w:t xml:space="preserve">Cai </w:t>
            </w:r>
            <w:r w:rsidRPr="001C61A1">
              <w:rPr>
                <w:rFonts w:ascii="Book Antiqua" w:hAnsi="Book Antiqua" w:cs="Segoe UI"/>
                <w:i/>
                <w:iCs/>
                <w:color w:val="000000" w:themeColor="text1"/>
                <w:shd w:val="clear" w:color="auto" w:fill="FFFFFF"/>
              </w:rPr>
              <w:t>et al</w:t>
            </w:r>
            <w:r w:rsidRPr="001C61A1">
              <w:rPr>
                <w:rFonts w:ascii="Book Antiqua" w:hAnsi="Book Antiqua" w:cs="Segoe UI"/>
                <w:color w:val="000000" w:themeColor="text1"/>
                <w:shd w:val="clear" w:color="auto" w:fill="FFFFFF"/>
                <w:vertAlign w:val="superscript"/>
              </w:rPr>
              <w:t>[6]</w:t>
            </w:r>
          </w:p>
        </w:tc>
        <w:tc>
          <w:tcPr>
            <w:tcW w:w="1133" w:type="dxa"/>
          </w:tcPr>
          <w:p w14:paraId="791F869F"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417</w:t>
            </w:r>
          </w:p>
        </w:tc>
        <w:tc>
          <w:tcPr>
            <w:tcW w:w="1722" w:type="dxa"/>
          </w:tcPr>
          <w:p w14:paraId="497C8BC8"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Retrospective, single-center study</w:t>
            </w:r>
          </w:p>
        </w:tc>
        <w:tc>
          <w:tcPr>
            <w:tcW w:w="3622" w:type="dxa"/>
          </w:tcPr>
          <w:p w14:paraId="4A0B419C" w14:textId="77D7F350"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ALF: &gt; ULN.</w:t>
            </w:r>
            <w:r w:rsidRPr="001C61A1">
              <w:rPr>
                <w:rFonts w:ascii="Book Antiqua" w:hAnsi="Book Antiqua"/>
                <w:color w:val="000000" w:themeColor="text1"/>
                <w:lang w:eastAsia="zh-CN"/>
              </w:rPr>
              <w:t xml:space="preserve"> </w:t>
            </w:r>
            <w:r w:rsidRPr="001C61A1">
              <w:rPr>
                <w:rFonts w:ascii="Book Antiqua" w:hAnsi="Book Antiqua"/>
                <w:color w:val="000000" w:themeColor="text1"/>
              </w:rPr>
              <w:t>Liver injury: ALT and/or AST &gt; 3 ULN, ALP, GGT, and/or TBiL &gt; 2 ULN</w:t>
            </w:r>
          </w:p>
        </w:tc>
        <w:tc>
          <w:tcPr>
            <w:tcW w:w="3097" w:type="dxa"/>
          </w:tcPr>
          <w:p w14:paraId="2CE0E23A"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76.3% had ALF and 21.5% had liver injury during hospitalization</w:t>
            </w:r>
          </w:p>
        </w:tc>
      </w:tr>
      <w:tr w:rsidR="00640F7E" w:rsidRPr="001C61A1" w14:paraId="71B1B3EF" w14:textId="77777777" w:rsidTr="00701E9D">
        <w:trPr>
          <w:jc w:val="center"/>
        </w:trPr>
        <w:tc>
          <w:tcPr>
            <w:tcW w:w="1910" w:type="dxa"/>
          </w:tcPr>
          <w:p w14:paraId="048BA019"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s="Segoe UI"/>
                <w:color w:val="000000" w:themeColor="text1"/>
                <w:shd w:val="clear" w:color="auto" w:fill="FFFFFF"/>
              </w:rPr>
              <w:t xml:space="preserve">Fan </w:t>
            </w:r>
            <w:r w:rsidRPr="001C61A1">
              <w:rPr>
                <w:rFonts w:ascii="Book Antiqua" w:hAnsi="Book Antiqua" w:cs="Segoe UI"/>
                <w:i/>
                <w:iCs/>
                <w:color w:val="000000" w:themeColor="text1"/>
                <w:shd w:val="clear" w:color="auto" w:fill="FFFFFF"/>
              </w:rPr>
              <w:t>et al</w:t>
            </w:r>
            <w:r w:rsidRPr="001C61A1">
              <w:rPr>
                <w:rFonts w:ascii="Book Antiqua" w:hAnsi="Book Antiqua" w:cs="Segoe UI"/>
                <w:color w:val="000000" w:themeColor="text1"/>
                <w:shd w:val="clear" w:color="auto" w:fill="FFFFFF"/>
                <w:vertAlign w:val="superscript"/>
              </w:rPr>
              <w:t>[8]</w:t>
            </w:r>
          </w:p>
        </w:tc>
        <w:tc>
          <w:tcPr>
            <w:tcW w:w="1133" w:type="dxa"/>
          </w:tcPr>
          <w:p w14:paraId="7B899627"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148</w:t>
            </w:r>
          </w:p>
        </w:tc>
        <w:tc>
          <w:tcPr>
            <w:tcW w:w="1722" w:type="dxa"/>
          </w:tcPr>
          <w:p w14:paraId="68524369"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Retrospective, single-center study</w:t>
            </w:r>
          </w:p>
        </w:tc>
        <w:tc>
          <w:tcPr>
            <w:tcW w:w="3622" w:type="dxa"/>
          </w:tcPr>
          <w:p w14:paraId="36F10D0E"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Increased levels of ALT, AST, GGT, ALP, and total bilirubin</w:t>
            </w:r>
          </w:p>
        </w:tc>
        <w:tc>
          <w:tcPr>
            <w:tcW w:w="3097" w:type="dxa"/>
          </w:tcPr>
          <w:p w14:paraId="588E99DE"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37.2% had ALF at hospital admission</w:t>
            </w:r>
          </w:p>
        </w:tc>
      </w:tr>
      <w:tr w:rsidR="00640F7E" w:rsidRPr="001C61A1" w14:paraId="6670A061" w14:textId="77777777" w:rsidTr="00701E9D">
        <w:trPr>
          <w:jc w:val="center"/>
        </w:trPr>
        <w:tc>
          <w:tcPr>
            <w:tcW w:w="1910" w:type="dxa"/>
          </w:tcPr>
          <w:p w14:paraId="4950D34E"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t xml:space="preserve">Kulkarni </w:t>
            </w:r>
            <w:r w:rsidRPr="001C61A1">
              <w:rPr>
                <w:rFonts w:ascii="Book Antiqua" w:hAnsi="Book Antiqua" w:cs="Segoe UI"/>
                <w:i/>
                <w:iCs/>
                <w:color w:val="000000" w:themeColor="text1"/>
                <w:shd w:val="clear" w:color="auto" w:fill="FFFFFF"/>
              </w:rPr>
              <w:t>et al</w:t>
            </w:r>
            <w:r w:rsidRPr="001C61A1">
              <w:rPr>
                <w:rFonts w:ascii="Book Antiqua" w:hAnsi="Book Antiqua" w:cs="Segoe UI"/>
                <w:color w:val="000000" w:themeColor="text1"/>
                <w:shd w:val="clear" w:color="auto" w:fill="FFFFFF"/>
                <w:vertAlign w:val="superscript"/>
              </w:rPr>
              <w:t>[9]</w:t>
            </w:r>
          </w:p>
        </w:tc>
        <w:tc>
          <w:tcPr>
            <w:tcW w:w="1133" w:type="dxa"/>
          </w:tcPr>
          <w:p w14:paraId="3CC73E5D"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20874</w:t>
            </w:r>
          </w:p>
        </w:tc>
        <w:tc>
          <w:tcPr>
            <w:tcW w:w="1722" w:type="dxa"/>
          </w:tcPr>
          <w:p w14:paraId="42B04642"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Meta</w:t>
            </w:r>
            <w:r w:rsidRPr="001C61A1">
              <w:rPr>
                <w:rFonts w:ascii="Book Antiqua" w:eastAsia="宋体" w:hAnsi="Book Antiqua" w:cs="宋体"/>
                <w:color w:val="000000" w:themeColor="text1"/>
              </w:rPr>
              <w:t>-</w:t>
            </w:r>
            <w:r w:rsidRPr="001C61A1">
              <w:rPr>
                <w:rFonts w:ascii="Book Antiqua" w:hAnsi="Book Antiqua"/>
                <w:color w:val="000000" w:themeColor="text1"/>
              </w:rPr>
              <w:t>analysis</w:t>
            </w:r>
          </w:p>
        </w:tc>
        <w:tc>
          <w:tcPr>
            <w:tcW w:w="3622" w:type="dxa"/>
          </w:tcPr>
          <w:p w14:paraId="7F842EF6"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ELC: AST or ALT &gt; ULN.</w:t>
            </w:r>
            <w:r w:rsidRPr="001C61A1">
              <w:rPr>
                <w:rFonts w:ascii="Book Antiqua" w:hAnsi="Book Antiqua"/>
                <w:color w:val="000000" w:themeColor="text1"/>
                <w:lang w:eastAsia="zh-CN"/>
              </w:rPr>
              <w:t xml:space="preserve"> </w:t>
            </w:r>
            <w:r w:rsidRPr="001C61A1">
              <w:rPr>
                <w:rFonts w:ascii="Book Antiqua" w:hAnsi="Book Antiqua"/>
                <w:color w:val="000000" w:themeColor="text1"/>
              </w:rPr>
              <w:t>SLI: Any elevation of enzymes &gt; ULN and bilirubin over 2 ULN</w:t>
            </w:r>
          </w:p>
        </w:tc>
        <w:tc>
          <w:tcPr>
            <w:tcW w:w="3097" w:type="dxa"/>
          </w:tcPr>
          <w:p w14:paraId="0D0A7D2B"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ELC: 23.1% at initial presentation.</w:t>
            </w:r>
            <w:r w:rsidRPr="001C61A1">
              <w:rPr>
                <w:rFonts w:ascii="Book Antiqua" w:hAnsi="Book Antiqua"/>
                <w:color w:val="000000" w:themeColor="text1"/>
                <w:lang w:eastAsia="zh-CN"/>
              </w:rPr>
              <w:t xml:space="preserve"> </w:t>
            </w:r>
            <w:r w:rsidRPr="001C61A1">
              <w:rPr>
                <w:rFonts w:ascii="Book Antiqua" w:hAnsi="Book Antiqua"/>
                <w:color w:val="000000" w:themeColor="text1"/>
              </w:rPr>
              <w:t>24.4% developed ELC during the illness</w:t>
            </w:r>
          </w:p>
        </w:tc>
      </w:tr>
      <w:tr w:rsidR="00640F7E" w:rsidRPr="001C61A1" w14:paraId="2F095E60" w14:textId="77777777" w:rsidTr="00701E9D">
        <w:trPr>
          <w:jc w:val="center"/>
        </w:trPr>
        <w:tc>
          <w:tcPr>
            <w:tcW w:w="1910" w:type="dxa"/>
          </w:tcPr>
          <w:p w14:paraId="09C58734"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t xml:space="preserve">Xu </w:t>
            </w:r>
            <w:r w:rsidRPr="001C61A1">
              <w:rPr>
                <w:rFonts w:ascii="Book Antiqua" w:hAnsi="Book Antiqua" w:cs="Segoe UI"/>
                <w:i/>
                <w:iCs/>
                <w:color w:val="000000" w:themeColor="text1"/>
                <w:shd w:val="clear" w:color="auto" w:fill="FFFFFF"/>
              </w:rPr>
              <w:t>et al</w:t>
            </w:r>
            <w:r w:rsidRPr="001C61A1">
              <w:rPr>
                <w:rFonts w:ascii="Book Antiqua" w:hAnsi="Book Antiqua" w:cs="Segoe UI"/>
                <w:color w:val="000000" w:themeColor="text1"/>
                <w:shd w:val="clear" w:color="auto" w:fill="FFFFFF"/>
                <w:vertAlign w:val="superscript"/>
              </w:rPr>
              <w:t>[10]</w:t>
            </w:r>
          </w:p>
        </w:tc>
        <w:tc>
          <w:tcPr>
            <w:tcW w:w="1133" w:type="dxa"/>
          </w:tcPr>
          <w:p w14:paraId="79E080D2"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1003</w:t>
            </w:r>
          </w:p>
        </w:tc>
        <w:tc>
          <w:tcPr>
            <w:tcW w:w="1722" w:type="dxa"/>
          </w:tcPr>
          <w:p w14:paraId="34BAFB90"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Retrospective cohort study</w:t>
            </w:r>
          </w:p>
        </w:tc>
        <w:tc>
          <w:tcPr>
            <w:tcW w:w="3622" w:type="dxa"/>
          </w:tcPr>
          <w:p w14:paraId="0451A626" w14:textId="329E398D"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Mild liver injury: 1-2 ULN.</w:t>
            </w:r>
            <w:r w:rsidRPr="001C61A1">
              <w:rPr>
                <w:rFonts w:ascii="Book Antiqua" w:hAnsi="Book Antiqua"/>
                <w:color w:val="000000" w:themeColor="text1"/>
                <w:lang w:eastAsia="zh-CN"/>
              </w:rPr>
              <w:t xml:space="preserve"> </w:t>
            </w:r>
            <w:r w:rsidRPr="001C61A1">
              <w:rPr>
                <w:rFonts w:ascii="Book Antiqua" w:hAnsi="Book Antiqua"/>
                <w:color w:val="000000" w:themeColor="text1"/>
              </w:rPr>
              <w:t>Moderate liver injury: 2-5 ULN</w:t>
            </w:r>
            <w:r w:rsidRPr="001C61A1">
              <w:rPr>
                <w:rFonts w:ascii="Book Antiqua" w:hAnsi="Book Antiqua"/>
                <w:color w:val="000000" w:themeColor="text1"/>
                <w:lang w:eastAsia="zh-CN"/>
              </w:rPr>
              <w:t xml:space="preserve">. </w:t>
            </w:r>
            <w:r w:rsidRPr="001C61A1">
              <w:rPr>
                <w:rFonts w:ascii="Book Antiqua" w:hAnsi="Book Antiqua"/>
                <w:color w:val="000000" w:themeColor="text1"/>
              </w:rPr>
              <w:t>Significant liver injury: &gt; 5 ULN</w:t>
            </w:r>
          </w:p>
        </w:tc>
        <w:tc>
          <w:tcPr>
            <w:tcW w:w="3097" w:type="dxa"/>
          </w:tcPr>
          <w:p w14:paraId="4B5FA352"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Most patients with abnormal liver function parameters had mild elevations (1-2 ULN) at admission and peak hospitalization</w:t>
            </w:r>
          </w:p>
        </w:tc>
      </w:tr>
      <w:tr w:rsidR="00640F7E" w:rsidRPr="001C61A1" w14:paraId="25A1ED58" w14:textId="77777777" w:rsidTr="00701E9D">
        <w:trPr>
          <w:jc w:val="center"/>
        </w:trPr>
        <w:tc>
          <w:tcPr>
            <w:tcW w:w="1910" w:type="dxa"/>
          </w:tcPr>
          <w:p w14:paraId="15765DB2"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t xml:space="preserve">Hundt </w:t>
            </w:r>
            <w:r w:rsidRPr="001C61A1">
              <w:rPr>
                <w:rFonts w:ascii="Book Antiqua" w:hAnsi="Book Antiqua" w:cs="Segoe UI"/>
                <w:i/>
                <w:iCs/>
                <w:color w:val="000000" w:themeColor="text1"/>
                <w:shd w:val="clear" w:color="auto" w:fill="FFFFFF"/>
              </w:rPr>
              <w:t>et al</w:t>
            </w:r>
            <w:r w:rsidRPr="001C61A1">
              <w:rPr>
                <w:rFonts w:ascii="Book Antiqua" w:hAnsi="Book Antiqua" w:cs="Segoe UI"/>
                <w:color w:val="000000" w:themeColor="text1"/>
                <w:shd w:val="clear" w:color="auto" w:fill="FFFFFF"/>
                <w:vertAlign w:val="superscript"/>
              </w:rPr>
              <w:t>[13]</w:t>
            </w:r>
          </w:p>
        </w:tc>
        <w:tc>
          <w:tcPr>
            <w:tcW w:w="1133" w:type="dxa"/>
          </w:tcPr>
          <w:p w14:paraId="78F540D0"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1827</w:t>
            </w:r>
          </w:p>
        </w:tc>
        <w:tc>
          <w:tcPr>
            <w:tcW w:w="1722" w:type="dxa"/>
          </w:tcPr>
          <w:p w14:paraId="73C472E1"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Retrospective observational cohort study</w:t>
            </w:r>
          </w:p>
        </w:tc>
        <w:tc>
          <w:tcPr>
            <w:tcW w:w="3622" w:type="dxa"/>
          </w:tcPr>
          <w:p w14:paraId="527823BD"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ELC: AST, ALT, ALP, TBiL, albumin: &gt;</w:t>
            </w:r>
            <w:r w:rsidR="00640F7E" w:rsidRPr="001C61A1">
              <w:rPr>
                <w:rFonts w:ascii="Book Antiqua" w:hAnsi="Book Antiqua"/>
                <w:color w:val="000000" w:themeColor="text1"/>
              </w:rPr>
              <w:t xml:space="preserve"> </w:t>
            </w:r>
            <w:r w:rsidRPr="001C61A1">
              <w:rPr>
                <w:rFonts w:ascii="Book Antiqua" w:hAnsi="Book Antiqua"/>
                <w:color w:val="000000" w:themeColor="text1"/>
              </w:rPr>
              <w:t>ULN</w:t>
            </w:r>
          </w:p>
        </w:tc>
        <w:tc>
          <w:tcPr>
            <w:tcW w:w="3097" w:type="dxa"/>
          </w:tcPr>
          <w:p w14:paraId="65FFE931"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ELC at pre-hospitalization (AST 25.9%, ALT 38.0%, ALP 56.8%, and TBiL 44.4%).</w:t>
            </w:r>
            <w:r w:rsidR="00640F7E" w:rsidRPr="001C61A1">
              <w:rPr>
                <w:rFonts w:ascii="Book Antiqua" w:hAnsi="Book Antiqua"/>
                <w:color w:val="000000" w:themeColor="text1"/>
                <w:lang w:eastAsia="zh-CN"/>
              </w:rPr>
              <w:t xml:space="preserve"> </w:t>
            </w:r>
            <w:r w:rsidRPr="001C61A1">
              <w:rPr>
                <w:rFonts w:ascii="Book Antiqua" w:hAnsi="Book Antiqua"/>
                <w:color w:val="000000" w:themeColor="text1"/>
              </w:rPr>
              <w:t xml:space="preserve">Admission (AST 66.9%, ALT 41.6%, ALP </w:t>
            </w:r>
            <w:r w:rsidRPr="001C61A1">
              <w:rPr>
                <w:rFonts w:ascii="Book Antiqua" w:hAnsi="Book Antiqua"/>
                <w:color w:val="000000" w:themeColor="text1"/>
              </w:rPr>
              <w:lastRenderedPageBreak/>
              <w:t>13.5%, and TBiL 4.3%).</w:t>
            </w:r>
            <w:r w:rsidR="00640F7E" w:rsidRPr="001C61A1">
              <w:rPr>
                <w:rFonts w:ascii="Book Antiqua" w:hAnsi="Book Antiqua"/>
                <w:color w:val="000000" w:themeColor="text1"/>
                <w:lang w:eastAsia="zh-CN"/>
              </w:rPr>
              <w:t xml:space="preserve"> </w:t>
            </w:r>
            <w:r w:rsidRPr="001C61A1">
              <w:rPr>
                <w:rFonts w:ascii="Book Antiqua" w:hAnsi="Book Antiqua"/>
                <w:color w:val="000000" w:themeColor="text1"/>
              </w:rPr>
              <w:t>Peak hospitalization (AST 83.4%, ALT 61.6%, ALP 22.7%, and TBiL 16.1%)</w:t>
            </w:r>
          </w:p>
        </w:tc>
      </w:tr>
      <w:tr w:rsidR="00640F7E" w:rsidRPr="001C61A1" w14:paraId="37C9C411" w14:textId="77777777" w:rsidTr="00701E9D">
        <w:trPr>
          <w:jc w:val="center"/>
        </w:trPr>
        <w:tc>
          <w:tcPr>
            <w:tcW w:w="1910" w:type="dxa"/>
          </w:tcPr>
          <w:p w14:paraId="501B1C10"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lastRenderedPageBreak/>
              <w:t xml:space="preserve">Balderramo </w:t>
            </w:r>
            <w:r w:rsidRPr="001C61A1">
              <w:rPr>
                <w:rFonts w:ascii="Book Antiqua" w:hAnsi="Book Antiqua" w:cs="Segoe UI"/>
                <w:i/>
                <w:iCs/>
                <w:color w:val="000000" w:themeColor="text1"/>
                <w:shd w:val="clear" w:color="auto" w:fill="FFFFFF"/>
              </w:rPr>
              <w:t>et al</w:t>
            </w:r>
            <w:r w:rsidR="00640F7E" w:rsidRPr="001C61A1">
              <w:rPr>
                <w:rFonts w:ascii="Book Antiqua" w:hAnsi="Book Antiqua" w:cs="Segoe UI"/>
                <w:color w:val="000000" w:themeColor="text1"/>
                <w:shd w:val="clear" w:color="auto" w:fill="FFFFFF"/>
                <w:vertAlign w:val="superscript"/>
              </w:rPr>
              <w:t>[14]</w:t>
            </w:r>
          </w:p>
        </w:tc>
        <w:tc>
          <w:tcPr>
            <w:tcW w:w="1133" w:type="dxa"/>
          </w:tcPr>
          <w:p w14:paraId="3B107C83"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298</w:t>
            </w:r>
          </w:p>
        </w:tc>
        <w:tc>
          <w:tcPr>
            <w:tcW w:w="1722" w:type="dxa"/>
          </w:tcPr>
          <w:p w14:paraId="02857A3F"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Multicenter study</w:t>
            </w:r>
          </w:p>
        </w:tc>
        <w:tc>
          <w:tcPr>
            <w:tcW w:w="3622" w:type="dxa"/>
          </w:tcPr>
          <w:p w14:paraId="55AF6F65"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 xml:space="preserve">ALEx2: </w:t>
            </w:r>
            <w:r w:rsidR="00640F7E" w:rsidRPr="001C61A1">
              <w:rPr>
                <w:rFonts w:ascii="Book Antiqua" w:hAnsi="Book Antiqua"/>
                <w:color w:val="000000" w:themeColor="text1"/>
              </w:rPr>
              <w:t>T</w:t>
            </w:r>
            <w:r w:rsidRPr="001C61A1">
              <w:rPr>
                <w:rFonts w:ascii="Book Antiqua" w:hAnsi="Book Antiqua"/>
                <w:color w:val="000000" w:themeColor="text1"/>
              </w:rPr>
              <w:t>he elevation of at least one of the following:</w:t>
            </w:r>
            <w:r w:rsidR="00640F7E" w:rsidRPr="001C61A1">
              <w:rPr>
                <w:rFonts w:ascii="Book Antiqua" w:hAnsi="Book Antiqua"/>
                <w:color w:val="000000" w:themeColor="text1"/>
              </w:rPr>
              <w:t xml:space="preserve"> </w:t>
            </w:r>
            <w:r w:rsidRPr="001C61A1">
              <w:rPr>
                <w:rFonts w:ascii="Book Antiqua" w:hAnsi="Book Antiqua"/>
                <w:color w:val="000000" w:themeColor="text1"/>
              </w:rPr>
              <w:t>TBil, ALT, AST, GGT, or ALP &gt;</w:t>
            </w:r>
            <w:r w:rsidR="00640F7E" w:rsidRPr="001C61A1">
              <w:rPr>
                <w:rFonts w:ascii="Book Antiqua" w:hAnsi="Book Antiqua"/>
                <w:color w:val="000000" w:themeColor="text1"/>
              </w:rPr>
              <w:t xml:space="preserve"> </w:t>
            </w:r>
            <w:r w:rsidRPr="001C61A1">
              <w:rPr>
                <w:rFonts w:ascii="Book Antiqua" w:hAnsi="Book Antiqua"/>
                <w:color w:val="000000" w:themeColor="text1"/>
              </w:rPr>
              <w:t>2</w:t>
            </w:r>
            <w:r w:rsidR="00640F7E" w:rsidRPr="001C61A1">
              <w:rPr>
                <w:rFonts w:ascii="Book Antiqua" w:hAnsi="Book Antiqua"/>
                <w:color w:val="000000" w:themeColor="text1"/>
              </w:rPr>
              <w:t xml:space="preserve"> </w:t>
            </w:r>
            <w:r w:rsidRPr="001C61A1">
              <w:rPr>
                <w:rFonts w:ascii="Book Antiqua" w:hAnsi="Book Antiqua"/>
                <w:color w:val="000000" w:themeColor="text1"/>
              </w:rPr>
              <w:t>ULN</w:t>
            </w:r>
          </w:p>
        </w:tc>
        <w:tc>
          <w:tcPr>
            <w:tcW w:w="3097" w:type="dxa"/>
          </w:tcPr>
          <w:p w14:paraId="46514B7D"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During admission, 29.2% out of 298 patients presented ALEx2</w:t>
            </w:r>
          </w:p>
        </w:tc>
      </w:tr>
      <w:tr w:rsidR="00640F7E" w:rsidRPr="001C61A1" w14:paraId="06BAA149" w14:textId="77777777" w:rsidTr="00701E9D">
        <w:trPr>
          <w:jc w:val="center"/>
        </w:trPr>
        <w:tc>
          <w:tcPr>
            <w:tcW w:w="1910" w:type="dxa"/>
          </w:tcPr>
          <w:p w14:paraId="527388DB"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t xml:space="preserve">Phipps </w:t>
            </w:r>
            <w:r w:rsidRPr="001C61A1">
              <w:rPr>
                <w:rFonts w:ascii="Book Antiqua" w:hAnsi="Book Antiqua" w:cs="Segoe UI"/>
                <w:i/>
                <w:iCs/>
                <w:color w:val="000000" w:themeColor="text1"/>
                <w:shd w:val="clear" w:color="auto" w:fill="FFFFFF"/>
              </w:rPr>
              <w:t>et al</w:t>
            </w:r>
            <w:r w:rsidR="00640F7E" w:rsidRPr="001C61A1">
              <w:rPr>
                <w:rFonts w:ascii="Book Antiqua" w:hAnsi="Book Antiqua" w:cs="Segoe UI"/>
                <w:color w:val="000000" w:themeColor="text1"/>
                <w:shd w:val="clear" w:color="auto" w:fill="FFFFFF"/>
                <w:vertAlign w:val="superscript"/>
              </w:rPr>
              <w:t>[19]</w:t>
            </w:r>
          </w:p>
        </w:tc>
        <w:tc>
          <w:tcPr>
            <w:tcW w:w="1133" w:type="dxa"/>
          </w:tcPr>
          <w:p w14:paraId="35561ABE"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6913</w:t>
            </w:r>
          </w:p>
        </w:tc>
        <w:tc>
          <w:tcPr>
            <w:tcW w:w="1722" w:type="dxa"/>
          </w:tcPr>
          <w:p w14:paraId="434CB50D"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Retrospective cohort study</w:t>
            </w:r>
          </w:p>
        </w:tc>
        <w:tc>
          <w:tcPr>
            <w:tcW w:w="3622" w:type="dxa"/>
          </w:tcPr>
          <w:p w14:paraId="70CA9F3E"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Mild: ALT 1-2 ULN</w:t>
            </w:r>
            <w:r w:rsidR="00640F7E" w:rsidRPr="001C61A1">
              <w:rPr>
                <w:rFonts w:ascii="Book Antiqua" w:hAnsi="Book Antiqua"/>
                <w:color w:val="000000" w:themeColor="text1"/>
                <w:lang w:eastAsia="zh-CN"/>
              </w:rPr>
              <w:t xml:space="preserve">. </w:t>
            </w:r>
            <w:r w:rsidRPr="001C61A1">
              <w:rPr>
                <w:rFonts w:ascii="Book Antiqua" w:hAnsi="Book Antiqua"/>
                <w:color w:val="000000" w:themeColor="text1"/>
              </w:rPr>
              <w:t>Moderate</w:t>
            </w:r>
            <w:r w:rsidR="00640F7E" w:rsidRPr="001C61A1">
              <w:rPr>
                <w:rFonts w:ascii="Book Antiqua" w:hAnsi="Book Antiqua"/>
                <w:color w:val="000000" w:themeColor="text1"/>
              </w:rPr>
              <w:t>:</w:t>
            </w:r>
            <w:r w:rsidRPr="001C61A1">
              <w:rPr>
                <w:rFonts w:ascii="Book Antiqua" w:hAnsi="Book Antiqua"/>
                <w:color w:val="000000" w:themeColor="text1"/>
              </w:rPr>
              <w:t xml:space="preserve"> ALT between 2-5 ULN</w:t>
            </w:r>
            <w:r w:rsidR="00640F7E" w:rsidRPr="001C61A1">
              <w:rPr>
                <w:rFonts w:ascii="Book Antiqua" w:hAnsi="Book Antiqua"/>
                <w:color w:val="000000" w:themeColor="text1"/>
                <w:lang w:eastAsia="zh-CN"/>
              </w:rPr>
              <w:t xml:space="preserve">. </w:t>
            </w:r>
            <w:r w:rsidRPr="001C61A1">
              <w:rPr>
                <w:rFonts w:ascii="Book Antiqua" w:hAnsi="Book Antiqua"/>
                <w:color w:val="000000" w:themeColor="text1"/>
              </w:rPr>
              <w:t>Severe</w:t>
            </w:r>
            <w:r w:rsidR="00640F7E" w:rsidRPr="001C61A1">
              <w:rPr>
                <w:rFonts w:ascii="Book Antiqua" w:hAnsi="Book Antiqua"/>
                <w:color w:val="000000" w:themeColor="text1"/>
              </w:rPr>
              <w:t>:</w:t>
            </w:r>
            <w:r w:rsidR="00640F7E" w:rsidRPr="001C61A1">
              <w:rPr>
                <w:rFonts w:ascii="Book Antiqua" w:hAnsi="Book Antiqua"/>
                <w:color w:val="000000" w:themeColor="text1"/>
                <w:lang w:eastAsia="zh-CN"/>
              </w:rPr>
              <w:t xml:space="preserve"> </w:t>
            </w:r>
            <w:r w:rsidRPr="001C61A1">
              <w:rPr>
                <w:rFonts w:ascii="Book Antiqua" w:hAnsi="Book Antiqua"/>
                <w:color w:val="000000" w:themeColor="text1"/>
              </w:rPr>
              <w:t>ALT &gt;</w:t>
            </w:r>
            <w:r w:rsidR="00640F7E" w:rsidRPr="001C61A1">
              <w:rPr>
                <w:rFonts w:ascii="Book Antiqua" w:hAnsi="Book Antiqua"/>
                <w:color w:val="000000" w:themeColor="text1"/>
              </w:rPr>
              <w:t xml:space="preserve"> </w:t>
            </w:r>
            <w:r w:rsidRPr="001C61A1">
              <w:rPr>
                <w:rFonts w:ascii="Book Antiqua" w:hAnsi="Book Antiqua"/>
                <w:color w:val="000000" w:themeColor="text1"/>
              </w:rPr>
              <w:t>5 ULN</w:t>
            </w:r>
          </w:p>
        </w:tc>
        <w:tc>
          <w:tcPr>
            <w:tcW w:w="3097" w:type="dxa"/>
          </w:tcPr>
          <w:p w14:paraId="284C0077"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Among patients who tested positive, 45% had mild, 21% moderate, and 6.4% SLI</w:t>
            </w:r>
          </w:p>
        </w:tc>
      </w:tr>
      <w:tr w:rsidR="00640F7E" w:rsidRPr="001C61A1" w14:paraId="57BCA495" w14:textId="77777777" w:rsidTr="00701E9D">
        <w:trPr>
          <w:jc w:val="center"/>
        </w:trPr>
        <w:tc>
          <w:tcPr>
            <w:tcW w:w="1910" w:type="dxa"/>
          </w:tcPr>
          <w:p w14:paraId="40CA2F02"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t xml:space="preserve">Wang </w:t>
            </w:r>
            <w:r w:rsidRPr="001C61A1">
              <w:rPr>
                <w:rFonts w:ascii="Book Antiqua" w:hAnsi="Book Antiqua" w:cs="Segoe UI"/>
                <w:i/>
                <w:iCs/>
                <w:color w:val="000000" w:themeColor="text1"/>
                <w:shd w:val="clear" w:color="auto" w:fill="FFFFFF"/>
              </w:rPr>
              <w:t>et al</w:t>
            </w:r>
            <w:r w:rsidR="00640F7E" w:rsidRPr="001C61A1">
              <w:rPr>
                <w:rFonts w:ascii="Book Antiqua" w:hAnsi="Book Antiqua" w:cs="Segoe UI"/>
                <w:color w:val="000000" w:themeColor="text1"/>
                <w:shd w:val="clear" w:color="auto" w:fill="FFFFFF"/>
                <w:vertAlign w:val="superscript"/>
              </w:rPr>
              <w:t>[21]</w:t>
            </w:r>
          </w:p>
        </w:tc>
        <w:tc>
          <w:tcPr>
            <w:tcW w:w="1133" w:type="dxa"/>
          </w:tcPr>
          <w:p w14:paraId="277A3020"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156</w:t>
            </w:r>
          </w:p>
        </w:tc>
        <w:tc>
          <w:tcPr>
            <w:tcW w:w="1722" w:type="dxa"/>
          </w:tcPr>
          <w:p w14:paraId="159511A5"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Retrospective, 2-centers study</w:t>
            </w:r>
          </w:p>
        </w:tc>
        <w:tc>
          <w:tcPr>
            <w:tcW w:w="3622" w:type="dxa"/>
          </w:tcPr>
          <w:p w14:paraId="12D2AE80"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Elevated aminotransferases</w:t>
            </w:r>
          </w:p>
        </w:tc>
        <w:tc>
          <w:tcPr>
            <w:tcW w:w="3097" w:type="dxa"/>
          </w:tcPr>
          <w:p w14:paraId="377D29E2"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41.0% patients with elevated aminotransferases</w:t>
            </w:r>
          </w:p>
        </w:tc>
      </w:tr>
      <w:tr w:rsidR="00640F7E" w:rsidRPr="001C61A1" w14:paraId="1F880BD1" w14:textId="77777777" w:rsidTr="00701E9D">
        <w:trPr>
          <w:jc w:val="center"/>
        </w:trPr>
        <w:tc>
          <w:tcPr>
            <w:tcW w:w="1910" w:type="dxa"/>
          </w:tcPr>
          <w:p w14:paraId="7B02CE07"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t xml:space="preserve">Liu </w:t>
            </w:r>
            <w:r w:rsidRPr="001C61A1">
              <w:rPr>
                <w:rFonts w:ascii="Book Antiqua" w:hAnsi="Book Antiqua" w:cs="Segoe UI"/>
                <w:i/>
                <w:iCs/>
                <w:color w:val="000000" w:themeColor="text1"/>
                <w:shd w:val="clear" w:color="auto" w:fill="FFFFFF"/>
              </w:rPr>
              <w:t>et al</w:t>
            </w:r>
            <w:r w:rsidR="00640F7E" w:rsidRPr="001C61A1">
              <w:rPr>
                <w:rFonts w:ascii="Book Antiqua" w:hAnsi="Book Antiqua" w:cs="Segoe UI"/>
                <w:color w:val="000000" w:themeColor="text1"/>
                <w:shd w:val="clear" w:color="auto" w:fill="FFFFFF"/>
                <w:vertAlign w:val="superscript"/>
              </w:rPr>
              <w:t>[22]</w:t>
            </w:r>
          </w:p>
        </w:tc>
        <w:tc>
          <w:tcPr>
            <w:tcW w:w="1133" w:type="dxa"/>
          </w:tcPr>
          <w:p w14:paraId="35A6E3F2"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245</w:t>
            </w:r>
          </w:p>
        </w:tc>
        <w:tc>
          <w:tcPr>
            <w:tcW w:w="1722" w:type="dxa"/>
          </w:tcPr>
          <w:p w14:paraId="5E838910"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Retrospective, single-center study</w:t>
            </w:r>
          </w:p>
        </w:tc>
        <w:tc>
          <w:tcPr>
            <w:tcW w:w="3622" w:type="dxa"/>
          </w:tcPr>
          <w:p w14:paraId="772E15F5" w14:textId="77AED82F" w:rsidR="005E3E41" w:rsidRPr="001C61A1" w:rsidRDefault="005E3E41" w:rsidP="000D1A82">
            <w:pPr>
              <w:spacing w:line="360" w:lineRule="auto"/>
              <w:jc w:val="both"/>
              <w:rPr>
                <w:rFonts w:ascii="Book Antiqua" w:hAnsi="Book Antiqua"/>
                <w:color w:val="FF0000"/>
              </w:rPr>
            </w:pPr>
            <w:r w:rsidRPr="001C61A1">
              <w:rPr>
                <w:rFonts w:ascii="Book Antiqua" w:hAnsi="Book Antiqua"/>
                <w:color w:val="000000" w:themeColor="text1"/>
              </w:rPr>
              <w:t>Mild liver dysfunction: AST ≥</w:t>
            </w:r>
            <w:r w:rsidR="00640F7E" w:rsidRPr="001C61A1">
              <w:rPr>
                <w:rFonts w:ascii="Book Antiqua" w:hAnsi="Book Antiqua"/>
                <w:color w:val="000000" w:themeColor="text1"/>
              </w:rPr>
              <w:t xml:space="preserve"> </w:t>
            </w:r>
            <w:r w:rsidRPr="001C61A1">
              <w:rPr>
                <w:rFonts w:ascii="Book Antiqua" w:hAnsi="Book Antiqua"/>
                <w:color w:val="000000" w:themeColor="text1"/>
              </w:rPr>
              <w:t>ULN. Moderate liver dysfunction: AST ≥ ULN combined with any parameter being greater than the ULN values of ALT, GGT, and TBiL. Severe liver dysfunction: AST ≥ ULN combined with ALT ≥ 3 ULN and/or GGT, TBiL ≥ 2 ULN</w:t>
            </w:r>
          </w:p>
        </w:tc>
        <w:tc>
          <w:tcPr>
            <w:tcW w:w="3097" w:type="dxa"/>
          </w:tcPr>
          <w:p w14:paraId="3E0D4E77"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43.7% experienced mild liver dysfunction, 40.4% experienced moderate liver dysfunction, and 20.4% experienced severe liver dysfunction</w:t>
            </w:r>
          </w:p>
        </w:tc>
      </w:tr>
      <w:tr w:rsidR="00640F7E" w:rsidRPr="001C61A1" w14:paraId="03DFB4E9" w14:textId="77777777" w:rsidTr="00701E9D">
        <w:trPr>
          <w:jc w:val="center"/>
        </w:trPr>
        <w:tc>
          <w:tcPr>
            <w:tcW w:w="1910" w:type="dxa"/>
          </w:tcPr>
          <w:p w14:paraId="413A0992"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t xml:space="preserve">Chaibi </w:t>
            </w:r>
            <w:r w:rsidRPr="001C61A1">
              <w:rPr>
                <w:rFonts w:ascii="Book Antiqua" w:hAnsi="Book Antiqua" w:cs="Segoe UI"/>
                <w:i/>
                <w:iCs/>
                <w:color w:val="000000" w:themeColor="text1"/>
                <w:shd w:val="clear" w:color="auto" w:fill="FFFFFF"/>
              </w:rPr>
              <w:t>et al</w:t>
            </w:r>
            <w:r w:rsidR="00640F7E" w:rsidRPr="001C61A1">
              <w:rPr>
                <w:rFonts w:ascii="Book Antiqua" w:hAnsi="Book Antiqua" w:cs="Segoe UI"/>
                <w:color w:val="000000" w:themeColor="text1"/>
                <w:shd w:val="clear" w:color="auto" w:fill="FFFFFF"/>
                <w:vertAlign w:val="superscript"/>
              </w:rPr>
              <w:t>[23]</w:t>
            </w:r>
          </w:p>
        </w:tc>
        <w:tc>
          <w:tcPr>
            <w:tcW w:w="1133" w:type="dxa"/>
          </w:tcPr>
          <w:p w14:paraId="6A8E0C2A"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281</w:t>
            </w:r>
          </w:p>
        </w:tc>
        <w:tc>
          <w:tcPr>
            <w:tcW w:w="1722" w:type="dxa"/>
          </w:tcPr>
          <w:p w14:paraId="66759733"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 xml:space="preserve">Retrospective cohort </w:t>
            </w:r>
            <w:r w:rsidR="00640F7E" w:rsidRPr="001C61A1">
              <w:rPr>
                <w:rFonts w:ascii="Book Antiqua" w:hAnsi="Book Antiqua"/>
                <w:color w:val="000000" w:themeColor="text1"/>
              </w:rPr>
              <w:t>s</w:t>
            </w:r>
            <w:r w:rsidRPr="001C61A1">
              <w:rPr>
                <w:rFonts w:ascii="Book Antiqua" w:hAnsi="Book Antiqua"/>
                <w:color w:val="000000" w:themeColor="text1"/>
              </w:rPr>
              <w:t>tudy</w:t>
            </w:r>
          </w:p>
        </w:tc>
        <w:tc>
          <w:tcPr>
            <w:tcW w:w="3622" w:type="dxa"/>
          </w:tcPr>
          <w:p w14:paraId="4836679A" w14:textId="26C9E9CA"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ALF: AST, ALT</w:t>
            </w:r>
            <w:r w:rsidR="0011177C" w:rsidRPr="001C61A1">
              <w:rPr>
                <w:rFonts w:ascii="Book Antiqua" w:hAnsi="Book Antiqua"/>
                <w:color w:val="000000" w:themeColor="text1"/>
                <w:lang w:eastAsia="zh-CN"/>
              </w:rPr>
              <w:t xml:space="preserve">, </w:t>
            </w:r>
            <w:r w:rsidRPr="001C61A1">
              <w:rPr>
                <w:rFonts w:ascii="Book Antiqua" w:hAnsi="Book Antiqua"/>
                <w:color w:val="000000" w:themeColor="text1"/>
              </w:rPr>
              <w:t>GGT, ALP or TBil &gt;</w:t>
            </w:r>
            <w:r w:rsidR="00640F7E" w:rsidRPr="001C61A1">
              <w:rPr>
                <w:rFonts w:ascii="Book Antiqua" w:hAnsi="Book Antiqua"/>
                <w:color w:val="000000" w:themeColor="text1"/>
              </w:rPr>
              <w:t xml:space="preserve"> </w:t>
            </w:r>
            <w:r w:rsidRPr="001C61A1">
              <w:rPr>
                <w:rFonts w:ascii="Book Antiqua" w:hAnsi="Book Antiqua"/>
                <w:color w:val="000000" w:themeColor="text1"/>
              </w:rPr>
              <w:t>ULN</w:t>
            </w:r>
          </w:p>
        </w:tc>
        <w:tc>
          <w:tcPr>
            <w:tcW w:w="3097" w:type="dxa"/>
          </w:tcPr>
          <w:p w14:paraId="6A31643F"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 xml:space="preserve">36.3 % had liver dysfunctions. Only a minority of patients (6.4%) </w:t>
            </w:r>
            <w:r w:rsidRPr="001C61A1">
              <w:rPr>
                <w:rFonts w:ascii="Book Antiqua" w:hAnsi="Book Antiqua"/>
                <w:color w:val="000000" w:themeColor="text1"/>
              </w:rPr>
              <w:lastRenderedPageBreak/>
              <w:t>had perturbations above 5 times the ULN</w:t>
            </w:r>
          </w:p>
        </w:tc>
      </w:tr>
      <w:tr w:rsidR="00640F7E" w:rsidRPr="001C61A1" w14:paraId="3C43B600" w14:textId="77777777" w:rsidTr="00701E9D">
        <w:trPr>
          <w:jc w:val="center"/>
        </w:trPr>
        <w:tc>
          <w:tcPr>
            <w:tcW w:w="1910" w:type="dxa"/>
            <w:tcBorders>
              <w:bottom w:val="single" w:sz="4" w:space="0" w:color="auto"/>
            </w:tcBorders>
          </w:tcPr>
          <w:p w14:paraId="382BF0F6" w14:textId="77777777" w:rsidR="005E3E41" w:rsidRPr="001C61A1" w:rsidRDefault="005E3E41" w:rsidP="000D1A82">
            <w:pPr>
              <w:spacing w:line="360" w:lineRule="auto"/>
              <w:jc w:val="both"/>
              <w:rPr>
                <w:rFonts w:ascii="Book Antiqua" w:hAnsi="Book Antiqua" w:cs="Segoe UI"/>
                <w:color w:val="000000" w:themeColor="text1"/>
                <w:shd w:val="clear" w:color="auto" w:fill="FFFFFF"/>
              </w:rPr>
            </w:pPr>
            <w:r w:rsidRPr="001C61A1">
              <w:rPr>
                <w:rFonts w:ascii="Book Antiqua" w:hAnsi="Book Antiqua" w:cs="Segoe UI"/>
                <w:color w:val="000000" w:themeColor="text1"/>
                <w:shd w:val="clear" w:color="auto" w:fill="FFFFFF"/>
              </w:rPr>
              <w:lastRenderedPageBreak/>
              <w:t xml:space="preserve">Shousha </w:t>
            </w:r>
            <w:r w:rsidRPr="001C61A1">
              <w:rPr>
                <w:rFonts w:ascii="Book Antiqua" w:hAnsi="Book Antiqua" w:cs="Segoe UI"/>
                <w:i/>
                <w:iCs/>
                <w:color w:val="000000" w:themeColor="text1"/>
                <w:shd w:val="clear" w:color="auto" w:fill="FFFFFF"/>
              </w:rPr>
              <w:t>et al</w:t>
            </w:r>
            <w:r w:rsidR="00640F7E" w:rsidRPr="001C61A1">
              <w:rPr>
                <w:rFonts w:ascii="Book Antiqua" w:hAnsi="Book Antiqua" w:cs="Segoe UI"/>
                <w:color w:val="000000" w:themeColor="text1"/>
                <w:shd w:val="clear" w:color="auto" w:fill="FFFFFF"/>
                <w:vertAlign w:val="superscript"/>
              </w:rPr>
              <w:t>[24]</w:t>
            </w:r>
          </w:p>
        </w:tc>
        <w:tc>
          <w:tcPr>
            <w:tcW w:w="1133" w:type="dxa"/>
            <w:tcBorders>
              <w:bottom w:val="single" w:sz="4" w:space="0" w:color="auto"/>
            </w:tcBorders>
          </w:tcPr>
          <w:p w14:paraId="08C7EE8E"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547</w:t>
            </w:r>
          </w:p>
        </w:tc>
        <w:tc>
          <w:tcPr>
            <w:tcW w:w="1722" w:type="dxa"/>
            <w:tcBorders>
              <w:bottom w:val="single" w:sz="4" w:space="0" w:color="auto"/>
            </w:tcBorders>
          </w:tcPr>
          <w:p w14:paraId="79176140"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Multicenter cohort study</w:t>
            </w:r>
          </w:p>
        </w:tc>
        <w:tc>
          <w:tcPr>
            <w:tcW w:w="3622" w:type="dxa"/>
            <w:tcBorders>
              <w:bottom w:val="single" w:sz="4" w:space="0" w:color="auto"/>
            </w:tcBorders>
          </w:tcPr>
          <w:p w14:paraId="10FABFC6"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 xml:space="preserve">Liver injury: </w:t>
            </w:r>
            <w:r w:rsidR="00640F7E" w:rsidRPr="001C61A1">
              <w:rPr>
                <w:rFonts w:ascii="Book Antiqua" w:hAnsi="Book Antiqua"/>
                <w:color w:val="000000" w:themeColor="text1"/>
              </w:rPr>
              <w:t>T</w:t>
            </w:r>
            <w:r w:rsidRPr="001C61A1">
              <w:rPr>
                <w:rFonts w:ascii="Book Antiqua" w:hAnsi="Book Antiqua"/>
                <w:color w:val="000000" w:themeColor="text1"/>
              </w:rPr>
              <w:t>ransaminase</w:t>
            </w:r>
            <w:r w:rsidR="00640F7E" w:rsidRPr="001C61A1">
              <w:rPr>
                <w:rFonts w:ascii="Book Antiqua" w:hAnsi="Book Antiqua"/>
                <w:color w:val="000000" w:themeColor="text1"/>
              </w:rPr>
              <w:t xml:space="preserve"> </w:t>
            </w:r>
            <w:r w:rsidRPr="001C61A1">
              <w:rPr>
                <w:rFonts w:ascii="Book Antiqua" w:hAnsi="Book Antiqua"/>
                <w:color w:val="000000" w:themeColor="text1"/>
              </w:rPr>
              <w:t>&gt;</w:t>
            </w:r>
            <w:r w:rsidR="00640F7E" w:rsidRPr="001C61A1">
              <w:rPr>
                <w:rFonts w:ascii="Book Antiqua" w:hAnsi="Book Antiqua"/>
                <w:color w:val="000000" w:themeColor="text1"/>
              </w:rPr>
              <w:t xml:space="preserve"> </w:t>
            </w:r>
            <w:r w:rsidRPr="001C61A1">
              <w:rPr>
                <w:rFonts w:ascii="Book Antiqua" w:hAnsi="Book Antiqua"/>
                <w:color w:val="000000" w:themeColor="text1"/>
              </w:rPr>
              <w:t>3 ULN</w:t>
            </w:r>
          </w:p>
        </w:tc>
        <w:tc>
          <w:tcPr>
            <w:tcW w:w="3097" w:type="dxa"/>
            <w:tcBorders>
              <w:bottom w:val="single" w:sz="4" w:space="0" w:color="auto"/>
            </w:tcBorders>
          </w:tcPr>
          <w:p w14:paraId="7E9BDB94"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26% and 32% of patients had elevated ALT and AST, respectively. 4.91 and 3.70%patients, respectively, had AST or ALT elevation &gt; 3 ULN</w:t>
            </w:r>
          </w:p>
        </w:tc>
      </w:tr>
    </w:tbl>
    <w:p w14:paraId="0CA9F3F2" w14:textId="584E1458" w:rsidR="00701E9D" w:rsidRPr="001C61A1" w:rsidRDefault="00BB7D33" w:rsidP="000D1A82">
      <w:pPr>
        <w:spacing w:line="360" w:lineRule="auto"/>
        <w:jc w:val="both"/>
        <w:rPr>
          <w:rFonts w:ascii="Book Antiqua" w:hAnsi="Book Antiqua"/>
          <w:b/>
          <w:bCs/>
          <w:color w:val="000000" w:themeColor="text1"/>
        </w:rPr>
      </w:pPr>
      <w:r w:rsidRPr="001C61A1">
        <w:rPr>
          <w:rFonts w:ascii="Book Antiqua" w:hAnsi="Book Antiqua"/>
          <w:color w:val="000000" w:themeColor="text1"/>
        </w:rPr>
        <w:t>ALEx2:</w:t>
      </w:r>
      <w:r w:rsidRPr="001C61A1">
        <w:rPr>
          <w:rFonts w:ascii="Book Antiqua" w:hAnsi="Book Antiqua"/>
        </w:rPr>
        <w:t xml:space="preserve"> </w:t>
      </w:r>
      <w:r w:rsidRPr="001C61A1">
        <w:rPr>
          <w:rFonts w:ascii="Book Antiqua" w:hAnsi="Book Antiqua"/>
          <w:color w:val="000000" w:themeColor="text1"/>
          <w:lang w:eastAsia="zh-CN"/>
        </w:rPr>
        <w:t>A</w:t>
      </w:r>
      <w:r w:rsidRPr="001C61A1">
        <w:rPr>
          <w:rFonts w:ascii="Book Antiqua" w:hAnsi="Book Antiqua"/>
          <w:color w:val="000000" w:themeColor="text1"/>
        </w:rPr>
        <w:t xml:space="preserve">bnormal liver enzymes over twice the upper limit of normal; </w:t>
      </w:r>
      <w:r w:rsidRPr="001C61A1">
        <w:rPr>
          <w:rFonts w:ascii="Book Antiqua" w:eastAsia="Book Antiqua" w:hAnsi="Book Antiqua" w:cs="Book Antiqua"/>
          <w:color w:val="000000"/>
        </w:rPr>
        <w:t xml:space="preserve">ALF: Abnormal liver function; ALP: Alkaline phosphatase; ALT: Alanine aminotransferase; AST: Aspartate aminotransferase; </w:t>
      </w:r>
      <w:r w:rsidR="005E3E41" w:rsidRPr="001C61A1">
        <w:rPr>
          <w:rFonts w:ascii="Book Antiqua" w:hAnsi="Book Antiqua"/>
          <w:color w:val="000000" w:themeColor="text1"/>
        </w:rPr>
        <w:t>ELC: Elevated liver chemistries</w:t>
      </w:r>
      <w:r w:rsidR="00701E9D" w:rsidRPr="001C61A1">
        <w:rPr>
          <w:rFonts w:ascii="Book Antiqua" w:hAnsi="Book Antiqua"/>
          <w:color w:val="000000" w:themeColor="text1"/>
        </w:rPr>
        <w:t xml:space="preserve">; </w:t>
      </w:r>
      <w:r w:rsidRPr="001C61A1">
        <w:rPr>
          <w:rFonts w:ascii="Book Antiqua" w:eastAsia="Book Antiqua" w:hAnsi="Book Antiqua" w:cs="Book Antiqua"/>
          <w:color w:val="000000"/>
        </w:rPr>
        <w:t xml:space="preserve">DBiL: Direct bilirubin; </w:t>
      </w:r>
      <w:r w:rsidR="00701E9D" w:rsidRPr="001C61A1">
        <w:rPr>
          <w:rFonts w:ascii="Book Antiqua" w:eastAsia="Book Antiqua" w:hAnsi="Book Antiqua" w:cs="Book Antiqua"/>
          <w:color w:val="000000"/>
        </w:rPr>
        <w:t xml:space="preserve">GGT: Gamma-glutamyl transferase; </w:t>
      </w:r>
      <w:r w:rsidRPr="001C61A1">
        <w:rPr>
          <w:rFonts w:ascii="Book Antiqua" w:eastAsia="宋体" w:hAnsi="Book Antiqua" w:cs="宋体"/>
        </w:rPr>
        <w:t xml:space="preserve">NA: Not available; </w:t>
      </w:r>
      <w:r w:rsidR="00701E9D" w:rsidRPr="001C61A1">
        <w:rPr>
          <w:rFonts w:ascii="Book Antiqua" w:eastAsia="Book Antiqua" w:hAnsi="Book Antiqua" w:cs="Book Antiqua"/>
          <w:color w:val="000000"/>
        </w:rPr>
        <w:t>TBil:</w:t>
      </w:r>
      <w:r w:rsidR="00701E9D" w:rsidRPr="001C61A1">
        <w:rPr>
          <w:rFonts w:ascii="Book Antiqua" w:hAnsi="Book Antiqua" w:cs="Book Antiqua"/>
          <w:color w:val="000000"/>
          <w:lang w:eastAsia="zh-CN"/>
        </w:rPr>
        <w:t xml:space="preserve"> </w:t>
      </w:r>
      <w:r w:rsidR="00701E9D" w:rsidRPr="001C61A1">
        <w:rPr>
          <w:rFonts w:ascii="Book Antiqua" w:eastAsia="Book Antiqua" w:hAnsi="Book Antiqua" w:cs="Book Antiqua"/>
          <w:color w:val="000000"/>
        </w:rPr>
        <w:t>Total bilirubin; ULN: Upper limit of normal</w:t>
      </w:r>
      <w:r w:rsidRPr="001C61A1">
        <w:rPr>
          <w:rFonts w:ascii="Book Antiqua" w:eastAsia="Book Antiqua" w:hAnsi="Book Antiqua" w:cs="Book Antiqua"/>
          <w:color w:val="000000"/>
        </w:rPr>
        <w:t>.</w:t>
      </w:r>
      <w:r w:rsidR="00701E9D" w:rsidRPr="001C61A1">
        <w:rPr>
          <w:rFonts w:ascii="Book Antiqua" w:hAnsi="Book Antiqua"/>
          <w:color w:val="000000" w:themeColor="text1"/>
        </w:rPr>
        <w:t xml:space="preserve"> </w:t>
      </w:r>
    </w:p>
    <w:p w14:paraId="6F004B80" w14:textId="77777777" w:rsidR="00701E9D" w:rsidRPr="001C61A1" w:rsidRDefault="00701E9D" w:rsidP="000D1A82">
      <w:pPr>
        <w:spacing w:line="360" w:lineRule="auto"/>
        <w:jc w:val="both"/>
        <w:rPr>
          <w:rFonts w:ascii="Book Antiqua" w:hAnsi="Book Antiqua"/>
          <w:lang w:eastAsia="zh-CN"/>
        </w:rPr>
        <w:sectPr w:rsidR="00701E9D" w:rsidRPr="001C61A1">
          <w:pgSz w:w="12240" w:h="15840"/>
          <w:pgMar w:top="1440" w:right="1440" w:bottom="1440" w:left="1440" w:header="720" w:footer="720" w:gutter="0"/>
          <w:cols w:space="720"/>
          <w:docGrid w:linePitch="360"/>
        </w:sectPr>
      </w:pPr>
    </w:p>
    <w:p w14:paraId="795D5D5D" w14:textId="77777777" w:rsidR="005E3E41" w:rsidRPr="001C61A1" w:rsidRDefault="005E3E41" w:rsidP="000D1A82">
      <w:pPr>
        <w:spacing w:line="360" w:lineRule="auto"/>
        <w:jc w:val="both"/>
        <w:rPr>
          <w:rFonts w:ascii="Book Antiqua" w:hAnsi="Book Antiqua"/>
          <w:b/>
          <w:bCs/>
        </w:rPr>
      </w:pPr>
      <w:r w:rsidRPr="001C61A1">
        <w:rPr>
          <w:rFonts w:ascii="Book Antiqua" w:hAnsi="Book Antiqua"/>
          <w:b/>
          <w:bCs/>
        </w:rPr>
        <w:lastRenderedPageBreak/>
        <w:t xml:space="preserve">Table 2 Treatments of liver injury in </w:t>
      </w:r>
      <w:r w:rsidR="00701E9D" w:rsidRPr="001C61A1">
        <w:rPr>
          <w:rFonts w:ascii="Book Antiqua" w:hAnsi="Book Antiqua"/>
          <w:b/>
          <w:bCs/>
        </w:rPr>
        <w:t>coronavirus disease 2019</w:t>
      </w:r>
    </w:p>
    <w:tbl>
      <w:tblPr>
        <w:tblW w:w="11908" w:type="dxa"/>
        <w:tblInd w:w="-1168" w:type="dxa"/>
        <w:tblLook w:val="04A0" w:firstRow="1" w:lastRow="0" w:firstColumn="1" w:lastColumn="0" w:noHBand="0" w:noVBand="1"/>
      </w:tblPr>
      <w:tblGrid>
        <w:gridCol w:w="2766"/>
        <w:gridCol w:w="3541"/>
        <w:gridCol w:w="4025"/>
        <w:gridCol w:w="1576"/>
      </w:tblGrid>
      <w:tr w:rsidR="00701E9D" w:rsidRPr="001C61A1" w14:paraId="7C9AE29C" w14:textId="77777777" w:rsidTr="00701E9D">
        <w:tc>
          <w:tcPr>
            <w:tcW w:w="2766" w:type="dxa"/>
            <w:tcBorders>
              <w:top w:val="single" w:sz="4" w:space="0" w:color="auto"/>
              <w:bottom w:val="single" w:sz="4" w:space="0" w:color="auto"/>
            </w:tcBorders>
          </w:tcPr>
          <w:p w14:paraId="0DD3C055"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Mechanisms of liver damage</w:t>
            </w:r>
          </w:p>
        </w:tc>
        <w:tc>
          <w:tcPr>
            <w:tcW w:w="3541" w:type="dxa"/>
            <w:tcBorders>
              <w:top w:val="single" w:sz="4" w:space="0" w:color="auto"/>
              <w:bottom w:val="single" w:sz="4" w:space="0" w:color="auto"/>
            </w:tcBorders>
          </w:tcPr>
          <w:p w14:paraId="0F8646FC"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Treatments</w:t>
            </w:r>
          </w:p>
        </w:tc>
        <w:tc>
          <w:tcPr>
            <w:tcW w:w="4025" w:type="dxa"/>
            <w:tcBorders>
              <w:top w:val="single" w:sz="4" w:space="0" w:color="auto"/>
              <w:bottom w:val="single" w:sz="4" w:space="0" w:color="auto"/>
            </w:tcBorders>
          </w:tcPr>
          <w:p w14:paraId="2D5DFDAD"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Caution</w:t>
            </w:r>
          </w:p>
        </w:tc>
        <w:tc>
          <w:tcPr>
            <w:tcW w:w="1576" w:type="dxa"/>
            <w:tcBorders>
              <w:top w:val="single" w:sz="4" w:space="0" w:color="auto"/>
              <w:bottom w:val="single" w:sz="4" w:space="0" w:color="auto"/>
            </w:tcBorders>
          </w:tcPr>
          <w:p w14:paraId="09D99E4F" w14:textId="77777777" w:rsidR="005E3E41" w:rsidRPr="001C61A1" w:rsidRDefault="005E3E41" w:rsidP="000D1A82">
            <w:pPr>
              <w:spacing w:line="360" w:lineRule="auto"/>
              <w:jc w:val="both"/>
              <w:rPr>
                <w:rFonts w:ascii="Book Antiqua" w:hAnsi="Book Antiqua"/>
                <w:b/>
                <w:bCs/>
                <w:color w:val="000000" w:themeColor="text1"/>
              </w:rPr>
            </w:pPr>
            <w:r w:rsidRPr="001C61A1">
              <w:rPr>
                <w:rFonts w:ascii="Book Antiqua" w:hAnsi="Book Antiqua"/>
                <w:b/>
                <w:bCs/>
                <w:color w:val="000000" w:themeColor="text1"/>
              </w:rPr>
              <w:t>Ref</w:t>
            </w:r>
            <w:r w:rsidR="00701E9D" w:rsidRPr="001C61A1">
              <w:rPr>
                <w:rFonts w:ascii="Book Antiqua" w:hAnsi="Book Antiqua"/>
                <w:b/>
                <w:bCs/>
                <w:color w:val="000000" w:themeColor="text1"/>
              </w:rPr>
              <w:t>.</w:t>
            </w:r>
          </w:p>
        </w:tc>
      </w:tr>
      <w:tr w:rsidR="00701E9D" w:rsidRPr="001C61A1" w14:paraId="7FC25CCC" w14:textId="77777777" w:rsidTr="00701E9D">
        <w:tc>
          <w:tcPr>
            <w:tcW w:w="2766" w:type="dxa"/>
            <w:tcBorders>
              <w:top w:val="single" w:sz="4" w:space="0" w:color="auto"/>
            </w:tcBorders>
          </w:tcPr>
          <w:p w14:paraId="5CF4776D"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Hepatocellular injury</w:t>
            </w:r>
          </w:p>
        </w:tc>
        <w:tc>
          <w:tcPr>
            <w:tcW w:w="3541" w:type="dxa"/>
            <w:tcBorders>
              <w:top w:val="single" w:sz="4" w:space="0" w:color="auto"/>
            </w:tcBorders>
          </w:tcPr>
          <w:p w14:paraId="29967B13"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Hepatoprotective, anti-inflammatory,</w:t>
            </w:r>
            <w:r w:rsidR="00701E9D" w:rsidRPr="001C61A1">
              <w:rPr>
                <w:rFonts w:ascii="Book Antiqua" w:hAnsi="Book Antiqua"/>
                <w:color w:val="000000" w:themeColor="text1"/>
                <w:lang w:eastAsia="zh-CN"/>
              </w:rPr>
              <w:t xml:space="preserve"> </w:t>
            </w:r>
            <w:r w:rsidRPr="001C61A1">
              <w:rPr>
                <w:rFonts w:ascii="Book Antiqua" w:hAnsi="Book Antiqua"/>
                <w:color w:val="000000" w:themeColor="text1"/>
              </w:rPr>
              <w:t>and jaundice-reducing agents</w:t>
            </w:r>
          </w:p>
        </w:tc>
        <w:tc>
          <w:tcPr>
            <w:tcW w:w="4025" w:type="dxa"/>
            <w:tcBorders>
              <w:top w:val="single" w:sz="4" w:space="0" w:color="auto"/>
            </w:tcBorders>
          </w:tcPr>
          <w:p w14:paraId="0CFC3FA7"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Preventive administration is not recommended</w:t>
            </w:r>
          </w:p>
        </w:tc>
        <w:tc>
          <w:tcPr>
            <w:tcW w:w="1576" w:type="dxa"/>
            <w:tcBorders>
              <w:top w:val="single" w:sz="4" w:space="0" w:color="auto"/>
            </w:tcBorders>
          </w:tcPr>
          <w:p w14:paraId="4422A28A" w14:textId="6281B735" w:rsidR="005E3E41" w:rsidRPr="001C61A1" w:rsidRDefault="00701E9D" w:rsidP="000D1A82">
            <w:pPr>
              <w:spacing w:line="360" w:lineRule="auto"/>
              <w:jc w:val="both"/>
              <w:rPr>
                <w:rFonts w:ascii="Book Antiqua" w:hAnsi="Book Antiqua"/>
                <w:color w:val="000000" w:themeColor="text1"/>
                <w:lang w:eastAsia="zh-CN"/>
              </w:rPr>
            </w:pPr>
            <w:r w:rsidRPr="001C61A1">
              <w:rPr>
                <w:rFonts w:ascii="Book Antiqua" w:hAnsi="Book Antiqua"/>
                <w:color w:val="000000" w:themeColor="text1"/>
                <w:lang w:eastAsia="zh-CN"/>
              </w:rPr>
              <w:t>[</w:t>
            </w:r>
            <w:r w:rsidR="00916F3F" w:rsidRPr="001C61A1">
              <w:rPr>
                <w:rFonts w:ascii="Book Antiqua" w:hAnsi="Book Antiqua"/>
                <w:color w:val="000000" w:themeColor="text1"/>
                <w:lang w:eastAsia="zh-CN"/>
              </w:rPr>
              <w:t>109</w:t>
            </w:r>
            <w:r w:rsidRPr="001C61A1">
              <w:rPr>
                <w:rFonts w:ascii="Book Antiqua" w:hAnsi="Book Antiqua"/>
                <w:color w:val="000000" w:themeColor="text1"/>
                <w:lang w:eastAsia="zh-CN"/>
              </w:rPr>
              <w:t>,</w:t>
            </w:r>
            <w:r w:rsidR="00916F3F" w:rsidRPr="001C61A1">
              <w:rPr>
                <w:rFonts w:ascii="Book Antiqua" w:hAnsi="Book Antiqua"/>
                <w:color w:val="000000" w:themeColor="text1"/>
                <w:lang w:eastAsia="zh-CN"/>
              </w:rPr>
              <w:t>111</w:t>
            </w:r>
            <w:r w:rsidRPr="001C61A1">
              <w:rPr>
                <w:rFonts w:ascii="Book Antiqua" w:hAnsi="Book Antiqua"/>
                <w:color w:val="000000" w:themeColor="text1"/>
                <w:lang w:eastAsia="zh-CN"/>
              </w:rPr>
              <w:t>,</w:t>
            </w:r>
            <w:r w:rsidR="00916F3F" w:rsidRPr="001C61A1">
              <w:rPr>
                <w:rFonts w:ascii="Book Antiqua" w:hAnsi="Book Antiqua"/>
                <w:color w:val="000000" w:themeColor="text1"/>
                <w:lang w:eastAsia="zh-CN"/>
              </w:rPr>
              <w:t>112</w:t>
            </w:r>
            <w:r w:rsidRPr="001C61A1">
              <w:rPr>
                <w:rFonts w:ascii="Book Antiqua" w:hAnsi="Book Antiqua"/>
                <w:color w:val="000000" w:themeColor="text1"/>
                <w:lang w:eastAsia="zh-CN"/>
              </w:rPr>
              <w:t>]</w:t>
            </w:r>
          </w:p>
        </w:tc>
      </w:tr>
      <w:tr w:rsidR="00701E9D" w:rsidRPr="001C61A1" w14:paraId="343DCC2F" w14:textId="77777777" w:rsidTr="00701E9D">
        <w:tc>
          <w:tcPr>
            <w:tcW w:w="2766" w:type="dxa"/>
          </w:tcPr>
          <w:p w14:paraId="5E6F080D"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Cytokine storm syndrome</w:t>
            </w:r>
          </w:p>
        </w:tc>
        <w:tc>
          <w:tcPr>
            <w:tcW w:w="3541" w:type="dxa"/>
          </w:tcPr>
          <w:p w14:paraId="6494C3FF"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Continuous renal replacement therapy.</w:t>
            </w:r>
            <w:r w:rsidR="00701E9D" w:rsidRPr="001C61A1">
              <w:rPr>
                <w:rFonts w:ascii="Book Antiqua" w:hAnsi="Book Antiqua"/>
                <w:color w:val="000000" w:themeColor="text1"/>
                <w:lang w:eastAsia="zh-CN"/>
              </w:rPr>
              <w:t xml:space="preserve"> </w:t>
            </w:r>
            <w:r w:rsidRPr="001C61A1">
              <w:rPr>
                <w:rFonts w:ascii="Book Antiqua" w:hAnsi="Book Antiqua"/>
                <w:color w:val="000000" w:themeColor="text1"/>
              </w:rPr>
              <w:t>IL-1 inhibitor, IL-6 inhibitor,</w:t>
            </w:r>
            <w:r w:rsidR="00701E9D" w:rsidRPr="001C61A1">
              <w:rPr>
                <w:rFonts w:ascii="Book Antiqua" w:hAnsi="Book Antiqua"/>
                <w:color w:val="000000" w:themeColor="text1"/>
                <w:lang w:eastAsia="zh-CN"/>
              </w:rPr>
              <w:t xml:space="preserve"> </w:t>
            </w:r>
            <w:r w:rsidRPr="001C61A1">
              <w:rPr>
                <w:rFonts w:ascii="Book Antiqua" w:hAnsi="Book Antiqua"/>
                <w:color w:val="000000" w:themeColor="text1"/>
              </w:rPr>
              <w:t>TNF inhibitor</w:t>
            </w:r>
          </w:p>
        </w:tc>
        <w:tc>
          <w:tcPr>
            <w:tcW w:w="4025" w:type="dxa"/>
          </w:tcPr>
          <w:p w14:paraId="3A2FEF58"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IL-1 or IL-6 inhibitors could reduce inflammation; however, they have a potential to cause DILI and worsen clinical conditions</w:t>
            </w:r>
          </w:p>
        </w:tc>
        <w:tc>
          <w:tcPr>
            <w:tcW w:w="1576" w:type="dxa"/>
          </w:tcPr>
          <w:p w14:paraId="5BFDD769" w14:textId="39751722" w:rsidR="005E3E41" w:rsidRPr="001C61A1" w:rsidRDefault="00701E9D" w:rsidP="000D1A82">
            <w:pPr>
              <w:spacing w:line="360" w:lineRule="auto"/>
              <w:jc w:val="both"/>
              <w:rPr>
                <w:rFonts w:ascii="Book Antiqua" w:hAnsi="Book Antiqua"/>
                <w:color w:val="000000" w:themeColor="text1"/>
              </w:rPr>
            </w:pPr>
            <w:r w:rsidRPr="001C61A1">
              <w:rPr>
                <w:rFonts w:ascii="Book Antiqua" w:hAnsi="Book Antiqua"/>
                <w:color w:val="000000" w:themeColor="text1"/>
              </w:rPr>
              <w:t>[</w:t>
            </w:r>
            <w:r w:rsidR="00916F3F" w:rsidRPr="001C61A1">
              <w:rPr>
                <w:rFonts w:ascii="Book Antiqua" w:hAnsi="Book Antiqua"/>
                <w:color w:val="000000" w:themeColor="text1"/>
              </w:rPr>
              <w:t>10</w:t>
            </w:r>
            <w:r w:rsidR="00916F3F" w:rsidRPr="001C61A1">
              <w:rPr>
                <w:rFonts w:ascii="Book Antiqua" w:hAnsi="Book Antiqua"/>
                <w:color w:val="000000" w:themeColor="text1"/>
                <w:lang w:eastAsia="zh-CN"/>
              </w:rPr>
              <w:t>9</w:t>
            </w:r>
            <w:r w:rsidRPr="001C61A1">
              <w:rPr>
                <w:rFonts w:ascii="Book Antiqua" w:hAnsi="Book Antiqua"/>
                <w:color w:val="000000" w:themeColor="text1"/>
              </w:rPr>
              <w:t>,</w:t>
            </w:r>
            <w:r w:rsidR="00916F3F" w:rsidRPr="001C61A1">
              <w:rPr>
                <w:rFonts w:ascii="Book Antiqua" w:hAnsi="Book Antiqua"/>
                <w:color w:val="000000" w:themeColor="text1"/>
              </w:rPr>
              <w:t>13</w:t>
            </w:r>
            <w:r w:rsidR="00916F3F" w:rsidRPr="001C61A1">
              <w:rPr>
                <w:rFonts w:ascii="Book Antiqua" w:hAnsi="Book Antiqua"/>
                <w:color w:val="000000" w:themeColor="text1"/>
                <w:lang w:eastAsia="zh-CN"/>
              </w:rPr>
              <w:t>9</w:t>
            </w:r>
            <w:r w:rsidRPr="001C61A1">
              <w:rPr>
                <w:rFonts w:ascii="Book Antiqua" w:hAnsi="Book Antiqua"/>
                <w:color w:val="000000" w:themeColor="text1"/>
              </w:rPr>
              <w:t>,</w:t>
            </w:r>
            <w:r w:rsidR="00916F3F" w:rsidRPr="001C61A1">
              <w:rPr>
                <w:rFonts w:ascii="Book Antiqua" w:hAnsi="Book Antiqua"/>
                <w:color w:val="000000" w:themeColor="text1"/>
              </w:rPr>
              <w:t>1</w:t>
            </w:r>
            <w:r w:rsidR="00916F3F" w:rsidRPr="001C61A1">
              <w:rPr>
                <w:rFonts w:ascii="Book Antiqua" w:hAnsi="Book Antiqua"/>
                <w:color w:val="000000" w:themeColor="text1"/>
                <w:lang w:eastAsia="zh-CN"/>
              </w:rPr>
              <w:t>40</w:t>
            </w:r>
            <w:r w:rsidRPr="001C61A1">
              <w:rPr>
                <w:rFonts w:ascii="Book Antiqua" w:hAnsi="Book Antiqua"/>
                <w:color w:val="000000" w:themeColor="text1"/>
              </w:rPr>
              <w:t>]</w:t>
            </w:r>
          </w:p>
        </w:tc>
      </w:tr>
      <w:tr w:rsidR="00701E9D" w:rsidRPr="001C61A1" w14:paraId="78BABD56" w14:textId="77777777" w:rsidTr="00701E9D">
        <w:tc>
          <w:tcPr>
            <w:tcW w:w="2766" w:type="dxa"/>
          </w:tcPr>
          <w:p w14:paraId="41CEF646"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DILI</w:t>
            </w:r>
          </w:p>
        </w:tc>
        <w:tc>
          <w:tcPr>
            <w:tcW w:w="3541" w:type="dxa"/>
          </w:tcPr>
          <w:p w14:paraId="3BCAB50B"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Prompt discontinuation or reduction of doses of suspected triggers.</w:t>
            </w:r>
            <w:r w:rsidR="00701E9D" w:rsidRPr="001C61A1">
              <w:rPr>
                <w:rFonts w:ascii="Book Antiqua" w:hAnsi="Book Antiqua"/>
                <w:color w:val="000000" w:themeColor="text1"/>
                <w:lang w:eastAsia="zh-CN"/>
              </w:rPr>
              <w:t xml:space="preserve"> </w:t>
            </w:r>
            <w:r w:rsidRPr="001C61A1">
              <w:rPr>
                <w:rFonts w:ascii="Book Antiqua" w:hAnsi="Book Antiqua"/>
                <w:color w:val="000000" w:themeColor="text1"/>
              </w:rPr>
              <w:t>Medication reconciliation is important. Discontinue all non-vital therapy, redundant types/doses, modify course duration</w:t>
            </w:r>
          </w:p>
        </w:tc>
        <w:tc>
          <w:tcPr>
            <w:tcW w:w="4025" w:type="dxa"/>
          </w:tcPr>
          <w:p w14:paraId="6A904A20"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Requires a trade-off between therapeutic effects and side effects</w:t>
            </w:r>
          </w:p>
        </w:tc>
        <w:tc>
          <w:tcPr>
            <w:tcW w:w="1576" w:type="dxa"/>
          </w:tcPr>
          <w:p w14:paraId="3C789361" w14:textId="3AD3B8F2" w:rsidR="005E3E41" w:rsidRPr="001C61A1" w:rsidRDefault="00701E9D" w:rsidP="000D1A82">
            <w:pPr>
              <w:spacing w:line="360" w:lineRule="auto"/>
              <w:jc w:val="both"/>
              <w:rPr>
                <w:rFonts w:ascii="Book Antiqua" w:hAnsi="Book Antiqua"/>
                <w:color w:val="000000" w:themeColor="text1"/>
              </w:rPr>
            </w:pPr>
            <w:r w:rsidRPr="001C61A1">
              <w:rPr>
                <w:rFonts w:ascii="Book Antiqua" w:hAnsi="Book Antiqua"/>
                <w:color w:val="000000" w:themeColor="text1"/>
              </w:rPr>
              <w:t>[</w:t>
            </w:r>
            <w:r w:rsidR="00916F3F" w:rsidRPr="001C61A1">
              <w:rPr>
                <w:rFonts w:ascii="Book Antiqua" w:hAnsi="Book Antiqua"/>
                <w:color w:val="000000" w:themeColor="text1"/>
              </w:rPr>
              <w:t>10</w:t>
            </w:r>
            <w:r w:rsidR="00916F3F" w:rsidRPr="001C61A1">
              <w:rPr>
                <w:rFonts w:ascii="Book Antiqua" w:hAnsi="Book Antiqua"/>
                <w:color w:val="000000" w:themeColor="text1"/>
                <w:lang w:eastAsia="zh-CN"/>
              </w:rPr>
              <w:t>9</w:t>
            </w:r>
            <w:r w:rsidRPr="001C61A1">
              <w:rPr>
                <w:rFonts w:ascii="Book Antiqua" w:hAnsi="Book Antiqua"/>
                <w:color w:val="000000" w:themeColor="text1"/>
              </w:rPr>
              <w:t>]</w:t>
            </w:r>
          </w:p>
        </w:tc>
      </w:tr>
      <w:tr w:rsidR="00701E9D" w:rsidRPr="001C61A1" w14:paraId="28650B3E" w14:textId="77777777" w:rsidTr="00701E9D">
        <w:tc>
          <w:tcPr>
            <w:tcW w:w="2766" w:type="dxa"/>
          </w:tcPr>
          <w:p w14:paraId="2EFE88ED"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Reactivation of pre-existing liver disease</w:t>
            </w:r>
          </w:p>
        </w:tc>
        <w:tc>
          <w:tcPr>
            <w:tcW w:w="3541" w:type="dxa"/>
          </w:tcPr>
          <w:p w14:paraId="75D7A929"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Continue treatment for hepatitis B and hepatitis C if already on treatment</w:t>
            </w:r>
          </w:p>
        </w:tc>
        <w:tc>
          <w:tcPr>
            <w:tcW w:w="4025" w:type="dxa"/>
          </w:tcPr>
          <w:p w14:paraId="6D818B85"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Difficulty distinguishing between new-onset liver injury and reactivation of pre-existing liver disease</w:t>
            </w:r>
          </w:p>
        </w:tc>
        <w:tc>
          <w:tcPr>
            <w:tcW w:w="1576" w:type="dxa"/>
          </w:tcPr>
          <w:p w14:paraId="1DD25073" w14:textId="4C46A6D1" w:rsidR="005E3E41" w:rsidRPr="001C61A1" w:rsidRDefault="00701E9D" w:rsidP="000D1A82">
            <w:pPr>
              <w:spacing w:line="360" w:lineRule="auto"/>
              <w:jc w:val="both"/>
              <w:rPr>
                <w:rFonts w:ascii="Book Antiqua" w:hAnsi="Book Antiqua"/>
                <w:color w:val="000000" w:themeColor="text1"/>
              </w:rPr>
            </w:pPr>
            <w:r w:rsidRPr="001C61A1">
              <w:rPr>
                <w:rFonts w:ascii="Book Antiqua" w:hAnsi="Book Antiqua"/>
                <w:color w:val="000000" w:themeColor="text1"/>
              </w:rPr>
              <w:t>[16,</w:t>
            </w:r>
            <w:r w:rsidR="00916F3F" w:rsidRPr="001C61A1">
              <w:rPr>
                <w:rFonts w:ascii="Book Antiqua" w:hAnsi="Book Antiqua"/>
                <w:color w:val="000000" w:themeColor="text1"/>
              </w:rPr>
              <w:t>10</w:t>
            </w:r>
            <w:r w:rsidR="00916F3F" w:rsidRPr="001C61A1">
              <w:rPr>
                <w:rFonts w:ascii="Book Antiqua" w:hAnsi="Book Antiqua"/>
                <w:color w:val="000000" w:themeColor="text1"/>
                <w:lang w:eastAsia="zh-CN"/>
              </w:rPr>
              <w:t>9</w:t>
            </w:r>
            <w:r w:rsidRPr="001C61A1">
              <w:rPr>
                <w:rFonts w:ascii="Book Antiqua" w:hAnsi="Book Antiqua"/>
                <w:color w:val="000000" w:themeColor="text1"/>
              </w:rPr>
              <w:t>]</w:t>
            </w:r>
          </w:p>
        </w:tc>
      </w:tr>
      <w:tr w:rsidR="00701E9D" w:rsidRPr="001C61A1" w14:paraId="2D67D136" w14:textId="77777777" w:rsidTr="00701E9D">
        <w:tc>
          <w:tcPr>
            <w:tcW w:w="2766" w:type="dxa"/>
            <w:tcBorders>
              <w:bottom w:val="single" w:sz="4" w:space="0" w:color="auto"/>
            </w:tcBorders>
          </w:tcPr>
          <w:p w14:paraId="476D1D98"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Hypoxic hepatitis</w:t>
            </w:r>
          </w:p>
        </w:tc>
        <w:tc>
          <w:tcPr>
            <w:tcW w:w="3541" w:type="dxa"/>
            <w:tcBorders>
              <w:bottom w:val="single" w:sz="4" w:space="0" w:color="auto"/>
            </w:tcBorders>
          </w:tcPr>
          <w:p w14:paraId="4015226A"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Circulation and respiratory support</w:t>
            </w:r>
          </w:p>
        </w:tc>
        <w:tc>
          <w:tcPr>
            <w:tcW w:w="4025" w:type="dxa"/>
            <w:tcBorders>
              <w:bottom w:val="single" w:sz="4" w:space="0" w:color="auto"/>
            </w:tcBorders>
          </w:tcPr>
          <w:p w14:paraId="05D62051" w14:textId="77777777" w:rsidR="005E3E41" w:rsidRPr="001C61A1" w:rsidRDefault="005E3E41" w:rsidP="000D1A82">
            <w:pPr>
              <w:spacing w:line="360" w:lineRule="auto"/>
              <w:jc w:val="both"/>
              <w:rPr>
                <w:rFonts w:ascii="Book Antiqua" w:hAnsi="Book Antiqua"/>
                <w:color w:val="000000" w:themeColor="text1"/>
              </w:rPr>
            </w:pPr>
            <w:r w:rsidRPr="001C61A1">
              <w:rPr>
                <w:rFonts w:ascii="Book Antiqua" w:hAnsi="Book Antiqua"/>
                <w:color w:val="000000" w:themeColor="text1"/>
              </w:rPr>
              <w:t>Higher PEEP, which may be needed to improve oxygenation, may affect cardiac output, decreasing hepatic arterial flow, thus enhancing arterial dysfunction</w:t>
            </w:r>
          </w:p>
        </w:tc>
        <w:tc>
          <w:tcPr>
            <w:tcW w:w="1576" w:type="dxa"/>
            <w:tcBorders>
              <w:bottom w:val="single" w:sz="4" w:space="0" w:color="auto"/>
            </w:tcBorders>
          </w:tcPr>
          <w:p w14:paraId="02A274CF" w14:textId="5668C5A6" w:rsidR="005E3E41" w:rsidRPr="001C61A1" w:rsidRDefault="00701E9D" w:rsidP="000D1A82">
            <w:pPr>
              <w:spacing w:line="360" w:lineRule="auto"/>
              <w:jc w:val="both"/>
              <w:rPr>
                <w:rFonts w:ascii="Book Antiqua" w:hAnsi="Book Antiqua"/>
                <w:color w:val="000000" w:themeColor="text1"/>
              </w:rPr>
            </w:pPr>
            <w:r w:rsidRPr="001C61A1">
              <w:rPr>
                <w:rFonts w:ascii="Book Antiqua" w:hAnsi="Book Antiqua"/>
                <w:color w:val="000000" w:themeColor="text1"/>
              </w:rPr>
              <w:t>[</w:t>
            </w:r>
            <w:r w:rsidR="00916F3F" w:rsidRPr="001C61A1">
              <w:rPr>
                <w:rFonts w:ascii="Book Antiqua" w:hAnsi="Book Antiqua"/>
                <w:color w:val="000000" w:themeColor="text1"/>
              </w:rPr>
              <w:t>13</w:t>
            </w:r>
            <w:r w:rsidR="00916F3F" w:rsidRPr="001C61A1">
              <w:rPr>
                <w:rFonts w:ascii="Book Antiqua" w:hAnsi="Book Antiqua"/>
                <w:color w:val="000000" w:themeColor="text1"/>
                <w:lang w:eastAsia="zh-CN"/>
              </w:rPr>
              <w:t>9</w:t>
            </w:r>
            <w:r w:rsidRPr="001C61A1">
              <w:rPr>
                <w:rFonts w:ascii="Book Antiqua" w:hAnsi="Book Antiqua"/>
                <w:color w:val="000000" w:themeColor="text1"/>
              </w:rPr>
              <w:t>,</w:t>
            </w:r>
            <w:r w:rsidR="00916F3F" w:rsidRPr="001C61A1">
              <w:rPr>
                <w:rFonts w:ascii="Book Antiqua" w:hAnsi="Book Antiqua"/>
                <w:color w:val="000000" w:themeColor="text1"/>
              </w:rPr>
              <w:t>1</w:t>
            </w:r>
            <w:r w:rsidR="00916F3F" w:rsidRPr="001C61A1">
              <w:rPr>
                <w:rFonts w:ascii="Book Antiqua" w:hAnsi="Book Antiqua"/>
                <w:color w:val="000000" w:themeColor="text1"/>
                <w:lang w:eastAsia="zh-CN"/>
              </w:rPr>
              <w:t>40</w:t>
            </w:r>
            <w:r w:rsidRPr="001C61A1">
              <w:rPr>
                <w:rFonts w:ascii="Book Antiqua" w:hAnsi="Book Antiqua"/>
                <w:color w:val="000000" w:themeColor="text1"/>
              </w:rPr>
              <w:t>]</w:t>
            </w:r>
          </w:p>
        </w:tc>
      </w:tr>
    </w:tbl>
    <w:p w14:paraId="6CA918F1" w14:textId="245F8C24" w:rsidR="001C61A1" w:rsidRPr="00670F9F" w:rsidRDefault="004D5606" w:rsidP="00670F9F">
      <w:pPr>
        <w:spacing w:line="360" w:lineRule="auto"/>
        <w:jc w:val="both"/>
        <w:rPr>
          <w:rFonts w:ascii="Book Antiqua" w:hAnsi="Book Antiqua" w:hint="eastAsia"/>
          <w:color w:val="000000" w:themeColor="text1"/>
          <w:lang w:eastAsia="zh-CN"/>
        </w:rPr>
      </w:pPr>
      <w:r w:rsidRPr="001C61A1">
        <w:rPr>
          <w:rFonts w:ascii="Book Antiqua" w:hAnsi="Book Antiqua"/>
          <w:color w:val="000000" w:themeColor="text1"/>
          <w:lang w:eastAsia="zh-CN"/>
        </w:rPr>
        <w:t xml:space="preserve">DILI: </w:t>
      </w:r>
      <w:r w:rsidRPr="001C61A1">
        <w:rPr>
          <w:rFonts w:ascii="Book Antiqua" w:eastAsia="Book Antiqua" w:hAnsi="Book Antiqua" w:cs="Book Antiqua"/>
          <w:color w:val="000000"/>
        </w:rPr>
        <w:t>Drug-induced liver injury</w:t>
      </w:r>
      <w:r w:rsidRPr="001C61A1">
        <w:rPr>
          <w:rFonts w:ascii="Book Antiqua" w:hAnsi="Book Antiqua"/>
          <w:color w:val="000000" w:themeColor="text1"/>
          <w:lang w:eastAsia="zh-CN"/>
        </w:rPr>
        <w:t xml:space="preserve">; </w:t>
      </w:r>
      <w:r w:rsidR="00701E9D" w:rsidRPr="001C61A1">
        <w:rPr>
          <w:rFonts w:ascii="Book Antiqua" w:hAnsi="Book Antiqua"/>
          <w:color w:val="000000" w:themeColor="text1"/>
          <w:lang w:eastAsia="zh-CN"/>
        </w:rPr>
        <w:t xml:space="preserve">IL: Interleukin; </w:t>
      </w:r>
      <w:r w:rsidRPr="001C61A1">
        <w:rPr>
          <w:rFonts w:ascii="Book Antiqua" w:hAnsi="Book Antiqua"/>
          <w:color w:val="000000" w:themeColor="text1"/>
          <w:lang w:eastAsia="zh-CN"/>
        </w:rPr>
        <w:t xml:space="preserve">PEEP: Positive end-expiratory pressure; </w:t>
      </w:r>
      <w:r w:rsidR="00701E9D" w:rsidRPr="001C61A1">
        <w:rPr>
          <w:rFonts w:ascii="Book Antiqua" w:hAnsi="Book Antiqua"/>
          <w:color w:val="000000" w:themeColor="text1"/>
          <w:lang w:eastAsia="zh-CN"/>
        </w:rPr>
        <w:t>TNF: Tumor necrosis factor alpha.</w:t>
      </w:r>
      <w:bookmarkStart w:id="14" w:name="_Hlk88512952"/>
    </w:p>
    <w:p w14:paraId="2E2ED023" w14:textId="77777777" w:rsidR="001C61A1" w:rsidRPr="001C61A1" w:rsidRDefault="001C61A1" w:rsidP="001C61A1">
      <w:pPr>
        <w:ind w:leftChars="100" w:left="240"/>
        <w:jc w:val="center"/>
        <w:rPr>
          <w:rFonts w:ascii="Book Antiqua" w:hAnsi="Book Antiqua"/>
          <w:lang w:val="pt-BR" w:eastAsia="zh-CN"/>
        </w:rPr>
      </w:pPr>
    </w:p>
    <w:p w14:paraId="54F3887C" w14:textId="77777777" w:rsidR="001C61A1" w:rsidRPr="001C61A1" w:rsidRDefault="001C61A1" w:rsidP="001C61A1">
      <w:pPr>
        <w:ind w:leftChars="100" w:left="240"/>
        <w:jc w:val="center"/>
        <w:rPr>
          <w:rFonts w:ascii="Book Antiqua" w:hAnsi="Book Antiqua"/>
          <w:lang w:val="pt-BR" w:eastAsia="zh-CN"/>
        </w:rPr>
      </w:pPr>
    </w:p>
    <w:p w14:paraId="1DC7D89D" w14:textId="77777777" w:rsidR="001C61A1" w:rsidRPr="001C61A1" w:rsidRDefault="001C61A1" w:rsidP="001C61A1">
      <w:pPr>
        <w:ind w:leftChars="100" w:left="240"/>
        <w:jc w:val="center"/>
        <w:rPr>
          <w:rFonts w:ascii="Book Antiqua" w:hAnsi="Book Antiqua"/>
          <w:lang w:val="pt-BR" w:eastAsia="zh-CN"/>
        </w:rPr>
      </w:pPr>
    </w:p>
    <w:p w14:paraId="16CDB12A" w14:textId="77777777" w:rsidR="001C61A1" w:rsidRPr="001C61A1" w:rsidRDefault="001C61A1" w:rsidP="001C61A1">
      <w:pPr>
        <w:ind w:leftChars="100" w:left="240"/>
        <w:jc w:val="center"/>
        <w:rPr>
          <w:rFonts w:ascii="Book Antiqua" w:hAnsi="Book Antiqua"/>
          <w:lang w:eastAsia="zh-CN"/>
        </w:rPr>
      </w:pPr>
      <w:r w:rsidRPr="001C61A1">
        <w:rPr>
          <w:rFonts w:ascii="Book Antiqua" w:hAnsi="Book Antiqua"/>
          <w:noProof/>
          <w:lang w:eastAsia="zh-CN"/>
        </w:rPr>
        <w:drawing>
          <wp:inline distT="0" distB="0" distL="0" distR="0" wp14:anchorId="617CBAA7" wp14:editId="091194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125F96" w14:textId="77777777" w:rsidR="001C61A1" w:rsidRPr="001C61A1" w:rsidRDefault="001C61A1" w:rsidP="001C61A1">
      <w:pPr>
        <w:ind w:leftChars="100" w:left="240"/>
        <w:jc w:val="center"/>
        <w:rPr>
          <w:rFonts w:ascii="Book Antiqua" w:hAnsi="Book Antiqua"/>
          <w:lang w:eastAsia="zh-CN"/>
        </w:rPr>
      </w:pPr>
    </w:p>
    <w:p w14:paraId="17E9FAB3" w14:textId="77777777" w:rsidR="001C61A1" w:rsidRPr="001C61A1" w:rsidRDefault="001C61A1" w:rsidP="001C61A1">
      <w:pPr>
        <w:autoSpaceDE w:val="0"/>
        <w:autoSpaceDN w:val="0"/>
        <w:adjustRightInd w:val="0"/>
        <w:ind w:leftChars="100" w:left="240"/>
        <w:jc w:val="center"/>
        <w:rPr>
          <w:rFonts w:ascii="Book Antiqua" w:eastAsia="Garamond-Bold" w:hAnsi="Book Antiqua" w:cs="Garamond-Bold"/>
          <w:b/>
          <w:bCs/>
          <w:color w:val="000000"/>
          <w:sz w:val="28"/>
          <w:szCs w:val="28"/>
        </w:rPr>
      </w:pPr>
      <w:r w:rsidRPr="001C61A1">
        <w:rPr>
          <w:rFonts w:ascii="Book Antiqua" w:eastAsia="TimesNewRomanPSMT" w:hAnsi="Book Antiqua" w:cs="TimesNewRomanPSMT"/>
          <w:color w:val="000000"/>
          <w:sz w:val="28"/>
          <w:szCs w:val="28"/>
        </w:rPr>
        <w:t xml:space="preserve">Published by </w:t>
      </w:r>
      <w:r w:rsidRPr="001C61A1">
        <w:rPr>
          <w:rFonts w:ascii="Book Antiqua" w:eastAsia="Garamond-Bold" w:hAnsi="Book Antiqua" w:cs="Garamond-Bold"/>
          <w:b/>
          <w:bCs/>
          <w:color w:val="000000"/>
          <w:sz w:val="28"/>
          <w:szCs w:val="28"/>
        </w:rPr>
        <w:t>Baishideng Publishing Group Inc</w:t>
      </w:r>
    </w:p>
    <w:p w14:paraId="06436C96" w14:textId="77777777" w:rsidR="001C61A1" w:rsidRPr="001C61A1" w:rsidRDefault="001C61A1" w:rsidP="001C61A1">
      <w:pPr>
        <w:autoSpaceDE w:val="0"/>
        <w:autoSpaceDN w:val="0"/>
        <w:adjustRightInd w:val="0"/>
        <w:ind w:leftChars="100" w:left="240"/>
        <w:jc w:val="center"/>
        <w:rPr>
          <w:rFonts w:ascii="Book Antiqua" w:eastAsia="TimesNewRomanPSMT" w:hAnsi="Book Antiqua" w:cs="Garamond"/>
          <w:color w:val="000000"/>
          <w:sz w:val="28"/>
          <w:szCs w:val="28"/>
        </w:rPr>
      </w:pPr>
      <w:r w:rsidRPr="001C61A1">
        <w:rPr>
          <w:rFonts w:ascii="Book Antiqua" w:eastAsia="TimesNewRomanPSMT" w:hAnsi="Book Antiqua" w:cs="Garamond"/>
          <w:color w:val="000000"/>
          <w:sz w:val="28"/>
          <w:szCs w:val="28"/>
        </w:rPr>
        <w:t>7041 Koll Center Parkway, Suite 160, Pleasanton, CA 94566, USA</w:t>
      </w:r>
    </w:p>
    <w:p w14:paraId="63A97BE0" w14:textId="77777777" w:rsidR="001C61A1" w:rsidRPr="001C61A1" w:rsidRDefault="001C61A1" w:rsidP="001C61A1">
      <w:pPr>
        <w:autoSpaceDE w:val="0"/>
        <w:autoSpaceDN w:val="0"/>
        <w:adjustRightInd w:val="0"/>
        <w:ind w:leftChars="100" w:left="240"/>
        <w:jc w:val="center"/>
        <w:rPr>
          <w:rFonts w:ascii="Book Antiqua" w:eastAsia="TimesNewRomanPSMT" w:hAnsi="Book Antiqua" w:cs="Garamond"/>
          <w:color w:val="000000"/>
          <w:sz w:val="28"/>
          <w:szCs w:val="28"/>
        </w:rPr>
      </w:pPr>
      <w:r w:rsidRPr="001C61A1">
        <w:rPr>
          <w:rFonts w:ascii="Book Antiqua" w:eastAsia="Garamond-Bold" w:hAnsi="Book Antiqua" w:cs="Garamond-Bold"/>
          <w:b/>
          <w:bCs/>
          <w:color w:val="000000"/>
          <w:sz w:val="28"/>
          <w:szCs w:val="28"/>
        </w:rPr>
        <w:t xml:space="preserve">Telephone: </w:t>
      </w:r>
      <w:r w:rsidRPr="001C61A1">
        <w:rPr>
          <w:rFonts w:ascii="Book Antiqua" w:eastAsia="TimesNewRomanPSMT" w:hAnsi="Book Antiqua" w:cs="Garamond"/>
          <w:color w:val="000000"/>
          <w:sz w:val="28"/>
          <w:szCs w:val="28"/>
        </w:rPr>
        <w:t>+1-925-3991568</w:t>
      </w:r>
    </w:p>
    <w:p w14:paraId="780221DB" w14:textId="77777777" w:rsidR="001C61A1" w:rsidRPr="001C61A1" w:rsidRDefault="001C61A1" w:rsidP="001C61A1">
      <w:pPr>
        <w:autoSpaceDE w:val="0"/>
        <w:autoSpaceDN w:val="0"/>
        <w:adjustRightInd w:val="0"/>
        <w:ind w:leftChars="100" w:left="240"/>
        <w:jc w:val="center"/>
        <w:rPr>
          <w:rFonts w:ascii="Book Antiqua" w:eastAsia="TimesNewRomanPSMT" w:hAnsi="Book Antiqua" w:cs="Garamond"/>
          <w:color w:val="D56400"/>
          <w:sz w:val="28"/>
          <w:szCs w:val="28"/>
        </w:rPr>
      </w:pPr>
      <w:r w:rsidRPr="001C61A1">
        <w:rPr>
          <w:rFonts w:ascii="Book Antiqua" w:eastAsia="Garamond-Bold" w:hAnsi="Book Antiqua" w:cs="Garamond-Bold"/>
          <w:b/>
          <w:bCs/>
          <w:color w:val="000000"/>
          <w:sz w:val="28"/>
          <w:szCs w:val="28"/>
        </w:rPr>
        <w:t xml:space="preserve">E-mail: </w:t>
      </w:r>
      <w:r w:rsidRPr="001C61A1">
        <w:rPr>
          <w:rFonts w:ascii="Book Antiqua" w:eastAsia="TimesNewRomanPSMT" w:hAnsi="Book Antiqua" w:cs="Garamond"/>
          <w:color w:val="D56400"/>
          <w:sz w:val="28"/>
          <w:szCs w:val="28"/>
        </w:rPr>
        <w:t>bpgoffice@wjgnet.com</w:t>
      </w:r>
    </w:p>
    <w:p w14:paraId="04D9B477" w14:textId="77777777" w:rsidR="001C61A1" w:rsidRPr="001C61A1" w:rsidRDefault="001C61A1" w:rsidP="001C61A1">
      <w:pPr>
        <w:autoSpaceDE w:val="0"/>
        <w:autoSpaceDN w:val="0"/>
        <w:adjustRightInd w:val="0"/>
        <w:ind w:leftChars="100" w:left="240"/>
        <w:jc w:val="center"/>
        <w:rPr>
          <w:rFonts w:ascii="Book Antiqua" w:eastAsia="TimesNewRomanPSMT" w:hAnsi="Book Antiqua" w:cs="Garamond"/>
          <w:color w:val="D56400"/>
          <w:sz w:val="28"/>
          <w:szCs w:val="28"/>
        </w:rPr>
      </w:pPr>
      <w:r w:rsidRPr="001C61A1">
        <w:rPr>
          <w:rFonts w:ascii="Book Antiqua" w:eastAsia="Garamond-Bold" w:hAnsi="Book Antiqua" w:cs="Garamond-Bold"/>
          <w:b/>
          <w:bCs/>
          <w:color w:val="000000"/>
          <w:sz w:val="28"/>
          <w:szCs w:val="28"/>
        </w:rPr>
        <w:t xml:space="preserve">Help Desk: </w:t>
      </w:r>
      <w:r w:rsidRPr="001C61A1">
        <w:rPr>
          <w:rFonts w:ascii="Book Antiqua" w:eastAsia="TimesNewRomanPSMT" w:hAnsi="Book Antiqua" w:cs="Garamond"/>
          <w:color w:val="D56400"/>
          <w:sz w:val="28"/>
          <w:szCs w:val="28"/>
        </w:rPr>
        <w:t>https://www.f6publishing.com/helpdesk</w:t>
      </w:r>
    </w:p>
    <w:p w14:paraId="2EECEDE8" w14:textId="77777777" w:rsidR="001C61A1" w:rsidRPr="001C61A1" w:rsidRDefault="001C61A1" w:rsidP="001C61A1">
      <w:pPr>
        <w:ind w:leftChars="100" w:left="240"/>
        <w:jc w:val="center"/>
        <w:rPr>
          <w:rFonts w:ascii="Book Antiqua" w:hAnsi="Book Antiqua"/>
          <w:lang w:eastAsia="zh-CN"/>
        </w:rPr>
      </w:pPr>
      <w:r w:rsidRPr="001C61A1">
        <w:rPr>
          <w:rFonts w:ascii="Book Antiqua" w:eastAsia="TimesNewRomanPSMT" w:hAnsi="Book Antiqua" w:cs="Garamond"/>
          <w:color w:val="D56400"/>
          <w:sz w:val="28"/>
          <w:szCs w:val="28"/>
        </w:rPr>
        <w:t>https://www.wjgnet.com</w:t>
      </w:r>
    </w:p>
    <w:p w14:paraId="526FAB5B" w14:textId="77777777" w:rsidR="001C61A1" w:rsidRPr="001C61A1" w:rsidRDefault="001C61A1" w:rsidP="001C61A1">
      <w:pPr>
        <w:ind w:leftChars="100" w:left="240"/>
        <w:jc w:val="center"/>
        <w:rPr>
          <w:rFonts w:ascii="Book Antiqua" w:hAnsi="Book Antiqua"/>
          <w:lang w:eastAsia="zh-CN"/>
        </w:rPr>
      </w:pPr>
    </w:p>
    <w:p w14:paraId="210DA63D" w14:textId="77777777" w:rsidR="001C61A1" w:rsidRPr="001C61A1" w:rsidRDefault="001C61A1" w:rsidP="001C61A1">
      <w:pPr>
        <w:ind w:leftChars="100" w:left="240"/>
        <w:jc w:val="center"/>
        <w:rPr>
          <w:rFonts w:ascii="Book Antiqua" w:hAnsi="Book Antiqua"/>
          <w:lang w:eastAsia="zh-CN"/>
        </w:rPr>
      </w:pPr>
    </w:p>
    <w:p w14:paraId="23AF4662" w14:textId="77777777" w:rsidR="001C61A1" w:rsidRPr="001C61A1" w:rsidRDefault="001C61A1" w:rsidP="001C61A1">
      <w:pPr>
        <w:ind w:leftChars="100" w:left="240"/>
        <w:jc w:val="center"/>
        <w:rPr>
          <w:rFonts w:ascii="Book Antiqua" w:hAnsi="Book Antiqua"/>
          <w:lang w:eastAsia="zh-CN"/>
        </w:rPr>
      </w:pPr>
    </w:p>
    <w:p w14:paraId="162BD760" w14:textId="77777777" w:rsidR="001C61A1" w:rsidRPr="001C61A1" w:rsidRDefault="001C61A1" w:rsidP="001C61A1">
      <w:pPr>
        <w:ind w:leftChars="100" w:left="240"/>
        <w:jc w:val="center"/>
        <w:rPr>
          <w:rFonts w:ascii="Book Antiqua" w:hAnsi="Book Antiqua"/>
          <w:lang w:eastAsia="zh-CN"/>
        </w:rPr>
      </w:pPr>
      <w:r w:rsidRPr="001C61A1">
        <w:rPr>
          <w:rFonts w:ascii="Book Antiqua" w:hAnsi="Book Antiqua"/>
          <w:noProof/>
          <w:lang w:eastAsia="zh-CN"/>
        </w:rPr>
        <w:drawing>
          <wp:inline distT="0" distB="0" distL="0" distR="0" wp14:anchorId="0275FC72" wp14:editId="036265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F23313" w14:textId="77777777" w:rsidR="001C61A1" w:rsidRPr="001C61A1" w:rsidRDefault="001C61A1" w:rsidP="001C61A1">
      <w:pPr>
        <w:ind w:leftChars="100" w:left="240"/>
        <w:jc w:val="center"/>
        <w:rPr>
          <w:rFonts w:ascii="Book Antiqua" w:hAnsi="Book Antiqua"/>
          <w:lang w:eastAsia="zh-CN"/>
        </w:rPr>
      </w:pPr>
    </w:p>
    <w:p w14:paraId="289E3865" w14:textId="77777777" w:rsidR="001C61A1" w:rsidRPr="001C61A1" w:rsidRDefault="001C61A1" w:rsidP="001C61A1">
      <w:pPr>
        <w:ind w:leftChars="100" w:left="240"/>
        <w:jc w:val="center"/>
        <w:rPr>
          <w:rFonts w:ascii="Book Antiqua" w:hAnsi="Book Antiqua"/>
          <w:lang w:eastAsia="zh-CN"/>
        </w:rPr>
      </w:pPr>
    </w:p>
    <w:p w14:paraId="58E64206" w14:textId="77777777" w:rsidR="001C61A1" w:rsidRPr="001C61A1" w:rsidRDefault="001C61A1" w:rsidP="001C61A1">
      <w:pPr>
        <w:ind w:leftChars="100" w:left="240"/>
        <w:jc w:val="center"/>
        <w:rPr>
          <w:rFonts w:ascii="Book Antiqua" w:hAnsi="Book Antiqua"/>
          <w:lang w:eastAsia="zh-CN"/>
        </w:rPr>
      </w:pPr>
    </w:p>
    <w:p w14:paraId="147FB706" w14:textId="77777777" w:rsidR="001C61A1" w:rsidRPr="001C61A1" w:rsidRDefault="001C61A1" w:rsidP="001C61A1">
      <w:pPr>
        <w:ind w:leftChars="100" w:left="240"/>
        <w:jc w:val="center"/>
        <w:rPr>
          <w:rFonts w:ascii="Book Antiqua" w:hAnsi="Book Antiqua"/>
          <w:lang w:eastAsia="zh-CN"/>
        </w:rPr>
      </w:pPr>
    </w:p>
    <w:p w14:paraId="029D28AA" w14:textId="77777777" w:rsidR="001C61A1" w:rsidRPr="001C61A1" w:rsidRDefault="001C61A1" w:rsidP="001C61A1">
      <w:pPr>
        <w:ind w:leftChars="100" w:left="240"/>
        <w:jc w:val="center"/>
        <w:rPr>
          <w:rFonts w:ascii="Book Antiqua" w:hAnsi="Book Antiqua"/>
          <w:lang w:eastAsia="zh-CN"/>
        </w:rPr>
      </w:pPr>
    </w:p>
    <w:p w14:paraId="622DC02C" w14:textId="77777777" w:rsidR="001C61A1" w:rsidRPr="001C61A1" w:rsidRDefault="001C61A1" w:rsidP="001C61A1">
      <w:pPr>
        <w:ind w:leftChars="100" w:left="240"/>
        <w:jc w:val="center"/>
        <w:rPr>
          <w:rFonts w:ascii="Book Antiqua" w:hAnsi="Book Antiqua"/>
          <w:lang w:eastAsia="zh-CN"/>
        </w:rPr>
      </w:pPr>
    </w:p>
    <w:p w14:paraId="10323D98" w14:textId="77777777" w:rsidR="001C61A1" w:rsidRPr="001C61A1" w:rsidRDefault="001C61A1" w:rsidP="001C61A1">
      <w:pPr>
        <w:ind w:leftChars="100" w:left="240"/>
        <w:jc w:val="center"/>
        <w:rPr>
          <w:rFonts w:ascii="Book Antiqua" w:hAnsi="Book Antiqua"/>
          <w:lang w:eastAsia="zh-CN"/>
        </w:rPr>
      </w:pPr>
    </w:p>
    <w:p w14:paraId="7271A005" w14:textId="77777777" w:rsidR="001C61A1" w:rsidRPr="001C61A1" w:rsidRDefault="001C61A1" w:rsidP="001C61A1">
      <w:pPr>
        <w:ind w:leftChars="100" w:left="240"/>
        <w:jc w:val="center"/>
        <w:rPr>
          <w:rFonts w:ascii="Book Antiqua" w:hAnsi="Book Antiqua"/>
          <w:lang w:eastAsia="zh-CN"/>
        </w:rPr>
      </w:pPr>
    </w:p>
    <w:p w14:paraId="0C14DBAD" w14:textId="77777777" w:rsidR="001C61A1" w:rsidRPr="001C61A1" w:rsidRDefault="001C61A1" w:rsidP="001C61A1">
      <w:pPr>
        <w:ind w:leftChars="100" w:left="240"/>
        <w:jc w:val="center"/>
        <w:rPr>
          <w:rFonts w:ascii="Book Antiqua" w:hAnsi="Book Antiqua"/>
          <w:lang w:eastAsia="zh-CN"/>
        </w:rPr>
      </w:pPr>
    </w:p>
    <w:p w14:paraId="173C3911" w14:textId="77777777" w:rsidR="001C61A1" w:rsidRPr="001C61A1" w:rsidRDefault="001C61A1" w:rsidP="001C61A1">
      <w:pPr>
        <w:ind w:leftChars="100" w:left="240"/>
        <w:jc w:val="right"/>
        <w:rPr>
          <w:rFonts w:ascii="Book Antiqua" w:hAnsi="Book Antiqua"/>
          <w:color w:val="000000" w:themeColor="text1"/>
          <w:lang w:eastAsia="zh-CN"/>
        </w:rPr>
      </w:pPr>
    </w:p>
    <w:p w14:paraId="7C660402" w14:textId="75F2CA1F" w:rsidR="001C61A1" w:rsidRPr="00763D22" w:rsidRDefault="001C61A1" w:rsidP="001C61A1">
      <w:pPr>
        <w:ind w:leftChars="100" w:left="240"/>
        <w:jc w:val="center"/>
        <w:rPr>
          <w:rFonts w:ascii="Book Antiqua" w:hAnsi="Book Antiqua"/>
          <w:color w:val="000000" w:themeColor="text1"/>
          <w:lang w:eastAsia="zh-CN"/>
        </w:rPr>
      </w:pPr>
      <w:r w:rsidRPr="001C61A1">
        <w:rPr>
          <w:rFonts w:ascii="Book Antiqua" w:eastAsia="BookAntiqua-Bold" w:hAnsi="Book Antiqua" w:cs="BookAntiqua-Bold"/>
          <w:b/>
          <w:bCs/>
          <w:color w:val="000000" w:themeColor="text1"/>
        </w:rPr>
        <w:t>© 202</w:t>
      </w:r>
      <w:r w:rsidR="00136EDE">
        <w:rPr>
          <w:rFonts w:ascii="Book Antiqua" w:eastAsia="BookAntiqua-Bold" w:hAnsi="Book Antiqua" w:cs="BookAntiqua-Bold"/>
          <w:b/>
          <w:bCs/>
          <w:color w:val="000000" w:themeColor="text1"/>
        </w:rPr>
        <w:t>3</w:t>
      </w:r>
      <w:r w:rsidRPr="001C61A1">
        <w:rPr>
          <w:rFonts w:ascii="Book Antiqua" w:eastAsia="BookAntiqua-Bold" w:hAnsi="Book Antiqua" w:cs="BookAntiqua-Bold"/>
          <w:b/>
          <w:bCs/>
          <w:color w:val="000000" w:themeColor="text1"/>
        </w:rPr>
        <w:t xml:space="preserve"> Baishideng Publishing Group Inc. All rights reserved.</w:t>
      </w:r>
      <w:r w:rsidRPr="001C61A1">
        <w:rPr>
          <w:rFonts w:ascii="Book Antiqua" w:hAnsi="Book Antiqua"/>
          <w:color w:val="000000" w:themeColor="text1"/>
          <w:lang w:eastAsia="zh-CN"/>
        </w:rPr>
        <w:fldChar w:fldCharType="begin"/>
      </w:r>
      <w:r w:rsidRPr="001C61A1">
        <w:rPr>
          <w:rFonts w:ascii="Book Antiqua" w:hAnsi="Book Antiqua"/>
          <w:color w:val="000000" w:themeColor="text1"/>
          <w:lang w:eastAsia="zh-CN"/>
        </w:rPr>
        <w:instrText xml:space="preserve"> ADDIN EN.REFLIST </w:instrText>
      </w:r>
      <w:r w:rsidRPr="001C61A1">
        <w:rPr>
          <w:rFonts w:ascii="Book Antiqua" w:hAnsi="Book Antiqua"/>
          <w:color w:val="000000" w:themeColor="text1"/>
          <w:lang w:eastAsia="zh-CN"/>
        </w:rPr>
        <w:fldChar w:fldCharType="end"/>
      </w:r>
      <w:bookmarkEnd w:id="14"/>
    </w:p>
    <w:p w14:paraId="2D2D5B81" w14:textId="70B4C1D3" w:rsidR="005E3E41" w:rsidRPr="001C61A1" w:rsidRDefault="005E3E41" w:rsidP="001C61A1">
      <w:pPr>
        <w:rPr>
          <w:rFonts w:ascii="Book Antiqua" w:hAnsi="Book Antiqua"/>
          <w:color w:val="000000" w:themeColor="text1"/>
          <w:lang w:eastAsia="zh-CN"/>
        </w:rPr>
      </w:pPr>
    </w:p>
    <w:sectPr w:rsidR="005E3E41" w:rsidRPr="001C61A1" w:rsidSect="00217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FFE1" w14:textId="77777777" w:rsidR="0005625C" w:rsidRDefault="0005625C" w:rsidP="009C79CB">
      <w:r>
        <w:separator/>
      </w:r>
    </w:p>
  </w:endnote>
  <w:endnote w:type="continuationSeparator" w:id="0">
    <w:p w14:paraId="319595C9" w14:textId="77777777" w:rsidR="0005625C" w:rsidRDefault="0005625C" w:rsidP="009C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等线">
    <w:altName w:val="微软雅黑"/>
    <w:charset w:val="86"/>
    <w:family w:val="auto"/>
    <w:pitch w:val="default"/>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4A29" w14:textId="77777777" w:rsidR="00444148" w:rsidRPr="009C79CB" w:rsidRDefault="00444148" w:rsidP="009C79CB">
    <w:pPr>
      <w:pStyle w:val="a5"/>
      <w:jc w:val="right"/>
      <w:rPr>
        <w:rFonts w:ascii="Book Antiqua" w:hAnsi="Book Antiqua"/>
        <w:color w:val="000000" w:themeColor="text1"/>
        <w:sz w:val="24"/>
        <w:szCs w:val="24"/>
      </w:rPr>
    </w:pPr>
    <w:r w:rsidRPr="009C79CB">
      <w:rPr>
        <w:rFonts w:ascii="Book Antiqua" w:hAnsi="Book Antiqua"/>
        <w:color w:val="000000" w:themeColor="text1"/>
        <w:sz w:val="24"/>
        <w:szCs w:val="24"/>
        <w:lang w:val="zh-CN" w:eastAsia="zh-CN"/>
      </w:rPr>
      <w:t xml:space="preserve"> </w:t>
    </w:r>
    <w:r w:rsidR="00C455B3" w:rsidRPr="009C79CB">
      <w:rPr>
        <w:rFonts w:ascii="Book Antiqua" w:hAnsi="Book Antiqua"/>
        <w:color w:val="000000" w:themeColor="text1"/>
        <w:sz w:val="24"/>
        <w:szCs w:val="24"/>
      </w:rPr>
      <w:fldChar w:fldCharType="begin"/>
    </w:r>
    <w:r w:rsidRPr="009C79CB">
      <w:rPr>
        <w:rFonts w:ascii="Book Antiqua" w:hAnsi="Book Antiqua"/>
        <w:color w:val="000000" w:themeColor="text1"/>
        <w:sz w:val="24"/>
        <w:szCs w:val="24"/>
      </w:rPr>
      <w:instrText>PAGE  \* Arabic  \* MERGEFORMAT</w:instrText>
    </w:r>
    <w:r w:rsidR="00C455B3" w:rsidRPr="009C79CB">
      <w:rPr>
        <w:rFonts w:ascii="Book Antiqua" w:hAnsi="Book Antiqua"/>
        <w:color w:val="000000" w:themeColor="text1"/>
        <w:sz w:val="24"/>
        <w:szCs w:val="24"/>
      </w:rPr>
      <w:fldChar w:fldCharType="separate"/>
    </w:r>
    <w:r w:rsidR="006C350F" w:rsidRPr="006C350F">
      <w:rPr>
        <w:rFonts w:ascii="Book Antiqua" w:hAnsi="Book Antiqua"/>
        <w:noProof/>
        <w:color w:val="000000" w:themeColor="text1"/>
        <w:sz w:val="24"/>
        <w:szCs w:val="24"/>
        <w:lang w:val="zh-CN" w:eastAsia="zh-CN"/>
      </w:rPr>
      <w:t>15</w:t>
    </w:r>
    <w:r w:rsidR="00C455B3" w:rsidRPr="009C79CB">
      <w:rPr>
        <w:rFonts w:ascii="Book Antiqua" w:hAnsi="Book Antiqua"/>
        <w:color w:val="000000" w:themeColor="text1"/>
        <w:sz w:val="24"/>
        <w:szCs w:val="24"/>
      </w:rPr>
      <w:fldChar w:fldCharType="end"/>
    </w:r>
    <w:r w:rsidRPr="009C79CB">
      <w:rPr>
        <w:rFonts w:ascii="Book Antiqua" w:hAnsi="Book Antiqua"/>
        <w:color w:val="000000" w:themeColor="text1"/>
        <w:sz w:val="24"/>
        <w:szCs w:val="24"/>
        <w:lang w:val="zh-CN" w:eastAsia="zh-CN"/>
      </w:rPr>
      <w:t xml:space="preserve"> / </w:t>
    </w:r>
    <w:fldSimple w:instr="NUMPAGES  \* Arabic  \* MERGEFORMAT">
      <w:r w:rsidR="006C350F" w:rsidRPr="006C350F">
        <w:rPr>
          <w:rFonts w:ascii="Book Antiqua" w:hAnsi="Book Antiqua"/>
          <w:noProof/>
          <w:color w:val="000000" w:themeColor="text1"/>
          <w:sz w:val="24"/>
          <w:szCs w:val="24"/>
          <w:lang w:val="zh-CN" w:eastAsia="zh-CN"/>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45C6" w14:textId="77777777" w:rsidR="0005625C" w:rsidRDefault="0005625C" w:rsidP="009C79CB">
      <w:r>
        <w:separator/>
      </w:r>
    </w:p>
  </w:footnote>
  <w:footnote w:type="continuationSeparator" w:id="0">
    <w:p w14:paraId="7B840D29" w14:textId="77777777" w:rsidR="0005625C" w:rsidRDefault="0005625C" w:rsidP="009C7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BD9"/>
    <w:rsid w:val="00044439"/>
    <w:rsid w:val="0005625C"/>
    <w:rsid w:val="00093B77"/>
    <w:rsid w:val="000C21AE"/>
    <w:rsid w:val="000C2BFE"/>
    <w:rsid w:val="000C6F58"/>
    <w:rsid w:val="000D1A82"/>
    <w:rsid w:val="000D5B5F"/>
    <w:rsid w:val="000E430A"/>
    <w:rsid w:val="0011177C"/>
    <w:rsid w:val="00126464"/>
    <w:rsid w:val="00130C9F"/>
    <w:rsid w:val="00136EDE"/>
    <w:rsid w:val="00137F9A"/>
    <w:rsid w:val="001768F6"/>
    <w:rsid w:val="00185D64"/>
    <w:rsid w:val="001A3FFA"/>
    <w:rsid w:val="001C30F2"/>
    <w:rsid w:val="001C61A1"/>
    <w:rsid w:val="001D4310"/>
    <w:rsid w:val="002172BC"/>
    <w:rsid w:val="00272C5F"/>
    <w:rsid w:val="00297F74"/>
    <w:rsid w:val="00316E34"/>
    <w:rsid w:val="00351331"/>
    <w:rsid w:val="003844D3"/>
    <w:rsid w:val="003B78E9"/>
    <w:rsid w:val="003C5C15"/>
    <w:rsid w:val="003D574C"/>
    <w:rsid w:val="00414C5E"/>
    <w:rsid w:val="00424AF4"/>
    <w:rsid w:val="00441156"/>
    <w:rsid w:val="00444148"/>
    <w:rsid w:val="004731BD"/>
    <w:rsid w:val="004A4FCA"/>
    <w:rsid w:val="004A5D12"/>
    <w:rsid w:val="004D5606"/>
    <w:rsid w:val="005419E1"/>
    <w:rsid w:val="00555022"/>
    <w:rsid w:val="00573780"/>
    <w:rsid w:val="005B66C5"/>
    <w:rsid w:val="005E3E41"/>
    <w:rsid w:val="005F7599"/>
    <w:rsid w:val="00640F7E"/>
    <w:rsid w:val="00670F9F"/>
    <w:rsid w:val="006802C7"/>
    <w:rsid w:val="0069034B"/>
    <w:rsid w:val="006C350F"/>
    <w:rsid w:val="006C618A"/>
    <w:rsid w:val="006F38F3"/>
    <w:rsid w:val="00701E9D"/>
    <w:rsid w:val="00717906"/>
    <w:rsid w:val="00724AC7"/>
    <w:rsid w:val="0072527E"/>
    <w:rsid w:val="00790AD5"/>
    <w:rsid w:val="007B4AB4"/>
    <w:rsid w:val="007D63B9"/>
    <w:rsid w:val="007F2E0A"/>
    <w:rsid w:val="007F61C9"/>
    <w:rsid w:val="00834086"/>
    <w:rsid w:val="00834917"/>
    <w:rsid w:val="008522BB"/>
    <w:rsid w:val="00853752"/>
    <w:rsid w:val="00855488"/>
    <w:rsid w:val="00870527"/>
    <w:rsid w:val="00871B1A"/>
    <w:rsid w:val="008A0174"/>
    <w:rsid w:val="008A2F00"/>
    <w:rsid w:val="008C3683"/>
    <w:rsid w:val="008C4E0D"/>
    <w:rsid w:val="00903156"/>
    <w:rsid w:val="00916F3F"/>
    <w:rsid w:val="00932877"/>
    <w:rsid w:val="00971E39"/>
    <w:rsid w:val="0098329A"/>
    <w:rsid w:val="009A7A12"/>
    <w:rsid w:val="009B7612"/>
    <w:rsid w:val="009C1358"/>
    <w:rsid w:val="009C79CB"/>
    <w:rsid w:val="009D016B"/>
    <w:rsid w:val="009E1AF2"/>
    <w:rsid w:val="00A228E8"/>
    <w:rsid w:val="00A3173C"/>
    <w:rsid w:val="00A37483"/>
    <w:rsid w:val="00A47512"/>
    <w:rsid w:val="00A71CB4"/>
    <w:rsid w:val="00A74D96"/>
    <w:rsid w:val="00A76437"/>
    <w:rsid w:val="00A77B3E"/>
    <w:rsid w:val="00AA511A"/>
    <w:rsid w:val="00AB575B"/>
    <w:rsid w:val="00AB63F5"/>
    <w:rsid w:val="00AC39B7"/>
    <w:rsid w:val="00AD46BB"/>
    <w:rsid w:val="00AE26DB"/>
    <w:rsid w:val="00AF1660"/>
    <w:rsid w:val="00B019E2"/>
    <w:rsid w:val="00B72274"/>
    <w:rsid w:val="00B77512"/>
    <w:rsid w:val="00B8244D"/>
    <w:rsid w:val="00BB1144"/>
    <w:rsid w:val="00BB3328"/>
    <w:rsid w:val="00BB7D33"/>
    <w:rsid w:val="00BE4A6C"/>
    <w:rsid w:val="00C35A0E"/>
    <w:rsid w:val="00C455B3"/>
    <w:rsid w:val="00C458C7"/>
    <w:rsid w:val="00C51401"/>
    <w:rsid w:val="00C56D8F"/>
    <w:rsid w:val="00C81C0F"/>
    <w:rsid w:val="00C96BD9"/>
    <w:rsid w:val="00CA2A55"/>
    <w:rsid w:val="00CC53BB"/>
    <w:rsid w:val="00D467B6"/>
    <w:rsid w:val="00D54E4D"/>
    <w:rsid w:val="00D60A2E"/>
    <w:rsid w:val="00D84D72"/>
    <w:rsid w:val="00D85015"/>
    <w:rsid w:val="00DC37F3"/>
    <w:rsid w:val="00DE1769"/>
    <w:rsid w:val="00DE4455"/>
    <w:rsid w:val="00DF39B9"/>
    <w:rsid w:val="00E41E2B"/>
    <w:rsid w:val="00EA5746"/>
    <w:rsid w:val="00EF22CB"/>
    <w:rsid w:val="00F4245B"/>
    <w:rsid w:val="00F535EE"/>
    <w:rsid w:val="00F905F1"/>
    <w:rsid w:val="00FD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72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9C79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9C79CB"/>
    <w:rPr>
      <w:sz w:val="18"/>
      <w:szCs w:val="18"/>
    </w:rPr>
  </w:style>
  <w:style w:type="paragraph" w:styleId="a5">
    <w:name w:val="footer"/>
    <w:basedOn w:val="a"/>
    <w:link w:val="a6"/>
    <w:uiPriority w:val="99"/>
    <w:unhideWhenUsed/>
    <w:qFormat/>
    <w:rsid w:val="009C79CB"/>
    <w:pPr>
      <w:tabs>
        <w:tab w:val="center" w:pos="4153"/>
        <w:tab w:val="right" w:pos="8306"/>
      </w:tabs>
      <w:snapToGrid w:val="0"/>
    </w:pPr>
    <w:rPr>
      <w:sz w:val="18"/>
      <w:szCs w:val="18"/>
    </w:rPr>
  </w:style>
  <w:style w:type="character" w:customStyle="1" w:styleId="a6">
    <w:name w:val="页脚 字符"/>
    <w:basedOn w:val="a0"/>
    <w:link w:val="a5"/>
    <w:uiPriority w:val="99"/>
    <w:qFormat/>
    <w:rsid w:val="009C79CB"/>
    <w:rPr>
      <w:sz w:val="18"/>
      <w:szCs w:val="18"/>
    </w:rPr>
  </w:style>
  <w:style w:type="character" w:styleId="a7">
    <w:name w:val="annotation reference"/>
    <w:basedOn w:val="a0"/>
    <w:uiPriority w:val="99"/>
    <w:semiHidden/>
    <w:unhideWhenUsed/>
    <w:qFormat/>
    <w:rsid w:val="009C79CB"/>
    <w:rPr>
      <w:sz w:val="21"/>
      <w:szCs w:val="21"/>
    </w:rPr>
  </w:style>
  <w:style w:type="paragraph" w:styleId="a8">
    <w:name w:val="annotation text"/>
    <w:basedOn w:val="a"/>
    <w:link w:val="a9"/>
    <w:uiPriority w:val="99"/>
    <w:unhideWhenUsed/>
    <w:qFormat/>
    <w:rsid w:val="009C79CB"/>
  </w:style>
  <w:style w:type="character" w:customStyle="1" w:styleId="a9">
    <w:name w:val="批注文字 字符"/>
    <w:basedOn w:val="a0"/>
    <w:link w:val="a8"/>
    <w:uiPriority w:val="99"/>
    <w:qFormat/>
    <w:rsid w:val="009C79CB"/>
    <w:rPr>
      <w:sz w:val="24"/>
      <w:szCs w:val="24"/>
    </w:rPr>
  </w:style>
  <w:style w:type="paragraph" w:styleId="aa">
    <w:name w:val="annotation subject"/>
    <w:basedOn w:val="a8"/>
    <w:next w:val="a8"/>
    <w:link w:val="ab"/>
    <w:uiPriority w:val="99"/>
    <w:semiHidden/>
    <w:unhideWhenUsed/>
    <w:qFormat/>
    <w:rsid w:val="009C79CB"/>
    <w:rPr>
      <w:b/>
      <w:bCs/>
    </w:rPr>
  </w:style>
  <w:style w:type="character" w:customStyle="1" w:styleId="ab">
    <w:name w:val="批注主题 字符"/>
    <w:basedOn w:val="a9"/>
    <w:link w:val="aa"/>
    <w:uiPriority w:val="99"/>
    <w:semiHidden/>
    <w:qFormat/>
    <w:rsid w:val="009C79CB"/>
    <w:rPr>
      <w:b/>
      <w:bCs/>
      <w:sz w:val="24"/>
      <w:szCs w:val="24"/>
    </w:rPr>
  </w:style>
  <w:style w:type="paragraph" w:styleId="HTML">
    <w:name w:val="HTML Preformatted"/>
    <w:basedOn w:val="a"/>
    <w:link w:val="HTML0"/>
    <w:uiPriority w:val="99"/>
    <w:unhideWhenUsed/>
    <w:qFormat/>
    <w:rsid w:val="005E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0">
    <w:name w:val="HTML 预设格式 字符"/>
    <w:basedOn w:val="a0"/>
    <w:link w:val="HTML"/>
    <w:uiPriority w:val="99"/>
    <w:qFormat/>
    <w:rsid w:val="005E3E41"/>
    <w:rPr>
      <w:rFonts w:ascii="Courier New" w:eastAsia="Times New Roman" w:hAnsi="Courier New" w:cs="Courier New"/>
      <w:lang w:eastAsia="zh-CN"/>
    </w:rPr>
  </w:style>
  <w:style w:type="table" w:styleId="ac">
    <w:name w:val="Table Grid"/>
    <w:basedOn w:val="a1"/>
    <w:uiPriority w:val="39"/>
    <w:qFormat/>
    <w:rsid w:val="005E3E4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5E3E41"/>
  </w:style>
  <w:style w:type="character" w:styleId="ae">
    <w:name w:val="Hyperlink"/>
    <w:basedOn w:val="a0"/>
    <w:uiPriority w:val="99"/>
    <w:unhideWhenUsed/>
    <w:rsid w:val="005E3E41"/>
    <w:rPr>
      <w:color w:val="0000FF" w:themeColor="hyperlink"/>
      <w:u w:val="single"/>
    </w:rPr>
  </w:style>
  <w:style w:type="paragraph" w:styleId="af">
    <w:name w:val="List Paragraph"/>
    <w:basedOn w:val="a"/>
    <w:uiPriority w:val="34"/>
    <w:qFormat/>
    <w:rsid w:val="005E3E41"/>
    <w:pPr>
      <w:widowControl w:val="0"/>
      <w:ind w:firstLineChars="200" w:firstLine="420"/>
      <w:jc w:val="both"/>
    </w:pPr>
    <w:rPr>
      <w:rFonts w:asciiTheme="minorHAnsi" w:hAnsiTheme="minorHAnsi" w:cstheme="minorBidi"/>
      <w:kern w:val="2"/>
      <w:sz w:val="21"/>
      <w:szCs w:val="22"/>
      <w:lang w:eastAsia="zh-CN"/>
    </w:rPr>
  </w:style>
  <w:style w:type="paragraph" w:customStyle="1" w:styleId="EndNoteBibliographyTitle">
    <w:name w:val="EndNote Bibliography Title"/>
    <w:basedOn w:val="a"/>
    <w:link w:val="EndNoteBibliographyTitle0"/>
    <w:qFormat/>
    <w:rsid w:val="005E3E41"/>
    <w:pPr>
      <w:widowControl w:val="0"/>
      <w:jc w:val="center"/>
    </w:pPr>
    <w:rPr>
      <w:rFonts w:ascii="方正等线" w:eastAsia="方正等线" w:hAnsi="方正等线" w:cstheme="minorBidi"/>
      <w:kern w:val="2"/>
      <w:sz w:val="20"/>
      <w:szCs w:val="22"/>
      <w:lang w:eastAsia="zh-CN"/>
    </w:rPr>
  </w:style>
  <w:style w:type="character" w:customStyle="1" w:styleId="EndNoteBibliographyTitle0">
    <w:name w:val="EndNote Bibliography Title 字符"/>
    <w:basedOn w:val="a0"/>
    <w:link w:val="EndNoteBibliographyTitle"/>
    <w:qFormat/>
    <w:rsid w:val="005E3E41"/>
    <w:rPr>
      <w:rFonts w:ascii="方正等线" w:eastAsia="方正等线" w:hAnsi="方正等线" w:cstheme="minorBidi"/>
      <w:kern w:val="2"/>
      <w:szCs w:val="22"/>
      <w:lang w:eastAsia="zh-CN"/>
    </w:rPr>
  </w:style>
  <w:style w:type="paragraph" w:customStyle="1" w:styleId="EndNoteBibliography">
    <w:name w:val="EndNote Bibliography"/>
    <w:basedOn w:val="a"/>
    <w:link w:val="EndNoteBibliography0"/>
    <w:rsid w:val="005E3E41"/>
    <w:pPr>
      <w:widowControl w:val="0"/>
      <w:jc w:val="both"/>
    </w:pPr>
    <w:rPr>
      <w:rFonts w:ascii="方正等线" w:eastAsia="方正等线" w:hAnsi="方正等线" w:cstheme="minorBidi"/>
      <w:kern w:val="2"/>
      <w:sz w:val="20"/>
      <w:szCs w:val="22"/>
      <w:lang w:eastAsia="zh-CN"/>
    </w:rPr>
  </w:style>
  <w:style w:type="character" w:customStyle="1" w:styleId="EndNoteBibliography0">
    <w:name w:val="EndNote Bibliography 字符"/>
    <w:basedOn w:val="a0"/>
    <w:link w:val="EndNoteBibliography"/>
    <w:rsid w:val="005E3E41"/>
    <w:rPr>
      <w:rFonts w:ascii="方正等线" w:eastAsia="方正等线" w:hAnsi="方正等线" w:cstheme="minorBidi"/>
      <w:kern w:val="2"/>
      <w:szCs w:val="22"/>
      <w:lang w:eastAsia="zh-CN"/>
    </w:rPr>
  </w:style>
  <w:style w:type="paragraph" w:customStyle="1" w:styleId="Revision1">
    <w:name w:val="Revision1"/>
    <w:hidden/>
    <w:uiPriority w:val="99"/>
    <w:semiHidden/>
    <w:qFormat/>
    <w:rsid w:val="005E3E41"/>
    <w:rPr>
      <w:rFonts w:asciiTheme="minorHAnsi" w:hAnsiTheme="minorHAnsi" w:cstheme="minorBidi"/>
      <w:kern w:val="2"/>
      <w:sz w:val="21"/>
      <w:szCs w:val="22"/>
      <w:lang w:eastAsia="zh-CN"/>
    </w:rPr>
  </w:style>
  <w:style w:type="character" w:customStyle="1" w:styleId="y2iqfc">
    <w:name w:val="y2iqfc"/>
    <w:basedOn w:val="a0"/>
    <w:qFormat/>
    <w:rsid w:val="005E3E41"/>
  </w:style>
  <w:style w:type="paragraph" w:customStyle="1" w:styleId="Revision2">
    <w:name w:val="Revision2"/>
    <w:hidden/>
    <w:uiPriority w:val="99"/>
    <w:semiHidden/>
    <w:rsid w:val="005E3E41"/>
    <w:rPr>
      <w:rFonts w:asciiTheme="minorHAnsi" w:hAnsiTheme="minorHAnsi" w:cstheme="minorBidi"/>
      <w:kern w:val="2"/>
      <w:sz w:val="21"/>
      <w:szCs w:val="22"/>
      <w:lang w:eastAsia="zh-CN"/>
    </w:rPr>
  </w:style>
  <w:style w:type="character" w:customStyle="1" w:styleId="UnresolvedMention1">
    <w:name w:val="Unresolved Mention1"/>
    <w:basedOn w:val="a0"/>
    <w:uiPriority w:val="99"/>
    <w:semiHidden/>
    <w:unhideWhenUsed/>
    <w:rsid w:val="005E3E41"/>
    <w:rPr>
      <w:color w:val="605E5C"/>
      <w:shd w:val="clear" w:color="auto" w:fill="E1DFDD"/>
    </w:rPr>
  </w:style>
  <w:style w:type="paragraph" w:styleId="af0">
    <w:name w:val="No Spacing"/>
    <w:uiPriority w:val="1"/>
    <w:qFormat/>
    <w:rsid w:val="005E3E41"/>
    <w:rPr>
      <w:rFonts w:asciiTheme="minorHAnsi" w:hAnsiTheme="minorHAnsi" w:cstheme="minorBidi"/>
      <w:sz w:val="22"/>
      <w:szCs w:val="22"/>
      <w:lang w:eastAsia="zh-CN"/>
    </w:rPr>
  </w:style>
  <w:style w:type="paragraph" w:styleId="af1">
    <w:name w:val="Revision"/>
    <w:hidden/>
    <w:uiPriority w:val="99"/>
    <w:semiHidden/>
    <w:rsid w:val="00971E39"/>
    <w:rPr>
      <w:sz w:val="24"/>
      <w:szCs w:val="24"/>
    </w:rPr>
  </w:style>
  <w:style w:type="paragraph" w:styleId="af2">
    <w:name w:val="Balloon Text"/>
    <w:basedOn w:val="a"/>
    <w:link w:val="af3"/>
    <w:rsid w:val="001768F6"/>
    <w:rPr>
      <w:sz w:val="18"/>
      <w:szCs w:val="18"/>
    </w:rPr>
  </w:style>
  <w:style w:type="character" w:customStyle="1" w:styleId="af3">
    <w:name w:val="批注框文本 字符"/>
    <w:basedOn w:val="a0"/>
    <w:link w:val="af2"/>
    <w:rsid w:val="001768F6"/>
    <w:rPr>
      <w:sz w:val="18"/>
      <w:szCs w:val="18"/>
    </w:rPr>
  </w:style>
  <w:style w:type="character" w:styleId="af4">
    <w:name w:val="Unresolved Mention"/>
    <w:basedOn w:val="a0"/>
    <w:uiPriority w:val="99"/>
    <w:semiHidden/>
    <w:unhideWhenUsed/>
    <w:rsid w:val="001C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2/24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12735</Words>
  <Characters>72594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2022-12-16T23:09:00Z</dcterms:created>
  <dcterms:modified xsi:type="dcterms:W3CDTF">2023-01-05T07:12:00Z</dcterms:modified>
</cp:coreProperties>
</file>