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0735C" w14:textId="77777777" w:rsidR="00791964" w:rsidRPr="00A30FAB" w:rsidRDefault="00791964" w:rsidP="00A30FAB">
      <w:pPr>
        <w:adjustRightInd w:val="0"/>
        <w:snapToGrid w:val="0"/>
        <w:rPr>
          <w:rFonts w:eastAsia="宋体"/>
          <w:b/>
          <w:color w:val="000000" w:themeColor="text1"/>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1"/>
      <w:bookmarkStart w:id="13" w:name="OLE_LINK2"/>
      <w:bookmarkStart w:id="14" w:name="OLE_LINK747"/>
      <w:bookmarkStart w:id="15" w:name="OLE_LINK748"/>
      <w:bookmarkStart w:id="16" w:name="OLE_LINK749"/>
      <w:bookmarkStart w:id="17" w:name="OLE_LINK33"/>
      <w:bookmarkStart w:id="18" w:name="OLE_LINK34"/>
      <w:r w:rsidRPr="00A30FAB">
        <w:rPr>
          <w:rFonts w:eastAsia="宋体"/>
          <w:b/>
          <w:color w:val="000000" w:themeColor="text1"/>
          <w:highlight w:val="white"/>
          <w:lang w:val="en-US" w:eastAsia="zh-CN"/>
        </w:rPr>
        <w:t xml:space="preserve">Name of </w:t>
      </w:r>
      <w:r w:rsidRPr="00A30FAB">
        <w:rPr>
          <w:rFonts w:eastAsia="宋体"/>
          <w:b/>
          <w:caps/>
          <w:color w:val="000000" w:themeColor="text1"/>
          <w:highlight w:val="white"/>
          <w:lang w:val="en-US" w:eastAsia="zh-CN"/>
        </w:rPr>
        <w:t>j</w:t>
      </w:r>
      <w:r w:rsidRPr="00A30FAB">
        <w:rPr>
          <w:rFonts w:eastAsia="宋体"/>
          <w:b/>
          <w:color w:val="000000" w:themeColor="text1"/>
          <w:highlight w:val="white"/>
          <w:lang w:val="en-US" w:eastAsia="zh-CN"/>
        </w:rPr>
        <w:t xml:space="preserve">ournal: </w:t>
      </w:r>
      <w:bookmarkStart w:id="19" w:name="OLE_LINK718"/>
      <w:bookmarkStart w:id="20" w:name="OLE_LINK719"/>
      <w:r w:rsidRPr="00A30FAB">
        <w:rPr>
          <w:rFonts w:eastAsia="宋体"/>
          <w:b/>
          <w:i/>
          <w:color w:val="000000" w:themeColor="text1"/>
          <w:highlight w:val="white"/>
          <w:lang w:val="en-US" w:eastAsia="zh-CN"/>
        </w:rPr>
        <w:t xml:space="preserve">World Journal of </w:t>
      </w:r>
      <w:bookmarkEnd w:id="19"/>
      <w:bookmarkEnd w:id="20"/>
      <w:r w:rsidRPr="00A30FAB">
        <w:rPr>
          <w:rFonts w:eastAsia="宋体"/>
          <w:b/>
          <w:i/>
          <w:color w:val="000000" w:themeColor="text1"/>
          <w:highlight w:val="white"/>
          <w:lang w:val="en-US" w:eastAsia="zh-CN"/>
        </w:rPr>
        <w:t>Diabetes</w:t>
      </w:r>
    </w:p>
    <w:p w14:paraId="77364E76" w14:textId="54F984B1" w:rsidR="00791964" w:rsidRPr="00A30FAB" w:rsidRDefault="00791964" w:rsidP="00A30FAB">
      <w:pPr>
        <w:adjustRightInd w:val="0"/>
        <w:snapToGrid w:val="0"/>
        <w:rPr>
          <w:rFonts w:eastAsia="宋体"/>
          <w:b/>
          <w:i/>
          <w:color w:val="000000" w:themeColor="text1"/>
          <w:highlight w:val="white"/>
          <w:lang w:val="en-US" w:eastAsia="zh-CN"/>
        </w:rPr>
      </w:pPr>
      <w:bookmarkStart w:id="21" w:name="OLE_LINK485"/>
      <w:bookmarkStart w:id="22" w:name="OLE_LINK486"/>
      <w:bookmarkStart w:id="23" w:name="OLE_LINK661"/>
      <w:bookmarkStart w:id="24" w:name="OLE_LINK768"/>
      <w:bookmarkStart w:id="25" w:name="OLE_LINK568"/>
      <w:bookmarkStart w:id="26" w:name="OLE_LINK499"/>
      <w:bookmarkStart w:id="27" w:name="OLE_LINK437"/>
      <w:bookmarkStart w:id="28" w:name="OLE_LINK514"/>
      <w:bookmarkStart w:id="29" w:name="OLE_LINK515"/>
      <w:bookmarkStart w:id="30" w:name="OLE_LINK13"/>
      <w:bookmarkStart w:id="31" w:name="OLE_LINK351"/>
      <w:bookmarkStart w:id="32" w:name="OLE_LINK425"/>
      <w:r w:rsidRPr="00A30FAB">
        <w:rPr>
          <w:rFonts w:eastAsia="宋体"/>
          <w:b/>
          <w:color w:val="000000" w:themeColor="text1"/>
          <w:highlight w:val="white"/>
          <w:lang w:val="en-US" w:eastAsia="zh-CN"/>
        </w:rPr>
        <w:t>Manuscript NO:</w:t>
      </w:r>
      <w:bookmarkEnd w:id="21"/>
      <w:bookmarkEnd w:id="22"/>
      <w:bookmarkEnd w:id="23"/>
      <w:bookmarkEnd w:id="24"/>
      <w:bookmarkEnd w:id="25"/>
      <w:bookmarkEnd w:id="26"/>
      <w:bookmarkEnd w:id="27"/>
      <w:r w:rsidRPr="00A30FAB">
        <w:rPr>
          <w:rFonts w:eastAsia="宋体"/>
          <w:b/>
          <w:color w:val="000000" w:themeColor="text1"/>
          <w:highlight w:val="white"/>
          <w:lang w:val="en-US" w:eastAsia="zh-CN"/>
        </w:rPr>
        <w:t xml:space="preserve"> 48967</w:t>
      </w:r>
    </w:p>
    <w:bookmarkEnd w:id="28"/>
    <w:bookmarkEnd w:id="29"/>
    <w:bookmarkEnd w:id="30"/>
    <w:bookmarkEnd w:id="31"/>
    <w:bookmarkEnd w:id="32"/>
    <w:p w14:paraId="77C28A80" w14:textId="7FC66D09" w:rsidR="00585FAB" w:rsidRPr="00A30FAB" w:rsidRDefault="00791964" w:rsidP="00A30FAB">
      <w:pPr>
        <w:pStyle w:val="Default"/>
        <w:snapToGrid w:val="0"/>
        <w:spacing w:line="360" w:lineRule="auto"/>
        <w:jc w:val="both"/>
        <w:rPr>
          <w:rFonts w:eastAsia="宋体" w:cs="Times New Roman"/>
          <w:b/>
          <w:color w:val="000000" w:themeColor="text1"/>
          <w:lang w:eastAsia="de-DE"/>
        </w:rPr>
      </w:pPr>
      <w:r w:rsidRPr="00A30FAB">
        <w:rPr>
          <w:rFonts w:eastAsia="宋体" w:cs="Times New Roman"/>
          <w:b/>
          <w:color w:val="000000" w:themeColor="text1"/>
          <w:highlight w:val="white"/>
          <w:lang w:eastAsia="de-DE"/>
        </w:rPr>
        <w:t xml:space="preserve">Manuscript </w:t>
      </w:r>
      <w:r w:rsidRPr="00A30FAB">
        <w:rPr>
          <w:rFonts w:eastAsia="宋体" w:cs="Times New Roman"/>
          <w:b/>
          <w:caps/>
          <w:color w:val="000000" w:themeColor="text1"/>
          <w:highlight w:val="white"/>
          <w:lang w:eastAsia="de-DE"/>
        </w:rPr>
        <w:t>t</w:t>
      </w:r>
      <w:r w:rsidRPr="00A30FAB">
        <w:rPr>
          <w:rFonts w:eastAsia="宋体" w:cs="Times New Roman"/>
          <w:b/>
          <w:color w:val="000000" w:themeColor="text1"/>
          <w:highlight w:val="white"/>
          <w:lang w:eastAsia="de-DE"/>
        </w:rPr>
        <w:t>ype</w:t>
      </w:r>
      <w:r w:rsidRPr="00A30FAB">
        <w:rPr>
          <w:rFonts w:eastAsia="宋体" w:cs="Times New Roman"/>
          <w:b/>
          <w:color w:val="000000" w:themeColor="text1"/>
          <w:lang w:eastAsia="de-DE"/>
        </w:rPr>
        <w:t>:</w:t>
      </w:r>
      <w:bookmarkEnd w:id="0"/>
      <w:bookmarkEnd w:id="1"/>
      <w:bookmarkEnd w:id="2"/>
      <w:bookmarkEnd w:id="3"/>
      <w:bookmarkEnd w:id="4"/>
      <w:bookmarkEnd w:id="5"/>
      <w:bookmarkEnd w:id="6"/>
      <w:bookmarkEnd w:id="7"/>
      <w:bookmarkEnd w:id="8"/>
      <w:bookmarkEnd w:id="9"/>
      <w:bookmarkEnd w:id="10"/>
      <w:bookmarkEnd w:id="11"/>
      <w:r w:rsidRPr="00A30FAB">
        <w:rPr>
          <w:rFonts w:eastAsia="宋体" w:cs="Times New Roman"/>
          <w:b/>
          <w:color w:val="000000" w:themeColor="text1"/>
          <w:lang w:eastAsia="de-DE"/>
        </w:rPr>
        <w:t xml:space="preserve"> </w:t>
      </w:r>
      <w:bookmarkEnd w:id="12"/>
      <w:bookmarkEnd w:id="13"/>
      <w:bookmarkEnd w:id="14"/>
      <w:bookmarkEnd w:id="15"/>
      <w:bookmarkEnd w:id="16"/>
      <w:r w:rsidRPr="00A30FAB">
        <w:rPr>
          <w:rFonts w:eastAsia="宋体" w:cs="Times New Roman"/>
          <w:b/>
          <w:color w:val="000000" w:themeColor="text1"/>
          <w:lang w:eastAsia="de-DE"/>
        </w:rPr>
        <w:t>REVIEW</w:t>
      </w:r>
    </w:p>
    <w:p w14:paraId="4A23870E" w14:textId="77777777" w:rsidR="00791964" w:rsidRPr="00A30FAB" w:rsidRDefault="00791964" w:rsidP="00A30FAB">
      <w:pPr>
        <w:pStyle w:val="Default"/>
        <w:snapToGrid w:val="0"/>
        <w:spacing w:line="360" w:lineRule="auto"/>
        <w:jc w:val="both"/>
        <w:rPr>
          <w:b/>
          <w:bCs/>
          <w:color w:val="000000" w:themeColor="text1"/>
        </w:rPr>
      </w:pPr>
    </w:p>
    <w:p w14:paraId="7D4852A6" w14:textId="790B2554" w:rsidR="00585FAB" w:rsidRPr="00A30FAB" w:rsidRDefault="00585FAB" w:rsidP="00A30FAB">
      <w:pPr>
        <w:pStyle w:val="Default"/>
        <w:snapToGrid w:val="0"/>
        <w:spacing w:line="360" w:lineRule="auto"/>
        <w:jc w:val="both"/>
        <w:rPr>
          <w:b/>
          <w:color w:val="000000" w:themeColor="text1"/>
        </w:rPr>
      </w:pPr>
      <w:bookmarkStart w:id="33" w:name="OLE_LINK781"/>
      <w:bookmarkStart w:id="34" w:name="OLE_LINK782"/>
      <w:bookmarkStart w:id="35" w:name="OLE_LINK797"/>
      <w:bookmarkStart w:id="36" w:name="OLE_LINK798"/>
      <w:bookmarkStart w:id="37" w:name="OLE_LINK1086"/>
      <w:r w:rsidRPr="00A30FAB">
        <w:rPr>
          <w:b/>
          <w:bCs/>
          <w:color w:val="000000" w:themeColor="text1"/>
        </w:rPr>
        <w:t xml:space="preserve">Diabetic </w:t>
      </w:r>
      <w:r w:rsidR="008D1DAD" w:rsidRPr="00A30FAB">
        <w:rPr>
          <w:b/>
          <w:bCs/>
          <w:color w:val="000000" w:themeColor="text1"/>
        </w:rPr>
        <w:t>c</w:t>
      </w:r>
      <w:r w:rsidRPr="00A30FAB">
        <w:rPr>
          <w:b/>
          <w:bCs/>
          <w:color w:val="000000" w:themeColor="text1"/>
        </w:rPr>
        <w:t>ardiomyopathy</w:t>
      </w:r>
      <w:bookmarkEnd w:id="33"/>
      <w:bookmarkEnd w:id="34"/>
      <w:r w:rsidRPr="00A30FAB">
        <w:rPr>
          <w:b/>
          <w:bCs/>
          <w:color w:val="000000" w:themeColor="text1"/>
        </w:rPr>
        <w:t>: Pathophysiology</w:t>
      </w:r>
      <w:r w:rsidRPr="00A30FAB">
        <w:rPr>
          <w:b/>
          <w:color w:val="000000" w:themeColor="text1"/>
        </w:rPr>
        <w:t>, theories and evidence to date</w:t>
      </w:r>
      <w:bookmarkEnd w:id="35"/>
      <w:bookmarkEnd w:id="36"/>
    </w:p>
    <w:bookmarkEnd w:id="37"/>
    <w:p w14:paraId="5A97AEB4" w14:textId="3BA3EDCB" w:rsidR="00585FAB" w:rsidRPr="00A30FAB" w:rsidRDefault="00585FAB" w:rsidP="00A30FAB">
      <w:pPr>
        <w:pStyle w:val="Default"/>
        <w:snapToGrid w:val="0"/>
        <w:spacing w:line="360" w:lineRule="auto"/>
        <w:jc w:val="both"/>
        <w:rPr>
          <w:color w:val="000000" w:themeColor="text1"/>
        </w:rPr>
      </w:pPr>
    </w:p>
    <w:p w14:paraId="1AE65C57" w14:textId="6BC698C7" w:rsidR="008D1DAD" w:rsidRPr="00A30FAB" w:rsidRDefault="008D1DAD" w:rsidP="00A30FAB">
      <w:pPr>
        <w:pStyle w:val="Default"/>
        <w:snapToGrid w:val="0"/>
        <w:spacing w:line="360" w:lineRule="auto"/>
        <w:jc w:val="both"/>
        <w:rPr>
          <w:color w:val="000000" w:themeColor="text1"/>
        </w:rPr>
      </w:pPr>
      <w:r w:rsidRPr="00A30FAB">
        <w:rPr>
          <w:color w:val="000000" w:themeColor="text1"/>
        </w:rPr>
        <w:t xml:space="preserve">Athithan L </w:t>
      </w:r>
      <w:r w:rsidRPr="00A30FAB">
        <w:rPr>
          <w:i/>
          <w:iCs/>
          <w:color w:val="000000" w:themeColor="text1"/>
        </w:rPr>
        <w:t>et al</w:t>
      </w:r>
      <w:r w:rsidRPr="00A30FAB">
        <w:rPr>
          <w:color w:val="000000" w:themeColor="text1"/>
        </w:rPr>
        <w:t>. Diabetic cardiomyopathy</w:t>
      </w:r>
    </w:p>
    <w:p w14:paraId="3CE00207" w14:textId="77777777" w:rsidR="008D1DAD" w:rsidRPr="00A30FAB" w:rsidRDefault="008D1DAD" w:rsidP="00A30FAB">
      <w:pPr>
        <w:pStyle w:val="Default"/>
        <w:snapToGrid w:val="0"/>
        <w:spacing w:line="360" w:lineRule="auto"/>
        <w:jc w:val="both"/>
        <w:rPr>
          <w:color w:val="000000" w:themeColor="text1"/>
        </w:rPr>
      </w:pPr>
    </w:p>
    <w:p w14:paraId="081607BC" w14:textId="7EF2E39A" w:rsidR="00585FAB" w:rsidRPr="00A30FAB" w:rsidRDefault="00585FAB" w:rsidP="00A30FAB">
      <w:pPr>
        <w:pStyle w:val="Default"/>
        <w:snapToGrid w:val="0"/>
        <w:spacing w:line="360" w:lineRule="auto"/>
        <w:jc w:val="both"/>
        <w:rPr>
          <w:b/>
          <w:bCs/>
          <w:color w:val="000000" w:themeColor="text1"/>
        </w:rPr>
      </w:pPr>
      <w:bookmarkStart w:id="38" w:name="OLE_LINK795"/>
      <w:bookmarkStart w:id="39" w:name="OLE_LINK796"/>
      <w:r w:rsidRPr="00A30FAB">
        <w:rPr>
          <w:b/>
          <w:bCs/>
          <w:color w:val="000000" w:themeColor="text1"/>
        </w:rPr>
        <w:t>Lavanya Athithan, Gaurav S Gulsin, Gerald P McCann, Eylem Levelt</w:t>
      </w:r>
      <w:bookmarkEnd w:id="38"/>
      <w:bookmarkEnd w:id="39"/>
    </w:p>
    <w:p w14:paraId="47127BDD" w14:textId="77777777" w:rsidR="001C683A" w:rsidRPr="00A30FAB" w:rsidRDefault="001C683A" w:rsidP="00A30FAB">
      <w:pPr>
        <w:pStyle w:val="Default"/>
        <w:snapToGrid w:val="0"/>
        <w:spacing w:line="360" w:lineRule="auto"/>
        <w:jc w:val="both"/>
        <w:rPr>
          <w:b/>
          <w:bCs/>
          <w:color w:val="000000" w:themeColor="text1"/>
        </w:rPr>
      </w:pPr>
    </w:p>
    <w:p w14:paraId="60771562" w14:textId="3CEDA0AD" w:rsidR="00585FAB" w:rsidRPr="00A30FAB" w:rsidRDefault="00585FAB" w:rsidP="00A30FAB">
      <w:pPr>
        <w:adjustRightInd w:val="0"/>
        <w:snapToGrid w:val="0"/>
        <w:rPr>
          <w:color w:val="000000" w:themeColor="text1"/>
          <w:lang w:val="en-US"/>
        </w:rPr>
      </w:pPr>
      <w:r w:rsidRPr="00A30FAB">
        <w:rPr>
          <w:b/>
          <w:bCs/>
          <w:color w:val="000000" w:themeColor="text1"/>
          <w:lang w:val="en-US"/>
        </w:rPr>
        <w:t xml:space="preserve">Lavanya Athithan, Gaurav S Gulsin, Gerald P McCann, </w:t>
      </w:r>
      <w:r w:rsidRPr="00A30FAB">
        <w:rPr>
          <w:color w:val="000000" w:themeColor="text1"/>
          <w:lang w:val="en-US"/>
        </w:rPr>
        <w:t xml:space="preserve">Department of Cardiovascular Sciences, University of Leicester and NIHR Leicester Cardiovascular Biomedical Research Centre, Glenfield Hospital, Leicester LE3 9QP, </w:t>
      </w:r>
      <w:r w:rsidR="001C683A" w:rsidRPr="00A30FAB">
        <w:rPr>
          <w:color w:val="000000" w:themeColor="text1"/>
          <w:lang w:val="en-US"/>
        </w:rPr>
        <w:t>United Kingdom</w:t>
      </w:r>
    </w:p>
    <w:p w14:paraId="537C3DB2" w14:textId="77777777" w:rsidR="00585FAB" w:rsidRPr="00A30FAB" w:rsidRDefault="00585FAB" w:rsidP="00A30FAB">
      <w:pPr>
        <w:pStyle w:val="Default"/>
        <w:snapToGrid w:val="0"/>
        <w:spacing w:line="360" w:lineRule="auto"/>
        <w:jc w:val="both"/>
        <w:rPr>
          <w:color w:val="000000" w:themeColor="text1"/>
        </w:rPr>
      </w:pPr>
    </w:p>
    <w:p w14:paraId="6057C17C" w14:textId="145BB757" w:rsidR="00585FAB" w:rsidRPr="00A30FAB" w:rsidRDefault="00585FAB" w:rsidP="00A30FAB">
      <w:pPr>
        <w:adjustRightInd w:val="0"/>
        <w:snapToGrid w:val="0"/>
        <w:rPr>
          <w:color w:val="000000" w:themeColor="text1"/>
          <w:lang w:val="en-US"/>
        </w:rPr>
      </w:pPr>
      <w:r w:rsidRPr="00A30FAB">
        <w:rPr>
          <w:b/>
          <w:bCs/>
          <w:color w:val="000000" w:themeColor="text1"/>
          <w:lang w:val="en-US"/>
        </w:rPr>
        <w:t xml:space="preserve">Eylem Levelt, </w:t>
      </w:r>
      <w:r w:rsidRPr="00A30FAB">
        <w:rPr>
          <w:color w:val="000000" w:themeColor="text1"/>
          <w:lang w:val="en-US"/>
        </w:rPr>
        <w:t>Multidisciplinary Cardiovascular Research Centre and Biomedical Imaging Science Department, Leeds Institute of Cardiovascular and Metabolic Medicine, University of Leeds, Leeds</w:t>
      </w:r>
      <w:r w:rsidR="00A066B4" w:rsidRPr="00A30FAB">
        <w:rPr>
          <w:color w:val="000000" w:themeColor="text1"/>
          <w:lang w:val="en-US"/>
        </w:rPr>
        <w:t xml:space="preserve"> LF9 7TF</w:t>
      </w:r>
      <w:r w:rsidRPr="00A30FAB">
        <w:rPr>
          <w:color w:val="000000" w:themeColor="text1"/>
          <w:lang w:val="en-US"/>
        </w:rPr>
        <w:t xml:space="preserve">, </w:t>
      </w:r>
      <w:r w:rsidR="001C683A" w:rsidRPr="00A30FAB">
        <w:rPr>
          <w:color w:val="000000" w:themeColor="text1"/>
          <w:lang w:val="en-US"/>
        </w:rPr>
        <w:t>United Kingdom</w:t>
      </w:r>
    </w:p>
    <w:p w14:paraId="21A69A80" w14:textId="77777777" w:rsidR="00585FAB" w:rsidRPr="00A30FAB" w:rsidRDefault="00585FAB" w:rsidP="00A30FAB">
      <w:pPr>
        <w:adjustRightInd w:val="0"/>
        <w:snapToGrid w:val="0"/>
        <w:rPr>
          <w:color w:val="000000" w:themeColor="text1"/>
          <w:lang w:val="en-US"/>
        </w:rPr>
      </w:pPr>
    </w:p>
    <w:p w14:paraId="03DEA1CA" w14:textId="46093BA1" w:rsidR="00585FAB" w:rsidRPr="00A30FAB" w:rsidRDefault="00585FAB" w:rsidP="00A30FAB">
      <w:pPr>
        <w:adjustRightInd w:val="0"/>
        <w:snapToGrid w:val="0"/>
        <w:rPr>
          <w:color w:val="000000" w:themeColor="text1"/>
          <w:lang w:val="en-US"/>
        </w:rPr>
      </w:pPr>
      <w:r w:rsidRPr="00A30FAB">
        <w:rPr>
          <w:b/>
          <w:bCs/>
          <w:color w:val="000000" w:themeColor="text1"/>
          <w:lang w:val="en-US"/>
        </w:rPr>
        <w:t xml:space="preserve">ORCID number: </w:t>
      </w:r>
      <w:r w:rsidRPr="00A30FAB">
        <w:rPr>
          <w:bCs/>
          <w:color w:val="000000" w:themeColor="text1"/>
          <w:lang w:val="en-US"/>
        </w:rPr>
        <w:t xml:space="preserve">Lavanya </w:t>
      </w:r>
      <w:bookmarkStart w:id="40" w:name="OLE_LINK785"/>
      <w:bookmarkStart w:id="41" w:name="OLE_LINK786"/>
      <w:r w:rsidRPr="00A30FAB">
        <w:rPr>
          <w:bCs/>
          <w:color w:val="000000" w:themeColor="text1"/>
          <w:lang w:val="en-US"/>
        </w:rPr>
        <w:t>Athithan</w:t>
      </w:r>
      <w:bookmarkEnd w:id="40"/>
      <w:bookmarkEnd w:id="41"/>
      <w:r w:rsidRPr="00A30FAB">
        <w:rPr>
          <w:b/>
          <w:bCs/>
          <w:color w:val="000000" w:themeColor="text1"/>
          <w:lang w:val="en-US"/>
        </w:rPr>
        <w:t xml:space="preserve"> </w:t>
      </w:r>
      <w:r w:rsidRPr="00A30FAB">
        <w:rPr>
          <w:color w:val="000000" w:themeColor="text1"/>
          <w:lang w:val="en-US"/>
        </w:rPr>
        <w:t>(0000-0001-8728-8227); Gaurav S Gulsin (0000-0002-1740-9270)</w:t>
      </w:r>
      <w:r w:rsidR="00B34B3F">
        <w:rPr>
          <w:color w:val="000000" w:themeColor="text1"/>
          <w:lang w:val="en-US"/>
        </w:rPr>
        <w:t>;</w:t>
      </w:r>
      <w:r w:rsidRPr="00A30FAB">
        <w:rPr>
          <w:color w:val="000000" w:themeColor="text1"/>
          <w:lang w:val="en-US"/>
        </w:rPr>
        <w:t xml:space="preserve"> Gerald P McCann (0000-0002-5542-8448); Eylem </w:t>
      </w:r>
      <w:bookmarkStart w:id="42" w:name="OLE_LINK787"/>
      <w:bookmarkStart w:id="43" w:name="OLE_LINK788"/>
      <w:r w:rsidRPr="00A30FAB">
        <w:rPr>
          <w:color w:val="000000" w:themeColor="text1"/>
          <w:lang w:val="en-US"/>
        </w:rPr>
        <w:t>Levelt</w:t>
      </w:r>
      <w:bookmarkEnd w:id="42"/>
      <w:bookmarkEnd w:id="43"/>
      <w:r w:rsidRPr="00A30FAB">
        <w:rPr>
          <w:color w:val="000000" w:themeColor="text1"/>
          <w:lang w:val="en-US"/>
        </w:rPr>
        <w:t xml:space="preserve"> (0000-0002-3799-7102)</w:t>
      </w:r>
      <w:r w:rsidR="00A066B4" w:rsidRPr="00A30FAB">
        <w:rPr>
          <w:color w:val="000000" w:themeColor="text1"/>
          <w:lang w:val="en-US"/>
        </w:rPr>
        <w:t>.</w:t>
      </w:r>
    </w:p>
    <w:p w14:paraId="441B8D14" w14:textId="77777777" w:rsidR="00A066B4" w:rsidRPr="00A30FAB" w:rsidRDefault="00A066B4" w:rsidP="00A30FAB">
      <w:pPr>
        <w:adjustRightInd w:val="0"/>
        <w:snapToGrid w:val="0"/>
        <w:rPr>
          <w:color w:val="000000" w:themeColor="text1"/>
          <w:lang w:val="en-US"/>
        </w:rPr>
      </w:pPr>
    </w:p>
    <w:p w14:paraId="187C7F89" w14:textId="23B121F8" w:rsidR="00585FAB" w:rsidRPr="00A30FAB" w:rsidRDefault="00585FAB" w:rsidP="00A30FAB">
      <w:pPr>
        <w:pStyle w:val="Default"/>
        <w:snapToGrid w:val="0"/>
        <w:spacing w:line="360" w:lineRule="auto"/>
        <w:jc w:val="both"/>
        <w:rPr>
          <w:color w:val="000000" w:themeColor="text1"/>
        </w:rPr>
      </w:pPr>
      <w:r w:rsidRPr="00A30FAB">
        <w:rPr>
          <w:b/>
          <w:bCs/>
          <w:color w:val="000000" w:themeColor="text1"/>
        </w:rPr>
        <w:t xml:space="preserve">Author contributions: </w:t>
      </w:r>
      <w:r w:rsidR="00A066B4" w:rsidRPr="00A30FAB">
        <w:rPr>
          <w:bCs/>
          <w:color w:val="000000" w:themeColor="text1"/>
        </w:rPr>
        <w:t>Athithan</w:t>
      </w:r>
      <w:r w:rsidR="00A066B4" w:rsidRPr="00A30FAB">
        <w:rPr>
          <w:color w:val="000000" w:themeColor="text1"/>
        </w:rPr>
        <w:t xml:space="preserve"> </w:t>
      </w:r>
      <w:r w:rsidRPr="00A30FAB">
        <w:rPr>
          <w:color w:val="000000" w:themeColor="text1"/>
        </w:rPr>
        <w:t xml:space="preserve">L performed the literature review and wrote the draft of the paper and </w:t>
      </w:r>
      <w:r w:rsidR="00BA2CF1" w:rsidRPr="00A30FAB">
        <w:rPr>
          <w:color w:val="000000" w:themeColor="text1"/>
        </w:rPr>
        <w:t xml:space="preserve">Gulsin </w:t>
      </w:r>
      <w:r w:rsidRPr="00A30FAB">
        <w:rPr>
          <w:color w:val="000000" w:themeColor="text1"/>
        </w:rPr>
        <w:t>G</w:t>
      </w:r>
      <w:r w:rsidR="00BA2CF1" w:rsidRPr="00A30FAB">
        <w:rPr>
          <w:color w:val="000000" w:themeColor="text1"/>
        </w:rPr>
        <w:t>S</w:t>
      </w:r>
      <w:r w:rsidRPr="00A30FAB">
        <w:rPr>
          <w:color w:val="000000" w:themeColor="text1"/>
        </w:rPr>
        <w:t xml:space="preserve"> also contributed to the writing and editing of the manuscript which was critically revised and edited by</w:t>
      </w:r>
      <w:r w:rsidR="00BA2CF1" w:rsidRPr="00A30FAB">
        <w:rPr>
          <w:color w:val="000000" w:themeColor="text1"/>
        </w:rPr>
        <w:t xml:space="preserve"> Levelt</w:t>
      </w:r>
      <w:r w:rsidRPr="00A30FAB">
        <w:rPr>
          <w:color w:val="000000" w:themeColor="text1"/>
        </w:rPr>
        <w:t xml:space="preserve"> E and </w:t>
      </w:r>
      <w:r w:rsidR="00BA2CF1" w:rsidRPr="00A30FAB">
        <w:rPr>
          <w:color w:val="000000" w:themeColor="text1"/>
        </w:rPr>
        <w:t xml:space="preserve">McCann </w:t>
      </w:r>
      <w:r w:rsidRPr="00A30FAB">
        <w:rPr>
          <w:color w:val="000000" w:themeColor="text1"/>
        </w:rPr>
        <w:t xml:space="preserve">GP. All authors approved the final version. </w:t>
      </w:r>
    </w:p>
    <w:p w14:paraId="5785E5B5" w14:textId="77777777" w:rsidR="004E2D75" w:rsidRPr="00A30FAB" w:rsidRDefault="004E2D75" w:rsidP="00A30FAB">
      <w:pPr>
        <w:pStyle w:val="Default"/>
        <w:snapToGrid w:val="0"/>
        <w:spacing w:line="360" w:lineRule="auto"/>
        <w:jc w:val="both"/>
        <w:rPr>
          <w:b/>
          <w:bCs/>
          <w:color w:val="000000" w:themeColor="text1"/>
        </w:rPr>
      </w:pPr>
    </w:p>
    <w:p w14:paraId="7B356C07" w14:textId="5D70F3F8" w:rsidR="00585FAB" w:rsidRPr="00A30FAB" w:rsidRDefault="00585FAB" w:rsidP="00A30FAB">
      <w:pPr>
        <w:pStyle w:val="Default"/>
        <w:snapToGrid w:val="0"/>
        <w:spacing w:line="360" w:lineRule="auto"/>
        <w:jc w:val="both"/>
        <w:rPr>
          <w:color w:val="000000" w:themeColor="text1"/>
        </w:rPr>
      </w:pPr>
      <w:r w:rsidRPr="00A30FAB">
        <w:rPr>
          <w:b/>
          <w:bCs/>
          <w:color w:val="000000" w:themeColor="text1"/>
        </w:rPr>
        <w:t xml:space="preserve">Conflict-of-interest statement: </w:t>
      </w:r>
      <w:r w:rsidRPr="00A30FAB">
        <w:rPr>
          <w:color w:val="000000" w:themeColor="text1"/>
        </w:rPr>
        <w:t xml:space="preserve">No potential conflicts of interest. </w:t>
      </w:r>
    </w:p>
    <w:p w14:paraId="514C58DE" w14:textId="681AE070" w:rsidR="00BA2CF1" w:rsidRPr="00A30FAB" w:rsidRDefault="00BA2CF1" w:rsidP="00A30FAB">
      <w:pPr>
        <w:pStyle w:val="Default"/>
        <w:snapToGrid w:val="0"/>
        <w:spacing w:line="360" w:lineRule="auto"/>
        <w:jc w:val="both"/>
        <w:rPr>
          <w:color w:val="000000" w:themeColor="text1"/>
        </w:rPr>
      </w:pPr>
    </w:p>
    <w:p w14:paraId="5E218383" w14:textId="5378B146" w:rsidR="00452FBC" w:rsidRPr="00A30FAB" w:rsidRDefault="00452FBC" w:rsidP="00A30FAB">
      <w:pPr>
        <w:adjustRightInd w:val="0"/>
        <w:snapToGrid w:val="0"/>
        <w:rPr>
          <w:rFonts w:eastAsia="宋体"/>
          <w:color w:val="000000" w:themeColor="text1"/>
          <w:lang w:val="en-US" w:eastAsia="zh-CN"/>
        </w:rPr>
      </w:pPr>
      <w:bookmarkStart w:id="44" w:name="OLE_LINK25"/>
      <w:bookmarkStart w:id="45" w:name="OLE_LINK26"/>
      <w:bookmarkStart w:id="46" w:name="OLE_LINK375"/>
      <w:bookmarkStart w:id="47" w:name="OLE_LINK32"/>
      <w:bookmarkStart w:id="48" w:name="OLE_LINK381"/>
      <w:bookmarkStart w:id="49" w:name="OLE_LINK413"/>
      <w:bookmarkStart w:id="50" w:name="OLE_LINK61"/>
      <w:bookmarkStart w:id="51" w:name="OLE_LINK615"/>
      <w:bookmarkStart w:id="52" w:name="OLE_LINK69"/>
      <w:bookmarkStart w:id="53" w:name="OLE_LINK140"/>
      <w:r w:rsidRPr="00A30FAB">
        <w:rPr>
          <w:rFonts w:eastAsia="宋体"/>
          <w:b/>
          <w:color w:val="000000" w:themeColor="text1"/>
          <w:lang w:val="en-US" w:eastAsia="zh-CN"/>
        </w:rPr>
        <w:t xml:space="preserve">Open-Access: </w:t>
      </w:r>
      <w:r w:rsidRPr="00A30FAB">
        <w:rPr>
          <w:rFonts w:eastAsia="宋体"/>
          <w:color w:val="000000" w:themeColor="text1"/>
          <w:lang w:val="en-US" w:eastAsia="zh-CN"/>
        </w:rPr>
        <w:t xml:space="preserve">This is an </w:t>
      </w:r>
      <w:r w:rsidRPr="00A30FAB">
        <w:rPr>
          <w:rFonts w:eastAsia="宋体" w:cs="宋体"/>
          <w:color w:val="000000" w:themeColor="text1"/>
          <w:lang w:val="en-US" w:eastAsia="zh-CN"/>
        </w:rPr>
        <w:t xml:space="preserve">open-access article that was </w:t>
      </w:r>
      <w:r w:rsidRPr="00A30FAB">
        <w:rPr>
          <w:rFonts w:eastAsia="宋体"/>
          <w:color w:val="000000" w:themeColor="text1"/>
          <w:lang w:val="en-US" w:eastAsia="zh-CN"/>
        </w:rPr>
        <w:t xml:space="preserve">selected by an in-house editor and fully peer-reviewed by external reviewers. It is </w:t>
      </w:r>
      <w:r w:rsidRPr="00A30FAB">
        <w:rPr>
          <w:rFonts w:eastAsia="宋体" w:cs="宋体"/>
          <w:color w:val="000000" w:themeColor="text1"/>
          <w:lang w:val="en-US" w:eastAsia="zh-CN"/>
        </w:rPr>
        <w:t xml:space="preserve">distributed in accordance with </w:t>
      </w:r>
      <w:r w:rsidRPr="00A30FAB">
        <w:rPr>
          <w:rFonts w:eastAsia="宋体"/>
          <w:color w:val="000000" w:themeColor="text1"/>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A30FAB">
        <w:rPr>
          <w:rFonts w:eastAsia="宋体"/>
          <w:color w:val="000000" w:themeColor="text1"/>
          <w:u w:val="single"/>
          <w:lang w:val="en-US" w:eastAsia="zh-CN"/>
        </w:rPr>
        <w:t>http://creativecommons.org/licenses/by-nc/4.0/</w:t>
      </w:r>
    </w:p>
    <w:p w14:paraId="46BF27EF" w14:textId="77777777" w:rsidR="00452FBC" w:rsidRPr="00A30FAB" w:rsidRDefault="00452FBC" w:rsidP="00A30FAB">
      <w:pPr>
        <w:adjustRightInd w:val="0"/>
        <w:snapToGrid w:val="0"/>
        <w:rPr>
          <w:rFonts w:eastAsia="宋体"/>
          <w:color w:val="000000" w:themeColor="text1"/>
          <w:lang w:val="en-US" w:eastAsia="zh-CN"/>
        </w:rPr>
      </w:pPr>
    </w:p>
    <w:p w14:paraId="6A211DB9" w14:textId="0D5D8FC4" w:rsidR="00BA2CF1" w:rsidRPr="00A30FAB" w:rsidRDefault="00452FBC" w:rsidP="00A30FAB">
      <w:pPr>
        <w:pStyle w:val="Default"/>
        <w:snapToGrid w:val="0"/>
        <w:spacing w:line="360" w:lineRule="auto"/>
        <w:jc w:val="both"/>
        <w:rPr>
          <w:rFonts w:eastAsia="宋体" w:cs="Times New Roman"/>
          <w:bCs/>
          <w:color w:val="000000" w:themeColor="text1"/>
          <w:lang w:eastAsia="zh-CN"/>
        </w:rPr>
      </w:pPr>
      <w:bookmarkStart w:id="54" w:name="OLE_LINK11"/>
      <w:r w:rsidRPr="00A30FAB">
        <w:rPr>
          <w:rFonts w:eastAsia="宋体" w:cs="Times New Roman"/>
          <w:b/>
          <w:bCs/>
          <w:color w:val="000000" w:themeColor="text1"/>
          <w:highlight w:val="white"/>
          <w:lang w:eastAsia="zh-CN"/>
        </w:rPr>
        <w:t xml:space="preserve">Manuscript source: </w:t>
      </w:r>
      <w:r w:rsidRPr="00A30FAB">
        <w:rPr>
          <w:rFonts w:eastAsia="宋体" w:cs="Times New Roman"/>
          <w:bCs/>
          <w:color w:val="000000" w:themeColor="text1"/>
          <w:highlight w:val="white"/>
          <w:lang w:eastAsia="zh-CN"/>
        </w:rPr>
        <w:t>Invited manuscript</w:t>
      </w:r>
      <w:bookmarkEnd w:id="44"/>
      <w:bookmarkEnd w:id="45"/>
      <w:bookmarkEnd w:id="46"/>
      <w:bookmarkEnd w:id="47"/>
      <w:bookmarkEnd w:id="48"/>
      <w:bookmarkEnd w:id="49"/>
      <w:bookmarkEnd w:id="50"/>
      <w:bookmarkEnd w:id="51"/>
      <w:bookmarkEnd w:id="52"/>
      <w:bookmarkEnd w:id="53"/>
      <w:bookmarkEnd w:id="54"/>
    </w:p>
    <w:p w14:paraId="4075CCDF" w14:textId="77777777" w:rsidR="00452FBC" w:rsidRPr="00A30FAB" w:rsidRDefault="00452FBC" w:rsidP="00A30FAB">
      <w:pPr>
        <w:pStyle w:val="Default"/>
        <w:snapToGrid w:val="0"/>
        <w:spacing w:line="360" w:lineRule="auto"/>
        <w:jc w:val="both"/>
        <w:rPr>
          <w:color w:val="000000" w:themeColor="text1"/>
        </w:rPr>
      </w:pPr>
    </w:p>
    <w:p w14:paraId="47ED2B5F" w14:textId="01EFE770" w:rsidR="00585FAB" w:rsidRPr="00A30FAB" w:rsidRDefault="00585FAB" w:rsidP="00A30FAB">
      <w:pPr>
        <w:pStyle w:val="Default"/>
        <w:snapToGrid w:val="0"/>
        <w:spacing w:line="360" w:lineRule="auto"/>
        <w:jc w:val="both"/>
        <w:rPr>
          <w:color w:val="000000" w:themeColor="text1"/>
        </w:rPr>
      </w:pPr>
      <w:r w:rsidRPr="00A30FAB">
        <w:rPr>
          <w:b/>
          <w:bCs/>
          <w:color w:val="000000" w:themeColor="text1"/>
        </w:rPr>
        <w:t>Correspond</w:t>
      </w:r>
      <w:r w:rsidR="00452FBC" w:rsidRPr="00A30FAB">
        <w:rPr>
          <w:b/>
          <w:bCs/>
          <w:color w:val="000000" w:themeColor="text1"/>
        </w:rPr>
        <w:t>ing author</w:t>
      </w:r>
      <w:r w:rsidRPr="00A30FAB">
        <w:rPr>
          <w:b/>
          <w:bCs/>
          <w:color w:val="000000" w:themeColor="text1"/>
        </w:rPr>
        <w:t xml:space="preserve">: Lavanya Athithan, </w:t>
      </w:r>
      <w:r w:rsidR="00452FBC" w:rsidRPr="00A30FAB">
        <w:rPr>
          <w:b/>
          <w:bCs/>
          <w:color w:val="000000" w:themeColor="text1"/>
        </w:rPr>
        <w:t>MBChB, MRCP</w:t>
      </w:r>
      <w:r w:rsidRPr="00A30FAB">
        <w:rPr>
          <w:b/>
          <w:bCs/>
          <w:color w:val="000000" w:themeColor="text1"/>
        </w:rPr>
        <w:t>,</w:t>
      </w:r>
      <w:r w:rsidR="00452FBC" w:rsidRPr="00A30FAB">
        <w:rPr>
          <w:b/>
          <w:bCs/>
          <w:color w:val="000000" w:themeColor="text1"/>
        </w:rPr>
        <w:t xml:space="preserve"> Doctor,</w:t>
      </w:r>
      <w:r w:rsidRPr="00A30FAB">
        <w:rPr>
          <w:b/>
          <w:bCs/>
          <w:color w:val="000000" w:themeColor="text1"/>
        </w:rPr>
        <w:t xml:space="preserve"> </w:t>
      </w:r>
      <w:r w:rsidRPr="00A30FAB">
        <w:rPr>
          <w:rFonts w:cs="Tahoma"/>
          <w:color w:val="000000" w:themeColor="text1"/>
        </w:rPr>
        <w:t xml:space="preserve">Department of Cardiovascular Sciences, University of Leicester and NIHR Leicester Cardiovascular Biomedical Research Centre, Glenfield Hospital, Groby road, Leicester LE3 9QP, </w:t>
      </w:r>
      <w:r w:rsidR="001C683A" w:rsidRPr="00A30FAB">
        <w:rPr>
          <w:rFonts w:cs="Tahoma"/>
          <w:color w:val="000000" w:themeColor="text1"/>
        </w:rPr>
        <w:t>United Kingdom</w:t>
      </w:r>
      <w:r w:rsidRPr="00A30FAB">
        <w:rPr>
          <w:color w:val="000000" w:themeColor="text1"/>
        </w:rPr>
        <w:t xml:space="preserve">. </w:t>
      </w:r>
      <w:r w:rsidR="00452FBC" w:rsidRPr="00A30FAB">
        <w:rPr>
          <w:color w:val="000000" w:themeColor="text1"/>
        </w:rPr>
        <w:t>la185@leicester.ac.uk</w:t>
      </w:r>
    </w:p>
    <w:p w14:paraId="70A5AFE1" w14:textId="5CE8EA2B" w:rsidR="00585FAB" w:rsidRPr="00A30FAB" w:rsidRDefault="00585FAB" w:rsidP="00A30FAB">
      <w:pPr>
        <w:adjustRightInd w:val="0"/>
        <w:snapToGrid w:val="0"/>
        <w:rPr>
          <w:color w:val="000000" w:themeColor="text1"/>
          <w:lang w:val="en-US"/>
        </w:rPr>
      </w:pPr>
      <w:r w:rsidRPr="00A30FAB">
        <w:rPr>
          <w:b/>
          <w:bCs/>
          <w:color w:val="000000" w:themeColor="text1"/>
          <w:lang w:val="en-US"/>
        </w:rPr>
        <w:t xml:space="preserve">Telephone: </w:t>
      </w:r>
      <w:r w:rsidRPr="00A30FAB">
        <w:rPr>
          <w:color w:val="000000" w:themeColor="text1"/>
          <w:lang w:val="en-US"/>
        </w:rPr>
        <w:t>+44</w:t>
      </w:r>
      <w:r w:rsidR="00452FBC" w:rsidRPr="00A30FAB">
        <w:rPr>
          <w:color w:val="000000" w:themeColor="text1"/>
          <w:lang w:val="en-US"/>
        </w:rPr>
        <w:t>-</w:t>
      </w:r>
      <w:r w:rsidRPr="00A30FAB">
        <w:rPr>
          <w:color w:val="000000" w:themeColor="text1"/>
          <w:lang w:val="en-US"/>
        </w:rPr>
        <w:t>116</w:t>
      </w:r>
      <w:r w:rsidR="00452FBC" w:rsidRPr="00A30FAB">
        <w:rPr>
          <w:color w:val="000000" w:themeColor="text1"/>
          <w:lang w:val="en-US"/>
        </w:rPr>
        <w:t>-</w:t>
      </w:r>
      <w:r w:rsidRPr="00A30FAB">
        <w:rPr>
          <w:color w:val="000000" w:themeColor="text1"/>
          <w:lang w:val="en-US"/>
        </w:rPr>
        <w:t>2583285</w:t>
      </w:r>
    </w:p>
    <w:p w14:paraId="1F5938CF" w14:textId="6E6C5FBD" w:rsidR="00585FAB" w:rsidRPr="00A30FAB" w:rsidRDefault="00585FAB" w:rsidP="00A30FAB">
      <w:pPr>
        <w:adjustRightInd w:val="0"/>
        <w:snapToGrid w:val="0"/>
        <w:rPr>
          <w:color w:val="000000" w:themeColor="text1"/>
          <w:lang w:val="en-US"/>
        </w:rPr>
      </w:pPr>
    </w:p>
    <w:p w14:paraId="391FA139" w14:textId="5ECA7E30" w:rsidR="00452FBC" w:rsidRPr="00A30FAB" w:rsidRDefault="00452FBC" w:rsidP="00A30FAB">
      <w:pPr>
        <w:adjustRightInd w:val="0"/>
        <w:snapToGrid w:val="0"/>
        <w:rPr>
          <w:rFonts w:eastAsia="宋体"/>
          <w:b/>
          <w:color w:val="000000" w:themeColor="text1"/>
          <w:lang w:val="en-US" w:eastAsia="zh-CN"/>
        </w:rPr>
      </w:pPr>
      <w:bookmarkStart w:id="55" w:name="OLE_LINK16"/>
      <w:bookmarkStart w:id="56" w:name="OLE_LINK51"/>
      <w:bookmarkStart w:id="57" w:name="OLE_LINK27"/>
      <w:bookmarkStart w:id="58" w:name="OLE_LINK382"/>
      <w:bookmarkStart w:id="59" w:name="OLE_LINK30"/>
      <w:bookmarkStart w:id="60" w:name="OLE_LINK376"/>
      <w:bookmarkStart w:id="61" w:name="OLE_LINK35"/>
      <w:bookmarkStart w:id="62" w:name="OLE_LINK64"/>
      <w:bookmarkStart w:id="63" w:name="OLE_LINK616"/>
      <w:bookmarkStart w:id="64" w:name="OLE_LINK141"/>
      <w:bookmarkStart w:id="65" w:name="OLE_LINK750"/>
      <w:bookmarkStart w:id="66" w:name="OLE_LINK751"/>
      <w:r w:rsidRPr="00A30FAB">
        <w:rPr>
          <w:rFonts w:eastAsia="宋体"/>
          <w:b/>
          <w:color w:val="000000" w:themeColor="text1"/>
          <w:lang w:val="en-US" w:eastAsia="zh-CN"/>
        </w:rPr>
        <w:t xml:space="preserve">Received: </w:t>
      </w:r>
      <w:bookmarkStart w:id="67" w:name="OLE_LINK19"/>
      <w:bookmarkStart w:id="68" w:name="OLE_LINK20"/>
      <w:bookmarkStart w:id="69" w:name="OLE_LINK789"/>
      <w:bookmarkStart w:id="70" w:name="OLE_LINK790"/>
      <w:r w:rsidRPr="00A30FAB">
        <w:rPr>
          <w:rFonts w:eastAsia="宋体"/>
          <w:color w:val="000000" w:themeColor="text1"/>
          <w:lang w:val="en-US" w:eastAsia="zh-CN"/>
        </w:rPr>
        <w:t>May</w:t>
      </w:r>
      <w:r w:rsidRPr="00A30FAB">
        <w:rPr>
          <w:rFonts w:eastAsia="等线"/>
          <w:color w:val="000000" w:themeColor="text1"/>
          <w:lang w:val="en-US" w:eastAsia="zh-CN"/>
        </w:rPr>
        <w:t xml:space="preserve"> </w:t>
      </w:r>
      <w:bookmarkEnd w:id="67"/>
      <w:bookmarkEnd w:id="68"/>
      <w:r w:rsidRPr="00A30FAB">
        <w:rPr>
          <w:rFonts w:eastAsia="等线"/>
          <w:color w:val="000000" w:themeColor="text1"/>
          <w:lang w:val="en-US" w:eastAsia="zh-CN"/>
        </w:rPr>
        <w:t>14</w:t>
      </w:r>
      <w:bookmarkEnd w:id="69"/>
      <w:bookmarkEnd w:id="70"/>
      <w:r w:rsidRPr="00A30FAB">
        <w:rPr>
          <w:rFonts w:eastAsia="等线"/>
          <w:color w:val="000000" w:themeColor="text1"/>
          <w:lang w:val="en-US" w:eastAsia="zh-CN"/>
        </w:rPr>
        <w:t>, 2019</w:t>
      </w:r>
    </w:p>
    <w:p w14:paraId="0D78D9C2" w14:textId="72179131" w:rsidR="00452FBC" w:rsidRPr="00A30FAB" w:rsidRDefault="00452FBC" w:rsidP="00A30FAB">
      <w:pPr>
        <w:adjustRightInd w:val="0"/>
        <w:snapToGrid w:val="0"/>
        <w:rPr>
          <w:rFonts w:eastAsia="等线"/>
          <w:b/>
          <w:color w:val="000000" w:themeColor="text1"/>
          <w:lang w:val="en-US" w:eastAsia="zh-CN"/>
        </w:rPr>
      </w:pPr>
      <w:r w:rsidRPr="00A30FAB">
        <w:rPr>
          <w:rFonts w:eastAsia="宋体"/>
          <w:b/>
          <w:color w:val="000000" w:themeColor="text1"/>
          <w:lang w:val="en-US" w:eastAsia="zh-CN"/>
        </w:rPr>
        <w:t>Peer-review started:</w:t>
      </w:r>
      <w:r w:rsidRPr="00A30FAB">
        <w:rPr>
          <w:rFonts w:eastAsia="等线"/>
          <w:b/>
          <w:color w:val="000000" w:themeColor="text1"/>
          <w:lang w:val="en-US" w:eastAsia="zh-CN"/>
        </w:rPr>
        <w:t xml:space="preserve"> </w:t>
      </w:r>
      <w:r w:rsidRPr="00A30FAB">
        <w:rPr>
          <w:rFonts w:eastAsia="宋体"/>
          <w:color w:val="000000" w:themeColor="text1"/>
          <w:lang w:val="en-US" w:eastAsia="zh-CN"/>
        </w:rPr>
        <w:t>May</w:t>
      </w:r>
      <w:r w:rsidRPr="00A30FAB">
        <w:rPr>
          <w:rFonts w:eastAsia="等线"/>
          <w:color w:val="000000" w:themeColor="text1"/>
          <w:lang w:val="en-US" w:eastAsia="zh-CN"/>
        </w:rPr>
        <w:t xml:space="preserve"> 20, 2019</w:t>
      </w:r>
    </w:p>
    <w:p w14:paraId="704696FA" w14:textId="51D006AB" w:rsidR="00452FBC" w:rsidRPr="00A30FAB" w:rsidRDefault="00452FBC" w:rsidP="00A30FAB">
      <w:pPr>
        <w:adjustRightInd w:val="0"/>
        <w:snapToGrid w:val="0"/>
        <w:rPr>
          <w:rFonts w:eastAsia="等线"/>
          <w:b/>
          <w:color w:val="000000" w:themeColor="text1"/>
          <w:lang w:val="en-US" w:eastAsia="zh-CN"/>
        </w:rPr>
      </w:pPr>
      <w:r w:rsidRPr="00A30FAB">
        <w:rPr>
          <w:rFonts w:eastAsia="宋体"/>
          <w:b/>
          <w:color w:val="000000" w:themeColor="text1"/>
          <w:lang w:val="en-US" w:eastAsia="zh-CN"/>
        </w:rPr>
        <w:t>First decision:</w:t>
      </w:r>
      <w:r w:rsidRPr="00A30FAB">
        <w:rPr>
          <w:rFonts w:eastAsia="等线"/>
          <w:b/>
          <w:color w:val="000000" w:themeColor="text1"/>
          <w:lang w:val="en-US" w:eastAsia="zh-CN"/>
        </w:rPr>
        <w:t xml:space="preserve"> </w:t>
      </w:r>
      <w:r w:rsidRPr="00A30FAB">
        <w:rPr>
          <w:rFonts w:eastAsia="宋体"/>
          <w:color w:val="000000" w:themeColor="text1"/>
          <w:lang w:val="en-US" w:eastAsia="zh-CN"/>
        </w:rPr>
        <w:t>May</w:t>
      </w:r>
      <w:r w:rsidRPr="00A30FAB">
        <w:rPr>
          <w:rFonts w:eastAsia="等线"/>
          <w:color w:val="000000" w:themeColor="text1"/>
          <w:lang w:val="en-US" w:eastAsia="zh-CN"/>
        </w:rPr>
        <w:t xml:space="preserve"> 31, 2019</w:t>
      </w:r>
    </w:p>
    <w:p w14:paraId="5F1AFB2A" w14:textId="7A388D16" w:rsidR="00452FBC" w:rsidRPr="00A30FAB" w:rsidRDefault="00452FBC" w:rsidP="00A30FAB">
      <w:pPr>
        <w:adjustRightInd w:val="0"/>
        <w:snapToGrid w:val="0"/>
        <w:rPr>
          <w:rFonts w:eastAsia="宋体"/>
          <w:b/>
          <w:color w:val="000000" w:themeColor="text1"/>
          <w:lang w:val="en-US" w:eastAsia="zh-CN"/>
        </w:rPr>
      </w:pPr>
      <w:r w:rsidRPr="00A30FAB">
        <w:rPr>
          <w:rFonts w:eastAsia="宋体"/>
          <w:b/>
          <w:color w:val="000000" w:themeColor="text1"/>
          <w:lang w:val="en-US" w:eastAsia="zh-CN"/>
        </w:rPr>
        <w:t xml:space="preserve">Revised: </w:t>
      </w:r>
      <w:r w:rsidR="00A30FAB" w:rsidRPr="00A30FAB">
        <w:rPr>
          <w:rFonts w:eastAsia="宋体"/>
          <w:color w:val="000000" w:themeColor="text1"/>
          <w:lang w:val="en-US" w:eastAsia="zh-CN"/>
        </w:rPr>
        <w:t>September</w:t>
      </w:r>
      <w:r w:rsidRPr="00A30FAB">
        <w:rPr>
          <w:rFonts w:eastAsia="宋体"/>
          <w:color w:val="000000" w:themeColor="text1"/>
          <w:lang w:val="en-US" w:eastAsia="zh-CN"/>
        </w:rPr>
        <w:t xml:space="preserve"> </w:t>
      </w:r>
      <w:r w:rsidR="00A30FAB" w:rsidRPr="00A30FAB">
        <w:rPr>
          <w:rFonts w:eastAsia="等线"/>
          <w:color w:val="000000" w:themeColor="text1"/>
          <w:lang w:val="en-US" w:eastAsia="zh-CN"/>
        </w:rPr>
        <w:t>25</w:t>
      </w:r>
      <w:r w:rsidRPr="00A30FAB">
        <w:rPr>
          <w:rFonts w:eastAsia="宋体"/>
          <w:color w:val="000000" w:themeColor="text1"/>
          <w:lang w:val="en-US" w:eastAsia="zh-CN"/>
        </w:rPr>
        <w:t>, 2019</w:t>
      </w:r>
    </w:p>
    <w:p w14:paraId="29226E53" w14:textId="61AAD2F5" w:rsidR="00452FBC" w:rsidRPr="00A30FAB" w:rsidRDefault="00452FBC" w:rsidP="00A30FAB">
      <w:pPr>
        <w:adjustRightInd w:val="0"/>
        <w:snapToGrid w:val="0"/>
        <w:rPr>
          <w:rFonts w:eastAsia="宋体"/>
          <w:color w:val="000000" w:themeColor="text1"/>
          <w:lang w:val="en-US" w:eastAsia="zh-CN"/>
        </w:rPr>
      </w:pPr>
      <w:r w:rsidRPr="00A30FAB">
        <w:rPr>
          <w:rFonts w:eastAsia="宋体"/>
          <w:b/>
          <w:color w:val="000000" w:themeColor="text1"/>
          <w:lang w:val="en-US" w:eastAsia="zh-CN"/>
        </w:rPr>
        <w:t>Accepted:</w:t>
      </w:r>
      <w:r w:rsidRPr="00A30FAB">
        <w:rPr>
          <w:rFonts w:eastAsia="宋体"/>
          <w:color w:val="000000" w:themeColor="text1"/>
          <w:lang w:val="en-US"/>
        </w:rPr>
        <w:t xml:space="preserve"> </w:t>
      </w:r>
      <w:r w:rsidR="00872DEC" w:rsidRPr="00A30FAB">
        <w:rPr>
          <w:rFonts w:eastAsia="宋体"/>
          <w:color w:val="000000" w:themeColor="text1"/>
          <w:lang w:val="en-US" w:eastAsia="zh-CN"/>
        </w:rPr>
        <w:t xml:space="preserve">September </w:t>
      </w:r>
      <w:r w:rsidR="00872DEC" w:rsidRPr="00A30FAB">
        <w:rPr>
          <w:rFonts w:eastAsia="等线"/>
          <w:color w:val="000000" w:themeColor="text1"/>
          <w:lang w:val="en-US" w:eastAsia="zh-CN"/>
        </w:rPr>
        <w:t>25</w:t>
      </w:r>
      <w:r w:rsidR="00872DEC" w:rsidRPr="00A30FAB">
        <w:rPr>
          <w:rFonts w:eastAsia="宋体"/>
          <w:color w:val="000000" w:themeColor="text1"/>
          <w:lang w:val="en-US" w:eastAsia="zh-CN"/>
        </w:rPr>
        <w:t>, 2019</w:t>
      </w:r>
    </w:p>
    <w:p w14:paraId="28EF277E" w14:textId="3919EDD7" w:rsidR="00452FBC" w:rsidRPr="00A30FAB" w:rsidRDefault="00452FBC" w:rsidP="00A30FAB">
      <w:pPr>
        <w:adjustRightInd w:val="0"/>
        <w:snapToGrid w:val="0"/>
        <w:rPr>
          <w:rFonts w:eastAsia="宋体"/>
          <w:b/>
          <w:color w:val="000000" w:themeColor="text1"/>
          <w:lang w:val="en-US" w:eastAsia="zh-CN"/>
        </w:rPr>
      </w:pPr>
      <w:r w:rsidRPr="00A30FAB">
        <w:rPr>
          <w:rFonts w:eastAsia="宋体"/>
          <w:b/>
          <w:color w:val="000000" w:themeColor="text1"/>
          <w:lang w:val="en-US" w:eastAsia="zh-CN"/>
        </w:rPr>
        <w:t>Article in press:</w:t>
      </w:r>
      <w:r w:rsidR="00D8572B" w:rsidRPr="00D8572B">
        <w:rPr>
          <w:rFonts w:eastAsia="宋体"/>
          <w:color w:val="000000" w:themeColor="text1"/>
          <w:lang w:val="en-US" w:eastAsia="zh-CN"/>
        </w:rPr>
        <w:t xml:space="preserve"> </w:t>
      </w:r>
      <w:r w:rsidR="00D8572B" w:rsidRPr="00A30FAB">
        <w:rPr>
          <w:rFonts w:eastAsia="宋体"/>
          <w:color w:val="000000" w:themeColor="text1"/>
          <w:lang w:val="en-US" w:eastAsia="zh-CN"/>
        </w:rPr>
        <w:t xml:space="preserve">September </w:t>
      </w:r>
      <w:r w:rsidR="00D8572B" w:rsidRPr="00A30FAB">
        <w:rPr>
          <w:rFonts w:eastAsia="等线"/>
          <w:color w:val="000000" w:themeColor="text1"/>
          <w:lang w:val="en-US" w:eastAsia="zh-CN"/>
        </w:rPr>
        <w:t>25</w:t>
      </w:r>
      <w:r w:rsidR="00D8572B" w:rsidRPr="00A30FAB">
        <w:rPr>
          <w:rFonts w:eastAsia="宋体"/>
          <w:color w:val="000000" w:themeColor="text1"/>
          <w:lang w:val="en-US" w:eastAsia="zh-CN"/>
        </w:rPr>
        <w:t>, 2019</w:t>
      </w:r>
    </w:p>
    <w:p w14:paraId="79CACF3B" w14:textId="35B5338B" w:rsidR="00452FBC" w:rsidRPr="00A30FAB" w:rsidRDefault="00452FBC" w:rsidP="00A30FAB">
      <w:pPr>
        <w:adjustRightInd w:val="0"/>
        <w:snapToGrid w:val="0"/>
        <w:rPr>
          <w:rFonts w:eastAsia="宋体"/>
          <w:color w:val="000000" w:themeColor="text1"/>
          <w:lang w:val="en-US" w:eastAsia="zh-CN"/>
        </w:rPr>
      </w:pPr>
      <w:r w:rsidRPr="00A30FAB">
        <w:rPr>
          <w:rFonts w:eastAsia="宋体"/>
          <w:b/>
          <w:color w:val="000000" w:themeColor="text1"/>
          <w:lang w:val="en-US" w:eastAsia="zh-CN"/>
        </w:rPr>
        <w:t>Published online:</w:t>
      </w:r>
      <w:bookmarkEnd w:id="55"/>
      <w:bookmarkEnd w:id="56"/>
      <w:bookmarkEnd w:id="57"/>
      <w:bookmarkEnd w:id="58"/>
      <w:r w:rsidR="00D8572B" w:rsidRPr="00D8572B">
        <w:rPr>
          <w:rFonts w:eastAsia="宋体"/>
          <w:color w:val="000000" w:themeColor="text1"/>
          <w:lang w:val="en-US" w:eastAsia="zh-CN"/>
        </w:rPr>
        <w:t xml:space="preserve"> </w:t>
      </w:r>
      <w:r w:rsidR="00D8572B">
        <w:rPr>
          <w:rFonts w:eastAsia="宋体"/>
          <w:color w:val="000000" w:themeColor="text1"/>
          <w:lang w:val="en-US" w:eastAsia="zh-CN"/>
        </w:rPr>
        <w:t>October 15</w:t>
      </w:r>
      <w:r w:rsidR="00D8572B" w:rsidRPr="00A30FAB">
        <w:rPr>
          <w:rFonts w:eastAsia="宋体"/>
          <w:color w:val="000000" w:themeColor="text1"/>
          <w:lang w:val="en-US" w:eastAsia="zh-CN"/>
        </w:rPr>
        <w:t>, 2019</w:t>
      </w:r>
    </w:p>
    <w:bookmarkEnd w:id="59"/>
    <w:bookmarkEnd w:id="60"/>
    <w:bookmarkEnd w:id="61"/>
    <w:bookmarkEnd w:id="62"/>
    <w:bookmarkEnd w:id="63"/>
    <w:bookmarkEnd w:id="64"/>
    <w:p w14:paraId="747D0F0E" w14:textId="77777777" w:rsidR="00452FBC" w:rsidRPr="00A30FAB" w:rsidRDefault="00452FBC" w:rsidP="00A30FAB">
      <w:pPr>
        <w:adjustRightInd w:val="0"/>
        <w:snapToGrid w:val="0"/>
        <w:rPr>
          <w:rFonts w:eastAsia="宋体"/>
          <w:b/>
          <w:color w:val="000000" w:themeColor="text1"/>
          <w:lang w:val="en-US"/>
        </w:rPr>
      </w:pPr>
      <w:r w:rsidRPr="00A30FAB">
        <w:rPr>
          <w:rFonts w:eastAsia="宋体"/>
          <w:b/>
          <w:color w:val="000000" w:themeColor="text1"/>
          <w:lang w:val="en-US"/>
        </w:rPr>
        <w:br w:type="page"/>
      </w:r>
    </w:p>
    <w:bookmarkEnd w:id="65"/>
    <w:bookmarkEnd w:id="66"/>
    <w:p w14:paraId="3F86176D" w14:textId="2413F05B" w:rsidR="00585FAB" w:rsidRPr="00A30FAB" w:rsidRDefault="00585FAB" w:rsidP="00A30FAB">
      <w:pPr>
        <w:adjustRightInd w:val="0"/>
        <w:snapToGrid w:val="0"/>
        <w:rPr>
          <w:b/>
          <w:bCs/>
          <w:color w:val="000000" w:themeColor="text1"/>
          <w:lang w:val="en-US"/>
        </w:rPr>
      </w:pPr>
      <w:r w:rsidRPr="00A30FAB">
        <w:rPr>
          <w:b/>
          <w:bCs/>
          <w:color w:val="000000" w:themeColor="text1"/>
          <w:lang w:val="en-US"/>
        </w:rPr>
        <w:t>Abstract</w:t>
      </w:r>
    </w:p>
    <w:p w14:paraId="163D9322" w14:textId="29755152" w:rsidR="00585FAB" w:rsidRPr="00A30FAB" w:rsidRDefault="00585FAB" w:rsidP="00A30FAB">
      <w:pPr>
        <w:adjustRightInd w:val="0"/>
        <w:snapToGrid w:val="0"/>
        <w:rPr>
          <w:color w:val="000000" w:themeColor="text1"/>
          <w:lang w:val="en-US"/>
        </w:rPr>
      </w:pPr>
      <w:r w:rsidRPr="00A30FAB">
        <w:rPr>
          <w:color w:val="000000" w:themeColor="text1"/>
          <w:lang w:val="en-US"/>
        </w:rPr>
        <w:t xml:space="preserve">The prevalence of </w:t>
      </w:r>
      <w:bookmarkStart w:id="71" w:name="OLE_LINK791"/>
      <w:bookmarkStart w:id="72" w:name="OLE_LINK792"/>
      <w:r w:rsidRPr="00A30FAB">
        <w:rPr>
          <w:color w:val="000000" w:themeColor="text1"/>
          <w:lang w:val="en-US"/>
        </w:rPr>
        <w:t>type 2 diabetes</w:t>
      </w:r>
      <w:bookmarkEnd w:id="71"/>
      <w:bookmarkEnd w:id="72"/>
      <w:r w:rsidRPr="00A30FAB">
        <w:rPr>
          <w:color w:val="000000" w:themeColor="text1"/>
          <w:lang w:val="en-US"/>
        </w:rPr>
        <w:t xml:space="preserve"> (T2D) has increased worldwide and doubled over the last two decades. It features among the top 10 causes of mortality and morbidity in the world. Cardiovascular disease is the leading cause of complications in diabetes and within this, heart failure has been shown to be the leading cause of emergency admissions in the </w:t>
      </w:r>
      <w:r w:rsidR="001C683A" w:rsidRPr="00A30FAB">
        <w:rPr>
          <w:color w:val="000000" w:themeColor="text1"/>
          <w:lang w:val="en-US"/>
        </w:rPr>
        <w:t>United Kingdom</w:t>
      </w:r>
      <w:r w:rsidRPr="00A30FAB">
        <w:rPr>
          <w:color w:val="000000" w:themeColor="text1"/>
          <w:lang w:val="en-US"/>
        </w:rPr>
        <w:t>. There are many hypotheses and well-evidenced mechanisms by which diabetic cardiomyopathy as an entity develops. This review aims to give an overview of these mechanisms, with particular emphasis on metabolic inflexibility. T2D is associated with inefficient substrate utilisation, an inability to increase glucose metabolism and dependence on fatty acid oxidation within the diabetic heart resulting in mitochondrial uncoupling, glucotoxicity, lipotoxicity and initially subclinical cardiac dysfunction and finally in overt heart failure. The review also gives a concise update on developments within clinical imaging, specifically cardiac magnetic resonance studies to characterise and phenotype early cardiac dysfunction in T2D. A better understanding of the pathophysiology involved provides a platform for targeted therapy in diabetes to prevent the development of early heart failure with preserved ejection fraction.</w:t>
      </w:r>
    </w:p>
    <w:p w14:paraId="53422D5B" w14:textId="77777777" w:rsidR="00585FAB" w:rsidRPr="00A30FAB" w:rsidRDefault="00585FAB" w:rsidP="00A30FAB">
      <w:pPr>
        <w:adjustRightInd w:val="0"/>
        <w:snapToGrid w:val="0"/>
        <w:rPr>
          <w:color w:val="000000" w:themeColor="text1"/>
          <w:lang w:val="en-US"/>
        </w:rPr>
      </w:pPr>
    </w:p>
    <w:p w14:paraId="326CC74F" w14:textId="2622A56B" w:rsidR="00585FAB" w:rsidRPr="00A30FAB" w:rsidRDefault="00585FAB" w:rsidP="00A30FAB">
      <w:pPr>
        <w:adjustRightInd w:val="0"/>
        <w:snapToGrid w:val="0"/>
        <w:rPr>
          <w:color w:val="000000" w:themeColor="text1"/>
          <w:lang w:val="en-US"/>
        </w:rPr>
      </w:pPr>
      <w:r w:rsidRPr="00A30FAB">
        <w:rPr>
          <w:b/>
          <w:bCs/>
          <w:color w:val="000000" w:themeColor="text1"/>
          <w:lang w:val="en-US"/>
        </w:rPr>
        <w:t xml:space="preserve">Key </w:t>
      </w:r>
      <w:r w:rsidR="00D4483F" w:rsidRPr="00A30FAB">
        <w:rPr>
          <w:b/>
          <w:bCs/>
          <w:color w:val="000000" w:themeColor="text1"/>
          <w:lang w:val="en-US"/>
        </w:rPr>
        <w:t>w</w:t>
      </w:r>
      <w:r w:rsidRPr="00A30FAB">
        <w:rPr>
          <w:b/>
          <w:bCs/>
          <w:color w:val="000000" w:themeColor="text1"/>
          <w:lang w:val="en-US"/>
        </w:rPr>
        <w:t>ords</w:t>
      </w:r>
      <w:r w:rsidR="00D4483F" w:rsidRPr="00A30FAB">
        <w:rPr>
          <w:b/>
          <w:bCs/>
          <w:color w:val="000000" w:themeColor="text1"/>
          <w:lang w:val="en-US"/>
        </w:rPr>
        <w:t xml:space="preserve">: </w:t>
      </w:r>
      <w:r w:rsidRPr="00A30FAB">
        <w:rPr>
          <w:color w:val="000000" w:themeColor="text1"/>
          <w:lang w:val="en-US"/>
        </w:rPr>
        <w:t>Diabetic cardiomyopathy</w:t>
      </w:r>
      <w:r w:rsidR="00D4483F" w:rsidRPr="00A30FAB">
        <w:rPr>
          <w:color w:val="000000" w:themeColor="text1"/>
          <w:lang w:val="en-US"/>
        </w:rPr>
        <w:t>;</w:t>
      </w:r>
      <w:r w:rsidRPr="00A30FAB">
        <w:rPr>
          <w:color w:val="000000" w:themeColor="text1"/>
          <w:lang w:val="en-US"/>
        </w:rPr>
        <w:t xml:space="preserve"> </w:t>
      </w:r>
      <w:r w:rsidR="00D4483F" w:rsidRPr="00A30FAB">
        <w:rPr>
          <w:color w:val="000000" w:themeColor="text1"/>
          <w:lang w:val="en-US"/>
        </w:rPr>
        <w:t>C</w:t>
      </w:r>
      <w:r w:rsidRPr="00A30FAB">
        <w:rPr>
          <w:color w:val="000000" w:themeColor="text1"/>
          <w:lang w:val="en-US"/>
        </w:rPr>
        <w:t>ardiac metabolism</w:t>
      </w:r>
      <w:r w:rsidR="00D4483F" w:rsidRPr="00A30FAB">
        <w:rPr>
          <w:color w:val="000000" w:themeColor="text1"/>
          <w:lang w:val="en-US"/>
        </w:rPr>
        <w:t>;</w:t>
      </w:r>
      <w:r w:rsidRPr="00A30FAB">
        <w:rPr>
          <w:color w:val="000000" w:themeColor="text1"/>
          <w:lang w:val="en-US"/>
        </w:rPr>
        <w:t xml:space="preserve"> </w:t>
      </w:r>
      <w:r w:rsidR="00D4483F" w:rsidRPr="00A30FAB">
        <w:rPr>
          <w:color w:val="000000" w:themeColor="text1"/>
          <w:lang w:val="en-US"/>
        </w:rPr>
        <w:t>M</w:t>
      </w:r>
      <w:r w:rsidRPr="00A30FAB">
        <w:rPr>
          <w:color w:val="000000" w:themeColor="text1"/>
          <w:lang w:val="en-US"/>
        </w:rPr>
        <w:t>yocardial steatosis</w:t>
      </w:r>
      <w:r w:rsidR="00D4483F" w:rsidRPr="00A30FAB">
        <w:rPr>
          <w:color w:val="000000" w:themeColor="text1"/>
          <w:lang w:val="en-US"/>
        </w:rPr>
        <w:t>;</w:t>
      </w:r>
      <w:r w:rsidRPr="00A30FAB">
        <w:rPr>
          <w:color w:val="000000" w:themeColor="text1"/>
          <w:lang w:val="en-US"/>
        </w:rPr>
        <w:t xml:space="preserve"> </w:t>
      </w:r>
      <w:r w:rsidR="00D4483F" w:rsidRPr="00A30FAB">
        <w:rPr>
          <w:color w:val="000000" w:themeColor="text1"/>
          <w:lang w:val="en-US"/>
        </w:rPr>
        <w:t>M</w:t>
      </w:r>
      <w:r w:rsidRPr="00A30FAB">
        <w:rPr>
          <w:color w:val="000000" w:themeColor="text1"/>
          <w:lang w:val="en-US"/>
        </w:rPr>
        <w:t>yocardial strain</w:t>
      </w:r>
    </w:p>
    <w:p w14:paraId="1226FAF1" w14:textId="27888996" w:rsidR="00585FAB" w:rsidRPr="00A30FAB" w:rsidRDefault="00585FAB" w:rsidP="00A30FAB">
      <w:pPr>
        <w:adjustRightInd w:val="0"/>
        <w:snapToGrid w:val="0"/>
        <w:rPr>
          <w:color w:val="000000" w:themeColor="text1"/>
          <w:lang w:val="en-US"/>
        </w:rPr>
      </w:pPr>
    </w:p>
    <w:p w14:paraId="3C12F837" w14:textId="331DCAD1" w:rsidR="00D4483F" w:rsidRPr="00A30FAB" w:rsidRDefault="00D4483F" w:rsidP="00A30FAB">
      <w:pPr>
        <w:adjustRightInd w:val="0"/>
        <w:snapToGrid w:val="0"/>
        <w:rPr>
          <w:rFonts w:eastAsia="宋体"/>
          <w:color w:val="000000" w:themeColor="text1"/>
          <w:lang w:val="en-US" w:eastAsia="de-DE"/>
        </w:rPr>
      </w:pPr>
      <w:bookmarkStart w:id="73" w:name="OLE_LINK43"/>
      <w:bookmarkStart w:id="74" w:name="OLE_LINK44"/>
      <w:bookmarkStart w:id="75" w:name="OLE_LINK67"/>
      <w:bookmarkStart w:id="76" w:name="OLE_LINK65"/>
      <w:bookmarkStart w:id="77" w:name="OLE_LINK71"/>
      <w:bookmarkStart w:id="78" w:name="OLE_LINK36"/>
      <w:bookmarkStart w:id="79" w:name="OLE_LINK793"/>
      <w:r w:rsidRPr="00A30FAB">
        <w:rPr>
          <w:rFonts w:eastAsia="宋体"/>
          <w:b/>
          <w:color w:val="000000" w:themeColor="text1"/>
          <w:lang w:val="en-US" w:eastAsia="de-DE"/>
        </w:rPr>
        <w:t xml:space="preserve">© The Author(s) 2019. </w:t>
      </w:r>
      <w:r w:rsidRPr="00A30FAB">
        <w:rPr>
          <w:rFonts w:eastAsia="宋体"/>
          <w:color w:val="000000" w:themeColor="text1"/>
          <w:lang w:val="en-US" w:eastAsia="de-DE"/>
        </w:rPr>
        <w:t>Published by Baishideng Publishing Group Inc. All rights reserved.</w:t>
      </w:r>
      <w:bookmarkEnd w:id="73"/>
      <w:bookmarkEnd w:id="74"/>
      <w:bookmarkEnd w:id="75"/>
      <w:bookmarkEnd w:id="76"/>
      <w:bookmarkEnd w:id="77"/>
      <w:bookmarkEnd w:id="78"/>
      <w:bookmarkEnd w:id="79"/>
    </w:p>
    <w:p w14:paraId="18FA897F" w14:textId="77777777" w:rsidR="00D4483F" w:rsidRPr="00A30FAB" w:rsidRDefault="00D4483F" w:rsidP="00A30FAB">
      <w:pPr>
        <w:adjustRightInd w:val="0"/>
        <w:snapToGrid w:val="0"/>
        <w:rPr>
          <w:color w:val="000000" w:themeColor="text1"/>
          <w:lang w:val="en-US"/>
        </w:rPr>
      </w:pPr>
    </w:p>
    <w:p w14:paraId="49E79F1A" w14:textId="0B8E5D35" w:rsidR="00585FAB" w:rsidRPr="00A30FAB" w:rsidRDefault="00585FAB" w:rsidP="00A30FAB">
      <w:pPr>
        <w:adjustRightInd w:val="0"/>
        <w:snapToGrid w:val="0"/>
        <w:rPr>
          <w:color w:val="000000" w:themeColor="text1"/>
          <w:lang w:val="en-US"/>
        </w:rPr>
      </w:pPr>
      <w:r w:rsidRPr="00A30FAB">
        <w:rPr>
          <w:b/>
          <w:bCs/>
          <w:color w:val="000000" w:themeColor="text1"/>
          <w:lang w:val="en-US"/>
        </w:rPr>
        <w:t xml:space="preserve">Core </w:t>
      </w:r>
      <w:r w:rsidR="00D4483F" w:rsidRPr="00A30FAB">
        <w:rPr>
          <w:b/>
          <w:bCs/>
          <w:color w:val="000000" w:themeColor="text1"/>
          <w:lang w:val="en-US"/>
        </w:rPr>
        <w:t>ti</w:t>
      </w:r>
      <w:r w:rsidRPr="00A30FAB">
        <w:rPr>
          <w:b/>
          <w:bCs/>
          <w:color w:val="000000" w:themeColor="text1"/>
          <w:lang w:val="en-US"/>
        </w:rPr>
        <w:t>p</w:t>
      </w:r>
      <w:r w:rsidR="00D4483F" w:rsidRPr="00A30FAB">
        <w:rPr>
          <w:b/>
          <w:bCs/>
          <w:color w:val="000000" w:themeColor="text1"/>
          <w:lang w:val="en-US"/>
        </w:rPr>
        <w:t>:</w:t>
      </w:r>
      <w:r w:rsidRPr="00A30FAB">
        <w:rPr>
          <w:b/>
          <w:bCs/>
          <w:color w:val="000000" w:themeColor="text1"/>
          <w:lang w:val="en-US"/>
        </w:rPr>
        <w:t xml:space="preserve"> </w:t>
      </w:r>
      <w:r w:rsidRPr="00A30FAB">
        <w:rPr>
          <w:color w:val="000000" w:themeColor="text1"/>
          <w:lang w:val="en-US"/>
        </w:rPr>
        <w:t>Altered myocardial metabolism and impaired metabolic flexibility are key mechanisms implicated in diabetic cardiomyopathy. Glucotoxicity, lipotoxicity, coronary microvascular dysfunction and suboptimal substrate utilisation are examined in detail. The mechanisms implicated and the impact on myocardial structure and function have been scrutinised within this review.</w:t>
      </w:r>
    </w:p>
    <w:p w14:paraId="73BA0AC9" w14:textId="433CAC51" w:rsidR="00EC1117" w:rsidRPr="00A30FAB" w:rsidRDefault="00EC1117" w:rsidP="00A30FAB">
      <w:pPr>
        <w:pStyle w:val="1"/>
        <w:adjustRightInd w:val="0"/>
        <w:snapToGrid w:val="0"/>
        <w:spacing w:before="0" w:after="0"/>
        <w:ind w:left="0" w:firstLine="0"/>
        <w:rPr>
          <w:color w:val="000000" w:themeColor="text1"/>
          <w:sz w:val="24"/>
          <w:szCs w:val="24"/>
          <w:lang w:val="en-US"/>
        </w:rPr>
      </w:pPr>
    </w:p>
    <w:p w14:paraId="328DF05D" w14:textId="254461F4" w:rsidR="0086677F" w:rsidRDefault="007941B5" w:rsidP="00A30FAB">
      <w:pPr>
        <w:adjustRightInd w:val="0"/>
        <w:snapToGrid w:val="0"/>
        <w:rPr>
          <w:rFonts w:eastAsia="宋体"/>
          <w:color w:val="000000" w:themeColor="text1"/>
          <w:lang w:val="de-DE" w:eastAsia="de-DE"/>
        </w:rPr>
      </w:pPr>
      <w:r w:rsidRPr="007941B5">
        <w:rPr>
          <w:b/>
          <w:bCs/>
          <w:color w:val="000000" w:themeColor="text1"/>
          <w:lang w:val="en-US"/>
        </w:rPr>
        <w:t xml:space="preserve">Citation: </w:t>
      </w:r>
      <w:r w:rsidR="005C7E6B" w:rsidRPr="00A30FAB">
        <w:rPr>
          <w:color w:val="000000" w:themeColor="text1"/>
          <w:lang w:val="en-US"/>
        </w:rPr>
        <w:t xml:space="preserve">Athithan L, Gulsin GS, McCann GP, Levelt E. </w:t>
      </w:r>
      <w:r w:rsidR="000E4AF8" w:rsidRPr="00A30FAB">
        <w:rPr>
          <w:color w:val="000000" w:themeColor="text1"/>
          <w:lang w:val="en-US"/>
        </w:rPr>
        <w:t xml:space="preserve">Diabetic cardiomyopathy: Pathophysiology, theories and evidence to date. </w:t>
      </w:r>
      <w:r w:rsidR="000E4AF8" w:rsidRPr="00A30FAB">
        <w:rPr>
          <w:rFonts w:eastAsia="宋体"/>
          <w:i/>
          <w:iCs/>
          <w:color w:val="000000" w:themeColor="text1"/>
          <w:lang w:val="de-DE" w:eastAsia="de-DE"/>
        </w:rPr>
        <w:t xml:space="preserve">World J Diabetes </w:t>
      </w:r>
      <w:r w:rsidR="004A1828" w:rsidRPr="004A1828">
        <w:rPr>
          <w:rFonts w:eastAsia="宋体"/>
          <w:color w:val="000000" w:themeColor="text1"/>
          <w:lang w:val="de-DE" w:eastAsia="de-DE"/>
        </w:rPr>
        <w:t xml:space="preserve">2019; 10(10): </w:t>
      </w:r>
      <w:r w:rsidR="001B58C4">
        <w:rPr>
          <w:rFonts w:eastAsia="宋体"/>
          <w:color w:val="000000" w:themeColor="text1"/>
          <w:lang w:val="de-DE" w:eastAsia="de-DE"/>
        </w:rPr>
        <w:t>490-510</w:t>
      </w:r>
      <w:bookmarkStart w:id="80" w:name="_GoBack"/>
      <w:bookmarkEnd w:id="80"/>
      <w:r w:rsidR="004A1828" w:rsidRPr="004A1828">
        <w:rPr>
          <w:rFonts w:eastAsia="宋体"/>
          <w:color w:val="000000" w:themeColor="text1"/>
          <w:lang w:val="de-DE" w:eastAsia="de-DE"/>
        </w:rPr>
        <w:t xml:space="preserve">  </w:t>
      </w:r>
    </w:p>
    <w:p w14:paraId="076EEBA1" w14:textId="77777777" w:rsidR="0086677F" w:rsidRDefault="004A1828" w:rsidP="0086677F">
      <w:pPr>
        <w:adjustRightInd w:val="0"/>
        <w:snapToGrid w:val="0"/>
        <w:jc w:val="left"/>
        <w:rPr>
          <w:rFonts w:eastAsia="宋体"/>
          <w:color w:val="000000" w:themeColor="text1"/>
          <w:lang w:val="de-DE" w:eastAsia="de-DE"/>
        </w:rPr>
      </w:pPr>
      <w:r w:rsidRPr="007941B5">
        <w:rPr>
          <w:rFonts w:eastAsia="宋体"/>
          <w:b/>
          <w:bCs/>
          <w:color w:val="000000" w:themeColor="text1"/>
          <w:lang w:val="de-DE" w:eastAsia="de-DE"/>
        </w:rPr>
        <w:t>URL:</w:t>
      </w:r>
      <w:r w:rsidRPr="004A1828">
        <w:rPr>
          <w:rFonts w:eastAsia="宋体"/>
          <w:color w:val="000000" w:themeColor="text1"/>
          <w:lang w:val="de-DE" w:eastAsia="de-DE"/>
        </w:rPr>
        <w:t xml:space="preserve"> https://www.wjgnet.com/1948-9358/full/v10/i10/</w:t>
      </w:r>
      <w:r w:rsidR="0086677F">
        <w:rPr>
          <w:rFonts w:eastAsia="宋体" w:hint="eastAsia"/>
          <w:color w:val="000000" w:themeColor="text1"/>
          <w:lang w:val="de-DE" w:eastAsia="zh-CN"/>
        </w:rPr>
        <w:t>490</w:t>
      </w:r>
      <w:r w:rsidRPr="004A1828">
        <w:rPr>
          <w:rFonts w:eastAsia="宋体"/>
          <w:color w:val="000000" w:themeColor="text1"/>
          <w:lang w:val="de-DE" w:eastAsia="de-DE"/>
        </w:rPr>
        <w:t>.htm</w:t>
      </w:r>
      <w:r w:rsidR="0086677F">
        <w:rPr>
          <w:rFonts w:eastAsia="宋体"/>
          <w:color w:val="000000" w:themeColor="text1"/>
          <w:lang w:val="de-DE" w:eastAsia="de-DE"/>
        </w:rPr>
        <w:t xml:space="preserve"> </w:t>
      </w:r>
    </w:p>
    <w:p w14:paraId="09AB7D77" w14:textId="35332DC0" w:rsidR="00EC1117" w:rsidRPr="0086677F" w:rsidRDefault="004A1828" w:rsidP="0086677F">
      <w:pPr>
        <w:adjustRightInd w:val="0"/>
        <w:snapToGrid w:val="0"/>
        <w:jc w:val="left"/>
        <w:rPr>
          <w:rFonts w:eastAsia="宋体"/>
          <w:color w:val="000000" w:themeColor="text1"/>
          <w:lang w:val="de-DE" w:eastAsia="de-DE"/>
        </w:rPr>
      </w:pPr>
      <w:r w:rsidRPr="007941B5">
        <w:rPr>
          <w:rFonts w:eastAsia="宋体"/>
          <w:b/>
          <w:bCs/>
          <w:color w:val="000000" w:themeColor="text1"/>
          <w:lang w:val="de-DE" w:eastAsia="de-DE"/>
        </w:rPr>
        <w:t>DOI:</w:t>
      </w:r>
      <w:r w:rsidRPr="004A1828">
        <w:rPr>
          <w:rFonts w:eastAsia="宋体"/>
          <w:color w:val="000000" w:themeColor="text1"/>
          <w:lang w:val="de-DE" w:eastAsia="de-DE"/>
        </w:rPr>
        <w:t xml:space="preserve"> https://dx.doi.org/10.4239/wjd.v10.i10.</w:t>
      </w:r>
      <w:r w:rsidR="0086677F">
        <w:rPr>
          <w:rFonts w:eastAsia="宋体" w:hint="eastAsia"/>
          <w:color w:val="000000" w:themeColor="text1"/>
          <w:lang w:val="de-DE" w:eastAsia="zh-CN"/>
        </w:rPr>
        <w:t>490</w:t>
      </w:r>
    </w:p>
    <w:p w14:paraId="55CF73BF" w14:textId="64181E4F" w:rsidR="00585FAB" w:rsidRPr="00A30FAB" w:rsidRDefault="00585FAB" w:rsidP="00A30FAB">
      <w:pPr>
        <w:pStyle w:val="1"/>
        <w:adjustRightInd w:val="0"/>
        <w:snapToGrid w:val="0"/>
        <w:spacing w:before="0" w:after="0"/>
        <w:ind w:left="0" w:firstLine="0"/>
        <w:rPr>
          <w:color w:val="000000" w:themeColor="text1"/>
          <w:sz w:val="24"/>
          <w:szCs w:val="24"/>
          <w:lang w:val="en-US"/>
        </w:rPr>
      </w:pPr>
      <w:r w:rsidRPr="00A30FAB">
        <w:rPr>
          <w:color w:val="000000" w:themeColor="text1"/>
          <w:sz w:val="24"/>
          <w:szCs w:val="24"/>
          <w:lang w:val="en-US"/>
        </w:rPr>
        <w:br w:type="page"/>
      </w:r>
      <w:r w:rsidR="000E4AF8" w:rsidRPr="00A30FAB">
        <w:rPr>
          <w:color w:val="000000" w:themeColor="text1"/>
          <w:sz w:val="24"/>
          <w:szCs w:val="24"/>
          <w:lang w:val="en-US"/>
        </w:rPr>
        <w:t>INTRODUCTION</w:t>
      </w:r>
    </w:p>
    <w:p w14:paraId="790C7E66" w14:textId="3F293227" w:rsidR="00585FAB" w:rsidRPr="00A30FAB" w:rsidRDefault="00585FAB" w:rsidP="00A30FAB">
      <w:pPr>
        <w:adjustRightInd w:val="0"/>
        <w:snapToGrid w:val="0"/>
        <w:rPr>
          <w:color w:val="000000" w:themeColor="text1"/>
          <w:lang w:val="en-US"/>
        </w:rPr>
      </w:pPr>
      <w:r w:rsidRPr="00A30FAB">
        <w:rPr>
          <w:color w:val="000000" w:themeColor="text1"/>
          <w:lang w:val="en-US"/>
        </w:rPr>
        <w:t>Type 2 diabetes (T2D) is now a global pandemic. The disease is characterised by insulin resistance, relative impairment of insulin secretion and increased hepatic glucose output resulting in high blood glucose levels. It is now among the top 10 causes of death and represents a major cause of mortality and morbidity in the world</w:t>
      </w:r>
      <w:r w:rsidR="00E92327" w:rsidRPr="00A30FAB">
        <w:rPr>
          <w:color w:val="000000" w:themeColor="text1"/>
          <w:vertAlign w:val="superscript"/>
          <w:lang w:val="en-US"/>
        </w:rPr>
        <w:t>[1]</w:t>
      </w:r>
      <w:r w:rsidRPr="00A30FAB">
        <w:rPr>
          <w:color w:val="000000" w:themeColor="text1"/>
          <w:lang w:val="en-US"/>
        </w:rPr>
        <w:t>. Globally there were 422 million patients with diabetes in 2014, with growing prevalence from 4.7% in 1980 to 8.5% in 2014</w:t>
      </w:r>
      <w:r w:rsidRPr="00A30FAB">
        <w:rPr>
          <w:color w:val="000000" w:themeColor="text1"/>
          <w:vertAlign w:val="superscript"/>
          <w:lang w:val="en-US"/>
        </w:rPr>
        <w:t>[2]</w:t>
      </w:r>
      <w:r w:rsidRPr="00A30FAB">
        <w:rPr>
          <w:color w:val="000000" w:themeColor="text1"/>
          <w:lang w:val="en-US"/>
        </w:rPr>
        <w:t>. Heart failure (HF) has emerged as the most common initial cardiovascular complication of diabetes</w:t>
      </w:r>
      <w:r w:rsidRPr="00A30FAB">
        <w:rPr>
          <w:color w:val="000000" w:themeColor="text1"/>
          <w:vertAlign w:val="superscript"/>
          <w:lang w:val="en-US"/>
        </w:rPr>
        <w:t>[2,3]</w:t>
      </w:r>
      <w:r w:rsidRPr="00A30FAB">
        <w:rPr>
          <w:color w:val="000000" w:themeColor="text1"/>
          <w:lang w:val="en-US"/>
        </w:rPr>
        <w:t>.</w:t>
      </w:r>
      <w:r w:rsidRPr="00A30FAB">
        <w:rPr>
          <w:rFonts w:eastAsia="Calibri"/>
          <w:color w:val="000000" w:themeColor="text1"/>
          <w:lang w:val="en-US"/>
        </w:rPr>
        <w:t xml:space="preserve"> </w:t>
      </w:r>
      <w:r w:rsidRPr="00A30FAB">
        <w:rPr>
          <w:color w:val="000000" w:themeColor="text1"/>
          <w:lang w:val="en-US"/>
        </w:rPr>
        <w:t>T2D is likely to contribute to the development of HF through a variety of mechanisms, including disease specific myocardial structural, functional and metabolic changes. In the 2015-16 England and Wales National Diabetes Audit, there were 115695 emergency admissions for patients with diabetes and HF compared to 21399 with myocardial infarction and 29392 with stroke</w:t>
      </w:r>
      <w:r w:rsidR="00E92327" w:rsidRPr="00A30FAB">
        <w:rPr>
          <w:color w:val="000000" w:themeColor="text1"/>
          <w:vertAlign w:val="superscript"/>
          <w:lang w:val="en-US"/>
        </w:rPr>
        <w:t>[4]</w:t>
      </w:r>
      <w:r w:rsidRPr="00A30FAB">
        <w:rPr>
          <w:color w:val="000000" w:themeColor="text1"/>
          <w:lang w:val="en-US"/>
        </w:rPr>
        <w:t>. Once HF diagnosis is established in T2D patients over the age of 65, mortality risk increases tenfold, and five-year survival reduces to 12.5%</w:t>
      </w:r>
      <w:r w:rsidRPr="00A30FAB">
        <w:rPr>
          <w:color w:val="000000" w:themeColor="text1"/>
          <w:vertAlign w:val="superscript"/>
          <w:lang w:val="en-US"/>
        </w:rPr>
        <w:t>[5]</w:t>
      </w:r>
      <w:r w:rsidRPr="00A30FAB">
        <w:rPr>
          <w:color w:val="000000" w:themeColor="text1"/>
          <w:lang w:val="en-US"/>
        </w:rPr>
        <w:t xml:space="preserve">. </w:t>
      </w:r>
    </w:p>
    <w:p w14:paraId="6BE5D5DC" w14:textId="5BFD4FC1"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The diabetic population has been shown to pose a marked preponderance to developing HF following a myocardial infarction</w:t>
      </w:r>
      <w:r w:rsidRPr="00A30FAB">
        <w:rPr>
          <w:color w:val="000000" w:themeColor="text1"/>
          <w:vertAlign w:val="superscript"/>
          <w:lang w:val="en-US"/>
        </w:rPr>
        <w:t>[6-8]</w:t>
      </w:r>
      <w:r w:rsidRPr="00A30FAB">
        <w:rPr>
          <w:color w:val="000000" w:themeColor="text1"/>
          <w:lang w:val="en-US"/>
        </w:rPr>
        <w:t>. In addition to this, systolic and diastolic left ventricular dysfunction has also been described unrelated to the presence of macrovascular coronary disease</w:t>
      </w:r>
      <w:r w:rsidR="00E92327" w:rsidRPr="00A30FAB">
        <w:rPr>
          <w:color w:val="000000" w:themeColor="text1"/>
          <w:vertAlign w:val="superscript"/>
          <w:lang w:val="en-US"/>
        </w:rPr>
        <w:t>[9-11]</w:t>
      </w:r>
      <w:r w:rsidRPr="00A30FAB">
        <w:rPr>
          <w:color w:val="000000" w:themeColor="text1"/>
          <w:lang w:val="en-US"/>
        </w:rPr>
        <w:t>. The prevalence of HF in the general population has been estimated to be 11.8%</w:t>
      </w:r>
      <w:r w:rsidRPr="00A30FAB">
        <w:rPr>
          <w:color w:val="000000" w:themeColor="text1"/>
          <w:vertAlign w:val="superscript"/>
          <w:lang w:val="en-US"/>
        </w:rPr>
        <w:t>[12]</w:t>
      </w:r>
      <w:r w:rsidRPr="00A30FAB">
        <w:rPr>
          <w:color w:val="000000" w:themeColor="text1"/>
          <w:lang w:val="en-US"/>
        </w:rPr>
        <w:t>, whereas in clinical trials of cardiovascular outcomes in T2D patients, the prevalence of HF at baseline has varied between approximately 10% and 30% encompassing both HF with reduced ejection fraction (HFrEF) and HF with preserved ejection fraction (HFpEF) with a doubling of the risk of developing HF in those aged 75-84</w:t>
      </w:r>
      <w:r w:rsidR="00E92327" w:rsidRPr="00A30FAB">
        <w:rPr>
          <w:color w:val="000000" w:themeColor="text1"/>
          <w:vertAlign w:val="superscript"/>
          <w:lang w:val="en-US"/>
        </w:rPr>
        <w:t>[13-23]</w:t>
      </w:r>
      <w:r w:rsidRPr="00A30FAB">
        <w:rPr>
          <w:color w:val="000000" w:themeColor="text1"/>
          <w:lang w:val="en-US"/>
        </w:rPr>
        <w:t xml:space="preserve">. </w:t>
      </w:r>
    </w:p>
    <w:p w14:paraId="19B52724" w14:textId="2E6F0DEC"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Diabetic cardiomyopathy is defined as cardiac dysfunction encompassing structural, functional and metabolic changes in the absence of coronary artery disease (CAD)</w:t>
      </w:r>
      <w:r w:rsidR="00E92327" w:rsidRPr="00A30FAB">
        <w:rPr>
          <w:color w:val="000000" w:themeColor="text1"/>
          <w:vertAlign w:val="superscript"/>
          <w:lang w:val="en-US"/>
        </w:rPr>
        <w:t>[24-26]</w:t>
      </w:r>
      <w:r w:rsidRPr="00A30FAB">
        <w:rPr>
          <w:color w:val="000000" w:themeColor="text1"/>
          <w:lang w:val="en-US"/>
        </w:rPr>
        <w:t>. This distinct clinical entity was first proposed by Lundbaek</w:t>
      </w:r>
      <w:r w:rsidR="00E92327" w:rsidRPr="00A30FAB">
        <w:rPr>
          <w:color w:val="000000" w:themeColor="text1"/>
          <w:vertAlign w:val="superscript"/>
          <w:lang w:val="en-US"/>
        </w:rPr>
        <w:t>[27]</w:t>
      </w:r>
      <w:r w:rsidRPr="00A30FAB">
        <w:rPr>
          <w:color w:val="000000" w:themeColor="text1"/>
          <w:lang w:val="en-US"/>
        </w:rPr>
        <w:t xml:space="preserve"> in 1954 as diabetic heart disease independent of hypertension and CAD that commonly co-exist with T2D. Rubler </w:t>
      </w:r>
      <w:r w:rsidRPr="00A30FAB">
        <w:rPr>
          <w:i/>
          <w:iCs/>
          <w:color w:val="000000" w:themeColor="text1"/>
          <w:lang w:val="en-US"/>
        </w:rPr>
        <w:t>et al</w:t>
      </w:r>
      <w:r w:rsidR="00E92327" w:rsidRPr="00A30FAB">
        <w:rPr>
          <w:color w:val="000000" w:themeColor="text1"/>
          <w:vertAlign w:val="superscript"/>
          <w:lang w:val="en-US"/>
        </w:rPr>
        <w:t>[9]</w:t>
      </w:r>
      <w:r w:rsidR="00E92327" w:rsidRPr="00A30FAB">
        <w:rPr>
          <w:color w:val="000000" w:themeColor="text1"/>
          <w:lang w:val="en-US"/>
        </w:rPr>
        <w:t xml:space="preserve"> </w:t>
      </w:r>
      <w:r w:rsidRPr="00A30FAB">
        <w:rPr>
          <w:color w:val="000000" w:themeColor="text1"/>
          <w:lang w:val="en-US"/>
        </w:rPr>
        <w:t>in 1972 went on to confirm these observations, describing diabetic-related post-mortem findings in four patients with T2D, glomerulosclerosis and HFrEF with normal epicardial coronary arteries the absence of hypertension, CAD, valvular or congenital heart disease. A large U</w:t>
      </w:r>
      <w:r w:rsidR="00E92327" w:rsidRPr="00A30FAB">
        <w:rPr>
          <w:color w:val="000000" w:themeColor="text1"/>
          <w:lang w:val="en-US"/>
        </w:rPr>
        <w:t>nited States</w:t>
      </w:r>
      <w:r w:rsidRPr="00A30FAB">
        <w:rPr>
          <w:color w:val="000000" w:themeColor="text1"/>
          <w:lang w:val="en-US"/>
        </w:rPr>
        <w:t xml:space="preserve"> nationwide case-control study by Bertoni </w:t>
      </w:r>
      <w:r w:rsidRPr="00A30FAB">
        <w:rPr>
          <w:i/>
          <w:iCs/>
          <w:color w:val="000000" w:themeColor="text1"/>
          <w:lang w:val="en-US"/>
        </w:rPr>
        <w:t>et al</w:t>
      </w:r>
      <w:r w:rsidR="00E92327" w:rsidRPr="00A30FAB">
        <w:rPr>
          <w:color w:val="000000" w:themeColor="text1"/>
          <w:vertAlign w:val="superscript"/>
          <w:lang w:val="en-US"/>
        </w:rPr>
        <w:t>[28]</w:t>
      </w:r>
      <w:r w:rsidRPr="00A30FAB">
        <w:rPr>
          <w:color w:val="000000" w:themeColor="text1"/>
          <w:lang w:val="en-US"/>
        </w:rPr>
        <w:t xml:space="preserve"> in 1995 further confirmed an association between non-ischaemic idiopathic cardiomyopathy and diabetes. Another recent large population study showed that despite good control of all cardiovascular risk factors, the risk of HF hospitalisation in T2D was still consistently higher although there was little or no increase in risk of mortality, myocardial infarction, or stroke in comparison to the general population</w:t>
      </w:r>
      <w:r w:rsidR="00E92327" w:rsidRPr="00A30FAB">
        <w:rPr>
          <w:color w:val="000000" w:themeColor="text1"/>
          <w:vertAlign w:val="superscript"/>
          <w:lang w:val="en-US"/>
        </w:rPr>
        <w:t>[29]</w:t>
      </w:r>
      <w:r w:rsidRPr="00A30FAB">
        <w:rPr>
          <w:color w:val="000000" w:themeColor="text1"/>
          <w:lang w:val="en-US"/>
        </w:rPr>
        <w:t xml:space="preserve">. </w:t>
      </w:r>
    </w:p>
    <w:p w14:paraId="264B7042" w14:textId="49276D07" w:rsidR="00585FAB" w:rsidRPr="00A30FAB" w:rsidRDefault="00585FAB" w:rsidP="00680B0C">
      <w:pPr>
        <w:pStyle w:val="ad"/>
        <w:adjustRightInd w:val="0"/>
        <w:snapToGrid w:val="0"/>
        <w:ind w:firstLineChars="100" w:firstLine="240"/>
        <w:rPr>
          <w:color w:val="000000" w:themeColor="text1"/>
          <w:lang w:val="en-US"/>
        </w:rPr>
      </w:pPr>
      <w:r w:rsidRPr="00A30FAB">
        <w:rPr>
          <w:color w:val="000000" w:themeColor="text1"/>
          <w:lang w:val="en-US"/>
        </w:rPr>
        <w:t>Experimental studies have shown that functional and structural alterations within the diabetic heart may be caused by a significant difference in underlying metabolic mechanisms and substrate utilisation. These have been supported by multiple hypotheses on how T2D disease processes affect the structure and function of the myocardium resulting in a HF-like phenotype</w:t>
      </w:r>
      <w:r w:rsidR="00E92327" w:rsidRPr="00A30FAB">
        <w:rPr>
          <w:color w:val="000000" w:themeColor="text1"/>
          <w:vertAlign w:val="superscript"/>
          <w:lang w:val="en-US"/>
        </w:rPr>
        <w:t>[30]</w:t>
      </w:r>
      <w:r w:rsidRPr="00A30FAB">
        <w:rPr>
          <w:color w:val="000000" w:themeColor="text1"/>
          <w:lang w:val="en-US"/>
        </w:rPr>
        <w:t>. The aetiology of diabetic cardiomyopathy is multifactorial. Despite decades of research aiming to determine the causes of this distinct pathology, more research is needed. Current hypotheses include insulin resistance, endothelial dysfunction, fibrosis, cardiac lipotoxicity and energetic impairment. In particular, cardiac metabolism may play a central role in diabetic cardiomyopathy.</w:t>
      </w:r>
    </w:p>
    <w:p w14:paraId="6B09C777" w14:textId="6B4166A1" w:rsidR="00585FAB" w:rsidRPr="00B34B3F" w:rsidRDefault="00585FAB" w:rsidP="00B34B3F">
      <w:pPr>
        <w:adjustRightInd w:val="0"/>
        <w:snapToGrid w:val="0"/>
        <w:ind w:firstLineChars="100" w:firstLine="240"/>
        <w:rPr>
          <w:color w:val="000000" w:themeColor="text1"/>
          <w:shd w:val="clear" w:color="auto" w:fill="FFFFFF"/>
          <w:lang w:val="en-US"/>
        </w:rPr>
      </w:pPr>
      <w:r w:rsidRPr="00A30FAB">
        <w:rPr>
          <w:color w:val="000000" w:themeColor="text1"/>
          <w:lang w:val="en-US"/>
        </w:rPr>
        <w:t xml:space="preserve">Type 1 diabetes (T1D) </w:t>
      </w:r>
      <w:r w:rsidRPr="00A30FAB">
        <w:rPr>
          <w:color w:val="000000" w:themeColor="text1"/>
          <w:shd w:val="clear" w:color="auto" w:fill="FFFFFF"/>
          <w:lang w:val="en-US"/>
        </w:rPr>
        <w:t>is a condition of absolute insulin deficiency due to T-cell–mediated autoimmune destruction of pancreatic β-cells. Cardiovascular disease is again a major long-term sequela of the disease with an impact on healthcare resources. This encompasses coronary artery disease, cerebrovascular disease, peripheral artery disease, heart failure and cardiomyopathy. The pathophysiology of these processes vary and most of the data from population studies and large databases are focussed on T2D. Studies looking at atherectomy samples have previously shown that the pathology of atherosclerosis did not differ between diabetes type</w:t>
      </w:r>
      <w:r w:rsidR="00680B0C" w:rsidRPr="00A30FAB">
        <w:rPr>
          <w:color w:val="000000" w:themeColor="text1"/>
          <w:shd w:val="clear" w:color="auto" w:fill="FFFFFF"/>
          <w:vertAlign w:val="superscript"/>
          <w:lang w:val="en-US"/>
        </w:rPr>
        <w:t>[31]</w:t>
      </w:r>
      <w:r w:rsidRPr="00A30FAB">
        <w:rPr>
          <w:color w:val="000000" w:themeColor="text1"/>
          <w:shd w:val="clear" w:color="auto" w:fill="FFFFFF"/>
          <w:lang w:val="en-US"/>
        </w:rPr>
        <w:t>. Angiographic evidence showed that T1D caused more multivessel, distal and severe stenosis</w:t>
      </w:r>
      <w:r w:rsidR="00680B0C" w:rsidRPr="00A30FAB">
        <w:rPr>
          <w:color w:val="000000" w:themeColor="text1"/>
          <w:shd w:val="clear" w:color="auto" w:fill="FFFFFF"/>
          <w:vertAlign w:val="superscript"/>
          <w:lang w:val="en-US"/>
        </w:rPr>
        <w:t>[32]</w:t>
      </w:r>
      <w:r w:rsidRPr="00A30FAB">
        <w:rPr>
          <w:color w:val="000000" w:themeColor="text1"/>
          <w:shd w:val="clear" w:color="auto" w:fill="FFFFFF"/>
          <w:lang w:val="en-US"/>
        </w:rPr>
        <w:t>. T1D appear to be affected more by hypoglycaemia and inflammation. Inflammatory markers such as C reactive protein, interleukin receptors and CD4 ligands are higher in T1D</w:t>
      </w:r>
      <w:r w:rsidR="005011B6" w:rsidRPr="00A30FAB">
        <w:rPr>
          <w:color w:val="000000" w:themeColor="text1"/>
          <w:shd w:val="clear" w:color="auto" w:fill="FFFFFF"/>
          <w:vertAlign w:val="superscript"/>
          <w:lang w:val="en-US"/>
        </w:rPr>
        <w:t>[33,34]</w:t>
      </w:r>
      <w:r w:rsidRPr="00A30FAB">
        <w:rPr>
          <w:color w:val="000000" w:themeColor="text1"/>
          <w:shd w:val="clear" w:color="auto" w:fill="FFFFFF"/>
          <w:lang w:val="en-US"/>
        </w:rPr>
        <w:t xml:space="preserve">. Excess adiposity and altered fat distribution have been shown to contribute to diabetic cardiomyopathy in T1D similar to T2D. For the purposes of this review, we will be focussing on the evidence base behind diabetic cardiomyopathy in T2D. </w:t>
      </w:r>
    </w:p>
    <w:p w14:paraId="7136011D" w14:textId="77777777" w:rsidR="00585FAB" w:rsidRPr="00A30FAB" w:rsidRDefault="00585FAB" w:rsidP="00A30FAB">
      <w:pPr>
        <w:pStyle w:val="ad"/>
        <w:adjustRightInd w:val="0"/>
        <w:snapToGrid w:val="0"/>
        <w:rPr>
          <w:color w:val="000000" w:themeColor="text1"/>
          <w:lang w:val="en-US"/>
        </w:rPr>
      </w:pPr>
    </w:p>
    <w:p w14:paraId="3FD5A10F" w14:textId="7BC4C811" w:rsidR="00585FAB" w:rsidRPr="00A30FAB" w:rsidRDefault="005011B6" w:rsidP="00A30FAB">
      <w:pPr>
        <w:pStyle w:val="1"/>
        <w:adjustRightInd w:val="0"/>
        <w:snapToGrid w:val="0"/>
        <w:spacing w:before="0" w:after="0"/>
        <w:ind w:left="0" w:firstLine="0"/>
        <w:rPr>
          <w:color w:val="000000" w:themeColor="text1"/>
          <w:sz w:val="24"/>
          <w:szCs w:val="24"/>
          <w:lang w:val="en-US"/>
        </w:rPr>
      </w:pPr>
      <w:r w:rsidRPr="00A30FAB">
        <w:rPr>
          <w:color w:val="000000" w:themeColor="text1"/>
          <w:sz w:val="24"/>
          <w:szCs w:val="24"/>
          <w:lang w:val="en-US"/>
        </w:rPr>
        <w:t xml:space="preserve">MYOCARDIAL ENERGY METABOLISM </w:t>
      </w:r>
    </w:p>
    <w:p w14:paraId="0190891B" w14:textId="2B5F4420" w:rsidR="00585FAB" w:rsidRPr="00A30FAB" w:rsidRDefault="00585FAB" w:rsidP="00A30FAB">
      <w:pPr>
        <w:pStyle w:val="2"/>
        <w:adjustRightInd w:val="0"/>
        <w:snapToGrid w:val="0"/>
        <w:spacing w:before="0" w:after="0"/>
        <w:ind w:left="0" w:firstLine="0"/>
        <w:rPr>
          <w:b/>
          <w:bCs/>
          <w:i/>
          <w:iCs/>
          <w:color w:val="000000" w:themeColor="text1"/>
          <w:sz w:val="24"/>
          <w:szCs w:val="24"/>
          <w:lang w:val="en-US"/>
        </w:rPr>
      </w:pPr>
      <w:r w:rsidRPr="00A30FAB">
        <w:rPr>
          <w:b/>
          <w:bCs/>
          <w:i/>
          <w:iCs/>
          <w:color w:val="000000" w:themeColor="text1"/>
          <w:sz w:val="24"/>
          <w:szCs w:val="24"/>
          <w:lang w:val="en-US"/>
        </w:rPr>
        <w:t xml:space="preserve">Normal </w:t>
      </w:r>
      <w:r w:rsidR="005011B6" w:rsidRPr="00A30FAB">
        <w:rPr>
          <w:b/>
          <w:bCs/>
          <w:i/>
          <w:iCs/>
          <w:color w:val="000000" w:themeColor="text1"/>
          <w:sz w:val="24"/>
          <w:szCs w:val="24"/>
          <w:lang w:val="en-US"/>
        </w:rPr>
        <w:t>vs</w:t>
      </w:r>
      <w:r w:rsidRPr="00A30FAB">
        <w:rPr>
          <w:b/>
          <w:bCs/>
          <w:i/>
          <w:iCs/>
          <w:color w:val="000000" w:themeColor="text1"/>
          <w:sz w:val="24"/>
          <w:szCs w:val="24"/>
          <w:lang w:val="en-US"/>
        </w:rPr>
        <w:t xml:space="preserve"> th</w:t>
      </w:r>
      <w:r w:rsidR="005011B6" w:rsidRPr="00A30FAB">
        <w:rPr>
          <w:b/>
          <w:bCs/>
          <w:i/>
          <w:iCs/>
          <w:color w:val="000000" w:themeColor="text1"/>
          <w:sz w:val="24"/>
          <w:szCs w:val="24"/>
          <w:lang w:val="en-US"/>
        </w:rPr>
        <w:t>e diabetic heart</w:t>
      </w:r>
    </w:p>
    <w:p w14:paraId="14CAD7A1" w14:textId="13E217C0" w:rsidR="004E2D75" w:rsidRPr="00A30FAB" w:rsidRDefault="00585FAB" w:rsidP="00A30FAB">
      <w:pPr>
        <w:adjustRightInd w:val="0"/>
        <w:snapToGrid w:val="0"/>
        <w:rPr>
          <w:color w:val="000000" w:themeColor="text1"/>
          <w:lang w:val="en-US"/>
        </w:rPr>
      </w:pPr>
      <w:r w:rsidRPr="00A30FAB">
        <w:rPr>
          <w:color w:val="000000" w:themeColor="text1"/>
          <w:lang w:val="en-US"/>
        </w:rPr>
        <w:t>The heart converts chemical energy present in the form of substrates and oxygen to mechanical energy and heat</w:t>
      </w:r>
      <w:r w:rsidRPr="00A30FAB">
        <w:rPr>
          <w:color w:val="000000" w:themeColor="text1"/>
          <w:vertAlign w:val="superscript"/>
          <w:lang w:val="en-US"/>
        </w:rPr>
        <w:t>[35,36]</w:t>
      </w:r>
      <w:r w:rsidRPr="00A30FAB">
        <w:rPr>
          <w:color w:val="000000" w:themeColor="text1"/>
          <w:lang w:val="en-US"/>
        </w:rPr>
        <w:t>. Maintenance of adequate levels of cardiac high-energy phosphate metabolites, adenosine triphosphate (ATP), the energy source for contraction, and phosphocreatine (PCr), the major energy storage compound, are of vital importance for normal heart function</w:t>
      </w:r>
      <w:r w:rsidRPr="00A30FAB">
        <w:rPr>
          <w:color w:val="000000" w:themeColor="text1"/>
          <w:vertAlign w:val="superscript"/>
          <w:lang w:val="en-US"/>
        </w:rPr>
        <w:t>[37]</w:t>
      </w:r>
      <w:r w:rsidRPr="00A30FAB">
        <w:rPr>
          <w:color w:val="000000" w:themeColor="text1"/>
          <w:lang w:val="en-US"/>
        </w:rPr>
        <w:t>. A healthy heart is capable of metabolising a range of substrates, including fatty acid (FA), glucose, amino acids, ketones and lactate, to produce ATP</w:t>
      </w:r>
      <w:r w:rsidR="005011B6" w:rsidRPr="00A30FAB">
        <w:rPr>
          <w:color w:val="000000" w:themeColor="text1"/>
          <w:vertAlign w:val="superscript"/>
          <w:lang w:val="en-US"/>
        </w:rPr>
        <w:t>[38,39]</w:t>
      </w:r>
      <w:r w:rsidRPr="00A30FAB">
        <w:rPr>
          <w:color w:val="000000" w:themeColor="text1"/>
          <w:lang w:val="en-US"/>
        </w:rPr>
        <w:t>. In the normal heart, the main substrates for acetyl-CoA and therefore ATP formation are long chain FAs (60</w:t>
      </w:r>
      <w:r w:rsidR="005011B6" w:rsidRPr="00A30FAB">
        <w:rPr>
          <w:color w:val="000000" w:themeColor="text1"/>
          <w:lang w:val="en-US"/>
        </w:rPr>
        <w:t>%</w:t>
      </w:r>
      <w:r w:rsidRPr="00A30FAB">
        <w:rPr>
          <w:color w:val="000000" w:themeColor="text1"/>
          <w:lang w:val="en-US"/>
        </w:rPr>
        <w:t>-90%) and pyruvate oxidation (10</w:t>
      </w:r>
      <w:r w:rsidR="005011B6" w:rsidRPr="00A30FAB">
        <w:rPr>
          <w:color w:val="000000" w:themeColor="text1"/>
          <w:lang w:val="en-US"/>
        </w:rPr>
        <w:t>%</w:t>
      </w:r>
      <w:r w:rsidRPr="00A30FAB">
        <w:rPr>
          <w:color w:val="000000" w:themeColor="text1"/>
          <w:lang w:val="en-US"/>
        </w:rPr>
        <w:t xml:space="preserve">-40%, formed from glycolysis or lactate). The normal cardiac metabolic process involves energy transfer initially from substrate to the high energy phosphate metabolite ATP. This occurs through the generation of acetyl-CoA, that then enters the </w:t>
      </w:r>
      <w:r w:rsidRPr="00A30FAB">
        <w:rPr>
          <w:bCs/>
          <w:color w:val="000000" w:themeColor="text1"/>
          <w:lang w:val="en-US"/>
        </w:rPr>
        <w:t>tricarboxylic acid</w:t>
      </w:r>
      <w:r w:rsidRPr="00A30FAB">
        <w:rPr>
          <w:color w:val="000000" w:themeColor="text1"/>
          <w:lang w:val="en-US"/>
        </w:rPr>
        <w:t xml:space="preserve"> cycle (</w:t>
      </w:r>
      <w:r w:rsidRPr="00A30FAB">
        <w:rPr>
          <w:bCs/>
          <w:color w:val="000000" w:themeColor="text1"/>
          <w:lang w:val="en-US"/>
        </w:rPr>
        <w:t>TCA</w:t>
      </w:r>
      <w:r w:rsidRPr="00A30FAB">
        <w:rPr>
          <w:color w:val="000000" w:themeColor="text1"/>
          <w:lang w:val="en-US"/>
        </w:rPr>
        <w:t>), also known as Krebs or</w:t>
      </w:r>
      <w:r w:rsidRPr="00A30FAB">
        <w:rPr>
          <w:bCs/>
          <w:color w:val="000000" w:themeColor="text1"/>
          <w:lang w:val="en-US"/>
        </w:rPr>
        <w:t xml:space="preserve"> citric acid cycle</w:t>
      </w:r>
      <w:r w:rsidRPr="00A30FAB">
        <w:rPr>
          <w:color w:val="000000" w:themeColor="text1"/>
          <w:lang w:val="en-US"/>
        </w:rPr>
        <w:t>, followed by oxidative phosphorylation</w:t>
      </w:r>
      <w:r w:rsidRPr="00A30FAB">
        <w:rPr>
          <w:color w:val="000000" w:themeColor="text1"/>
          <w:vertAlign w:val="superscript"/>
          <w:lang w:val="en-US"/>
        </w:rPr>
        <w:t>[40]</w:t>
      </w:r>
      <w:r w:rsidRPr="00A30FAB">
        <w:rPr>
          <w:color w:val="000000" w:themeColor="text1"/>
          <w:lang w:val="en-US"/>
        </w:rPr>
        <w:t xml:space="preserve"> resulting in the production of ATP (Figure 1). This is then transferred through facilitated diffusion to the areas requiring the high energy released through ATP hydrolysis, </w:t>
      </w:r>
      <w:r w:rsidRPr="00A30FAB">
        <w:rPr>
          <w:i/>
          <w:iCs/>
          <w:color w:val="000000" w:themeColor="text1"/>
          <w:lang w:val="en-US"/>
        </w:rPr>
        <w:t>i.e.</w:t>
      </w:r>
      <w:r w:rsidR="005011B6" w:rsidRPr="00A30FAB">
        <w:rPr>
          <w:color w:val="000000" w:themeColor="text1"/>
          <w:lang w:val="en-US"/>
        </w:rPr>
        <w:t>,</w:t>
      </w:r>
      <w:r w:rsidRPr="00A30FAB">
        <w:rPr>
          <w:color w:val="000000" w:themeColor="text1"/>
          <w:lang w:val="en-US"/>
        </w:rPr>
        <w:t xml:space="preserve"> myosin and sarcoplasmic reticulum</w:t>
      </w:r>
      <w:r w:rsidR="005011B6" w:rsidRPr="00A30FAB">
        <w:rPr>
          <w:color w:val="000000" w:themeColor="text1"/>
          <w:vertAlign w:val="superscript"/>
          <w:lang w:val="en-US"/>
        </w:rPr>
        <w:t>[37,41-43]</w:t>
      </w:r>
      <w:r w:rsidRPr="00A30FAB">
        <w:rPr>
          <w:color w:val="000000" w:themeColor="text1"/>
          <w:lang w:val="en-US"/>
        </w:rPr>
        <w:t>.</w:t>
      </w:r>
      <w:r w:rsidR="00DB225D" w:rsidRPr="00A30FAB">
        <w:rPr>
          <w:color w:val="000000" w:themeColor="text1"/>
          <w:lang w:val="en-US"/>
        </w:rPr>
        <w:t xml:space="preserve"> </w:t>
      </w:r>
      <w:r w:rsidR="004E2D75" w:rsidRPr="00A30FAB">
        <w:rPr>
          <w:color w:val="000000" w:themeColor="text1"/>
          <w:lang w:val="en-US"/>
        </w:rPr>
        <w:t>Figure 2 shows the role of carnitine in the mitochondrial oxidation of fatty acids contained within Figure 1. Figure 3 details the Randle cycle, also referred to as the glucose-fatty acid cycle which helps regulate uptake and utilisation of glucose within the muscle dependent on the rate of fatty acid oxidation.</w:t>
      </w:r>
    </w:p>
    <w:p w14:paraId="65F0E2DC" w14:textId="063C3CE3"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Altered myocardial substrate metabolism may play a central role in cardiac dysfunction in T2D patients</w:t>
      </w:r>
      <w:r w:rsidRPr="00A30FAB">
        <w:rPr>
          <w:color w:val="000000" w:themeColor="text1"/>
          <w:vertAlign w:val="superscript"/>
          <w:lang w:val="en-US"/>
        </w:rPr>
        <w:t>[40,44,45]</w:t>
      </w:r>
      <w:r w:rsidRPr="00A30FAB">
        <w:rPr>
          <w:color w:val="000000" w:themeColor="text1"/>
          <w:lang w:val="en-US"/>
        </w:rPr>
        <w:t>, by affecting myocardial oxygen demand which in turn results in reduced metabolic flexibility</w:t>
      </w:r>
      <w:r w:rsidR="005011B6" w:rsidRPr="00A30FAB">
        <w:rPr>
          <w:color w:val="000000" w:themeColor="text1"/>
          <w:vertAlign w:val="superscript"/>
          <w:lang w:val="en-US"/>
        </w:rPr>
        <w:t>[39,46,47]</w:t>
      </w:r>
      <w:r w:rsidRPr="00A30FAB">
        <w:rPr>
          <w:color w:val="000000" w:themeColor="text1"/>
          <w:lang w:val="en-US"/>
        </w:rPr>
        <w:t>. Metabolic flexibility describes the ability of an organism to respond to changes in metabolic or energy demand as well as the prevailing conditions or activity</w:t>
      </w:r>
      <w:r w:rsidRPr="00A30FAB">
        <w:rPr>
          <w:color w:val="000000" w:themeColor="text1"/>
          <w:vertAlign w:val="superscript"/>
          <w:lang w:val="en-US"/>
        </w:rPr>
        <w:t>[38,39]</w:t>
      </w:r>
      <w:r w:rsidRPr="00A30FAB">
        <w:rPr>
          <w:color w:val="000000" w:themeColor="text1"/>
          <w:lang w:val="en-US"/>
        </w:rPr>
        <w:t>. There are no myocardial ATP reserves</w:t>
      </w:r>
      <w:r w:rsidRPr="00A30FAB">
        <w:rPr>
          <w:color w:val="000000" w:themeColor="text1"/>
          <w:vertAlign w:val="superscript"/>
          <w:lang w:val="en-US"/>
        </w:rPr>
        <w:t>[35,48,49]</w:t>
      </w:r>
      <w:r w:rsidRPr="00A30FAB">
        <w:rPr>
          <w:color w:val="000000" w:themeColor="text1"/>
          <w:lang w:val="en-US"/>
        </w:rPr>
        <w:t xml:space="preserve">. Energy in the heart is stored in three forms. The first form of stored energy is phosphocreatine, which can rapidly donate its high energy phosphates to produce ATP from ADP. The second endogenous form of energy is glycogen. The third form of stored energy is represented by triglycerides. </w:t>
      </w:r>
    </w:p>
    <w:p w14:paraId="653BF251" w14:textId="77777777" w:rsidR="00585FAB" w:rsidRPr="00A30FAB" w:rsidRDefault="00585FAB" w:rsidP="00A30FAB">
      <w:pPr>
        <w:adjustRightInd w:val="0"/>
        <w:snapToGrid w:val="0"/>
        <w:rPr>
          <w:color w:val="000000" w:themeColor="text1"/>
          <w:lang w:val="en-US"/>
        </w:rPr>
      </w:pPr>
    </w:p>
    <w:p w14:paraId="47CBEE3C" w14:textId="0382514F" w:rsidR="00585FAB" w:rsidRPr="00A30FAB" w:rsidRDefault="005011B6" w:rsidP="00A30FAB">
      <w:pPr>
        <w:pStyle w:val="2"/>
        <w:adjustRightInd w:val="0"/>
        <w:snapToGrid w:val="0"/>
        <w:spacing w:before="0" w:after="0"/>
        <w:ind w:left="0" w:firstLine="0"/>
        <w:rPr>
          <w:b/>
          <w:bCs/>
          <w:i/>
          <w:iCs/>
          <w:color w:val="000000" w:themeColor="text1"/>
          <w:sz w:val="24"/>
          <w:szCs w:val="24"/>
          <w:lang w:val="en-US"/>
        </w:rPr>
      </w:pPr>
      <w:r w:rsidRPr="00A30FAB">
        <w:rPr>
          <w:b/>
          <w:bCs/>
          <w:i/>
          <w:iCs/>
          <w:color w:val="000000" w:themeColor="text1"/>
          <w:sz w:val="24"/>
          <w:szCs w:val="24"/>
          <w:lang w:val="en-US"/>
        </w:rPr>
        <w:t>Stress metabolism studies and metabolic flexibility</w:t>
      </w:r>
    </w:p>
    <w:p w14:paraId="757F4158" w14:textId="3921AF80" w:rsidR="00585FAB" w:rsidRPr="00A30FAB" w:rsidRDefault="00585FAB" w:rsidP="00A30FAB">
      <w:pPr>
        <w:adjustRightInd w:val="0"/>
        <w:snapToGrid w:val="0"/>
        <w:rPr>
          <w:color w:val="000000" w:themeColor="text1"/>
          <w:lang w:val="en-US"/>
        </w:rPr>
      </w:pPr>
      <w:r w:rsidRPr="00A30FAB">
        <w:rPr>
          <w:color w:val="000000" w:themeColor="text1"/>
          <w:lang w:val="en-US"/>
        </w:rPr>
        <w:t xml:space="preserve">Myocardial substrate metabolism can be measured directly by cardiac catheterization and transmyocardial blood sampling. Cardiac metabolic flexibility can be evaluated by coronary sinus (CS) studies invasively and positron emission tomography (PET) studies. </w:t>
      </w:r>
      <w:r w:rsidRPr="00A30FAB">
        <w:rPr>
          <w:rFonts w:cs="Arial"/>
          <w:color w:val="000000" w:themeColor="text1"/>
          <w:lang w:val="en-US"/>
        </w:rPr>
        <w:t>Substrate concentrations in arterial and CS blood, in combination with the measured CS flow, yield information about the myocardial use of substrates and oxygen</w:t>
      </w:r>
      <w:r w:rsidRPr="00A30FAB">
        <w:rPr>
          <w:rFonts w:cs="Arial"/>
          <w:color w:val="000000" w:themeColor="text1"/>
          <w:vertAlign w:val="superscript"/>
          <w:lang w:val="en-US"/>
        </w:rPr>
        <w:t>[50]</w:t>
      </w:r>
      <w:r w:rsidRPr="00A30FAB">
        <w:rPr>
          <w:rFonts w:cs="Arial"/>
          <w:color w:val="000000" w:themeColor="text1"/>
          <w:lang w:val="en-US"/>
        </w:rPr>
        <w:t>. Simultaneous CS and coronary artery blood sampling allow detailed analyses of myocardial substrate metabolism obtained by measuring the arteriovenous extraction of carbohydrates, fat, ketones, and amino acids. The flow in the CS correlates with cardiac output, mean arterial pressure, and the flow through the coronary arteries and varies with myocardial oxygen demand</w:t>
      </w:r>
      <w:r w:rsidRPr="00A30FAB">
        <w:rPr>
          <w:rFonts w:cs="Arial"/>
          <w:color w:val="000000" w:themeColor="text1"/>
          <w:vertAlign w:val="superscript"/>
          <w:lang w:val="en-US"/>
        </w:rPr>
        <w:t>[51]</w:t>
      </w:r>
      <w:r w:rsidRPr="00A30FAB">
        <w:rPr>
          <w:rFonts w:cs="Arial"/>
          <w:color w:val="000000" w:themeColor="text1"/>
          <w:lang w:val="en-US"/>
        </w:rPr>
        <w:t>. The technique has been used in healthy individuals</w:t>
      </w:r>
      <w:r w:rsidRPr="00A30FAB">
        <w:rPr>
          <w:rFonts w:cs="Arial"/>
          <w:color w:val="000000" w:themeColor="text1"/>
          <w:vertAlign w:val="superscript"/>
          <w:lang w:val="en-US"/>
        </w:rPr>
        <w:t>[52]</w:t>
      </w:r>
      <w:r w:rsidRPr="00A30FAB">
        <w:rPr>
          <w:rFonts w:cs="Arial"/>
          <w:color w:val="000000" w:themeColor="text1"/>
          <w:lang w:val="en-US"/>
        </w:rPr>
        <w:t>, in patients with dilated cardiomyopathy</w:t>
      </w:r>
      <w:r w:rsidRPr="00A30FAB">
        <w:rPr>
          <w:rFonts w:cs="Arial"/>
          <w:color w:val="000000" w:themeColor="text1"/>
          <w:vertAlign w:val="superscript"/>
          <w:lang w:val="en-US"/>
        </w:rPr>
        <w:t>[53]</w:t>
      </w:r>
      <w:r w:rsidRPr="00A30FAB">
        <w:rPr>
          <w:rFonts w:cs="Arial"/>
          <w:color w:val="000000" w:themeColor="text1"/>
          <w:lang w:val="en-US"/>
        </w:rPr>
        <w:t>, and syndrome X</w:t>
      </w:r>
      <w:r w:rsidRPr="00A30FAB">
        <w:rPr>
          <w:rFonts w:cs="Arial"/>
          <w:color w:val="000000" w:themeColor="text1"/>
          <w:vertAlign w:val="superscript"/>
          <w:lang w:val="en-US"/>
        </w:rPr>
        <w:t>[54]</w:t>
      </w:r>
      <w:r w:rsidRPr="00A30FAB">
        <w:rPr>
          <w:rFonts w:cs="Arial"/>
          <w:color w:val="000000" w:themeColor="text1"/>
          <w:lang w:val="en-US"/>
        </w:rPr>
        <w:t xml:space="preserve"> during incremental pacing. </w:t>
      </w:r>
      <w:r w:rsidRPr="00A30FAB">
        <w:rPr>
          <w:color w:val="000000" w:themeColor="text1"/>
          <w:lang w:val="en-US"/>
        </w:rPr>
        <w:t>These studies looked into FA, glucose and lactate metabolism in the heart as key sources of energy production as well as myocardial oxygen consumption at rest and during periods of increased cardiac work. They confirmed that in healthy individuals, cardiac metabolism relies predominantly on oxidation of FAs, but during increased cardiac workload with maximal pacing stress, glucose uptake increases by a factor of two, while FA metabolism does not change. In summary these studies confirmed that, although FAs are the predominant fuel for energy provision in the human heart in the resting state, carbohydrates are the fuel for the heart in a state of exercise or stress. In T2D, cardiomyocytes have been shown to exhibit insulin resistance, decreased glucose utilisation and increased fatty acid oxidation in response to stress, insulin or variability in FA availability confirming that cardiac metabolic reserve is impaired in diabetes</w:t>
      </w:r>
      <w:r w:rsidR="005011B6" w:rsidRPr="00A30FAB">
        <w:rPr>
          <w:color w:val="000000" w:themeColor="text1"/>
          <w:vertAlign w:val="superscript"/>
          <w:lang w:val="en-US"/>
        </w:rPr>
        <w:t>[55]</w:t>
      </w:r>
      <w:r w:rsidRPr="00A30FAB">
        <w:rPr>
          <w:color w:val="000000" w:themeColor="text1"/>
          <w:lang w:val="en-US"/>
        </w:rPr>
        <w:t xml:space="preserve">. </w:t>
      </w:r>
    </w:p>
    <w:p w14:paraId="099B02F0" w14:textId="533BE13C"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Stress metabolism can also be assessed non-invasively by PET. There have been only a few studies to date using PET to assess cardiac metabolism in patients with T2D. However, there has been conflicting outcomes from these studies</w:t>
      </w:r>
      <w:r w:rsidRPr="00A30FAB">
        <w:rPr>
          <w:color w:val="000000" w:themeColor="text1"/>
          <w:vertAlign w:val="superscript"/>
          <w:lang w:val="en-US"/>
        </w:rPr>
        <w:t>[56]</w:t>
      </w:r>
      <w:r w:rsidRPr="00A30FAB">
        <w:rPr>
          <w:color w:val="000000" w:themeColor="text1"/>
          <w:lang w:val="en-US"/>
        </w:rPr>
        <w:t xml:space="preserve"> regarding the changes in myocardial glucose uptake and insulin resistance in T2D patients. While one study showed reduced myocardial glucose uptake and myocardial insulin resistance, another study showed preserved myocardial insulin responsiveness in patients with T2D</w:t>
      </w:r>
      <w:r w:rsidRPr="00A30FAB">
        <w:rPr>
          <w:color w:val="000000" w:themeColor="text1"/>
          <w:vertAlign w:val="superscript"/>
          <w:lang w:val="en-US"/>
        </w:rPr>
        <w:t>[46,57]</w:t>
      </w:r>
      <w:r w:rsidRPr="00A30FAB">
        <w:rPr>
          <w:color w:val="000000" w:themeColor="text1"/>
          <w:lang w:val="en-US"/>
        </w:rPr>
        <w:t>. One small study using PET imaging to characterize myocardial glucose metabolism in patients with T2D evaluated the influence of chronic hypertriglyceridemia on myocardial glucose uptake. They compared five T2D patients with high triglyceride (TG) levels to 11 T2D patients with normal TG. Patients were matched by age, gender, blood pressure and glycaemic control. They showed 40 and 65% lower myocardial glucose uptake in the high TG group compared normal TG group, respectively, and evidence of myocardial insulin resistance in T2D. Another small PET study assessing skeletal muscle and myocardial glucose uptake in 10 patients with T2D compared to nine age and weight-matched healthy male controls under normoglycaemic hyperinsulinaemic conditions, showed preserved myocardial glucose uptake</w:t>
      </w:r>
      <w:r w:rsidR="005011B6" w:rsidRPr="00A30FAB">
        <w:rPr>
          <w:color w:val="000000" w:themeColor="text1"/>
          <w:vertAlign w:val="superscript"/>
          <w:lang w:val="en-US"/>
        </w:rPr>
        <w:t>[57]</w:t>
      </w:r>
      <w:r w:rsidRPr="00A30FAB">
        <w:rPr>
          <w:color w:val="000000" w:themeColor="text1"/>
          <w:lang w:val="en-US"/>
        </w:rPr>
        <w:t>. A third PET study compared glucose utilization in diabetic (</w:t>
      </w:r>
      <w:r w:rsidRPr="00A30FAB">
        <w:rPr>
          <w:i/>
          <w:iCs/>
          <w:color w:val="000000" w:themeColor="text1"/>
          <w:lang w:val="en-US"/>
        </w:rPr>
        <w:t>n</w:t>
      </w:r>
      <w:r w:rsidR="005011B6" w:rsidRPr="00A30FAB">
        <w:rPr>
          <w:color w:val="000000" w:themeColor="text1"/>
          <w:lang w:val="en-US"/>
        </w:rPr>
        <w:t xml:space="preserve"> </w:t>
      </w:r>
      <w:r w:rsidRPr="00A30FAB">
        <w:rPr>
          <w:color w:val="000000" w:themeColor="text1"/>
          <w:lang w:val="en-US"/>
        </w:rPr>
        <w:t>=</w:t>
      </w:r>
      <w:r w:rsidR="005011B6" w:rsidRPr="00A30FAB">
        <w:rPr>
          <w:color w:val="000000" w:themeColor="text1"/>
          <w:lang w:val="en-US"/>
        </w:rPr>
        <w:t xml:space="preserve"> </w:t>
      </w:r>
      <w:r w:rsidRPr="00A30FAB">
        <w:rPr>
          <w:color w:val="000000" w:themeColor="text1"/>
          <w:lang w:val="en-US"/>
        </w:rPr>
        <w:t>19) and nondiabetic CAD patients (</w:t>
      </w:r>
      <w:r w:rsidR="005011B6" w:rsidRPr="00A30FAB">
        <w:rPr>
          <w:i/>
          <w:iCs/>
          <w:color w:val="000000" w:themeColor="text1"/>
          <w:lang w:val="en-US"/>
        </w:rPr>
        <w:t>n</w:t>
      </w:r>
      <w:r w:rsidR="005011B6" w:rsidRPr="00A30FAB">
        <w:rPr>
          <w:color w:val="000000" w:themeColor="text1"/>
          <w:lang w:val="en-US"/>
        </w:rPr>
        <w:t xml:space="preserve"> = </w:t>
      </w:r>
      <w:r w:rsidRPr="00A30FAB">
        <w:rPr>
          <w:color w:val="000000" w:themeColor="text1"/>
          <w:lang w:val="en-US"/>
        </w:rPr>
        <w:t>35) undergoing coronary artery bypass graft surgery grafting surgery (CABG) also showed lower myocardial glucose uptake in diabetic cohort, but this study did not assess myocardial insulin resistance</w:t>
      </w:r>
      <w:r w:rsidR="007D30A1" w:rsidRPr="00A30FAB">
        <w:rPr>
          <w:color w:val="000000" w:themeColor="text1"/>
          <w:vertAlign w:val="superscript"/>
          <w:lang w:val="en-US"/>
        </w:rPr>
        <w:t>[56]</w:t>
      </w:r>
      <w:r w:rsidRPr="00A30FAB">
        <w:rPr>
          <w:color w:val="000000" w:themeColor="text1"/>
          <w:lang w:val="en-US"/>
        </w:rPr>
        <w:t xml:space="preserve">. </w:t>
      </w:r>
    </w:p>
    <w:p w14:paraId="1ACC7646" w14:textId="77777777" w:rsidR="00585FAB" w:rsidRPr="00A30FAB" w:rsidRDefault="00585FAB" w:rsidP="00A30FAB">
      <w:pPr>
        <w:adjustRightInd w:val="0"/>
        <w:snapToGrid w:val="0"/>
        <w:rPr>
          <w:color w:val="000000" w:themeColor="text1"/>
          <w:lang w:val="en-US"/>
        </w:rPr>
      </w:pPr>
    </w:p>
    <w:p w14:paraId="30E2210A" w14:textId="15B851A7" w:rsidR="00585FAB" w:rsidRPr="00A30FAB" w:rsidRDefault="007D30A1" w:rsidP="00A30FAB">
      <w:pPr>
        <w:pStyle w:val="2"/>
        <w:adjustRightInd w:val="0"/>
        <w:snapToGrid w:val="0"/>
        <w:spacing w:before="0" w:after="0"/>
        <w:ind w:left="0" w:firstLine="0"/>
        <w:rPr>
          <w:b/>
          <w:bCs/>
          <w:i/>
          <w:iCs/>
          <w:color w:val="000000" w:themeColor="text1"/>
          <w:sz w:val="24"/>
          <w:szCs w:val="24"/>
          <w:lang w:val="en-US"/>
        </w:rPr>
      </w:pPr>
      <w:r w:rsidRPr="00A30FAB">
        <w:rPr>
          <w:b/>
          <w:bCs/>
          <w:i/>
          <w:iCs/>
          <w:color w:val="000000" w:themeColor="text1"/>
          <w:sz w:val="24"/>
          <w:szCs w:val="24"/>
          <w:lang w:val="en-US"/>
        </w:rPr>
        <w:t xml:space="preserve">Myocardial energetics </w:t>
      </w:r>
    </w:p>
    <w:p w14:paraId="6E1A4CA7" w14:textId="050B4618" w:rsidR="00585FAB" w:rsidRPr="00A30FAB" w:rsidRDefault="00585FAB" w:rsidP="00A30FAB">
      <w:pPr>
        <w:adjustRightInd w:val="0"/>
        <w:snapToGrid w:val="0"/>
        <w:rPr>
          <w:color w:val="000000" w:themeColor="text1"/>
          <w:lang w:val="en-US"/>
        </w:rPr>
      </w:pPr>
      <w:r w:rsidRPr="00A30FAB">
        <w:rPr>
          <w:color w:val="000000" w:themeColor="text1"/>
          <w:lang w:val="en-US"/>
        </w:rPr>
        <w:t>The phosphocreatine to ATP (PCr/ATP) ratio is a sensitive measure of myocardial energetic status. 31-Phosphorus magnetic resonance spectroscopy (</w:t>
      </w:r>
      <w:r w:rsidRPr="00A30FAB">
        <w:rPr>
          <w:color w:val="000000" w:themeColor="text1"/>
          <w:vertAlign w:val="superscript"/>
          <w:lang w:val="en-US"/>
        </w:rPr>
        <w:t>31</w:t>
      </w:r>
      <w:r w:rsidRPr="00A30FAB">
        <w:rPr>
          <w:color w:val="000000" w:themeColor="text1"/>
          <w:lang w:val="en-US"/>
        </w:rPr>
        <w:t>P-MRS) provides a non-invasive quantification of myocardial PCr/ATP. Normally, the body is able to increase phosphotransferase reactions, glycolysis and glycogenolysis to function under higher energy demands</w:t>
      </w:r>
      <w:r w:rsidR="007D30A1" w:rsidRPr="00A30FAB">
        <w:rPr>
          <w:color w:val="000000" w:themeColor="text1"/>
          <w:vertAlign w:val="superscript"/>
          <w:lang w:val="en-US"/>
        </w:rPr>
        <w:t>[43,58,59]</w:t>
      </w:r>
      <w:r w:rsidRPr="00A30FAB">
        <w:rPr>
          <w:color w:val="000000" w:themeColor="text1"/>
          <w:lang w:val="en-US"/>
        </w:rPr>
        <w:t xml:space="preserve">. </w:t>
      </w:r>
      <w:bookmarkStart w:id="81" w:name="OLE_LINK803"/>
      <w:bookmarkStart w:id="82" w:name="OLE_LINK804"/>
      <w:r w:rsidRPr="00A30FAB">
        <w:rPr>
          <w:color w:val="000000" w:themeColor="text1"/>
          <w:lang w:val="en-US"/>
        </w:rPr>
        <w:t>Scheuermann-Freestone</w:t>
      </w:r>
      <w:bookmarkEnd w:id="81"/>
      <w:bookmarkEnd w:id="82"/>
      <w:r w:rsidRPr="00A30FAB">
        <w:rPr>
          <w:color w:val="000000" w:themeColor="text1"/>
          <w:lang w:val="en-US"/>
        </w:rPr>
        <w:t xml:space="preserve"> </w:t>
      </w:r>
      <w:r w:rsidRPr="00A30FAB">
        <w:rPr>
          <w:i/>
          <w:iCs/>
          <w:color w:val="000000" w:themeColor="text1"/>
          <w:lang w:val="en-US"/>
        </w:rPr>
        <w:t>et al</w:t>
      </w:r>
      <w:r w:rsidR="007D30A1" w:rsidRPr="00A30FAB">
        <w:rPr>
          <w:color w:val="000000" w:themeColor="text1"/>
          <w:vertAlign w:val="superscript"/>
          <w:lang w:val="en-US"/>
        </w:rPr>
        <w:t>[60]</w:t>
      </w:r>
      <w:r w:rsidRPr="00A30FAB">
        <w:rPr>
          <w:color w:val="000000" w:themeColor="text1"/>
          <w:lang w:val="en-US"/>
        </w:rPr>
        <w:t xml:space="preserve"> pioneered the study of myocardial energetics in 2003 by studying cardiac and skeletal muscle energetics in T2D. Twenty one diabetics and 15 controls were studied to determine normal energy metabolism and the effect of T2D on circulating glucose and free fatty acid concentrations. They showed that, in the presence of normal cardiac structure, function and morphology, patients with T2D had 35% lower PCr/ATP ratios. There was a significant negative correlation with fasting plasma FA concentration as well as a significant positive correlation with plasma glucose concentration in diabetics compared to controls. In skeletal muscle, energetics was normal at rest, but the decrease in PCr was faster during exercise in those with diabetes and the recovery was slower after exercise. This lends credibility to the theory that changes in myocardial and skeletal muscle energetics is part of the initial disease process in T2D and this results in changes in substrate use and availability. Cardiac muscle is more affected by the energetic alterations and substrate availability</w:t>
      </w:r>
      <w:r w:rsidR="0015794C" w:rsidRPr="00A30FAB">
        <w:rPr>
          <w:color w:val="000000" w:themeColor="text1"/>
          <w:vertAlign w:val="superscript"/>
          <w:lang w:val="en-US"/>
        </w:rPr>
        <w:t>[60]</w:t>
      </w:r>
      <w:r w:rsidRPr="00A30FAB">
        <w:rPr>
          <w:color w:val="000000" w:themeColor="text1"/>
          <w:lang w:val="en-US"/>
        </w:rPr>
        <w:t xml:space="preserve">. </w:t>
      </w:r>
    </w:p>
    <w:p w14:paraId="2D989747" w14:textId="4B3C14AA" w:rsidR="00585FAB" w:rsidRPr="00A30FAB" w:rsidRDefault="00585FAB" w:rsidP="00680B0C">
      <w:pPr>
        <w:adjustRightInd w:val="0"/>
        <w:snapToGrid w:val="0"/>
        <w:ind w:firstLineChars="100" w:firstLine="240"/>
        <w:rPr>
          <w:color w:val="000000" w:themeColor="text1"/>
          <w:lang w:val="en-US"/>
        </w:rPr>
      </w:pPr>
      <w:bookmarkStart w:id="83" w:name="OLE_LINK805"/>
      <w:bookmarkStart w:id="84" w:name="OLE_LINK806"/>
      <w:r w:rsidRPr="00A30FAB">
        <w:rPr>
          <w:color w:val="000000" w:themeColor="text1"/>
          <w:lang w:val="en-US"/>
        </w:rPr>
        <w:t>Shivu</w:t>
      </w:r>
      <w:bookmarkEnd w:id="83"/>
      <w:bookmarkEnd w:id="84"/>
      <w:r w:rsidRPr="00A30FAB">
        <w:rPr>
          <w:color w:val="000000" w:themeColor="text1"/>
          <w:lang w:val="en-US"/>
        </w:rPr>
        <w:t xml:space="preserve"> </w:t>
      </w:r>
      <w:r w:rsidRPr="00A30FAB">
        <w:rPr>
          <w:i/>
          <w:iCs/>
          <w:color w:val="000000" w:themeColor="text1"/>
          <w:lang w:val="en-US"/>
        </w:rPr>
        <w:t>et al</w:t>
      </w:r>
      <w:r w:rsidR="0015794C" w:rsidRPr="00A30FAB">
        <w:rPr>
          <w:color w:val="000000" w:themeColor="text1"/>
          <w:vertAlign w:val="superscript"/>
          <w:lang w:val="en-US"/>
        </w:rPr>
        <w:t>[61]</w:t>
      </w:r>
      <w:r w:rsidRPr="00A30FAB">
        <w:rPr>
          <w:color w:val="000000" w:themeColor="text1"/>
          <w:lang w:val="en-US"/>
        </w:rPr>
        <w:t xml:space="preserve"> the looked at 25 asymptomatic type 1 diabetics </w:t>
      </w:r>
      <w:r w:rsidRPr="00A30FAB">
        <w:rPr>
          <w:i/>
          <w:iCs/>
          <w:color w:val="000000" w:themeColor="text1"/>
          <w:lang w:val="en-US"/>
        </w:rPr>
        <w:t>vs</w:t>
      </w:r>
      <w:r w:rsidRPr="00A30FAB">
        <w:rPr>
          <w:color w:val="000000" w:themeColor="text1"/>
          <w:lang w:val="en-US"/>
        </w:rPr>
        <w:t xml:space="preserve"> 26 healthy controls who underwent </w:t>
      </w:r>
      <w:r w:rsidRPr="00A30FAB">
        <w:rPr>
          <w:color w:val="000000" w:themeColor="text1"/>
          <w:vertAlign w:val="superscript"/>
          <w:lang w:val="en-US"/>
        </w:rPr>
        <w:t>31</w:t>
      </w:r>
      <w:r w:rsidRPr="00A30FAB">
        <w:rPr>
          <w:color w:val="000000" w:themeColor="text1"/>
          <w:lang w:val="en-US"/>
        </w:rPr>
        <w:t xml:space="preserve">P-MRS and adenosine stress cardiovascular magnetic resonance (CMR) and again this showed significantly reduced PCr/ATP ratio in diabetics, both long-term and newly-diagnosed, compared to healthy volunteers (2.23 ± 0.56 </w:t>
      </w:r>
      <w:r w:rsidRPr="00A30FAB">
        <w:rPr>
          <w:i/>
          <w:iCs/>
          <w:color w:val="000000" w:themeColor="text1"/>
          <w:lang w:val="en-US"/>
        </w:rPr>
        <w:t>vs</w:t>
      </w:r>
      <w:r w:rsidRPr="00A30FAB">
        <w:rPr>
          <w:color w:val="000000" w:themeColor="text1"/>
          <w:lang w:val="en-US"/>
        </w:rPr>
        <w:t xml:space="preserve"> 1.49 ± 0.44, respectively, </w:t>
      </w:r>
      <w:r w:rsidR="000C363C" w:rsidRPr="00A30FAB">
        <w:rPr>
          <w:i/>
          <w:iCs/>
          <w:color w:val="000000" w:themeColor="text1"/>
          <w:lang w:val="en-US"/>
        </w:rPr>
        <w:t>P</w:t>
      </w:r>
      <w:r w:rsidR="000C363C" w:rsidRPr="00A30FAB">
        <w:rPr>
          <w:color w:val="000000" w:themeColor="text1"/>
          <w:lang w:val="en-US"/>
        </w:rPr>
        <w:t xml:space="preserve"> &lt; </w:t>
      </w:r>
      <w:r w:rsidRPr="00A30FAB">
        <w:rPr>
          <w:color w:val="000000" w:themeColor="text1"/>
          <w:lang w:val="en-US"/>
        </w:rPr>
        <w:t xml:space="preserve">0.001). Mean myocardial perfusion reserve index (MPRI) correlated negatively with duration of diabetes, with a significant reduction in long-term diabetes (1.7 ± 0.6) compared to newly diagnosed subjects (2.1 ± 0.2, </w:t>
      </w:r>
      <w:r w:rsidR="000C363C" w:rsidRPr="00A30FAB">
        <w:rPr>
          <w:i/>
          <w:iCs/>
          <w:color w:val="000000" w:themeColor="text1"/>
          <w:lang w:val="en-US"/>
        </w:rPr>
        <w:t>P</w:t>
      </w:r>
      <w:r w:rsidR="000C363C" w:rsidRPr="00A30FAB">
        <w:rPr>
          <w:color w:val="000000" w:themeColor="text1"/>
          <w:lang w:val="en-US"/>
        </w:rPr>
        <w:t xml:space="preserve"> &lt; </w:t>
      </w:r>
      <w:r w:rsidRPr="00A30FAB">
        <w:rPr>
          <w:color w:val="000000" w:themeColor="text1"/>
          <w:lang w:val="en-US"/>
        </w:rPr>
        <w:t xml:space="preserve">0.05) and controls (2.3 ± 0.3, </w:t>
      </w:r>
      <w:r w:rsidR="000C363C" w:rsidRPr="00A30FAB">
        <w:rPr>
          <w:i/>
          <w:iCs/>
          <w:color w:val="000000" w:themeColor="text1"/>
          <w:lang w:val="en-US"/>
        </w:rPr>
        <w:t>P</w:t>
      </w:r>
      <w:r w:rsidRPr="00A30FAB">
        <w:rPr>
          <w:rFonts w:ascii="Times New Roman" w:hAnsi="Times New Roman"/>
          <w:color w:val="000000" w:themeColor="text1"/>
          <w:lang w:val="en-US"/>
        </w:rPr>
        <w:t> </w:t>
      </w:r>
      <w:r w:rsidR="000C363C" w:rsidRPr="00A30FAB">
        <w:rPr>
          <w:color w:val="000000" w:themeColor="text1"/>
          <w:lang w:val="en-US"/>
        </w:rPr>
        <w:t xml:space="preserve"> </w:t>
      </w:r>
      <w:r w:rsidRPr="00A30FAB">
        <w:rPr>
          <w:color w:val="000000" w:themeColor="text1"/>
          <w:lang w:val="en-US"/>
        </w:rPr>
        <w:t>=</w:t>
      </w:r>
      <w:r w:rsidR="000C363C" w:rsidRPr="00A30FAB">
        <w:rPr>
          <w:color w:val="000000" w:themeColor="text1"/>
          <w:lang w:val="en-US"/>
        </w:rPr>
        <w:t xml:space="preserve"> </w:t>
      </w:r>
      <w:r w:rsidRPr="00A30FAB">
        <w:rPr>
          <w:rFonts w:ascii="Times New Roman" w:hAnsi="Times New Roman"/>
          <w:color w:val="000000" w:themeColor="text1"/>
          <w:lang w:val="en-US"/>
        </w:rPr>
        <w:t> </w:t>
      </w:r>
      <w:r w:rsidRPr="00A30FAB">
        <w:rPr>
          <w:color w:val="000000" w:themeColor="text1"/>
          <w:lang w:val="en-US"/>
        </w:rPr>
        <w:t>0.05). However, there was no significant correlation between PCr/ATP and MPRI implying the myocardial energetic alteration was independent of any coronary microvascular dysfunction primarily results from metabolic dysfunction</w:t>
      </w:r>
      <w:r w:rsidR="000C363C" w:rsidRPr="00A30FAB">
        <w:rPr>
          <w:rStyle w:val="apple-converted-space"/>
          <w:rFonts w:eastAsiaTheme="majorEastAsia"/>
          <w:color w:val="000000" w:themeColor="text1"/>
          <w:vertAlign w:val="superscript"/>
          <w:lang w:val="en-US"/>
        </w:rPr>
        <w:t>[61]</w:t>
      </w:r>
      <w:r w:rsidRPr="00A30FAB">
        <w:rPr>
          <w:rStyle w:val="apple-converted-space"/>
          <w:rFonts w:eastAsiaTheme="majorEastAsia"/>
          <w:color w:val="000000" w:themeColor="text1"/>
          <w:lang w:val="en-US"/>
        </w:rPr>
        <w:t xml:space="preserve">. </w:t>
      </w:r>
    </w:p>
    <w:p w14:paraId="0A37E20B" w14:textId="31C53AA1"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 xml:space="preserve">Most recently, </w:t>
      </w:r>
      <w:bookmarkStart w:id="85" w:name="OLE_LINK807"/>
      <w:bookmarkStart w:id="86" w:name="OLE_LINK808"/>
      <w:r w:rsidRPr="00A30FAB">
        <w:rPr>
          <w:color w:val="000000" w:themeColor="text1"/>
          <w:lang w:val="en-US"/>
        </w:rPr>
        <w:t>Levelt</w:t>
      </w:r>
      <w:bookmarkEnd w:id="85"/>
      <w:bookmarkEnd w:id="86"/>
      <w:r w:rsidRPr="00A30FAB">
        <w:rPr>
          <w:color w:val="000000" w:themeColor="text1"/>
          <w:lang w:val="en-US"/>
        </w:rPr>
        <w:t xml:space="preserve"> </w:t>
      </w:r>
      <w:r w:rsidRPr="00A30FAB">
        <w:rPr>
          <w:i/>
          <w:iCs/>
          <w:color w:val="000000" w:themeColor="text1"/>
          <w:lang w:val="en-US"/>
        </w:rPr>
        <w:t>et al</w:t>
      </w:r>
      <w:r w:rsidR="000C363C" w:rsidRPr="00A30FAB">
        <w:rPr>
          <w:color w:val="000000" w:themeColor="text1"/>
          <w:vertAlign w:val="superscript"/>
          <w:lang w:val="en-US"/>
        </w:rPr>
        <w:t>[62]</w:t>
      </w:r>
      <w:r w:rsidRPr="00A30FAB">
        <w:rPr>
          <w:color w:val="000000" w:themeColor="text1"/>
          <w:lang w:val="en-US"/>
        </w:rPr>
        <w:t xml:space="preserve"> have shown significant correlation between myocardial systolic strain and rest and stress PCr/ATP in 31 T2D compared to 16 healthy controls. Subjects underwent </w:t>
      </w:r>
      <w:r w:rsidRPr="00A30FAB">
        <w:rPr>
          <w:color w:val="000000" w:themeColor="text1"/>
          <w:vertAlign w:val="superscript"/>
          <w:lang w:val="en-US"/>
        </w:rPr>
        <w:t>31</w:t>
      </w:r>
      <w:r w:rsidRPr="00A30FAB">
        <w:rPr>
          <w:color w:val="000000" w:themeColor="text1"/>
          <w:lang w:val="en-US"/>
        </w:rPr>
        <w:t xml:space="preserve">P-MRS performed both at rest and exercise and adenosine stress CMR for assessment of perfusion by MPRI and oxygenation. The PCr/ATP was 17% lower in T2D compared to controls (1.74 ± 0.26 </w:t>
      </w:r>
      <w:r w:rsidRPr="00A30FAB">
        <w:rPr>
          <w:i/>
          <w:iCs/>
          <w:color w:val="000000" w:themeColor="text1"/>
          <w:lang w:val="en-US"/>
        </w:rPr>
        <w:t xml:space="preserve">vs </w:t>
      </w:r>
      <w:r w:rsidRPr="00A30FAB">
        <w:rPr>
          <w:color w:val="000000" w:themeColor="text1"/>
          <w:lang w:val="en-US"/>
        </w:rPr>
        <w:t xml:space="preserve">2.07 ± 0.35, respectively, </w:t>
      </w:r>
      <w:r w:rsidR="000C363C" w:rsidRPr="00A30FAB">
        <w:rPr>
          <w:i/>
          <w:iCs/>
          <w:color w:val="000000" w:themeColor="text1"/>
          <w:lang w:val="en-US"/>
        </w:rPr>
        <w:t xml:space="preserve">P </w:t>
      </w:r>
      <w:r w:rsidR="000C363C" w:rsidRPr="00A30FAB">
        <w:rPr>
          <w:color w:val="000000" w:themeColor="text1"/>
          <w:lang w:val="en-US"/>
        </w:rPr>
        <w:t xml:space="preserve">= </w:t>
      </w:r>
      <w:r w:rsidRPr="00A30FAB">
        <w:rPr>
          <w:color w:val="000000" w:themeColor="text1"/>
          <w:lang w:val="en-US"/>
        </w:rPr>
        <w:t xml:space="preserve">0.001) at rest, with a further 12% reduction in PCr/ATP during exercise in T2Ds. However, there was no change in PCr/ATP in the control group during exercise. Similarly, MPRI was lower in diabetes (1.61 ± 0.43 </w:t>
      </w:r>
      <w:r w:rsidRPr="00A30FAB">
        <w:rPr>
          <w:i/>
          <w:iCs/>
          <w:color w:val="000000" w:themeColor="text1"/>
          <w:lang w:val="en-US"/>
        </w:rPr>
        <w:t>vs</w:t>
      </w:r>
      <w:r w:rsidRPr="00A30FAB">
        <w:rPr>
          <w:color w:val="000000" w:themeColor="text1"/>
          <w:lang w:val="en-US"/>
        </w:rPr>
        <w:t xml:space="preserve"> 2.11 ± 0.68 in controls,</w:t>
      </w:r>
      <w:r w:rsidR="00B34B3F">
        <w:rPr>
          <w:color w:val="000000" w:themeColor="text1"/>
          <w:lang w:val="en-US"/>
        </w:rPr>
        <w:t xml:space="preserve"> </w:t>
      </w:r>
      <w:r w:rsidR="000C363C" w:rsidRPr="00A30FAB">
        <w:rPr>
          <w:i/>
          <w:iCs/>
          <w:color w:val="000000" w:themeColor="text1"/>
          <w:lang w:val="en-US"/>
        </w:rPr>
        <w:t>P</w:t>
      </w:r>
      <w:r w:rsidR="00B34B3F">
        <w:rPr>
          <w:color w:val="000000" w:themeColor="text1"/>
          <w:lang w:val="en-US"/>
        </w:rPr>
        <w:t xml:space="preserve"> </w:t>
      </w:r>
      <w:r w:rsidRPr="00A30FAB">
        <w:rPr>
          <w:color w:val="000000" w:themeColor="text1"/>
          <w:lang w:val="en-US"/>
        </w:rPr>
        <w:t>=</w:t>
      </w:r>
      <w:r w:rsidR="000C363C" w:rsidRPr="00A30FAB">
        <w:rPr>
          <w:color w:val="000000" w:themeColor="text1"/>
          <w:lang w:val="en-US"/>
        </w:rPr>
        <w:t xml:space="preserve"> </w:t>
      </w:r>
      <w:r w:rsidRPr="00A30FAB">
        <w:rPr>
          <w:color w:val="000000" w:themeColor="text1"/>
          <w:lang w:val="en-US"/>
        </w:rPr>
        <w:t>0.002).</w:t>
      </w:r>
      <w:r w:rsidR="00680B0C">
        <w:rPr>
          <w:color w:val="000000" w:themeColor="text1"/>
          <w:lang w:val="en-US"/>
        </w:rPr>
        <w:t xml:space="preserve"> </w:t>
      </w:r>
      <w:r w:rsidRPr="00A30FAB">
        <w:rPr>
          <w:color w:val="000000" w:themeColor="text1"/>
          <w:lang w:val="en-US"/>
        </w:rPr>
        <w:t>At rest, no correlation was observed between PCr/ATP and MPRI,</w:t>
      </w:r>
      <w:r w:rsidR="00B34B3F">
        <w:rPr>
          <w:color w:val="000000" w:themeColor="text1"/>
          <w:lang w:val="en-US"/>
        </w:rPr>
        <w:t xml:space="preserve"> </w:t>
      </w:r>
      <w:r w:rsidRPr="00A30FAB">
        <w:rPr>
          <w:color w:val="000000" w:themeColor="text1"/>
          <w:lang w:val="en-US"/>
        </w:rPr>
        <w:t>but a significant correlation was noted during exercise. These findings support the notion that under stress microvascular dysfunction may exacerbate energetic derangement</w:t>
      </w:r>
      <w:r w:rsidR="000C363C" w:rsidRPr="00A30FAB">
        <w:rPr>
          <w:color w:val="000000" w:themeColor="text1"/>
          <w:vertAlign w:val="superscript"/>
          <w:lang w:val="en-US"/>
        </w:rPr>
        <w:t>[62]</w:t>
      </w:r>
      <w:r w:rsidRPr="00A30FAB">
        <w:rPr>
          <w:color w:val="000000" w:themeColor="text1"/>
          <w:lang w:val="en-US"/>
        </w:rPr>
        <w:t xml:space="preserve">. </w:t>
      </w:r>
    </w:p>
    <w:p w14:paraId="74F849A1" w14:textId="68B47BD3" w:rsidR="00585FAB" w:rsidRPr="00A30FAB" w:rsidRDefault="00585FAB" w:rsidP="00680B0C">
      <w:pPr>
        <w:adjustRightInd w:val="0"/>
        <w:snapToGrid w:val="0"/>
        <w:ind w:firstLineChars="100" w:firstLine="240"/>
        <w:rPr>
          <w:color w:val="000000" w:themeColor="text1"/>
          <w:lang w:val="en-US"/>
        </w:rPr>
      </w:pPr>
      <w:r w:rsidRPr="00A30FAB">
        <w:rPr>
          <w:rFonts w:cstheme="minorHAnsi"/>
          <w:color w:val="000000" w:themeColor="text1"/>
          <w:lang w:val="en-US"/>
        </w:rPr>
        <w:t xml:space="preserve">Cardiac metabolic reserve is impaired in diabetes. Lower metabolic reserve is likely to be the consequence of </w:t>
      </w:r>
      <w:r w:rsidRPr="00A30FAB">
        <w:rPr>
          <w:color w:val="000000" w:themeColor="text1"/>
          <w:lang w:val="en-US"/>
        </w:rPr>
        <w:t>impaired metabolic flexibility and may be associated with increased mortality, as has been shown in a small study of patients with dilated cardiomyopathy</w:t>
      </w:r>
      <w:r w:rsidR="000C363C" w:rsidRPr="00A30FAB">
        <w:rPr>
          <w:color w:val="000000" w:themeColor="text1"/>
          <w:vertAlign w:val="superscript"/>
          <w:lang w:val="en-US"/>
        </w:rPr>
        <w:t>[63]</w:t>
      </w:r>
      <w:r w:rsidRPr="00A30FAB">
        <w:rPr>
          <w:color w:val="000000" w:themeColor="text1"/>
          <w:lang w:val="en-US"/>
        </w:rPr>
        <w:t xml:space="preserve">. </w:t>
      </w:r>
    </w:p>
    <w:p w14:paraId="742D908F" w14:textId="77777777" w:rsidR="00585FAB" w:rsidRPr="00A30FAB" w:rsidRDefault="00585FAB" w:rsidP="00A30FAB">
      <w:pPr>
        <w:adjustRightInd w:val="0"/>
        <w:snapToGrid w:val="0"/>
        <w:rPr>
          <w:color w:val="000000" w:themeColor="text1"/>
          <w:lang w:val="en-US"/>
        </w:rPr>
      </w:pPr>
    </w:p>
    <w:p w14:paraId="130FAD85" w14:textId="4F80963F" w:rsidR="00585FAB" w:rsidRPr="00A30FAB" w:rsidRDefault="000C363C" w:rsidP="00A30FAB">
      <w:pPr>
        <w:pStyle w:val="1"/>
        <w:adjustRightInd w:val="0"/>
        <w:snapToGrid w:val="0"/>
        <w:spacing w:before="0" w:after="0"/>
        <w:ind w:left="0" w:firstLine="0"/>
        <w:rPr>
          <w:color w:val="000000" w:themeColor="text1"/>
          <w:sz w:val="24"/>
          <w:szCs w:val="24"/>
          <w:lang w:val="en-US"/>
        </w:rPr>
      </w:pPr>
      <w:bookmarkStart w:id="87" w:name="_Toc520150401"/>
      <w:r w:rsidRPr="00A30FAB">
        <w:rPr>
          <w:color w:val="000000" w:themeColor="text1"/>
          <w:sz w:val="24"/>
          <w:szCs w:val="24"/>
          <w:lang w:val="en-US"/>
        </w:rPr>
        <w:t>DIABETIC CARDIOMYOPATHY AND POTENTIAL MOLECULAR MECHANISMS</w:t>
      </w:r>
      <w:bookmarkEnd w:id="87"/>
    </w:p>
    <w:p w14:paraId="5B808CA0" w14:textId="77777777" w:rsidR="00585FAB" w:rsidRPr="00A30FAB" w:rsidRDefault="00585FAB" w:rsidP="00A30FAB">
      <w:pPr>
        <w:pStyle w:val="2"/>
        <w:adjustRightInd w:val="0"/>
        <w:snapToGrid w:val="0"/>
        <w:spacing w:before="0" w:after="0"/>
        <w:ind w:left="0" w:firstLine="0"/>
        <w:rPr>
          <w:b/>
          <w:bCs/>
          <w:i/>
          <w:iCs/>
          <w:color w:val="000000" w:themeColor="text1"/>
          <w:sz w:val="24"/>
          <w:szCs w:val="24"/>
          <w:lang w:val="en-US"/>
        </w:rPr>
      </w:pPr>
      <w:r w:rsidRPr="00A30FAB">
        <w:rPr>
          <w:b/>
          <w:bCs/>
          <w:i/>
          <w:iCs/>
          <w:color w:val="000000" w:themeColor="text1"/>
          <w:sz w:val="24"/>
          <w:szCs w:val="24"/>
          <w:lang w:val="en-US"/>
        </w:rPr>
        <w:t>Glucotoxicity</w:t>
      </w:r>
    </w:p>
    <w:p w14:paraId="6D9FB0A3" w14:textId="66A9116B" w:rsidR="00585FAB" w:rsidRPr="00A30FAB" w:rsidRDefault="00585FAB" w:rsidP="00A30FAB">
      <w:pPr>
        <w:adjustRightInd w:val="0"/>
        <w:snapToGrid w:val="0"/>
        <w:rPr>
          <w:color w:val="000000" w:themeColor="text1"/>
          <w:lang w:val="en-US"/>
        </w:rPr>
      </w:pPr>
      <w:r w:rsidRPr="00A30FAB">
        <w:rPr>
          <w:color w:val="000000" w:themeColor="text1"/>
          <w:lang w:val="en-US"/>
        </w:rPr>
        <w:t>Activity of pyruvate dehydrogenase (PDH), which is a key enzyme that regulates the balance between carbohydrate and fat metabolism in the heart, is decreased in diabetes and pyruvate oxidation impaired</w:t>
      </w:r>
      <w:r w:rsidRPr="00A30FAB">
        <w:rPr>
          <w:color w:val="000000" w:themeColor="text1"/>
          <w:vertAlign w:val="superscript"/>
          <w:lang w:val="en-US"/>
        </w:rPr>
        <w:t>[64,65]</w:t>
      </w:r>
      <w:r w:rsidRPr="00A30FAB">
        <w:rPr>
          <w:color w:val="000000" w:themeColor="text1"/>
          <w:lang w:val="en-US"/>
        </w:rPr>
        <w:t>. Inhibition of PDH limits pyruvate oxidation</w:t>
      </w:r>
      <w:r w:rsidRPr="00A30FAB">
        <w:rPr>
          <w:color w:val="000000" w:themeColor="text1"/>
          <w:vertAlign w:val="superscript"/>
          <w:lang w:val="en-US"/>
        </w:rPr>
        <w:t>[66]</w:t>
      </w:r>
      <w:r w:rsidRPr="00A30FAB">
        <w:rPr>
          <w:color w:val="000000" w:themeColor="text1"/>
          <w:lang w:val="en-US"/>
        </w:rPr>
        <w:t>. The dissociation of glycolysis and pyruvate oxidation in the diabetic heart results in the accumulation of glycolytic intermediates</w:t>
      </w:r>
      <w:r w:rsidRPr="00A30FAB">
        <w:rPr>
          <w:color w:val="000000" w:themeColor="text1"/>
          <w:vertAlign w:val="superscript"/>
          <w:lang w:val="en-US"/>
        </w:rPr>
        <w:t>[67]</w:t>
      </w:r>
      <w:r w:rsidRPr="00A30FAB">
        <w:rPr>
          <w:color w:val="000000" w:themeColor="text1"/>
          <w:lang w:val="en-US"/>
        </w:rPr>
        <w:t>. Failure to adequately control intracellular glucose levels has also been implicated in the development of insulin resistance and in the generation of reactive oxygen species (ROS). These glycolytic intermediates activate glucose sensing transcription factors</w:t>
      </w:r>
      <w:r w:rsidR="000C363C" w:rsidRPr="00A30FAB">
        <w:rPr>
          <w:color w:val="000000" w:themeColor="text1"/>
          <w:vertAlign w:val="superscript"/>
          <w:lang w:val="en-US"/>
        </w:rPr>
        <w:t>[68,69]</w:t>
      </w:r>
      <w:r w:rsidRPr="00A30FAB">
        <w:rPr>
          <w:color w:val="000000" w:themeColor="text1"/>
          <w:lang w:val="en-US"/>
        </w:rPr>
        <w:t xml:space="preserve">. </w:t>
      </w:r>
      <w:r w:rsidRPr="00A30FAB">
        <w:rPr>
          <w:bCs/>
          <w:color w:val="000000" w:themeColor="text1"/>
          <w:lang w:val="en-US"/>
        </w:rPr>
        <w:t>It has been previously postulated that accumulation of glycolytic intermediates decreases the sarcoplasmic reticulum calcium ATPase 2a (SERCA2a) expression</w:t>
      </w:r>
      <w:r w:rsidRPr="00A30FAB">
        <w:rPr>
          <w:bCs/>
          <w:color w:val="000000" w:themeColor="text1"/>
          <w:vertAlign w:val="superscript"/>
          <w:lang w:val="en-US"/>
        </w:rPr>
        <w:t>[70]</w:t>
      </w:r>
      <w:r w:rsidRPr="00A30FAB">
        <w:rPr>
          <w:bCs/>
          <w:color w:val="000000" w:themeColor="text1"/>
          <w:lang w:val="en-US"/>
        </w:rPr>
        <w:t>, an essential enzyme in calcium homeostasis, which results in diastolic dysfunction</w:t>
      </w:r>
      <w:r w:rsidRPr="00A30FAB">
        <w:rPr>
          <w:bCs/>
          <w:color w:val="000000" w:themeColor="text1"/>
          <w:vertAlign w:val="superscript"/>
          <w:lang w:val="en-US"/>
        </w:rPr>
        <w:t>[71]</w:t>
      </w:r>
      <w:r w:rsidRPr="00A30FAB">
        <w:rPr>
          <w:bCs/>
          <w:color w:val="000000" w:themeColor="text1"/>
          <w:lang w:val="en-US"/>
        </w:rPr>
        <w:t>. Confirming this, SERCA2a expression in the heart was shown to be decreased in response to diabetes</w:t>
      </w:r>
      <w:r w:rsidRPr="00A30FAB">
        <w:rPr>
          <w:bCs/>
          <w:color w:val="000000" w:themeColor="text1"/>
          <w:vertAlign w:val="superscript"/>
          <w:lang w:val="en-US"/>
        </w:rPr>
        <w:t>[71,72]</w:t>
      </w:r>
      <w:r w:rsidRPr="00A30FAB">
        <w:rPr>
          <w:bCs/>
          <w:color w:val="000000" w:themeColor="text1"/>
          <w:lang w:val="en-US"/>
        </w:rPr>
        <w:t xml:space="preserve">. </w:t>
      </w:r>
    </w:p>
    <w:p w14:paraId="2248473E" w14:textId="77777777" w:rsidR="00585FAB" w:rsidRPr="00A30FAB" w:rsidRDefault="00585FAB" w:rsidP="00A30FAB">
      <w:pPr>
        <w:adjustRightInd w:val="0"/>
        <w:snapToGrid w:val="0"/>
        <w:rPr>
          <w:color w:val="000000" w:themeColor="text1"/>
          <w:lang w:val="en-US"/>
        </w:rPr>
      </w:pPr>
    </w:p>
    <w:p w14:paraId="49E1C9E6" w14:textId="77777777" w:rsidR="00585FAB" w:rsidRPr="00A30FAB" w:rsidRDefault="00585FAB" w:rsidP="00A30FAB">
      <w:pPr>
        <w:pStyle w:val="2"/>
        <w:adjustRightInd w:val="0"/>
        <w:snapToGrid w:val="0"/>
        <w:spacing w:before="0" w:after="0"/>
        <w:ind w:left="0" w:firstLine="0"/>
        <w:rPr>
          <w:b/>
          <w:bCs/>
          <w:i/>
          <w:iCs/>
          <w:color w:val="000000" w:themeColor="text1"/>
          <w:sz w:val="24"/>
          <w:szCs w:val="24"/>
          <w:lang w:val="en-US"/>
        </w:rPr>
      </w:pPr>
      <w:r w:rsidRPr="00A30FAB">
        <w:rPr>
          <w:b/>
          <w:bCs/>
          <w:i/>
          <w:iCs/>
          <w:color w:val="000000" w:themeColor="text1"/>
          <w:sz w:val="24"/>
          <w:szCs w:val="24"/>
          <w:lang w:val="en-US"/>
        </w:rPr>
        <w:t>Lipotoxicity and myocardial steatosis</w:t>
      </w:r>
    </w:p>
    <w:p w14:paraId="760B551E" w14:textId="56AE1636" w:rsidR="00585FAB" w:rsidRPr="00A30FAB" w:rsidRDefault="00585FAB" w:rsidP="00A30FAB">
      <w:pPr>
        <w:adjustRightInd w:val="0"/>
        <w:snapToGrid w:val="0"/>
        <w:rPr>
          <w:color w:val="000000" w:themeColor="text1"/>
          <w:lang w:val="en-US"/>
        </w:rPr>
      </w:pPr>
      <w:r w:rsidRPr="00A30FAB">
        <w:rPr>
          <w:color w:val="000000" w:themeColor="text1"/>
          <w:lang w:val="en-US"/>
        </w:rPr>
        <w:t>In diabetes, a decrease in insulin sensitivity leads to an inability to suppress lipase within adipose tissue and very low-density lipoprotein within the liver. This results in high levels of circulating FAs and as a consequence peroxisome proliferator activated receptor-</w:t>
      </w:r>
      <w:r w:rsidRPr="00A30FAB">
        <w:rPr>
          <w:color w:val="000000" w:themeColor="text1"/>
          <w:lang w:val="en-US"/>
        </w:rPr>
        <w:sym w:font="Symbol" w:char="F061"/>
      </w:r>
      <w:r w:rsidRPr="00A30FAB">
        <w:rPr>
          <w:color w:val="000000" w:themeColor="text1"/>
          <w:lang w:val="en-US"/>
        </w:rPr>
        <w:t xml:space="preserve"> (PPAR</w:t>
      </w:r>
      <w:r w:rsidRPr="00A30FAB">
        <w:rPr>
          <w:color w:val="000000" w:themeColor="text1"/>
          <w:lang w:val="en-US"/>
        </w:rPr>
        <w:sym w:font="Symbol" w:char="F061"/>
      </w:r>
      <w:r w:rsidRPr="00A30FAB">
        <w:rPr>
          <w:color w:val="000000" w:themeColor="text1"/>
          <w:lang w:val="en-US"/>
        </w:rPr>
        <w:t>) activation, while decreasing glucose-transporter-4 activity</w:t>
      </w:r>
      <w:r w:rsidRPr="00A30FAB">
        <w:rPr>
          <w:color w:val="000000" w:themeColor="text1"/>
          <w:vertAlign w:val="superscript"/>
          <w:lang w:val="en-US"/>
        </w:rPr>
        <w:t>[47,73]</w:t>
      </w:r>
      <w:r w:rsidRPr="00A30FAB">
        <w:rPr>
          <w:color w:val="000000" w:themeColor="text1"/>
          <w:lang w:val="en-US"/>
        </w:rPr>
        <w:t>. PPAR</w:t>
      </w:r>
      <w:r w:rsidRPr="00A30FAB">
        <w:rPr>
          <w:color w:val="000000" w:themeColor="text1"/>
          <w:lang w:val="en-US"/>
        </w:rPr>
        <w:sym w:font="Symbol" w:char="F061"/>
      </w:r>
      <w:r w:rsidRPr="00A30FAB">
        <w:rPr>
          <w:color w:val="000000" w:themeColor="text1"/>
          <w:lang w:val="en-US"/>
        </w:rPr>
        <w:t xml:space="preserve"> is an essential component in cardiac substrate switching. Decreased PPAR</w:t>
      </w:r>
      <w:r w:rsidRPr="00A30FAB">
        <w:rPr>
          <w:color w:val="000000" w:themeColor="text1"/>
          <w:lang w:val="en-US"/>
        </w:rPr>
        <w:sym w:font="Symbol" w:char="F061"/>
      </w:r>
      <w:r w:rsidRPr="00A30FAB">
        <w:rPr>
          <w:color w:val="000000" w:themeColor="text1"/>
          <w:lang w:val="en-US"/>
        </w:rPr>
        <w:t xml:space="preserve"> expression (due to pressure overload and/or prolonged exposure to hyperglycemia and/or hyperlipidemia) will limit the FA oxidative capacity of the heart</w:t>
      </w:r>
      <w:r w:rsidRPr="00A30FAB">
        <w:rPr>
          <w:color w:val="000000" w:themeColor="text1"/>
          <w:vertAlign w:val="superscript"/>
          <w:lang w:val="en-US"/>
        </w:rPr>
        <w:t>[74]</w:t>
      </w:r>
      <w:r w:rsidRPr="00A30FAB">
        <w:rPr>
          <w:color w:val="000000" w:themeColor="text1"/>
          <w:lang w:val="en-US"/>
        </w:rPr>
        <w:t>. The discordance between the rates of FA availability and/or uptake with that of FA oxidation results in increased intracellular long chain fatty acyl-CoA concentrations</w:t>
      </w:r>
      <w:r w:rsidRPr="00A30FAB">
        <w:rPr>
          <w:color w:val="000000" w:themeColor="text1"/>
          <w:vertAlign w:val="superscript"/>
          <w:lang w:val="en-US"/>
        </w:rPr>
        <w:t>[46]</w:t>
      </w:r>
      <w:r w:rsidRPr="00A30FAB">
        <w:rPr>
          <w:color w:val="000000" w:themeColor="text1"/>
          <w:lang w:val="en-US"/>
        </w:rPr>
        <w:t xml:space="preserve"> Since cardiomyocytes are not specialised to store lipid, this finding suggests a deleterious effect, and cellular lipid overloading underlies the concept of “lipotoxicity” as a potential mechanism for impaired cardiac function</w:t>
      </w:r>
      <w:r w:rsidRPr="00A30FAB">
        <w:rPr>
          <w:color w:val="000000" w:themeColor="text1"/>
          <w:vertAlign w:val="superscript"/>
          <w:lang w:val="en-US"/>
        </w:rPr>
        <w:t>[75-78]</w:t>
      </w:r>
      <w:r w:rsidRPr="00A30FAB">
        <w:rPr>
          <w:color w:val="000000" w:themeColor="text1"/>
          <w:lang w:val="en-US"/>
        </w:rPr>
        <w:t>. The excess long chain fatty acyl-CoA is then diverted towards non oxidative processes with the production of lipotoxic intermediates such as ceramide and diacyl-glycerol</w:t>
      </w:r>
      <w:r w:rsidRPr="00A30FAB">
        <w:rPr>
          <w:color w:val="000000" w:themeColor="text1"/>
          <w:vertAlign w:val="superscript"/>
          <w:lang w:val="en-US"/>
        </w:rPr>
        <w:t>[47]</w:t>
      </w:r>
      <w:r w:rsidRPr="00A30FAB">
        <w:rPr>
          <w:color w:val="000000" w:themeColor="text1"/>
          <w:lang w:val="en-US"/>
        </w:rPr>
        <w:t>. This is postulated to be a potential mechanism for impaired cardiac structure and function</w:t>
      </w:r>
      <w:r w:rsidR="000C363C" w:rsidRPr="00A30FAB">
        <w:rPr>
          <w:color w:val="000000" w:themeColor="text1"/>
          <w:vertAlign w:val="superscript"/>
          <w:lang w:val="en-US"/>
        </w:rPr>
        <w:t>[76-79]</w:t>
      </w:r>
      <w:r w:rsidRPr="00A30FAB">
        <w:rPr>
          <w:color w:val="000000" w:themeColor="text1"/>
          <w:lang w:val="en-US"/>
        </w:rPr>
        <w:t>. The molecular mechanisms described above that have been implicated in the pathophysiology of diabetic cardiomyopathy are detailed in Figure 4.</w:t>
      </w:r>
    </w:p>
    <w:p w14:paraId="2BCD5490" w14:textId="77777777" w:rsidR="00585FAB" w:rsidRPr="00A30FAB" w:rsidRDefault="00585FAB" w:rsidP="00A30FAB">
      <w:pPr>
        <w:adjustRightInd w:val="0"/>
        <w:snapToGrid w:val="0"/>
        <w:rPr>
          <w:color w:val="000000" w:themeColor="text1"/>
          <w:lang w:val="en-US"/>
        </w:rPr>
      </w:pPr>
    </w:p>
    <w:p w14:paraId="7F31EB1B" w14:textId="3487B7BB" w:rsidR="00585FAB" w:rsidRPr="00A30FAB" w:rsidRDefault="00585FAB" w:rsidP="00A30FAB">
      <w:pPr>
        <w:pStyle w:val="3"/>
        <w:adjustRightInd w:val="0"/>
        <w:snapToGrid w:val="0"/>
        <w:spacing w:before="0"/>
        <w:ind w:left="0" w:firstLine="0"/>
        <w:rPr>
          <w:b/>
          <w:bCs/>
          <w:i/>
          <w:iCs/>
          <w:color w:val="000000" w:themeColor="text1"/>
          <w:lang w:val="en-US"/>
        </w:rPr>
      </w:pPr>
      <w:r w:rsidRPr="00A30FAB">
        <w:rPr>
          <w:b/>
          <w:bCs/>
          <w:i/>
          <w:iCs/>
          <w:color w:val="000000" w:themeColor="text1"/>
          <w:lang w:val="en-US"/>
        </w:rPr>
        <w:t xml:space="preserve">Imaging </w:t>
      </w:r>
      <w:r w:rsidR="000C363C" w:rsidRPr="00A30FAB">
        <w:rPr>
          <w:b/>
          <w:bCs/>
          <w:i/>
          <w:iCs/>
          <w:color w:val="000000" w:themeColor="text1"/>
          <w:lang w:val="en-US"/>
        </w:rPr>
        <w:t>myocardial triglyceride</w:t>
      </w:r>
    </w:p>
    <w:p w14:paraId="39155FFF" w14:textId="17199ECC" w:rsidR="00585FAB" w:rsidRPr="00A30FAB" w:rsidRDefault="00585FAB" w:rsidP="00A30FAB">
      <w:pPr>
        <w:adjustRightInd w:val="0"/>
        <w:snapToGrid w:val="0"/>
        <w:rPr>
          <w:color w:val="000000" w:themeColor="text1"/>
          <w:lang w:val="en-US"/>
        </w:rPr>
      </w:pPr>
      <w:r w:rsidRPr="00A30FAB">
        <w:rPr>
          <w:color w:val="000000" w:themeColor="text1"/>
          <w:lang w:val="en-US"/>
        </w:rPr>
        <w:t>Proton (</w:t>
      </w:r>
      <w:r w:rsidRPr="00A30FAB">
        <w:rPr>
          <w:color w:val="000000" w:themeColor="text1"/>
          <w:vertAlign w:val="superscript"/>
          <w:lang w:val="en-US"/>
        </w:rPr>
        <w:t>1</w:t>
      </w:r>
      <w:r w:rsidRPr="00A30FAB">
        <w:rPr>
          <w:color w:val="000000" w:themeColor="text1"/>
          <w:lang w:val="en-US"/>
        </w:rPr>
        <w:t xml:space="preserve">H)-MRS offers a non-invasive method to measure cardiac triglyceride (TG) content. Using this methodology, studies have shown myocardial TG content to be significantly raised in T2D </w:t>
      </w:r>
      <w:r w:rsidRPr="00A30FAB">
        <w:rPr>
          <w:iCs/>
          <w:color w:val="000000" w:themeColor="text1"/>
          <w:lang w:val="en-US"/>
        </w:rPr>
        <w:t>(Table 1</w:t>
      </w:r>
      <w:r w:rsidRPr="00A30FAB">
        <w:rPr>
          <w:color w:val="000000" w:themeColor="text1"/>
          <w:lang w:val="en-US"/>
        </w:rPr>
        <w:t xml:space="preserve">). The studies are all consistent in reporting an increased hepatic triglyceride content in the diabetic population. Levelt </w:t>
      </w:r>
      <w:r w:rsidRPr="00A30FAB">
        <w:rPr>
          <w:i/>
          <w:iCs/>
          <w:color w:val="000000" w:themeColor="text1"/>
          <w:lang w:val="en-US"/>
        </w:rPr>
        <w:t>et al</w:t>
      </w:r>
      <w:r w:rsidR="00410EA0" w:rsidRPr="00A30FAB">
        <w:rPr>
          <w:color w:val="000000" w:themeColor="text1"/>
          <w:vertAlign w:val="superscript"/>
          <w:lang w:val="en-US"/>
        </w:rPr>
        <w:t>[62]</w:t>
      </w:r>
      <w:r w:rsidRPr="00A30FAB">
        <w:rPr>
          <w:color w:val="000000" w:themeColor="text1"/>
          <w:lang w:val="en-US"/>
        </w:rPr>
        <w:t xml:space="preserve"> has also recently shown that myocardial lipid level is a predictor of concentric LV remodelling independent of BMI, systolic and diastolic blood pressure, and circulating FA, and is associated with subclinical contractile dysfunction in T2D. The study recruited 46 non-hypertensive T2D patients and 20 matched controls. Seventy four percent of the diabetic patients were on statin therapy resulting in lower total cholesterol and low-density lipoprotein cholesterol levels in patients compared to controls.</w:t>
      </w:r>
      <w:r w:rsidRPr="00A30FAB">
        <w:rPr>
          <w:rStyle w:val="apple-converted-space"/>
          <w:rFonts w:eastAsiaTheme="majorEastAsia"/>
          <w:color w:val="000000" w:themeColor="text1"/>
          <w:lang w:val="en-US"/>
        </w:rPr>
        <w:t xml:space="preserve"> </w:t>
      </w:r>
      <w:r w:rsidRPr="00A30FAB">
        <w:rPr>
          <w:color w:val="000000" w:themeColor="text1"/>
          <w:lang w:val="en-US"/>
        </w:rPr>
        <w:t>This provides another avenue for potential therapy in T2D as myocardial steatosis has been found to be reversible with cholesterol and triglyceride control in addition to glucose control</w:t>
      </w:r>
      <w:r w:rsidR="00410EA0" w:rsidRPr="00A30FAB">
        <w:rPr>
          <w:color w:val="000000" w:themeColor="text1"/>
          <w:vertAlign w:val="superscript"/>
          <w:lang w:val="en-US"/>
        </w:rPr>
        <w:t>[80,81]</w:t>
      </w:r>
      <w:r w:rsidRPr="00A30FAB">
        <w:rPr>
          <w:color w:val="000000" w:themeColor="text1"/>
          <w:lang w:val="en-US"/>
        </w:rPr>
        <w:t xml:space="preserve">. </w:t>
      </w:r>
    </w:p>
    <w:p w14:paraId="0B74FB4E" w14:textId="2948F535"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Increased myocardial TG content has been shown in T2D. Compared with lean subjects, myocardial TG content was elevated 2.3-fold in impaired glucose tolerance and 2.1-fold in T2D. This was evidenced in a cross sectional study looking at both lean and increased BMI participants with and without T2D</w:t>
      </w:r>
      <w:r w:rsidR="00410EA0" w:rsidRPr="00A30FAB">
        <w:rPr>
          <w:rFonts w:cs="Arial"/>
          <w:color w:val="000000" w:themeColor="text1"/>
          <w:vertAlign w:val="superscript"/>
          <w:lang w:val="en-US"/>
        </w:rPr>
        <w:t>[82]</w:t>
      </w:r>
      <w:r w:rsidRPr="00A30FAB">
        <w:rPr>
          <w:color w:val="000000" w:themeColor="text1"/>
          <w:lang w:val="en-US"/>
        </w:rPr>
        <w:t>. Myocardial TG has also been shown to be an independent predictor of left ventricular diastolic function in multivariable analysis accounting for BMI, heart rate, visceral fat and diastolic blood pressure. In a study of 38 T2D and 28 matched controls, myocardial TG measured by (</w:t>
      </w:r>
      <w:r w:rsidRPr="00A30FAB">
        <w:rPr>
          <w:color w:val="000000" w:themeColor="text1"/>
          <w:vertAlign w:val="superscript"/>
          <w:lang w:val="en-US"/>
        </w:rPr>
        <w:t>1</w:t>
      </w:r>
      <w:r w:rsidRPr="00A30FAB">
        <w:rPr>
          <w:color w:val="000000" w:themeColor="text1"/>
          <w:lang w:val="en-US"/>
        </w:rPr>
        <w:t>H)-MRS was significantly higher in T2D. Although there was no significant difference in systolic function, all indices of diastolic function were significantly impaired in T2D</w:t>
      </w:r>
      <w:r w:rsidR="00410EA0" w:rsidRPr="00A30FAB">
        <w:rPr>
          <w:color w:val="000000" w:themeColor="text1"/>
          <w:vertAlign w:val="superscript"/>
          <w:lang w:val="en-US"/>
        </w:rPr>
        <w:t>[83]</w:t>
      </w:r>
      <w:r w:rsidRPr="00A30FAB">
        <w:rPr>
          <w:color w:val="000000" w:themeColor="text1"/>
          <w:lang w:val="en-US"/>
        </w:rPr>
        <w:t>. Interestingly, calorific restriction in obese T2D patients on a very low calorie diet of 450</w:t>
      </w:r>
      <w:r w:rsidR="00420696">
        <w:rPr>
          <w:color w:val="000000" w:themeColor="text1"/>
          <w:lang w:val="en-US"/>
        </w:rPr>
        <w:t xml:space="preserve"> </w:t>
      </w:r>
      <w:r w:rsidRPr="00A30FAB">
        <w:rPr>
          <w:color w:val="000000" w:themeColor="text1"/>
          <w:lang w:val="en-US"/>
        </w:rPr>
        <w:t>kcal/d was been shown to decrease myocardial TG content from 0.88 +/- 0.12% to 0.64 +/- 0.14%, respectively (</w:t>
      </w:r>
      <w:r w:rsidR="000C363C" w:rsidRPr="00A30FAB">
        <w:rPr>
          <w:i/>
          <w:iCs/>
          <w:color w:val="000000" w:themeColor="text1"/>
          <w:lang w:val="en-US"/>
        </w:rPr>
        <w:t>P</w:t>
      </w:r>
      <w:r w:rsidR="000C363C" w:rsidRPr="00A30FAB">
        <w:rPr>
          <w:color w:val="000000" w:themeColor="text1"/>
          <w:lang w:val="en-US"/>
        </w:rPr>
        <w:t xml:space="preserve"> = </w:t>
      </w:r>
      <w:r w:rsidRPr="00A30FAB">
        <w:rPr>
          <w:color w:val="000000" w:themeColor="text1"/>
          <w:lang w:val="en-US"/>
        </w:rPr>
        <w:t>0.019) over a 16 wk period, and this was associated with better diastolic function (E/A ratio from 1.02 +/- 0.08 to 1.18 +/- 0.06)</w:t>
      </w:r>
      <w:r w:rsidR="00410EA0" w:rsidRPr="00A30FAB">
        <w:rPr>
          <w:color w:val="000000" w:themeColor="text1"/>
          <w:vertAlign w:val="superscript"/>
          <w:lang w:val="en-US"/>
        </w:rPr>
        <w:t>[84]</w:t>
      </w:r>
      <w:r w:rsidRPr="00A30FAB">
        <w:rPr>
          <w:color w:val="000000" w:themeColor="text1"/>
          <w:lang w:val="en-US"/>
        </w:rPr>
        <w:t>. Myocardial TG level is a predictor of concentric LV remodelling independent of BMI, systolic and diastolic BP, circulating FA and is associated with subclinical contractile dysfunction in T2D</w:t>
      </w:r>
      <w:r w:rsidR="00410EA0" w:rsidRPr="00A30FAB">
        <w:rPr>
          <w:color w:val="000000" w:themeColor="text1"/>
          <w:vertAlign w:val="superscript"/>
          <w:lang w:val="en-US"/>
        </w:rPr>
        <w:t>[62]</w:t>
      </w:r>
      <w:r w:rsidRPr="00A30FAB">
        <w:rPr>
          <w:color w:val="000000" w:themeColor="text1"/>
          <w:lang w:val="en-US"/>
        </w:rPr>
        <w:t>.</w:t>
      </w:r>
      <w:r w:rsidR="00680B0C">
        <w:rPr>
          <w:color w:val="000000" w:themeColor="text1"/>
          <w:lang w:val="en-US"/>
        </w:rPr>
        <w:t xml:space="preserve"> </w:t>
      </w:r>
    </w:p>
    <w:p w14:paraId="21D99CDB" w14:textId="77777777" w:rsidR="00585FAB" w:rsidRPr="00A30FAB" w:rsidRDefault="00585FAB" w:rsidP="00A30FAB">
      <w:pPr>
        <w:adjustRightInd w:val="0"/>
        <w:snapToGrid w:val="0"/>
        <w:rPr>
          <w:color w:val="000000" w:themeColor="text1"/>
          <w:lang w:val="en-US"/>
        </w:rPr>
      </w:pPr>
    </w:p>
    <w:p w14:paraId="5D17CF89" w14:textId="7E087B0E" w:rsidR="00585FAB" w:rsidRPr="00A30FAB" w:rsidRDefault="00410EA0" w:rsidP="00A30FAB">
      <w:pPr>
        <w:pStyle w:val="1"/>
        <w:adjustRightInd w:val="0"/>
        <w:snapToGrid w:val="0"/>
        <w:spacing w:before="0" w:after="0"/>
        <w:ind w:left="0" w:firstLine="0"/>
        <w:rPr>
          <w:color w:val="000000" w:themeColor="text1"/>
          <w:sz w:val="24"/>
          <w:szCs w:val="24"/>
          <w:lang w:val="en-US"/>
        </w:rPr>
      </w:pPr>
      <w:r w:rsidRPr="00A30FAB">
        <w:rPr>
          <w:color w:val="000000" w:themeColor="text1"/>
          <w:sz w:val="24"/>
          <w:szCs w:val="24"/>
          <w:lang w:val="en-US"/>
        </w:rPr>
        <w:t>MYOCARDIAL STRUCTURAL AND FUNCTIONAL CHANGES IN DIABETES – EVIDENCE FROM HISTOLOGY, MRI AND ECHOCARDIOGRAPHY STUDIES</w:t>
      </w:r>
    </w:p>
    <w:p w14:paraId="758194D5" w14:textId="77777777" w:rsidR="00585FAB" w:rsidRPr="00A30FAB" w:rsidRDefault="00585FAB" w:rsidP="00A30FAB">
      <w:pPr>
        <w:pStyle w:val="2"/>
        <w:adjustRightInd w:val="0"/>
        <w:snapToGrid w:val="0"/>
        <w:spacing w:before="0" w:after="0"/>
        <w:ind w:left="0" w:firstLine="0"/>
        <w:rPr>
          <w:b/>
          <w:bCs/>
          <w:i/>
          <w:iCs/>
          <w:color w:val="000000" w:themeColor="text1"/>
          <w:sz w:val="24"/>
          <w:szCs w:val="24"/>
          <w:lang w:val="en-US"/>
        </w:rPr>
      </w:pPr>
      <w:r w:rsidRPr="00A30FAB">
        <w:rPr>
          <w:b/>
          <w:bCs/>
          <w:i/>
          <w:iCs/>
          <w:color w:val="000000" w:themeColor="text1"/>
          <w:sz w:val="24"/>
          <w:szCs w:val="24"/>
          <w:lang w:val="en-US"/>
        </w:rPr>
        <w:t>Structural changes</w:t>
      </w:r>
    </w:p>
    <w:p w14:paraId="7A80A51A" w14:textId="3AB6B49D" w:rsidR="00585FAB" w:rsidRPr="00A30FAB" w:rsidRDefault="00585FAB" w:rsidP="00A30FAB">
      <w:pPr>
        <w:adjustRightInd w:val="0"/>
        <w:snapToGrid w:val="0"/>
        <w:rPr>
          <w:color w:val="000000" w:themeColor="text1"/>
          <w:lang w:val="en-US"/>
        </w:rPr>
      </w:pPr>
      <w:r w:rsidRPr="00A30FAB">
        <w:rPr>
          <w:color w:val="000000" w:themeColor="text1"/>
          <w:lang w:val="en-US"/>
        </w:rPr>
        <w:t>Pathological evidence characterised by myofibrillar hypertrophy with fibrotic strands extending between muscle fibres to cause diffuse myocardial fibrosis first helped distinguish cardiomyocyte damage in diabetes</w:t>
      </w:r>
      <w:r w:rsidR="00410EA0" w:rsidRPr="00A30FAB">
        <w:rPr>
          <w:color w:val="000000" w:themeColor="text1"/>
          <w:vertAlign w:val="superscript"/>
          <w:lang w:val="en-US"/>
        </w:rPr>
        <w:t>[9]</w:t>
      </w:r>
      <w:r w:rsidRPr="00A30FAB">
        <w:rPr>
          <w:color w:val="000000" w:themeColor="text1"/>
          <w:lang w:val="en-US"/>
        </w:rPr>
        <w:t>.</w:t>
      </w:r>
      <w:r w:rsidR="00410EA0" w:rsidRPr="00A30FAB">
        <w:rPr>
          <w:color w:val="000000" w:themeColor="text1"/>
          <w:lang w:val="en-US"/>
        </w:rPr>
        <w:t xml:space="preserve"> </w:t>
      </w:r>
      <w:r w:rsidRPr="00A30FAB">
        <w:rPr>
          <w:color w:val="000000" w:themeColor="text1"/>
          <w:lang w:val="en-US"/>
        </w:rPr>
        <w:t>The advancement in non-invasive imaging techniques has facilitated further delineation and phenotyping of the diabetic heart. Alterations to left ventricular geometry lead to concentric remodelling, hypertrophy and eventually increased mass. Left ventricular hypertrophy in diabetes includes both concentric and eccentric hypertrophy. Left ventricular concentric remodelling has been shown to have a higher association with cardiovascular mortality than eccentric remodelling on both echocardiographic and CMR studies</w:t>
      </w:r>
      <w:r w:rsidR="00410EA0" w:rsidRPr="00A30FAB">
        <w:rPr>
          <w:color w:val="000000" w:themeColor="text1"/>
          <w:vertAlign w:val="superscript"/>
          <w:lang w:val="en-US"/>
        </w:rPr>
        <w:t>[62,85-87]</w:t>
      </w:r>
      <w:r w:rsidRPr="00A30FAB">
        <w:rPr>
          <w:color w:val="000000" w:themeColor="text1"/>
          <w:lang w:val="en-US"/>
        </w:rPr>
        <w:t>.</w:t>
      </w:r>
    </w:p>
    <w:p w14:paraId="344AD321" w14:textId="384E477C"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Increased left ventricular mass had initially been shown to be associated with a rise in HbA1c levels in a HF population</w:t>
      </w:r>
      <w:r w:rsidR="00410EA0" w:rsidRPr="00A30FAB">
        <w:rPr>
          <w:color w:val="000000" w:themeColor="text1"/>
          <w:vertAlign w:val="superscript"/>
          <w:lang w:val="en-US"/>
        </w:rPr>
        <w:t>[88]</w:t>
      </w:r>
      <w:r w:rsidRPr="00A30FAB">
        <w:rPr>
          <w:color w:val="000000" w:themeColor="text1"/>
          <w:lang w:val="en-US"/>
        </w:rPr>
        <w:t>. Studies using both echocardiography and MRI have been successful in showing an increase in left ventricular mass associated with diabetes independently of other factors</w:t>
      </w:r>
      <w:r w:rsidR="00410EA0" w:rsidRPr="00A30FAB">
        <w:rPr>
          <w:color w:val="000000" w:themeColor="text1"/>
          <w:vertAlign w:val="superscript"/>
          <w:lang w:val="en-US"/>
        </w:rPr>
        <w:t>[10,62,85,87,89-94]</w:t>
      </w:r>
      <w:r w:rsidRPr="00A30FAB">
        <w:rPr>
          <w:bCs/>
          <w:color w:val="000000" w:themeColor="text1"/>
          <w:lang w:val="en-US"/>
        </w:rPr>
        <w:t>.</w:t>
      </w:r>
      <w:r w:rsidRPr="00A30FAB">
        <w:rPr>
          <w:color w:val="000000" w:themeColor="text1"/>
          <w:lang w:val="en-US"/>
        </w:rPr>
        <w:t xml:space="preserve"> Table 2 details studies that have examined left ventricular mass and concentric remodelling on MRI in T2D. In summary, there is a general trend that shows an increase in left ventricular mass. However, when corrected for body surface area, this does not persist. In two studies, there remained a higher left ventricular mass/volume ratio, but due to a general increase in end diastolic volume this difference is obliterated when corrected for volume. A decrease in stroke volume is as expected in concentric remodelling. Increased left ventricular mass is a known predictor of cardiovascular mortality and morbidity</w:t>
      </w:r>
      <w:r w:rsidR="00410EA0" w:rsidRPr="00A30FAB">
        <w:rPr>
          <w:color w:val="000000" w:themeColor="text1"/>
          <w:vertAlign w:val="superscript"/>
          <w:lang w:val="en-US"/>
        </w:rPr>
        <w:t>[95,96]</w:t>
      </w:r>
      <w:r w:rsidRPr="00A30FAB">
        <w:rPr>
          <w:color w:val="000000" w:themeColor="text1"/>
          <w:lang w:val="en-US"/>
        </w:rPr>
        <w:t xml:space="preserve">. </w:t>
      </w:r>
    </w:p>
    <w:p w14:paraId="60853B2E" w14:textId="77777777" w:rsidR="00410EA0"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CMR T1 mapping pre and post-contrast allows calculation of myocardial extracellular volume (ECV) which is a surrogate for diffuse interstitial fibrosis and correlates with pathology samples obtained in patients with heart failure</w:t>
      </w:r>
      <w:r w:rsidR="00410EA0" w:rsidRPr="00A30FAB">
        <w:rPr>
          <w:color w:val="000000" w:themeColor="text1"/>
          <w:vertAlign w:val="superscript"/>
          <w:lang w:val="en-US"/>
        </w:rPr>
        <w:t>[97]</w:t>
      </w:r>
      <w:r w:rsidRPr="00A30FAB">
        <w:rPr>
          <w:color w:val="000000" w:themeColor="text1"/>
          <w:lang w:val="en-US"/>
        </w:rPr>
        <w:t xml:space="preserve">. Levelt </w:t>
      </w:r>
      <w:r w:rsidRPr="00A30FAB">
        <w:rPr>
          <w:i/>
          <w:iCs/>
          <w:color w:val="000000" w:themeColor="text1"/>
          <w:lang w:val="en-US"/>
        </w:rPr>
        <w:t>et al</w:t>
      </w:r>
      <w:r w:rsidR="00410EA0" w:rsidRPr="00A30FAB">
        <w:rPr>
          <w:color w:val="000000" w:themeColor="text1"/>
          <w:vertAlign w:val="superscript"/>
          <w:lang w:val="en-US"/>
        </w:rPr>
        <w:t>[62]</w:t>
      </w:r>
      <w:r w:rsidRPr="00A30FAB">
        <w:rPr>
          <w:color w:val="000000" w:themeColor="text1"/>
          <w:lang w:val="en-US"/>
        </w:rPr>
        <w:t xml:space="preserve"> used similar techniques and concluded that although there was concentric remodelling and evidence of diastolic dysfunction, there was no evidence of expansion of extracellular matrix in people with well-controlled T2D. However, this is contrary to most existing literature on ECV and T1 mapping to date, which has shown increased ECV and native T1 values in T2D compared to healthy controls</w:t>
      </w:r>
      <w:r w:rsidR="00410EA0" w:rsidRPr="00A30FAB">
        <w:rPr>
          <w:color w:val="000000" w:themeColor="text1"/>
          <w:vertAlign w:val="superscript"/>
          <w:lang w:val="en-US"/>
        </w:rPr>
        <w:t>[98,99]</w:t>
      </w:r>
      <w:r w:rsidRPr="00A30FAB">
        <w:rPr>
          <w:color w:val="000000" w:themeColor="text1"/>
          <w:lang w:val="en-US"/>
        </w:rPr>
        <w:t xml:space="preserve">. Swoboda </w:t>
      </w:r>
      <w:r w:rsidRPr="00A30FAB">
        <w:rPr>
          <w:i/>
          <w:iCs/>
          <w:color w:val="000000" w:themeColor="text1"/>
          <w:lang w:val="en-US"/>
        </w:rPr>
        <w:t>et al</w:t>
      </w:r>
      <w:r w:rsidR="00410EA0" w:rsidRPr="00A30FAB">
        <w:rPr>
          <w:color w:val="000000" w:themeColor="text1"/>
          <w:vertAlign w:val="superscript"/>
          <w:lang w:val="en-US"/>
        </w:rPr>
        <w:t>[100]</w:t>
      </w:r>
      <w:r w:rsidRPr="00A30FAB">
        <w:rPr>
          <w:color w:val="000000" w:themeColor="text1"/>
          <w:lang w:val="en-US"/>
        </w:rPr>
        <w:t xml:space="preserve"> also showed increased ECV and native T1 relaxation at baseline in T2D and demonstrated that treatment with renin-angiotensin-aldosterone system inhibition led to an improvement in left ventricular ejection fraction and a decrease in myocardial ECV. The differences in literature on extracellular matrix may be related to patient selection for the controls. For example, young and healthy controls rather than age-matched non-diabetics. Sensitivity of different T1 mapping techniques may also play a small role.</w:t>
      </w:r>
    </w:p>
    <w:p w14:paraId="0CABC95E" w14:textId="77777777" w:rsidR="00410EA0" w:rsidRPr="00A30FAB" w:rsidRDefault="00410EA0" w:rsidP="00A30FAB">
      <w:pPr>
        <w:adjustRightInd w:val="0"/>
        <w:snapToGrid w:val="0"/>
        <w:rPr>
          <w:color w:val="000000" w:themeColor="text1"/>
          <w:lang w:val="en-US"/>
        </w:rPr>
      </w:pPr>
    </w:p>
    <w:p w14:paraId="6B24634F" w14:textId="2CC1CD5D" w:rsidR="00585FAB" w:rsidRPr="00A30FAB" w:rsidRDefault="00585FAB" w:rsidP="00A30FAB">
      <w:pPr>
        <w:adjustRightInd w:val="0"/>
        <w:snapToGrid w:val="0"/>
        <w:rPr>
          <w:b/>
          <w:bCs/>
          <w:i/>
          <w:iCs/>
          <w:color w:val="000000" w:themeColor="text1"/>
          <w:lang w:val="en-US"/>
        </w:rPr>
      </w:pPr>
      <w:r w:rsidRPr="00A30FAB">
        <w:rPr>
          <w:b/>
          <w:bCs/>
          <w:i/>
          <w:iCs/>
          <w:color w:val="000000" w:themeColor="text1"/>
          <w:lang w:val="en-US"/>
        </w:rPr>
        <w:t xml:space="preserve">Functional </w:t>
      </w:r>
      <w:r w:rsidR="00410EA0" w:rsidRPr="00A30FAB">
        <w:rPr>
          <w:b/>
          <w:bCs/>
          <w:i/>
          <w:iCs/>
          <w:color w:val="000000" w:themeColor="text1"/>
          <w:lang w:val="en-US"/>
        </w:rPr>
        <w:t>c</w:t>
      </w:r>
      <w:r w:rsidRPr="00A30FAB">
        <w:rPr>
          <w:b/>
          <w:bCs/>
          <w:i/>
          <w:iCs/>
          <w:color w:val="000000" w:themeColor="text1"/>
          <w:lang w:val="en-US"/>
        </w:rPr>
        <w:t>hanges</w:t>
      </w:r>
    </w:p>
    <w:p w14:paraId="6E02CBE0" w14:textId="56A51E9D" w:rsidR="00585FAB" w:rsidRPr="00A30FAB" w:rsidRDefault="00585FAB" w:rsidP="00A30FAB">
      <w:pPr>
        <w:adjustRightInd w:val="0"/>
        <w:snapToGrid w:val="0"/>
        <w:rPr>
          <w:color w:val="000000" w:themeColor="text1"/>
          <w:lang w:val="en-US"/>
        </w:rPr>
      </w:pPr>
      <w:r w:rsidRPr="00A30FAB">
        <w:rPr>
          <w:color w:val="000000" w:themeColor="text1"/>
          <w:lang w:val="en-US"/>
        </w:rPr>
        <w:t>Diabetic cardiomyopathy has mainly been linked with features of diastolic dysfunction. This is especially apparent in asymptomatic individuals as the earliest sign of HF. Most of the evidence in imaging of patients with T2D have not shown a significant decrease in ejection fraction/systolic dysfunction</w:t>
      </w:r>
      <w:r w:rsidRPr="00A30FAB">
        <w:rPr>
          <w:color w:val="000000" w:themeColor="text1"/>
          <w:vertAlign w:val="superscript"/>
          <w:lang w:val="en-US"/>
        </w:rPr>
        <w:t>[88,101-103]</w:t>
      </w:r>
      <w:r w:rsidRPr="00A30FAB">
        <w:rPr>
          <w:color w:val="000000" w:themeColor="text1"/>
          <w:lang w:val="en-US"/>
        </w:rPr>
        <w:t xml:space="preserve"> with the exception of the Strong Heart Study where a direct correlation of ejection fraction was seen associated with HbA1c levels</w:t>
      </w:r>
      <w:r w:rsidR="00410EA0" w:rsidRPr="00A30FAB">
        <w:rPr>
          <w:color w:val="000000" w:themeColor="text1"/>
          <w:vertAlign w:val="superscript"/>
          <w:lang w:val="en-US"/>
        </w:rPr>
        <w:t>[87]</w:t>
      </w:r>
      <w:r w:rsidRPr="00A30FAB">
        <w:rPr>
          <w:color w:val="000000" w:themeColor="text1"/>
          <w:lang w:val="en-US"/>
        </w:rPr>
        <w:t xml:space="preserve">. Diastolic </w:t>
      </w:r>
      <w:r w:rsidRPr="00A30FAB">
        <w:rPr>
          <w:color w:val="000000" w:themeColor="text1"/>
          <w:shd w:val="clear" w:color="auto" w:fill="FFFFFF"/>
          <w:lang w:val="en-US"/>
        </w:rPr>
        <w:t xml:space="preserve">dysfunction </w:t>
      </w:r>
      <w:r w:rsidRPr="00A30FAB">
        <w:rPr>
          <w:color w:val="000000" w:themeColor="text1"/>
          <w:lang w:val="en-US"/>
        </w:rPr>
        <w:t xml:space="preserve">is now regarded as the first </w:t>
      </w:r>
      <w:r w:rsidRPr="00A30FAB">
        <w:rPr>
          <w:color w:val="000000" w:themeColor="text1"/>
          <w:shd w:val="clear" w:color="auto" w:fill="FFFFFF"/>
          <w:lang w:val="en-US"/>
        </w:rPr>
        <w:t>functional change occurring in diabetic cardiomyopathy.</w:t>
      </w:r>
      <w:r w:rsidRPr="00A30FAB">
        <w:rPr>
          <w:color w:val="000000" w:themeColor="text1"/>
          <w:lang w:val="en-US"/>
        </w:rPr>
        <w:t xml:space="preserve"> </w:t>
      </w:r>
    </w:p>
    <w:p w14:paraId="48F79746" w14:textId="028E8D60"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Strain is a measure of tissue deformation. As the ventricle contracts, muscle shortens longitudinally and circumferentially and thickens radially. The application of strain to measure deformation is constrained by a number of complexities when the parameter is measured by echocardiography</w:t>
      </w:r>
      <w:r w:rsidR="00410EA0" w:rsidRPr="00A30FAB">
        <w:rPr>
          <w:color w:val="000000" w:themeColor="text1"/>
          <w:vertAlign w:val="superscript"/>
          <w:lang w:val="en-US"/>
        </w:rPr>
        <w:t>[104]</w:t>
      </w:r>
      <w:r w:rsidRPr="00A30FAB">
        <w:rPr>
          <w:color w:val="000000" w:themeColor="text1"/>
          <w:lang w:val="en-US"/>
        </w:rPr>
        <w:t>. Tissue Doppler imaging (TDI) in echocardiography improved the identification of early diastolic dysfunction and recent developments in strain imaging on CMR has very much improved the sensitivity and accuracy of identifying subclinical diastolic dysfunction in the T2D population. Measurement of strain using CMR is now considered the gold standard. Strain rate measures the time course of deformation and this can be derived from speckle tracking echocardiography or measured directly from MRI cine images with dedicated software programmes of which several are available.</w:t>
      </w:r>
    </w:p>
    <w:p w14:paraId="2528EC17" w14:textId="4493AC1F"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Both longitudinal and circumferential strain have been shown to be impaired in T2D. Table 3 identifies the larger and more recent studies that have shown early changes in strain in people with diabetes</w:t>
      </w:r>
      <w:r w:rsidR="00410EA0" w:rsidRPr="00A30FAB">
        <w:rPr>
          <w:color w:val="000000" w:themeColor="text1"/>
          <w:vertAlign w:val="superscript"/>
          <w:lang w:val="en-US"/>
        </w:rPr>
        <w:t>[11,88,91,94,105-107]</w:t>
      </w:r>
      <w:r w:rsidRPr="00A30FAB">
        <w:rPr>
          <w:color w:val="000000" w:themeColor="text1"/>
          <w:lang w:val="en-US"/>
        </w:rPr>
        <w:t>. Different studies have studied and reported different measures of strain making the literature not directly comparable.</w:t>
      </w:r>
      <w:r w:rsidR="00680B0C">
        <w:rPr>
          <w:color w:val="000000" w:themeColor="text1"/>
          <w:lang w:val="en-US"/>
        </w:rPr>
        <w:t xml:space="preserve"> </w:t>
      </w:r>
      <w:r w:rsidRPr="00A30FAB">
        <w:rPr>
          <w:color w:val="000000" w:themeColor="text1"/>
          <w:lang w:val="en-US"/>
        </w:rPr>
        <w:t>Global longitudinal strain (GLS) has been shown to be decreased in the diabetic population compared to healthy volunteers in all the studies described across tissue Doppler, speckle tracking echocardiography and CMR. Additionally, some studies have shown a decrease in radial strain. One study has shown that peak early diastolic strain rate (PEDSR) and peak systolic strain rate are both decreased in diabetes even when compared to obese/overweight non-diabetic controls</w:t>
      </w:r>
      <w:r w:rsidR="00410EA0" w:rsidRPr="00A30FAB">
        <w:rPr>
          <w:color w:val="000000" w:themeColor="text1"/>
          <w:vertAlign w:val="superscript"/>
          <w:lang w:val="en-US"/>
        </w:rPr>
        <w:t>[11]</w:t>
      </w:r>
      <w:r w:rsidRPr="00A30FAB">
        <w:rPr>
          <w:color w:val="000000" w:themeColor="text1"/>
          <w:lang w:val="en-US"/>
        </w:rPr>
        <w:t xml:space="preserve">. Strain and strain rate, especially PEDSR is a good measure contractility and contractile reserve. Its application in clinical practice remains in infancy to be used to predict potential development of heart failure with preserved ejection fraction in the form of a contractility index. </w:t>
      </w:r>
      <w:r w:rsidRPr="00A30FAB">
        <w:rPr>
          <w:rFonts w:cs="Arial"/>
          <w:color w:val="000000" w:themeColor="text1"/>
          <w:lang w:val="en-US"/>
        </w:rPr>
        <w:t xml:space="preserve">It is </w:t>
      </w:r>
      <w:r w:rsidRPr="00A30FAB">
        <w:rPr>
          <w:rFonts w:cs="Arial"/>
          <w:color w:val="000000" w:themeColor="text1"/>
          <w:shd w:val="clear" w:color="auto" w:fill="FFFFFF"/>
          <w:lang w:val="en-US"/>
        </w:rPr>
        <w:t xml:space="preserve">widely </w:t>
      </w:r>
      <w:r w:rsidRPr="00A30FAB">
        <w:rPr>
          <w:rFonts w:cs="Arial"/>
          <w:color w:val="000000" w:themeColor="text1"/>
          <w:lang w:val="en-US"/>
        </w:rPr>
        <w:t xml:space="preserve">regarded as </w:t>
      </w:r>
      <w:r w:rsidRPr="00A30FAB">
        <w:rPr>
          <w:rFonts w:cs="Arial"/>
          <w:color w:val="000000" w:themeColor="text1"/>
          <w:shd w:val="clear" w:color="auto" w:fill="FFFFFF"/>
          <w:lang w:val="en-US"/>
        </w:rPr>
        <w:t xml:space="preserve">a precursor to the onset of </w:t>
      </w:r>
      <w:r w:rsidRPr="00A30FAB">
        <w:rPr>
          <w:rFonts w:cs="Arial"/>
          <w:color w:val="000000" w:themeColor="text1"/>
          <w:lang w:val="en-US"/>
        </w:rPr>
        <w:t>heart failure</w:t>
      </w:r>
      <w:r w:rsidRPr="00A30FAB">
        <w:rPr>
          <w:rFonts w:cs="Arial"/>
          <w:color w:val="000000" w:themeColor="text1"/>
          <w:shd w:val="clear" w:color="auto" w:fill="FFFFFF"/>
          <w:lang w:val="en-US"/>
        </w:rPr>
        <w:t xml:space="preserve"> in </w:t>
      </w:r>
      <w:r w:rsidRPr="00A30FAB">
        <w:rPr>
          <w:rFonts w:cs="Arial"/>
          <w:color w:val="000000" w:themeColor="text1"/>
          <w:lang w:val="en-US"/>
        </w:rPr>
        <w:t xml:space="preserve">T2D and a </w:t>
      </w:r>
      <w:r w:rsidRPr="00A30FAB">
        <w:rPr>
          <w:rFonts w:cs="Arial"/>
          <w:color w:val="000000" w:themeColor="text1"/>
          <w:shd w:val="clear" w:color="auto" w:fill="FFFFFF"/>
          <w:lang w:val="en-US"/>
        </w:rPr>
        <w:t xml:space="preserve">predictor of cardiovascular </w:t>
      </w:r>
      <w:r w:rsidRPr="00A30FAB">
        <w:rPr>
          <w:rFonts w:cs="Arial"/>
          <w:color w:val="000000" w:themeColor="text1"/>
          <w:lang w:val="en-US"/>
        </w:rPr>
        <w:t>mortality and morbidity even in the absence of symptoms</w:t>
      </w:r>
      <w:r w:rsidR="00410EA0" w:rsidRPr="00A30FAB">
        <w:rPr>
          <w:rFonts w:cs="Arial"/>
          <w:color w:val="000000" w:themeColor="text1"/>
          <w:vertAlign w:val="superscript"/>
          <w:lang w:val="en-US"/>
        </w:rPr>
        <w:t>[108,109]</w:t>
      </w:r>
      <w:r w:rsidRPr="00A30FAB">
        <w:rPr>
          <w:rFonts w:cs="Arial"/>
          <w:color w:val="000000" w:themeColor="text1"/>
          <w:lang w:val="en-US"/>
        </w:rPr>
        <w:t xml:space="preserve">. </w:t>
      </w:r>
    </w:p>
    <w:p w14:paraId="2DF5E37B" w14:textId="77777777" w:rsidR="00585FAB" w:rsidRPr="00A30FAB" w:rsidRDefault="00585FAB" w:rsidP="00A30FAB">
      <w:pPr>
        <w:adjustRightInd w:val="0"/>
        <w:snapToGrid w:val="0"/>
        <w:rPr>
          <w:rFonts w:eastAsiaTheme="majorEastAsia"/>
          <w:color w:val="000000" w:themeColor="text1"/>
          <w:lang w:val="en-US"/>
        </w:rPr>
      </w:pPr>
    </w:p>
    <w:p w14:paraId="4D24B735" w14:textId="15D1AB22" w:rsidR="00585FAB" w:rsidRPr="00A30FAB" w:rsidRDefault="00585FAB" w:rsidP="00A30FAB">
      <w:pPr>
        <w:pStyle w:val="2"/>
        <w:adjustRightInd w:val="0"/>
        <w:snapToGrid w:val="0"/>
        <w:spacing w:before="0" w:after="0"/>
        <w:ind w:left="0" w:firstLine="0"/>
        <w:rPr>
          <w:b/>
          <w:bCs/>
          <w:i/>
          <w:iCs/>
          <w:color w:val="000000" w:themeColor="text1"/>
          <w:sz w:val="24"/>
          <w:szCs w:val="24"/>
          <w:lang w:val="en-US"/>
        </w:rPr>
      </w:pPr>
      <w:r w:rsidRPr="00A30FAB">
        <w:rPr>
          <w:b/>
          <w:bCs/>
          <w:i/>
          <w:iCs/>
          <w:color w:val="000000" w:themeColor="text1"/>
          <w:sz w:val="24"/>
          <w:szCs w:val="24"/>
          <w:lang w:val="en-US"/>
        </w:rPr>
        <w:t xml:space="preserve">Coronary </w:t>
      </w:r>
      <w:r w:rsidR="00410EA0" w:rsidRPr="00A30FAB">
        <w:rPr>
          <w:b/>
          <w:bCs/>
          <w:i/>
          <w:iCs/>
          <w:color w:val="000000" w:themeColor="text1"/>
          <w:sz w:val="24"/>
          <w:szCs w:val="24"/>
          <w:lang w:val="en-US"/>
        </w:rPr>
        <w:t>microvascular dysfunction</w:t>
      </w:r>
    </w:p>
    <w:p w14:paraId="149537B6" w14:textId="704C3827" w:rsidR="00585FAB" w:rsidRPr="00A30FAB" w:rsidRDefault="00585FAB" w:rsidP="00A30FAB">
      <w:pPr>
        <w:adjustRightInd w:val="0"/>
        <w:snapToGrid w:val="0"/>
        <w:rPr>
          <w:color w:val="000000" w:themeColor="text1"/>
          <w:lang w:val="en-US"/>
        </w:rPr>
      </w:pPr>
      <w:r w:rsidRPr="00A30FAB">
        <w:rPr>
          <w:color w:val="000000" w:themeColor="text1"/>
          <w:lang w:val="en-US"/>
        </w:rPr>
        <w:t>Coronary microvascular dysfunction in diabetes is a complex pathophysiological process, which involves structural, functional and metabolic alterations. It</w:t>
      </w:r>
      <w:r w:rsidR="00680B0C">
        <w:rPr>
          <w:color w:val="000000" w:themeColor="text1"/>
          <w:lang w:val="en-US"/>
        </w:rPr>
        <w:t xml:space="preserve"> </w:t>
      </w:r>
      <w:r w:rsidRPr="00A30FAB">
        <w:rPr>
          <w:color w:val="000000" w:themeColor="text1"/>
          <w:lang w:val="en-US"/>
        </w:rPr>
        <w:t>is likely to be a multifactorial phenomenon, related to changes in perivascular and interstitial fibrosis</w:t>
      </w:r>
      <w:r w:rsidRPr="00A30FAB">
        <w:rPr>
          <w:color w:val="000000" w:themeColor="text1"/>
          <w:vertAlign w:val="superscript"/>
          <w:lang w:val="en-US"/>
        </w:rPr>
        <w:t>[110]</w:t>
      </w:r>
      <w:r w:rsidRPr="00A30FAB">
        <w:rPr>
          <w:color w:val="000000" w:themeColor="text1"/>
          <w:lang w:val="en-US"/>
        </w:rPr>
        <w:t>, myocardial hypertrophy</w:t>
      </w:r>
      <w:r w:rsidRPr="00A30FAB">
        <w:rPr>
          <w:color w:val="000000" w:themeColor="text1"/>
          <w:vertAlign w:val="superscript"/>
          <w:lang w:val="en-US"/>
        </w:rPr>
        <w:t>[111]</w:t>
      </w:r>
      <w:r w:rsidRPr="00A30FAB">
        <w:rPr>
          <w:color w:val="000000" w:themeColor="text1"/>
          <w:lang w:val="en-US"/>
        </w:rPr>
        <w:t>, reduced capillary density, and autonomic neuropathy</w:t>
      </w:r>
      <w:r w:rsidRPr="00A30FAB">
        <w:rPr>
          <w:color w:val="000000" w:themeColor="text1"/>
          <w:vertAlign w:val="superscript"/>
          <w:lang w:val="en-US"/>
        </w:rPr>
        <w:t>[112]</w:t>
      </w:r>
      <w:r w:rsidRPr="00A30FAB">
        <w:rPr>
          <w:color w:val="000000" w:themeColor="text1"/>
          <w:lang w:val="en-US"/>
        </w:rPr>
        <w:t>. Coronary microvascular dysfunction has emerged among the potential mechanisms leading to increased incidence of heart failure</w:t>
      </w:r>
      <w:r w:rsidRPr="00A30FAB">
        <w:rPr>
          <w:color w:val="000000" w:themeColor="text1"/>
          <w:vertAlign w:val="superscript"/>
          <w:lang w:val="en-US"/>
        </w:rPr>
        <w:t>[113]</w:t>
      </w:r>
      <w:r w:rsidRPr="00A30FAB">
        <w:rPr>
          <w:color w:val="000000" w:themeColor="text1"/>
          <w:lang w:val="en-US"/>
        </w:rPr>
        <w:t xml:space="preserve"> and risk of cardiovascular mortality</w:t>
      </w:r>
      <w:r w:rsidRPr="00A30FAB">
        <w:rPr>
          <w:color w:val="000000" w:themeColor="text1"/>
          <w:vertAlign w:val="superscript"/>
          <w:lang w:val="en-US"/>
        </w:rPr>
        <w:t>[3,114]</w:t>
      </w:r>
      <w:r w:rsidRPr="00A30FAB">
        <w:rPr>
          <w:color w:val="000000" w:themeColor="text1"/>
          <w:lang w:val="en-US"/>
        </w:rPr>
        <w:t xml:space="preserve"> in patients with diabetes</w:t>
      </w:r>
      <w:r w:rsidRPr="00A30FAB" w:rsidDel="00D44980">
        <w:rPr>
          <w:color w:val="000000" w:themeColor="text1"/>
          <w:lang w:val="en-US"/>
        </w:rPr>
        <w:t>.</w:t>
      </w:r>
      <w:r w:rsidRPr="00A30FAB">
        <w:rPr>
          <w:color w:val="000000" w:themeColor="text1"/>
          <w:lang w:val="en-US"/>
        </w:rPr>
        <w:t xml:space="preserve"> Both hyperglycaemia and dyslipidaemia have been shown to cause abnormal structure and function within the endothelium. High circulating glucose concentration causes downregulation of nitric oxide resulting in increased vasoconstriction</w:t>
      </w:r>
      <w:r w:rsidR="00410EA0" w:rsidRPr="00A30FAB">
        <w:rPr>
          <w:color w:val="000000" w:themeColor="text1"/>
          <w:vertAlign w:val="superscript"/>
          <w:lang w:val="en-US"/>
        </w:rPr>
        <w:t>[115]</w:t>
      </w:r>
      <w:r w:rsidRPr="00A30FAB">
        <w:rPr>
          <w:color w:val="000000" w:themeColor="text1"/>
          <w:lang w:val="en-US"/>
        </w:rPr>
        <w:t>. This in turn results in increased vascular tone, permeability, thinning of vascular endothelium, weakening of intercellular junctions, altered protein synthesis and ultimately causes remodelling</w:t>
      </w:r>
      <w:r w:rsidR="00410EA0" w:rsidRPr="00A30FAB">
        <w:rPr>
          <w:color w:val="000000" w:themeColor="text1"/>
          <w:vertAlign w:val="superscript"/>
          <w:lang w:val="en-US"/>
        </w:rPr>
        <w:t>[115]</w:t>
      </w:r>
      <w:r w:rsidRPr="00A30FAB">
        <w:rPr>
          <w:color w:val="000000" w:themeColor="text1"/>
          <w:lang w:val="en-US"/>
        </w:rPr>
        <w:t xml:space="preserve">. </w:t>
      </w:r>
    </w:p>
    <w:p w14:paraId="42E0E2B6" w14:textId="4E5F8860"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Using CMR</w:t>
      </w:r>
      <w:r w:rsidRPr="00A30FAB">
        <w:rPr>
          <w:color w:val="000000" w:themeColor="text1"/>
          <w:vertAlign w:val="superscript"/>
          <w:lang w:val="en-US"/>
        </w:rPr>
        <w:t>[10,</w:t>
      </w:r>
      <w:r w:rsidR="003A0BB7" w:rsidRPr="00A30FAB">
        <w:rPr>
          <w:color w:val="000000" w:themeColor="text1"/>
          <w:vertAlign w:val="superscript"/>
          <w:lang w:val="en-US"/>
        </w:rPr>
        <w:t>94,</w:t>
      </w:r>
      <w:r w:rsidRPr="00A30FAB">
        <w:rPr>
          <w:color w:val="000000" w:themeColor="text1"/>
          <w:vertAlign w:val="superscript"/>
          <w:lang w:val="en-US"/>
        </w:rPr>
        <w:t>116]</w:t>
      </w:r>
      <w:r w:rsidRPr="00A30FAB">
        <w:rPr>
          <w:color w:val="000000" w:themeColor="text1"/>
          <w:lang w:val="en-US"/>
        </w:rPr>
        <w:t xml:space="preserve"> and PET</w:t>
      </w:r>
      <w:r w:rsidRPr="00A30FAB">
        <w:rPr>
          <w:color w:val="000000" w:themeColor="text1"/>
          <w:vertAlign w:val="superscript"/>
          <w:lang w:val="en-US"/>
        </w:rPr>
        <w:t>[114,11</w:t>
      </w:r>
      <w:r w:rsidR="00C654AD" w:rsidRPr="00A30FAB">
        <w:rPr>
          <w:color w:val="000000" w:themeColor="text1"/>
          <w:vertAlign w:val="superscript"/>
          <w:lang w:val="en-US"/>
        </w:rPr>
        <w:t>7</w:t>
      </w:r>
      <w:r w:rsidRPr="00A30FAB">
        <w:rPr>
          <w:color w:val="000000" w:themeColor="text1"/>
          <w:vertAlign w:val="superscript"/>
          <w:lang w:val="en-US"/>
        </w:rPr>
        <w:t>]</w:t>
      </w:r>
      <w:r w:rsidRPr="00A30FAB">
        <w:rPr>
          <w:color w:val="000000" w:themeColor="text1"/>
          <w:lang w:val="en-US"/>
        </w:rPr>
        <w:t xml:space="preserve"> myocardial perfusion during vasodilator stress has been shown to be impaired in patients with</w:t>
      </w:r>
      <w:r w:rsidR="0032646C">
        <w:rPr>
          <w:color w:val="000000" w:themeColor="text1"/>
          <w:lang w:val="en-US"/>
        </w:rPr>
        <w:t xml:space="preserve"> </w:t>
      </w:r>
      <w:r w:rsidRPr="00A30FAB">
        <w:rPr>
          <w:color w:val="000000" w:themeColor="text1"/>
          <w:lang w:val="en-US"/>
        </w:rPr>
        <w:t>diabetes</w:t>
      </w:r>
      <w:r w:rsidRPr="00A30FAB">
        <w:rPr>
          <w:color w:val="000000" w:themeColor="text1"/>
          <w:vertAlign w:val="superscript"/>
          <w:lang w:val="en-US"/>
        </w:rPr>
        <w:t>[10,</w:t>
      </w:r>
      <w:r w:rsidR="003A0BB7" w:rsidRPr="00A30FAB">
        <w:rPr>
          <w:color w:val="000000" w:themeColor="text1"/>
          <w:vertAlign w:val="superscript"/>
          <w:lang w:val="en-US"/>
        </w:rPr>
        <w:t>94,</w:t>
      </w:r>
      <w:r w:rsidRPr="00A30FAB">
        <w:rPr>
          <w:color w:val="000000" w:themeColor="text1"/>
          <w:vertAlign w:val="superscript"/>
          <w:lang w:val="en-US"/>
        </w:rPr>
        <w:t>116]</w:t>
      </w:r>
      <w:r w:rsidRPr="00A30FAB">
        <w:rPr>
          <w:color w:val="000000" w:themeColor="text1"/>
          <w:lang w:val="en-US"/>
        </w:rPr>
        <w:t xml:space="preserve"> and in the absence of epicardial coronary artery stenosis, this finding is indicative of </w:t>
      </w:r>
      <w:r w:rsidRPr="00A30FAB" w:rsidDel="00D44980">
        <w:rPr>
          <w:color w:val="000000" w:themeColor="text1"/>
          <w:lang w:val="en-US"/>
        </w:rPr>
        <w:t>coronary microvascular dysfunction</w:t>
      </w:r>
      <w:r w:rsidRPr="00A30FAB">
        <w:rPr>
          <w:color w:val="000000" w:themeColor="text1"/>
          <w:lang w:val="en-US"/>
        </w:rPr>
        <w:t>. Importantly, coronary microvascular dysfunction is an early precursor of cardiovascular events and was shown to be associated with a 2.5% annual major adverse event rate that includes cardiovascular mortality, nonfatal myocardial infarction, nonfatal stroke, and congestive HF even among patients without epicardial coronary artery stenosis</w:t>
      </w:r>
      <w:r w:rsidRPr="00A30FAB">
        <w:rPr>
          <w:color w:val="000000" w:themeColor="text1"/>
          <w:vertAlign w:val="superscript"/>
          <w:lang w:val="en-US"/>
        </w:rPr>
        <w:t>[11</w:t>
      </w:r>
      <w:r w:rsidR="00C654AD" w:rsidRPr="00A30FAB">
        <w:rPr>
          <w:color w:val="000000" w:themeColor="text1"/>
          <w:vertAlign w:val="superscript"/>
          <w:lang w:val="en-US"/>
        </w:rPr>
        <w:t>8</w:t>
      </w:r>
      <w:r w:rsidRPr="00A30FAB">
        <w:rPr>
          <w:color w:val="000000" w:themeColor="text1"/>
          <w:vertAlign w:val="superscript"/>
          <w:lang w:val="en-US"/>
        </w:rPr>
        <w:t>]</w:t>
      </w:r>
      <w:r w:rsidRPr="00A30FAB">
        <w:rPr>
          <w:color w:val="000000" w:themeColor="text1"/>
          <w:lang w:val="en-US"/>
        </w:rPr>
        <w:t xml:space="preserve">. Consequently, early identification of coronary microvascular disease may be beneficial in prognosis evaluation and patient stratification for optimal medical therapy </w:t>
      </w:r>
    </w:p>
    <w:p w14:paraId="13C4A973" w14:textId="74C6C6C4"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 xml:space="preserve">Using adenosine stress perfusion CMR </w:t>
      </w:r>
      <w:bookmarkStart w:id="88" w:name="OLE_LINK809"/>
      <w:bookmarkStart w:id="89" w:name="OLE_LINK810"/>
      <w:r w:rsidRPr="00A30FAB">
        <w:rPr>
          <w:color w:val="000000" w:themeColor="text1"/>
          <w:lang w:val="en-US"/>
        </w:rPr>
        <w:t>Larghat</w:t>
      </w:r>
      <w:bookmarkEnd w:id="88"/>
      <w:bookmarkEnd w:id="89"/>
      <w:r w:rsidRPr="00A30FAB">
        <w:rPr>
          <w:color w:val="000000" w:themeColor="text1"/>
          <w:lang w:val="en-US"/>
        </w:rPr>
        <w:t xml:space="preserve"> </w:t>
      </w:r>
      <w:r w:rsidRPr="00A30FAB">
        <w:rPr>
          <w:i/>
          <w:iCs/>
          <w:color w:val="000000" w:themeColor="text1"/>
          <w:lang w:val="en-US"/>
        </w:rPr>
        <w:t>et al</w:t>
      </w:r>
      <w:r w:rsidR="00410EA0" w:rsidRPr="00A30FAB">
        <w:rPr>
          <w:color w:val="000000" w:themeColor="text1"/>
          <w:vertAlign w:val="superscript"/>
          <w:lang w:val="en-US"/>
        </w:rPr>
        <w:t>[10]</w:t>
      </w:r>
      <w:r w:rsidRPr="00A30FAB">
        <w:rPr>
          <w:color w:val="000000" w:themeColor="text1"/>
          <w:lang w:val="en-US"/>
        </w:rPr>
        <w:t xml:space="preserve"> have assessed myocardial perfusion reserve in 65 patients with no significant epicardial coronary artery stenosis on angiography (&lt;</w:t>
      </w:r>
      <w:r w:rsidR="00410EA0" w:rsidRPr="00A30FAB">
        <w:rPr>
          <w:color w:val="000000" w:themeColor="text1"/>
          <w:lang w:val="en-US"/>
        </w:rPr>
        <w:t xml:space="preserve"> </w:t>
      </w:r>
      <w:r w:rsidRPr="00A30FAB">
        <w:rPr>
          <w:color w:val="000000" w:themeColor="text1"/>
          <w:lang w:val="en-US"/>
        </w:rPr>
        <w:t xml:space="preserve">30% coronary luminal stenosis). Left ventricular mass was shown to be higher in diabetics than non-diabetics (112.8 ± 39.7 </w:t>
      </w:r>
      <w:r w:rsidR="0021350E" w:rsidRPr="00A30FAB">
        <w:rPr>
          <w:color w:val="000000" w:themeColor="text1"/>
          <w:lang w:val="en-US"/>
        </w:rPr>
        <w:t xml:space="preserve">g </w:t>
      </w:r>
      <w:r w:rsidRPr="00A30FAB">
        <w:rPr>
          <w:i/>
          <w:iCs/>
          <w:color w:val="000000" w:themeColor="text1"/>
          <w:lang w:val="en-US"/>
        </w:rPr>
        <w:t>vs</w:t>
      </w:r>
      <w:r w:rsidRPr="00A30FAB">
        <w:rPr>
          <w:color w:val="000000" w:themeColor="text1"/>
          <w:lang w:val="en-US"/>
        </w:rPr>
        <w:t xml:space="preserve"> 91.5 ± 21.3 g,</w:t>
      </w:r>
      <w:r w:rsidR="0032646C">
        <w:rPr>
          <w:rStyle w:val="apple-converted-space"/>
          <w:rFonts w:eastAsiaTheme="majorEastAsia" w:cstheme="minorHAnsi"/>
          <w:color w:val="000000" w:themeColor="text1"/>
          <w:lang w:val="en-US"/>
        </w:rPr>
        <w:t xml:space="preserve"> </w:t>
      </w:r>
      <w:r w:rsidR="000C363C" w:rsidRPr="00A30FAB">
        <w:rPr>
          <w:rStyle w:val="aa"/>
          <w:color w:val="000000" w:themeColor="text1"/>
          <w:lang w:val="en-US"/>
        </w:rPr>
        <w:t xml:space="preserve">P = </w:t>
      </w:r>
      <w:r w:rsidRPr="00A30FAB">
        <w:rPr>
          <w:color w:val="000000" w:themeColor="text1"/>
          <w:lang w:val="en-US"/>
        </w:rPr>
        <w:t xml:space="preserve">0.01) and in diabetics than prediabetics (112.8 ± 39.7 </w:t>
      </w:r>
      <w:r w:rsidR="0021350E" w:rsidRPr="00A30FAB">
        <w:rPr>
          <w:color w:val="000000" w:themeColor="text1"/>
          <w:lang w:val="en-US"/>
        </w:rPr>
        <w:t xml:space="preserve">g </w:t>
      </w:r>
      <w:r w:rsidRPr="00A30FAB">
        <w:rPr>
          <w:i/>
          <w:iCs/>
          <w:color w:val="000000" w:themeColor="text1"/>
          <w:lang w:val="en-US"/>
        </w:rPr>
        <w:t>vs</w:t>
      </w:r>
      <w:r w:rsidRPr="00A30FAB">
        <w:rPr>
          <w:color w:val="000000" w:themeColor="text1"/>
          <w:lang w:val="en-US"/>
        </w:rPr>
        <w:t xml:space="preserve"> 90.3 ± 18.7 g,</w:t>
      </w:r>
      <w:r w:rsidR="0032646C">
        <w:rPr>
          <w:rStyle w:val="apple-converted-space"/>
          <w:rFonts w:eastAsiaTheme="majorEastAsia" w:cstheme="minorHAnsi"/>
          <w:color w:val="000000" w:themeColor="text1"/>
          <w:lang w:val="en-US"/>
        </w:rPr>
        <w:t xml:space="preserve"> </w:t>
      </w:r>
      <w:r w:rsidR="000C363C" w:rsidRPr="00A30FAB">
        <w:rPr>
          <w:rStyle w:val="apple-converted-space"/>
          <w:rFonts w:eastAsiaTheme="majorEastAsia" w:cstheme="minorHAnsi"/>
          <w:i/>
          <w:color w:val="000000" w:themeColor="text1"/>
          <w:lang w:val="en-US"/>
        </w:rPr>
        <w:t>P =</w:t>
      </w:r>
      <w:r w:rsidR="00680B0C">
        <w:rPr>
          <w:rStyle w:val="apple-converted-space"/>
          <w:rFonts w:eastAsiaTheme="majorEastAsia" w:cstheme="minorHAnsi"/>
          <w:i/>
          <w:color w:val="000000" w:themeColor="text1"/>
          <w:lang w:val="en-US"/>
        </w:rPr>
        <w:t xml:space="preserve"> </w:t>
      </w:r>
      <w:r w:rsidRPr="00A30FAB">
        <w:rPr>
          <w:color w:val="000000" w:themeColor="text1"/>
          <w:lang w:val="en-US"/>
        </w:rPr>
        <w:t xml:space="preserve">0.02). MPR was lower in diabetics than non-diabetics (2.10 ± 0.76 </w:t>
      </w:r>
      <w:r w:rsidRPr="00A30FAB">
        <w:rPr>
          <w:i/>
          <w:iCs/>
          <w:color w:val="000000" w:themeColor="text1"/>
          <w:lang w:val="en-US"/>
        </w:rPr>
        <w:t>vs</w:t>
      </w:r>
      <w:r w:rsidRPr="00A30FAB">
        <w:rPr>
          <w:color w:val="000000" w:themeColor="text1"/>
          <w:lang w:val="en-US"/>
        </w:rPr>
        <w:t xml:space="preserve"> 2.84 ± 1.25, respectively, </w:t>
      </w:r>
      <w:r w:rsidR="000C363C" w:rsidRPr="00A30FAB">
        <w:rPr>
          <w:rStyle w:val="aa"/>
          <w:color w:val="000000" w:themeColor="text1"/>
          <w:lang w:val="en-US"/>
        </w:rPr>
        <w:t xml:space="preserve">P = </w:t>
      </w:r>
      <w:r w:rsidRPr="00A30FAB">
        <w:rPr>
          <w:color w:val="000000" w:themeColor="text1"/>
          <w:lang w:val="en-US"/>
        </w:rPr>
        <w:t>0.01)</w:t>
      </w:r>
      <w:r w:rsidR="0021350E" w:rsidRPr="00A30FAB">
        <w:rPr>
          <w:color w:val="000000" w:themeColor="text1"/>
          <w:vertAlign w:val="superscript"/>
          <w:lang w:val="en-US"/>
        </w:rPr>
        <w:t>[10]</w:t>
      </w:r>
      <w:r w:rsidRPr="00A30FAB">
        <w:rPr>
          <w:color w:val="000000" w:themeColor="text1"/>
          <w:lang w:val="en-US"/>
        </w:rPr>
        <w:t xml:space="preserve">. </w:t>
      </w:r>
      <w:bookmarkStart w:id="90" w:name="OLE_LINK811"/>
      <w:bookmarkStart w:id="91" w:name="OLE_LINK812"/>
      <w:r w:rsidRPr="00A30FAB">
        <w:rPr>
          <w:color w:val="000000" w:themeColor="text1"/>
          <w:lang w:val="en-US"/>
        </w:rPr>
        <w:t>Khan</w:t>
      </w:r>
      <w:bookmarkEnd w:id="90"/>
      <w:bookmarkEnd w:id="91"/>
      <w:r w:rsidRPr="00A30FAB">
        <w:rPr>
          <w:color w:val="000000" w:themeColor="text1"/>
          <w:lang w:val="en-US"/>
        </w:rPr>
        <w:t xml:space="preserve"> </w:t>
      </w:r>
      <w:r w:rsidRPr="00A30FAB">
        <w:rPr>
          <w:i/>
          <w:iCs/>
          <w:color w:val="000000" w:themeColor="text1"/>
          <w:lang w:val="en-US"/>
        </w:rPr>
        <w:t>et al</w:t>
      </w:r>
      <w:r w:rsidR="0021350E" w:rsidRPr="00A30FAB">
        <w:rPr>
          <w:color w:val="000000" w:themeColor="text1"/>
          <w:vertAlign w:val="superscript"/>
          <w:lang w:val="en-US"/>
        </w:rPr>
        <w:t>[11]</w:t>
      </w:r>
      <w:r w:rsidRPr="00A30FAB">
        <w:rPr>
          <w:color w:val="000000" w:themeColor="text1"/>
          <w:lang w:val="en-US"/>
        </w:rPr>
        <w:t xml:space="preserve"> have also studied 40 young patients (mean age 30 years), including 20 diabetics and 10 lean and 10 obese controls who underwent CMR. This study, however, did not show any significant correlation between left ventricular intracardiac measures, including mass, MPR and perfusion and the presence of T2D</w:t>
      </w:r>
      <w:r w:rsidR="0021350E" w:rsidRPr="00A30FAB">
        <w:rPr>
          <w:color w:val="000000" w:themeColor="text1"/>
          <w:vertAlign w:val="superscript"/>
          <w:lang w:val="en-US"/>
        </w:rPr>
        <w:t>[11]</w:t>
      </w:r>
      <w:r w:rsidRPr="00A30FAB">
        <w:rPr>
          <w:color w:val="000000" w:themeColor="text1"/>
          <w:lang w:val="en-US"/>
        </w:rPr>
        <w:t>.</w:t>
      </w:r>
      <w:r w:rsidR="00CF41D6" w:rsidRPr="00A30FAB">
        <w:rPr>
          <w:color w:val="000000" w:themeColor="text1"/>
          <w:lang w:val="en-US"/>
        </w:rPr>
        <w:t xml:space="preserve"> </w:t>
      </w:r>
      <w:r w:rsidRPr="00A30FAB">
        <w:rPr>
          <w:color w:val="000000" w:themeColor="text1"/>
          <w:lang w:val="en-US"/>
        </w:rPr>
        <w:t>Diastolic dysfunction was found to be associated with TG content but not with impaired myocardial perfusion reserve in another study with patients with T2D with preserved systolic function</w:t>
      </w:r>
      <w:r w:rsidR="0021350E" w:rsidRPr="00A30FAB">
        <w:rPr>
          <w:color w:val="000000" w:themeColor="text1"/>
          <w:vertAlign w:val="superscript"/>
          <w:lang w:val="en-US"/>
        </w:rPr>
        <w:t>[1</w:t>
      </w:r>
      <w:r w:rsidR="00C654AD" w:rsidRPr="00A30FAB">
        <w:rPr>
          <w:color w:val="000000" w:themeColor="text1"/>
          <w:vertAlign w:val="superscript"/>
          <w:lang w:val="en-US"/>
        </w:rPr>
        <w:t>19</w:t>
      </w:r>
      <w:r w:rsidR="0021350E" w:rsidRPr="00A30FAB">
        <w:rPr>
          <w:color w:val="000000" w:themeColor="text1"/>
          <w:vertAlign w:val="superscript"/>
          <w:lang w:val="en-US"/>
        </w:rPr>
        <w:t>]</w:t>
      </w:r>
      <w:r w:rsidRPr="00A30FAB">
        <w:rPr>
          <w:color w:val="000000" w:themeColor="text1"/>
          <w:lang w:val="en-US"/>
        </w:rPr>
        <w:t>.</w:t>
      </w:r>
    </w:p>
    <w:p w14:paraId="324242EF" w14:textId="2E3F13FB" w:rsidR="00585FAB" w:rsidRPr="00A30FAB" w:rsidRDefault="00585FAB" w:rsidP="00680B0C">
      <w:pPr>
        <w:adjustRightInd w:val="0"/>
        <w:snapToGrid w:val="0"/>
        <w:ind w:firstLineChars="100" w:firstLine="240"/>
        <w:rPr>
          <w:b/>
          <w:color w:val="000000" w:themeColor="text1"/>
          <w:lang w:val="en-US"/>
        </w:rPr>
      </w:pPr>
      <w:r w:rsidRPr="00A30FAB">
        <w:rPr>
          <w:color w:val="000000" w:themeColor="text1"/>
          <w:lang w:val="en-US"/>
        </w:rPr>
        <w:t>Another study looking at the interplay between metabolic and ischaemic changes in the hearts of people with well-controlled T2D, even in the absence of arterial hypertension or significant CAD on computed tomography coronary angiography, showed there were significant reductions in MPRI and evidence of blunted oxygenation response compared with controls. These findings support the concept that hypoperfusion as a result of microvascular dysfunction plays a role in the impaired ability to increase and/or maintain myocardial oxygenation during vasodilator stress in diabetes</w:t>
      </w:r>
      <w:r w:rsidR="0021350E" w:rsidRPr="00A30FAB">
        <w:rPr>
          <w:color w:val="000000" w:themeColor="text1"/>
          <w:vertAlign w:val="superscript"/>
          <w:lang w:val="en-US"/>
        </w:rPr>
        <w:t>[94]</w:t>
      </w:r>
      <w:r w:rsidRPr="00A30FAB">
        <w:rPr>
          <w:color w:val="000000" w:themeColor="text1"/>
          <w:lang w:val="en-US"/>
        </w:rPr>
        <w:t xml:space="preserve">. </w:t>
      </w:r>
    </w:p>
    <w:p w14:paraId="53BEA034" w14:textId="126B1D90"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In a large study of 2783 consecutive patients (1172 diabetics and 1611 non-diabetics) measuring coronary flow reserve (CFR) by PET</w:t>
      </w:r>
      <w:r w:rsidR="0021350E" w:rsidRPr="00A30FAB">
        <w:rPr>
          <w:color w:val="000000" w:themeColor="text1"/>
          <w:vertAlign w:val="superscript"/>
          <w:lang w:val="en-US"/>
        </w:rPr>
        <w:t>[12</w:t>
      </w:r>
      <w:r w:rsidR="00C654AD" w:rsidRPr="00A30FAB">
        <w:rPr>
          <w:color w:val="000000" w:themeColor="text1"/>
          <w:vertAlign w:val="superscript"/>
          <w:lang w:val="en-US"/>
        </w:rPr>
        <w:t>0</w:t>
      </w:r>
      <w:r w:rsidR="0021350E" w:rsidRPr="00A30FAB">
        <w:rPr>
          <w:color w:val="000000" w:themeColor="text1"/>
          <w:vertAlign w:val="superscript"/>
          <w:lang w:val="en-US"/>
        </w:rPr>
        <w:t>]</w:t>
      </w:r>
      <w:r w:rsidRPr="00A30FAB">
        <w:rPr>
          <w:color w:val="000000" w:themeColor="text1"/>
          <w:lang w:val="en-US"/>
        </w:rPr>
        <w:t xml:space="preserve">, </w:t>
      </w:r>
      <w:r w:rsidR="0021350E" w:rsidRPr="00A30FAB">
        <w:rPr>
          <w:color w:val="000000" w:themeColor="text1"/>
          <w:lang w:val="en-US"/>
        </w:rPr>
        <w:t>t</w:t>
      </w:r>
      <w:r w:rsidRPr="00A30FAB">
        <w:rPr>
          <w:color w:val="000000" w:themeColor="text1"/>
          <w:lang w:val="en-US"/>
        </w:rPr>
        <w:t>hey showed that diabetic patients with preserved CFR have similar rates of cardiac events to nondiabetic patients, whereas impaired CFR was associated with an adjusted 3.2- and 4.9-fold increase in the rate of cardiac death for both diabetics and nondiabetics. This raises the question of whether CFR should be included in a cardiac risk model for patients with diabetes. However, there is selection bias due to patients recruited consecutively, some had regional perfusion defects and the results of angiography were not known therefore the impaired flow reserve cannot be attributed directly to microvascular dysfunction.</w:t>
      </w:r>
    </w:p>
    <w:p w14:paraId="626F61B4" w14:textId="5E17107F"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In a small (</w:t>
      </w:r>
      <w:r w:rsidR="005011B6" w:rsidRPr="00A30FAB">
        <w:rPr>
          <w:i/>
          <w:iCs/>
          <w:color w:val="000000" w:themeColor="text1"/>
          <w:lang w:val="en-US"/>
        </w:rPr>
        <w:t>n</w:t>
      </w:r>
      <w:r w:rsidR="005011B6" w:rsidRPr="00A30FAB">
        <w:rPr>
          <w:color w:val="000000" w:themeColor="text1"/>
          <w:lang w:val="en-US"/>
        </w:rPr>
        <w:t xml:space="preserve"> = </w:t>
      </w:r>
      <w:r w:rsidRPr="00A30FAB">
        <w:rPr>
          <w:color w:val="000000" w:themeColor="text1"/>
          <w:lang w:val="en-US"/>
        </w:rPr>
        <w:t>64) randomised trial comparing the effects of spironolactone, hydrochlorothiazide or placebo on coronary flow reserve in T2D assessed by cardiac positron emission tomography, spironolactone was associated with modest improvements in coronary flow reserve (from 2.77</w:t>
      </w:r>
      <w:r w:rsidR="0045296A" w:rsidRPr="00A30FAB">
        <w:rPr>
          <w:color w:val="000000" w:themeColor="text1"/>
          <w:lang w:val="en-US"/>
        </w:rPr>
        <w:t xml:space="preserve"> </w:t>
      </w:r>
      <w:r w:rsidRPr="00A30FAB">
        <w:rPr>
          <w:color w:val="000000" w:themeColor="text1"/>
          <w:lang w:val="en-US"/>
        </w:rPr>
        <w:t>±</w:t>
      </w:r>
      <w:r w:rsidR="0045296A" w:rsidRPr="00A30FAB">
        <w:rPr>
          <w:color w:val="000000" w:themeColor="text1"/>
          <w:lang w:val="en-US"/>
        </w:rPr>
        <w:t xml:space="preserve"> </w:t>
      </w:r>
      <w:r w:rsidRPr="00A30FAB">
        <w:rPr>
          <w:color w:val="000000" w:themeColor="text1"/>
          <w:lang w:val="en-US"/>
        </w:rPr>
        <w:t>0.82 to 3.10</w:t>
      </w:r>
      <w:r w:rsidR="0045296A" w:rsidRPr="00A30FAB">
        <w:rPr>
          <w:color w:val="000000" w:themeColor="text1"/>
          <w:lang w:val="en-US"/>
        </w:rPr>
        <w:t xml:space="preserve"> </w:t>
      </w:r>
      <w:r w:rsidRPr="00A30FAB">
        <w:rPr>
          <w:color w:val="000000" w:themeColor="text1"/>
          <w:lang w:val="en-US"/>
        </w:rPr>
        <w:t>±</w:t>
      </w:r>
      <w:r w:rsidR="0045296A" w:rsidRPr="00A30FAB">
        <w:rPr>
          <w:color w:val="000000" w:themeColor="text1"/>
          <w:lang w:val="en-US"/>
        </w:rPr>
        <w:t xml:space="preserve"> </w:t>
      </w:r>
      <w:r w:rsidRPr="00A30FAB">
        <w:rPr>
          <w:color w:val="000000" w:themeColor="text1"/>
          <w:lang w:val="en-US"/>
        </w:rPr>
        <w:t>0.74) compared to the other two treatment arms (</w:t>
      </w:r>
      <w:r w:rsidR="000C363C" w:rsidRPr="00A30FAB">
        <w:rPr>
          <w:i/>
          <w:color w:val="000000" w:themeColor="text1"/>
          <w:lang w:val="en-US"/>
        </w:rPr>
        <w:t xml:space="preserve">P = </w:t>
      </w:r>
      <w:r w:rsidRPr="00A30FAB">
        <w:rPr>
          <w:color w:val="000000" w:themeColor="text1"/>
          <w:lang w:val="en-US"/>
        </w:rPr>
        <w:t>0.01) after six months</w:t>
      </w:r>
      <w:r w:rsidRPr="00A30FAB">
        <w:rPr>
          <w:color w:val="000000" w:themeColor="text1"/>
          <w:vertAlign w:val="superscript"/>
          <w:lang w:val="en-US"/>
        </w:rPr>
        <w:t>[11</w:t>
      </w:r>
      <w:r w:rsidR="00C654AD" w:rsidRPr="00A30FAB">
        <w:rPr>
          <w:color w:val="000000" w:themeColor="text1"/>
          <w:vertAlign w:val="superscript"/>
          <w:lang w:val="en-US"/>
        </w:rPr>
        <w:t>7</w:t>
      </w:r>
      <w:r w:rsidRPr="00A30FAB">
        <w:rPr>
          <w:color w:val="000000" w:themeColor="text1"/>
          <w:vertAlign w:val="superscript"/>
          <w:lang w:val="en-US"/>
        </w:rPr>
        <w:t>]</w:t>
      </w:r>
      <w:r w:rsidRPr="00A30FAB">
        <w:rPr>
          <w:color w:val="000000" w:themeColor="text1"/>
          <w:lang w:val="en-US"/>
        </w:rPr>
        <w:t>.</w:t>
      </w:r>
      <w:r w:rsidR="00680B0C">
        <w:rPr>
          <w:color w:val="000000" w:themeColor="text1"/>
          <w:lang w:val="en-US"/>
        </w:rPr>
        <w:t xml:space="preserve"> </w:t>
      </w:r>
      <w:r w:rsidRPr="00A30FAB">
        <w:rPr>
          <w:color w:val="000000" w:themeColor="text1"/>
          <w:lang w:val="en-US"/>
        </w:rPr>
        <w:t>The mechanism for this is thought to be due to expression of the mineralocorticoid receptor in endothelium, vascular smooth muscle cells, cardiomyocytes and circulating leukocytes</w:t>
      </w:r>
      <w:r w:rsidR="0045296A" w:rsidRPr="00A30FAB">
        <w:rPr>
          <w:color w:val="000000" w:themeColor="text1"/>
          <w:vertAlign w:val="superscript"/>
          <w:lang w:val="en-US"/>
        </w:rPr>
        <w:t>[11</w:t>
      </w:r>
      <w:r w:rsidR="00C654AD" w:rsidRPr="00A30FAB">
        <w:rPr>
          <w:color w:val="000000" w:themeColor="text1"/>
          <w:vertAlign w:val="superscript"/>
          <w:lang w:val="en-US"/>
        </w:rPr>
        <w:t>7</w:t>
      </w:r>
      <w:r w:rsidR="0045296A" w:rsidRPr="00A30FAB">
        <w:rPr>
          <w:color w:val="000000" w:themeColor="text1"/>
          <w:vertAlign w:val="superscript"/>
          <w:lang w:val="en-US"/>
        </w:rPr>
        <w:t>]</w:t>
      </w:r>
      <w:r w:rsidRPr="00A30FAB">
        <w:rPr>
          <w:color w:val="000000" w:themeColor="text1"/>
          <w:lang w:val="en-US"/>
        </w:rPr>
        <w:t xml:space="preserve">. Mineralocorticoid receptor activation causes vascular inflammation with increased ROS production and increased vascular damage, vascular dysfunction, and perivascular fibrosis. The findings of this study support the potential role of mineralocorticoid use in reversing coronary microvascular dysfunction in T2D. However, there was no reporting of cardiovascular outcomes, relatively small sample size and limited follow up period. </w:t>
      </w:r>
    </w:p>
    <w:p w14:paraId="422814AF" w14:textId="77777777" w:rsidR="00585FAB" w:rsidRPr="00A30FAB" w:rsidRDefault="00585FAB" w:rsidP="00680B0C">
      <w:pPr>
        <w:adjustRightInd w:val="0"/>
        <w:snapToGrid w:val="0"/>
        <w:ind w:firstLineChars="100" w:firstLine="240"/>
        <w:rPr>
          <w:color w:val="000000" w:themeColor="text1"/>
          <w:lang w:val="en-US"/>
        </w:rPr>
      </w:pPr>
      <w:r w:rsidRPr="00A30FAB">
        <w:rPr>
          <w:color w:val="000000" w:themeColor="text1"/>
          <w:lang w:val="en-US"/>
        </w:rPr>
        <w:t xml:space="preserve">The evidence of the role of coronary microvascular dysfunction in T2D is conflicting. This suggests that the metabolic dysfunction caused by diabetes likely may predispose to some degree of microvascular dysfunction however these may not be the main mechanisms contributing to cardiac dysfunction in diabetes. </w:t>
      </w:r>
    </w:p>
    <w:p w14:paraId="7D91A85F" w14:textId="77777777" w:rsidR="0045296A" w:rsidRPr="00A30FAB" w:rsidRDefault="0045296A" w:rsidP="00A30FAB">
      <w:pPr>
        <w:pStyle w:val="2"/>
        <w:adjustRightInd w:val="0"/>
        <w:snapToGrid w:val="0"/>
        <w:spacing w:before="0" w:after="0"/>
        <w:ind w:left="0" w:firstLine="0"/>
        <w:rPr>
          <w:b/>
          <w:bCs/>
          <w:i/>
          <w:iCs/>
          <w:color w:val="000000" w:themeColor="text1"/>
          <w:sz w:val="24"/>
          <w:szCs w:val="24"/>
          <w:lang w:val="en-US"/>
        </w:rPr>
      </w:pPr>
    </w:p>
    <w:p w14:paraId="2FE0BBEC" w14:textId="097524DF" w:rsidR="00585FAB" w:rsidRPr="00A30FAB" w:rsidRDefault="00585FAB" w:rsidP="00A30FAB">
      <w:pPr>
        <w:pStyle w:val="2"/>
        <w:adjustRightInd w:val="0"/>
        <w:snapToGrid w:val="0"/>
        <w:spacing w:before="0" w:after="0"/>
        <w:ind w:left="0" w:firstLine="0"/>
        <w:rPr>
          <w:b/>
          <w:bCs/>
          <w:i/>
          <w:iCs/>
          <w:color w:val="000000" w:themeColor="text1"/>
          <w:sz w:val="24"/>
          <w:szCs w:val="24"/>
          <w:lang w:val="en-US"/>
        </w:rPr>
      </w:pPr>
      <w:r w:rsidRPr="00A30FAB">
        <w:rPr>
          <w:b/>
          <w:bCs/>
          <w:i/>
          <w:iCs/>
          <w:color w:val="000000" w:themeColor="text1"/>
          <w:sz w:val="24"/>
          <w:szCs w:val="24"/>
          <w:lang w:val="en-US"/>
        </w:rPr>
        <w:t>Therapeuti</w:t>
      </w:r>
      <w:r w:rsidR="0045296A" w:rsidRPr="00A30FAB">
        <w:rPr>
          <w:b/>
          <w:bCs/>
          <w:i/>
          <w:iCs/>
          <w:color w:val="000000" w:themeColor="text1"/>
          <w:sz w:val="24"/>
          <w:szCs w:val="24"/>
          <w:lang w:val="en-US"/>
        </w:rPr>
        <w:t>c developments and cardiovascular outcomes</w:t>
      </w:r>
    </w:p>
    <w:p w14:paraId="5B9617D0" w14:textId="63E6A608" w:rsidR="00585FAB" w:rsidRPr="00A30FAB" w:rsidRDefault="00585FAB" w:rsidP="00A30FAB">
      <w:pPr>
        <w:adjustRightInd w:val="0"/>
        <w:snapToGrid w:val="0"/>
        <w:rPr>
          <w:color w:val="000000" w:themeColor="text1"/>
          <w:lang w:val="en-US"/>
        </w:rPr>
      </w:pPr>
      <w:r w:rsidRPr="00A30FAB">
        <w:rPr>
          <w:color w:val="000000" w:themeColor="text1"/>
          <w:lang w:val="en-US"/>
        </w:rPr>
        <w:t>The evidence for pharmacological therapy for heart failure targeted at the diabetic population thus far has been limited to studies of both patients with and without diabetes. ACE-inhibitors are recommended within the ESC/EASD guidance for diabetes and impaired glucose tolerance. The CHARM, ATLAS and HEAAL trials have all shown the beneficial effects of ACE in HF in terms of morbidity and mortality, however subgroup analyses showed no difference with and without diabetes</w:t>
      </w:r>
      <w:r w:rsidR="0045296A" w:rsidRPr="00A30FAB">
        <w:rPr>
          <w:color w:val="000000" w:themeColor="text1"/>
          <w:vertAlign w:val="superscript"/>
          <w:lang w:val="en-US"/>
        </w:rPr>
        <w:t>[12</w:t>
      </w:r>
      <w:r w:rsidR="00361D00" w:rsidRPr="00A30FAB">
        <w:rPr>
          <w:color w:val="000000" w:themeColor="text1"/>
          <w:vertAlign w:val="superscript"/>
          <w:lang w:val="en-US"/>
        </w:rPr>
        <w:t>1</w:t>
      </w:r>
      <w:r w:rsidR="0045296A" w:rsidRPr="00A30FAB">
        <w:rPr>
          <w:color w:val="000000" w:themeColor="text1"/>
          <w:vertAlign w:val="superscript"/>
          <w:lang w:val="en-US"/>
        </w:rPr>
        <w:t>-12</w:t>
      </w:r>
      <w:r w:rsidR="00361D00" w:rsidRPr="00A30FAB">
        <w:rPr>
          <w:color w:val="000000" w:themeColor="text1"/>
          <w:vertAlign w:val="superscript"/>
          <w:lang w:val="en-US"/>
        </w:rPr>
        <w:t>4</w:t>
      </w:r>
      <w:r w:rsidR="0045296A" w:rsidRPr="00A30FAB">
        <w:rPr>
          <w:color w:val="000000" w:themeColor="text1"/>
          <w:vertAlign w:val="superscript"/>
          <w:lang w:val="en-US"/>
        </w:rPr>
        <w:t>]</w:t>
      </w:r>
      <w:r w:rsidRPr="00A30FAB">
        <w:rPr>
          <w:color w:val="000000" w:themeColor="text1"/>
          <w:lang w:val="en-US"/>
        </w:rPr>
        <w:t>. This is similarly the case with the use of mineralocorticoid antagonists</w:t>
      </w:r>
      <w:r w:rsidRPr="00A30FAB">
        <w:rPr>
          <w:color w:val="000000" w:themeColor="text1"/>
          <w:vertAlign w:val="superscript"/>
          <w:lang w:val="en-US"/>
        </w:rPr>
        <w:t>[12</w:t>
      </w:r>
      <w:r w:rsidR="00361D00" w:rsidRPr="00A30FAB">
        <w:rPr>
          <w:color w:val="000000" w:themeColor="text1"/>
          <w:vertAlign w:val="superscript"/>
          <w:lang w:val="en-US"/>
        </w:rPr>
        <w:t>5</w:t>
      </w:r>
      <w:r w:rsidRPr="00A30FAB">
        <w:rPr>
          <w:color w:val="000000" w:themeColor="text1"/>
          <w:vertAlign w:val="superscript"/>
          <w:lang w:val="en-US"/>
        </w:rPr>
        <w:t>,12</w:t>
      </w:r>
      <w:r w:rsidR="00361D00" w:rsidRPr="00A30FAB">
        <w:rPr>
          <w:color w:val="000000" w:themeColor="text1"/>
          <w:vertAlign w:val="superscript"/>
          <w:lang w:val="en-US"/>
        </w:rPr>
        <w:t>6</w:t>
      </w:r>
      <w:r w:rsidRPr="00A30FAB">
        <w:rPr>
          <w:color w:val="000000" w:themeColor="text1"/>
          <w:vertAlign w:val="superscript"/>
          <w:lang w:val="en-US"/>
        </w:rPr>
        <w:t>]</w:t>
      </w:r>
      <w:r w:rsidRPr="00A30FAB">
        <w:rPr>
          <w:color w:val="000000" w:themeColor="text1"/>
          <w:lang w:val="en-US"/>
        </w:rPr>
        <w:t>, nitrates and hydralazine</w:t>
      </w:r>
      <w:r w:rsidRPr="00A30FAB">
        <w:rPr>
          <w:color w:val="000000" w:themeColor="text1"/>
          <w:vertAlign w:val="superscript"/>
          <w:lang w:val="en-US"/>
        </w:rPr>
        <w:t>[12</w:t>
      </w:r>
      <w:r w:rsidR="00361D00" w:rsidRPr="00A30FAB">
        <w:rPr>
          <w:color w:val="000000" w:themeColor="text1"/>
          <w:vertAlign w:val="superscript"/>
          <w:lang w:val="en-US"/>
        </w:rPr>
        <w:t>7</w:t>
      </w:r>
      <w:r w:rsidRPr="00A30FAB">
        <w:rPr>
          <w:color w:val="000000" w:themeColor="text1"/>
          <w:vertAlign w:val="superscript"/>
          <w:lang w:val="en-US"/>
        </w:rPr>
        <w:t>]</w:t>
      </w:r>
      <w:r w:rsidRPr="00A30FAB">
        <w:rPr>
          <w:color w:val="000000" w:themeColor="text1"/>
          <w:lang w:val="en-US"/>
        </w:rPr>
        <w:t xml:space="preserve">, </w:t>
      </w:r>
      <w:r w:rsidR="0045296A" w:rsidRPr="00A30FAB">
        <w:rPr>
          <w:color w:val="000000" w:themeColor="text1"/>
          <w:lang w:val="en-US"/>
        </w:rPr>
        <w:t>i</w:t>
      </w:r>
      <w:r w:rsidRPr="00A30FAB">
        <w:rPr>
          <w:color w:val="000000" w:themeColor="text1"/>
          <w:lang w:val="en-US"/>
        </w:rPr>
        <w:t>vabradine</w:t>
      </w:r>
      <w:r w:rsidRPr="00A30FAB">
        <w:rPr>
          <w:color w:val="000000" w:themeColor="text1"/>
          <w:vertAlign w:val="superscript"/>
          <w:lang w:val="en-US"/>
        </w:rPr>
        <w:t>[12</w:t>
      </w:r>
      <w:r w:rsidR="00361D00" w:rsidRPr="00A30FAB">
        <w:rPr>
          <w:color w:val="000000" w:themeColor="text1"/>
          <w:vertAlign w:val="superscript"/>
          <w:lang w:val="en-US"/>
        </w:rPr>
        <w:t>8</w:t>
      </w:r>
      <w:r w:rsidRPr="00A30FAB">
        <w:rPr>
          <w:color w:val="000000" w:themeColor="text1"/>
          <w:vertAlign w:val="superscript"/>
          <w:lang w:val="en-US"/>
        </w:rPr>
        <w:t>]</w:t>
      </w:r>
      <w:r w:rsidRPr="00A30FAB">
        <w:rPr>
          <w:color w:val="000000" w:themeColor="text1"/>
          <w:lang w:val="en-US"/>
        </w:rPr>
        <w:t xml:space="preserve"> as well as more recently </w:t>
      </w:r>
      <w:r w:rsidR="0045296A" w:rsidRPr="00A30FAB">
        <w:rPr>
          <w:color w:val="000000" w:themeColor="text1"/>
          <w:lang w:val="en-US"/>
        </w:rPr>
        <w:t>s</w:t>
      </w:r>
      <w:r w:rsidRPr="00A30FAB">
        <w:rPr>
          <w:color w:val="000000" w:themeColor="text1"/>
          <w:lang w:val="en-US"/>
        </w:rPr>
        <w:t>acubitril/</w:t>
      </w:r>
      <w:r w:rsidR="0045296A" w:rsidRPr="00A30FAB">
        <w:rPr>
          <w:color w:val="000000" w:themeColor="text1"/>
          <w:lang w:val="en-US"/>
        </w:rPr>
        <w:t>v</w:t>
      </w:r>
      <w:r w:rsidRPr="00A30FAB">
        <w:rPr>
          <w:color w:val="000000" w:themeColor="text1"/>
          <w:lang w:val="en-US"/>
        </w:rPr>
        <w:t>alsartan</w:t>
      </w:r>
      <w:r w:rsidR="0045296A" w:rsidRPr="00A30FAB">
        <w:rPr>
          <w:color w:val="000000" w:themeColor="text1"/>
          <w:vertAlign w:val="superscript"/>
          <w:lang w:val="en-US"/>
        </w:rPr>
        <w:t>[1</w:t>
      </w:r>
      <w:r w:rsidR="00361D00" w:rsidRPr="00A30FAB">
        <w:rPr>
          <w:color w:val="000000" w:themeColor="text1"/>
          <w:vertAlign w:val="superscript"/>
          <w:lang w:val="en-US"/>
        </w:rPr>
        <w:t>29</w:t>
      </w:r>
      <w:r w:rsidR="0045296A" w:rsidRPr="00A30FAB">
        <w:rPr>
          <w:color w:val="000000" w:themeColor="text1"/>
          <w:vertAlign w:val="superscript"/>
          <w:lang w:val="en-US"/>
        </w:rPr>
        <w:t>]</w:t>
      </w:r>
      <w:r w:rsidRPr="00A30FAB">
        <w:rPr>
          <w:color w:val="000000" w:themeColor="text1"/>
          <w:lang w:val="en-US"/>
        </w:rPr>
        <w:t xml:space="preserve">. </w:t>
      </w:r>
    </w:p>
    <w:p w14:paraId="63B0E0D4" w14:textId="00F6A794" w:rsidR="00585FAB" w:rsidRPr="00A30FAB" w:rsidRDefault="00585FAB" w:rsidP="00854446">
      <w:pPr>
        <w:adjustRightInd w:val="0"/>
        <w:snapToGrid w:val="0"/>
        <w:ind w:firstLineChars="100" w:firstLine="240"/>
        <w:rPr>
          <w:color w:val="000000" w:themeColor="text1"/>
          <w:shd w:val="clear" w:color="auto" w:fill="FFFFFF"/>
          <w:lang w:val="en-US"/>
        </w:rPr>
      </w:pPr>
      <w:r w:rsidRPr="00A30FAB">
        <w:rPr>
          <w:color w:val="000000" w:themeColor="text1"/>
          <w:lang w:val="en-US"/>
        </w:rPr>
        <w:t>The impact of better glycaemic control on left ventricular systolic and</w:t>
      </w:r>
      <w:r w:rsidRPr="00A30FAB">
        <w:rPr>
          <w:color w:val="000000" w:themeColor="text1"/>
          <w:vertAlign w:val="superscript"/>
          <w:lang w:val="en-US"/>
        </w:rPr>
        <w:t>[13</w:t>
      </w:r>
      <w:r w:rsidR="00361D00" w:rsidRPr="00A30FAB">
        <w:rPr>
          <w:color w:val="000000" w:themeColor="text1"/>
          <w:vertAlign w:val="superscript"/>
          <w:lang w:val="en-US"/>
        </w:rPr>
        <w:t>0</w:t>
      </w:r>
      <w:r w:rsidRPr="00A30FAB">
        <w:rPr>
          <w:color w:val="000000" w:themeColor="text1"/>
          <w:vertAlign w:val="superscript"/>
          <w:lang w:val="en-US"/>
        </w:rPr>
        <w:t>]</w:t>
      </w:r>
      <w:r w:rsidR="0045296A" w:rsidRPr="00A30FAB">
        <w:rPr>
          <w:color w:val="000000" w:themeColor="text1"/>
          <w:vertAlign w:val="superscript"/>
          <w:lang w:val="en-US"/>
        </w:rPr>
        <w:t xml:space="preserve"> </w:t>
      </w:r>
      <w:r w:rsidRPr="00A30FAB">
        <w:rPr>
          <w:color w:val="000000" w:themeColor="text1"/>
          <w:lang w:val="en-US"/>
        </w:rPr>
        <w:t xml:space="preserve">diastolic function remains debatable due to varying evidence. Previous large studies including </w:t>
      </w:r>
      <w:r w:rsidR="001C683A" w:rsidRPr="00A30FAB">
        <w:rPr>
          <w:color w:val="000000" w:themeColor="text1"/>
          <w:shd w:val="clear" w:color="auto" w:fill="FFFFFF"/>
          <w:lang w:val="en-US"/>
        </w:rPr>
        <w:t>United Kingdom</w:t>
      </w:r>
      <w:r w:rsidRPr="00A30FAB">
        <w:rPr>
          <w:color w:val="000000" w:themeColor="text1"/>
          <w:shd w:val="clear" w:color="auto" w:fill="FFFFFF"/>
          <w:lang w:val="en-US"/>
        </w:rPr>
        <w:t>PDS</w:t>
      </w:r>
      <w:r w:rsidRPr="00A30FAB">
        <w:rPr>
          <w:color w:val="000000" w:themeColor="text1"/>
          <w:shd w:val="clear" w:color="auto" w:fill="FFFFFF"/>
          <w:vertAlign w:val="superscript"/>
          <w:lang w:val="en-US"/>
        </w:rPr>
        <w:t>[13</w:t>
      </w:r>
      <w:r w:rsidR="00361D00" w:rsidRPr="00A30FAB">
        <w:rPr>
          <w:color w:val="000000" w:themeColor="text1"/>
          <w:shd w:val="clear" w:color="auto" w:fill="FFFFFF"/>
          <w:vertAlign w:val="superscript"/>
          <w:lang w:val="en-US"/>
        </w:rPr>
        <w:t>1</w:t>
      </w:r>
      <w:r w:rsidRPr="00A30FAB">
        <w:rPr>
          <w:color w:val="000000" w:themeColor="text1"/>
          <w:shd w:val="clear" w:color="auto" w:fill="FFFFFF"/>
          <w:vertAlign w:val="superscript"/>
          <w:lang w:val="en-US"/>
        </w:rPr>
        <w:t>]</w:t>
      </w:r>
      <w:r w:rsidRPr="00A30FAB">
        <w:rPr>
          <w:color w:val="000000" w:themeColor="text1"/>
          <w:shd w:val="clear" w:color="auto" w:fill="FFFFFF"/>
          <w:lang w:val="en-US"/>
        </w:rPr>
        <w:t>,</w:t>
      </w:r>
      <w:r w:rsidRPr="00A30FAB">
        <w:rPr>
          <w:color w:val="000000" w:themeColor="text1"/>
          <w:vertAlign w:val="superscript"/>
          <w:lang w:val="en-US"/>
        </w:rPr>
        <w:t xml:space="preserve"> </w:t>
      </w:r>
      <w:r w:rsidRPr="00A30FAB">
        <w:rPr>
          <w:color w:val="000000" w:themeColor="text1"/>
          <w:shd w:val="clear" w:color="auto" w:fill="FFFFFF"/>
          <w:lang w:val="en-US"/>
        </w:rPr>
        <w:t>ADVANCE</w:t>
      </w:r>
      <w:r w:rsidRPr="00A30FAB">
        <w:rPr>
          <w:color w:val="000000" w:themeColor="text1"/>
          <w:vertAlign w:val="superscript"/>
          <w:lang w:val="en-US"/>
        </w:rPr>
        <w:t>[13</w:t>
      </w:r>
      <w:r w:rsidR="00361D00" w:rsidRPr="00A30FAB">
        <w:rPr>
          <w:color w:val="000000" w:themeColor="text1"/>
          <w:vertAlign w:val="superscript"/>
          <w:lang w:val="en-US"/>
        </w:rPr>
        <w:t>0</w:t>
      </w:r>
      <w:r w:rsidRPr="00A30FAB">
        <w:rPr>
          <w:color w:val="000000" w:themeColor="text1"/>
          <w:vertAlign w:val="superscript"/>
          <w:lang w:val="en-US"/>
        </w:rPr>
        <w:t>]</w:t>
      </w:r>
      <w:r w:rsidRPr="00A30FAB">
        <w:rPr>
          <w:color w:val="000000" w:themeColor="text1"/>
          <w:shd w:val="clear" w:color="auto" w:fill="FFFFFF"/>
          <w:lang w:val="en-US"/>
        </w:rPr>
        <w:t xml:space="preserve"> , ACCORD</w:t>
      </w:r>
      <w:r w:rsidRPr="00A30FAB">
        <w:rPr>
          <w:color w:val="000000" w:themeColor="text1"/>
          <w:shd w:val="clear" w:color="auto" w:fill="FFFFFF"/>
          <w:vertAlign w:val="superscript"/>
          <w:lang w:val="en-US"/>
        </w:rPr>
        <w:t>[13</w:t>
      </w:r>
      <w:r w:rsidR="00361D00" w:rsidRPr="00A30FAB">
        <w:rPr>
          <w:color w:val="000000" w:themeColor="text1"/>
          <w:shd w:val="clear" w:color="auto" w:fill="FFFFFF"/>
          <w:vertAlign w:val="superscript"/>
          <w:lang w:val="en-US"/>
        </w:rPr>
        <w:t>2</w:t>
      </w:r>
      <w:r w:rsidRPr="00A30FAB">
        <w:rPr>
          <w:color w:val="000000" w:themeColor="text1"/>
          <w:shd w:val="clear" w:color="auto" w:fill="FFFFFF"/>
          <w:vertAlign w:val="superscript"/>
          <w:lang w:val="en-US"/>
        </w:rPr>
        <w:t>]</w:t>
      </w:r>
      <w:r w:rsidR="009A3356">
        <w:rPr>
          <w:color w:val="000000" w:themeColor="text1"/>
          <w:shd w:val="clear" w:color="auto" w:fill="FFFFFF"/>
          <w:lang w:val="en-US"/>
        </w:rPr>
        <w:t xml:space="preserve"> </w:t>
      </w:r>
      <w:r w:rsidRPr="00A30FAB">
        <w:rPr>
          <w:color w:val="000000" w:themeColor="text1"/>
          <w:shd w:val="clear" w:color="auto" w:fill="FFFFFF"/>
          <w:lang w:val="en-US"/>
        </w:rPr>
        <w:t>and VADT</w:t>
      </w:r>
      <w:r w:rsidRPr="00A30FAB">
        <w:rPr>
          <w:rFonts w:cs="Arial"/>
          <w:color w:val="000000" w:themeColor="text1"/>
          <w:shd w:val="clear" w:color="auto" w:fill="FFFFFF"/>
          <w:vertAlign w:val="superscript"/>
          <w:lang w:val="en-US"/>
        </w:rPr>
        <w:t>[15]</w:t>
      </w:r>
      <w:r w:rsidR="009A3356">
        <w:rPr>
          <w:rFonts w:cs="Arial"/>
          <w:color w:val="000000" w:themeColor="text1"/>
          <w:shd w:val="clear" w:color="auto" w:fill="FFFFFF"/>
          <w:lang w:val="en-US"/>
        </w:rPr>
        <w:t xml:space="preserve"> </w:t>
      </w:r>
      <w:r w:rsidRPr="00A30FAB">
        <w:rPr>
          <w:color w:val="000000" w:themeColor="text1"/>
          <w:lang w:val="en-US"/>
        </w:rPr>
        <w:t xml:space="preserve">have not shown an improvement in cardiovascular outcomes with good glycaemic control. </w:t>
      </w:r>
      <w:r w:rsidRPr="00A30FAB">
        <w:rPr>
          <w:rFonts w:cs="Arial"/>
          <w:color w:val="000000" w:themeColor="text1"/>
          <w:shd w:val="clear" w:color="auto" w:fill="FFFFFF"/>
          <w:lang w:val="en-US"/>
        </w:rPr>
        <w:t>A</w:t>
      </w:r>
      <w:r w:rsidRPr="00A30FAB">
        <w:rPr>
          <w:color w:val="000000" w:themeColor="text1"/>
          <w:shd w:val="clear" w:color="auto" w:fill="FFFFFF"/>
          <w:lang w:val="en-US"/>
        </w:rPr>
        <w:t xml:space="preserve"> meta-analysis of 37229 people with T2D data from multiple randomized trials concluded there was no observed benefit of intensive glycaemic control on </w:t>
      </w:r>
      <w:r w:rsidRPr="00A30FAB">
        <w:rPr>
          <w:rFonts w:cs="Arial"/>
          <w:color w:val="000000" w:themeColor="text1"/>
          <w:shd w:val="clear" w:color="auto" w:fill="FFFFFF"/>
          <w:lang w:val="en-US"/>
        </w:rPr>
        <w:t>HF related outcomes</w:t>
      </w:r>
      <w:r w:rsidR="0045296A" w:rsidRPr="00A30FAB">
        <w:rPr>
          <w:rFonts w:cs="Arial"/>
          <w:color w:val="000000" w:themeColor="text1"/>
          <w:shd w:val="clear" w:color="auto" w:fill="FFFFFF"/>
          <w:vertAlign w:val="superscript"/>
          <w:lang w:val="en-US"/>
        </w:rPr>
        <w:t>[13</w:t>
      </w:r>
      <w:r w:rsidR="00361D00" w:rsidRPr="00A30FAB">
        <w:rPr>
          <w:rFonts w:cs="Arial"/>
          <w:color w:val="000000" w:themeColor="text1"/>
          <w:shd w:val="clear" w:color="auto" w:fill="FFFFFF"/>
          <w:vertAlign w:val="superscript"/>
          <w:lang w:val="en-US"/>
        </w:rPr>
        <w:t>3</w:t>
      </w:r>
      <w:r w:rsidR="0045296A" w:rsidRPr="00A30FAB">
        <w:rPr>
          <w:rFonts w:cs="Arial"/>
          <w:color w:val="000000" w:themeColor="text1"/>
          <w:shd w:val="clear" w:color="auto" w:fill="FFFFFF"/>
          <w:vertAlign w:val="superscript"/>
          <w:lang w:val="en-US"/>
        </w:rPr>
        <w:t>]</w:t>
      </w:r>
      <w:r w:rsidRPr="00A30FAB">
        <w:rPr>
          <w:rFonts w:cs="Arial"/>
          <w:color w:val="000000" w:themeColor="text1"/>
          <w:shd w:val="clear" w:color="auto" w:fill="FFFFFF"/>
          <w:lang w:val="en-US"/>
        </w:rPr>
        <w:t xml:space="preserve">. </w:t>
      </w:r>
      <w:r w:rsidR="00EC2737" w:rsidRPr="00A30FAB">
        <w:rPr>
          <w:rFonts w:cs="Arial"/>
          <w:color w:val="000000" w:themeColor="text1"/>
          <w:shd w:val="clear" w:color="auto" w:fill="FFFFFF"/>
          <w:lang w:val="en-US"/>
        </w:rPr>
        <w:t>P</w:t>
      </w:r>
      <w:r w:rsidRPr="00A30FAB">
        <w:rPr>
          <w:rFonts w:cs="Arial"/>
          <w:color w:val="000000" w:themeColor="text1"/>
          <w:shd w:val="clear" w:color="auto" w:fill="FFFFFF"/>
          <w:lang w:val="en-US"/>
        </w:rPr>
        <w:t xml:space="preserve">atients with </w:t>
      </w:r>
      <w:r w:rsidRPr="00A30FAB">
        <w:rPr>
          <w:rFonts w:eastAsiaTheme="minorHAnsi" w:cs="Helvetica"/>
          <w:color w:val="000000" w:themeColor="text1"/>
          <w:lang w:val="en-US"/>
        </w:rPr>
        <w:t>T2D who received intensive glucose lowering therapy had a reduced risk of major adverse cardiovascular events, but there was no effect on total mortality, cardiac death, stroke, and heart failure</w:t>
      </w:r>
      <w:r w:rsidR="0045296A" w:rsidRPr="00A30FAB">
        <w:rPr>
          <w:color w:val="000000" w:themeColor="text1"/>
          <w:shd w:val="clear" w:color="auto" w:fill="FFFFFF"/>
          <w:vertAlign w:val="superscript"/>
          <w:lang w:val="en-US"/>
        </w:rPr>
        <w:t>[13</w:t>
      </w:r>
      <w:r w:rsidR="00361D00" w:rsidRPr="00A30FAB">
        <w:rPr>
          <w:color w:val="000000" w:themeColor="text1"/>
          <w:shd w:val="clear" w:color="auto" w:fill="FFFFFF"/>
          <w:vertAlign w:val="superscript"/>
          <w:lang w:val="en-US"/>
        </w:rPr>
        <w:t>3</w:t>
      </w:r>
      <w:r w:rsidR="0045296A" w:rsidRPr="00A30FAB">
        <w:rPr>
          <w:color w:val="000000" w:themeColor="text1"/>
          <w:shd w:val="clear" w:color="auto" w:fill="FFFFFF"/>
          <w:vertAlign w:val="superscript"/>
          <w:lang w:val="en-US"/>
        </w:rPr>
        <w:t>]</w:t>
      </w:r>
      <w:r w:rsidRPr="00A30FAB">
        <w:rPr>
          <w:rFonts w:eastAsiaTheme="minorHAnsi" w:cs="Helvetica"/>
          <w:color w:val="000000" w:themeColor="text1"/>
          <w:lang w:val="en-US"/>
        </w:rPr>
        <w:t>.</w:t>
      </w:r>
      <w:r w:rsidRPr="00A30FAB">
        <w:rPr>
          <w:color w:val="000000" w:themeColor="text1"/>
          <w:shd w:val="clear" w:color="auto" w:fill="FFFFFF"/>
          <w:lang w:val="en-US"/>
        </w:rPr>
        <w:t xml:space="preserve"> </w:t>
      </w:r>
    </w:p>
    <w:p w14:paraId="19893605" w14:textId="15FD8803" w:rsidR="00585FAB" w:rsidRPr="00A30FAB" w:rsidRDefault="00585FAB" w:rsidP="00854446">
      <w:pPr>
        <w:autoSpaceDE w:val="0"/>
        <w:autoSpaceDN w:val="0"/>
        <w:adjustRightInd w:val="0"/>
        <w:snapToGrid w:val="0"/>
        <w:ind w:firstLineChars="100" w:firstLine="240"/>
        <w:rPr>
          <w:rFonts w:eastAsiaTheme="minorHAnsi"/>
          <w:color w:val="000000" w:themeColor="text1"/>
          <w:lang w:val="en-US"/>
        </w:rPr>
      </w:pPr>
      <w:r w:rsidRPr="00A30FAB">
        <w:rPr>
          <w:color w:val="000000" w:themeColor="text1"/>
          <w:lang w:val="en-US"/>
        </w:rPr>
        <w:t xml:space="preserve">There is also a large body of evidence to suggest T2D therapies may increase the risk of developing heart failure. This has been particularly the case with dipeptidyl peptidase-4 (DPP4) inhibitor saxagliptin and thiazolidinediones (TZDs). In SAVOR-TIMI 53 looking at saxagliptin </w:t>
      </w:r>
      <w:r w:rsidRPr="00A30FAB">
        <w:rPr>
          <w:i/>
          <w:iCs/>
          <w:color w:val="000000" w:themeColor="text1"/>
          <w:lang w:val="en-US"/>
        </w:rPr>
        <w:t>vs</w:t>
      </w:r>
      <w:r w:rsidRPr="00A30FAB">
        <w:rPr>
          <w:color w:val="000000" w:themeColor="text1"/>
          <w:lang w:val="en-US"/>
        </w:rPr>
        <w:t xml:space="preserve"> placebo there was a significantly increased risk of heart failure hospitalisation</w:t>
      </w:r>
      <w:r w:rsidR="0045296A" w:rsidRPr="00A30FAB">
        <w:rPr>
          <w:color w:val="000000" w:themeColor="text1"/>
          <w:vertAlign w:val="superscript"/>
          <w:lang w:val="en-US"/>
        </w:rPr>
        <w:t>[13</w:t>
      </w:r>
      <w:r w:rsidR="00361D00" w:rsidRPr="00A30FAB">
        <w:rPr>
          <w:color w:val="000000" w:themeColor="text1"/>
          <w:vertAlign w:val="superscript"/>
          <w:lang w:val="en-US"/>
        </w:rPr>
        <w:t>4</w:t>
      </w:r>
      <w:r w:rsidR="0045296A" w:rsidRPr="00A30FAB">
        <w:rPr>
          <w:color w:val="000000" w:themeColor="text1"/>
          <w:vertAlign w:val="superscript"/>
          <w:lang w:val="en-US"/>
        </w:rPr>
        <w:t>,13</w:t>
      </w:r>
      <w:r w:rsidR="00361D00" w:rsidRPr="00A30FAB">
        <w:rPr>
          <w:color w:val="000000" w:themeColor="text1"/>
          <w:vertAlign w:val="superscript"/>
          <w:lang w:val="en-US"/>
        </w:rPr>
        <w:t>5</w:t>
      </w:r>
      <w:r w:rsidR="0045296A" w:rsidRPr="00A30FAB">
        <w:rPr>
          <w:color w:val="000000" w:themeColor="text1"/>
          <w:vertAlign w:val="superscript"/>
          <w:lang w:val="en-US"/>
        </w:rPr>
        <w:t>]</w:t>
      </w:r>
      <w:r w:rsidRPr="00A30FAB">
        <w:rPr>
          <w:color w:val="000000" w:themeColor="text1"/>
          <w:lang w:val="en-US"/>
        </w:rPr>
        <w:t>. These patients then went on to have a high rate of subsequent death. The latter result was also found in the RECORD trial</w:t>
      </w:r>
      <w:r w:rsidR="0045296A" w:rsidRPr="00A30FAB">
        <w:rPr>
          <w:color w:val="000000" w:themeColor="text1"/>
          <w:vertAlign w:val="superscript"/>
          <w:lang w:val="en-US"/>
        </w:rPr>
        <w:t>[13</w:t>
      </w:r>
      <w:r w:rsidR="00361D00" w:rsidRPr="00A30FAB">
        <w:rPr>
          <w:color w:val="000000" w:themeColor="text1"/>
          <w:vertAlign w:val="superscript"/>
          <w:lang w:val="en-US"/>
        </w:rPr>
        <w:t>6</w:t>
      </w:r>
      <w:r w:rsidR="0045296A" w:rsidRPr="00A30FAB">
        <w:rPr>
          <w:color w:val="000000" w:themeColor="text1"/>
          <w:vertAlign w:val="superscript"/>
          <w:lang w:val="en-US"/>
        </w:rPr>
        <w:t>]</w:t>
      </w:r>
      <w:r w:rsidRPr="00A30FAB">
        <w:rPr>
          <w:color w:val="000000" w:themeColor="text1"/>
          <w:lang w:val="en-US"/>
        </w:rPr>
        <w:t>. The TECOs trial looking at sitagliptin</w:t>
      </w:r>
      <w:r w:rsidRPr="00A30FAB">
        <w:rPr>
          <w:color w:val="000000" w:themeColor="text1"/>
          <w:vertAlign w:val="superscript"/>
          <w:lang w:val="en-US"/>
        </w:rPr>
        <w:t>[17]</w:t>
      </w:r>
      <w:r w:rsidRPr="00A30FAB">
        <w:rPr>
          <w:color w:val="000000" w:themeColor="text1"/>
          <w:lang w:val="en-US"/>
        </w:rPr>
        <w:t xml:space="preserve"> and EXAMINE for alogliptin</w:t>
      </w:r>
      <w:r w:rsidRPr="00A30FAB">
        <w:rPr>
          <w:color w:val="000000" w:themeColor="text1"/>
          <w:vertAlign w:val="superscript"/>
          <w:lang w:val="en-US"/>
        </w:rPr>
        <w:t>[</w:t>
      </w:r>
      <w:r w:rsidR="00C654AD" w:rsidRPr="00A30FAB">
        <w:rPr>
          <w:color w:val="000000" w:themeColor="text1"/>
          <w:vertAlign w:val="superscript"/>
          <w:lang w:val="en-US"/>
        </w:rPr>
        <w:t>18</w:t>
      </w:r>
      <w:r w:rsidRPr="00A30FAB">
        <w:rPr>
          <w:color w:val="000000" w:themeColor="text1"/>
          <w:vertAlign w:val="superscript"/>
          <w:lang w:val="en-US"/>
        </w:rPr>
        <w:t>]</w:t>
      </w:r>
      <w:r w:rsidRPr="00A30FAB">
        <w:rPr>
          <w:color w:val="000000" w:themeColor="text1"/>
          <w:lang w:val="en-US"/>
        </w:rPr>
        <w:t>, both against placebo there was no increase in heart failure. Further studies are required to consolidate the effects of DPP4 inhibitors on heart failure in T2D. There are current ongoing studies, CARMELINA (</w:t>
      </w:r>
      <w:r w:rsidRPr="00A30FAB">
        <w:rPr>
          <w:rFonts w:eastAsiaTheme="minorHAnsi"/>
          <w:color w:val="000000" w:themeColor="text1"/>
          <w:lang w:val="en-US"/>
        </w:rPr>
        <w:t>Cardiovascular and Renal Microvascular Outcome Study With Linagliptin in Patients with Type 2 Diabetes Mellitus; NCT01897532)</w:t>
      </w:r>
      <w:r w:rsidR="00680B0C">
        <w:rPr>
          <w:rFonts w:eastAsiaTheme="minorHAnsi"/>
          <w:color w:val="000000" w:themeColor="text1"/>
          <w:lang w:val="en-US"/>
        </w:rPr>
        <w:t xml:space="preserve"> </w:t>
      </w:r>
      <w:r w:rsidRPr="00A30FAB">
        <w:rPr>
          <w:color w:val="000000" w:themeColor="text1"/>
          <w:lang w:val="en-US"/>
        </w:rPr>
        <w:t>and CAROLINA (</w:t>
      </w:r>
      <w:r w:rsidRPr="00A30FAB">
        <w:rPr>
          <w:rFonts w:eastAsiaTheme="minorHAnsi"/>
          <w:color w:val="000000" w:themeColor="text1"/>
          <w:lang w:val="en-US"/>
        </w:rPr>
        <w:t xml:space="preserve">Cardiovascular Outcome Study of Linagliptin Versus Glimepiride in Patients With Type 2 Diabetes; NCT01243424) </w:t>
      </w:r>
      <w:r w:rsidRPr="00A30FAB">
        <w:rPr>
          <w:color w:val="000000" w:themeColor="text1"/>
          <w:lang w:val="en-US"/>
        </w:rPr>
        <w:t>, looking at Linagliptin in T2D that may provide better insight.</w:t>
      </w:r>
    </w:p>
    <w:p w14:paraId="3FEA2287" w14:textId="78D34E0D" w:rsidR="00585FAB" w:rsidRPr="00A30FAB" w:rsidRDefault="00585FAB" w:rsidP="00854446">
      <w:pPr>
        <w:pStyle w:val="af4"/>
        <w:adjustRightInd w:val="0"/>
        <w:snapToGrid w:val="0"/>
        <w:spacing w:before="0" w:beforeAutospacing="0" w:after="0" w:afterAutospacing="0"/>
        <w:ind w:firstLineChars="100" w:firstLine="240"/>
        <w:rPr>
          <w:color w:val="000000" w:themeColor="text1"/>
          <w:lang w:val="en-US"/>
        </w:rPr>
      </w:pPr>
      <w:r w:rsidRPr="00A30FAB">
        <w:rPr>
          <w:color w:val="000000" w:themeColor="text1"/>
          <w:lang w:val="en-US"/>
        </w:rPr>
        <w:t>More recent studies have shown favourable cardiovascular outcomes with newer glucose lowering agents. There have recently been numerous non-inferiority cardiovascular outcome trials using newer glucose lowering therapies in T2D, namely GLP1 – Receptor Agonists and sodium–glucose cotransporter 2 (SGLT2) inhibitors.</w:t>
      </w:r>
    </w:p>
    <w:p w14:paraId="5D66367E" w14:textId="77777777" w:rsidR="0045296A" w:rsidRPr="00A30FAB" w:rsidRDefault="0045296A" w:rsidP="00A30FAB">
      <w:pPr>
        <w:pStyle w:val="af4"/>
        <w:adjustRightInd w:val="0"/>
        <w:snapToGrid w:val="0"/>
        <w:spacing w:before="0" w:beforeAutospacing="0" w:after="0" w:afterAutospacing="0"/>
        <w:rPr>
          <w:color w:val="000000" w:themeColor="text1"/>
          <w:lang w:val="en-US"/>
        </w:rPr>
      </w:pPr>
    </w:p>
    <w:p w14:paraId="143B5E2D" w14:textId="328F8DAD" w:rsidR="00585FAB" w:rsidRPr="00A30FAB" w:rsidRDefault="00585FAB" w:rsidP="00A30FAB">
      <w:pPr>
        <w:pStyle w:val="3"/>
        <w:adjustRightInd w:val="0"/>
        <w:snapToGrid w:val="0"/>
        <w:spacing w:before="0"/>
        <w:ind w:left="0" w:firstLine="0"/>
        <w:rPr>
          <w:b/>
          <w:bCs/>
          <w:i/>
          <w:iCs/>
          <w:color w:val="000000" w:themeColor="text1"/>
          <w:lang w:val="en-US"/>
        </w:rPr>
      </w:pPr>
      <w:r w:rsidRPr="00A30FAB">
        <w:rPr>
          <w:b/>
          <w:bCs/>
          <w:i/>
          <w:iCs/>
          <w:color w:val="000000" w:themeColor="text1"/>
          <w:lang w:val="en-US"/>
        </w:rPr>
        <w:t>Glucago</w:t>
      </w:r>
      <w:r w:rsidR="0045296A" w:rsidRPr="00A30FAB">
        <w:rPr>
          <w:b/>
          <w:bCs/>
          <w:i/>
          <w:iCs/>
          <w:color w:val="000000" w:themeColor="text1"/>
          <w:lang w:val="en-US"/>
        </w:rPr>
        <w:t>n like peptide 1-receptor agonists</w:t>
      </w:r>
    </w:p>
    <w:p w14:paraId="4498A29D" w14:textId="1187802F" w:rsidR="00585FAB" w:rsidRPr="00A30FAB" w:rsidRDefault="00585FAB" w:rsidP="00A30FAB">
      <w:pPr>
        <w:adjustRightInd w:val="0"/>
        <w:snapToGrid w:val="0"/>
        <w:rPr>
          <w:color w:val="000000" w:themeColor="text1"/>
          <w:shd w:val="clear" w:color="auto" w:fill="FFFFFF"/>
          <w:lang w:val="en-US"/>
        </w:rPr>
      </w:pPr>
      <w:r w:rsidRPr="00A30FAB">
        <w:rPr>
          <w:color w:val="000000" w:themeColor="text1"/>
          <w:shd w:val="clear" w:color="auto" w:fill="FFFFFF"/>
          <w:lang w:val="en-US"/>
        </w:rPr>
        <w:t>Multiple glucagon-like peptide-1 (GLP-1) receptor agonists in the form of once weekly exenatide, dulaglutide, albiglutide and semaglutide have been recently developed. GLP-1 agonists exert their effects by stimulating insulin secretion, suppressing appetite, decreasing circulating glucagon levels and gastric emptying</w:t>
      </w:r>
      <w:r w:rsidR="0045296A" w:rsidRPr="00A30FAB">
        <w:rPr>
          <w:color w:val="000000" w:themeColor="text1"/>
          <w:shd w:val="clear" w:color="auto" w:fill="FFFFFF"/>
          <w:vertAlign w:val="superscript"/>
          <w:lang w:val="en-US"/>
        </w:rPr>
        <w:t>[13</w:t>
      </w:r>
      <w:r w:rsidR="001F44D9" w:rsidRPr="00A30FAB">
        <w:rPr>
          <w:color w:val="000000" w:themeColor="text1"/>
          <w:shd w:val="clear" w:color="auto" w:fill="FFFFFF"/>
          <w:vertAlign w:val="superscript"/>
          <w:lang w:val="en-US"/>
        </w:rPr>
        <w:t>7</w:t>
      </w:r>
      <w:r w:rsidR="0045296A" w:rsidRPr="00A30FAB">
        <w:rPr>
          <w:color w:val="000000" w:themeColor="text1"/>
          <w:shd w:val="clear" w:color="auto" w:fill="FFFFFF"/>
          <w:vertAlign w:val="superscript"/>
          <w:lang w:val="en-US"/>
        </w:rPr>
        <w:t>]</w:t>
      </w:r>
      <w:r w:rsidRPr="00A30FAB">
        <w:rPr>
          <w:color w:val="000000" w:themeColor="text1"/>
          <w:shd w:val="clear" w:color="auto" w:fill="FFFFFF"/>
          <w:lang w:val="en-US"/>
        </w:rPr>
        <w:t>. They have also been associated with weight loss. The cardiovascular benefits of GLP-1 is multifaceted. The first is glycaemic control. Long acting agonists have been shown to be better at reducing HBA1c than short term</w:t>
      </w:r>
      <w:r w:rsidR="0045296A" w:rsidRPr="00A30FAB">
        <w:rPr>
          <w:color w:val="000000" w:themeColor="text1"/>
          <w:shd w:val="clear" w:color="auto" w:fill="FFFFFF"/>
          <w:vertAlign w:val="superscript"/>
          <w:lang w:val="en-US"/>
        </w:rPr>
        <w:t>[1</w:t>
      </w:r>
      <w:r w:rsidR="001F44D9" w:rsidRPr="00A30FAB">
        <w:rPr>
          <w:color w:val="000000" w:themeColor="text1"/>
          <w:shd w:val="clear" w:color="auto" w:fill="FFFFFF"/>
          <w:vertAlign w:val="superscript"/>
          <w:lang w:val="en-US"/>
        </w:rPr>
        <w:t>38</w:t>
      </w:r>
      <w:r w:rsidR="0045296A" w:rsidRPr="00A30FAB">
        <w:rPr>
          <w:color w:val="000000" w:themeColor="text1"/>
          <w:shd w:val="clear" w:color="auto" w:fill="FFFFFF"/>
          <w:vertAlign w:val="superscript"/>
          <w:lang w:val="en-US"/>
        </w:rPr>
        <w:t>]</w:t>
      </w:r>
      <w:r w:rsidRPr="00A30FAB">
        <w:rPr>
          <w:color w:val="000000" w:themeColor="text1"/>
          <w:shd w:val="clear" w:color="auto" w:fill="FFFFFF"/>
          <w:lang w:val="en-US"/>
        </w:rPr>
        <w:t>. Despite the failure to show an improvement in cardiovascular outcomes with some large studies in the past</w:t>
      </w:r>
      <w:r w:rsidR="0045296A" w:rsidRPr="00A30FAB">
        <w:rPr>
          <w:color w:val="000000" w:themeColor="text1"/>
          <w:shd w:val="clear" w:color="auto" w:fill="FFFFFF"/>
          <w:vertAlign w:val="superscript"/>
          <w:lang w:val="en-US"/>
        </w:rPr>
        <w:t>[15,1</w:t>
      </w:r>
      <w:r w:rsidR="001F44D9" w:rsidRPr="00A30FAB">
        <w:rPr>
          <w:color w:val="000000" w:themeColor="text1"/>
          <w:shd w:val="clear" w:color="auto" w:fill="FFFFFF"/>
          <w:vertAlign w:val="superscript"/>
          <w:lang w:val="en-US"/>
        </w:rPr>
        <w:t>39</w:t>
      </w:r>
      <w:r w:rsidR="0045296A" w:rsidRPr="00A30FAB">
        <w:rPr>
          <w:color w:val="000000" w:themeColor="text1"/>
          <w:shd w:val="clear" w:color="auto" w:fill="FFFFFF"/>
          <w:vertAlign w:val="superscript"/>
          <w:lang w:val="en-US"/>
        </w:rPr>
        <w:t>,14</w:t>
      </w:r>
      <w:r w:rsidR="001F44D9" w:rsidRPr="00A30FAB">
        <w:rPr>
          <w:color w:val="000000" w:themeColor="text1"/>
          <w:shd w:val="clear" w:color="auto" w:fill="FFFFFF"/>
          <w:vertAlign w:val="superscript"/>
          <w:lang w:val="en-US"/>
        </w:rPr>
        <w:t>0</w:t>
      </w:r>
      <w:r w:rsidR="0045296A" w:rsidRPr="00A30FAB">
        <w:rPr>
          <w:color w:val="000000" w:themeColor="text1"/>
          <w:shd w:val="clear" w:color="auto" w:fill="FFFFFF"/>
          <w:vertAlign w:val="superscript"/>
          <w:lang w:val="en-US"/>
        </w:rPr>
        <w:t>]</w:t>
      </w:r>
      <w:r w:rsidRPr="00A30FAB">
        <w:rPr>
          <w:color w:val="000000" w:themeColor="text1"/>
          <w:shd w:val="clear" w:color="auto" w:fill="FFFFFF"/>
          <w:lang w:val="en-US"/>
        </w:rPr>
        <w:t xml:space="preserve">, the </w:t>
      </w:r>
      <w:r w:rsidR="001C683A" w:rsidRPr="00A30FAB">
        <w:rPr>
          <w:color w:val="000000" w:themeColor="text1"/>
          <w:shd w:val="clear" w:color="auto" w:fill="FFFFFF"/>
          <w:lang w:val="en-US"/>
        </w:rPr>
        <w:t>United Kingdom</w:t>
      </w:r>
      <w:r w:rsidR="0045296A" w:rsidRPr="00A30FAB">
        <w:rPr>
          <w:color w:val="000000" w:themeColor="text1"/>
          <w:shd w:val="clear" w:color="auto" w:fill="FFFFFF"/>
          <w:lang w:val="en-US"/>
        </w:rPr>
        <w:t xml:space="preserve"> </w:t>
      </w:r>
      <w:r w:rsidRPr="00A30FAB">
        <w:rPr>
          <w:color w:val="000000" w:themeColor="text1"/>
          <w:shd w:val="clear" w:color="auto" w:fill="FFFFFF"/>
          <w:lang w:val="en-US"/>
        </w:rPr>
        <w:t>PDS study that looked at tight glycaemic control at diagnosis showed a reduction in cardiovascular events after a decade even with similar HbA1c levels</w:t>
      </w:r>
      <w:r w:rsidRPr="00A30FAB">
        <w:rPr>
          <w:color w:val="000000" w:themeColor="text1"/>
          <w:shd w:val="clear" w:color="auto" w:fill="FFFFFF"/>
          <w:vertAlign w:val="superscript"/>
          <w:lang w:val="en-US"/>
        </w:rPr>
        <w:t>[13</w:t>
      </w:r>
      <w:r w:rsidR="00EC2737" w:rsidRPr="00A30FAB">
        <w:rPr>
          <w:color w:val="000000" w:themeColor="text1"/>
          <w:shd w:val="clear" w:color="auto" w:fill="FFFFFF"/>
          <w:vertAlign w:val="superscript"/>
          <w:lang w:val="en-US"/>
        </w:rPr>
        <w:t>1</w:t>
      </w:r>
      <w:r w:rsidRPr="00A30FAB">
        <w:rPr>
          <w:color w:val="000000" w:themeColor="text1"/>
          <w:shd w:val="clear" w:color="auto" w:fill="FFFFFF"/>
          <w:vertAlign w:val="superscript"/>
          <w:lang w:val="en-US"/>
        </w:rPr>
        <w:t>]</w:t>
      </w:r>
      <w:r w:rsidRPr="00A30FAB">
        <w:rPr>
          <w:color w:val="000000" w:themeColor="text1"/>
          <w:shd w:val="clear" w:color="auto" w:fill="FFFFFF"/>
          <w:lang w:val="en-US"/>
        </w:rPr>
        <w:t>. The second is through blood pressure control. None of the GLP-1 studies conducted thus far have been specifically to look at its’ effects on blood pressure however both studies as well as reviews and meta analyses have shown a decrease in BP of both exenatide and liraglutide compared with placebo and other antidiabetic drugs</w:t>
      </w:r>
      <w:r w:rsidR="0045296A" w:rsidRPr="00A30FAB">
        <w:rPr>
          <w:color w:val="000000" w:themeColor="text1"/>
          <w:shd w:val="clear" w:color="auto" w:fill="FFFFFF"/>
          <w:vertAlign w:val="superscript"/>
          <w:lang w:val="en-US"/>
        </w:rPr>
        <w:t>[14</w:t>
      </w:r>
      <w:r w:rsidR="001F44D9" w:rsidRPr="00A30FAB">
        <w:rPr>
          <w:color w:val="000000" w:themeColor="text1"/>
          <w:shd w:val="clear" w:color="auto" w:fill="FFFFFF"/>
          <w:vertAlign w:val="superscript"/>
          <w:lang w:val="en-US"/>
        </w:rPr>
        <w:t>1</w:t>
      </w:r>
      <w:r w:rsidR="0045296A" w:rsidRPr="00A30FAB">
        <w:rPr>
          <w:color w:val="000000" w:themeColor="text1"/>
          <w:shd w:val="clear" w:color="auto" w:fill="FFFFFF"/>
          <w:vertAlign w:val="superscript"/>
          <w:lang w:val="en-US"/>
        </w:rPr>
        <w:t>]</w:t>
      </w:r>
      <w:r w:rsidRPr="00A30FAB">
        <w:rPr>
          <w:color w:val="000000" w:themeColor="text1"/>
          <w:shd w:val="clear" w:color="auto" w:fill="FFFFFF"/>
          <w:lang w:val="en-US"/>
        </w:rPr>
        <w:t>. It has also been shown to have favourable effects on the vascular endothelium in that Liraglutide has been shown to improve nitric oxide synthase (NOS) activity as well as attenuates plasminogen activator inhibitor type 1 (PAI-1) and vascular adhesion molecule (VAM) within the vascular endothelium. These apply a protective effect against endothelial dysfunction</w:t>
      </w:r>
      <w:r w:rsidR="0045296A" w:rsidRPr="00A30FAB">
        <w:rPr>
          <w:color w:val="000000" w:themeColor="text1"/>
          <w:shd w:val="clear" w:color="auto" w:fill="FFFFFF"/>
          <w:vertAlign w:val="superscript"/>
          <w:lang w:val="en-US"/>
        </w:rPr>
        <w:t>[14</w:t>
      </w:r>
      <w:r w:rsidR="001F44D9" w:rsidRPr="00A30FAB">
        <w:rPr>
          <w:color w:val="000000" w:themeColor="text1"/>
          <w:shd w:val="clear" w:color="auto" w:fill="FFFFFF"/>
          <w:vertAlign w:val="superscript"/>
          <w:lang w:val="en-US"/>
        </w:rPr>
        <w:t>2</w:t>
      </w:r>
      <w:r w:rsidR="0045296A" w:rsidRPr="00A30FAB">
        <w:rPr>
          <w:color w:val="000000" w:themeColor="text1"/>
          <w:shd w:val="clear" w:color="auto" w:fill="FFFFFF"/>
          <w:vertAlign w:val="superscript"/>
          <w:lang w:val="en-US"/>
        </w:rPr>
        <w:t>,14</w:t>
      </w:r>
      <w:r w:rsidR="001F44D9" w:rsidRPr="00A30FAB">
        <w:rPr>
          <w:color w:val="000000" w:themeColor="text1"/>
          <w:shd w:val="clear" w:color="auto" w:fill="FFFFFF"/>
          <w:vertAlign w:val="superscript"/>
          <w:lang w:val="en-US"/>
        </w:rPr>
        <w:t>3</w:t>
      </w:r>
      <w:r w:rsidR="0045296A" w:rsidRPr="00A30FAB">
        <w:rPr>
          <w:color w:val="000000" w:themeColor="text1"/>
          <w:shd w:val="clear" w:color="auto" w:fill="FFFFFF"/>
          <w:vertAlign w:val="superscript"/>
          <w:lang w:val="en-US"/>
        </w:rPr>
        <w:t>]</w:t>
      </w:r>
      <w:r w:rsidRPr="00A30FAB">
        <w:rPr>
          <w:color w:val="000000" w:themeColor="text1"/>
          <w:shd w:val="clear" w:color="auto" w:fill="FFFFFF"/>
          <w:lang w:val="en-US"/>
        </w:rPr>
        <w:t>. GLP-1 agonists also appear to have a cardioprotective effect on atherosclerosis progression and myocardial ischaemia, and this has been shown with the use of exenatide as an adjunct therapy in STEMI and thrombolysis</w:t>
      </w:r>
      <w:r w:rsidR="0045296A" w:rsidRPr="00A30FAB">
        <w:rPr>
          <w:color w:val="000000" w:themeColor="text1"/>
          <w:shd w:val="clear" w:color="auto" w:fill="FFFFFF"/>
          <w:vertAlign w:val="superscript"/>
          <w:lang w:val="en-US"/>
        </w:rPr>
        <w:t>[14</w:t>
      </w:r>
      <w:r w:rsidR="001F44D9" w:rsidRPr="00A30FAB">
        <w:rPr>
          <w:color w:val="000000" w:themeColor="text1"/>
          <w:shd w:val="clear" w:color="auto" w:fill="FFFFFF"/>
          <w:vertAlign w:val="superscript"/>
          <w:lang w:val="en-US"/>
        </w:rPr>
        <w:t>4</w:t>
      </w:r>
      <w:r w:rsidR="0045296A" w:rsidRPr="00A30FAB">
        <w:rPr>
          <w:color w:val="000000" w:themeColor="text1"/>
          <w:shd w:val="clear" w:color="auto" w:fill="FFFFFF"/>
          <w:vertAlign w:val="superscript"/>
          <w:lang w:val="en-US"/>
        </w:rPr>
        <w:t>,14</w:t>
      </w:r>
      <w:r w:rsidR="001F44D9" w:rsidRPr="00A30FAB">
        <w:rPr>
          <w:color w:val="000000" w:themeColor="text1"/>
          <w:shd w:val="clear" w:color="auto" w:fill="FFFFFF"/>
          <w:vertAlign w:val="superscript"/>
          <w:lang w:val="en-US"/>
        </w:rPr>
        <w:t>5</w:t>
      </w:r>
      <w:r w:rsidR="0045296A" w:rsidRPr="00A30FAB">
        <w:rPr>
          <w:color w:val="000000" w:themeColor="text1"/>
          <w:shd w:val="clear" w:color="auto" w:fill="FFFFFF"/>
          <w:vertAlign w:val="superscript"/>
          <w:lang w:val="en-US"/>
        </w:rPr>
        <w:t>]</w:t>
      </w:r>
      <w:r w:rsidRPr="00A30FAB">
        <w:rPr>
          <w:color w:val="000000" w:themeColor="text1"/>
          <w:shd w:val="clear" w:color="auto" w:fill="FFFFFF"/>
          <w:lang w:val="en-US"/>
        </w:rPr>
        <w:t>. GLP</w:t>
      </w:r>
      <w:r w:rsidR="0045296A" w:rsidRPr="00A30FAB">
        <w:rPr>
          <w:color w:val="000000" w:themeColor="text1"/>
          <w:shd w:val="clear" w:color="auto" w:fill="FFFFFF"/>
          <w:lang w:val="en-US"/>
        </w:rPr>
        <w:t>-</w:t>
      </w:r>
      <w:r w:rsidRPr="00A30FAB">
        <w:rPr>
          <w:color w:val="000000" w:themeColor="text1"/>
          <w:shd w:val="clear" w:color="auto" w:fill="FFFFFF"/>
          <w:lang w:val="en-US"/>
        </w:rPr>
        <w:t>1 agonist use has not been associated with a significant effect on heart failure hospitalisation.</w:t>
      </w:r>
    </w:p>
    <w:p w14:paraId="46C318CC" w14:textId="5E7BEE34" w:rsidR="00585FAB" w:rsidRPr="00A30FAB" w:rsidRDefault="00585FAB" w:rsidP="00854446">
      <w:pPr>
        <w:adjustRightInd w:val="0"/>
        <w:snapToGrid w:val="0"/>
        <w:ind w:firstLineChars="100" w:firstLine="240"/>
        <w:rPr>
          <w:color w:val="000000" w:themeColor="text1"/>
          <w:lang w:val="en-US"/>
        </w:rPr>
      </w:pPr>
      <w:r w:rsidRPr="00A30FAB">
        <w:rPr>
          <w:color w:val="000000" w:themeColor="text1"/>
          <w:shd w:val="clear" w:color="auto" w:fill="FFFFFF"/>
          <w:lang w:val="en-US"/>
        </w:rPr>
        <w:t xml:space="preserve">Large studies examining the impact of GLP-1 agonists on cardiovascular outcomes in T2D have been summarised in </w:t>
      </w:r>
      <w:r w:rsidRPr="00A30FAB">
        <w:rPr>
          <w:color w:val="000000" w:themeColor="text1"/>
          <w:lang w:val="en-US"/>
        </w:rPr>
        <w:t>Figure 5</w:t>
      </w:r>
      <w:r w:rsidRPr="00A30FAB">
        <w:rPr>
          <w:color w:val="000000" w:themeColor="text1"/>
          <w:shd w:val="clear" w:color="auto" w:fill="FFFFFF"/>
          <w:lang w:val="en-US"/>
        </w:rPr>
        <w:t>. In the LEADER trial, patients with T2D on Liraglutide had lower rates of cardiovascular death</w:t>
      </w:r>
      <w:r w:rsidR="0045296A" w:rsidRPr="00A30FAB">
        <w:rPr>
          <w:color w:val="000000" w:themeColor="text1"/>
          <w:shd w:val="clear" w:color="auto" w:fill="FFFFFF"/>
          <w:vertAlign w:val="superscript"/>
          <w:lang w:val="en-US"/>
        </w:rPr>
        <w:t>[14</w:t>
      </w:r>
      <w:r w:rsidR="0058239E" w:rsidRPr="00A30FAB">
        <w:rPr>
          <w:color w:val="000000" w:themeColor="text1"/>
          <w:shd w:val="clear" w:color="auto" w:fill="FFFFFF"/>
          <w:vertAlign w:val="superscript"/>
          <w:lang w:val="en-US"/>
        </w:rPr>
        <w:t>6</w:t>
      </w:r>
      <w:r w:rsidR="0045296A" w:rsidRPr="00A30FAB">
        <w:rPr>
          <w:color w:val="000000" w:themeColor="text1"/>
          <w:shd w:val="clear" w:color="auto" w:fill="FFFFFF"/>
          <w:vertAlign w:val="superscript"/>
          <w:lang w:val="en-US"/>
        </w:rPr>
        <w:t>]</w:t>
      </w:r>
      <w:r w:rsidRPr="00A30FAB">
        <w:rPr>
          <w:color w:val="000000" w:themeColor="text1"/>
          <w:shd w:val="clear" w:color="auto" w:fill="FFFFFF"/>
          <w:lang w:val="en-US"/>
        </w:rPr>
        <w:t>.</w:t>
      </w:r>
      <w:r w:rsidR="009A3356">
        <w:rPr>
          <w:rStyle w:val="apple-converted-space"/>
          <w:rFonts w:eastAsiaTheme="majorEastAsia" w:cs="Arial"/>
          <w:color w:val="000000" w:themeColor="text1"/>
          <w:shd w:val="clear" w:color="auto" w:fill="FFFFFF"/>
          <w:lang w:val="en-US"/>
        </w:rPr>
        <w:t xml:space="preserve"> </w:t>
      </w:r>
      <w:r w:rsidRPr="00A30FAB">
        <w:rPr>
          <w:color w:val="000000" w:themeColor="text1"/>
          <w:lang w:val="en-US"/>
        </w:rPr>
        <w:t xml:space="preserve">Similarly SUSTAIN-6 also looked at GLP-1 agonists with Semaglutide being an injectable version with longer half-life have also shown improved cardiovascular outcomes. </w:t>
      </w:r>
      <w:r w:rsidRPr="00A30FAB">
        <w:rPr>
          <w:color w:val="000000" w:themeColor="text1"/>
          <w:shd w:val="clear" w:color="auto" w:fill="FFFFFF"/>
          <w:lang w:val="en-US"/>
        </w:rPr>
        <w:t>However, in the EXSCEL</w:t>
      </w:r>
      <w:r w:rsidRPr="00A30FAB">
        <w:rPr>
          <w:color w:val="000000" w:themeColor="text1"/>
          <w:shd w:val="clear" w:color="auto" w:fill="FFFFFF"/>
          <w:vertAlign w:val="superscript"/>
          <w:lang w:val="en-US"/>
        </w:rPr>
        <w:t>[23]</w:t>
      </w:r>
      <w:r w:rsidRPr="00A30FAB">
        <w:rPr>
          <w:color w:val="000000" w:themeColor="text1"/>
          <w:shd w:val="clear" w:color="auto" w:fill="FFFFFF"/>
          <w:lang w:val="en-US"/>
        </w:rPr>
        <w:t>, Exenatide</w:t>
      </w:r>
      <w:r w:rsidRPr="00A30FAB">
        <w:rPr>
          <w:rStyle w:val="apple-converted-space"/>
          <w:rFonts w:eastAsiaTheme="majorEastAsia" w:cs="Arial"/>
          <w:color w:val="000000" w:themeColor="text1"/>
          <w:shd w:val="clear" w:color="auto" w:fill="FFFFFF"/>
          <w:lang w:val="en-US"/>
        </w:rPr>
        <w:t xml:space="preserve"> did not show </w:t>
      </w:r>
      <w:r w:rsidRPr="00A30FAB">
        <w:rPr>
          <w:color w:val="000000" w:themeColor="text1"/>
          <w:shd w:val="clear" w:color="auto" w:fill="FFFFFF"/>
          <w:lang w:val="en-US"/>
        </w:rPr>
        <w:t>overall cardiovascular risk benefit compared to placebo. Most recently, the PIONEER 6 trial has studied the non-inferiority of oral daily semaglutide against placebo for cardiovascular outcomes</w:t>
      </w:r>
      <w:r w:rsidRPr="00A30FAB">
        <w:rPr>
          <w:color w:val="000000" w:themeColor="text1"/>
          <w:shd w:val="clear" w:color="auto" w:fill="FFFFFF"/>
          <w:vertAlign w:val="superscript"/>
          <w:lang w:val="en-US"/>
        </w:rPr>
        <w:t>[14</w:t>
      </w:r>
      <w:r w:rsidR="0058239E" w:rsidRPr="00A30FAB">
        <w:rPr>
          <w:color w:val="000000" w:themeColor="text1"/>
          <w:shd w:val="clear" w:color="auto" w:fill="FFFFFF"/>
          <w:vertAlign w:val="superscript"/>
          <w:lang w:val="en-US"/>
        </w:rPr>
        <w:t>7</w:t>
      </w:r>
      <w:r w:rsidRPr="00A30FAB">
        <w:rPr>
          <w:color w:val="000000" w:themeColor="text1"/>
          <w:shd w:val="clear" w:color="auto" w:fill="FFFFFF"/>
          <w:vertAlign w:val="superscript"/>
          <w:lang w:val="en-US"/>
        </w:rPr>
        <w:t>]</w:t>
      </w:r>
      <w:r w:rsidRPr="00A30FAB">
        <w:rPr>
          <w:color w:val="000000" w:themeColor="text1"/>
          <w:shd w:val="clear" w:color="auto" w:fill="FFFFFF"/>
          <w:lang w:val="en-US"/>
        </w:rPr>
        <w:t xml:space="preserve">. It has been shown to have a significant reduction in the composite primary outcome of first occurrence of death from cardiovascular causes, nonfatal myocardial infarction (including silent), or nonfatal stroke, </w:t>
      </w:r>
      <w:r w:rsidRPr="00A30FAB">
        <w:rPr>
          <w:i/>
          <w:iCs/>
          <w:color w:val="000000" w:themeColor="text1"/>
          <w:shd w:val="clear" w:color="auto" w:fill="FFFFFF"/>
          <w:lang w:val="en-US"/>
        </w:rPr>
        <w:t>i.e</w:t>
      </w:r>
      <w:r w:rsidR="0045296A" w:rsidRPr="00A30FAB">
        <w:rPr>
          <w:i/>
          <w:iCs/>
          <w:color w:val="000000" w:themeColor="text1"/>
          <w:shd w:val="clear" w:color="auto" w:fill="FFFFFF"/>
          <w:lang w:val="en-US"/>
        </w:rPr>
        <w:t>.</w:t>
      </w:r>
      <w:r w:rsidR="0045296A" w:rsidRPr="00A30FAB">
        <w:rPr>
          <w:color w:val="000000" w:themeColor="text1"/>
          <w:shd w:val="clear" w:color="auto" w:fill="FFFFFF"/>
          <w:lang w:val="en-US"/>
        </w:rPr>
        <w:t>,</w:t>
      </w:r>
      <w:r w:rsidRPr="00A30FAB">
        <w:rPr>
          <w:color w:val="000000" w:themeColor="text1"/>
          <w:shd w:val="clear" w:color="auto" w:fill="FFFFFF"/>
          <w:lang w:val="en-US"/>
        </w:rPr>
        <w:t xml:space="preserve"> 8.6% in the semaglutide group </w:t>
      </w:r>
      <w:r w:rsidRPr="009A3356">
        <w:rPr>
          <w:i/>
          <w:iCs/>
          <w:color w:val="000000" w:themeColor="text1"/>
          <w:shd w:val="clear" w:color="auto" w:fill="FFFFFF"/>
          <w:lang w:val="en-US"/>
        </w:rPr>
        <w:t>vs</w:t>
      </w:r>
      <w:r w:rsidRPr="00A30FAB">
        <w:rPr>
          <w:color w:val="000000" w:themeColor="text1"/>
          <w:shd w:val="clear" w:color="auto" w:fill="FFFFFF"/>
          <w:lang w:val="en-US"/>
        </w:rPr>
        <w:t xml:space="preserve"> 6.6% in placebo, with a hazard ratio of 0.79, </w:t>
      </w:r>
      <w:bookmarkStart w:id="92" w:name="OLE_LINK813"/>
      <w:bookmarkStart w:id="93" w:name="OLE_LINK814"/>
      <w:r w:rsidR="0045296A" w:rsidRPr="00A30FAB">
        <w:rPr>
          <w:color w:val="000000" w:themeColor="text1"/>
          <w:shd w:val="clear" w:color="auto" w:fill="FFFFFF"/>
          <w:lang w:val="en-US"/>
        </w:rPr>
        <w:t>95%CI:</w:t>
      </w:r>
      <w:r w:rsidR="00680B0C">
        <w:rPr>
          <w:color w:val="000000" w:themeColor="text1"/>
          <w:shd w:val="clear" w:color="auto" w:fill="FFFFFF"/>
          <w:lang w:val="en-US"/>
        </w:rPr>
        <w:t xml:space="preserve"> </w:t>
      </w:r>
      <w:bookmarkEnd w:id="92"/>
      <w:bookmarkEnd w:id="93"/>
      <w:r w:rsidRPr="00A30FAB">
        <w:rPr>
          <w:color w:val="000000" w:themeColor="text1"/>
          <w:shd w:val="clear" w:color="auto" w:fill="FFFFFF"/>
          <w:lang w:val="en-US"/>
        </w:rPr>
        <w:t>0.57</w:t>
      </w:r>
      <w:r w:rsidR="0045296A" w:rsidRPr="00A30FAB">
        <w:rPr>
          <w:color w:val="000000" w:themeColor="text1"/>
          <w:shd w:val="clear" w:color="auto" w:fill="FFFFFF"/>
          <w:lang w:val="en-US"/>
        </w:rPr>
        <w:t>-</w:t>
      </w:r>
      <w:r w:rsidRPr="00A30FAB">
        <w:rPr>
          <w:color w:val="000000" w:themeColor="text1"/>
          <w:shd w:val="clear" w:color="auto" w:fill="FFFFFF"/>
          <w:lang w:val="en-US"/>
        </w:rPr>
        <w:t xml:space="preserve">1.11, </w:t>
      </w:r>
      <w:r w:rsidR="000C363C" w:rsidRPr="00A30FAB">
        <w:rPr>
          <w:i/>
          <w:color w:val="000000" w:themeColor="text1"/>
          <w:shd w:val="clear" w:color="auto" w:fill="FFFFFF"/>
          <w:lang w:val="en-US"/>
        </w:rPr>
        <w:t xml:space="preserve">P &lt; </w:t>
      </w:r>
      <w:r w:rsidRPr="00A30FAB">
        <w:rPr>
          <w:color w:val="000000" w:themeColor="text1"/>
          <w:shd w:val="clear" w:color="auto" w:fill="FFFFFF"/>
          <w:lang w:val="en-US"/>
        </w:rPr>
        <w:t xml:space="preserve">0.001 for non-inferiority, </w:t>
      </w:r>
      <w:r w:rsidR="0045296A" w:rsidRPr="00A30FAB">
        <w:rPr>
          <w:i/>
          <w:color w:val="000000" w:themeColor="text1"/>
          <w:shd w:val="clear" w:color="auto" w:fill="FFFFFF"/>
          <w:lang w:val="en-US"/>
        </w:rPr>
        <w:t>P</w:t>
      </w:r>
      <w:r w:rsidRPr="00A30FAB">
        <w:rPr>
          <w:i/>
          <w:color w:val="000000" w:themeColor="text1"/>
          <w:shd w:val="clear" w:color="auto" w:fill="FFFFFF"/>
          <w:lang w:val="en-US"/>
        </w:rPr>
        <w:t xml:space="preserve"> = 0.02</w:t>
      </w:r>
      <w:r w:rsidRPr="00A30FAB">
        <w:rPr>
          <w:color w:val="000000" w:themeColor="text1"/>
          <w:shd w:val="clear" w:color="auto" w:fill="FFFFFF"/>
          <w:lang w:val="en-US"/>
        </w:rPr>
        <w:t xml:space="preserve"> for superiority. </w:t>
      </w:r>
      <w:r w:rsidRPr="00A30FAB">
        <w:rPr>
          <w:color w:val="000000" w:themeColor="text1"/>
          <w:lang w:val="en-US"/>
        </w:rPr>
        <w:t xml:space="preserve">However, when the components of the primary outcome are looked at, </w:t>
      </w:r>
      <w:r w:rsidRPr="00A30FAB">
        <w:rPr>
          <w:color w:val="000000" w:themeColor="text1"/>
          <w:shd w:val="clear" w:color="auto" w:fill="FFFFFF"/>
          <w:lang w:val="en-US"/>
        </w:rPr>
        <w:t>non-fatal MI and death from cardiovascular causes comes up non-significant. However, this study was relatively underpowered compared to the other cardiovascular outcome trials and this may explain why the reduction was not statistically significant. Increasing evidence for oral GLP-1 agonists has marked benefits for those who have reservations regarding all previous GLP-1 agonists that have been in the form of a subcutaneous injection and will allow for better compliance with the new ADA/EASD guidance to use a GLP-1 agonist as second line therapy in diabetes. There is a larger phase three cardiovascular outcome trial underway, the Heart Disease Study of Semaglutide in patients with Type 2 Diabetes (SOUL; NCT03914326</w:t>
      </w:r>
      <w:r w:rsidRPr="00A30FAB">
        <w:rPr>
          <w:color w:val="000000" w:themeColor="text1"/>
          <w:lang w:val="en-US"/>
        </w:rPr>
        <w:t>)</w:t>
      </w:r>
      <w:r w:rsidRPr="00A30FAB">
        <w:rPr>
          <w:color w:val="000000" w:themeColor="text1"/>
          <w:shd w:val="clear" w:color="auto" w:fill="FFFFFF"/>
          <w:lang w:val="en-US"/>
        </w:rPr>
        <w:t>, looking at oral semaglutide against placebo and its effects on lowering MACE in over 9000 patients. The results of this is eagerly awaited.</w:t>
      </w:r>
    </w:p>
    <w:p w14:paraId="459B27EB" w14:textId="77777777" w:rsidR="00585FAB" w:rsidRPr="00A30FAB" w:rsidRDefault="00585FAB" w:rsidP="00A30FAB">
      <w:pPr>
        <w:adjustRightInd w:val="0"/>
        <w:snapToGrid w:val="0"/>
        <w:rPr>
          <w:color w:val="000000" w:themeColor="text1"/>
          <w:shd w:val="clear" w:color="auto" w:fill="FFFFFF"/>
          <w:lang w:val="en-US"/>
        </w:rPr>
      </w:pPr>
    </w:p>
    <w:p w14:paraId="6C574C18" w14:textId="29FDC9B1" w:rsidR="00585FAB" w:rsidRPr="00A30FAB" w:rsidRDefault="0045296A" w:rsidP="00A30FAB">
      <w:pPr>
        <w:pStyle w:val="3"/>
        <w:adjustRightInd w:val="0"/>
        <w:snapToGrid w:val="0"/>
        <w:spacing w:before="0"/>
        <w:ind w:left="0" w:firstLine="0"/>
        <w:rPr>
          <w:b/>
          <w:bCs/>
          <w:i/>
          <w:iCs/>
          <w:color w:val="000000" w:themeColor="text1"/>
          <w:lang w:val="en-US"/>
        </w:rPr>
      </w:pPr>
      <w:bookmarkStart w:id="94" w:name="OLE_LINK815"/>
      <w:bookmarkStart w:id="95" w:name="OLE_LINK816"/>
      <w:r w:rsidRPr="00A30FAB">
        <w:rPr>
          <w:b/>
          <w:bCs/>
          <w:i/>
          <w:iCs/>
          <w:color w:val="000000" w:themeColor="text1"/>
          <w:lang w:val="en-US"/>
        </w:rPr>
        <w:t>Sodium glucose co-transporter 2</w:t>
      </w:r>
      <w:bookmarkEnd w:id="94"/>
      <w:bookmarkEnd w:id="95"/>
      <w:r w:rsidRPr="00A30FAB">
        <w:rPr>
          <w:b/>
          <w:bCs/>
          <w:i/>
          <w:iCs/>
          <w:color w:val="000000" w:themeColor="text1"/>
          <w:lang w:val="en-US"/>
        </w:rPr>
        <w:t xml:space="preserve"> inhibitors</w:t>
      </w:r>
    </w:p>
    <w:p w14:paraId="6C0F19DF" w14:textId="104F1499" w:rsidR="00585FAB" w:rsidRPr="00A30FAB" w:rsidRDefault="00585FAB" w:rsidP="00A30FAB">
      <w:pPr>
        <w:adjustRightInd w:val="0"/>
        <w:snapToGrid w:val="0"/>
        <w:rPr>
          <w:color w:val="000000" w:themeColor="text1"/>
          <w:lang w:val="en-US"/>
        </w:rPr>
      </w:pPr>
      <w:r w:rsidRPr="00A30FAB">
        <w:rPr>
          <w:color w:val="000000" w:themeColor="text1"/>
          <w:lang w:val="en-US"/>
        </w:rPr>
        <w:t>In both the EMPA-REG OUTCOME</w:t>
      </w:r>
      <w:r w:rsidRPr="00A30FAB">
        <w:rPr>
          <w:color w:val="000000" w:themeColor="text1"/>
          <w:vertAlign w:val="superscript"/>
          <w:lang w:val="en-US"/>
        </w:rPr>
        <w:t>[</w:t>
      </w:r>
      <w:r w:rsidR="00C654AD" w:rsidRPr="00A30FAB">
        <w:rPr>
          <w:color w:val="000000" w:themeColor="text1"/>
          <w:vertAlign w:val="superscript"/>
          <w:lang w:val="en-US"/>
        </w:rPr>
        <w:t>19</w:t>
      </w:r>
      <w:r w:rsidRPr="00A30FAB">
        <w:rPr>
          <w:color w:val="000000" w:themeColor="text1"/>
          <w:vertAlign w:val="superscript"/>
          <w:lang w:val="en-US"/>
        </w:rPr>
        <w:t>]</w:t>
      </w:r>
      <w:r w:rsidRPr="00A30FAB">
        <w:rPr>
          <w:color w:val="000000" w:themeColor="text1"/>
          <w:lang w:val="en-US"/>
        </w:rPr>
        <w:t xml:space="preserve"> and CANVAS</w:t>
      </w:r>
      <w:r w:rsidRPr="00A30FAB">
        <w:rPr>
          <w:color w:val="000000" w:themeColor="text1"/>
          <w:vertAlign w:val="superscript"/>
          <w:lang w:val="en-US"/>
        </w:rPr>
        <w:t>[20]</w:t>
      </w:r>
      <w:r w:rsidRPr="00A30FAB">
        <w:rPr>
          <w:color w:val="000000" w:themeColor="text1"/>
          <w:lang w:val="en-US"/>
        </w:rPr>
        <w:t xml:space="preserve"> studies</w:t>
      </w:r>
      <w:r w:rsidR="00CF41D6" w:rsidRPr="00A30FAB">
        <w:rPr>
          <w:color w:val="000000" w:themeColor="text1"/>
          <w:lang w:val="en-US"/>
        </w:rPr>
        <w:t xml:space="preserve"> (Figure 6)</w:t>
      </w:r>
      <w:r w:rsidRPr="00A30FAB">
        <w:rPr>
          <w:color w:val="000000" w:themeColor="text1"/>
          <w:lang w:val="en-US"/>
        </w:rPr>
        <w:t xml:space="preserve"> there was a relative risk reduction in cardiovascular mortality and hospitalisation for HF in patients with T2D. The hazard ratio for HF hospitalisation in the EMPA-REG OUTCOME trial was 0.65, (0.57, 0.82, </w:t>
      </w:r>
      <w:r w:rsidR="000C363C" w:rsidRPr="009A3356">
        <w:rPr>
          <w:i/>
          <w:iCs/>
          <w:color w:val="000000" w:themeColor="text1"/>
          <w:lang w:val="en-US"/>
        </w:rPr>
        <w:t>P</w:t>
      </w:r>
      <w:r w:rsidR="000C363C" w:rsidRPr="00A30FAB">
        <w:rPr>
          <w:color w:val="000000" w:themeColor="text1"/>
          <w:lang w:val="en-US"/>
        </w:rPr>
        <w:t xml:space="preserve"> =</w:t>
      </w:r>
      <w:r w:rsidR="00680B0C">
        <w:rPr>
          <w:color w:val="000000" w:themeColor="text1"/>
          <w:lang w:val="en-US"/>
        </w:rPr>
        <w:t xml:space="preserve"> </w:t>
      </w:r>
      <w:r w:rsidRPr="00A30FAB">
        <w:rPr>
          <w:color w:val="000000" w:themeColor="text1"/>
          <w:lang w:val="en-US"/>
        </w:rPr>
        <w:t xml:space="preserve">0.002) for empagliflozin </w:t>
      </w:r>
      <w:r w:rsidR="005011B6" w:rsidRPr="00A30FAB">
        <w:rPr>
          <w:i/>
          <w:color w:val="000000" w:themeColor="text1"/>
          <w:lang w:val="en-US"/>
        </w:rPr>
        <w:t>vs</w:t>
      </w:r>
      <w:r w:rsidRPr="00A30FAB">
        <w:rPr>
          <w:color w:val="000000" w:themeColor="text1"/>
          <w:lang w:val="en-US"/>
        </w:rPr>
        <w:t xml:space="preserve"> placebo</w:t>
      </w:r>
      <w:r w:rsidR="0045296A" w:rsidRPr="00A30FAB">
        <w:rPr>
          <w:color w:val="000000" w:themeColor="text1"/>
          <w:vertAlign w:val="superscript"/>
          <w:lang w:val="en-US"/>
        </w:rPr>
        <w:t>[21]</w:t>
      </w:r>
      <w:r w:rsidRPr="00A30FAB">
        <w:rPr>
          <w:color w:val="000000" w:themeColor="text1"/>
          <w:lang w:val="en-US"/>
        </w:rPr>
        <w:t xml:space="preserve">. </w:t>
      </w:r>
      <w:r w:rsidRPr="00A30FAB">
        <w:rPr>
          <w:rFonts w:cs="Arial"/>
          <w:color w:val="000000" w:themeColor="text1"/>
          <w:shd w:val="clear" w:color="auto" w:fill="FFFFFF"/>
          <w:lang w:val="en-US"/>
        </w:rPr>
        <w:t xml:space="preserve">A reduction in hospitalization for HF was also observed with </w:t>
      </w:r>
      <w:r w:rsidR="0045296A" w:rsidRPr="00A30FAB">
        <w:rPr>
          <w:color w:val="000000" w:themeColor="text1"/>
          <w:lang w:val="en-US"/>
        </w:rPr>
        <w:t>Sodium glucose co-transporter 2 (SGLT2)</w:t>
      </w:r>
      <w:r w:rsidRPr="00A30FAB">
        <w:rPr>
          <w:rFonts w:cs="Arial"/>
          <w:color w:val="000000" w:themeColor="text1"/>
          <w:shd w:val="clear" w:color="auto" w:fill="FFFFFF"/>
          <w:lang w:val="en-US"/>
        </w:rPr>
        <w:t xml:space="preserve"> inhibitor Dapagliflozin </w:t>
      </w:r>
      <w:r w:rsidRPr="00A30FAB">
        <w:rPr>
          <w:color w:val="000000" w:themeColor="text1"/>
          <w:lang w:val="en-US"/>
        </w:rPr>
        <w:t xml:space="preserve">in </w:t>
      </w:r>
      <w:r w:rsidRPr="00A30FAB">
        <w:rPr>
          <w:rFonts w:cs="Arial"/>
          <w:color w:val="000000" w:themeColor="text1"/>
          <w:shd w:val="clear" w:color="auto" w:fill="FFFFFF"/>
          <w:lang w:val="en-US"/>
        </w:rPr>
        <w:t>DECLARE-TIMI 58 trial</w:t>
      </w:r>
      <w:r w:rsidR="0045296A" w:rsidRPr="00A30FAB">
        <w:rPr>
          <w:rFonts w:cs="Arial"/>
          <w:color w:val="000000" w:themeColor="text1"/>
          <w:shd w:val="clear" w:color="auto" w:fill="FFFFFF"/>
          <w:vertAlign w:val="superscript"/>
          <w:lang w:val="en-US"/>
        </w:rPr>
        <w:t>[</w:t>
      </w:r>
      <w:r w:rsidR="0058239E" w:rsidRPr="00A30FAB">
        <w:rPr>
          <w:rFonts w:cs="Arial"/>
          <w:color w:val="000000" w:themeColor="text1"/>
          <w:shd w:val="clear" w:color="auto" w:fill="FFFFFF"/>
          <w:vertAlign w:val="superscript"/>
          <w:lang w:val="en-US"/>
        </w:rPr>
        <w:t>148</w:t>
      </w:r>
      <w:r w:rsidR="0045296A" w:rsidRPr="00A30FAB">
        <w:rPr>
          <w:rFonts w:cs="Arial"/>
          <w:color w:val="000000" w:themeColor="text1"/>
          <w:shd w:val="clear" w:color="auto" w:fill="FFFFFF"/>
          <w:vertAlign w:val="superscript"/>
          <w:lang w:val="en-US"/>
        </w:rPr>
        <w:t>]</w:t>
      </w:r>
      <w:r w:rsidRPr="00A30FAB">
        <w:rPr>
          <w:rFonts w:cs="Arial"/>
          <w:color w:val="000000" w:themeColor="text1"/>
          <w:shd w:val="clear" w:color="auto" w:fill="FFFFFF"/>
          <w:lang w:val="en-US"/>
        </w:rPr>
        <w:t>.</w:t>
      </w:r>
      <w:r w:rsidR="0045296A" w:rsidRPr="00A30FAB">
        <w:rPr>
          <w:rFonts w:cs="Arial"/>
          <w:color w:val="000000" w:themeColor="text1"/>
          <w:shd w:val="clear" w:color="auto" w:fill="FFFFFF"/>
          <w:lang w:val="en-US"/>
        </w:rPr>
        <w:t xml:space="preserve"> </w:t>
      </w:r>
      <w:r w:rsidRPr="00A30FAB">
        <w:rPr>
          <w:color w:val="000000" w:themeColor="text1"/>
          <w:lang w:val="en-US"/>
        </w:rPr>
        <w:t xml:space="preserve">An important consideration in interpretation of these results is that the patients in these studies either had established cardiovascular disease or multiple risk factors for atherosclerotic cardiovascular disease risk factors and it is uncertain whether the results can be translated in to lower risk groups with prevention of the development of HF. </w:t>
      </w:r>
    </w:p>
    <w:p w14:paraId="7EA5C374" w14:textId="041076B3" w:rsidR="00585FAB" w:rsidRPr="00A30FAB" w:rsidRDefault="00585FAB" w:rsidP="009A3356">
      <w:pPr>
        <w:adjustRightInd w:val="0"/>
        <w:snapToGrid w:val="0"/>
        <w:ind w:firstLineChars="100" w:firstLine="240"/>
        <w:rPr>
          <w:color w:val="000000" w:themeColor="text1"/>
          <w:lang w:val="en-US"/>
        </w:rPr>
      </w:pPr>
      <w:r w:rsidRPr="00A30FAB">
        <w:rPr>
          <w:color w:val="000000" w:themeColor="text1"/>
          <w:lang w:val="en-US"/>
        </w:rPr>
        <w:t>The mechanisms by which SGLT2 inhibitors lower HF hospitalisation rates in T2D are still under scrutiny. However, it is hypothesised to be related to the urinary sodium and glucose excretion that leads to increased fluid losses resulting in reduced pre-load and afterload</w:t>
      </w:r>
      <w:r w:rsidRPr="00A30FAB">
        <w:rPr>
          <w:color w:val="000000" w:themeColor="text1"/>
          <w:vertAlign w:val="superscript"/>
          <w:lang w:val="en-US"/>
        </w:rPr>
        <w:t>[1</w:t>
      </w:r>
      <w:r w:rsidR="0058239E" w:rsidRPr="00A30FAB">
        <w:rPr>
          <w:color w:val="000000" w:themeColor="text1"/>
          <w:vertAlign w:val="superscript"/>
          <w:lang w:val="en-US"/>
        </w:rPr>
        <w:t>49</w:t>
      </w:r>
      <w:r w:rsidRPr="00A30FAB">
        <w:rPr>
          <w:color w:val="000000" w:themeColor="text1"/>
          <w:vertAlign w:val="superscript"/>
          <w:lang w:val="en-US"/>
        </w:rPr>
        <w:t>]</w:t>
      </w:r>
      <w:r w:rsidRPr="00A30FAB">
        <w:rPr>
          <w:color w:val="000000" w:themeColor="text1"/>
          <w:lang w:val="en-US"/>
        </w:rPr>
        <w:t>. Secondary effects include fluid loss and blood pressure lowering. There is also suggestion that SGLT2 inhibitors shift myocardial metabolism towards ketones, resulting in this having a favourable effect on cardiac energetics</w:t>
      </w:r>
      <w:r w:rsidRPr="00A30FAB">
        <w:rPr>
          <w:color w:val="000000" w:themeColor="text1"/>
          <w:vertAlign w:val="superscript"/>
          <w:lang w:val="en-US"/>
        </w:rPr>
        <w:t>[15</w:t>
      </w:r>
      <w:r w:rsidR="0058239E" w:rsidRPr="00A30FAB">
        <w:rPr>
          <w:color w:val="000000" w:themeColor="text1"/>
          <w:vertAlign w:val="superscript"/>
          <w:lang w:val="en-US"/>
        </w:rPr>
        <w:t>0</w:t>
      </w:r>
      <w:r w:rsidRPr="00A30FAB">
        <w:rPr>
          <w:color w:val="000000" w:themeColor="text1"/>
          <w:vertAlign w:val="superscript"/>
          <w:lang w:val="en-US"/>
        </w:rPr>
        <w:t>]</w:t>
      </w:r>
      <w:r w:rsidR="0045296A" w:rsidRPr="00A30FAB">
        <w:rPr>
          <w:color w:val="000000" w:themeColor="text1"/>
          <w:lang w:val="en-US"/>
        </w:rPr>
        <w:t>.</w:t>
      </w:r>
    </w:p>
    <w:p w14:paraId="38483EAA" w14:textId="77777777" w:rsidR="00585FAB" w:rsidRPr="00A30FAB" w:rsidRDefault="00585FAB" w:rsidP="00A30FAB">
      <w:pPr>
        <w:adjustRightInd w:val="0"/>
        <w:snapToGrid w:val="0"/>
        <w:rPr>
          <w:color w:val="000000" w:themeColor="text1"/>
          <w:lang w:val="en-US"/>
        </w:rPr>
      </w:pPr>
    </w:p>
    <w:p w14:paraId="4698CD9C" w14:textId="3EF4F318" w:rsidR="00585FAB" w:rsidRPr="00A30FAB" w:rsidRDefault="0045296A" w:rsidP="00A30FAB">
      <w:pPr>
        <w:pStyle w:val="2"/>
        <w:adjustRightInd w:val="0"/>
        <w:snapToGrid w:val="0"/>
        <w:spacing w:before="0" w:after="0"/>
        <w:ind w:left="0" w:firstLine="0"/>
        <w:rPr>
          <w:b/>
          <w:bCs/>
          <w:color w:val="000000" w:themeColor="text1"/>
          <w:sz w:val="24"/>
          <w:szCs w:val="24"/>
          <w:lang w:val="en-US"/>
        </w:rPr>
      </w:pPr>
      <w:r w:rsidRPr="00A30FAB">
        <w:rPr>
          <w:b/>
          <w:bCs/>
          <w:color w:val="000000" w:themeColor="text1"/>
          <w:sz w:val="24"/>
          <w:szCs w:val="24"/>
          <w:lang w:val="en-US"/>
        </w:rPr>
        <w:t>CONCLUSION</w:t>
      </w:r>
    </w:p>
    <w:p w14:paraId="6F14A8F2" w14:textId="77777777" w:rsidR="00585FAB" w:rsidRPr="00A30FAB" w:rsidRDefault="00585FAB" w:rsidP="00A30FAB">
      <w:pPr>
        <w:adjustRightInd w:val="0"/>
        <w:snapToGrid w:val="0"/>
        <w:rPr>
          <w:color w:val="000000" w:themeColor="text1"/>
          <w:lang w:val="en-US"/>
        </w:rPr>
      </w:pPr>
      <w:r w:rsidRPr="00A30FAB">
        <w:rPr>
          <w:color w:val="000000" w:themeColor="text1"/>
          <w:lang w:val="en-US"/>
        </w:rPr>
        <w:t xml:space="preserve">Diabetic heart disease is multi-faceted and spans metabolic, structural and functional changes. Recent advancements in imaging has aided significantly in understanding the pathophysiology as well as the remodelling and functional changes within the heart. Further research into the degree of dependence on fatty acid metabolism instead of glucose in the presence of diabetes is required. The relationship between the metabolic changes within the heart and functional measures such as myocardial strain rates as well as triglyceride content will help us better understand how to treat this disease process. This will also add towards increasing the mechanistic accuracy of new therapeutic targets. </w:t>
      </w:r>
    </w:p>
    <w:p w14:paraId="490E360A" w14:textId="77777777" w:rsidR="000C7A00" w:rsidRPr="00A30FAB" w:rsidRDefault="000C7A00" w:rsidP="00A30FAB">
      <w:pPr>
        <w:adjustRightInd w:val="0"/>
        <w:snapToGrid w:val="0"/>
        <w:rPr>
          <w:rFonts w:eastAsiaTheme="majorEastAsia"/>
          <w:b/>
          <w:bCs/>
          <w:color w:val="000000" w:themeColor="text1"/>
          <w:lang w:val="en-US"/>
        </w:rPr>
      </w:pPr>
      <w:r w:rsidRPr="00A30FAB">
        <w:rPr>
          <w:b/>
          <w:bCs/>
          <w:color w:val="000000" w:themeColor="text1"/>
          <w:lang w:val="en-US"/>
        </w:rPr>
        <w:br w:type="page"/>
      </w:r>
    </w:p>
    <w:p w14:paraId="77442073" w14:textId="4F354112" w:rsidR="00585FAB" w:rsidRPr="00A30FAB" w:rsidRDefault="000C7A00" w:rsidP="00A30FAB">
      <w:pPr>
        <w:pStyle w:val="2"/>
        <w:adjustRightInd w:val="0"/>
        <w:snapToGrid w:val="0"/>
        <w:spacing w:before="0" w:after="0"/>
        <w:ind w:left="0" w:firstLine="0"/>
        <w:rPr>
          <w:b/>
          <w:bCs/>
          <w:color w:val="000000" w:themeColor="text1"/>
          <w:sz w:val="24"/>
          <w:szCs w:val="24"/>
          <w:lang w:val="en-US"/>
        </w:rPr>
      </w:pPr>
      <w:r w:rsidRPr="00A30FAB">
        <w:rPr>
          <w:b/>
          <w:bCs/>
          <w:color w:val="000000" w:themeColor="text1"/>
          <w:sz w:val="24"/>
          <w:szCs w:val="24"/>
          <w:lang w:val="en-US"/>
        </w:rPr>
        <w:t>REFERENCES</w:t>
      </w:r>
    </w:p>
    <w:p w14:paraId="251037AB" w14:textId="1E2BD3E6" w:rsidR="00A30FAB" w:rsidRPr="002C01AF" w:rsidRDefault="00A30FAB" w:rsidP="00A30FAB">
      <w:pPr>
        <w:adjustRightInd w:val="0"/>
        <w:snapToGrid w:val="0"/>
        <w:rPr>
          <w:rFonts w:eastAsiaTheme="minorHAnsi" w:cs="Calibri"/>
          <w:color w:val="000000" w:themeColor="text1"/>
          <w:highlight w:val="yellow"/>
          <w:shd w:val="clear" w:color="auto" w:fill="FFFFFF"/>
          <w:lang w:val="en-US"/>
        </w:rPr>
      </w:pPr>
      <w:r w:rsidRPr="002C01AF">
        <w:rPr>
          <w:rFonts w:eastAsiaTheme="minorHAnsi" w:cs="Calibri"/>
          <w:color w:val="000000" w:themeColor="text1"/>
          <w:highlight w:val="yellow"/>
          <w:shd w:val="clear" w:color="auto" w:fill="FFFFFF"/>
          <w:lang w:val="en-US"/>
        </w:rPr>
        <w:t>1 </w:t>
      </w:r>
      <w:r w:rsidRPr="002C01AF">
        <w:rPr>
          <w:rFonts w:eastAsiaTheme="minorHAnsi" w:cs="Calibri"/>
          <w:b/>
          <w:bCs/>
          <w:color w:val="000000" w:themeColor="text1"/>
          <w:highlight w:val="yellow"/>
          <w:shd w:val="clear" w:color="auto" w:fill="FFFFFF"/>
          <w:lang w:val="en-US"/>
        </w:rPr>
        <w:t>WHO</w:t>
      </w:r>
      <w:r w:rsidRPr="002C01AF">
        <w:rPr>
          <w:rFonts w:eastAsiaTheme="minorHAnsi" w:cs="Calibri"/>
          <w:color w:val="000000" w:themeColor="text1"/>
          <w:highlight w:val="yellow"/>
          <w:shd w:val="clear" w:color="auto" w:fill="FFFFFF"/>
          <w:lang w:val="en-US"/>
        </w:rPr>
        <w:t>. Diabetes Fact Sheet. World Health Organisation, Geneva</w:t>
      </w:r>
      <w:r w:rsidR="00872DEC">
        <w:rPr>
          <w:rFonts w:ascii="微软雅黑" w:eastAsia="微软雅黑" w:hAnsi="微软雅黑" w:cs="微软雅黑"/>
          <w:color w:val="000000" w:themeColor="text1"/>
          <w:highlight w:val="yellow"/>
          <w:shd w:val="clear" w:color="auto" w:fill="FFFFFF"/>
          <w:lang w:val="en-US" w:eastAsia="zh-CN"/>
        </w:rPr>
        <w:t>.</w:t>
      </w:r>
      <w:r w:rsidR="002C01AF" w:rsidRPr="002C01AF">
        <w:rPr>
          <w:rFonts w:eastAsiaTheme="minorHAnsi" w:cs="Calibri"/>
          <w:color w:val="000000" w:themeColor="text1"/>
          <w:highlight w:val="yellow"/>
          <w:shd w:val="clear" w:color="auto" w:fill="FFFFFF"/>
          <w:lang w:val="en-US"/>
        </w:rPr>
        <w:t xml:space="preserve"> Available from: https://www.who.int/en/news-room/fact-sheets/detail/diabetes</w:t>
      </w:r>
    </w:p>
    <w:p w14:paraId="7A3469B8" w14:textId="7B8A7A4A" w:rsidR="00A30FAB" w:rsidRPr="00A30FAB" w:rsidRDefault="00A30FAB" w:rsidP="00A30FAB">
      <w:pPr>
        <w:adjustRightInd w:val="0"/>
        <w:snapToGrid w:val="0"/>
        <w:rPr>
          <w:rFonts w:eastAsiaTheme="minorHAnsi" w:cs="Calibri"/>
          <w:color w:val="000000" w:themeColor="text1"/>
          <w:shd w:val="clear" w:color="auto" w:fill="FFFFFF"/>
          <w:lang w:val="en-US"/>
        </w:rPr>
      </w:pPr>
      <w:r w:rsidRPr="002C01AF">
        <w:rPr>
          <w:rFonts w:eastAsiaTheme="minorHAnsi" w:cs="Calibri"/>
          <w:color w:val="000000" w:themeColor="text1"/>
          <w:highlight w:val="yellow"/>
          <w:shd w:val="clear" w:color="auto" w:fill="FFFFFF"/>
          <w:lang w:val="en-US"/>
        </w:rPr>
        <w:t>2 </w:t>
      </w:r>
      <w:r w:rsidRPr="002C01AF">
        <w:rPr>
          <w:rFonts w:eastAsiaTheme="minorHAnsi" w:cs="Calibri"/>
          <w:b/>
          <w:bCs/>
          <w:color w:val="000000" w:themeColor="text1"/>
          <w:highlight w:val="yellow"/>
          <w:shd w:val="clear" w:color="auto" w:fill="FFFFFF"/>
          <w:lang w:val="en-US"/>
        </w:rPr>
        <w:t>WHO</w:t>
      </w:r>
      <w:r w:rsidRPr="002C01AF">
        <w:rPr>
          <w:rFonts w:eastAsiaTheme="minorHAnsi" w:cs="Calibri"/>
          <w:color w:val="000000" w:themeColor="text1"/>
          <w:highlight w:val="yellow"/>
          <w:shd w:val="clear" w:color="auto" w:fill="FFFFFF"/>
          <w:lang w:val="en-US"/>
        </w:rPr>
        <w:t xml:space="preserve">. </w:t>
      </w:r>
      <w:bookmarkStart w:id="96" w:name="OLE_LINK37"/>
      <w:bookmarkStart w:id="97" w:name="OLE_LINK38"/>
      <w:r w:rsidR="002C01AF" w:rsidRPr="002C01AF">
        <w:rPr>
          <w:rFonts w:eastAsiaTheme="minorHAnsi" w:cs="Calibri"/>
          <w:color w:val="000000" w:themeColor="text1"/>
          <w:highlight w:val="yellow"/>
          <w:shd w:val="clear" w:color="auto" w:fill="FFFFFF"/>
          <w:lang w:val="en-US"/>
        </w:rPr>
        <w:t>T</w:t>
      </w:r>
      <w:r w:rsidRPr="002C01AF">
        <w:rPr>
          <w:rFonts w:eastAsiaTheme="minorHAnsi" w:cs="Calibri"/>
          <w:color w:val="000000" w:themeColor="text1"/>
          <w:highlight w:val="yellow"/>
          <w:shd w:val="clear" w:color="auto" w:fill="FFFFFF"/>
          <w:lang w:val="en-US"/>
        </w:rPr>
        <w:t>he top 10 causes of death</w:t>
      </w:r>
      <w:bookmarkEnd w:id="96"/>
      <w:bookmarkEnd w:id="97"/>
      <w:r w:rsidRPr="002C01AF">
        <w:rPr>
          <w:rFonts w:eastAsiaTheme="minorHAnsi" w:cs="Calibri"/>
          <w:color w:val="000000" w:themeColor="text1"/>
          <w:highlight w:val="yellow"/>
          <w:shd w:val="clear" w:color="auto" w:fill="FFFFFF"/>
          <w:lang w:val="en-US"/>
        </w:rPr>
        <w:t> </w:t>
      </w:r>
      <w:r w:rsidR="00872DEC">
        <w:rPr>
          <w:rFonts w:eastAsiaTheme="minorHAnsi" w:cs="Calibri"/>
          <w:color w:val="000000" w:themeColor="text1"/>
          <w:highlight w:val="yellow"/>
          <w:shd w:val="clear" w:color="auto" w:fill="FFFFFF"/>
          <w:lang w:val="en-US"/>
        </w:rPr>
        <w:t>[</w:t>
      </w:r>
      <w:r w:rsidRPr="002C01AF">
        <w:rPr>
          <w:rFonts w:eastAsiaTheme="minorHAnsi" w:cs="Calibri"/>
          <w:color w:val="000000" w:themeColor="text1"/>
          <w:highlight w:val="yellow"/>
          <w:shd w:val="clear" w:color="auto" w:fill="FFFFFF"/>
          <w:lang w:val="en-US"/>
        </w:rPr>
        <w:t>updated May 201</w:t>
      </w:r>
      <w:r w:rsidR="002C01AF" w:rsidRPr="002C01AF">
        <w:rPr>
          <w:rFonts w:eastAsiaTheme="minorHAnsi" w:cs="Calibri"/>
          <w:color w:val="000000" w:themeColor="text1"/>
          <w:highlight w:val="yellow"/>
          <w:shd w:val="clear" w:color="auto" w:fill="FFFFFF"/>
          <w:lang w:val="en-US"/>
        </w:rPr>
        <w:t>8</w:t>
      </w:r>
      <w:r w:rsidR="00872DEC">
        <w:rPr>
          <w:rFonts w:eastAsiaTheme="minorHAnsi" w:cs="Calibri"/>
          <w:color w:val="000000" w:themeColor="text1"/>
          <w:highlight w:val="yellow"/>
          <w:shd w:val="clear" w:color="auto" w:fill="FFFFFF"/>
          <w:lang w:val="en-US"/>
        </w:rPr>
        <w:t>]</w:t>
      </w:r>
      <w:r w:rsidRPr="002C01AF">
        <w:rPr>
          <w:rFonts w:eastAsiaTheme="minorHAnsi" w:cs="Calibri"/>
          <w:color w:val="000000" w:themeColor="text1"/>
          <w:highlight w:val="yellow"/>
          <w:shd w:val="clear" w:color="auto" w:fill="FFFFFF"/>
          <w:lang w:val="en-US"/>
        </w:rPr>
        <w:t>. World Health Organization, Geneva</w:t>
      </w:r>
      <w:r w:rsidR="00872DEC">
        <w:rPr>
          <w:rFonts w:eastAsiaTheme="minorHAnsi" w:cs="Calibri"/>
          <w:color w:val="000000" w:themeColor="text1"/>
          <w:highlight w:val="yellow"/>
          <w:shd w:val="clear" w:color="auto" w:fill="FFFFFF"/>
          <w:lang w:val="en-US"/>
        </w:rPr>
        <w:t>.</w:t>
      </w:r>
      <w:r w:rsidR="002C01AF" w:rsidRPr="002C01AF">
        <w:rPr>
          <w:rFonts w:eastAsiaTheme="minorHAnsi" w:cs="Calibri"/>
          <w:color w:val="000000" w:themeColor="text1"/>
          <w:highlight w:val="yellow"/>
          <w:shd w:val="clear" w:color="auto" w:fill="FFFFFF"/>
          <w:lang w:val="en-US"/>
        </w:rPr>
        <w:t xml:space="preserve"> Available from: https://www.who.int/news-room/fact-sheets/detail/the-top-10-causes-of-death</w:t>
      </w:r>
    </w:p>
    <w:p w14:paraId="47C8A670"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3 </w:t>
      </w:r>
      <w:r w:rsidRPr="00A30FAB">
        <w:rPr>
          <w:rFonts w:eastAsiaTheme="minorHAnsi" w:cs="Calibri"/>
          <w:b/>
          <w:bCs/>
          <w:color w:val="000000" w:themeColor="text1"/>
          <w:shd w:val="clear" w:color="auto" w:fill="FFFFFF"/>
          <w:lang w:val="en-US"/>
        </w:rPr>
        <w:t>Kannel WB</w:t>
      </w:r>
      <w:r w:rsidRPr="00A30FAB">
        <w:rPr>
          <w:rFonts w:eastAsiaTheme="minorHAnsi" w:cs="Calibri"/>
          <w:color w:val="000000" w:themeColor="text1"/>
          <w:shd w:val="clear" w:color="auto" w:fill="FFFFFF"/>
          <w:lang w:val="en-US"/>
        </w:rPr>
        <w:t>, McGee DL. Diabetes and cardiovascular disease. The Framingham study. </w:t>
      </w:r>
      <w:r w:rsidRPr="00A30FAB">
        <w:rPr>
          <w:rFonts w:eastAsiaTheme="minorHAnsi" w:cs="Calibri"/>
          <w:i/>
          <w:iCs/>
          <w:color w:val="000000" w:themeColor="text1"/>
          <w:shd w:val="clear" w:color="auto" w:fill="FFFFFF"/>
          <w:lang w:val="en-US"/>
        </w:rPr>
        <w:t>JAMA</w:t>
      </w:r>
      <w:r w:rsidRPr="00A30FAB">
        <w:rPr>
          <w:rFonts w:eastAsiaTheme="minorHAnsi" w:cs="Calibri"/>
          <w:color w:val="000000" w:themeColor="text1"/>
          <w:shd w:val="clear" w:color="auto" w:fill="FFFFFF"/>
          <w:lang w:val="en-US"/>
        </w:rPr>
        <w:t> 1979; </w:t>
      </w:r>
      <w:r w:rsidRPr="00A30FAB">
        <w:rPr>
          <w:rFonts w:eastAsiaTheme="minorHAnsi" w:cs="Calibri"/>
          <w:b/>
          <w:bCs/>
          <w:color w:val="000000" w:themeColor="text1"/>
          <w:shd w:val="clear" w:color="auto" w:fill="FFFFFF"/>
          <w:lang w:val="en-US"/>
        </w:rPr>
        <w:t>241</w:t>
      </w:r>
      <w:r w:rsidRPr="00A30FAB">
        <w:rPr>
          <w:rFonts w:eastAsiaTheme="minorHAnsi" w:cs="Calibri"/>
          <w:color w:val="000000" w:themeColor="text1"/>
          <w:shd w:val="clear" w:color="auto" w:fill="FFFFFF"/>
          <w:lang w:val="en-US"/>
        </w:rPr>
        <w:t>: 2035-2038 [PMID: 430798 DOI: 10.1001/jama.1979.03290450033020]</w:t>
      </w:r>
    </w:p>
    <w:p w14:paraId="77A5F46B" w14:textId="68F91117" w:rsidR="00A30FAB" w:rsidRPr="00A30FAB" w:rsidRDefault="00A30FAB" w:rsidP="00A30FAB">
      <w:pPr>
        <w:adjustRightInd w:val="0"/>
        <w:snapToGrid w:val="0"/>
        <w:rPr>
          <w:rFonts w:eastAsiaTheme="minorHAnsi" w:cs="Calibri"/>
          <w:color w:val="000000" w:themeColor="text1"/>
          <w:shd w:val="clear" w:color="auto" w:fill="FFFFFF"/>
          <w:lang w:val="en-US"/>
        </w:rPr>
      </w:pPr>
      <w:r w:rsidRPr="001B5C7E">
        <w:rPr>
          <w:rFonts w:eastAsiaTheme="minorHAnsi" w:cs="Calibri"/>
          <w:color w:val="000000" w:themeColor="text1"/>
          <w:highlight w:val="yellow"/>
          <w:shd w:val="clear" w:color="auto" w:fill="FFFFFF"/>
          <w:lang w:val="en-US"/>
        </w:rPr>
        <w:t>4</w:t>
      </w:r>
      <w:r w:rsidR="006F48B7" w:rsidRPr="001B5C7E">
        <w:rPr>
          <w:rFonts w:eastAsiaTheme="minorHAnsi" w:cs="Calibri"/>
          <w:color w:val="000000" w:themeColor="text1"/>
          <w:highlight w:val="yellow"/>
          <w:shd w:val="clear" w:color="auto" w:fill="FFFFFF"/>
          <w:lang w:val="en-US"/>
        </w:rPr>
        <w:t xml:space="preserve"> </w:t>
      </w:r>
      <w:r w:rsidR="00872DEC" w:rsidRPr="00872DEC">
        <w:rPr>
          <w:rFonts w:eastAsiaTheme="minorHAnsi" w:cs="Calibri"/>
          <w:b/>
          <w:color w:val="000000" w:themeColor="text1"/>
          <w:highlight w:val="yellow"/>
          <w:shd w:val="clear" w:color="auto" w:fill="FFFFFF"/>
          <w:lang w:val="en-US"/>
        </w:rPr>
        <w:t>NHS Trusts</w:t>
      </w:r>
      <w:r w:rsidR="00872DEC">
        <w:rPr>
          <w:rFonts w:eastAsiaTheme="minorHAnsi" w:cs="Calibri"/>
          <w:color w:val="000000" w:themeColor="text1"/>
          <w:highlight w:val="yellow"/>
          <w:shd w:val="clear" w:color="auto" w:fill="FFFFFF"/>
          <w:lang w:val="en-US"/>
        </w:rPr>
        <w:t xml:space="preserve">. </w:t>
      </w:r>
      <w:r w:rsidR="001B5C7E" w:rsidRPr="001B5C7E">
        <w:rPr>
          <w:rFonts w:eastAsiaTheme="minorHAnsi" w:cs="Calibri"/>
          <w:color w:val="000000" w:themeColor="text1"/>
          <w:highlight w:val="yellow"/>
          <w:shd w:val="clear" w:color="auto" w:fill="FFFFFF"/>
          <w:lang w:val="en-US"/>
        </w:rPr>
        <w:t>National Diabetes Audit Complications and Mortality 2015-2016. Available from: https://digital.nhs.uk/data-and-information/publications/statistical/national-diabetes-audit/national-diabetes-audit-complications-and-mortality-2015-2016</w:t>
      </w:r>
    </w:p>
    <w:p w14:paraId="349EB5FE" w14:textId="07F5E1AF"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5 </w:t>
      </w:r>
      <w:r w:rsidRPr="00A30FAB">
        <w:rPr>
          <w:rFonts w:eastAsiaTheme="minorHAnsi" w:cs="Calibri"/>
          <w:b/>
          <w:bCs/>
          <w:color w:val="000000" w:themeColor="text1"/>
          <w:shd w:val="clear" w:color="auto" w:fill="FFFFFF"/>
          <w:lang w:val="en-US"/>
        </w:rPr>
        <w:t>Hippisley-Cox J</w:t>
      </w:r>
      <w:r w:rsidRPr="00A30FAB">
        <w:rPr>
          <w:rFonts w:eastAsiaTheme="minorHAnsi" w:cs="Calibri"/>
          <w:color w:val="000000" w:themeColor="text1"/>
          <w:shd w:val="clear" w:color="auto" w:fill="FFFFFF"/>
          <w:lang w:val="en-US"/>
        </w:rPr>
        <w:t>, Coupland C. Diabetes treatments and risk of heart failure, cardiovascular disease, and all</w:t>
      </w:r>
      <w:r w:rsidR="00F12BAF">
        <w:rPr>
          <w:rFonts w:eastAsiaTheme="minorHAnsi" w:cs="Calibri"/>
          <w:color w:val="000000" w:themeColor="text1"/>
          <w:shd w:val="clear" w:color="auto" w:fill="FFFFFF"/>
          <w:lang w:val="en-US"/>
        </w:rPr>
        <w:t xml:space="preserve"> </w:t>
      </w:r>
      <w:r w:rsidRPr="00A30FAB">
        <w:rPr>
          <w:rFonts w:eastAsiaTheme="minorHAnsi" w:cs="Calibri"/>
          <w:color w:val="000000" w:themeColor="text1"/>
          <w:shd w:val="clear" w:color="auto" w:fill="FFFFFF"/>
          <w:lang w:val="en-US"/>
        </w:rPr>
        <w:t>cause mortality: cohort study in primary care. </w:t>
      </w:r>
      <w:r w:rsidRPr="00A30FAB">
        <w:rPr>
          <w:rFonts w:eastAsiaTheme="minorHAnsi" w:cs="Calibri"/>
          <w:i/>
          <w:iCs/>
          <w:color w:val="000000" w:themeColor="text1"/>
          <w:shd w:val="clear" w:color="auto" w:fill="FFFFFF"/>
          <w:lang w:val="en-US"/>
        </w:rPr>
        <w:t>BMJ</w:t>
      </w:r>
      <w:r w:rsidRPr="00A30FAB">
        <w:rPr>
          <w:rFonts w:eastAsiaTheme="minorHAnsi" w:cs="Calibri"/>
          <w:color w:val="000000" w:themeColor="text1"/>
          <w:shd w:val="clear" w:color="auto" w:fill="FFFFFF"/>
          <w:lang w:val="en-US"/>
        </w:rPr>
        <w:t> 2016; </w:t>
      </w:r>
      <w:r w:rsidRPr="00A30FAB">
        <w:rPr>
          <w:rFonts w:eastAsiaTheme="minorHAnsi" w:cs="Calibri"/>
          <w:b/>
          <w:bCs/>
          <w:color w:val="000000" w:themeColor="text1"/>
          <w:shd w:val="clear" w:color="auto" w:fill="FFFFFF"/>
          <w:lang w:val="en-US"/>
        </w:rPr>
        <w:t>354</w:t>
      </w:r>
      <w:r w:rsidRPr="00A30FAB">
        <w:rPr>
          <w:rFonts w:eastAsiaTheme="minorHAnsi" w:cs="Calibri"/>
          <w:color w:val="000000" w:themeColor="text1"/>
          <w:shd w:val="clear" w:color="auto" w:fill="FFFFFF"/>
          <w:lang w:val="en-US"/>
        </w:rPr>
        <w:t>: i3477 [PMID: 27413012 DOI: 10.1136/bmj.i3477]</w:t>
      </w:r>
    </w:p>
    <w:p w14:paraId="47B89456"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6 </w:t>
      </w:r>
      <w:r w:rsidRPr="00A30FAB">
        <w:rPr>
          <w:rFonts w:eastAsiaTheme="minorHAnsi" w:cs="Calibri"/>
          <w:b/>
          <w:bCs/>
          <w:color w:val="000000" w:themeColor="text1"/>
          <w:shd w:val="clear" w:color="auto" w:fill="FFFFFF"/>
          <w:lang w:val="en-US"/>
        </w:rPr>
        <w:t>Kannel WB</w:t>
      </w:r>
      <w:r w:rsidRPr="00A30FAB">
        <w:rPr>
          <w:rFonts w:eastAsiaTheme="minorHAnsi" w:cs="Calibri"/>
          <w:color w:val="000000" w:themeColor="text1"/>
          <w:shd w:val="clear" w:color="auto" w:fill="FFFFFF"/>
          <w:lang w:val="en-US"/>
        </w:rPr>
        <w:t>. Framingham study insights on diabetes and cardiovascular disease. </w:t>
      </w:r>
      <w:r w:rsidRPr="00A30FAB">
        <w:rPr>
          <w:rFonts w:eastAsiaTheme="minorHAnsi" w:cs="Calibri"/>
          <w:i/>
          <w:iCs/>
          <w:color w:val="000000" w:themeColor="text1"/>
          <w:shd w:val="clear" w:color="auto" w:fill="FFFFFF"/>
          <w:lang w:val="en-US"/>
        </w:rPr>
        <w:t>Clin Chem</w:t>
      </w:r>
      <w:r w:rsidRPr="00A30FAB">
        <w:rPr>
          <w:rFonts w:eastAsiaTheme="minorHAnsi" w:cs="Calibri"/>
          <w:color w:val="000000" w:themeColor="text1"/>
          <w:shd w:val="clear" w:color="auto" w:fill="FFFFFF"/>
          <w:lang w:val="en-US"/>
        </w:rPr>
        <w:t> 2011; </w:t>
      </w:r>
      <w:r w:rsidRPr="00A30FAB">
        <w:rPr>
          <w:rFonts w:eastAsiaTheme="minorHAnsi" w:cs="Calibri"/>
          <w:b/>
          <w:bCs/>
          <w:color w:val="000000" w:themeColor="text1"/>
          <w:shd w:val="clear" w:color="auto" w:fill="FFFFFF"/>
          <w:lang w:val="en-US"/>
        </w:rPr>
        <w:t>57</w:t>
      </w:r>
      <w:r w:rsidRPr="00A30FAB">
        <w:rPr>
          <w:rFonts w:eastAsiaTheme="minorHAnsi" w:cs="Calibri"/>
          <w:color w:val="000000" w:themeColor="text1"/>
          <w:shd w:val="clear" w:color="auto" w:fill="FFFFFF"/>
          <w:lang w:val="en-US"/>
        </w:rPr>
        <w:t>: 338-339 [PMID: 20837786 DOI: 10.1373/clinchem.2010.149740]</w:t>
      </w:r>
    </w:p>
    <w:p w14:paraId="0F1F7086"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7 </w:t>
      </w:r>
      <w:r w:rsidRPr="00A30FAB">
        <w:rPr>
          <w:rFonts w:eastAsiaTheme="minorHAnsi" w:cs="Calibri"/>
          <w:b/>
          <w:bCs/>
          <w:color w:val="000000" w:themeColor="text1"/>
          <w:shd w:val="clear" w:color="auto" w:fill="FFFFFF"/>
          <w:lang w:val="en-US"/>
        </w:rPr>
        <w:t>Garcia MJ</w:t>
      </w:r>
      <w:r w:rsidRPr="00A30FAB">
        <w:rPr>
          <w:rFonts w:eastAsiaTheme="minorHAnsi" w:cs="Calibri"/>
          <w:color w:val="000000" w:themeColor="text1"/>
          <w:shd w:val="clear" w:color="auto" w:fill="FFFFFF"/>
          <w:lang w:val="en-US"/>
        </w:rPr>
        <w:t>, McNamara PM, Gordon T, Kannel WB. Morbidity and mortality in diabetics in the Framingham population. Sixteen year follow-up study. </w:t>
      </w:r>
      <w:r w:rsidRPr="00A30FAB">
        <w:rPr>
          <w:rFonts w:eastAsiaTheme="minorHAnsi" w:cs="Calibri"/>
          <w:i/>
          <w:iCs/>
          <w:color w:val="000000" w:themeColor="text1"/>
          <w:shd w:val="clear" w:color="auto" w:fill="FFFFFF"/>
          <w:lang w:val="en-US"/>
        </w:rPr>
        <w:t>Diabetes</w:t>
      </w:r>
      <w:r w:rsidRPr="00A30FAB">
        <w:rPr>
          <w:rFonts w:eastAsiaTheme="minorHAnsi" w:cs="Calibri"/>
          <w:color w:val="000000" w:themeColor="text1"/>
          <w:shd w:val="clear" w:color="auto" w:fill="FFFFFF"/>
          <w:lang w:val="en-US"/>
        </w:rPr>
        <w:t> 1974; </w:t>
      </w:r>
      <w:r w:rsidRPr="00A30FAB">
        <w:rPr>
          <w:rFonts w:eastAsiaTheme="minorHAnsi" w:cs="Calibri"/>
          <w:b/>
          <w:bCs/>
          <w:color w:val="000000" w:themeColor="text1"/>
          <w:shd w:val="clear" w:color="auto" w:fill="FFFFFF"/>
          <w:lang w:val="en-US"/>
        </w:rPr>
        <w:t>23</w:t>
      </w:r>
      <w:r w:rsidRPr="00A30FAB">
        <w:rPr>
          <w:rFonts w:eastAsiaTheme="minorHAnsi" w:cs="Calibri"/>
          <w:color w:val="000000" w:themeColor="text1"/>
          <w:shd w:val="clear" w:color="auto" w:fill="FFFFFF"/>
          <w:lang w:val="en-US"/>
        </w:rPr>
        <w:t>: 105-111 [PMID: 4359625 DOI: 10.2337/diab.23.2.105]</w:t>
      </w:r>
    </w:p>
    <w:p w14:paraId="442C90E2"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8 </w:t>
      </w:r>
      <w:r w:rsidRPr="00A30FAB">
        <w:rPr>
          <w:rFonts w:eastAsiaTheme="minorHAnsi" w:cs="Calibri"/>
          <w:b/>
          <w:bCs/>
          <w:color w:val="000000" w:themeColor="text1"/>
          <w:shd w:val="clear" w:color="auto" w:fill="FFFFFF"/>
          <w:lang w:val="en-US"/>
        </w:rPr>
        <w:t>Nichols GA</w:t>
      </w:r>
      <w:r w:rsidRPr="00A30FAB">
        <w:rPr>
          <w:rFonts w:eastAsiaTheme="minorHAnsi" w:cs="Calibri"/>
          <w:color w:val="000000" w:themeColor="text1"/>
          <w:shd w:val="clear" w:color="auto" w:fill="FFFFFF"/>
          <w:lang w:val="en-US"/>
        </w:rPr>
        <w:t>, Gullion CM, Koro CE, Ephross SA, Brown JB. The incidence of congestive heart failure in type 2 diabetes: an update. </w:t>
      </w:r>
      <w:r w:rsidRPr="00A30FAB">
        <w:rPr>
          <w:rFonts w:eastAsiaTheme="minorHAnsi" w:cs="Calibri"/>
          <w:i/>
          <w:iCs/>
          <w:color w:val="000000" w:themeColor="text1"/>
          <w:shd w:val="clear" w:color="auto" w:fill="FFFFFF"/>
          <w:lang w:val="en-US"/>
        </w:rPr>
        <w:t>Diabetes Care</w:t>
      </w:r>
      <w:r w:rsidRPr="00A30FAB">
        <w:rPr>
          <w:rFonts w:eastAsiaTheme="minorHAnsi" w:cs="Calibri"/>
          <w:color w:val="000000" w:themeColor="text1"/>
          <w:shd w:val="clear" w:color="auto" w:fill="FFFFFF"/>
          <w:lang w:val="en-US"/>
        </w:rPr>
        <w:t> 2004; </w:t>
      </w:r>
      <w:r w:rsidRPr="00A30FAB">
        <w:rPr>
          <w:rFonts w:eastAsiaTheme="minorHAnsi" w:cs="Calibri"/>
          <w:b/>
          <w:bCs/>
          <w:color w:val="000000" w:themeColor="text1"/>
          <w:shd w:val="clear" w:color="auto" w:fill="FFFFFF"/>
          <w:lang w:val="en-US"/>
        </w:rPr>
        <w:t>27</w:t>
      </w:r>
      <w:r w:rsidRPr="00A30FAB">
        <w:rPr>
          <w:rFonts w:eastAsiaTheme="minorHAnsi" w:cs="Calibri"/>
          <w:color w:val="000000" w:themeColor="text1"/>
          <w:shd w:val="clear" w:color="auto" w:fill="FFFFFF"/>
          <w:lang w:val="en-US"/>
        </w:rPr>
        <w:t>: 1879-1884 [PMID: 15277411 DOI: 10.2337/diacare.27.8.1879]</w:t>
      </w:r>
    </w:p>
    <w:p w14:paraId="7CBEFD86" w14:textId="670F4DDC"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9 </w:t>
      </w:r>
      <w:r w:rsidRPr="00A30FAB">
        <w:rPr>
          <w:rFonts w:eastAsiaTheme="minorHAnsi" w:cs="Calibri"/>
          <w:b/>
          <w:bCs/>
          <w:color w:val="000000" w:themeColor="text1"/>
          <w:shd w:val="clear" w:color="auto" w:fill="FFFFFF"/>
          <w:lang w:val="en-US"/>
        </w:rPr>
        <w:t>Rubler S</w:t>
      </w:r>
      <w:r w:rsidRPr="00F12BAF">
        <w:rPr>
          <w:rFonts w:eastAsiaTheme="minorHAnsi" w:cs="Calibri"/>
          <w:color w:val="000000" w:themeColor="text1"/>
          <w:shd w:val="clear" w:color="auto" w:fill="FFFFFF"/>
          <w:lang w:val="en-US"/>
        </w:rPr>
        <w:t>,</w:t>
      </w:r>
      <w:r w:rsidRPr="00A30FAB">
        <w:rPr>
          <w:rFonts w:eastAsiaTheme="minorHAnsi" w:cs="Calibri"/>
          <w:color w:val="000000" w:themeColor="text1"/>
          <w:shd w:val="clear" w:color="auto" w:fill="FFFFFF"/>
          <w:lang w:val="en-US"/>
        </w:rPr>
        <w:t xml:space="preserve"> Yuceoglu YZ, Kumral T, Grishman A, Branwood AW, Dlugash J. New type of cardiomyopathy associated with diabetic glomerulosclerosis. </w:t>
      </w:r>
      <w:r w:rsidRPr="00F12BAF">
        <w:rPr>
          <w:rFonts w:eastAsiaTheme="minorHAnsi" w:cs="Calibri"/>
          <w:i/>
          <w:iCs/>
          <w:color w:val="000000" w:themeColor="text1"/>
          <w:shd w:val="clear" w:color="auto" w:fill="FFFFFF"/>
          <w:lang w:val="en-US"/>
        </w:rPr>
        <w:t>Am J Cardiol</w:t>
      </w:r>
      <w:r w:rsidRPr="00A30FAB">
        <w:rPr>
          <w:rFonts w:eastAsiaTheme="minorHAnsi" w:cs="Calibri"/>
          <w:color w:val="000000" w:themeColor="text1"/>
          <w:shd w:val="clear" w:color="auto" w:fill="FFFFFF"/>
          <w:lang w:val="en-US"/>
        </w:rPr>
        <w:t xml:space="preserve"> 1972; </w:t>
      </w:r>
      <w:r w:rsidRPr="00F12BAF">
        <w:rPr>
          <w:rFonts w:eastAsiaTheme="minorHAnsi" w:cs="Calibri"/>
          <w:b/>
          <w:bCs/>
          <w:color w:val="000000" w:themeColor="text1"/>
          <w:shd w:val="clear" w:color="auto" w:fill="FFFFFF"/>
          <w:lang w:val="en-US"/>
        </w:rPr>
        <w:t>30</w:t>
      </w:r>
      <w:r w:rsidRPr="00A30FAB">
        <w:rPr>
          <w:rFonts w:eastAsiaTheme="minorHAnsi" w:cs="Calibri"/>
          <w:color w:val="000000" w:themeColor="text1"/>
          <w:shd w:val="clear" w:color="auto" w:fill="FFFFFF"/>
          <w:lang w:val="en-US"/>
        </w:rPr>
        <w:t xml:space="preserve">: 595 </w:t>
      </w:r>
      <w:r w:rsidR="00F12BAF">
        <w:rPr>
          <w:rFonts w:eastAsiaTheme="minorHAnsi" w:cs="Calibri"/>
          <w:color w:val="000000" w:themeColor="text1"/>
          <w:shd w:val="clear" w:color="auto" w:fill="FFFFFF"/>
          <w:lang w:val="en-US"/>
        </w:rPr>
        <w:t>[</w:t>
      </w:r>
      <w:r w:rsidRPr="00A30FAB">
        <w:rPr>
          <w:rFonts w:eastAsiaTheme="minorHAnsi" w:cs="Calibri"/>
          <w:color w:val="000000" w:themeColor="text1"/>
          <w:shd w:val="clear" w:color="auto" w:fill="FFFFFF"/>
          <w:lang w:val="en-US"/>
        </w:rPr>
        <w:t>DOI: 10.1016/0002-9149(72)90595-4</w:t>
      </w:r>
      <w:r w:rsidR="00F12BAF">
        <w:rPr>
          <w:rFonts w:eastAsiaTheme="minorHAnsi" w:cs="Calibri"/>
          <w:color w:val="000000" w:themeColor="text1"/>
          <w:shd w:val="clear" w:color="auto" w:fill="FFFFFF"/>
          <w:lang w:val="en-US"/>
        </w:rPr>
        <w:t>]</w:t>
      </w:r>
    </w:p>
    <w:p w14:paraId="4610EC33"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10 </w:t>
      </w:r>
      <w:r w:rsidRPr="00A30FAB">
        <w:rPr>
          <w:rFonts w:eastAsiaTheme="minorHAnsi" w:cs="Calibri"/>
          <w:b/>
          <w:bCs/>
          <w:color w:val="000000" w:themeColor="text1"/>
          <w:shd w:val="clear" w:color="auto" w:fill="FFFFFF"/>
          <w:lang w:val="en-US"/>
        </w:rPr>
        <w:t>Larghat AM</w:t>
      </w:r>
      <w:r w:rsidRPr="00A30FAB">
        <w:rPr>
          <w:rFonts w:eastAsiaTheme="minorHAnsi" w:cs="Calibri"/>
          <w:color w:val="000000" w:themeColor="text1"/>
          <w:shd w:val="clear" w:color="auto" w:fill="FFFFFF"/>
          <w:lang w:val="en-US"/>
        </w:rPr>
        <w:t>, Swoboda PP, Biglands JD, Kearney MT, Greenwood JP, Plein S. The microvascular effects of insulin resistance and diabetes on cardiac structure, function, and perfusion: a cardiovascular magnetic resonance study. </w:t>
      </w:r>
      <w:r w:rsidRPr="00A30FAB">
        <w:rPr>
          <w:rFonts w:eastAsiaTheme="minorHAnsi" w:cs="Calibri"/>
          <w:i/>
          <w:iCs/>
          <w:color w:val="000000" w:themeColor="text1"/>
          <w:shd w:val="clear" w:color="auto" w:fill="FFFFFF"/>
          <w:lang w:val="en-US"/>
        </w:rPr>
        <w:t>Eur Heart J Cardiovasc Imaging</w:t>
      </w:r>
      <w:r w:rsidRPr="00A30FAB">
        <w:rPr>
          <w:rFonts w:eastAsiaTheme="minorHAnsi" w:cs="Calibri"/>
          <w:color w:val="000000" w:themeColor="text1"/>
          <w:shd w:val="clear" w:color="auto" w:fill="FFFFFF"/>
          <w:lang w:val="en-US"/>
        </w:rPr>
        <w:t> 2014; </w:t>
      </w:r>
      <w:r w:rsidRPr="00A30FAB">
        <w:rPr>
          <w:rFonts w:eastAsiaTheme="minorHAnsi" w:cs="Calibri"/>
          <w:b/>
          <w:bCs/>
          <w:color w:val="000000" w:themeColor="text1"/>
          <w:shd w:val="clear" w:color="auto" w:fill="FFFFFF"/>
          <w:lang w:val="en-US"/>
        </w:rPr>
        <w:t>15</w:t>
      </w:r>
      <w:r w:rsidRPr="00A30FAB">
        <w:rPr>
          <w:rFonts w:eastAsiaTheme="minorHAnsi" w:cs="Calibri"/>
          <w:color w:val="000000" w:themeColor="text1"/>
          <w:shd w:val="clear" w:color="auto" w:fill="FFFFFF"/>
          <w:lang w:val="en-US"/>
        </w:rPr>
        <w:t>: 1368-1376 [PMID: 25117473 DOI: 10.1093/ehjci/jeu142]</w:t>
      </w:r>
    </w:p>
    <w:p w14:paraId="1242375F"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11 </w:t>
      </w:r>
      <w:r w:rsidRPr="00A30FAB">
        <w:rPr>
          <w:rFonts w:eastAsiaTheme="minorHAnsi" w:cs="Calibri"/>
          <w:b/>
          <w:bCs/>
          <w:color w:val="000000" w:themeColor="text1"/>
          <w:shd w:val="clear" w:color="auto" w:fill="FFFFFF"/>
          <w:lang w:val="en-US"/>
        </w:rPr>
        <w:t>Khan JN</w:t>
      </w:r>
      <w:r w:rsidRPr="00A30FAB">
        <w:rPr>
          <w:rFonts w:eastAsiaTheme="minorHAnsi" w:cs="Calibri"/>
          <w:color w:val="000000" w:themeColor="text1"/>
          <w:shd w:val="clear" w:color="auto" w:fill="FFFFFF"/>
          <w:lang w:val="en-US"/>
        </w:rPr>
        <w:t>, Wilmot EG, Leggate M, Singh A, Yates T, Nimmo M, Khunti K, Horsfield MA, Biglands J, Clarysse P, Croisille P, Davies M, McCann GP. Subclinical diastolic dysfunction in young adults with Type 2 diabetes mellitus: a multiparametric contrast-enhanced cardiovascular magnetic resonance pilot study assessing potential mechanisms. </w:t>
      </w:r>
      <w:r w:rsidRPr="00A30FAB">
        <w:rPr>
          <w:rFonts w:eastAsiaTheme="minorHAnsi" w:cs="Calibri"/>
          <w:i/>
          <w:iCs/>
          <w:color w:val="000000" w:themeColor="text1"/>
          <w:shd w:val="clear" w:color="auto" w:fill="FFFFFF"/>
          <w:lang w:val="en-US"/>
        </w:rPr>
        <w:t>Eur Heart J Cardiovasc Imaging</w:t>
      </w:r>
      <w:r w:rsidRPr="00A30FAB">
        <w:rPr>
          <w:rFonts w:eastAsiaTheme="minorHAnsi" w:cs="Calibri"/>
          <w:color w:val="000000" w:themeColor="text1"/>
          <w:shd w:val="clear" w:color="auto" w:fill="FFFFFF"/>
          <w:lang w:val="en-US"/>
        </w:rPr>
        <w:t> 2014; </w:t>
      </w:r>
      <w:r w:rsidRPr="00A30FAB">
        <w:rPr>
          <w:rFonts w:eastAsiaTheme="minorHAnsi" w:cs="Calibri"/>
          <w:b/>
          <w:bCs/>
          <w:color w:val="000000" w:themeColor="text1"/>
          <w:shd w:val="clear" w:color="auto" w:fill="FFFFFF"/>
          <w:lang w:val="en-US"/>
        </w:rPr>
        <w:t>15</w:t>
      </w:r>
      <w:r w:rsidRPr="00A30FAB">
        <w:rPr>
          <w:rFonts w:eastAsiaTheme="minorHAnsi" w:cs="Calibri"/>
          <w:color w:val="000000" w:themeColor="text1"/>
          <w:shd w:val="clear" w:color="auto" w:fill="FFFFFF"/>
          <w:lang w:val="en-US"/>
        </w:rPr>
        <w:t>: 1263-1269 [PMID: 24970723 DOI: 10.1093/ehjci/jeu121]</w:t>
      </w:r>
    </w:p>
    <w:p w14:paraId="1152FEFF"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12 </w:t>
      </w:r>
      <w:r w:rsidRPr="00A30FAB">
        <w:rPr>
          <w:rFonts w:eastAsiaTheme="minorHAnsi" w:cs="Calibri"/>
          <w:b/>
          <w:bCs/>
          <w:color w:val="000000" w:themeColor="text1"/>
          <w:shd w:val="clear" w:color="auto" w:fill="FFFFFF"/>
          <w:lang w:val="en-US"/>
        </w:rPr>
        <w:t>van Riet EE</w:t>
      </w:r>
      <w:r w:rsidRPr="00A30FAB">
        <w:rPr>
          <w:rFonts w:eastAsiaTheme="minorHAnsi" w:cs="Calibri"/>
          <w:color w:val="000000" w:themeColor="text1"/>
          <w:shd w:val="clear" w:color="auto" w:fill="FFFFFF"/>
          <w:lang w:val="en-US"/>
        </w:rPr>
        <w:t>, Hoes AW, Wagenaar KP, Limburg A, Landman MA, Rutten FH. Epidemiology of heart failure: the prevalence of heart failure and ventricular dysfunction in older adults over time. A systematic review. </w:t>
      </w:r>
      <w:r w:rsidRPr="00A30FAB">
        <w:rPr>
          <w:rFonts w:eastAsiaTheme="minorHAnsi" w:cs="Calibri"/>
          <w:i/>
          <w:iCs/>
          <w:color w:val="000000" w:themeColor="text1"/>
          <w:shd w:val="clear" w:color="auto" w:fill="FFFFFF"/>
          <w:lang w:val="en-US"/>
        </w:rPr>
        <w:t>Eur J Heart Fail</w:t>
      </w:r>
      <w:r w:rsidRPr="00A30FAB">
        <w:rPr>
          <w:rFonts w:eastAsiaTheme="minorHAnsi" w:cs="Calibri"/>
          <w:color w:val="000000" w:themeColor="text1"/>
          <w:shd w:val="clear" w:color="auto" w:fill="FFFFFF"/>
          <w:lang w:val="en-US"/>
        </w:rPr>
        <w:t> 2016; </w:t>
      </w:r>
      <w:r w:rsidRPr="00A30FAB">
        <w:rPr>
          <w:rFonts w:eastAsiaTheme="minorHAnsi" w:cs="Calibri"/>
          <w:b/>
          <w:bCs/>
          <w:color w:val="000000" w:themeColor="text1"/>
          <w:shd w:val="clear" w:color="auto" w:fill="FFFFFF"/>
          <w:lang w:val="en-US"/>
        </w:rPr>
        <w:t>18</w:t>
      </w:r>
      <w:r w:rsidRPr="00A30FAB">
        <w:rPr>
          <w:rFonts w:eastAsiaTheme="minorHAnsi" w:cs="Calibri"/>
          <w:color w:val="000000" w:themeColor="text1"/>
          <w:shd w:val="clear" w:color="auto" w:fill="FFFFFF"/>
          <w:lang w:val="en-US"/>
        </w:rPr>
        <w:t>: 242-252 [PMID: 26727047 DOI: 10.1002/ejhf.483]</w:t>
      </w:r>
    </w:p>
    <w:p w14:paraId="380D3B0E" w14:textId="2D01028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13 Intensive blood-glucose control with sulphonylureas or insulin compared with conventional treatment and risk of complications in patients with type 2 diabetes (UKPDS 33). UK Prospective Diabetes Study (UKPDS) Group. </w:t>
      </w:r>
      <w:r w:rsidRPr="00A30FAB">
        <w:rPr>
          <w:rFonts w:eastAsiaTheme="minorHAnsi" w:cs="Calibri"/>
          <w:i/>
          <w:iCs/>
          <w:color w:val="000000" w:themeColor="text1"/>
          <w:shd w:val="clear" w:color="auto" w:fill="FFFFFF"/>
          <w:lang w:val="en-US"/>
        </w:rPr>
        <w:t>Lancet</w:t>
      </w:r>
      <w:r w:rsidRPr="00A30FAB">
        <w:rPr>
          <w:rFonts w:eastAsiaTheme="minorHAnsi" w:cs="Calibri"/>
          <w:color w:val="000000" w:themeColor="text1"/>
          <w:shd w:val="clear" w:color="auto" w:fill="FFFFFF"/>
          <w:lang w:val="en-US"/>
        </w:rPr>
        <w:t> 1998; </w:t>
      </w:r>
      <w:r w:rsidRPr="00A30FAB">
        <w:rPr>
          <w:rFonts w:eastAsiaTheme="minorHAnsi" w:cs="Calibri"/>
          <w:b/>
          <w:bCs/>
          <w:color w:val="000000" w:themeColor="text1"/>
          <w:shd w:val="clear" w:color="auto" w:fill="FFFFFF"/>
          <w:lang w:val="en-US"/>
        </w:rPr>
        <w:t>352</w:t>
      </w:r>
      <w:r w:rsidRPr="00A30FAB">
        <w:rPr>
          <w:rFonts w:eastAsiaTheme="minorHAnsi" w:cs="Calibri"/>
          <w:color w:val="000000" w:themeColor="text1"/>
          <w:shd w:val="clear" w:color="auto" w:fill="FFFFFF"/>
          <w:lang w:val="en-US"/>
        </w:rPr>
        <w:t>: 837-853 [PMID: 9742976 DOI: 10.1016/S0140-6736(98)07019-6]</w:t>
      </w:r>
    </w:p>
    <w:p w14:paraId="6E9F4753"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14 </w:t>
      </w:r>
      <w:r w:rsidRPr="00A30FAB">
        <w:rPr>
          <w:rFonts w:eastAsiaTheme="minorHAnsi" w:cs="Calibri"/>
          <w:b/>
          <w:bCs/>
          <w:color w:val="000000" w:themeColor="text1"/>
          <w:shd w:val="clear" w:color="auto" w:fill="FFFFFF"/>
          <w:lang w:val="en-US"/>
        </w:rPr>
        <w:t>Patel A</w:t>
      </w:r>
      <w:r w:rsidRPr="00A30FAB">
        <w:rPr>
          <w:rFonts w:eastAsiaTheme="minorHAnsi" w:cs="Calibri"/>
          <w:color w:val="000000" w:themeColor="text1"/>
          <w:shd w:val="clear" w:color="auto" w:fill="FFFFFF"/>
          <w:lang w:val="en-US"/>
        </w:rPr>
        <w:t>; ADVANCE Collaborative Group, MacMahon S, Chalmers J, Neal B, Woodward M, Billot L, Harrap S, Poulter N, Marre M, Cooper M, Glasziou P, Grobbee DE, Hamet P, Heller S, Liu LS, Mancia G, Mogensen CE, Pan CY, Rodgers A, Williams B. Effects of a fixed combination of perindopril and indapamide on macrovascular and microvascular outcomes in patients with type 2 diabetes mellitus (the ADVANCE trial): a randomised controlled trial. </w:t>
      </w:r>
      <w:r w:rsidRPr="00A30FAB">
        <w:rPr>
          <w:rFonts w:eastAsiaTheme="minorHAnsi" w:cs="Calibri"/>
          <w:i/>
          <w:iCs/>
          <w:color w:val="000000" w:themeColor="text1"/>
          <w:shd w:val="clear" w:color="auto" w:fill="FFFFFF"/>
          <w:lang w:val="en-US"/>
        </w:rPr>
        <w:t>Lancet</w:t>
      </w:r>
      <w:r w:rsidRPr="00A30FAB">
        <w:rPr>
          <w:rFonts w:eastAsiaTheme="minorHAnsi" w:cs="Calibri"/>
          <w:color w:val="000000" w:themeColor="text1"/>
          <w:shd w:val="clear" w:color="auto" w:fill="FFFFFF"/>
          <w:lang w:val="en-US"/>
        </w:rPr>
        <w:t> 2007; </w:t>
      </w:r>
      <w:r w:rsidRPr="00A30FAB">
        <w:rPr>
          <w:rFonts w:eastAsiaTheme="minorHAnsi" w:cs="Calibri"/>
          <w:b/>
          <w:bCs/>
          <w:color w:val="000000" w:themeColor="text1"/>
          <w:shd w:val="clear" w:color="auto" w:fill="FFFFFF"/>
          <w:lang w:val="en-US"/>
        </w:rPr>
        <w:t>370</w:t>
      </w:r>
      <w:r w:rsidRPr="00A30FAB">
        <w:rPr>
          <w:rFonts w:eastAsiaTheme="minorHAnsi" w:cs="Calibri"/>
          <w:color w:val="000000" w:themeColor="text1"/>
          <w:shd w:val="clear" w:color="auto" w:fill="FFFFFF"/>
          <w:lang w:val="en-US"/>
        </w:rPr>
        <w:t>: 829-840 [PMID: 17765963 DOI: 10.1016/S0140-6736(07)61303-8]</w:t>
      </w:r>
    </w:p>
    <w:p w14:paraId="6F8020AD"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15 </w:t>
      </w:r>
      <w:r w:rsidRPr="00A30FAB">
        <w:rPr>
          <w:rFonts w:eastAsiaTheme="minorHAnsi" w:cs="Calibri"/>
          <w:b/>
          <w:bCs/>
          <w:color w:val="000000" w:themeColor="text1"/>
          <w:shd w:val="clear" w:color="auto" w:fill="FFFFFF"/>
          <w:lang w:val="en-US"/>
        </w:rPr>
        <w:t>Duckworth W</w:t>
      </w:r>
      <w:r w:rsidRPr="00A30FAB">
        <w:rPr>
          <w:rFonts w:eastAsiaTheme="minorHAnsi" w:cs="Calibri"/>
          <w:color w:val="000000" w:themeColor="text1"/>
          <w:shd w:val="clear" w:color="auto" w:fill="FFFFFF"/>
          <w:lang w:val="en-US"/>
        </w:rPr>
        <w:t>, Abraira C, Moritz T, Reda D, Emanuele N, Reaven PD, Zieve FJ, Marks J, Davis SN, Hayward R, Warren SR, Goldman S, McCarren M, Vitek ME, Henderson WG, Huang GD; VADT Investigators. Glucose control and vascular complications in veterans with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2009; </w:t>
      </w:r>
      <w:r w:rsidRPr="00A30FAB">
        <w:rPr>
          <w:rFonts w:eastAsiaTheme="minorHAnsi" w:cs="Calibri"/>
          <w:b/>
          <w:bCs/>
          <w:color w:val="000000" w:themeColor="text1"/>
          <w:shd w:val="clear" w:color="auto" w:fill="FFFFFF"/>
          <w:lang w:val="en-US"/>
        </w:rPr>
        <w:t>360</w:t>
      </w:r>
      <w:r w:rsidRPr="00A30FAB">
        <w:rPr>
          <w:rFonts w:eastAsiaTheme="minorHAnsi" w:cs="Calibri"/>
          <w:color w:val="000000" w:themeColor="text1"/>
          <w:shd w:val="clear" w:color="auto" w:fill="FFFFFF"/>
          <w:lang w:val="en-US"/>
        </w:rPr>
        <w:t>: 129-139 [PMID: 19092145 DOI: 10.1056/NEJMoa0808431]</w:t>
      </w:r>
    </w:p>
    <w:p w14:paraId="217291D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16 </w:t>
      </w:r>
      <w:r w:rsidRPr="00A30FAB">
        <w:rPr>
          <w:rFonts w:eastAsiaTheme="minorHAnsi" w:cs="Calibri"/>
          <w:b/>
          <w:bCs/>
          <w:color w:val="000000" w:themeColor="text1"/>
          <w:shd w:val="clear" w:color="auto" w:fill="FFFFFF"/>
          <w:lang w:val="en-US"/>
        </w:rPr>
        <w:t>Scirica BM</w:t>
      </w:r>
      <w:r w:rsidRPr="00A30FAB">
        <w:rPr>
          <w:rFonts w:eastAsiaTheme="minorHAnsi" w:cs="Calibri"/>
          <w:color w:val="000000" w:themeColor="text1"/>
          <w:shd w:val="clear" w:color="auto" w:fill="FFFFFF"/>
          <w:lang w:val="en-US"/>
        </w:rPr>
        <w:t>, Braunwald E, Raz I, Cavender MA, Morrow DA, Jarolim P, Udell JA, Mosenzon O, Im K, Umez-Eronini AA, Pollack PS, Hirshberg B, Frederich R, Lewis BS, McGuire DK, Davidson J, Steg G, Bhatt DL. Response to Letter Regarding Article, "Heart Failure, Saxagliptin and Diabetes Mellitus: Observations From the SAVOR-TIMI 53 Randomized Trial".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132</w:t>
      </w:r>
      <w:r w:rsidRPr="00A30FAB">
        <w:rPr>
          <w:rFonts w:eastAsiaTheme="minorHAnsi" w:cs="Calibri"/>
          <w:color w:val="000000" w:themeColor="text1"/>
          <w:shd w:val="clear" w:color="auto" w:fill="FFFFFF"/>
          <w:lang w:val="en-US"/>
        </w:rPr>
        <w:t>: e121-e122 [PMID: 26260506 DOI: 10.1161/CIRCULATIONAHA.115.015511]</w:t>
      </w:r>
    </w:p>
    <w:p w14:paraId="4351F531"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17 </w:t>
      </w:r>
      <w:r w:rsidRPr="00A30FAB">
        <w:rPr>
          <w:rFonts w:eastAsiaTheme="minorHAnsi" w:cs="Calibri"/>
          <w:b/>
          <w:bCs/>
          <w:color w:val="000000" w:themeColor="text1"/>
          <w:shd w:val="clear" w:color="auto" w:fill="FFFFFF"/>
          <w:lang w:val="en-US"/>
        </w:rPr>
        <w:t>Green JB</w:t>
      </w:r>
      <w:r w:rsidRPr="00A30FAB">
        <w:rPr>
          <w:rFonts w:eastAsiaTheme="minorHAnsi" w:cs="Calibri"/>
          <w:color w:val="000000" w:themeColor="text1"/>
          <w:shd w:val="clear" w:color="auto" w:fill="FFFFFF"/>
          <w:lang w:val="en-US"/>
        </w:rPr>
        <w:t>, Bethel MA, Armstrong PW, Buse JB, Engel SS, Garg J, Josse R, Kaufman KD, Koglin J, Korn S, Lachin JM, McGuire DK, Pencina MJ, Standl E, Stein PP, Suryawanshi S, Van de Werf F, Peterson ED, Holman RR; TECOS Study Group. Effect of Sitagliptin on Cardiovascular Outcomes in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373</w:t>
      </w:r>
      <w:r w:rsidRPr="00A30FAB">
        <w:rPr>
          <w:rFonts w:eastAsiaTheme="minorHAnsi" w:cs="Calibri"/>
          <w:color w:val="000000" w:themeColor="text1"/>
          <w:shd w:val="clear" w:color="auto" w:fill="FFFFFF"/>
          <w:lang w:val="en-US"/>
        </w:rPr>
        <w:t>: 232-242 [PMID: 26052984 DOI: 10.1056/NEJMoa1501352]</w:t>
      </w:r>
    </w:p>
    <w:p w14:paraId="3A383DF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18 </w:t>
      </w:r>
      <w:r w:rsidRPr="00A30FAB">
        <w:rPr>
          <w:rFonts w:eastAsiaTheme="minorHAnsi" w:cs="Calibri"/>
          <w:b/>
          <w:bCs/>
          <w:color w:val="000000" w:themeColor="text1"/>
          <w:shd w:val="clear" w:color="auto" w:fill="FFFFFF"/>
          <w:lang w:val="en-US"/>
        </w:rPr>
        <w:t>White WB</w:t>
      </w:r>
      <w:r w:rsidRPr="00A30FAB">
        <w:rPr>
          <w:rFonts w:eastAsiaTheme="minorHAnsi" w:cs="Calibri"/>
          <w:color w:val="000000" w:themeColor="text1"/>
          <w:shd w:val="clear" w:color="auto" w:fill="FFFFFF"/>
          <w:lang w:val="en-US"/>
        </w:rPr>
        <w:t>, Cannon CP, Heller SR, Nissen SE, Bergenstal RM, Bakris GL, Perez AT, Fleck PR, Mehta CR, Kupfer S, Wilson C, Cushman WC, Zannad F; EXAMINE Investigators. Alogliptin after acute coronary syndrome in patients with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2013; </w:t>
      </w:r>
      <w:r w:rsidRPr="00A30FAB">
        <w:rPr>
          <w:rFonts w:eastAsiaTheme="minorHAnsi" w:cs="Calibri"/>
          <w:b/>
          <w:bCs/>
          <w:color w:val="000000" w:themeColor="text1"/>
          <w:shd w:val="clear" w:color="auto" w:fill="FFFFFF"/>
          <w:lang w:val="en-US"/>
        </w:rPr>
        <w:t>369</w:t>
      </w:r>
      <w:r w:rsidRPr="00A30FAB">
        <w:rPr>
          <w:rFonts w:eastAsiaTheme="minorHAnsi" w:cs="Calibri"/>
          <w:color w:val="000000" w:themeColor="text1"/>
          <w:shd w:val="clear" w:color="auto" w:fill="FFFFFF"/>
          <w:lang w:val="en-US"/>
        </w:rPr>
        <w:t>: 1327-1335 [PMID: 23992602 DOI: 10.1056/NEJMoa1305889]</w:t>
      </w:r>
    </w:p>
    <w:p w14:paraId="1AAD9BB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19 </w:t>
      </w:r>
      <w:r w:rsidRPr="00A30FAB">
        <w:rPr>
          <w:rFonts w:eastAsiaTheme="minorHAnsi" w:cs="Calibri"/>
          <w:b/>
          <w:bCs/>
          <w:color w:val="000000" w:themeColor="text1"/>
          <w:shd w:val="clear" w:color="auto" w:fill="FFFFFF"/>
          <w:lang w:val="en-US"/>
        </w:rPr>
        <w:t>Zinman B</w:t>
      </w:r>
      <w:r w:rsidRPr="00A30FAB">
        <w:rPr>
          <w:rFonts w:eastAsiaTheme="minorHAnsi" w:cs="Calibri"/>
          <w:color w:val="000000" w:themeColor="text1"/>
          <w:shd w:val="clear" w:color="auto" w:fill="FFFFFF"/>
          <w:lang w:val="en-US"/>
        </w:rPr>
        <w:t>, Wanner C, Lachin JM, Fitchett D, Bluhmki E, Hantel S, Mattheus M, Devins T, Johansen OE, Woerle HJ, Broedl UC, Inzucchi SE; EMPA-REG OUTCOME Investigators. Empagliflozin, Cardiovascular Outcomes, and Mortality in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373</w:t>
      </w:r>
      <w:r w:rsidRPr="00A30FAB">
        <w:rPr>
          <w:rFonts w:eastAsiaTheme="minorHAnsi" w:cs="Calibri"/>
          <w:color w:val="000000" w:themeColor="text1"/>
          <w:shd w:val="clear" w:color="auto" w:fill="FFFFFF"/>
          <w:lang w:val="en-US"/>
        </w:rPr>
        <w:t>: 2117-2128 [PMID: 26378978 DOI: 10.1056/NEJMoa1504720]</w:t>
      </w:r>
    </w:p>
    <w:p w14:paraId="113BD922"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20 </w:t>
      </w:r>
      <w:r w:rsidRPr="00A30FAB">
        <w:rPr>
          <w:rFonts w:eastAsiaTheme="minorHAnsi" w:cs="Calibri"/>
          <w:b/>
          <w:bCs/>
          <w:color w:val="000000" w:themeColor="text1"/>
          <w:shd w:val="clear" w:color="auto" w:fill="FFFFFF"/>
          <w:lang w:val="en-US"/>
        </w:rPr>
        <w:t>Neal B</w:t>
      </w:r>
      <w:r w:rsidRPr="00A30FAB">
        <w:rPr>
          <w:rFonts w:eastAsiaTheme="minorHAnsi" w:cs="Calibri"/>
          <w:color w:val="000000" w:themeColor="text1"/>
          <w:shd w:val="clear" w:color="auto" w:fill="FFFFFF"/>
          <w:lang w:val="en-US"/>
        </w:rPr>
        <w:t>, Perkovic V, Mahaffey KW, de Zeeuw D, Fulcher G, Erondu N, Shaw W, Law G, Desai M, Matthews DR; CANVAS Program Collaborative Group. Canagliflozin and Cardiovascular and Renal Events in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2017; </w:t>
      </w:r>
      <w:r w:rsidRPr="00A30FAB">
        <w:rPr>
          <w:rFonts w:eastAsiaTheme="minorHAnsi" w:cs="Calibri"/>
          <w:b/>
          <w:bCs/>
          <w:color w:val="000000" w:themeColor="text1"/>
          <w:shd w:val="clear" w:color="auto" w:fill="FFFFFF"/>
          <w:lang w:val="en-US"/>
        </w:rPr>
        <w:t>377</w:t>
      </w:r>
      <w:r w:rsidRPr="00A30FAB">
        <w:rPr>
          <w:rFonts w:eastAsiaTheme="minorHAnsi" w:cs="Calibri"/>
          <w:color w:val="000000" w:themeColor="text1"/>
          <w:shd w:val="clear" w:color="auto" w:fill="FFFFFF"/>
          <w:lang w:val="en-US"/>
        </w:rPr>
        <w:t>: 644-657 [PMID: 28605608 DOI: 10.1056/NEJMoa1611925]</w:t>
      </w:r>
    </w:p>
    <w:p w14:paraId="4005A76C"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21 </w:t>
      </w:r>
      <w:r w:rsidRPr="00A30FAB">
        <w:rPr>
          <w:rFonts w:eastAsiaTheme="minorHAnsi" w:cs="Calibri"/>
          <w:b/>
          <w:bCs/>
          <w:color w:val="000000" w:themeColor="text1"/>
          <w:shd w:val="clear" w:color="auto" w:fill="FFFFFF"/>
          <w:lang w:val="en-US"/>
        </w:rPr>
        <w:t>Marso SP</w:t>
      </w:r>
      <w:r w:rsidRPr="00A30FAB">
        <w:rPr>
          <w:rFonts w:eastAsiaTheme="minorHAnsi" w:cs="Calibri"/>
          <w:color w:val="000000" w:themeColor="text1"/>
          <w:shd w:val="clear" w:color="auto" w:fill="FFFFFF"/>
          <w:lang w:val="en-US"/>
        </w:rPr>
        <w:t>, Daniels GH, Brown-Frandsen K, Kristensen P, Mann JF, Nauck MA, Nissen SE, Pocock S, Poulter NR, Ravn LS, Steinberg WM, Stockner M, Zinman B, Bergenstal RM, Buse JB; LEADER Steering Committee; LEADER Trial Investigators. Liraglutide and Cardiovascular Outcomes in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2016; </w:t>
      </w:r>
      <w:r w:rsidRPr="00A30FAB">
        <w:rPr>
          <w:rFonts w:eastAsiaTheme="minorHAnsi" w:cs="Calibri"/>
          <w:b/>
          <w:bCs/>
          <w:color w:val="000000" w:themeColor="text1"/>
          <w:shd w:val="clear" w:color="auto" w:fill="FFFFFF"/>
          <w:lang w:val="en-US"/>
        </w:rPr>
        <w:t>375</w:t>
      </w:r>
      <w:r w:rsidRPr="00A30FAB">
        <w:rPr>
          <w:rFonts w:eastAsiaTheme="minorHAnsi" w:cs="Calibri"/>
          <w:color w:val="000000" w:themeColor="text1"/>
          <w:shd w:val="clear" w:color="auto" w:fill="FFFFFF"/>
          <w:lang w:val="en-US"/>
        </w:rPr>
        <w:t>: 311-322 [PMID: 27295427 DOI: 10.1056/NEJMoa1603827]</w:t>
      </w:r>
    </w:p>
    <w:p w14:paraId="33F4AB4F"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22 </w:t>
      </w:r>
      <w:r w:rsidRPr="00A30FAB">
        <w:rPr>
          <w:rFonts w:eastAsiaTheme="minorHAnsi" w:cs="Calibri"/>
          <w:b/>
          <w:bCs/>
          <w:color w:val="000000" w:themeColor="text1"/>
          <w:shd w:val="clear" w:color="auto" w:fill="FFFFFF"/>
          <w:lang w:val="en-US"/>
        </w:rPr>
        <w:t>Pfeffer MA</w:t>
      </w:r>
      <w:r w:rsidRPr="00A30FAB">
        <w:rPr>
          <w:rFonts w:eastAsiaTheme="minorHAnsi" w:cs="Calibri"/>
          <w:color w:val="000000" w:themeColor="text1"/>
          <w:shd w:val="clear" w:color="auto" w:fill="FFFFFF"/>
          <w:lang w:val="en-US"/>
        </w:rPr>
        <w:t>, Claggett B, Diaz R, Dickstein K, Gerstein HC, Køber LV, Lawson FC, Ping L, Wei X, Lewis EF, Maggioni AP, McMurray JJ, Probstfield JL, Riddle MC, Solomon SD, Tardif JC; ELIXA Investigators. Lixisenatide in Patients with Type 2 Diabetes and Acute Coronary Syndrome.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373</w:t>
      </w:r>
      <w:r w:rsidRPr="00A30FAB">
        <w:rPr>
          <w:rFonts w:eastAsiaTheme="minorHAnsi" w:cs="Calibri"/>
          <w:color w:val="000000" w:themeColor="text1"/>
          <w:shd w:val="clear" w:color="auto" w:fill="FFFFFF"/>
          <w:lang w:val="en-US"/>
        </w:rPr>
        <w:t>: 2247-2257 [PMID: 26630143 DOI: 10.1056/NEJMoa1509225]</w:t>
      </w:r>
    </w:p>
    <w:p w14:paraId="4C5CBDB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23 </w:t>
      </w:r>
      <w:r w:rsidRPr="00A30FAB">
        <w:rPr>
          <w:rFonts w:eastAsiaTheme="minorHAnsi" w:cs="Calibri"/>
          <w:b/>
          <w:bCs/>
          <w:color w:val="000000" w:themeColor="text1"/>
          <w:shd w:val="clear" w:color="auto" w:fill="FFFFFF"/>
          <w:lang w:val="en-US"/>
        </w:rPr>
        <w:t>Holman RR</w:t>
      </w:r>
      <w:r w:rsidRPr="00A30FAB">
        <w:rPr>
          <w:rFonts w:eastAsiaTheme="minorHAnsi" w:cs="Calibri"/>
          <w:color w:val="000000" w:themeColor="text1"/>
          <w:shd w:val="clear" w:color="auto" w:fill="FFFFFF"/>
          <w:lang w:val="en-US"/>
        </w:rPr>
        <w:t>, Bethel MA, Mentz RJ, Thompson VP, Lokhnygina Y, Buse JB, Chan JC, Choi J, Gustavson SM, Iqbal N, Maggioni AP, Marso SP, Öhman P, Pagidipati NJ, Poulter N, Ramachandran A, Zinman B, Hernandez AF; EXSCEL Study Group. Effects of Once-Weekly Exenatide on Cardiovascular Outcomes in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2017; </w:t>
      </w:r>
      <w:r w:rsidRPr="00A30FAB">
        <w:rPr>
          <w:rFonts w:eastAsiaTheme="minorHAnsi" w:cs="Calibri"/>
          <w:b/>
          <w:bCs/>
          <w:color w:val="000000" w:themeColor="text1"/>
          <w:shd w:val="clear" w:color="auto" w:fill="FFFFFF"/>
          <w:lang w:val="en-US"/>
        </w:rPr>
        <w:t>377</w:t>
      </w:r>
      <w:r w:rsidRPr="00A30FAB">
        <w:rPr>
          <w:rFonts w:eastAsiaTheme="minorHAnsi" w:cs="Calibri"/>
          <w:color w:val="000000" w:themeColor="text1"/>
          <w:shd w:val="clear" w:color="auto" w:fill="FFFFFF"/>
          <w:lang w:val="en-US"/>
        </w:rPr>
        <w:t>: 1228-1239 [PMID: 28910237 DOI: 10.1056/NEJMoa1612917]</w:t>
      </w:r>
    </w:p>
    <w:p w14:paraId="1CE69196"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24 </w:t>
      </w:r>
      <w:r w:rsidRPr="00A30FAB">
        <w:rPr>
          <w:rFonts w:eastAsiaTheme="minorHAnsi" w:cs="Calibri"/>
          <w:b/>
          <w:bCs/>
          <w:color w:val="000000" w:themeColor="text1"/>
          <w:shd w:val="clear" w:color="auto" w:fill="FFFFFF"/>
          <w:lang w:val="en-US"/>
        </w:rPr>
        <w:t>Lee WS</w:t>
      </w:r>
      <w:r w:rsidRPr="00A30FAB">
        <w:rPr>
          <w:rFonts w:eastAsiaTheme="minorHAnsi" w:cs="Calibri"/>
          <w:color w:val="000000" w:themeColor="text1"/>
          <w:shd w:val="clear" w:color="auto" w:fill="FFFFFF"/>
          <w:lang w:val="en-US"/>
        </w:rPr>
        <w:t>, Kim J. Diabetic cardiomyopathy: where we are and where we are going. </w:t>
      </w:r>
      <w:r w:rsidRPr="00A30FAB">
        <w:rPr>
          <w:rFonts w:eastAsiaTheme="minorHAnsi" w:cs="Calibri"/>
          <w:i/>
          <w:iCs/>
          <w:color w:val="000000" w:themeColor="text1"/>
          <w:shd w:val="clear" w:color="auto" w:fill="FFFFFF"/>
          <w:lang w:val="en-US"/>
        </w:rPr>
        <w:t>Korean J Intern Med</w:t>
      </w:r>
      <w:r w:rsidRPr="00A30FAB">
        <w:rPr>
          <w:rFonts w:eastAsiaTheme="minorHAnsi" w:cs="Calibri"/>
          <w:color w:val="000000" w:themeColor="text1"/>
          <w:shd w:val="clear" w:color="auto" w:fill="FFFFFF"/>
          <w:lang w:val="en-US"/>
        </w:rPr>
        <w:t> 2017; </w:t>
      </w:r>
      <w:r w:rsidRPr="00A30FAB">
        <w:rPr>
          <w:rFonts w:eastAsiaTheme="minorHAnsi" w:cs="Calibri"/>
          <w:b/>
          <w:bCs/>
          <w:color w:val="000000" w:themeColor="text1"/>
          <w:shd w:val="clear" w:color="auto" w:fill="FFFFFF"/>
          <w:lang w:val="en-US"/>
        </w:rPr>
        <w:t>32</w:t>
      </w:r>
      <w:r w:rsidRPr="00A30FAB">
        <w:rPr>
          <w:rFonts w:eastAsiaTheme="minorHAnsi" w:cs="Calibri"/>
          <w:color w:val="000000" w:themeColor="text1"/>
          <w:shd w:val="clear" w:color="auto" w:fill="FFFFFF"/>
          <w:lang w:val="en-US"/>
        </w:rPr>
        <w:t>: 404-421 [PMID: 28415836 DOI: 10.3904/kjim.2016.208]</w:t>
      </w:r>
    </w:p>
    <w:p w14:paraId="546BF03F"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25 </w:t>
      </w:r>
      <w:r w:rsidRPr="00A30FAB">
        <w:rPr>
          <w:rFonts w:eastAsiaTheme="minorHAnsi" w:cs="Calibri"/>
          <w:b/>
          <w:bCs/>
          <w:color w:val="000000" w:themeColor="text1"/>
          <w:shd w:val="clear" w:color="auto" w:fill="FFFFFF"/>
          <w:lang w:val="en-US"/>
        </w:rPr>
        <w:t>Karnik AA</w:t>
      </w:r>
      <w:r w:rsidRPr="00A30FAB">
        <w:rPr>
          <w:rFonts w:eastAsiaTheme="minorHAnsi" w:cs="Calibri"/>
          <w:color w:val="000000" w:themeColor="text1"/>
          <w:shd w:val="clear" w:color="auto" w:fill="FFFFFF"/>
          <w:lang w:val="en-US"/>
        </w:rPr>
        <w:t>, Fields AV, Shannon RP. Diabetic cardiomyopathy. </w:t>
      </w:r>
      <w:r w:rsidRPr="00A30FAB">
        <w:rPr>
          <w:rFonts w:eastAsiaTheme="minorHAnsi" w:cs="Calibri"/>
          <w:i/>
          <w:iCs/>
          <w:color w:val="000000" w:themeColor="text1"/>
          <w:shd w:val="clear" w:color="auto" w:fill="FFFFFF"/>
          <w:lang w:val="en-US"/>
        </w:rPr>
        <w:t>Curr Hypertens Rep</w:t>
      </w:r>
      <w:r w:rsidRPr="00A30FAB">
        <w:rPr>
          <w:rFonts w:eastAsiaTheme="minorHAnsi" w:cs="Calibri"/>
          <w:color w:val="000000" w:themeColor="text1"/>
          <w:shd w:val="clear" w:color="auto" w:fill="FFFFFF"/>
          <w:lang w:val="en-US"/>
        </w:rPr>
        <w:t> 2007; </w:t>
      </w:r>
      <w:r w:rsidRPr="00A30FAB">
        <w:rPr>
          <w:rFonts w:eastAsiaTheme="minorHAnsi" w:cs="Calibri"/>
          <w:b/>
          <w:bCs/>
          <w:color w:val="000000" w:themeColor="text1"/>
          <w:shd w:val="clear" w:color="auto" w:fill="FFFFFF"/>
          <w:lang w:val="en-US"/>
        </w:rPr>
        <w:t>9</w:t>
      </w:r>
      <w:r w:rsidRPr="00A30FAB">
        <w:rPr>
          <w:rFonts w:eastAsiaTheme="minorHAnsi" w:cs="Calibri"/>
          <w:color w:val="000000" w:themeColor="text1"/>
          <w:shd w:val="clear" w:color="auto" w:fill="FFFFFF"/>
          <w:lang w:val="en-US"/>
        </w:rPr>
        <w:t>: 467-473 [PMID: 18367010 DOI: 10.1007/s11906-007-0086-3]</w:t>
      </w:r>
    </w:p>
    <w:p w14:paraId="4BEC890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26 </w:t>
      </w:r>
      <w:r w:rsidRPr="00A30FAB">
        <w:rPr>
          <w:rFonts w:eastAsiaTheme="minorHAnsi" w:cs="Calibri"/>
          <w:b/>
          <w:bCs/>
          <w:color w:val="000000" w:themeColor="text1"/>
          <w:shd w:val="clear" w:color="auto" w:fill="FFFFFF"/>
          <w:lang w:val="en-US"/>
        </w:rPr>
        <w:t>Hayat SA</w:t>
      </w:r>
      <w:r w:rsidRPr="00A30FAB">
        <w:rPr>
          <w:rFonts w:eastAsiaTheme="minorHAnsi" w:cs="Calibri"/>
          <w:color w:val="000000" w:themeColor="text1"/>
          <w:shd w:val="clear" w:color="auto" w:fill="FFFFFF"/>
          <w:lang w:val="en-US"/>
        </w:rPr>
        <w:t>, Patel B, Khattar RS, Malik RA. Diabetic cardiomyopathy: mechanisms, diagnosis and treatment. </w:t>
      </w:r>
      <w:r w:rsidRPr="00A30FAB">
        <w:rPr>
          <w:rFonts w:eastAsiaTheme="minorHAnsi" w:cs="Calibri"/>
          <w:i/>
          <w:iCs/>
          <w:color w:val="000000" w:themeColor="text1"/>
          <w:shd w:val="clear" w:color="auto" w:fill="FFFFFF"/>
          <w:lang w:val="en-US"/>
        </w:rPr>
        <w:t xml:space="preserve">Clin Sci </w:t>
      </w:r>
      <w:r w:rsidRPr="009345EF">
        <w:rPr>
          <w:rFonts w:eastAsiaTheme="minorHAnsi" w:cs="Calibri"/>
          <w:color w:val="000000" w:themeColor="text1"/>
          <w:shd w:val="clear" w:color="auto" w:fill="FFFFFF"/>
          <w:lang w:val="en-US"/>
        </w:rPr>
        <w:t>(Lond) </w:t>
      </w:r>
      <w:r w:rsidRPr="00A30FAB">
        <w:rPr>
          <w:rFonts w:eastAsiaTheme="minorHAnsi" w:cs="Calibri"/>
          <w:color w:val="000000" w:themeColor="text1"/>
          <w:shd w:val="clear" w:color="auto" w:fill="FFFFFF"/>
          <w:lang w:val="en-US"/>
        </w:rPr>
        <w:t>2004; </w:t>
      </w:r>
      <w:r w:rsidRPr="00A30FAB">
        <w:rPr>
          <w:rFonts w:eastAsiaTheme="minorHAnsi" w:cs="Calibri"/>
          <w:b/>
          <w:bCs/>
          <w:color w:val="000000" w:themeColor="text1"/>
          <w:shd w:val="clear" w:color="auto" w:fill="FFFFFF"/>
          <w:lang w:val="en-US"/>
        </w:rPr>
        <w:t>107</w:t>
      </w:r>
      <w:r w:rsidRPr="00A30FAB">
        <w:rPr>
          <w:rFonts w:eastAsiaTheme="minorHAnsi" w:cs="Calibri"/>
          <w:color w:val="000000" w:themeColor="text1"/>
          <w:shd w:val="clear" w:color="auto" w:fill="FFFFFF"/>
          <w:lang w:val="en-US"/>
        </w:rPr>
        <w:t>: 539-557 [PMID: 15341511 DOI: 10.1042/CS20040057]</w:t>
      </w:r>
    </w:p>
    <w:p w14:paraId="4C520A8A" w14:textId="04F13428"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27 </w:t>
      </w:r>
      <w:r w:rsidRPr="00A30FAB">
        <w:rPr>
          <w:rFonts w:eastAsiaTheme="minorHAnsi" w:cs="Calibri"/>
          <w:b/>
          <w:bCs/>
          <w:color w:val="000000" w:themeColor="text1"/>
          <w:shd w:val="clear" w:color="auto" w:fill="FFFFFF"/>
          <w:lang w:val="en-US"/>
        </w:rPr>
        <w:t>L</w:t>
      </w:r>
      <w:r w:rsidR="009345EF" w:rsidRPr="00A30FAB">
        <w:rPr>
          <w:rFonts w:eastAsiaTheme="minorHAnsi" w:cs="Calibri"/>
          <w:b/>
          <w:bCs/>
          <w:color w:val="000000" w:themeColor="text1"/>
          <w:shd w:val="clear" w:color="auto" w:fill="FFFFFF"/>
          <w:lang w:val="en-US"/>
        </w:rPr>
        <w:t>undbaek</w:t>
      </w:r>
      <w:r w:rsidRPr="00A30FAB">
        <w:rPr>
          <w:rFonts w:eastAsiaTheme="minorHAnsi" w:cs="Calibri"/>
          <w:b/>
          <w:bCs/>
          <w:color w:val="000000" w:themeColor="text1"/>
          <w:shd w:val="clear" w:color="auto" w:fill="FFFFFF"/>
          <w:lang w:val="en-US"/>
        </w:rPr>
        <w:t xml:space="preserve"> K</w:t>
      </w:r>
      <w:r w:rsidRPr="00A30FAB">
        <w:rPr>
          <w:rFonts w:eastAsiaTheme="minorHAnsi" w:cs="Calibri"/>
          <w:color w:val="000000" w:themeColor="text1"/>
          <w:shd w:val="clear" w:color="auto" w:fill="FFFFFF"/>
          <w:lang w:val="en-US"/>
        </w:rPr>
        <w:t>. Diabetic angiopathy: a specific vascular disease. </w:t>
      </w:r>
      <w:r w:rsidRPr="00A30FAB">
        <w:rPr>
          <w:rFonts w:eastAsiaTheme="minorHAnsi" w:cs="Calibri"/>
          <w:i/>
          <w:iCs/>
          <w:color w:val="000000" w:themeColor="text1"/>
          <w:shd w:val="clear" w:color="auto" w:fill="FFFFFF"/>
          <w:lang w:val="en-US"/>
        </w:rPr>
        <w:t>Lancet</w:t>
      </w:r>
      <w:r w:rsidRPr="00A30FAB">
        <w:rPr>
          <w:rFonts w:eastAsiaTheme="minorHAnsi" w:cs="Calibri"/>
          <w:color w:val="000000" w:themeColor="text1"/>
          <w:shd w:val="clear" w:color="auto" w:fill="FFFFFF"/>
          <w:lang w:val="en-US"/>
        </w:rPr>
        <w:t> 1954; </w:t>
      </w:r>
      <w:r w:rsidRPr="00A30FAB">
        <w:rPr>
          <w:rFonts w:eastAsiaTheme="minorHAnsi" w:cs="Calibri"/>
          <w:b/>
          <w:bCs/>
          <w:color w:val="000000" w:themeColor="text1"/>
          <w:shd w:val="clear" w:color="auto" w:fill="FFFFFF"/>
          <w:lang w:val="en-US"/>
        </w:rPr>
        <w:t>266</w:t>
      </w:r>
      <w:r w:rsidRPr="00A30FAB">
        <w:rPr>
          <w:rFonts w:eastAsiaTheme="minorHAnsi" w:cs="Calibri"/>
          <w:color w:val="000000" w:themeColor="text1"/>
          <w:shd w:val="clear" w:color="auto" w:fill="FFFFFF"/>
          <w:lang w:val="en-US"/>
        </w:rPr>
        <w:t>: 377-379 [PMID: 13131862 DOI: 10.1016/S0140-6736(54)90924-1]</w:t>
      </w:r>
    </w:p>
    <w:p w14:paraId="026B3C0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28 </w:t>
      </w:r>
      <w:r w:rsidRPr="00A30FAB">
        <w:rPr>
          <w:rFonts w:eastAsiaTheme="minorHAnsi" w:cs="Calibri"/>
          <w:b/>
          <w:bCs/>
          <w:color w:val="000000" w:themeColor="text1"/>
          <w:shd w:val="clear" w:color="auto" w:fill="FFFFFF"/>
          <w:lang w:val="en-US"/>
        </w:rPr>
        <w:t>Bertoni AG</w:t>
      </w:r>
      <w:r w:rsidRPr="00A30FAB">
        <w:rPr>
          <w:rFonts w:eastAsiaTheme="minorHAnsi" w:cs="Calibri"/>
          <w:color w:val="000000" w:themeColor="text1"/>
          <w:shd w:val="clear" w:color="auto" w:fill="FFFFFF"/>
          <w:lang w:val="en-US"/>
        </w:rPr>
        <w:t>, Tsai A, Kasper EK, Brancati FL. Diabetes and idiopathic cardiomyopathy: a nationwide case-control study. </w:t>
      </w:r>
      <w:r w:rsidRPr="00A30FAB">
        <w:rPr>
          <w:rFonts w:eastAsiaTheme="minorHAnsi" w:cs="Calibri"/>
          <w:i/>
          <w:iCs/>
          <w:color w:val="000000" w:themeColor="text1"/>
          <w:shd w:val="clear" w:color="auto" w:fill="FFFFFF"/>
          <w:lang w:val="en-US"/>
        </w:rPr>
        <w:t>Diabetes Care</w:t>
      </w:r>
      <w:r w:rsidRPr="00A30FAB">
        <w:rPr>
          <w:rFonts w:eastAsiaTheme="minorHAnsi" w:cs="Calibri"/>
          <w:color w:val="000000" w:themeColor="text1"/>
          <w:shd w:val="clear" w:color="auto" w:fill="FFFFFF"/>
          <w:lang w:val="en-US"/>
        </w:rPr>
        <w:t> 2003; </w:t>
      </w:r>
      <w:r w:rsidRPr="00A30FAB">
        <w:rPr>
          <w:rFonts w:eastAsiaTheme="minorHAnsi" w:cs="Calibri"/>
          <w:b/>
          <w:bCs/>
          <w:color w:val="000000" w:themeColor="text1"/>
          <w:shd w:val="clear" w:color="auto" w:fill="FFFFFF"/>
          <w:lang w:val="en-US"/>
        </w:rPr>
        <w:t>26</w:t>
      </w:r>
      <w:r w:rsidRPr="00A30FAB">
        <w:rPr>
          <w:rFonts w:eastAsiaTheme="minorHAnsi" w:cs="Calibri"/>
          <w:color w:val="000000" w:themeColor="text1"/>
          <w:shd w:val="clear" w:color="auto" w:fill="FFFFFF"/>
          <w:lang w:val="en-US"/>
        </w:rPr>
        <w:t>: 2791-2795 [PMID: 14514581 DOI: 10.2337/diacare.26.10.2791]</w:t>
      </w:r>
    </w:p>
    <w:p w14:paraId="66EAC7F6"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29 </w:t>
      </w:r>
      <w:r w:rsidRPr="00A30FAB">
        <w:rPr>
          <w:rFonts w:eastAsiaTheme="minorHAnsi" w:cs="Calibri"/>
          <w:b/>
          <w:bCs/>
          <w:color w:val="000000" w:themeColor="text1"/>
          <w:shd w:val="clear" w:color="auto" w:fill="FFFFFF"/>
          <w:lang w:val="en-US"/>
        </w:rPr>
        <w:t>Rawshani A</w:t>
      </w:r>
      <w:r w:rsidRPr="00A30FAB">
        <w:rPr>
          <w:rFonts w:eastAsiaTheme="minorHAnsi" w:cs="Calibri"/>
          <w:color w:val="000000" w:themeColor="text1"/>
          <w:shd w:val="clear" w:color="auto" w:fill="FFFFFF"/>
          <w:lang w:val="en-US"/>
        </w:rPr>
        <w:t>, Rawshani A, Franzén S, Sattar N, Eliasson B, Svensson AM, Zethelius B, Miftaraj M, McGuire DK, Rosengren A, Gudbjörnsdottir S. Risk Factors, Mortality, and Cardiovascular Outcomes in Patients with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2018; </w:t>
      </w:r>
      <w:r w:rsidRPr="00A30FAB">
        <w:rPr>
          <w:rFonts w:eastAsiaTheme="minorHAnsi" w:cs="Calibri"/>
          <w:b/>
          <w:bCs/>
          <w:color w:val="000000" w:themeColor="text1"/>
          <w:shd w:val="clear" w:color="auto" w:fill="FFFFFF"/>
          <w:lang w:val="en-US"/>
        </w:rPr>
        <w:t>379</w:t>
      </w:r>
      <w:r w:rsidRPr="00A30FAB">
        <w:rPr>
          <w:rFonts w:eastAsiaTheme="minorHAnsi" w:cs="Calibri"/>
          <w:color w:val="000000" w:themeColor="text1"/>
          <w:shd w:val="clear" w:color="auto" w:fill="FFFFFF"/>
          <w:lang w:val="en-US"/>
        </w:rPr>
        <w:t>: 633-644 [PMID: 30110583 DOI: 10.1056/NEJMoa1800256]</w:t>
      </w:r>
    </w:p>
    <w:p w14:paraId="58060607"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30 </w:t>
      </w:r>
      <w:r w:rsidRPr="00A30FAB">
        <w:rPr>
          <w:rFonts w:eastAsiaTheme="minorHAnsi" w:cs="Calibri"/>
          <w:b/>
          <w:bCs/>
          <w:color w:val="000000" w:themeColor="text1"/>
          <w:shd w:val="clear" w:color="auto" w:fill="FFFFFF"/>
          <w:lang w:val="en-US"/>
        </w:rPr>
        <w:t>Seferović PM</w:t>
      </w:r>
      <w:r w:rsidRPr="00A30FAB">
        <w:rPr>
          <w:rFonts w:eastAsiaTheme="minorHAnsi" w:cs="Calibri"/>
          <w:color w:val="000000" w:themeColor="text1"/>
          <w:shd w:val="clear" w:color="auto" w:fill="FFFFFF"/>
          <w:lang w:val="en-US"/>
        </w:rPr>
        <w:t>, Paulus WJ. Clinical diabetic cardiomyopathy: a two-faced disease with restrictive and dilated phenotypes. </w:t>
      </w:r>
      <w:r w:rsidRPr="00A30FAB">
        <w:rPr>
          <w:rFonts w:eastAsiaTheme="minorHAnsi" w:cs="Calibri"/>
          <w:i/>
          <w:iCs/>
          <w:color w:val="000000" w:themeColor="text1"/>
          <w:shd w:val="clear" w:color="auto" w:fill="FFFFFF"/>
          <w:lang w:val="en-US"/>
        </w:rPr>
        <w:t>Eur Heart J</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36</w:t>
      </w:r>
      <w:r w:rsidRPr="00A30FAB">
        <w:rPr>
          <w:rFonts w:eastAsiaTheme="minorHAnsi" w:cs="Calibri"/>
          <w:color w:val="000000" w:themeColor="text1"/>
          <w:shd w:val="clear" w:color="auto" w:fill="FFFFFF"/>
          <w:lang w:val="en-US"/>
        </w:rPr>
        <w:t>: 1718-1727, 1727a-1727c [PMID: 25888006 DOI: 10.1093/eurheartj/ehv134]</w:t>
      </w:r>
    </w:p>
    <w:p w14:paraId="7A222D5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31 </w:t>
      </w:r>
      <w:r w:rsidRPr="00A30FAB">
        <w:rPr>
          <w:rFonts w:eastAsiaTheme="minorHAnsi" w:cs="Calibri"/>
          <w:b/>
          <w:bCs/>
          <w:color w:val="000000" w:themeColor="text1"/>
          <w:shd w:val="clear" w:color="auto" w:fill="FFFFFF"/>
          <w:lang w:val="en-US"/>
        </w:rPr>
        <w:t>Moreno PR</w:t>
      </w:r>
      <w:r w:rsidRPr="00A30FAB">
        <w:rPr>
          <w:rFonts w:eastAsiaTheme="minorHAnsi" w:cs="Calibri"/>
          <w:color w:val="000000" w:themeColor="text1"/>
          <w:shd w:val="clear" w:color="auto" w:fill="FFFFFF"/>
          <w:lang w:val="en-US"/>
        </w:rPr>
        <w:t>, Murcia AM, Palacios IF, Leon MN, Bernardi VH, Fuster V, Fallon JT. Coronary composition and macrophage infiltration in atherectomy specimens from patients with diabetes mellitus.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2000; </w:t>
      </w:r>
      <w:r w:rsidRPr="00A30FAB">
        <w:rPr>
          <w:rFonts w:eastAsiaTheme="minorHAnsi" w:cs="Calibri"/>
          <w:b/>
          <w:bCs/>
          <w:color w:val="000000" w:themeColor="text1"/>
          <w:shd w:val="clear" w:color="auto" w:fill="FFFFFF"/>
          <w:lang w:val="en-US"/>
        </w:rPr>
        <w:t>102</w:t>
      </w:r>
      <w:r w:rsidRPr="00A30FAB">
        <w:rPr>
          <w:rFonts w:eastAsiaTheme="minorHAnsi" w:cs="Calibri"/>
          <w:color w:val="000000" w:themeColor="text1"/>
          <w:shd w:val="clear" w:color="auto" w:fill="FFFFFF"/>
          <w:lang w:val="en-US"/>
        </w:rPr>
        <w:t>: 2180-2184 [PMID: 11056089 DOI: 10.1161/01.CIR.102.18.2180]</w:t>
      </w:r>
    </w:p>
    <w:p w14:paraId="0C31FA36"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32 </w:t>
      </w:r>
      <w:r w:rsidRPr="00A30FAB">
        <w:rPr>
          <w:rFonts w:eastAsiaTheme="minorHAnsi" w:cs="Calibri"/>
          <w:b/>
          <w:bCs/>
          <w:color w:val="000000" w:themeColor="text1"/>
          <w:shd w:val="clear" w:color="auto" w:fill="FFFFFF"/>
          <w:lang w:val="en-US"/>
        </w:rPr>
        <w:t>Pajunen P</w:t>
      </w:r>
      <w:r w:rsidRPr="00A30FAB">
        <w:rPr>
          <w:rFonts w:eastAsiaTheme="minorHAnsi" w:cs="Calibri"/>
          <w:color w:val="000000" w:themeColor="text1"/>
          <w:shd w:val="clear" w:color="auto" w:fill="FFFFFF"/>
          <w:lang w:val="en-US"/>
        </w:rPr>
        <w:t>, Taskinen MR, Nieminen MS, Syvänne M. Angiographic severity and extent of coronary artery disease in patients with type 1 diabetes mellitus. </w:t>
      </w:r>
      <w:r w:rsidRPr="00A30FAB">
        <w:rPr>
          <w:rFonts w:eastAsiaTheme="minorHAnsi" w:cs="Calibri"/>
          <w:i/>
          <w:iCs/>
          <w:color w:val="000000" w:themeColor="text1"/>
          <w:shd w:val="clear" w:color="auto" w:fill="FFFFFF"/>
          <w:lang w:val="en-US"/>
        </w:rPr>
        <w:t>Am J Cardiol</w:t>
      </w:r>
      <w:r w:rsidRPr="00A30FAB">
        <w:rPr>
          <w:rFonts w:eastAsiaTheme="minorHAnsi" w:cs="Calibri"/>
          <w:color w:val="000000" w:themeColor="text1"/>
          <w:shd w:val="clear" w:color="auto" w:fill="FFFFFF"/>
          <w:lang w:val="en-US"/>
        </w:rPr>
        <w:t>2000; </w:t>
      </w:r>
      <w:r w:rsidRPr="00A30FAB">
        <w:rPr>
          <w:rFonts w:eastAsiaTheme="minorHAnsi" w:cs="Calibri"/>
          <w:b/>
          <w:bCs/>
          <w:color w:val="000000" w:themeColor="text1"/>
          <w:shd w:val="clear" w:color="auto" w:fill="FFFFFF"/>
          <w:lang w:val="en-US"/>
        </w:rPr>
        <w:t>86</w:t>
      </w:r>
      <w:r w:rsidRPr="00A30FAB">
        <w:rPr>
          <w:rFonts w:eastAsiaTheme="minorHAnsi" w:cs="Calibri"/>
          <w:color w:val="000000" w:themeColor="text1"/>
          <w:shd w:val="clear" w:color="auto" w:fill="FFFFFF"/>
          <w:lang w:val="en-US"/>
        </w:rPr>
        <w:t>: 1080-1085 [PMID: 11074203 DOI: 10.1016/S0002-9149(00)01163-2]</w:t>
      </w:r>
    </w:p>
    <w:p w14:paraId="7458A57B"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33 </w:t>
      </w:r>
      <w:r w:rsidRPr="00A30FAB">
        <w:rPr>
          <w:rFonts w:eastAsiaTheme="minorHAnsi" w:cs="Calibri"/>
          <w:b/>
          <w:bCs/>
          <w:color w:val="000000" w:themeColor="text1"/>
          <w:shd w:val="clear" w:color="auto" w:fill="FFFFFF"/>
          <w:lang w:val="en-US"/>
        </w:rPr>
        <w:t>Snell-Bergeon JK</w:t>
      </w:r>
      <w:r w:rsidRPr="00A30FAB">
        <w:rPr>
          <w:rFonts w:eastAsiaTheme="minorHAnsi" w:cs="Calibri"/>
          <w:color w:val="000000" w:themeColor="text1"/>
          <w:shd w:val="clear" w:color="auto" w:fill="FFFFFF"/>
          <w:lang w:val="en-US"/>
        </w:rPr>
        <w:t>, West NA, Mayer-Davis EJ, Liese AD, Marcovina SM, D'Agostino RB Jr, Hamman RF, Dabelea D. Inflammatory markers are increased in youth with type 1 diabetes: the SEARCH Case-Control study. </w:t>
      </w:r>
      <w:r w:rsidRPr="00A30FAB">
        <w:rPr>
          <w:rFonts w:eastAsiaTheme="minorHAnsi" w:cs="Calibri"/>
          <w:i/>
          <w:iCs/>
          <w:color w:val="000000" w:themeColor="text1"/>
          <w:shd w:val="clear" w:color="auto" w:fill="FFFFFF"/>
          <w:lang w:val="en-US"/>
        </w:rPr>
        <w:t>J Clin Endocrinol Metab</w:t>
      </w:r>
      <w:r w:rsidRPr="00A30FAB">
        <w:rPr>
          <w:rFonts w:eastAsiaTheme="minorHAnsi" w:cs="Calibri"/>
          <w:color w:val="000000" w:themeColor="text1"/>
          <w:shd w:val="clear" w:color="auto" w:fill="FFFFFF"/>
          <w:lang w:val="en-US"/>
        </w:rPr>
        <w:t> 2010; </w:t>
      </w:r>
      <w:r w:rsidRPr="00A30FAB">
        <w:rPr>
          <w:rFonts w:eastAsiaTheme="minorHAnsi" w:cs="Calibri"/>
          <w:b/>
          <w:bCs/>
          <w:color w:val="000000" w:themeColor="text1"/>
          <w:shd w:val="clear" w:color="auto" w:fill="FFFFFF"/>
          <w:lang w:val="en-US"/>
        </w:rPr>
        <w:t>95</w:t>
      </w:r>
      <w:r w:rsidRPr="00A30FAB">
        <w:rPr>
          <w:rFonts w:eastAsiaTheme="minorHAnsi" w:cs="Calibri"/>
          <w:color w:val="000000" w:themeColor="text1"/>
          <w:shd w:val="clear" w:color="auto" w:fill="FFFFFF"/>
          <w:lang w:val="en-US"/>
        </w:rPr>
        <w:t>: 2868-2876 [PMID: 20371668 DOI: 10.1210/jc.2009-1993]</w:t>
      </w:r>
    </w:p>
    <w:p w14:paraId="07D164E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34 </w:t>
      </w:r>
      <w:r w:rsidRPr="00A30FAB">
        <w:rPr>
          <w:rFonts w:eastAsiaTheme="minorHAnsi" w:cs="Calibri"/>
          <w:b/>
          <w:bCs/>
          <w:color w:val="000000" w:themeColor="text1"/>
          <w:shd w:val="clear" w:color="auto" w:fill="FFFFFF"/>
          <w:lang w:val="en-US"/>
        </w:rPr>
        <w:t>Cipollone F</w:t>
      </w:r>
      <w:r w:rsidRPr="00A30FAB">
        <w:rPr>
          <w:rFonts w:eastAsiaTheme="minorHAnsi" w:cs="Calibri"/>
          <w:color w:val="000000" w:themeColor="text1"/>
          <w:shd w:val="clear" w:color="auto" w:fill="FFFFFF"/>
          <w:lang w:val="en-US"/>
        </w:rPr>
        <w:t>, Chiarelli F, Davì G, Ferri C, Desideri G, Fazia M, Iezzi A, Santilli F, Pini B, Cuccurullo C, Tumini S, Del Ponte A, Santucci A, Cuccurullo F, Mezzetti A. Enhanced soluble CD40 ligand contributes to endothelial cell dysfunction in vitro and monocyte activation in patients with diabetes mellitus: effect of improved metabolic control. </w:t>
      </w:r>
      <w:r w:rsidRPr="00A30FAB">
        <w:rPr>
          <w:rFonts w:eastAsiaTheme="minorHAnsi" w:cs="Calibri"/>
          <w:i/>
          <w:iCs/>
          <w:color w:val="000000" w:themeColor="text1"/>
          <w:shd w:val="clear" w:color="auto" w:fill="FFFFFF"/>
          <w:lang w:val="en-US"/>
        </w:rPr>
        <w:t>Diabetologia</w:t>
      </w:r>
      <w:r w:rsidRPr="00A30FAB">
        <w:rPr>
          <w:rFonts w:eastAsiaTheme="minorHAnsi" w:cs="Calibri"/>
          <w:color w:val="000000" w:themeColor="text1"/>
          <w:shd w:val="clear" w:color="auto" w:fill="FFFFFF"/>
          <w:lang w:val="en-US"/>
        </w:rPr>
        <w:t> 2005; </w:t>
      </w:r>
      <w:r w:rsidRPr="00A30FAB">
        <w:rPr>
          <w:rFonts w:eastAsiaTheme="minorHAnsi" w:cs="Calibri"/>
          <w:b/>
          <w:bCs/>
          <w:color w:val="000000" w:themeColor="text1"/>
          <w:shd w:val="clear" w:color="auto" w:fill="FFFFFF"/>
          <w:lang w:val="en-US"/>
        </w:rPr>
        <w:t>48</w:t>
      </w:r>
      <w:r w:rsidRPr="00A30FAB">
        <w:rPr>
          <w:rFonts w:eastAsiaTheme="minorHAnsi" w:cs="Calibri"/>
          <w:color w:val="000000" w:themeColor="text1"/>
          <w:shd w:val="clear" w:color="auto" w:fill="FFFFFF"/>
          <w:lang w:val="en-US"/>
        </w:rPr>
        <w:t>: 1216-1224 [PMID: 15868137 DOI: 10.1007/s00125-005-1750-2]</w:t>
      </w:r>
    </w:p>
    <w:p w14:paraId="0718F0A0"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35 </w:t>
      </w:r>
      <w:r w:rsidRPr="00A30FAB">
        <w:rPr>
          <w:rFonts w:eastAsiaTheme="minorHAnsi" w:cs="Calibri"/>
          <w:b/>
          <w:bCs/>
          <w:color w:val="000000" w:themeColor="text1"/>
          <w:shd w:val="clear" w:color="auto" w:fill="FFFFFF"/>
          <w:lang w:val="en-US"/>
        </w:rPr>
        <w:t>Ingwall JS</w:t>
      </w:r>
      <w:r w:rsidRPr="00A30FAB">
        <w:rPr>
          <w:rFonts w:eastAsiaTheme="minorHAnsi" w:cs="Calibri"/>
          <w:color w:val="000000" w:themeColor="text1"/>
          <w:shd w:val="clear" w:color="auto" w:fill="FFFFFF"/>
          <w:lang w:val="en-US"/>
        </w:rPr>
        <w:t>, Weiss RG. Is the failing heart energy starved? On using chemical energy to support cardiac function. </w:t>
      </w:r>
      <w:r w:rsidRPr="00A30FAB">
        <w:rPr>
          <w:rFonts w:eastAsiaTheme="minorHAnsi" w:cs="Calibri"/>
          <w:i/>
          <w:iCs/>
          <w:color w:val="000000" w:themeColor="text1"/>
          <w:shd w:val="clear" w:color="auto" w:fill="FFFFFF"/>
          <w:lang w:val="en-US"/>
        </w:rPr>
        <w:t>Circ Res</w:t>
      </w:r>
      <w:r w:rsidRPr="00A30FAB">
        <w:rPr>
          <w:rFonts w:eastAsiaTheme="minorHAnsi" w:cs="Calibri"/>
          <w:color w:val="000000" w:themeColor="text1"/>
          <w:shd w:val="clear" w:color="auto" w:fill="FFFFFF"/>
          <w:lang w:val="en-US"/>
        </w:rPr>
        <w:t> 2004; </w:t>
      </w:r>
      <w:r w:rsidRPr="00A30FAB">
        <w:rPr>
          <w:rFonts w:eastAsiaTheme="minorHAnsi" w:cs="Calibri"/>
          <w:b/>
          <w:bCs/>
          <w:color w:val="000000" w:themeColor="text1"/>
          <w:shd w:val="clear" w:color="auto" w:fill="FFFFFF"/>
          <w:lang w:val="en-US"/>
        </w:rPr>
        <w:t>95</w:t>
      </w:r>
      <w:r w:rsidRPr="00A30FAB">
        <w:rPr>
          <w:rFonts w:eastAsiaTheme="minorHAnsi" w:cs="Calibri"/>
          <w:color w:val="000000" w:themeColor="text1"/>
          <w:shd w:val="clear" w:color="auto" w:fill="FFFFFF"/>
          <w:lang w:val="en-US"/>
        </w:rPr>
        <w:t>: 135-145 [PMID: 15271865 DOI: 10.1161/01.RES.0000137170.41939.d9]</w:t>
      </w:r>
    </w:p>
    <w:p w14:paraId="62D3E385"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36 </w:t>
      </w:r>
      <w:r w:rsidRPr="00A30FAB">
        <w:rPr>
          <w:rFonts w:eastAsiaTheme="minorHAnsi" w:cs="Calibri"/>
          <w:b/>
          <w:bCs/>
          <w:color w:val="000000" w:themeColor="text1"/>
          <w:shd w:val="clear" w:color="auto" w:fill="FFFFFF"/>
          <w:lang w:val="en-US"/>
        </w:rPr>
        <w:t>Taegtmeyer H</w:t>
      </w:r>
      <w:r w:rsidRPr="00A30FAB">
        <w:rPr>
          <w:rFonts w:eastAsiaTheme="minorHAnsi" w:cs="Calibri"/>
          <w:color w:val="000000" w:themeColor="text1"/>
          <w:shd w:val="clear" w:color="auto" w:fill="FFFFFF"/>
          <w:lang w:val="en-US"/>
        </w:rPr>
        <w:t>, Young ME, Lopaschuk GD, Abel ED, Brunengraber H, Darley-Usmar V, Des Rosiers C, Gerszten R, Glatz JF, Griffin JL, Gropler RJ, Holzhuetter HG, Kizer JR, Lewandowski ED, Malloy CR, Neubauer S, Peterson LR, Portman MA, Recchia FA, Van Eyk JE, Wang TJ; American Heart Association Council on Basic Cardiovascular Sciences. Assessing Cardiac Metabolism: A Scientific Statement From the American Heart Association. </w:t>
      </w:r>
      <w:r w:rsidRPr="00A30FAB">
        <w:rPr>
          <w:rFonts w:eastAsiaTheme="minorHAnsi" w:cs="Calibri"/>
          <w:i/>
          <w:iCs/>
          <w:color w:val="000000" w:themeColor="text1"/>
          <w:shd w:val="clear" w:color="auto" w:fill="FFFFFF"/>
          <w:lang w:val="en-US"/>
        </w:rPr>
        <w:t>Circ Res</w:t>
      </w:r>
      <w:r w:rsidRPr="00A30FAB">
        <w:rPr>
          <w:rFonts w:eastAsiaTheme="minorHAnsi" w:cs="Calibri"/>
          <w:color w:val="000000" w:themeColor="text1"/>
          <w:shd w:val="clear" w:color="auto" w:fill="FFFFFF"/>
          <w:lang w:val="en-US"/>
        </w:rPr>
        <w:t> 2016; </w:t>
      </w:r>
      <w:r w:rsidRPr="00A30FAB">
        <w:rPr>
          <w:rFonts w:eastAsiaTheme="minorHAnsi" w:cs="Calibri"/>
          <w:b/>
          <w:bCs/>
          <w:color w:val="000000" w:themeColor="text1"/>
          <w:shd w:val="clear" w:color="auto" w:fill="FFFFFF"/>
          <w:lang w:val="en-US"/>
        </w:rPr>
        <w:t>118</w:t>
      </w:r>
      <w:r w:rsidRPr="00A30FAB">
        <w:rPr>
          <w:rFonts w:eastAsiaTheme="minorHAnsi" w:cs="Calibri"/>
          <w:color w:val="000000" w:themeColor="text1"/>
          <w:shd w:val="clear" w:color="auto" w:fill="FFFFFF"/>
          <w:lang w:val="en-US"/>
        </w:rPr>
        <w:t>: 1659-1701 [PMID: 27012580 DOI: 10.1161/RES.0000000000000097]</w:t>
      </w:r>
    </w:p>
    <w:p w14:paraId="75CC4466"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37 </w:t>
      </w:r>
      <w:r w:rsidRPr="00A30FAB">
        <w:rPr>
          <w:rFonts w:eastAsiaTheme="minorHAnsi" w:cs="Calibri"/>
          <w:b/>
          <w:bCs/>
          <w:color w:val="000000" w:themeColor="text1"/>
          <w:shd w:val="clear" w:color="auto" w:fill="FFFFFF"/>
          <w:lang w:val="en-US"/>
        </w:rPr>
        <w:t>Peterzan MA</w:t>
      </w:r>
      <w:r w:rsidRPr="00A30FAB">
        <w:rPr>
          <w:rFonts w:eastAsiaTheme="minorHAnsi" w:cs="Calibri"/>
          <w:color w:val="000000" w:themeColor="text1"/>
          <w:shd w:val="clear" w:color="auto" w:fill="FFFFFF"/>
          <w:lang w:val="en-US"/>
        </w:rPr>
        <w:t>, Lygate CA, Neubauer S, Rider OJ. Metabolic remodeling in hypertrophied and failing myocardium: a review. </w:t>
      </w:r>
      <w:r w:rsidRPr="00A30FAB">
        <w:rPr>
          <w:rFonts w:eastAsiaTheme="minorHAnsi" w:cs="Calibri"/>
          <w:i/>
          <w:iCs/>
          <w:color w:val="000000" w:themeColor="text1"/>
          <w:shd w:val="clear" w:color="auto" w:fill="FFFFFF"/>
          <w:lang w:val="en-US"/>
        </w:rPr>
        <w:t>Am J Physiol Heart Circ Physiol</w:t>
      </w:r>
      <w:r w:rsidRPr="00A30FAB">
        <w:rPr>
          <w:rFonts w:eastAsiaTheme="minorHAnsi" w:cs="Calibri"/>
          <w:color w:val="000000" w:themeColor="text1"/>
          <w:shd w:val="clear" w:color="auto" w:fill="FFFFFF"/>
          <w:lang w:val="en-US"/>
        </w:rPr>
        <w:t> 2017; </w:t>
      </w:r>
      <w:r w:rsidRPr="00A30FAB">
        <w:rPr>
          <w:rFonts w:eastAsiaTheme="minorHAnsi" w:cs="Calibri"/>
          <w:b/>
          <w:bCs/>
          <w:color w:val="000000" w:themeColor="text1"/>
          <w:shd w:val="clear" w:color="auto" w:fill="FFFFFF"/>
          <w:lang w:val="en-US"/>
        </w:rPr>
        <w:t>313</w:t>
      </w:r>
      <w:r w:rsidRPr="00A30FAB">
        <w:rPr>
          <w:rFonts w:eastAsiaTheme="minorHAnsi" w:cs="Calibri"/>
          <w:color w:val="000000" w:themeColor="text1"/>
          <w:shd w:val="clear" w:color="auto" w:fill="FFFFFF"/>
          <w:lang w:val="en-US"/>
        </w:rPr>
        <w:t>: H597-H616 [PMID: 28646030 DOI: 10.1152/ajpheart.00731.2016]</w:t>
      </w:r>
    </w:p>
    <w:p w14:paraId="3868EA27"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38 </w:t>
      </w:r>
      <w:r w:rsidRPr="00A30FAB">
        <w:rPr>
          <w:rFonts w:eastAsiaTheme="minorHAnsi" w:cs="Calibri"/>
          <w:b/>
          <w:bCs/>
          <w:color w:val="000000" w:themeColor="text1"/>
          <w:shd w:val="clear" w:color="auto" w:fill="FFFFFF"/>
          <w:lang w:val="en-US"/>
        </w:rPr>
        <w:t>Heather LC</w:t>
      </w:r>
      <w:r w:rsidRPr="00A30FAB">
        <w:rPr>
          <w:rFonts w:eastAsiaTheme="minorHAnsi" w:cs="Calibri"/>
          <w:color w:val="000000" w:themeColor="text1"/>
          <w:shd w:val="clear" w:color="auto" w:fill="FFFFFF"/>
          <w:lang w:val="en-US"/>
        </w:rPr>
        <w:t>, Clarke K. Metabolism, hypoxia and the diabetic heart. </w:t>
      </w:r>
      <w:r w:rsidRPr="00A30FAB">
        <w:rPr>
          <w:rFonts w:eastAsiaTheme="minorHAnsi" w:cs="Calibri"/>
          <w:i/>
          <w:iCs/>
          <w:color w:val="000000" w:themeColor="text1"/>
          <w:shd w:val="clear" w:color="auto" w:fill="FFFFFF"/>
          <w:lang w:val="en-US"/>
        </w:rPr>
        <w:t>J Mol Cell Cardiol</w:t>
      </w:r>
      <w:r w:rsidRPr="00A30FAB">
        <w:rPr>
          <w:rFonts w:eastAsiaTheme="minorHAnsi" w:cs="Calibri"/>
          <w:color w:val="000000" w:themeColor="text1"/>
          <w:shd w:val="clear" w:color="auto" w:fill="FFFFFF"/>
          <w:lang w:val="en-US"/>
        </w:rPr>
        <w:t> 2011; </w:t>
      </w:r>
      <w:r w:rsidRPr="00A30FAB">
        <w:rPr>
          <w:rFonts w:eastAsiaTheme="minorHAnsi" w:cs="Calibri"/>
          <w:b/>
          <w:bCs/>
          <w:color w:val="000000" w:themeColor="text1"/>
          <w:shd w:val="clear" w:color="auto" w:fill="FFFFFF"/>
          <w:lang w:val="en-US"/>
        </w:rPr>
        <w:t>50</w:t>
      </w:r>
      <w:r w:rsidRPr="00A30FAB">
        <w:rPr>
          <w:rFonts w:eastAsiaTheme="minorHAnsi" w:cs="Calibri"/>
          <w:color w:val="000000" w:themeColor="text1"/>
          <w:shd w:val="clear" w:color="auto" w:fill="FFFFFF"/>
          <w:lang w:val="en-US"/>
        </w:rPr>
        <w:t>: 598-605 [PMID: 21262230 DOI: 10.1016/j.yjmcc.2011.01.007]</w:t>
      </w:r>
    </w:p>
    <w:p w14:paraId="2BEB9FA1"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39 </w:t>
      </w:r>
      <w:r w:rsidRPr="00A30FAB">
        <w:rPr>
          <w:rFonts w:eastAsiaTheme="minorHAnsi" w:cs="Calibri"/>
          <w:b/>
          <w:bCs/>
          <w:color w:val="000000" w:themeColor="text1"/>
          <w:shd w:val="clear" w:color="auto" w:fill="FFFFFF"/>
          <w:lang w:val="en-US"/>
        </w:rPr>
        <w:t>Taegtmeyer H</w:t>
      </w:r>
      <w:r w:rsidRPr="00A30FAB">
        <w:rPr>
          <w:rFonts w:eastAsiaTheme="minorHAnsi" w:cs="Calibri"/>
          <w:color w:val="000000" w:themeColor="text1"/>
          <w:shd w:val="clear" w:color="auto" w:fill="FFFFFF"/>
          <w:lang w:val="en-US"/>
        </w:rPr>
        <w:t>. Cardiac metabolism as a target for the treatment of heart failure.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2004; </w:t>
      </w:r>
      <w:r w:rsidRPr="00A30FAB">
        <w:rPr>
          <w:rFonts w:eastAsiaTheme="minorHAnsi" w:cs="Calibri"/>
          <w:b/>
          <w:bCs/>
          <w:color w:val="000000" w:themeColor="text1"/>
          <w:shd w:val="clear" w:color="auto" w:fill="FFFFFF"/>
          <w:lang w:val="en-US"/>
        </w:rPr>
        <w:t>110</w:t>
      </w:r>
      <w:r w:rsidRPr="00A30FAB">
        <w:rPr>
          <w:rFonts w:eastAsiaTheme="minorHAnsi" w:cs="Calibri"/>
          <w:color w:val="000000" w:themeColor="text1"/>
          <w:shd w:val="clear" w:color="auto" w:fill="FFFFFF"/>
          <w:lang w:val="en-US"/>
        </w:rPr>
        <w:t>: 894-896 [PMID: 15326079 DOI: 10.1161/01.cir.0000139340.88769.d5]</w:t>
      </w:r>
    </w:p>
    <w:p w14:paraId="0957A59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40 </w:t>
      </w:r>
      <w:r w:rsidRPr="00A30FAB">
        <w:rPr>
          <w:rFonts w:eastAsiaTheme="minorHAnsi" w:cs="Calibri"/>
          <w:b/>
          <w:bCs/>
          <w:color w:val="000000" w:themeColor="text1"/>
          <w:shd w:val="clear" w:color="auto" w:fill="FFFFFF"/>
          <w:lang w:val="en-US"/>
        </w:rPr>
        <w:t>Harmancey R</w:t>
      </w:r>
      <w:r w:rsidRPr="00A30FAB">
        <w:rPr>
          <w:rFonts w:eastAsiaTheme="minorHAnsi" w:cs="Calibri"/>
          <w:color w:val="000000" w:themeColor="text1"/>
          <w:shd w:val="clear" w:color="auto" w:fill="FFFFFF"/>
          <w:lang w:val="en-US"/>
        </w:rPr>
        <w:t>, Taegtmeyer H. The complexities of diabetic cardiomyopathy: lessons from patients and animal models. </w:t>
      </w:r>
      <w:r w:rsidRPr="00A30FAB">
        <w:rPr>
          <w:rFonts w:eastAsiaTheme="minorHAnsi" w:cs="Calibri"/>
          <w:i/>
          <w:iCs/>
          <w:color w:val="000000" w:themeColor="text1"/>
          <w:shd w:val="clear" w:color="auto" w:fill="FFFFFF"/>
          <w:lang w:val="en-US"/>
        </w:rPr>
        <w:t>Curr Diab Rep</w:t>
      </w:r>
      <w:r w:rsidRPr="00A30FAB">
        <w:rPr>
          <w:rFonts w:eastAsiaTheme="minorHAnsi" w:cs="Calibri"/>
          <w:color w:val="000000" w:themeColor="text1"/>
          <w:shd w:val="clear" w:color="auto" w:fill="FFFFFF"/>
          <w:lang w:val="en-US"/>
        </w:rPr>
        <w:t> 2008; </w:t>
      </w:r>
      <w:r w:rsidRPr="00A30FAB">
        <w:rPr>
          <w:rFonts w:eastAsiaTheme="minorHAnsi" w:cs="Calibri"/>
          <w:b/>
          <w:bCs/>
          <w:color w:val="000000" w:themeColor="text1"/>
          <w:shd w:val="clear" w:color="auto" w:fill="FFFFFF"/>
          <w:lang w:val="en-US"/>
        </w:rPr>
        <w:t>8</w:t>
      </w:r>
      <w:r w:rsidRPr="00A30FAB">
        <w:rPr>
          <w:rFonts w:eastAsiaTheme="minorHAnsi" w:cs="Calibri"/>
          <w:color w:val="000000" w:themeColor="text1"/>
          <w:shd w:val="clear" w:color="auto" w:fill="FFFFFF"/>
          <w:lang w:val="en-US"/>
        </w:rPr>
        <w:t>: 243-248 [PMID: 18625124 DOI: 10.1007/s11892-008-0042-x]</w:t>
      </w:r>
    </w:p>
    <w:p w14:paraId="0277DA30"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41 </w:t>
      </w:r>
      <w:r w:rsidRPr="00A30FAB">
        <w:rPr>
          <w:rFonts w:eastAsiaTheme="minorHAnsi" w:cs="Calibri"/>
          <w:b/>
          <w:bCs/>
          <w:color w:val="000000" w:themeColor="text1"/>
          <w:shd w:val="clear" w:color="auto" w:fill="FFFFFF"/>
          <w:lang w:val="en-US"/>
        </w:rPr>
        <w:t>Stanley WC</w:t>
      </w:r>
      <w:r w:rsidRPr="00A30FAB">
        <w:rPr>
          <w:rFonts w:eastAsiaTheme="minorHAnsi" w:cs="Calibri"/>
          <w:color w:val="000000" w:themeColor="text1"/>
          <w:shd w:val="clear" w:color="auto" w:fill="FFFFFF"/>
          <w:lang w:val="en-US"/>
        </w:rPr>
        <w:t>, Recchia FA, Lopaschuk GD. Myocardial substrate metabolism in the normal and failing heart. </w:t>
      </w:r>
      <w:r w:rsidRPr="00A30FAB">
        <w:rPr>
          <w:rFonts w:eastAsiaTheme="minorHAnsi" w:cs="Calibri"/>
          <w:i/>
          <w:iCs/>
          <w:color w:val="000000" w:themeColor="text1"/>
          <w:shd w:val="clear" w:color="auto" w:fill="FFFFFF"/>
          <w:lang w:val="en-US"/>
        </w:rPr>
        <w:t>Physiol Rev</w:t>
      </w:r>
      <w:r w:rsidRPr="00A30FAB">
        <w:rPr>
          <w:rFonts w:eastAsiaTheme="minorHAnsi" w:cs="Calibri"/>
          <w:color w:val="000000" w:themeColor="text1"/>
          <w:shd w:val="clear" w:color="auto" w:fill="FFFFFF"/>
          <w:lang w:val="en-US"/>
        </w:rPr>
        <w:t> 2005; </w:t>
      </w:r>
      <w:r w:rsidRPr="00A30FAB">
        <w:rPr>
          <w:rFonts w:eastAsiaTheme="minorHAnsi" w:cs="Calibri"/>
          <w:b/>
          <w:bCs/>
          <w:color w:val="000000" w:themeColor="text1"/>
          <w:shd w:val="clear" w:color="auto" w:fill="FFFFFF"/>
          <w:lang w:val="en-US"/>
        </w:rPr>
        <w:t>85</w:t>
      </w:r>
      <w:r w:rsidRPr="00A30FAB">
        <w:rPr>
          <w:rFonts w:eastAsiaTheme="minorHAnsi" w:cs="Calibri"/>
          <w:color w:val="000000" w:themeColor="text1"/>
          <w:shd w:val="clear" w:color="auto" w:fill="FFFFFF"/>
          <w:lang w:val="en-US"/>
        </w:rPr>
        <w:t>: 1093-1129 [PMID: 15987803 DOI: 10.1152/physrev.00006.2004]</w:t>
      </w:r>
    </w:p>
    <w:p w14:paraId="4AFA187D"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42 </w:t>
      </w:r>
      <w:r w:rsidRPr="00A30FAB">
        <w:rPr>
          <w:rFonts w:eastAsiaTheme="minorHAnsi" w:cs="Calibri"/>
          <w:b/>
          <w:bCs/>
          <w:color w:val="000000" w:themeColor="text1"/>
          <w:shd w:val="clear" w:color="auto" w:fill="FFFFFF"/>
          <w:lang w:val="en-US"/>
        </w:rPr>
        <w:t>Lopaschuk GD</w:t>
      </w:r>
      <w:r w:rsidRPr="00A30FAB">
        <w:rPr>
          <w:rFonts w:eastAsiaTheme="minorHAnsi" w:cs="Calibri"/>
          <w:color w:val="000000" w:themeColor="text1"/>
          <w:shd w:val="clear" w:color="auto" w:fill="FFFFFF"/>
          <w:lang w:val="en-US"/>
        </w:rPr>
        <w:t>, Ussher JR, Folmes CD, Jaswal JS, Stanley WC. Myocardial fatty acid metabolism in health and disease. </w:t>
      </w:r>
      <w:r w:rsidRPr="00A30FAB">
        <w:rPr>
          <w:rFonts w:eastAsiaTheme="minorHAnsi" w:cs="Calibri"/>
          <w:i/>
          <w:iCs/>
          <w:color w:val="000000" w:themeColor="text1"/>
          <w:shd w:val="clear" w:color="auto" w:fill="FFFFFF"/>
          <w:lang w:val="en-US"/>
        </w:rPr>
        <w:t>Physiol Rev</w:t>
      </w:r>
      <w:r w:rsidRPr="00A30FAB">
        <w:rPr>
          <w:rFonts w:eastAsiaTheme="minorHAnsi" w:cs="Calibri"/>
          <w:color w:val="000000" w:themeColor="text1"/>
          <w:shd w:val="clear" w:color="auto" w:fill="FFFFFF"/>
          <w:lang w:val="en-US"/>
        </w:rPr>
        <w:t> 2010; </w:t>
      </w:r>
      <w:r w:rsidRPr="00A30FAB">
        <w:rPr>
          <w:rFonts w:eastAsiaTheme="minorHAnsi" w:cs="Calibri"/>
          <w:b/>
          <w:bCs/>
          <w:color w:val="000000" w:themeColor="text1"/>
          <w:shd w:val="clear" w:color="auto" w:fill="FFFFFF"/>
          <w:lang w:val="en-US"/>
        </w:rPr>
        <w:t>90</w:t>
      </w:r>
      <w:r w:rsidRPr="00A30FAB">
        <w:rPr>
          <w:rFonts w:eastAsiaTheme="minorHAnsi" w:cs="Calibri"/>
          <w:color w:val="000000" w:themeColor="text1"/>
          <w:shd w:val="clear" w:color="auto" w:fill="FFFFFF"/>
          <w:lang w:val="en-US"/>
        </w:rPr>
        <w:t>: 207-258 [PMID: 20086077 DOI: 10.1152/physrev.00015.2009]</w:t>
      </w:r>
    </w:p>
    <w:p w14:paraId="778A3DF7"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43 </w:t>
      </w:r>
      <w:r w:rsidRPr="00A30FAB">
        <w:rPr>
          <w:rFonts w:eastAsiaTheme="minorHAnsi" w:cs="Calibri"/>
          <w:b/>
          <w:bCs/>
          <w:color w:val="000000" w:themeColor="text1"/>
          <w:shd w:val="clear" w:color="auto" w:fill="FFFFFF"/>
          <w:lang w:val="en-US"/>
        </w:rPr>
        <w:t>Zhang J</w:t>
      </w:r>
      <w:r w:rsidRPr="00A30FAB">
        <w:rPr>
          <w:rFonts w:eastAsiaTheme="minorHAnsi" w:cs="Calibri"/>
          <w:color w:val="000000" w:themeColor="text1"/>
          <w:shd w:val="clear" w:color="auto" w:fill="FFFFFF"/>
          <w:lang w:val="en-US"/>
        </w:rPr>
        <w:t>, Duncker DJ, Ya X, Zhang Y, Pavek T, Wei H, Merkle H, Uğurbil K, From AH, Bache RJ. Effect of left ventricular hypertrophy secondary to chronic pressure overload on transmural myocardial 2-deoxyglucose uptake. A 31P NMR spectroscopic study.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1995; </w:t>
      </w:r>
      <w:r w:rsidRPr="00A30FAB">
        <w:rPr>
          <w:rFonts w:eastAsiaTheme="minorHAnsi" w:cs="Calibri"/>
          <w:b/>
          <w:bCs/>
          <w:color w:val="000000" w:themeColor="text1"/>
          <w:shd w:val="clear" w:color="auto" w:fill="FFFFFF"/>
          <w:lang w:val="en-US"/>
        </w:rPr>
        <w:t>92</w:t>
      </w:r>
      <w:r w:rsidRPr="00A30FAB">
        <w:rPr>
          <w:rFonts w:eastAsiaTheme="minorHAnsi" w:cs="Calibri"/>
          <w:color w:val="000000" w:themeColor="text1"/>
          <w:shd w:val="clear" w:color="auto" w:fill="FFFFFF"/>
          <w:lang w:val="en-US"/>
        </w:rPr>
        <w:t>: 1274-1283 [PMID: 7648676 DOI: 10.1161/01.CIR.92.5.1274]</w:t>
      </w:r>
    </w:p>
    <w:p w14:paraId="0D781350"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44 </w:t>
      </w:r>
      <w:r w:rsidRPr="00A30FAB">
        <w:rPr>
          <w:rFonts w:eastAsiaTheme="minorHAnsi" w:cs="Calibri"/>
          <w:b/>
          <w:bCs/>
          <w:color w:val="000000" w:themeColor="text1"/>
          <w:shd w:val="clear" w:color="auto" w:fill="FFFFFF"/>
          <w:lang w:val="en-US"/>
        </w:rPr>
        <w:t>Le Page LM</w:t>
      </w:r>
      <w:r w:rsidRPr="00A30FAB">
        <w:rPr>
          <w:rFonts w:eastAsiaTheme="minorHAnsi" w:cs="Calibri"/>
          <w:color w:val="000000" w:themeColor="text1"/>
          <w:shd w:val="clear" w:color="auto" w:fill="FFFFFF"/>
          <w:lang w:val="en-US"/>
        </w:rPr>
        <w:t>, Rider OJ, Lewis AJ, Ball V, Clarke K, Johansson E, Carr CA, Heather LC, Tyler DJ. Increasing Pyruvate Dehydrogenase Flux as a Treatment for Diabetic Cardiomyopathy: A Combined 13C Hyperpolarized Magnetic Resonance and Echocardiography Study. </w:t>
      </w:r>
      <w:r w:rsidRPr="00A30FAB">
        <w:rPr>
          <w:rFonts w:eastAsiaTheme="minorHAnsi" w:cs="Calibri"/>
          <w:i/>
          <w:iCs/>
          <w:color w:val="000000" w:themeColor="text1"/>
          <w:shd w:val="clear" w:color="auto" w:fill="FFFFFF"/>
          <w:lang w:val="en-US"/>
        </w:rPr>
        <w:t>Diabetes</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64</w:t>
      </w:r>
      <w:r w:rsidRPr="00A30FAB">
        <w:rPr>
          <w:rFonts w:eastAsiaTheme="minorHAnsi" w:cs="Calibri"/>
          <w:color w:val="000000" w:themeColor="text1"/>
          <w:shd w:val="clear" w:color="auto" w:fill="FFFFFF"/>
          <w:lang w:val="en-US"/>
        </w:rPr>
        <w:t>: 2735-2743 [PMID: 25795215 DOI: 10.2337/db14-1560]</w:t>
      </w:r>
    </w:p>
    <w:p w14:paraId="52898ACD"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45 </w:t>
      </w:r>
      <w:r w:rsidRPr="00A30FAB">
        <w:rPr>
          <w:rFonts w:eastAsiaTheme="minorHAnsi" w:cs="Calibri"/>
          <w:b/>
          <w:bCs/>
          <w:color w:val="000000" w:themeColor="text1"/>
          <w:shd w:val="clear" w:color="auto" w:fill="FFFFFF"/>
          <w:lang w:val="en-US"/>
        </w:rPr>
        <w:t>Khakoo AY</w:t>
      </w:r>
      <w:r w:rsidRPr="00A30FAB">
        <w:rPr>
          <w:rFonts w:eastAsiaTheme="minorHAnsi" w:cs="Calibri"/>
          <w:color w:val="000000" w:themeColor="text1"/>
          <w:shd w:val="clear" w:color="auto" w:fill="FFFFFF"/>
          <w:lang w:val="en-US"/>
        </w:rPr>
        <w:t>, Kassiotis CM, Tannir N, Plana JC, Halushka M, Bickford C, Trent J 2nd, Champion JC, Durand JB, Lenihan DJ. Heart failure associated with sunitinib malate: a multitargeted receptor tyrosine kinase inhibitor. </w:t>
      </w:r>
      <w:r w:rsidRPr="00A30FAB">
        <w:rPr>
          <w:rFonts w:eastAsiaTheme="minorHAnsi" w:cs="Calibri"/>
          <w:i/>
          <w:iCs/>
          <w:color w:val="000000" w:themeColor="text1"/>
          <w:shd w:val="clear" w:color="auto" w:fill="FFFFFF"/>
          <w:lang w:val="en-US"/>
        </w:rPr>
        <w:t>Cancer</w:t>
      </w:r>
      <w:r w:rsidRPr="00A30FAB">
        <w:rPr>
          <w:rFonts w:eastAsiaTheme="minorHAnsi" w:cs="Calibri"/>
          <w:color w:val="000000" w:themeColor="text1"/>
          <w:shd w:val="clear" w:color="auto" w:fill="FFFFFF"/>
          <w:lang w:val="en-US"/>
        </w:rPr>
        <w:t> 2008; </w:t>
      </w:r>
      <w:r w:rsidRPr="00A30FAB">
        <w:rPr>
          <w:rFonts w:eastAsiaTheme="minorHAnsi" w:cs="Calibri"/>
          <w:b/>
          <w:bCs/>
          <w:color w:val="000000" w:themeColor="text1"/>
          <w:shd w:val="clear" w:color="auto" w:fill="FFFFFF"/>
          <w:lang w:val="en-US"/>
        </w:rPr>
        <w:t>112</w:t>
      </w:r>
      <w:r w:rsidRPr="00A30FAB">
        <w:rPr>
          <w:rFonts w:eastAsiaTheme="minorHAnsi" w:cs="Calibri"/>
          <w:color w:val="000000" w:themeColor="text1"/>
          <w:shd w:val="clear" w:color="auto" w:fill="FFFFFF"/>
          <w:lang w:val="en-US"/>
        </w:rPr>
        <w:t>: 2500-2508 [PMID: 18386829 DOI: 10.1002/cncr.23460]</w:t>
      </w:r>
    </w:p>
    <w:p w14:paraId="019EB0CB"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46 </w:t>
      </w:r>
      <w:r w:rsidRPr="00A30FAB">
        <w:rPr>
          <w:rFonts w:eastAsiaTheme="minorHAnsi" w:cs="Calibri"/>
          <w:b/>
          <w:bCs/>
          <w:color w:val="000000" w:themeColor="text1"/>
          <w:shd w:val="clear" w:color="auto" w:fill="FFFFFF"/>
          <w:lang w:val="en-US"/>
        </w:rPr>
        <w:t>Taegtmeyer H</w:t>
      </w:r>
      <w:r w:rsidRPr="00A30FAB">
        <w:rPr>
          <w:rFonts w:eastAsiaTheme="minorHAnsi" w:cs="Calibri"/>
          <w:color w:val="000000" w:themeColor="text1"/>
          <w:shd w:val="clear" w:color="auto" w:fill="FFFFFF"/>
          <w:lang w:val="en-US"/>
        </w:rPr>
        <w:t>, McNulty P, Young ME. Adaptation and maladaptation of the heart in diabetes: Part I: general concepts.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2002; </w:t>
      </w:r>
      <w:r w:rsidRPr="00A30FAB">
        <w:rPr>
          <w:rFonts w:eastAsiaTheme="minorHAnsi" w:cs="Calibri"/>
          <w:b/>
          <w:bCs/>
          <w:color w:val="000000" w:themeColor="text1"/>
          <w:shd w:val="clear" w:color="auto" w:fill="FFFFFF"/>
          <w:lang w:val="en-US"/>
        </w:rPr>
        <w:t>105</w:t>
      </w:r>
      <w:r w:rsidRPr="00A30FAB">
        <w:rPr>
          <w:rFonts w:eastAsiaTheme="minorHAnsi" w:cs="Calibri"/>
          <w:color w:val="000000" w:themeColor="text1"/>
          <w:shd w:val="clear" w:color="auto" w:fill="FFFFFF"/>
          <w:lang w:val="en-US"/>
        </w:rPr>
        <w:t>: 1727-1733 [PMID: 11940554 DOI: 10.1161/01.CIR.0000012466.50373.E8]</w:t>
      </w:r>
    </w:p>
    <w:p w14:paraId="3FF118D0"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47 </w:t>
      </w:r>
      <w:r w:rsidRPr="00A30FAB">
        <w:rPr>
          <w:rFonts w:eastAsiaTheme="minorHAnsi" w:cs="Calibri"/>
          <w:b/>
          <w:bCs/>
          <w:color w:val="000000" w:themeColor="text1"/>
          <w:shd w:val="clear" w:color="auto" w:fill="FFFFFF"/>
          <w:lang w:val="en-US"/>
        </w:rPr>
        <w:t>Finck BN</w:t>
      </w:r>
      <w:r w:rsidRPr="00A30FAB">
        <w:rPr>
          <w:rFonts w:eastAsiaTheme="minorHAnsi" w:cs="Calibri"/>
          <w:color w:val="000000" w:themeColor="text1"/>
          <w:shd w:val="clear" w:color="auto" w:fill="FFFFFF"/>
          <w:lang w:val="en-US"/>
        </w:rPr>
        <w:t>, Lehman JJ, Leone TC, Welch MJ, Bennett MJ, Kovacs A, Han X, Gross RW, Kozak R, Lopaschuk GD, Kelly DP. The cardiac phenotype induced by PPARalpha overexpression mimics that caused by diabetes mellitus. </w:t>
      </w:r>
      <w:r w:rsidRPr="00A30FAB">
        <w:rPr>
          <w:rFonts w:eastAsiaTheme="minorHAnsi" w:cs="Calibri"/>
          <w:i/>
          <w:iCs/>
          <w:color w:val="000000" w:themeColor="text1"/>
          <w:shd w:val="clear" w:color="auto" w:fill="FFFFFF"/>
          <w:lang w:val="en-US"/>
        </w:rPr>
        <w:t>J Clin Invest</w:t>
      </w:r>
      <w:r w:rsidRPr="00A30FAB">
        <w:rPr>
          <w:rFonts w:eastAsiaTheme="minorHAnsi" w:cs="Calibri"/>
          <w:color w:val="000000" w:themeColor="text1"/>
          <w:shd w:val="clear" w:color="auto" w:fill="FFFFFF"/>
          <w:lang w:val="en-US"/>
        </w:rPr>
        <w:t> 2002; </w:t>
      </w:r>
      <w:r w:rsidRPr="00A30FAB">
        <w:rPr>
          <w:rFonts w:eastAsiaTheme="minorHAnsi" w:cs="Calibri"/>
          <w:b/>
          <w:bCs/>
          <w:color w:val="000000" w:themeColor="text1"/>
          <w:shd w:val="clear" w:color="auto" w:fill="FFFFFF"/>
          <w:lang w:val="en-US"/>
        </w:rPr>
        <w:t>109</w:t>
      </w:r>
      <w:r w:rsidRPr="00A30FAB">
        <w:rPr>
          <w:rFonts w:eastAsiaTheme="minorHAnsi" w:cs="Calibri"/>
          <w:color w:val="000000" w:themeColor="text1"/>
          <w:shd w:val="clear" w:color="auto" w:fill="FFFFFF"/>
          <w:lang w:val="en-US"/>
        </w:rPr>
        <w:t>: 121-130 [PMID: 11781357 DOI: 10.1172/JCI14080]</w:t>
      </w:r>
    </w:p>
    <w:p w14:paraId="1F51BED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48 </w:t>
      </w:r>
      <w:r w:rsidRPr="00A30FAB">
        <w:rPr>
          <w:rFonts w:eastAsiaTheme="minorHAnsi" w:cs="Calibri"/>
          <w:b/>
          <w:bCs/>
          <w:color w:val="000000" w:themeColor="text1"/>
          <w:shd w:val="clear" w:color="auto" w:fill="FFFFFF"/>
          <w:lang w:val="en-US"/>
        </w:rPr>
        <w:t>Kassiotis C</w:t>
      </w:r>
      <w:r w:rsidRPr="00A30FAB">
        <w:rPr>
          <w:rFonts w:eastAsiaTheme="minorHAnsi" w:cs="Calibri"/>
          <w:color w:val="000000" w:themeColor="text1"/>
          <w:shd w:val="clear" w:color="auto" w:fill="FFFFFF"/>
          <w:lang w:val="en-US"/>
        </w:rPr>
        <w:t>, Rajabi M, Taegtmeyer H. Metabolic reserve of the heart: the forgotten link between contraction and coronary flow. </w:t>
      </w:r>
      <w:r w:rsidRPr="00A30FAB">
        <w:rPr>
          <w:rFonts w:eastAsiaTheme="minorHAnsi" w:cs="Calibri"/>
          <w:i/>
          <w:iCs/>
          <w:color w:val="000000" w:themeColor="text1"/>
          <w:shd w:val="clear" w:color="auto" w:fill="FFFFFF"/>
          <w:lang w:val="en-US"/>
        </w:rPr>
        <w:t>Prog Cardiovasc Dis</w:t>
      </w:r>
      <w:r w:rsidRPr="00A30FAB">
        <w:rPr>
          <w:rFonts w:eastAsiaTheme="minorHAnsi" w:cs="Calibri"/>
          <w:color w:val="000000" w:themeColor="text1"/>
          <w:shd w:val="clear" w:color="auto" w:fill="FFFFFF"/>
          <w:lang w:val="en-US"/>
        </w:rPr>
        <w:t> 2008; </w:t>
      </w:r>
      <w:r w:rsidRPr="00A30FAB">
        <w:rPr>
          <w:rFonts w:eastAsiaTheme="minorHAnsi" w:cs="Calibri"/>
          <w:b/>
          <w:bCs/>
          <w:color w:val="000000" w:themeColor="text1"/>
          <w:shd w:val="clear" w:color="auto" w:fill="FFFFFF"/>
          <w:lang w:val="en-US"/>
        </w:rPr>
        <w:t>51</w:t>
      </w:r>
      <w:r w:rsidRPr="00A30FAB">
        <w:rPr>
          <w:rFonts w:eastAsiaTheme="minorHAnsi" w:cs="Calibri"/>
          <w:color w:val="000000" w:themeColor="text1"/>
          <w:shd w:val="clear" w:color="auto" w:fill="FFFFFF"/>
          <w:lang w:val="en-US"/>
        </w:rPr>
        <w:t>: 74-88 [PMID: 18634919 DOI: 10.1016/j.pcad.2007.11.005]</w:t>
      </w:r>
    </w:p>
    <w:p w14:paraId="1E12931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49 </w:t>
      </w:r>
      <w:r w:rsidRPr="00A30FAB">
        <w:rPr>
          <w:rFonts w:eastAsiaTheme="minorHAnsi" w:cs="Calibri"/>
          <w:b/>
          <w:bCs/>
          <w:color w:val="000000" w:themeColor="text1"/>
          <w:shd w:val="clear" w:color="auto" w:fill="FFFFFF"/>
          <w:lang w:val="en-US"/>
        </w:rPr>
        <w:t>Neubauer S</w:t>
      </w:r>
      <w:r w:rsidRPr="00A30FAB">
        <w:rPr>
          <w:rFonts w:eastAsiaTheme="minorHAnsi" w:cs="Calibri"/>
          <w:color w:val="000000" w:themeColor="text1"/>
          <w:shd w:val="clear" w:color="auto" w:fill="FFFFFF"/>
          <w:lang w:val="en-US"/>
        </w:rPr>
        <w:t>. The failing heart--an engine out of fuel.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2007; </w:t>
      </w:r>
      <w:r w:rsidRPr="00A30FAB">
        <w:rPr>
          <w:rFonts w:eastAsiaTheme="minorHAnsi" w:cs="Calibri"/>
          <w:b/>
          <w:bCs/>
          <w:color w:val="000000" w:themeColor="text1"/>
          <w:shd w:val="clear" w:color="auto" w:fill="FFFFFF"/>
          <w:lang w:val="en-US"/>
        </w:rPr>
        <w:t>356</w:t>
      </w:r>
      <w:r w:rsidRPr="00A30FAB">
        <w:rPr>
          <w:rFonts w:eastAsiaTheme="minorHAnsi" w:cs="Calibri"/>
          <w:color w:val="000000" w:themeColor="text1"/>
          <w:shd w:val="clear" w:color="auto" w:fill="FFFFFF"/>
          <w:lang w:val="en-US"/>
        </w:rPr>
        <w:t>: 1140-1151 [PMID: 17360992 DOI: 10.1056/NEJMra063052]</w:t>
      </w:r>
    </w:p>
    <w:p w14:paraId="49A1F5E1"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50 </w:t>
      </w:r>
      <w:r w:rsidRPr="00A30FAB">
        <w:rPr>
          <w:rFonts w:eastAsiaTheme="minorHAnsi" w:cs="Calibri"/>
          <w:b/>
          <w:bCs/>
          <w:color w:val="000000" w:themeColor="text1"/>
          <w:shd w:val="clear" w:color="auto" w:fill="FFFFFF"/>
          <w:lang w:val="en-US"/>
        </w:rPr>
        <w:t>Langenberg CJ</w:t>
      </w:r>
      <w:r w:rsidRPr="00A30FAB">
        <w:rPr>
          <w:rFonts w:eastAsiaTheme="minorHAnsi" w:cs="Calibri"/>
          <w:color w:val="000000" w:themeColor="text1"/>
          <w:shd w:val="clear" w:color="auto" w:fill="FFFFFF"/>
          <w:lang w:val="en-US"/>
        </w:rPr>
        <w:t>, Pietersen HG, Geskes G, Wagenmakers AJ, Soeters PB, Durieux M. Coronary sinus catheter placement: assessment of placement criteria and cardiac complications. </w:t>
      </w:r>
      <w:r w:rsidRPr="00A30FAB">
        <w:rPr>
          <w:rFonts w:eastAsiaTheme="minorHAnsi" w:cs="Calibri"/>
          <w:i/>
          <w:iCs/>
          <w:color w:val="000000" w:themeColor="text1"/>
          <w:shd w:val="clear" w:color="auto" w:fill="FFFFFF"/>
          <w:lang w:val="en-US"/>
        </w:rPr>
        <w:t>Chest</w:t>
      </w:r>
      <w:r w:rsidRPr="00A30FAB">
        <w:rPr>
          <w:rFonts w:eastAsiaTheme="minorHAnsi" w:cs="Calibri"/>
          <w:color w:val="000000" w:themeColor="text1"/>
          <w:shd w:val="clear" w:color="auto" w:fill="FFFFFF"/>
          <w:lang w:val="en-US"/>
        </w:rPr>
        <w:t> 2003; </w:t>
      </w:r>
      <w:r w:rsidRPr="00A30FAB">
        <w:rPr>
          <w:rFonts w:eastAsiaTheme="minorHAnsi" w:cs="Calibri"/>
          <w:b/>
          <w:bCs/>
          <w:color w:val="000000" w:themeColor="text1"/>
          <w:shd w:val="clear" w:color="auto" w:fill="FFFFFF"/>
          <w:lang w:val="en-US"/>
        </w:rPr>
        <w:t>124</w:t>
      </w:r>
      <w:r w:rsidRPr="00A30FAB">
        <w:rPr>
          <w:rFonts w:eastAsiaTheme="minorHAnsi" w:cs="Calibri"/>
          <w:color w:val="000000" w:themeColor="text1"/>
          <w:shd w:val="clear" w:color="auto" w:fill="FFFFFF"/>
          <w:lang w:val="en-US"/>
        </w:rPr>
        <w:t>: 1259-1265 [PMID: 14555554 DOI: 10.1378/chest.124.4.1259]</w:t>
      </w:r>
    </w:p>
    <w:p w14:paraId="6562A3BC" w14:textId="4B88F0BA"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51 </w:t>
      </w:r>
      <w:r w:rsidRPr="00A30FAB">
        <w:rPr>
          <w:rFonts w:eastAsiaTheme="minorHAnsi" w:cs="Calibri"/>
          <w:b/>
          <w:bCs/>
          <w:color w:val="000000" w:themeColor="text1"/>
          <w:shd w:val="clear" w:color="auto" w:fill="FFFFFF"/>
          <w:lang w:val="en-US"/>
        </w:rPr>
        <w:t>Rothman MT</w:t>
      </w:r>
      <w:r w:rsidRPr="009345EF">
        <w:rPr>
          <w:rFonts w:eastAsiaTheme="minorHAnsi" w:cs="Calibri"/>
          <w:color w:val="000000" w:themeColor="text1"/>
          <w:shd w:val="clear" w:color="auto" w:fill="FFFFFF"/>
          <w:lang w:val="en-US"/>
        </w:rPr>
        <w:t>,</w:t>
      </w:r>
      <w:r w:rsidRPr="00A30FAB">
        <w:rPr>
          <w:rFonts w:eastAsiaTheme="minorHAnsi" w:cs="Calibri"/>
          <w:color w:val="000000" w:themeColor="text1"/>
          <w:shd w:val="clear" w:color="auto" w:fill="FFFFFF"/>
          <w:lang w:val="en-US"/>
        </w:rPr>
        <w:t xml:space="preserve"> Baim DS, Simpson JB, Harrison DC. </w:t>
      </w:r>
      <w:bookmarkStart w:id="98" w:name="OLE_LINK39"/>
      <w:bookmarkStart w:id="99" w:name="OLE_LINK40"/>
      <w:r w:rsidRPr="00A30FAB">
        <w:rPr>
          <w:rFonts w:eastAsiaTheme="minorHAnsi" w:cs="Calibri"/>
          <w:color w:val="000000" w:themeColor="text1"/>
          <w:shd w:val="clear" w:color="auto" w:fill="FFFFFF"/>
          <w:lang w:val="en-US"/>
        </w:rPr>
        <w:t>Coronary hemodynamics during percutaneous transluminal coronary angioplasty</w:t>
      </w:r>
      <w:bookmarkEnd w:id="98"/>
      <w:bookmarkEnd w:id="99"/>
      <w:r w:rsidRPr="00A30FAB">
        <w:rPr>
          <w:rFonts w:eastAsiaTheme="minorHAnsi" w:cs="Calibri"/>
          <w:color w:val="000000" w:themeColor="text1"/>
          <w:shd w:val="clear" w:color="auto" w:fill="FFFFFF"/>
          <w:lang w:val="en-US"/>
        </w:rPr>
        <w:t xml:space="preserve">. </w:t>
      </w:r>
      <w:r w:rsidRPr="009345EF">
        <w:rPr>
          <w:rFonts w:eastAsiaTheme="minorHAnsi" w:cs="Calibri"/>
          <w:i/>
          <w:iCs/>
          <w:color w:val="000000" w:themeColor="text1"/>
          <w:shd w:val="clear" w:color="auto" w:fill="FFFFFF"/>
          <w:lang w:val="en-US"/>
        </w:rPr>
        <w:t>Am J Cardiol</w:t>
      </w:r>
      <w:r w:rsidRPr="00A30FAB">
        <w:rPr>
          <w:rFonts w:eastAsiaTheme="minorHAnsi" w:cs="Calibri"/>
          <w:color w:val="000000" w:themeColor="text1"/>
          <w:shd w:val="clear" w:color="auto" w:fill="FFFFFF"/>
          <w:lang w:val="en-US"/>
        </w:rPr>
        <w:t xml:space="preserve"> </w:t>
      </w:r>
      <w:r w:rsidR="009345EF">
        <w:rPr>
          <w:rFonts w:eastAsiaTheme="minorHAnsi" w:cs="Calibri"/>
          <w:color w:val="000000" w:themeColor="text1"/>
          <w:shd w:val="clear" w:color="auto" w:fill="FFFFFF"/>
          <w:lang w:val="en-US"/>
        </w:rPr>
        <w:t xml:space="preserve">1982; </w:t>
      </w:r>
      <w:r w:rsidRPr="009345EF">
        <w:rPr>
          <w:rFonts w:eastAsiaTheme="minorHAnsi" w:cs="Calibri"/>
          <w:b/>
          <w:bCs/>
          <w:color w:val="000000" w:themeColor="text1"/>
          <w:shd w:val="clear" w:color="auto" w:fill="FFFFFF"/>
          <w:lang w:val="en-US"/>
        </w:rPr>
        <w:t>49</w:t>
      </w:r>
      <w:r w:rsidRPr="00A30FAB">
        <w:rPr>
          <w:rFonts w:eastAsiaTheme="minorHAnsi" w:cs="Calibri"/>
          <w:color w:val="000000" w:themeColor="text1"/>
          <w:shd w:val="clear" w:color="auto" w:fill="FFFFFF"/>
          <w:lang w:val="en-US"/>
        </w:rPr>
        <w:t xml:space="preserve">: 1615-1622 </w:t>
      </w:r>
      <w:r w:rsidR="009345EF">
        <w:rPr>
          <w:rFonts w:eastAsiaTheme="minorHAnsi" w:cs="Calibri"/>
          <w:color w:val="000000" w:themeColor="text1"/>
          <w:shd w:val="clear" w:color="auto" w:fill="FFFFFF"/>
          <w:lang w:val="en-US"/>
        </w:rPr>
        <w:t>[</w:t>
      </w:r>
      <w:r w:rsidRPr="00A30FAB">
        <w:rPr>
          <w:rFonts w:eastAsiaTheme="minorHAnsi" w:cs="Calibri"/>
          <w:color w:val="000000" w:themeColor="text1"/>
          <w:shd w:val="clear" w:color="auto" w:fill="FFFFFF"/>
          <w:lang w:val="en-US"/>
        </w:rPr>
        <w:t>DOI: 10.1016/0002-9149(82)90236-3]</w:t>
      </w:r>
    </w:p>
    <w:p w14:paraId="14304BD3"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52 </w:t>
      </w:r>
      <w:r w:rsidRPr="00A30FAB">
        <w:rPr>
          <w:rFonts w:eastAsiaTheme="minorHAnsi" w:cs="Calibri"/>
          <w:b/>
          <w:bCs/>
          <w:color w:val="000000" w:themeColor="text1"/>
          <w:shd w:val="clear" w:color="auto" w:fill="FFFFFF"/>
          <w:lang w:val="en-US"/>
        </w:rPr>
        <w:t>Camici P</w:t>
      </w:r>
      <w:r w:rsidRPr="00A30FAB">
        <w:rPr>
          <w:rFonts w:eastAsiaTheme="minorHAnsi" w:cs="Calibri"/>
          <w:color w:val="000000" w:themeColor="text1"/>
          <w:shd w:val="clear" w:color="auto" w:fill="FFFFFF"/>
          <w:lang w:val="en-US"/>
        </w:rPr>
        <w:t>, Marraccini P, Marzilli M, Lorenzoni R, Buzzigoli G, Puntoni R, Boni C, Bellina CR, Klassen GA, L'Abbate A. Coronary hemodynamics and myocardial metabolism during and after pacing stress in normal humans. </w:t>
      </w:r>
      <w:r w:rsidRPr="00A30FAB">
        <w:rPr>
          <w:rFonts w:eastAsiaTheme="minorHAnsi" w:cs="Calibri"/>
          <w:i/>
          <w:iCs/>
          <w:color w:val="000000" w:themeColor="text1"/>
          <w:shd w:val="clear" w:color="auto" w:fill="FFFFFF"/>
          <w:lang w:val="en-US"/>
        </w:rPr>
        <w:t>Am J Physiol</w:t>
      </w:r>
      <w:r w:rsidRPr="00A30FAB">
        <w:rPr>
          <w:rFonts w:eastAsiaTheme="minorHAnsi" w:cs="Calibri"/>
          <w:color w:val="000000" w:themeColor="text1"/>
          <w:shd w:val="clear" w:color="auto" w:fill="FFFFFF"/>
          <w:lang w:val="en-US"/>
        </w:rPr>
        <w:t> 1989; </w:t>
      </w:r>
      <w:r w:rsidRPr="00A30FAB">
        <w:rPr>
          <w:rFonts w:eastAsiaTheme="minorHAnsi" w:cs="Calibri"/>
          <w:b/>
          <w:bCs/>
          <w:color w:val="000000" w:themeColor="text1"/>
          <w:shd w:val="clear" w:color="auto" w:fill="FFFFFF"/>
          <w:lang w:val="en-US"/>
        </w:rPr>
        <w:t>257</w:t>
      </w:r>
      <w:r w:rsidRPr="00A30FAB">
        <w:rPr>
          <w:rFonts w:eastAsiaTheme="minorHAnsi" w:cs="Calibri"/>
          <w:color w:val="000000" w:themeColor="text1"/>
          <w:shd w:val="clear" w:color="auto" w:fill="FFFFFF"/>
          <w:lang w:val="en-US"/>
        </w:rPr>
        <w:t>: E309-E317 [PMID: 2782398 DOI: 10.1152/ajpendo.1989.257.3.E309]</w:t>
      </w:r>
    </w:p>
    <w:p w14:paraId="1BD9A00B" w14:textId="302EF678"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53 </w:t>
      </w:r>
      <w:r w:rsidRPr="00A30FAB">
        <w:rPr>
          <w:rFonts w:eastAsiaTheme="minorHAnsi" w:cs="Calibri"/>
          <w:b/>
          <w:bCs/>
          <w:color w:val="000000" w:themeColor="text1"/>
          <w:shd w:val="clear" w:color="auto" w:fill="FFFFFF"/>
          <w:lang w:val="en-US"/>
        </w:rPr>
        <w:t>Neglia D</w:t>
      </w:r>
      <w:r w:rsidRPr="00A30FAB">
        <w:rPr>
          <w:rFonts w:eastAsiaTheme="minorHAnsi" w:cs="Calibri"/>
          <w:color w:val="000000" w:themeColor="text1"/>
          <w:shd w:val="clear" w:color="auto" w:fill="FFFFFF"/>
          <w:lang w:val="en-US"/>
        </w:rPr>
        <w:t>, De Caterina A, Marraccini P, Natali A, Ciardetti M, Vecoli C, Gastaldelli A, Ciociaro D, Pellegrini P, Testa R, Menichetti L, L'Abbate A, Stanley WC, Recchia FA. Impaired myocardial metabolic reserve and substrate selection flexibility during stress in patients with idiopathic dilated cardiomyopathy. </w:t>
      </w:r>
      <w:r w:rsidRPr="00A30FAB">
        <w:rPr>
          <w:rFonts w:eastAsiaTheme="minorHAnsi" w:cs="Calibri"/>
          <w:i/>
          <w:iCs/>
          <w:color w:val="000000" w:themeColor="text1"/>
          <w:shd w:val="clear" w:color="auto" w:fill="FFFFFF"/>
          <w:lang w:val="en-US"/>
        </w:rPr>
        <w:t>Am J Physiol Heart Circ Physiol</w:t>
      </w:r>
      <w:r w:rsidR="00F9244D">
        <w:rPr>
          <w:rFonts w:eastAsiaTheme="minorHAnsi" w:cs="Calibri"/>
          <w:i/>
          <w:iCs/>
          <w:color w:val="000000" w:themeColor="text1"/>
          <w:shd w:val="clear" w:color="auto" w:fill="FFFFFF"/>
          <w:lang w:val="en-US"/>
        </w:rPr>
        <w:t xml:space="preserve"> </w:t>
      </w:r>
      <w:r w:rsidRPr="00A30FAB">
        <w:rPr>
          <w:rFonts w:eastAsiaTheme="minorHAnsi" w:cs="Calibri"/>
          <w:color w:val="000000" w:themeColor="text1"/>
          <w:shd w:val="clear" w:color="auto" w:fill="FFFFFF"/>
          <w:lang w:val="en-US"/>
        </w:rPr>
        <w:t>2007; </w:t>
      </w:r>
      <w:r w:rsidRPr="00A30FAB">
        <w:rPr>
          <w:rFonts w:eastAsiaTheme="minorHAnsi" w:cs="Calibri"/>
          <w:b/>
          <w:bCs/>
          <w:color w:val="000000" w:themeColor="text1"/>
          <w:shd w:val="clear" w:color="auto" w:fill="FFFFFF"/>
          <w:lang w:val="en-US"/>
        </w:rPr>
        <w:t>293</w:t>
      </w:r>
      <w:r w:rsidRPr="00A30FAB">
        <w:rPr>
          <w:rFonts w:eastAsiaTheme="minorHAnsi" w:cs="Calibri"/>
          <w:color w:val="000000" w:themeColor="text1"/>
          <w:shd w:val="clear" w:color="auto" w:fill="FFFFFF"/>
          <w:lang w:val="en-US"/>
        </w:rPr>
        <w:t>: H3270-H3278 [PMID: 17921325 DOI: 10.1152/ajpheart.00887.2007]</w:t>
      </w:r>
    </w:p>
    <w:p w14:paraId="06DD76EE" w14:textId="1184363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54 </w:t>
      </w:r>
      <w:r w:rsidRPr="00A30FAB">
        <w:rPr>
          <w:rFonts w:eastAsiaTheme="minorHAnsi" w:cs="Calibri"/>
          <w:b/>
          <w:bCs/>
          <w:color w:val="000000" w:themeColor="text1"/>
          <w:shd w:val="clear" w:color="auto" w:fill="FFFFFF"/>
          <w:lang w:val="en-US"/>
        </w:rPr>
        <w:t>Camici PG</w:t>
      </w:r>
      <w:r w:rsidRPr="00F9244D">
        <w:rPr>
          <w:rFonts w:eastAsiaTheme="minorHAnsi" w:cs="Calibri"/>
          <w:color w:val="000000" w:themeColor="text1"/>
          <w:shd w:val="clear" w:color="auto" w:fill="FFFFFF"/>
          <w:lang w:val="en-US"/>
        </w:rPr>
        <w:t>,</w:t>
      </w:r>
      <w:r w:rsidRPr="00A30FAB">
        <w:rPr>
          <w:rFonts w:eastAsiaTheme="minorHAnsi" w:cs="Calibri"/>
          <w:color w:val="000000" w:themeColor="text1"/>
          <w:shd w:val="clear" w:color="auto" w:fill="FFFFFF"/>
          <w:lang w:val="en-US"/>
        </w:rPr>
        <w:t xml:space="preserve"> Marraccini P, Lorenzoni R, Buzzigoli G, Pecori N, Perissinotto A, Ferrannini E, L'Abbate A, Marzilli M. Coronary hemodynamics and myocardial metabolism in patients with syndrome X: Response to pacing stress. </w:t>
      </w:r>
      <w:r w:rsidRPr="00F9244D">
        <w:rPr>
          <w:rFonts w:eastAsiaTheme="minorHAnsi" w:cs="Calibri"/>
          <w:i/>
          <w:iCs/>
          <w:color w:val="000000" w:themeColor="text1"/>
          <w:shd w:val="clear" w:color="auto" w:fill="FFFFFF"/>
          <w:lang w:val="en-US"/>
        </w:rPr>
        <w:t xml:space="preserve">J Am Coll Cardiol </w:t>
      </w:r>
      <w:r w:rsidRPr="00A30FAB">
        <w:rPr>
          <w:rFonts w:eastAsiaTheme="minorHAnsi" w:cs="Calibri"/>
          <w:color w:val="000000" w:themeColor="text1"/>
          <w:shd w:val="clear" w:color="auto" w:fill="FFFFFF"/>
          <w:lang w:val="en-US"/>
        </w:rPr>
        <w:t xml:space="preserve">1991; </w:t>
      </w:r>
      <w:r w:rsidRPr="00F9244D">
        <w:rPr>
          <w:rFonts w:eastAsiaTheme="minorHAnsi" w:cs="Calibri"/>
          <w:b/>
          <w:bCs/>
          <w:color w:val="000000" w:themeColor="text1"/>
          <w:shd w:val="clear" w:color="auto" w:fill="FFFFFF"/>
          <w:lang w:val="en-US"/>
        </w:rPr>
        <w:t>17</w:t>
      </w:r>
      <w:r w:rsidRPr="00A30FAB">
        <w:rPr>
          <w:rFonts w:eastAsiaTheme="minorHAnsi" w:cs="Calibri"/>
          <w:color w:val="000000" w:themeColor="text1"/>
          <w:shd w:val="clear" w:color="auto" w:fill="FFFFFF"/>
          <w:lang w:val="en-US"/>
        </w:rPr>
        <w:t xml:space="preserve">: 1461-1470 </w:t>
      </w:r>
      <w:r w:rsidR="00F9244D">
        <w:rPr>
          <w:rFonts w:eastAsiaTheme="minorHAnsi" w:cs="Calibri"/>
          <w:color w:val="000000" w:themeColor="text1"/>
          <w:shd w:val="clear" w:color="auto" w:fill="FFFFFF"/>
          <w:lang w:val="en-US"/>
        </w:rPr>
        <w:t>[</w:t>
      </w:r>
      <w:r w:rsidRPr="00A30FAB">
        <w:rPr>
          <w:rFonts w:eastAsiaTheme="minorHAnsi" w:cs="Calibri"/>
          <w:color w:val="000000" w:themeColor="text1"/>
          <w:shd w:val="clear" w:color="auto" w:fill="FFFFFF"/>
          <w:lang w:val="en-US"/>
        </w:rPr>
        <w:t>DOI: 10.1016/0735-1097(91)90632-J</w:t>
      </w:r>
      <w:r w:rsidR="0072333D">
        <w:rPr>
          <w:rFonts w:eastAsiaTheme="minorHAnsi" w:cs="Calibri"/>
          <w:color w:val="000000" w:themeColor="text1"/>
          <w:shd w:val="clear" w:color="auto" w:fill="FFFFFF"/>
          <w:lang w:val="en-US"/>
        </w:rPr>
        <w:t>]</w:t>
      </w:r>
    </w:p>
    <w:p w14:paraId="79282D06"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55 </w:t>
      </w:r>
      <w:r w:rsidRPr="00A30FAB">
        <w:rPr>
          <w:rFonts w:eastAsiaTheme="minorHAnsi" w:cs="Calibri"/>
          <w:b/>
          <w:bCs/>
          <w:color w:val="000000" w:themeColor="text1"/>
          <w:shd w:val="clear" w:color="auto" w:fill="FFFFFF"/>
          <w:lang w:val="en-US"/>
        </w:rPr>
        <w:t>Mazumder PK</w:t>
      </w:r>
      <w:r w:rsidRPr="00A30FAB">
        <w:rPr>
          <w:rFonts w:eastAsiaTheme="minorHAnsi" w:cs="Calibri"/>
          <w:color w:val="000000" w:themeColor="text1"/>
          <w:shd w:val="clear" w:color="auto" w:fill="FFFFFF"/>
          <w:lang w:val="en-US"/>
        </w:rPr>
        <w:t>, O'Neill BT, Roberts MW, Buchanan J, Yun UJ, Cooksey RC, Boudina S, Abel ED. Impaired cardiac efficiency and increased fatty acid oxidation in insulin-resistant ob/ob mouse hearts. </w:t>
      </w:r>
      <w:r w:rsidRPr="00A30FAB">
        <w:rPr>
          <w:rFonts w:eastAsiaTheme="minorHAnsi" w:cs="Calibri"/>
          <w:i/>
          <w:iCs/>
          <w:color w:val="000000" w:themeColor="text1"/>
          <w:shd w:val="clear" w:color="auto" w:fill="FFFFFF"/>
          <w:lang w:val="en-US"/>
        </w:rPr>
        <w:t>Diabetes</w:t>
      </w:r>
      <w:r w:rsidRPr="00A30FAB">
        <w:rPr>
          <w:rFonts w:eastAsiaTheme="minorHAnsi" w:cs="Calibri"/>
          <w:color w:val="000000" w:themeColor="text1"/>
          <w:shd w:val="clear" w:color="auto" w:fill="FFFFFF"/>
          <w:lang w:val="en-US"/>
        </w:rPr>
        <w:t> 2004; </w:t>
      </w:r>
      <w:r w:rsidRPr="00A30FAB">
        <w:rPr>
          <w:rFonts w:eastAsiaTheme="minorHAnsi" w:cs="Calibri"/>
          <w:b/>
          <w:bCs/>
          <w:color w:val="000000" w:themeColor="text1"/>
          <w:shd w:val="clear" w:color="auto" w:fill="FFFFFF"/>
          <w:lang w:val="en-US"/>
        </w:rPr>
        <w:t>53</w:t>
      </w:r>
      <w:r w:rsidRPr="00A30FAB">
        <w:rPr>
          <w:rFonts w:eastAsiaTheme="minorHAnsi" w:cs="Calibri"/>
          <w:color w:val="000000" w:themeColor="text1"/>
          <w:shd w:val="clear" w:color="auto" w:fill="FFFFFF"/>
          <w:lang w:val="en-US"/>
        </w:rPr>
        <w:t>: 2366-2374 [PMID: 15331547 DOI: 10.2337/diabetes.53.9.2366]</w:t>
      </w:r>
    </w:p>
    <w:p w14:paraId="1554319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56 </w:t>
      </w:r>
      <w:r w:rsidRPr="00A30FAB">
        <w:rPr>
          <w:rFonts w:eastAsiaTheme="minorHAnsi" w:cs="Calibri"/>
          <w:b/>
          <w:bCs/>
          <w:color w:val="000000" w:themeColor="text1"/>
          <w:shd w:val="clear" w:color="auto" w:fill="FFFFFF"/>
          <w:lang w:val="en-US"/>
        </w:rPr>
        <w:t>Dutka DP</w:t>
      </w:r>
      <w:r w:rsidRPr="00A30FAB">
        <w:rPr>
          <w:rFonts w:eastAsiaTheme="minorHAnsi" w:cs="Calibri"/>
          <w:color w:val="000000" w:themeColor="text1"/>
          <w:shd w:val="clear" w:color="auto" w:fill="FFFFFF"/>
          <w:lang w:val="en-US"/>
        </w:rPr>
        <w:t>, Pitt M, Pagano D, Mongillo M, Gathercole D, Bonser RS, Camici PG. Myocardial glucose transport and utilization in patients with type 2 diabetes mellitus, left ventricular dysfunction, and coronary artery disease. </w:t>
      </w:r>
      <w:r w:rsidRPr="00A30FAB">
        <w:rPr>
          <w:rFonts w:eastAsiaTheme="minorHAnsi" w:cs="Calibri"/>
          <w:i/>
          <w:iCs/>
          <w:color w:val="000000" w:themeColor="text1"/>
          <w:shd w:val="clear" w:color="auto" w:fill="FFFFFF"/>
          <w:lang w:val="en-US"/>
        </w:rPr>
        <w:t>J Am Coll Cardiol</w:t>
      </w:r>
      <w:r w:rsidRPr="00A30FAB">
        <w:rPr>
          <w:rFonts w:eastAsiaTheme="minorHAnsi" w:cs="Calibri"/>
          <w:color w:val="000000" w:themeColor="text1"/>
          <w:shd w:val="clear" w:color="auto" w:fill="FFFFFF"/>
          <w:lang w:val="en-US"/>
        </w:rPr>
        <w:t> 2006; </w:t>
      </w:r>
      <w:r w:rsidRPr="00A30FAB">
        <w:rPr>
          <w:rFonts w:eastAsiaTheme="minorHAnsi" w:cs="Calibri"/>
          <w:b/>
          <w:bCs/>
          <w:color w:val="000000" w:themeColor="text1"/>
          <w:shd w:val="clear" w:color="auto" w:fill="FFFFFF"/>
          <w:lang w:val="en-US"/>
        </w:rPr>
        <w:t>48</w:t>
      </w:r>
      <w:r w:rsidRPr="00A30FAB">
        <w:rPr>
          <w:rFonts w:eastAsiaTheme="minorHAnsi" w:cs="Calibri"/>
          <w:color w:val="000000" w:themeColor="text1"/>
          <w:shd w:val="clear" w:color="auto" w:fill="FFFFFF"/>
          <w:lang w:val="en-US"/>
        </w:rPr>
        <w:t>: 2225-2231 [PMID: 17161251 DOI: 10.1016/j.jacc.2006.06.078]</w:t>
      </w:r>
    </w:p>
    <w:p w14:paraId="59FF7C25"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57 </w:t>
      </w:r>
      <w:r w:rsidRPr="00A30FAB">
        <w:rPr>
          <w:rFonts w:eastAsiaTheme="minorHAnsi" w:cs="Calibri"/>
          <w:b/>
          <w:bCs/>
          <w:color w:val="000000" w:themeColor="text1"/>
          <w:shd w:val="clear" w:color="auto" w:fill="FFFFFF"/>
          <w:lang w:val="en-US"/>
        </w:rPr>
        <w:t>Utriainen T</w:t>
      </w:r>
      <w:r w:rsidRPr="00A30FAB">
        <w:rPr>
          <w:rFonts w:eastAsiaTheme="minorHAnsi" w:cs="Calibri"/>
          <w:color w:val="000000" w:themeColor="text1"/>
          <w:shd w:val="clear" w:color="auto" w:fill="FFFFFF"/>
          <w:lang w:val="en-US"/>
        </w:rPr>
        <w:t>, Takala T, Luotolahti M, Rönnemaa T, Laine H, Ruotsalainen U, Haaparanta M, Nuutila P, Yki-Järvinen H. Insulin resistance characterizes glucose uptake in skeletal muscle but not in the heart in NIDDM. </w:t>
      </w:r>
      <w:r w:rsidRPr="00A30FAB">
        <w:rPr>
          <w:rFonts w:eastAsiaTheme="minorHAnsi" w:cs="Calibri"/>
          <w:i/>
          <w:iCs/>
          <w:color w:val="000000" w:themeColor="text1"/>
          <w:shd w:val="clear" w:color="auto" w:fill="FFFFFF"/>
          <w:lang w:val="en-US"/>
        </w:rPr>
        <w:t>Diabetologia</w:t>
      </w:r>
      <w:r w:rsidRPr="00A30FAB">
        <w:rPr>
          <w:rFonts w:eastAsiaTheme="minorHAnsi" w:cs="Calibri"/>
          <w:color w:val="000000" w:themeColor="text1"/>
          <w:shd w:val="clear" w:color="auto" w:fill="FFFFFF"/>
          <w:lang w:val="en-US"/>
        </w:rPr>
        <w:t> 1998; </w:t>
      </w:r>
      <w:r w:rsidRPr="00A30FAB">
        <w:rPr>
          <w:rFonts w:eastAsiaTheme="minorHAnsi" w:cs="Calibri"/>
          <w:b/>
          <w:bCs/>
          <w:color w:val="000000" w:themeColor="text1"/>
          <w:shd w:val="clear" w:color="auto" w:fill="FFFFFF"/>
          <w:lang w:val="en-US"/>
        </w:rPr>
        <w:t>41</w:t>
      </w:r>
      <w:r w:rsidRPr="00A30FAB">
        <w:rPr>
          <w:rFonts w:eastAsiaTheme="minorHAnsi" w:cs="Calibri"/>
          <w:color w:val="000000" w:themeColor="text1"/>
          <w:shd w:val="clear" w:color="auto" w:fill="FFFFFF"/>
          <w:lang w:val="en-US"/>
        </w:rPr>
        <w:t>: 555-559 [PMID: 9628273 DOI: 10.1007/s001250050946]</w:t>
      </w:r>
    </w:p>
    <w:p w14:paraId="394A6ECF"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58 </w:t>
      </w:r>
      <w:r w:rsidRPr="00A30FAB">
        <w:rPr>
          <w:rFonts w:eastAsiaTheme="minorHAnsi" w:cs="Calibri"/>
          <w:b/>
          <w:bCs/>
          <w:color w:val="000000" w:themeColor="text1"/>
          <w:shd w:val="clear" w:color="auto" w:fill="FFFFFF"/>
          <w:lang w:val="en-US"/>
        </w:rPr>
        <w:t>Carley AN</w:t>
      </w:r>
      <w:r w:rsidRPr="00A30FAB">
        <w:rPr>
          <w:rFonts w:eastAsiaTheme="minorHAnsi" w:cs="Calibri"/>
          <w:color w:val="000000" w:themeColor="text1"/>
          <w:shd w:val="clear" w:color="auto" w:fill="FFFFFF"/>
          <w:lang w:val="en-US"/>
        </w:rPr>
        <w:t>, Taegtmeyer H, Lewandowski ED. Matrix revisited: mechanisms linking energy substrate metabolism to the function of the heart. </w:t>
      </w:r>
      <w:r w:rsidRPr="00A30FAB">
        <w:rPr>
          <w:rFonts w:eastAsiaTheme="minorHAnsi" w:cs="Calibri"/>
          <w:i/>
          <w:iCs/>
          <w:color w:val="000000" w:themeColor="text1"/>
          <w:shd w:val="clear" w:color="auto" w:fill="FFFFFF"/>
          <w:lang w:val="en-US"/>
        </w:rPr>
        <w:t>Circ Res</w:t>
      </w:r>
      <w:r w:rsidRPr="00A30FAB">
        <w:rPr>
          <w:rFonts w:eastAsiaTheme="minorHAnsi" w:cs="Calibri"/>
          <w:color w:val="000000" w:themeColor="text1"/>
          <w:shd w:val="clear" w:color="auto" w:fill="FFFFFF"/>
          <w:lang w:val="en-US"/>
        </w:rPr>
        <w:t> 2014; </w:t>
      </w:r>
      <w:r w:rsidRPr="00A30FAB">
        <w:rPr>
          <w:rFonts w:eastAsiaTheme="minorHAnsi" w:cs="Calibri"/>
          <w:b/>
          <w:bCs/>
          <w:color w:val="000000" w:themeColor="text1"/>
          <w:shd w:val="clear" w:color="auto" w:fill="FFFFFF"/>
          <w:lang w:val="en-US"/>
        </w:rPr>
        <w:t>114</w:t>
      </w:r>
      <w:r w:rsidRPr="00A30FAB">
        <w:rPr>
          <w:rFonts w:eastAsiaTheme="minorHAnsi" w:cs="Calibri"/>
          <w:color w:val="000000" w:themeColor="text1"/>
          <w:shd w:val="clear" w:color="auto" w:fill="FFFFFF"/>
          <w:lang w:val="en-US"/>
        </w:rPr>
        <w:t>: 717-729 [PMID: 24526677 DOI: 10.1161/CIRCRESAHA.114.301863]</w:t>
      </w:r>
    </w:p>
    <w:p w14:paraId="7789CD18"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59 </w:t>
      </w:r>
      <w:r w:rsidRPr="00A30FAB">
        <w:rPr>
          <w:rFonts w:eastAsiaTheme="minorHAnsi" w:cs="Calibri"/>
          <w:b/>
          <w:bCs/>
          <w:color w:val="000000" w:themeColor="text1"/>
          <w:shd w:val="clear" w:color="auto" w:fill="FFFFFF"/>
          <w:lang w:val="en-US"/>
        </w:rPr>
        <w:t>Taegtmeyer H</w:t>
      </w:r>
      <w:r w:rsidRPr="00A30FAB">
        <w:rPr>
          <w:rFonts w:eastAsiaTheme="minorHAnsi" w:cs="Calibri"/>
          <w:color w:val="000000" w:themeColor="text1"/>
          <w:shd w:val="clear" w:color="auto" w:fill="FFFFFF"/>
          <w:lang w:val="en-US"/>
        </w:rPr>
        <w:t>, Wilson CR, Razeghi P, Sharma S. Metabolic energetics and genetics in the heart. </w:t>
      </w:r>
      <w:r w:rsidRPr="00A30FAB">
        <w:rPr>
          <w:rFonts w:eastAsiaTheme="minorHAnsi" w:cs="Calibri"/>
          <w:i/>
          <w:iCs/>
          <w:color w:val="000000" w:themeColor="text1"/>
          <w:shd w:val="clear" w:color="auto" w:fill="FFFFFF"/>
          <w:lang w:val="en-US"/>
        </w:rPr>
        <w:t>Ann N Y Acad Sci</w:t>
      </w:r>
      <w:r w:rsidRPr="00A30FAB">
        <w:rPr>
          <w:rFonts w:eastAsiaTheme="minorHAnsi" w:cs="Calibri"/>
          <w:color w:val="000000" w:themeColor="text1"/>
          <w:shd w:val="clear" w:color="auto" w:fill="FFFFFF"/>
          <w:lang w:val="en-US"/>
        </w:rPr>
        <w:t> 2005; </w:t>
      </w:r>
      <w:r w:rsidRPr="00A30FAB">
        <w:rPr>
          <w:rFonts w:eastAsiaTheme="minorHAnsi" w:cs="Calibri"/>
          <w:b/>
          <w:bCs/>
          <w:color w:val="000000" w:themeColor="text1"/>
          <w:shd w:val="clear" w:color="auto" w:fill="FFFFFF"/>
          <w:lang w:val="en-US"/>
        </w:rPr>
        <w:t>1047</w:t>
      </w:r>
      <w:r w:rsidRPr="00A30FAB">
        <w:rPr>
          <w:rFonts w:eastAsiaTheme="minorHAnsi" w:cs="Calibri"/>
          <w:color w:val="000000" w:themeColor="text1"/>
          <w:shd w:val="clear" w:color="auto" w:fill="FFFFFF"/>
          <w:lang w:val="en-US"/>
        </w:rPr>
        <w:t>: 208-218 [PMID: 16093498 DOI: 10.1196/annals.1341.019]</w:t>
      </w:r>
    </w:p>
    <w:p w14:paraId="7C8E0003"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60 </w:t>
      </w:r>
      <w:r w:rsidRPr="00A30FAB">
        <w:rPr>
          <w:rFonts w:eastAsiaTheme="minorHAnsi" w:cs="Calibri"/>
          <w:b/>
          <w:bCs/>
          <w:color w:val="000000" w:themeColor="text1"/>
          <w:shd w:val="clear" w:color="auto" w:fill="FFFFFF"/>
          <w:lang w:val="en-US"/>
        </w:rPr>
        <w:t>Scheuermann-Freestone M</w:t>
      </w:r>
      <w:r w:rsidRPr="00A30FAB">
        <w:rPr>
          <w:rFonts w:eastAsiaTheme="minorHAnsi" w:cs="Calibri"/>
          <w:color w:val="000000" w:themeColor="text1"/>
          <w:shd w:val="clear" w:color="auto" w:fill="FFFFFF"/>
          <w:lang w:val="en-US"/>
        </w:rPr>
        <w:t>, Madsen PL, Manners D, Blamire AM, Buckingham RE, Styles P, Radda GK, Neubauer S, Clarke K. Abnormal cardiac and skeletal muscle energy metabolism in patients with type 2 diabetes.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2003; </w:t>
      </w:r>
      <w:r w:rsidRPr="00A30FAB">
        <w:rPr>
          <w:rFonts w:eastAsiaTheme="minorHAnsi" w:cs="Calibri"/>
          <w:b/>
          <w:bCs/>
          <w:color w:val="000000" w:themeColor="text1"/>
          <w:shd w:val="clear" w:color="auto" w:fill="FFFFFF"/>
          <w:lang w:val="en-US"/>
        </w:rPr>
        <w:t>107</w:t>
      </w:r>
      <w:r w:rsidRPr="00A30FAB">
        <w:rPr>
          <w:rFonts w:eastAsiaTheme="minorHAnsi" w:cs="Calibri"/>
          <w:color w:val="000000" w:themeColor="text1"/>
          <w:shd w:val="clear" w:color="auto" w:fill="FFFFFF"/>
          <w:lang w:val="en-US"/>
        </w:rPr>
        <w:t>: 3040-3046 [PMID: 12810608 DOI: 10.1161/01.CIR.0000072789.89096.10]</w:t>
      </w:r>
    </w:p>
    <w:p w14:paraId="6EA35B50"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61 </w:t>
      </w:r>
      <w:r w:rsidRPr="00A30FAB">
        <w:rPr>
          <w:rFonts w:eastAsiaTheme="minorHAnsi" w:cs="Calibri"/>
          <w:b/>
          <w:bCs/>
          <w:color w:val="000000" w:themeColor="text1"/>
          <w:shd w:val="clear" w:color="auto" w:fill="FFFFFF"/>
          <w:lang w:val="en-US"/>
        </w:rPr>
        <w:t>Shivu GN</w:t>
      </w:r>
      <w:r w:rsidRPr="00A30FAB">
        <w:rPr>
          <w:rFonts w:eastAsiaTheme="minorHAnsi" w:cs="Calibri"/>
          <w:color w:val="000000" w:themeColor="text1"/>
          <w:shd w:val="clear" w:color="auto" w:fill="FFFFFF"/>
          <w:lang w:val="en-US"/>
        </w:rPr>
        <w:t>, Phan TT, Abozguia K, Ahmed I, Wagenmakers A, Henning A, Narendran P, Stevens M, Frenneaux M. Relationship between coronary microvascular dysfunction and cardiac energetics impairment in type 1 diabetes mellitus.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2010; </w:t>
      </w:r>
      <w:r w:rsidRPr="00A30FAB">
        <w:rPr>
          <w:rFonts w:eastAsiaTheme="minorHAnsi" w:cs="Calibri"/>
          <w:b/>
          <w:bCs/>
          <w:color w:val="000000" w:themeColor="text1"/>
          <w:shd w:val="clear" w:color="auto" w:fill="FFFFFF"/>
          <w:lang w:val="en-US"/>
        </w:rPr>
        <w:t>121</w:t>
      </w:r>
      <w:r w:rsidRPr="00A30FAB">
        <w:rPr>
          <w:rFonts w:eastAsiaTheme="minorHAnsi" w:cs="Calibri"/>
          <w:color w:val="000000" w:themeColor="text1"/>
          <w:shd w:val="clear" w:color="auto" w:fill="FFFFFF"/>
          <w:lang w:val="en-US"/>
        </w:rPr>
        <w:t>: 1209-1215 [PMID: 20194884 DOI: 10.1161/CIRCULATIONAHA.109.873273]</w:t>
      </w:r>
    </w:p>
    <w:p w14:paraId="0BF2FF61"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62 </w:t>
      </w:r>
      <w:r w:rsidRPr="00A30FAB">
        <w:rPr>
          <w:rFonts w:eastAsiaTheme="minorHAnsi" w:cs="Calibri"/>
          <w:b/>
          <w:bCs/>
          <w:color w:val="000000" w:themeColor="text1"/>
          <w:shd w:val="clear" w:color="auto" w:fill="FFFFFF"/>
          <w:lang w:val="en-US"/>
        </w:rPr>
        <w:t>Levelt E</w:t>
      </w:r>
      <w:r w:rsidRPr="00A30FAB">
        <w:rPr>
          <w:rFonts w:eastAsiaTheme="minorHAnsi" w:cs="Calibri"/>
          <w:color w:val="000000" w:themeColor="text1"/>
          <w:shd w:val="clear" w:color="auto" w:fill="FFFFFF"/>
          <w:lang w:val="en-US"/>
        </w:rPr>
        <w:t>, Mahmod M, Piechnik SK, Ariga R, Francis JM, Rodgers CT, Clarke WT, Sabharwal N, Schneider JE, Karamitsos TD, Clarke K, Rider OJ, Neubauer S. Relationship Between Left Ventricular Structural and Metabolic Remodeling in Type 2 Diabetes. </w:t>
      </w:r>
      <w:r w:rsidRPr="00A30FAB">
        <w:rPr>
          <w:rFonts w:eastAsiaTheme="minorHAnsi" w:cs="Calibri"/>
          <w:i/>
          <w:iCs/>
          <w:color w:val="000000" w:themeColor="text1"/>
          <w:shd w:val="clear" w:color="auto" w:fill="FFFFFF"/>
          <w:lang w:val="en-US"/>
        </w:rPr>
        <w:t>Diabetes</w:t>
      </w:r>
      <w:r w:rsidRPr="00A30FAB">
        <w:rPr>
          <w:rFonts w:eastAsiaTheme="minorHAnsi" w:cs="Calibri"/>
          <w:color w:val="000000" w:themeColor="text1"/>
          <w:shd w:val="clear" w:color="auto" w:fill="FFFFFF"/>
          <w:lang w:val="en-US"/>
        </w:rPr>
        <w:t> 2016; </w:t>
      </w:r>
      <w:r w:rsidRPr="00A30FAB">
        <w:rPr>
          <w:rFonts w:eastAsiaTheme="minorHAnsi" w:cs="Calibri"/>
          <w:b/>
          <w:bCs/>
          <w:color w:val="000000" w:themeColor="text1"/>
          <w:shd w:val="clear" w:color="auto" w:fill="FFFFFF"/>
          <w:lang w:val="en-US"/>
        </w:rPr>
        <w:t>65</w:t>
      </w:r>
      <w:r w:rsidRPr="00A30FAB">
        <w:rPr>
          <w:rFonts w:eastAsiaTheme="minorHAnsi" w:cs="Calibri"/>
          <w:color w:val="000000" w:themeColor="text1"/>
          <w:shd w:val="clear" w:color="auto" w:fill="FFFFFF"/>
          <w:lang w:val="en-US"/>
        </w:rPr>
        <w:t>: 44-52 [PMID: 26438611 DOI: 10.2337/db15-0627]</w:t>
      </w:r>
    </w:p>
    <w:p w14:paraId="043BF4B3"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63 </w:t>
      </w:r>
      <w:r w:rsidRPr="00A30FAB">
        <w:rPr>
          <w:rFonts w:eastAsiaTheme="minorHAnsi" w:cs="Calibri"/>
          <w:b/>
          <w:bCs/>
          <w:color w:val="000000" w:themeColor="text1"/>
          <w:shd w:val="clear" w:color="auto" w:fill="FFFFFF"/>
          <w:lang w:val="en-US"/>
        </w:rPr>
        <w:t>Neubauer S</w:t>
      </w:r>
      <w:r w:rsidRPr="00A30FAB">
        <w:rPr>
          <w:rFonts w:eastAsiaTheme="minorHAnsi" w:cs="Calibri"/>
          <w:color w:val="000000" w:themeColor="text1"/>
          <w:shd w:val="clear" w:color="auto" w:fill="FFFFFF"/>
          <w:lang w:val="en-US"/>
        </w:rPr>
        <w:t>, Horn M, Cramer M, Harre K, Newell JB, Peters W, Pabst T, Ertl G, Hahn D, Ingwall JS, Kochsiek K. Myocardial phosphocreatine-to-ATP ratio is a predictor of mortality in patients with dilated cardiomyopathy.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1997; </w:t>
      </w:r>
      <w:r w:rsidRPr="00A30FAB">
        <w:rPr>
          <w:rFonts w:eastAsiaTheme="minorHAnsi" w:cs="Calibri"/>
          <w:b/>
          <w:bCs/>
          <w:color w:val="000000" w:themeColor="text1"/>
          <w:shd w:val="clear" w:color="auto" w:fill="FFFFFF"/>
          <w:lang w:val="en-US"/>
        </w:rPr>
        <w:t>96</w:t>
      </w:r>
      <w:r w:rsidRPr="00A30FAB">
        <w:rPr>
          <w:rFonts w:eastAsiaTheme="minorHAnsi" w:cs="Calibri"/>
          <w:color w:val="000000" w:themeColor="text1"/>
          <w:shd w:val="clear" w:color="auto" w:fill="FFFFFF"/>
          <w:lang w:val="en-US"/>
        </w:rPr>
        <w:t>: 2190-2196 [PMID: 9337189 DOI: 10.1161/01.CIR.96.7.2190]</w:t>
      </w:r>
    </w:p>
    <w:p w14:paraId="0B271CF2"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64 </w:t>
      </w:r>
      <w:r w:rsidRPr="00A30FAB">
        <w:rPr>
          <w:rFonts w:eastAsiaTheme="minorHAnsi" w:cs="Calibri"/>
          <w:b/>
          <w:bCs/>
          <w:color w:val="000000" w:themeColor="text1"/>
          <w:shd w:val="clear" w:color="auto" w:fill="FFFFFF"/>
          <w:lang w:val="en-US"/>
        </w:rPr>
        <w:t>Hall JL</w:t>
      </w:r>
      <w:r w:rsidRPr="00A30FAB">
        <w:rPr>
          <w:rFonts w:eastAsiaTheme="minorHAnsi" w:cs="Calibri"/>
          <w:color w:val="000000" w:themeColor="text1"/>
          <w:shd w:val="clear" w:color="auto" w:fill="FFFFFF"/>
          <w:lang w:val="en-US"/>
        </w:rPr>
        <w:t>, Stanley WC, Lopaschuk GD, Wisneski JA, Pizzurro RD, Hamilton CD, McCormack JG. Impaired pyruvate oxidation but normal glucose uptake in diabetic pig heart during dobutamine-induced work. </w:t>
      </w:r>
      <w:r w:rsidRPr="00A30FAB">
        <w:rPr>
          <w:rFonts w:eastAsiaTheme="minorHAnsi" w:cs="Calibri"/>
          <w:i/>
          <w:iCs/>
          <w:color w:val="000000" w:themeColor="text1"/>
          <w:shd w:val="clear" w:color="auto" w:fill="FFFFFF"/>
          <w:lang w:val="en-US"/>
        </w:rPr>
        <w:t>Am J Physiol</w:t>
      </w:r>
      <w:r w:rsidRPr="00A30FAB">
        <w:rPr>
          <w:rFonts w:eastAsiaTheme="minorHAnsi" w:cs="Calibri"/>
          <w:color w:val="000000" w:themeColor="text1"/>
          <w:shd w:val="clear" w:color="auto" w:fill="FFFFFF"/>
          <w:lang w:val="en-US"/>
        </w:rPr>
        <w:t> 1996; </w:t>
      </w:r>
      <w:r w:rsidRPr="00A30FAB">
        <w:rPr>
          <w:rFonts w:eastAsiaTheme="minorHAnsi" w:cs="Calibri"/>
          <w:b/>
          <w:bCs/>
          <w:color w:val="000000" w:themeColor="text1"/>
          <w:shd w:val="clear" w:color="auto" w:fill="FFFFFF"/>
          <w:lang w:val="en-US"/>
        </w:rPr>
        <w:t>271</w:t>
      </w:r>
      <w:r w:rsidRPr="00A30FAB">
        <w:rPr>
          <w:rFonts w:eastAsiaTheme="minorHAnsi" w:cs="Calibri"/>
          <w:color w:val="000000" w:themeColor="text1"/>
          <w:shd w:val="clear" w:color="auto" w:fill="FFFFFF"/>
          <w:lang w:val="en-US"/>
        </w:rPr>
        <w:t>: H2320-H2329 [PMID: 8997289 DOI: 10.1152/ajpheart.1996.271.6.H2320]</w:t>
      </w:r>
    </w:p>
    <w:p w14:paraId="768E1FF1"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65 </w:t>
      </w:r>
      <w:r w:rsidRPr="00A30FAB">
        <w:rPr>
          <w:rFonts w:eastAsiaTheme="minorHAnsi" w:cs="Calibri"/>
          <w:b/>
          <w:bCs/>
          <w:color w:val="000000" w:themeColor="text1"/>
          <w:shd w:val="clear" w:color="auto" w:fill="FFFFFF"/>
          <w:lang w:val="en-US"/>
        </w:rPr>
        <w:t>Seymour AM</w:t>
      </w:r>
      <w:r w:rsidRPr="00A30FAB">
        <w:rPr>
          <w:rFonts w:eastAsiaTheme="minorHAnsi" w:cs="Calibri"/>
          <w:color w:val="000000" w:themeColor="text1"/>
          <w:shd w:val="clear" w:color="auto" w:fill="FFFFFF"/>
          <w:lang w:val="en-US"/>
        </w:rPr>
        <w:t>, Chatham JC. The effects of hypertrophy and diabetes on cardiac pyruvate dehydrogenase activity. </w:t>
      </w:r>
      <w:r w:rsidRPr="00A30FAB">
        <w:rPr>
          <w:rFonts w:eastAsiaTheme="minorHAnsi" w:cs="Calibri"/>
          <w:i/>
          <w:iCs/>
          <w:color w:val="000000" w:themeColor="text1"/>
          <w:shd w:val="clear" w:color="auto" w:fill="FFFFFF"/>
          <w:lang w:val="en-US"/>
        </w:rPr>
        <w:t>J Mol Cell Cardiol</w:t>
      </w:r>
      <w:r w:rsidRPr="00A30FAB">
        <w:rPr>
          <w:rFonts w:eastAsiaTheme="minorHAnsi" w:cs="Calibri"/>
          <w:color w:val="000000" w:themeColor="text1"/>
          <w:shd w:val="clear" w:color="auto" w:fill="FFFFFF"/>
          <w:lang w:val="en-US"/>
        </w:rPr>
        <w:t> 1997; </w:t>
      </w:r>
      <w:r w:rsidRPr="00A30FAB">
        <w:rPr>
          <w:rFonts w:eastAsiaTheme="minorHAnsi" w:cs="Calibri"/>
          <w:b/>
          <w:bCs/>
          <w:color w:val="000000" w:themeColor="text1"/>
          <w:shd w:val="clear" w:color="auto" w:fill="FFFFFF"/>
          <w:lang w:val="en-US"/>
        </w:rPr>
        <w:t>29</w:t>
      </w:r>
      <w:r w:rsidRPr="00A30FAB">
        <w:rPr>
          <w:rFonts w:eastAsiaTheme="minorHAnsi" w:cs="Calibri"/>
          <w:color w:val="000000" w:themeColor="text1"/>
          <w:shd w:val="clear" w:color="auto" w:fill="FFFFFF"/>
          <w:lang w:val="en-US"/>
        </w:rPr>
        <w:t>: 2771-2778 [PMID: 9344771 DOI: 10.1006/jmcc.1997.0512]</w:t>
      </w:r>
    </w:p>
    <w:p w14:paraId="456C4AF3"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66 </w:t>
      </w:r>
      <w:r w:rsidRPr="00A30FAB">
        <w:rPr>
          <w:rFonts w:eastAsiaTheme="minorHAnsi" w:cs="Calibri"/>
          <w:b/>
          <w:bCs/>
          <w:color w:val="000000" w:themeColor="text1"/>
          <w:shd w:val="clear" w:color="auto" w:fill="FFFFFF"/>
          <w:lang w:val="en-US"/>
        </w:rPr>
        <w:t>Wu P</w:t>
      </w:r>
      <w:r w:rsidRPr="00A30FAB">
        <w:rPr>
          <w:rFonts w:eastAsiaTheme="minorHAnsi" w:cs="Calibri"/>
          <w:color w:val="000000" w:themeColor="text1"/>
          <w:shd w:val="clear" w:color="auto" w:fill="FFFFFF"/>
          <w:lang w:val="en-US"/>
        </w:rPr>
        <w:t>, Inskeep K, Bowker-Kinley MM, Popov KM, Harris RA. Mechanism responsible for inactivation of skeletal muscle pyruvate dehydrogenase complex in starvation and diabetes. </w:t>
      </w:r>
      <w:r w:rsidRPr="00A30FAB">
        <w:rPr>
          <w:rFonts w:eastAsiaTheme="minorHAnsi" w:cs="Calibri"/>
          <w:i/>
          <w:iCs/>
          <w:color w:val="000000" w:themeColor="text1"/>
          <w:shd w:val="clear" w:color="auto" w:fill="FFFFFF"/>
          <w:lang w:val="en-US"/>
        </w:rPr>
        <w:t>Diabetes</w:t>
      </w:r>
      <w:r w:rsidRPr="00A30FAB">
        <w:rPr>
          <w:rFonts w:eastAsiaTheme="minorHAnsi" w:cs="Calibri"/>
          <w:color w:val="000000" w:themeColor="text1"/>
          <w:shd w:val="clear" w:color="auto" w:fill="FFFFFF"/>
          <w:lang w:val="en-US"/>
        </w:rPr>
        <w:t> 1999; </w:t>
      </w:r>
      <w:r w:rsidRPr="00A30FAB">
        <w:rPr>
          <w:rFonts w:eastAsiaTheme="minorHAnsi" w:cs="Calibri"/>
          <w:b/>
          <w:bCs/>
          <w:color w:val="000000" w:themeColor="text1"/>
          <w:shd w:val="clear" w:color="auto" w:fill="FFFFFF"/>
          <w:lang w:val="en-US"/>
        </w:rPr>
        <w:t>48</w:t>
      </w:r>
      <w:r w:rsidRPr="00A30FAB">
        <w:rPr>
          <w:rFonts w:eastAsiaTheme="minorHAnsi" w:cs="Calibri"/>
          <w:color w:val="000000" w:themeColor="text1"/>
          <w:shd w:val="clear" w:color="auto" w:fill="FFFFFF"/>
          <w:lang w:val="en-US"/>
        </w:rPr>
        <w:t>: 1593-1599 [PMID: 10426378 DOI: 10.2337/diabetes.48.8.1593]</w:t>
      </w:r>
    </w:p>
    <w:p w14:paraId="6684236B"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67 </w:t>
      </w:r>
      <w:r w:rsidRPr="00A30FAB">
        <w:rPr>
          <w:rFonts w:eastAsiaTheme="minorHAnsi" w:cs="Calibri"/>
          <w:b/>
          <w:bCs/>
          <w:color w:val="000000" w:themeColor="text1"/>
          <w:shd w:val="clear" w:color="auto" w:fill="FFFFFF"/>
          <w:lang w:val="en-US"/>
        </w:rPr>
        <w:t>Stanley WC</w:t>
      </w:r>
      <w:r w:rsidRPr="00A30FAB">
        <w:rPr>
          <w:rFonts w:eastAsiaTheme="minorHAnsi" w:cs="Calibri"/>
          <w:color w:val="000000" w:themeColor="text1"/>
          <w:shd w:val="clear" w:color="auto" w:fill="FFFFFF"/>
          <w:lang w:val="en-US"/>
        </w:rPr>
        <w:t>, Lopaschuk GD, McCormack JG. Regulation of energy substrate metabolism in the diabetic heart. </w:t>
      </w:r>
      <w:r w:rsidRPr="00A30FAB">
        <w:rPr>
          <w:rFonts w:eastAsiaTheme="minorHAnsi" w:cs="Calibri"/>
          <w:i/>
          <w:iCs/>
          <w:color w:val="000000" w:themeColor="text1"/>
          <w:shd w:val="clear" w:color="auto" w:fill="FFFFFF"/>
          <w:lang w:val="en-US"/>
        </w:rPr>
        <w:t>Cardiovasc Res</w:t>
      </w:r>
      <w:r w:rsidRPr="00A30FAB">
        <w:rPr>
          <w:rFonts w:eastAsiaTheme="minorHAnsi" w:cs="Calibri"/>
          <w:color w:val="000000" w:themeColor="text1"/>
          <w:shd w:val="clear" w:color="auto" w:fill="FFFFFF"/>
          <w:lang w:val="en-US"/>
        </w:rPr>
        <w:t> 1997; </w:t>
      </w:r>
      <w:r w:rsidRPr="00A30FAB">
        <w:rPr>
          <w:rFonts w:eastAsiaTheme="minorHAnsi" w:cs="Calibri"/>
          <w:b/>
          <w:bCs/>
          <w:color w:val="000000" w:themeColor="text1"/>
          <w:shd w:val="clear" w:color="auto" w:fill="FFFFFF"/>
          <w:lang w:val="en-US"/>
        </w:rPr>
        <w:t>34</w:t>
      </w:r>
      <w:r w:rsidRPr="00A30FAB">
        <w:rPr>
          <w:rFonts w:eastAsiaTheme="minorHAnsi" w:cs="Calibri"/>
          <w:color w:val="000000" w:themeColor="text1"/>
          <w:shd w:val="clear" w:color="auto" w:fill="FFFFFF"/>
          <w:lang w:val="en-US"/>
        </w:rPr>
        <w:t>: 25-33 [PMID: 9217869 DOI: 10.1016/S0008-6363(97)00047-3]</w:t>
      </w:r>
    </w:p>
    <w:p w14:paraId="764FA33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68 </w:t>
      </w:r>
      <w:r w:rsidRPr="00A30FAB">
        <w:rPr>
          <w:rFonts w:eastAsiaTheme="minorHAnsi" w:cs="Calibri"/>
          <w:b/>
          <w:bCs/>
          <w:color w:val="000000" w:themeColor="text1"/>
          <w:shd w:val="clear" w:color="auto" w:fill="FFFFFF"/>
          <w:lang w:val="en-US"/>
        </w:rPr>
        <w:t>Doiron B</w:t>
      </w:r>
      <w:r w:rsidRPr="00A30FAB">
        <w:rPr>
          <w:rFonts w:eastAsiaTheme="minorHAnsi" w:cs="Calibri"/>
          <w:color w:val="000000" w:themeColor="text1"/>
          <w:shd w:val="clear" w:color="auto" w:fill="FFFFFF"/>
          <w:lang w:val="en-US"/>
        </w:rPr>
        <w:t>, Cuif MH, Chen R, Kahn A. Transcriptional glucose signaling through the glucose response element is mediated by the pentose phosphate pathway. </w:t>
      </w:r>
      <w:r w:rsidRPr="00A30FAB">
        <w:rPr>
          <w:rFonts w:eastAsiaTheme="minorHAnsi" w:cs="Calibri"/>
          <w:i/>
          <w:iCs/>
          <w:color w:val="000000" w:themeColor="text1"/>
          <w:shd w:val="clear" w:color="auto" w:fill="FFFFFF"/>
          <w:lang w:val="en-US"/>
        </w:rPr>
        <w:t>J Biol Chem</w:t>
      </w:r>
      <w:r w:rsidRPr="00A30FAB">
        <w:rPr>
          <w:rFonts w:eastAsiaTheme="minorHAnsi" w:cs="Calibri"/>
          <w:color w:val="000000" w:themeColor="text1"/>
          <w:shd w:val="clear" w:color="auto" w:fill="FFFFFF"/>
          <w:lang w:val="en-US"/>
        </w:rPr>
        <w:t> 1996; </w:t>
      </w:r>
      <w:r w:rsidRPr="00A30FAB">
        <w:rPr>
          <w:rFonts w:eastAsiaTheme="minorHAnsi" w:cs="Calibri"/>
          <w:b/>
          <w:bCs/>
          <w:color w:val="000000" w:themeColor="text1"/>
          <w:shd w:val="clear" w:color="auto" w:fill="FFFFFF"/>
          <w:lang w:val="en-US"/>
        </w:rPr>
        <w:t>271</w:t>
      </w:r>
      <w:r w:rsidRPr="00A30FAB">
        <w:rPr>
          <w:rFonts w:eastAsiaTheme="minorHAnsi" w:cs="Calibri"/>
          <w:color w:val="000000" w:themeColor="text1"/>
          <w:shd w:val="clear" w:color="auto" w:fill="FFFFFF"/>
          <w:lang w:val="en-US"/>
        </w:rPr>
        <w:t>: 5321-5324 [PMID: 8621383 DOI: 10.1074/jbc.271.10.5321]</w:t>
      </w:r>
    </w:p>
    <w:p w14:paraId="6835BC5D"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69 </w:t>
      </w:r>
      <w:r w:rsidRPr="00A30FAB">
        <w:rPr>
          <w:rFonts w:eastAsiaTheme="minorHAnsi" w:cs="Calibri"/>
          <w:b/>
          <w:bCs/>
          <w:color w:val="000000" w:themeColor="text1"/>
          <w:shd w:val="clear" w:color="auto" w:fill="FFFFFF"/>
          <w:lang w:val="en-US"/>
        </w:rPr>
        <w:t>Foretz M</w:t>
      </w:r>
      <w:r w:rsidRPr="00A30FAB">
        <w:rPr>
          <w:rFonts w:eastAsiaTheme="minorHAnsi" w:cs="Calibri"/>
          <w:color w:val="000000" w:themeColor="text1"/>
          <w:shd w:val="clear" w:color="auto" w:fill="FFFFFF"/>
          <w:lang w:val="en-US"/>
        </w:rPr>
        <w:t>, Carling D, Guichard C, Ferré P, Foufelle F. AMP-activated protein kinase inhibits the glucose-activated expression of fatty acid synthase gene in rat hepatocytes. </w:t>
      </w:r>
      <w:r w:rsidRPr="00A30FAB">
        <w:rPr>
          <w:rFonts w:eastAsiaTheme="minorHAnsi" w:cs="Calibri"/>
          <w:i/>
          <w:iCs/>
          <w:color w:val="000000" w:themeColor="text1"/>
          <w:shd w:val="clear" w:color="auto" w:fill="FFFFFF"/>
          <w:lang w:val="en-US"/>
        </w:rPr>
        <w:t>J Biol Chem</w:t>
      </w:r>
      <w:r w:rsidRPr="00A30FAB">
        <w:rPr>
          <w:rFonts w:eastAsiaTheme="minorHAnsi" w:cs="Calibri"/>
          <w:color w:val="000000" w:themeColor="text1"/>
          <w:shd w:val="clear" w:color="auto" w:fill="FFFFFF"/>
          <w:lang w:val="en-US"/>
        </w:rPr>
        <w:t> 1998; </w:t>
      </w:r>
      <w:r w:rsidRPr="00A30FAB">
        <w:rPr>
          <w:rFonts w:eastAsiaTheme="minorHAnsi" w:cs="Calibri"/>
          <w:b/>
          <w:bCs/>
          <w:color w:val="000000" w:themeColor="text1"/>
          <w:shd w:val="clear" w:color="auto" w:fill="FFFFFF"/>
          <w:lang w:val="en-US"/>
        </w:rPr>
        <w:t>273</w:t>
      </w:r>
      <w:r w:rsidRPr="00A30FAB">
        <w:rPr>
          <w:rFonts w:eastAsiaTheme="minorHAnsi" w:cs="Calibri"/>
          <w:color w:val="000000" w:themeColor="text1"/>
          <w:shd w:val="clear" w:color="auto" w:fill="FFFFFF"/>
          <w:lang w:val="en-US"/>
        </w:rPr>
        <w:t>: 14767-14771 [PMID: 9614076 DOI: 10.1074/jbc.273.24.14767]</w:t>
      </w:r>
    </w:p>
    <w:p w14:paraId="708822F5"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70 </w:t>
      </w:r>
      <w:r w:rsidRPr="00A30FAB">
        <w:rPr>
          <w:rFonts w:eastAsiaTheme="minorHAnsi" w:cs="Calibri"/>
          <w:b/>
          <w:bCs/>
          <w:color w:val="000000" w:themeColor="text1"/>
          <w:shd w:val="clear" w:color="auto" w:fill="FFFFFF"/>
          <w:lang w:val="en-US"/>
        </w:rPr>
        <w:t>Young ME</w:t>
      </w:r>
      <w:r w:rsidRPr="00A30FAB">
        <w:rPr>
          <w:rFonts w:eastAsiaTheme="minorHAnsi" w:cs="Calibri"/>
          <w:color w:val="000000" w:themeColor="text1"/>
          <w:shd w:val="clear" w:color="auto" w:fill="FFFFFF"/>
          <w:lang w:val="en-US"/>
        </w:rPr>
        <w:t>, McNulty P, Taegtmeyer H. Adaptation and maladaptation of the heart in diabetes: Part II: potential mechanisms.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2002; </w:t>
      </w:r>
      <w:r w:rsidRPr="00A30FAB">
        <w:rPr>
          <w:rFonts w:eastAsiaTheme="minorHAnsi" w:cs="Calibri"/>
          <w:b/>
          <w:bCs/>
          <w:color w:val="000000" w:themeColor="text1"/>
          <w:shd w:val="clear" w:color="auto" w:fill="FFFFFF"/>
          <w:lang w:val="en-US"/>
        </w:rPr>
        <w:t>105</w:t>
      </w:r>
      <w:r w:rsidRPr="00A30FAB">
        <w:rPr>
          <w:rFonts w:eastAsiaTheme="minorHAnsi" w:cs="Calibri"/>
          <w:color w:val="000000" w:themeColor="text1"/>
          <w:shd w:val="clear" w:color="auto" w:fill="FFFFFF"/>
          <w:lang w:val="en-US"/>
        </w:rPr>
        <w:t>: 1861-1870 [PMID: 11956132 DOI: 10.1161/01.cir.0000012467.61045.87]</w:t>
      </w:r>
    </w:p>
    <w:p w14:paraId="31B215C7"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71 </w:t>
      </w:r>
      <w:r w:rsidRPr="00A30FAB">
        <w:rPr>
          <w:rFonts w:eastAsiaTheme="minorHAnsi" w:cs="Calibri"/>
          <w:b/>
          <w:bCs/>
          <w:color w:val="000000" w:themeColor="text1"/>
          <w:shd w:val="clear" w:color="auto" w:fill="FFFFFF"/>
          <w:lang w:val="en-US"/>
        </w:rPr>
        <w:t>Zhong Y</w:t>
      </w:r>
      <w:r w:rsidRPr="00A30FAB">
        <w:rPr>
          <w:rFonts w:eastAsiaTheme="minorHAnsi" w:cs="Calibri"/>
          <w:color w:val="000000" w:themeColor="text1"/>
          <w:shd w:val="clear" w:color="auto" w:fill="FFFFFF"/>
          <w:lang w:val="en-US"/>
        </w:rPr>
        <w:t>, Ahmed S, Grupp IL, Matlib MA. Altered SR protein expression associated with contractile dysfunction in diabetic rat hearts. </w:t>
      </w:r>
      <w:r w:rsidRPr="00A30FAB">
        <w:rPr>
          <w:rFonts w:eastAsiaTheme="minorHAnsi" w:cs="Calibri"/>
          <w:i/>
          <w:iCs/>
          <w:color w:val="000000" w:themeColor="text1"/>
          <w:shd w:val="clear" w:color="auto" w:fill="FFFFFF"/>
          <w:lang w:val="en-US"/>
        </w:rPr>
        <w:t>Am J Physiol Heart Circ Physiol</w:t>
      </w:r>
      <w:r w:rsidRPr="00A30FAB">
        <w:rPr>
          <w:rFonts w:eastAsiaTheme="minorHAnsi" w:cs="Calibri"/>
          <w:color w:val="000000" w:themeColor="text1"/>
          <w:shd w:val="clear" w:color="auto" w:fill="FFFFFF"/>
          <w:lang w:val="en-US"/>
        </w:rPr>
        <w:t>2001; </w:t>
      </w:r>
      <w:r w:rsidRPr="00A30FAB">
        <w:rPr>
          <w:rFonts w:eastAsiaTheme="minorHAnsi" w:cs="Calibri"/>
          <w:b/>
          <w:bCs/>
          <w:color w:val="000000" w:themeColor="text1"/>
          <w:shd w:val="clear" w:color="auto" w:fill="FFFFFF"/>
          <w:lang w:val="en-US"/>
        </w:rPr>
        <w:t>281</w:t>
      </w:r>
      <w:r w:rsidRPr="00A30FAB">
        <w:rPr>
          <w:rFonts w:eastAsiaTheme="minorHAnsi" w:cs="Calibri"/>
          <w:color w:val="000000" w:themeColor="text1"/>
          <w:shd w:val="clear" w:color="auto" w:fill="FFFFFF"/>
          <w:lang w:val="en-US"/>
        </w:rPr>
        <w:t>: H1137-H1147 [PMID: 11514280 DOI: 10.1152/ajpheart.2001.281.3.H1137]</w:t>
      </w:r>
    </w:p>
    <w:p w14:paraId="17FA480A"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72 </w:t>
      </w:r>
      <w:r w:rsidRPr="00A30FAB">
        <w:rPr>
          <w:rFonts w:eastAsiaTheme="minorHAnsi" w:cs="Calibri"/>
          <w:b/>
          <w:bCs/>
          <w:color w:val="000000" w:themeColor="text1"/>
          <w:shd w:val="clear" w:color="auto" w:fill="FFFFFF"/>
          <w:lang w:val="en-US"/>
        </w:rPr>
        <w:t>Lacombe VA</w:t>
      </w:r>
      <w:r w:rsidRPr="00A30FAB">
        <w:rPr>
          <w:rFonts w:eastAsiaTheme="minorHAnsi" w:cs="Calibri"/>
          <w:color w:val="000000" w:themeColor="text1"/>
          <w:shd w:val="clear" w:color="auto" w:fill="FFFFFF"/>
          <w:lang w:val="en-US"/>
        </w:rPr>
        <w:t>, Viatchenko-Karpinski S, Terentyev D, Sridhar A, Emani S, Bonagura JD, Feldman DS, Györke S, Carnes CA. Mechanisms of impaired calcium handling underlying subclinical diastolic dysfunction in diabetes. </w:t>
      </w:r>
      <w:r w:rsidRPr="00A30FAB">
        <w:rPr>
          <w:rFonts w:eastAsiaTheme="minorHAnsi" w:cs="Calibri"/>
          <w:i/>
          <w:iCs/>
          <w:color w:val="000000" w:themeColor="text1"/>
          <w:shd w:val="clear" w:color="auto" w:fill="FFFFFF"/>
          <w:lang w:val="en-US"/>
        </w:rPr>
        <w:t>Am J Physiol Regul Integr Comp Physiol</w:t>
      </w:r>
      <w:r w:rsidRPr="00A30FAB">
        <w:rPr>
          <w:rFonts w:eastAsiaTheme="minorHAnsi" w:cs="Calibri"/>
          <w:color w:val="000000" w:themeColor="text1"/>
          <w:shd w:val="clear" w:color="auto" w:fill="FFFFFF"/>
          <w:lang w:val="en-US"/>
        </w:rPr>
        <w:t> 2007; </w:t>
      </w:r>
      <w:r w:rsidRPr="00A30FAB">
        <w:rPr>
          <w:rFonts w:eastAsiaTheme="minorHAnsi" w:cs="Calibri"/>
          <w:b/>
          <w:bCs/>
          <w:color w:val="000000" w:themeColor="text1"/>
          <w:shd w:val="clear" w:color="auto" w:fill="FFFFFF"/>
          <w:lang w:val="en-US"/>
        </w:rPr>
        <w:t>293</w:t>
      </w:r>
      <w:r w:rsidRPr="00A30FAB">
        <w:rPr>
          <w:rFonts w:eastAsiaTheme="minorHAnsi" w:cs="Calibri"/>
          <w:color w:val="000000" w:themeColor="text1"/>
          <w:shd w:val="clear" w:color="auto" w:fill="FFFFFF"/>
          <w:lang w:val="en-US"/>
        </w:rPr>
        <w:t>: R1787-R1797 [PMID: 17761517 DOI: 10.1152/ajpregu.00059.2007]</w:t>
      </w:r>
    </w:p>
    <w:p w14:paraId="77AA6BD1"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73 </w:t>
      </w:r>
      <w:r w:rsidRPr="00A30FAB">
        <w:rPr>
          <w:rFonts w:eastAsiaTheme="minorHAnsi" w:cs="Calibri"/>
          <w:b/>
          <w:bCs/>
          <w:color w:val="000000" w:themeColor="text1"/>
          <w:shd w:val="clear" w:color="auto" w:fill="FFFFFF"/>
          <w:lang w:val="en-US"/>
        </w:rPr>
        <w:t>Gulick T</w:t>
      </w:r>
      <w:r w:rsidRPr="00A30FAB">
        <w:rPr>
          <w:rFonts w:eastAsiaTheme="minorHAnsi" w:cs="Calibri"/>
          <w:color w:val="000000" w:themeColor="text1"/>
          <w:shd w:val="clear" w:color="auto" w:fill="FFFFFF"/>
          <w:lang w:val="en-US"/>
        </w:rPr>
        <w:t>, Cresci S, Caira T, Moore DD, Kelly DP. The peroxisome proliferator-activated receptor regulates mitochondrial fatty acid oxidative enzyme gene expression. </w:t>
      </w:r>
      <w:r w:rsidRPr="00A30FAB">
        <w:rPr>
          <w:rFonts w:eastAsiaTheme="minorHAnsi" w:cs="Calibri"/>
          <w:i/>
          <w:iCs/>
          <w:color w:val="000000" w:themeColor="text1"/>
          <w:shd w:val="clear" w:color="auto" w:fill="FFFFFF"/>
          <w:lang w:val="en-US"/>
        </w:rPr>
        <w:t>Proc Natl Acad Sci U S A</w:t>
      </w:r>
      <w:r w:rsidRPr="00A30FAB">
        <w:rPr>
          <w:rFonts w:eastAsiaTheme="minorHAnsi" w:cs="Calibri"/>
          <w:color w:val="000000" w:themeColor="text1"/>
          <w:shd w:val="clear" w:color="auto" w:fill="FFFFFF"/>
          <w:lang w:val="en-US"/>
        </w:rPr>
        <w:t> 1994; </w:t>
      </w:r>
      <w:r w:rsidRPr="00A30FAB">
        <w:rPr>
          <w:rFonts w:eastAsiaTheme="minorHAnsi" w:cs="Calibri"/>
          <w:b/>
          <w:bCs/>
          <w:color w:val="000000" w:themeColor="text1"/>
          <w:shd w:val="clear" w:color="auto" w:fill="FFFFFF"/>
          <w:lang w:val="en-US"/>
        </w:rPr>
        <w:t>91</w:t>
      </w:r>
      <w:r w:rsidRPr="00A30FAB">
        <w:rPr>
          <w:rFonts w:eastAsiaTheme="minorHAnsi" w:cs="Calibri"/>
          <w:color w:val="000000" w:themeColor="text1"/>
          <w:shd w:val="clear" w:color="auto" w:fill="FFFFFF"/>
          <w:lang w:val="en-US"/>
        </w:rPr>
        <w:t>: 11012-11016 [PMID: 7971999 DOI: 10.1073/pnas.91.23.11012]</w:t>
      </w:r>
    </w:p>
    <w:p w14:paraId="5FF71601"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74 </w:t>
      </w:r>
      <w:r w:rsidRPr="00A30FAB">
        <w:rPr>
          <w:rFonts w:eastAsiaTheme="minorHAnsi" w:cs="Calibri"/>
          <w:b/>
          <w:bCs/>
          <w:color w:val="000000" w:themeColor="text1"/>
          <w:shd w:val="clear" w:color="auto" w:fill="FFFFFF"/>
          <w:lang w:val="en-US"/>
        </w:rPr>
        <w:t>Young ME</w:t>
      </w:r>
      <w:r w:rsidRPr="00A30FAB">
        <w:rPr>
          <w:rFonts w:eastAsiaTheme="minorHAnsi" w:cs="Calibri"/>
          <w:color w:val="000000" w:themeColor="text1"/>
          <w:shd w:val="clear" w:color="auto" w:fill="FFFFFF"/>
          <w:lang w:val="en-US"/>
        </w:rPr>
        <w:t>, Laws FA, Goodwin GW, Taegtmeyer H. Reactivation of peroxisome proliferator-activated receptor alpha is associated with contractile dysfunction in hypertrophied rat heart. </w:t>
      </w:r>
      <w:r w:rsidRPr="00A30FAB">
        <w:rPr>
          <w:rFonts w:eastAsiaTheme="minorHAnsi" w:cs="Calibri"/>
          <w:i/>
          <w:iCs/>
          <w:color w:val="000000" w:themeColor="text1"/>
          <w:shd w:val="clear" w:color="auto" w:fill="FFFFFF"/>
          <w:lang w:val="en-US"/>
        </w:rPr>
        <w:t>J Biol Chem</w:t>
      </w:r>
      <w:r w:rsidRPr="00A30FAB">
        <w:rPr>
          <w:rFonts w:eastAsiaTheme="minorHAnsi" w:cs="Calibri"/>
          <w:color w:val="000000" w:themeColor="text1"/>
          <w:shd w:val="clear" w:color="auto" w:fill="FFFFFF"/>
          <w:lang w:val="en-US"/>
        </w:rPr>
        <w:t> 2001; </w:t>
      </w:r>
      <w:r w:rsidRPr="00A30FAB">
        <w:rPr>
          <w:rFonts w:eastAsiaTheme="minorHAnsi" w:cs="Calibri"/>
          <w:b/>
          <w:bCs/>
          <w:color w:val="000000" w:themeColor="text1"/>
          <w:shd w:val="clear" w:color="auto" w:fill="FFFFFF"/>
          <w:lang w:val="en-US"/>
        </w:rPr>
        <w:t>276</w:t>
      </w:r>
      <w:r w:rsidRPr="00A30FAB">
        <w:rPr>
          <w:rFonts w:eastAsiaTheme="minorHAnsi" w:cs="Calibri"/>
          <w:color w:val="000000" w:themeColor="text1"/>
          <w:shd w:val="clear" w:color="auto" w:fill="FFFFFF"/>
          <w:lang w:val="en-US"/>
        </w:rPr>
        <w:t>: 44390-44395 [PMID: 11574533 DOI: 10.1074/jbc.M103826200]</w:t>
      </w:r>
    </w:p>
    <w:p w14:paraId="2513FF8E"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75 </w:t>
      </w:r>
      <w:r w:rsidRPr="00A30FAB">
        <w:rPr>
          <w:rFonts w:eastAsiaTheme="minorHAnsi" w:cs="Calibri"/>
          <w:b/>
          <w:bCs/>
          <w:color w:val="000000" w:themeColor="text1"/>
          <w:shd w:val="clear" w:color="auto" w:fill="FFFFFF"/>
          <w:lang w:val="en-US"/>
        </w:rPr>
        <w:t>Park TS</w:t>
      </w:r>
      <w:r w:rsidRPr="00A30FAB">
        <w:rPr>
          <w:rFonts w:eastAsiaTheme="minorHAnsi" w:cs="Calibri"/>
          <w:color w:val="000000" w:themeColor="text1"/>
          <w:shd w:val="clear" w:color="auto" w:fill="FFFFFF"/>
          <w:lang w:val="en-US"/>
        </w:rPr>
        <w:t>, Yamashita H, Blaner WS, Goldberg IJ. Lipids in the heart: a source of fuel and a source of toxins. </w:t>
      </w:r>
      <w:r w:rsidRPr="00A30FAB">
        <w:rPr>
          <w:rFonts w:eastAsiaTheme="minorHAnsi" w:cs="Calibri"/>
          <w:i/>
          <w:iCs/>
          <w:color w:val="000000" w:themeColor="text1"/>
          <w:shd w:val="clear" w:color="auto" w:fill="FFFFFF"/>
          <w:lang w:val="en-US"/>
        </w:rPr>
        <w:t>Curr Opin Lipidol</w:t>
      </w:r>
      <w:r w:rsidRPr="00A30FAB">
        <w:rPr>
          <w:rFonts w:eastAsiaTheme="minorHAnsi" w:cs="Calibri"/>
          <w:color w:val="000000" w:themeColor="text1"/>
          <w:shd w:val="clear" w:color="auto" w:fill="FFFFFF"/>
          <w:lang w:val="en-US"/>
        </w:rPr>
        <w:t> 2007; </w:t>
      </w:r>
      <w:r w:rsidRPr="00A30FAB">
        <w:rPr>
          <w:rFonts w:eastAsiaTheme="minorHAnsi" w:cs="Calibri"/>
          <w:b/>
          <w:bCs/>
          <w:color w:val="000000" w:themeColor="text1"/>
          <w:shd w:val="clear" w:color="auto" w:fill="FFFFFF"/>
          <w:lang w:val="en-US"/>
        </w:rPr>
        <w:t>18</w:t>
      </w:r>
      <w:r w:rsidRPr="00A30FAB">
        <w:rPr>
          <w:rFonts w:eastAsiaTheme="minorHAnsi" w:cs="Calibri"/>
          <w:color w:val="000000" w:themeColor="text1"/>
          <w:shd w:val="clear" w:color="auto" w:fill="FFFFFF"/>
          <w:lang w:val="en-US"/>
        </w:rPr>
        <w:t>: 277-282 [PMID: 17495601 DOI: 10.1097/MOL.0b013e32814a57db]</w:t>
      </w:r>
    </w:p>
    <w:p w14:paraId="0B3FA03D"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76 </w:t>
      </w:r>
      <w:r w:rsidRPr="00A30FAB">
        <w:rPr>
          <w:rFonts w:eastAsiaTheme="minorHAnsi" w:cs="Calibri"/>
          <w:b/>
          <w:bCs/>
          <w:color w:val="000000" w:themeColor="text1"/>
          <w:shd w:val="clear" w:color="auto" w:fill="FFFFFF"/>
          <w:lang w:val="en-US"/>
        </w:rPr>
        <w:t>Finck BN</w:t>
      </w:r>
      <w:r w:rsidRPr="00A30FAB">
        <w:rPr>
          <w:rFonts w:eastAsiaTheme="minorHAnsi" w:cs="Calibri"/>
          <w:color w:val="000000" w:themeColor="text1"/>
          <w:shd w:val="clear" w:color="auto" w:fill="FFFFFF"/>
          <w:lang w:val="en-US"/>
        </w:rPr>
        <w:t>, Han X, Courtois M, Aimond F, Nerbonne JM, Kovacs A, Gross RW, Kelly DP. A critical role for PPARalpha-mediated lipotoxicity in the pathogenesis of diabetic cardiomyopathy: modulation by dietary fat content. </w:t>
      </w:r>
      <w:r w:rsidRPr="00A30FAB">
        <w:rPr>
          <w:rFonts w:eastAsiaTheme="minorHAnsi" w:cs="Calibri"/>
          <w:i/>
          <w:iCs/>
          <w:color w:val="000000" w:themeColor="text1"/>
          <w:shd w:val="clear" w:color="auto" w:fill="FFFFFF"/>
          <w:lang w:val="en-US"/>
        </w:rPr>
        <w:t>Proc Natl Acad Sci U S A</w:t>
      </w:r>
      <w:r w:rsidRPr="00A30FAB">
        <w:rPr>
          <w:rFonts w:eastAsiaTheme="minorHAnsi" w:cs="Calibri"/>
          <w:color w:val="000000" w:themeColor="text1"/>
          <w:shd w:val="clear" w:color="auto" w:fill="FFFFFF"/>
          <w:lang w:val="en-US"/>
        </w:rPr>
        <w:t> 2003; </w:t>
      </w:r>
      <w:r w:rsidRPr="00A30FAB">
        <w:rPr>
          <w:rFonts w:eastAsiaTheme="minorHAnsi" w:cs="Calibri"/>
          <w:b/>
          <w:bCs/>
          <w:color w:val="000000" w:themeColor="text1"/>
          <w:shd w:val="clear" w:color="auto" w:fill="FFFFFF"/>
          <w:lang w:val="en-US"/>
        </w:rPr>
        <w:t>100</w:t>
      </w:r>
      <w:r w:rsidRPr="00A30FAB">
        <w:rPr>
          <w:rFonts w:eastAsiaTheme="minorHAnsi" w:cs="Calibri"/>
          <w:color w:val="000000" w:themeColor="text1"/>
          <w:shd w:val="clear" w:color="auto" w:fill="FFFFFF"/>
          <w:lang w:val="en-US"/>
        </w:rPr>
        <w:t>: 1226-1231 [PMID: 12552126 DOI: 10.1073/pnas.0336724100]</w:t>
      </w:r>
    </w:p>
    <w:p w14:paraId="22F2F9BC"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77 </w:t>
      </w:r>
      <w:r w:rsidRPr="00A30FAB">
        <w:rPr>
          <w:rFonts w:eastAsiaTheme="minorHAnsi" w:cs="Calibri"/>
          <w:b/>
          <w:bCs/>
          <w:color w:val="000000" w:themeColor="text1"/>
          <w:shd w:val="clear" w:color="auto" w:fill="FFFFFF"/>
          <w:lang w:val="en-US"/>
        </w:rPr>
        <w:t>Unger RH</w:t>
      </w:r>
      <w:r w:rsidRPr="00A30FAB">
        <w:rPr>
          <w:rFonts w:eastAsiaTheme="minorHAnsi" w:cs="Calibri"/>
          <w:color w:val="000000" w:themeColor="text1"/>
          <w:shd w:val="clear" w:color="auto" w:fill="FFFFFF"/>
          <w:lang w:val="en-US"/>
        </w:rPr>
        <w:t>. The physiology of cellular liporegulation. </w:t>
      </w:r>
      <w:r w:rsidRPr="00A30FAB">
        <w:rPr>
          <w:rFonts w:eastAsiaTheme="minorHAnsi" w:cs="Calibri"/>
          <w:i/>
          <w:iCs/>
          <w:color w:val="000000" w:themeColor="text1"/>
          <w:shd w:val="clear" w:color="auto" w:fill="FFFFFF"/>
          <w:lang w:val="en-US"/>
        </w:rPr>
        <w:t>Annu Rev Physiol</w:t>
      </w:r>
      <w:r w:rsidRPr="00A30FAB">
        <w:rPr>
          <w:rFonts w:eastAsiaTheme="minorHAnsi" w:cs="Calibri"/>
          <w:color w:val="000000" w:themeColor="text1"/>
          <w:shd w:val="clear" w:color="auto" w:fill="FFFFFF"/>
          <w:lang w:val="en-US"/>
        </w:rPr>
        <w:t> 2003; </w:t>
      </w:r>
      <w:r w:rsidRPr="00A30FAB">
        <w:rPr>
          <w:rFonts w:eastAsiaTheme="minorHAnsi" w:cs="Calibri"/>
          <w:b/>
          <w:bCs/>
          <w:color w:val="000000" w:themeColor="text1"/>
          <w:shd w:val="clear" w:color="auto" w:fill="FFFFFF"/>
          <w:lang w:val="en-US"/>
        </w:rPr>
        <w:t>65</w:t>
      </w:r>
      <w:r w:rsidRPr="00A30FAB">
        <w:rPr>
          <w:rFonts w:eastAsiaTheme="minorHAnsi" w:cs="Calibri"/>
          <w:color w:val="000000" w:themeColor="text1"/>
          <w:shd w:val="clear" w:color="auto" w:fill="FFFFFF"/>
          <w:lang w:val="en-US"/>
        </w:rPr>
        <w:t>: 333-347 [PMID: 12471167 DOI: 10.1146/annurev.physiol.65.092101.142622]</w:t>
      </w:r>
    </w:p>
    <w:p w14:paraId="5E63764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78 </w:t>
      </w:r>
      <w:r w:rsidRPr="00A30FAB">
        <w:rPr>
          <w:rFonts w:eastAsiaTheme="minorHAnsi" w:cs="Calibri"/>
          <w:b/>
          <w:bCs/>
          <w:color w:val="000000" w:themeColor="text1"/>
          <w:shd w:val="clear" w:color="auto" w:fill="FFFFFF"/>
          <w:lang w:val="en-US"/>
        </w:rPr>
        <w:t>Unger RH</w:t>
      </w:r>
      <w:r w:rsidRPr="00A30FAB">
        <w:rPr>
          <w:rFonts w:eastAsiaTheme="minorHAnsi" w:cs="Calibri"/>
          <w:color w:val="000000" w:themeColor="text1"/>
          <w:shd w:val="clear" w:color="auto" w:fill="FFFFFF"/>
          <w:lang w:val="en-US"/>
        </w:rPr>
        <w:t>. Lipotoxic diseases. </w:t>
      </w:r>
      <w:r w:rsidRPr="00A30FAB">
        <w:rPr>
          <w:rFonts w:eastAsiaTheme="minorHAnsi" w:cs="Calibri"/>
          <w:i/>
          <w:iCs/>
          <w:color w:val="000000" w:themeColor="text1"/>
          <w:shd w:val="clear" w:color="auto" w:fill="FFFFFF"/>
          <w:lang w:val="en-US"/>
        </w:rPr>
        <w:t>Annu Rev Med</w:t>
      </w:r>
      <w:r w:rsidRPr="00A30FAB">
        <w:rPr>
          <w:rFonts w:eastAsiaTheme="minorHAnsi" w:cs="Calibri"/>
          <w:color w:val="000000" w:themeColor="text1"/>
          <w:shd w:val="clear" w:color="auto" w:fill="FFFFFF"/>
          <w:lang w:val="en-US"/>
        </w:rPr>
        <w:t> 2002; </w:t>
      </w:r>
      <w:r w:rsidRPr="00A30FAB">
        <w:rPr>
          <w:rFonts w:eastAsiaTheme="minorHAnsi" w:cs="Calibri"/>
          <w:b/>
          <w:bCs/>
          <w:color w:val="000000" w:themeColor="text1"/>
          <w:shd w:val="clear" w:color="auto" w:fill="FFFFFF"/>
          <w:lang w:val="en-US"/>
        </w:rPr>
        <w:t>53</w:t>
      </w:r>
      <w:r w:rsidRPr="00A30FAB">
        <w:rPr>
          <w:rFonts w:eastAsiaTheme="minorHAnsi" w:cs="Calibri"/>
          <w:color w:val="000000" w:themeColor="text1"/>
          <w:shd w:val="clear" w:color="auto" w:fill="FFFFFF"/>
          <w:lang w:val="en-US"/>
        </w:rPr>
        <w:t>: 319-336 [PMID: 11818477 DOI: 10.1146/annurev.med.53.082901.104057]</w:t>
      </w:r>
    </w:p>
    <w:p w14:paraId="28BCE7CB"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79 </w:t>
      </w:r>
      <w:r w:rsidRPr="00A30FAB">
        <w:rPr>
          <w:rFonts w:eastAsiaTheme="minorHAnsi" w:cs="Calibri"/>
          <w:b/>
          <w:bCs/>
          <w:color w:val="000000" w:themeColor="text1"/>
          <w:shd w:val="clear" w:color="auto" w:fill="FFFFFF"/>
          <w:lang w:val="en-US"/>
        </w:rPr>
        <w:t>Park TS</w:t>
      </w:r>
      <w:r w:rsidRPr="00A30FAB">
        <w:rPr>
          <w:rFonts w:eastAsiaTheme="minorHAnsi" w:cs="Calibri"/>
          <w:color w:val="000000" w:themeColor="text1"/>
          <w:shd w:val="clear" w:color="auto" w:fill="FFFFFF"/>
          <w:lang w:val="en-US"/>
        </w:rPr>
        <w:t>, Yamashita H, Blaner WS, Goldberg IJ. Lipids in the heart: a source of fuel and a source of toxins. </w:t>
      </w:r>
      <w:r w:rsidRPr="00A30FAB">
        <w:rPr>
          <w:rFonts w:eastAsiaTheme="minorHAnsi" w:cs="Calibri"/>
          <w:i/>
          <w:iCs/>
          <w:color w:val="000000" w:themeColor="text1"/>
          <w:shd w:val="clear" w:color="auto" w:fill="FFFFFF"/>
          <w:lang w:val="en-US"/>
        </w:rPr>
        <w:t>Curr Opin Lipidol</w:t>
      </w:r>
      <w:r w:rsidRPr="00A30FAB">
        <w:rPr>
          <w:rFonts w:eastAsiaTheme="minorHAnsi" w:cs="Calibri"/>
          <w:color w:val="000000" w:themeColor="text1"/>
          <w:shd w:val="clear" w:color="auto" w:fill="FFFFFF"/>
          <w:lang w:val="en-US"/>
        </w:rPr>
        <w:t> 2007; </w:t>
      </w:r>
      <w:r w:rsidRPr="00A30FAB">
        <w:rPr>
          <w:rFonts w:eastAsiaTheme="minorHAnsi" w:cs="Calibri"/>
          <w:b/>
          <w:bCs/>
          <w:color w:val="000000" w:themeColor="text1"/>
          <w:shd w:val="clear" w:color="auto" w:fill="FFFFFF"/>
          <w:lang w:val="en-US"/>
        </w:rPr>
        <w:t>18</w:t>
      </w:r>
      <w:r w:rsidRPr="00A30FAB">
        <w:rPr>
          <w:rFonts w:eastAsiaTheme="minorHAnsi" w:cs="Calibri"/>
          <w:color w:val="000000" w:themeColor="text1"/>
          <w:shd w:val="clear" w:color="auto" w:fill="FFFFFF"/>
          <w:lang w:val="en-US"/>
        </w:rPr>
        <w:t>: 277-282 [PMID: 17495601 DOI: 10.1097/MOL.0b013e32814a57db]</w:t>
      </w:r>
    </w:p>
    <w:p w14:paraId="72152F75"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80 </w:t>
      </w:r>
      <w:r w:rsidRPr="00A30FAB">
        <w:rPr>
          <w:rFonts w:eastAsiaTheme="minorHAnsi" w:cs="Calibri"/>
          <w:b/>
          <w:bCs/>
          <w:color w:val="000000" w:themeColor="text1"/>
          <w:shd w:val="clear" w:color="auto" w:fill="FFFFFF"/>
          <w:lang w:val="en-US"/>
        </w:rPr>
        <w:t>Monji A</w:t>
      </w:r>
      <w:r w:rsidRPr="00A30FAB">
        <w:rPr>
          <w:rFonts w:eastAsiaTheme="minorHAnsi" w:cs="Calibri"/>
          <w:color w:val="000000" w:themeColor="text1"/>
          <w:shd w:val="clear" w:color="auto" w:fill="FFFFFF"/>
          <w:lang w:val="en-US"/>
        </w:rPr>
        <w:t>, Mitsui T, Bando YK, Aoyama M, Shigeta T, Murohara T. Glucagon-like peptide-1 receptor activation reverses cardiac remodeling via normalizing cardiac steatosis and oxidative stress in type 2 diabetes. </w:t>
      </w:r>
      <w:r w:rsidRPr="00A30FAB">
        <w:rPr>
          <w:rFonts w:eastAsiaTheme="minorHAnsi" w:cs="Calibri"/>
          <w:i/>
          <w:iCs/>
          <w:color w:val="000000" w:themeColor="text1"/>
          <w:shd w:val="clear" w:color="auto" w:fill="FFFFFF"/>
          <w:lang w:val="en-US"/>
        </w:rPr>
        <w:t>Am J Physiol Heart Circ Physiol</w:t>
      </w:r>
      <w:r w:rsidRPr="00A30FAB">
        <w:rPr>
          <w:rFonts w:eastAsiaTheme="minorHAnsi" w:cs="Calibri"/>
          <w:color w:val="000000" w:themeColor="text1"/>
          <w:shd w:val="clear" w:color="auto" w:fill="FFFFFF"/>
          <w:lang w:val="en-US"/>
        </w:rPr>
        <w:t> 2013; </w:t>
      </w:r>
      <w:r w:rsidRPr="00A30FAB">
        <w:rPr>
          <w:rFonts w:eastAsiaTheme="minorHAnsi" w:cs="Calibri"/>
          <w:b/>
          <w:bCs/>
          <w:color w:val="000000" w:themeColor="text1"/>
          <w:shd w:val="clear" w:color="auto" w:fill="FFFFFF"/>
          <w:lang w:val="en-US"/>
        </w:rPr>
        <w:t>305</w:t>
      </w:r>
      <w:r w:rsidRPr="00A30FAB">
        <w:rPr>
          <w:rFonts w:eastAsiaTheme="minorHAnsi" w:cs="Calibri"/>
          <w:color w:val="000000" w:themeColor="text1"/>
          <w:shd w:val="clear" w:color="auto" w:fill="FFFFFF"/>
          <w:lang w:val="en-US"/>
        </w:rPr>
        <w:t>: H295-H304 [PMID: 23709595 DOI: 10.1152/ajpheart.00990.2012]</w:t>
      </w:r>
    </w:p>
    <w:p w14:paraId="31CA9E1B"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81 </w:t>
      </w:r>
      <w:r w:rsidRPr="00A30FAB">
        <w:rPr>
          <w:rFonts w:eastAsiaTheme="minorHAnsi" w:cs="Calibri"/>
          <w:b/>
          <w:bCs/>
          <w:color w:val="000000" w:themeColor="text1"/>
          <w:shd w:val="clear" w:color="auto" w:fill="FFFFFF"/>
          <w:lang w:val="en-US"/>
        </w:rPr>
        <w:t>Ramírez E</w:t>
      </w:r>
      <w:r w:rsidRPr="00A30FAB">
        <w:rPr>
          <w:rFonts w:eastAsiaTheme="minorHAnsi" w:cs="Calibri"/>
          <w:color w:val="000000" w:themeColor="text1"/>
          <w:shd w:val="clear" w:color="auto" w:fill="FFFFFF"/>
          <w:lang w:val="en-US"/>
        </w:rPr>
        <w:t>, Klett-Mingo M, Ares-Carrasco S, Picatoste B, Ferrarini A, Rupérez FJ, Caro-Vadillo A, Barbas C, Egido J, Tuñón J, Lorenzo Ó. Eplerenone attenuated cardiac steatosis, apoptosis and diastolic dysfunction in experimental type-II diabetes. </w:t>
      </w:r>
      <w:r w:rsidRPr="00A30FAB">
        <w:rPr>
          <w:rFonts w:eastAsiaTheme="minorHAnsi" w:cs="Calibri"/>
          <w:i/>
          <w:iCs/>
          <w:color w:val="000000" w:themeColor="text1"/>
          <w:shd w:val="clear" w:color="auto" w:fill="FFFFFF"/>
          <w:lang w:val="en-US"/>
        </w:rPr>
        <w:t>Cardiovasc Diabetol</w:t>
      </w:r>
      <w:r w:rsidRPr="00A30FAB">
        <w:rPr>
          <w:rFonts w:eastAsiaTheme="minorHAnsi" w:cs="Calibri"/>
          <w:color w:val="000000" w:themeColor="text1"/>
          <w:shd w:val="clear" w:color="auto" w:fill="FFFFFF"/>
          <w:lang w:val="en-US"/>
        </w:rPr>
        <w:t> 2013; </w:t>
      </w:r>
      <w:r w:rsidRPr="00A30FAB">
        <w:rPr>
          <w:rFonts w:eastAsiaTheme="minorHAnsi" w:cs="Calibri"/>
          <w:b/>
          <w:bCs/>
          <w:color w:val="000000" w:themeColor="text1"/>
          <w:shd w:val="clear" w:color="auto" w:fill="FFFFFF"/>
          <w:lang w:val="en-US"/>
        </w:rPr>
        <w:t>12</w:t>
      </w:r>
      <w:r w:rsidRPr="00A30FAB">
        <w:rPr>
          <w:rFonts w:eastAsiaTheme="minorHAnsi" w:cs="Calibri"/>
          <w:color w:val="000000" w:themeColor="text1"/>
          <w:shd w:val="clear" w:color="auto" w:fill="FFFFFF"/>
          <w:lang w:val="en-US"/>
        </w:rPr>
        <w:t>: 172 [PMID: 24261558 DOI: 10.1186/1475-2840-12-172]</w:t>
      </w:r>
    </w:p>
    <w:p w14:paraId="45203C5D"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82 </w:t>
      </w:r>
      <w:r w:rsidRPr="00A30FAB">
        <w:rPr>
          <w:rFonts w:eastAsiaTheme="minorHAnsi" w:cs="Calibri"/>
          <w:b/>
          <w:bCs/>
          <w:color w:val="000000" w:themeColor="text1"/>
          <w:shd w:val="clear" w:color="auto" w:fill="FFFFFF"/>
          <w:lang w:val="en-US"/>
        </w:rPr>
        <w:t>McGavock JM</w:t>
      </w:r>
      <w:r w:rsidRPr="00A30FAB">
        <w:rPr>
          <w:rFonts w:eastAsiaTheme="minorHAnsi" w:cs="Calibri"/>
          <w:color w:val="000000" w:themeColor="text1"/>
          <w:shd w:val="clear" w:color="auto" w:fill="FFFFFF"/>
          <w:lang w:val="en-US"/>
        </w:rPr>
        <w:t>, Lingvay I, Zib I, Tillery T, Salas N, Unger R, Levine BD, Raskin P, Victor RG, Szczepaniak LS. Cardiac steatosis in diabetes mellitus: a 1H-magnetic resonance spectroscopy study.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2007; </w:t>
      </w:r>
      <w:r w:rsidRPr="00A30FAB">
        <w:rPr>
          <w:rFonts w:eastAsiaTheme="minorHAnsi" w:cs="Calibri"/>
          <w:b/>
          <w:bCs/>
          <w:color w:val="000000" w:themeColor="text1"/>
          <w:shd w:val="clear" w:color="auto" w:fill="FFFFFF"/>
          <w:lang w:val="en-US"/>
        </w:rPr>
        <w:t>116</w:t>
      </w:r>
      <w:r w:rsidRPr="00A30FAB">
        <w:rPr>
          <w:rFonts w:eastAsiaTheme="minorHAnsi" w:cs="Calibri"/>
          <w:color w:val="000000" w:themeColor="text1"/>
          <w:shd w:val="clear" w:color="auto" w:fill="FFFFFF"/>
          <w:lang w:val="en-US"/>
        </w:rPr>
        <w:t>: 1170-1175 [PMID: 17698735 DOI: 10.1161/circulationaha.106.645614]</w:t>
      </w:r>
    </w:p>
    <w:p w14:paraId="00B88B5D"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83 </w:t>
      </w:r>
      <w:r w:rsidRPr="00A30FAB">
        <w:rPr>
          <w:rFonts w:eastAsiaTheme="minorHAnsi" w:cs="Calibri"/>
          <w:b/>
          <w:bCs/>
          <w:color w:val="000000" w:themeColor="text1"/>
          <w:shd w:val="clear" w:color="auto" w:fill="FFFFFF"/>
          <w:lang w:val="en-US"/>
        </w:rPr>
        <w:t>Rijzewijk LJ</w:t>
      </w:r>
      <w:r w:rsidRPr="00A30FAB">
        <w:rPr>
          <w:rFonts w:eastAsiaTheme="minorHAnsi" w:cs="Calibri"/>
          <w:color w:val="000000" w:themeColor="text1"/>
          <w:shd w:val="clear" w:color="auto" w:fill="FFFFFF"/>
          <w:lang w:val="en-US"/>
        </w:rPr>
        <w:t>, van der Meer RW, Smit JW, Diamant M, Bax JJ, Hammer S, Romijn JA, de Roos A, Lamb HJ. Myocardial steatosis is an independent predictor of diastolic dysfunction in type 2 diabetes mellitus. </w:t>
      </w:r>
      <w:r w:rsidRPr="00A30FAB">
        <w:rPr>
          <w:rFonts w:eastAsiaTheme="minorHAnsi" w:cs="Calibri"/>
          <w:i/>
          <w:iCs/>
          <w:color w:val="000000" w:themeColor="text1"/>
          <w:shd w:val="clear" w:color="auto" w:fill="FFFFFF"/>
          <w:lang w:val="en-US"/>
        </w:rPr>
        <w:t>J Am Coll Cardiol</w:t>
      </w:r>
      <w:r w:rsidRPr="00A30FAB">
        <w:rPr>
          <w:rFonts w:eastAsiaTheme="minorHAnsi" w:cs="Calibri"/>
          <w:color w:val="000000" w:themeColor="text1"/>
          <w:shd w:val="clear" w:color="auto" w:fill="FFFFFF"/>
          <w:lang w:val="en-US"/>
        </w:rPr>
        <w:t> 2008; </w:t>
      </w:r>
      <w:r w:rsidRPr="00A30FAB">
        <w:rPr>
          <w:rFonts w:eastAsiaTheme="minorHAnsi" w:cs="Calibri"/>
          <w:b/>
          <w:bCs/>
          <w:color w:val="000000" w:themeColor="text1"/>
          <w:shd w:val="clear" w:color="auto" w:fill="FFFFFF"/>
          <w:lang w:val="en-US"/>
        </w:rPr>
        <w:t>52</w:t>
      </w:r>
      <w:r w:rsidRPr="00A30FAB">
        <w:rPr>
          <w:rFonts w:eastAsiaTheme="minorHAnsi" w:cs="Calibri"/>
          <w:color w:val="000000" w:themeColor="text1"/>
          <w:shd w:val="clear" w:color="auto" w:fill="FFFFFF"/>
          <w:lang w:val="en-US"/>
        </w:rPr>
        <w:t>: 1793-1799 [PMID: 19022158 DOI: 10.1016/j.jacc.2008.07.062]</w:t>
      </w:r>
    </w:p>
    <w:p w14:paraId="42C71E8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84 </w:t>
      </w:r>
      <w:r w:rsidRPr="00A30FAB">
        <w:rPr>
          <w:rFonts w:eastAsiaTheme="minorHAnsi" w:cs="Calibri"/>
          <w:b/>
          <w:bCs/>
          <w:color w:val="000000" w:themeColor="text1"/>
          <w:shd w:val="clear" w:color="auto" w:fill="FFFFFF"/>
          <w:lang w:val="en-US"/>
        </w:rPr>
        <w:t>Hammer S</w:t>
      </w:r>
      <w:r w:rsidRPr="00A30FAB">
        <w:rPr>
          <w:rFonts w:eastAsiaTheme="minorHAnsi" w:cs="Calibri"/>
          <w:color w:val="000000" w:themeColor="text1"/>
          <w:shd w:val="clear" w:color="auto" w:fill="FFFFFF"/>
          <w:lang w:val="en-US"/>
        </w:rPr>
        <w:t>, Snel M, Lamb HJ, Jazet IM, van der Meer RW, Pijl H, Meinders EA, Romijn JA, de Roos A, Smit JW. Prolonged caloric restriction in obese patients with type 2 diabetes mellitus decreases myocardial triglyceride content and improves myocardial function. </w:t>
      </w:r>
      <w:r w:rsidRPr="00A30FAB">
        <w:rPr>
          <w:rFonts w:eastAsiaTheme="minorHAnsi" w:cs="Calibri"/>
          <w:i/>
          <w:iCs/>
          <w:color w:val="000000" w:themeColor="text1"/>
          <w:shd w:val="clear" w:color="auto" w:fill="FFFFFF"/>
          <w:lang w:val="en-US"/>
        </w:rPr>
        <w:t>J Am Coll Cardiol</w:t>
      </w:r>
      <w:r w:rsidRPr="00A30FAB">
        <w:rPr>
          <w:rFonts w:eastAsiaTheme="minorHAnsi" w:cs="Calibri"/>
          <w:color w:val="000000" w:themeColor="text1"/>
          <w:shd w:val="clear" w:color="auto" w:fill="FFFFFF"/>
          <w:lang w:val="en-US"/>
        </w:rPr>
        <w:t> 2008; </w:t>
      </w:r>
      <w:r w:rsidRPr="00A30FAB">
        <w:rPr>
          <w:rFonts w:eastAsiaTheme="minorHAnsi" w:cs="Calibri"/>
          <w:b/>
          <w:bCs/>
          <w:color w:val="000000" w:themeColor="text1"/>
          <w:shd w:val="clear" w:color="auto" w:fill="FFFFFF"/>
          <w:lang w:val="en-US"/>
        </w:rPr>
        <w:t>52</w:t>
      </w:r>
      <w:r w:rsidRPr="00A30FAB">
        <w:rPr>
          <w:rFonts w:eastAsiaTheme="minorHAnsi" w:cs="Calibri"/>
          <w:color w:val="000000" w:themeColor="text1"/>
          <w:shd w:val="clear" w:color="auto" w:fill="FFFFFF"/>
          <w:lang w:val="en-US"/>
        </w:rPr>
        <w:t>: 1006-1012 [PMID: 18786482 DOI: 10.1016/j.jacc.2008.04.068]</w:t>
      </w:r>
    </w:p>
    <w:p w14:paraId="6BEA7C7A"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85 </w:t>
      </w:r>
      <w:r w:rsidRPr="00A30FAB">
        <w:rPr>
          <w:rFonts w:eastAsiaTheme="minorHAnsi" w:cs="Calibri"/>
          <w:b/>
          <w:bCs/>
          <w:color w:val="000000" w:themeColor="text1"/>
          <w:shd w:val="clear" w:color="auto" w:fill="FFFFFF"/>
          <w:lang w:val="en-US"/>
        </w:rPr>
        <w:t>Palmieri V</w:t>
      </w:r>
      <w:r w:rsidRPr="00A30FAB">
        <w:rPr>
          <w:rFonts w:eastAsiaTheme="minorHAnsi" w:cs="Calibri"/>
          <w:color w:val="000000" w:themeColor="text1"/>
          <w:shd w:val="clear" w:color="auto" w:fill="FFFFFF"/>
          <w:lang w:val="en-US"/>
        </w:rPr>
        <w:t>, Bella JN, Arnett DK, Liu JE, Oberman A, Schuck MY, Kitzman DW, Hopkins PN, Morgan D, Rao DC, Devereux RB. Effect of type 2 diabetes mellitus on left ventricular geometry and systolic function in hypertensive subjects: Hypertension Genetic Epidemiology Network (HyperGEN) study.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2001; </w:t>
      </w:r>
      <w:r w:rsidRPr="00A30FAB">
        <w:rPr>
          <w:rFonts w:eastAsiaTheme="minorHAnsi" w:cs="Calibri"/>
          <w:b/>
          <w:bCs/>
          <w:color w:val="000000" w:themeColor="text1"/>
          <w:shd w:val="clear" w:color="auto" w:fill="FFFFFF"/>
          <w:lang w:val="en-US"/>
        </w:rPr>
        <w:t>103</w:t>
      </w:r>
      <w:r w:rsidRPr="00A30FAB">
        <w:rPr>
          <w:rFonts w:eastAsiaTheme="minorHAnsi" w:cs="Calibri"/>
          <w:color w:val="000000" w:themeColor="text1"/>
          <w:shd w:val="clear" w:color="auto" w:fill="FFFFFF"/>
          <w:lang w:val="en-US"/>
        </w:rPr>
        <w:t>: 102-107 [PMID: 11136693 DOI: 10.1161/01.CIR.103.1.102]</w:t>
      </w:r>
    </w:p>
    <w:p w14:paraId="1DB6476A"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86 </w:t>
      </w:r>
      <w:r w:rsidRPr="00A30FAB">
        <w:rPr>
          <w:rFonts w:eastAsiaTheme="minorHAnsi" w:cs="Calibri"/>
          <w:b/>
          <w:bCs/>
          <w:color w:val="000000" w:themeColor="text1"/>
          <w:shd w:val="clear" w:color="auto" w:fill="FFFFFF"/>
          <w:lang w:val="en-US"/>
        </w:rPr>
        <w:t>Bella JN</w:t>
      </w:r>
      <w:r w:rsidRPr="00A30FAB">
        <w:rPr>
          <w:rFonts w:eastAsiaTheme="minorHAnsi" w:cs="Calibri"/>
          <w:color w:val="000000" w:themeColor="text1"/>
          <w:shd w:val="clear" w:color="auto" w:fill="FFFFFF"/>
          <w:lang w:val="en-US"/>
        </w:rPr>
        <w:t>, Devereux RB, Roman MJ, Palmieri V, Liu JE, Paranicas M, Welty TK, Lee ET, Fabsitz RR, Howard BV. Separate and joint effects of systemic hypertension and diabetes mellitus on left ventricular structure and function in American Indians (the Strong Heart Study). </w:t>
      </w:r>
      <w:r w:rsidRPr="00A30FAB">
        <w:rPr>
          <w:rFonts w:eastAsiaTheme="minorHAnsi" w:cs="Calibri"/>
          <w:i/>
          <w:iCs/>
          <w:color w:val="000000" w:themeColor="text1"/>
          <w:shd w:val="clear" w:color="auto" w:fill="FFFFFF"/>
          <w:lang w:val="en-US"/>
        </w:rPr>
        <w:t>Am J Cardiol</w:t>
      </w:r>
      <w:r w:rsidRPr="00A30FAB">
        <w:rPr>
          <w:rFonts w:eastAsiaTheme="minorHAnsi" w:cs="Calibri"/>
          <w:color w:val="000000" w:themeColor="text1"/>
          <w:shd w:val="clear" w:color="auto" w:fill="FFFFFF"/>
          <w:lang w:val="en-US"/>
        </w:rPr>
        <w:t> 2001; </w:t>
      </w:r>
      <w:r w:rsidRPr="00A30FAB">
        <w:rPr>
          <w:rFonts w:eastAsiaTheme="minorHAnsi" w:cs="Calibri"/>
          <w:b/>
          <w:bCs/>
          <w:color w:val="000000" w:themeColor="text1"/>
          <w:shd w:val="clear" w:color="auto" w:fill="FFFFFF"/>
          <w:lang w:val="en-US"/>
        </w:rPr>
        <w:t>87</w:t>
      </w:r>
      <w:r w:rsidRPr="00A30FAB">
        <w:rPr>
          <w:rFonts w:eastAsiaTheme="minorHAnsi" w:cs="Calibri"/>
          <w:color w:val="000000" w:themeColor="text1"/>
          <w:shd w:val="clear" w:color="auto" w:fill="FFFFFF"/>
          <w:lang w:val="en-US"/>
        </w:rPr>
        <w:t>: 1260-1265 [PMID: 11377351 DOI: 10.1016/S0002-9149(01)01516-8]</w:t>
      </w:r>
    </w:p>
    <w:p w14:paraId="74DE60FB"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87 </w:t>
      </w:r>
      <w:r w:rsidRPr="00A30FAB">
        <w:rPr>
          <w:rFonts w:eastAsiaTheme="minorHAnsi" w:cs="Calibri"/>
          <w:b/>
          <w:bCs/>
          <w:color w:val="000000" w:themeColor="text1"/>
          <w:shd w:val="clear" w:color="auto" w:fill="FFFFFF"/>
          <w:lang w:val="en-US"/>
        </w:rPr>
        <w:t>Devereux RB</w:t>
      </w:r>
      <w:r w:rsidRPr="00A30FAB">
        <w:rPr>
          <w:rFonts w:eastAsiaTheme="minorHAnsi" w:cs="Calibri"/>
          <w:color w:val="000000" w:themeColor="text1"/>
          <w:shd w:val="clear" w:color="auto" w:fill="FFFFFF"/>
          <w:lang w:val="en-US"/>
        </w:rPr>
        <w:t>, Roman MJ, Paranicas M, O'Grady MJ, Lee ET, Welty TK, Fabsitz RR, Robbins D, Rhoades ER, Howard BV. Impact of diabetes on cardiac structure and function: the strong heart study.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2000; </w:t>
      </w:r>
      <w:r w:rsidRPr="00A30FAB">
        <w:rPr>
          <w:rFonts w:eastAsiaTheme="minorHAnsi" w:cs="Calibri"/>
          <w:b/>
          <w:bCs/>
          <w:color w:val="000000" w:themeColor="text1"/>
          <w:shd w:val="clear" w:color="auto" w:fill="FFFFFF"/>
          <w:lang w:val="en-US"/>
        </w:rPr>
        <w:t>101</w:t>
      </w:r>
      <w:r w:rsidRPr="00A30FAB">
        <w:rPr>
          <w:rFonts w:eastAsiaTheme="minorHAnsi" w:cs="Calibri"/>
          <w:color w:val="000000" w:themeColor="text1"/>
          <w:shd w:val="clear" w:color="auto" w:fill="FFFFFF"/>
          <w:lang w:val="en-US"/>
        </w:rPr>
        <w:t>: 2271-2276 [PMID: 10811594 DOI: 10.1161/01.CIR.101.19.2271]</w:t>
      </w:r>
    </w:p>
    <w:p w14:paraId="123B753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88 </w:t>
      </w:r>
      <w:r w:rsidRPr="00A30FAB">
        <w:rPr>
          <w:rFonts w:eastAsiaTheme="minorHAnsi" w:cs="Calibri"/>
          <w:b/>
          <w:bCs/>
          <w:color w:val="000000" w:themeColor="text1"/>
          <w:shd w:val="clear" w:color="auto" w:fill="FFFFFF"/>
          <w:lang w:val="en-US"/>
        </w:rPr>
        <w:t>Skali H</w:t>
      </w:r>
      <w:r w:rsidRPr="00A30FAB">
        <w:rPr>
          <w:rFonts w:eastAsiaTheme="minorHAnsi" w:cs="Calibri"/>
          <w:color w:val="000000" w:themeColor="text1"/>
          <w:shd w:val="clear" w:color="auto" w:fill="FFFFFF"/>
          <w:lang w:val="en-US"/>
        </w:rPr>
        <w:t>, Shah A, Gupta DK, Cheng S, Claggett B, Liu J, Bello N, Aguilar D, Vardeny O, Matsushita K, Selvin E, Solomon S. Cardiac structure and function across the glycemic spectrum in elderly men and women free of prevalent heart disease: the Atherosclerosis Risk In the Community study. </w:t>
      </w:r>
      <w:r w:rsidRPr="00A30FAB">
        <w:rPr>
          <w:rFonts w:eastAsiaTheme="minorHAnsi" w:cs="Calibri"/>
          <w:i/>
          <w:iCs/>
          <w:color w:val="000000" w:themeColor="text1"/>
          <w:shd w:val="clear" w:color="auto" w:fill="FFFFFF"/>
          <w:lang w:val="en-US"/>
        </w:rPr>
        <w:t>Circ Heart Fail</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8</w:t>
      </w:r>
      <w:r w:rsidRPr="00A30FAB">
        <w:rPr>
          <w:rFonts w:eastAsiaTheme="minorHAnsi" w:cs="Calibri"/>
          <w:color w:val="000000" w:themeColor="text1"/>
          <w:shd w:val="clear" w:color="auto" w:fill="FFFFFF"/>
          <w:lang w:val="en-US"/>
        </w:rPr>
        <w:t>: 448-454 [PMID: 25759458 DOI: 10.1161/CIRCHEARTFAILURE.114.001990]</w:t>
      </w:r>
    </w:p>
    <w:p w14:paraId="0E0CBEE3"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89 </w:t>
      </w:r>
      <w:r w:rsidRPr="00A30FAB">
        <w:rPr>
          <w:rFonts w:eastAsiaTheme="minorHAnsi" w:cs="Calibri"/>
          <w:b/>
          <w:bCs/>
          <w:color w:val="000000" w:themeColor="text1"/>
          <w:shd w:val="clear" w:color="auto" w:fill="FFFFFF"/>
          <w:lang w:val="en-US"/>
        </w:rPr>
        <w:t>Celentano A</w:t>
      </w:r>
      <w:r w:rsidRPr="00A30FAB">
        <w:rPr>
          <w:rFonts w:eastAsiaTheme="minorHAnsi" w:cs="Calibri"/>
          <w:color w:val="000000" w:themeColor="text1"/>
          <w:shd w:val="clear" w:color="auto" w:fill="FFFFFF"/>
          <w:lang w:val="en-US"/>
        </w:rPr>
        <w:t>, Galderisi M, Tammaro P, Mureddu GF, Garofalo M, de Simone G, de Divitiis O. Slow-release isradipine in mild to moderate hypertension: hemodynamic and antihypertensive effects. </w:t>
      </w:r>
      <w:r w:rsidRPr="00A30FAB">
        <w:rPr>
          <w:rFonts w:eastAsiaTheme="minorHAnsi" w:cs="Calibri"/>
          <w:i/>
          <w:iCs/>
          <w:color w:val="000000" w:themeColor="text1"/>
          <w:shd w:val="clear" w:color="auto" w:fill="FFFFFF"/>
          <w:lang w:val="en-US"/>
        </w:rPr>
        <w:t>Int J Clin Pharmacol Ther Toxicol</w:t>
      </w:r>
      <w:r w:rsidRPr="00A30FAB">
        <w:rPr>
          <w:rFonts w:eastAsiaTheme="minorHAnsi" w:cs="Calibri"/>
          <w:color w:val="000000" w:themeColor="text1"/>
          <w:shd w:val="clear" w:color="auto" w:fill="FFFFFF"/>
          <w:lang w:val="en-US"/>
        </w:rPr>
        <w:t> 1991; </w:t>
      </w:r>
      <w:r w:rsidRPr="00A30FAB">
        <w:rPr>
          <w:rFonts w:eastAsiaTheme="minorHAnsi" w:cs="Calibri"/>
          <w:b/>
          <w:bCs/>
          <w:color w:val="000000" w:themeColor="text1"/>
          <w:shd w:val="clear" w:color="auto" w:fill="FFFFFF"/>
          <w:lang w:val="en-US"/>
        </w:rPr>
        <w:t>29</w:t>
      </w:r>
      <w:r w:rsidRPr="00A30FAB">
        <w:rPr>
          <w:rFonts w:eastAsiaTheme="minorHAnsi" w:cs="Calibri"/>
          <w:color w:val="000000" w:themeColor="text1"/>
          <w:shd w:val="clear" w:color="auto" w:fill="FFFFFF"/>
          <w:lang w:val="en-US"/>
        </w:rPr>
        <w:t>: 494-498 [PMID: 1839903]</w:t>
      </w:r>
    </w:p>
    <w:p w14:paraId="1A03C04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90 </w:t>
      </w:r>
      <w:r w:rsidRPr="00A30FAB">
        <w:rPr>
          <w:rFonts w:eastAsiaTheme="minorHAnsi" w:cs="Calibri"/>
          <w:b/>
          <w:bCs/>
          <w:color w:val="000000" w:themeColor="text1"/>
          <w:shd w:val="clear" w:color="auto" w:fill="FFFFFF"/>
          <w:lang w:val="en-US"/>
        </w:rPr>
        <w:t>Lee M</w:t>
      </w:r>
      <w:r w:rsidRPr="00A30FAB">
        <w:rPr>
          <w:rFonts w:eastAsiaTheme="minorHAnsi" w:cs="Calibri"/>
          <w:color w:val="000000" w:themeColor="text1"/>
          <w:shd w:val="clear" w:color="auto" w:fill="FFFFFF"/>
          <w:lang w:val="en-US"/>
        </w:rPr>
        <w:t>, Gardin JM, Lynch JC, Smith VE, Tracy RP, Savage PJ, Szklo M, Ward BJ. Diabetes mellitus and echocardiographic left ventricular function in free-living elderly men and women: The Cardiovascular Health Study. </w:t>
      </w:r>
      <w:r w:rsidRPr="00A30FAB">
        <w:rPr>
          <w:rFonts w:eastAsiaTheme="minorHAnsi" w:cs="Calibri"/>
          <w:i/>
          <w:iCs/>
          <w:color w:val="000000" w:themeColor="text1"/>
          <w:shd w:val="clear" w:color="auto" w:fill="FFFFFF"/>
          <w:lang w:val="en-US"/>
        </w:rPr>
        <w:t>Am Heart J</w:t>
      </w:r>
      <w:r w:rsidRPr="00A30FAB">
        <w:rPr>
          <w:rFonts w:eastAsiaTheme="minorHAnsi" w:cs="Calibri"/>
          <w:color w:val="000000" w:themeColor="text1"/>
          <w:shd w:val="clear" w:color="auto" w:fill="FFFFFF"/>
          <w:lang w:val="en-US"/>
        </w:rPr>
        <w:t> 1997; </w:t>
      </w:r>
      <w:r w:rsidRPr="00A30FAB">
        <w:rPr>
          <w:rFonts w:eastAsiaTheme="minorHAnsi" w:cs="Calibri"/>
          <w:b/>
          <w:bCs/>
          <w:color w:val="000000" w:themeColor="text1"/>
          <w:shd w:val="clear" w:color="auto" w:fill="FFFFFF"/>
          <w:lang w:val="en-US"/>
        </w:rPr>
        <w:t>133</w:t>
      </w:r>
      <w:r w:rsidRPr="00A30FAB">
        <w:rPr>
          <w:rFonts w:eastAsiaTheme="minorHAnsi" w:cs="Calibri"/>
          <w:color w:val="000000" w:themeColor="text1"/>
          <w:shd w:val="clear" w:color="auto" w:fill="FFFFFF"/>
          <w:lang w:val="en-US"/>
        </w:rPr>
        <w:t>: 36-43 [PMID: 9006288 DOI: 10.1016/S0002-8703(97)70245-X]</w:t>
      </w:r>
    </w:p>
    <w:p w14:paraId="1CF3B437"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91 </w:t>
      </w:r>
      <w:r w:rsidRPr="00A30FAB">
        <w:rPr>
          <w:rFonts w:eastAsiaTheme="minorHAnsi" w:cs="Calibri"/>
          <w:b/>
          <w:bCs/>
          <w:color w:val="000000" w:themeColor="text1"/>
          <w:shd w:val="clear" w:color="auto" w:fill="FFFFFF"/>
          <w:lang w:val="en-US"/>
        </w:rPr>
        <w:t>Ng DS</w:t>
      </w:r>
      <w:r w:rsidRPr="00A30FAB">
        <w:rPr>
          <w:rFonts w:eastAsiaTheme="minorHAnsi" w:cs="Calibri"/>
          <w:color w:val="000000" w:themeColor="text1"/>
          <w:shd w:val="clear" w:color="auto" w:fill="FFFFFF"/>
          <w:lang w:val="en-US"/>
        </w:rPr>
        <w:t>, Saw NM. The role of HDL and its modulators in the development of diabetes. </w:t>
      </w:r>
      <w:r w:rsidRPr="00A30FAB">
        <w:rPr>
          <w:rFonts w:eastAsiaTheme="minorHAnsi" w:cs="Calibri"/>
          <w:i/>
          <w:iCs/>
          <w:color w:val="000000" w:themeColor="text1"/>
          <w:shd w:val="clear" w:color="auto" w:fill="FFFFFF"/>
          <w:lang w:val="en-US"/>
        </w:rPr>
        <w:t>Curr Opin Lipidol</w:t>
      </w:r>
      <w:r w:rsidRPr="00A30FAB">
        <w:rPr>
          <w:rFonts w:eastAsiaTheme="minorHAnsi" w:cs="Calibri"/>
          <w:color w:val="000000" w:themeColor="text1"/>
          <w:shd w:val="clear" w:color="auto" w:fill="FFFFFF"/>
          <w:lang w:val="en-US"/>
        </w:rPr>
        <w:t> 2012; </w:t>
      </w:r>
      <w:r w:rsidRPr="00A30FAB">
        <w:rPr>
          <w:rFonts w:eastAsiaTheme="minorHAnsi" w:cs="Calibri"/>
          <w:b/>
          <w:bCs/>
          <w:color w:val="000000" w:themeColor="text1"/>
          <w:shd w:val="clear" w:color="auto" w:fill="FFFFFF"/>
          <w:lang w:val="en-US"/>
        </w:rPr>
        <w:t>23</w:t>
      </w:r>
      <w:r w:rsidRPr="00A30FAB">
        <w:rPr>
          <w:rFonts w:eastAsiaTheme="minorHAnsi" w:cs="Calibri"/>
          <w:color w:val="000000" w:themeColor="text1"/>
          <w:shd w:val="clear" w:color="auto" w:fill="FFFFFF"/>
          <w:lang w:val="en-US"/>
        </w:rPr>
        <w:t>: 167-168 [PMID: 22418575 DOI: 10.1097/MOL.0b013e3283518614]</w:t>
      </w:r>
    </w:p>
    <w:p w14:paraId="4C556EB5"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92 </w:t>
      </w:r>
      <w:r w:rsidRPr="00A30FAB">
        <w:rPr>
          <w:rFonts w:eastAsiaTheme="minorHAnsi" w:cs="Calibri"/>
          <w:b/>
          <w:bCs/>
          <w:color w:val="000000" w:themeColor="text1"/>
          <w:shd w:val="clear" w:color="auto" w:fill="FFFFFF"/>
          <w:lang w:val="en-US"/>
        </w:rPr>
        <w:t>Jankovic D</w:t>
      </w:r>
      <w:r w:rsidRPr="00A30FAB">
        <w:rPr>
          <w:rFonts w:eastAsiaTheme="minorHAnsi" w:cs="Calibri"/>
          <w:color w:val="000000" w:themeColor="text1"/>
          <w:shd w:val="clear" w:color="auto" w:fill="FFFFFF"/>
          <w:lang w:val="en-US"/>
        </w:rPr>
        <w:t>, Winhofer Y, Promintzer-Schifferl M, Wohlschläger-Krenn E, Anderwald CH, Wolf P, Scherer T, Reiter G, Trattnig S, Luger A, Krebs M, Krssak M. Effects of insulin therapy on myocardial lipid content and cardiac geometry in patients with type-2 diabetes mellitus. </w:t>
      </w:r>
      <w:r w:rsidRPr="00A30FAB">
        <w:rPr>
          <w:rFonts w:eastAsiaTheme="minorHAnsi" w:cs="Calibri"/>
          <w:i/>
          <w:iCs/>
          <w:color w:val="000000" w:themeColor="text1"/>
          <w:shd w:val="clear" w:color="auto" w:fill="FFFFFF"/>
          <w:lang w:val="en-US"/>
        </w:rPr>
        <w:t>PLoS One</w:t>
      </w:r>
      <w:r w:rsidRPr="00A30FAB">
        <w:rPr>
          <w:rFonts w:eastAsiaTheme="minorHAnsi" w:cs="Calibri"/>
          <w:color w:val="000000" w:themeColor="text1"/>
          <w:shd w:val="clear" w:color="auto" w:fill="FFFFFF"/>
          <w:lang w:val="en-US"/>
        </w:rPr>
        <w:t> 2012; </w:t>
      </w:r>
      <w:r w:rsidRPr="00A30FAB">
        <w:rPr>
          <w:rFonts w:eastAsiaTheme="minorHAnsi" w:cs="Calibri"/>
          <w:b/>
          <w:bCs/>
          <w:color w:val="000000" w:themeColor="text1"/>
          <w:shd w:val="clear" w:color="auto" w:fill="FFFFFF"/>
          <w:lang w:val="en-US"/>
        </w:rPr>
        <w:t>7</w:t>
      </w:r>
      <w:r w:rsidRPr="00A30FAB">
        <w:rPr>
          <w:rFonts w:eastAsiaTheme="minorHAnsi" w:cs="Calibri"/>
          <w:color w:val="000000" w:themeColor="text1"/>
          <w:shd w:val="clear" w:color="auto" w:fill="FFFFFF"/>
          <w:lang w:val="en-US"/>
        </w:rPr>
        <w:t>: e50077 [PMID: 23226508 DOI: 10.1371/journal.pone.0050077]</w:t>
      </w:r>
    </w:p>
    <w:p w14:paraId="0484EF9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93 </w:t>
      </w:r>
      <w:r w:rsidRPr="00A30FAB">
        <w:rPr>
          <w:rFonts w:eastAsiaTheme="minorHAnsi" w:cs="Calibri"/>
          <w:b/>
          <w:bCs/>
          <w:color w:val="000000" w:themeColor="text1"/>
          <w:shd w:val="clear" w:color="auto" w:fill="FFFFFF"/>
          <w:lang w:val="en-US"/>
        </w:rPr>
        <w:t>Wilmot EG</w:t>
      </w:r>
      <w:r w:rsidRPr="00A30FAB">
        <w:rPr>
          <w:rFonts w:eastAsiaTheme="minorHAnsi" w:cs="Calibri"/>
          <w:color w:val="000000" w:themeColor="text1"/>
          <w:shd w:val="clear" w:color="auto" w:fill="FFFFFF"/>
          <w:lang w:val="en-US"/>
        </w:rPr>
        <w:t>, Leggate M, Khan JN, Yates T, Gorely T, Bodicoat DH, Khunti K, Kuijer JP, Gray LJ, Singh A, Clarysse P, Croisille P, Nimmo MA, McCann GP, Davies MJ. Type 2 diabetes mellitus and obesity in young adults: the extreme phenotype with early cardiovascular dysfunction. </w:t>
      </w:r>
      <w:r w:rsidRPr="00A30FAB">
        <w:rPr>
          <w:rFonts w:eastAsiaTheme="minorHAnsi" w:cs="Calibri"/>
          <w:i/>
          <w:iCs/>
          <w:color w:val="000000" w:themeColor="text1"/>
          <w:shd w:val="clear" w:color="auto" w:fill="FFFFFF"/>
          <w:lang w:val="en-US"/>
        </w:rPr>
        <w:t>Diabet Med</w:t>
      </w:r>
      <w:r w:rsidRPr="00A30FAB">
        <w:rPr>
          <w:rFonts w:eastAsiaTheme="minorHAnsi" w:cs="Calibri"/>
          <w:color w:val="000000" w:themeColor="text1"/>
          <w:shd w:val="clear" w:color="auto" w:fill="FFFFFF"/>
          <w:lang w:val="en-US"/>
        </w:rPr>
        <w:t> 2014; </w:t>
      </w:r>
      <w:r w:rsidRPr="00A30FAB">
        <w:rPr>
          <w:rFonts w:eastAsiaTheme="minorHAnsi" w:cs="Calibri"/>
          <w:b/>
          <w:bCs/>
          <w:color w:val="000000" w:themeColor="text1"/>
          <w:shd w:val="clear" w:color="auto" w:fill="FFFFFF"/>
          <w:lang w:val="en-US"/>
        </w:rPr>
        <w:t>31</w:t>
      </w:r>
      <w:r w:rsidRPr="00A30FAB">
        <w:rPr>
          <w:rFonts w:eastAsiaTheme="minorHAnsi" w:cs="Calibri"/>
          <w:color w:val="000000" w:themeColor="text1"/>
          <w:shd w:val="clear" w:color="auto" w:fill="FFFFFF"/>
          <w:lang w:val="en-US"/>
        </w:rPr>
        <w:t>: 794-798 [PMID: 24606573 DOI: 10.1111/dme.12431]</w:t>
      </w:r>
    </w:p>
    <w:p w14:paraId="7AE86BE3"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94 </w:t>
      </w:r>
      <w:r w:rsidRPr="00A30FAB">
        <w:rPr>
          <w:rFonts w:eastAsiaTheme="minorHAnsi" w:cs="Calibri"/>
          <w:b/>
          <w:bCs/>
          <w:color w:val="000000" w:themeColor="text1"/>
          <w:shd w:val="clear" w:color="auto" w:fill="FFFFFF"/>
          <w:lang w:val="en-US"/>
        </w:rPr>
        <w:t>Levelt E</w:t>
      </w:r>
      <w:r w:rsidRPr="00A30FAB">
        <w:rPr>
          <w:rFonts w:eastAsiaTheme="minorHAnsi" w:cs="Calibri"/>
          <w:color w:val="000000" w:themeColor="text1"/>
          <w:shd w:val="clear" w:color="auto" w:fill="FFFFFF"/>
          <w:lang w:val="en-US"/>
        </w:rPr>
        <w:t>, Rodgers CT, Clarke WT, Mahmod M, Ariga R, Francis JM, Liu A, Wijesurendra RS, Dass S, Sabharwal N, Robson MD, Holloway CJ, Rider OJ, Clarke K, Karamitsos TD, Neubauer S. Cardiac energetics, oxygenation, and perfusion during increased workload in patients with type 2 diabetes mellitus. </w:t>
      </w:r>
      <w:r w:rsidRPr="00A30FAB">
        <w:rPr>
          <w:rFonts w:eastAsiaTheme="minorHAnsi" w:cs="Calibri"/>
          <w:i/>
          <w:iCs/>
          <w:color w:val="000000" w:themeColor="text1"/>
          <w:shd w:val="clear" w:color="auto" w:fill="FFFFFF"/>
          <w:lang w:val="en-US"/>
        </w:rPr>
        <w:t>Eur Heart J</w:t>
      </w:r>
      <w:r w:rsidRPr="00A30FAB">
        <w:rPr>
          <w:rFonts w:eastAsiaTheme="minorHAnsi" w:cs="Calibri"/>
          <w:color w:val="000000" w:themeColor="text1"/>
          <w:shd w:val="clear" w:color="auto" w:fill="FFFFFF"/>
          <w:lang w:val="en-US"/>
        </w:rPr>
        <w:t> 2016; </w:t>
      </w:r>
      <w:r w:rsidRPr="00A30FAB">
        <w:rPr>
          <w:rFonts w:eastAsiaTheme="minorHAnsi" w:cs="Calibri"/>
          <w:b/>
          <w:bCs/>
          <w:color w:val="000000" w:themeColor="text1"/>
          <w:shd w:val="clear" w:color="auto" w:fill="FFFFFF"/>
          <w:lang w:val="en-US"/>
        </w:rPr>
        <w:t>37</w:t>
      </w:r>
      <w:r w:rsidRPr="00A30FAB">
        <w:rPr>
          <w:rFonts w:eastAsiaTheme="minorHAnsi" w:cs="Calibri"/>
          <w:color w:val="000000" w:themeColor="text1"/>
          <w:shd w:val="clear" w:color="auto" w:fill="FFFFFF"/>
          <w:lang w:val="en-US"/>
        </w:rPr>
        <w:t>: 3461-3469 [PMID: 26392437 DOI: 10.1093/eurheartj/ehv442]</w:t>
      </w:r>
    </w:p>
    <w:p w14:paraId="417FE338"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95 </w:t>
      </w:r>
      <w:r w:rsidRPr="00A30FAB">
        <w:rPr>
          <w:rFonts w:eastAsiaTheme="minorHAnsi" w:cs="Calibri"/>
          <w:b/>
          <w:bCs/>
          <w:color w:val="000000" w:themeColor="text1"/>
          <w:shd w:val="clear" w:color="auto" w:fill="FFFFFF"/>
          <w:lang w:val="en-US"/>
        </w:rPr>
        <w:t>Gottdiener JS</w:t>
      </w:r>
      <w:r w:rsidRPr="00A30FAB">
        <w:rPr>
          <w:rFonts w:eastAsiaTheme="minorHAnsi" w:cs="Calibri"/>
          <w:color w:val="000000" w:themeColor="text1"/>
          <w:shd w:val="clear" w:color="auto" w:fill="FFFFFF"/>
          <w:lang w:val="en-US"/>
        </w:rPr>
        <w:t>, Arnold AM, Aurigemma GP, Polak JF, Tracy RP, Kitzman DW, Gardin JM, Rutledge JE, Boineau RC. Predictors of congestive heart failure in the elderly: the Cardiovascular Health Study. </w:t>
      </w:r>
      <w:r w:rsidRPr="00A30FAB">
        <w:rPr>
          <w:rFonts w:eastAsiaTheme="minorHAnsi" w:cs="Calibri"/>
          <w:i/>
          <w:iCs/>
          <w:color w:val="000000" w:themeColor="text1"/>
          <w:shd w:val="clear" w:color="auto" w:fill="FFFFFF"/>
          <w:lang w:val="en-US"/>
        </w:rPr>
        <w:t>J Am Coll Cardiol</w:t>
      </w:r>
      <w:r w:rsidRPr="00A30FAB">
        <w:rPr>
          <w:rFonts w:eastAsiaTheme="minorHAnsi" w:cs="Calibri"/>
          <w:color w:val="000000" w:themeColor="text1"/>
          <w:shd w:val="clear" w:color="auto" w:fill="FFFFFF"/>
          <w:lang w:val="en-US"/>
        </w:rPr>
        <w:t> 2000; </w:t>
      </w:r>
      <w:r w:rsidRPr="00A30FAB">
        <w:rPr>
          <w:rFonts w:eastAsiaTheme="minorHAnsi" w:cs="Calibri"/>
          <w:b/>
          <w:bCs/>
          <w:color w:val="000000" w:themeColor="text1"/>
          <w:shd w:val="clear" w:color="auto" w:fill="FFFFFF"/>
          <w:lang w:val="en-US"/>
        </w:rPr>
        <w:t>35</w:t>
      </w:r>
      <w:r w:rsidRPr="00A30FAB">
        <w:rPr>
          <w:rFonts w:eastAsiaTheme="minorHAnsi" w:cs="Calibri"/>
          <w:color w:val="000000" w:themeColor="text1"/>
          <w:shd w:val="clear" w:color="auto" w:fill="FFFFFF"/>
          <w:lang w:val="en-US"/>
        </w:rPr>
        <w:t>: 1628-1637 [PMID: 10807470 DOI: 10.1016/S0735-1097(00)00582-9]</w:t>
      </w:r>
    </w:p>
    <w:p w14:paraId="623CA9A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96 </w:t>
      </w:r>
      <w:r w:rsidRPr="00A30FAB">
        <w:rPr>
          <w:rFonts w:eastAsiaTheme="minorHAnsi" w:cs="Calibri"/>
          <w:b/>
          <w:bCs/>
          <w:color w:val="000000" w:themeColor="text1"/>
          <w:shd w:val="clear" w:color="auto" w:fill="FFFFFF"/>
          <w:lang w:val="en-US"/>
        </w:rPr>
        <w:t>Savage DD</w:t>
      </w:r>
      <w:r w:rsidRPr="00A30FAB">
        <w:rPr>
          <w:rFonts w:eastAsiaTheme="minorHAnsi" w:cs="Calibri"/>
          <w:color w:val="000000" w:themeColor="text1"/>
          <w:shd w:val="clear" w:color="auto" w:fill="FFFFFF"/>
          <w:lang w:val="en-US"/>
        </w:rPr>
        <w:t>, Levy D, Dannenberg AL, Garrison RJ, Castelli WP. Association of echocardiographic left ventricular mass with body size, blood pressure and physical activity (the Framingham Study). </w:t>
      </w:r>
      <w:r w:rsidRPr="00A30FAB">
        <w:rPr>
          <w:rFonts w:eastAsiaTheme="minorHAnsi" w:cs="Calibri"/>
          <w:i/>
          <w:iCs/>
          <w:color w:val="000000" w:themeColor="text1"/>
          <w:shd w:val="clear" w:color="auto" w:fill="FFFFFF"/>
          <w:lang w:val="en-US"/>
        </w:rPr>
        <w:t>Am J Cardiol</w:t>
      </w:r>
      <w:r w:rsidRPr="00A30FAB">
        <w:rPr>
          <w:rFonts w:eastAsiaTheme="minorHAnsi" w:cs="Calibri"/>
          <w:color w:val="000000" w:themeColor="text1"/>
          <w:shd w:val="clear" w:color="auto" w:fill="FFFFFF"/>
          <w:lang w:val="en-US"/>
        </w:rPr>
        <w:t> 1990; </w:t>
      </w:r>
      <w:r w:rsidRPr="00A30FAB">
        <w:rPr>
          <w:rFonts w:eastAsiaTheme="minorHAnsi" w:cs="Calibri"/>
          <w:b/>
          <w:bCs/>
          <w:color w:val="000000" w:themeColor="text1"/>
          <w:shd w:val="clear" w:color="auto" w:fill="FFFFFF"/>
          <w:lang w:val="en-US"/>
        </w:rPr>
        <w:t>65</w:t>
      </w:r>
      <w:r w:rsidRPr="00A30FAB">
        <w:rPr>
          <w:rFonts w:eastAsiaTheme="minorHAnsi" w:cs="Calibri"/>
          <w:color w:val="000000" w:themeColor="text1"/>
          <w:shd w:val="clear" w:color="auto" w:fill="FFFFFF"/>
          <w:lang w:val="en-US"/>
        </w:rPr>
        <w:t>: 371-376 [PMID: 2137280 DOI: 10.1016/0002-9149(90)90304-J]</w:t>
      </w:r>
    </w:p>
    <w:p w14:paraId="4C44F1A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97 </w:t>
      </w:r>
      <w:r w:rsidRPr="00A30FAB">
        <w:rPr>
          <w:rFonts w:eastAsiaTheme="minorHAnsi" w:cs="Calibri"/>
          <w:b/>
          <w:bCs/>
          <w:color w:val="000000" w:themeColor="text1"/>
          <w:shd w:val="clear" w:color="auto" w:fill="FFFFFF"/>
          <w:lang w:val="en-US"/>
        </w:rPr>
        <w:t>White SK</w:t>
      </w:r>
      <w:r w:rsidRPr="00A30FAB">
        <w:rPr>
          <w:rFonts w:eastAsiaTheme="minorHAnsi" w:cs="Calibri"/>
          <w:color w:val="000000" w:themeColor="text1"/>
          <w:shd w:val="clear" w:color="auto" w:fill="FFFFFF"/>
          <w:lang w:val="en-US"/>
        </w:rPr>
        <w:t>, Sado DM, Fontana M, Banypersad SM, Maestrini V, Flett AS, Piechnik SK, Robson MD, Hausenloy DJ, Sheikh AM, Hawkins PN, Moon JC. T1 mapping for myocardial extracellular volume measurement by CMR: bolus only versus primed infusion technique. </w:t>
      </w:r>
      <w:r w:rsidRPr="00A30FAB">
        <w:rPr>
          <w:rFonts w:eastAsiaTheme="minorHAnsi" w:cs="Calibri"/>
          <w:i/>
          <w:iCs/>
          <w:color w:val="000000" w:themeColor="text1"/>
          <w:shd w:val="clear" w:color="auto" w:fill="FFFFFF"/>
          <w:lang w:val="en-US"/>
        </w:rPr>
        <w:t>JACC Cardiovasc Imaging</w:t>
      </w:r>
      <w:r w:rsidRPr="00A30FAB">
        <w:rPr>
          <w:rFonts w:eastAsiaTheme="minorHAnsi" w:cs="Calibri"/>
          <w:color w:val="000000" w:themeColor="text1"/>
          <w:shd w:val="clear" w:color="auto" w:fill="FFFFFF"/>
          <w:lang w:val="en-US"/>
        </w:rPr>
        <w:t> 2013; </w:t>
      </w:r>
      <w:r w:rsidRPr="00A30FAB">
        <w:rPr>
          <w:rFonts w:eastAsiaTheme="minorHAnsi" w:cs="Calibri"/>
          <w:b/>
          <w:bCs/>
          <w:color w:val="000000" w:themeColor="text1"/>
          <w:shd w:val="clear" w:color="auto" w:fill="FFFFFF"/>
          <w:lang w:val="en-US"/>
        </w:rPr>
        <w:t>6</w:t>
      </w:r>
      <w:r w:rsidRPr="00A30FAB">
        <w:rPr>
          <w:rFonts w:eastAsiaTheme="minorHAnsi" w:cs="Calibri"/>
          <w:color w:val="000000" w:themeColor="text1"/>
          <w:shd w:val="clear" w:color="auto" w:fill="FFFFFF"/>
          <w:lang w:val="en-US"/>
        </w:rPr>
        <w:t>: 955-962 [PMID: 23582361 DOI: 10.1016/j.jcmg.2013.01.011]</w:t>
      </w:r>
    </w:p>
    <w:p w14:paraId="0BF7CE9E"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98 </w:t>
      </w:r>
      <w:r w:rsidRPr="00A30FAB">
        <w:rPr>
          <w:rFonts w:eastAsiaTheme="minorHAnsi" w:cs="Calibri"/>
          <w:b/>
          <w:bCs/>
          <w:color w:val="000000" w:themeColor="text1"/>
          <w:shd w:val="clear" w:color="auto" w:fill="FFFFFF"/>
          <w:lang w:val="en-US"/>
        </w:rPr>
        <w:t>Jellis CL</w:t>
      </w:r>
      <w:r w:rsidRPr="00A30FAB">
        <w:rPr>
          <w:rFonts w:eastAsiaTheme="minorHAnsi" w:cs="Calibri"/>
          <w:color w:val="000000" w:themeColor="text1"/>
          <w:shd w:val="clear" w:color="auto" w:fill="FFFFFF"/>
          <w:lang w:val="en-US"/>
        </w:rPr>
        <w:t>, Kwon DH. Myocardial T1 mapping: modalities and clinical applications. </w:t>
      </w:r>
      <w:r w:rsidRPr="00A30FAB">
        <w:rPr>
          <w:rFonts w:eastAsiaTheme="minorHAnsi" w:cs="Calibri"/>
          <w:i/>
          <w:iCs/>
          <w:color w:val="000000" w:themeColor="text1"/>
          <w:shd w:val="clear" w:color="auto" w:fill="FFFFFF"/>
          <w:lang w:val="en-US"/>
        </w:rPr>
        <w:t>Cardiovasc Diagn Ther</w:t>
      </w:r>
      <w:r w:rsidRPr="00A30FAB">
        <w:rPr>
          <w:rFonts w:eastAsiaTheme="minorHAnsi" w:cs="Calibri"/>
          <w:color w:val="000000" w:themeColor="text1"/>
          <w:shd w:val="clear" w:color="auto" w:fill="FFFFFF"/>
          <w:lang w:val="en-US"/>
        </w:rPr>
        <w:t> 2014; </w:t>
      </w:r>
      <w:r w:rsidRPr="00A30FAB">
        <w:rPr>
          <w:rFonts w:eastAsiaTheme="minorHAnsi" w:cs="Calibri"/>
          <w:b/>
          <w:bCs/>
          <w:color w:val="000000" w:themeColor="text1"/>
          <w:shd w:val="clear" w:color="auto" w:fill="FFFFFF"/>
          <w:lang w:val="en-US"/>
        </w:rPr>
        <w:t>4</w:t>
      </w:r>
      <w:r w:rsidRPr="00A30FAB">
        <w:rPr>
          <w:rFonts w:eastAsiaTheme="minorHAnsi" w:cs="Calibri"/>
          <w:color w:val="000000" w:themeColor="text1"/>
          <w:shd w:val="clear" w:color="auto" w:fill="FFFFFF"/>
          <w:lang w:val="en-US"/>
        </w:rPr>
        <w:t>: 126-137 [PMID: 24834410 DOI: 10.3978/j.issn.2223-3652.2013.09.03]</w:t>
      </w:r>
    </w:p>
    <w:p w14:paraId="3CBE3E4B"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99 </w:t>
      </w:r>
      <w:r w:rsidRPr="00A30FAB">
        <w:rPr>
          <w:rFonts w:eastAsiaTheme="minorHAnsi" w:cs="Calibri"/>
          <w:b/>
          <w:bCs/>
          <w:color w:val="000000" w:themeColor="text1"/>
          <w:shd w:val="clear" w:color="auto" w:fill="FFFFFF"/>
          <w:lang w:val="en-US"/>
        </w:rPr>
        <w:t>van Heerebeek L</w:t>
      </w:r>
      <w:r w:rsidRPr="00A30FAB">
        <w:rPr>
          <w:rFonts w:eastAsiaTheme="minorHAnsi" w:cs="Calibri"/>
          <w:color w:val="000000" w:themeColor="text1"/>
          <w:shd w:val="clear" w:color="auto" w:fill="FFFFFF"/>
          <w:lang w:val="en-US"/>
        </w:rPr>
        <w:t>, Hamdani N, Handoko ML, Falcao-Pires I, Musters RJ, Kupreishvili K, Ijsselmuiden AJ, Schalkwijk CG, Bronzwaer JG, Diamant M, Borbély A, van der Velden J, Stienen GJ, Laarman GJ, Niessen HW, Paulus WJ. Diastolic stiffness of the failing diabetic heart: importance of fibrosis, advanced glycation end products, and myocyte resting tension.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2008; </w:t>
      </w:r>
      <w:r w:rsidRPr="00A30FAB">
        <w:rPr>
          <w:rFonts w:eastAsiaTheme="minorHAnsi" w:cs="Calibri"/>
          <w:b/>
          <w:bCs/>
          <w:color w:val="000000" w:themeColor="text1"/>
          <w:shd w:val="clear" w:color="auto" w:fill="FFFFFF"/>
          <w:lang w:val="en-US"/>
        </w:rPr>
        <w:t>117</w:t>
      </w:r>
      <w:r w:rsidRPr="00A30FAB">
        <w:rPr>
          <w:rFonts w:eastAsiaTheme="minorHAnsi" w:cs="Calibri"/>
          <w:color w:val="000000" w:themeColor="text1"/>
          <w:shd w:val="clear" w:color="auto" w:fill="FFFFFF"/>
          <w:lang w:val="en-US"/>
        </w:rPr>
        <w:t>: 43-51 [PMID: 18071071 DOI: 10.1161/CIRCULATIONAHA.107.728550]</w:t>
      </w:r>
    </w:p>
    <w:p w14:paraId="6968943E"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100 </w:t>
      </w:r>
      <w:r w:rsidRPr="00A30FAB">
        <w:rPr>
          <w:rFonts w:eastAsiaTheme="minorHAnsi" w:cs="Calibri"/>
          <w:b/>
          <w:bCs/>
          <w:color w:val="000000" w:themeColor="text1"/>
          <w:shd w:val="clear" w:color="auto" w:fill="FFFFFF"/>
          <w:lang w:val="en-US"/>
        </w:rPr>
        <w:t>Swoboda PP</w:t>
      </w:r>
      <w:r w:rsidRPr="00A30FAB">
        <w:rPr>
          <w:rFonts w:eastAsiaTheme="minorHAnsi" w:cs="Calibri"/>
          <w:color w:val="000000" w:themeColor="text1"/>
          <w:shd w:val="clear" w:color="auto" w:fill="FFFFFF"/>
          <w:lang w:val="en-US"/>
        </w:rPr>
        <w:t>, McDiarmid AK, Erhayiem B, Ripley DP, Dobson LE, Garg P, Musa TA, Witte KK, Kearney MT, Barth JH, Ajjan R, Greenwood JP, Plein S. Diabetes Mellitus, Microalbuminuria, and Subclinical Cardiac Disease: Identification and Monitoring of Individuals at Risk of Heart Failure. </w:t>
      </w:r>
      <w:r w:rsidRPr="00A30FAB">
        <w:rPr>
          <w:rFonts w:eastAsiaTheme="minorHAnsi" w:cs="Calibri"/>
          <w:i/>
          <w:iCs/>
          <w:color w:val="000000" w:themeColor="text1"/>
          <w:shd w:val="clear" w:color="auto" w:fill="FFFFFF"/>
          <w:lang w:val="en-US"/>
        </w:rPr>
        <w:t>J Am Heart Assoc</w:t>
      </w:r>
      <w:r w:rsidRPr="00A30FAB">
        <w:rPr>
          <w:rFonts w:eastAsiaTheme="minorHAnsi" w:cs="Calibri"/>
          <w:color w:val="000000" w:themeColor="text1"/>
          <w:shd w:val="clear" w:color="auto" w:fill="FFFFFF"/>
          <w:lang w:val="en-US"/>
        </w:rPr>
        <w:t> 2017; </w:t>
      </w:r>
      <w:r w:rsidRPr="00A30FAB">
        <w:rPr>
          <w:rFonts w:eastAsiaTheme="minorHAnsi" w:cs="Calibri"/>
          <w:b/>
          <w:bCs/>
          <w:color w:val="000000" w:themeColor="text1"/>
          <w:shd w:val="clear" w:color="auto" w:fill="FFFFFF"/>
          <w:lang w:val="en-US"/>
        </w:rPr>
        <w:t>6</w:t>
      </w:r>
      <w:r w:rsidRPr="00A30FAB">
        <w:rPr>
          <w:rFonts w:eastAsiaTheme="minorHAnsi" w:cs="Calibri"/>
          <w:color w:val="000000" w:themeColor="text1"/>
          <w:shd w:val="clear" w:color="auto" w:fill="FFFFFF"/>
          <w:lang w:val="en-US"/>
        </w:rPr>
        <w:t>: [PMID: 28716801 DOI: 10.1161/JAHA.117.005539]</w:t>
      </w:r>
    </w:p>
    <w:p w14:paraId="6C0BF5EC"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101 </w:t>
      </w:r>
      <w:r w:rsidRPr="00A30FAB">
        <w:rPr>
          <w:rFonts w:eastAsiaTheme="minorHAnsi" w:cs="Calibri"/>
          <w:b/>
          <w:bCs/>
          <w:color w:val="000000" w:themeColor="text1"/>
          <w:shd w:val="clear" w:color="auto" w:fill="FFFFFF"/>
          <w:lang w:val="en-US"/>
        </w:rPr>
        <w:t>Ng AC</w:t>
      </w:r>
      <w:r w:rsidRPr="00A30FAB">
        <w:rPr>
          <w:rFonts w:eastAsiaTheme="minorHAnsi" w:cs="Calibri"/>
          <w:color w:val="000000" w:themeColor="text1"/>
          <w:shd w:val="clear" w:color="auto" w:fill="FFFFFF"/>
          <w:lang w:val="en-US"/>
        </w:rPr>
        <w:t>, Delgado V, Bertini M, van der Meer RW, Rijzewijk LJ, Shanks M, Nucifora G, Smit JW, Diamant M, Romijn JA, de Roos A, Leung DY, Lamb HJ, Bax JJ. Findings from left ventricular strain and strain rate imaging in asymptomatic patients with type 2 diabetes mellitus. </w:t>
      </w:r>
      <w:r w:rsidRPr="00A30FAB">
        <w:rPr>
          <w:rFonts w:eastAsiaTheme="minorHAnsi" w:cs="Calibri"/>
          <w:i/>
          <w:iCs/>
          <w:color w:val="000000" w:themeColor="text1"/>
          <w:shd w:val="clear" w:color="auto" w:fill="FFFFFF"/>
          <w:lang w:val="en-US"/>
        </w:rPr>
        <w:t>Am J Cardiol</w:t>
      </w:r>
      <w:r w:rsidRPr="00A30FAB">
        <w:rPr>
          <w:rFonts w:eastAsiaTheme="minorHAnsi" w:cs="Calibri"/>
          <w:color w:val="000000" w:themeColor="text1"/>
          <w:shd w:val="clear" w:color="auto" w:fill="FFFFFF"/>
          <w:lang w:val="en-US"/>
        </w:rPr>
        <w:t> 2009; </w:t>
      </w:r>
      <w:r w:rsidRPr="00A30FAB">
        <w:rPr>
          <w:rFonts w:eastAsiaTheme="minorHAnsi" w:cs="Calibri"/>
          <w:b/>
          <w:bCs/>
          <w:color w:val="000000" w:themeColor="text1"/>
          <w:shd w:val="clear" w:color="auto" w:fill="FFFFFF"/>
          <w:lang w:val="en-US"/>
        </w:rPr>
        <w:t>104</w:t>
      </w:r>
      <w:r w:rsidRPr="00A30FAB">
        <w:rPr>
          <w:rFonts w:eastAsiaTheme="minorHAnsi" w:cs="Calibri"/>
          <w:color w:val="000000" w:themeColor="text1"/>
          <w:shd w:val="clear" w:color="auto" w:fill="FFFFFF"/>
          <w:lang w:val="en-US"/>
        </w:rPr>
        <w:t>: 1398-1401 [PMID: 19892057 DOI: 10.1016/j.amjcard.2009.06.063]</w:t>
      </w:r>
    </w:p>
    <w:p w14:paraId="21E6520D"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102 </w:t>
      </w:r>
      <w:r w:rsidRPr="00A30FAB">
        <w:rPr>
          <w:rFonts w:eastAsiaTheme="minorHAnsi" w:cs="Calibri"/>
          <w:b/>
          <w:bCs/>
          <w:color w:val="000000" w:themeColor="text1"/>
          <w:shd w:val="clear" w:color="auto" w:fill="FFFFFF"/>
          <w:lang w:val="en-US"/>
        </w:rPr>
        <w:t>Boyer JK</w:t>
      </w:r>
      <w:r w:rsidRPr="00A30FAB">
        <w:rPr>
          <w:rFonts w:eastAsiaTheme="minorHAnsi" w:cs="Calibri"/>
          <w:color w:val="000000" w:themeColor="text1"/>
          <w:shd w:val="clear" w:color="auto" w:fill="FFFFFF"/>
          <w:lang w:val="en-US"/>
        </w:rPr>
        <w:t>, Thanigaraj S, Schechtman KB, Pérez JE. Prevalence of ventricular diastolic dysfunction in asymptomatic, normotensive patients with diabetes mellitus. </w:t>
      </w:r>
      <w:r w:rsidRPr="00A30FAB">
        <w:rPr>
          <w:rFonts w:eastAsiaTheme="minorHAnsi" w:cs="Calibri"/>
          <w:i/>
          <w:iCs/>
          <w:color w:val="000000" w:themeColor="text1"/>
          <w:shd w:val="clear" w:color="auto" w:fill="FFFFFF"/>
          <w:lang w:val="en-US"/>
        </w:rPr>
        <w:t>Am J Cardiol</w:t>
      </w:r>
      <w:r w:rsidRPr="00A30FAB">
        <w:rPr>
          <w:rFonts w:eastAsiaTheme="minorHAnsi" w:cs="Calibri"/>
          <w:color w:val="000000" w:themeColor="text1"/>
          <w:shd w:val="clear" w:color="auto" w:fill="FFFFFF"/>
          <w:lang w:val="en-US"/>
        </w:rPr>
        <w:t> 2004; </w:t>
      </w:r>
      <w:r w:rsidRPr="00A30FAB">
        <w:rPr>
          <w:rFonts w:eastAsiaTheme="minorHAnsi" w:cs="Calibri"/>
          <w:b/>
          <w:bCs/>
          <w:color w:val="000000" w:themeColor="text1"/>
          <w:shd w:val="clear" w:color="auto" w:fill="FFFFFF"/>
          <w:lang w:val="en-US"/>
        </w:rPr>
        <w:t>93</w:t>
      </w:r>
      <w:r w:rsidRPr="00A30FAB">
        <w:rPr>
          <w:rFonts w:eastAsiaTheme="minorHAnsi" w:cs="Calibri"/>
          <w:color w:val="000000" w:themeColor="text1"/>
          <w:shd w:val="clear" w:color="auto" w:fill="FFFFFF"/>
          <w:lang w:val="en-US"/>
        </w:rPr>
        <w:t>: 870-875 [PMID: 15050491 DOI: 10.1016/j.amjcard.2003.12.026]</w:t>
      </w:r>
    </w:p>
    <w:p w14:paraId="1BE6852E"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103 </w:t>
      </w:r>
      <w:r w:rsidRPr="00A30FAB">
        <w:rPr>
          <w:rFonts w:eastAsiaTheme="minorHAnsi" w:cs="Calibri"/>
          <w:b/>
          <w:bCs/>
          <w:color w:val="000000" w:themeColor="text1"/>
          <w:shd w:val="clear" w:color="auto" w:fill="FFFFFF"/>
          <w:lang w:val="en-US"/>
        </w:rPr>
        <w:t>Zabalgoitia M</w:t>
      </w:r>
      <w:r w:rsidRPr="00A30FAB">
        <w:rPr>
          <w:rFonts w:eastAsiaTheme="minorHAnsi" w:cs="Calibri"/>
          <w:color w:val="000000" w:themeColor="text1"/>
          <w:shd w:val="clear" w:color="auto" w:fill="FFFFFF"/>
          <w:lang w:val="en-US"/>
        </w:rPr>
        <w:t>, Ismaeil MF, Anderson L, Maklady FA. Prevalence of diastolic dysfunction in normotensive, asymptomatic patients with well-controlled type 2 diabetes mellitus. </w:t>
      </w:r>
      <w:r w:rsidRPr="00A30FAB">
        <w:rPr>
          <w:rFonts w:eastAsiaTheme="minorHAnsi" w:cs="Calibri"/>
          <w:i/>
          <w:iCs/>
          <w:color w:val="000000" w:themeColor="text1"/>
          <w:shd w:val="clear" w:color="auto" w:fill="FFFFFF"/>
          <w:lang w:val="en-US"/>
        </w:rPr>
        <w:t>Am J Cardiol</w:t>
      </w:r>
      <w:r w:rsidRPr="00A30FAB">
        <w:rPr>
          <w:rFonts w:eastAsiaTheme="minorHAnsi" w:cs="Calibri"/>
          <w:color w:val="000000" w:themeColor="text1"/>
          <w:shd w:val="clear" w:color="auto" w:fill="FFFFFF"/>
          <w:lang w:val="en-US"/>
        </w:rPr>
        <w:t> 2001; </w:t>
      </w:r>
      <w:r w:rsidRPr="00A30FAB">
        <w:rPr>
          <w:rFonts w:eastAsiaTheme="minorHAnsi" w:cs="Calibri"/>
          <w:b/>
          <w:bCs/>
          <w:color w:val="000000" w:themeColor="text1"/>
          <w:shd w:val="clear" w:color="auto" w:fill="FFFFFF"/>
          <w:lang w:val="en-US"/>
        </w:rPr>
        <w:t>87</w:t>
      </w:r>
      <w:r w:rsidRPr="00A30FAB">
        <w:rPr>
          <w:rFonts w:eastAsiaTheme="minorHAnsi" w:cs="Calibri"/>
          <w:color w:val="000000" w:themeColor="text1"/>
          <w:shd w:val="clear" w:color="auto" w:fill="FFFFFF"/>
          <w:lang w:val="en-US"/>
        </w:rPr>
        <w:t>: 320-323 [PMID: 11165968 DOI: 10.1016/S0002-9149(00)01366-7]</w:t>
      </w:r>
    </w:p>
    <w:p w14:paraId="759001FC"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104 </w:t>
      </w:r>
      <w:r w:rsidRPr="00A30FAB">
        <w:rPr>
          <w:rFonts w:eastAsiaTheme="minorHAnsi" w:cs="Calibri"/>
          <w:b/>
          <w:bCs/>
          <w:color w:val="000000" w:themeColor="text1"/>
          <w:shd w:val="clear" w:color="auto" w:fill="FFFFFF"/>
          <w:lang w:val="en-US"/>
        </w:rPr>
        <w:t>Marwick TH</w:t>
      </w:r>
      <w:r w:rsidRPr="00A30FAB">
        <w:rPr>
          <w:rFonts w:eastAsiaTheme="minorHAnsi" w:cs="Calibri"/>
          <w:color w:val="000000" w:themeColor="text1"/>
          <w:shd w:val="clear" w:color="auto" w:fill="FFFFFF"/>
          <w:lang w:val="en-US"/>
        </w:rPr>
        <w:t>. Measurement of strain and strain rate by echocardiography: ready for prime time? </w:t>
      </w:r>
      <w:r w:rsidRPr="00A30FAB">
        <w:rPr>
          <w:rFonts w:eastAsiaTheme="minorHAnsi" w:cs="Calibri"/>
          <w:i/>
          <w:iCs/>
          <w:color w:val="000000" w:themeColor="text1"/>
          <w:shd w:val="clear" w:color="auto" w:fill="FFFFFF"/>
          <w:lang w:val="en-US"/>
        </w:rPr>
        <w:t>J Am Coll Cardiol</w:t>
      </w:r>
      <w:r w:rsidRPr="00A30FAB">
        <w:rPr>
          <w:rFonts w:eastAsiaTheme="minorHAnsi" w:cs="Calibri"/>
          <w:color w:val="000000" w:themeColor="text1"/>
          <w:shd w:val="clear" w:color="auto" w:fill="FFFFFF"/>
          <w:lang w:val="en-US"/>
        </w:rPr>
        <w:t> 2006; </w:t>
      </w:r>
      <w:r w:rsidRPr="00A30FAB">
        <w:rPr>
          <w:rFonts w:eastAsiaTheme="minorHAnsi" w:cs="Calibri"/>
          <w:b/>
          <w:bCs/>
          <w:color w:val="000000" w:themeColor="text1"/>
          <w:shd w:val="clear" w:color="auto" w:fill="FFFFFF"/>
          <w:lang w:val="en-US"/>
        </w:rPr>
        <w:t>47</w:t>
      </w:r>
      <w:r w:rsidRPr="00A30FAB">
        <w:rPr>
          <w:rFonts w:eastAsiaTheme="minorHAnsi" w:cs="Calibri"/>
          <w:color w:val="000000" w:themeColor="text1"/>
          <w:shd w:val="clear" w:color="auto" w:fill="FFFFFF"/>
          <w:lang w:val="en-US"/>
        </w:rPr>
        <w:t>: 1313-1327 [PMID: 16580516 DOI: 10.1016/j.jacc.2005.11.063]</w:t>
      </w:r>
    </w:p>
    <w:p w14:paraId="30A91D4E"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105 </w:t>
      </w:r>
      <w:r w:rsidRPr="00A30FAB">
        <w:rPr>
          <w:rFonts w:eastAsiaTheme="minorHAnsi" w:cs="Calibri"/>
          <w:b/>
          <w:bCs/>
          <w:color w:val="000000" w:themeColor="text1"/>
          <w:shd w:val="clear" w:color="auto" w:fill="FFFFFF"/>
          <w:lang w:val="en-US"/>
        </w:rPr>
        <w:t>Roos CJ</w:t>
      </w:r>
      <w:r w:rsidRPr="00A30FAB">
        <w:rPr>
          <w:rFonts w:eastAsiaTheme="minorHAnsi" w:cs="Calibri"/>
          <w:color w:val="000000" w:themeColor="text1"/>
          <w:shd w:val="clear" w:color="auto" w:fill="FFFFFF"/>
          <w:lang w:val="en-US"/>
        </w:rPr>
        <w:t>, Scholte AJ, Kharagjitsingh AV, Bax JJ, Delgado V. Changes in multidirectional LV strain in asymptomatic patients with type 2 diabetes mellitus: a 2-year follow-up study. </w:t>
      </w:r>
      <w:r w:rsidRPr="00A30FAB">
        <w:rPr>
          <w:rFonts w:eastAsiaTheme="minorHAnsi" w:cs="Calibri"/>
          <w:i/>
          <w:iCs/>
          <w:color w:val="000000" w:themeColor="text1"/>
          <w:shd w:val="clear" w:color="auto" w:fill="FFFFFF"/>
          <w:lang w:val="en-US"/>
        </w:rPr>
        <w:t>Eur Heart J Cardiovasc Imaging</w:t>
      </w:r>
      <w:r w:rsidRPr="00A30FAB">
        <w:rPr>
          <w:rFonts w:eastAsiaTheme="minorHAnsi" w:cs="Calibri"/>
          <w:color w:val="000000" w:themeColor="text1"/>
          <w:shd w:val="clear" w:color="auto" w:fill="FFFFFF"/>
          <w:lang w:val="en-US"/>
        </w:rPr>
        <w:t> 2014; </w:t>
      </w:r>
      <w:r w:rsidRPr="00A30FAB">
        <w:rPr>
          <w:rFonts w:eastAsiaTheme="minorHAnsi" w:cs="Calibri"/>
          <w:b/>
          <w:bCs/>
          <w:color w:val="000000" w:themeColor="text1"/>
          <w:shd w:val="clear" w:color="auto" w:fill="FFFFFF"/>
          <w:lang w:val="en-US"/>
        </w:rPr>
        <w:t>15</w:t>
      </w:r>
      <w:r w:rsidRPr="00A30FAB">
        <w:rPr>
          <w:rFonts w:eastAsiaTheme="minorHAnsi" w:cs="Calibri"/>
          <w:color w:val="000000" w:themeColor="text1"/>
          <w:shd w:val="clear" w:color="auto" w:fill="FFFFFF"/>
          <w:lang w:val="en-US"/>
        </w:rPr>
        <w:t>: 41-47 [PMID: 23793876 DOI: 10.1093/ehjci/jet075]</w:t>
      </w:r>
    </w:p>
    <w:p w14:paraId="62D5FD72"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106 </w:t>
      </w:r>
      <w:r w:rsidRPr="00A30FAB">
        <w:rPr>
          <w:rFonts w:eastAsiaTheme="minorHAnsi" w:cs="Calibri"/>
          <w:b/>
          <w:bCs/>
          <w:color w:val="000000" w:themeColor="text1"/>
          <w:shd w:val="clear" w:color="auto" w:fill="FFFFFF"/>
          <w:lang w:val="en-US"/>
        </w:rPr>
        <w:t>Karagöz E</w:t>
      </w:r>
      <w:r w:rsidRPr="00A30FAB">
        <w:rPr>
          <w:rFonts w:eastAsiaTheme="minorHAnsi" w:cs="Calibri"/>
          <w:color w:val="000000" w:themeColor="text1"/>
          <w:shd w:val="clear" w:color="auto" w:fill="FFFFFF"/>
          <w:lang w:val="en-US"/>
        </w:rPr>
        <w:t>, Tanoglu A, Ozalper V. Mean platelet volume: a novel diagnostic factor of systemic lupus erythematosus? </w:t>
      </w:r>
      <w:r w:rsidRPr="00A30FAB">
        <w:rPr>
          <w:rFonts w:eastAsiaTheme="minorHAnsi" w:cs="Calibri"/>
          <w:i/>
          <w:iCs/>
          <w:color w:val="000000" w:themeColor="text1"/>
          <w:shd w:val="clear" w:color="auto" w:fill="FFFFFF"/>
          <w:lang w:val="en-US"/>
        </w:rPr>
        <w:t>Clin Rheumatol</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34</w:t>
      </w:r>
      <w:r w:rsidRPr="00A30FAB">
        <w:rPr>
          <w:rFonts w:eastAsiaTheme="minorHAnsi" w:cs="Calibri"/>
          <w:color w:val="000000" w:themeColor="text1"/>
          <w:shd w:val="clear" w:color="auto" w:fill="FFFFFF"/>
          <w:lang w:val="en-US"/>
        </w:rPr>
        <w:t>: 1655-1656 [PMID: 24676605 DOI: 10.1007/s10067-014-2587-1]</w:t>
      </w:r>
    </w:p>
    <w:p w14:paraId="4668DC86"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107 </w:t>
      </w:r>
      <w:r w:rsidRPr="00A30FAB">
        <w:rPr>
          <w:rFonts w:eastAsiaTheme="minorHAnsi" w:cs="Calibri"/>
          <w:b/>
          <w:bCs/>
          <w:color w:val="000000" w:themeColor="text1"/>
          <w:shd w:val="clear" w:color="auto" w:fill="FFFFFF"/>
          <w:lang w:val="en-US"/>
        </w:rPr>
        <w:t>Ernande L</w:t>
      </w:r>
      <w:r w:rsidRPr="00A30FAB">
        <w:rPr>
          <w:rFonts w:eastAsiaTheme="minorHAnsi" w:cs="Calibri"/>
          <w:color w:val="000000" w:themeColor="text1"/>
          <w:shd w:val="clear" w:color="auto" w:fill="FFFFFF"/>
          <w:lang w:val="en-US"/>
        </w:rPr>
        <w:t>, Rietzschel ER, Bergerot C, De Buyzere ML, Schnell F, Groisne L, Ovize M, Croisille P, Moulin P, Gillebert TC, Derumeaux G. Impaired myocardial radial function in asymptomatic patients with type 2 diabetes mellitus: a speckle-tracking imaging study. </w:t>
      </w:r>
      <w:r w:rsidRPr="00A30FAB">
        <w:rPr>
          <w:rFonts w:eastAsiaTheme="minorHAnsi" w:cs="Calibri"/>
          <w:i/>
          <w:iCs/>
          <w:color w:val="000000" w:themeColor="text1"/>
          <w:shd w:val="clear" w:color="auto" w:fill="FFFFFF"/>
          <w:lang w:val="en-US"/>
        </w:rPr>
        <w:t>J Am Soc Echocardiogr</w:t>
      </w:r>
      <w:r w:rsidRPr="00A30FAB">
        <w:rPr>
          <w:rFonts w:eastAsiaTheme="minorHAnsi" w:cs="Calibri"/>
          <w:color w:val="000000" w:themeColor="text1"/>
          <w:shd w:val="clear" w:color="auto" w:fill="FFFFFF"/>
          <w:lang w:val="en-US"/>
        </w:rPr>
        <w:t> 2010; </w:t>
      </w:r>
      <w:r w:rsidRPr="00A30FAB">
        <w:rPr>
          <w:rFonts w:eastAsiaTheme="minorHAnsi" w:cs="Calibri"/>
          <w:b/>
          <w:bCs/>
          <w:color w:val="000000" w:themeColor="text1"/>
          <w:shd w:val="clear" w:color="auto" w:fill="FFFFFF"/>
          <w:lang w:val="en-US"/>
        </w:rPr>
        <w:t>23</w:t>
      </w:r>
      <w:r w:rsidRPr="00A30FAB">
        <w:rPr>
          <w:rFonts w:eastAsiaTheme="minorHAnsi" w:cs="Calibri"/>
          <w:color w:val="000000" w:themeColor="text1"/>
          <w:shd w:val="clear" w:color="auto" w:fill="FFFFFF"/>
          <w:lang w:val="en-US"/>
        </w:rPr>
        <w:t>: 1266-1272 [PMID: 20932716 DOI: 10.1016/j.echo.2010.09.007]</w:t>
      </w:r>
    </w:p>
    <w:p w14:paraId="3FE0DFEA"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108 </w:t>
      </w:r>
      <w:r w:rsidRPr="00A30FAB">
        <w:rPr>
          <w:rFonts w:eastAsiaTheme="minorHAnsi" w:cs="Calibri"/>
          <w:b/>
          <w:bCs/>
          <w:color w:val="000000" w:themeColor="text1"/>
          <w:shd w:val="clear" w:color="auto" w:fill="FFFFFF"/>
          <w:lang w:val="en-US"/>
        </w:rPr>
        <w:t>Liu JH</w:t>
      </w:r>
      <w:r w:rsidRPr="00A30FAB">
        <w:rPr>
          <w:rFonts w:eastAsiaTheme="minorHAnsi" w:cs="Calibri"/>
          <w:color w:val="000000" w:themeColor="text1"/>
          <w:shd w:val="clear" w:color="auto" w:fill="FFFFFF"/>
          <w:lang w:val="en-US"/>
        </w:rPr>
        <w:t>, Chen Y, Yuen M, Zhen Z, Chan CW, Lam KS, Tse HF, Yiu KH. Incremental prognostic value of global longitudinal strain in patients with type 2 diabetes mellitus. </w:t>
      </w:r>
      <w:r w:rsidRPr="00A30FAB">
        <w:rPr>
          <w:rFonts w:eastAsiaTheme="minorHAnsi" w:cs="Calibri"/>
          <w:i/>
          <w:iCs/>
          <w:color w:val="000000" w:themeColor="text1"/>
          <w:shd w:val="clear" w:color="auto" w:fill="FFFFFF"/>
          <w:lang w:val="en-US"/>
        </w:rPr>
        <w:t>Cardiovasc Diabetol</w:t>
      </w:r>
      <w:r w:rsidRPr="00A30FAB">
        <w:rPr>
          <w:rFonts w:eastAsiaTheme="minorHAnsi" w:cs="Calibri"/>
          <w:color w:val="000000" w:themeColor="text1"/>
          <w:shd w:val="clear" w:color="auto" w:fill="FFFFFF"/>
          <w:lang w:val="en-US"/>
        </w:rPr>
        <w:t> 2016; </w:t>
      </w:r>
      <w:r w:rsidRPr="00A30FAB">
        <w:rPr>
          <w:rFonts w:eastAsiaTheme="minorHAnsi" w:cs="Calibri"/>
          <w:b/>
          <w:bCs/>
          <w:color w:val="000000" w:themeColor="text1"/>
          <w:shd w:val="clear" w:color="auto" w:fill="FFFFFF"/>
          <w:lang w:val="en-US"/>
        </w:rPr>
        <w:t>15</w:t>
      </w:r>
      <w:r w:rsidRPr="00A30FAB">
        <w:rPr>
          <w:rFonts w:eastAsiaTheme="minorHAnsi" w:cs="Calibri"/>
          <w:color w:val="000000" w:themeColor="text1"/>
          <w:shd w:val="clear" w:color="auto" w:fill="FFFFFF"/>
          <w:lang w:val="en-US"/>
        </w:rPr>
        <w:t>: 22 [PMID: 26842466 DOI: 10.1186/s12933-016-0333-5]</w:t>
      </w:r>
    </w:p>
    <w:p w14:paraId="30FAE8AE"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109 </w:t>
      </w:r>
      <w:r w:rsidRPr="00A30FAB">
        <w:rPr>
          <w:rFonts w:eastAsiaTheme="minorHAnsi" w:cs="Calibri"/>
          <w:b/>
          <w:bCs/>
          <w:color w:val="000000" w:themeColor="text1"/>
          <w:shd w:val="clear" w:color="auto" w:fill="FFFFFF"/>
          <w:lang w:val="en-US"/>
        </w:rPr>
        <w:t>Jørgensen PG</w:t>
      </w:r>
      <w:r w:rsidRPr="00A30FAB">
        <w:rPr>
          <w:rFonts w:eastAsiaTheme="minorHAnsi" w:cs="Calibri"/>
          <w:color w:val="000000" w:themeColor="text1"/>
          <w:shd w:val="clear" w:color="auto" w:fill="FFFFFF"/>
          <w:lang w:val="en-US"/>
        </w:rPr>
        <w:t>, Biering-Sørensen T, Mogelvang R, Fritz-Hansen T, Vilsbøll T, Rossing P, Jensen MT. Predictive value of echocardiography in Type 2 diabetes. </w:t>
      </w:r>
      <w:r w:rsidRPr="00A30FAB">
        <w:rPr>
          <w:rFonts w:eastAsiaTheme="minorHAnsi" w:cs="Calibri"/>
          <w:i/>
          <w:iCs/>
          <w:color w:val="000000" w:themeColor="text1"/>
          <w:shd w:val="clear" w:color="auto" w:fill="FFFFFF"/>
          <w:lang w:val="en-US"/>
        </w:rPr>
        <w:t>Eur Heart J Cardiovasc Imaging</w:t>
      </w:r>
      <w:r w:rsidRPr="00A30FAB">
        <w:rPr>
          <w:rFonts w:eastAsiaTheme="minorHAnsi" w:cs="Calibri"/>
          <w:color w:val="000000" w:themeColor="text1"/>
          <w:shd w:val="clear" w:color="auto" w:fill="FFFFFF"/>
          <w:lang w:val="en-US"/>
        </w:rPr>
        <w:t> 2019; </w:t>
      </w:r>
      <w:r w:rsidRPr="00A30FAB">
        <w:rPr>
          <w:rFonts w:eastAsiaTheme="minorHAnsi" w:cs="Calibri"/>
          <w:b/>
          <w:bCs/>
          <w:color w:val="000000" w:themeColor="text1"/>
          <w:shd w:val="clear" w:color="auto" w:fill="FFFFFF"/>
          <w:lang w:val="en-US"/>
        </w:rPr>
        <w:t>20</w:t>
      </w:r>
      <w:r w:rsidRPr="00A30FAB">
        <w:rPr>
          <w:rFonts w:eastAsiaTheme="minorHAnsi" w:cs="Calibri"/>
          <w:color w:val="000000" w:themeColor="text1"/>
          <w:shd w:val="clear" w:color="auto" w:fill="FFFFFF"/>
          <w:lang w:val="en-US"/>
        </w:rPr>
        <w:t>: 687-693 [PMID: 30428010 DOI: 10.1093/ehjci/jey164]</w:t>
      </w:r>
    </w:p>
    <w:p w14:paraId="24BD186E"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110 </w:t>
      </w:r>
      <w:r w:rsidRPr="00A30FAB">
        <w:rPr>
          <w:rFonts w:eastAsiaTheme="minorHAnsi" w:cs="Calibri"/>
          <w:b/>
          <w:bCs/>
          <w:color w:val="000000" w:themeColor="text1"/>
          <w:shd w:val="clear" w:color="auto" w:fill="FFFFFF"/>
          <w:lang w:val="en-US"/>
        </w:rPr>
        <w:t>Asbun J</w:t>
      </w:r>
      <w:r w:rsidRPr="00A30FAB">
        <w:rPr>
          <w:rFonts w:eastAsiaTheme="minorHAnsi" w:cs="Calibri"/>
          <w:color w:val="000000" w:themeColor="text1"/>
          <w:shd w:val="clear" w:color="auto" w:fill="FFFFFF"/>
          <w:lang w:val="en-US"/>
        </w:rPr>
        <w:t>, Villarreal FJ. The pathogenesis of myocardial fibrosis in the setting of diabetic cardiomyopathy. </w:t>
      </w:r>
      <w:r w:rsidRPr="00A30FAB">
        <w:rPr>
          <w:rFonts w:eastAsiaTheme="minorHAnsi" w:cs="Calibri"/>
          <w:i/>
          <w:iCs/>
          <w:color w:val="000000" w:themeColor="text1"/>
          <w:shd w:val="clear" w:color="auto" w:fill="FFFFFF"/>
          <w:lang w:val="en-US"/>
        </w:rPr>
        <w:t>J Am Coll Cardiol</w:t>
      </w:r>
      <w:r w:rsidRPr="00A30FAB">
        <w:rPr>
          <w:rFonts w:eastAsiaTheme="minorHAnsi" w:cs="Calibri"/>
          <w:color w:val="000000" w:themeColor="text1"/>
          <w:shd w:val="clear" w:color="auto" w:fill="FFFFFF"/>
          <w:lang w:val="en-US"/>
        </w:rPr>
        <w:t> 2006; </w:t>
      </w:r>
      <w:r w:rsidRPr="00A30FAB">
        <w:rPr>
          <w:rFonts w:eastAsiaTheme="minorHAnsi" w:cs="Calibri"/>
          <w:b/>
          <w:bCs/>
          <w:color w:val="000000" w:themeColor="text1"/>
          <w:shd w:val="clear" w:color="auto" w:fill="FFFFFF"/>
          <w:lang w:val="en-US"/>
        </w:rPr>
        <w:t>47</w:t>
      </w:r>
      <w:r w:rsidRPr="00A30FAB">
        <w:rPr>
          <w:rFonts w:eastAsiaTheme="minorHAnsi" w:cs="Calibri"/>
          <w:color w:val="000000" w:themeColor="text1"/>
          <w:shd w:val="clear" w:color="auto" w:fill="FFFFFF"/>
          <w:lang w:val="en-US"/>
        </w:rPr>
        <w:t>: 693-700 [PMID: 16487830 DOI: 10.1016/j.jacc.2005.09.050]</w:t>
      </w:r>
    </w:p>
    <w:p w14:paraId="055EF6CD"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111 </w:t>
      </w:r>
      <w:r w:rsidRPr="00A30FAB">
        <w:rPr>
          <w:rFonts w:eastAsiaTheme="minorHAnsi" w:cs="Calibri"/>
          <w:b/>
          <w:bCs/>
          <w:color w:val="000000" w:themeColor="text1"/>
          <w:shd w:val="clear" w:color="auto" w:fill="FFFFFF"/>
          <w:lang w:val="en-US"/>
        </w:rPr>
        <w:t>Eguchi K</w:t>
      </w:r>
      <w:r w:rsidRPr="00A30FAB">
        <w:rPr>
          <w:rFonts w:eastAsiaTheme="minorHAnsi" w:cs="Calibri"/>
          <w:color w:val="000000" w:themeColor="text1"/>
          <w:shd w:val="clear" w:color="auto" w:fill="FFFFFF"/>
          <w:lang w:val="en-US"/>
        </w:rPr>
        <w:t>, Boden-Albala B, Jin Z, Rundek T, Sacco RL, Homma S, Di Tullio MR. Association between diabetes mellitus and left ventricular hypertrophy in a multiethnic population. </w:t>
      </w:r>
      <w:r w:rsidRPr="00A30FAB">
        <w:rPr>
          <w:rFonts w:eastAsiaTheme="minorHAnsi" w:cs="Calibri"/>
          <w:i/>
          <w:iCs/>
          <w:color w:val="000000" w:themeColor="text1"/>
          <w:shd w:val="clear" w:color="auto" w:fill="FFFFFF"/>
          <w:lang w:val="en-US"/>
        </w:rPr>
        <w:t>Am J Cardiol</w:t>
      </w:r>
      <w:r w:rsidRPr="00A30FAB">
        <w:rPr>
          <w:rFonts w:eastAsiaTheme="minorHAnsi" w:cs="Calibri"/>
          <w:color w:val="000000" w:themeColor="text1"/>
          <w:shd w:val="clear" w:color="auto" w:fill="FFFFFF"/>
          <w:lang w:val="en-US"/>
        </w:rPr>
        <w:t> 2008; </w:t>
      </w:r>
      <w:r w:rsidRPr="00A30FAB">
        <w:rPr>
          <w:rFonts w:eastAsiaTheme="minorHAnsi" w:cs="Calibri"/>
          <w:b/>
          <w:bCs/>
          <w:color w:val="000000" w:themeColor="text1"/>
          <w:shd w:val="clear" w:color="auto" w:fill="FFFFFF"/>
          <w:lang w:val="en-US"/>
        </w:rPr>
        <w:t>101</w:t>
      </w:r>
      <w:r w:rsidRPr="00A30FAB">
        <w:rPr>
          <w:rFonts w:eastAsiaTheme="minorHAnsi" w:cs="Calibri"/>
          <w:color w:val="000000" w:themeColor="text1"/>
          <w:shd w:val="clear" w:color="auto" w:fill="FFFFFF"/>
          <w:lang w:val="en-US"/>
        </w:rPr>
        <w:t>: 1787-1791 [PMID: 18549860 DOI: 10.1016/j.amjcard.2008.02.082]</w:t>
      </w:r>
    </w:p>
    <w:p w14:paraId="272ECAD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112 </w:t>
      </w:r>
      <w:r w:rsidRPr="00A30FAB">
        <w:rPr>
          <w:rFonts w:eastAsiaTheme="minorHAnsi" w:cs="Calibri"/>
          <w:b/>
          <w:bCs/>
          <w:color w:val="000000" w:themeColor="text1"/>
          <w:shd w:val="clear" w:color="auto" w:fill="FFFFFF"/>
          <w:lang w:val="en-US"/>
        </w:rPr>
        <w:t>Taskiran M</w:t>
      </w:r>
      <w:r w:rsidRPr="00A30FAB">
        <w:rPr>
          <w:rFonts w:eastAsiaTheme="minorHAnsi" w:cs="Calibri"/>
          <w:color w:val="000000" w:themeColor="text1"/>
          <w:shd w:val="clear" w:color="auto" w:fill="FFFFFF"/>
          <w:lang w:val="en-US"/>
        </w:rPr>
        <w:t>, Fritz-Hansen T, Rasmussen V, Larsson HB, Hilsted J. Decreased myocardial perfusion reserve in diabetic autonomic neuropathy. </w:t>
      </w:r>
      <w:r w:rsidRPr="00A30FAB">
        <w:rPr>
          <w:rFonts w:eastAsiaTheme="minorHAnsi" w:cs="Calibri"/>
          <w:i/>
          <w:iCs/>
          <w:color w:val="000000" w:themeColor="text1"/>
          <w:shd w:val="clear" w:color="auto" w:fill="FFFFFF"/>
          <w:lang w:val="en-US"/>
        </w:rPr>
        <w:t>Diabetes</w:t>
      </w:r>
      <w:r w:rsidRPr="00A30FAB">
        <w:rPr>
          <w:rFonts w:eastAsiaTheme="minorHAnsi" w:cs="Calibri"/>
          <w:color w:val="000000" w:themeColor="text1"/>
          <w:shd w:val="clear" w:color="auto" w:fill="FFFFFF"/>
          <w:lang w:val="en-US"/>
        </w:rPr>
        <w:t> 2002; </w:t>
      </w:r>
      <w:r w:rsidRPr="00A30FAB">
        <w:rPr>
          <w:rFonts w:eastAsiaTheme="minorHAnsi" w:cs="Calibri"/>
          <w:b/>
          <w:bCs/>
          <w:color w:val="000000" w:themeColor="text1"/>
          <w:shd w:val="clear" w:color="auto" w:fill="FFFFFF"/>
          <w:lang w:val="en-US"/>
        </w:rPr>
        <w:t>51</w:t>
      </w:r>
      <w:r w:rsidRPr="00A30FAB">
        <w:rPr>
          <w:rFonts w:eastAsiaTheme="minorHAnsi" w:cs="Calibri"/>
          <w:color w:val="000000" w:themeColor="text1"/>
          <w:shd w:val="clear" w:color="auto" w:fill="FFFFFF"/>
          <w:lang w:val="en-US"/>
        </w:rPr>
        <w:t>: 3306-3310 [PMID: 12401723 DOI: 10.2337/diabetes.51.11.3306]</w:t>
      </w:r>
    </w:p>
    <w:p w14:paraId="4928BF66"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113 </w:t>
      </w:r>
      <w:r w:rsidRPr="00A30FAB">
        <w:rPr>
          <w:rFonts w:eastAsiaTheme="minorHAnsi" w:cs="Calibri"/>
          <w:b/>
          <w:bCs/>
          <w:color w:val="000000" w:themeColor="text1"/>
          <w:shd w:val="clear" w:color="auto" w:fill="FFFFFF"/>
          <w:lang w:val="en-US"/>
        </w:rPr>
        <w:t>Sucato V</w:t>
      </w:r>
      <w:r w:rsidRPr="00A30FAB">
        <w:rPr>
          <w:rFonts w:eastAsiaTheme="minorHAnsi" w:cs="Calibri"/>
          <w:color w:val="000000" w:themeColor="text1"/>
          <w:shd w:val="clear" w:color="auto" w:fill="FFFFFF"/>
          <w:lang w:val="en-US"/>
        </w:rPr>
        <w:t>, Novo G, Evola S, Novo S. Coronary microvascular dysfunction in patients with diabetes, hypertension and metabolic syndrome. </w:t>
      </w:r>
      <w:r w:rsidRPr="00A30FAB">
        <w:rPr>
          <w:rFonts w:eastAsiaTheme="minorHAnsi" w:cs="Calibri"/>
          <w:i/>
          <w:iCs/>
          <w:color w:val="000000" w:themeColor="text1"/>
          <w:shd w:val="clear" w:color="auto" w:fill="FFFFFF"/>
          <w:lang w:val="en-US"/>
        </w:rPr>
        <w:t>Int J Cardiol</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186</w:t>
      </w:r>
      <w:r w:rsidRPr="00A30FAB">
        <w:rPr>
          <w:rFonts w:eastAsiaTheme="minorHAnsi" w:cs="Calibri"/>
          <w:color w:val="000000" w:themeColor="text1"/>
          <w:shd w:val="clear" w:color="auto" w:fill="FFFFFF"/>
          <w:lang w:val="en-US"/>
        </w:rPr>
        <w:t>: 96-97 [PMID: 25814352 DOI: 10.1016/j.ijcard.2015.03.213]</w:t>
      </w:r>
    </w:p>
    <w:p w14:paraId="3B437A5B"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114 </w:t>
      </w:r>
      <w:r w:rsidRPr="00A30FAB">
        <w:rPr>
          <w:rFonts w:eastAsiaTheme="minorHAnsi" w:cs="Calibri"/>
          <w:b/>
          <w:bCs/>
          <w:color w:val="000000" w:themeColor="text1"/>
          <w:shd w:val="clear" w:color="auto" w:fill="FFFFFF"/>
          <w:lang w:val="en-US"/>
        </w:rPr>
        <w:t>Murthy VL</w:t>
      </w:r>
      <w:r w:rsidRPr="00A30FAB">
        <w:rPr>
          <w:rFonts w:eastAsiaTheme="minorHAnsi" w:cs="Calibri"/>
          <w:color w:val="000000" w:themeColor="text1"/>
          <w:shd w:val="clear" w:color="auto" w:fill="FFFFFF"/>
          <w:lang w:val="en-US"/>
        </w:rPr>
        <w:t>, Naya M, Foster CR, Gaber M, Hainer J, Klein J, Dorbala S, Blankstein R, Di Carli MF. Association between coronary vascular dysfunction and cardiac mortality in patients with and without diabetes mellitus.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2012; </w:t>
      </w:r>
      <w:r w:rsidRPr="00A30FAB">
        <w:rPr>
          <w:rFonts w:eastAsiaTheme="minorHAnsi" w:cs="Calibri"/>
          <w:b/>
          <w:bCs/>
          <w:color w:val="000000" w:themeColor="text1"/>
          <w:shd w:val="clear" w:color="auto" w:fill="FFFFFF"/>
          <w:lang w:val="en-US"/>
        </w:rPr>
        <w:t>126</w:t>
      </w:r>
      <w:r w:rsidRPr="00A30FAB">
        <w:rPr>
          <w:rFonts w:eastAsiaTheme="minorHAnsi" w:cs="Calibri"/>
          <w:color w:val="000000" w:themeColor="text1"/>
          <w:shd w:val="clear" w:color="auto" w:fill="FFFFFF"/>
          <w:lang w:val="en-US"/>
        </w:rPr>
        <w:t>: 1858-1868 [PMID: 22919001 DOI: 10.1161/CIRCULATIONAHA.112.120402]</w:t>
      </w:r>
    </w:p>
    <w:p w14:paraId="26B9C7C8"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115 </w:t>
      </w:r>
      <w:r w:rsidRPr="00A30FAB">
        <w:rPr>
          <w:rFonts w:eastAsiaTheme="minorHAnsi" w:cs="Calibri"/>
          <w:b/>
          <w:bCs/>
          <w:color w:val="000000" w:themeColor="text1"/>
          <w:shd w:val="clear" w:color="auto" w:fill="FFFFFF"/>
          <w:lang w:val="en-US"/>
        </w:rPr>
        <w:t>Tesfamariam B</w:t>
      </w:r>
      <w:r w:rsidRPr="00A30FAB">
        <w:rPr>
          <w:rFonts w:eastAsiaTheme="minorHAnsi" w:cs="Calibri"/>
          <w:color w:val="000000" w:themeColor="text1"/>
          <w:shd w:val="clear" w:color="auto" w:fill="FFFFFF"/>
          <w:lang w:val="en-US"/>
        </w:rPr>
        <w:t>, Brown ML, Cohen RA. Elevated glucose impairs endothelium-dependent relaxation by activating protein kinase C. </w:t>
      </w:r>
      <w:r w:rsidRPr="00A30FAB">
        <w:rPr>
          <w:rFonts w:eastAsiaTheme="minorHAnsi" w:cs="Calibri"/>
          <w:i/>
          <w:iCs/>
          <w:color w:val="000000" w:themeColor="text1"/>
          <w:shd w:val="clear" w:color="auto" w:fill="FFFFFF"/>
          <w:lang w:val="en-US"/>
        </w:rPr>
        <w:t>J Clin Invest</w:t>
      </w:r>
      <w:r w:rsidRPr="00A30FAB">
        <w:rPr>
          <w:rFonts w:eastAsiaTheme="minorHAnsi" w:cs="Calibri"/>
          <w:color w:val="000000" w:themeColor="text1"/>
          <w:shd w:val="clear" w:color="auto" w:fill="FFFFFF"/>
          <w:lang w:val="en-US"/>
        </w:rPr>
        <w:t> 1991; </w:t>
      </w:r>
      <w:r w:rsidRPr="00A30FAB">
        <w:rPr>
          <w:rFonts w:eastAsiaTheme="minorHAnsi" w:cs="Calibri"/>
          <w:b/>
          <w:bCs/>
          <w:color w:val="000000" w:themeColor="text1"/>
          <w:shd w:val="clear" w:color="auto" w:fill="FFFFFF"/>
          <w:lang w:val="en-US"/>
        </w:rPr>
        <w:t>87</w:t>
      </w:r>
      <w:r w:rsidRPr="00A30FAB">
        <w:rPr>
          <w:rFonts w:eastAsiaTheme="minorHAnsi" w:cs="Calibri"/>
          <w:color w:val="000000" w:themeColor="text1"/>
          <w:shd w:val="clear" w:color="auto" w:fill="FFFFFF"/>
          <w:lang w:val="en-US"/>
        </w:rPr>
        <w:t>: 1643-1648 [PMID: 2022734 DOI: 10.1172/JCI115179]</w:t>
      </w:r>
    </w:p>
    <w:p w14:paraId="40320B83" w14:textId="166BB38F"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116 </w:t>
      </w:r>
      <w:r w:rsidRPr="00A30FAB">
        <w:rPr>
          <w:rFonts w:eastAsiaTheme="minorHAnsi" w:cs="Calibri"/>
          <w:b/>
          <w:bCs/>
          <w:color w:val="000000" w:themeColor="text1"/>
          <w:shd w:val="clear" w:color="auto" w:fill="FFFFFF"/>
          <w:lang w:val="en-US"/>
        </w:rPr>
        <w:t>Bratis K</w:t>
      </w:r>
      <w:r w:rsidRPr="002D5154">
        <w:rPr>
          <w:rFonts w:eastAsiaTheme="minorHAnsi" w:cs="Calibri"/>
          <w:color w:val="000000" w:themeColor="text1"/>
          <w:shd w:val="clear" w:color="auto" w:fill="FFFFFF"/>
          <w:lang w:val="en-US"/>
        </w:rPr>
        <w:t>,</w:t>
      </w:r>
      <w:r w:rsidRPr="00A30FAB">
        <w:rPr>
          <w:rFonts w:eastAsiaTheme="minorHAnsi" w:cs="Calibri"/>
          <w:color w:val="000000" w:themeColor="text1"/>
          <w:shd w:val="clear" w:color="auto" w:fill="FFFFFF"/>
          <w:lang w:val="en-US"/>
        </w:rPr>
        <w:t xml:space="preserve"> Child N, Terrovitis J, Nanas J, Felekos I, Aggeli C, Stefanadis C, Mastorakos G, Chiribiri A, Nagel E, Mavrogeni S. Coronary microvascular dysfunction in overt diabetic cardiomyopathy. </w:t>
      </w:r>
      <w:r w:rsidRPr="002D5154">
        <w:rPr>
          <w:rFonts w:eastAsiaTheme="minorHAnsi" w:cs="Calibri"/>
          <w:i/>
          <w:iCs/>
          <w:color w:val="000000" w:themeColor="text1"/>
          <w:shd w:val="clear" w:color="auto" w:fill="FFFFFF"/>
          <w:lang w:val="en-US"/>
        </w:rPr>
        <w:t xml:space="preserve">IJC Metabolic &amp; Endocrine </w:t>
      </w:r>
      <w:r w:rsidRPr="00A30FAB">
        <w:rPr>
          <w:rFonts w:eastAsiaTheme="minorHAnsi" w:cs="Calibri"/>
          <w:color w:val="000000" w:themeColor="text1"/>
          <w:shd w:val="clear" w:color="auto" w:fill="FFFFFF"/>
          <w:lang w:val="en-US"/>
        </w:rPr>
        <w:t xml:space="preserve">2014; </w:t>
      </w:r>
      <w:r w:rsidRPr="002D5154">
        <w:rPr>
          <w:rFonts w:eastAsiaTheme="minorHAnsi" w:cs="Calibri"/>
          <w:b/>
          <w:bCs/>
          <w:color w:val="000000" w:themeColor="text1"/>
          <w:shd w:val="clear" w:color="auto" w:fill="FFFFFF"/>
          <w:lang w:val="en-US"/>
        </w:rPr>
        <w:t>5</w:t>
      </w:r>
      <w:r w:rsidRPr="00A30FAB">
        <w:rPr>
          <w:rFonts w:eastAsiaTheme="minorHAnsi" w:cs="Calibri"/>
          <w:color w:val="000000" w:themeColor="text1"/>
          <w:shd w:val="clear" w:color="auto" w:fill="FFFFFF"/>
          <w:lang w:val="en-US"/>
        </w:rPr>
        <w:t xml:space="preserve">: 19-23 </w:t>
      </w:r>
      <w:r w:rsidR="002D5154">
        <w:rPr>
          <w:rFonts w:eastAsiaTheme="minorHAnsi" w:cs="Calibri"/>
          <w:color w:val="000000" w:themeColor="text1"/>
          <w:shd w:val="clear" w:color="auto" w:fill="FFFFFF"/>
          <w:lang w:val="en-US"/>
        </w:rPr>
        <w:t>[</w:t>
      </w:r>
      <w:r w:rsidRPr="00A30FAB">
        <w:rPr>
          <w:rFonts w:eastAsiaTheme="minorHAnsi" w:cs="Calibri"/>
          <w:color w:val="000000" w:themeColor="text1"/>
          <w:shd w:val="clear" w:color="auto" w:fill="FFFFFF"/>
          <w:lang w:val="en-US"/>
        </w:rPr>
        <w:t>DOI: 10.1016/j.ijcme.2014.08.007</w:t>
      </w:r>
      <w:r w:rsidR="002D5154">
        <w:rPr>
          <w:rFonts w:eastAsiaTheme="minorHAnsi" w:cs="Calibri"/>
          <w:color w:val="000000" w:themeColor="text1"/>
          <w:shd w:val="clear" w:color="auto" w:fill="FFFFFF"/>
          <w:lang w:val="en-US"/>
        </w:rPr>
        <w:t>]</w:t>
      </w:r>
    </w:p>
    <w:p w14:paraId="5AF081D8"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117 </w:t>
      </w:r>
      <w:r w:rsidRPr="00A30FAB">
        <w:rPr>
          <w:rFonts w:eastAsiaTheme="minorHAnsi" w:cs="Calibri"/>
          <w:b/>
          <w:bCs/>
          <w:color w:val="000000" w:themeColor="text1"/>
          <w:shd w:val="clear" w:color="auto" w:fill="FFFFFF"/>
          <w:lang w:val="en-US"/>
        </w:rPr>
        <w:t>Garg R</w:t>
      </w:r>
      <w:r w:rsidRPr="00A30FAB">
        <w:rPr>
          <w:rFonts w:eastAsiaTheme="minorHAnsi" w:cs="Calibri"/>
          <w:color w:val="000000" w:themeColor="text1"/>
          <w:shd w:val="clear" w:color="auto" w:fill="FFFFFF"/>
          <w:lang w:val="en-US"/>
        </w:rPr>
        <w:t>, Rao AD, Baimas-George M, Hurwitz S, Foster C, Shah RV, Jerosch-Herold M, Kwong RY, Di Carli MF, Adler GK. Mineralocorticoid receptor blockade improves coronary microvascular function in individuals with type 2 diabetes. </w:t>
      </w:r>
      <w:r w:rsidRPr="00A30FAB">
        <w:rPr>
          <w:rFonts w:eastAsiaTheme="minorHAnsi" w:cs="Calibri"/>
          <w:i/>
          <w:iCs/>
          <w:color w:val="000000" w:themeColor="text1"/>
          <w:shd w:val="clear" w:color="auto" w:fill="FFFFFF"/>
          <w:lang w:val="en-US"/>
        </w:rPr>
        <w:t>Diabetes</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64</w:t>
      </w:r>
      <w:r w:rsidRPr="00A30FAB">
        <w:rPr>
          <w:rFonts w:eastAsiaTheme="minorHAnsi" w:cs="Calibri"/>
          <w:color w:val="000000" w:themeColor="text1"/>
          <w:shd w:val="clear" w:color="auto" w:fill="FFFFFF"/>
          <w:lang w:val="en-US"/>
        </w:rPr>
        <w:t>: 236-242 [PMID: 25125488 DOI: 10.2337/db14-0670]</w:t>
      </w:r>
    </w:p>
    <w:p w14:paraId="57B232D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118 </w:t>
      </w:r>
      <w:r w:rsidRPr="00A30FAB">
        <w:rPr>
          <w:rFonts w:eastAsiaTheme="minorHAnsi" w:cs="Calibri"/>
          <w:b/>
          <w:bCs/>
          <w:color w:val="000000" w:themeColor="text1"/>
          <w:shd w:val="clear" w:color="auto" w:fill="FFFFFF"/>
          <w:lang w:val="en-US"/>
        </w:rPr>
        <w:t>Rubinshtein R</w:t>
      </w:r>
      <w:r w:rsidRPr="00A30FAB">
        <w:rPr>
          <w:rFonts w:eastAsiaTheme="minorHAnsi" w:cs="Calibri"/>
          <w:color w:val="000000" w:themeColor="text1"/>
          <w:shd w:val="clear" w:color="auto" w:fill="FFFFFF"/>
          <w:lang w:val="en-US"/>
        </w:rPr>
        <w:t>, Yang EH, Rihal CS, Prasad A, Lennon RJ, Best PJ, Lerman LO, Lerman A. Coronary microcirculatory vasodilator function in relation to risk factors among patients without obstructive coronary disease and low to intermediate Framingham score. </w:t>
      </w:r>
      <w:r w:rsidRPr="00A30FAB">
        <w:rPr>
          <w:rFonts w:eastAsiaTheme="minorHAnsi" w:cs="Calibri"/>
          <w:i/>
          <w:iCs/>
          <w:color w:val="000000" w:themeColor="text1"/>
          <w:shd w:val="clear" w:color="auto" w:fill="FFFFFF"/>
          <w:lang w:val="en-US"/>
        </w:rPr>
        <w:t>Eur Heart J</w:t>
      </w:r>
      <w:r w:rsidRPr="00A30FAB">
        <w:rPr>
          <w:rFonts w:eastAsiaTheme="minorHAnsi" w:cs="Calibri"/>
          <w:color w:val="000000" w:themeColor="text1"/>
          <w:shd w:val="clear" w:color="auto" w:fill="FFFFFF"/>
          <w:lang w:val="en-US"/>
        </w:rPr>
        <w:t> 2010; </w:t>
      </w:r>
      <w:r w:rsidRPr="00A30FAB">
        <w:rPr>
          <w:rFonts w:eastAsiaTheme="minorHAnsi" w:cs="Calibri"/>
          <w:b/>
          <w:bCs/>
          <w:color w:val="000000" w:themeColor="text1"/>
          <w:shd w:val="clear" w:color="auto" w:fill="FFFFFF"/>
          <w:lang w:val="en-US"/>
        </w:rPr>
        <w:t>31</w:t>
      </w:r>
      <w:r w:rsidRPr="00A30FAB">
        <w:rPr>
          <w:rFonts w:eastAsiaTheme="minorHAnsi" w:cs="Calibri"/>
          <w:color w:val="000000" w:themeColor="text1"/>
          <w:shd w:val="clear" w:color="auto" w:fill="FFFFFF"/>
          <w:lang w:val="en-US"/>
        </w:rPr>
        <w:t>: 936-942 [PMID: 19897496 DOI: 10.1093/eurheartj/ehp459]</w:t>
      </w:r>
    </w:p>
    <w:p w14:paraId="6A54D66A"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119 </w:t>
      </w:r>
      <w:r w:rsidRPr="00A30FAB">
        <w:rPr>
          <w:rFonts w:eastAsiaTheme="minorHAnsi" w:cs="Calibri"/>
          <w:b/>
          <w:bCs/>
          <w:color w:val="000000" w:themeColor="text1"/>
          <w:shd w:val="clear" w:color="auto" w:fill="FFFFFF"/>
          <w:lang w:val="en-US"/>
        </w:rPr>
        <w:t>Korosoglou G</w:t>
      </w:r>
      <w:r w:rsidRPr="00A30FAB">
        <w:rPr>
          <w:rFonts w:eastAsiaTheme="minorHAnsi" w:cs="Calibri"/>
          <w:color w:val="000000" w:themeColor="text1"/>
          <w:shd w:val="clear" w:color="auto" w:fill="FFFFFF"/>
          <w:lang w:val="en-US"/>
        </w:rPr>
        <w:t>, Humpert PM, Ahrens J, Oikonomou D, Osman NF, Gitsioudis G, Buss SJ, Steen H, Schnackenburg B, Bierhaus A, Nawroth PP, Katus HA. Left ventricular diastolic function in type 2 diabetes mellitus is associated with myocardial triglyceride content but not with impaired myocardial perfusion reserve. </w:t>
      </w:r>
      <w:r w:rsidRPr="00A30FAB">
        <w:rPr>
          <w:rFonts w:eastAsiaTheme="minorHAnsi" w:cs="Calibri"/>
          <w:i/>
          <w:iCs/>
          <w:color w:val="000000" w:themeColor="text1"/>
          <w:shd w:val="clear" w:color="auto" w:fill="FFFFFF"/>
          <w:lang w:val="en-US"/>
        </w:rPr>
        <w:t>J Magn Reson Imaging</w:t>
      </w:r>
      <w:r w:rsidRPr="00A30FAB">
        <w:rPr>
          <w:rFonts w:eastAsiaTheme="minorHAnsi" w:cs="Calibri"/>
          <w:color w:val="000000" w:themeColor="text1"/>
          <w:shd w:val="clear" w:color="auto" w:fill="FFFFFF"/>
          <w:lang w:val="en-US"/>
        </w:rPr>
        <w:t>2012; </w:t>
      </w:r>
      <w:r w:rsidRPr="00A30FAB">
        <w:rPr>
          <w:rFonts w:eastAsiaTheme="minorHAnsi" w:cs="Calibri"/>
          <w:b/>
          <w:bCs/>
          <w:color w:val="000000" w:themeColor="text1"/>
          <w:shd w:val="clear" w:color="auto" w:fill="FFFFFF"/>
          <w:lang w:val="en-US"/>
        </w:rPr>
        <w:t>35</w:t>
      </w:r>
      <w:r w:rsidRPr="00A30FAB">
        <w:rPr>
          <w:rFonts w:eastAsiaTheme="minorHAnsi" w:cs="Calibri"/>
          <w:color w:val="000000" w:themeColor="text1"/>
          <w:shd w:val="clear" w:color="auto" w:fill="FFFFFF"/>
          <w:lang w:val="en-US"/>
        </w:rPr>
        <w:t>: 804-811 [PMID: 22068959 DOI: 10.1002/jmri.22879]</w:t>
      </w:r>
    </w:p>
    <w:p w14:paraId="53B293D2"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120 </w:t>
      </w:r>
      <w:r w:rsidRPr="00A30FAB">
        <w:rPr>
          <w:rFonts w:eastAsiaTheme="minorHAnsi" w:cs="Calibri"/>
          <w:b/>
          <w:bCs/>
          <w:color w:val="000000" w:themeColor="text1"/>
          <w:shd w:val="clear" w:color="auto" w:fill="FFFFFF"/>
          <w:lang w:val="en-US"/>
        </w:rPr>
        <w:t>Dorbala S</w:t>
      </w:r>
      <w:r w:rsidRPr="00A30FAB">
        <w:rPr>
          <w:rFonts w:eastAsiaTheme="minorHAnsi" w:cs="Calibri"/>
          <w:color w:val="000000" w:themeColor="text1"/>
          <w:shd w:val="clear" w:color="auto" w:fill="FFFFFF"/>
          <w:lang w:val="en-US"/>
        </w:rPr>
        <w:t>, Murthy VL. Coronary artery calcification and vascular function. </w:t>
      </w:r>
      <w:r w:rsidRPr="00A30FAB">
        <w:rPr>
          <w:rFonts w:eastAsiaTheme="minorHAnsi" w:cs="Calibri"/>
          <w:i/>
          <w:iCs/>
          <w:color w:val="000000" w:themeColor="text1"/>
          <w:shd w:val="clear" w:color="auto" w:fill="FFFFFF"/>
          <w:lang w:val="en-US"/>
        </w:rPr>
        <w:t>J Nucl Cardiol</w:t>
      </w:r>
      <w:r w:rsidRPr="00A30FAB">
        <w:rPr>
          <w:rFonts w:eastAsiaTheme="minorHAnsi" w:cs="Calibri"/>
          <w:color w:val="000000" w:themeColor="text1"/>
          <w:shd w:val="clear" w:color="auto" w:fill="FFFFFF"/>
          <w:lang w:val="en-US"/>
        </w:rPr>
        <w:t> 2012; </w:t>
      </w:r>
      <w:r w:rsidRPr="00A30FAB">
        <w:rPr>
          <w:rFonts w:eastAsiaTheme="minorHAnsi" w:cs="Calibri"/>
          <w:b/>
          <w:bCs/>
          <w:color w:val="000000" w:themeColor="text1"/>
          <w:shd w:val="clear" w:color="auto" w:fill="FFFFFF"/>
          <w:lang w:val="en-US"/>
        </w:rPr>
        <w:t>19</w:t>
      </w:r>
      <w:r w:rsidRPr="00A30FAB">
        <w:rPr>
          <w:rFonts w:eastAsiaTheme="minorHAnsi" w:cs="Calibri"/>
          <w:color w:val="000000" w:themeColor="text1"/>
          <w:shd w:val="clear" w:color="auto" w:fill="FFFFFF"/>
          <w:lang w:val="en-US"/>
        </w:rPr>
        <w:t>: 227-229 [PMID: 22290310 DOI: 10.1007/s12350-011-9503-8]</w:t>
      </w:r>
    </w:p>
    <w:p w14:paraId="04DDCE0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121 </w:t>
      </w:r>
      <w:r w:rsidRPr="00A30FAB">
        <w:rPr>
          <w:rFonts w:eastAsiaTheme="minorHAnsi" w:cs="Calibri"/>
          <w:b/>
          <w:bCs/>
          <w:color w:val="000000" w:themeColor="text1"/>
          <w:shd w:val="clear" w:color="auto" w:fill="FFFFFF"/>
          <w:lang w:val="en-US"/>
        </w:rPr>
        <w:t>Packer M</w:t>
      </w:r>
      <w:r w:rsidRPr="00A30FAB">
        <w:rPr>
          <w:rFonts w:eastAsiaTheme="minorHAnsi" w:cs="Calibri"/>
          <w:color w:val="000000" w:themeColor="text1"/>
          <w:shd w:val="clear" w:color="auto" w:fill="FFFFFF"/>
          <w:lang w:val="en-US"/>
        </w:rPr>
        <w:t>, Poole-Wilson PA, Armstrong PW, Cleland JG, Horowitz JD, Massie BM, Rydén L, Thygesen K, Uretsky BF. Comparative effects of low and high doses of the angiotensin-converting enzyme inhibitor, lisinopril, on morbidity and mortality in chronic heart failure. ATLAS Study Group.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1999; </w:t>
      </w:r>
      <w:r w:rsidRPr="00A30FAB">
        <w:rPr>
          <w:rFonts w:eastAsiaTheme="minorHAnsi" w:cs="Calibri"/>
          <w:b/>
          <w:bCs/>
          <w:color w:val="000000" w:themeColor="text1"/>
          <w:shd w:val="clear" w:color="auto" w:fill="FFFFFF"/>
          <w:lang w:val="en-US"/>
        </w:rPr>
        <w:t>100</w:t>
      </w:r>
      <w:r w:rsidRPr="00A30FAB">
        <w:rPr>
          <w:rFonts w:eastAsiaTheme="minorHAnsi" w:cs="Calibri"/>
          <w:color w:val="000000" w:themeColor="text1"/>
          <w:shd w:val="clear" w:color="auto" w:fill="FFFFFF"/>
          <w:lang w:val="en-US"/>
        </w:rPr>
        <w:t>: 2312-2318 [PMID: 10587334 DOI: 10.1161/01.CIR.100.23.2312]</w:t>
      </w:r>
    </w:p>
    <w:p w14:paraId="4C35F49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122 </w:t>
      </w:r>
      <w:r w:rsidRPr="00A30FAB">
        <w:rPr>
          <w:rFonts w:eastAsiaTheme="minorHAnsi" w:cs="Calibri"/>
          <w:b/>
          <w:bCs/>
          <w:color w:val="000000" w:themeColor="text1"/>
          <w:shd w:val="clear" w:color="auto" w:fill="FFFFFF"/>
          <w:lang w:val="en-US"/>
        </w:rPr>
        <w:t>Rydén L</w:t>
      </w:r>
      <w:r w:rsidRPr="00A30FAB">
        <w:rPr>
          <w:rFonts w:eastAsiaTheme="minorHAnsi" w:cs="Calibri"/>
          <w:color w:val="000000" w:themeColor="text1"/>
          <w:shd w:val="clear" w:color="auto" w:fill="FFFFFF"/>
          <w:lang w:val="en-US"/>
        </w:rPr>
        <w:t>, Armstrong PW, Cleland JG, Horowitz JD, Massie BM, Packer M, Poole-Wilson PA. Efficacy and safety of high-dose lisinopril in chronic heart failure patients at high cardiovascular risk, including those with diabetes mellitus. Results from the ATLAS trial. </w:t>
      </w:r>
      <w:r w:rsidRPr="00A30FAB">
        <w:rPr>
          <w:rFonts w:eastAsiaTheme="minorHAnsi" w:cs="Calibri"/>
          <w:i/>
          <w:iCs/>
          <w:color w:val="000000" w:themeColor="text1"/>
          <w:shd w:val="clear" w:color="auto" w:fill="FFFFFF"/>
          <w:lang w:val="en-US"/>
        </w:rPr>
        <w:t>Eur Heart J</w:t>
      </w:r>
      <w:r w:rsidRPr="00A30FAB">
        <w:rPr>
          <w:rFonts w:eastAsiaTheme="minorHAnsi" w:cs="Calibri"/>
          <w:color w:val="000000" w:themeColor="text1"/>
          <w:shd w:val="clear" w:color="auto" w:fill="FFFFFF"/>
          <w:lang w:val="en-US"/>
        </w:rPr>
        <w:t> 2000; </w:t>
      </w:r>
      <w:r w:rsidRPr="00A30FAB">
        <w:rPr>
          <w:rFonts w:eastAsiaTheme="minorHAnsi" w:cs="Calibri"/>
          <w:b/>
          <w:bCs/>
          <w:color w:val="000000" w:themeColor="text1"/>
          <w:shd w:val="clear" w:color="auto" w:fill="FFFFFF"/>
          <w:lang w:val="en-US"/>
        </w:rPr>
        <w:t>21</w:t>
      </w:r>
      <w:r w:rsidRPr="00A30FAB">
        <w:rPr>
          <w:rFonts w:eastAsiaTheme="minorHAnsi" w:cs="Calibri"/>
          <w:color w:val="000000" w:themeColor="text1"/>
          <w:shd w:val="clear" w:color="auto" w:fill="FFFFFF"/>
          <w:lang w:val="en-US"/>
        </w:rPr>
        <w:t>: 1967-1978 [PMID: 11071803 DOI: 10.1053/euhj.2000.2311]</w:t>
      </w:r>
    </w:p>
    <w:p w14:paraId="4CF4AC47"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123 </w:t>
      </w:r>
      <w:r w:rsidRPr="00A30FAB">
        <w:rPr>
          <w:rFonts w:eastAsiaTheme="minorHAnsi" w:cs="Calibri"/>
          <w:b/>
          <w:bCs/>
          <w:color w:val="000000" w:themeColor="text1"/>
          <w:shd w:val="clear" w:color="auto" w:fill="FFFFFF"/>
          <w:lang w:val="en-US"/>
        </w:rPr>
        <w:t>MacDonald MR</w:t>
      </w:r>
      <w:r w:rsidRPr="00A30FAB">
        <w:rPr>
          <w:rFonts w:eastAsiaTheme="minorHAnsi" w:cs="Calibri"/>
          <w:color w:val="000000" w:themeColor="text1"/>
          <w:shd w:val="clear" w:color="auto" w:fill="FFFFFF"/>
          <w:lang w:val="en-US"/>
        </w:rPr>
        <w:t>, Petrie MC, Varyani F, Ostergren J, Michelson EL, Young JB, Solomon SD, Granger CB, Swedberg K, Yusuf S, Pfeffer MA, McMurray JJ; CHARM Investigators. Impact of diabetes on outcomes in patients with low and preserved ejection fraction heart failure: an analysis of the Candesartan in Heart failure: Assessment of Reduction in Mortality and morbidity (CHARM) programme. </w:t>
      </w:r>
      <w:r w:rsidRPr="00A30FAB">
        <w:rPr>
          <w:rFonts w:eastAsiaTheme="minorHAnsi" w:cs="Calibri"/>
          <w:i/>
          <w:iCs/>
          <w:color w:val="000000" w:themeColor="text1"/>
          <w:shd w:val="clear" w:color="auto" w:fill="FFFFFF"/>
          <w:lang w:val="en-US"/>
        </w:rPr>
        <w:t>Eur Heart J</w:t>
      </w:r>
      <w:r w:rsidRPr="00A30FAB">
        <w:rPr>
          <w:rFonts w:eastAsiaTheme="minorHAnsi" w:cs="Calibri"/>
          <w:color w:val="000000" w:themeColor="text1"/>
          <w:shd w:val="clear" w:color="auto" w:fill="FFFFFF"/>
          <w:lang w:val="en-US"/>
        </w:rPr>
        <w:t> 2008; </w:t>
      </w:r>
      <w:r w:rsidRPr="00A30FAB">
        <w:rPr>
          <w:rFonts w:eastAsiaTheme="minorHAnsi" w:cs="Calibri"/>
          <w:b/>
          <w:bCs/>
          <w:color w:val="000000" w:themeColor="text1"/>
          <w:shd w:val="clear" w:color="auto" w:fill="FFFFFF"/>
          <w:lang w:val="en-US"/>
        </w:rPr>
        <w:t>29</w:t>
      </w:r>
      <w:r w:rsidRPr="00A30FAB">
        <w:rPr>
          <w:rFonts w:eastAsiaTheme="minorHAnsi" w:cs="Calibri"/>
          <w:color w:val="000000" w:themeColor="text1"/>
          <w:shd w:val="clear" w:color="auto" w:fill="FFFFFF"/>
          <w:lang w:val="en-US"/>
        </w:rPr>
        <w:t>: 1377-1385 [PMID: 18413309 DOI: 10.1093/eurheartj/ehn153]</w:t>
      </w:r>
    </w:p>
    <w:p w14:paraId="618209D1" w14:textId="37A3DEDC"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124 </w:t>
      </w:r>
      <w:r w:rsidRPr="00A30FAB">
        <w:rPr>
          <w:rFonts w:eastAsiaTheme="minorHAnsi" w:cs="Calibri"/>
          <w:b/>
          <w:bCs/>
          <w:color w:val="000000" w:themeColor="text1"/>
          <w:shd w:val="clear" w:color="auto" w:fill="FFFFFF"/>
          <w:lang w:val="en-US"/>
        </w:rPr>
        <w:t>Konstam MA</w:t>
      </w:r>
      <w:r w:rsidRPr="002D5154">
        <w:rPr>
          <w:rFonts w:eastAsiaTheme="minorHAnsi" w:cs="Calibri"/>
          <w:color w:val="000000" w:themeColor="text1"/>
          <w:shd w:val="clear" w:color="auto" w:fill="FFFFFF"/>
          <w:lang w:val="en-US"/>
        </w:rPr>
        <w:t>,</w:t>
      </w:r>
      <w:r w:rsidRPr="00A30FAB">
        <w:rPr>
          <w:rFonts w:eastAsiaTheme="minorHAnsi" w:cs="Calibri"/>
          <w:color w:val="000000" w:themeColor="text1"/>
          <w:shd w:val="clear" w:color="auto" w:fill="FFFFFF"/>
          <w:lang w:val="en-US"/>
        </w:rPr>
        <w:t xml:space="preserve"> Neaton JD, Dickstein K. Effects of high-dose vs low-dose losartan on clinical outcomes in patients with heart failure (HEAAL study): a randomised, double-blind trial. </w:t>
      </w:r>
      <w:r w:rsidRPr="002D5154">
        <w:rPr>
          <w:rFonts w:eastAsiaTheme="minorHAnsi" w:cs="Calibri"/>
          <w:i/>
          <w:iCs/>
          <w:color w:val="000000" w:themeColor="text1"/>
          <w:shd w:val="clear" w:color="auto" w:fill="FFFFFF"/>
          <w:lang w:val="en-US"/>
        </w:rPr>
        <w:t xml:space="preserve">Lancet </w:t>
      </w:r>
      <w:r w:rsidRPr="00A30FAB">
        <w:rPr>
          <w:rFonts w:eastAsiaTheme="minorHAnsi" w:cs="Calibri"/>
          <w:color w:val="000000" w:themeColor="text1"/>
          <w:shd w:val="clear" w:color="auto" w:fill="FFFFFF"/>
          <w:lang w:val="en-US"/>
        </w:rPr>
        <w:t xml:space="preserve">2009; </w:t>
      </w:r>
      <w:r w:rsidRPr="002D5154">
        <w:rPr>
          <w:rFonts w:eastAsiaTheme="minorHAnsi" w:cs="Calibri"/>
          <w:b/>
          <w:bCs/>
          <w:color w:val="000000" w:themeColor="text1"/>
          <w:shd w:val="clear" w:color="auto" w:fill="FFFFFF"/>
          <w:lang w:val="en-US"/>
        </w:rPr>
        <w:t>374</w:t>
      </w:r>
      <w:r w:rsidRPr="00A30FAB">
        <w:rPr>
          <w:rFonts w:eastAsiaTheme="minorHAnsi" w:cs="Calibri"/>
          <w:color w:val="000000" w:themeColor="text1"/>
          <w:shd w:val="clear" w:color="auto" w:fill="FFFFFF"/>
          <w:lang w:val="en-US"/>
        </w:rPr>
        <w:t xml:space="preserve">: 1888-1888 </w:t>
      </w:r>
      <w:r w:rsidR="002D5154">
        <w:rPr>
          <w:rFonts w:eastAsiaTheme="minorHAnsi" w:cs="Calibri"/>
          <w:color w:val="000000" w:themeColor="text1"/>
          <w:shd w:val="clear" w:color="auto" w:fill="FFFFFF"/>
          <w:lang w:val="en-US"/>
        </w:rPr>
        <w:t>[</w:t>
      </w:r>
      <w:r w:rsidRPr="00A30FAB">
        <w:rPr>
          <w:rFonts w:eastAsiaTheme="minorHAnsi" w:cs="Calibri"/>
          <w:color w:val="000000" w:themeColor="text1"/>
          <w:shd w:val="clear" w:color="auto" w:fill="FFFFFF"/>
          <w:lang w:val="en-US"/>
        </w:rPr>
        <w:t>DOI: 10.1016/S0140-6736(09)61913-9</w:t>
      </w:r>
      <w:r w:rsidR="002D5154">
        <w:rPr>
          <w:rFonts w:eastAsiaTheme="minorHAnsi" w:cs="Calibri"/>
          <w:color w:val="000000" w:themeColor="text1"/>
          <w:shd w:val="clear" w:color="auto" w:fill="FFFFFF"/>
          <w:lang w:val="en-US"/>
        </w:rPr>
        <w:t>]</w:t>
      </w:r>
    </w:p>
    <w:p w14:paraId="54BF7197"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125 </w:t>
      </w:r>
      <w:r w:rsidRPr="00A30FAB">
        <w:rPr>
          <w:rFonts w:eastAsiaTheme="minorHAnsi" w:cs="Calibri"/>
          <w:b/>
          <w:bCs/>
          <w:color w:val="000000" w:themeColor="text1"/>
          <w:shd w:val="clear" w:color="auto" w:fill="FFFFFF"/>
          <w:lang w:val="en-US"/>
        </w:rPr>
        <w:t>Pitt B</w:t>
      </w:r>
      <w:r w:rsidRPr="00A30FAB">
        <w:rPr>
          <w:rFonts w:eastAsiaTheme="minorHAnsi" w:cs="Calibri"/>
          <w:color w:val="000000" w:themeColor="text1"/>
          <w:shd w:val="clear" w:color="auto" w:fill="FFFFFF"/>
          <w:lang w:val="en-US"/>
        </w:rPr>
        <w:t>, Zannad F, Remme WJ, Cody R, Castaigne A, Perez A, Palensky J, Wittes J. The effect of spironolactone on morbidity and mortality in patients with severe heart failure. Randomized Aldactone Evaluation Study Investigators.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1999; </w:t>
      </w:r>
      <w:r w:rsidRPr="00A30FAB">
        <w:rPr>
          <w:rFonts w:eastAsiaTheme="minorHAnsi" w:cs="Calibri"/>
          <w:b/>
          <w:bCs/>
          <w:color w:val="000000" w:themeColor="text1"/>
          <w:shd w:val="clear" w:color="auto" w:fill="FFFFFF"/>
          <w:lang w:val="en-US"/>
        </w:rPr>
        <w:t>341</w:t>
      </w:r>
      <w:r w:rsidRPr="00A30FAB">
        <w:rPr>
          <w:rFonts w:eastAsiaTheme="minorHAnsi" w:cs="Calibri"/>
          <w:color w:val="000000" w:themeColor="text1"/>
          <w:shd w:val="clear" w:color="auto" w:fill="FFFFFF"/>
          <w:lang w:val="en-US"/>
        </w:rPr>
        <w:t>: 709-717 [PMID: 10471456 DOI: 10.1056/NEJM199909023411001]</w:t>
      </w:r>
    </w:p>
    <w:p w14:paraId="4F757F7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126 </w:t>
      </w:r>
      <w:r w:rsidRPr="00A30FAB">
        <w:rPr>
          <w:rFonts w:eastAsiaTheme="minorHAnsi" w:cs="Calibri"/>
          <w:b/>
          <w:bCs/>
          <w:color w:val="000000" w:themeColor="text1"/>
          <w:shd w:val="clear" w:color="auto" w:fill="FFFFFF"/>
          <w:lang w:val="en-US"/>
        </w:rPr>
        <w:t>Zannad F</w:t>
      </w:r>
      <w:r w:rsidRPr="00A30FAB">
        <w:rPr>
          <w:rFonts w:eastAsiaTheme="minorHAnsi" w:cs="Calibri"/>
          <w:color w:val="000000" w:themeColor="text1"/>
          <w:shd w:val="clear" w:color="auto" w:fill="FFFFFF"/>
          <w:lang w:val="en-US"/>
        </w:rPr>
        <w:t>, McMurray JJ, Krum H, van Veldhuisen DJ, Swedberg K, Shi H, Vincent J, Pocock SJ, Pitt B; EMPHASIS-HF Study Group. Eplerenone in patients with systolic heart failure and mild symptoms.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2011; </w:t>
      </w:r>
      <w:r w:rsidRPr="00A30FAB">
        <w:rPr>
          <w:rFonts w:eastAsiaTheme="minorHAnsi" w:cs="Calibri"/>
          <w:b/>
          <w:bCs/>
          <w:color w:val="000000" w:themeColor="text1"/>
          <w:shd w:val="clear" w:color="auto" w:fill="FFFFFF"/>
          <w:lang w:val="en-US"/>
        </w:rPr>
        <w:t>364</w:t>
      </w:r>
      <w:r w:rsidRPr="00A30FAB">
        <w:rPr>
          <w:rFonts w:eastAsiaTheme="minorHAnsi" w:cs="Calibri"/>
          <w:color w:val="000000" w:themeColor="text1"/>
          <w:shd w:val="clear" w:color="auto" w:fill="FFFFFF"/>
          <w:lang w:val="en-US"/>
        </w:rPr>
        <w:t>: 11-21 [PMID: 21073363 DOI: 10.1056/NEJMoa1009492]</w:t>
      </w:r>
    </w:p>
    <w:p w14:paraId="69A7578F"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127 </w:t>
      </w:r>
      <w:r w:rsidRPr="00A30FAB">
        <w:rPr>
          <w:rFonts w:eastAsiaTheme="minorHAnsi" w:cs="Calibri"/>
          <w:b/>
          <w:bCs/>
          <w:color w:val="000000" w:themeColor="text1"/>
          <w:shd w:val="clear" w:color="auto" w:fill="FFFFFF"/>
          <w:lang w:val="en-US"/>
        </w:rPr>
        <w:t>Taylor AL</w:t>
      </w:r>
      <w:r w:rsidRPr="00A30FAB">
        <w:rPr>
          <w:rFonts w:eastAsiaTheme="minorHAnsi" w:cs="Calibri"/>
          <w:color w:val="000000" w:themeColor="text1"/>
          <w:shd w:val="clear" w:color="auto" w:fill="FFFFFF"/>
          <w:lang w:val="en-US"/>
        </w:rPr>
        <w:t>, Ziesche S, Yancy CW, Carson P, Ferdinand K, Taylor M, Adams K, Olukotun AY, Ofili E, Tam SW, Sabolinski ML, Worcel M, Cohn JN; African-American Heart Failure Trial Investigators. Early and sustained benefit on event-free survival and heart failure hospitalization from fixed-dose combination of isosorbide dinitrate/hydralazine: consistency across subgroups in the African-American Heart Failure Trial.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2007; </w:t>
      </w:r>
      <w:r w:rsidRPr="00A30FAB">
        <w:rPr>
          <w:rFonts w:eastAsiaTheme="minorHAnsi" w:cs="Calibri"/>
          <w:b/>
          <w:bCs/>
          <w:color w:val="000000" w:themeColor="text1"/>
          <w:shd w:val="clear" w:color="auto" w:fill="FFFFFF"/>
          <w:lang w:val="en-US"/>
        </w:rPr>
        <w:t>115</w:t>
      </w:r>
      <w:r w:rsidRPr="00A30FAB">
        <w:rPr>
          <w:rFonts w:eastAsiaTheme="minorHAnsi" w:cs="Calibri"/>
          <w:color w:val="000000" w:themeColor="text1"/>
          <w:shd w:val="clear" w:color="auto" w:fill="FFFFFF"/>
          <w:lang w:val="en-US"/>
        </w:rPr>
        <w:t>: 1747-1753 [PMID: 17372175 DOI: 10.1161/Circulationaha.106.644013]</w:t>
      </w:r>
    </w:p>
    <w:p w14:paraId="53D701A8"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128 </w:t>
      </w:r>
      <w:r w:rsidRPr="00A30FAB">
        <w:rPr>
          <w:rFonts w:eastAsiaTheme="minorHAnsi" w:cs="Calibri"/>
          <w:b/>
          <w:bCs/>
          <w:color w:val="000000" w:themeColor="text1"/>
          <w:shd w:val="clear" w:color="auto" w:fill="FFFFFF"/>
          <w:lang w:val="en-US"/>
        </w:rPr>
        <w:t>Komajda M</w:t>
      </w:r>
      <w:r w:rsidRPr="00A30FAB">
        <w:rPr>
          <w:rFonts w:eastAsiaTheme="minorHAnsi" w:cs="Calibri"/>
          <w:color w:val="000000" w:themeColor="text1"/>
          <w:shd w:val="clear" w:color="auto" w:fill="FFFFFF"/>
          <w:lang w:val="en-US"/>
        </w:rPr>
        <w:t>, Tavazzi L, Francq BG, Böhm M, Borer JS, Ford I, Swedberg K; SHIFT Investigators. Efficacy and safety of ivabradine in patients with chronic systolic heart failure and diabetes: an analysis from the SHIFT trial. </w:t>
      </w:r>
      <w:r w:rsidRPr="00A30FAB">
        <w:rPr>
          <w:rFonts w:eastAsiaTheme="minorHAnsi" w:cs="Calibri"/>
          <w:i/>
          <w:iCs/>
          <w:color w:val="000000" w:themeColor="text1"/>
          <w:shd w:val="clear" w:color="auto" w:fill="FFFFFF"/>
          <w:lang w:val="en-US"/>
        </w:rPr>
        <w:t>Eur J Heart Fail</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17</w:t>
      </w:r>
      <w:r w:rsidRPr="00A30FAB">
        <w:rPr>
          <w:rFonts w:eastAsiaTheme="minorHAnsi" w:cs="Calibri"/>
          <w:color w:val="000000" w:themeColor="text1"/>
          <w:shd w:val="clear" w:color="auto" w:fill="FFFFFF"/>
          <w:lang w:val="en-US"/>
        </w:rPr>
        <w:t>: 1294-1301 [PMID: 26377342 DOI: 10.1002/ejhf.347]</w:t>
      </w:r>
    </w:p>
    <w:p w14:paraId="7A677BC5"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129 </w:t>
      </w:r>
      <w:r w:rsidRPr="00A30FAB">
        <w:rPr>
          <w:rFonts w:eastAsiaTheme="minorHAnsi" w:cs="Calibri"/>
          <w:b/>
          <w:bCs/>
          <w:color w:val="000000" w:themeColor="text1"/>
          <w:shd w:val="clear" w:color="auto" w:fill="FFFFFF"/>
          <w:lang w:val="en-US"/>
        </w:rPr>
        <w:t>Kristensen SL</w:t>
      </w:r>
      <w:r w:rsidRPr="00A30FAB">
        <w:rPr>
          <w:rFonts w:eastAsiaTheme="minorHAnsi" w:cs="Calibri"/>
          <w:color w:val="000000" w:themeColor="text1"/>
          <w:shd w:val="clear" w:color="auto" w:fill="FFFFFF"/>
          <w:lang w:val="en-US"/>
        </w:rPr>
        <w:t>, Martinez F, Jhund PS, Arango JL, Bĕlohlávek J, Boytsov S, Cabrera W, Gomez E, Hagège AA, Huang J, Kiatchoosakun S, Kim KS, Mendoza I, Senni M, Squire IB, Vinereanu D, Wong RC, Gong J, Lefkowitz MP, Rizkala AR, Rouleau JL, Shi VC, Solomon SD, Swedberg K, Zile MR, Packer M, McMurray JJ. Geographic variations in the PARADIGM-HF heart failure trial. </w:t>
      </w:r>
      <w:r w:rsidRPr="00A30FAB">
        <w:rPr>
          <w:rFonts w:eastAsiaTheme="minorHAnsi" w:cs="Calibri"/>
          <w:i/>
          <w:iCs/>
          <w:color w:val="000000" w:themeColor="text1"/>
          <w:shd w:val="clear" w:color="auto" w:fill="FFFFFF"/>
          <w:lang w:val="en-US"/>
        </w:rPr>
        <w:t>Eur Heart J</w:t>
      </w:r>
      <w:r w:rsidRPr="00A30FAB">
        <w:rPr>
          <w:rFonts w:eastAsiaTheme="minorHAnsi" w:cs="Calibri"/>
          <w:color w:val="000000" w:themeColor="text1"/>
          <w:shd w:val="clear" w:color="auto" w:fill="FFFFFF"/>
          <w:lang w:val="en-US"/>
        </w:rPr>
        <w:t> 2016; </w:t>
      </w:r>
      <w:r w:rsidRPr="00A30FAB">
        <w:rPr>
          <w:rFonts w:eastAsiaTheme="minorHAnsi" w:cs="Calibri"/>
          <w:b/>
          <w:bCs/>
          <w:color w:val="000000" w:themeColor="text1"/>
          <w:shd w:val="clear" w:color="auto" w:fill="FFFFFF"/>
          <w:lang w:val="en-US"/>
        </w:rPr>
        <w:t>37</w:t>
      </w:r>
      <w:r w:rsidRPr="00A30FAB">
        <w:rPr>
          <w:rFonts w:eastAsiaTheme="minorHAnsi" w:cs="Calibri"/>
          <w:color w:val="000000" w:themeColor="text1"/>
          <w:shd w:val="clear" w:color="auto" w:fill="FFFFFF"/>
          <w:lang w:val="en-US"/>
        </w:rPr>
        <w:t>: 3167-3174 [PMID: 27354044 DOI: 10.1093/eurheartj/ehw226]</w:t>
      </w:r>
    </w:p>
    <w:p w14:paraId="6F042A6D" w14:textId="36119285"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130 </w:t>
      </w:r>
      <w:r w:rsidRPr="00A30FAB">
        <w:rPr>
          <w:rFonts w:eastAsiaTheme="minorHAnsi" w:cs="Calibri"/>
          <w:b/>
          <w:bCs/>
          <w:color w:val="000000" w:themeColor="text1"/>
          <w:shd w:val="clear" w:color="auto" w:fill="FFFFFF"/>
          <w:lang w:val="en-US"/>
        </w:rPr>
        <w:t>ADVANCE Collaborative Group</w:t>
      </w:r>
      <w:r w:rsidRPr="00A30FAB">
        <w:rPr>
          <w:rFonts w:eastAsiaTheme="minorHAnsi" w:cs="Calibri"/>
          <w:color w:val="000000" w:themeColor="text1"/>
          <w:shd w:val="clear" w:color="auto" w:fill="FFFFFF"/>
          <w:lang w:val="en-US"/>
        </w:rPr>
        <w:t>, Patel A, MacMahon S, Chalmers J, Neal B, Billot L, Woodward M, Marre M, Cooper M, Glasziou P, Grobbee D, Hamet P, Harrap S, Heller S, Liu L, Mancia G, Mogensen CE, Pan C, Poulter N, Rodgers A, Williams B, Bompoint S, de Galan BE, Joshi R, Travert F. Intensive blood glucose control and vascular outcomes in patients with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2008; </w:t>
      </w:r>
      <w:r w:rsidRPr="00A30FAB">
        <w:rPr>
          <w:rFonts w:eastAsiaTheme="minorHAnsi" w:cs="Calibri"/>
          <w:b/>
          <w:bCs/>
          <w:color w:val="000000" w:themeColor="text1"/>
          <w:shd w:val="clear" w:color="auto" w:fill="FFFFFF"/>
          <w:lang w:val="en-US"/>
        </w:rPr>
        <w:t>358</w:t>
      </w:r>
      <w:r w:rsidRPr="00A30FAB">
        <w:rPr>
          <w:rFonts w:eastAsiaTheme="minorHAnsi" w:cs="Calibri"/>
          <w:color w:val="000000" w:themeColor="text1"/>
          <w:shd w:val="clear" w:color="auto" w:fill="FFFFFF"/>
          <w:lang w:val="en-US"/>
        </w:rPr>
        <w:t>: 2560-2572 [PMID: 18539916 DOI: 10.1056/NEJMoa0802987]</w:t>
      </w:r>
    </w:p>
    <w:p w14:paraId="0DDC8D2A" w14:textId="71E0CE33" w:rsidR="00A30FAB" w:rsidRPr="00A30FAB" w:rsidRDefault="00A30FAB" w:rsidP="00A30FAB">
      <w:pPr>
        <w:adjustRightInd w:val="0"/>
        <w:snapToGrid w:val="0"/>
        <w:rPr>
          <w:rFonts w:eastAsiaTheme="minorHAnsi" w:cs="Calibri"/>
          <w:color w:val="000000" w:themeColor="text1"/>
          <w:shd w:val="clear" w:color="auto" w:fill="FFFFFF"/>
          <w:lang w:val="en-US"/>
        </w:rPr>
      </w:pPr>
      <w:r w:rsidRPr="00872DEC">
        <w:rPr>
          <w:rFonts w:eastAsiaTheme="minorHAnsi" w:cs="Calibri"/>
          <w:b/>
          <w:color w:val="000000" w:themeColor="text1"/>
          <w:shd w:val="clear" w:color="auto" w:fill="FFFFFF"/>
          <w:lang w:val="en-US"/>
        </w:rPr>
        <w:t xml:space="preserve">131 </w:t>
      </w:r>
      <w:r w:rsidR="00872DEC" w:rsidRPr="00872DEC">
        <w:rPr>
          <w:rFonts w:eastAsiaTheme="minorHAnsi" w:cs="Calibri"/>
          <w:b/>
          <w:color w:val="000000" w:themeColor="text1"/>
          <w:shd w:val="clear" w:color="auto" w:fill="FFFFFF"/>
          <w:lang w:val="en-US"/>
        </w:rPr>
        <w:t>UK Prospective Diabetes Study (UKPDS) Group</w:t>
      </w:r>
      <w:r w:rsidR="00872DEC" w:rsidRPr="00A30FAB">
        <w:rPr>
          <w:rFonts w:eastAsiaTheme="minorHAnsi" w:cs="Calibri"/>
          <w:color w:val="000000" w:themeColor="text1"/>
          <w:shd w:val="clear" w:color="auto" w:fill="FFFFFF"/>
          <w:lang w:val="en-US"/>
        </w:rPr>
        <w:t>.</w:t>
      </w:r>
      <w:r w:rsidR="00872DEC">
        <w:rPr>
          <w:rFonts w:eastAsiaTheme="minorHAnsi" w:cs="Calibri"/>
          <w:color w:val="000000" w:themeColor="text1"/>
          <w:shd w:val="clear" w:color="auto" w:fill="FFFFFF"/>
          <w:lang w:val="en-US"/>
        </w:rPr>
        <w:t xml:space="preserve"> </w:t>
      </w:r>
      <w:r w:rsidRPr="00A30FAB">
        <w:rPr>
          <w:rFonts w:eastAsiaTheme="minorHAnsi" w:cs="Calibri"/>
          <w:color w:val="000000" w:themeColor="text1"/>
          <w:shd w:val="clear" w:color="auto" w:fill="FFFFFF"/>
          <w:lang w:val="en-US"/>
        </w:rPr>
        <w:t>Effect of intensive blood-glucose control with metformin on complications in overweight patients with type 2 diabetes (UKPDS 34). </w:t>
      </w:r>
      <w:r w:rsidRPr="00A30FAB">
        <w:rPr>
          <w:rFonts w:eastAsiaTheme="minorHAnsi" w:cs="Calibri"/>
          <w:i/>
          <w:iCs/>
          <w:color w:val="000000" w:themeColor="text1"/>
          <w:shd w:val="clear" w:color="auto" w:fill="FFFFFF"/>
          <w:lang w:val="en-US"/>
        </w:rPr>
        <w:t>Lancet</w:t>
      </w:r>
      <w:r w:rsidRPr="00A30FAB">
        <w:rPr>
          <w:rFonts w:eastAsiaTheme="minorHAnsi" w:cs="Calibri"/>
          <w:color w:val="000000" w:themeColor="text1"/>
          <w:shd w:val="clear" w:color="auto" w:fill="FFFFFF"/>
          <w:lang w:val="en-US"/>
        </w:rPr>
        <w:t> 1998; </w:t>
      </w:r>
      <w:r w:rsidRPr="00A30FAB">
        <w:rPr>
          <w:rFonts w:eastAsiaTheme="minorHAnsi" w:cs="Calibri"/>
          <w:b/>
          <w:bCs/>
          <w:color w:val="000000" w:themeColor="text1"/>
          <w:shd w:val="clear" w:color="auto" w:fill="FFFFFF"/>
          <w:lang w:val="en-US"/>
        </w:rPr>
        <w:t>352</w:t>
      </w:r>
      <w:r w:rsidRPr="00A30FAB">
        <w:rPr>
          <w:rFonts w:eastAsiaTheme="minorHAnsi" w:cs="Calibri"/>
          <w:color w:val="000000" w:themeColor="text1"/>
          <w:shd w:val="clear" w:color="auto" w:fill="FFFFFF"/>
          <w:lang w:val="en-US"/>
        </w:rPr>
        <w:t>: 854-865 [PMID: 9742977 DOI: 10.1016/S0140-6736(98)07037-8]</w:t>
      </w:r>
    </w:p>
    <w:p w14:paraId="61203795" w14:textId="58536B38"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132 </w:t>
      </w:r>
      <w:r w:rsidRPr="00A30FAB">
        <w:rPr>
          <w:rFonts w:eastAsiaTheme="minorHAnsi" w:cs="Calibri"/>
          <w:b/>
          <w:bCs/>
          <w:color w:val="000000" w:themeColor="text1"/>
          <w:shd w:val="clear" w:color="auto" w:fill="FFFFFF"/>
          <w:lang w:val="en-US"/>
        </w:rPr>
        <w:t>Action to Control Cardiovascular Risk in Diabetes Study Group</w:t>
      </w:r>
      <w:r w:rsidRPr="00A30FAB">
        <w:rPr>
          <w:rFonts w:eastAsiaTheme="minorHAnsi" w:cs="Calibri"/>
          <w:color w:val="000000" w:themeColor="text1"/>
          <w:shd w:val="clear" w:color="auto" w:fill="FFFFFF"/>
          <w:lang w:val="en-US"/>
        </w:rPr>
        <w:t>, Gerstein HC, Miller ME, Byington RP, Goff DC Jr, Bigger JT, Buse JB, Cushman WC, Genuth S, Ismail-Beigi F, Grimm RH Jr, Probstfield JL, Simons-Morton DG, Friedewald WT. Effects of intensive glucose lowering in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2008; </w:t>
      </w:r>
      <w:r w:rsidRPr="00A30FAB">
        <w:rPr>
          <w:rFonts w:eastAsiaTheme="minorHAnsi" w:cs="Calibri"/>
          <w:b/>
          <w:bCs/>
          <w:color w:val="000000" w:themeColor="text1"/>
          <w:shd w:val="clear" w:color="auto" w:fill="FFFFFF"/>
          <w:lang w:val="en-US"/>
        </w:rPr>
        <w:t>358</w:t>
      </w:r>
      <w:r w:rsidRPr="00A30FAB">
        <w:rPr>
          <w:rFonts w:eastAsiaTheme="minorHAnsi" w:cs="Calibri"/>
          <w:color w:val="000000" w:themeColor="text1"/>
          <w:shd w:val="clear" w:color="auto" w:fill="FFFFFF"/>
          <w:lang w:val="en-US"/>
        </w:rPr>
        <w:t>: 2545-2559 [PMID: 18539917 DOI: 10.1056/NEJMoa0802743]</w:t>
      </w:r>
    </w:p>
    <w:p w14:paraId="2C01393B"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133 </w:t>
      </w:r>
      <w:r w:rsidRPr="00A30FAB">
        <w:rPr>
          <w:rFonts w:eastAsiaTheme="minorHAnsi" w:cs="Calibri"/>
          <w:b/>
          <w:bCs/>
          <w:color w:val="000000" w:themeColor="text1"/>
          <w:shd w:val="clear" w:color="auto" w:fill="FFFFFF"/>
          <w:lang w:val="en-US"/>
        </w:rPr>
        <w:t>Castagno D</w:t>
      </w:r>
      <w:r w:rsidRPr="00A30FAB">
        <w:rPr>
          <w:rFonts w:eastAsiaTheme="minorHAnsi" w:cs="Calibri"/>
          <w:color w:val="000000" w:themeColor="text1"/>
          <w:shd w:val="clear" w:color="auto" w:fill="FFFFFF"/>
          <w:lang w:val="en-US"/>
        </w:rPr>
        <w:t>, Baird-Gunning J, Jhund PS, Biondi-Zoccai G, MacDonald MR, Petrie MC, Gaita F, McMurray JJ. Intensive glycemic control has no impact on the risk of heart failure in type 2 diabetic patients: evidence from a 37,229 patient meta-analysis. </w:t>
      </w:r>
      <w:r w:rsidRPr="00A30FAB">
        <w:rPr>
          <w:rFonts w:eastAsiaTheme="minorHAnsi" w:cs="Calibri"/>
          <w:i/>
          <w:iCs/>
          <w:color w:val="000000" w:themeColor="text1"/>
          <w:shd w:val="clear" w:color="auto" w:fill="FFFFFF"/>
          <w:lang w:val="en-US"/>
        </w:rPr>
        <w:t>Am Heart J</w:t>
      </w:r>
      <w:r w:rsidRPr="00A30FAB">
        <w:rPr>
          <w:rFonts w:eastAsiaTheme="minorHAnsi" w:cs="Calibri"/>
          <w:color w:val="000000" w:themeColor="text1"/>
          <w:shd w:val="clear" w:color="auto" w:fill="FFFFFF"/>
          <w:lang w:val="en-US"/>
        </w:rPr>
        <w:t> 2011; </w:t>
      </w:r>
      <w:r w:rsidRPr="00A30FAB">
        <w:rPr>
          <w:rFonts w:eastAsiaTheme="minorHAnsi" w:cs="Calibri"/>
          <w:b/>
          <w:bCs/>
          <w:color w:val="000000" w:themeColor="text1"/>
          <w:shd w:val="clear" w:color="auto" w:fill="FFFFFF"/>
          <w:lang w:val="en-US"/>
        </w:rPr>
        <w:t>162</w:t>
      </w:r>
      <w:r w:rsidRPr="00A30FAB">
        <w:rPr>
          <w:rFonts w:eastAsiaTheme="minorHAnsi" w:cs="Calibri"/>
          <w:color w:val="000000" w:themeColor="text1"/>
          <w:shd w:val="clear" w:color="auto" w:fill="FFFFFF"/>
          <w:lang w:val="en-US"/>
        </w:rPr>
        <w:t>: 938-948.e2 [PMID: 22093212 DOI: 10.1016/j.ahj.2011.07.030]</w:t>
      </w:r>
    </w:p>
    <w:p w14:paraId="45FD47B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134 </w:t>
      </w:r>
      <w:r w:rsidRPr="00A30FAB">
        <w:rPr>
          <w:rFonts w:eastAsiaTheme="minorHAnsi" w:cs="Calibri"/>
          <w:b/>
          <w:bCs/>
          <w:color w:val="000000" w:themeColor="text1"/>
          <w:shd w:val="clear" w:color="auto" w:fill="FFFFFF"/>
          <w:lang w:val="en-US"/>
        </w:rPr>
        <w:t>Scirica BM</w:t>
      </w:r>
      <w:r w:rsidRPr="00A30FAB">
        <w:rPr>
          <w:rFonts w:eastAsiaTheme="minorHAnsi" w:cs="Calibri"/>
          <w:color w:val="000000" w:themeColor="text1"/>
          <w:shd w:val="clear" w:color="auto" w:fill="FFFFFF"/>
          <w:lang w:val="en-US"/>
        </w:rPr>
        <w:t>, Bhatt DL, Braunwald E, Steg PG, Davidson J, Hirshberg B, Ohman P, Frederich R, Wiviott SD, Hoffman EB, Cavender MA, Udell JA, Desai NR, Mosenzon O, McGuire DK, Ray KK, Leiter LA, Raz I; SAVOR-TIMI 53 Steering Committee and Investigators. Saxagliptin and cardiovascular outcomes in patients with type 2 diabetes mellitus.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2013; </w:t>
      </w:r>
      <w:r w:rsidRPr="00A30FAB">
        <w:rPr>
          <w:rFonts w:eastAsiaTheme="minorHAnsi" w:cs="Calibri"/>
          <w:b/>
          <w:bCs/>
          <w:color w:val="000000" w:themeColor="text1"/>
          <w:shd w:val="clear" w:color="auto" w:fill="FFFFFF"/>
          <w:lang w:val="en-US"/>
        </w:rPr>
        <w:t>369</w:t>
      </w:r>
      <w:r w:rsidRPr="00A30FAB">
        <w:rPr>
          <w:rFonts w:eastAsiaTheme="minorHAnsi" w:cs="Calibri"/>
          <w:color w:val="000000" w:themeColor="text1"/>
          <w:shd w:val="clear" w:color="auto" w:fill="FFFFFF"/>
          <w:lang w:val="en-US"/>
        </w:rPr>
        <w:t>: 1317-1326 [PMID: 23992601 DOI: 10.1056/NEJMoa1307684]</w:t>
      </w:r>
    </w:p>
    <w:p w14:paraId="20B491DE"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135 </w:t>
      </w:r>
      <w:r w:rsidRPr="00A30FAB">
        <w:rPr>
          <w:rFonts w:eastAsiaTheme="minorHAnsi" w:cs="Calibri"/>
          <w:b/>
          <w:bCs/>
          <w:color w:val="000000" w:themeColor="text1"/>
          <w:shd w:val="clear" w:color="auto" w:fill="FFFFFF"/>
          <w:lang w:val="en-US"/>
        </w:rPr>
        <w:t>Scirica BM</w:t>
      </w:r>
      <w:r w:rsidRPr="00A30FAB">
        <w:rPr>
          <w:rFonts w:eastAsiaTheme="minorHAnsi" w:cs="Calibri"/>
          <w:color w:val="000000" w:themeColor="text1"/>
          <w:shd w:val="clear" w:color="auto" w:fill="FFFFFF"/>
          <w:lang w:val="en-US"/>
        </w:rPr>
        <w:t>, Braunwald E, Raz I, Cavender MA, Morrow DA, Jarolim P, Udell JA, Mosenzon O, Im K, Umez-Eronini AA, Pollack PS, Hirshberg B, Frederich R, Lewis BS, McGuire DK, Davidson J, Steg PG, Bhatt DL; SAVOR-TIMI 53 Steering Committee and Investigators. Heart Failure, Saxagliptin, and Diabetes Mellitus: Observations from the SAVOR-TIMI 53 Randomized Trial.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132</w:t>
      </w:r>
      <w:r w:rsidRPr="00A30FAB">
        <w:rPr>
          <w:rFonts w:eastAsiaTheme="minorHAnsi" w:cs="Calibri"/>
          <w:color w:val="000000" w:themeColor="text1"/>
          <w:shd w:val="clear" w:color="auto" w:fill="FFFFFF"/>
          <w:lang w:val="en-US"/>
        </w:rPr>
        <w:t>: e198 [PMID: 26459088 DOI: 10.1161/CIR.0000000000000330]</w:t>
      </w:r>
    </w:p>
    <w:p w14:paraId="4A4CC472"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136 </w:t>
      </w:r>
      <w:r w:rsidRPr="00A30FAB">
        <w:rPr>
          <w:rFonts w:eastAsiaTheme="minorHAnsi" w:cs="Calibri"/>
          <w:b/>
          <w:bCs/>
          <w:color w:val="000000" w:themeColor="text1"/>
          <w:shd w:val="clear" w:color="auto" w:fill="FFFFFF"/>
          <w:lang w:val="en-US"/>
        </w:rPr>
        <w:t>Komajda M</w:t>
      </w:r>
      <w:r w:rsidRPr="00A30FAB">
        <w:rPr>
          <w:rFonts w:eastAsiaTheme="minorHAnsi" w:cs="Calibri"/>
          <w:color w:val="000000" w:themeColor="text1"/>
          <w:shd w:val="clear" w:color="auto" w:fill="FFFFFF"/>
          <w:lang w:val="en-US"/>
        </w:rPr>
        <w:t>, McMurray JJ, Beck-Nielsen H, Gomis R, Hanefeld M, Pocock SJ, Curtis PS, Jones NP, Home PD. Heart failure events with rosiglitazone in type 2 diabetes: data from the RECORD clinical trial. </w:t>
      </w:r>
      <w:r w:rsidRPr="00A30FAB">
        <w:rPr>
          <w:rFonts w:eastAsiaTheme="minorHAnsi" w:cs="Calibri"/>
          <w:i/>
          <w:iCs/>
          <w:color w:val="000000" w:themeColor="text1"/>
          <w:shd w:val="clear" w:color="auto" w:fill="FFFFFF"/>
          <w:lang w:val="en-US"/>
        </w:rPr>
        <w:t>Eur Heart J</w:t>
      </w:r>
      <w:r w:rsidRPr="00A30FAB">
        <w:rPr>
          <w:rFonts w:eastAsiaTheme="minorHAnsi" w:cs="Calibri"/>
          <w:color w:val="000000" w:themeColor="text1"/>
          <w:shd w:val="clear" w:color="auto" w:fill="FFFFFF"/>
          <w:lang w:val="en-US"/>
        </w:rPr>
        <w:t> 2010; </w:t>
      </w:r>
      <w:r w:rsidRPr="00A30FAB">
        <w:rPr>
          <w:rFonts w:eastAsiaTheme="minorHAnsi" w:cs="Calibri"/>
          <w:b/>
          <w:bCs/>
          <w:color w:val="000000" w:themeColor="text1"/>
          <w:shd w:val="clear" w:color="auto" w:fill="FFFFFF"/>
          <w:lang w:val="en-US"/>
        </w:rPr>
        <w:t>31</w:t>
      </w:r>
      <w:r w:rsidRPr="00A30FAB">
        <w:rPr>
          <w:rFonts w:eastAsiaTheme="minorHAnsi" w:cs="Calibri"/>
          <w:color w:val="000000" w:themeColor="text1"/>
          <w:shd w:val="clear" w:color="auto" w:fill="FFFFFF"/>
          <w:lang w:val="en-US"/>
        </w:rPr>
        <w:t>: 824-831 [PMID: 20118174 DOI: 10.1093/eurheartj/ehp604]</w:t>
      </w:r>
    </w:p>
    <w:p w14:paraId="7E19183C"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137 </w:t>
      </w:r>
      <w:r w:rsidRPr="00A30FAB">
        <w:rPr>
          <w:rFonts w:eastAsiaTheme="minorHAnsi" w:cs="Calibri"/>
          <w:b/>
          <w:bCs/>
          <w:color w:val="000000" w:themeColor="text1"/>
          <w:shd w:val="clear" w:color="auto" w:fill="FFFFFF"/>
          <w:lang w:val="en-US"/>
        </w:rPr>
        <w:t>MacDonald PE</w:t>
      </w:r>
      <w:r w:rsidRPr="00A30FAB">
        <w:rPr>
          <w:rFonts w:eastAsiaTheme="minorHAnsi" w:cs="Calibri"/>
          <w:color w:val="000000" w:themeColor="text1"/>
          <w:shd w:val="clear" w:color="auto" w:fill="FFFFFF"/>
          <w:lang w:val="en-US"/>
        </w:rPr>
        <w:t>, El-Kholy W, Riedel MJ, Salapatek AM, Light PE, Wheeler MB. The multiple actions of GLP-1 on the process of glucose-stimulated insulin secretion. </w:t>
      </w:r>
      <w:r w:rsidRPr="00A30FAB">
        <w:rPr>
          <w:rFonts w:eastAsiaTheme="minorHAnsi" w:cs="Calibri"/>
          <w:i/>
          <w:iCs/>
          <w:color w:val="000000" w:themeColor="text1"/>
          <w:shd w:val="clear" w:color="auto" w:fill="FFFFFF"/>
          <w:lang w:val="en-US"/>
        </w:rPr>
        <w:t>Diabetes</w:t>
      </w:r>
      <w:r w:rsidRPr="00A30FAB">
        <w:rPr>
          <w:rFonts w:eastAsiaTheme="minorHAnsi" w:cs="Calibri"/>
          <w:color w:val="000000" w:themeColor="text1"/>
          <w:shd w:val="clear" w:color="auto" w:fill="FFFFFF"/>
          <w:lang w:val="en-US"/>
        </w:rPr>
        <w:t> 2002; </w:t>
      </w:r>
      <w:r w:rsidRPr="00A30FAB">
        <w:rPr>
          <w:rFonts w:eastAsiaTheme="minorHAnsi" w:cs="Calibri"/>
          <w:b/>
          <w:bCs/>
          <w:color w:val="000000" w:themeColor="text1"/>
          <w:shd w:val="clear" w:color="auto" w:fill="FFFFFF"/>
          <w:lang w:val="en-US"/>
        </w:rPr>
        <w:t>51 Suppl 3</w:t>
      </w:r>
      <w:r w:rsidRPr="00A30FAB">
        <w:rPr>
          <w:rFonts w:eastAsiaTheme="minorHAnsi" w:cs="Calibri"/>
          <w:color w:val="000000" w:themeColor="text1"/>
          <w:shd w:val="clear" w:color="auto" w:fill="FFFFFF"/>
          <w:lang w:val="en-US"/>
        </w:rPr>
        <w:t>: S434-S442 [PMID: 12475787 DOI: 10.2337/diabetes.51.2007.S434]</w:t>
      </w:r>
    </w:p>
    <w:p w14:paraId="23C3B94C"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138 </w:t>
      </w:r>
      <w:r w:rsidRPr="00A30FAB">
        <w:rPr>
          <w:rFonts w:eastAsiaTheme="minorHAnsi" w:cs="Calibri"/>
          <w:b/>
          <w:bCs/>
          <w:color w:val="000000" w:themeColor="text1"/>
          <w:shd w:val="clear" w:color="auto" w:fill="FFFFFF"/>
          <w:lang w:val="en-US"/>
        </w:rPr>
        <w:t>Buse JB</w:t>
      </w:r>
      <w:r w:rsidRPr="00A30FAB">
        <w:rPr>
          <w:rFonts w:eastAsiaTheme="minorHAnsi" w:cs="Calibri"/>
          <w:color w:val="000000" w:themeColor="text1"/>
          <w:shd w:val="clear" w:color="auto" w:fill="FFFFFF"/>
          <w:lang w:val="en-US"/>
        </w:rPr>
        <w:t>, Rosenstock J, Sesti G, Schmidt WE, Montanya E, Brett JH, Zychma M, Blonde L; LEAD-6 Study Group. Liraglutide once a day versus exenatide twice a day for type 2 diabetes: a 26-week randomised, parallel-group, multinational, open-label trial (LEAD-6). </w:t>
      </w:r>
      <w:r w:rsidRPr="00A30FAB">
        <w:rPr>
          <w:rFonts w:eastAsiaTheme="minorHAnsi" w:cs="Calibri"/>
          <w:i/>
          <w:iCs/>
          <w:color w:val="000000" w:themeColor="text1"/>
          <w:shd w:val="clear" w:color="auto" w:fill="FFFFFF"/>
          <w:lang w:val="en-US"/>
        </w:rPr>
        <w:t>Lancet</w:t>
      </w:r>
      <w:r w:rsidRPr="00A30FAB">
        <w:rPr>
          <w:rFonts w:eastAsiaTheme="minorHAnsi" w:cs="Calibri"/>
          <w:color w:val="000000" w:themeColor="text1"/>
          <w:shd w:val="clear" w:color="auto" w:fill="FFFFFF"/>
          <w:lang w:val="en-US"/>
        </w:rPr>
        <w:t> 2009; </w:t>
      </w:r>
      <w:r w:rsidRPr="00A30FAB">
        <w:rPr>
          <w:rFonts w:eastAsiaTheme="minorHAnsi" w:cs="Calibri"/>
          <w:b/>
          <w:bCs/>
          <w:color w:val="000000" w:themeColor="text1"/>
          <w:shd w:val="clear" w:color="auto" w:fill="FFFFFF"/>
          <w:lang w:val="en-US"/>
        </w:rPr>
        <w:t>374</w:t>
      </w:r>
      <w:r w:rsidRPr="00A30FAB">
        <w:rPr>
          <w:rFonts w:eastAsiaTheme="minorHAnsi" w:cs="Calibri"/>
          <w:color w:val="000000" w:themeColor="text1"/>
          <w:shd w:val="clear" w:color="auto" w:fill="FFFFFF"/>
          <w:lang w:val="en-US"/>
        </w:rPr>
        <w:t>: 39-47 [PMID: 19515413 DOI: 10.1016/S0140-6736(09)60659-0]</w:t>
      </w:r>
    </w:p>
    <w:p w14:paraId="26A86A0F"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139 </w:t>
      </w:r>
      <w:r w:rsidRPr="00A30FAB">
        <w:rPr>
          <w:rFonts w:eastAsiaTheme="minorHAnsi" w:cs="Calibri"/>
          <w:b/>
          <w:bCs/>
          <w:color w:val="000000" w:themeColor="text1"/>
          <w:shd w:val="clear" w:color="auto" w:fill="FFFFFF"/>
          <w:lang w:val="en-US"/>
        </w:rPr>
        <w:t>Zoungas S</w:t>
      </w:r>
      <w:r w:rsidRPr="00A30FAB">
        <w:rPr>
          <w:rFonts w:eastAsiaTheme="minorHAnsi" w:cs="Calibri"/>
          <w:color w:val="000000" w:themeColor="text1"/>
          <w:shd w:val="clear" w:color="auto" w:fill="FFFFFF"/>
          <w:lang w:val="en-US"/>
        </w:rPr>
        <w:t>, de Galan BE, Ninomiya T, Grobbee D, Hamet P, Heller S, MacMahon S, Marre M, Neal B, Patel A, Woodward M, Chalmers J; ADVANCE Collaborative Group, Cass A, Glasziou P, Harrap S, Lisheng L, Mancia G, Pillai A, Poulter N, Perkovic V, Travert F. Combined effects of routine blood pressure lowering and intensive glucose control on macrovascular and microvascular outcomes in patients with type 2 diabetes: New results from the ADVANCE trial. </w:t>
      </w:r>
      <w:r w:rsidRPr="00A30FAB">
        <w:rPr>
          <w:rFonts w:eastAsiaTheme="minorHAnsi" w:cs="Calibri"/>
          <w:i/>
          <w:iCs/>
          <w:color w:val="000000" w:themeColor="text1"/>
          <w:shd w:val="clear" w:color="auto" w:fill="FFFFFF"/>
          <w:lang w:val="en-US"/>
        </w:rPr>
        <w:t>Diabetes Care</w:t>
      </w:r>
      <w:r w:rsidRPr="00A30FAB">
        <w:rPr>
          <w:rFonts w:eastAsiaTheme="minorHAnsi" w:cs="Calibri"/>
          <w:color w:val="000000" w:themeColor="text1"/>
          <w:shd w:val="clear" w:color="auto" w:fill="FFFFFF"/>
          <w:lang w:val="en-US"/>
        </w:rPr>
        <w:t> 2009; </w:t>
      </w:r>
      <w:r w:rsidRPr="00A30FAB">
        <w:rPr>
          <w:rFonts w:eastAsiaTheme="minorHAnsi" w:cs="Calibri"/>
          <w:b/>
          <w:bCs/>
          <w:color w:val="000000" w:themeColor="text1"/>
          <w:shd w:val="clear" w:color="auto" w:fill="FFFFFF"/>
          <w:lang w:val="en-US"/>
        </w:rPr>
        <w:t>32</w:t>
      </w:r>
      <w:r w:rsidRPr="00A30FAB">
        <w:rPr>
          <w:rFonts w:eastAsiaTheme="minorHAnsi" w:cs="Calibri"/>
          <w:color w:val="000000" w:themeColor="text1"/>
          <w:shd w:val="clear" w:color="auto" w:fill="FFFFFF"/>
          <w:lang w:val="en-US"/>
        </w:rPr>
        <w:t>: 2068-2074 [PMID: 19651921 DOI: 10.2337/dc09-0959]</w:t>
      </w:r>
    </w:p>
    <w:p w14:paraId="25F985F0"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140 </w:t>
      </w:r>
      <w:r w:rsidRPr="00A30FAB">
        <w:rPr>
          <w:rFonts w:eastAsiaTheme="minorHAnsi" w:cs="Calibri"/>
          <w:b/>
          <w:bCs/>
          <w:color w:val="000000" w:themeColor="text1"/>
          <w:shd w:val="clear" w:color="auto" w:fill="FFFFFF"/>
          <w:lang w:val="en-US"/>
        </w:rPr>
        <w:t>Riddle MC</w:t>
      </w:r>
      <w:r w:rsidRPr="00A30FAB">
        <w:rPr>
          <w:rFonts w:eastAsiaTheme="minorHAnsi" w:cs="Calibri"/>
          <w:color w:val="000000" w:themeColor="text1"/>
          <w:shd w:val="clear" w:color="auto" w:fill="FFFFFF"/>
          <w:lang w:val="en-US"/>
        </w:rPr>
        <w:t>. Effects of intensive glucose lowering in the management of patients with type 2 diabetes mellitus in the Action to Control Cardiovascular Risk in Diabetes (ACCORD) trial. </w:t>
      </w:r>
      <w:r w:rsidRPr="00A30FAB">
        <w:rPr>
          <w:rFonts w:eastAsiaTheme="minorHAnsi" w:cs="Calibri"/>
          <w:i/>
          <w:iCs/>
          <w:color w:val="000000" w:themeColor="text1"/>
          <w:shd w:val="clear" w:color="auto" w:fill="FFFFFF"/>
          <w:lang w:val="en-US"/>
        </w:rPr>
        <w:t>Circulation</w:t>
      </w:r>
      <w:r w:rsidRPr="00A30FAB">
        <w:rPr>
          <w:rFonts w:eastAsiaTheme="minorHAnsi" w:cs="Calibri"/>
          <w:color w:val="000000" w:themeColor="text1"/>
          <w:shd w:val="clear" w:color="auto" w:fill="FFFFFF"/>
          <w:lang w:val="en-US"/>
        </w:rPr>
        <w:t> 2010; </w:t>
      </w:r>
      <w:r w:rsidRPr="00A30FAB">
        <w:rPr>
          <w:rFonts w:eastAsiaTheme="minorHAnsi" w:cs="Calibri"/>
          <w:b/>
          <w:bCs/>
          <w:color w:val="000000" w:themeColor="text1"/>
          <w:shd w:val="clear" w:color="auto" w:fill="FFFFFF"/>
          <w:lang w:val="en-US"/>
        </w:rPr>
        <w:t>122</w:t>
      </w:r>
      <w:r w:rsidRPr="00A30FAB">
        <w:rPr>
          <w:rFonts w:eastAsiaTheme="minorHAnsi" w:cs="Calibri"/>
          <w:color w:val="000000" w:themeColor="text1"/>
          <w:shd w:val="clear" w:color="auto" w:fill="FFFFFF"/>
          <w:lang w:val="en-US"/>
        </w:rPr>
        <w:t>: 844-846 [PMID: 20733112 DOI: 10.1161/CIRCULATIONAHA.110.960138]</w:t>
      </w:r>
    </w:p>
    <w:p w14:paraId="7093FC69"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141 </w:t>
      </w:r>
      <w:r w:rsidRPr="00A30FAB">
        <w:rPr>
          <w:rFonts w:eastAsiaTheme="minorHAnsi" w:cs="Calibri"/>
          <w:b/>
          <w:bCs/>
          <w:color w:val="000000" w:themeColor="text1"/>
          <w:shd w:val="clear" w:color="auto" w:fill="FFFFFF"/>
          <w:lang w:val="en-US"/>
        </w:rPr>
        <w:t>Sun F</w:t>
      </w:r>
      <w:r w:rsidRPr="00A30FAB">
        <w:rPr>
          <w:rFonts w:eastAsiaTheme="minorHAnsi" w:cs="Calibri"/>
          <w:color w:val="000000" w:themeColor="text1"/>
          <w:shd w:val="clear" w:color="auto" w:fill="FFFFFF"/>
          <w:lang w:val="en-US"/>
        </w:rPr>
        <w:t>, Wu S, Guo S, Yu K, Yang Z, Li L, Zhang Y, Quan X, Ji L, Zhan S. Impact of GLP-1 receptor agonists on blood pressure, heart rate and hypertension among patients with type 2 diabetes: A systematic review and network meta-analysis. </w:t>
      </w:r>
      <w:r w:rsidRPr="00A30FAB">
        <w:rPr>
          <w:rFonts w:eastAsiaTheme="minorHAnsi" w:cs="Calibri"/>
          <w:i/>
          <w:iCs/>
          <w:color w:val="000000" w:themeColor="text1"/>
          <w:shd w:val="clear" w:color="auto" w:fill="FFFFFF"/>
          <w:lang w:val="en-US"/>
        </w:rPr>
        <w:t>Diabetes Res Clin Pract</w:t>
      </w:r>
      <w:r w:rsidRPr="00A30FAB">
        <w:rPr>
          <w:rFonts w:eastAsiaTheme="minorHAnsi" w:cs="Calibri"/>
          <w:color w:val="000000" w:themeColor="text1"/>
          <w:shd w:val="clear" w:color="auto" w:fill="FFFFFF"/>
          <w:lang w:val="en-US"/>
        </w:rPr>
        <w:t> 2015; </w:t>
      </w:r>
      <w:r w:rsidRPr="00A30FAB">
        <w:rPr>
          <w:rFonts w:eastAsiaTheme="minorHAnsi" w:cs="Calibri"/>
          <w:b/>
          <w:bCs/>
          <w:color w:val="000000" w:themeColor="text1"/>
          <w:shd w:val="clear" w:color="auto" w:fill="FFFFFF"/>
          <w:lang w:val="en-US"/>
        </w:rPr>
        <w:t>110</w:t>
      </w:r>
      <w:r w:rsidRPr="00A30FAB">
        <w:rPr>
          <w:rFonts w:eastAsiaTheme="minorHAnsi" w:cs="Calibri"/>
          <w:color w:val="000000" w:themeColor="text1"/>
          <w:shd w:val="clear" w:color="auto" w:fill="FFFFFF"/>
          <w:lang w:val="en-US"/>
        </w:rPr>
        <w:t>: 26-37 [PMID: 26358202 DOI: 10.1016/j.diabres.2015.07.015]</w:t>
      </w:r>
    </w:p>
    <w:p w14:paraId="78473922"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142 </w:t>
      </w:r>
      <w:r w:rsidRPr="00A30FAB">
        <w:rPr>
          <w:rFonts w:eastAsiaTheme="minorHAnsi" w:cs="Calibri"/>
          <w:b/>
          <w:bCs/>
          <w:color w:val="000000" w:themeColor="text1"/>
          <w:shd w:val="clear" w:color="auto" w:fill="FFFFFF"/>
          <w:lang w:val="en-US"/>
        </w:rPr>
        <w:t>Gaspari T</w:t>
      </w:r>
      <w:r w:rsidRPr="00A30FAB">
        <w:rPr>
          <w:rFonts w:eastAsiaTheme="minorHAnsi" w:cs="Calibri"/>
          <w:color w:val="000000" w:themeColor="text1"/>
          <w:shd w:val="clear" w:color="auto" w:fill="FFFFFF"/>
          <w:lang w:val="en-US"/>
        </w:rPr>
        <w:t>, Liu H, Welungoda I, Hu Y, Widdop RE, Knudsen LB, Simpson RW, Dear AE. A GLP-1 receptor agonist liraglutide inhibits endothelial cell dysfunction and vascular adhesion molecule expression in an ApoE-/- mouse model. </w:t>
      </w:r>
      <w:r w:rsidRPr="00A30FAB">
        <w:rPr>
          <w:rFonts w:eastAsiaTheme="minorHAnsi" w:cs="Calibri"/>
          <w:i/>
          <w:iCs/>
          <w:color w:val="000000" w:themeColor="text1"/>
          <w:shd w:val="clear" w:color="auto" w:fill="FFFFFF"/>
          <w:lang w:val="en-US"/>
        </w:rPr>
        <w:t>Diab Vasc Dis Res</w:t>
      </w:r>
      <w:r w:rsidRPr="00A30FAB">
        <w:rPr>
          <w:rFonts w:eastAsiaTheme="minorHAnsi" w:cs="Calibri"/>
          <w:color w:val="000000" w:themeColor="text1"/>
          <w:shd w:val="clear" w:color="auto" w:fill="FFFFFF"/>
          <w:lang w:val="en-US"/>
        </w:rPr>
        <w:t> 2011; </w:t>
      </w:r>
      <w:r w:rsidRPr="00A30FAB">
        <w:rPr>
          <w:rFonts w:eastAsiaTheme="minorHAnsi" w:cs="Calibri"/>
          <w:b/>
          <w:bCs/>
          <w:color w:val="000000" w:themeColor="text1"/>
          <w:shd w:val="clear" w:color="auto" w:fill="FFFFFF"/>
          <w:lang w:val="en-US"/>
        </w:rPr>
        <w:t>8</w:t>
      </w:r>
      <w:r w:rsidRPr="00A30FAB">
        <w:rPr>
          <w:rFonts w:eastAsiaTheme="minorHAnsi" w:cs="Calibri"/>
          <w:color w:val="000000" w:themeColor="text1"/>
          <w:shd w:val="clear" w:color="auto" w:fill="FFFFFF"/>
          <w:lang w:val="en-US"/>
        </w:rPr>
        <w:t>: 117-124 [PMID: 21562063 DOI: 10.1177/1479164111404257]</w:t>
      </w:r>
    </w:p>
    <w:p w14:paraId="5F67CA41"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143 </w:t>
      </w:r>
      <w:r w:rsidRPr="00A30FAB">
        <w:rPr>
          <w:rFonts w:eastAsiaTheme="minorHAnsi" w:cs="Calibri"/>
          <w:b/>
          <w:bCs/>
          <w:color w:val="000000" w:themeColor="text1"/>
          <w:shd w:val="clear" w:color="auto" w:fill="FFFFFF"/>
          <w:lang w:val="en-US"/>
        </w:rPr>
        <w:t>Del Olmo-Garcia MI</w:t>
      </w:r>
      <w:r w:rsidRPr="00A30FAB">
        <w:rPr>
          <w:rFonts w:eastAsiaTheme="minorHAnsi" w:cs="Calibri"/>
          <w:color w:val="000000" w:themeColor="text1"/>
          <w:shd w:val="clear" w:color="auto" w:fill="FFFFFF"/>
          <w:lang w:val="en-US"/>
        </w:rPr>
        <w:t>, Merino-Torres JF. GLP-1 Receptor Agonists and Cardiovascular Disease in Patients with Type 2 Diabetes. </w:t>
      </w:r>
      <w:r w:rsidRPr="00A30FAB">
        <w:rPr>
          <w:rFonts w:eastAsiaTheme="minorHAnsi" w:cs="Calibri"/>
          <w:i/>
          <w:iCs/>
          <w:color w:val="000000" w:themeColor="text1"/>
          <w:shd w:val="clear" w:color="auto" w:fill="FFFFFF"/>
          <w:lang w:val="en-US"/>
        </w:rPr>
        <w:t>J Diabetes Res</w:t>
      </w:r>
      <w:r w:rsidRPr="00A30FAB">
        <w:rPr>
          <w:rFonts w:eastAsiaTheme="minorHAnsi" w:cs="Calibri"/>
          <w:color w:val="000000" w:themeColor="text1"/>
          <w:shd w:val="clear" w:color="auto" w:fill="FFFFFF"/>
          <w:lang w:val="en-US"/>
        </w:rPr>
        <w:t> 2018; </w:t>
      </w:r>
      <w:r w:rsidRPr="00A30FAB">
        <w:rPr>
          <w:rFonts w:eastAsiaTheme="minorHAnsi" w:cs="Calibri"/>
          <w:b/>
          <w:bCs/>
          <w:color w:val="000000" w:themeColor="text1"/>
          <w:shd w:val="clear" w:color="auto" w:fill="FFFFFF"/>
          <w:lang w:val="en-US"/>
        </w:rPr>
        <w:t>2018</w:t>
      </w:r>
      <w:r w:rsidRPr="00A30FAB">
        <w:rPr>
          <w:rFonts w:eastAsiaTheme="minorHAnsi" w:cs="Calibri"/>
          <w:color w:val="000000" w:themeColor="text1"/>
          <w:shd w:val="clear" w:color="auto" w:fill="FFFFFF"/>
          <w:lang w:val="en-US"/>
        </w:rPr>
        <w:t>: 4020492 [PMID: 29805980 DOI: 10.1155/2018/4020492]</w:t>
      </w:r>
    </w:p>
    <w:p w14:paraId="2BC71806"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144 </w:t>
      </w:r>
      <w:r w:rsidRPr="00A30FAB">
        <w:rPr>
          <w:rFonts w:eastAsiaTheme="minorHAnsi" w:cs="Calibri"/>
          <w:b/>
          <w:bCs/>
          <w:color w:val="000000" w:themeColor="text1"/>
          <w:shd w:val="clear" w:color="auto" w:fill="FFFFFF"/>
          <w:lang w:val="en-US"/>
        </w:rPr>
        <w:t>Lønborg J</w:t>
      </w:r>
      <w:r w:rsidRPr="00A30FAB">
        <w:rPr>
          <w:rFonts w:eastAsiaTheme="minorHAnsi" w:cs="Calibri"/>
          <w:color w:val="000000" w:themeColor="text1"/>
          <w:shd w:val="clear" w:color="auto" w:fill="FFFFFF"/>
          <w:lang w:val="en-US"/>
        </w:rPr>
        <w:t>, Vejlstrup N, Kelbæk H, Bøtker HE, Kim WY, Mathiasen AB, Jørgensen E, Helqvist S, Saunamäki K, Clemmensen P, Holmvang L, Thuesen L, Krusell LR, Jensen JS, Køber L, Treiman M, Holst JJ, Engstrøm T. Exenatide reduces reperfusion injury in patients with ST-segment elevation myocardial infarction. </w:t>
      </w:r>
      <w:r w:rsidRPr="00A30FAB">
        <w:rPr>
          <w:rFonts w:eastAsiaTheme="minorHAnsi" w:cs="Calibri"/>
          <w:i/>
          <w:iCs/>
          <w:color w:val="000000" w:themeColor="text1"/>
          <w:shd w:val="clear" w:color="auto" w:fill="FFFFFF"/>
          <w:lang w:val="en-US"/>
        </w:rPr>
        <w:t>Eur Heart J</w:t>
      </w:r>
      <w:r w:rsidRPr="00A30FAB">
        <w:rPr>
          <w:rFonts w:eastAsiaTheme="minorHAnsi" w:cs="Calibri"/>
          <w:color w:val="000000" w:themeColor="text1"/>
          <w:shd w:val="clear" w:color="auto" w:fill="FFFFFF"/>
          <w:lang w:val="en-US"/>
        </w:rPr>
        <w:t> 2012; </w:t>
      </w:r>
      <w:r w:rsidRPr="00A30FAB">
        <w:rPr>
          <w:rFonts w:eastAsiaTheme="minorHAnsi" w:cs="Calibri"/>
          <w:b/>
          <w:bCs/>
          <w:color w:val="000000" w:themeColor="text1"/>
          <w:shd w:val="clear" w:color="auto" w:fill="FFFFFF"/>
          <w:lang w:val="en-US"/>
        </w:rPr>
        <w:t>33</w:t>
      </w:r>
      <w:r w:rsidRPr="00A30FAB">
        <w:rPr>
          <w:rFonts w:eastAsiaTheme="minorHAnsi" w:cs="Calibri"/>
          <w:color w:val="000000" w:themeColor="text1"/>
          <w:shd w:val="clear" w:color="auto" w:fill="FFFFFF"/>
          <w:lang w:val="en-US"/>
        </w:rPr>
        <w:t>: 1491-1499 [PMID: 21920963 DOI: 10.1093/eurheartj/ehr309]</w:t>
      </w:r>
    </w:p>
    <w:p w14:paraId="0FF1740D"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145 </w:t>
      </w:r>
      <w:r w:rsidRPr="00A30FAB">
        <w:rPr>
          <w:rFonts w:eastAsiaTheme="minorHAnsi" w:cs="Calibri"/>
          <w:b/>
          <w:bCs/>
          <w:color w:val="000000" w:themeColor="text1"/>
          <w:shd w:val="clear" w:color="auto" w:fill="FFFFFF"/>
          <w:lang w:val="en-US"/>
        </w:rPr>
        <w:t>Woo JS</w:t>
      </w:r>
      <w:r w:rsidRPr="00A30FAB">
        <w:rPr>
          <w:rFonts w:eastAsiaTheme="minorHAnsi" w:cs="Calibri"/>
          <w:color w:val="000000" w:themeColor="text1"/>
          <w:shd w:val="clear" w:color="auto" w:fill="FFFFFF"/>
          <w:lang w:val="en-US"/>
        </w:rPr>
        <w:t>, Kim W, Ha SJ, Kim JB, Kim SJ, Kim WS, Seon HJ, Kim KS. Cardioprotective effects of exenatide in patients with ST-segment-elevation myocardial infarction undergoing primary percutaneous coronary intervention: results of exenatide myocardial protection in revascularization study. </w:t>
      </w:r>
      <w:r w:rsidRPr="00A30FAB">
        <w:rPr>
          <w:rFonts w:eastAsiaTheme="minorHAnsi" w:cs="Calibri"/>
          <w:i/>
          <w:iCs/>
          <w:color w:val="000000" w:themeColor="text1"/>
          <w:shd w:val="clear" w:color="auto" w:fill="FFFFFF"/>
          <w:lang w:val="en-US"/>
        </w:rPr>
        <w:t>Arterioscler Thromb Vasc Biol</w:t>
      </w:r>
      <w:r w:rsidRPr="00A30FAB">
        <w:rPr>
          <w:rFonts w:eastAsiaTheme="minorHAnsi" w:cs="Calibri"/>
          <w:color w:val="000000" w:themeColor="text1"/>
          <w:shd w:val="clear" w:color="auto" w:fill="FFFFFF"/>
          <w:lang w:val="en-US"/>
        </w:rPr>
        <w:t> 2013; </w:t>
      </w:r>
      <w:r w:rsidRPr="00A30FAB">
        <w:rPr>
          <w:rFonts w:eastAsiaTheme="minorHAnsi" w:cs="Calibri"/>
          <w:b/>
          <w:bCs/>
          <w:color w:val="000000" w:themeColor="text1"/>
          <w:shd w:val="clear" w:color="auto" w:fill="FFFFFF"/>
          <w:lang w:val="en-US"/>
        </w:rPr>
        <w:t>33</w:t>
      </w:r>
      <w:r w:rsidRPr="00A30FAB">
        <w:rPr>
          <w:rFonts w:eastAsiaTheme="minorHAnsi" w:cs="Calibri"/>
          <w:color w:val="000000" w:themeColor="text1"/>
          <w:shd w:val="clear" w:color="auto" w:fill="FFFFFF"/>
          <w:lang w:val="en-US"/>
        </w:rPr>
        <w:t>: 2252-2260 [PMID: 23868944 DOI: 10.1161/ATVBAHA.113.301586]</w:t>
      </w:r>
    </w:p>
    <w:p w14:paraId="3CFDD058"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146 </w:t>
      </w:r>
      <w:r w:rsidRPr="00A30FAB">
        <w:rPr>
          <w:rFonts w:eastAsiaTheme="minorHAnsi" w:cs="Calibri"/>
          <w:b/>
          <w:bCs/>
          <w:color w:val="000000" w:themeColor="text1"/>
          <w:shd w:val="clear" w:color="auto" w:fill="FFFFFF"/>
          <w:lang w:val="en-US"/>
        </w:rPr>
        <w:t>Buse JB</w:t>
      </w:r>
      <w:r w:rsidRPr="00A30FAB">
        <w:rPr>
          <w:rFonts w:eastAsiaTheme="minorHAnsi" w:cs="Calibri"/>
          <w:color w:val="000000" w:themeColor="text1"/>
          <w:shd w:val="clear" w:color="auto" w:fill="FFFFFF"/>
          <w:lang w:val="en-US"/>
        </w:rPr>
        <w:t>; the LEADER Steering Committee. Liraglutide and Cardiovascular Outcomes in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2016; </w:t>
      </w:r>
      <w:r w:rsidRPr="00A30FAB">
        <w:rPr>
          <w:rFonts w:eastAsiaTheme="minorHAnsi" w:cs="Calibri"/>
          <w:b/>
          <w:bCs/>
          <w:color w:val="000000" w:themeColor="text1"/>
          <w:shd w:val="clear" w:color="auto" w:fill="FFFFFF"/>
          <w:lang w:val="en-US"/>
        </w:rPr>
        <w:t>375</w:t>
      </w:r>
      <w:r w:rsidRPr="00A30FAB">
        <w:rPr>
          <w:rFonts w:eastAsiaTheme="minorHAnsi" w:cs="Calibri"/>
          <w:color w:val="000000" w:themeColor="text1"/>
          <w:shd w:val="clear" w:color="auto" w:fill="FFFFFF"/>
          <w:lang w:val="en-US"/>
        </w:rPr>
        <w:t>: 1798-1799 [PMID: 27806225 DOI: 10.1056/NEJMc1611289]</w:t>
      </w:r>
    </w:p>
    <w:p w14:paraId="702E8D98"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147 </w:t>
      </w:r>
      <w:r w:rsidRPr="00A30FAB">
        <w:rPr>
          <w:rFonts w:eastAsiaTheme="minorHAnsi" w:cs="Calibri"/>
          <w:b/>
          <w:bCs/>
          <w:color w:val="000000" w:themeColor="text1"/>
          <w:shd w:val="clear" w:color="auto" w:fill="FFFFFF"/>
          <w:lang w:val="en-US"/>
        </w:rPr>
        <w:t>Husain M</w:t>
      </w:r>
      <w:r w:rsidRPr="00A30FAB">
        <w:rPr>
          <w:rFonts w:eastAsiaTheme="minorHAnsi" w:cs="Calibri"/>
          <w:color w:val="000000" w:themeColor="text1"/>
          <w:shd w:val="clear" w:color="auto" w:fill="FFFFFF"/>
          <w:lang w:val="en-US"/>
        </w:rPr>
        <w:t>, Birkenfeld AL, Donsmark M, Dungan K, Eliaschewitz FG, Franco DR, Jeppesen OK, Lingvay I, Mosenzon O, Pedersen SD, Tack CJ, Thomsen M, Vilsbøll T, Warren ML, Bain SC; PIONEER 6 Investigators. Oral Semaglutide and Cardiovascular Outcomes in Patients with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2019; </w:t>
      </w:r>
      <w:r w:rsidRPr="00A30FAB">
        <w:rPr>
          <w:rFonts w:eastAsiaTheme="minorHAnsi" w:cs="Calibri"/>
          <w:b/>
          <w:bCs/>
          <w:color w:val="000000" w:themeColor="text1"/>
          <w:shd w:val="clear" w:color="auto" w:fill="FFFFFF"/>
          <w:lang w:val="en-US"/>
        </w:rPr>
        <w:t>381</w:t>
      </w:r>
      <w:r w:rsidRPr="00A30FAB">
        <w:rPr>
          <w:rFonts w:eastAsiaTheme="minorHAnsi" w:cs="Calibri"/>
          <w:color w:val="000000" w:themeColor="text1"/>
          <w:shd w:val="clear" w:color="auto" w:fill="FFFFFF"/>
          <w:lang w:val="en-US"/>
        </w:rPr>
        <w:t>: 841-851 [PMID: 31185157 DOI: 10.1056/NEJMoa1901118]</w:t>
      </w:r>
    </w:p>
    <w:p w14:paraId="44FAE0F4"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148 </w:t>
      </w:r>
      <w:r w:rsidRPr="00A30FAB">
        <w:rPr>
          <w:rFonts w:eastAsiaTheme="minorHAnsi" w:cs="Calibri"/>
          <w:b/>
          <w:bCs/>
          <w:color w:val="000000" w:themeColor="text1"/>
          <w:shd w:val="clear" w:color="auto" w:fill="FFFFFF"/>
          <w:lang w:val="en-US"/>
        </w:rPr>
        <w:t>Wiviott SD</w:t>
      </w:r>
      <w:r w:rsidRPr="00A30FAB">
        <w:rPr>
          <w:rFonts w:eastAsiaTheme="minorHAnsi" w:cs="Calibri"/>
          <w:color w:val="000000" w:themeColor="text1"/>
          <w:shd w:val="clear" w:color="auto" w:fill="FFFFFF"/>
          <w:lang w:val="en-US"/>
        </w:rPr>
        <w:t>, Raz I, Bonaca MP, Mosenzon O, Kato ET, Cahn A, Silverman MG, Zelniker TA, Kuder JF, Murphy SA, Bhatt DL, Leiter LA, McGuire DK, Wilding JPH, Ruff CT, Gause-Nilsson IAM, Fredriksson M, Johansson PA, Langkilde AM, Sabatine MS; DECLARE–TIMI 58 Investigators. Dapagliflozin and Cardiovascular Outcomes in Type 2 Diabetes. </w:t>
      </w:r>
      <w:r w:rsidRPr="00A30FAB">
        <w:rPr>
          <w:rFonts w:eastAsiaTheme="minorHAnsi" w:cs="Calibri"/>
          <w:i/>
          <w:iCs/>
          <w:color w:val="000000" w:themeColor="text1"/>
          <w:shd w:val="clear" w:color="auto" w:fill="FFFFFF"/>
          <w:lang w:val="en-US"/>
        </w:rPr>
        <w:t>N Engl J Med</w:t>
      </w:r>
      <w:r w:rsidRPr="00A30FAB">
        <w:rPr>
          <w:rFonts w:eastAsiaTheme="minorHAnsi" w:cs="Calibri"/>
          <w:color w:val="000000" w:themeColor="text1"/>
          <w:shd w:val="clear" w:color="auto" w:fill="FFFFFF"/>
          <w:lang w:val="en-US"/>
        </w:rPr>
        <w:t> 2019; </w:t>
      </w:r>
      <w:r w:rsidRPr="00A30FAB">
        <w:rPr>
          <w:rFonts w:eastAsiaTheme="minorHAnsi" w:cs="Calibri"/>
          <w:b/>
          <w:bCs/>
          <w:color w:val="000000" w:themeColor="text1"/>
          <w:shd w:val="clear" w:color="auto" w:fill="FFFFFF"/>
          <w:lang w:val="en-US"/>
        </w:rPr>
        <w:t>380</w:t>
      </w:r>
      <w:r w:rsidRPr="00A30FAB">
        <w:rPr>
          <w:rFonts w:eastAsiaTheme="minorHAnsi" w:cs="Calibri"/>
          <w:color w:val="000000" w:themeColor="text1"/>
          <w:shd w:val="clear" w:color="auto" w:fill="FFFFFF"/>
          <w:lang w:val="en-US"/>
        </w:rPr>
        <w:t>: 347-357 [PMID: 30415602 DOI: 10.1056/NEJMoa1812389]</w:t>
      </w:r>
    </w:p>
    <w:p w14:paraId="6794B74C"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149 </w:t>
      </w:r>
      <w:r w:rsidRPr="00A30FAB">
        <w:rPr>
          <w:rFonts w:eastAsiaTheme="minorHAnsi" w:cs="Calibri"/>
          <w:b/>
          <w:bCs/>
          <w:color w:val="000000" w:themeColor="text1"/>
          <w:shd w:val="clear" w:color="auto" w:fill="FFFFFF"/>
          <w:lang w:val="en-US"/>
        </w:rPr>
        <w:t>Sattar N</w:t>
      </w:r>
      <w:r w:rsidRPr="00A30FAB">
        <w:rPr>
          <w:rFonts w:eastAsiaTheme="minorHAnsi" w:cs="Calibri"/>
          <w:color w:val="000000" w:themeColor="text1"/>
          <w:shd w:val="clear" w:color="auto" w:fill="FFFFFF"/>
          <w:lang w:val="en-US"/>
        </w:rPr>
        <w:t>, Petrie MC, Zinman B, Januzzi JL Jr. Novel Diabetes Drugs and the Cardiovascular Specialist. </w:t>
      </w:r>
      <w:r w:rsidRPr="00A30FAB">
        <w:rPr>
          <w:rFonts w:eastAsiaTheme="minorHAnsi" w:cs="Calibri"/>
          <w:i/>
          <w:iCs/>
          <w:color w:val="000000" w:themeColor="text1"/>
          <w:shd w:val="clear" w:color="auto" w:fill="FFFFFF"/>
          <w:lang w:val="en-US"/>
        </w:rPr>
        <w:t>J Am Coll Cardiol</w:t>
      </w:r>
      <w:r w:rsidRPr="00A30FAB">
        <w:rPr>
          <w:rFonts w:eastAsiaTheme="minorHAnsi" w:cs="Calibri"/>
          <w:color w:val="000000" w:themeColor="text1"/>
          <w:shd w:val="clear" w:color="auto" w:fill="FFFFFF"/>
          <w:lang w:val="en-US"/>
        </w:rPr>
        <w:t> 2017; </w:t>
      </w:r>
      <w:r w:rsidRPr="00A30FAB">
        <w:rPr>
          <w:rFonts w:eastAsiaTheme="minorHAnsi" w:cs="Calibri"/>
          <w:b/>
          <w:bCs/>
          <w:color w:val="000000" w:themeColor="text1"/>
          <w:shd w:val="clear" w:color="auto" w:fill="FFFFFF"/>
          <w:lang w:val="en-US"/>
        </w:rPr>
        <w:t>69</w:t>
      </w:r>
      <w:r w:rsidRPr="00A30FAB">
        <w:rPr>
          <w:rFonts w:eastAsiaTheme="minorHAnsi" w:cs="Calibri"/>
          <w:color w:val="000000" w:themeColor="text1"/>
          <w:shd w:val="clear" w:color="auto" w:fill="FFFFFF"/>
          <w:lang w:val="en-US"/>
        </w:rPr>
        <w:t>: 2646-2656 [PMID: 28545639 DOI: 10.1016/j.jacc.2017.04.014]</w:t>
      </w:r>
    </w:p>
    <w:p w14:paraId="4F48C376"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150 </w:t>
      </w:r>
      <w:r w:rsidRPr="00A30FAB">
        <w:rPr>
          <w:rFonts w:eastAsiaTheme="minorHAnsi" w:cs="Calibri"/>
          <w:b/>
          <w:bCs/>
          <w:color w:val="000000" w:themeColor="text1"/>
          <w:shd w:val="clear" w:color="auto" w:fill="FFFFFF"/>
          <w:lang w:val="en-US"/>
        </w:rPr>
        <w:t>Mudaliar S</w:t>
      </w:r>
      <w:r w:rsidRPr="00A30FAB">
        <w:rPr>
          <w:rFonts w:eastAsiaTheme="minorHAnsi" w:cs="Calibri"/>
          <w:color w:val="000000" w:themeColor="text1"/>
          <w:shd w:val="clear" w:color="auto" w:fill="FFFFFF"/>
          <w:lang w:val="en-US"/>
        </w:rPr>
        <w:t>, Alloju S, Henry RR. Can a Shift in Fuel Energetics Explain the Beneficial Cardiorenal Outcomes in the EMPA-REG OUTCOME Study? A Unifying Hypothesis. </w:t>
      </w:r>
      <w:r w:rsidRPr="00A30FAB">
        <w:rPr>
          <w:rFonts w:eastAsiaTheme="minorHAnsi" w:cs="Calibri"/>
          <w:i/>
          <w:iCs/>
          <w:color w:val="000000" w:themeColor="text1"/>
          <w:shd w:val="clear" w:color="auto" w:fill="FFFFFF"/>
          <w:lang w:val="en-US"/>
        </w:rPr>
        <w:t>Diabetes Care</w:t>
      </w:r>
      <w:r w:rsidRPr="00A30FAB">
        <w:rPr>
          <w:rFonts w:eastAsiaTheme="minorHAnsi" w:cs="Calibri"/>
          <w:color w:val="000000" w:themeColor="text1"/>
          <w:shd w:val="clear" w:color="auto" w:fill="FFFFFF"/>
          <w:lang w:val="en-US"/>
        </w:rPr>
        <w:t> 2016; </w:t>
      </w:r>
      <w:r w:rsidRPr="00A30FAB">
        <w:rPr>
          <w:rFonts w:eastAsiaTheme="minorHAnsi" w:cs="Calibri"/>
          <w:b/>
          <w:bCs/>
          <w:color w:val="000000" w:themeColor="text1"/>
          <w:shd w:val="clear" w:color="auto" w:fill="FFFFFF"/>
          <w:lang w:val="en-US"/>
        </w:rPr>
        <w:t>39</w:t>
      </w:r>
      <w:r w:rsidRPr="00A30FAB">
        <w:rPr>
          <w:rFonts w:eastAsiaTheme="minorHAnsi" w:cs="Calibri"/>
          <w:color w:val="000000" w:themeColor="text1"/>
          <w:shd w:val="clear" w:color="auto" w:fill="FFFFFF"/>
          <w:lang w:val="en-US"/>
        </w:rPr>
        <w:t>: 1115-1122 [PMID: 27289124 DOI: 10.2337/dc16-0542]</w:t>
      </w:r>
    </w:p>
    <w:p w14:paraId="357F7270"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151 </w:t>
      </w:r>
      <w:r w:rsidRPr="00A30FAB">
        <w:rPr>
          <w:rFonts w:eastAsiaTheme="minorHAnsi" w:cs="Calibri"/>
          <w:b/>
          <w:bCs/>
          <w:color w:val="000000" w:themeColor="text1"/>
          <w:shd w:val="clear" w:color="auto" w:fill="FFFFFF"/>
          <w:lang w:val="en-US"/>
        </w:rPr>
        <w:t>Kim TT</w:t>
      </w:r>
      <w:r w:rsidRPr="00A30FAB">
        <w:rPr>
          <w:rFonts w:eastAsiaTheme="minorHAnsi" w:cs="Calibri"/>
          <w:color w:val="000000" w:themeColor="text1"/>
          <w:shd w:val="clear" w:color="auto" w:fill="FFFFFF"/>
          <w:lang w:val="en-US"/>
        </w:rPr>
        <w:t>, Dyck JR. The role of CD36 in the regulation of myocardial lipid metabolism. </w:t>
      </w:r>
      <w:r w:rsidRPr="00A30FAB">
        <w:rPr>
          <w:rFonts w:eastAsiaTheme="minorHAnsi" w:cs="Calibri"/>
          <w:i/>
          <w:iCs/>
          <w:color w:val="000000" w:themeColor="text1"/>
          <w:shd w:val="clear" w:color="auto" w:fill="FFFFFF"/>
          <w:lang w:val="en-US"/>
        </w:rPr>
        <w:t>Biochim Biophys Acta</w:t>
      </w:r>
      <w:r w:rsidRPr="00A30FAB">
        <w:rPr>
          <w:rFonts w:eastAsiaTheme="minorHAnsi" w:cs="Calibri"/>
          <w:color w:val="000000" w:themeColor="text1"/>
          <w:shd w:val="clear" w:color="auto" w:fill="FFFFFF"/>
          <w:lang w:val="en-US"/>
        </w:rPr>
        <w:t> 2016; </w:t>
      </w:r>
      <w:r w:rsidRPr="00A30FAB">
        <w:rPr>
          <w:rFonts w:eastAsiaTheme="minorHAnsi" w:cs="Calibri"/>
          <w:b/>
          <w:bCs/>
          <w:color w:val="000000" w:themeColor="text1"/>
          <w:shd w:val="clear" w:color="auto" w:fill="FFFFFF"/>
          <w:lang w:val="en-US"/>
        </w:rPr>
        <w:t>1861</w:t>
      </w:r>
      <w:r w:rsidRPr="00A30FAB">
        <w:rPr>
          <w:rFonts w:eastAsiaTheme="minorHAnsi" w:cs="Calibri"/>
          <w:color w:val="000000" w:themeColor="text1"/>
          <w:shd w:val="clear" w:color="auto" w:fill="FFFFFF"/>
          <w:lang w:val="en-US"/>
        </w:rPr>
        <w:t>: 1450-1460 [PMID: 26995462 DOI: 10.1016/j.bbalip.2016.03.018]</w:t>
      </w:r>
    </w:p>
    <w:p w14:paraId="75561417" w14:textId="77777777"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152 </w:t>
      </w:r>
      <w:r w:rsidRPr="00A30FAB">
        <w:rPr>
          <w:rFonts w:eastAsiaTheme="minorHAnsi" w:cs="Calibri"/>
          <w:b/>
          <w:bCs/>
          <w:color w:val="000000" w:themeColor="text1"/>
          <w:shd w:val="clear" w:color="auto" w:fill="FFFFFF"/>
          <w:lang w:val="en-US"/>
        </w:rPr>
        <w:t>Kathirvel E</w:t>
      </w:r>
      <w:r w:rsidRPr="00A30FAB">
        <w:rPr>
          <w:rFonts w:eastAsiaTheme="minorHAnsi" w:cs="Calibri"/>
          <w:color w:val="000000" w:themeColor="text1"/>
          <w:shd w:val="clear" w:color="auto" w:fill="FFFFFF"/>
          <w:lang w:val="en-US"/>
        </w:rPr>
        <w:t>, Morgan K, French SW, Morgan TR. Acetyl-L-carnitine and lipoic acid improve mitochondrial abnormalities and serum levels of liver enzymes in a mouse model of nonalcoholic fatty liver disease. </w:t>
      </w:r>
      <w:r w:rsidRPr="00A30FAB">
        <w:rPr>
          <w:rFonts w:eastAsiaTheme="minorHAnsi" w:cs="Calibri"/>
          <w:i/>
          <w:iCs/>
          <w:color w:val="000000" w:themeColor="text1"/>
          <w:shd w:val="clear" w:color="auto" w:fill="FFFFFF"/>
          <w:lang w:val="en-US"/>
        </w:rPr>
        <w:t>Nutr Res</w:t>
      </w:r>
      <w:r w:rsidRPr="00A30FAB">
        <w:rPr>
          <w:rFonts w:eastAsiaTheme="minorHAnsi" w:cs="Calibri"/>
          <w:color w:val="000000" w:themeColor="text1"/>
          <w:shd w:val="clear" w:color="auto" w:fill="FFFFFF"/>
          <w:lang w:val="en-US"/>
        </w:rPr>
        <w:t> 2013; </w:t>
      </w:r>
      <w:r w:rsidRPr="00A30FAB">
        <w:rPr>
          <w:rFonts w:eastAsiaTheme="minorHAnsi" w:cs="Calibri"/>
          <w:b/>
          <w:bCs/>
          <w:color w:val="000000" w:themeColor="text1"/>
          <w:shd w:val="clear" w:color="auto" w:fill="FFFFFF"/>
          <w:lang w:val="en-US"/>
        </w:rPr>
        <w:t>33</w:t>
      </w:r>
      <w:r w:rsidRPr="00A30FAB">
        <w:rPr>
          <w:rFonts w:eastAsiaTheme="minorHAnsi" w:cs="Calibri"/>
          <w:color w:val="000000" w:themeColor="text1"/>
          <w:shd w:val="clear" w:color="auto" w:fill="FFFFFF"/>
          <w:lang w:val="en-US"/>
        </w:rPr>
        <w:t>: 932-941 [PMID: 24176233 DOI: 10.1016/j.nutres.2013.08.001]</w:t>
      </w:r>
    </w:p>
    <w:p w14:paraId="024DBBA8" w14:textId="6A869CD2"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153 </w:t>
      </w:r>
      <w:r w:rsidR="002F6110" w:rsidRPr="00A30FAB">
        <w:rPr>
          <w:rFonts w:eastAsiaTheme="minorHAnsi" w:cs="Calibri"/>
          <w:b/>
          <w:bCs/>
          <w:color w:val="000000" w:themeColor="text1"/>
          <w:shd w:val="clear" w:color="auto" w:fill="FFFFFF"/>
          <w:lang w:val="en-US"/>
        </w:rPr>
        <w:t xml:space="preserve">Hales </w:t>
      </w:r>
      <w:r w:rsidRPr="00A30FAB">
        <w:rPr>
          <w:rFonts w:eastAsiaTheme="minorHAnsi" w:cs="Calibri"/>
          <w:b/>
          <w:bCs/>
          <w:color w:val="000000" w:themeColor="text1"/>
          <w:shd w:val="clear" w:color="auto" w:fill="FFFFFF"/>
          <w:lang w:val="en-US"/>
        </w:rPr>
        <w:t>CN</w:t>
      </w:r>
      <w:r w:rsidRPr="00A30FAB">
        <w:rPr>
          <w:rFonts w:eastAsiaTheme="minorHAnsi" w:cs="Calibri"/>
          <w:color w:val="000000" w:themeColor="text1"/>
          <w:shd w:val="clear" w:color="auto" w:fill="FFFFFF"/>
          <w:lang w:val="en-US"/>
        </w:rPr>
        <w:t xml:space="preserve">, </w:t>
      </w:r>
      <w:r w:rsidR="002F6110" w:rsidRPr="002F6110">
        <w:rPr>
          <w:rFonts w:eastAsiaTheme="minorHAnsi"/>
        </w:rPr>
        <w:t>Randle</w:t>
      </w:r>
      <w:r w:rsidR="002F6110" w:rsidRPr="00A30FAB">
        <w:rPr>
          <w:rFonts w:eastAsiaTheme="minorHAnsi" w:cs="Calibri"/>
          <w:color w:val="000000" w:themeColor="text1"/>
          <w:shd w:val="clear" w:color="auto" w:fill="FFFFFF"/>
          <w:lang w:val="en-US"/>
        </w:rPr>
        <w:t xml:space="preserve"> </w:t>
      </w:r>
      <w:r w:rsidRPr="00A30FAB">
        <w:rPr>
          <w:rFonts w:eastAsiaTheme="minorHAnsi" w:cs="Calibri"/>
          <w:color w:val="000000" w:themeColor="text1"/>
          <w:shd w:val="clear" w:color="auto" w:fill="FFFFFF"/>
          <w:lang w:val="en-US"/>
        </w:rPr>
        <w:t>PJ. Effects of low-carbohydrate diet and diabetes mellitus on plasma concentrations of glucose, non-esterified fatty acid, and insulin during oral glucose-tolerance tests. </w:t>
      </w:r>
      <w:r w:rsidRPr="00A30FAB">
        <w:rPr>
          <w:rFonts w:eastAsiaTheme="minorHAnsi" w:cs="Calibri"/>
          <w:i/>
          <w:iCs/>
          <w:color w:val="000000" w:themeColor="text1"/>
          <w:shd w:val="clear" w:color="auto" w:fill="FFFFFF"/>
          <w:lang w:val="en-US"/>
        </w:rPr>
        <w:t>Lancet</w:t>
      </w:r>
      <w:r w:rsidRPr="00A30FAB">
        <w:rPr>
          <w:rFonts w:eastAsiaTheme="minorHAnsi" w:cs="Calibri"/>
          <w:color w:val="000000" w:themeColor="text1"/>
          <w:shd w:val="clear" w:color="auto" w:fill="FFFFFF"/>
          <w:lang w:val="en-US"/>
        </w:rPr>
        <w:t> 1963; </w:t>
      </w:r>
      <w:r w:rsidRPr="00A30FAB">
        <w:rPr>
          <w:rFonts w:eastAsiaTheme="minorHAnsi" w:cs="Calibri"/>
          <w:b/>
          <w:bCs/>
          <w:color w:val="000000" w:themeColor="text1"/>
          <w:shd w:val="clear" w:color="auto" w:fill="FFFFFF"/>
          <w:lang w:val="en-US"/>
        </w:rPr>
        <w:t>1</w:t>
      </w:r>
      <w:r w:rsidRPr="00A30FAB">
        <w:rPr>
          <w:rFonts w:eastAsiaTheme="minorHAnsi" w:cs="Calibri"/>
          <w:color w:val="000000" w:themeColor="text1"/>
          <w:shd w:val="clear" w:color="auto" w:fill="FFFFFF"/>
          <w:lang w:val="en-US"/>
        </w:rPr>
        <w:t>: 790-794 [PMID: 13952080 DOI: 10.1016/S0140-6736(63)91501-0]</w:t>
      </w:r>
    </w:p>
    <w:p w14:paraId="7B24D4E6" w14:textId="0A2540FE" w:rsidR="00A30FAB" w:rsidRP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154</w:t>
      </w:r>
      <w:r w:rsidR="00CF273D">
        <w:rPr>
          <w:rFonts w:eastAsiaTheme="minorHAnsi" w:cs="Calibri"/>
          <w:color w:val="000000" w:themeColor="text1"/>
          <w:shd w:val="clear" w:color="auto" w:fill="FFFFFF"/>
          <w:lang w:val="en-US"/>
        </w:rPr>
        <w:t xml:space="preserve"> </w:t>
      </w:r>
      <w:r w:rsidRPr="00CF273D">
        <w:rPr>
          <w:rFonts w:eastAsiaTheme="minorHAnsi" w:cs="Calibri"/>
          <w:b/>
          <w:bCs/>
          <w:color w:val="000000" w:themeColor="text1"/>
          <w:shd w:val="clear" w:color="auto" w:fill="FFFFFF"/>
          <w:lang w:val="en-US"/>
        </w:rPr>
        <w:t>Matshela M</w:t>
      </w:r>
      <w:r w:rsidRPr="00A30FAB">
        <w:rPr>
          <w:rFonts w:eastAsiaTheme="minorHAnsi" w:cs="Calibri"/>
          <w:color w:val="000000" w:themeColor="text1"/>
          <w:shd w:val="clear" w:color="auto" w:fill="FFFFFF"/>
          <w:lang w:val="en-US"/>
        </w:rPr>
        <w:t xml:space="preserve">. Second in a series on diabetes and the heart: diabetic cardiomyopathy-mechanisms and mode of diagnosis. </w:t>
      </w:r>
      <w:r w:rsidRPr="00CF273D">
        <w:rPr>
          <w:rFonts w:eastAsiaTheme="minorHAnsi" w:cs="Calibri"/>
          <w:i/>
          <w:iCs/>
          <w:color w:val="000000" w:themeColor="text1"/>
          <w:shd w:val="clear" w:color="auto" w:fill="FFFFFF"/>
          <w:lang w:val="en-US"/>
        </w:rPr>
        <w:t>E-Journal of Cardiology</w:t>
      </w:r>
      <w:r w:rsidRPr="00A30FAB">
        <w:rPr>
          <w:rFonts w:eastAsiaTheme="minorHAnsi" w:cs="Calibri"/>
          <w:color w:val="000000" w:themeColor="text1"/>
          <w:shd w:val="clear" w:color="auto" w:fill="FFFFFF"/>
          <w:lang w:val="en-US"/>
        </w:rPr>
        <w:t xml:space="preserve"> </w:t>
      </w:r>
      <w:r w:rsidR="00CF273D" w:rsidRPr="00CF273D">
        <w:rPr>
          <w:rFonts w:eastAsiaTheme="minorHAnsi" w:cs="Calibri"/>
          <w:i/>
          <w:iCs/>
          <w:color w:val="000000" w:themeColor="text1"/>
          <w:shd w:val="clear" w:color="auto" w:fill="FFFFFF"/>
          <w:lang w:val="en-US"/>
        </w:rPr>
        <w:t>P</w:t>
      </w:r>
      <w:r w:rsidRPr="00CF273D">
        <w:rPr>
          <w:rFonts w:eastAsiaTheme="minorHAnsi" w:cs="Calibri"/>
          <w:i/>
          <w:iCs/>
          <w:color w:val="000000" w:themeColor="text1"/>
          <w:shd w:val="clear" w:color="auto" w:fill="FFFFFF"/>
          <w:lang w:val="en-US"/>
        </w:rPr>
        <w:t>ractice</w:t>
      </w:r>
      <w:r w:rsidR="00CF273D" w:rsidRPr="00CF273D">
        <w:rPr>
          <w:rFonts w:eastAsiaTheme="minorHAnsi" w:cs="Calibri"/>
          <w:i/>
          <w:iCs/>
          <w:color w:val="000000" w:themeColor="text1"/>
          <w:shd w:val="clear" w:color="auto" w:fill="FFFFFF"/>
          <w:lang w:val="en-US"/>
        </w:rPr>
        <w:t xml:space="preserve"> </w:t>
      </w:r>
      <w:r w:rsidRPr="00A30FAB">
        <w:rPr>
          <w:rFonts w:eastAsiaTheme="minorHAnsi" w:cs="Calibri"/>
          <w:color w:val="000000" w:themeColor="text1"/>
          <w:shd w:val="clear" w:color="auto" w:fill="FFFFFF"/>
          <w:lang w:val="en-US"/>
        </w:rPr>
        <w:t xml:space="preserve">2016; </w:t>
      </w:r>
      <w:r w:rsidRPr="00CF273D">
        <w:rPr>
          <w:rFonts w:eastAsiaTheme="minorHAnsi" w:cs="Calibri"/>
          <w:b/>
          <w:bCs/>
          <w:color w:val="000000" w:themeColor="text1"/>
          <w:shd w:val="clear" w:color="auto" w:fill="FFFFFF"/>
          <w:lang w:val="en-US"/>
        </w:rPr>
        <w:t>14</w:t>
      </w:r>
    </w:p>
    <w:p w14:paraId="4F087697" w14:textId="63C57DCB" w:rsidR="00A30FAB" w:rsidRDefault="00A30FAB" w:rsidP="00A30FAB">
      <w:pPr>
        <w:adjustRightInd w:val="0"/>
        <w:snapToGrid w:val="0"/>
        <w:rPr>
          <w:rFonts w:eastAsiaTheme="minorHAnsi" w:cs="Calibri"/>
          <w:color w:val="000000" w:themeColor="text1"/>
          <w:shd w:val="clear" w:color="auto" w:fill="FFFFFF"/>
          <w:lang w:val="en-US"/>
        </w:rPr>
      </w:pPr>
      <w:r w:rsidRPr="00A30FAB">
        <w:rPr>
          <w:rFonts w:eastAsiaTheme="minorHAnsi" w:cs="Calibri"/>
          <w:color w:val="000000" w:themeColor="text1"/>
          <w:shd w:val="clear" w:color="auto" w:fill="FFFFFF"/>
          <w:lang w:val="en-US"/>
        </w:rPr>
        <w:t>155 </w:t>
      </w:r>
      <w:r w:rsidRPr="00A30FAB">
        <w:rPr>
          <w:rFonts w:eastAsiaTheme="minorHAnsi" w:cs="Calibri"/>
          <w:b/>
          <w:bCs/>
          <w:color w:val="000000" w:themeColor="text1"/>
          <w:shd w:val="clear" w:color="auto" w:fill="FFFFFF"/>
          <w:lang w:val="en-US"/>
        </w:rPr>
        <w:t>van der Meer P</w:t>
      </w:r>
      <w:r w:rsidRPr="00A30FAB">
        <w:rPr>
          <w:rFonts w:eastAsiaTheme="minorHAnsi" w:cs="Calibri"/>
          <w:color w:val="000000" w:themeColor="text1"/>
          <w:shd w:val="clear" w:color="auto" w:fill="FFFFFF"/>
          <w:lang w:val="en-US"/>
        </w:rPr>
        <w:t>, Groenveld HF, Januzzi JL Jr, van Veldhuisen DJ. Erythropoietin treatment in patients with chronic heart failure: a meta-analysis. </w:t>
      </w:r>
      <w:r w:rsidRPr="00A30FAB">
        <w:rPr>
          <w:rFonts w:eastAsiaTheme="minorHAnsi" w:cs="Calibri"/>
          <w:i/>
          <w:iCs/>
          <w:color w:val="000000" w:themeColor="text1"/>
          <w:shd w:val="clear" w:color="auto" w:fill="FFFFFF"/>
          <w:lang w:val="en-US"/>
        </w:rPr>
        <w:t>Heart</w:t>
      </w:r>
      <w:r w:rsidRPr="00A30FAB">
        <w:rPr>
          <w:rFonts w:eastAsiaTheme="minorHAnsi" w:cs="Calibri"/>
          <w:color w:val="000000" w:themeColor="text1"/>
          <w:shd w:val="clear" w:color="auto" w:fill="FFFFFF"/>
          <w:lang w:val="en-US"/>
        </w:rPr>
        <w:t> 2009; </w:t>
      </w:r>
      <w:r w:rsidRPr="00A30FAB">
        <w:rPr>
          <w:rFonts w:eastAsiaTheme="minorHAnsi" w:cs="Calibri"/>
          <w:b/>
          <w:bCs/>
          <w:color w:val="000000" w:themeColor="text1"/>
          <w:shd w:val="clear" w:color="auto" w:fill="FFFFFF"/>
          <w:lang w:val="en-US"/>
        </w:rPr>
        <w:t>95</w:t>
      </w:r>
      <w:r w:rsidRPr="00A30FAB">
        <w:rPr>
          <w:rFonts w:eastAsiaTheme="minorHAnsi" w:cs="Calibri"/>
          <w:color w:val="000000" w:themeColor="text1"/>
          <w:shd w:val="clear" w:color="auto" w:fill="FFFFFF"/>
          <w:lang w:val="en-US"/>
        </w:rPr>
        <w:t>: 1309-1314 [PMID: 19168472 DOI: 10.1136/hrt.2008.161091]</w:t>
      </w:r>
    </w:p>
    <w:p w14:paraId="2A77C238" w14:textId="4F62A048" w:rsidR="00CF273D" w:rsidRDefault="00CF273D" w:rsidP="00A30FAB">
      <w:pPr>
        <w:adjustRightInd w:val="0"/>
        <w:snapToGrid w:val="0"/>
        <w:rPr>
          <w:rFonts w:eastAsiaTheme="minorHAnsi" w:cs="Calibri"/>
          <w:color w:val="000000" w:themeColor="text1"/>
          <w:shd w:val="clear" w:color="auto" w:fill="FFFFFF"/>
          <w:lang w:val="en-US"/>
        </w:rPr>
      </w:pPr>
    </w:p>
    <w:p w14:paraId="459B814D" w14:textId="104802A6" w:rsidR="0052502C" w:rsidRPr="0052502C" w:rsidRDefault="0052502C" w:rsidP="0052502C">
      <w:pPr>
        <w:wordWrap w:val="0"/>
        <w:snapToGrid w:val="0"/>
        <w:jc w:val="right"/>
        <w:rPr>
          <w:rFonts w:eastAsia="宋体"/>
          <w:b/>
          <w:bCs/>
          <w:lang w:val="en-US" w:eastAsia="zh-CN"/>
        </w:rPr>
      </w:pPr>
      <w:bookmarkStart w:id="100" w:name="OLE_LINK148"/>
      <w:bookmarkStart w:id="101" w:name="OLE_LINK320"/>
      <w:bookmarkStart w:id="102" w:name="OLE_LINK387"/>
      <w:bookmarkStart w:id="103" w:name="OLE_LINK254"/>
      <w:bookmarkStart w:id="104" w:name="OLE_LINK149"/>
      <w:bookmarkStart w:id="105" w:name="OLE_LINK225"/>
      <w:bookmarkStart w:id="106" w:name="OLE_LINK207"/>
      <w:bookmarkStart w:id="107" w:name="OLE_LINK226"/>
      <w:bookmarkStart w:id="108" w:name="OLE_LINK212"/>
      <w:bookmarkStart w:id="109" w:name="OLE_LINK250"/>
      <w:bookmarkStart w:id="110" w:name="OLE_LINK281"/>
      <w:bookmarkStart w:id="111" w:name="OLE_LINK282"/>
      <w:bookmarkStart w:id="112" w:name="OLE_LINK313"/>
      <w:bookmarkStart w:id="113" w:name="OLE_LINK304"/>
      <w:bookmarkStart w:id="114" w:name="OLE_LINK321"/>
      <w:bookmarkStart w:id="115" w:name="OLE_LINK385"/>
      <w:bookmarkStart w:id="116" w:name="OLE_LINK400"/>
      <w:bookmarkStart w:id="117" w:name="OLE_LINK346"/>
      <w:bookmarkStart w:id="118" w:name="OLE_LINK371"/>
      <w:bookmarkStart w:id="119" w:name="OLE_LINK334"/>
      <w:bookmarkStart w:id="120" w:name="OLE_LINK1830"/>
      <w:bookmarkStart w:id="121" w:name="OLE_LINK457"/>
      <w:bookmarkStart w:id="122" w:name="OLE_LINK288"/>
      <w:bookmarkStart w:id="123" w:name="OLE_LINK384"/>
      <w:bookmarkStart w:id="124" w:name="OLE_LINK379"/>
      <w:bookmarkStart w:id="125" w:name="OLE_LINK303"/>
      <w:bookmarkStart w:id="126" w:name="OLE_LINK450"/>
      <w:bookmarkStart w:id="127" w:name="OLE_LINK489"/>
      <w:bookmarkStart w:id="128" w:name="OLE_LINK535"/>
      <w:bookmarkStart w:id="129" w:name="OLE_LINK648"/>
      <w:bookmarkStart w:id="130" w:name="OLE_LINK686"/>
      <w:bookmarkStart w:id="131" w:name="OLE_LINK471"/>
      <w:bookmarkStart w:id="132" w:name="OLE_LINK462"/>
      <w:bookmarkStart w:id="133" w:name="OLE_LINK519"/>
      <w:bookmarkStart w:id="134" w:name="OLE_LINK575"/>
      <w:bookmarkStart w:id="135" w:name="OLE_LINK491"/>
      <w:bookmarkStart w:id="136" w:name="OLE_LINK532"/>
      <w:bookmarkStart w:id="137" w:name="OLE_LINK572"/>
      <w:bookmarkStart w:id="138" w:name="OLE_LINK574"/>
      <w:bookmarkStart w:id="139" w:name="OLE_LINK480"/>
      <w:bookmarkStart w:id="140" w:name="OLE_LINK567"/>
      <w:bookmarkStart w:id="141" w:name="OLE_LINK2700"/>
      <w:bookmarkStart w:id="142" w:name="OLE_LINK581"/>
      <w:bookmarkStart w:id="143" w:name="OLE_LINK639"/>
      <w:bookmarkStart w:id="144" w:name="OLE_LINK688"/>
      <w:bookmarkStart w:id="145" w:name="OLE_LINK722"/>
      <w:bookmarkStart w:id="146" w:name="OLE_LINK542"/>
      <w:bookmarkStart w:id="147" w:name="OLE_LINK589"/>
      <w:bookmarkStart w:id="148" w:name="OLE_LINK582"/>
      <w:bookmarkStart w:id="149" w:name="OLE_LINK640"/>
      <w:bookmarkStart w:id="150" w:name="OLE_LINK714"/>
      <w:bookmarkStart w:id="151" w:name="OLE_LINK593"/>
      <w:bookmarkStart w:id="152" w:name="OLE_LINK716"/>
      <w:bookmarkStart w:id="153" w:name="OLE_LINK770"/>
      <w:bookmarkStart w:id="154" w:name="OLE_LINK801"/>
      <w:bookmarkStart w:id="155" w:name="OLE_LINK660"/>
      <w:bookmarkStart w:id="156" w:name="OLE_LINK833"/>
      <w:bookmarkStart w:id="157" w:name="OLE_LINK642"/>
      <w:bookmarkStart w:id="158" w:name="OLE_LINK700"/>
      <w:bookmarkStart w:id="159" w:name="OLE_LINK2882"/>
      <w:bookmarkStart w:id="160" w:name="OLE_LINK836"/>
      <w:bookmarkStart w:id="161" w:name="OLE_LINK889"/>
      <w:bookmarkStart w:id="162" w:name="OLE_LINK826"/>
      <w:bookmarkStart w:id="163" w:name="OLE_LINK865"/>
      <w:bookmarkStart w:id="164" w:name="OLE_LINK856"/>
      <w:bookmarkStart w:id="165" w:name="OLE_LINK908"/>
      <w:bookmarkStart w:id="166" w:name="OLE_LINK980"/>
      <w:bookmarkStart w:id="167" w:name="OLE_LINK1018"/>
      <w:bookmarkStart w:id="168" w:name="OLE_LINK1049"/>
      <w:bookmarkStart w:id="169" w:name="OLE_LINK1106"/>
      <w:bookmarkStart w:id="170" w:name="OLE_LINK891"/>
      <w:bookmarkStart w:id="171" w:name="OLE_LINK943"/>
      <w:bookmarkStart w:id="172" w:name="OLE_LINK981"/>
      <w:bookmarkStart w:id="173" w:name="OLE_LINK1030"/>
      <w:bookmarkStart w:id="174" w:name="OLE_LINK847"/>
      <w:bookmarkStart w:id="175" w:name="OLE_LINK909"/>
      <w:bookmarkStart w:id="176" w:name="OLE_LINK906"/>
      <w:bookmarkStart w:id="177" w:name="OLE_LINK992"/>
      <w:bookmarkStart w:id="178" w:name="OLE_LINK993"/>
      <w:bookmarkStart w:id="179" w:name="OLE_LINK1052"/>
      <w:bookmarkStart w:id="180" w:name="OLE_LINK946"/>
      <w:bookmarkStart w:id="181" w:name="OLE_LINK911"/>
      <w:bookmarkStart w:id="182" w:name="OLE_LINK930"/>
      <w:bookmarkStart w:id="183" w:name="OLE_LINK1174"/>
      <w:bookmarkStart w:id="184" w:name="OLE_LINK1137"/>
      <w:bookmarkStart w:id="185" w:name="OLE_LINK1167"/>
      <w:bookmarkStart w:id="186" w:name="OLE_LINK1200"/>
      <w:bookmarkStart w:id="187" w:name="OLE_LINK1241"/>
      <w:bookmarkStart w:id="188" w:name="OLE_LINK1288"/>
      <w:bookmarkStart w:id="189" w:name="OLE_LINK1056"/>
      <w:bookmarkStart w:id="190" w:name="OLE_LINK1158"/>
      <w:bookmarkStart w:id="191" w:name="OLE_LINK1175"/>
      <w:bookmarkStart w:id="192" w:name="OLE_LINK1074"/>
      <w:bookmarkStart w:id="193" w:name="OLE_LINK1169"/>
      <w:bookmarkStart w:id="194" w:name="OLE_LINK386"/>
      <w:bookmarkStart w:id="195" w:name="OLE_LINK599"/>
      <w:bookmarkStart w:id="196" w:name="OLE_LINK87"/>
      <w:r w:rsidRPr="0052502C">
        <w:rPr>
          <w:rFonts w:eastAsia="宋体"/>
          <w:b/>
          <w:bCs/>
          <w:lang w:val="en-US" w:eastAsia="zh-CN"/>
        </w:rPr>
        <w:t>P-Reviewer:</w:t>
      </w:r>
      <w:r w:rsidRPr="0052502C">
        <w:rPr>
          <w:rFonts w:eastAsia="宋体" w:hint="eastAsia"/>
          <w:b/>
          <w:bCs/>
          <w:lang w:val="en-US" w:eastAsia="zh-CN"/>
        </w:rPr>
        <w:t xml:space="preserve"> </w:t>
      </w:r>
      <w:r w:rsidR="00F9361B" w:rsidRPr="00F9361B">
        <w:rPr>
          <w:rFonts w:eastAsia="宋体"/>
          <w:bCs/>
          <w:lang w:val="en-US" w:eastAsia="zh-CN"/>
        </w:rPr>
        <w:t>Saisho</w:t>
      </w:r>
      <w:r w:rsidR="00F9361B">
        <w:rPr>
          <w:rFonts w:eastAsia="宋体"/>
          <w:bCs/>
          <w:lang w:val="en-US" w:eastAsia="zh-CN"/>
        </w:rPr>
        <w:t xml:space="preserve"> Y, </w:t>
      </w:r>
      <w:r w:rsidR="00F9361B" w:rsidRPr="00F9361B">
        <w:rPr>
          <w:rFonts w:eastAsia="宋体"/>
          <w:bCs/>
          <w:lang w:val="en-US" w:eastAsia="zh-CN"/>
        </w:rPr>
        <w:t>Surani</w:t>
      </w:r>
      <w:r w:rsidR="00F9361B">
        <w:rPr>
          <w:rFonts w:eastAsia="宋体"/>
          <w:bCs/>
          <w:lang w:val="en-US" w:eastAsia="zh-CN"/>
        </w:rPr>
        <w:t xml:space="preserve"> S</w:t>
      </w:r>
    </w:p>
    <w:p w14:paraId="79BC30B3" w14:textId="20F0930C" w:rsidR="0052502C" w:rsidRPr="0052502C" w:rsidRDefault="0052502C" w:rsidP="0052502C">
      <w:pPr>
        <w:snapToGrid w:val="0"/>
        <w:jc w:val="right"/>
        <w:rPr>
          <w:rFonts w:eastAsia="宋体"/>
          <w:lang w:val="en-US" w:eastAsia="zh-CN"/>
        </w:rPr>
      </w:pPr>
      <w:r w:rsidRPr="0052502C">
        <w:rPr>
          <w:rFonts w:eastAsia="宋体"/>
          <w:b/>
          <w:bCs/>
          <w:lang w:val="en-US" w:eastAsia="zh-CN"/>
        </w:rPr>
        <w:t>S-Editor:</w:t>
      </w:r>
      <w:r w:rsidRPr="0052502C">
        <w:rPr>
          <w:rFonts w:eastAsia="宋体" w:hint="eastAsia"/>
          <w:lang w:val="en-US" w:eastAsia="zh-CN"/>
        </w:rPr>
        <w:t xml:space="preserve"> </w:t>
      </w:r>
      <w:r w:rsidRPr="0052502C">
        <w:rPr>
          <w:rFonts w:eastAsia="宋体"/>
          <w:lang w:val="en-US" w:eastAsia="zh-CN"/>
        </w:rPr>
        <w:t>Ma</w:t>
      </w:r>
      <w:r w:rsidRPr="0052502C">
        <w:rPr>
          <w:rFonts w:eastAsia="宋体" w:hint="eastAsia"/>
          <w:lang w:val="en-US" w:eastAsia="zh-CN"/>
        </w:rPr>
        <w:t xml:space="preserve"> </w:t>
      </w:r>
      <w:r w:rsidRPr="0052502C">
        <w:rPr>
          <w:rFonts w:eastAsia="宋体"/>
          <w:lang w:val="en-US" w:eastAsia="zh-CN"/>
        </w:rPr>
        <w:t>RY</w:t>
      </w:r>
      <w:r w:rsidRPr="0052502C">
        <w:rPr>
          <w:rFonts w:eastAsia="宋体" w:hint="eastAsia"/>
          <w:lang w:val="en-US" w:eastAsia="zh-CN"/>
        </w:rPr>
        <w:t xml:space="preserve"> </w:t>
      </w:r>
      <w:r w:rsidRPr="0052502C">
        <w:rPr>
          <w:rFonts w:eastAsia="宋体"/>
          <w:b/>
          <w:bCs/>
          <w:lang w:val="en-US" w:eastAsia="zh-CN"/>
        </w:rPr>
        <w:t>L-Editor:</w:t>
      </w:r>
      <w:r w:rsidRPr="0052502C">
        <w:rPr>
          <w:rFonts w:eastAsia="宋体"/>
          <w:lang w:val="en-US" w:eastAsia="zh-CN"/>
        </w:rPr>
        <w:t xml:space="preserve"> </w:t>
      </w:r>
      <w:r w:rsidR="00121A1A">
        <w:rPr>
          <w:rFonts w:eastAsia="宋体"/>
          <w:lang w:val="en-US" w:eastAsia="zh-CN"/>
        </w:rPr>
        <w:t xml:space="preserve">A </w:t>
      </w:r>
      <w:r w:rsidRPr="0052502C">
        <w:rPr>
          <w:rFonts w:eastAsia="宋体"/>
          <w:b/>
          <w:bCs/>
          <w:lang w:val="en-US" w:eastAsia="zh-CN"/>
        </w:rPr>
        <w:t>E-Editor:</w:t>
      </w:r>
      <w:r w:rsidR="00121A1A">
        <w:rPr>
          <w:rFonts w:eastAsia="宋体"/>
          <w:b/>
          <w:bCs/>
          <w:lang w:val="en-US" w:eastAsia="zh-CN"/>
        </w:rPr>
        <w:t xml:space="preserve"> </w:t>
      </w:r>
      <w:r w:rsidR="00121A1A" w:rsidRPr="00121A1A">
        <w:rPr>
          <w:rFonts w:eastAsia="宋体"/>
          <w:lang w:val="en-US" w:eastAsia="zh-CN"/>
        </w:rPr>
        <w:t>W</w:t>
      </w:r>
      <w:r w:rsidR="00121A1A" w:rsidRPr="00121A1A">
        <w:rPr>
          <w:rFonts w:eastAsia="宋体" w:hint="eastAsia"/>
          <w:lang w:val="en-US" w:eastAsia="zh-CN"/>
        </w:rPr>
        <w:t>u</w:t>
      </w:r>
      <w:r w:rsidR="00121A1A" w:rsidRPr="00121A1A">
        <w:rPr>
          <w:rFonts w:eastAsia="宋体"/>
          <w:lang w:val="en-US" w:eastAsia="zh-CN"/>
        </w:rPr>
        <w:t xml:space="preserve"> YXJ</w:t>
      </w:r>
    </w:p>
    <w:p w14:paraId="43A5390A" w14:textId="77777777" w:rsidR="0052502C" w:rsidRPr="0052502C" w:rsidRDefault="0052502C" w:rsidP="0052502C">
      <w:pPr>
        <w:shd w:val="clear" w:color="auto" w:fill="FFFFFF"/>
        <w:snapToGrid w:val="0"/>
        <w:rPr>
          <w:rFonts w:eastAsia="宋体" w:cs="Helvetica"/>
          <w:b/>
          <w:lang w:val="en-US" w:eastAsia="zh-CN"/>
        </w:rPr>
      </w:pPr>
      <w:bookmarkStart w:id="197" w:name="OLE_LINK880"/>
      <w:bookmarkStart w:id="198" w:name="OLE_LINK881"/>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52502C">
        <w:rPr>
          <w:rFonts w:eastAsia="宋体" w:cs="Helvetica"/>
          <w:b/>
          <w:lang w:val="en-US" w:eastAsia="zh-CN"/>
        </w:rPr>
        <w:t xml:space="preserve">Specialty type: </w:t>
      </w:r>
      <w:bookmarkStart w:id="199" w:name="OLE_LINK1083"/>
      <w:bookmarkStart w:id="200" w:name="OLE_LINK1084"/>
      <w:r w:rsidRPr="0052502C">
        <w:rPr>
          <w:rFonts w:eastAsia="微软雅黑" w:cs="宋体"/>
          <w:lang w:val="en-US"/>
        </w:rPr>
        <w:t>Endocrinology and metabolism</w:t>
      </w:r>
      <w:bookmarkEnd w:id="199"/>
      <w:bookmarkEnd w:id="200"/>
    </w:p>
    <w:p w14:paraId="348A11C5" w14:textId="064F7D8E" w:rsidR="0052502C" w:rsidRPr="0052502C" w:rsidRDefault="0052502C" w:rsidP="0052502C">
      <w:pPr>
        <w:shd w:val="clear" w:color="auto" w:fill="FFFFFF"/>
        <w:snapToGrid w:val="0"/>
        <w:rPr>
          <w:rFonts w:eastAsia="宋体" w:cs="Helvetica"/>
          <w:b/>
          <w:lang w:val="en-US" w:eastAsia="zh-CN"/>
        </w:rPr>
      </w:pPr>
      <w:r w:rsidRPr="0052502C">
        <w:rPr>
          <w:rFonts w:eastAsia="宋体" w:cs="Helvetica"/>
          <w:b/>
          <w:lang w:val="en-US" w:eastAsia="zh-CN"/>
        </w:rPr>
        <w:t xml:space="preserve">Country of origin: </w:t>
      </w:r>
      <w:r w:rsidR="00F9361B" w:rsidRPr="00F9361B">
        <w:rPr>
          <w:rFonts w:eastAsia="宋体" w:cs="Helvetica"/>
          <w:lang w:val="en-US" w:eastAsia="zh-CN"/>
        </w:rPr>
        <w:t>United Kingdom</w:t>
      </w:r>
    </w:p>
    <w:p w14:paraId="2FD883F1" w14:textId="77777777" w:rsidR="0052502C" w:rsidRPr="0052502C" w:rsidRDefault="0052502C" w:rsidP="0052502C">
      <w:pPr>
        <w:shd w:val="clear" w:color="auto" w:fill="FFFFFF"/>
        <w:snapToGrid w:val="0"/>
        <w:rPr>
          <w:rFonts w:eastAsia="宋体" w:cs="Helvetica"/>
          <w:b/>
          <w:lang w:val="en-US" w:eastAsia="zh-CN"/>
        </w:rPr>
      </w:pPr>
      <w:r w:rsidRPr="0052502C">
        <w:rPr>
          <w:rFonts w:eastAsia="宋体" w:cs="Helvetica"/>
          <w:b/>
          <w:lang w:val="en-US" w:eastAsia="zh-CN"/>
        </w:rPr>
        <w:t>Peer-review report classification</w:t>
      </w:r>
    </w:p>
    <w:p w14:paraId="204A7212" w14:textId="77777777" w:rsidR="0052502C" w:rsidRPr="0052502C" w:rsidRDefault="0052502C" w:rsidP="0052502C">
      <w:pPr>
        <w:shd w:val="clear" w:color="auto" w:fill="FFFFFF"/>
        <w:snapToGrid w:val="0"/>
        <w:rPr>
          <w:rFonts w:eastAsia="宋体" w:cs="Helvetica"/>
          <w:lang w:val="en-US" w:eastAsia="zh-CN"/>
        </w:rPr>
      </w:pPr>
      <w:r w:rsidRPr="0052502C">
        <w:rPr>
          <w:rFonts w:eastAsia="宋体" w:cs="Helvetica"/>
          <w:lang w:val="en-US" w:eastAsia="zh-CN"/>
        </w:rPr>
        <w:t xml:space="preserve">Grade A (Excellent): </w:t>
      </w:r>
      <w:r w:rsidRPr="0052502C">
        <w:rPr>
          <w:rFonts w:eastAsia="宋体" w:cs="Helvetica" w:hint="eastAsia"/>
          <w:lang w:val="en-US" w:eastAsia="zh-CN"/>
        </w:rPr>
        <w:t>0</w:t>
      </w:r>
    </w:p>
    <w:p w14:paraId="6306D4E2" w14:textId="77777777" w:rsidR="0052502C" w:rsidRPr="0052502C" w:rsidRDefault="0052502C" w:rsidP="0052502C">
      <w:pPr>
        <w:shd w:val="clear" w:color="auto" w:fill="FFFFFF"/>
        <w:snapToGrid w:val="0"/>
        <w:rPr>
          <w:rFonts w:eastAsia="宋体" w:cs="Helvetica"/>
          <w:lang w:val="en-US" w:eastAsia="zh-CN"/>
        </w:rPr>
      </w:pPr>
      <w:r w:rsidRPr="0052502C">
        <w:rPr>
          <w:rFonts w:eastAsia="宋体" w:cs="Helvetica"/>
          <w:lang w:val="en-US" w:eastAsia="zh-CN"/>
        </w:rPr>
        <w:t>Grade B (Very good): 0</w:t>
      </w:r>
    </w:p>
    <w:p w14:paraId="1821D2B9" w14:textId="5F85ED61" w:rsidR="0052502C" w:rsidRPr="0052502C" w:rsidRDefault="0052502C" w:rsidP="0052502C">
      <w:pPr>
        <w:shd w:val="clear" w:color="auto" w:fill="FFFFFF"/>
        <w:snapToGrid w:val="0"/>
        <w:rPr>
          <w:rFonts w:eastAsia="宋体" w:cs="Helvetica"/>
          <w:lang w:val="en-US" w:eastAsia="zh-CN"/>
        </w:rPr>
      </w:pPr>
      <w:r w:rsidRPr="0052502C">
        <w:rPr>
          <w:rFonts w:eastAsia="宋体" w:cs="Helvetica"/>
          <w:lang w:val="en-US" w:eastAsia="zh-CN"/>
        </w:rPr>
        <w:t xml:space="preserve">Grade C (Good): </w:t>
      </w:r>
      <w:r w:rsidRPr="0052502C">
        <w:rPr>
          <w:rFonts w:eastAsia="宋体" w:cs="Helvetica" w:hint="eastAsia"/>
          <w:lang w:val="en-US" w:eastAsia="zh-CN"/>
        </w:rPr>
        <w:t>C</w:t>
      </w:r>
      <w:r w:rsidR="00F9361B">
        <w:rPr>
          <w:rFonts w:eastAsia="宋体" w:cs="Helvetica"/>
          <w:lang w:val="en-US" w:eastAsia="zh-CN"/>
        </w:rPr>
        <w:t>, C</w:t>
      </w:r>
    </w:p>
    <w:p w14:paraId="649DB6E8" w14:textId="77777777" w:rsidR="0052502C" w:rsidRPr="0052502C" w:rsidRDefault="0052502C" w:rsidP="0052502C">
      <w:pPr>
        <w:shd w:val="clear" w:color="auto" w:fill="FFFFFF"/>
        <w:snapToGrid w:val="0"/>
        <w:rPr>
          <w:rFonts w:eastAsia="宋体" w:cs="Helvetica"/>
          <w:lang w:val="en-US" w:eastAsia="zh-CN"/>
        </w:rPr>
      </w:pPr>
      <w:r w:rsidRPr="0052502C">
        <w:rPr>
          <w:rFonts w:eastAsia="宋体" w:cs="Helvetica"/>
          <w:lang w:val="en-US" w:eastAsia="zh-CN"/>
        </w:rPr>
        <w:t xml:space="preserve">Grade D (Fair): </w:t>
      </w:r>
      <w:r w:rsidRPr="0052502C">
        <w:rPr>
          <w:rFonts w:eastAsia="宋体" w:cs="Helvetica" w:hint="eastAsia"/>
          <w:lang w:val="en-US" w:eastAsia="zh-CN"/>
        </w:rPr>
        <w:t>0</w:t>
      </w:r>
    </w:p>
    <w:p w14:paraId="117EC8DC" w14:textId="77777777" w:rsidR="0052502C" w:rsidRPr="0052502C" w:rsidRDefault="0052502C" w:rsidP="0052502C">
      <w:pPr>
        <w:snapToGrid w:val="0"/>
        <w:rPr>
          <w:rFonts w:eastAsia="宋体"/>
          <w:b/>
          <w:iCs/>
          <w:lang w:val="en-US" w:eastAsia="zh-CN"/>
        </w:rPr>
      </w:pPr>
      <w:r w:rsidRPr="0052502C">
        <w:rPr>
          <w:rFonts w:eastAsia="宋体" w:cs="Helvetica"/>
          <w:lang w:val="en-US" w:eastAsia="zh-CN"/>
        </w:rPr>
        <w:t xml:space="preserve">Grade E (Poor): </w:t>
      </w:r>
      <w:r w:rsidRPr="0052502C">
        <w:rPr>
          <w:rFonts w:eastAsia="宋体" w:cs="Helvetica" w:hint="eastAsia"/>
          <w:lang w:val="en-US" w:eastAsia="zh-CN"/>
        </w:rPr>
        <w:t>0</w:t>
      </w:r>
      <w:bookmarkEnd w:id="194"/>
      <w:bookmarkEnd w:id="197"/>
      <w:bookmarkEnd w:id="198"/>
    </w:p>
    <w:bookmarkEnd w:id="195"/>
    <w:bookmarkEnd w:id="196"/>
    <w:p w14:paraId="47EC6CF3" w14:textId="77777777" w:rsidR="0052502C" w:rsidRPr="0052502C" w:rsidRDefault="0052502C" w:rsidP="0052502C">
      <w:pPr>
        <w:shd w:val="clear" w:color="auto" w:fill="FFFFFF"/>
        <w:adjustRightInd w:val="0"/>
        <w:snapToGrid w:val="0"/>
        <w:rPr>
          <w:color w:val="000000"/>
          <w:lang w:val="en-US" w:eastAsia="en-GB"/>
        </w:rPr>
      </w:pPr>
    </w:p>
    <w:p w14:paraId="541C75A0" w14:textId="77777777" w:rsidR="0052502C" w:rsidRPr="0052502C" w:rsidRDefault="0052502C" w:rsidP="0052502C">
      <w:pPr>
        <w:spacing w:after="200" w:line="276" w:lineRule="auto"/>
        <w:jc w:val="left"/>
        <w:rPr>
          <w:color w:val="000000"/>
          <w:lang w:val="en-US" w:eastAsia="en-GB"/>
        </w:rPr>
      </w:pPr>
      <w:r w:rsidRPr="0052502C">
        <w:rPr>
          <w:color w:val="000000"/>
          <w:lang w:val="en-US" w:eastAsia="en-GB"/>
        </w:rPr>
        <w:br w:type="page"/>
      </w:r>
    </w:p>
    <w:p w14:paraId="546F9E2A" w14:textId="77777777" w:rsidR="0045296A" w:rsidRPr="00A30FAB" w:rsidRDefault="0045296A" w:rsidP="00A30FAB">
      <w:pPr>
        <w:pStyle w:val="1"/>
        <w:adjustRightInd w:val="0"/>
        <w:snapToGrid w:val="0"/>
        <w:spacing w:before="0" w:after="0"/>
        <w:ind w:left="0" w:firstLine="0"/>
        <w:rPr>
          <w:color w:val="000000" w:themeColor="text1"/>
          <w:sz w:val="24"/>
          <w:szCs w:val="24"/>
          <w:lang w:val="en-US"/>
        </w:rPr>
      </w:pPr>
    </w:p>
    <w:tbl>
      <w:tblPr>
        <w:tblStyle w:val="11"/>
        <w:tblW w:w="0" w:type="auto"/>
        <w:tblLook w:val="04A0" w:firstRow="1" w:lastRow="0" w:firstColumn="1" w:lastColumn="0" w:noHBand="0" w:noVBand="1"/>
      </w:tblPr>
      <w:tblGrid>
        <w:gridCol w:w="9010"/>
      </w:tblGrid>
      <w:tr w:rsidR="0045296A" w:rsidRPr="00A30FAB" w14:paraId="5D4D9571" w14:textId="77777777" w:rsidTr="003A0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Pr>
          <w:p w14:paraId="591387CC" w14:textId="77777777" w:rsidR="0045296A" w:rsidRPr="00A30FAB" w:rsidRDefault="0045296A" w:rsidP="00A30FAB">
            <w:pPr>
              <w:adjustRightInd w:val="0"/>
              <w:snapToGrid w:val="0"/>
              <w:rPr>
                <w:color w:val="000000" w:themeColor="text1"/>
              </w:rPr>
            </w:pPr>
            <w:r w:rsidRPr="00A30FAB">
              <w:rPr>
                <w:noProof/>
                <w:color w:val="000000" w:themeColor="text1"/>
                <w:lang w:eastAsia="zh-CN"/>
              </w:rPr>
              <w:drawing>
                <wp:inline distT="0" distB="0" distL="0" distR="0" wp14:anchorId="72C5DA85" wp14:editId="2B5D191A">
                  <wp:extent cx="5727700" cy="3221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3221990"/>
                          </a:xfrm>
                          <a:prstGeom prst="rect">
                            <a:avLst/>
                          </a:prstGeom>
                        </pic:spPr>
                      </pic:pic>
                    </a:graphicData>
                  </a:graphic>
                </wp:inline>
              </w:drawing>
            </w:r>
          </w:p>
        </w:tc>
      </w:tr>
    </w:tbl>
    <w:p w14:paraId="18B7B22B" w14:textId="59E185AE" w:rsidR="0045296A" w:rsidRPr="009722D4" w:rsidRDefault="0045296A" w:rsidP="009722D4">
      <w:pPr>
        <w:pStyle w:val="af7"/>
        <w:adjustRightInd w:val="0"/>
        <w:snapToGrid w:val="0"/>
        <w:spacing w:after="0"/>
        <w:rPr>
          <w:rFonts w:ascii="Book Antiqua" w:hAnsi="Book Antiqua"/>
          <w:b w:val="0"/>
          <w:bCs/>
          <w:i w:val="0"/>
          <w:iCs w:val="0"/>
        </w:rPr>
      </w:pPr>
      <w:bookmarkStart w:id="201" w:name="_Ref536906"/>
      <w:r w:rsidRPr="009722D4">
        <w:rPr>
          <w:rFonts w:ascii="Book Antiqua" w:hAnsi="Book Antiqua"/>
          <w:i w:val="0"/>
          <w:iCs w:val="0"/>
        </w:rPr>
        <w:t xml:space="preserve">Figure </w:t>
      </w:r>
      <w:r w:rsidRPr="009722D4">
        <w:rPr>
          <w:rFonts w:ascii="Book Antiqua" w:hAnsi="Book Antiqua"/>
          <w:i w:val="0"/>
          <w:iCs w:val="0"/>
          <w:noProof/>
        </w:rPr>
        <w:t>1</w:t>
      </w:r>
      <w:bookmarkEnd w:id="201"/>
      <w:r w:rsidRPr="009722D4">
        <w:rPr>
          <w:rFonts w:ascii="Book Antiqua" w:hAnsi="Book Antiqua"/>
          <w:i w:val="0"/>
          <w:iCs w:val="0"/>
        </w:rPr>
        <w:t xml:space="preserve"> An overview of myocardial energy substrate utilization</w:t>
      </w:r>
      <w:r w:rsidR="009722D4" w:rsidRPr="009722D4">
        <w:rPr>
          <w:rFonts w:ascii="Book Antiqua" w:hAnsi="Book Antiqua"/>
          <w:i w:val="0"/>
          <w:iCs w:val="0"/>
        </w:rPr>
        <w:t xml:space="preserve">. </w:t>
      </w:r>
      <w:r w:rsidRPr="009722D4">
        <w:rPr>
          <w:rFonts w:ascii="Book Antiqua" w:hAnsi="Book Antiqua"/>
          <w:b w:val="0"/>
          <w:bCs/>
          <w:i w:val="0"/>
          <w:iCs w:val="0"/>
        </w:rPr>
        <w:t>Fatty acids and glucose are the major substrates used for ATP generation. The pyruvate generated from</w:t>
      </w:r>
      <w:r w:rsidRPr="009722D4">
        <w:rPr>
          <w:rStyle w:val="apple-converted-space"/>
          <w:rFonts w:ascii="Book Antiqua" w:eastAsiaTheme="majorEastAsia" w:hAnsi="Book Antiqua" w:cs="Arial"/>
          <w:b w:val="0"/>
          <w:bCs/>
          <w:i w:val="0"/>
          <w:iCs w:val="0"/>
        </w:rPr>
        <w:t xml:space="preserve"> glycolysis </w:t>
      </w:r>
      <w:r w:rsidRPr="009722D4">
        <w:rPr>
          <w:rFonts w:ascii="Book Antiqua" w:hAnsi="Book Antiqua"/>
          <w:b w:val="0"/>
          <w:bCs/>
          <w:i w:val="0"/>
          <w:iCs w:val="0"/>
        </w:rPr>
        <w:t xml:space="preserve">is metabolised within the mitochondria to produce the majority of carbohydrate-derived ATP while fatty acids undergo β-oxidation. The majority of myocardial ATP originates from the mitochondria </w:t>
      </w:r>
      <w:r w:rsidRPr="009722D4">
        <w:rPr>
          <w:rFonts w:ascii="Book Antiqua" w:hAnsi="Book Antiqua"/>
          <w:b w:val="0"/>
          <w:bCs/>
        </w:rPr>
        <w:t>via</w:t>
      </w:r>
      <w:r w:rsidRPr="009722D4">
        <w:rPr>
          <w:rFonts w:ascii="Book Antiqua" w:hAnsi="Book Antiqua"/>
          <w:b w:val="0"/>
          <w:bCs/>
          <w:i w:val="0"/>
          <w:iCs w:val="0"/>
        </w:rPr>
        <w:t xml:space="preserve"> the Krebs Cycle. A preferential increase of activity in one pathway over the other can result in imbalances in substrate uptake and utilization by the mitochondria</w:t>
      </w:r>
      <w:r w:rsidR="009722D4" w:rsidRPr="009722D4">
        <w:rPr>
          <w:rFonts w:ascii="Book Antiqua" w:hAnsi="Book Antiqua"/>
          <w:b w:val="0"/>
          <w:bCs/>
          <w:i w:val="0"/>
          <w:iCs w:val="0"/>
          <w:vertAlign w:val="superscript"/>
        </w:rPr>
        <w:t>[151]</w:t>
      </w:r>
      <w:r w:rsidRPr="009722D4">
        <w:rPr>
          <w:rFonts w:ascii="Book Antiqua" w:hAnsi="Book Antiqua"/>
          <w:b w:val="0"/>
          <w:bCs/>
          <w:i w:val="0"/>
          <w:iCs w:val="0"/>
        </w:rPr>
        <w:t>.</w:t>
      </w:r>
    </w:p>
    <w:p w14:paraId="7B4BF2F6" w14:textId="77777777" w:rsidR="0045296A" w:rsidRPr="00A30FAB" w:rsidRDefault="0045296A" w:rsidP="00A30FAB">
      <w:pPr>
        <w:adjustRightInd w:val="0"/>
        <w:snapToGrid w:val="0"/>
        <w:rPr>
          <w:color w:val="000000" w:themeColor="text1"/>
          <w:lang w:val="en-US"/>
        </w:rPr>
      </w:pPr>
    </w:p>
    <w:tbl>
      <w:tblPr>
        <w:tblStyle w:val="11"/>
        <w:tblW w:w="0" w:type="auto"/>
        <w:tblLook w:val="04A0" w:firstRow="1" w:lastRow="0" w:firstColumn="1" w:lastColumn="0" w:noHBand="0" w:noVBand="1"/>
      </w:tblPr>
      <w:tblGrid>
        <w:gridCol w:w="9010"/>
      </w:tblGrid>
      <w:tr w:rsidR="0045296A" w:rsidRPr="009722D4" w14:paraId="513C3F14" w14:textId="77777777" w:rsidTr="003A0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Pr>
          <w:p w14:paraId="2BB4C6D2" w14:textId="77777777" w:rsidR="0045296A" w:rsidRPr="009722D4" w:rsidRDefault="0045296A" w:rsidP="00A30FAB">
            <w:pPr>
              <w:adjustRightInd w:val="0"/>
              <w:snapToGrid w:val="0"/>
              <w:rPr>
                <w:color w:val="000000" w:themeColor="text1"/>
              </w:rPr>
            </w:pPr>
            <w:r w:rsidRPr="009722D4">
              <w:rPr>
                <w:rStyle w:val="label"/>
                <w:noProof/>
                <w:color w:val="000000" w:themeColor="text1"/>
              </w:rPr>
              <w:drawing>
                <wp:inline distT="0" distB="0" distL="0" distR="0" wp14:anchorId="2D98CCCB" wp14:editId="59F5531F">
                  <wp:extent cx="5727700" cy="32219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3221990"/>
                          </a:xfrm>
                          <a:prstGeom prst="rect">
                            <a:avLst/>
                          </a:prstGeom>
                        </pic:spPr>
                      </pic:pic>
                    </a:graphicData>
                  </a:graphic>
                </wp:inline>
              </w:drawing>
            </w:r>
          </w:p>
        </w:tc>
      </w:tr>
    </w:tbl>
    <w:p w14:paraId="0F407951" w14:textId="2C780817" w:rsidR="0045296A" w:rsidRPr="009722D4" w:rsidRDefault="0045296A" w:rsidP="009722D4">
      <w:pPr>
        <w:pStyle w:val="af7"/>
        <w:adjustRightInd w:val="0"/>
        <w:snapToGrid w:val="0"/>
        <w:spacing w:after="0"/>
        <w:rPr>
          <w:rFonts w:ascii="Book Antiqua" w:hAnsi="Book Antiqua"/>
          <w:b w:val="0"/>
          <w:bCs/>
          <w:i w:val="0"/>
          <w:iCs w:val="0"/>
        </w:rPr>
      </w:pPr>
      <w:bookmarkStart w:id="202" w:name="_Ref786756"/>
      <w:r w:rsidRPr="009722D4">
        <w:rPr>
          <w:rFonts w:ascii="Book Antiqua" w:hAnsi="Book Antiqua"/>
          <w:i w:val="0"/>
          <w:iCs w:val="0"/>
        </w:rPr>
        <w:t xml:space="preserve">Figure </w:t>
      </w:r>
      <w:r w:rsidRPr="009722D4">
        <w:rPr>
          <w:rFonts w:ascii="Book Antiqua" w:hAnsi="Book Antiqua"/>
          <w:i w:val="0"/>
          <w:iCs w:val="0"/>
          <w:noProof/>
        </w:rPr>
        <w:t>2</w:t>
      </w:r>
      <w:bookmarkEnd w:id="202"/>
      <w:r w:rsidRPr="009722D4">
        <w:rPr>
          <w:rFonts w:ascii="Book Antiqua" w:hAnsi="Book Antiqua"/>
          <w:i w:val="0"/>
          <w:iCs w:val="0"/>
        </w:rPr>
        <w:t xml:space="preserve"> Carnitine</w:t>
      </w:r>
      <w:r w:rsidR="009722D4" w:rsidRPr="009722D4">
        <w:rPr>
          <w:rFonts w:ascii="Book Antiqua" w:hAnsi="Book Antiqua"/>
          <w:i w:val="0"/>
          <w:iCs w:val="0"/>
        </w:rPr>
        <w:t xml:space="preserve"> shuttle system. </w:t>
      </w:r>
      <w:r w:rsidRPr="009722D4">
        <w:rPr>
          <w:rFonts w:ascii="Book Antiqua" w:hAnsi="Book Antiqua"/>
          <w:b w:val="0"/>
          <w:bCs/>
          <w:i w:val="0"/>
          <w:iCs w:val="0"/>
        </w:rPr>
        <w:t>This summarises the role of carnitine in the mitochondrial oxidation of fatty acids; contained within Figure 1</w:t>
      </w:r>
      <w:r w:rsidR="00C23F7D" w:rsidRPr="009722D4">
        <w:rPr>
          <w:rFonts w:ascii="Book Antiqua" w:hAnsi="Book Antiqua"/>
          <w:b w:val="0"/>
          <w:bCs/>
          <w:i w:val="0"/>
          <w:iCs w:val="0"/>
          <w:vertAlign w:val="superscript"/>
        </w:rPr>
        <w:t>[152]</w:t>
      </w:r>
      <w:r w:rsidRPr="009722D4">
        <w:rPr>
          <w:rFonts w:ascii="Book Antiqua" w:hAnsi="Book Antiqua"/>
          <w:b w:val="0"/>
          <w:bCs/>
          <w:i w:val="0"/>
          <w:iCs w:val="0"/>
        </w:rPr>
        <w:t>. CPT-1</w:t>
      </w:r>
      <w:r w:rsidR="009722D4">
        <w:rPr>
          <w:rFonts w:ascii="Book Antiqua" w:hAnsi="Book Antiqua"/>
          <w:b w:val="0"/>
          <w:bCs/>
          <w:i w:val="0"/>
          <w:iCs w:val="0"/>
        </w:rPr>
        <w:t>:</w:t>
      </w:r>
      <w:r w:rsidRPr="009722D4">
        <w:rPr>
          <w:rFonts w:ascii="Book Antiqua" w:hAnsi="Book Antiqua"/>
          <w:b w:val="0"/>
          <w:bCs/>
          <w:i w:val="0"/>
          <w:iCs w:val="0"/>
        </w:rPr>
        <w:t xml:space="preserve"> </w:t>
      </w:r>
      <w:r w:rsidR="00C23F7D">
        <w:rPr>
          <w:rFonts w:ascii="Book Antiqua" w:hAnsi="Book Antiqua"/>
          <w:b w:val="0"/>
          <w:bCs/>
          <w:i w:val="0"/>
          <w:iCs w:val="0"/>
        </w:rPr>
        <w:t>C</w:t>
      </w:r>
      <w:r w:rsidRPr="009722D4">
        <w:rPr>
          <w:rFonts w:ascii="Book Antiqua" w:hAnsi="Book Antiqua"/>
          <w:b w:val="0"/>
          <w:bCs/>
          <w:i w:val="0"/>
          <w:iCs w:val="0"/>
        </w:rPr>
        <w:t>arnitine palmitoyltransferase-1; CPT-2</w:t>
      </w:r>
      <w:r w:rsidR="00C23F7D">
        <w:rPr>
          <w:rFonts w:ascii="Book Antiqua" w:hAnsi="Book Antiqua"/>
          <w:b w:val="0"/>
          <w:bCs/>
          <w:i w:val="0"/>
          <w:iCs w:val="0"/>
        </w:rPr>
        <w:t>:</w:t>
      </w:r>
      <w:r w:rsidRPr="009722D4">
        <w:rPr>
          <w:rFonts w:ascii="Book Antiqua" w:hAnsi="Book Antiqua"/>
          <w:b w:val="0"/>
          <w:bCs/>
          <w:i w:val="0"/>
          <w:iCs w:val="0"/>
        </w:rPr>
        <w:t xml:space="preserve"> </w:t>
      </w:r>
      <w:r w:rsidR="00C23F7D">
        <w:rPr>
          <w:rFonts w:ascii="Book Antiqua" w:hAnsi="Book Antiqua"/>
          <w:b w:val="0"/>
          <w:bCs/>
          <w:i w:val="0"/>
          <w:iCs w:val="0"/>
        </w:rPr>
        <w:t>C</w:t>
      </w:r>
      <w:r w:rsidRPr="009722D4">
        <w:rPr>
          <w:rFonts w:ascii="Book Antiqua" w:hAnsi="Book Antiqua"/>
          <w:b w:val="0"/>
          <w:bCs/>
          <w:i w:val="0"/>
          <w:iCs w:val="0"/>
        </w:rPr>
        <w:t>arnitine palmitoyltransferase-2; OM</w:t>
      </w:r>
      <w:r w:rsidR="00C23F7D">
        <w:rPr>
          <w:rFonts w:ascii="Book Antiqua" w:hAnsi="Book Antiqua"/>
          <w:b w:val="0"/>
          <w:bCs/>
          <w:i w:val="0"/>
          <w:iCs w:val="0"/>
        </w:rPr>
        <w:t>:</w:t>
      </w:r>
      <w:r w:rsidRPr="009722D4">
        <w:rPr>
          <w:rFonts w:ascii="Book Antiqua" w:hAnsi="Book Antiqua"/>
          <w:b w:val="0"/>
          <w:bCs/>
          <w:i w:val="0"/>
          <w:iCs w:val="0"/>
        </w:rPr>
        <w:t xml:space="preserve"> </w:t>
      </w:r>
      <w:r w:rsidR="00C23F7D">
        <w:rPr>
          <w:rFonts w:ascii="Book Antiqua" w:hAnsi="Book Antiqua"/>
          <w:b w:val="0"/>
          <w:bCs/>
          <w:i w:val="0"/>
          <w:iCs w:val="0"/>
        </w:rPr>
        <w:t>O</w:t>
      </w:r>
      <w:r w:rsidRPr="009722D4">
        <w:rPr>
          <w:rFonts w:ascii="Book Antiqua" w:hAnsi="Book Antiqua"/>
          <w:b w:val="0"/>
          <w:bCs/>
          <w:i w:val="0"/>
          <w:iCs w:val="0"/>
        </w:rPr>
        <w:t>uter mitochondrial membrane; IM</w:t>
      </w:r>
      <w:r w:rsidR="00C23F7D">
        <w:rPr>
          <w:rFonts w:ascii="Book Antiqua" w:hAnsi="Book Antiqua"/>
          <w:b w:val="0"/>
          <w:bCs/>
          <w:i w:val="0"/>
          <w:iCs w:val="0"/>
        </w:rPr>
        <w:t>:</w:t>
      </w:r>
      <w:r w:rsidRPr="009722D4">
        <w:rPr>
          <w:rFonts w:ascii="Book Antiqua" w:hAnsi="Book Antiqua"/>
          <w:b w:val="0"/>
          <w:bCs/>
          <w:i w:val="0"/>
          <w:iCs w:val="0"/>
        </w:rPr>
        <w:t xml:space="preserve"> </w:t>
      </w:r>
      <w:r w:rsidR="00C23F7D">
        <w:rPr>
          <w:rFonts w:ascii="Book Antiqua" w:hAnsi="Book Antiqua"/>
          <w:b w:val="0"/>
          <w:bCs/>
          <w:i w:val="0"/>
          <w:iCs w:val="0"/>
        </w:rPr>
        <w:t>I</w:t>
      </w:r>
      <w:r w:rsidRPr="009722D4">
        <w:rPr>
          <w:rFonts w:ascii="Book Antiqua" w:hAnsi="Book Antiqua"/>
          <w:b w:val="0"/>
          <w:bCs/>
          <w:i w:val="0"/>
          <w:iCs w:val="0"/>
        </w:rPr>
        <w:t xml:space="preserve">nner mitochondrial membrane. </w:t>
      </w:r>
    </w:p>
    <w:p w14:paraId="238D1C57" w14:textId="70BEFFFA" w:rsidR="00C23F7D" w:rsidRDefault="00C23F7D">
      <w:pPr>
        <w:spacing w:line="240" w:lineRule="auto"/>
        <w:jc w:val="left"/>
        <w:rPr>
          <w:color w:val="000000" w:themeColor="text1"/>
          <w:lang w:val="en-US" w:eastAsia="en-GB"/>
        </w:rPr>
      </w:pPr>
      <w:r>
        <w:rPr>
          <w:color w:val="000000" w:themeColor="text1"/>
          <w:lang w:val="en-US" w:eastAsia="en-GB"/>
        </w:rPr>
        <w:br w:type="page"/>
      </w:r>
    </w:p>
    <w:p w14:paraId="6A6F02DE" w14:textId="5D445B33" w:rsidR="0045296A" w:rsidRDefault="00827A9B" w:rsidP="00A30FAB">
      <w:pPr>
        <w:adjustRightInd w:val="0"/>
        <w:snapToGrid w:val="0"/>
        <w:rPr>
          <w:color w:val="000000" w:themeColor="text1"/>
          <w:lang w:val="en-US" w:eastAsia="en-GB"/>
        </w:rPr>
      </w:pPr>
      <w:r w:rsidRPr="00A30FAB">
        <w:rPr>
          <w:noProof/>
          <w:color w:val="000000" w:themeColor="text1"/>
          <w:lang w:val="en-US" w:eastAsia="en-GB"/>
        </w:rPr>
        <w:drawing>
          <wp:inline distT="0" distB="0" distL="0" distR="0" wp14:anchorId="3CC7D056" wp14:editId="6A0BAEF8">
            <wp:extent cx="5727700" cy="32219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3221990"/>
                    </a:xfrm>
                    <a:prstGeom prst="rect">
                      <a:avLst/>
                    </a:prstGeom>
                  </pic:spPr>
                </pic:pic>
              </a:graphicData>
            </a:graphic>
          </wp:inline>
        </w:drawing>
      </w:r>
    </w:p>
    <w:p w14:paraId="16B8B57E" w14:textId="1C42EE18" w:rsidR="00827A9B" w:rsidRPr="00827A9B" w:rsidRDefault="00827A9B" w:rsidP="00827A9B">
      <w:pPr>
        <w:adjustRightInd w:val="0"/>
        <w:snapToGrid w:val="0"/>
        <w:rPr>
          <w:b/>
          <w:i/>
          <w:iCs/>
          <w:color w:val="000000" w:themeColor="text1"/>
          <w:lang w:val="en-US" w:eastAsia="en-GB"/>
        </w:rPr>
      </w:pPr>
      <w:bookmarkStart w:id="203" w:name="_Ref13822757"/>
      <w:r w:rsidRPr="00827A9B">
        <w:rPr>
          <w:b/>
          <w:color w:val="000000" w:themeColor="text1"/>
          <w:lang w:val="en-US" w:eastAsia="en-GB"/>
        </w:rPr>
        <w:t>Figure 3</w:t>
      </w:r>
      <w:bookmarkEnd w:id="203"/>
      <w:r>
        <w:rPr>
          <w:b/>
          <w:color w:val="000000" w:themeColor="text1"/>
          <w:lang w:val="en-US" w:eastAsia="en-GB"/>
        </w:rPr>
        <w:t xml:space="preserve"> </w:t>
      </w:r>
      <w:r w:rsidRPr="00827A9B">
        <w:rPr>
          <w:b/>
          <w:color w:val="000000" w:themeColor="text1"/>
          <w:lang w:val="en-US" w:eastAsia="en-GB"/>
        </w:rPr>
        <w:t xml:space="preserve">Randle </w:t>
      </w:r>
      <w:r>
        <w:rPr>
          <w:b/>
          <w:color w:val="000000" w:themeColor="text1"/>
          <w:lang w:val="en-US" w:eastAsia="en-GB"/>
        </w:rPr>
        <w:t>c</w:t>
      </w:r>
      <w:r w:rsidRPr="00827A9B">
        <w:rPr>
          <w:b/>
          <w:color w:val="000000" w:themeColor="text1"/>
          <w:lang w:val="en-US" w:eastAsia="en-GB"/>
        </w:rPr>
        <w:t>ycle</w:t>
      </w:r>
      <w:r w:rsidRPr="00827A9B">
        <w:rPr>
          <w:rFonts w:hint="eastAsia"/>
          <w:b/>
          <w:color w:val="000000" w:themeColor="text1"/>
          <w:lang w:val="en-US" w:eastAsia="en-GB"/>
        </w:rPr>
        <w:t>.</w:t>
      </w:r>
      <w:r>
        <w:rPr>
          <w:b/>
          <w:i/>
          <w:iCs/>
          <w:color w:val="000000" w:themeColor="text1"/>
          <w:lang w:val="en-US" w:eastAsia="en-GB"/>
        </w:rPr>
        <w:t xml:space="preserve"> </w:t>
      </w:r>
      <w:r w:rsidRPr="00827A9B">
        <w:rPr>
          <w:color w:val="000000" w:themeColor="text1"/>
          <w:lang w:val="en-US" w:eastAsia="en-GB"/>
        </w:rPr>
        <w:t>The glucose-fatty acid (Randle) cycle in muscle. Oxidation of fatty acids inhibits pyruvate dehydrogenase. Citrate inhibits phosphofructokinase. The rise in glucose-6-phosphate inhibits hexokinase</w:t>
      </w:r>
      <w:r w:rsidRPr="00827A9B">
        <w:rPr>
          <w:color w:val="000000" w:themeColor="text1"/>
          <w:vertAlign w:val="superscript"/>
          <w:lang w:val="en-US" w:eastAsia="en-GB"/>
        </w:rPr>
        <w:t>[153]</w:t>
      </w:r>
      <w:r w:rsidRPr="00827A9B">
        <w:rPr>
          <w:color w:val="000000" w:themeColor="text1"/>
          <w:lang w:val="en-US" w:eastAsia="en-GB"/>
        </w:rPr>
        <w:t xml:space="preserve">. </w:t>
      </w:r>
      <w:r>
        <w:rPr>
          <w:color w:val="000000" w:themeColor="text1"/>
          <w:lang w:val="en-US" w:eastAsia="en-GB"/>
        </w:rPr>
        <w:t>FFA: F</w:t>
      </w:r>
      <w:r w:rsidRPr="00827A9B">
        <w:rPr>
          <w:color w:val="000000" w:themeColor="text1"/>
          <w:lang w:val="en-US" w:eastAsia="en-GB"/>
        </w:rPr>
        <w:t>atty acids</w:t>
      </w:r>
      <w:r>
        <w:rPr>
          <w:color w:val="000000" w:themeColor="text1"/>
          <w:lang w:val="en-US" w:eastAsia="en-GB"/>
        </w:rPr>
        <w:t>;</w:t>
      </w:r>
      <w:r w:rsidRPr="00827A9B">
        <w:rPr>
          <w:color w:val="000000" w:themeColor="text1"/>
          <w:lang w:val="en-US" w:eastAsia="en-GB"/>
        </w:rPr>
        <w:t xml:space="preserve"> PDH</w:t>
      </w:r>
      <w:r>
        <w:rPr>
          <w:color w:val="000000" w:themeColor="text1"/>
          <w:lang w:val="en-US" w:eastAsia="en-GB"/>
        </w:rPr>
        <w:t>: P</w:t>
      </w:r>
      <w:r w:rsidRPr="00827A9B">
        <w:rPr>
          <w:color w:val="000000" w:themeColor="text1"/>
          <w:lang w:val="en-US" w:eastAsia="en-GB"/>
        </w:rPr>
        <w:t>yruvate dehydrogenase</w:t>
      </w:r>
      <w:r>
        <w:rPr>
          <w:color w:val="000000" w:themeColor="text1"/>
          <w:lang w:val="en-US" w:eastAsia="en-GB"/>
        </w:rPr>
        <w:t>;</w:t>
      </w:r>
      <w:r w:rsidRPr="00827A9B">
        <w:rPr>
          <w:color w:val="000000" w:themeColor="text1"/>
          <w:lang w:val="en-US" w:eastAsia="en-GB"/>
        </w:rPr>
        <w:t xml:space="preserve"> PFK</w:t>
      </w:r>
      <w:r>
        <w:rPr>
          <w:color w:val="000000" w:themeColor="text1"/>
          <w:lang w:val="en-US" w:eastAsia="en-GB"/>
        </w:rPr>
        <w:t>:</w:t>
      </w:r>
      <w:r w:rsidRPr="00827A9B">
        <w:rPr>
          <w:color w:val="000000" w:themeColor="text1"/>
          <w:lang w:val="en-US" w:eastAsia="en-GB"/>
        </w:rPr>
        <w:t xml:space="preserve"> </w:t>
      </w:r>
      <w:r>
        <w:rPr>
          <w:color w:val="000000" w:themeColor="text1"/>
          <w:lang w:val="en-US" w:eastAsia="en-GB"/>
        </w:rPr>
        <w:t>P</w:t>
      </w:r>
      <w:r w:rsidRPr="00827A9B">
        <w:rPr>
          <w:color w:val="000000" w:themeColor="text1"/>
          <w:lang w:val="en-US" w:eastAsia="en-GB"/>
        </w:rPr>
        <w:t>hosphofructokinase</w:t>
      </w:r>
      <w:r>
        <w:rPr>
          <w:color w:val="000000" w:themeColor="text1"/>
          <w:lang w:val="en-US" w:eastAsia="en-GB"/>
        </w:rPr>
        <w:t>;</w:t>
      </w:r>
      <w:r w:rsidRPr="00827A9B">
        <w:rPr>
          <w:color w:val="000000" w:themeColor="text1"/>
          <w:lang w:val="en-US" w:eastAsia="en-GB"/>
        </w:rPr>
        <w:t xml:space="preserve"> UDP</w:t>
      </w:r>
      <w:r>
        <w:rPr>
          <w:color w:val="000000" w:themeColor="text1"/>
          <w:lang w:val="en-US" w:eastAsia="en-GB"/>
        </w:rPr>
        <w:t>:</w:t>
      </w:r>
      <w:r w:rsidRPr="00827A9B">
        <w:rPr>
          <w:color w:val="000000" w:themeColor="text1"/>
          <w:lang w:val="en-US" w:eastAsia="en-GB"/>
        </w:rPr>
        <w:t xml:space="preserve"> </w:t>
      </w:r>
      <w:r>
        <w:rPr>
          <w:color w:val="000000" w:themeColor="text1"/>
          <w:lang w:val="en-US" w:eastAsia="en-GB"/>
        </w:rPr>
        <w:t>U</w:t>
      </w:r>
      <w:r w:rsidRPr="00827A9B">
        <w:rPr>
          <w:color w:val="000000" w:themeColor="text1"/>
          <w:lang w:val="en-US" w:eastAsia="en-GB"/>
        </w:rPr>
        <w:t>ridine diphosphate; GLUT</w:t>
      </w:r>
      <w:r>
        <w:rPr>
          <w:color w:val="000000" w:themeColor="text1"/>
          <w:lang w:val="en-US" w:eastAsia="en-GB"/>
        </w:rPr>
        <w:t xml:space="preserve"> </w:t>
      </w:r>
      <w:r w:rsidRPr="00827A9B">
        <w:rPr>
          <w:color w:val="000000" w:themeColor="text1"/>
          <w:lang w:val="en-US" w:eastAsia="en-GB"/>
        </w:rPr>
        <w:t>4</w:t>
      </w:r>
      <w:r>
        <w:rPr>
          <w:color w:val="000000" w:themeColor="text1"/>
          <w:lang w:val="en-US" w:eastAsia="en-GB"/>
        </w:rPr>
        <w:t>:</w:t>
      </w:r>
      <w:r w:rsidRPr="00827A9B">
        <w:rPr>
          <w:color w:val="000000" w:themeColor="text1"/>
          <w:lang w:val="en-US" w:eastAsia="en-GB"/>
        </w:rPr>
        <w:t xml:space="preserve"> Glucose transporter 4.</w:t>
      </w:r>
    </w:p>
    <w:p w14:paraId="226B9E14" w14:textId="24333C06" w:rsidR="00827A9B" w:rsidRDefault="00827A9B">
      <w:pPr>
        <w:spacing w:line="240" w:lineRule="auto"/>
        <w:jc w:val="left"/>
        <w:rPr>
          <w:color w:val="000000" w:themeColor="text1"/>
          <w:lang w:val="en-US" w:eastAsia="en-GB"/>
        </w:rPr>
      </w:pPr>
      <w:r>
        <w:rPr>
          <w:color w:val="000000" w:themeColor="text1"/>
          <w:lang w:val="en-US" w:eastAsia="en-GB"/>
        </w:rPr>
        <w:br w:type="page"/>
      </w:r>
    </w:p>
    <w:p w14:paraId="5C927743" w14:textId="435243FD" w:rsidR="00827A9B" w:rsidRPr="00A30FAB" w:rsidRDefault="00827A9B" w:rsidP="00A30FAB">
      <w:pPr>
        <w:adjustRightInd w:val="0"/>
        <w:snapToGrid w:val="0"/>
        <w:rPr>
          <w:color w:val="000000" w:themeColor="text1"/>
          <w:lang w:val="en-US" w:eastAsia="en-GB"/>
        </w:rPr>
      </w:pPr>
      <w:r w:rsidRPr="00A30FAB">
        <w:rPr>
          <w:noProof/>
          <w:color w:val="000000" w:themeColor="text1"/>
          <w:lang w:val="en-US"/>
        </w:rPr>
        <w:drawing>
          <wp:inline distT="0" distB="0" distL="0" distR="0" wp14:anchorId="4607290F" wp14:editId="51E514ED">
            <wp:extent cx="5727700" cy="32219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221990"/>
                    </a:xfrm>
                    <a:prstGeom prst="rect">
                      <a:avLst/>
                    </a:prstGeom>
                  </pic:spPr>
                </pic:pic>
              </a:graphicData>
            </a:graphic>
          </wp:inline>
        </w:drawing>
      </w:r>
    </w:p>
    <w:p w14:paraId="2DFFD58D" w14:textId="2497E3CB" w:rsidR="0045296A" w:rsidRPr="00827A9B" w:rsidRDefault="0045296A" w:rsidP="00827A9B">
      <w:pPr>
        <w:pStyle w:val="af7"/>
        <w:adjustRightInd w:val="0"/>
        <w:snapToGrid w:val="0"/>
        <w:spacing w:after="0"/>
        <w:rPr>
          <w:rFonts w:ascii="Book Antiqua" w:hAnsi="Book Antiqua"/>
          <w:b w:val="0"/>
          <w:bCs/>
          <w:i w:val="0"/>
          <w:iCs w:val="0"/>
        </w:rPr>
      </w:pPr>
      <w:bookmarkStart w:id="204" w:name="_Ref786875"/>
      <w:r w:rsidRPr="00827A9B">
        <w:rPr>
          <w:rFonts w:ascii="Book Antiqua" w:hAnsi="Book Antiqua"/>
          <w:i w:val="0"/>
          <w:iCs w:val="0"/>
        </w:rPr>
        <w:t xml:space="preserve">Figure </w:t>
      </w:r>
      <w:r w:rsidRPr="00827A9B">
        <w:rPr>
          <w:rFonts w:ascii="Book Antiqua" w:hAnsi="Book Antiqua"/>
          <w:i w:val="0"/>
          <w:iCs w:val="0"/>
          <w:noProof/>
        </w:rPr>
        <w:t>4</w:t>
      </w:r>
      <w:bookmarkEnd w:id="204"/>
      <w:r w:rsidRPr="00827A9B">
        <w:rPr>
          <w:rFonts w:ascii="Book Antiqua" w:hAnsi="Book Antiqua"/>
          <w:i w:val="0"/>
          <w:iCs w:val="0"/>
        </w:rPr>
        <w:t xml:space="preserve"> Pathways of </w:t>
      </w:r>
      <w:r w:rsidR="00827A9B" w:rsidRPr="00827A9B">
        <w:rPr>
          <w:rFonts w:ascii="Book Antiqua" w:hAnsi="Book Antiqua"/>
          <w:i w:val="0"/>
          <w:iCs w:val="0"/>
        </w:rPr>
        <w:t>cardiac dysfunction leading to diabetic cardiomyopathy</w:t>
      </w:r>
      <w:r w:rsidR="00827A9B">
        <w:rPr>
          <w:rFonts w:ascii="Book Antiqua" w:hAnsi="Book Antiqua"/>
          <w:i w:val="0"/>
          <w:iCs w:val="0"/>
        </w:rPr>
        <w:t xml:space="preserve">. </w:t>
      </w:r>
      <w:r w:rsidRPr="00827A9B">
        <w:rPr>
          <w:rFonts w:ascii="Book Antiqua" w:hAnsi="Book Antiqua"/>
          <w:b w:val="0"/>
          <w:bCs/>
          <w:i w:val="0"/>
          <w:iCs w:val="0"/>
        </w:rPr>
        <w:t>Pathways leading to the development of diabetic cardiomyopathy</w:t>
      </w:r>
      <w:r w:rsidR="00827A9B" w:rsidRPr="00827A9B">
        <w:rPr>
          <w:rFonts w:ascii="Book Antiqua" w:hAnsi="Book Antiqua"/>
          <w:b w:val="0"/>
          <w:bCs/>
          <w:i w:val="0"/>
          <w:iCs w:val="0"/>
          <w:vertAlign w:val="superscript"/>
        </w:rPr>
        <w:t>[154]</w:t>
      </w:r>
      <w:r w:rsidRPr="00827A9B">
        <w:rPr>
          <w:rFonts w:ascii="Book Antiqua" w:hAnsi="Book Antiqua"/>
          <w:b w:val="0"/>
          <w:bCs/>
          <w:i w:val="0"/>
          <w:iCs w:val="0"/>
        </w:rPr>
        <w:t xml:space="preserve">. AGE: </w:t>
      </w:r>
      <w:r w:rsidR="00827A9B">
        <w:rPr>
          <w:rFonts w:ascii="Book Antiqua" w:hAnsi="Book Antiqua"/>
          <w:b w:val="0"/>
          <w:bCs/>
          <w:i w:val="0"/>
          <w:iCs w:val="0"/>
        </w:rPr>
        <w:t>A</w:t>
      </w:r>
      <w:r w:rsidRPr="00827A9B">
        <w:rPr>
          <w:rFonts w:ascii="Book Antiqua" w:hAnsi="Book Antiqua"/>
          <w:b w:val="0"/>
          <w:bCs/>
          <w:i w:val="0"/>
          <w:iCs w:val="0"/>
        </w:rPr>
        <w:t xml:space="preserve">dvanced glycation end products; FA: </w:t>
      </w:r>
      <w:r w:rsidR="00827A9B">
        <w:rPr>
          <w:rFonts w:ascii="Book Antiqua" w:hAnsi="Book Antiqua"/>
          <w:b w:val="0"/>
          <w:bCs/>
          <w:i w:val="0"/>
          <w:iCs w:val="0"/>
        </w:rPr>
        <w:t>F</w:t>
      </w:r>
      <w:r w:rsidRPr="00827A9B">
        <w:rPr>
          <w:rFonts w:ascii="Book Antiqua" w:hAnsi="Book Antiqua"/>
          <w:b w:val="0"/>
          <w:bCs/>
          <w:i w:val="0"/>
          <w:iCs w:val="0"/>
        </w:rPr>
        <w:t xml:space="preserve">atty acids; FFA: </w:t>
      </w:r>
      <w:r w:rsidR="00827A9B">
        <w:rPr>
          <w:rFonts w:ascii="Book Antiqua" w:hAnsi="Book Antiqua"/>
          <w:b w:val="0"/>
          <w:bCs/>
          <w:i w:val="0"/>
          <w:iCs w:val="0"/>
        </w:rPr>
        <w:t>F</w:t>
      </w:r>
      <w:r w:rsidRPr="00827A9B">
        <w:rPr>
          <w:rFonts w:ascii="Book Antiqua" w:hAnsi="Book Antiqua"/>
          <w:b w:val="0"/>
          <w:bCs/>
          <w:i w:val="0"/>
          <w:iCs w:val="0"/>
        </w:rPr>
        <w:t xml:space="preserve">ree fatty acids; GLUT: </w:t>
      </w:r>
      <w:r w:rsidR="00827A9B">
        <w:rPr>
          <w:rFonts w:ascii="Book Antiqua" w:hAnsi="Book Antiqua"/>
          <w:b w:val="0"/>
          <w:bCs/>
          <w:i w:val="0"/>
          <w:iCs w:val="0"/>
        </w:rPr>
        <w:t>G</w:t>
      </w:r>
      <w:r w:rsidRPr="00827A9B">
        <w:rPr>
          <w:rFonts w:ascii="Book Antiqua" w:hAnsi="Book Antiqua"/>
          <w:b w:val="0"/>
          <w:bCs/>
          <w:i w:val="0"/>
          <w:iCs w:val="0"/>
        </w:rPr>
        <w:t xml:space="preserve">lucose transporters; PKC: Protein kinase C; PPARα: </w:t>
      </w:r>
      <w:r w:rsidR="00827A9B">
        <w:rPr>
          <w:rFonts w:ascii="Book Antiqua" w:hAnsi="Book Antiqua"/>
          <w:b w:val="0"/>
          <w:bCs/>
          <w:i w:val="0"/>
          <w:iCs w:val="0"/>
        </w:rPr>
        <w:t>P</w:t>
      </w:r>
      <w:r w:rsidRPr="00827A9B">
        <w:rPr>
          <w:rFonts w:ascii="Book Antiqua" w:hAnsi="Book Antiqua"/>
          <w:b w:val="0"/>
          <w:bCs/>
          <w:i w:val="0"/>
          <w:iCs w:val="0"/>
        </w:rPr>
        <w:t>eroxisome proliferator-activated receptor alpha; ROS: React</w:t>
      </w:r>
      <w:r w:rsidR="00827A9B" w:rsidRPr="00827A9B">
        <w:rPr>
          <w:rFonts w:ascii="Book Antiqua" w:hAnsi="Book Antiqua"/>
          <w:b w:val="0"/>
          <w:bCs/>
          <w:i w:val="0"/>
          <w:iCs w:val="0"/>
        </w:rPr>
        <w:t>ive oxygen species</w:t>
      </w:r>
      <w:r w:rsidR="00827A9B">
        <w:rPr>
          <w:rFonts w:ascii="Book Antiqua" w:hAnsi="Book Antiqua"/>
          <w:b w:val="0"/>
          <w:bCs/>
          <w:i w:val="0"/>
          <w:iCs w:val="0"/>
        </w:rPr>
        <w:t>.</w:t>
      </w:r>
      <w:r w:rsidRPr="00827A9B">
        <w:rPr>
          <w:rFonts w:ascii="Book Antiqua" w:hAnsi="Book Antiqua"/>
          <w:b w:val="0"/>
          <w:bCs/>
          <w:i w:val="0"/>
          <w:iCs w:val="0"/>
        </w:rPr>
        <w:t xml:space="preserve"> </w:t>
      </w:r>
    </w:p>
    <w:p w14:paraId="68FF980C" w14:textId="4A4219CD" w:rsidR="00827A9B" w:rsidRDefault="00827A9B">
      <w:pPr>
        <w:spacing w:line="240" w:lineRule="auto"/>
        <w:jc w:val="left"/>
        <w:rPr>
          <w:rFonts w:cstheme="minorHAnsi"/>
          <w:bCs/>
          <w:color w:val="000000" w:themeColor="text1"/>
          <w:lang w:val="en-US" w:eastAsia="en-GB"/>
        </w:rPr>
      </w:pPr>
      <w:r>
        <w:rPr>
          <w:b/>
          <w:bCs/>
          <w:i/>
          <w:iCs/>
        </w:rPr>
        <w:br w:type="page"/>
      </w:r>
    </w:p>
    <w:p w14:paraId="64E4A849" w14:textId="77777777" w:rsidR="0045296A" w:rsidRPr="00827A9B" w:rsidRDefault="0045296A" w:rsidP="00A30FAB">
      <w:pPr>
        <w:pStyle w:val="af7"/>
        <w:adjustRightInd w:val="0"/>
        <w:snapToGrid w:val="0"/>
        <w:spacing w:after="0"/>
        <w:rPr>
          <w:rFonts w:ascii="Book Antiqua" w:hAnsi="Book Antiqua"/>
          <w:b w:val="0"/>
          <w:bCs/>
          <w:i w:val="0"/>
          <w:iCs w:val="0"/>
        </w:rPr>
      </w:pPr>
    </w:p>
    <w:p w14:paraId="3078E0D2" w14:textId="77777777" w:rsidR="0045296A" w:rsidRPr="00A30FAB" w:rsidRDefault="0045296A" w:rsidP="00A30FAB">
      <w:pPr>
        <w:adjustRightInd w:val="0"/>
        <w:snapToGrid w:val="0"/>
        <w:rPr>
          <w:color w:val="000000" w:themeColor="text1"/>
          <w:lang w:val="en-US" w:eastAsia="en-GB"/>
        </w:rPr>
      </w:pPr>
      <w:r w:rsidRPr="00A30FAB">
        <w:rPr>
          <w:noProof/>
          <w:color w:val="000000" w:themeColor="text1"/>
          <w:lang w:val="en-US"/>
        </w:rPr>
        <w:drawing>
          <wp:inline distT="0" distB="0" distL="0" distR="0" wp14:anchorId="2E0D03EE" wp14:editId="445C9215">
            <wp:extent cx="5727700" cy="32219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3221990"/>
                    </a:xfrm>
                    <a:prstGeom prst="rect">
                      <a:avLst/>
                    </a:prstGeom>
                  </pic:spPr>
                </pic:pic>
              </a:graphicData>
            </a:graphic>
          </wp:inline>
        </w:drawing>
      </w:r>
    </w:p>
    <w:p w14:paraId="2855B7AD" w14:textId="596FF211" w:rsidR="0045296A" w:rsidRDefault="0045296A" w:rsidP="00A30FAB">
      <w:pPr>
        <w:pStyle w:val="af7"/>
        <w:adjustRightInd w:val="0"/>
        <w:snapToGrid w:val="0"/>
        <w:spacing w:after="0"/>
        <w:rPr>
          <w:rFonts w:ascii="Book Antiqua" w:hAnsi="Book Antiqua"/>
          <w:i w:val="0"/>
          <w:iCs w:val="0"/>
        </w:rPr>
      </w:pPr>
      <w:bookmarkStart w:id="205" w:name="_Ref8538268"/>
      <w:bookmarkStart w:id="206" w:name="_Ref8538256"/>
      <w:r w:rsidRPr="00827A9B">
        <w:rPr>
          <w:rFonts w:ascii="Book Antiqua" w:hAnsi="Book Antiqua"/>
          <w:i w:val="0"/>
          <w:iCs w:val="0"/>
        </w:rPr>
        <w:t xml:space="preserve">Figure </w:t>
      </w:r>
      <w:r w:rsidRPr="00827A9B">
        <w:rPr>
          <w:rFonts w:ascii="Book Antiqua" w:hAnsi="Book Antiqua"/>
          <w:i w:val="0"/>
          <w:iCs w:val="0"/>
          <w:noProof/>
        </w:rPr>
        <w:t>5</w:t>
      </w:r>
      <w:bookmarkEnd w:id="205"/>
      <w:r w:rsidRPr="00827A9B">
        <w:rPr>
          <w:rFonts w:ascii="Book Antiqua" w:hAnsi="Book Antiqua"/>
          <w:i w:val="0"/>
          <w:iCs w:val="0"/>
        </w:rPr>
        <w:t xml:space="preserve"> Major </w:t>
      </w:r>
      <w:r w:rsidR="00827A9B" w:rsidRPr="00827A9B">
        <w:rPr>
          <w:rFonts w:ascii="Book Antiqua" w:hAnsi="Book Antiqua"/>
          <w:i w:val="0"/>
          <w:iCs w:val="0"/>
        </w:rPr>
        <w:t>cardiovascular outcome trial</w:t>
      </w:r>
      <w:r w:rsidRPr="00827A9B">
        <w:rPr>
          <w:rFonts w:ascii="Book Antiqua" w:hAnsi="Book Antiqua"/>
          <w:i w:val="0"/>
          <w:iCs w:val="0"/>
        </w:rPr>
        <w:t xml:space="preserve">s using GLP1 </w:t>
      </w:r>
      <w:r w:rsidR="00827A9B" w:rsidRPr="00827A9B">
        <w:rPr>
          <w:rFonts w:ascii="Book Antiqua" w:hAnsi="Book Antiqua"/>
          <w:i w:val="0"/>
          <w:iCs w:val="0"/>
        </w:rPr>
        <w:t>receptor antagonists</w:t>
      </w:r>
      <w:bookmarkEnd w:id="206"/>
      <w:r w:rsidR="00827A9B" w:rsidRPr="00827A9B">
        <w:rPr>
          <w:rFonts w:ascii="Book Antiqua" w:hAnsi="Book Antiqua"/>
          <w:i w:val="0"/>
          <w:iCs w:val="0"/>
        </w:rPr>
        <w:t>.</w:t>
      </w:r>
    </w:p>
    <w:p w14:paraId="03B85AEF" w14:textId="53E78A51" w:rsidR="00827A9B" w:rsidRDefault="00827A9B">
      <w:pPr>
        <w:spacing w:line="240" w:lineRule="auto"/>
        <w:jc w:val="left"/>
        <w:rPr>
          <w:lang w:val="en-US" w:eastAsia="en-GB"/>
        </w:rPr>
      </w:pPr>
      <w:r>
        <w:rPr>
          <w:lang w:val="en-US" w:eastAsia="en-GB"/>
        </w:rPr>
        <w:br w:type="page"/>
      </w:r>
    </w:p>
    <w:p w14:paraId="74B215BF" w14:textId="77777777" w:rsidR="00827A9B" w:rsidRPr="00827A9B" w:rsidRDefault="00827A9B" w:rsidP="00827A9B">
      <w:pPr>
        <w:rPr>
          <w:lang w:val="en-US" w:eastAsia="en-GB"/>
        </w:rPr>
      </w:pPr>
    </w:p>
    <w:p w14:paraId="7B742416" w14:textId="77777777" w:rsidR="0045296A" w:rsidRPr="00A30FAB" w:rsidRDefault="0045296A" w:rsidP="00A30FAB">
      <w:pPr>
        <w:adjustRightInd w:val="0"/>
        <w:snapToGrid w:val="0"/>
        <w:rPr>
          <w:color w:val="000000" w:themeColor="text1"/>
          <w:lang w:val="en-US"/>
        </w:rPr>
      </w:pPr>
      <w:r w:rsidRPr="00A30FAB">
        <w:rPr>
          <w:noProof/>
          <w:color w:val="000000" w:themeColor="text1"/>
          <w:lang w:val="en-US"/>
        </w:rPr>
        <w:drawing>
          <wp:inline distT="0" distB="0" distL="0" distR="0" wp14:anchorId="2E5D1A8E" wp14:editId="44D074C8">
            <wp:extent cx="6236594" cy="21017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6193" r="-9" b="38871"/>
                    <a:stretch/>
                  </pic:blipFill>
                  <pic:spPr bwMode="auto">
                    <a:xfrm>
                      <a:off x="0" y="0"/>
                      <a:ext cx="6254993" cy="2107903"/>
                    </a:xfrm>
                    <a:prstGeom prst="rect">
                      <a:avLst/>
                    </a:prstGeom>
                    <a:ln>
                      <a:noFill/>
                    </a:ln>
                    <a:extLst>
                      <a:ext uri="{53640926-AAD7-44D8-BBD7-CCE9431645EC}">
                        <a14:shadowObscured xmlns:a14="http://schemas.microsoft.com/office/drawing/2010/main"/>
                      </a:ext>
                    </a:extLst>
                  </pic:spPr>
                </pic:pic>
              </a:graphicData>
            </a:graphic>
          </wp:inline>
        </w:drawing>
      </w:r>
      <w:bookmarkStart w:id="207" w:name="_Ref8538932"/>
    </w:p>
    <w:p w14:paraId="319961B2" w14:textId="35EEA0CE" w:rsidR="0045296A" w:rsidRPr="00827A9B" w:rsidRDefault="0045296A" w:rsidP="00A30FAB">
      <w:pPr>
        <w:pStyle w:val="af7"/>
        <w:adjustRightInd w:val="0"/>
        <w:snapToGrid w:val="0"/>
        <w:spacing w:after="0"/>
        <w:rPr>
          <w:rFonts w:ascii="Book Antiqua" w:hAnsi="Book Antiqua"/>
          <w:i w:val="0"/>
          <w:iCs w:val="0"/>
        </w:rPr>
      </w:pPr>
      <w:bookmarkStart w:id="208" w:name="_Ref13820958"/>
      <w:r w:rsidRPr="00827A9B">
        <w:rPr>
          <w:rFonts w:ascii="Book Antiqua" w:hAnsi="Book Antiqua"/>
          <w:i w:val="0"/>
          <w:iCs w:val="0"/>
        </w:rPr>
        <w:t xml:space="preserve">Figure </w:t>
      </w:r>
      <w:r w:rsidRPr="00827A9B">
        <w:rPr>
          <w:rFonts w:ascii="Book Antiqua" w:hAnsi="Book Antiqua"/>
          <w:i w:val="0"/>
          <w:iCs w:val="0"/>
          <w:noProof/>
        </w:rPr>
        <w:t>6</w:t>
      </w:r>
      <w:bookmarkEnd w:id="207"/>
      <w:bookmarkEnd w:id="208"/>
      <w:r w:rsidRPr="00827A9B">
        <w:rPr>
          <w:rFonts w:ascii="Book Antiqua" w:hAnsi="Book Antiqua"/>
          <w:i w:val="0"/>
          <w:iCs w:val="0"/>
        </w:rPr>
        <w:t xml:space="preserve"> Majo</w:t>
      </w:r>
      <w:r w:rsidR="00827A9B" w:rsidRPr="00827A9B">
        <w:rPr>
          <w:rFonts w:ascii="Book Antiqua" w:hAnsi="Book Antiqua"/>
          <w:i w:val="0"/>
          <w:iCs w:val="0"/>
        </w:rPr>
        <w:t>r cardiovascular outcome trials examining</w:t>
      </w:r>
      <w:r w:rsidRPr="00827A9B">
        <w:rPr>
          <w:rFonts w:ascii="Book Antiqua" w:hAnsi="Book Antiqua"/>
          <w:i w:val="0"/>
          <w:iCs w:val="0"/>
        </w:rPr>
        <w:t xml:space="preserve"> SGLT2 </w:t>
      </w:r>
      <w:r w:rsidR="00827A9B" w:rsidRPr="00827A9B">
        <w:rPr>
          <w:rFonts w:ascii="Book Antiqua" w:hAnsi="Book Antiqua"/>
          <w:i w:val="0"/>
          <w:iCs w:val="0"/>
        </w:rPr>
        <w:t>inhibitors</w:t>
      </w:r>
      <w:r w:rsidR="00827A9B">
        <w:rPr>
          <w:rFonts w:ascii="Book Antiqua" w:hAnsi="Book Antiqua"/>
          <w:i w:val="0"/>
          <w:iCs w:val="0"/>
        </w:rPr>
        <w:t>.</w:t>
      </w:r>
    </w:p>
    <w:p w14:paraId="6445AD53" w14:textId="77777777" w:rsidR="0045296A" w:rsidRPr="00A30FAB" w:rsidRDefault="0045296A" w:rsidP="00A30FAB">
      <w:pPr>
        <w:adjustRightInd w:val="0"/>
        <w:snapToGrid w:val="0"/>
        <w:rPr>
          <w:rFonts w:eastAsiaTheme="majorEastAsia"/>
          <w:b/>
          <w:color w:val="000000" w:themeColor="text1"/>
          <w:lang w:val="en-US"/>
        </w:rPr>
      </w:pPr>
      <w:bookmarkStart w:id="209" w:name="_Ref863982"/>
      <w:r w:rsidRPr="00A30FAB">
        <w:rPr>
          <w:color w:val="000000" w:themeColor="text1"/>
          <w:lang w:val="en-US"/>
        </w:rPr>
        <w:br w:type="page"/>
      </w:r>
    </w:p>
    <w:p w14:paraId="1C5AC092" w14:textId="7850C6B3" w:rsidR="00AD5414" w:rsidRPr="00827A9B" w:rsidRDefault="00AD5414" w:rsidP="00A30FAB">
      <w:pPr>
        <w:pStyle w:val="af7"/>
        <w:adjustRightInd w:val="0"/>
        <w:snapToGrid w:val="0"/>
        <w:spacing w:after="0"/>
        <w:rPr>
          <w:rFonts w:ascii="Book Antiqua" w:hAnsi="Book Antiqua"/>
          <w:i w:val="0"/>
          <w:iCs w:val="0"/>
        </w:rPr>
      </w:pPr>
      <w:bookmarkStart w:id="210" w:name="_Ref8643670"/>
      <w:bookmarkEnd w:id="209"/>
      <w:r w:rsidRPr="00827A9B">
        <w:rPr>
          <w:rFonts w:ascii="Book Antiqua" w:hAnsi="Book Antiqua"/>
          <w:i w:val="0"/>
          <w:iCs w:val="0"/>
        </w:rPr>
        <w:t>Table 1</w:t>
      </w:r>
      <w:bookmarkEnd w:id="210"/>
      <w:r w:rsidRPr="00827A9B">
        <w:rPr>
          <w:rFonts w:ascii="Book Antiqua" w:hAnsi="Book Antiqua"/>
          <w:i w:val="0"/>
          <w:iCs w:val="0"/>
        </w:rPr>
        <w:t xml:space="preserve"> Myocar</w:t>
      </w:r>
      <w:r w:rsidR="00827A9B" w:rsidRPr="00827A9B">
        <w:rPr>
          <w:rFonts w:ascii="Book Antiqua" w:hAnsi="Book Antiqua"/>
          <w:i w:val="0"/>
          <w:iCs w:val="0"/>
        </w:rPr>
        <w:t>dial triglyceride content in type 2 diabetes</w:t>
      </w:r>
    </w:p>
    <w:tbl>
      <w:tblPr>
        <w:tblStyle w:val="11"/>
        <w:tblW w:w="9356"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6"/>
        <w:gridCol w:w="2694"/>
        <w:gridCol w:w="2375"/>
        <w:gridCol w:w="2571"/>
      </w:tblGrid>
      <w:tr w:rsidR="00AD5414" w:rsidRPr="00A30FAB" w14:paraId="6D7ACACC" w14:textId="77777777" w:rsidTr="00422E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Borders>
              <w:top w:val="single" w:sz="4" w:space="0" w:color="auto"/>
              <w:bottom w:val="single" w:sz="4" w:space="0" w:color="auto"/>
            </w:tcBorders>
          </w:tcPr>
          <w:p w14:paraId="609A61DA" w14:textId="39A71281" w:rsidR="00AD5414" w:rsidRPr="00A30FAB" w:rsidRDefault="00AD5414" w:rsidP="00A30FAB">
            <w:pPr>
              <w:adjustRightInd w:val="0"/>
              <w:snapToGrid w:val="0"/>
              <w:rPr>
                <w:color w:val="000000" w:themeColor="text1"/>
              </w:rPr>
            </w:pPr>
            <w:r w:rsidRPr="00A30FAB">
              <w:rPr>
                <w:color w:val="000000" w:themeColor="text1"/>
              </w:rPr>
              <w:t xml:space="preserve">Study </w:t>
            </w:r>
            <w:r w:rsidR="00971D00">
              <w:rPr>
                <w:color w:val="000000" w:themeColor="text1"/>
              </w:rPr>
              <w:t>d</w:t>
            </w:r>
            <w:r w:rsidRPr="00A30FAB">
              <w:rPr>
                <w:color w:val="000000" w:themeColor="text1"/>
              </w:rPr>
              <w:t>etails</w:t>
            </w:r>
          </w:p>
          <w:p w14:paraId="1DA8DD9C" w14:textId="77777777" w:rsidR="00AD5414" w:rsidRPr="00A30FAB" w:rsidRDefault="00AD5414" w:rsidP="00A30FAB">
            <w:pPr>
              <w:adjustRightInd w:val="0"/>
              <w:snapToGrid w:val="0"/>
              <w:rPr>
                <w:color w:val="000000" w:themeColor="text1"/>
              </w:rPr>
            </w:pPr>
            <w:r w:rsidRPr="00A30FAB">
              <w:rPr>
                <w:color w:val="000000" w:themeColor="text1"/>
              </w:rPr>
              <w:t>(Author,Year)</w:t>
            </w:r>
          </w:p>
        </w:tc>
        <w:tc>
          <w:tcPr>
            <w:tcW w:w="2694" w:type="dxa"/>
            <w:tcBorders>
              <w:top w:val="single" w:sz="4" w:space="0" w:color="auto"/>
              <w:bottom w:val="single" w:sz="4" w:space="0" w:color="auto"/>
            </w:tcBorders>
          </w:tcPr>
          <w:p w14:paraId="724A7559" w14:textId="44CDBDF6" w:rsidR="00AD5414" w:rsidRPr="00A30FAB" w:rsidRDefault="00AD5414" w:rsidP="00A30FAB">
            <w:pPr>
              <w:adjustRightInd w:val="0"/>
              <w:snapToGrid w:val="0"/>
              <w:cnfStyle w:val="100000000000" w:firstRow="1" w:lastRow="0" w:firstColumn="0" w:lastColumn="0" w:oddVBand="0" w:evenVBand="0" w:oddHBand="0" w:evenHBand="0" w:firstRowFirstColumn="0" w:firstRowLastColumn="0" w:lastRowFirstColumn="0" w:lastRowLastColumn="0"/>
              <w:rPr>
                <w:color w:val="000000" w:themeColor="text1"/>
              </w:rPr>
            </w:pPr>
            <w:r w:rsidRPr="00A30FAB">
              <w:rPr>
                <w:color w:val="000000" w:themeColor="text1"/>
              </w:rPr>
              <w:t xml:space="preserve">Sample </w:t>
            </w:r>
            <w:r w:rsidR="00971D00">
              <w:rPr>
                <w:color w:val="000000" w:themeColor="text1"/>
              </w:rPr>
              <w:t>p</w:t>
            </w:r>
            <w:r w:rsidRPr="00A30FAB">
              <w:rPr>
                <w:color w:val="000000" w:themeColor="text1"/>
              </w:rPr>
              <w:t xml:space="preserve">opulation </w:t>
            </w:r>
          </w:p>
          <w:p w14:paraId="2D84C2B5" w14:textId="77777777" w:rsidR="00AD5414" w:rsidRPr="00A30FAB" w:rsidRDefault="00AD5414" w:rsidP="00A30FAB">
            <w:pPr>
              <w:adjustRightInd w:val="0"/>
              <w:snapToGrid w:val="0"/>
              <w:cnfStyle w:val="100000000000" w:firstRow="1" w:lastRow="0" w:firstColumn="0" w:lastColumn="0" w:oddVBand="0" w:evenVBand="0" w:oddHBand="0" w:evenHBand="0" w:firstRowFirstColumn="0" w:firstRowLastColumn="0" w:lastRowFirstColumn="0" w:lastRowLastColumn="0"/>
              <w:rPr>
                <w:color w:val="000000" w:themeColor="text1"/>
              </w:rPr>
            </w:pPr>
          </w:p>
        </w:tc>
        <w:tc>
          <w:tcPr>
            <w:tcW w:w="2375" w:type="dxa"/>
            <w:tcBorders>
              <w:top w:val="single" w:sz="4" w:space="0" w:color="auto"/>
              <w:bottom w:val="single" w:sz="4" w:space="0" w:color="auto"/>
            </w:tcBorders>
          </w:tcPr>
          <w:p w14:paraId="592E5878" w14:textId="77777777" w:rsidR="00AD5414" w:rsidRPr="00A30FAB" w:rsidRDefault="00AD5414" w:rsidP="00A30FAB">
            <w:pPr>
              <w:adjustRightInd w:val="0"/>
              <w:snapToGrid w:val="0"/>
              <w:cnfStyle w:val="100000000000" w:firstRow="1" w:lastRow="0" w:firstColumn="0" w:lastColumn="0" w:oddVBand="0" w:evenVBand="0" w:oddHBand="0" w:evenHBand="0" w:firstRowFirstColumn="0" w:firstRowLastColumn="0" w:lastRowFirstColumn="0" w:lastRowLastColumn="0"/>
              <w:rPr>
                <w:color w:val="000000" w:themeColor="text1"/>
              </w:rPr>
            </w:pPr>
            <w:r w:rsidRPr="00A30FAB">
              <w:rPr>
                <w:color w:val="000000" w:themeColor="text1"/>
              </w:rPr>
              <w:t>Exclusion</w:t>
            </w:r>
          </w:p>
        </w:tc>
        <w:tc>
          <w:tcPr>
            <w:tcW w:w="2571" w:type="dxa"/>
            <w:tcBorders>
              <w:top w:val="single" w:sz="4" w:space="0" w:color="auto"/>
              <w:bottom w:val="single" w:sz="4" w:space="0" w:color="auto"/>
            </w:tcBorders>
          </w:tcPr>
          <w:p w14:paraId="6204CEB4" w14:textId="77777777" w:rsidR="00AD5414" w:rsidRPr="00A30FAB" w:rsidRDefault="00AD5414" w:rsidP="00A30FAB">
            <w:pPr>
              <w:adjustRightInd w:val="0"/>
              <w:snapToGrid w:val="0"/>
              <w:cnfStyle w:val="100000000000" w:firstRow="1" w:lastRow="0" w:firstColumn="0" w:lastColumn="0" w:oddVBand="0" w:evenVBand="0" w:oddHBand="0" w:evenHBand="0" w:firstRowFirstColumn="0" w:firstRowLastColumn="0" w:lastRowFirstColumn="0" w:lastRowLastColumn="0"/>
              <w:rPr>
                <w:color w:val="000000" w:themeColor="text1"/>
              </w:rPr>
            </w:pPr>
            <w:r w:rsidRPr="00A30FAB">
              <w:rPr>
                <w:color w:val="000000" w:themeColor="text1"/>
              </w:rPr>
              <w:t>Results</w:t>
            </w:r>
          </w:p>
        </w:tc>
      </w:tr>
      <w:tr w:rsidR="00AD5414" w:rsidRPr="00A30FAB" w14:paraId="33E2910B" w14:textId="77777777" w:rsidTr="00422EB0">
        <w:tc>
          <w:tcPr>
            <w:cnfStyle w:val="001000000000" w:firstRow="0" w:lastRow="0" w:firstColumn="1" w:lastColumn="0" w:oddVBand="0" w:evenVBand="0" w:oddHBand="0" w:evenHBand="0" w:firstRowFirstColumn="0" w:firstRowLastColumn="0" w:lastRowFirstColumn="0" w:lastRowLastColumn="0"/>
            <w:tcW w:w="1716" w:type="dxa"/>
            <w:tcBorders>
              <w:top w:val="single" w:sz="4" w:space="0" w:color="auto"/>
            </w:tcBorders>
          </w:tcPr>
          <w:p w14:paraId="1AC2D42C" w14:textId="58E1E40A" w:rsidR="00AD5414" w:rsidRPr="00971D00" w:rsidRDefault="00AD5414" w:rsidP="00A30FAB">
            <w:pPr>
              <w:adjustRightInd w:val="0"/>
              <w:snapToGrid w:val="0"/>
              <w:rPr>
                <w:b w:val="0"/>
                <w:bCs w:val="0"/>
                <w:color w:val="000000" w:themeColor="text1"/>
              </w:rPr>
            </w:pPr>
            <w:r w:rsidRPr="00971D00">
              <w:rPr>
                <w:b w:val="0"/>
                <w:bCs w:val="0"/>
                <w:color w:val="000000" w:themeColor="text1"/>
              </w:rPr>
              <w:t xml:space="preserve">Jankovic </w:t>
            </w:r>
            <w:r w:rsidRPr="00BA19EF">
              <w:rPr>
                <w:b w:val="0"/>
                <w:bCs w:val="0"/>
                <w:i/>
                <w:iCs/>
                <w:color w:val="000000" w:themeColor="text1"/>
              </w:rPr>
              <w:t>et al</w:t>
            </w:r>
            <w:r w:rsidR="00971D00" w:rsidRPr="00971D00">
              <w:rPr>
                <w:b w:val="0"/>
                <w:bCs w:val="0"/>
                <w:color w:val="000000" w:themeColor="text1"/>
                <w:vertAlign w:val="superscript"/>
              </w:rPr>
              <w:t>[92]</w:t>
            </w:r>
            <w:r w:rsidR="00971D00" w:rsidRPr="00971D00">
              <w:rPr>
                <w:b w:val="0"/>
                <w:bCs w:val="0"/>
                <w:color w:val="000000" w:themeColor="text1"/>
              </w:rPr>
              <w:t>,</w:t>
            </w:r>
            <w:r w:rsidRPr="00971D00">
              <w:rPr>
                <w:b w:val="0"/>
                <w:bCs w:val="0"/>
                <w:color w:val="000000" w:themeColor="text1"/>
              </w:rPr>
              <w:t xml:space="preserve"> 2012</w:t>
            </w:r>
          </w:p>
        </w:tc>
        <w:tc>
          <w:tcPr>
            <w:tcW w:w="2694" w:type="dxa"/>
            <w:tcBorders>
              <w:top w:val="single" w:sz="4" w:space="0" w:color="auto"/>
            </w:tcBorders>
          </w:tcPr>
          <w:p w14:paraId="3F524A5E"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i/>
                <w:iCs/>
                <w:color w:val="000000" w:themeColor="text1"/>
              </w:rPr>
              <w:t>n</w:t>
            </w:r>
            <w:r w:rsidRPr="00971D00">
              <w:rPr>
                <w:color w:val="000000" w:themeColor="text1"/>
              </w:rPr>
              <w:t xml:space="preserve"> = 18</w:t>
            </w:r>
          </w:p>
          <w:p w14:paraId="52FBBC55" w14:textId="6E522869"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IT (</w:t>
            </w:r>
            <w:r w:rsidRPr="00971D00">
              <w:rPr>
                <w:i/>
                <w:iCs/>
                <w:color w:val="000000" w:themeColor="text1"/>
              </w:rPr>
              <w:t>n</w:t>
            </w:r>
            <w:r w:rsidRPr="00971D00">
              <w:rPr>
                <w:color w:val="000000" w:themeColor="text1"/>
              </w:rPr>
              <w:t xml:space="preserve"> = 10)</w:t>
            </w:r>
          </w:p>
          <w:p w14:paraId="1E74EDF6" w14:textId="672507E2"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Mean age 56</w:t>
            </w:r>
            <w:r w:rsidR="00680B0C">
              <w:rPr>
                <w:color w:val="000000" w:themeColor="text1"/>
              </w:rPr>
              <w:t xml:space="preserve"> </w:t>
            </w:r>
            <w:r w:rsidR="00971D00">
              <w:rPr>
                <w:color w:val="000000" w:themeColor="text1"/>
              </w:rPr>
              <w:t>±</w:t>
            </w:r>
            <w:r w:rsidR="00680B0C">
              <w:rPr>
                <w:color w:val="000000" w:themeColor="text1"/>
              </w:rPr>
              <w:t xml:space="preserve"> </w:t>
            </w:r>
            <w:r w:rsidRPr="00971D00">
              <w:rPr>
                <w:color w:val="000000" w:themeColor="text1"/>
              </w:rPr>
              <w:t>2</w:t>
            </w:r>
          </w:p>
          <w:p w14:paraId="06D9AB1F" w14:textId="44B02100"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DM duration 9</w:t>
            </w:r>
            <w:r w:rsidR="00680B0C">
              <w:rPr>
                <w:color w:val="000000" w:themeColor="text1"/>
              </w:rPr>
              <w:t xml:space="preserve"> </w:t>
            </w:r>
            <w:r w:rsidR="00971D00">
              <w:rPr>
                <w:color w:val="000000" w:themeColor="text1"/>
              </w:rPr>
              <w:t>±</w:t>
            </w:r>
            <w:r w:rsidR="00680B0C">
              <w:rPr>
                <w:color w:val="000000" w:themeColor="text1"/>
              </w:rPr>
              <w:t xml:space="preserve"> </w:t>
            </w:r>
            <w:r w:rsidRPr="00971D00">
              <w:rPr>
                <w:color w:val="000000" w:themeColor="text1"/>
              </w:rPr>
              <w:t>2 y</w:t>
            </w:r>
            <w:r w:rsidR="00971D00">
              <w:rPr>
                <w:color w:val="000000" w:themeColor="text1"/>
              </w:rPr>
              <w:t>r</w:t>
            </w:r>
            <w:r w:rsidRPr="00971D00">
              <w:rPr>
                <w:color w:val="000000" w:themeColor="text1"/>
              </w:rPr>
              <w:t xml:space="preserve"> </w:t>
            </w:r>
          </w:p>
          <w:p w14:paraId="678672F1"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6 males</w:t>
            </w:r>
          </w:p>
          <w:p w14:paraId="2BF4679C" w14:textId="0D1ECD8C"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HbA1c 11.1</w:t>
            </w:r>
            <w:r w:rsidR="00680B0C">
              <w:rPr>
                <w:color w:val="000000" w:themeColor="text1"/>
              </w:rPr>
              <w:t xml:space="preserve"> </w:t>
            </w:r>
            <w:r w:rsidR="00971D00">
              <w:rPr>
                <w:color w:val="000000" w:themeColor="text1"/>
              </w:rPr>
              <w:t>±</w:t>
            </w:r>
            <w:r w:rsidR="00680B0C">
              <w:rPr>
                <w:color w:val="000000" w:themeColor="text1"/>
              </w:rPr>
              <w:t xml:space="preserve"> </w:t>
            </w:r>
            <w:r w:rsidRPr="00971D00">
              <w:rPr>
                <w:color w:val="000000" w:themeColor="text1"/>
              </w:rPr>
              <w:t>0.4</w:t>
            </w:r>
          </w:p>
          <w:p w14:paraId="5A37A044"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p>
          <w:p w14:paraId="230C2D51"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Oral therapy (OT) (</w:t>
            </w:r>
            <w:r w:rsidRPr="00BA19EF">
              <w:rPr>
                <w:i/>
                <w:iCs/>
                <w:color w:val="000000" w:themeColor="text1"/>
              </w:rPr>
              <w:t>n</w:t>
            </w:r>
            <w:r w:rsidRPr="00971D00">
              <w:rPr>
                <w:color w:val="000000" w:themeColor="text1"/>
              </w:rPr>
              <w:t xml:space="preserve"> = 8) </w:t>
            </w:r>
          </w:p>
          <w:p w14:paraId="25334363" w14:textId="029ECE9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Mean age 53</w:t>
            </w:r>
            <w:r w:rsidR="00680B0C">
              <w:rPr>
                <w:color w:val="000000" w:themeColor="text1"/>
              </w:rPr>
              <w:t xml:space="preserve"> </w:t>
            </w:r>
            <w:r w:rsidR="00971D00">
              <w:rPr>
                <w:color w:val="000000" w:themeColor="text1"/>
              </w:rPr>
              <w:t>±</w:t>
            </w:r>
            <w:r w:rsidR="00680B0C">
              <w:rPr>
                <w:color w:val="000000" w:themeColor="text1"/>
              </w:rPr>
              <w:t xml:space="preserve"> </w:t>
            </w:r>
            <w:r w:rsidRPr="00971D00">
              <w:rPr>
                <w:color w:val="000000" w:themeColor="text1"/>
              </w:rPr>
              <w:t>2</w:t>
            </w:r>
          </w:p>
          <w:p w14:paraId="3AACE0F7" w14:textId="3BFCBFB9"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DM duration 3</w:t>
            </w:r>
            <w:r w:rsidR="00680B0C">
              <w:rPr>
                <w:color w:val="000000" w:themeColor="text1"/>
              </w:rPr>
              <w:t xml:space="preserve"> </w:t>
            </w:r>
            <w:r w:rsidR="00971D00">
              <w:rPr>
                <w:color w:val="000000" w:themeColor="text1"/>
              </w:rPr>
              <w:t>±</w:t>
            </w:r>
            <w:r w:rsidR="00680B0C">
              <w:rPr>
                <w:color w:val="000000" w:themeColor="text1"/>
              </w:rPr>
              <w:t xml:space="preserve"> </w:t>
            </w:r>
            <w:r w:rsidRPr="00971D00">
              <w:rPr>
                <w:color w:val="000000" w:themeColor="text1"/>
              </w:rPr>
              <w:t xml:space="preserve">1 </w:t>
            </w:r>
            <w:r w:rsidR="00971D00">
              <w:rPr>
                <w:color w:val="000000" w:themeColor="text1"/>
              </w:rPr>
              <w:t>yr</w:t>
            </w:r>
          </w:p>
          <w:p w14:paraId="153F3FD2"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 xml:space="preserve">4 males </w:t>
            </w:r>
          </w:p>
          <w:p w14:paraId="368017D5" w14:textId="3274B7A3"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HbA1c 9.8</w:t>
            </w:r>
            <w:r w:rsidR="00BA19EF">
              <w:rPr>
                <w:color w:val="000000" w:themeColor="text1"/>
              </w:rPr>
              <w:t>%</w:t>
            </w:r>
            <w:r w:rsidR="00971D00">
              <w:rPr>
                <w:color w:val="000000" w:themeColor="text1"/>
              </w:rPr>
              <w:t xml:space="preserve"> ±</w:t>
            </w:r>
            <w:r w:rsidR="00680B0C">
              <w:rPr>
                <w:color w:val="000000" w:themeColor="text1"/>
              </w:rPr>
              <w:t xml:space="preserve"> </w:t>
            </w:r>
            <w:r w:rsidRPr="00971D00">
              <w:rPr>
                <w:color w:val="000000" w:themeColor="text1"/>
              </w:rPr>
              <w:t>0.7%</w:t>
            </w:r>
          </w:p>
        </w:tc>
        <w:tc>
          <w:tcPr>
            <w:tcW w:w="2375" w:type="dxa"/>
            <w:tcBorders>
              <w:top w:val="single" w:sz="4" w:space="0" w:color="auto"/>
            </w:tcBorders>
          </w:tcPr>
          <w:p w14:paraId="6B1F1739"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Previous MI, CAD, HF, digitalis use or thiazolidinediones, previous insulin use or T1D</w:t>
            </w:r>
          </w:p>
          <w:p w14:paraId="22CAE589"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p>
          <w:p w14:paraId="5CD48E1D"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Patients on insulin must have had insufficient control on oral, HbA1C &gt; 8% and on oral therapy</w:t>
            </w:r>
          </w:p>
          <w:p w14:paraId="615CC41A"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571" w:type="dxa"/>
            <w:tcBorders>
              <w:top w:val="single" w:sz="4" w:space="0" w:color="auto"/>
            </w:tcBorders>
          </w:tcPr>
          <w:p w14:paraId="3EDC03EB" w14:textId="65D607C6"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Baseline IT myocardial lipid content 0.42</w:t>
            </w:r>
            <w:r w:rsidR="00BA19EF">
              <w:rPr>
                <w:color w:val="000000" w:themeColor="text1"/>
              </w:rPr>
              <w:t>%</w:t>
            </w:r>
            <w:r w:rsidR="00680B0C">
              <w:rPr>
                <w:color w:val="000000" w:themeColor="text1"/>
              </w:rPr>
              <w:t xml:space="preserve"> </w:t>
            </w:r>
            <w:r w:rsidR="00971D00">
              <w:rPr>
                <w:color w:val="000000" w:themeColor="text1"/>
              </w:rPr>
              <w:t xml:space="preserve">± </w:t>
            </w:r>
            <w:r w:rsidRPr="00971D00">
              <w:rPr>
                <w:color w:val="000000" w:themeColor="text1"/>
              </w:rPr>
              <w:t>0.12</w:t>
            </w:r>
            <w:r w:rsidR="00BA19EF">
              <w:rPr>
                <w:color w:val="000000" w:themeColor="text1"/>
              </w:rPr>
              <w:t>%</w:t>
            </w:r>
            <w:r w:rsidRPr="00971D00">
              <w:rPr>
                <w:color w:val="000000" w:themeColor="text1"/>
              </w:rPr>
              <w:t xml:space="preserve"> </w:t>
            </w:r>
            <w:r w:rsidRPr="00971D00">
              <w:rPr>
                <w:i/>
                <w:iCs/>
                <w:color w:val="000000" w:themeColor="text1"/>
              </w:rPr>
              <w:t xml:space="preserve">vs </w:t>
            </w:r>
            <w:r w:rsidRPr="00971D00">
              <w:rPr>
                <w:color w:val="000000" w:themeColor="text1"/>
              </w:rPr>
              <w:t>0.80</w:t>
            </w:r>
            <w:r w:rsidR="00BA19EF">
              <w:rPr>
                <w:color w:val="000000" w:themeColor="text1"/>
              </w:rPr>
              <w:t>%</w:t>
            </w:r>
            <w:r w:rsidR="00680B0C">
              <w:rPr>
                <w:color w:val="000000" w:themeColor="text1"/>
              </w:rPr>
              <w:t xml:space="preserve"> </w:t>
            </w:r>
            <w:r w:rsidR="00971D00">
              <w:rPr>
                <w:color w:val="000000" w:themeColor="text1"/>
              </w:rPr>
              <w:t>±</w:t>
            </w:r>
            <w:r w:rsidR="00680B0C">
              <w:rPr>
                <w:color w:val="000000" w:themeColor="text1"/>
              </w:rPr>
              <w:t xml:space="preserve"> </w:t>
            </w:r>
            <w:r w:rsidRPr="00971D00">
              <w:rPr>
                <w:color w:val="000000" w:themeColor="text1"/>
              </w:rPr>
              <w:t>0.11% water signal, (</w:t>
            </w:r>
            <w:r w:rsidRPr="00971D00">
              <w:rPr>
                <w:color w:val="000000" w:themeColor="text1"/>
                <w:vertAlign w:val="superscript"/>
              </w:rPr>
              <w:t>a</w:t>
            </w:r>
            <w:r w:rsidRPr="00971D00">
              <w:rPr>
                <w:i/>
                <w:color w:val="000000" w:themeColor="text1"/>
              </w:rPr>
              <w:t>P</w:t>
            </w:r>
            <w:r w:rsidR="00971D00">
              <w:rPr>
                <w:i/>
                <w:color w:val="000000" w:themeColor="text1"/>
              </w:rPr>
              <w:t xml:space="preserve"> </w:t>
            </w:r>
            <w:r w:rsidRPr="00971D00">
              <w:rPr>
                <w:color w:val="000000" w:themeColor="text1"/>
              </w:rPr>
              <w:t>=</w:t>
            </w:r>
            <w:r w:rsidR="00971D00">
              <w:rPr>
                <w:color w:val="000000" w:themeColor="text1"/>
              </w:rPr>
              <w:t xml:space="preserve"> </w:t>
            </w:r>
            <w:r w:rsidRPr="00971D00">
              <w:rPr>
                <w:color w:val="000000" w:themeColor="text1"/>
              </w:rPr>
              <w:t xml:space="preserve">0.034). </w:t>
            </w:r>
          </w:p>
          <w:p w14:paraId="198F2C7C" w14:textId="3B1AC1CF"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Myocardial lipid content decreased by 80% after 10 d IT (</w:t>
            </w:r>
            <w:r w:rsidRPr="00971D00">
              <w:rPr>
                <w:i/>
                <w:color w:val="000000" w:themeColor="text1"/>
              </w:rPr>
              <w:t>P</w:t>
            </w:r>
            <w:r w:rsidR="00BA19EF">
              <w:rPr>
                <w:i/>
                <w:color w:val="000000" w:themeColor="text1"/>
              </w:rPr>
              <w:t xml:space="preserve"> </w:t>
            </w:r>
            <w:r w:rsidRPr="00971D00">
              <w:rPr>
                <w:color w:val="000000" w:themeColor="text1"/>
              </w:rPr>
              <w:t>=</w:t>
            </w:r>
            <w:r w:rsidR="00BA19EF">
              <w:rPr>
                <w:color w:val="000000" w:themeColor="text1"/>
              </w:rPr>
              <w:t xml:space="preserve"> </w:t>
            </w:r>
            <w:r w:rsidRPr="00971D00">
              <w:rPr>
                <w:color w:val="000000" w:themeColor="text1"/>
              </w:rPr>
              <w:t>0.008). No significant change in hepatic lipid content. After 181</w:t>
            </w:r>
            <w:r w:rsidR="00680B0C">
              <w:rPr>
                <w:color w:val="000000" w:themeColor="text1"/>
              </w:rPr>
              <w:t xml:space="preserve"> </w:t>
            </w:r>
            <w:r w:rsidR="00971D00">
              <w:rPr>
                <w:color w:val="000000" w:themeColor="text1"/>
              </w:rPr>
              <w:t>±</w:t>
            </w:r>
            <w:r w:rsidR="00680B0C">
              <w:rPr>
                <w:color w:val="000000" w:themeColor="text1"/>
              </w:rPr>
              <w:t xml:space="preserve"> </w:t>
            </w:r>
            <w:r w:rsidRPr="00971D00">
              <w:rPr>
                <w:color w:val="000000" w:themeColor="text1"/>
              </w:rPr>
              <w:t>49 d, myocardial lipid content returned to baseline (0.37</w:t>
            </w:r>
            <w:r w:rsidR="00680B0C">
              <w:rPr>
                <w:color w:val="000000" w:themeColor="text1"/>
              </w:rPr>
              <w:t xml:space="preserve"> </w:t>
            </w:r>
            <w:r w:rsidR="00971D00">
              <w:rPr>
                <w:color w:val="000000" w:themeColor="text1"/>
              </w:rPr>
              <w:t>±</w:t>
            </w:r>
            <w:r w:rsidR="00680B0C">
              <w:rPr>
                <w:color w:val="000000" w:themeColor="text1"/>
              </w:rPr>
              <w:t xml:space="preserve"> </w:t>
            </w:r>
            <w:r w:rsidRPr="00971D00">
              <w:rPr>
                <w:color w:val="000000" w:themeColor="text1"/>
              </w:rPr>
              <w:t xml:space="preserve">0.06, </w:t>
            </w:r>
            <w:r w:rsidRPr="00BA19EF">
              <w:rPr>
                <w:i/>
                <w:iCs/>
                <w:color w:val="000000" w:themeColor="text1"/>
              </w:rPr>
              <w:t>P</w:t>
            </w:r>
            <w:r w:rsidR="00BA19EF" w:rsidRPr="00BA19EF">
              <w:rPr>
                <w:i/>
                <w:iCs/>
                <w:color w:val="000000" w:themeColor="text1"/>
              </w:rPr>
              <w:t xml:space="preserve"> </w:t>
            </w:r>
            <w:r w:rsidRPr="00971D00">
              <w:rPr>
                <w:color w:val="000000" w:themeColor="text1"/>
              </w:rPr>
              <w:t>= 0.692) Hepatic lipid content decreased by 31% (</w:t>
            </w:r>
            <w:r w:rsidRPr="00971D00">
              <w:rPr>
                <w:color w:val="000000" w:themeColor="text1"/>
                <w:vertAlign w:val="superscript"/>
              </w:rPr>
              <w:t>b</w:t>
            </w:r>
            <w:r w:rsidRPr="00971D00">
              <w:rPr>
                <w:i/>
                <w:color w:val="000000" w:themeColor="text1"/>
              </w:rPr>
              <w:t>P</w:t>
            </w:r>
            <w:r w:rsidR="00BA19EF">
              <w:rPr>
                <w:i/>
                <w:color w:val="000000" w:themeColor="text1"/>
              </w:rPr>
              <w:t xml:space="preserve"> </w:t>
            </w:r>
            <w:r w:rsidRPr="00971D00">
              <w:rPr>
                <w:color w:val="000000" w:themeColor="text1"/>
              </w:rPr>
              <w:t>&lt;</w:t>
            </w:r>
            <w:r w:rsidR="00BA19EF">
              <w:rPr>
                <w:color w:val="000000" w:themeColor="text1"/>
              </w:rPr>
              <w:t xml:space="preserve"> </w:t>
            </w:r>
            <w:r w:rsidRPr="00971D00">
              <w:rPr>
                <w:color w:val="000000" w:themeColor="text1"/>
              </w:rPr>
              <w:t xml:space="preserve">0.001) </w:t>
            </w:r>
          </w:p>
          <w:p w14:paraId="24AA49EB"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AD5414" w:rsidRPr="00A30FAB" w14:paraId="114E937D" w14:textId="77777777" w:rsidTr="00422EB0">
        <w:tc>
          <w:tcPr>
            <w:cnfStyle w:val="001000000000" w:firstRow="0" w:lastRow="0" w:firstColumn="1" w:lastColumn="0" w:oddVBand="0" w:evenVBand="0" w:oddHBand="0" w:evenHBand="0" w:firstRowFirstColumn="0" w:firstRowLastColumn="0" w:lastRowFirstColumn="0" w:lastRowLastColumn="0"/>
            <w:tcW w:w="1716" w:type="dxa"/>
          </w:tcPr>
          <w:p w14:paraId="15E31037" w14:textId="2E83603E" w:rsidR="00AD5414" w:rsidRPr="00971D00" w:rsidRDefault="00AD5414" w:rsidP="00A30FAB">
            <w:pPr>
              <w:adjustRightInd w:val="0"/>
              <w:snapToGrid w:val="0"/>
              <w:rPr>
                <w:b w:val="0"/>
                <w:bCs w:val="0"/>
                <w:color w:val="000000" w:themeColor="text1"/>
              </w:rPr>
            </w:pPr>
            <w:r w:rsidRPr="00971D00">
              <w:rPr>
                <w:b w:val="0"/>
                <w:bCs w:val="0"/>
                <w:color w:val="000000" w:themeColor="text1"/>
              </w:rPr>
              <w:t xml:space="preserve">Korosoglou </w:t>
            </w:r>
            <w:r w:rsidRPr="00BA19EF">
              <w:rPr>
                <w:b w:val="0"/>
                <w:bCs w:val="0"/>
                <w:i/>
                <w:iCs/>
                <w:color w:val="000000" w:themeColor="text1"/>
              </w:rPr>
              <w:t>et al</w:t>
            </w:r>
            <w:r w:rsidR="00971D00" w:rsidRPr="00971D00">
              <w:rPr>
                <w:b w:val="0"/>
                <w:bCs w:val="0"/>
                <w:color w:val="000000" w:themeColor="text1"/>
                <w:vertAlign w:val="superscript"/>
              </w:rPr>
              <w:t>[119]</w:t>
            </w:r>
            <w:r w:rsidR="00971D00">
              <w:rPr>
                <w:b w:val="0"/>
                <w:bCs w:val="0"/>
                <w:color w:val="000000" w:themeColor="text1"/>
              </w:rPr>
              <w:t>,</w:t>
            </w:r>
            <w:r w:rsidRPr="00971D00">
              <w:rPr>
                <w:b w:val="0"/>
                <w:bCs w:val="0"/>
                <w:color w:val="000000" w:themeColor="text1"/>
              </w:rPr>
              <w:t xml:space="preserve"> 2012 </w:t>
            </w:r>
          </w:p>
        </w:tc>
        <w:tc>
          <w:tcPr>
            <w:tcW w:w="2694" w:type="dxa"/>
          </w:tcPr>
          <w:p w14:paraId="42F1D0D1"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i/>
                <w:iCs/>
                <w:color w:val="000000" w:themeColor="text1"/>
              </w:rPr>
              <w:t xml:space="preserve">n </w:t>
            </w:r>
            <w:r w:rsidRPr="00971D00">
              <w:rPr>
                <w:color w:val="000000" w:themeColor="text1"/>
              </w:rPr>
              <w:t>= 58</w:t>
            </w:r>
          </w:p>
          <w:p w14:paraId="51E4BCAA"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T2D (</w:t>
            </w:r>
            <w:r w:rsidRPr="00BA19EF">
              <w:rPr>
                <w:i/>
                <w:iCs/>
                <w:color w:val="000000" w:themeColor="text1"/>
              </w:rPr>
              <w:t xml:space="preserve">n </w:t>
            </w:r>
            <w:r w:rsidRPr="00971D00">
              <w:rPr>
                <w:color w:val="000000" w:themeColor="text1"/>
              </w:rPr>
              <w:t xml:space="preserve">= 42) </w:t>
            </w:r>
          </w:p>
          <w:p w14:paraId="4F269E53" w14:textId="51011E5A"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 xml:space="preserve">Mean age </w:t>
            </w:r>
            <w:r w:rsidRPr="00971D00">
              <w:rPr>
                <w:color w:val="000000" w:themeColor="text1"/>
                <w:shd w:val="clear" w:color="auto" w:fill="FFFFFF"/>
              </w:rPr>
              <w:t>62</w:t>
            </w:r>
            <w:r w:rsidR="00BA19EF">
              <w:rPr>
                <w:color w:val="000000" w:themeColor="text1"/>
                <w:shd w:val="clear" w:color="auto" w:fill="FFFFFF"/>
              </w:rPr>
              <w:t xml:space="preserve"> </w:t>
            </w:r>
            <w:r w:rsidRPr="00971D00">
              <w:rPr>
                <w:color w:val="000000" w:themeColor="text1"/>
                <w:shd w:val="clear" w:color="auto" w:fill="FFFFFF"/>
              </w:rPr>
              <w:t>±</w:t>
            </w:r>
            <w:r w:rsidR="00BA19EF">
              <w:rPr>
                <w:color w:val="000000" w:themeColor="text1"/>
                <w:shd w:val="clear" w:color="auto" w:fill="FFFFFF"/>
              </w:rPr>
              <w:t xml:space="preserve"> </w:t>
            </w:r>
            <w:r w:rsidRPr="00971D00">
              <w:rPr>
                <w:color w:val="000000" w:themeColor="text1"/>
                <w:shd w:val="clear" w:color="auto" w:fill="FFFFFF"/>
              </w:rPr>
              <w:t>6</w:t>
            </w:r>
            <w:r w:rsidRPr="00971D00">
              <w:rPr>
                <w:color w:val="000000" w:themeColor="text1"/>
              </w:rPr>
              <w:t xml:space="preserve"> </w:t>
            </w:r>
            <w:r w:rsidR="00971D00">
              <w:rPr>
                <w:color w:val="000000" w:themeColor="text1"/>
              </w:rPr>
              <w:t>yr</w:t>
            </w:r>
            <w:r w:rsidRPr="00971D00">
              <w:rPr>
                <w:color w:val="000000" w:themeColor="text1"/>
              </w:rPr>
              <w:t xml:space="preserve"> </w:t>
            </w:r>
          </w:p>
          <w:p w14:paraId="1794A475"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26 Male</w:t>
            </w:r>
          </w:p>
          <w:p w14:paraId="3C75C8DD" w14:textId="2C4EFC01"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 xml:space="preserve">Mean BMI </w:t>
            </w:r>
            <w:r w:rsidRPr="00971D00">
              <w:rPr>
                <w:color w:val="000000" w:themeColor="text1"/>
                <w:shd w:val="clear" w:color="auto" w:fill="FFFFFF"/>
              </w:rPr>
              <w:t>31.6</w:t>
            </w:r>
            <w:r w:rsidR="00BA19EF">
              <w:rPr>
                <w:color w:val="000000" w:themeColor="text1"/>
                <w:shd w:val="clear" w:color="auto" w:fill="FFFFFF"/>
              </w:rPr>
              <w:t xml:space="preserve"> </w:t>
            </w:r>
            <w:r w:rsidRPr="00971D00">
              <w:rPr>
                <w:color w:val="000000" w:themeColor="text1"/>
                <w:shd w:val="clear" w:color="auto" w:fill="FFFFFF"/>
              </w:rPr>
              <w:t>±</w:t>
            </w:r>
            <w:r w:rsidR="00BA19EF">
              <w:rPr>
                <w:color w:val="000000" w:themeColor="text1"/>
                <w:shd w:val="clear" w:color="auto" w:fill="FFFFFF"/>
              </w:rPr>
              <w:t xml:space="preserve"> </w:t>
            </w:r>
            <w:r w:rsidRPr="00971D00">
              <w:rPr>
                <w:color w:val="000000" w:themeColor="text1"/>
                <w:shd w:val="clear" w:color="auto" w:fill="FFFFFF"/>
              </w:rPr>
              <w:t>4.8</w:t>
            </w:r>
            <w:r w:rsidRPr="00971D00">
              <w:rPr>
                <w:color w:val="000000" w:themeColor="text1"/>
              </w:rPr>
              <w:t xml:space="preserve"> kg/m</w:t>
            </w:r>
            <w:r w:rsidRPr="00BA19EF">
              <w:rPr>
                <w:color w:val="000000" w:themeColor="text1"/>
                <w:vertAlign w:val="superscript"/>
              </w:rPr>
              <w:t>2</w:t>
            </w:r>
          </w:p>
          <w:p w14:paraId="0DA78E25"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HV (</w:t>
            </w:r>
            <w:r w:rsidRPr="00BA19EF">
              <w:rPr>
                <w:i/>
                <w:iCs/>
                <w:color w:val="000000" w:themeColor="text1"/>
              </w:rPr>
              <w:t>n</w:t>
            </w:r>
            <w:r w:rsidRPr="00971D00">
              <w:rPr>
                <w:color w:val="000000" w:themeColor="text1"/>
              </w:rPr>
              <w:t xml:space="preserve"> = 16) </w:t>
            </w:r>
          </w:p>
          <w:p w14:paraId="7004DC55" w14:textId="73108FF3"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 xml:space="preserve">Mean age </w:t>
            </w:r>
            <w:r w:rsidRPr="00971D00">
              <w:rPr>
                <w:color w:val="000000" w:themeColor="text1"/>
                <w:shd w:val="clear" w:color="auto" w:fill="FFFFFF"/>
              </w:rPr>
              <w:t>62</w:t>
            </w:r>
            <w:r w:rsidR="00BA19EF">
              <w:rPr>
                <w:color w:val="000000" w:themeColor="text1"/>
                <w:shd w:val="clear" w:color="auto" w:fill="FFFFFF"/>
              </w:rPr>
              <w:t xml:space="preserve"> </w:t>
            </w:r>
            <w:r w:rsidRPr="00971D00">
              <w:rPr>
                <w:color w:val="000000" w:themeColor="text1"/>
                <w:shd w:val="clear" w:color="auto" w:fill="FFFFFF"/>
              </w:rPr>
              <w:t>±</w:t>
            </w:r>
            <w:r w:rsidR="00BA19EF">
              <w:rPr>
                <w:color w:val="000000" w:themeColor="text1"/>
                <w:shd w:val="clear" w:color="auto" w:fill="FFFFFF"/>
              </w:rPr>
              <w:t xml:space="preserve"> </w:t>
            </w:r>
            <w:r w:rsidRPr="00971D00">
              <w:rPr>
                <w:color w:val="000000" w:themeColor="text1"/>
                <w:shd w:val="clear" w:color="auto" w:fill="FFFFFF"/>
              </w:rPr>
              <w:t>3</w:t>
            </w:r>
            <w:r w:rsidRPr="00971D00">
              <w:rPr>
                <w:color w:val="000000" w:themeColor="text1"/>
              </w:rPr>
              <w:t xml:space="preserve"> </w:t>
            </w:r>
            <w:r w:rsidR="00971D00">
              <w:rPr>
                <w:color w:val="000000" w:themeColor="text1"/>
              </w:rPr>
              <w:t>yr</w:t>
            </w:r>
            <w:r w:rsidRPr="00971D00">
              <w:rPr>
                <w:color w:val="000000" w:themeColor="text1"/>
              </w:rPr>
              <w:t xml:space="preserve"> </w:t>
            </w:r>
          </w:p>
          <w:p w14:paraId="0585A03E"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10 Male</w:t>
            </w:r>
          </w:p>
          <w:p w14:paraId="72612BA2" w14:textId="63D3BFBA"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Mean age</w:t>
            </w:r>
            <w:r w:rsidR="00BA19EF">
              <w:rPr>
                <w:color w:val="000000" w:themeColor="text1"/>
              </w:rPr>
              <w:t xml:space="preserve"> </w:t>
            </w:r>
            <w:r w:rsidRPr="00971D00">
              <w:rPr>
                <w:color w:val="000000" w:themeColor="text1"/>
                <w:shd w:val="clear" w:color="auto" w:fill="FFFFFF"/>
              </w:rPr>
              <w:t>62</w:t>
            </w:r>
            <w:r w:rsidR="00BA19EF">
              <w:rPr>
                <w:color w:val="000000" w:themeColor="text1"/>
                <w:shd w:val="clear" w:color="auto" w:fill="FFFFFF"/>
              </w:rPr>
              <w:t xml:space="preserve"> </w:t>
            </w:r>
            <w:r w:rsidRPr="00971D00">
              <w:rPr>
                <w:color w:val="000000" w:themeColor="text1"/>
                <w:shd w:val="clear" w:color="auto" w:fill="FFFFFF"/>
              </w:rPr>
              <w:t>±</w:t>
            </w:r>
            <w:r w:rsidR="00BA19EF">
              <w:rPr>
                <w:color w:val="000000" w:themeColor="text1"/>
                <w:shd w:val="clear" w:color="auto" w:fill="FFFFFF"/>
              </w:rPr>
              <w:t xml:space="preserve"> </w:t>
            </w:r>
            <w:r w:rsidRPr="00971D00">
              <w:rPr>
                <w:color w:val="000000" w:themeColor="text1"/>
                <w:shd w:val="clear" w:color="auto" w:fill="FFFFFF"/>
              </w:rPr>
              <w:t>3</w:t>
            </w:r>
            <w:r w:rsidRPr="00971D00">
              <w:rPr>
                <w:color w:val="000000" w:themeColor="text1"/>
              </w:rPr>
              <w:t xml:space="preserve"> </w:t>
            </w:r>
            <w:r w:rsidR="00971D00">
              <w:rPr>
                <w:color w:val="000000" w:themeColor="text1"/>
              </w:rPr>
              <w:t>yr</w:t>
            </w:r>
          </w:p>
          <w:p w14:paraId="14D3E023" w14:textId="3B0EF4E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 xml:space="preserve">Mean BMI </w:t>
            </w:r>
            <w:r w:rsidRPr="00971D00">
              <w:rPr>
                <w:color w:val="000000" w:themeColor="text1"/>
                <w:shd w:val="clear" w:color="auto" w:fill="FFFFFF"/>
              </w:rPr>
              <w:t>23.9</w:t>
            </w:r>
            <w:r w:rsidR="00BA19EF">
              <w:rPr>
                <w:color w:val="000000" w:themeColor="text1"/>
                <w:shd w:val="clear" w:color="auto" w:fill="FFFFFF"/>
              </w:rPr>
              <w:t xml:space="preserve"> </w:t>
            </w:r>
            <w:r w:rsidRPr="00971D00">
              <w:rPr>
                <w:color w:val="000000" w:themeColor="text1"/>
                <w:shd w:val="clear" w:color="auto" w:fill="FFFFFF"/>
              </w:rPr>
              <w:t>±</w:t>
            </w:r>
            <w:r w:rsidR="00BA19EF">
              <w:rPr>
                <w:color w:val="000000" w:themeColor="text1"/>
                <w:shd w:val="clear" w:color="auto" w:fill="FFFFFF"/>
              </w:rPr>
              <w:t xml:space="preserve"> </w:t>
            </w:r>
            <w:r w:rsidRPr="00971D00">
              <w:rPr>
                <w:color w:val="000000" w:themeColor="text1"/>
                <w:shd w:val="clear" w:color="auto" w:fill="FFFFFF"/>
              </w:rPr>
              <w:t>2.5</w:t>
            </w:r>
          </w:p>
        </w:tc>
        <w:tc>
          <w:tcPr>
            <w:tcW w:w="2375" w:type="dxa"/>
          </w:tcPr>
          <w:p w14:paraId="1F4A62FA"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shd w:val="clear" w:color="auto" w:fill="FFFFFF"/>
              </w:rPr>
            </w:pPr>
            <w:r w:rsidRPr="00971D00">
              <w:rPr>
                <w:color w:val="000000" w:themeColor="text1"/>
                <w:shd w:val="clear" w:color="auto" w:fill="FFFFFF"/>
              </w:rPr>
              <w:t>Unstable condition, clinical signs of heart failure or angina contraindications for CMR, insulin use.</w:t>
            </w:r>
            <w:r w:rsidRPr="00971D00">
              <w:rPr>
                <w:rStyle w:val="apple-converted-space"/>
                <w:rFonts w:eastAsiaTheme="majorEastAsia"/>
                <w:color w:val="000000" w:themeColor="text1"/>
                <w:shd w:val="clear" w:color="auto" w:fill="FFFFFF"/>
              </w:rPr>
              <w:t> </w:t>
            </w:r>
          </w:p>
          <w:p w14:paraId="03C3D682"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sidDel="00DE3DE5">
              <w:rPr>
                <w:color w:val="000000" w:themeColor="text1"/>
              </w:rPr>
              <w:t xml:space="preserve"> </w:t>
            </w:r>
          </w:p>
        </w:tc>
        <w:tc>
          <w:tcPr>
            <w:tcW w:w="2571" w:type="dxa"/>
          </w:tcPr>
          <w:p w14:paraId="0B08E9DC" w14:textId="23642C3E"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shd w:val="clear" w:color="auto" w:fill="FFFFFF"/>
              </w:rPr>
              <w:t>Significant association between myocardial triglyceride content and mean diastolic strain rate (</w:t>
            </w:r>
            <w:r w:rsidRPr="00971D00">
              <w:rPr>
                <w:i/>
                <w:iCs/>
                <w:color w:val="000000" w:themeColor="text1"/>
              </w:rPr>
              <w:t>r</w:t>
            </w:r>
            <w:r w:rsidR="005B3F19">
              <w:rPr>
                <w:rStyle w:val="apple-converted-space"/>
                <w:rFonts w:eastAsiaTheme="majorEastAsia"/>
                <w:shd w:val="clear" w:color="auto" w:fill="FFFFFF"/>
              </w:rPr>
              <w:t xml:space="preserve"> </w:t>
            </w:r>
            <w:r w:rsidRPr="00971D00">
              <w:rPr>
                <w:color w:val="000000" w:themeColor="text1"/>
                <w:shd w:val="clear" w:color="auto" w:fill="FFFFFF"/>
              </w:rPr>
              <w:t>=</w:t>
            </w:r>
            <w:r w:rsidR="00BA19EF">
              <w:rPr>
                <w:color w:val="000000" w:themeColor="text1"/>
                <w:shd w:val="clear" w:color="auto" w:fill="FFFFFF"/>
              </w:rPr>
              <w:t xml:space="preserve"> -</w:t>
            </w:r>
            <w:r w:rsidRPr="00971D00">
              <w:rPr>
                <w:color w:val="000000" w:themeColor="text1"/>
                <w:shd w:val="clear" w:color="auto" w:fill="FFFFFF"/>
              </w:rPr>
              <w:t>0.71,</w:t>
            </w:r>
            <w:r w:rsidR="005B3F19">
              <w:rPr>
                <w:rStyle w:val="apple-converted-space"/>
                <w:rFonts w:eastAsiaTheme="majorEastAsia"/>
              </w:rPr>
              <w:t xml:space="preserve"> </w:t>
            </w:r>
            <w:r w:rsidRPr="00971D00">
              <w:rPr>
                <w:rStyle w:val="apple-converted-space"/>
                <w:rFonts w:eastAsiaTheme="majorEastAsia"/>
                <w:color w:val="000000" w:themeColor="text1"/>
                <w:shd w:val="clear" w:color="auto" w:fill="FFFFFF"/>
                <w:vertAlign w:val="superscript"/>
              </w:rPr>
              <w:t>c</w:t>
            </w:r>
            <w:r w:rsidRPr="00971D00">
              <w:rPr>
                <w:i/>
                <w:iCs/>
                <w:color w:val="000000" w:themeColor="text1"/>
              </w:rPr>
              <w:t>P</w:t>
            </w:r>
            <w:r w:rsidR="005B3F19">
              <w:rPr>
                <w:rStyle w:val="apple-converted-space"/>
                <w:rFonts w:eastAsiaTheme="majorEastAsia"/>
                <w:shd w:val="clear" w:color="auto" w:fill="FFFFFF"/>
              </w:rPr>
              <w:t xml:space="preserve"> </w:t>
            </w:r>
            <w:r w:rsidRPr="00971D00">
              <w:rPr>
                <w:color w:val="000000" w:themeColor="text1"/>
                <w:shd w:val="clear" w:color="auto" w:fill="FFFFFF"/>
              </w:rPr>
              <w:t>&lt;</w:t>
            </w:r>
            <w:r w:rsidR="00BA19EF">
              <w:rPr>
                <w:color w:val="000000" w:themeColor="text1"/>
                <w:shd w:val="clear" w:color="auto" w:fill="FFFFFF"/>
              </w:rPr>
              <w:t xml:space="preserve"> </w:t>
            </w:r>
            <w:r w:rsidRPr="00971D00">
              <w:rPr>
                <w:color w:val="000000" w:themeColor="text1"/>
                <w:shd w:val="clear" w:color="auto" w:fill="FFFFFF"/>
              </w:rPr>
              <w:t>0.001) and no association was found between triglyceride content and perfusion reserve (</w:t>
            </w:r>
            <w:r w:rsidRPr="00971D00">
              <w:rPr>
                <w:i/>
                <w:iCs/>
                <w:color w:val="000000" w:themeColor="text1"/>
              </w:rPr>
              <w:t>r</w:t>
            </w:r>
            <w:r w:rsidR="005B3F19">
              <w:rPr>
                <w:rStyle w:val="apple-converted-space"/>
                <w:rFonts w:eastAsiaTheme="majorEastAsia"/>
                <w:shd w:val="clear" w:color="auto" w:fill="FFFFFF"/>
              </w:rPr>
              <w:t xml:space="preserve"> </w:t>
            </w:r>
            <w:r w:rsidRPr="00971D00">
              <w:rPr>
                <w:color w:val="000000" w:themeColor="text1"/>
                <w:shd w:val="clear" w:color="auto" w:fill="FFFFFF"/>
              </w:rPr>
              <w:t xml:space="preserve">= </w:t>
            </w:r>
            <w:r w:rsidR="00BA19EF">
              <w:rPr>
                <w:color w:val="000000" w:themeColor="text1"/>
                <w:shd w:val="clear" w:color="auto" w:fill="FFFFFF"/>
              </w:rPr>
              <w:t>-</w:t>
            </w:r>
            <w:r w:rsidRPr="00971D00">
              <w:rPr>
                <w:color w:val="000000" w:themeColor="text1"/>
                <w:shd w:val="clear" w:color="auto" w:fill="FFFFFF"/>
              </w:rPr>
              <w:t>0.08,</w:t>
            </w:r>
            <w:r w:rsidR="005B3F19">
              <w:rPr>
                <w:rStyle w:val="apple-converted-space"/>
                <w:rFonts w:eastAsiaTheme="majorEastAsia"/>
                <w:color w:val="000000" w:themeColor="text1"/>
                <w:shd w:val="clear" w:color="auto" w:fill="FFFFFF"/>
              </w:rPr>
              <w:t xml:space="preserve"> </w:t>
            </w:r>
            <w:r w:rsidRPr="00971D00">
              <w:rPr>
                <w:i/>
                <w:iCs/>
                <w:color w:val="000000" w:themeColor="text1"/>
              </w:rPr>
              <w:t>P</w:t>
            </w:r>
            <w:r w:rsidR="005B3F19">
              <w:rPr>
                <w:rStyle w:val="apple-converted-space"/>
                <w:rFonts w:eastAsiaTheme="majorEastAsia"/>
                <w:color w:val="000000" w:themeColor="text1"/>
                <w:shd w:val="clear" w:color="auto" w:fill="FFFFFF"/>
              </w:rPr>
              <w:t xml:space="preserve"> </w:t>
            </w:r>
            <w:r w:rsidRPr="00971D00">
              <w:rPr>
                <w:color w:val="000000" w:themeColor="text1"/>
                <w:shd w:val="clear" w:color="auto" w:fill="FFFFFF"/>
              </w:rPr>
              <w:t>= NS)</w:t>
            </w:r>
          </w:p>
          <w:p w14:paraId="70004BF9"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p>
          <w:p w14:paraId="566F925B"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sidDel="00DE3DE5">
              <w:rPr>
                <w:color w:val="000000" w:themeColor="text1"/>
              </w:rPr>
              <w:t xml:space="preserve"> </w:t>
            </w:r>
          </w:p>
        </w:tc>
      </w:tr>
      <w:tr w:rsidR="00AD5414" w:rsidRPr="00A30FAB" w14:paraId="278FA838" w14:textId="77777777" w:rsidTr="00422EB0">
        <w:tc>
          <w:tcPr>
            <w:cnfStyle w:val="001000000000" w:firstRow="0" w:lastRow="0" w:firstColumn="1" w:lastColumn="0" w:oddVBand="0" w:evenVBand="0" w:oddHBand="0" w:evenHBand="0" w:firstRowFirstColumn="0" w:firstRowLastColumn="0" w:lastRowFirstColumn="0" w:lastRowLastColumn="0"/>
            <w:tcW w:w="1716" w:type="dxa"/>
          </w:tcPr>
          <w:p w14:paraId="0E7CE181" w14:textId="77777777" w:rsidR="00AD5414" w:rsidRPr="00971D00" w:rsidRDefault="00AD5414" w:rsidP="00A30FAB">
            <w:pPr>
              <w:adjustRightInd w:val="0"/>
              <w:snapToGrid w:val="0"/>
              <w:rPr>
                <w:b w:val="0"/>
                <w:bCs w:val="0"/>
                <w:color w:val="000000" w:themeColor="text1"/>
              </w:rPr>
            </w:pPr>
          </w:p>
        </w:tc>
        <w:tc>
          <w:tcPr>
            <w:tcW w:w="2694" w:type="dxa"/>
          </w:tcPr>
          <w:p w14:paraId="67E3C317"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375" w:type="dxa"/>
          </w:tcPr>
          <w:p w14:paraId="27C03029"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571" w:type="dxa"/>
          </w:tcPr>
          <w:p w14:paraId="13045077"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AD5414" w:rsidRPr="00A30FAB" w14:paraId="7FB531FB" w14:textId="77777777" w:rsidTr="00422EB0">
        <w:tc>
          <w:tcPr>
            <w:cnfStyle w:val="001000000000" w:firstRow="0" w:lastRow="0" w:firstColumn="1" w:lastColumn="0" w:oddVBand="0" w:evenVBand="0" w:oddHBand="0" w:evenHBand="0" w:firstRowFirstColumn="0" w:firstRowLastColumn="0" w:lastRowFirstColumn="0" w:lastRowLastColumn="0"/>
            <w:tcW w:w="1716" w:type="dxa"/>
          </w:tcPr>
          <w:p w14:paraId="4D352EA8" w14:textId="04C72648" w:rsidR="00AD5414" w:rsidRPr="00971D00" w:rsidRDefault="00AD5414" w:rsidP="00A30FAB">
            <w:pPr>
              <w:adjustRightInd w:val="0"/>
              <w:snapToGrid w:val="0"/>
              <w:rPr>
                <w:b w:val="0"/>
                <w:bCs w:val="0"/>
                <w:color w:val="000000" w:themeColor="text1"/>
              </w:rPr>
            </w:pPr>
            <w:r w:rsidRPr="00971D00">
              <w:rPr>
                <w:b w:val="0"/>
                <w:bCs w:val="0"/>
                <w:color w:val="000000" w:themeColor="text1"/>
              </w:rPr>
              <w:t xml:space="preserve">Van der Meer </w:t>
            </w:r>
            <w:r w:rsidRPr="00BA19EF">
              <w:rPr>
                <w:b w:val="0"/>
                <w:bCs w:val="0"/>
                <w:i/>
                <w:iCs/>
                <w:color w:val="000000" w:themeColor="text1"/>
              </w:rPr>
              <w:t>et al</w:t>
            </w:r>
            <w:r w:rsidR="00971D00" w:rsidRPr="00971D00">
              <w:rPr>
                <w:b w:val="0"/>
                <w:bCs w:val="0"/>
                <w:color w:val="000000" w:themeColor="text1"/>
                <w:vertAlign w:val="superscript"/>
              </w:rPr>
              <w:t>[101,155]</w:t>
            </w:r>
            <w:r w:rsidR="00971D00">
              <w:rPr>
                <w:b w:val="0"/>
                <w:bCs w:val="0"/>
                <w:color w:val="000000" w:themeColor="text1"/>
              </w:rPr>
              <w:t>,</w:t>
            </w:r>
            <w:r w:rsidRPr="00971D00">
              <w:rPr>
                <w:b w:val="0"/>
                <w:bCs w:val="0"/>
                <w:color w:val="000000" w:themeColor="text1"/>
              </w:rPr>
              <w:t xml:space="preserve"> 2009</w:t>
            </w:r>
          </w:p>
        </w:tc>
        <w:tc>
          <w:tcPr>
            <w:tcW w:w="2694" w:type="dxa"/>
          </w:tcPr>
          <w:p w14:paraId="0C4BB35C"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i/>
                <w:iCs/>
                <w:color w:val="000000" w:themeColor="text1"/>
              </w:rPr>
              <w:t>n</w:t>
            </w:r>
            <w:r w:rsidRPr="00971D00">
              <w:rPr>
                <w:color w:val="000000" w:themeColor="text1"/>
              </w:rPr>
              <w:t xml:space="preserve"> = 72 T2D</w:t>
            </w:r>
          </w:p>
          <w:p w14:paraId="4F2C791B"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All male</w:t>
            </w:r>
          </w:p>
          <w:p w14:paraId="782EF2D9" w14:textId="47D61829"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Pioglitazone</w:t>
            </w:r>
            <w:r w:rsidR="00BA19EF">
              <w:rPr>
                <w:color w:val="000000" w:themeColor="text1"/>
              </w:rPr>
              <w:t xml:space="preserve"> </w:t>
            </w:r>
            <w:r w:rsidRPr="00971D00">
              <w:rPr>
                <w:color w:val="000000" w:themeColor="text1"/>
              </w:rPr>
              <w:t>(</w:t>
            </w:r>
            <w:r w:rsidRPr="00BA19EF">
              <w:rPr>
                <w:i/>
                <w:iCs/>
                <w:color w:val="000000" w:themeColor="text1"/>
              </w:rPr>
              <w:t>n</w:t>
            </w:r>
            <w:r w:rsidRPr="00971D00">
              <w:rPr>
                <w:color w:val="000000" w:themeColor="text1"/>
              </w:rPr>
              <w:t xml:space="preserve"> = 39)</w:t>
            </w:r>
          </w:p>
          <w:p w14:paraId="3C275A34" w14:textId="226096C9"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Metformin (</w:t>
            </w:r>
            <w:r w:rsidRPr="00BA19EF">
              <w:rPr>
                <w:i/>
                <w:iCs/>
                <w:color w:val="000000" w:themeColor="text1"/>
              </w:rPr>
              <w:t>n</w:t>
            </w:r>
            <w:r w:rsidRPr="00971D00">
              <w:rPr>
                <w:color w:val="000000" w:themeColor="text1"/>
              </w:rPr>
              <w:t xml:space="preserve"> =</w:t>
            </w:r>
            <w:r w:rsidR="00680B0C">
              <w:rPr>
                <w:color w:val="000000" w:themeColor="text1"/>
              </w:rPr>
              <w:t xml:space="preserve"> </w:t>
            </w:r>
            <w:r w:rsidRPr="00971D00">
              <w:rPr>
                <w:color w:val="000000" w:themeColor="text1"/>
              </w:rPr>
              <w:t xml:space="preserve">39) </w:t>
            </w:r>
          </w:p>
          <w:p w14:paraId="4CBC61F8" w14:textId="197BA6FB"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 xml:space="preserve">Baseline </w:t>
            </w:r>
            <w:r w:rsidR="00BA19EF">
              <w:rPr>
                <w:color w:val="000000" w:themeColor="text1"/>
              </w:rPr>
              <w:t>a</w:t>
            </w:r>
            <w:r w:rsidRPr="00971D00">
              <w:rPr>
                <w:color w:val="000000" w:themeColor="text1"/>
              </w:rPr>
              <w:t>ge 45-65</w:t>
            </w:r>
          </w:p>
          <w:p w14:paraId="72074234" w14:textId="37C1BD61"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HbA1C 6.5</w:t>
            </w:r>
            <w:r w:rsidR="00BA19EF">
              <w:rPr>
                <w:color w:val="000000" w:themeColor="text1"/>
              </w:rPr>
              <w:t>%</w:t>
            </w:r>
            <w:r w:rsidRPr="00971D00">
              <w:rPr>
                <w:color w:val="000000" w:themeColor="text1"/>
              </w:rPr>
              <w:t>-8.5%</w:t>
            </w:r>
          </w:p>
          <w:p w14:paraId="1B83C04D"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BMI 25-32</w:t>
            </w:r>
          </w:p>
        </w:tc>
        <w:tc>
          <w:tcPr>
            <w:tcW w:w="2375" w:type="dxa"/>
          </w:tcPr>
          <w:p w14:paraId="287503BE" w14:textId="2A6CD009"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BP</w:t>
            </w:r>
            <w:r w:rsidR="00BA19EF">
              <w:rPr>
                <w:color w:val="000000" w:themeColor="text1"/>
              </w:rPr>
              <w:t xml:space="preserve"> </w:t>
            </w:r>
            <w:r w:rsidRPr="00971D00">
              <w:rPr>
                <w:color w:val="000000" w:themeColor="text1"/>
              </w:rPr>
              <w:t>&gt;</w:t>
            </w:r>
            <w:r w:rsidR="00BA19EF">
              <w:rPr>
                <w:color w:val="000000" w:themeColor="text1"/>
              </w:rPr>
              <w:t xml:space="preserve"> </w:t>
            </w:r>
            <w:r w:rsidRPr="00971D00">
              <w:rPr>
                <w:color w:val="000000" w:themeColor="text1"/>
              </w:rPr>
              <w:t>150/85</w:t>
            </w:r>
            <w:r w:rsidR="00BA19EF">
              <w:rPr>
                <w:color w:val="000000" w:themeColor="text1"/>
              </w:rPr>
              <w:t xml:space="preserve"> </w:t>
            </w:r>
            <w:r w:rsidRPr="00971D00">
              <w:rPr>
                <w:color w:val="000000" w:themeColor="text1"/>
              </w:rPr>
              <w:t>mmHg, previous insulin or thiazolidinedione use, previous positive stress echo or arrhythmia, diabetes related complications or significant medical problems</w:t>
            </w:r>
          </w:p>
        </w:tc>
        <w:tc>
          <w:tcPr>
            <w:tcW w:w="2571" w:type="dxa"/>
          </w:tcPr>
          <w:p w14:paraId="2C1D6B96"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No significant change in myocardial fatty acid uptake at follow up on either arm. Metformin arm showed a significant decrease in fatty acid oxidation and myocardial glucose uptake. No significant change in myocardial triglyceride content in Pioglitazone or Metformin arm after therapy however there was a decrease in hepatic triglyceride content in the Pioglitazone arm</w:t>
            </w:r>
          </w:p>
        </w:tc>
      </w:tr>
      <w:tr w:rsidR="00AD5414" w:rsidRPr="00A30FAB" w14:paraId="30E048DA" w14:textId="77777777" w:rsidTr="00422EB0">
        <w:tc>
          <w:tcPr>
            <w:cnfStyle w:val="001000000000" w:firstRow="0" w:lastRow="0" w:firstColumn="1" w:lastColumn="0" w:oddVBand="0" w:evenVBand="0" w:oddHBand="0" w:evenHBand="0" w:firstRowFirstColumn="0" w:firstRowLastColumn="0" w:lastRowFirstColumn="0" w:lastRowLastColumn="0"/>
            <w:tcW w:w="1716" w:type="dxa"/>
          </w:tcPr>
          <w:p w14:paraId="654B57E0" w14:textId="2B633888" w:rsidR="00AD5414" w:rsidRPr="00971D00" w:rsidRDefault="00AD5414" w:rsidP="00A30FAB">
            <w:pPr>
              <w:adjustRightInd w:val="0"/>
              <w:snapToGrid w:val="0"/>
              <w:rPr>
                <w:b w:val="0"/>
                <w:bCs w:val="0"/>
                <w:color w:val="000000" w:themeColor="text1"/>
              </w:rPr>
            </w:pPr>
            <w:r w:rsidRPr="00971D00">
              <w:rPr>
                <w:b w:val="0"/>
                <w:bCs w:val="0"/>
                <w:color w:val="000000" w:themeColor="text1"/>
              </w:rPr>
              <w:t xml:space="preserve">Rijzewijk </w:t>
            </w:r>
            <w:r w:rsidRPr="00BA19EF">
              <w:rPr>
                <w:b w:val="0"/>
                <w:bCs w:val="0"/>
                <w:i/>
                <w:iCs/>
                <w:color w:val="000000" w:themeColor="text1"/>
              </w:rPr>
              <w:t>et al</w:t>
            </w:r>
            <w:r w:rsidR="00971D00" w:rsidRPr="00971D00">
              <w:rPr>
                <w:b w:val="0"/>
                <w:bCs w:val="0"/>
                <w:color w:val="000000" w:themeColor="text1"/>
                <w:vertAlign w:val="superscript"/>
              </w:rPr>
              <w:t>[83]</w:t>
            </w:r>
            <w:r w:rsidR="00971D00" w:rsidRPr="00971D00">
              <w:rPr>
                <w:b w:val="0"/>
                <w:bCs w:val="0"/>
                <w:color w:val="000000" w:themeColor="text1"/>
              </w:rPr>
              <w:t>,</w:t>
            </w:r>
            <w:r w:rsidRPr="00971D00">
              <w:rPr>
                <w:b w:val="0"/>
                <w:bCs w:val="0"/>
                <w:color w:val="000000" w:themeColor="text1"/>
              </w:rPr>
              <w:t xml:space="preserve"> 2008</w:t>
            </w:r>
          </w:p>
        </w:tc>
        <w:tc>
          <w:tcPr>
            <w:tcW w:w="2694" w:type="dxa"/>
          </w:tcPr>
          <w:p w14:paraId="16772995"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i/>
                <w:iCs/>
                <w:color w:val="000000" w:themeColor="text1"/>
              </w:rPr>
              <w:t>n</w:t>
            </w:r>
            <w:r w:rsidRPr="00971D00">
              <w:rPr>
                <w:color w:val="000000" w:themeColor="text1"/>
              </w:rPr>
              <w:t xml:space="preserve"> = 66</w:t>
            </w:r>
          </w:p>
          <w:p w14:paraId="7483009C"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T2D (</w:t>
            </w:r>
            <w:r w:rsidRPr="00BA19EF">
              <w:rPr>
                <w:i/>
                <w:iCs/>
                <w:color w:val="000000" w:themeColor="text1"/>
              </w:rPr>
              <w:t>n</w:t>
            </w:r>
            <w:r w:rsidRPr="00971D00">
              <w:rPr>
                <w:color w:val="000000" w:themeColor="text1"/>
              </w:rPr>
              <w:t xml:space="preserve"> = 38)</w:t>
            </w:r>
          </w:p>
          <w:p w14:paraId="60BB4573"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All males</w:t>
            </w:r>
          </w:p>
          <w:p w14:paraId="0B643275" w14:textId="0C4B3FDB"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mean age 57</w:t>
            </w:r>
            <w:r w:rsidR="00680B0C">
              <w:rPr>
                <w:color w:val="000000" w:themeColor="text1"/>
              </w:rPr>
              <w:t xml:space="preserve"> </w:t>
            </w:r>
            <w:r w:rsidR="00971D00">
              <w:rPr>
                <w:color w:val="000000" w:themeColor="text1"/>
              </w:rPr>
              <w:t xml:space="preserve">± </w:t>
            </w:r>
            <w:r w:rsidRPr="00971D00">
              <w:rPr>
                <w:color w:val="000000" w:themeColor="text1"/>
              </w:rPr>
              <w:t>1</w:t>
            </w:r>
            <w:r w:rsidR="00BA19EF">
              <w:rPr>
                <w:color w:val="000000" w:themeColor="text1"/>
              </w:rPr>
              <w:t xml:space="preserve"> </w:t>
            </w:r>
            <w:r w:rsidRPr="00971D00">
              <w:rPr>
                <w:color w:val="000000" w:themeColor="text1"/>
              </w:rPr>
              <w:t>yr</w:t>
            </w:r>
          </w:p>
          <w:p w14:paraId="1DF078A4" w14:textId="55452EA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BMI: 28.1</w:t>
            </w:r>
            <w:r w:rsidR="00680B0C">
              <w:rPr>
                <w:color w:val="000000" w:themeColor="text1"/>
              </w:rPr>
              <w:t xml:space="preserve"> </w:t>
            </w:r>
            <w:r w:rsidR="00971D00">
              <w:rPr>
                <w:color w:val="000000" w:themeColor="text1"/>
              </w:rPr>
              <w:t>±</w:t>
            </w:r>
            <w:r w:rsidR="00680B0C">
              <w:rPr>
                <w:color w:val="000000" w:themeColor="text1"/>
              </w:rPr>
              <w:t xml:space="preserve"> </w:t>
            </w:r>
            <w:r w:rsidRPr="00971D00">
              <w:rPr>
                <w:color w:val="000000" w:themeColor="text1"/>
              </w:rPr>
              <w:t>0.6</w:t>
            </w:r>
          </w:p>
          <w:p w14:paraId="2D50DFA8"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Controls (</w:t>
            </w:r>
            <w:r w:rsidRPr="00BA19EF">
              <w:rPr>
                <w:i/>
                <w:iCs/>
                <w:color w:val="000000" w:themeColor="text1"/>
              </w:rPr>
              <w:t>n</w:t>
            </w:r>
            <w:r w:rsidRPr="00971D00">
              <w:rPr>
                <w:color w:val="000000" w:themeColor="text1"/>
              </w:rPr>
              <w:t xml:space="preserve"> = 28) </w:t>
            </w:r>
          </w:p>
          <w:p w14:paraId="12A0ECBA"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 xml:space="preserve">All males </w:t>
            </w:r>
          </w:p>
          <w:p w14:paraId="42A653FE" w14:textId="6F9AA8B3"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Mean Age: 54</w:t>
            </w:r>
            <w:r w:rsidR="00680B0C">
              <w:rPr>
                <w:color w:val="000000" w:themeColor="text1"/>
              </w:rPr>
              <w:t xml:space="preserve"> </w:t>
            </w:r>
            <w:r w:rsidR="00971D00">
              <w:rPr>
                <w:color w:val="000000" w:themeColor="text1"/>
              </w:rPr>
              <w:t xml:space="preserve">± </w:t>
            </w:r>
            <w:r w:rsidRPr="00971D00">
              <w:rPr>
                <w:color w:val="000000" w:themeColor="text1"/>
              </w:rPr>
              <w:t>1</w:t>
            </w:r>
          </w:p>
          <w:p w14:paraId="01F10880" w14:textId="0521088D"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BMI: 26.9</w:t>
            </w:r>
            <w:r w:rsidR="00680B0C">
              <w:rPr>
                <w:color w:val="000000" w:themeColor="text1"/>
              </w:rPr>
              <w:t xml:space="preserve"> </w:t>
            </w:r>
            <w:r w:rsidR="00971D00">
              <w:rPr>
                <w:color w:val="000000" w:themeColor="text1"/>
              </w:rPr>
              <w:t>±</w:t>
            </w:r>
            <w:r w:rsidR="00680B0C">
              <w:rPr>
                <w:color w:val="000000" w:themeColor="text1"/>
              </w:rPr>
              <w:t xml:space="preserve"> </w:t>
            </w:r>
            <w:r w:rsidRPr="00971D00">
              <w:rPr>
                <w:color w:val="000000" w:themeColor="text1"/>
              </w:rPr>
              <w:t>0.5</w:t>
            </w:r>
          </w:p>
        </w:tc>
        <w:tc>
          <w:tcPr>
            <w:tcW w:w="2375" w:type="dxa"/>
          </w:tcPr>
          <w:p w14:paraId="16DFC615" w14:textId="55020DA1"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Females, HbA1C &gt;</w:t>
            </w:r>
            <w:r w:rsidR="005B3F19">
              <w:rPr>
                <w:color w:val="000000" w:themeColor="text1"/>
              </w:rPr>
              <w:t xml:space="preserve"> </w:t>
            </w:r>
            <w:r w:rsidRPr="00971D00">
              <w:rPr>
                <w:color w:val="000000" w:themeColor="text1"/>
              </w:rPr>
              <w:t>8.5%, BP &gt;</w:t>
            </w:r>
            <w:r w:rsidR="00BA19EF">
              <w:rPr>
                <w:color w:val="000000" w:themeColor="text1"/>
              </w:rPr>
              <w:t xml:space="preserve"> </w:t>
            </w:r>
            <w:r w:rsidRPr="00971D00">
              <w:rPr>
                <w:color w:val="000000" w:themeColor="text1"/>
              </w:rPr>
              <w:t>150/80, hepatic impairment or history of liver disease, substance abuse, known CVD, DM complications, contraindication to MRI, use of lipid lowering therapy.</w:t>
            </w:r>
          </w:p>
        </w:tc>
        <w:tc>
          <w:tcPr>
            <w:tcW w:w="2571" w:type="dxa"/>
          </w:tcPr>
          <w:p w14:paraId="21BED439" w14:textId="351866BF"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 xml:space="preserve">Myocardial triglyceride content </w:t>
            </w:r>
            <w:r w:rsidRPr="00971D00">
              <w:rPr>
                <w:color w:val="000000" w:themeColor="text1"/>
              </w:rPr>
              <w:sym w:font="Symbol" w:char="F0AD"/>
            </w:r>
            <w:r w:rsidRPr="00971D00">
              <w:rPr>
                <w:color w:val="000000" w:themeColor="text1"/>
              </w:rPr>
              <w:t xml:space="preserve"> in T2D </w:t>
            </w:r>
            <w:r w:rsidRPr="00BA19EF">
              <w:rPr>
                <w:i/>
                <w:iCs/>
                <w:color w:val="000000" w:themeColor="text1"/>
              </w:rPr>
              <w:t>vs</w:t>
            </w:r>
            <w:r w:rsidRPr="00971D00">
              <w:rPr>
                <w:color w:val="000000" w:themeColor="text1"/>
              </w:rPr>
              <w:t xml:space="preserve"> controls (0.96</w:t>
            </w:r>
            <w:r w:rsidR="00BA19EF">
              <w:rPr>
                <w:color w:val="000000" w:themeColor="text1"/>
              </w:rPr>
              <w:t>%</w:t>
            </w:r>
            <w:r w:rsidR="00680B0C">
              <w:rPr>
                <w:color w:val="000000" w:themeColor="text1"/>
              </w:rPr>
              <w:t xml:space="preserve"> </w:t>
            </w:r>
            <w:r w:rsidR="00971D00">
              <w:rPr>
                <w:color w:val="000000" w:themeColor="text1"/>
              </w:rPr>
              <w:t>±</w:t>
            </w:r>
            <w:r w:rsidR="00680B0C">
              <w:rPr>
                <w:color w:val="000000" w:themeColor="text1"/>
              </w:rPr>
              <w:t xml:space="preserve"> </w:t>
            </w:r>
            <w:r w:rsidRPr="00971D00">
              <w:rPr>
                <w:color w:val="000000" w:themeColor="text1"/>
              </w:rPr>
              <w:t xml:space="preserve">0.07% </w:t>
            </w:r>
            <w:r w:rsidRPr="00BA19EF">
              <w:rPr>
                <w:i/>
                <w:iCs/>
                <w:color w:val="000000" w:themeColor="text1"/>
              </w:rPr>
              <w:t>vs</w:t>
            </w:r>
            <w:r w:rsidRPr="00971D00">
              <w:rPr>
                <w:color w:val="000000" w:themeColor="text1"/>
              </w:rPr>
              <w:t xml:space="preserve"> 0.65</w:t>
            </w:r>
            <w:r w:rsidR="00BA19EF">
              <w:rPr>
                <w:color w:val="000000" w:themeColor="text1"/>
              </w:rPr>
              <w:t>%</w:t>
            </w:r>
            <w:r w:rsidR="00971D00">
              <w:rPr>
                <w:color w:val="000000" w:themeColor="text1"/>
              </w:rPr>
              <w:t xml:space="preserve"> ± </w:t>
            </w:r>
            <w:r w:rsidRPr="00971D00">
              <w:rPr>
                <w:color w:val="000000" w:themeColor="text1"/>
              </w:rPr>
              <w:t xml:space="preserve">0.05%). Hepatic triglyceride content </w:t>
            </w:r>
            <w:r w:rsidRPr="00971D00">
              <w:rPr>
                <w:color w:val="000000" w:themeColor="text1"/>
              </w:rPr>
              <w:sym w:font="Symbol" w:char="F0AD"/>
            </w:r>
            <w:r w:rsidRPr="00971D00">
              <w:rPr>
                <w:color w:val="000000" w:themeColor="text1"/>
              </w:rPr>
              <w:t xml:space="preserve"> in T2D vs controls (8.6% </w:t>
            </w:r>
            <w:r w:rsidRPr="00BA19EF">
              <w:rPr>
                <w:i/>
                <w:iCs/>
                <w:color w:val="000000" w:themeColor="text1"/>
              </w:rPr>
              <w:t>vs</w:t>
            </w:r>
            <w:r w:rsidRPr="00971D00">
              <w:rPr>
                <w:color w:val="000000" w:themeColor="text1"/>
              </w:rPr>
              <w:t xml:space="preserve"> 2.2%). Both cases, </w:t>
            </w:r>
            <w:r w:rsidRPr="00971D00">
              <w:rPr>
                <w:color w:val="000000" w:themeColor="text1"/>
                <w:vertAlign w:val="superscript"/>
              </w:rPr>
              <w:t>d</w:t>
            </w:r>
            <w:r w:rsidRPr="00971D00">
              <w:rPr>
                <w:i/>
                <w:color w:val="000000" w:themeColor="text1"/>
              </w:rPr>
              <w:t xml:space="preserve">P </w:t>
            </w:r>
            <w:r w:rsidRPr="00971D00">
              <w:rPr>
                <w:color w:val="000000" w:themeColor="text1"/>
              </w:rPr>
              <w:t>&lt; 0.05 On univariate analysis, myocardial triglyceride content correlated with age, visceral adipose tissue, cholesterol, plasma glucose and insulin and hepatic triglyceride content (</w:t>
            </w:r>
            <w:r w:rsidRPr="00971D00">
              <w:rPr>
                <w:color w:val="000000" w:themeColor="text1"/>
                <w:vertAlign w:val="superscript"/>
              </w:rPr>
              <w:t>e</w:t>
            </w:r>
            <w:r w:rsidRPr="00971D00">
              <w:rPr>
                <w:i/>
                <w:color w:val="000000" w:themeColor="text1"/>
              </w:rPr>
              <w:t>P</w:t>
            </w:r>
            <w:r w:rsidR="00BA19EF">
              <w:rPr>
                <w:i/>
                <w:color w:val="000000" w:themeColor="text1"/>
              </w:rPr>
              <w:t xml:space="preserve"> </w:t>
            </w:r>
            <w:r w:rsidRPr="00971D00">
              <w:rPr>
                <w:color w:val="000000" w:themeColor="text1"/>
              </w:rPr>
              <w:t>&lt;</w:t>
            </w:r>
            <w:r w:rsidR="00BA19EF">
              <w:rPr>
                <w:color w:val="000000" w:themeColor="text1"/>
              </w:rPr>
              <w:t xml:space="preserve"> </w:t>
            </w:r>
            <w:r w:rsidRPr="00971D00">
              <w:rPr>
                <w:color w:val="000000" w:themeColor="text1"/>
              </w:rPr>
              <w:t>0.05 for all). E/A independently associated with myocardial triglyceride content on multivariate analysis (inverse correlation)</w:t>
            </w:r>
          </w:p>
        </w:tc>
      </w:tr>
      <w:tr w:rsidR="00AD5414" w:rsidRPr="00A30FAB" w14:paraId="1F0F844A" w14:textId="77777777" w:rsidTr="00422EB0">
        <w:tc>
          <w:tcPr>
            <w:cnfStyle w:val="001000000000" w:firstRow="0" w:lastRow="0" w:firstColumn="1" w:lastColumn="0" w:oddVBand="0" w:evenVBand="0" w:oddHBand="0" w:evenHBand="0" w:firstRowFirstColumn="0" w:firstRowLastColumn="0" w:lastRowFirstColumn="0" w:lastRowLastColumn="0"/>
            <w:tcW w:w="1716" w:type="dxa"/>
          </w:tcPr>
          <w:p w14:paraId="2757AB3D" w14:textId="34178A3C" w:rsidR="00AD5414" w:rsidRPr="00971D00" w:rsidRDefault="00AD5414" w:rsidP="00A30FAB">
            <w:pPr>
              <w:adjustRightInd w:val="0"/>
              <w:snapToGrid w:val="0"/>
              <w:rPr>
                <w:b w:val="0"/>
                <w:bCs w:val="0"/>
                <w:color w:val="000000" w:themeColor="text1"/>
              </w:rPr>
            </w:pPr>
            <w:r w:rsidRPr="00971D00">
              <w:rPr>
                <w:b w:val="0"/>
                <w:bCs w:val="0"/>
                <w:color w:val="000000" w:themeColor="text1"/>
              </w:rPr>
              <w:t>McGavock</w:t>
            </w:r>
            <w:r w:rsidR="00971D00" w:rsidRPr="00971D00">
              <w:rPr>
                <w:b w:val="0"/>
                <w:bCs w:val="0"/>
                <w:color w:val="000000" w:themeColor="text1"/>
                <w:vertAlign w:val="superscript"/>
              </w:rPr>
              <w:t>[82]</w:t>
            </w:r>
            <w:r w:rsidRPr="00971D00">
              <w:rPr>
                <w:b w:val="0"/>
                <w:bCs w:val="0"/>
                <w:color w:val="000000" w:themeColor="text1"/>
              </w:rPr>
              <w:t xml:space="preserve"> 2007</w:t>
            </w:r>
          </w:p>
        </w:tc>
        <w:tc>
          <w:tcPr>
            <w:tcW w:w="2694" w:type="dxa"/>
          </w:tcPr>
          <w:p w14:paraId="6951070B"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i/>
                <w:iCs/>
                <w:color w:val="000000" w:themeColor="text1"/>
              </w:rPr>
              <w:t>n</w:t>
            </w:r>
            <w:r w:rsidRPr="00971D00">
              <w:rPr>
                <w:color w:val="000000" w:themeColor="text1"/>
              </w:rPr>
              <w:t xml:space="preserve"> = 134</w:t>
            </w:r>
          </w:p>
          <w:p w14:paraId="64882090"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Lean(L) (</w:t>
            </w:r>
            <w:r w:rsidRPr="00BA19EF">
              <w:rPr>
                <w:i/>
                <w:iCs/>
                <w:color w:val="000000" w:themeColor="text1"/>
              </w:rPr>
              <w:t>n</w:t>
            </w:r>
            <w:r w:rsidRPr="00971D00">
              <w:rPr>
                <w:color w:val="000000" w:themeColor="text1"/>
              </w:rPr>
              <w:t xml:space="preserve"> = 15) </w:t>
            </w:r>
          </w:p>
          <w:p w14:paraId="55561FE9" w14:textId="4BC5F231"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Age 35</w:t>
            </w:r>
            <w:r w:rsidR="00971D00">
              <w:rPr>
                <w:color w:val="000000" w:themeColor="text1"/>
              </w:rPr>
              <w:t xml:space="preserve"> ± </w:t>
            </w:r>
            <w:r w:rsidRPr="00971D00">
              <w:rPr>
                <w:color w:val="000000" w:themeColor="text1"/>
              </w:rPr>
              <w:t>3</w:t>
            </w:r>
            <w:r w:rsidR="00BA19EF">
              <w:rPr>
                <w:color w:val="000000" w:themeColor="text1"/>
              </w:rPr>
              <w:t xml:space="preserve"> </w:t>
            </w:r>
            <w:r w:rsidR="00971D00">
              <w:rPr>
                <w:color w:val="000000" w:themeColor="text1"/>
              </w:rPr>
              <w:t>yr</w:t>
            </w:r>
            <w:r w:rsidRPr="00971D00">
              <w:rPr>
                <w:color w:val="000000" w:themeColor="text1"/>
              </w:rPr>
              <w:t>, 47% males</w:t>
            </w:r>
          </w:p>
          <w:p w14:paraId="64130130" w14:textId="03E9211D"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BMI 23</w:t>
            </w:r>
            <w:r w:rsidR="00971D00">
              <w:rPr>
                <w:color w:val="000000" w:themeColor="text1"/>
              </w:rPr>
              <w:t xml:space="preserve"> ± </w:t>
            </w:r>
            <w:r w:rsidRPr="00971D00">
              <w:rPr>
                <w:color w:val="000000" w:themeColor="text1"/>
              </w:rPr>
              <w:t>2, non T2D</w:t>
            </w:r>
          </w:p>
          <w:p w14:paraId="48217C95" w14:textId="7B659349"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Overweight/Obese(O): (</w:t>
            </w:r>
            <w:r w:rsidRPr="00BA19EF">
              <w:rPr>
                <w:i/>
                <w:iCs/>
                <w:color w:val="000000" w:themeColor="text1"/>
              </w:rPr>
              <w:t>n</w:t>
            </w:r>
            <w:r w:rsidRPr="00971D00">
              <w:rPr>
                <w:color w:val="000000" w:themeColor="text1"/>
              </w:rPr>
              <w:t xml:space="preserve"> = 21) Age 36</w:t>
            </w:r>
            <w:r w:rsidR="00971D00">
              <w:rPr>
                <w:color w:val="000000" w:themeColor="text1"/>
              </w:rPr>
              <w:t xml:space="preserve"> ± </w:t>
            </w:r>
            <w:r w:rsidRPr="00971D00">
              <w:rPr>
                <w:color w:val="000000" w:themeColor="text1"/>
              </w:rPr>
              <w:t>12, BMI 32</w:t>
            </w:r>
            <w:r w:rsidR="00971D00">
              <w:rPr>
                <w:color w:val="000000" w:themeColor="text1"/>
              </w:rPr>
              <w:t xml:space="preserve"> ± </w:t>
            </w:r>
            <w:r w:rsidRPr="00971D00">
              <w:rPr>
                <w:color w:val="000000" w:themeColor="text1"/>
              </w:rPr>
              <w:t>5, 48% males , non T2D</w:t>
            </w:r>
          </w:p>
          <w:p w14:paraId="47B53A6B"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Impaired glucose tolerance(I): (</w:t>
            </w:r>
            <w:r w:rsidRPr="00BA19EF">
              <w:rPr>
                <w:i/>
                <w:iCs/>
                <w:color w:val="000000" w:themeColor="text1"/>
              </w:rPr>
              <w:t>n</w:t>
            </w:r>
            <w:r w:rsidRPr="00971D00">
              <w:rPr>
                <w:color w:val="000000" w:themeColor="text1"/>
              </w:rPr>
              <w:t xml:space="preserve"> = 20)</w:t>
            </w:r>
          </w:p>
          <w:p w14:paraId="0E8EEFFE" w14:textId="45793701"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Age 49</w:t>
            </w:r>
            <w:r w:rsidR="00971D00">
              <w:rPr>
                <w:color w:val="000000" w:themeColor="text1"/>
              </w:rPr>
              <w:t xml:space="preserve"> ± </w:t>
            </w:r>
            <w:r w:rsidRPr="00971D00">
              <w:rPr>
                <w:color w:val="000000" w:themeColor="text1"/>
              </w:rPr>
              <w:t>9, 25% males, BMI 31</w:t>
            </w:r>
            <w:r w:rsidR="00971D00">
              <w:rPr>
                <w:color w:val="000000" w:themeColor="text1"/>
              </w:rPr>
              <w:t xml:space="preserve"> ± </w:t>
            </w:r>
            <w:r w:rsidRPr="00971D00">
              <w:rPr>
                <w:color w:val="000000" w:themeColor="text1"/>
              </w:rPr>
              <w:t xml:space="preserve">6, </w:t>
            </w:r>
          </w:p>
          <w:p w14:paraId="1C99A3F0"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T2D (</w:t>
            </w:r>
            <w:r w:rsidRPr="00BA19EF">
              <w:rPr>
                <w:i/>
                <w:iCs/>
                <w:color w:val="000000" w:themeColor="text1"/>
              </w:rPr>
              <w:t xml:space="preserve">n </w:t>
            </w:r>
            <w:r w:rsidRPr="00971D00">
              <w:rPr>
                <w:color w:val="000000" w:themeColor="text1"/>
              </w:rPr>
              <w:t xml:space="preserve">= 78), </w:t>
            </w:r>
          </w:p>
          <w:p w14:paraId="4D32FEA9" w14:textId="489987C8"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Age 47</w:t>
            </w:r>
            <w:r w:rsidR="00971D00">
              <w:rPr>
                <w:color w:val="000000" w:themeColor="text1"/>
              </w:rPr>
              <w:t xml:space="preserve"> ± </w:t>
            </w:r>
            <w:r w:rsidRPr="00971D00">
              <w:rPr>
                <w:color w:val="000000" w:themeColor="text1"/>
              </w:rPr>
              <w:t>10, 47% males BMI 34</w:t>
            </w:r>
            <w:r w:rsidR="00971D00">
              <w:rPr>
                <w:color w:val="000000" w:themeColor="text1"/>
              </w:rPr>
              <w:t xml:space="preserve"> ± </w:t>
            </w:r>
            <w:r w:rsidRPr="00971D00">
              <w:rPr>
                <w:color w:val="000000" w:themeColor="text1"/>
              </w:rPr>
              <w:t xml:space="preserve">7 </w:t>
            </w:r>
          </w:p>
        </w:tc>
        <w:tc>
          <w:tcPr>
            <w:tcW w:w="2375" w:type="dxa"/>
          </w:tcPr>
          <w:p w14:paraId="38607662" w14:textId="11DE5796"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t>Age &gt;</w:t>
            </w:r>
            <w:r w:rsidR="00BA19EF">
              <w:rPr>
                <w:color w:val="000000" w:themeColor="text1"/>
              </w:rPr>
              <w:t xml:space="preserve"> </w:t>
            </w:r>
            <w:r w:rsidRPr="00971D00">
              <w:rPr>
                <w:color w:val="000000" w:themeColor="text1"/>
              </w:rPr>
              <w:t>70</w:t>
            </w:r>
            <w:r w:rsidR="00BA19EF">
              <w:rPr>
                <w:color w:val="000000" w:themeColor="text1"/>
              </w:rPr>
              <w:t xml:space="preserve"> </w:t>
            </w:r>
            <w:r w:rsidR="00971D00">
              <w:rPr>
                <w:color w:val="000000" w:themeColor="text1"/>
              </w:rPr>
              <w:t>yr</w:t>
            </w:r>
            <w:r w:rsidRPr="00971D00">
              <w:rPr>
                <w:color w:val="000000" w:themeColor="text1"/>
              </w:rPr>
              <w:t>, known CAD, Previous MI, contraindications to MRI, thiazolidinedione treatment</w:t>
            </w:r>
          </w:p>
        </w:tc>
        <w:tc>
          <w:tcPr>
            <w:tcW w:w="2571" w:type="dxa"/>
          </w:tcPr>
          <w:p w14:paraId="67AA5109" w14:textId="77777777"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sym w:font="Symbol" w:char="F0AD"/>
            </w:r>
            <w:r w:rsidRPr="00971D00">
              <w:rPr>
                <w:color w:val="000000" w:themeColor="text1"/>
              </w:rPr>
              <w:t xml:space="preserve">subcutaneous, visceral fat and hepatic triglyceride in O,I and T2D </w:t>
            </w:r>
            <w:r w:rsidRPr="00BA19EF">
              <w:rPr>
                <w:i/>
                <w:iCs/>
                <w:color w:val="000000" w:themeColor="text1"/>
              </w:rPr>
              <w:t>vs</w:t>
            </w:r>
            <w:r w:rsidRPr="00971D00">
              <w:rPr>
                <w:color w:val="000000" w:themeColor="text1"/>
              </w:rPr>
              <w:t xml:space="preserve"> L</w:t>
            </w:r>
          </w:p>
          <w:p w14:paraId="0BF3B265" w14:textId="1FFE5B39" w:rsidR="00AD5414" w:rsidRPr="00971D00"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971D00">
              <w:rPr>
                <w:color w:val="000000" w:themeColor="text1"/>
              </w:rPr>
              <w:sym w:font="Symbol" w:char="F0AD"/>
            </w:r>
            <w:r w:rsidRPr="00971D00">
              <w:rPr>
                <w:color w:val="000000" w:themeColor="text1"/>
              </w:rPr>
              <w:t xml:space="preserve">myocardial triglyceride content in I and DM </w:t>
            </w:r>
            <w:r w:rsidRPr="00BA19EF">
              <w:rPr>
                <w:i/>
                <w:iCs/>
                <w:color w:val="000000" w:themeColor="text1"/>
              </w:rPr>
              <w:t>vs</w:t>
            </w:r>
            <w:r w:rsidRPr="00971D00">
              <w:rPr>
                <w:color w:val="000000" w:themeColor="text1"/>
              </w:rPr>
              <w:t xml:space="preserve"> L (0.95</w:t>
            </w:r>
            <w:r w:rsidR="00971D00">
              <w:rPr>
                <w:color w:val="000000" w:themeColor="text1"/>
              </w:rPr>
              <w:t xml:space="preserve"> ± </w:t>
            </w:r>
            <w:r w:rsidRPr="00971D00">
              <w:rPr>
                <w:color w:val="000000" w:themeColor="text1"/>
              </w:rPr>
              <w:t xml:space="preserve">0.60 </w:t>
            </w:r>
            <w:r w:rsidRPr="00BA19EF">
              <w:rPr>
                <w:i/>
                <w:iCs/>
                <w:color w:val="000000" w:themeColor="text1"/>
              </w:rPr>
              <w:t>vs</w:t>
            </w:r>
            <w:r w:rsidRPr="00971D00">
              <w:rPr>
                <w:color w:val="000000" w:themeColor="text1"/>
              </w:rPr>
              <w:t xml:space="preserve"> 1.06</w:t>
            </w:r>
            <w:r w:rsidR="00971D00">
              <w:rPr>
                <w:color w:val="000000" w:themeColor="text1"/>
              </w:rPr>
              <w:t xml:space="preserve"> ± </w:t>
            </w:r>
            <w:r w:rsidRPr="00971D00">
              <w:rPr>
                <w:color w:val="000000" w:themeColor="text1"/>
              </w:rPr>
              <w:t xml:space="preserve">0.62 </w:t>
            </w:r>
            <w:r w:rsidRPr="00BA19EF">
              <w:rPr>
                <w:i/>
                <w:iCs/>
                <w:color w:val="000000" w:themeColor="text1"/>
              </w:rPr>
              <w:t>vs</w:t>
            </w:r>
            <w:r w:rsidRPr="00971D00">
              <w:rPr>
                <w:color w:val="000000" w:themeColor="text1"/>
              </w:rPr>
              <w:t xml:space="preserve"> 0.46</w:t>
            </w:r>
            <w:r w:rsidR="00971D00">
              <w:rPr>
                <w:color w:val="000000" w:themeColor="text1"/>
              </w:rPr>
              <w:t xml:space="preserve"> ± </w:t>
            </w:r>
            <w:r w:rsidRPr="00971D00">
              <w:rPr>
                <w:color w:val="000000" w:themeColor="text1"/>
              </w:rPr>
              <w:t xml:space="preserve">0.30 fat/water content, </w:t>
            </w:r>
            <w:r w:rsidRPr="00971D00">
              <w:rPr>
                <w:color w:val="000000" w:themeColor="text1"/>
                <w:vertAlign w:val="superscript"/>
              </w:rPr>
              <w:t>f</w:t>
            </w:r>
            <w:r w:rsidRPr="00971D00">
              <w:rPr>
                <w:i/>
                <w:color w:val="000000" w:themeColor="text1"/>
              </w:rPr>
              <w:t>P</w:t>
            </w:r>
            <w:r w:rsidR="00BA19EF">
              <w:rPr>
                <w:i/>
                <w:color w:val="000000" w:themeColor="text1"/>
              </w:rPr>
              <w:t xml:space="preserve"> </w:t>
            </w:r>
            <w:r w:rsidRPr="00971D00">
              <w:rPr>
                <w:color w:val="000000" w:themeColor="text1"/>
              </w:rPr>
              <w:t>&lt;</w:t>
            </w:r>
            <w:r w:rsidR="00BA19EF">
              <w:rPr>
                <w:color w:val="000000" w:themeColor="text1"/>
              </w:rPr>
              <w:t xml:space="preserve"> </w:t>
            </w:r>
            <w:r w:rsidRPr="00971D00">
              <w:rPr>
                <w:color w:val="000000" w:themeColor="text1"/>
              </w:rPr>
              <w:t>0.05), this remained significant after adjusted for serum triglyceride, BMI, age and gender. In multiple regression model, Subcutaneous and visceral fat both independent determinants of myocardial triglyceride content (</w:t>
            </w:r>
            <w:r w:rsidRPr="00971D00">
              <w:rPr>
                <w:color w:val="000000" w:themeColor="text1"/>
                <w:vertAlign w:val="superscript"/>
              </w:rPr>
              <w:t>g</w:t>
            </w:r>
            <w:r w:rsidRPr="00971D00">
              <w:rPr>
                <w:i/>
                <w:color w:val="000000" w:themeColor="text1"/>
              </w:rPr>
              <w:t>P</w:t>
            </w:r>
            <w:r w:rsidR="00BA19EF">
              <w:rPr>
                <w:i/>
                <w:color w:val="000000" w:themeColor="text1"/>
              </w:rPr>
              <w:t xml:space="preserve"> </w:t>
            </w:r>
            <w:r w:rsidRPr="00971D00">
              <w:rPr>
                <w:color w:val="000000" w:themeColor="text1"/>
              </w:rPr>
              <w:t>&lt;</w:t>
            </w:r>
            <w:r w:rsidR="00BA19EF">
              <w:rPr>
                <w:color w:val="000000" w:themeColor="text1"/>
              </w:rPr>
              <w:t xml:space="preserve"> </w:t>
            </w:r>
            <w:r w:rsidRPr="00971D00">
              <w:rPr>
                <w:color w:val="000000" w:themeColor="text1"/>
              </w:rPr>
              <w:t>0.05) however myocardial triclyceride unrelated to hepatic triglyceride or diastolic function</w:t>
            </w:r>
          </w:p>
        </w:tc>
      </w:tr>
    </w:tbl>
    <w:p w14:paraId="3152DC2E" w14:textId="32587E2B" w:rsidR="00AD5414" w:rsidRPr="00A30FAB" w:rsidRDefault="00AD5414" w:rsidP="00A30FAB">
      <w:pPr>
        <w:adjustRightInd w:val="0"/>
        <w:snapToGrid w:val="0"/>
        <w:rPr>
          <w:rStyle w:val="aff"/>
          <w:rFonts w:eastAsiaTheme="majorEastAsia"/>
          <w:b w:val="0"/>
          <w:bCs w:val="0"/>
          <w:color w:val="000000" w:themeColor="text1"/>
          <w:lang w:val="en-US"/>
        </w:rPr>
      </w:pPr>
      <w:r w:rsidRPr="00A30FAB">
        <w:rPr>
          <w:rStyle w:val="aff"/>
          <w:rFonts w:eastAsiaTheme="majorEastAsia"/>
          <w:b w:val="0"/>
          <w:bCs w:val="0"/>
          <w:color w:val="000000" w:themeColor="text1"/>
          <w:lang w:val="en-US"/>
        </w:rPr>
        <w:t xml:space="preserve">DM: Diabetes </w:t>
      </w:r>
      <w:r w:rsidR="00BA19EF">
        <w:rPr>
          <w:rStyle w:val="aff"/>
          <w:rFonts w:eastAsiaTheme="majorEastAsia"/>
          <w:b w:val="0"/>
          <w:bCs w:val="0"/>
          <w:color w:val="000000" w:themeColor="text1"/>
          <w:lang w:val="en-US"/>
        </w:rPr>
        <w:t>m</w:t>
      </w:r>
      <w:r w:rsidRPr="00A30FAB">
        <w:rPr>
          <w:rStyle w:val="aff"/>
          <w:rFonts w:eastAsiaTheme="majorEastAsia"/>
          <w:b w:val="0"/>
          <w:bCs w:val="0"/>
          <w:color w:val="000000" w:themeColor="text1"/>
          <w:lang w:val="en-US"/>
        </w:rPr>
        <w:t>ellitus; MI</w:t>
      </w:r>
      <w:r w:rsidR="00BA19EF">
        <w:rPr>
          <w:rStyle w:val="aff"/>
          <w:rFonts w:eastAsiaTheme="majorEastAsia"/>
          <w:b w:val="0"/>
          <w:bCs w:val="0"/>
          <w:color w:val="000000" w:themeColor="text1"/>
          <w:lang w:val="en-US"/>
        </w:rPr>
        <w:t>:</w:t>
      </w:r>
      <w:r w:rsidRPr="00A30FAB">
        <w:rPr>
          <w:rStyle w:val="aff"/>
          <w:rFonts w:eastAsiaTheme="majorEastAsia"/>
          <w:b w:val="0"/>
          <w:bCs w:val="0"/>
          <w:color w:val="000000" w:themeColor="text1"/>
          <w:lang w:val="en-US"/>
        </w:rPr>
        <w:t xml:space="preserve"> Myocardial </w:t>
      </w:r>
      <w:r w:rsidR="00BA19EF">
        <w:rPr>
          <w:rStyle w:val="aff"/>
          <w:rFonts w:eastAsiaTheme="majorEastAsia"/>
          <w:b w:val="0"/>
          <w:bCs w:val="0"/>
          <w:color w:val="000000" w:themeColor="text1"/>
          <w:lang w:val="en-US"/>
        </w:rPr>
        <w:t>i</w:t>
      </w:r>
      <w:r w:rsidRPr="00A30FAB">
        <w:rPr>
          <w:rStyle w:val="aff"/>
          <w:rFonts w:eastAsiaTheme="majorEastAsia"/>
          <w:b w:val="0"/>
          <w:bCs w:val="0"/>
          <w:color w:val="000000" w:themeColor="text1"/>
          <w:lang w:val="en-US"/>
        </w:rPr>
        <w:t xml:space="preserve">nfarction; T1D: Type 1 diabetic; CAD: Coronary </w:t>
      </w:r>
      <w:r w:rsidR="00BA19EF">
        <w:rPr>
          <w:rStyle w:val="aff"/>
          <w:rFonts w:eastAsiaTheme="majorEastAsia"/>
          <w:b w:val="0"/>
          <w:bCs w:val="0"/>
          <w:color w:val="000000" w:themeColor="text1"/>
          <w:lang w:val="en-US"/>
        </w:rPr>
        <w:t>a</w:t>
      </w:r>
      <w:r w:rsidRPr="00A30FAB">
        <w:rPr>
          <w:rStyle w:val="aff"/>
          <w:rFonts w:eastAsiaTheme="majorEastAsia"/>
          <w:b w:val="0"/>
          <w:bCs w:val="0"/>
          <w:color w:val="000000" w:themeColor="text1"/>
          <w:lang w:val="en-US"/>
        </w:rPr>
        <w:t xml:space="preserve">rtery </w:t>
      </w:r>
      <w:r w:rsidR="00BA19EF">
        <w:rPr>
          <w:rStyle w:val="aff"/>
          <w:rFonts w:eastAsiaTheme="majorEastAsia"/>
          <w:b w:val="0"/>
          <w:bCs w:val="0"/>
          <w:color w:val="000000" w:themeColor="text1"/>
          <w:lang w:val="en-US"/>
        </w:rPr>
        <w:t>d</w:t>
      </w:r>
      <w:r w:rsidRPr="00A30FAB">
        <w:rPr>
          <w:rStyle w:val="aff"/>
          <w:rFonts w:eastAsiaTheme="majorEastAsia"/>
          <w:b w:val="0"/>
          <w:bCs w:val="0"/>
          <w:color w:val="000000" w:themeColor="text1"/>
          <w:lang w:val="en-US"/>
        </w:rPr>
        <w:t xml:space="preserve">isease; BMI: Body </w:t>
      </w:r>
      <w:r w:rsidR="00BA19EF">
        <w:rPr>
          <w:rStyle w:val="aff"/>
          <w:rFonts w:eastAsiaTheme="majorEastAsia"/>
          <w:b w:val="0"/>
          <w:bCs w:val="0"/>
          <w:color w:val="000000" w:themeColor="text1"/>
          <w:lang w:val="en-US"/>
        </w:rPr>
        <w:t>m</w:t>
      </w:r>
      <w:r w:rsidRPr="00A30FAB">
        <w:rPr>
          <w:rStyle w:val="aff"/>
          <w:rFonts w:eastAsiaTheme="majorEastAsia"/>
          <w:b w:val="0"/>
          <w:bCs w:val="0"/>
          <w:color w:val="000000" w:themeColor="text1"/>
          <w:lang w:val="en-US"/>
        </w:rPr>
        <w:t xml:space="preserve">ass </w:t>
      </w:r>
      <w:r w:rsidR="00BA19EF">
        <w:rPr>
          <w:rStyle w:val="aff"/>
          <w:rFonts w:eastAsiaTheme="majorEastAsia"/>
          <w:b w:val="0"/>
          <w:bCs w:val="0"/>
          <w:color w:val="000000" w:themeColor="text1"/>
          <w:lang w:val="en-US"/>
        </w:rPr>
        <w:t>i</w:t>
      </w:r>
      <w:r w:rsidRPr="00A30FAB">
        <w:rPr>
          <w:rStyle w:val="aff"/>
          <w:rFonts w:eastAsiaTheme="majorEastAsia"/>
          <w:b w:val="0"/>
          <w:bCs w:val="0"/>
          <w:color w:val="000000" w:themeColor="text1"/>
          <w:lang w:val="en-US"/>
        </w:rPr>
        <w:t>ndex</w:t>
      </w:r>
      <w:r w:rsidR="00971D00">
        <w:rPr>
          <w:rStyle w:val="aff"/>
          <w:rFonts w:eastAsiaTheme="majorEastAsia"/>
          <w:b w:val="0"/>
          <w:bCs w:val="0"/>
          <w:color w:val="000000" w:themeColor="text1"/>
          <w:lang w:val="en-US"/>
        </w:rPr>
        <w:t xml:space="preserve">; </w:t>
      </w:r>
      <w:r w:rsidR="00971D00" w:rsidRPr="00971D00">
        <w:rPr>
          <w:color w:val="000000" w:themeColor="text1"/>
          <w:lang w:val="en-US"/>
        </w:rPr>
        <w:t>IT</w:t>
      </w:r>
      <w:r w:rsidR="00971D00">
        <w:rPr>
          <w:color w:val="000000" w:themeColor="text1"/>
          <w:lang w:val="en-US"/>
        </w:rPr>
        <w:t xml:space="preserve">: </w:t>
      </w:r>
      <w:r w:rsidR="00971D00" w:rsidRPr="00971D00">
        <w:rPr>
          <w:color w:val="000000" w:themeColor="text1"/>
          <w:lang w:val="en-US"/>
        </w:rPr>
        <w:t>Insulin therapy</w:t>
      </w:r>
      <w:r w:rsidR="00971D00">
        <w:rPr>
          <w:color w:val="000000" w:themeColor="text1"/>
          <w:lang w:val="en-US"/>
        </w:rPr>
        <w:t>.</w:t>
      </w:r>
    </w:p>
    <w:p w14:paraId="52D5AD9F" w14:textId="07ED03FA" w:rsidR="00BA19EF" w:rsidRDefault="00BA19EF">
      <w:pPr>
        <w:spacing w:line="240" w:lineRule="auto"/>
        <w:jc w:val="left"/>
        <w:rPr>
          <w:rStyle w:val="aff"/>
          <w:rFonts w:eastAsiaTheme="majorEastAsia"/>
          <w:b w:val="0"/>
          <w:bCs w:val="0"/>
          <w:color w:val="000000" w:themeColor="text1"/>
          <w:lang w:val="en-US"/>
        </w:rPr>
      </w:pPr>
      <w:r>
        <w:rPr>
          <w:rStyle w:val="aff"/>
          <w:rFonts w:eastAsiaTheme="majorEastAsia"/>
          <w:b w:val="0"/>
          <w:bCs w:val="0"/>
          <w:color w:val="000000" w:themeColor="text1"/>
          <w:lang w:val="en-US"/>
        </w:rPr>
        <w:br w:type="page"/>
      </w:r>
    </w:p>
    <w:p w14:paraId="6A728F97" w14:textId="29C713BB" w:rsidR="00AD5414" w:rsidRPr="00BA19EF" w:rsidRDefault="00AD5414" w:rsidP="00A30FAB">
      <w:pPr>
        <w:pStyle w:val="af7"/>
        <w:keepNext/>
        <w:adjustRightInd w:val="0"/>
        <w:snapToGrid w:val="0"/>
        <w:spacing w:after="0"/>
        <w:rPr>
          <w:rFonts w:ascii="Book Antiqua" w:hAnsi="Book Antiqua"/>
          <w:i w:val="0"/>
          <w:iCs w:val="0"/>
        </w:rPr>
      </w:pPr>
      <w:bookmarkStart w:id="211" w:name="_Hlk21766986"/>
      <w:r w:rsidRPr="00BA19EF">
        <w:rPr>
          <w:rFonts w:ascii="Book Antiqua" w:hAnsi="Book Antiqua"/>
          <w:i w:val="0"/>
          <w:iCs w:val="0"/>
        </w:rPr>
        <w:t xml:space="preserve">Table 2 </w:t>
      </w:r>
      <w:r w:rsidR="00BA19EF">
        <w:rPr>
          <w:rFonts w:ascii="Book Antiqua" w:hAnsi="Book Antiqua"/>
          <w:i w:val="0"/>
          <w:iCs w:val="0"/>
        </w:rPr>
        <w:t>M</w:t>
      </w:r>
      <w:r w:rsidR="00BA19EF" w:rsidRPr="00BA19EF">
        <w:rPr>
          <w:rFonts w:ascii="Book Antiqua" w:hAnsi="Book Antiqua"/>
          <w:i w:val="0"/>
          <w:iCs w:val="0"/>
        </w:rPr>
        <w:t>agnetic resonance imaging</w:t>
      </w:r>
      <w:r w:rsidRPr="00BA19EF">
        <w:rPr>
          <w:rFonts w:ascii="Book Antiqua" w:hAnsi="Book Antiqua"/>
          <w:i w:val="0"/>
          <w:iCs w:val="0"/>
        </w:rPr>
        <w:t xml:space="preserve"> </w:t>
      </w:r>
      <w:r w:rsidR="00BA19EF" w:rsidRPr="00BA19EF">
        <w:rPr>
          <w:rFonts w:ascii="Book Antiqua" w:hAnsi="Book Antiqua"/>
          <w:i w:val="0"/>
          <w:iCs w:val="0"/>
        </w:rPr>
        <w:t>studies looking at left ventricular mass and concentric remodelling in diabetes</w:t>
      </w:r>
    </w:p>
    <w:tbl>
      <w:tblPr>
        <w:tblStyle w:val="11"/>
        <w:tblW w:w="935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6"/>
        <w:gridCol w:w="3054"/>
        <w:gridCol w:w="2268"/>
        <w:gridCol w:w="2268"/>
      </w:tblGrid>
      <w:tr w:rsidR="00AD5414" w:rsidRPr="00A30FAB" w14:paraId="761B5FD1" w14:textId="77777777" w:rsidTr="003A0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6" w:type="dxa"/>
            <w:tcBorders>
              <w:top w:val="single" w:sz="4" w:space="0" w:color="auto"/>
              <w:bottom w:val="single" w:sz="4" w:space="0" w:color="auto"/>
            </w:tcBorders>
          </w:tcPr>
          <w:bookmarkEnd w:id="211"/>
          <w:p w14:paraId="47FB8419" w14:textId="00225880" w:rsidR="00AD5414" w:rsidRPr="00A30FAB" w:rsidRDefault="00AD5414" w:rsidP="00A30FAB">
            <w:pPr>
              <w:adjustRightInd w:val="0"/>
              <w:snapToGrid w:val="0"/>
              <w:rPr>
                <w:color w:val="000000" w:themeColor="text1"/>
              </w:rPr>
            </w:pPr>
            <w:r w:rsidRPr="00A30FAB">
              <w:rPr>
                <w:color w:val="000000" w:themeColor="text1"/>
              </w:rPr>
              <w:t xml:space="preserve">Study </w:t>
            </w:r>
            <w:r w:rsidR="00E5587E">
              <w:rPr>
                <w:color w:val="000000" w:themeColor="text1"/>
              </w:rPr>
              <w:t>d</w:t>
            </w:r>
            <w:r w:rsidRPr="00A30FAB">
              <w:rPr>
                <w:color w:val="000000" w:themeColor="text1"/>
              </w:rPr>
              <w:t>etails</w:t>
            </w:r>
          </w:p>
          <w:p w14:paraId="170790AC" w14:textId="77777777" w:rsidR="00AD5414" w:rsidRPr="00A30FAB" w:rsidRDefault="00AD5414" w:rsidP="00A30FAB">
            <w:pPr>
              <w:adjustRightInd w:val="0"/>
              <w:snapToGrid w:val="0"/>
              <w:rPr>
                <w:color w:val="000000" w:themeColor="text1"/>
              </w:rPr>
            </w:pPr>
            <w:r w:rsidRPr="00A30FAB">
              <w:rPr>
                <w:color w:val="000000" w:themeColor="text1"/>
              </w:rPr>
              <w:t>(Author, Year)</w:t>
            </w:r>
          </w:p>
        </w:tc>
        <w:tc>
          <w:tcPr>
            <w:tcW w:w="3054" w:type="dxa"/>
            <w:tcBorders>
              <w:top w:val="single" w:sz="4" w:space="0" w:color="auto"/>
              <w:bottom w:val="single" w:sz="4" w:space="0" w:color="auto"/>
            </w:tcBorders>
          </w:tcPr>
          <w:p w14:paraId="1845C4F1" w14:textId="77777777" w:rsidR="00AD5414" w:rsidRPr="00A30FAB" w:rsidRDefault="00AD5414" w:rsidP="00A30FAB">
            <w:pPr>
              <w:adjustRightInd w:val="0"/>
              <w:snapToGrid w:val="0"/>
              <w:cnfStyle w:val="100000000000" w:firstRow="1" w:lastRow="0" w:firstColumn="0" w:lastColumn="0" w:oddVBand="0" w:evenVBand="0" w:oddHBand="0" w:evenHBand="0" w:firstRowFirstColumn="0" w:firstRowLastColumn="0" w:lastRowFirstColumn="0" w:lastRowLastColumn="0"/>
              <w:rPr>
                <w:color w:val="000000" w:themeColor="text1"/>
              </w:rPr>
            </w:pPr>
            <w:r w:rsidRPr="00A30FAB">
              <w:rPr>
                <w:color w:val="000000" w:themeColor="text1"/>
              </w:rPr>
              <w:t>Sample population</w:t>
            </w:r>
          </w:p>
        </w:tc>
        <w:tc>
          <w:tcPr>
            <w:tcW w:w="2268" w:type="dxa"/>
            <w:tcBorders>
              <w:top w:val="single" w:sz="4" w:space="0" w:color="auto"/>
              <w:bottom w:val="single" w:sz="4" w:space="0" w:color="auto"/>
            </w:tcBorders>
          </w:tcPr>
          <w:p w14:paraId="47A11CB4" w14:textId="77777777" w:rsidR="00AD5414" w:rsidRPr="00A30FAB" w:rsidRDefault="00AD5414" w:rsidP="00A30FAB">
            <w:pPr>
              <w:adjustRightInd w:val="0"/>
              <w:snapToGrid w:val="0"/>
              <w:cnfStyle w:val="100000000000" w:firstRow="1" w:lastRow="0" w:firstColumn="0" w:lastColumn="0" w:oddVBand="0" w:evenVBand="0" w:oddHBand="0" w:evenHBand="0" w:firstRowFirstColumn="0" w:firstRowLastColumn="0" w:lastRowFirstColumn="0" w:lastRowLastColumn="0"/>
              <w:rPr>
                <w:color w:val="000000" w:themeColor="text1"/>
              </w:rPr>
            </w:pPr>
            <w:r w:rsidRPr="00A30FAB">
              <w:rPr>
                <w:color w:val="000000" w:themeColor="text1"/>
              </w:rPr>
              <w:t>Exclusion criteria</w:t>
            </w:r>
          </w:p>
        </w:tc>
        <w:tc>
          <w:tcPr>
            <w:tcW w:w="2268" w:type="dxa"/>
            <w:tcBorders>
              <w:top w:val="single" w:sz="4" w:space="0" w:color="auto"/>
              <w:bottom w:val="single" w:sz="4" w:space="0" w:color="auto"/>
            </w:tcBorders>
          </w:tcPr>
          <w:p w14:paraId="0AD7065A" w14:textId="77777777" w:rsidR="00AD5414" w:rsidRPr="00A30FAB" w:rsidRDefault="00AD5414" w:rsidP="00A30FAB">
            <w:pPr>
              <w:adjustRightInd w:val="0"/>
              <w:snapToGrid w:val="0"/>
              <w:cnfStyle w:val="100000000000" w:firstRow="1" w:lastRow="0" w:firstColumn="0" w:lastColumn="0" w:oddVBand="0" w:evenVBand="0" w:oddHBand="0" w:evenHBand="0" w:firstRowFirstColumn="0" w:firstRowLastColumn="0" w:lastRowFirstColumn="0" w:lastRowLastColumn="0"/>
              <w:rPr>
                <w:color w:val="000000" w:themeColor="text1"/>
              </w:rPr>
            </w:pPr>
            <w:r w:rsidRPr="00A30FAB">
              <w:rPr>
                <w:color w:val="000000" w:themeColor="text1"/>
              </w:rPr>
              <w:t>Main findings</w:t>
            </w:r>
          </w:p>
        </w:tc>
      </w:tr>
      <w:tr w:rsidR="00AD5414" w:rsidRPr="00A30FAB" w14:paraId="7FDDC136" w14:textId="77777777" w:rsidTr="003A0BB7">
        <w:tc>
          <w:tcPr>
            <w:cnfStyle w:val="001000000000" w:firstRow="0" w:lastRow="0" w:firstColumn="1" w:lastColumn="0" w:oddVBand="0" w:evenVBand="0" w:oddHBand="0" w:evenHBand="0" w:firstRowFirstColumn="0" w:firstRowLastColumn="0" w:lastRowFirstColumn="0" w:lastRowLastColumn="0"/>
            <w:tcW w:w="1766" w:type="dxa"/>
          </w:tcPr>
          <w:p w14:paraId="1337CCD0" w14:textId="621D8F89" w:rsidR="00AD5414" w:rsidRPr="00BA19EF" w:rsidRDefault="00AD5414" w:rsidP="00A30FAB">
            <w:pPr>
              <w:adjustRightInd w:val="0"/>
              <w:snapToGrid w:val="0"/>
              <w:rPr>
                <w:b w:val="0"/>
                <w:bCs w:val="0"/>
                <w:color w:val="000000" w:themeColor="text1"/>
              </w:rPr>
            </w:pPr>
            <w:r w:rsidRPr="00BA19EF">
              <w:rPr>
                <w:b w:val="0"/>
                <w:bCs w:val="0"/>
                <w:color w:val="000000" w:themeColor="text1"/>
              </w:rPr>
              <w:t>Ng</w:t>
            </w:r>
            <w:r w:rsidRPr="00BA19EF">
              <w:rPr>
                <w:b w:val="0"/>
                <w:bCs w:val="0"/>
                <w:i/>
                <w:iCs/>
                <w:color w:val="000000" w:themeColor="text1"/>
              </w:rPr>
              <w:t xml:space="preserve"> et al</w:t>
            </w:r>
            <w:r w:rsidR="00BA19EF" w:rsidRPr="00BA19EF">
              <w:rPr>
                <w:b w:val="0"/>
                <w:bCs w:val="0"/>
                <w:color w:val="000000" w:themeColor="text1"/>
                <w:vertAlign w:val="superscript"/>
              </w:rPr>
              <w:t>[91]</w:t>
            </w:r>
            <w:r w:rsidR="00BA19EF" w:rsidRPr="00BA19EF">
              <w:rPr>
                <w:b w:val="0"/>
                <w:bCs w:val="0"/>
                <w:color w:val="000000" w:themeColor="text1"/>
              </w:rPr>
              <w:t>,</w:t>
            </w:r>
            <w:r w:rsidRPr="00BA19EF">
              <w:rPr>
                <w:b w:val="0"/>
                <w:bCs w:val="0"/>
                <w:color w:val="000000" w:themeColor="text1"/>
              </w:rPr>
              <w:t xml:space="preserve"> 2012</w:t>
            </w:r>
          </w:p>
        </w:tc>
        <w:tc>
          <w:tcPr>
            <w:tcW w:w="3054" w:type="dxa"/>
          </w:tcPr>
          <w:p w14:paraId="5EB91304" w14:textId="23185C7A"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i/>
                <w:iCs/>
                <w:color w:val="000000" w:themeColor="text1"/>
              </w:rPr>
              <w:t>n</w:t>
            </w:r>
            <w:r w:rsidRPr="00BA19EF">
              <w:rPr>
                <w:color w:val="000000" w:themeColor="text1"/>
              </w:rPr>
              <w:t xml:space="preserve"> =</w:t>
            </w:r>
            <w:r w:rsidR="00BA19EF">
              <w:rPr>
                <w:color w:val="000000" w:themeColor="text1"/>
              </w:rPr>
              <w:t xml:space="preserve"> </w:t>
            </w:r>
            <w:r w:rsidRPr="00BA19EF">
              <w:rPr>
                <w:color w:val="000000" w:themeColor="text1"/>
              </w:rPr>
              <w:t>69</w:t>
            </w:r>
          </w:p>
          <w:p w14:paraId="7D1B56EB" w14:textId="502C414D"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DMs (</w:t>
            </w:r>
            <w:r w:rsidRPr="00BA19EF">
              <w:rPr>
                <w:i/>
                <w:iCs/>
                <w:color w:val="000000" w:themeColor="text1"/>
              </w:rPr>
              <w:t>n</w:t>
            </w:r>
            <w:r w:rsidRPr="00BA19EF">
              <w:rPr>
                <w:color w:val="000000" w:themeColor="text1"/>
              </w:rPr>
              <w:t xml:space="preserve"> = 50, 35 T1DM) Mean age 51</w:t>
            </w:r>
            <w:r w:rsidR="00680B0C">
              <w:rPr>
                <w:color w:val="000000" w:themeColor="text1"/>
              </w:rPr>
              <w:t xml:space="preserve"> </w:t>
            </w:r>
            <w:r w:rsidR="00971D00" w:rsidRPr="00BA19EF">
              <w:rPr>
                <w:color w:val="000000" w:themeColor="text1"/>
              </w:rPr>
              <w:t>±</w:t>
            </w:r>
            <w:r w:rsidR="00680B0C">
              <w:rPr>
                <w:color w:val="000000" w:themeColor="text1"/>
              </w:rPr>
              <w:t xml:space="preserve"> </w:t>
            </w:r>
            <w:r w:rsidRPr="00BA19EF">
              <w:rPr>
                <w:color w:val="000000" w:themeColor="text1"/>
              </w:rPr>
              <w:t xml:space="preserve">10 </w:t>
            </w:r>
            <w:r w:rsidR="00971D00" w:rsidRPr="00BA19EF">
              <w:rPr>
                <w:color w:val="000000" w:themeColor="text1"/>
              </w:rPr>
              <w:t>yr</w:t>
            </w:r>
            <w:r w:rsidRPr="00BA19EF">
              <w:rPr>
                <w:color w:val="000000" w:themeColor="text1"/>
              </w:rPr>
              <w:t>, 54% males. BMI 26.3</w:t>
            </w:r>
            <w:r w:rsidR="00680B0C">
              <w:rPr>
                <w:color w:val="000000" w:themeColor="text1"/>
              </w:rPr>
              <w:t xml:space="preserve"> </w:t>
            </w:r>
            <w:r w:rsidR="00971D00" w:rsidRPr="00BA19EF">
              <w:rPr>
                <w:color w:val="000000" w:themeColor="text1"/>
              </w:rPr>
              <w:t>±</w:t>
            </w:r>
            <w:r w:rsidR="00680B0C">
              <w:rPr>
                <w:color w:val="000000" w:themeColor="text1"/>
              </w:rPr>
              <w:t xml:space="preserve"> </w:t>
            </w:r>
            <w:r w:rsidRPr="00BA19EF">
              <w:rPr>
                <w:color w:val="000000" w:themeColor="text1"/>
              </w:rPr>
              <w:t>3.7</w:t>
            </w:r>
          </w:p>
          <w:p w14:paraId="1CE266BD" w14:textId="10440572"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Controls (</w:t>
            </w:r>
            <w:r w:rsidRPr="00BA19EF">
              <w:rPr>
                <w:i/>
                <w:iCs/>
                <w:color w:val="000000" w:themeColor="text1"/>
              </w:rPr>
              <w:t>n</w:t>
            </w:r>
            <w:r w:rsidRPr="00BA19EF">
              <w:rPr>
                <w:color w:val="000000" w:themeColor="text1"/>
              </w:rPr>
              <w:t xml:space="preserve"> = 19), matched for age (45</w:t>
            </w:r>
            <w:r w:rsidR="00680B0C">
              <w:rPr>
                <w:color w:val="000000" w:themeColor="text1"/>
              </w:rPr>
              <w:t xml:space="preserve"> </w:t>
            </w:r>
            <w:r w:rsidR="00971D00" w:rsidRPr="00BA19EF">
              <w:rPr>
                <w:color w:val="000000" w:themeColor="text1"/>
              </w:rPr>
              <w:t>±</w:t>
            </w:r>
            <w:r w:rsidR="00680B0C">
              <w:rPr>
                <w:color w:val="000000" w:themeColor="text1"/>
              </w:rPr>
              <w:t xml:space="preserve"> </w:t>
            </w:r>
            <w:r w:rsidRPr="00BA19EF">
              <w:rPr>
                <w:color w:val="000000" w:themeColor="text1"/>
              </w:rPr>
              <w:t>15), sex (63.2% males) an BMI 26.1</w:t>
            </w:r>
            <w:r w:rsidR="00680B0C">
              <w:rPr>
                <w:color w:val="000000" w:themeColor="text1"/>
              </w:rPr>
              <w:t xml:space="preserve"> </w:t>
            </w:r>
            <w:r w:rsidR="00971D00" w:rsidRPr="00BA19EF">
              <w:rPr>
                <w:color w:val="000000" w:themeColor="text1"/>
              </w:rPr>
              <w:t>±</w:t>
            </w:r>
            <w:r w:rsidR="00680B0C">
              <w:rPr>
                <w:color w:val="000000" w:themeColor="text1"/>
              </w:rPr>
              <w:t xml:space="preserve"> </w:t>
            </w:r>
            <w:r w:rsidRPr="00BA19EF">
              <w:rPr>
                <w:color w:val="000000" w:themeColor="text1"/>
              </w:rPr>
              <w:t>4.4</w:t>
            </w:r>
          </w:p>
        </w:tc>
        <w:tc>
          <w:tcPr>
            <w:tcW w:w="2268" w:type="dxa"/>
          </w:tcPr>
          <w:p w14:paraId="348C33C2" w14:textId="5149747A"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Age &lt; 18</w:t>
            </w:r>
            <w:r w:rsidR="00BA19EF">
              <w:rPr>
                <w:color w:val="000000" w:themeColor="text1"/>
              </w:rPr>
              <w:t xml:space="preserve"> </w:t>
            </w:r>
            <w:r w:rsidR="00971D00" w:rsidRPr="00BA19EF">
              <w:rPr>
                <w:color w:val="000000" w:themeColor="text1"/>
              </w:rPr>
              <w:t>yr</w:t>
            </w:r>
            <w:r w:rsidRPr="00BA19EF">
              <w:rPr>
                <w:color w:val="000000" w:themeColor="text1"/>
              </w:rPr>
              <w:t>, arrhythmia, CAD, MI, RWMA, segmental LGE, EF &lt; 50%, valve disease</w:t>
            </w:r>
          </w:p>
        </w:tc>
        <w:tc>
          <w:tcPr>
            <w:tcW w:w="2268" w:type="dxa"/>
          </w:tcPr>
          <w:p w14:paraId="01AA5DD1" w14:textId="77777777"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No difference between groups for LVEDVI, LVESVI, LVMI, LVEF.</w:t>
            </w:r>
          </w:p>
        </w:tc>
      </w:tr>
      <w:tr w:rsidR="00AD5414" w:rsidRPr="00A30FAB" w14:paraId="75B21959" w14:textId="77777777" w:rsidTr="003A0BB7">
        <w:tc>
          <w:tcPr>
            <w:cnfStyle w:val="001000000000" w:firstRow="0" w:lastRow="0" w:firstColumn="1" w:lastColumn="0" w:oddVBand="0" w:evenVBand="0" w:oddHBand="0" w:evenHBand="0" w:firstRowFirstColumn="0" w:firstRowLastColumn="0" w:lastRowFirstColumn="0" w:lastRowLastColumn="0"/>
            <w:tcW w:w="1766" w:type="dxa"/>
          </w:tcPr>
          <w:p w14:paraId="794A2DD9" w14:textId="5D464354" w:rsidR="00AD5414" w:rsidRPr="00BA19EF" w:rsidRDefault="00AD5414" w:rsidP="00A30FAB">
            <w:pPr>
              <w:adjustRightInd w:val="0"/>
              <w:snapToGrid w:val="0"/>
              <w:rPr>
                <w:b w:val="0"/>
                <w:bCs w:val="0"/>
                <w:color w:val="000000" w:themeColor="text1"/>
              </w:rPr>
            </w:pPr>
            <w:r w:rsidRPr="00BA19EF">
              <w:rPr>
                <w:b w:val="0"/>
                <w:bCs w:val="0"/>
                <w:color w:val="000000" w:themeColor="text1"/>
              </w:rPr>
              <w:t>Wilmot et al</w:t>
            </w:r>
            <w:r w:rsidR="00BA19EF" w:rsidRPr="00BA19EF">
              <w:rPr>
                <w:b w:val="0"/>
                <w:bCs w:val="0"/>
                <w:color w:val="000000" w:themeColor="text1"/>
                <w:vertAlign w:val="superscript"/>
              </w:rPr>
              <w:t>[93]</w:t>
            </w:r>
            <w:r w:rsidR="00BA19EF" w:rsidRPr="00BA19EF">
              <w:rPr>
                <w:b w:val="0"/>
                <w:bCs w:val="0"/>
                <w:color w:val="000000" w:themeColor="text1"/>
              </w:rPr>
              <w:t>,</w:t>
            </w:r>
            <w:r w:rsidRPr="00BA19EF">
              <w:rPr>
                <w:b w:val="0"/>
                <w:bCs w:val="0"/>
                <w:color w:val="000000" w:themeColor="text1"/>
              </w:rPr>
              <w:t xml:space="preserve"> 2014</w:t>
            </w:r>
          </w:p>
        </w:tc>
        <w:tc>
          <w:tcPr>
            <w:tcW w:w="3054" w:type="dxa"/>
          </w:tcPr>
          <w:p w14:paraId="2DCDE587" w14:textId="4AD1C1CA"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 xml:space="preserve">T2D </w:t>
            </w:r>
            <w:r w:rsidRPr="00BA19EF">
              <w:rPr>
                <w:i/>
                <w:iCs/>
                <w:color w:val="000000" w:themeColor="text1"/>
              </w:rPr>
              <w:t>n</w:t>
            </w:r>
            <w:r w:rsidRPr="00BA19EF">
              <w:rPr>
                <w:color w:val="000000" w:themeColor="text1"/>
              </w:rPr>
              <w:t xml:space="preserve"> = 20, mean age 31.8</w:t>
            </w:r>
            <w:r w:rsidR="00971D00" w:rsidRPr="00BA19EF">
              <w:rPr>
                <w:color w:val="000000" w:themeColor="text1"/>
              </w:rPr>
              <w:t xml:space="preserve"> ± </w:t>
            </w:r>
            <w:r w:rsidRPr="00BA19EF">
              <w:rPr>
                <w:color w:val="000000" w:themeColor="text1"/>
              </w:rPr>
              <w:t>6.6, BMI 33.9</w:t>
            </w:r>
            <w:r w:rsidR="00680B0C">
              <w:rPr>
                <w:color w:val="000000" w:themeColor="text1"/>
              </w:rPr>
              <w:t xml:space="preserve"> </w:t>
            </w:r>
            <w:r w:rsidR="00971D00" w:rsidRPr="00BA19EF">
              <w:rPr>
                <w:color w:val="000000" w:themeColor="text1"/>
              </w:rPr>
              <w:t xml:space="preserve">± </w:t>
            </w:r>
            <w:r w:rsidRPr="00BA19EF">
              <w:rPr>
                <w:color w:val="000000" w:themeColor="text1"/>
              </w:rPr>
              <w:t>5.8</w:t>
            </w:r>
            <w:r w:rsidR="005B3F19">
              <w:rPr>
                <w:color w:val="000000" w:themeColor="text1"/>
              </w:rPr>
              <w:t xml:space="preserve"> </w:t>
            </w:r>
            <w:r w:rsidRPr="00BA19EF">
              <w:rPr>
                <w:color w:val="000000" w:themeColor="text1"/>
              </w:rPr>
              <w:t>kg/m</w:t>
            </w:r>
            <w:r w:rsidRPr="00BA19EF">
              <w:rPr>
                <w:color w:val="000000" w:themeColor="text1"/>
                <w:vertAlign w:val="superscript"/>
              </w:rPr>
              <w:t>2</w:t>
            </w:r>
          </w:p>
          <w:p w14:paraId="4EEB4415" w14:textId="705AEB51"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 xml:space="preserve">Lean Controls: </w:t>
            </w:r>
            <w:r w:rsidRPr="00BA19EF">
              <w:rPr>
                <w:i/>
                <w:iCs/>
                <w:color w:val="000000" w:themeColor="text1"/>
              </w:rPr>
              <w:t>n</w:t>
            </w:r>
            <w:r w:rsidRPr="00BA19EF">
              <w:rPr>
                <w:color w:val="000000" w:themeColor="text1"/>
              </w:rPr>
              <w:t xml:space="preserve"> = 10, Mean age 30.9</w:t>
            </w:r>
            <w:r w:rsidR="00680B0C">
              <w:rPr>
                <w:color w:val="000000" w:themeColor="text1"/>
              </w:rPr>
              <w:t xml:space="preserve"> </w:t>
            </w:r>
            <w:r w:rsidR="00971D00" w:rsidRPr="00BA19EF">
              <w:rPr>
                <w:color w:val="000000" w:themeColor="text1"/>
              </w:rPr>
              <w:t xml:space="preserve">± </w:t>
            </w:r>
            <w:r w:rsidRPr="00BA19EF">
              <w:rPr>
                <w:color w:val="000000" w:themeColor="text1"/>
              </w:rPr>
              <w:t>5.6, Mean BMI 33.4</w:t>
            </w:r>
            <w:r w:rsidR="00680B0C">
              <w:rPr>
                <w:color w:val="000000" w:themeColor="text1"/>
              </w:rPr>
              <w:t xml:space="preserve"> </w:t>
            </w:r>
            <w:r w:rsidR="00971D00" w:rsidRPr="00BA19EF">
              <w:rPr>
                <w:color w:val="000000" w:themeColor="text1"/>
              </w:rPr>
              <w:t>±</w:t>
            </w:r>
            <w:r w:rsidR="00680B0C">
              <w:rPr>
                <w:color w:val="000000" w:themeColor="text1"/>
              </w:rPr>
              <w:t xml:space="preserve"> </w:t>
            </w:r>
            <w:r w:rsidRPr="00BA19EF">
              <w:rPr>
                <w:color w:val="000000" w:themeColor="text1"/>
              </w:rPr>
              <w:t xml:space="preserve">2.4, 60% males. </w:t>
            </w:r>
          </w:p>
          <w:p w14:paraId="329FC3E1" w14:textId="56BC95E0"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Obese Controls: n = 10, Mean age 30.0</w:t>
            </w:r>
            <w:r w:rsidR="00680B0C">
              <w:rPr>
                <w:color w:val="000000" w:themeColor="text1"/>
              </w:rPr>
              <w:t xml:space="preserve"> </w:t>
            </w:r>
            <w:r w:rsidR="00971D00" w:rsidRPr="00BA19EF">
              <w:rPr>
                <w:color w:val="000000" w:themeColor="text1"/>
              </w:rPr>
              <w:t xml:space="preserve">± </w:t>
            </w:r>
            <w:r w:rsidRPr="00BA19EF">
              <w:rPr>
                <w:color w:val="000000" w:themeColor="text1"/>
              </w:rPr>
              <w:t>6.7, Mean BMI 21.9</w:t>
            </w:r>
            <w:r w:rsidR="00971D00" w:rsidRPr="00BA19EF">
              <w:rPr>
                <w:color w:val="000000" w:themeColor="text1"/>
              </w:rPr>
              <w:t xml:space="preserve"> ± </w:t>
            </w:r>
            <w:r w:rsidRPr="00BA19EF">
              <w:rPr>
                <w:color w:val="000000" w:themeColor="text1"/>
              </w:rPr>
              <w:t>1.7, 50% males</w:t>
            </w:r>
          </w:p>
        </w:tc>
        <w:tc>
          <w:tcPr>
            <w:tcW w:w="2268" w:type="dxa"/>
          </w:tcPr>
          <w:p w14:paraId="362A57F2" w14:textId="433736F7"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Weight &gt;</w:t>
            </w:r>
            <w:r w:rsidR="00BA19EF">
              <w:rPr>
                <w:color w:val="000000" w:themeColor="text1"/>
              </w:rPr>
              <w:t xml:space="preserve"> </w:t>
            </w:r>
            <w:r w:rsidRPr="00BA19EF">
              <w:rPr>
                <w:color w:val="000000" w:themeColor="text1"/>
              </w:rPr>
              <w:t>150</w:t>
            </w:r>
            <w:r w:rsidR="00BA19EF">
              <w:rPr>
                <w:color w:val="000000" w:themeColor="text1"/>
              </w:rPr>
              <w:t xml:space="preserve"> </w:t>
            </w:r>
            <w:r w:rsidRPr="00BA19EF">
              <w:rPr>
                <w:color w:val="000000" w:themeColor="text1"/>
              </w:rPr>
              <w:t>kg, contraindications to MRI. In diabetic group BMI &gt;</w:t>
            </w:r>
            <w:r w:rsidR="00BA19EF">
              <w:rPr>
                <w:color w:val="000000" w:themeColor="text1"/>
              </w:rPr>
              <w:t xml:space="preserve"> </w:t>
            </w:r>
            <w:r w:rsidRPr="00BA19EF">
              <w:rPr>
                <w:color w:val="000000" w:themeColor="text1"/>
              </w:rPr>
              <w:t>30</w:t>
            </w:r>
            <w:r w:rsidR="00BA19EF">
              <w:rPr>
                <w:color w:val="000000" w:themeColor="text1"/>
              </w:rPr>
              <w:t xml:space="preserve"> </w:t>
            </w:r>
            <w:r w:rsidRPr="00BA19EF">
              <w:rPr>
                <w:color w:val="000000" w:themeColor="text1"/>
              </w:rPr>
              <w:t>(&gt;</w:t>
            </w:r>
            <w:r w:rsidR="00BA19EF">
              <w:rPr>
                <w:color w:val="000000" w:themeColor="text1"/>
              </w:rPr>
              <w:t xml:space="preserve"> </w:t>
            </w:r>
            <w:r w:rsidRPr="00BA19EF">
              <w:rPr>
                <w:color w:val="000000" w:themeColor="text1"/>
              </w:rPr>
              <w:t>27.5 in South Asians)</w:t>
            </w:r>
          </w:p>
        </w:tc>
        <w:tc>
          <w:tcPr>
            <w:tcW w:w="2268" w:type="dxa"/>
          </w:tcPr>
          <w:p w14:paraId="117CA427" w14:textId="6C04363A"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sym w:font="Symbol" w:char="F0AD"/>
            </w:r>
            <w:r w:rsidRPr="00BA19EF">
              <w:rPr>
                <w:color w:val="000000" w:themeColor="text1"/>
              </w:rPr>
              <w:t xml:space="preserve"> LVM (85.2 </w:t>
            </w:r>
            <w:r w:rsidRPr="00BA19EF">
              <w:rPr>
                <w:i/>
                <w:iCs/>
                <w:color w:val="000000" w:themeColor="text1"/>
              </w:rPr>
              <w:t>vs</w:t>
            </w:r>
            <w:r w:rsidRPr="00BA19EF">
              <w:rPr>
                <w:color w:val="000000" w:themeColor="text1"/>
              </w:rPr>
              <w:t xml:space="preserve"> 80.8 g, </w:t>
            </w:r>
            <w:r w:rsidRPr="00BA19EF">
              <w:rPr>
                <w:color w:val="000000" w:themeColor="text1"/>
                <w:vertAlign w:val="superscript"/>
              </w:rPr>
              <w:t>j</w:t>
            </w:r>
            <w:r w:rsidRPr="00BA19EF">
              <w:rPr>
                <w:i/>
                <w:color w:val="000000" w:themeColor="text1"/>
              </w:rPr>
              <w:t>P</w:t>
            </w:r>
            <w:r w:rsidR="00BA19EF">
              <w:rPr>
                <w:i/>
                <w:color w:val="000000" w:themeColor="text1"/>
              </w:rPr>
              <w:t xml:space="preserve"> </w:t>
            </w:r>
            <w:r w:rsidRPr="00BA19EF">
              <w:rPr>
                <w:color w:val="000000" w:themeColor="text1"/>
              </w:rPr>
              <w:t>=</w:t>
            </w:r>
            <w:r w:rsidR="00BA19EF">
              <w:rPr>
                <w:color w:val="000000" w:themeColor="text1"/>
              </w:rPr>
              <w:t xml:space="preserve"> </w:t>
            </w:r>
            <w:r w:rsidRPr="00BA19EF">
              <w:rPr>
                <w:color w:val="000000" w:themeColor="text1"/>
              </w:rPr>
              <w:t xml:space="preserve">0.002) and LVM/Volume (0.54 </w:t>
            </w:r>
            <w:r w:rsidRPr="00BA19EF">
              <w:rPr>
                <w:i/>
                <w:iCs/>
                <w:color w:val="000000" w:themeColor="text1"/>
              </w:rPr>
              <w:t>vs</w:t>
            </w:r>
            <w:r w:rsidRPr="00BA19EF">
              <w:rPr>
                <w:color w:val="000000" w:themeColor="text1"/>
              </w:rPr>
              <w:t xml:space="preserve"> 0.45 g/m</w:t>
            </w:r>
            <w:r w:rsidRPr="00BA19EF">
              <w:rPr>
                <w:color w:val="000000" w:themeColor="text1"/>
                <w:vertAlign w:val="superscript"/>
              </w:rPr>
              <w:t>2</w:t>
            </w:r>
            <w:r w:rsidRPr="00BA19EF">
              <w:rPr>
                <w:color w:val="000000" w:themeColor="text1"/>
              </w:rPr>
              <w:t xml:space="preserve">, </w:t>
            </w:r>
            <w:r w:rsidRPr="00BA19EF">
              <w:rPr>
                <w:color w:val="000000" w:themeColor="text1"/>
                <w:vertAlign w:val="superscript"/>
              </w:rPr>
              <w:t>k</w:t>
            </w:r>
            <w:r w:rsidRPr="00BA19EF">
              <w:rPr>
                <w:i/>
                <w:color w:val="000000" w:themeColor="text1"/>
              </w:rPr>
              <w:t>P</w:t>
            </w:r>
            <w:r w:rsidR="00BA19EF">
              <w:rPr>
                <w:i/>
                <w:color w:val="000000" w:themeColor="text1"/>
              </w:rPr>
              <w:t xml:space="preserve"> </w:t>
            </w:r>
            <w:r w:rsidRPr="00BA19EF">
              <w:rPr>
                <w:color w:val="000000" w:themeColor="text1"/>
              </w:rPr>
              <w:t>=</w:t>
            </w:r>
            <w:r w:rsidR="00BA19EF">
              <w:rPr>
                <w:color w:val="000000" w:themeColor="text1"/>
              </w:rPr>
              <w:t xml:space="preserve"> </w:t>
            </w:r>
            <w:r w:rsidRPr="00BA19EF">
              <w:rPr>
                <w:color w:val="000000" w:themeColor="text1"/>
              </w:rPr>
              <w:t>0.029)</w:t>
            </w:r>
            <w:r w:rsidR="005B3F19">
              <w:rPr>
                <w:color w:val="000000" w:themeColor="text1"/>
              </w:rPr>
              <w:t xml:space="preserve"> </w:t>
            </w:r>
            <w:r w:rsidRPr="00BA19EF">
              <w:rPr>
                <w:color w:val="000000" w:themeColor="text1"/>
              </w:rPr>
              <w:t>in participants with diabetes compared to lean controls. No significant difference in LVMI</w:t>
            </w:r>
          </w:p>
        </w:tc>
      </w:tr>
      <w:tr w:rsidR="00AD5414" w:rsidRPr="00A30FAB" w14:paraId="28787937" w14:textId="77777777" w:rsidTr="003A0BB7">
        <w:tc>
          <w:tcPr>
            <w:cnfStyle w:val="001000000000" w:firstRow="0" w:lastRow="0" w:firstColumn="1" w:lastColumn="0" w:oddVBand="0" w:evenVBand="0" w:oddHBand="0" w:evenHBand="0" w:firstRowFirstColumn="0" w:firstRowLastColumn="0" w:lastRowFirstColumn="0" w:lastRowLastColumn="0"/>
            <w:tcW w:w="1766" w:type="dxa"/>
          </w:tcPr>
          <w:p w14:paraId="4C83597A" w14:textId="42D2213F" w:rsidR="00AD5414" w:rsidRPr="00BA19EF" w:rsidRDefault="00AD5414" w:rsidP="00A30FAB">
            <w:pPr>
              <w:adjustRightInd w:val="0"/>
              <w:snapToGrid w:val="0"/>
              <w:rPr>
                <w:b w:val="0"/>
                <w:bCs w:val="0"/>
                <w:color w:val="000000" w:themeColor="text1"/>
              </w:rPr>
            </w:pPr>
            <w:r w:rsidRPr="00BA19EF">
              <w:rPr>
                <w:b w:val="0"/>
                <w:bCs w:val="0"/>
                <w:color w:val="000000" w:themeColor="text1"/>
              </w:rPr>
              <w:t>Larghat et al</w:t>
            </w:r>
            <w:r w:rsidR="00BA19EF" w:rsidRPr="00BA19EF">
              <w:rPr>
                <w:b w:val="0"/>
                <w:bCs w:val="0"/>
                <w:color w:val="000000" w:themeColor="text1"/>
                <w:vertAlign w:val="superscript"/>
              </w:rPr>
              <w:t>[10]</w:t>
            </w:r>
            <w:r w:rsidR="00BA19EF">
              <w:rPr>
                <w:b w:val="0"/>
                <w:bCs w:val="0"/>
                <w:color w:val="000000" w:themeColor="text1"/>
              </w:rPr>
              <w:t>,</w:t>
            </w:r>
            <w:r w:rsidRPr="00BA19EF">
              <w:rPr>
                <w:b w:val="0"/>
                <w:bCs w:val="0"/>
                <w:color w:val="000000" w:themeColor="text1"/>
              </w:rPr>
              <w:t xml:space="preserve"> 2014</w:t>
            </w:r>
          </w:p>
        </w:tc>
        <w:tc>
          <w:tcPr>
            <w:tcW w:w="3054" w:type="dxa"/>
          </w:tcPr>
          <w:p w14:paraId="660C77C2" w14:textId="5AB8156F"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 xml:space="preserve">T2DM: </w:t>
            </w:r>
            <w:r w:rsidRPr="00BA19EF">
              <w:rPr>
                <w:i/>
                <w:iCs/>
                <w:color w:val="000000" w:themeColor="text1"/>
              </w:rPr>
              <w:t>n</w:t>
            </w:r>
            <w:r w:rsidRPr="00BA19EF">
              <w:rPr>
                <w:color w:val="000000" w:themeColor="text1"/>
              </w:rPr>
              <w:t xml:space="preserve"> = 19 Mean age 59</w:t>
            </w:r>
            <w:r w:rsidR="00680B0C">
              <w:rPr>
                <w:color w:val="000000" w:themeColor="text1"/>
              </w:rPr>
              <w:t xml:space="preserve"> </w:t>
            </w:r>
            <w:r w:rsidR="00971D00" w:rsidRPr="00BA19EF">
              <w:rPr>
                <w:color w:val="000000" w:themeColor="text1"/>
              </w:rPr>
              <w:t xml:space="preserve">± </w:t>
            </w:r>
            <w:r w:rsidRPr="00BA19EF">
              <w:rPr>
                <w:color w:val="000000" w:themeColor="text1"/>
              </w:rPr>
              <w:t>6, 68% males, BMI 30.81</w:t>
            </w:r>
            <w:r w:rsidR="00680B0C">
              <w:rPr>
                <w:color w:val="000000" w:themeColor="text1"/>
              </w:rPr>
              <w:t xml:space="preserve"> </w:t>
            </w:r>
            <w:r w:rsidR="00971D00" w:rsidRPr="00BA19EF">
              <w:rPr>
                <w:color w:val="000000" w:themeColor="text1"/>
              </w:rPr>
              <w:t>±</w:t>
            </w:r>
            <w:r w:rsidR="00680B0C">
              <w:rPr>
                <w:color w:val="000000" w:themeColor="text1"/>
              </w:rPr>
              <w:t xml:space="preserve"> </w:t>
            </w:r>
            <w:r w:rsidRPr="00BA19EF">
              <w:rPr>
                <w:color w:val="000000" w:themeColor="text1"/>
              </w:rPr>
              <w:t>4.6</w:t>
            </w:r>
          </w:p>
          <w:p w14:paraId="075B3089" w14:textId="5D76FDC5"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 xml:space="preserve">Pre-DM: </w:t>
            </w:r>
            <w:r w:rsidRPr="00BA19EF">
              <w:rPr>
                <w:i/>
                <w:iCs/>
                <w:color w:val="000000" w:themeColor="text1"/>
              </w:rPr>
              <w:t>n</w:t>
            </w:r>
            <w:r w:rsidRPr="00BA19EF">
              <w:rPr>
                <w:color w:val="000000" w:themeColor="text1"/>
              </w:rPr>
              <w:t xml:space="preserve"> = 30 Mean age 57</w:t>
            </w:r>
            <w:r w:rsidR="00971D00" w:rsidRPr="00BA19EF">
              <w:rPr>
                <w:color w:val="000000" w:themeColor="text1"/>
              </w:rPr>
              <w:t xml:space="preserve"> ± </w:t>
            </w:r>
            <w:r w:rsidRPr="00BA19EF">
              <w:rPr>
                <w:color w:val="000000" w:themeColor="text1"/>
              </w:rPr>
              <w:t>8, 43% males, BMI 30.1</w:t>
            </w:r>
            <w:r w:rsidR="00971D00" w:rsidRPr="00BA19EF">
              <w:rPr>
                <w:color w:val="000000" w:themeColor="text1"/>
              </w:rPr>
              <w:t xml:space="preserve"> ± </w:t>
            </w:r>
            <w:r w:rsidRPr="00BA19EF">
              <w:rPr>
                <w:color w:val="000000" w:themeColor="text1"/>
              </w:rPr>
              <w:t>5.0</w:t>
            </w:r>
          </w:p>
          <w:p w14:paraId="5061B031" w14:textId="06E53041"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 xml:space="preserve">Non DM: </w:t>
            </w:r>
            <w:r w:rsidRPr="00E5587E">
              <w:rPr>
                <w:i/>
                <w:iCs/>
                <w:color w:val="000000" w:themeColor="text1"/>
              </w:rPr>
              <w:t>n</w:t>
            </w:r>
            <w:r w:rsidRPr="00BA19EF">
              <w:rPr>
                <w:color w:val="000000" w:themeColor="text1"/>
              </w:rPr>
              <w:t xml:space="preserve"> = 46, Mean age 57</w:t>
            </w:r>
            <w:r w:rsidR="00971D00" w:rsidRPr="00BA19EF">
              <w:rPr>
                <w:color w:val="000000" w:themeColor="text1"/>
              </w:rPr>
              <w:t xml:space="preserve"> ± </w:t>
            </w:r>
            <w:r w:rsidRPr="00BA19EF">
              <w:rPr>
                <w:color w:val="000000" w:themeColor="text1"/>
              </w:rPr>
              <w:t>7, 41% male, BMI 29</w:t>
            </w:r>
            <w:r w:rsidR="00971D00" w:rsidRPr="00BA19EF">
              <w:rPr>
                <w:color w:val="000000" w:themeColor="text1"/>
              </w:rPr>
              <w:t xml:space="preserve"> ± </w:t>
            </w:r>
            <w:r w:rsidRPr="00BA19EF">
              <w:rPr>
                <w:color w:val="000000" w:themeColor="text1"/>
              </w:rPr>
              <w:t>4.9</w:t>
            </w:r>
          </w:p>
        </w:tc>
        <w:tc>
          <w:tcPr>
            <w:tcW w:w="2268" w:type="dxa"/>
          </w:tcPr>
          <w:p w14:paraId="4EB11906" w14:textId="56DCEF2C"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Coronary artery Stenosis &gt;</w:t>
            </w:r>
            <w:r w:rsidR="00E5587E">
              <w:rPr>
                <w:color w:val="000000" w:themeColor="text1"/>
              </w:rPr>
              <w:t xml:space="preserve"> </w:t>
            </w:r>
            <w:r w:rsidRPr="00BA19EF">
              <w:rPr>
                <w:color w:val="000000" w:themeColor="text1"/>
              </w:rPr>
              <w:t>30% luminal narrowing on angiography, previous MI, significant heart disease, contraindications to MRI or adenosine</w:t>
            </w:r>
          </w:p>
        </w:tc>
        <w:tc>
          <w:tcPr>
            <w:tcW w:w="2268" w:type="dxa"/>
          </w:tcPr>
          <w:p w14:paraId="7B19D11F" w14:textId="6854A72B"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sym w:font="Symbol" w:char="F0AD"/>
            </w:r>
            <w:r w:rsidRPr="00BA19EF">
              <w:rPr>
                <w:color w:val="000000" w:themeColor="text1"/>
              </w:rPr>
              <w:t>LVM (112.8</w:t>
            </w:r>
            <w:r w:rsidR="00971D00" w:rsidRPr="00BA19EF">
              <w:rPr>
                <w:color w:val="000000" w:themeColor="text1"/>
              </w:rPr>
              <w:t xml:space="preserve"> ± </w:t>
            </w:r>
            <w:r w:rsidRPr="00BA19EF">
              <w:rPr>
                <w:color w:val="000000" w:themeColor="text1"/>
              </w:rPr>
              <w:t xml:space="preserve">39.7 </w:t>
            </w:r>
            <w:r w:rsidRPr="00E5587E">
              <w:rPr>
                <w:i/>
                <w:iCs/>
                <w:color w:val="000000" w:themeColor="text1"/>
              </w:rPr>
              <w:t xml:space="preserve">vs </w:t>
            </w:r>
            <w:r w:rsidRPr="00BA19EF">
              <w:rPr>
                <w:color w:val="000000" w:themeColor="text1"/>
              </w:rPr>
              <w:t>91.5</w:t>
            </w:r>
            <w:r w:rsidR="00971D00" w:rsidRPr="00BA19EF">
              <w:rPr>
                <w:color w:val="000000" w:themeColor="text1"/>
              </w:rPr>
              <w:t xml:space="preserve"> ± </w:t>
            </w:r>
            <w:r w:rsidRPr="00BA19EF">
              <w:rPr>
                <w:color w:val="000000" w:themeColor="text1"/>
              </w:rPr>
              <w:t>21.3</w:t>
            </w:r>
            <w:r w:rsidR="00E5587E">
              <w:rPr>
                <w:color w:val="000000" w:themeColor="text1"/>
              </w:rPr>
              <w:t xml:space="preserve"> </w:t>
            </w:r>
            <w:r w:rsidRPr="00BA19EF">
              <w:rPr>
                <w:color w:val="000000" w:themeColor="text1"/>
              </w:rPr>
              <w:t xml:space="preserve">g, </w:t>
            </w:r>
            <w:r w:rsidRPr="00BA19EF">
              <w:rPr>
                <w:color w:val="000000" w:themeColor="text1"/>
                <w:vertAlign w:val="superscript"/>
              </w:rPr>
              <w:t>l</w:t>
            </w:r>
            <w:r w:rsidRPr="00BA19EF">
              <w:rPr>
                <w:i/>
                <w:color w:val="000000" w:themeColor="text1"/>
              </w:rPr>
              <w:t>P</w:t>
            </w:r>
            <w:r w:rsidR="00E5587E">
              <w:rPr>
                <w:i/>
                <w:color w:val="000000" w:themeColor="text1"/>
              </w:rPr>
              <w:t xml:space="preserve"> </w:t>
            </w:r>
            <w:r w:rsidRPr="00BA19EF">
              <w:rPr>
                <w:color w:val="000000" w:themeColor="text1"/>
              </w:rPr>
              <w:t>=</w:t>
            </w:r>
            <w:r w:rsidR="00E5587E">
              <w:rPr>
                <w:color w:val="000000" w:themeColor="text1"/>
              </w:rPr>
              <w:t xml:space="preserve"> </w:t>
            </w:r>
            <w:r w:rsidRPr="00BA19EF">
              <w:rPr>
                <w:color w:val="000000" w:themeColor="text1"/>
              </w:rPr>
              <w:t>0.01) in participants with diabetes. Participants with diabetes also showed an increase in LVEDV and SV, but non indexed.</w:t>
            </w:r>
          </w:p>
        </w:tc>
      </w:tr>
      <w:tr w:rsidR="00AD5414" w:rsidRPr="00A30FAB" w14:paraId="75A7213D" w14:textId="77777777" w:rsidTr="003A0BB7">
        <w:tc>
          <w:tcPr>
            <w:cnfStyle w:val="001000000000" w:firstRow="0" w:lastRow="0" w:firstColumn="1" w:lastColumn="0" w:oddVBand="0" w:evenVBand="0" w:oddHBand="0" w:evenHBand="0" w:firstRowFirstColumn="0" w:firstRowLastColumn="0" w:lastRowFirstColumn="0" w:lastRowLastColumn="0"/>
            <w:tcW w:w="1766" w:type="dxa"/>
          </w:tcPr>
          <w:p w14:paraId="30CEFCA3" w14:textId="39F1212B" w:rsidR="00AD5414" w:rsidRPr="00BA19EF" w:rsidRDefault="00AD5414" w:rsidP="00A30FAB">
            <w:pPr>
              <w:adjustRightInd w:val="0"/>
              <w:snapToGrid w:val="0"/>
              <w:rPr>
                <w:b w:val="0"/>
                <w:bCs w:val="0"/>
                <w:color w:val="000000" w:themeColor="text1"/>
              </w:rPr>
            </w:pPr>
            <w:r w:rsidRPr="00BA19EF">
              <w:rPr>
                <w:b w:val="0"/>
                <w:bCs w:val="0"/>
                <w:color w:val="000000" w:themeColor="text1"/>
              </w:rPr>
              <w:t xml:space="preserve">Levelt </w:t>
            </w:r>
            <w:r w:rsidRPr="00E5587E">
              <w:rPr>
                <w:b w:val="0"/>
                <w:bCs w:val="0"/>
                <w:i/>
                <w:iCs/>
                <w:color w:val="000000" w:themeColor="text1"/>
              </w:rPr>
              <w:t>et al</w:t>
            </w:r>
            <w:r w:rsidR="00E5587E" w:rsidRPr="00BA19EF">
              <w:rPr>
                <w:b w:val="0"/>
                <w:bCs w:val="0"/>
                <w:color w:val="000000" w:themeColor="text1"/>
                <w:vertAlign w:val="superscript"/>
              </w:rPr>
              <w:t>[62]</w:t>
            </w:r>
            <w:r w:rsidR="00E5587E">
              <w:rPr>
                <w:b w:val="0"/>
                <w:bCs w:val="0"/>
                <w:color w:val="000000" w:themeColor="text1"/>
              </w:rPr>
              <w:t>,</w:t>
            </w:r>
            <w:r w:rsidRPr="00BA19EF">
              <w:rPr>
                <w:b w:val="0"/>
                <w:bCs w:val="0"/>
                <w:color w:val="000000" w:themeColor="text1"/>
              </w:rPr>
              <w:t xml:space="preserve"> 2016</w:t>
            </w:r>
          </w:p>
        </w:tc>
        <w:tc>
          <w:tcPr>
            <w:tcW w:w="3054" w:type="dxa"/>
          </w:tcPr>
          <w:p w14:paraId="0FBEC1E6" w14:textId="74AFF4F0"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 xml:space="preserve">T2DM: </w:t>
            </w:r>
            <w:r w:rsidRPr="00E5587E">
              <w:rPr>
                <w:i/>
                <w:iCs/>
                <w:color w:val="000000" w:themeColor="text1"/>
              </w:rPr>
              <w:t>n</w:t>
            </w:r>
            <w:r w:rsidRPr="00BA19EF">
              <w:rPr>
                <w:color w:val="000000" w:themeColor="text1"/>
              </w:rPr>
              <w:t xml:space="preserve"> = 39, Mean age 55</w:t>
            </w:r>
            <w:r w:rsidR="00680B0C">
              <w:rPr>
                <w:color w:val="000000" w:themeColor="text1"/>
              </w:rPr>
              <w:t xml:space="preserve"> </w:t>
            </w:r>
            <w:r w:rsidR="00971D00" w:rsidRPr="00BA19EF">
              <w:rPr>
                <w:color w:val="000000" w:themeColor="text1"/>
              </w:rPr>
              <w:t xml:space="preserve">± </w:t>
            </w:r>
            <w:r w:rsidRPr="00BA19EF">
              <w:rPr>
                <w:color w:val="000000" w:themeColor="text1"/>
              </w:rPr>
              <w:t>9, 58% males, BMI 28.7</w:t>
            </w:r>
            <w:r w:rsidR="00680B0C">
              <w:rPr>
                <w:color w:val="000000" w:themeColor="text1"/>
              </w:rPr>
              <w:t xml:space="preserve"> </w:t>
            </w:r>
            <w:r w:rsidR="00971D00" w:rsidRPr="00BA19EF">
              <w:rPr>
                <w:color w:val="000000" w:themeColor="text1"/>
              </w:rPr>
              <w:t xml:space="preserve">± </w:t>
            </w:r>
            <w:r w:rsidRPr="00BA19EF">
              <w:rPr>
                <w:color w:val="000000" w:themeColor="text1"/>
              </w:rPr>
              <w:t>5.6</w:t>
            </w:r>
          </w:p>
          <w:p w14:paraId="24214F60" w14:textId="198A4CD3"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 xml:space="preserve">Controls: </w:t>
            </w:r>
            <w:r w:rsidRPr="00E5587E">
              <w:rPr>
                <w:i/>
                <w:iCs/>
                <w:color w:val="000000" w:themeColor="text1"/>
              </w:rPr>
              <w:t>n</w:t>
            </w:r>
            <w:r w:rsidRPr="00BA19EF">
              <w:rPr>
                <w:color w:val="000000" w:themeColor="text1"/>
              </w:rPr>
              <w:t xml:space="preserve"> = 17, Mean age 50</w:t>
            </w:r>
            <w:r w:rsidR="00680B0C">
              <w:rPr>
                <w:color w:val="000000" w:themeColor="text1"/>
              </w:rPr>
              <w:t xml:space="preserve"> </w:t>
            </w:r>
            <w:r w:rsidR="00971D00" w:rsidRPr="00BA19EF">
              <w:rPr>
                <w:color w:val="000000" w:themeColor="text1"/>
              </w:rPr>
              <w:t>±</w:t>
            </w:r>
            <w:r w:rsidR="00680B0C">
              <w:rPr>
                <w:color w:val="000000" w:themeColor="text1"/>
              </w:rPr>
              <w:t xml:space="preserve"> </w:t>
            </w:r>
            <w:r w:rsidRPr="00BA19EF">
              <w:rPr>
                <w:color w:val="000000" w:themeColor="text1"/>
              </w:rPr>
              <w:t xml:space="preserve">14 </w:t>
            </w:r>
            <w:r w:rsidR="00971D00" w:rsidRPr="00BA19EF">
              <w:rPr>
                <w:color w:val="000000" w:themeColor="text1"/>
              </w:rPr>
              <w:t>yr</w:t>
            </w:r>
          </w:p>
          <w:p w14:paraId="2CEEDFE8" w14:textId="792E1525"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53% males, BMI 27.1</w:t>
            </w:r>
            <w:r w:rsidR="00971D00" w:rsidRPr="00BA19EF">
              <w:rPr>
                <w:color w:val="000000" w:themeColor="text1"/>
              </w:rPr>
              <w:t xml:space="preserve"> ± </w:t>
            </w:r>
            <w:r w:rsidRPr="00BA19EF">
              <w:rPr>
                <w:color w:val="000000" w:themeColor="text1"/>
              </w:rPr>
              <w:t>5.0</w:t>
            </w:r>
          </w:p>
        </w:tc>
        <w:tc>
          <w:tcPr>
            <w:tcW w:w="2268" w:type="dxa"/>
          </w:tcPr>
          <w:p w14:paraId="63108C70" w14:textId="77777777"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History of CVD, chest pain, smoker, uncontrolled hypertension, contraindications to MRI, ischaemia on ECG, renal dysfunction, insulin use, significant CAD on CTCA</w:t>
            </w:r>
          </w:p>
        </w:tc>
        <w:tc>
          <w:tcPr>
            <w:tcW w:w="2268" w:type="dxa"/>
          </w:tcPr>
          <w:p w14:paraId="0CE897A2" w14:textId="6C3400B3"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t>EF, LVM, LVMI, no significant difference</w:t>
            </w:r>
            <w:r w:rsidR="00680B0C">
              <w:rPr>
                <w:color w:val="000000" w:themeColor="text1"/>
              </w:rPr>
              <w:t xml:space="preserve"> </w:t>
            </w:r>
            <w:r w:rsidRPr="00BA19EF">
              <w:rPr>
                <w:color w:val="000000" w:themeColor="text1"/>
              </w:rPr>
              <w:t>between groups.</w:t>
            </w:r>
          </w:p>
          <w:p w14:paraId="520DC764" w14:textId="32F6C804" w:rsidR="00AD5414" w:rsidRPr="00BA19EF"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BA19EF">
              <w:rPr>
                <w:color w:val="000000" w:themeColor="text1"/>
              </w:rPr>
              <w:sym w:font="Symbol" w:char="F0AD"/>
            </w:r>
            <w:r w:rsidRPr="00BA19EF">
              <w:rPr>
                <w:color w:val="000000" w:themeColor="text1"/>
              </w:rPr>
              <w:t>LVM/Volume (0.98</w:t>
            </w:r>
            <w:r w:rsidR="00680B0C">
              <w:rPr>
                <w:color w:val="000000" w:themeColor="text1"/>
              </w:rPr>
              <w:t xml:space="preserve"> </w:t>
            </w:r>
            <w:r w:rsidR="00971D00" w:rsidRPr="00BA19EF">
              <w:rPr>
                <w:color w:val="000000" w:themeColor="text1"/>
              </w:rPr>
              <w:t>±</w:t>
            </w:r>
            <w:r w:rsidR="00680B0C">
              <w:rPr>
                <w:color w:val="000000" w:themeColor="text1"/>
              </w:rPr>
              <w:t xml:space="preserve"> </w:t>
            </w:r>
            <w:r w:rsidRPr="00BA19EF">
              <w:rPr>
                <w:color w:val="000000" w:themeColor="text1"/>
              </w:rPr>
              <w:t xml:space="preserve">0.21 </w:t>
            </w:r>
            <w:r w:rsidRPr="00E5587E">
              <w:rPr>
                <w:i/>
                <w:iCs/>
                <w:color w:val="000000" w:themeColor="text1"/>
              </w:rPr>
              <w:t>vs</w:t>
            </w:r>
            <w:r w:rsidRPr="00BA19EF">
              <w:rPr>
                <w:color w:val="000000" w:themeColor="text1"/>
              </w:rPr>
              <w:t xml:space="preserve"> 0.70</w:t>
            </w:r>
            <w:r w:rsidR="00680B0C">
              <w:rPr>
                <w:color w:val="000000" w:themeColor="text1"/>
              </w:rPr>
              <w:t xml:space="preserve"> </w:t>
            </w:r>
            <w:r w:rsidR="00971D00" w:rsidRPr="00BA19EF">
              <w:rPr>
                <w:color w:val="000000" w:themeColor="text1"/>
              </w:rPr>
              <w:t xml:space="preserve">± </w:t>
            </w:r>
            <w:r w:rsidRPr="00BA19EF">
              <w:rPr>
                <w:color w:val="000000" w:themeColor="text1"/>
              </w:rPr>
              <w:t xml:space="preserve">0.12, </w:t>
            </w:r>
            <w:r w:rsidRPr="00BA19EF">
              <w:rPr>
                <w:color w:val="000000" w:themeColor="text1"/>
                <w:vertAlign w:val="superscript"/>
              </w:rPr>
              <w:t>m</w:t>
            </w:r>
            <w:r w:rsidRPr="00BA19EF">
              <w:rPr>
                <w:i/>
                <w:color w:val="000000" w:themeColor="text1"/>
              </w:rPr>
              <w:t>P</w:t>
            </w:r>
            <w:r w:rsidR="00E5587E">
              <w:rPr>
                <w:i/>
                <w:color w:val="000000" w:themeColor="text1"/>
              </w:rPr>
              <w:t xml:space="preserve"> </w:t>
            </w:r>
            <w:r w:rsidRPr="00BA19EF">
              <w:rPr>
                <w:color w:val="000000" w:themeColor="text1"/>
              </w:rPr>
              <w:t>&lt;</w:t>
            </w:r>
            <w:r w:rsidR="00E5587E">
              <w:rPr>
                <w:color w:val="000000" w:themeColor="text1"/>
              </w:rPr>
              <w:t xml:space="preserve"> </w:t>
            </w:r>
            <w:r w:rsidRPr="00BA19EF">
              <w:rPr>
                <w:color w:val="000000" w:themeColor="text1"/>
              </w:rPr>
              <w:t>0.001), LVDEV (125</w:t>
            </w:r>
            <w:r w:rsidR="00680B0C">
              <w:rPr>
                <w:color w:val="000000" w:themeColor="text1"/>
              </w:rPr>
              <w:t xml:space="preserve"> </w:t>
            </w:r>
            <w:r w:rsidR="00971D00" w:rsidRPr="00BA19EF">
              <w:rPr>
                <w:color w:val="000000" w:themeColor="text1"/>
              </w:rPr>
              <w:t>±</w:t>
            </w:r>
            <w:r w:rsidR="00680B0C">
              <w:rPr>
                <w:color w:val="000000" w:themeColor="text1"/>
              </w:rPr>
              <w:t xml:space="preserve"> </w:t>
            </w:r>
            <w:r w:rsidRPr="00BA19EF">
              <w:rPr>
                <w:color w:val="000000" w:themeColor="text1"/>
              </w:rPr>
              <w:t>30</w:t>
            </w:r>
            <w:r w:rsidR="00E5587E">
              <w:rPr>
                <w:color w:val="000000" w:themeColor="text1"/>
              </w:rPr>
              <w:t xml:space="preserve"> mL</w:t>
            </w:r>
            <w:r w:rsidRPr="00BA19EF">
              <w:rPr>
                <w:color w:val="000000" w:themeColor="text1"/>
              </w:rPr>
              <w:t xml:space="preserve"> </w:t>
            </w:r>
            <w:r w:rsidRPr="00E5587E">
              <w:rPr>
                <w:i/>
                <w:iCs/>
                <w:color w:val="000000" w:themeColor="text1"/>
              </w:rPr>
              <w:t xml:space="preserve">vs </w:t>
            </w:r>
            <w:r w:rsidRPr="00BA19EF">
              <w:rPr>
                <w:color w:val="000000" w:themeColor="text1"/>
              </w:rPr>
              <w:t>161</w:t>
            </w:r>
            <w:r w:rsidR="00680B0C">
              <w:rPr>
                <w:color w:val="000000" w:themeColor="text1"/>
              </w:rPr>
              <w:t xml:space="preserve"> </w:t>
            </w:r>
            <w:r w:rsidR="00971D00" w:rsidRPr="00BA19EF">
              <w:rPr>
                <w:color w:val="000000" w:themeColor="text1"/>
              </w:rPr>
              <w:t>±</w:t>
            </w:r>
            <w:r w:rsidR="00680B0C">
              <w:rPr>
                <w:color w:val="000000" w:themeColor="text1"/>
              </w:rPr>
              <w:t xml:space="preserve"> </w:t>
            </w:r>
            <w:r w:rsidRPr="00BA19EF">
              <w:rPr>
                <w:color w:val="000000" w:themeColor="text1"/>
              </w:rPr>
              <w:t>39</w:t>
            </w:r>
            <w:r w:rsidR="00E5587E">
              <w:rPr>
                <w:color w:val="000000" w:themeColor="text1"/>
              </w:rPr>
              <w:t xml:space="preserve"> </w:t>
            </w:r>
            <w:r w:rsidRPr="00BA19EF">
              <w:rPr>
                <w:color w:val="000000" w:themeColor="text1"/>
              </w:rPr>
              <w:t>m</w:t>
            </w:r>
            <w:r w:rsidR="00E5587E">
              <w:rPr>
                <w:color w:val="000000" w:themeColor="text1"/>
              </w:rPr>
              <w:t>L</w:t>
            </w:r>
            <w:r w:rsidRPr="00BA19EF">
              <w:rPr>
                <w:color w:val="000000" w:themeColor="text1"/>
              </w:rPr>
              <w:t xml:space="preserve">, </w:t>
            </w:r>
            <w:r w:rsidRPr="00BA19EF">
              <w:rPr>
                <w:color w:val="000000" w:themeColor="text1"/>
                <w:vertAlign w:val="superscript"/>
              </w:rPr>
              <w:t>n</w:t>
            </w:r>
            <w:r w:rsidRPr="00BA19EF">
              <w:rPr>
                <w:i/>
                <w:color w:val="000000" w:themeColor="text1"/>
              </w:rPr>
              <w:t>P</w:t>
            </w:r>
            <w:r w:rsidR="00E5587E">
              <w:rPr>
                <w:i/>
                <w:color w:val="000000" w:themeColor="text1"/>
              </w:rPr>
              <w:t xml:space="preserve"> </w:t>
            </w:r>
            <w:r w:rsidRPr="00BA19EF">
              <w:rPr>
                <w:color w:val="000000" w:themeColor="text1"/>
              </w:rPr>
              <w:t>=</w:t>
            </w:r>
            <w:r w:rsidR="00E5587E">
              <w:rPr>
                <w:color w:val="000000" w:themeColor="text1"/>
              </w:rPr>
              <w:t xml:space="preserve"> </w:t>
            </w:r>
            <w:r w:rsidRPr="00BA19EF">
              <w:rPr>
                <w:color w:val="000000" w:themeColor="text1"/>
              </w:rPr>
              <w:t>0.001) and lower SV in diabetes.</w:t>
            </w:r>
          </w:p>
        </w:tc>
      </w:tr>
    </w:tbl>
    <w:p w14:paraId="3C70CACC" w14:textId="77777777" w:rsidR="001422AF" w:rsidRDefault="00AD5414" w:rsidP="00A30FAB">
      <w:pPr>
        <w:adjustRightInd w:val="0"/>
        <w:snapToGrid w:val="0"/>
        <w:rPr>
          <w:color w:val="000000" w:themeColor="text1"/>
          <w:lang w:val="en-US"/>
        </w:rPr>
      </w:pPr>
      <w:bookmarkStart w:id="212" w:name="_Hlk21766973"/>
      <w:bookmarkStart w:id="213" w:name="_Ref864021"/>
      <w:r w:rsidRPr="00A30FAB">
        <w:rPr>
          <w:color w:val="000000" w:themeColor="text1"/>
          <w:lang w:val="en-US"/>
        </w:rPr>
        <w:t xml:space="preserve">IT: Insulin therapy; OT: </w:t>
      </w:r>
      <w:r w:rsidR="00E5587E">
        <w:rPr>
          <w:color w:val="000000" w:themeColor="text1"/>
          <w:lang w:val="en-US"/>
        </w:rPr>
        <w:t>O</w:t>
      </w:r>
      <w:r w:rsidRPr="00A30FAB">
        <w:rPr>
          <w:color w:val="000000" w:themeColor="text1"/>
          <w:lang w:val="en-US"/>
        </w:rPr>
        <w:t>ral therapy; BMI: Body</w:t>
      </w:r>
      <w:r w:rsidR="00E5587E" w:rsidRPr="00A30FAB">
        <w:rPr>
          <w:color w:val="000000" w:themeColor="text1"/>
          <w:lang w:val="en-US"/>
        </w:rPr>
        <w:t xml:space="preserve"> mass index</w:t>
      </w:r>
      <w:r w:rsidRPr="00A30FAB">
        <w:rPr>
          <w:color w:val="000000" w:themeColor="text1"/>
          <w:lang w:val="en-US"/>
        </w:rPr>
        <w:t>; CAD: Cor</w:t>
      </w:r>
      <w:r w:rsidR="00E5587E" w:rsidRPr="00A30FAB">
        <w:rPr>
          <w:color w:val="000000" w:themeColor="text1"/>
          <w:lang w:val="en-US"/>
        </w:rPr>
        <w:t>onary artery disease;</w:t>
      </w:r>
      <w:r w:rsidRPr="00A30FAB">
        <w:rPr>
          <w:color w:val="000000" w:themeColor="text1"/>
          <w:lang w:val="en-US"/>
        </w:rPr>
        <w:t xml:space="preserve"> MI: Myocardial </w:t>
      </w:r>
      <w:r w:rsidR="00E5587E">
        <w:rPr>
          <w:color w:val="000000" w:themeColor="text1"/>
          <w:lang w:val="en-US"/>
        </w:rPr>
        <w:t>i</w:t>
      </w:r>
      <w:r w:rsidRPr="00A30FAB">
        <w:rPr>
          <w:color w:val="000000" w:themeColor="text1"/>
          <w:lang w:val="en-US"/>
        </w:rPr>
        <w:t xml:space="preserve">nfarction; RWMA: Regional </w:t>
      </w:r>
      <w:r w:rsidR="00E5587E" w:rsidRPr="00A30FAB">
        <w:rPr>
          <w:color w:val="000000" w:themeColor="text1"/>
          <w:lang w:val="en-US"/>
        </w:rPr>
        <w:t>wall motion abnormality;</w:t>
      </w:r>
      <w:r w:rsidRPr="00A30FAB">
        <w:rPr>
          <w:color w:val="000000" w:themeColor="text1"/>
          <w:lang w:val="en-US"/>
        </w:rPr>
        <w:t xml:space="preserve"> LVEDVI: Left </w:t>
      </w:r>
      <w:r w:rsidR="00E5587E" w:rsidRPr="00A30FAB">
        <w:rPr>
          <w:color w:val="000000" w:themeColor="text1"/>
          <w:lang w:val="en-US"/>
        </w:rPr>
        <w:t>ventricular end diastolic volume index</w:t>
      </w:r>
      <w:r w:rsidRPr="00A30FAB">
        <w:rPr>
          <w:color w:val="000000" w:themeColor="text1"/>
          <w:lang w:val="en-US"/>
        </w:rPr>
        <w:t xml:space="preserve">; LVESVI: Left </w:t>
      </w:r>
      <w:r w:rsidR="00E5587E" w:rsidRPr="00A30FAB">
        <w:rPr>
          <w:color w:val="000000" w:themeColor="text1"/>
          <w:lang w:val="en-US"/>
        </w:rPr>
        <w:t>ventricular end systolic volume index</w:t>
      </w:r>
      <w:r w:rsidRPr="00A30FAB">
        <w:rPr>
          <w:color w:val="000000" w:themeColor="text1"/>
          <w:lang w:val="en-US"/>
        </w:rPr>
        <w:t xml:space="preserve">; LVMI: Left </w:t>
      </w:r>
      <w:r w:rsidR="00E5587E" w:rsidRPr="00A30FAB">
        <w:rPr>
          <w:color w:val="000000" w:themeColor="text1"/>
          <w:lang w:val="en-US"/>
        </w:rPr>
        <w:t>ventricular mass index;</w:t>
      </w:r>
      <w:r w:rsidRPr="00A30FAB">
        <w:rPr>
          <w:color w:val="000000" w:themeColor="text1"/>
          <w:lang w:val="en-US"/>
        </w:rPr>
        <w:t xml:space="preserve"> LVEF: Left</w:t>
      </w:r>
      <w:r w:rsidR="00E5587E" w:rsidRPr="00A30FAB">
        <w:rPr>
          <w:color w:val="000000" w:themeColor="text1"/>
          <w:lang w:val="en-US"/>
        </w:rPr>
        <w:t xml:space="preserve"> ventricular ejection fraction.</w:t>
      </w:r>
    </w:p>
    <w:bookmarkEnd w:id="212"/>
    <w:p w14:paraId="5933CFD9" w14:textId="77777777" w:rsidR="001422AF" w:rsidRDefault="001422AF" w:rsidP="00A30FAB">
      <w:pPr>
        <w:adjustRightInd w:val="0"/>
        <w:snapToGrid w:val="0"/>
        <w:rPr>
          <w:color w:val="000000" w:themeColor="text1"/>
          <w:lang w:val="en-US"/>
        </w:rPr>
      </w:pPr>
    </w:p>
    <w:p w14:paraId="72FEEF2B" w14:textId="77777777" w:rsidR="001422AF" w:rsidRDefault="001422AF" w:rsidP="00A30FAB">
      <w:pPr>
        <w:adjustRightInd w:val="0"/>
        <w:snapToGrid w:val="0"/>
        <w:rPr>
          <w:color w:val="000000" w:themeColor="text1"/>
          <w:lang w:val="en-US"/>
        </w:rPr>
      </w:pPr>
    </w:p>
    <w:p w14:paraId="1DE5C09B" w14:textId="33B99E69" w:rsidR="00AD5414" w:rsidRPr="001422AF" w:rsidRDefault="00AD5414" w:rsidP="00A30FAB">
      <w:pPr>
        <w:adjustRightInd w:val="0"/>
        <w:snapToGrid w:val="0"/>
        <w:rPr>
          <w:color w:val="000000" w:themeColor="text1"/>
          <w:lang w:val="en-US"/>
        </w:rPr>
      </w:pPr>
      <w:r w:rsidRPr="00A30FAB">
        <w:rPr>
          <w:color w:val="000000" w:themeColor="text1"/>
          <w:lang w:val="en-US"/>
        </w:rPr>
        <w:br w:type="page"/>
      </w:r>
    </w:p>
    <w:p w14:paraId="121AA984" w14:textId="6BC0C007" w:rsidR="00AD5414" w:rsidRPr="00E5587E" w:rsidRDefault="00AD5414" w:rsidP="00A30FAB">
      <w:pPr>
        <w:pStyle w:val="af7"/>
        <w:adjustRightInd w:val="0"/>
        <w:snapToGrid w:val="0"/>
        <w:spacing w:after="0"/>
        <w:rPr>
          <w:rFonts w:ascii="Book Antiqua" w:hAnsi="Book Antiqua"/>
          <w:i w:val="0"/>
          <w:iCs w:val="0"/>
        </w:rPr>
      </w:pPr>
      <w:r w:rsidRPr="00E5587E">
        <w:rPr>
          <w:rFonts w:ascii="Book Antiqua" w:hAnsi="Book Antiqua"/>
          <w:i w:val="0"/>
          <w:iCs w:val="0"/>
        </w:rPr>
        <w:t>Table 3</w:t>
      </w:r>
      <w:bookmarkEnd w:id="213"/>
      <w:r w:rsidRPr="00E5587E">
        <w:rPr>
          <w:rFonts w:ascii="Book Antiqua" w:hAnsi="Book Antiqua"/>
          <w:i w:val="0"/>
          <w:iCs w:val="0"/>
        </w:rPr>
        <w:t xml:space="preserve"> Studies o</w:t>
      </w:r>
      <w:r w:rsidR="00E5587E" w:rsidRPr="00E5587E">
        <w:rPr>
          <w:rFonts w:ascii="Book Antiqua" w:hAnsi="Book Antiqua"/>
          <w:i w:val="0"/>
          <w:iCs w:val="0"/>
        </w:rPr>
        <w:t>n left ventricular function and myocardial strain in diabetes</w:t>
      </w:r>
    </w:p>
    <w:tbl>
      <w:tblPr>
        <w:tblStyle w:val="11"/>
        <w:tblW w:w="1006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175"/>
        <w:gridCol w:w="2107"/>
        <w:gridCol w:w="2252"/>
        <w:gridCol w:w="3526"/>
      </w:tblGrid>
      <w:tr w:rsidR="00AD5414" w:rsidRPr="00A30FAB" w14:paraId="2B7547D0" w14:textId="77777777" w:rsidTr="003A0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auto"/>
              <w:bottom w:val="single" w:sz="4" w:space="0" w:color="auto"/>
            </w:tcBorders>
            <w:shd w:val="clear" w:color="auto" w:fill="auto"/>
          </w:tcPr>
          <w:p w14:paraId="23E5F111" w14:textId="77777777" w:rsidR="00AD5414" w:rsidRPr="00A30FAB" w:rsidRDefault="00AD5414" w:rsidP="00A30FAB">
            <w:pPr>
              <w:adjustRightInd w:val="0"/>
              <w:snapToGrid w:val="0"/>
              <w:rPr>
                <w:color w:val="000000" w:themeColor="text1"/>
              </w:rPr>
            </w:pPr>
            <w:r w:rsidRPr="00A30FAB">
              <w:rPr>
                <w:color w:val="000000" w:themeColor="text1"/>
              </w:rPr>
              <w:t>Publication</w:t>
            </w:r>
          </w:p>
          <w:p w14:paraId="475DD0EC" w14:textId="34F6F9DD" w:rsidR="00AD5414" w:rsidRPr="00A30FAB" w:rsidRDefault="00E5587E" w:rsidP="00A30FAB">
            <w:pPr>
              <w:adjustRightInd w:val="0"/>
              <w:snapToGrid w:val="0"/>
              <w:rPr>
                <w:color w:val="000000" w:themeColor="text1"/>
              </w:rPr>
            </w:pPr>
            <w:r w:rsidRPr="00A30FAB">
              <w:rPr>
                <w:color w:val="000000" w:themeColor="text1"/>
              </w:rPr>
              <w:t>and imaging modality</w:t>
            </w:r>
          </w:p>
        </w:tc>
        <w:tc>
          <w:tcPr>
            <w:tcW w:w="2135" w:type="dxa"/>
            <w:tcBorders>
              <w:top w:val="single" w:sz="4" w:space="0" w:color="auto"/>
              <w:bottom w:val="single" w:sz="4" w:space="0" w:color="auto"/>
            </w:tcBorders>
            <w:shd w:val="clear" w:color="auto" w:fill="auto"/>
          </w:tcPr>
          <w:p w14:paraId="7524CCF7" w14:textId="77777777" w:rsidR="00AD5414" w:rsidRPr="00A30FAB" w:rsidRDefault="00AD5414" w:rsidP="00A30FAB">
            <w:pPr>
              <w:adjustRightInd w:val="0"/>
              <w:snapToGrid w:val="0"/>
              <w:cnfStyle w:val="100000000000" w:firstRow="1" w:lastRow="0" w:firstColumn="0" w:lastColumn="0" w:oddVBand="0" w:evenVBand="0" w:oddHBand="0" w:evenHBand="0" w:firstRowFirstColumn="0" w:firstRowLastColumn="0" w:lastRowFirstColumn="0" w:lastRowLastColumn="0"/>
              <w:rPr>
                <w:color w:val="000000" w:themeColor="text1"/>
              </w:rPr>
            </w:pPr>
            <w:r w:rsidRPr="00A30FAB">
              <w:rPr>
                <w:color w:val="000000" w:themeColor="text1"/>
              </w:rPr>
              <w:t>Group and baseline characteristics</w:t>
            </w:r>
          </w:p>
        </w:tc>
        <w:tc>
          <w:tcPr>
            <w:tcW w:w="2268" w:type="dxa"/>
            <w:tcBorders>
              <w:top w:val="single" w:sz="4" w:space="0" w:color="auto"/>
              <w:bottom w:val="single" w:sz="4" w:space="0" w:color="auto"/>
            </w:tcBorders>
            <w:shd w:val="clear" w:color="auto" w:fill="auto"/>
          </w:tcPr>
          <w:p w14:paraId="1FD81AC4" w14:textId="77777777" w:rsidR="00AD5414" w:rsidRPr="00A30FAB" w:rsidRDefault="00AD5414" w:rsidP="00A30FAB">
            <w:pPr>
              <w:adjustRightInd w:val="0"/>
              <w:snapToGrid w:val="0"/>
              <w:cnfStyle w:val="100000000000" w:firstRow="1" w:lastRow="0" w:firstColumn="0" w:lastColumn="0" w:oddVBand="0" w:evenVBand="0" w:oddHBand="0" w:evenHBand="0" w:firstRowFirstColumn="0" w:firstRowLastColumn="0" w:lastRowFirstColumn="0" w:lastRowLastColumn="0"/>
              <w:rPr>
                <w:color w:val="000000" w:themeColor="text1"/>
              </w:rPr>
            </w:pPr>
            <w:r w:rsidRPr="00A30FAB">
              <w:rPr>
                <w:color w:val="000000" w:themeColor="text1"/>
              </w:rPr>
              <w:t>Exclusion</w:t>
            </w:r>
          </w:p>
        </w:tc>
        <w:tc>
          <w:tcPr>
            <w:tcW w:w="3681" w:type="dxa"/>
            <w:tcBorders>
              <w:top w:val="single" w:sz="4" w:space="0" w:color="auto"/>
              <w:bottom w:val="single" w:sz="4" w:space="0" w:color="auto"/>
            </w:tcBorders>
            <w:shd w:val="clear" w:color="auto" w:fill="auto"/>
          </w:tcPr>
          <w:p w14:paraId="40878E92" w14:textId="77777777" w:rsidR="00AD5414" w:rsidRPr="00A30FAB" w:rsidRDefault="00AD5414" w:rsidP="00A30FAB">
            <w:pPr>
              <w:adjustRightInd w:val="0"/>
              <w:snapToGrid w:val="0"/>
              <w:cnfStyle w:val="100000000000" w:firstRow="1" w:lastRow="0" w:firstColumn="0" w:lastColumn="0" w:oddVBand="0" w:evenVBand="0" w:oddHBand="0" w:evenHBand="0" w:firstRowFirstColumn="0" w:firstRowLastColumn="0" w:lastRowFirstColumn="0" w:lastRowLastColumn="0"/>
              <w:rPr>
                <w:color w:val="000000" w:themeColor="text1"/>
              </w:rPr>
            </w:pPr>
            <w:r w:rsidRPr="00A30FAB">
              <w:rPr>
                <w:color w:val="000000" w:themeColor="text1"/>
              </w:rPr>
              <w:t>Main findings</w:t>
            </w:r>
          </w:p>
        </w:tc>
      </w:tr>
      <w:tr w:rsidR="00AD5414" w:rsidRPr="00A30FAB" w14:paraId="1EF97CCC" w14:textId="77777777" w:rsidTr="003A0BB7">
        <w:tc>
          <w:tcPr>
            <w:cnfStyle w:val="001000000000" w:firstRow="0" w:lastRow="0" w:firstColumn="1" w:lastColumn="0" w:oddVBand="0" w:evenVBand="0" w:oddHBand="0" w:evenHBand="0" w:firstRowFirstColumn="0" w:firstRowLastColumn="0" w:lastRowFirstColumn="0" w:lastRowLastColumn="0"/>
            <w:tcW w:w="1976" w:type="dxa"/>
            <w:tcBorders>
              <w:top w:val="single" w:sz="4" w:space="0" w:color="auto"/>
            </w:tcBorders>
            <w:shd w:val="clear" w:color="auto" w:fill="auto"/>
          </w:tcPr>
          <w:p w14:paraId="4D50C90F" w14:textId="70DDAB86" w:rsidR="00AD5414" w:rsidRPr="00E5587E" w:rsidRDefault="00AD5414" w:rsidP="00A30FAB">
            <w:pPr>
              <w:adjustRightInd w:val="0"/>
              <w:snapToGrid w:val="0"/>
              <w:rPr>
                <w:b w:val="0"/>
                <w:bCs w:val="0"/>
                <w:color w:val="000000" w:themeColor="text1"/>
              </w:rPr>
            </w:pPr>
            <w:r w:rsidRPr="00E5587E">
              <w:rPr>
                <w:b w:val="0"/>
                <w:bCs w:val="0"/>
                <w:color w:val="000000" w:themeColor="text1"/>
              </w:rPr>
              <w:t xml:space="preserve">Ernande </w:t>
            </w:r>
            <w:r w:rsidRPr="00E5587E">
              <w:rPr>
                <w:b w:val="0"/>
                <w:bCs w:val="0"/>
                <w:i/>
                <w:iCs/>
                <w:color w:val="000000" w:themeColor="text1"/>
              </w:rPr>
              <w:t>et al</w:t>
            </w:r>
            <w:r w:rsidR="00E5587E" w:rsidRPr="00E5587E">
              <w:rPr>
                <w:b w:val="0"/>
                <w:bCs w:val="0"/>
                <w:color w:val="000000" w:themeColor="text1"/>
                <w:vertAlign w:val="superscript"/>
              </w:rPr>
              <w:t>[107]</w:t>
            </w:r>
            <w:r w:rsidR="00E5587E" w:rsidRPr="00E5587E">
              <w:rPr>
                <w:b w:val="0"/>
                <w:bCs w:val="0"/>
                <w:color w:val="000000" w:themeColor="text1"/>
              </w:rPr>
              <w:t>,</w:t>
            </w:r>
            <w:r w:rsidRPr="00E5587E">
              <w:rPr>
                <w:b w:val="0"/>
                <w:bCs w:val="0"/>
                <w:color w:val="000000" w:themeColor="text1"/>
              </w:rPr>
              <w:t xml:space="preserve"> 2010</w:t>
            </w:r>
          </w:p>
          <w:p w14:paraId="2F3E1DC4" w14:textId="77777777" w:rsidR="00AD5414" w:rsidRPr="00E5587E" w:rsidRDefault="00AD5414" w:rsidP="00A30FAB">
            <w:pPr>
              <w:adjustRightInd w:val="0"/>
              <w:snapToGrid w:val="0"/>
              <w:rPr>
                <w:b w:val="0"/>
                <w:bCs w:val="0"/>
                <w:color w:val="000000" w:themeColor="text1"/>
              </w:rPr>
            </w:pPr>
            <w:r w:rsidRPr="00E5587E">
              <w:rPr>
                <w:b w:val="0"/>
                <w:bCs w:val="0"/>
                <w:color w:val="000000" w:themeColor="text1"/>
              </w:rPr>
              <w:t>Echocardiography</w:t>
            </w:r>
          </w:p>
        </w:tc>
        <w:tc>
          <w:tcPr>
            <w:tcW w:w="2135" w:type="dxa"/>
            <w:tcBorders>
              <w:top w:val="single" w:sz="4" w:space="0" w:color="auto"/>
            </w:tcBorders>
            <w:shd w:val="clear" w:color="auto" w:fill="auto"/>
          </w:tcPr>
          <w:p w14:paraId="7D08AF75" w14:textId="77777777"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 xml:space="preserve">T2DM: </w:t>
            </w:r>
            <w:r w:rsidRPr="00E5587E">
              <w:rPr>
                <w:i/>
                <w:iCs/>
                <w:color w:val="000000" w:themeColor="text1"/>
              </w:rPr>
              <w:t>n</w:t>
            </w:r>
            <w:r w:rsidRPr="00E5587E">
              <w:rPr>
                <w:color w:val="000000" w:themeColor="text1"/>
              </w:rPr>
              <w:t xml:space="preserve"> = 119, 69 males</w:t>
            </w:r>
          </w:p>
          <w:p w14:paraId="514011BD" w14:textId="77777777"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 xml:space="preserve">Controls: </w:t>
            </w:r>
            <w:r w:rsidRPr="00E5587E">
              <w:rPr>
                <w:i/>
                <w:iCs/>
                <w:color w:val="000000" w:themeColor="text1"/>
              </w:rPr>
              <w:t>n</w:t>
            </w:r>
            <w:r w:rsidRPr="00E5587E">
              <w:rPr>
                <w:color w:val="000000" w:themeColor="text1"/>
              </w:rPr>
              <w:t xml:space="preserve"> = 39, 30 males</w:t>
            </w:r>
          </w:p>
        </w:tc>
        <w:tc>
          <w:tcPr>
            <w:tcW w:w="2268" w:type="dxa"/>
            <w:tcBorders>
              <w:top w:val="single" w:sz="4" w:space="0" w:color="auto"/>
            </w:tcBorders>
            <w:shd w:val="clear" w:color="auto" w:fill="auto"/>
          </w:tcPr>
          <w:p w14:paraId="21F571C7" w14:textId="65A786B7"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LVEF</w:t>
            </w:r>
            <w:r w:rsidR="00E5587E" w:rsidRPr="00E5587E">
              <w:rPr>
                <w:color w:val="000000" w:themeColor="text1"/>
              </w:rPr>
              <w:t xml:space="preserve"> </w:t>
            </w:r>
            <w:r w:rsidRPr="00E5587E">
              <w:rPr>
                <w:color w:val="000000" w:themeColor="text1"/>
              </w:rPr>
              <w:t>&lt;</w:t>
            </w:r>
            <w:r w:rsidR="00E5587E" w:rsidRPr="00E5587E">
              <w:rPr>
                <w:color w:val="000000" w:themeColor="text1"/>
              </w:rPr>
              <w:t xml:space="preserve"> </w:t>
            </w:r>
            <w:r w:rsidRPr="00E5587E">
              <w:rPr>
                <w:color w:val="000000" w:themeColor="text1"/>
              </w:rPr>
              <w:t>56%, age &lt;</w:t>
            </w:r>
            <w:r w:rsidR="00E5587E" w:rsidRPr="00E5587E">
              <w:rPr>
                <w:color w:val="000000" w:themeColor="text1"/>
              </w:rPr>
              <w:t xml:space="preserve"> </w:t>
            </w:r>
            <w:r w:rsidRPr="00E5587E">
              <w:rPr>
                <w:color w:val="000000" w:themeColor="text1"/>
              </w:rPr>
              <w:t>35 or &gt;</w:t>
            </w:r>
            <w:r w:rsidR="00E5587E" w:rsidRPr="00E5587E">
              <w:rPr>
                <w:color w:val="000000" w:themeColor="text1"/>
              </w:rPr>
              <w:t xml:space="preserve"> </w:t>
            </w:r>
            <w:r w:rsidRPr="00E5587E">
              <w:rPr>
                <w:color w:val="000000" w:themeColor="text1"/>
              </w:rPr>
              <w:t>65, signs, symptoms or history of heart disease, no RWMA, valve disease, renal disease, T1DM, poor DM control (HbA1C &gt;</w:t>
            </w:r>
            <w:r w:rsidR="00E5587E" w:rsidRPr="00E5587E">
              <w:rPr>
                <w:color w:val="000000" w:themeColor="text1"/>
              </w:rPr>
              <w:t xml:space="preserve"> </w:t>
            </w:r>
            <w:r w:rsidRPr="00E5587E">
              <w:rPr>
                <w:color w:val="000000" w:themeColor="text1"/>
              </w:rPr>
              <w:t>12%)</w:t>
            </w:r>
          </w:p>
        </w:tc>
        <w:tc>
          <w:tcPr>
            <w:tcW w:w="3681" w:type="dxa"/>
            <w:tcBorders>
              <w:top w:val="single" w:sz="4" w:space="0" w:color="auto"/>
            </w:tcBorders>
            <w:shd w:val="clear" w:color="auto" w:fill="auto"/>
          </w:tcPr>
          <w:p w14:paraId="601AAB45" w14:textId="0B2E0079"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sym w:font="Symbol" w:char="F0AF"/>
            </w:r>
            <w:r w:rsidRPr="00E5587E">
              <w:rPr>
                <w:color w:val="000000" w:themeColor="text1"/>
              </w:rPr>
              <w:t xml:space="preserve"> GLS (-19.3</w:t>
            </w:r>
            <w:r w:rsidR="00E5587E" w:rsidRPr="00E5587E">
              <w:rPr>
                <w:color w:val="000000" w:themeColor="text1"/>
              </w:rPr>
              <w:t>%</w:t>
            </w:r>
            <w:r w:rsidR="00680B0C">
              <w:rPr>
                <w:color w:val="000000" w:themeColor="text1"/>
              </w:rPr>
              <w:t xml:space="preserve"> </w:t>
            </w:r>
            <w:r w:rsidR="00971D00" w:rsidRPr="00E5587E">
              <w:rPr>
                <w:color w:val="000000" w:themeColor="text1"/>
              </w:rPr>
              <w:t>±</w:t>
            </w:r>
            <w:r w:rsidR="00680B0C">
              <w:rPr>
                <w:color w:val="000000" w:themeColor="text1"/>
              </w:rPr>
              <w:t xml:space="preserve"> </w:t>
            </w:r>
            <w:r w:rsidRPr="00E5587E">
              <w:rPr>
                <w:color w:val="000000" w:themeColor="text1"/>
              </w:rPr>
              <w:t>3</w:t>
            </w:r>
            <w:r w:rsidR="00E5587E" w:rsidRPr="00E5587E">
              <w:rPr>
                <w:color w:val="000000" w:themeColor="text1"/>
              </w:rPr>
              <w:t>%</w:t>
            </w:r>
            <w:r w:rsidRPr="00E5587E">
              <w:rPr>
                <w:color w:val="000000" w:themeColor="text1"/>
              </w:rPr>
              <w:t xml:space="preserve"> </w:t>
            </w:r>
            <w:r w:rsidRPr="00E5587E">
              <w:rPr>
                <w:i/>
                <w:iCs/>
                <w:color w:val="000000" w:themeColor="text1"/>
              </w:rPr>
              <w:t>vs</w:t>
            </w:r>
            <w:r w:rsidRPr="00E5587E">
              <w:rPr>
                <w:color w:val="000000" w:themeColor="text1"/>
              </w:rPr>
              <w:t xml:space="preserve"> -22</w:t>
            </w:r>
            <w:r w:rsidR="00E5587E" w:rsidRPr="00E5587E">
              <w:rPr>
                <w:rFonts w:hint="eastAsia"/>
                <w:color w:val="000000" w:themeColor="text1"/>
              </w:rPr>
              <w:t>%</w:t>
            </w:r>
            <w:r w:rsidR="00971D00" w:rsidRPr="00E5587E">
              <w:rPr>
                <w:color w:val="000000" w:themeColor="text1"/>
              </w:rPr>
              <w:t xml:space="preserve"> ± </w:t>
            </w:r>
            <w:r w:rsidRPr="00E5587E">
              <w:rPr>
                <w:color w:val="000000" w:themeColor="text1"/>
              </w:rPr>
              <w:t>2%) and Global GRS (50</w:t>
            </w:r>
            <w:r w:rsidR="00E5587E" w:rsidRPr="00E5587E">
              <w:rPr>
                <w:color w:val="000000" w:themeColor="text1"/>
              </w:rPr>
              <w:t>%</w:t>
            </w:r>
            <w:r w:rsidR="00971D00" w:rsidRPr="00E5587E">
              <w:rPr>
                <w:color w:val="000000" w:themeColor="text1"/>
              </w:rPr>
              <w:t xml:space="preserve"> ± </w:t>
            </w:r>
            <w:r w:rsidRPr="00E5587E">
              <w:rPr>
                <w:color w:val="000000" w:themeColor="text1"/>
              </w:rPr>
              <w:t>16</w:t>
            </w:r>
            <w:r w:rsidR="00E5587E" w:rsidRPr="00E5587E">
              <w:rPr>
                <w:color w:val="000000" w:themeColor="text1"/>
              </w:rPr>
              <w:t>%</w:t>
            </w:r>
            <w:r w:rsidRPr="00E5587E">
              <w:rPr>
                <w:color w:val="000000" w:themeColor="text1"/>
              </w:rPr>
              <w:t xml:space="preserve"> </w:t>
            </w:r>
            <w:r w:rsidRPr="00E5587E">
              <w:rPr>
                <w:i/>
                <w:iCs/>
                <w:color w:val="000000" w:themeColor="text1"/>
              </w:rPr>
              <w:t>vs</w:t>
            </w:r>
            <w:r w:rsidRPr="00E5587E">
              <w:rPr>
                <w:color w:val="000000" w:themeColor="text1"/>
              </w:rPr>
              <w:t xml:space="preserve"> 56</w:t>
            </w:r>
            <w:r w:rsidR="00E5587E" w:rsidRPr="00E5587E">
              <w:rPr>
                <w:color w:val="000000" w:themeColor="text1"/>
              </w:rPr>
              <w:t>%</w:t>
            </w:r>
            <w:r w:rsidR="00971D00" w:rsidRPr="00E5587E">
              <w:rPr>
                <w:color w:val="000000" w:themeColor="text1"/>
              </w:rPr>
              <w:t xml:space="preserve"> ± </w:t>
            </w:r>
            <w:r w:rsidRPr="00E5587E">
              <w:rPr>
                <w:color w:val="000000" w:themeColor="text1"/>
              </w:rPr>
              <w:t xml:space="preserve">12%, </w:t>
            </w:r>
            <w:r w:rsidRPr="00E5587E">
              <w:rPr>
                <w:color w:val="000000" w:themeColor="text1"/>
                <w:vertAlign w:val="superscript"/>
              </w:rPr>
              <w:t>n</w:t>
            </w:r>
            <w:r w:rsidRPr="00E5587E">
              <w:rPr>
                <w:i/>
                <w:color w:val="000000" w:themeColor="text1"/>
              </w:rPr>
              <w:t>P</w:t>
            </w:r>
            <w:r w:rsidR="00E5587E" w:rsidRPr="00E5587E">
              <w:rPr>
                <w:i/>
                <w:color w:val="000000" w:themeColor="text1"/>
              </w:rPr>
              <w:t xml:space="preserve"> </w:t>
            </w:r>
            <w:r w:rsidRPr="00E5587E">
              <w:rPr>
                <w:color w:val="000000" w:themeColor="text1"/>
              </w:rPr>
              <w:t>&lt;</w:t>
            </w:r>
            <w:r w:rsidR="00E5587E" w:rsidRPr="00E5587E">
              <w:rPr>
                <w:color w:val="000000" w:themeColor="text1"/>
              </w:rPr>
              <w:t xml:space="preserve"> </w:t>
            </w:r>
            <w:r w:rsidRPr="00E5587E">
              <w:rPr>
                <w:color w:val="000000" w:themeColor="text1"/>
              </w:rPr>
              <w:t xml:space="preserve">0.003) in participants with diabetes </w:t>
            </w:r>
            <w:r w:rsidRPr="00E5587E">
              <w:rPr>
                <w:i/>
                <w:iCs/>
                <w:color w:val="000000" w:themeColor="text1"/>
              </w:rPr>
              <w:t>vs</w:t>
            </w:r>
            <w:r w:rsidRPr="00E5587E">
              <w:rPr>
                <w:color w:val="000000" w:themeColor="text1"/>
              </w:rPr>
              <w:t xml:space="preserve"> participants without diabetes</w:t>
            </w:r>
          </w:p>
          <w:p w14:paraId="7A2956F2" w14:textId="78A132B9"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Multivariate analysis showed DM (</w:t>
            </w:r>
            <w:r w:rsidRPr="00E5587E">
              <w:rPr>
                <w:i/>
                <w:iCs/>
                <w:color w:val="000000" w:themeColor="text1"/>
              </w:rPr>
              <w:t>t</w:t>
            </w:r>
            <w:r w:rsidR="00E5587E" w:rsidRPr="00E5587E">
              <w:rPr>
                <w:i/>
                <w:iCs/>
                <w:color w:val="000000" w:themeColor="text1"/>
              </w:rPr>
              <w:t xml:space="preserve"> </w:t>
            </w:r>
            <w:r w:rsidRPr="00E5587E">
              <w:rPr>
                <w:color w:val="000000" w:themeColor="text1"/>
              </w:rPr>
              <w:t>=</w:t>
            </w:r>
            <w:r w:rsidR="00E5587E" w:rsidRPr="00E5587E">
              <w:rPr>
                <w:color w:val="000000" w:themeColor="text1"/>
              </w:rPr>
              <w:t xml:space="preserve"> </w:t>
            </w:r>
            <w:r w:rsidRPr="00E5587E">
              <w:rPr>
                <w:color w:val="000000" w:themeColor="text1"/>
              </w:rPr>
              <w:t xml:space="preserve">3.9, </w:t>
            </w:r>
            <w:r w:rsidRPr="00E5587E">
              <w:rPr>
                <w:i/>
                <w:color w:val="000000" w:themeColor="text1"/>
              </w:rPr>
              <w:t>P</w:t>
            </w:r>
            <w:r w:rsidR="00E5587E" w:rsidRPr="00E5587E">
              <w:rPr>
                <w:i/>
                <w:color w:val="000000" w:themeColor="text1"/>
              </w:rPr>
              <w:t xml:space="preserve"> </w:t>
            </w:r>
            <w:r w:rsidRPr="00E5587E">
              <w:rPr>
                <w:color w:val="000000" w:themeColor="text1"/>
              </w:rPr>
              <w:t>&lt;</w:t>
            </w:r>
            <w:r w:rsidR="00E5587E" w:rsidRPr="00E5587E">
              <w:rPr>
                <w:color w:val="000000" w:themeColor="text1"/>
              </w:rPr>
              <w:t xml:space="preserve"> </w:t>
            </w:r>
            <w:r w:rsidRPr="00E5587E">
              <w:rPr>
                <w:color w:val="000000" w:themeColor="text1"/>
              </w:rPr>
              <w:t>0.001) and gender (</w:t>
            </w:r>
            <w:r w:rsidRPr="00E5587E">
              <w:rPr>
                <w:i/>
                <w:iCs/>
                <w:color w:val="000000" w:themeColor="text1"/>
              </w:rPr>
              <w:t>t</w:t>
            </w:r>
            <w:r w:rsidR="00E5587E" w:rsidRPr="00E5587E">
              <w:rPr>
                <w:color w:val="000000" w:themeColor="text1"/>
              </w:rPr>
              <w:t xml:space="preserve"> </w:t>
            </w:r>
            <w:r w:rsidRPr="00E5587E">
              <w:rPr>
                <w:color w:val="000000" w:themeColor="text1"/>
              </w:rPr>
              <w:t>=</w:t>
            </w:r>
            <w:r w:rsidR="00E5587E" w:rsidRPr="00E5587E">
              <w:rPr>
                <w:color w:val="000000" w:themeColor="text1"/>
              </w:rPr>
              <w:t xml:space="preserve"> </w:t>
            </w:r>
            <w:r w:rsidRPr="00E5587E">
              <w:rPr>
                <w:color w:val="000000" w:themeColor="text1"/>
              </w:rPr>
              <w:t xml:space="preserve">3.4, </w:t>
            </w:r>
            <w:r w:rsidRPr="00E5587E">
              <w:rPr>
                <w:i/>
                <w:iCs/>
                <w:color w:val="000000" w:themeColor="text1"/>
              </w:rPr>
              <w:t>P</w:t>
            </w:r>
            <w:r w:rsidRPr="00E5587E">
              <w:rPr>
                <w:color w:val="000000" w:themeColor="text1"/>
              </w:rPr>
              <w:t xml:space="preserve"> = 0.001) independent determinants of GLS, DM only independent determinant of GRS.</w:t>
            </w:r>
          </w:p>
        </w:tc>
      </w:tr>
      <w:tr w:rsidR="00AD5414" w:rsidRPr="00A30FAB" w14:paraId="4ACFC4F9" w14:textId="77777777" w:rsidTr="003A0BB7">
        <w:tc>
          <w:tcPr>
            <w:cnfStyle w:val="001000000000" w:firstRow="0" w:lastRow="0" w:firstColumn="1" w:lastColumn="0" w:oddVBand="0" w:evenVBand="0" w:oddHBand="0" w:evenHBand="0" w:firstRowFirstColumn="0" w:firstRowLastColumn="0" w:lastRowFirstColumn="0" w:lastRowLastColumn="0"/>
            <w:tcW w:w="1976" w:type="dxa"/>
            <w:shd w:val="clear" w:color="auto" w:fill="auto"/>
          </w:tcPr>
          <w:p w14:paraId="643573C0" w14:textId="607F56FA" w:rsidR="00AD5414" w:rsidRPr="00E5587E" w:rsidRDefault="00AD5414" w:rsidP="00A30FAB">
            <w:pPr>
              <w:adjustRightInd w:val="0"/>
              <w:snapToGrid w:val="0"/>
              <w:rPr>
                <w:b w:val="0"/>
                <w:bCs w:val="0"/>
                <w:color w:val="000000" w:themeColor="text1"/>
              </w:rPr>
            </w:pPr>
            <w:r w:rsidRPr="00E5587E">
              <w:rPr>
                <w:b w:val="0"/>
                <w:bCs w:val="0"/>
                <w:color w:val="000000" w:themeColor="text1"/>
              </w:rPr>
              <w:t xml:space="preserve">Ng </w:t>
            </w:r>
            <w:r w:rsidRPr="00E5587E">
              <w:rPr>
                <w:b w:val="0"/>
                <w:bCs w:val="0"/>
                <w:i/>
                <w:iCs/>
                <w:color w:val="000000" w:themeColor="text1"/>
              </w:rPr>
              <w:t>et al</w:t>
            </w:r>
            <w:r w:rsidR="00E5587E" w:rsidRPr="00E5587E">
              <w:rPr>
                <w:b w:val="0"/>
                <w:bCs w:val="0"/>
                <w:color w:val="000000" w:themeColor="text1"/>
                <w:vertAlign w:val="superscript"/>
              </w:rPr>
              <w:t>[91]</w:t>
            </w:r>
            <w:r w:rsidR="00E5587E" w:rsidRPr="00E5587E">
              <w:rPr>
                <w:b w:val="0"/>
                <w:bCs w:val="0"/>
                <w:color w:val="000000" w:themeColor="text1"/>
              </w:rPr>
              <w:t>,</w:t>
            </w:r>
            <w:r w:rsidRPr="00E5587E">
              <w:rPr>
                <w:b w:val="0"/>
                <w:bCs w:val="0"/>
                <w:color w:val="000000" w:themeColor="text1"/>
              </w:rPr>
              <w:t xml:space="preserve"> 2012</w:t>
            </w:r>
          </w:p>
          <w:p w14:paraId="71A67E30" w14:textId="77777777" w:rsidR="00AD5414" w:rsidRPr="00E5587E" w:rsidRDefault="00AD5414" w:rsidP="00A30FAB">
            <w:pPr>
              <w:adjustRightInd w:val="0"/>
              <w:snapToGrid w:val="0"/>
              <w:rPr>
                <w:b w:val="0"/>
                <w:bCs w:val="0"/>
                <w:color w:val="000000" w:themeColor="text1"/>
              </w:rPr>
            </w:pPr>
            <w:r w:rsidRPr="00E5587E">
              <w:rPr>
                <w:b w:val="0"/>
                <w:bCs w:val="0"/>
                <w:color w:val="000000" w:themeColor="text1"/>
              </w:rPr>
              <w:t>MRI</w:t>
            </w:r>
          </w:p>
        </w:tc>
        <w:tc>
          <w:tcPr>
            <w:tcW w:w="2135" w:type="dxa"/>
            <w:shd w:val="clear" w:color="auto" w:fill="auto"/>
          </w:tcPr>
          <w:p w14:paraId="1B43F7CB" w14:textId="1C60CC57"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i/>
                <w:iCs/>
                <w:color w:val="000000" w:themeColor="text1"/>
              </w:rPr>
              <w:t>n</w:t>
            </w:r>
            <w:r w:rsidRPr="00E5587E">
              <w:rPr>
                <w:color w:val="000000" w:themeColor="text1"/>
              </w:rPr>
              <w:t xml:space="preserve"> =</w:t>
            </w:r>
            <w:r w:rsidR="00E5587E">
              <w:rPr>
                <w:color w:val="000000" w:themeColor="text1"/>
              </w:rPr>
              <w:t xml:space="preserve"> </w:t>
            </w:r>
            <w:r w:rsidRPr="00E5587E">
              <w:rPr>
                <w:color w:val="000000" w:themeColor="text1"/>
              </w:rPr>
              <w:t>69</w:t>
            </w:r>
          </w:p>
          <w:p w14:paraId="1985E012" w14:textId="20BBDDE3"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DMs (</w:t>
            </w:r>
            <w:r w:rsidRPr="00E5587E">
              <w:rPr>
                <w:i/>
                <w:iCs/>
                <w:color w:val="000000" w:themeColor="text1"/>
              </w:rPr>
              <w:t>n</w:t>
            </w:r>
            <w:r w:rsidRPr="00E5587E">
              <w:rPr>
                <w:color w:val="000000" w:themeColor="text1"/>
              </w:rPr>
              <w:t xml:space="preserve"> = 50, 35 T1DM) Mean age 51</w:t>
            </w:r>
            <w:r w:rsidR="00680B0C">
              <w:rPr>
                <w:color w:val="000000" w:themeColor="text1"/>
              </w:rPr>
              <w:t xml:space="preserve"> </w:t>
            </w:r>
            <w:r w:rsidR="00971D00" w:rsidRPr="00E5587E">
              <w:rPr>
                <w:color w:val="000000" w:themeColor="text1"/>
              </w:rPr>
              <w:t>±</w:t>
            </w:r>
            <w:r w:rsidR="00680B0C">
              <w:rPr>
                <w:color w:val="000000" w:themeColor="text1"/>
              </w:rPr>
              <w:t xml:space="preserve"> </w:t>
            </w:r>
            <w:r w:rsidRPr="00E5587E">
              <w:rPr>
                <w:color w:val="000000" w:themeColor="text1"/>
              </w:rPr>
              <w:t xml:space="preserve">10 </w:t>
            </w:r>
            <w:r w:rsidR="00971D00" w:rsidRPr="00E5587E">
              <w:rPr>
                <w:color w:val="000000" w:themeColor="text1"/>
              </w:rPr>
              <w:t>yr</w:t>
            </w:r>
            <w:r w:rsidRPr="00E5587E">
              <w:rPr>
                <w:color w:val="000000" w:themeColor="text1"/>
              </w:rPr>
              <w:t>, 54% males. BMI 26.3</w:t>
            </w:r>
            <w:r w:rsidR="00680B0C">
              <w:rPr>
                <w:color w:val="000000" w:themeColor="text1"/>
              </w:rPr>
              <w:t xml:space="preserve"> </w:t>
            </w:r>
            <w:r w:rsidR="00971D00" w:rsidRPr="00E5587E">
              <w:rPr>
                <w:color w:val="000000" w:themeColor="text1"/>
              </w:rPr>
              <w:t>±</w:t>
            </w:r>
            <w:r w:rsidR="00680B0C">
              <w:rPr>
                <w:color w:val="000000" w:themeColor="text1"/>
              </w:rPr>
              <w:t xml:space="preserve"> </w:t>
            </w:r>
            <w:r w:rsidRPr="00E5587E">
              <w:rPr>
                <w:color w:val="000000" w:themeColor="text1"/>
              </w:rPr>
              <w:t>3.7</w:t>
            </w:r>
          </w:p>
          <w:p w14:paraId="3FF1C44B" w14:textId="3448F7A4"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Controls (</w:t>
            </w:r>
            <w:r w:rsidRPr="00E5587E">
              <w:rPr>
                <w:i/>
                <w:iCs/>
                <w:color w:val="000000" w:themeColor="text1"/>
              </w:rPr>
              <w:t>n</w:t>
            </w:r>
            <w:r w:rsidRPr="00E5587E">
              <w:rPr>
                <w:color w:val="000000" w:themeColor="text1"/>
              </w:rPr>
              <w:t xml:space="preserve"> = 19), matched for age (45</w:t>
            </w:r>
            <w:r w:rsidR="00680B0C">
              <w:rPr>
                <w:color w:val="000000" w:themeColor="text1"/>
              </w:rPr>
              <w:t xml:space="preserve"> </w:t>
            </w:r>
            <w:r w:rsidR="00971D00" w:rsidRPr="00E5587E">
              <w:rPr>
                <w:color w:val="000000" w:themeColor="text1"/>
              </w:rPr>
              <w:t>±</w:t>
            </w:r>
            <w:r w:rsidR="00680B0C">
              <w:rPr>
                <w:color w:val="000000" w:themeColor="text1"/>
              </w:rPr>
              <w:t xml:space="preserve"> </w:t>
            </w:r>
            <w:r w:rsidRPr="00E5587E">
              <w:rPr>
                <w:color w:val="000000" w:themeColor="text1"/>
              </w:rPr>
              <w:t>15), sex (63.2% males) an BMI 26.1</w:t>
            </w:r>
            <w:r w:rsidR="00680B0C">
              <w:rPr>
                <w:color w:val="000000" w:themeColor="text1"/>
              </w:rPr>
              <w:t xml:space="preserve"> </w:t>
            </w:r>
            <w:r w:rsidR="00971D00" w:rsidRPr="00E5587E">
              <w:rPr>
                <w:color w:val="000000" w:themeColor="text1"/>
              </w:rPr>
              <w:t>±</w:t>
            </w:r>
            <w:r w:rsidR="00680B0C">
              <w:rPr>
                <w:color w:val="000000" w:themeColor="text1"/>
              </w:rPr>
              <w:t xml:space="preserve"> </w:t>
            </w:r>
            <w:r w:rsidRPr="00E5587E">
              <w:rPr>
                <w:color w:val="000000" w:themeColor="text1"/>
              </w:rPr>
              <w:t>4.4</w:t>
            </w:r>
          </w:p>
        </w:tc>
        <w:tc>
          <w:tcPr>
            <w:tcW w:w="2268" w:type="dxa"/>
            <w:shd w:val="clear" w:color="auto" w:fill="auto"/>
          </w:tcPr>
          <w:p w14:paraId="39043C1A" w14:textId="154541E1"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Age &lt; 18</w:t>
            </w:r>
            <w:r w:rsidR="00E5587E">
              <w:rPr>
                <w:color w:val="000000" w:themeColor="text1"/>
              </w:rPr>
              <w:t xml:space="preserve"> </w:t>
            </w:r>
            <w:r w:rsidR="00971D00" w:rsidRPr="00E5587E">
              <w:rPr>
                <w:color w:val="000000" w:themeColor="text1"/>
              </w:rPr>
              <w:t>yr</w:t>
            </w:r>
            <w:r w:rsidRPr="00E5587E">
              <w:rPr>
                <w:color w:val="000000" w:themeColor="text1"/>
              </w:rPr>
              <w:t>, arrhythmia, CAD, MI, RWMA, segmental LGE, EF &lt; 50%, valve disease</w:t>
            </w:r>
          </w:p>
        </w:tc>
        <w:tc>
          <w:tcPr>
            <w:tcW w:w="3681" w:type="dxa"/>
            <w:shd w:val="clear" w:color="auto" w:fill="auto"/>
          </w:tcPr>
          <w:p w14:paraId="72827687" w14:textId="2BCB437A"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sym w:font="Symbol" w:char="F0AF"/>
            </w:r>
            <w:r w:rsidRPr="00E5587E">
              <w:rPr>
                <w:color w:val="000000" w:themeColor="text1"/>
              </w:rPr>
              <w:t xml:space="preserve">GLS DM </w:t>
            </w:r>
            <w:r w:rsidRPr="00E5587E">
              <w:rPr>
                <w:i/>
                <w:iCs/>
                <w:color w:val="000000" w:themeColor="text1"/>
              </w:rPr>
              <w:t>vs</w:t>
            </w:r>
            <w:r w:rsidRPr="00E5587E">
              <w:rPr>
                <w:color w:val="000000" w:themeColor="text1"/>
              </w:rPr>
              <w:t xml:space="preserve"> controls (-16.1</w:t>
            </w:r>
            <w:r w:rsidR="00E5587E">
              <w:rPr>
                <w:color w:val="000000" w:themeColor="text1"/>
              </w:rPr>
              <w:t>%</w:t>
            </w:r>
            <w:r w:rsidR="00971D00" w:rsidRPr="00E5587E">
              <w:rPr>
                <w:color w:val="000000" w:themeColor="text1"/>
              </w:rPr>
              <w:t xml:space="preserve"> ± </w:t>
            </w:r>
            <w:r w:rsidRPr="00E5587E">
              <w:rPr>
                <w:color w:val="000000" w:themeColor="text1"/>
              </w:rPr>
              <w:t>1.4</w:t>
            </w:r>
            <w:r w:rsidR="00E5587E">
              <w:rPr>
                <w:color w:val="000000" w:themeColor="text1"/>
              </w:rPr>
              <w:t>%</w:t>
            </w:r>
            <w:r w:rsidRPr="00E5587E">
              <w:rPr>
                <w:color w:val="000000" w:themeColor="text1"/>
              </w:rPr>
              <w:t xml:space="preserve"> </w:t>
            </w:r>
            <w:r w:rsidRPr="00E5587E">
              <w:rPr>
                <w:i/>
                <w:iCs/>
                <w:color w:val="000000" w:themeColor="text1"/>
              </w:rPr>
              <w:t>vs</w:t>
            </w:r>
            <w:r w:rsidR="00E5587E" w:rsidRPr="00E5587E">
              <w:rPr>
                <w:i/>
                <w:iCs/>
                <w:color w:val="000000" w:themeColor="text1"/>
              </w:rPr>
              <w:t xml:space="preserve"> </w:t>
            </w:r>
            <w:r w:rsidRPr="00E5587E">
              <w:rPr>
                <w:color w:val="000000" w:themeColor="text1"/>
              </w:rPr>
              <w:t>20.2</w:t>
            </w:r>
            <w:r w:rsidR="00E5587E">
              <w:rPr>
                <w:color w:val="000000" w:themeColor="text1"/>
              </w:rPr>
              <w:t>%</w:t>
            </w:r>
            <w:r w:rsidR="00971D00" w:rsidRPr="00E5587E">
              <w:rPr>
                <w:color w:val="000000" w:themeColor="text1"/>
              </w:rPr>
              <w:t xml:space="preserve"> ± </w:t>
            </w:r>
            <w:r w:rsidRPr="00E5587E">
              <w:rPr>
                <w:color w:val="000000" w:themeColor="text1"/>
              </w:rPr>
              <w:t xml:space="preserve">1.0% </w:t>
            </w:r>
            <w:r w:rsidRPr="00E5587E">
              <w:rPr>
                <w:color w:val="000000" w:themeColor="text1"/>
                <w:vertAlign w:val="superscript"/>
              </w:rPr>
              <w:t>p</w:t>
            </w:r>
            <w:r w:rsidRPr="00E5587E">
              <w:rPr>
                <w:i/>
                <w:iCs/>
                <w:color w:val="000000" w:themeColor="text1"/>
              </w:rPr>
              <w:t>P</w:t>
            </w:r>
            <w:r w:rsidR="00E5587E">
              <w:rPr>
                <w:color w:val="000000" w:themeColor="text1"/>
              </w:rPr>
              <w:t xml:space="preserve"> </w:t>
            </w:r>
            <w:r w:rsidRPr="00E5587E">
              <w:rPr>
                <w:color w:val="000000" w:themeColor="text1"/>
              </w:rPr>
              <w:t>&lt;</w:t>
            </w:r>
            <w:r w:rsidR="00E5587E">
              <w:rPr>
                <w:color w:val="000000" w:themeColor="text1"/>
              </w:rPr>
              <w:t xml:space="preserve"> </w:t>
            </w:r>
            <w:r w:rsidRPr="00E5587E">
              <w:rPr>
                <w:color w:val="000000" w:themeColor="text1"/>
              </w:rPr>
              <w:t>0.001)</w:t>
            </w:r>
          </w:p>
          <w:p w14:paraId="120A0505" w14:textId="77777777"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sym w:font="Symbol" w:char="F0AF"/>
            </w:r>
            <w:r w:rsidRPr="00E5587E">
              <w:rPr>
                <w:color w:val="000000" w:themeColor="text1"/>
              </w:rPr>
              <w:t xml:space="preserve">GLS DM T2DM </w:t>
            </w:r>
            <w:r w:rsidRPr="005B3F19">
              <w:rPr>
                <w:i/>
                <w:iCs/>
                <w:color w:val="000000" w:themeColor="text1"/>
              </w:rPr>
              <w:t>vs</w:t>
            </w:r>
            <w:r w:rsidRPr="00E5587E">
              <w:rPr>
                <w:color w:val="000000" w:themeColor="text1"/>
              </w:rPr>
              <w:t xml:space="preserve"> T1DM</w:t>
            </w:r>
          </w:p>
          <w:p w14:paraId="256F3A8E" w14:textId="720CF5F7"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(-15.3</w:t>
            </w:r>
            <w:r w:rsidR="00E5587E">
              <w:rPr>
                <w:color w:val="000000" w:themeColor="text1"/>
              </w:rPr>
              <w:t>%</w:t>
            </w:r>
            <w:r w:rsidR="00680B0C">
              <w:rPr>
                <w:color w:val="000000" w:themeColor="text1"/>
              </w:rPr>
              <w:t xml:space="preserve"> </w:t>
            </w:r>
            <w:r w:rsidR="00971D00" w:rsidRPr="00E5587E">
              <w:rPr>
                <w:color w:val="000000" w:themeColor="text1"/>
              </w:rPr>
              <w:t xml:space="preserve">± </w:t>
            </w:r>
            <w:r w:rsidRPr="00E5587E">
              <w:rPr>
                <w:color w:val="000000" w:themeColor="text1"/>
              </w:rPr>
              <w:t>1.2</w:t>
            </w:r>
            <w:r w:rsidR="00E5587E">
              <w:rPr>
                <w:color w:val="000000" w:themeColor="text1"/>
              </w:rPr>
              <w:t>%</w:t>
            </w:r>
            <w:r w:rsidRPr="00E5587E">
              <w:rPr>
                <w:color w:val="000000" w:themeColor="text1"/>
              </w:rPr>
              <w:t xml:space="preserve"> </w:t>
            </w:r>
            <w:r w:rsidRPr="00E5587E">
              <w:rPr>
                <w:i/>
                <w:iCs/>
                <w:color w:val="000000" w:themeColor="text1"/>
              </w:rPr>
              <w:t>vs</w:t>
            </w:r>
            <w:r w:rsidRPr="00E5587E">
              <w:rPr>
                <w:color w:val="000000" w:themeColor="text1"/>
              </w:rPr>
              <w:t xml:space="preserve"> 16.4</w:t>
            </w:r>
            <w:r w:rsidR="00E5587E">
              <w:rPr>
                <w:color w:val="000000" w:themeColor="text1"/>
              </w:rPr>
              <w:t>%</w:t>
            </w:r>
            <w:r w:rsidR="00680B0C">
              <w:rPr>
                <w:color w:val="000000" w:themeColor="text1"/>
              </w:rPr>
              <w:t xml:space="preserve"> </w:t>
            </w:r>
            <w:r w:rsidR="00971D00" w:rsidRPr="00E5587E">
              <w:rPr>
                <w:color w:val="000000" w:themeColor="text1"/>
              </w:rPr>
              <w:t>±</w:t>
            </w:r>
            <w:r w:rsidR="00680B0C">
              <w:rPr>
                <w:color w:val="000000" w:themeColor="text1"/>
              </w:rPr>
              <w:t xml:space="preserve"> </w:t>
            </w:r>
            <w:r w:rsidRPr="00E5587E">
              <w:rPr>
                <w:color w:val="000000" w:themeColor="text1"/>
              </w:rPr>
              <w:t xml:space="preserve">1.4%, </w:t>
            </w:r>
            <w:r w:rsidRPr="00E5587E">
              <w:rPr>
                <w:color w:val="000000" w:themeColor="text1"/>
                <w:vertAlign w:val="superscript"/>
              </w:rPr>
              <w:t>q</w:t>
            </w:r>
            <w:r w:rsidRPr="00E5587E">
              <w:rPr>
                <w:i/>
                <w:color w:val="000000" w:themeColor="text1"/>
              </w:rPr>
              <w:t>P</w:t>
            </w:r>
            <w:r w:rsidR="00E5587E">
              <w:rPr>
                <w:i/>
                <w:color w:val="000000" w:themeColor="text1"/>
              </w:rPr>
              <w:t xml:space="preserve"> </w:t>
            </w:r>
            <w:r w:rsidRPr="00E5587E">
              <w:rPr>
                <w:color w:val="000000" w:themeColor="text1"/>
              </w:rPr>
              <w:t>=</w:t>
            </w:r>
            <w:r w:rsidR="00E5587E">
              <w:rPr>
                <w:color w:val="000000" w:themeColor="text1"/>
              </w:rPr>
              <w:t xml:space="preserve"> </w:t>
            </w:r>
            <w:r w:rsidRPr="00E5587E">
              <w:rPr>
                <w:color w:val="000000" w:themeColor="text1"/>
              </w:rPr>
              <w:t>0.009)</w:t>
            </w:r>
          </w:p>
          <w:p w14:paraId="372613BB" w14:textId="77777777"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AD5414" w:rsidRPr="00A30FAB" w14:paraId="082105E6" w14:textId="77777777" w:rsidTr="003A0BB7">
        <w:tc>
          <w:tcPr>
            <w:cnfStyle w:val="001000000000" w:firstRow="0" w:lastRow="0" w:firstColumn="1" w:lastColumn="0" w:oddVBand="0" w:evenVBand="0" w:oddHBand="0" w:evenHBand="0" w:firstRowFirstColumn="0" w:firstRowLastColumn="0" w:lastRowFirstColumn="0" w:lastRowLastColumn="0"/>
            <w:tcW w:w="1976" w:type="dxa"/>
            <w:shd w:val="clear" w:color="auto" w:fill="auto"/>
          </w:tcPr>
          <w:p w14:paraId="1FC46EB5" w14:textId="75E3B18C" w:rsidR="00AD5414" w:rsidRPr="00E5587E" w:rsidRDefault="00AD5414" w:rsidP="00A30FAB">
            <w:pPr>
              <w:adjustRightInd w:val="0"/>
              <w:snapToGrid w:val="0"/>
              <w:rPr>
                <w:b w:val="0"/>
                <w:bCs w:val="0"/>
                <w:color w:val="000000" w:themeColor="text1"/>
              </w:rPr>
            </w:pPr>
            <w:r w:rsidRPr="00E5587E">
              <w:rPr>
                <w:b w:val="0"/>
                <w:bCs w:val="0"/>
                <w:color w:val="000000" w:themeColor="text1"/>
              </w:rPr>
              <w:t xml:space="preserve">Khan </w:t>
            </w:r>
            <w:r w:rsidRPr="00E5587E">
              <w:rPr>
                <w:b w:val="0"/>
                <w:bCs w:val="0"/>
                <w:i/>
                <w:iCs/>
                <w:color w:val="000000" w:themeColor="text1"/>
              </w:rPr>
              <w:t>et al</w:t>
            </w:r>
            <w:r w:rsidR="00E5587E" w:rsidRPr="00E5587E">
              <w:rPr>
                <w:b w:val="0"/>
                <w:bCs w:val="0"/>
                <w:color w:val="000000" w:themeColor="text1"/>
                <w:vertAlign w:val="superscript"/>
              </w:rPr>
              <w:t>[11]</w:t>
            </w:r>
            <w:r w:rsidR="00E5587E">
              <w:rPr>
                <w:b w:val="0"/>
                <w:bCs w:val="0"/>
                <w:color w:val="000000" w:themeColor="text1"/>
              </w:rPr>
              <w:t>,</w:t>
            </w:r>
            <w:r w:rsidRPr="00E5587E">
              <w:rPr>
                <w:b w:val="0"/>
                <w:bCs w:val="0"/>
                <w:color w:val="000000" w:themeColor="text1"/>
              </w:rPr>
              <w:t xml:space="preserve"> 2014</w:t>
            </w:r>
          </w:p>
          <w:p w14:paraId="4DD7DEF5" w14:textId="77777777" w:rsidR="00AD5414" w:rsidRPr="00E5587E" w:rsidRDefault="00AD5414" w:rsidP="00A30FAB">
            <w:pPr>
              <w:adjustRightInd w:val="0"/>
              <w:snapToGrid w:val="0"/>
              <w:rPr>
                <w:b w:val="0"/>
                <w:bCs w:val="0"/>
                <w:color w:val="000000" w:themeColor="text1"/>
              </w:rPr>
            </w:pPr>
            <w:r w:rsidRPr="00E5587E">
              <w:rPr>
                <w:b w:val="0"/>
                <w:bCs w:val="0"/>
                <w:color w:val="000000" w:themeColor="text1"/>
              </w:rPr>
              <w:t>MRI</w:t>
            </w:r>
          </w:p>
        </w:tc>
        <w:tc>
          <w:tcPr>
            <w:tcW w:w="2135" w:type="dxa"/>
            <w:shd w:val="clear" w:color="auto" w:fill="auto"/>
          </w:tcPr>
          <w:p w14:paraId="6D914899" w14:textId="4E45F451"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 xml:space="preserve">T2D </w:t>
            </w:r>
            <w:r w:rsidRPr="00E5587E">
              <w:rPr>
                <w:i/>
                <w:iCs/>
                <w:color w:val="000000" w:themeColor="text1"/>
              </w:rPr>
              <w:t>n</w:t>
            </w:r>
            <w:r w:rsidRPr="00E5587E">
              <w:rPr>
                <w:color w:val="000000" w:themeColor="text1"/>
              </w:rPr>
              <w:t xml:space="preserve"> = 20, Mean age 31.8</w:t>
            </w:r>
            <w:r w:rsidR="00971D00" w:rsidRPr="00E5587E">
              <w:rPr>
                <w:color w:val="000000" w:themeColor="text1"/>
              </w:rPr>
              <w:t xml:space="preserve"> ± </w:t>
            </w:r>
            <w:r w:rsidRPr="00E5587E">
              <w:rPr>
                <w:color w:val="000000" w:themeColor="text1"/>
              </w:rPr>
              <w:t>6.6, BMI 33.9</w:t>
            </w:r>
            <w:r w:rsidR="00680B0C">
              <w:rPr>
                <w:color w:val="000000" w:themeColor="text1"/>
              </w:rPr>
              <w:t xml:space="preserve"> </w:t>
            </w:r>
            <w:r w:rsidR="00971D00" w:rsidRPr="00E5587E">
              <w:rPr>
                <w:color w:val="000000" w:themeColor="text1"/>
              </w:rPr>
              <w:t xml:space="preserve">± </w:t>
            </w:r>
            <w:r w:rsidRPr="00E5587E">
              <w:rPr>
                <w:color w:val="000000" w:themeColor="text1"/>
              </w:rPr>
              <w:t>5.8</w:t>
            </w:r>
            <w:r w:rsidR="00F86F8C">
              <w:rPr>
                <w:color w:val="000000" w:themeColor="text1"/>
              </w:rPr>
              <w:t xml:space="preserve"> </w:t>
            </w:r>
            <w:r w:rsidRPr="00E5587E">
              <w:rPr>
                <w:color w:val="000000" w:themeColor="text1"/>
              </w:rPr>
              <w:t>kg/m</w:t>
            </w:r>
            <w:r w:rsidRPr="00E5587E">
              <w:rPr>
                <w:color w:val="000000" w:themeColor="text1"/>
                <w:vertAlign w:val="superscript"/>
              </w:rPr>
              <w:t>2</w:t>
            </w:r>
          </w:p>
          <w:p w14:paraId="799B0F7D" w14:textId="6C0ABC7F"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 xml:space="preserve">Lean Controls: </w:t>
            </w:r>
            <w:r w:rsidRPr="00E5587E">
              <w:rPr>
                <w:i/>
                <w:iCs/>
                <w:color w:val="000000" w:themeColor="text1"/>
              </w:rPr>
              <w:t>n</w:t>
            </w:r>
            <w:r w:rsidRPr="00E5587E">
              <w:rPr>
                <w:color w:val="000000" w:themeColor="text1"/>
              </w:rPr>
              <w:t xml:space="preserve"> = 10, Mean age 30.9</w:t>
            </w:r>
            <w:r w:rsidR="00680B0C">
              <w:rPr>
                <w:color w:val="000000" w:themeColor="text1"/>
              </w:rPr>
              <w:t xml:space="preserve"> </w:t>
            </w:r>
            <w:r w:rsidR="00971D00" w:rsidRPr="00E5587E">
              <w:rPr>
                <w:color w:val="000000" w:themeColor="text1"/>
              </w:rPr>
              <w:t xml:space="preserve">± </w:t>
            </w:r>
            <w:r w:rsidRPr="00E5587E">
              <w:rPr>
                <w:color w:val="000000" w:themeColor="text1"/>
              </w:rPr>
              <w:t>5.6, Mean BMI 33.4</w:t>
            </w:r>
            <w:r w:rsidR="00680B0C">
              <w:rPr>
                <w:color w:val="000000" w:themeColor="text1"/>
              </w:rPr>
              <w:t xml:space="preserve"> </w:t>
            </w:r>
            <w:r w:rsidR="00971D00" w:rsidRPr="00E5587E">
              <w:rPr>
                <w:color w:val="000000" w:themeColor="text1"/>
              </w:rPr>
              <w:t>±</w:t>
            </w:r>
            <w:r w:rsidR="00680B0C">
              <w:rPr>
                <w:color w:val="000000" w:themeColor="text1"/>
              </w:rPr>
              <w:t xml:space="preserve"> </w:t>
            </w:r>
            <w:r w:rsidRPr="00E5587E">
              <w:rPr>
                <w:color w:val="000000" w:themeColor="text1"/>
              </w:rPr>
              <w:t xml:space="preserve">2.4, 60% males. </w:t>
            </w:r>
          </w:p>
          <w:p w14:paraId="4CAE1CA1" w14:textId="3BD0233C"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 xml:space="preserve">Obese </w:t>
            </w:r>
            <w:r w:rsidR="00F86F8C">
              <w:rPr>
                <w:color w:val="000000" w:themeColor="text1"/>
              </w:rPr>
              <w:t>c</w:t>
            </w:r>
            <w:r w:rsidRPr="00E5587E">
              <w:rPr>
                <w:color w:val="000000" w:themeColor="text1"/>
              </w:rPr>
              <w:t xml:space="preserve">ontrols: </w:t>
            </w:r>
            <w:r w:rsidRPr="00F86F8C">
              <w:rPr>
                <w:i/>
                <w:iCs/>
                <w:color w:val="000000" w:themeColor="text1"/>
              </w:rPr>
              <w:t>n</w:t>
            </w:r>
            <w:r w:rsidRPr="00E5587E">
              <w:rPr>
                <w:color w:val="000000" w:themeColor="text1"/>
              </w:rPr>
              <w:t xml:space="preserve"> = 10, Mean age 30.0</w:t>
            </w:r>
            <w:r w:rsidR="00680B0C">
              <w:rPr>
                <w:color w:val="000000" w:themeColor="text1"/>
              </w:rPr>
              <w:t xml:space="preserve"> </w:t>
            </w:r>
            <w:r w:rsidR="00971D00" w:rsidRPr="00E5587E">
              <w:rPr>
                <w:color w:val="000000" w:themeColor="text1"/>
              </w:rPr>
              <w:t xml:space="preserve">± </w:t>
            </w:r>
            <w:r w:rsidRPr="00E5587E">
              <w:rPr>
                <w:color w:val="000000" w:themeColor="text1"/>
              </w:rPr>
              <w:t>6.7, Mean BMI 21.9</w:t>
            </w:r>
            <w:r w:rsidR="00971D00" w:rsidRPr="00E5587E">
              <w:rPr>
                <w:color w:val="000000" w:themeColor="text1"/>
              </w:rPr>
              <w:t xml:space="preserve"> ± </w:t>
            </w:r>
            <w:r w:rsidRPr="00E5587E">
              <w:rPr>
                <w:color w:val="000000" w:themeColor="text1"/>
              </w:rPr>
              <w:t>1.7, 50% males</w:t>
            </w:r>
          </w:p>
        </w:tc>
        <w:tc>
          <w:tcPr>
            <w:tcW w:w="2268" w:type="dxa"/>
            <w:shd w:val="clear" w:color="auto" w:fill="auto"/>
          </w:tcPr>
          <w:p w14:paraId="4E8D2DD2" w14:textId="1EBEFC6F"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Weight &gt;</w:t>
            </w:r>
            <w:r w:rsidR="00E5587E">
              <w:rPr>
                <w:color w:val="000000" w:themeColor="text1"/>
              </w:rPr>
              <w:t xml:space="preserve"> </w:t>
            </w:r>
            <w:r w:rsidRPr="00E5587E">
              <w:rPr>
                <w:color w:val="000000" w:themeColor="text1"/>
              </w:rPr>
              <w:t>150</w:t>
            </w:r>
            <w:r w:rsidR="00E5587E">
              <w:rPr>
                <w:color w:val="000000" w:themeColor="text1"/>
              </w:rPr>
              <w:t xml:space="preserve"> </w:t>
            </w:r>
            <w:r w:rsidRPr="00E5587E">
              <w:rPr>
                <w:color w:val="000000" w:themeColor="text1"/>
              </w:rPr>
              <w:t>kg, contraindications to MRI. In diabetic group BMI &gt;</w:t>
            </w:r>
            <w:r w:rsidR="00E5587E">
              <w:rPr>
                <w:color w:val="000000" w:themeColor="text1"/>
              </w:rPr>
              <w:t xml:space="preserve"> </w:t>
            </w:r>
            <w:r w:rsidRPr="00E5587E">
              <w:rPr>
                <w:color w:val="000000" w:themeColor="text1"/>
              </w:rPr>
              <w:t>30</w:t>
            </w:r>
            <w:r w:rsidR="00E5587E">
              <w:rPr>
                <w:color w:val="000000" w:themeColor="text1"/>
              </w:rPr>
              <w:t xml:space="preserve"> </w:t>
            </w:r>
            <w:r w:rsidRPr="00E5587E">
              <w:rPr>
                <w:color w:val="000000" w:themeColor="text1"/>
              </w:rPr>
              <w:t>(&gt;</w:t>
            </w:r>
            <w:r w:rsidR="00E5587E">
              <w:rPr>
                <w:color w:val="000000" w:themeColor="text1"/>
              </w:rPr>
              <w:t xml:space="preserve"> </w:t>
            </w:r>
            <w:r w:rsidRPr="00E5587E">
              <w:rPr>
                <w:color w:val="000000" w:themeColor="text1"/>
              </w:rPr>
              <w:t>27.5 in South Asians)</w:t>
            </w:r>
          </w:p>
        </w:tc>
        <w:tc>
          <w:tcPr>
            <w:tcW w:w="3681" w:type="dxa"/>
            <w:shd w:val="clear" w:color="auto" w:fill="auto"/>
          </w:tcPr>
          <w:p w14:paraId="1923A942" w14:textId="647574C0"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sym w:font="Symbol" w:char="F0AF"/>
            </w:r>
            <w:r w:rsidRPr="00E5587E">
              <w:rPr>
                <w:color w:val="000000" w:themeColor="text1"/>
              </w:rPr>
              <w:t xml:space="preserve">PEDSR in DMs </w:t>
            </w:r>
            <w:r w:rsidRPr="00E5587E">
              <w:rPr>
                <w:i/>
                <w:iCs/>
                <w:color w:val="000000" w:themeColor="text1"/>
              </w:rPr>
              <w:t>vs</w:t>
            </w:r>
            <w:r w:rsidRPr="00E5587E">
              <w:rPr>
                <w:color w:val="000000" w:themeColor="text1"/>
              </w:rPr>
              <w:t xml:space="preserve"> Lean </w:t>
            </w:r>
            <w:r w:rsidR="00E5587E">
              <w:rPr>
                <w:color w:val="000000" w:themeColor="text1"/>
              </w:rPr>
              <w:t>c</w:t>
            </w:r>
            <w:r w:rsidRPr="00E5587E">
              <w:rPr>
                <w:color w:val="000000" w:themeColor="text1"/>
              </w:rPr>
              <w:t xml:space="preserve">ontrols </w:t>
            </w:r>
            <w:r w:rsidRPr="00E5587E">
              <w:rPr>
                <w:i/>
                <w:iCs/>
                <w:color w:val="000000" w:themeColor="text1"/>
              </w:rPr>
              <w:t>vs</w:t>
            </w:r>
            <w:r w:rsidRPr="00E5587E">
              <w:rPr>
                <w:color w:val="000000" w:themeColor="text1"/>
              </w:rPr>
              <w:t xml:space="preserve"> </w:t>
            </w:r>
            <w:r w:rsidR="00E5587E">
              <w:rPr>
                <w:color w:val="000000" w:themeColor="text1"/>
              </w:rPr>
              <w:t>o</w:t>
            </w:r>
            <w:r w:rsidRPr="00E5587E">
              <w:rPr>
                <w:color w:val="000000" w:themeColor="text1"/>
              </w:rPr>
              <w:t xml:space="preserve">bese </w:t>
            </w:r>
            <w:r w:rsidR="00E5587E">
              <w:rPr>
                <w:color w:val="000000" w:themeColor="text1"/>
              </w:rPr>
              <w:t>c</w:t>
            </w:r>
            <w:r w:rsidRPr="00E5587E">
              <w:rPr>
                <w:color w:val="000000" w:themeColor="text1"/>
              </w:rPr>
              <w:t>ontrols (1.51</w:t>
            </w:r>
            <w:r w:rsidR="00971D00" w:rsidRPr="00E5587E">
              <w:rPr>
                <w:color w:val="000000" w:themeColor="text1"/>
              </w:rPr>
              <w:t xml:space="preserve"> ± </w:t>
            </w:r>
            <w:r w:rsidRPr="00E5587E">
              <w:rPr>
                <w:color w:val="000000" w:themeColor="text1"/>
              </w:rPr>
              <w:t xml:space="preserve">0.24 </w:t>
            </w:r>
            <w:r w:rsidRPr="00E5587E">
              <w:rPr>
                <w:i/>
                <w:iCs/>
                <w:color w:val="000000" w:themeColor="text1"/>
              </w:rPr>
              <w:t>vs</w:t>
            </w:r>
            <w:r w:rsidRPr="00E5587E">
              <w:rPr>
                <w:color w:val="000000" w:themeColor="text1"/>
              </w:rPr>
              <w:t xml:space="preserve"> 1.97</w:t>
            </w:r>
            <w:r w:rsidR="00971D00" w:rsidRPr="00E5587E">
              <w:rPr>
                <w:color w:val="000000" w:themeColor="text1"/>
              </w:rPr>
              <w:t xml:space="preserve"> ± </w:t>
            </w:r>
            <w:r w:rsidRPr="00E5587E">
              <w:rPr>
                <w:color w:val="000000" w:themeColor="text1"/>
              </w:rPr>
              <w:t xml:space="preserve">0.34 </w:t>
            </w:r>
            <w:r w:rsidRPr="00E5587E">
              <w:rPr>
                <w:i/>
                <w:iCs/>
                <w:color w:val="000000" w:themeColor="text1"/>
              </w:rPr>
              <w:t xml:space="preserve">vs </w:t>
            </w:r>
            <w:r w:rsidRPr="00E5587E">
              <w:rPr>
                <w:color w:val="000000" w:themeColor="text1"/>
              </w:rPr>
              <w:t>1.78</w:t>
            </w:r>
            <w:r w:rsidR="00971D00" w:rsidRPr="00E5587E">
              <w:rPr>
                <w:color w:val="000000" w:themeColor="text1"/>
              </w:rPr>
              <w:t xml:space="preserve"> ± </w:t>
            </w:r>
            <w:r w:rsidRPr="00E5587E">
              <w:rPr>
                <w:color w:val="000000" w:themeColor="text1"/>
              </w:rPr>
              <w:t>0.39</w:t>
            </w:r>
            <w:r w:rsidR="00F86F8C">
              <w:rPr>
                <w:color w:val="000000" w:themeColor="text1"/>
              </w:rPr>
              <w:t xml:space="preserve"> </w:t>
            </w:r>
            <w:r w:rsidRPr="00E5587E">
              <w:rPr>
                <w:color w:val="000000" w:themeColor="text1"/>
              </w:rPr>
              <w:t>s</w:t>
            </w:r>
            <w:r w:rsidRPr="00F86F8C">
              <w:rPr>
                <w:color w:val="000000" w:themeColor="text1"/>
                <w:vertAlign w:val="superscript"/>
              </w:rPr>
              <w:t>-1</w:t>
            </w:r>
            <w:r w:rsidRPr="00E5587E">
              <w:rPr>
                <w:color w:val="000000" w:themeColor="text1"/>
              </w:rPr>
              <w:t>) and PSSR (-21.20</w:t>
            </w:r>
            <w:r w:rsidR="00971D00" w:rsidRPr="00E5587E">
              <w:rPr>
                <w:color w:val="000000" w:themeColor="text1"/>
              </w:rPr>
              <w:t xml:space="preserve"> ± </w:t>
            </w:r>
            <w:r w:rsidRPr="00E5587E">
              <w:rPr>
                <w:color w:val="000000" w:themeColor="text1"/>
              </w:rPr>
              <w:t xml:space="preserve">2.75 </w:t>
            </w:r>
            <w:r w:rsidRPr="00F86F8C">
              <w:rPr>
                <w:i/>
                <w:iCs/>
                <w:color w:val="000000" w:themeColor="text1"/>
              </w:rPr>
              <w:t xml:space="preserve">vs </w:t>
            </w:r>
            <w:r w:rsidRPr="00E5587E">
              <w:rPr>
                <w:color w:val="000000" w:themeColor="text1"/>
              </w:rPr>
              <w:t>-23.48</w:t>
            </w:r>
            <w:r w:rsidR="00971D00" w:rsidRPr="00E5587E">
              <w:rPr>
                <w:color w:val="000000" w:themeColor="text1"/>
              </w:rPr>
              <w:t xml:space="preserve"> ± </w:t>
            </w:r>
            <w:r w:rsidRPr="00E5587E">
              <w:rPr>
                <w:color w:val="000000" w:themeColor="text1"/>
              </w:rPr>
              <w:t xml:space="preserve">2.36 </w:t>
            </w:r>
            <w:r w:rsidRPr="00F86F8C">
              <w:rPr>
                <w:i/>
                <w:iCs/>
                <w:color w:val="000000" w:themeColor="text1"/>
              </w:rPr>
              <w:t xml:space="preserve">vs </w:t>
            </w:r>
            <w:r w:rsidRPr="00E5587E">
              <w:rPr>
                <w:color w:val="000000" w:themeColor="text1"/>
              </w:rPr>
              <w:t>-23.3</w:t>
            </w:r>
            <w:r w:rsidR="00971D00" w:rsidRPr="00E5587E">
              <w:rPr>
                <w:color w:val="000000" w:themeColor="text1"/>
              </w:rPr>
              <w:t xml:space="preserve"> ± </w:t>
            </w:r>
            <w:r w:rsidRPr="00E5587E">
              <w:rPr>
                <w:color w:val="000000" w:themeColor="text1"/>
              </w:rPr>
              <w:t>2.62s</w:t>
            </w:r>
            <w:r w:rsidRPr="00F86F8C">
              <w:rPr>
                <w:color w:val="000000" w:themeColor="text1"/>
                <w:vertAlign w:val="superscript"/>
              </w:rPr>
              <w:t>-1</w:t>
            </w:r>
            <w:r w:rsidRPr="00E5587E">
              <w:rPr>
                <w:color w:val="000000" w:themeColor="text1"/>
              </w:rPr>
              <w:t>)</w:t>
            </w:r>
          </w:p>
        </w:tc>
      </w:tr>
      <w:tr w:rsidR="00AD5414" w:rsidRPr="00A30FAB" w14:paraId="596C71F6" w14:textId="77777777" w:rsidTr="003A0BB7">
        <w:tc>
          <w:tcPr>
            <w:cnfStyle w:val="001000000000" w:firstRow="0" w:lastRow="0" w:firstColumn="1" w:lastColumn="0" w:oddVBand="0" w:evenVBand="0" w:oddHBand="0" w:evenHBand="0" w:firstRowFirstColumn="0" w:firstRowLastColumn="0" w:lastRowFirstColumn="0" w:lastRowLastColumn="0"/>
            <w:tcW w:w="1976" w:type="dxa"/>
            <w:shd w:val="clear" w:color="auto" w:fill="auto"/>
          </w:tcPr>
          <w:p w14:paraId="75EBEF84" w14:textId="483959CF" w:rsidR="00AD5414" w:rsidRPr="00E5587E" w:rsidRDefault="00AD5414" w:rsidP="00A30FAB">
            <w:pPr>
              <w:adjustRightInd w:val="0"/>
              <w:snapToGrid w:val="0"/>
              <w:rPr>
                <w:b w:val="0"/>
                <w:bCs w:val="0"/>
                <w:color w:val="000000" w:themeColor="text1"/>
              </w:rPr>
            </w:pPr>
            <w:r w:rsidRPr="00E5587E">
              <w:rPr>
                <w:b w:val="0"/>
                <w:bCs w:val="0"/>
                <w:color w:val="000000" w:themeColor="text1"/>
              </w:rPr>
              <w:t xml:space="preserve">Levelt </w:t>
            </w:r>
            <w:r w:rsidRPr="00F86F8C">
              <w:rPr>
                <w:b w:val="0"/>
                <w:bCs w:val="0"/>
                <w:i/>
                <w:iCs/>
                <w:color w:val="000000" w:themeColor="text1"/>
              </w:rPr>
              <w:t>et al</w:t>
            </w:r>
            <w:r w:rsidR="00F86F8C" w:rsidRPr="00E5587E">
              <w:rPr>
                <w:b w:val="0"/>
                <w:bCs w:val="0"/>
                <w:color w:val="000000" w:themeColor="text1"/>
                <w:vertAlign w:val="superscript"/>
              </w:rPr>
              <w:t>[62]</w:t>
            </w:r>
            <w:r w:rsidR="00F86F8C">
              <w:rPr>
                <w:b w:val="0"/>
                <w:bCs w:val="0"/>
                <w:color w:val="000000" w:themeColor="text1"/>
              </w:rPr>
              <w:t>,</w:t>
            </w:r>
            <w:r w:rsidRPr="00E5587E">
              <w:rPr>
                <w:b w:val="0"/>
                <w:bCs w:val="0"/>
                <w:color w:val="000000" w:themeColor="text1"/>
              </w:rPr>
              <w:t xml:space="preserve"> 2016</w:t>
            </w:r>
          </w:p>
          <w:p w14:paraId="7750862C" w14:textId="77777777" w:rsidR="00AD5414" w:rsidRPr="00E5587E" w:rsidRDefault="00AD5414" w:rsidP="00A30FAB">
            <w:pPr>
              <w:adjustRightInd w:val="0"/>
              <w:snapToGrid w:val="0"/>
              <w:rPr>
                <w:b w:val="0"/>
                <w:bCs w:val="0"/>
                <w:color w:val="000000" w:themeColor="text1"/>
              </w:rPr>
            </w:pPr>
            <w:r w:rsidRPr="00E5587E">
              <w:rPr>
                <w:b w:val="0"/>
                <w:bCs w:val="0"/>
                <w:color w:val="000000" w:themeColor="text1"/>
              </w:rPr>
              <w:t>MRI</w:t>
            </w:r>
          </w:p>
        </w:tc>
        <w:tc>
          <w:tcPr>
            <w:tcW w:w="2135" w:type="dxa"/>
            <w:shd w:val="clear" w:color="auto" w:fill="auto"/>
          </w:tcPr>
          <w:p w14:paraId="6738437D" w14:textId="69C5BCFA"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 xml:space="preserve">T2D: </w:t>
            </w:r>
            <w:r w:rsidRPr="00F86F8C">
              <w:rPr>
                <w:i/>
                <w:iCs/>
                <w:color w:val="000000" w:themeColor="text1"/>
              </w:rPr>
              <w:t>n</w:t>
            </w:r>
            <w:r w:rsidRPr="00E5587E">
              <w:rPr>
                <w:color w:val="000000" w:themeColor="text1"/>
              </w:rPr>
              <w:t xml:space="preserve"> = 39, Mean age 55</w:t>
            </w:r>
            <w:r w:rsidR="00680B0C">
              <w:rPr>
                <w:color w:val="000000" w:themeColor="text1"/>
              </w:rPr>
              <w:t xml:space="preserve"> </w:t>
            </w:r>
            <w:r w:rsidR="00971D00" w:rsidRPr="00E5587E">
              <w:rPr>
                <w:color w:val="000000" w:themeColor="text1"/>
              </w:rPr>
              <w:t xml:space="preserve">± </w:t>
            </w:r>
            <w:r w:rsidRPr="00E5587E">
              <w:rPr>
                <w:color w:val="000000" w:themeColor="text1"/>
              </w:rPr>
              <w:t>9, 58% males.</w:t>
            </w:r>
          </w:p>
          <w:p w14:paraId="7481F5D6" w14:textId="65A8B0E9"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 xml:space="preserve">Controls: </w:t>
            </w:r>
            <w:r w:rsidRPr="00F86F8C">
              <w:rPr>
                <w:i/>
                <w:iCs/>
                <w:color w:val="000000" w:themeColor="text1"/>
              </w:rPr>
              <w:t>n</w:t>
            </w:r>
            <w:r w:rsidRPr="00E5587E">
              <w:rPr>
                <w:color w:val="000000" w:themeColor="text1"/>
              </w:rPr>
              <w:t xml:space="preserve"> = 17, Mean age 50</w:t>
            </w:r>
            <w:r w:rsidR="00680B0C">
              <w:rPr>
                <w:color w:val="000000" w:themeColor="text1"/>
              </w:rPr>
              <w:t xml:space="preserve"> </w:t>
            </w:r>
            <w:r w:rsidR="00971D00" w:rsidRPr="00E5587E">
              <w:rPr>
                <w:color w:val="000000" w:themeColor="text1"/>
              </w:rPr>
              <w:t>±</w:t>
            </w:r>
            <w:r w:rsidR="00680B0C">
              <w:rPr>
                <w:color w:val="000000" w:themeColor="text1"/>
              </w:rPr>
              <w:t xml:space="preserve"> </w:t>
            </w:r>
            <w:r w:rsidRPr="00E5587E">
              <w:rPr>
                <w:color w:val="000000" w:themeColor="text1"/>
              </w:rPr>
              <w:t xml:space="preserve">14 </w:t>
            </w:r>
            <w:r w:rsidR="00971D00" w:rsidRPr="00E5587E">
              <w:rPr>
                <w:color w:val="000000" w:themeColor="text1"/>
              </w:rPr>
              <w:t>yr</w:t>
            </w:r>
          </w:p>
        </w:tc>
        <w:tc>
          <w:tcPr>
            <w:tcW w:w="2268" w:type="dxa"/>
            <w:shd w:val="clear" w:color="auto" w:fill="auto"/>
          </w:tcPr>
          <w:p w14:paraId="38C1145E" w14:textId="77777777"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History of CVD, chest pain, smoker, uncontrolled hypertension, contraindications to MRI, ischaemia on ECG, renal dysfunction, insulin use, significant CAD on CTCA</w:t>
            </w:r>
          </w:p>
        </w:tc>
        <w:tc>
          <w:tcPr>
            <w:tcW w:w="3681" w:type="dxa"/>
            <w:shd w:val="clear" w:color="auto" w:fill="auto"/>
          </w:tcPr>
          <w:p w14:paraId="62373D47" w14:textId="4C90D0E3"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sym w:font="Symbol" w:char="F0AF"/>
            </w:r>
            <w:r w:rsidRPr="00E5587E">
              <w:rPr>
                <w:color w:val="000000" w:themeColor="text1"/>
              </w:rPr>
              <w:t>GLS (-9.6</w:t>
            </w:r>
            <w:r w:rsidR="00971D00" w:rsidRPr="00E5587E">
              <w:rPr>
                <w:color w:val="000000" w:themeColor="text1"/>
              </w:rPr>
              <w:t xml:space="preserve"> ± </w:t>
            </w:r>
            <w:r w:rsidRPr="00E5587E">
              <w:rPr>
                <w:color w:val="000000" w:themeColor="text1"/>
              </w:rPr>
              <w:t xml:space="preserve">2.9 </w:t>
            </w:r>
            <w:r w:rsidRPr="00F86F8C">
              <w:rPr>
                <w:i/>
                <w:iCs/>
                <w:color w:val="000000" w:themeColor="text1"/>
              </w:rPr>
              <w:t>vs</w:t>
            </w:r>
            <w:r w:rsidR="00F86F8C">
              <w:rPr>
                <w:color w:val="000000" w:themeColor="text1"/>
              </w:rPr>
              <w:t xml:space="preserve"> </w:t>
            </w:r>
            <w:r w:rsidRPr="00E5587E">
              <w:rPr>
                <w:color w:val="000000" w:themeColor="text1"/>
              </w:rPr>
              <w:t>-11.4</w:t>
            </w:r>
            <w:r w:rsidR="00971D00" w:rsidRPr="00E5587E">
              <w:rPr>
                <w:color w:val="000000" w:themeColor="text1"/>
              </w:rPr>
              <w:t xml:space="preserve"> ± </w:t>
            </w:r>
            <w:r w:rsidRPr="00E5587E">
              <w:rPr>
                <w:color w:val="000000" w:themeColor="text1"/>
              </w:rPr>
              <w:t xml:space="preserve">2.8 </w:t>
            </w:r>
            <w:r w:rsidRPr="00E5587E">
              <w:rPr>
                <w:color w:val="000000" w:themeColor="text1"/>
                <w:vertAlign w:val="superscript"/>
              </w:rPr>
              <w:t>r</w:t>
            </w:r>
            <w:r w:rsidRPr="00E5587E">
              <w:rPr>
                <w:i/>
                <w:color w:val="000000" w:themeColor="text1"/>
              </w:rPr>
              <w:t>P</w:t>
            </w:r>
            <w:r w:rsidR="00F86F8C">
              <w:rPr>
                <w:i/>
                <w:color w:val="000000" w:themeColor="text1"/>
              </w:rPr>
              <w:t xml:space="preserve"> </w:t>
            </w:r>
            <w:r w:rsidRPr="00E5587E">
              <w:rPr>
                <w:color w:val="000000" w:themeColor="text1"/>
              </w:rPr>
              <w:t>=</w:t>
            </w:r>
            <w:r w:rsidR="00F86F8C">
              <w:rPr>
                <w:color w:val="000000" w:themeColor="text1"/>
              </w:rPr>
              <w:t xml:space="preserve"> </w:t>
            </w:r>
            <w:r w:rsidRPr="00E5587E">
              <w:rPr>
                <w:color w:val="000000" w:themeColor="text1"/>
              </w:rPr>
              <w:t xml:space="preserve">0.049) and </w:t>
            </w:r>
            <w:r w:rsidRPr="00E5587E">
              <w:rPr>
                <w:color w:val="000000" w:themeColor="text1"/>
              </w:rPr>
              <w:sym w:font="Symbol" w:char="F0AF"/>
            </w:r>
            <w:r w:rsidRPr="00E5587E">
              <w:rPr>
                <w:color w:val="000000" w:themeColor="text1"/>
              </w:rPr>
              <w:t xml:space="preserve"> mid ventricular (-14.2</w:t>
            </w:r>
            <w:r w:rsidR="00971D00" w:rsidRPr="00E5587E">
              <w:rPr>
                <w:color w:val="000000" w:themeColor="text1"/>
              </w:rPr>
              <w:t xml:space="preserve"> ± </w:t>
            </w:r>
            <w:r w:rsidRPr="00E5587E">
              <w:rPr>
                <w:color w:val="000000" w:themeColor="text1"/>
              </w:rPr>
              <w:t>2</w:t>
            </w:r>
            <w:r w:rsidR="00F86F8C">
              <w:rPr>
                <w:color w:val="000000" w:themeColor="text1"/>
              </w:rPr>
              <w:t xml:space="preserve"> </w:t>
            </w:r>
            <w:r w:rsidRPr="00F86F8C">
              <w:rPr>
                <w:i/>
                <w:iCs/>
                <w:color w:val="000000" w:themeColor="text1"/>
              </w:rPr>
              <w:t xml:space="preserve">vs </w:t>
            </w:r>
            <w:r w:rsidRPr="00E5587E">
              <w:rPr>
                <w:color w:val="000000" w:themeColor="text1"/>
              </w:rPr>
              <w:t xml:space="preserve">-19.3, </w:t>
            </w:r>
            <w:r w:rsidRPr="00E5587E">
              <w:rPr>
                <w:color w:val="000000" w:themeColor="text1"/>
                <w:vertAlign w:val="superscript"/>
              </w:rPr>
              <w:t>s</w:t>
            </w:r>
            <w:r w:rsidRPr="00E5587E">
              <w:rPr>
                <w:i/>
                <w:color w:val="000000" w:themeColor="text1"/>
              </w:rPr>
              <w:t>P</w:t>
            </w:r>
            <w:r w:rsidR="00F86F8C">
              <w:rPr>
                <w:i/>
                <w:color w:val="000000" w:themeColor="text1"/>
              </w:rPr>
              <w:t xml:space="preserve"> </w:t>
            </w:r>
            <w:r w:rsidRPr="00E5587E">
              <w:rPr>
                <w:color w:val="000000" w:themeColor="text1"/>
              </w:rPr>
              <w:t>&lt;</w:t>
            </w:r>
            <w:r w:rsidR="00F86F8C">
              <w:rPr>
                <w:color w:val="000000" w:themeColor="text1"/>
              </w:rPr>
              <w:t xml:space="preserve"> </w:t>
            </w:r>
            <w:r w:rsidRPr="00E5587E">
              <w:rPr>
                <w:color w:val="000000" w:themeColor="text1"/>
              </w:rPr>
              <w:t>0.001) systolic strain</w:t>
            </w:r>
          </w:p>
          <w:p w14:paraId="7C36B28B" w14:textId="77777777" w:rsidR="00AD5414" w:rsidRPr="00E5587E" w:rsidRDefault="00AD5414" w:rsidP="00A30FAB">
            <w:pPr>
              <w:adjustRightInd w:val="0"/>
              <w:snapToGrid w:val="0"/>
              <w:cnfStyle w:val="000000000000" w:firstRow="0" w:lastRow="0" w:firstColumn="0" w:lastColumn="0" w:oddVBand="0" w:evenVBand="0" w:oddHBand="0" w:evenHBand="0" w:firstRowFirstColumn="0" w:firstRowLastColumn="0" w:lastRowFirstColumn="0" w:lastRowLastColumn="0"/>
              <w:rPr>
                <w:color w:val="000000" w:themeColor="text1"/>
              </w:rPr>
            </w:pPr>
            <w:r w:rsidRPr="00E5587E">
              <w:rPr>
                <w:color w:val="000000" w:themeColor="text1"/>
              </w:rPr>
              <w:t>(</w:t>
            </w:r>
            <w:r w:rsidRPr="00E5587E">
              <w:rPr>
                <w:color w:val="000000" w:themeColor="text1"/>
              </w:rPr>
              <w:sym w:font="Symbol" w:char="F0AF"/>
            </w:r>
            <w:r w:rsidRPr="00E5587E">
              <w:rPr>
                <w:color w:val="000000" w:themeColor="text1"/>
              </w:rPr>
              <w:t>PCr/ATP ratio at rest and exercise, correlated with reduced systolic strain results; there was also a negative association between the myocardial lipid levels and systolic strain in this cohort)</w:t>
            </w:r>
          </w:p>
        </w:tc>
      </w:tr>
    </w:tbl>
    <w:p w14:paraId="305CC0C3" w14:textId="1766A54B" w:rsidR="00AD5414" w:rsidRPr="00A30FAB" w:rsidRDefault="00AD5414" w:rsidP="00A30FAB">
      <w:pPr>
        <w:adjustRightInd w:val="0"/>
        <w:snapToGrid w:val="0"/>
        <w:rPr>
          <w:color w:val="000000" w:themeColor="text1"/>
          <w:lang w:val="en-US"/>
        </w:rPr>
      </w:pPr>
      <w:r w:rsidRPr="00A30FAB">
        <w:rPr>
          <w:color w:val="000000" w:themeColor="text1"/>
          <w:lang w:val="en-US"/>
        </w:rPr>
        <w:t>CTCA: Computed</w:t>
      </w:r>
      <w:r w:rsidR="00F86F8C" w:rsidRPr="00A30FAB">
        <w:rPr>
          <w:color w:val="000000" w:themeColor="text1"/>
          <w:lang w:val="en-US"/>
        </w:rPr>
        <w:t xml:space="preserve"> topography coronary angiogram</w:t>
      </w:r>
      <w:r w:rsidRPr="00A30FAB">
        <w:rPr>
          <w:color w:val="000000" w:themeColor="text1"/>
          <w:lang w:val="en-US"/>
        </w:rPr>
        <w:t>; GLS: G</w:t>
      </w:r>
      <w:r w:rsidR="00F86F8C" w:rsidRPr="00A30FAB">
        <w:rPr>
          <w:color w:val="000000" w:themeColor="text1"/>
          <w:lang w:val="en-US"/>
        </w:rPr>
        <w:t>lobal longitudinal strain</w:t>
      </w:r>
      <w:r w:rsidRPr="00A30FAB">
        <w:rPr>
          <w:color w:val="000000" w:themeColor="text1"/>
          <w:lang w:val="en-US"/>
        </w:rPr>
        <w:t xml:space="preserve">; GRS: Global </w:t>
      </w:r>
      <w:r w:rsidR="00F86F8C" w:rsidRPr="00A30FAB">
        <w:rPr>
          <w:color w:val="000000" w:themeColor="text1"/>
          <w:lang w:val="en-US"/>
        </w:rPr>
        <w:t>radial strain</w:t>
      </w:r>
      <w:r w:rsidRPr="00A30FAB">
        <w:rPr>
          <w:color w:val="000000" w:themeColor="text1"/>
          <w:lang w:val="en-US"/>
        </w:rPr>
        <w:t>; PEDSR: Pea</w:t>
      </w:r>
      <w:r w:rsidR="00F86F8C" w:rsidRPr="00A30FAB">
        <w:rPr>
          <w:color w:val="000000" w:themeColor="text1"/>
          <w:lang w:val="en-US"/>
        </w:rPr>
        <w:t>k early diastolic strain rate</w:t>
      </w:r>
      <w:r w:rsidRPr="00A30FAB">
        <w:rPr>
          <w:color w:val="000000" w:themeColor="text1"/>
          <w:lang w:val="en-US"/>
        </w:rPr>
        <w:t>; PSSR: Pe</w:t>
      </w:r>
      <w:r w:rsidR="00F86F8C" w:rsidRPr="00A30FAB">
        <w:rPr>
          <w:color w:val="000000" w:themeColor="text1"/>
          <w:lang w:val="en-US"/>
        </w:rPr>
        <w:t>ak systolic strain rat</w:t>
      </w:r>
      <w:r w:rsidRPr="00A30FAB">
        <w:rPr>
          <w:color w:val="000000" w:themeColor="text1"/>
          <w:lang w:val="en-US"/>
        </w:rPr>
        <w:t>e; RWMA: Re</w:t>
      </w:r>
      <w:r w:rsidR="00F86F8C" w:rsidRPr="00A30FAB">
        <w:rPr>
          <w:color w:val="000000" w:themeColor="text1"/>
          <w:lang w:val="en-US"/>
        </w:rPr>
        <w:t>gional wall motion abnormalit</w:t>
      </w:r>
      <w:r w:rsidRPr="00A30FAB">
        <w:rPr>
          <w:color w:val="000000" w:themeColor="text1"/>
          <w:lang w:val="en-US"/>
        </w:rPr>
        <w:t>y</w:t>
      </w:r>
      <w:r w:rsidR="00F86F8C">
        <w:rPr>
          <w:color w:val="000000" w:themeColor="text1"/>
          <w:lang w:val="en-US"/>
        </w:rPr>
        <w:t>.</w:t>
      </w:r>
    </w:p>
    <w:bookmarkEnd w:id="17"/>
    <w:bookmarkEnd w:id="18"/>
    <w:p w14:paraId="129AB71D" w14:textId="0F59266E" w:rsidR="00CF41D6" w:rsidRDefault="00CF41D6" w:rsidP="00A30FAB">
      <w:pPr>
        <w:adjustRightInd w:val="0"/>
        <w:snapToGrid w:val="0"/>
        <w:rPr>
          <w:color w:val="000000" w:themeColor="text1"/>
          <w:lang w:val="en-US"/>
        </w:rPr>
      </w:pPr>
    </w:p>
    <w:p w14:paraId="6A23F20C" w14:textId="00099705" w:rsidR="00F3330C" w:rsidRDefault="00F3330C" w:rsidP="00A30FAB">
      <w:pPr>
        <w:adjustRightInd w:val="0"/>
        <w:snapToGrid w:val="0"/>
        <w:rPr>
          <w:color w:val="000000" w:themeColor="text1"/>
          <w:lang w:val="en-US"/>
        </w:rPr>
      </w:pPr>
    </w:p>
    <w:p w14:paraId="0AF35A6F" w14:textId="34E10FF8" w:rsidR="00F3330C" w:rsidRDefault="00F3330C" w:rsidP="00A30FAB">
      <w:pPr>
        <w:adjustRightInd w:val="0"/>
        <w:snapToGrid w:val="0"/>
        <w:rPr>
          <w:color w:val="000000" w:themeColor="text1"/>
          <w:lang w:val="en-US"/>
        </w:rPr>
      </w:pPr>
    </w:p>
    <w:p w14:paraId="392E74B4" w14:textId="77777777" w:rsidR="00F3330C" w:rsidRPr="00A30FAB" w:rsidRDefault="00F3330C" w:rsidP="00A30FAB">
      <w:pPr>
        <w:adjustRightInd w:val="0"/>
        <w:snapToGrid w:val="0"/>
        <w:rPr>
          <w:color w:val="000000" w:themeColor="text1"/>
          <w:lang w:val="en-US"/>
        </w:rPr>
      </w:pPr>
    </w:p>
    <w:sectPr w:rsidR="00F3330C" w:rsidRPr="00A30FAB" w:rsidSect="00CF41D6">
      <w:footerReference w:type="even" r:id="rId14"/>
      <w:type w:val="continuous"/>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8192D" w14:textId="77777777" w:rsidR="00664D0B" w:rsidRDefault="00664D0B">
      <w:pPr>
        <w:spacing w:line="240" w:lineRule="auto"/>
      </w:pPr>
      <w:r>
        <w:separator/>
      </w:r>
    </w:p>
  </w:endnote>
  <w:endnote w:type="continuationSeparator" w:id="0">
    <w:p w14:paraId="68A7FA1C" w14:textId="77777777" w:rsidR="00664D0B" w:rsidRDefault="00664D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9"/>
      </w:rPr>
      <w:id w:val="-456952995"/>
      <w:docPartObj>
        <w:docPartGallery w:val="Page Numbers (Bottom of Page)"/>
        <w:docPartUnique/>
      </w:docPartObj>
    </w:sdtPr>
    <w:sdtEndPr>
      <w:rPr>
        <w:rStyle w:val="a9"/>
      </w:rPr>
    </w:sdtEndPr>
    <w:sdtContent>
      <w:p w14:paraId="2DD6A021" w14:textId="77777777" w:rsidR="00422EB0" w:rsidRDefault="00422EB0" w:rsidP="00CF41D6">
        <w:pPr>
          <w:pStyle w:val="a7"/>
          <w:rPr>
            <w:rStyle w:val="a9"/>
          </w:rPr>
        </w:pPr>
        <w:r>
          <w:rPr>
            <w:rStyle w:val="a9"/>
          </w:rPr>
          <w:fldChar w:fldCharType="begin"/>
        </w:r>
        <w:r>
          <w:rPr>
            <w:rStyle w:val="a9"/>
          </w:rPr>
          <w:instrText xml:space="preserve"> PAGE </w:instrText>
        </w:r>
        <w:r>
          <w:rPr>
            <w:rStyle w:val="a9"/>
          </w:rPr>
          <w:fldChar w:fldCharType="end"/>
        </w:r>
      </w:p>
    </w:sdtContent>
  </w:sdt>
  <w:p w14:paraId="1DC9CD8F" w14:textId="77777777" w:rsidR="00422EB0" w:rsidRDefault="00422EB0" w:rsidP="00CF41D6">
    <w:pPr>
      <w:pStyle w:val="a7"/>
      <w:rPr>
        <w:rStyle w:val="a9"/>
      </w:rPr>
    </w:pPr>
  </w:p>
  <w:p w14:paraId="61DFA9EF" w14:textId="77777777" w:rsidR="00422EB0" w:rsidRDefault="00422EB0" w:rsidP="00CF41D6">
    <w:pPr>
      <w:pStyle w:val="a7"/>
      <w:rPr>
        <w:rStyle w:val="a9"/>
      </w:rPr>
    </w:pPr>
  </w:p>
  <w:p w14:paraId="5C871E7F" w14:textId="77777777" w:rsidR="00422EB0" w:rsidRDefault="00422EB0" w:rsidP="00CF41D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00BBD" w14:textId="77777777" w:rsidR="00664D0B" w:rsidRDefault="00664D0B">
      <w:pPr>
        <w:spacing w:line="240" w:lineRule="auto"/>
      </w:pPr>
      <w:r>
        <w:separator/>
      </w:r>
    </w:p>
  </w:footnote>
  <w:footnote w:type="continuationSeparator" w:id="0">
    <w:p w14:paraId="0EE1325F" w14:textId="77777777" w:rsidR="00664D0B" w:rsidRDefault="00664D0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A7B4C"/>
    <w:multiLevelType w:val="hybridMultilevel"/>
    <w:tmpl w:val="C2EC5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70738F"/>
    <w:multiLevelType w:val="multilevel"/>
    <w:tmpl w:val="1FF67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F3F458E"/>
    <w:multiLevelType w:val="hybridMultilevel"/>
    <w:tmpl w:val="EE723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D9525F"/>
    <w:multiLevelType w:val="multilevel"/>
    <w:tmpl w:val="9CFE2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6443CD"/>
    <w:multiLevelType w:val="multilevel"/>
    <w:tmpl w:val="89C615E0"/>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15:restartNumberingAfterBreak="0">
    <w:nsid w:val="56D32EC1"/>
    <w:multiLevelType w:val="hybridMultilevel"/>
    <w:tmpl w:val="DAA8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867EF7"/>
    <w:multiLevelType w:val="multilevel"/>
    <w:tmpl w:val="54329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4"/>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585FAB"/>
    <w:rsid w:val="00063C52"/>
    <w:rsid w:val="000C363C"/>
    <w:rsid w:val="000C7A00"/>
    <w:rsid w:val="000E4AF8"/>
    <w:rsid w:val="000F388E"/>
    <w:rsid w:val="00121A1A"/>
    <w:rsid w:val="001422AF"/>
    <w:rsid w:val="00151F39"/>
    <w:rsid w:val="00156CB3"/>
    <w:rsid w:val="0015794C"/>
    <w:rsid w:val="001729C9"/>
    <w:rsid w:val="001963E1"/>
    <w:rsid w:val="001B58C4"/>
    <w:rsid w:val="001B5C7E"/>
    <w:rsid w:val="001C683A"/>
    <w:rsid w:val="001F44D9"/>
    <w:rsid w:val="0021350E"/>
    <w:rsid w:val="0023797A"/>
    <w:rsid w:val="002478B3"/>
    <w:rsid w:val="0028286E"/>
    <w:rsid w:val="002C01AF"/>
    <w:rsid w:val="002D5154"/>
    <w:rsid w:val="002F2271"/>
    <w:rsid w:val="002F6110"/>
    <w:rsid w:val="0031579F"/>
    <w:rsid w:val="0032646C"/>
    <w:rsid w:val="00361D00"/>
    <w:rsid w:val="003A0BB7"/>
    <w:rsid w:val="003B578E"/>
    <w:rsid w:val="003D21A7"/>
    <w:rsid w:val="003F0D41"/>
    <w:rsid w:val="00410EA0"/>
    <w:rsid w:val="00420696"/>
    <w:rsid w:val="00422EB0"/>
    <w:rsid w:val="00437C59"/>
    <w:rsid w:val="0045296A"/>
    <w:rsid w:val="00452FBC"/>
    <w:rsid w:val="00462B22"/>
    <w:rsid w:val="004A1828"/>
    <w:rsid w:val="004E2D75"/>
    <w:rsid w:val="005011B6"/>
    <w:rsid w:val="0052502C"/>
    <w:rsid w:val="00581B28"/>
    <w:rsid w:val="0058239E"/>
    <w:rsid w:val="00585FAB"/>
    <w:rsid w:val="005B3F19"/>
    <w:rsid w:val="005C7E6B"/>
    <w:rsid w:val="005E6294"/>
    <w:rsid w:val="005F3869"/>
    <w:rsid w:val="006047BD"/>
    <w:rsid w:val="00637498"/>
    <w:rsid w:val="00662B99"/>
    <w:rsid w:val="00664D0B"/>
    <w:rsid w:val="00670949"/>
    <w:rsid w:val="00680B0C"/>
    <w:rsid w:val="00685C0E"/>
    <w:rsid w:val="006F48B7"/>
    <w:rsid w:val="0072333D"/>
    <w:rsid w:val="00791964"/>
    <w:rsid w:val="007941B5"/>
    <w:rsid w:val="007B0AA6"/>
    <w:rsid w:val="007C192F"/>
    <w:rsid w:val="007D30A1"/>
    <w:rsid w:val="0082308A"/>
    <w:rsid w:val="00827A9B"/>
    <w:rsid w:val="00854446"/>
    <w:rsid w:val="0086677F"/>
    <w:rsid w:val="00866B71"/>
    <w:rsid w:val="00872DEC"/>
    <w:rsid w:val="008D1DAD"/>
    <w:rsid w:val="008F0C5A"/>
    <w:rsid w:val="00917B87"/>
    <w:rsid w:val="009345EF"/>
    <w:rsid w:val="00940715"/>
    <w:rsid w:val="00957D50"/>
    <w:rsid w:val="00971D00"/>
    <w:rsid w:val="009722D4"/>
    <w:rsid w:val="00993782"/>
    <w:rsid w:val="009A3356"/>
    <w:rsid w:val="009F487A"/>
    <w:rsid w:val="00A066B4"/>
    <w:rsid w:val="00A30FAB"/>
    <w:rsid w:val="00A46B10"/>
    <w:rsid w:val="00A7405C"/>
    <w:rsid w:val="00AD5414"/>
    <w:rsid w:val="00AE07A9"/>
    <w:rsid w:val="00AF4917"/>
    <w:rsid w:val="00B34B3F"/>
    <w:rsid w:val="00B3668B"/>
    <w:rsid w:val="00B87E00"/>
    <w:rsid w:val="00B91C36"/>
    <w:rsid w:val="00BA19EF"/>
    <w:rsid w:val="00BA2CF1"/>
    <w:rsid w:val="00BC2D27"/>
    <w:rsid w:val="00BD2E7F"/>
    <w:rsid w:val="00BE57AD"/>
    <w:rsid w:val="00BF4473"/>
    <w:rsid w:val="00C23F7D"/>
    <w:rsid w:val="00C5228A"/>
    <w:rsid w:val="00C654AD"/>
    <w:rsid w:val="00C91771"/>
    <w:rsid w:val="00CC1B36"/>
    <w:rsid w:val="00CF01F0"/>
    <w:rsid w:val="00CF273D"/>
    <w:rsid w:val="00CF41D6"/>
    <w:rsid w:val="00D4483F"/>
    <w:rsid w:val="00D8572B"/>
    <w:rsid w:val="00D964E5"/>
    <w:rsid w:val="00DB225D"/>
    <w:rsid w:val="00DD2323"/>
    <w:rsid w:val="00DF22CD"/>
    <w:rsid w:val="00E33B8D"/>
    <w:rsid w:val="00E5587E"/>
    <w:rsid w:val="00E92327"/>
    <w:rsid w:val="00E93498"/>
    <w:rsid w:val="00EC1117"/>
    <w:rsid w:val="00EC2737"/>
    <w:rsid w:val="00ED632F"/>
    <w:rsid w:val="00F12BAF"/>
    <w:rsid w:val="00F3330C"/>
    <w:rsid w:val="00F42C87"/>
    <w:rsid w:val="00F86F8C"/>
    <w:rsid w:val="00F9244D"/>
    <w:rsid w:val="00F9361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896A1"/>
  <w15:chartTrackingRefBased/>
  <w15:docId w15:val="{261A0F8B-E4F9-144E-A116-149DFEFA0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85FAB"/>
    <w:pPr>
      <w:spacing w:line="360" w:lineRule="auto"/>
      <w:jc w:val="both"/>
    </w:pPr>
    <w:rPr>
      <w:rFonts w:ascii="Book Antiqua" w:eastAsia="Times New Roman" w:hAnsi="Book Antiqua" w:cs="Times New Roman"/>
    </w:rPr>
  </w:style>
  <w:style w:type="paragraph" w:styleId="1">
    <w:name w:val="heading 1"/>
    <w:basedOn w:val="a"/>
    <w:next w:val="a"/>
    <w:link w:val="10"/>
    <w:uiPriority w:val="9"/>
    <w:qFormat/>
    <w:rsid w:val="00585FAB"/>
    <w:pPr>
      <w:keepNext/>
      <w:keepLines/>
      <w:spacing w:before="240" w:after="200"/>
      <w:ind w:left="432" w:hanging="432"/>
      <w:outlineLvl w:val="0"/>
    </w:pPr>
    <w:rPr>
      <w:rFonts w:eastAsiaTheme="majorEastAsia"/>
      <w:b/>
      <w:color w:val="2F5496" w:themeColor="accent1" w:themeShade="BF"/>
      <w:sz w:val="32"/>
      <w:szCs w:val="32"/>
    </w:rPr>
  </w:style>
  <w:style w:type="paragraph" w:styleId="2">
    <w:name w:val="heading 2"/>
    <w:basedOn w:val="a"/>
    <w:next w:val="a"/>
    <w:link w:val="20"/>
    <w:uiPriority w:val="9"/>
    <w:unhideWhenUsed/>
    <w:qFormat/>
    <w:rsid w:val="00585FAB"/>
    <w:pPr>
      <w:keepNext/>
      <w:keepLines/>
      <w:spacing w:before="40" w:after="40"/>
      <w:ind w:left="576" w:hanging="576"/>
      <w:outlineLvl w:val="1"/>
    </w:pPr>
    <w:rPr>
      <w:rFonts w:eastAsiaTheme="majorEastAsia"/>
      <w:color w:val="2F5496" w:themeColor="accent1" w:themeShade="BF"/>
      <w:sz w:val="28"/>
      <w:szCs w:val="28"/>
    </w:rPr>
  </w:style>
  <w:style w:type="paragraph" w:styleId="3">
    <w:name w:val="heading 3"/>
    <w:basedOn w:val="a"/>
    <w:next w:val="a"/>
    <w:link w:val="30"/>
    <w:uiPriority w:val="9"/>
    <w:unhideWhenUsed/>
    <w:qFormat/>
    <w:rsid w:val="00585FAB"/>
    <w:pPr>
      <w:keepNext/>
      <w:keepLines/>
      <w:spacing w:before="40"/>
      <w:ind w:left="720" w:hanging="720"/>
      <w:outlineLvl w:val="2"/>
    </w:pPr>
    <w:rPr>
      <w:rFonts w:eastAsiaTheme="majorEastAsia"/>
      <w:color w:val="2F5496" w:themeColor="accent1" w:themeShade="BF"/>
    </w:rPr>
  </w:style>
  <w:style w:type="paragraph" w:styleId="4">
    <w:name w:val="heading 4"/>
    <w:basedOn w:val="a"/>
    <w:next w:val="a"/>
    <w:link w:val="40"/>
    <w:uiPriority w:val="9"/>
    <w:semiHidden/>
    <w:unhideWhenUsed/>
    <w:qFormat/>
    <w:rsid w:val="00585FAB"/>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585FAB"/>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585FAB"/>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585FAB"/>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585FA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585FA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85FAB"/>
    <w:rPr>
      <w:rFonts w:ascii="Book Antiqua" w:eastAsiaTheme="majorEastAsia" w:hAnsi="Book Antiqua" w:cs="Times New Roman"/>
      <w:b/>
      <w:color w:val="2F5496" w:themeColor="accent1" w:themeShade="BF"/>
      <w:sz w:val="32"/>
      <w:szCs w:val="32"/>
    </w:rPr>
  </w:style>
  <w:style w:type="character" w:customStyle="1" w:styleId="20">
    <w:name w:val="标题 2 字符"/>
    <w:basedOn w:val="a0"/>
    <w:link w:val="2"/>
    <w:uiPriority w:val="9"/>
    <w:rsid w:val="00585FAB"/>
    <w:rPr>
      <w:rFonts w:ascii="Book Antiqua" w:eastAsiaTheme="majorEastAsia" w:hAnsi="Book Antiqua" w:cs="Times New Roman"/>
      <w:color w:val="2F5496" w:themeColor="accent1" w:themeShade="BF"/>
      <w:sz w:val="28"/>
      <w:szCs w:val="28"/>
    </w:rPr>
  </w:style>
  <w:style w:type="character" w:customStyle="1" w:styleId="30">
    <w:name w:val="标题 3 字符"/>
    <w:basedOn w:val="a0"/>
    <w:link w:val="3"/>
    <w:uiPriority w:val="9"/>
    <w:rsid w:val="00585FAB"/>
    <w:rPr>
      <w:rFonts w:ascii="Book Antiqua" w:eastAsiaTheme="majorEastAsia" w:hAnsi="Book Antiqua" w:cs="Times New Roman"/>
      <w:color w:val="2F5496" w:themeColor="accent1" w:themeShade="BF"/>
    </w:rPr>
  </w:style>
  <w:style w:type="character" w:customStyle="1" w:styleId="40">
    <w:name w:val="标题 4 字符"/>
    <w:basedOn w:val="a0"/>
    <w:link w:val="4"/>
    <w:uiPriority w:val="9"/>
    <w:semiHidden/>
    <w:rsid w:val="00585FAB"/>
    <w:rPr>
      <w:rFonts w:asciiTheme="majorHAnsi" w:eastAsiaTheme="majorEastAsia" w:hAnsiTheme="majorHAnsi" w:cstheme="majorBidi"/>
      <w:i/>
      <w:iCs/>
      <w:color w:val="2F5496" w:themeColor="accent1" w:themeShade="BF"/>
    </w:rPr>
  </w:style>
  <w:style w:type="character" w:customStyle="1" w:styleId="50">
    <w:name w:val="标题 5 字符"/>
    <w:basedOn w:val="a0"/>
    <w:link w:val="5"/>
    <w:uiPriority w:val="9"/>
    <w:semiHidden/>
    <w:rsid w:val="00585FAB"/>
    <w:rPr>
      <w:rFonts w:asciiTheme="majorHAnsi" w:eastAsiaTheme="majorEastAsia" w:hAnsiTheme="majorHAnsi" w:cstheme="majorBidi"/>
      <w:color w:val="2F5496" w:themeColor="accent1" w:themeShade="BF"/>
    </w:rPr>
  </w:style>
  <w:style w:type="character" w:customStyle="1" w:styleId="60">
    <w:name w:val="标题 6 字符"/>
    <w:basedOn w:val="a0"/>
    <w:link w:val="6"/>
    <w:uiPriority w:val="9"/>
    <w:semiHidden/>
    <w:rsid w:val="00585FAB"/>
    <w:rPr>
      <w:rFonts w:asciiTheme="majorHAnsi" w:eastAsiaTheme="majorEastAsia" w:hAnsiTheme="majorHAnsi" w:cstheme="majorBidi"/>
      <w:color w:val="1F3763" w:themeColor="accent1" w:themeShade="7F"/>
    </w:rPr>
  </w:style>
  <w:style w:type="character" w:customStyle="1" w:styleId="70">
    <w:name w:val="标题 7 字符"/>
    <w:basedOn w:val="a0"/>
    <w:link w:val="7"/>
    <w:uiPriority w:val="9"/>
    <w:semiHidden/>
    <w:rsid w:val="00585FAB"/>
    <w:rPr>
      <w:rFonts w:asciiTheme="majorHAnsi" w:eastAsiaTheme="majorEastAsia" w:hAnsiTheme="majorHAnsi" w:cstheme="majorBidi"/>
      <w:i/>
      <w:iCs/>
      <w:color w:val="1F3763" w:themeColor="accent1" w:themeShade="7F"/>
    </w:rPr>
  </w:style>
  <w:style w:type="character" w:customStyle="1" w:styleId="80">
    <w:name w:val="标题 8 字符"/>
    <w:basedOn w:val="a0"/>
    <w:link w:val="8"/>
    <w:uiPriority w:val="9"/>
    <w:semiHidden/>
    <w:rsid w:val="00585FAB"/>
    <w:rPr>
      <w:rFonts w:asciiTheme="majorHAnsi" w:eastAsiaTheme="majorEastAsia" w:hAnsiTheme="majorHAnsi" w:cstheme="majorBidi"/>
      <w:color w:val="272727" w:themeColor="text1" w:themeTint="D8"/>
      <w:sz w:val="21"/>
      <w:szCs w:val="21"/>
    </w:rPr>
  </w:style>
  <w:style w:type="character" w:customStyle="1" w:styleId="90">
    <w:name w:val="标题 9 字符"/>
    <w:basedOn w:val="a0"/>
    <w:link w:val="9"/>
    <w:uiPriority w:val="9"/>
    <w:semiHidden/>
    <w:rsid w:val="00585FAB"/>
    <w:rPr>
      <w:rFonts w:asciiTheme="majorHAnsi" w:eastAsiaTheme="majorEastAsia" w:hAnsiTheme="majorHAnsi" w:cstheme="majorBidi"/>
      <w:i/>
      <w:iCs/>
      <w:color w:val="272727" w:themeColor="text1" w:themeTint="D8"/>
      <w:sz w:val="21"/>
      <w:szCs w:val="21"/>
    </w:rPr>
  </w:style>
  <w:style w:type="paragraph" w:customStyle="1" w:styleId="EndNoteBibliographyTitle">
    <w:name w:val="EndNote Bibliography Title"/>
    <w:basedOn w:val="a"/>
    <w:rsid w:val="00585FAB"/>
    <w:pPr>
      <w:jc w:val="center"/>
    </w:pPr>
    <w:rPr>
      <w:rFonts w:eastAsiaTheme="minorHAnsi" w:cs="Calibri"/>
      <w:color w:val="000000" w:themeColor="text1"/>
      <w:shd w:val="clear" w:color="auto" w:fill="FFFFFF"/>
    </w:rPr>
  </w:style>
  <w:style w:type="paragraph" w:customStyle="1" w:styleId="EndNoteBibliography">
    <w:name w:val="EndNote Bibliography"/>
    <w:basedOn w:val="a"/>
    <w:link w:val="EndNoteBibliographyChar"/>
    <w:rsid w:val="00585FAB"/>
    <w:rPr>
      <w:rFonts w:eastAsiaTheme="minorHAnsi" w:cs="Calibri"/>
      <w:color w:val="000000" w:themeColor="text1"/>
      <w:shd w:val="clear" w:color="auto" w:fill="FFFFFF"/>
    </w:rPr>
  </w:style>
  <w:style w:type="character" w:customStyle="1" w:styleId="EndNoteBibliographyChar">
    <w:name w:val="EndNote Bibliography Char"/>
    <w:link w:val="EndNoteBibliography"/>
    <w:rsid w:val="00452FBC"/>
    <w:rPr>
      <w:rFonts w:ascii="Book Antiqua" w:eastAsiaTheme="minorHAnsi" w:hAnsi="Book Antiqua" w:cs="Calibri"/>
      <w:color w:val="000000" w:themeColor="text1"/>
    </w:rPr>
  </w:style>
  <w:style w:type="paragraph" w:styleId="a3">
    <w:name w:val="Title"/>
    <w:basedOn w:val="a"/>
    <w:next w:val="a"/>
    <w:link w:val="a4"/>
    <w:uiPriority w:val="10"/>
    <w:qFormat/>
    <w:rsid w:val="00585FAB"/>
    <w:pPr>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585FAB"/>
    <w:rPr>
      <w:rFonts w:asciiTheme="majorHAnsi" w:eastAsiaTheme="majorEastAsia" w:hAnsiTheme="majorHAnsi" w:cstheme="majorBidi"/>
      <w:spacing w:val="-10"/>
      <w:kern w:val="28"/>
      <w:sz w:val="56"/>
      <w:szCs w:val="56"/>
    </w:rPr>
  </w:style>
  <w:style w:type="character" w:customStyle="1" w:styleId="apple-converted-space">
    <w:name w:val="apple-converted-space"/>
    <w:basedOn w:val="a0"/>
    <w:rsid w:val="00585FAB"/>
  </w:style>
  <w:style w:type="paragraph" w:customStyle="1" w:styleId="p1">
    <w:name w:val="p1"/>
    <w:basedOn w:val="a"/>
    <w:rsid w:val="00585FAB"/>
    <w:rPr>
      <w:rFonts w:ascii="Helvetica" w:hAnsi="Helvetica"/>
      <w:sz w:val="18"/>
      <w:szCs w:val="18"/>
    </w:rPr>
  </w:style>
  <w:style w:type="character" w:customStyle="1" w:styleId="xref-bibr">
    <w:name w:val="xref-bibr"/>
    <w:basedOn w:val="a0"/>
    <w:rsid w:val="00585FAB"/>
  </w:style>
  <w:style w:type="character" w:styleId="a5">
    <w:name w:val="Hyperlink"/>
    <w:basedOn w:val="a0"/>
    <w:uiPriority w:val="99"/>
    <w:unhideWhenUsed/>
    <w:rsid w:val="00585FAB"/>
    <w:rPr>
      <w:color w:val="0000FF"/>
      <w:u w:val="single"/>
    </w:rPr>
  </w:style>
  <w:style w:type="character" w:styleId="a6">
    <w:name w:val="FollowedHyperlink"/>
    <w:basedOn w:val="a0"/>
    <w:uiPriority w:val="99"/>
    <w:semiHidden/>
    <w:unhideWhenUsed/>
    <w:rsid w:val="00585FAB"/>
    <w:rPr>
      <w:color w:val="954F72" w:themeColor="followedHyperlink"/>
      <w:u w:val="single"/>
    </w:rPr>
  </w:style>
  <w:style w:type="paragraph" w:styleId="a7">
    <w:name w:val="footer"/>
    <w:basedOn w:val="a"/>
    <w:link w:val="a8"/>
    <w:uiPriority w:val="99"/>
    <w:unhideWhenUsed/>
    <w:rsid w:val="00585FAB"/>
    <w:pPr>
      <w:tabs>
        <w:tab w:val="center" w:pos="4513"/>
        <w:tab w:val="right" w:pos="9026"/>
      </w:tabs>
    </w:pPr>
  </w:style>
  <w:style w:type="character" w:customStyle="1" w:styleId="a8">
    <w:name w:val="页脚 字符"/>
    <w:basedOn w:val="a0"/>
    <w:link w:val="a7"/>
    <w:uiPriority w:val="99"/>
    <w:rsid w:val="00585FAB"/>
    <w:rPr>
      <w:rFonts w:ascii="Book Antiqua" w:eastAsia="Times New Roman" w:hAnsi="Book Antiqua" w:cs="Times New Roman"/>
    </w:rPr>
  </w:style>
  <w:style w:type="character" w:styleId="a9">
    <w:name w:val="page number"/>
    <w:basedOn w:val="a0"/>
    <w:uiPriority w:val="99"/>
    <w:semiHidden/>
    <w:unhideWhenUsed/>
    <w:rsid w:val="00585FAB"/>
  </w:style>
  <w:style w:type="character" w:styleId="aa">
    <w:name w:val="Emphasis"/>
    <w:basedOn w:val="a0"/>
    <w:uiPriority w:val="20"/>
    <w:qFormat/>
    <w:rsid w:val="00585FAB"/>
    <w:rPr>
      <w:i/>
      <w:iCs/>
    </w:rPr>
  </w:style>
  <w:style w:type="table" w:styleId="11">
    <w:name w:val="Grid Table 1 Light"/>
    <w:basedOn w:val="a1"/>
    <w:uiPriority w:val="46"/>
    <w:rsid w:val="00585FAB"/>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b">
    <w:name w:val="Table Grid"/>
    <w:basedOn w:val="a1"/>
    <w:uiPriority w:val="59"/>
    <w:rsid w:val="00585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unhideWhenUsed/>
    <w:qFormat/>
    <w:rsid w:val="00585FAB"/>
    <w:rPr>
      <w:sz w:val="18"/>
      <w:szCs w:val="18"/>
    </w:rPr>
  </w:style>
  <w:style w:type="paragraph" w:styleId="ad">
    <w:name w:val="annotation text"/>
    <w:basedOn w:val="a"/>
    <w:link w:val="ae"/>
    <w:uiPriority w:val="99"/>
    <w:unhideWhenUsed/>
    <w:qFormat/>
    <w:rsid w:val="00585FAB"/>
  </w:style>
  <w:style w:type="character" w:customStyle="1" w:styleId="ae">
    <w:name w:val="批注文字 字符"/>
    <w:basedOn w:val="a0"/>
    <w:link w:val="ad"/>
    <w:uiPriority w:val="99"/>
    <w:qFormat/>
    <w:rsid w:val="00585FAB"/>
    <w:rPr>
      <w:rFonts w:ascii="Book Antiqua" w:eastAsia="Times New Roman" w:hAnsi="Book Antiqua" w:cs="Times New Roman"/>
    </w:rPr>
  </w:style>
  <w:style w:type="paragraph" w:styleId="af">
    <w:name w:val="annotation subject"/>
    <w:basedOn w:val="ad"/>
    <w:next w:val="ad"/>
    <w:link w:val="af0"/>
    <w:uiPriority w:val="99"/>
    <w:semiHidden/>
    <w:unhideWhenUsed/>
    <w:rsid w:val="00585FAB"/>
    <w:rPr>
      <w:b/>
      <w:bCs/>
      <w:sz w:val="20"/>
      <w:szCs w:val="20"/>
    </w:rPr>
  </w:style>
  <w:style w:type="character" w:customStyle="1" w:styleId="af0">
    <w:name w:val="批注主题 字符"/>
    <w:basedOn w:val="ae"/>
    <w:link w:val="af"/>
    <w:uiPriority w:val="99"/>
    <w:semiHidden/>
    <w:rsid w:val="00585FAB"/>
    <w:rPr>
      <w:rFonts w:ascii="Book Antiqua" w:eastAsia="Times New Roman" w:hAnsi="Book Antiqua" w:cs="Times New Roman"/>
      <w:b/>
      <w:bCs/>
      <w:sz w:val="20"/>
      <w:szCs w:val="20"/>
    </w:rPr>
  </w:style>
  <w:style w:type="paragraph" w:styleId="af1">
    <w:name w:val="Revision"/>
    <w:hidden/>
    <w:uiPriority w:val="99"/>
    <w:semiHidden/>
    <w:rsid w:val="00585FAB"/>
    <w:rPr>
      <w:rFonts w:ascii="Times New Roman" w:hAnsi="Times New Roman" w:cs="Times New Roman"/>
    </w:rPr>
  </w:style>
  <w:style w:type="paragraph" w:styleId="af2">
    <w:name w:val="Balloon Text"/>
    <w:basedOn w:val="a"/>
    <w:link w:val="af3"/>
    <w:uiPriority w:val="99"/>
    <w:semiHidden/>
    <w:unhideWhenUsed/>
    <w:rsid w:val="00585FAB"/>
    <w:rPr>
      <w:sz w:val="18"/>
      <w:szCs w:val="18"/>
    </w:rPr>
  </w:style>
  <w:style w:type="character" w:customStyle="1" w:styleId="af3">
    <w:name w:val="批注框文本 字符"/>
    <w:basedOn w:val="a0"/>
    <w:link w:val="af2"/>
    <w:uiPriority w:val="99"/>
    <w:semiHidden/>
    <w:rsid w:val="00585FAB"/>
    <w:rPr>
      <w:rFonts w:ascii="Book Antiqua" w:eastAsia="Times New Roman" w:hAnsi="Book Antiqua" w:cs="Times New Roman"/>
      <w:sz w:val="18"/>
      <w:szCs w:val="18"/>
    </w:rPr>
  </w:style>
  <w:style w:type="paragraph" w:styleId="af4">
    <w:name w:val="Normal (Web)"/>
    <w:basedOn w:val="a"/>
    <w:uiPriority w:val="99"/>
    <w:unhideWhenUsed/>
    <w:rsid w:val="00585FAB"/>
    <w:pPr>
      <w:spacing w:before="100" w:beforeAutospacing="1" w:after="100" w:afterAutospacing="1"/>
    </w:pPr>
  </w:style>
  <w:style w:type="paragraph" w:styleId="af5">
    <w:name w:val="List Paragraph"/>
    <w:basedOn w:val="a"/>
    <w:uiPriority w:val="34"/>
    <w:qFormat/>
    <w:rsid w:val="00585FAB"/>
    <w:pPr>
      <w:ind w:left="720"/>
      <w:contextualSpacing/>
    </w:pPr>
  </w:style>
  <w:style w:type="character" w:customStyle="1" w:styleId="label">
    <w:name w:val="label"/>
    <w:basedOn w:val="a0"/>
    <w:rsid w:val="00585FAB"/>
  </w:style>
  <w:style w:type="character" w:styleId="af6">
    <w:name w:val="Book Title"/>
    <w:basedOn w:val="a0"/>
    <w:uiPriority w:val="33"/>
    <w:qFormat/>
    <w:rsid w:val="00585FAB"/>
    <w:rPr>
      <w:b/>
      <w:bCs/>
      <w:i/>
      <w:iCs/>
      <w:spacing w:val="5"/>
    </w:rPr>
  </w:style>
  <w:style w:type="paragraph" w:customStyle="1" w:styleId="Default">
    <w:name w:val="Default"/>
    <w:rsid w:val="00585FAB"/>
    <w:pPr>
      <w:autoSpaceDE w:val="0"/>
      <w:autoSpaceDN w:val="0"/>
      <w:adjustRightInd w:val="0"/>
    </w:pPr>
    <w:rPr>
      <w:rFonts w:ascii="Book Antiqua" w:hAnsi="Book Antiqua" w:cs="Book Antiqua"/>
      <w:color w:val="000000"/>
      <w:lang w:val="en-US"/>
    </w:rPr>
  </w:style>
  <w:style w:type="character" w:customStyle="1" w:styleId="UnresolvedMention1">
    <w:name w:val="Unresolved Mention1"/>
    <w:basedOn w:val="a0"/>
    <w:uiPriority w:val="99"/>
    <w:rsid w:val="00585FAB"/>
    <w:rPr>
      <w:color w:val="605E5C"/>
      <w:shd w:val="clear" w:color="auto" w:fill="E1DFDD"/>
    </w:rPr>
  </w:style>
  <w:style w:type="paragraph" w:styleId="af7">
    <w:name w:val="caption"/>
    <w:basedOn w:val="a"/>
    <w:next w:val="a"/>
    <w:uiPriority w:val="35"/>
    <w:unhideWhenUsed/>
    <w:qFormat/>
    <w:rsid w:val="00585FAB"/>
    <w:pPr>
      <w:spacing w:after="100"/>
    </w:pPr>
    <w:rPr>
      <w:rFonts w:asciiTheme="minorHAnsi" w:hAnsiTheme="minorHAnsi" w:cstheme="minorHAnsi"/>
      <w:b/>
      <w:i/>
      <w:iCs/>
      <w:color w:val="000000" w:themeColor="text1"/>
      <w:lang w:val="en-US" w:eastAsia="en-GB"/>
    </w:rPr>
  </w:style>
  <w:style w:type="table" w:styleId="41">
    <w:name w:val="Plain Table 4"/>
    <w:basedOn w:val="a1"/>
    <w:uiPriority w:val="44"/>
    <w:rsid w:val="00585FAB"/>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table" w:styleId="af8">
    <w:name w:val="Grid Table Light"/>
    <w:basedOn w:val="a1"/>
    <w:uiPriority w:val="40"/>
    <w:rsid w:val="00585FAB"/>
    <w:rPr>
      <w:lang w:val="en-US"/>
    </w:rPr>
    <w:tblPr>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Pr>
  </w:style>
  <w:style w:type="character" w:customStyle="1" w:styleId="UnresolvedMention2">
    <w:name w:val="Unresolved Mention2"/>
    <w:basedOn w:val="a0"/>
    <w:uiPriority w:val="99"/>
    <w:semiHidden/>
    <w:unhideWhenUsed/>
    <w:rsid w:val="00585FAB"/>
    <w:rPr>
      <w:color w:val="605E5C"/>
      <w:shd w:val="clear" w:color="auto" w:fill="E1DFDD"/>
    </w:rPr>
  </w:style>
  <w:style w:type="paragraph" w:styleId="af9">
    <w:name w:val="header"/>
    <w:basedOn w:val="a"/>
    <w:link w:val="afa"/>
    <w:uiPriority w:val="99"/>
    <w:unhideWhenUsed/>
    <w:rsid w:val="00585FAB"/>
    <w:pPr>
      <w:tabs>
        <w:tab w:val="center" w:pos="4680"/>
        <w:tab w:val="right" w:pos="9360"/>
      </w:tabs>
      <w:spacing w:line="240" w:lineRule="auto"/>
    </w:pPr>
  </w:style>
  <w:style w:type="character" w:customStyle="1" w:styleId="afa">
    <w:name w:val="页眉 字符"/>
    <w:basedOn w:val="a0"/>
    <w:link w:val="af9"/>
    <w:uiPriority w:val="99"/>
    <w:rsid w:val="00585FAB"/>
    <w:rPr>
      <w:rFonts w:ascii="Book Antiqua" w:eastAsia="Times New Roman" w:hAnsi="Book Antiqua" w:cs="Times New Roman"/>
    </w:rPr>
  </w:style>
  <w:style w:type="paragraph" w:styleId="afb">
    <w:name w:val="Subtitle"/>
    <w:basedOn w:val="a"/>
    <w:next w:val="a"/>
    <w:link w:val="afc"/>
    <w:uiPriority w:val="11"/>
    <w:qFormat/>
    <w:rsid w:val="00585FA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c">
    <w:name w:val="副标题 字符"/>
    <w:basedOn w:val="a0"/>
    <w:link w:val="afb"/>
    <w:uiPriority w:val="11"/>
    <w:rsid w:val="00585FAB"/>
    <w:rPr>
      <w:rFonts w:eastAsiaTheme="minorEastAsia"/>
      <w:color w:val="5A5A5A" w:themeColor="text1" w:themeTint="A5"/>
      <w:spacing w:val="15"/>
      <w:sz w:val="22"/>
      <w:szCs w:val="22"/>
    </w:rPr>
  </w:style>
  <w:style w:type="table" w:customStyle="1" w:styleId="GridTable1Light1">
    <w:name w:val="Grid Table 1 Light1"/>
    <w:basedOn w:val="a1"/>
    <w:uiPriority w:val="46"/>
    <w:rsid w:val="00585FAB"/>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1">
    <w:name w:val="Plain Table 41"/>
    <w:basedOn w:val="a1"/>
    <w:uiPriority w:val="44"/>
    <w:rsid w:val="00585FAB"/>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table" w:customStyle="1" w:styleId="TableGridLight1">
    <w:name w:val="Table Grid Light1"/>
    <w:basedOn w:val="a1"/>
    <w:uiPriority w:val="40"/>
    <w:rsid w:val="00585FAB"/>
    <w:rPr>
      <w:lang w:val="en-US"/>
    </w:rPr>
    <w:tblPr>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Pr>
  </w:style>
  <w:style w:type="character" w:styleId="afd">
    <w:name w:val="Unresolved Mention"/>
    <w:basedOn w:val="a0"/>
    <w:uiPriority w:val="99"/>
    <w:semiHidden/>
    <w:unhideWhenUsed/>
    <w:rsid w:val="00585FAB"/>
    <w:rPr>
      <w:color w:val="605E5C"/>
      <w:shd w:val="clear" w:color="auto" w:fill="E1DFDD"/>
    </w:rPr>
  </w:style>
  <w:style w:type="character" w:styleId="afe">
    <w:name w:val="Intense Emphasis"/>
    <w:basedOn w:val="a0"/>
    <w:uiPriority w:val="21"/>
    <w:qFormat/>
    <w:rsid w:val="00585FAB"/>
    <w:rPr>
      <w:i/>
      <w:iCs/>
      <w:color w:val="4472C4" w:themeColor="accent1"/>
    </w:rPr>
  </w:style>
  <w:style w:type="character" w:styleId="aff">
    <w:name w:val="Strong"/>
    <w:basedOn w:val="a0"/>
    <w:uiPriority w:val="22"/>
    <w:qFormat/>
    <w:rsid w:val="00585FAB"/>
    <w:rPr>
      <w:b/>
      <w:bCs/>
    </w:rPr>
  </w:style>
  <w:style w:type="character" w:customStyle="1" w:styleId="UnresolvedMention3">
    <w:name w:val="Unresolved Mention3"/>
    <w:basedOn w:val="a0"/>
    <w:uiPriority w:val="99"/>
    <w:semiHidden/>
    <w:unhideWhenUsed/>
    <w:rsid w:val="00585FAB"/>
    <w:rPr>
      <w:color w:val="605E5C"/>
      <w:shd w:val="clear" w:color="auto" w:fill="E1DFDD"/>
    </w:rPr>
  </w:style>
  <w:style w:type="paragraph" w:customStyle="1" w:styleId="src">
    <w:name w:val="src"/>
    <w:basedOn w:val="a"/>
    <w:rsid w:val="008F0C5A"/>
    <w:pPr>
      <w:spacing w:before="100" w:beforeAutospacing="1" w:after="100" w:afterAutospacing="1" w:line="240" w:lineRule="auto"/>
      <w:jc w:val="left"/>
    </w:pPr>
    <w:rPr>
      <w:rFonts w:ascii="宋体" w:eastAsia="宋体" w:hAnsi="宋体" w:cs="宋体"/>
      <w:lang w:val="en-US" w:eastAsia="zh-CN"/>
    </w:rPr>
  </w:style>
  <w:style w:type="character" w:customStyle="1" w:styleId="12">
    <w:name w:val="批注文字 字符1"/>
    <w:basedOn w:val="a0"/>
    <w:uiPriority w:val="99"/>
    <w:qFormat/>
    <w:rsid w:val="008F0C5A"/>
    <w:rPr>
      <w:rFonts w:eastAsiaTheme="minorEastAsia"/>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88697">
      <w:bodyDiv w:val="1"/>
      <w:marLeft w:val="0"/>
      <w:marRight w:val="0"/>
      <w:marTop w:val="0"/>
      <w:marBottom w:val="0"/>
      <w:divBdr>
        <w:top w:val="none" w:sz="0" w:space="0" w:color="auto"/>
        <w:left w:val="none" w:sz="0" w:space="0" w:color="auto"/>
        <w:bottom w:val="none" w:sz="0" w:space="0" w:color="auto"/>
        <w:right w:val="none" w:sz="0" w:space="0" w:color="auto"/>
      </w:divBdr>
    </w:div>
    <w:div w:id="246354688">
      <w:bodyDiv w:val="1"/>
      <w:marLeft w:val="0"/>
      <w:marRight w:val="0"/>
      <w:marTop w:val="0"/>
      <w:marBottom w:val="0"/>
      <w:divBdr>
        <w:top w:val="none" w:sz="0" w:space="0" w:color="auto"/>
        <w:left w:val="none" w:sz="0" w:space="0" w:color="auto"/>
        <w:bottom w:val="none" w:sz="0" w:space="0" w:color="auto"/>
        <w:right w:val="none" w:sz="0" w:space="0" w:color="auto"/>
      </w:divBdr>
    </w:div>
    <w:div w:id="620301888">
      <w:bodyDiv w:val="1"/>
      <w:marLeft w:val="0"/>
      <w:marRight w:val="0"/>
      <w:marTop w:val="0"/>
      <w:marBottom w:val="0"/>
      <w:divBdr>
        <w:top w:val="none" w:sz="0" w:space="0" w:color="auto"/>
        <w:left w:val="none" w:sz="0" w:space="0" w:color="auto"/>
        <w:bottom w:val="none" w:sz="0" w:space="0" w:color="auto"/>
        <w:right w:val="none" w:sz="0" w:space="0" w:color="auto"/>
      </w:divBdr>
    </w:div>
    <w:div w:id="991326924">
      <w:bodyDiv w:val="1"/>
      <w:marLeft w:val="0"/>
      <w:marRight w:val="0"/>
      <w:marTop w:val="0"/>
      <w:marBottom w:val="0"/>
      <w:divBdr>
        <w:top w:val="none" w:sz="0" w:space="0" w:color="auto"/>
        <w:left w:val="none" w:sz="0" w:space="0" w:color="auto"/>
        <w:bottom w:val="none" w:sz="0" w:space="0" w:color="auto"/>
        <w:right w:val="none" w:sz="0" w:space="0" w:color="auto"/>
      </w:divBdr>
    </w:div>
    <w:div w:id="1305893009">
      <w:bodyDiv w:val="1"/>
      <w:marLeft w:val="0"/>
      <w:marRight w:val="0"/>
      <w:marTop w:val="0"/>
      <w:marBottom w:val="0"/>
      <w:divBdr>
        <w:top w:val="none" w:sz="0" w:space="0" w:color="auto"/>
        <w:left w:val="none" w:sz="0" w:space="0" w:color="auto"/>
        <w:bottom w:val="none" w:sz="0" w:space="0" w:color="auto"/>
        <w:right w:val="none" w:sz="0" w:space="0" w:color="auto"/>
      </w:divBdr>
    </w:div>
    <w:div w:id="1532961414">
      <w:bodyDiv w:val="1"/>
      <w:marLeft w:val="0"/>
      <w:marRight w:val="0"/>
      <w:marTop w:val="0"/>
      <w:marBottom w:val="0"/>
      <w:divBdr>
        <w:top w:val="none" w:sz="0" w:space="0" w:color="auto"/>
        <w:left w:val="none" w:sz="0" w:space="0" w:color="auto"/>
        <w:bottom w:val="none" w:sz="0" w:space="0" w:color="auto"/>
        <w:right w:val="none" w:sz="0" w:space="0" w:color="auto"/>
      </w:divBdr>
    </w:div>
    <w:div w:id="1816797164">
      <w:bodyDiv w:val="1"/>
      <w:marLeft w:val="0"/>
      <w:marRight w:val="0"/>
      <w:marTop w:val="0"/>
      <w:marBottom w:val="0"/>
      <w:divBdr>
        <w:top w:val="none" w:sz="0" w:space="0" w:color="auto"/>
        <w:left w:val="none" w:sz="0" w:space="0" w:color="auto"/>
        <w:bottom w:val="none" w:sz="0" w:space="0" w:color="auto"/>
        <w:right w:val="none" w:sz="0" w:space="0" w:color="auto"/>
      </w:divBdr>
    </w:div>
    <w:div w:id="1834947407">
      <w:bodyDiv w:val="1"/>
      <w:marLeft w:val="0"/>
      <w:marRight w:val="0"/>
      <w:marTop w:val="0"/>
      <w:marBottom w:val="0"/>
      <w:divBdr>
        <w:top w:val="none" w:sz="0" w:space="0" w:color="auto"/>
        <w:left w:val="none" w:sz="0" w:space="0" w:color="auto"/>
        <w:bottom w:val="none" w:sz="0" w:space="0" w:color="auto"/>
        <w:right w:val="none" w:sz="0" w:space="0" w:color="auto"/>
      </w:divBdr>
    </w:div>
    <w:div w:id="1835796115">
      <w:bodyDiv w:val="1"/>
      <w:marLeft w:val="0"/>
      <w:marRight w:val="0"/>
      <w:marTop w:val="0"/>
      <w:marBottom w:val="0"/>
      <w:divBdr>
        <w:top w:val="none" w:sz="0" w:space="0" w:color="auto"/>
        <w:left w:val="none" w:sz="0" w:space="0" w:color="auto"/>
        <w:bottom w:val="none" w:sz="0" w:space="0" w:color="auto"/>
        <w:right w:val="none" w:sz="0" w:space="0" w:color="auto"/>
      </w:divBdr>
    </w:div>
    <w:div w:id="1883977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F5099-BBC6-457D-B4A4-091A53DC3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14688</Words>
  <Characters>83724</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Athithan, Lavanya (Dr.)</dc:creator>
  <cp:keywords/>
  <dc:description/>
  <cp:lastModifiedBy>吴 云晓健</cp:lastModifiedBy>
  <cp:revision>13</cp:revision>
  <dcterms:created xsi:type="dcterms:W3CDTF">2019-09-26T04:25:00Z</dcterms:created>
  <dcterms:modified xsi:type="dcterms:W3CDTF">2019-10-14T03:17:00Z</dcterms:modified>
</cp:coreProperties>
</file>