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2A4C" w14:textId="69A11AD3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bookmarkStart w:id="0" w:name="_Hlk28619221"/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Name of Journal: </w:t>
      </w:r>
      <w:r w:rsidRPr="000D70CA">
        <w:rPr>
          <w:rFonts w:ascii="Book Antiqua" w:hAnsi="Book Antiqua"/>
          <w:i/>
          <w:iCs/>
          <w:color w:val="000000" w:themeColor="text1"/>
          <w:szCs w:val="24"/>
        </w:rPr>
        <w:t>World Journal of Gastrointestinal Surgery</w:t>
      </w:r>
    </w:p>
    <w:p w14:paraId="23A4BEE6" w14:textId="026F7B96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宋体"/>
          <w:b/>
          <w:i/>
          <w:color w:val="000000"/>
          <w:szCs w:val="24"/>
        </w:rPr>
      </w:pPr>
      <w:r w:rsidRPr="000D70CA">
        <w:rPr>
          <w:rFonts w:ascii="Book Antiqua" w:hAnsi="Book Antiqua" w:cs="Arial"/>
          <w:b/>
          <w:color w:val="000000"/>
          <w:szCs w:val="24"/>
          <w:lang w:val="en"/>
        </w:rPr>
        <w:t xml:space="preserve">Manuscript NO: </w:t>
      </w:r>
      <w:r w:rsidRPr="000D70CA">
        <w:rPr>
          <w:rFonts w:ascii="Book Antiqua" w:hAnsi="Book Antiqua" w:cs="Arial"/>
          <w:color w:val="000000"/>
          <w:szCs w:val="24"/>
          <w:lang w:val="en"/>
        </w:rPr>
        <w:t>53783</w:t>
      </w:r>
    </w:p>
    <w:p w14:paraId="023C35FB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eastAsia="幼圆" w:hAnsi="Book Antiqua"/>
          <w:b/>
          <w:i/>
          <w:color w:val="000000"/>
          <w:szCs w:val="24"/>
        </w:rPr>
      </w:pPr>
      <w:bookmarkStart w:id="1" w:name="OLE_LINK4"/>
      <w:r w:rsidRPr="000D70CA">
        <w:rPr>
          <w:rFonts w:ascii="Book Antiqua" w:hAnsi="Book Antiqua"/>
          <w:b/>
          <w:color w:val="000000"/>
          <w:szCs w:val="24"/>
          <w:shd w:val="clear" w:color="auto" w:fill="FFFFFF"/>
        </w:rPr>
        <w:t>Manuscript Type</w:t>
      </w:r>
      <w:bookmarkEnd w:id="1"/>
      <w:r w:rsidRPr="000D70CA">
        <w:rPr>
          <w:rFonts w:ascii="Book Antiqua" w:hAnsi="Book Antiqua"/>
          <w:b/>
          <w:color w:val="000000"/>
          <w:kern w:val="0"/>
          <w:szCs w:val="24"/>
        </w:rPr>
        <w:t xml:space="preserve">: </w:t>
      </w:r>
      <w:r w:rsidRPr="000D70CA">
        <w:rPr>
          <w:rFonts w:ascii="Book Antiqua" w:hAnsi="Book Antiqua"/>
          <w:szCs w:val="24"/>
        </w:rPr>
        <w:t>ORIGINAL ARTICLE</w:t>
      </w:r>
    </w:p>
    <w:p w14:paraId="5AEF890B" w14:textId="77777777" w:rsidR="00731DC4" w:rsidRPr="000D70CA" w:rsidRDefault="00731DC4" w:rsidP="00BE6C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0"/>
          <w:szCs w:val="24"/>
        </w:rPr>
      </w:pPr>
    </w:p>
    <w:p w14:paraId="5925FE25" w14:textId="1C5402C8" w:rsidR="00E044BF" w:rsidRPr="000D70CA" w:rsidRDefault="00731DC4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Retrospective Cohort Study</w:t>
      </w:r>
    </w:p>
    <w:p w14:paraId="01EBB820" w14:textId="0018B981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Mammalian </w:t>
      </w:r>
      <w:r w:rsidR="000A78AC" w:rsidRPr="000D70CA">
        <w:rPr>
          <w:rFonts w:ascii="Book Antiqua" w:hAnsi="Book Antiqua"/>
          <w:b/>
          <w:bCs/>
          <w:color w:val="000000" w:themeColor="text1"/>
          <w:szCs w:val="24"/>
        </w:rPr>
        <w:t>target of rapamycin inhibitors after post-transplant hepatocellular carcinoma recurrence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: Is it </w:t>
      </w:r>
      <w:r w:rsidR="000A78AC" w:rsidRPr="000D70CA">
        <w:rPr>
          <w:rFonts w:ascii="Book Antiqua" w:hAnsi="Book Antiqua"/>
          <w:b/>
          <w:bCs/>
          <w:color w:val="000000" w:themeColor="text1"/>
          <w:szCs w:val="24"/>
        </w:rPr>
        <w:t>too late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?</w:t>
      </w:r>
    </w:p>
    <w:p w14:paraId="2822578D" w14:textId="77777777" w:rsidR="000A78AC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3C71948C" w14:textId="6D7E3821" w:rsidR="00E044BF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Au KP </w:t>
      </w:r>
      <w:r w:rsidRPr="000D70CA">
        <w:rPr>
          <w:rFonts w:ascii="Book Antiqua" w:hAnsi="Book Antiqua"/>
          <w:i/>
          <w:iCs/>
          <w:color w:val="000000" w:themeColor="text1"/>
          <w:szCs w:val="24"/>
          <w:lang w:eastAsia="zh-CN"/>
        </w:rPr>
        <w:t>et al</w:t>
      </w:r>
      <w:r w:rsidRPr="000D70CA">
        <w:rPr>
          <w:rFonts w:ascii="Book Antiqua" w:hAnsi="Book Antiqua"/>
          <w:color w:val="000000" w:themeColor="text1"/>
          <w:szCs w:val="24"/>
          <w:lang w:eastAsia="zh-CN"/>
        </w:rPr>
        <w:t>.</w:t>
      </w:r>
      <w:r w:rsidR="00E044BF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>inhibitor for post-transplant HCC recurrence</w:t>
      </w:r>
    </w:p>
    <w:p w14:paraId="40C6212E" w14:textId="77777777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0BF3CB97" w14:textId="77777777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Kin Pan Au, Kenneth Siu Ho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Chok</w:t>
      </w:r>
      <w:proofErr w:type="spellEnd"/>
    </w:p>
    <w:p w14:paraId="22D60639" w14:textId="77777777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07B96C30" w14:textId="04AF75E9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Kin Pan Au, </w:t>
      </w:r>
      <w:r w:rsidRPr="000D70CA">
        <w:rPr>
          <w:rFonts w:ascii="Book Antiqua" w:hAnsi="Book Antiqua"/>
          <w:color w:val="000000" w:themeColor="text1"/>
          <w:szCs w:val="24"/>
        </w:rPr>
        <w:t>Department of Surgery, Queen Mary Hospital,</w:t>
      </w:r>
      <w:r w:rsidR="00731DC4" w:rsidRPr="000D70CA">
        <w:rPr>
          <w:rFonts w:ascii="Book Antiqua" w:hAnsi="Book Antiqua"/>
          <w:color w:val="000000" w:themeColor="text1"/>
          <w:szCs w:val="24"/>
        </w:rPr>
        <w:t xml:space="preserve"> Hong Kong 999077,</w:t>
      </w:r>
      <w:r w:rsidRPr="000D70CA">
        <w:rPr>
          <w:rFonts w:ascii="Book Antiqua" w:hAnsi="Book Antiqua"/>
          <w:color w:val="000000" w:themeColor="text1"/>
          <w:szCs w:val="24"/>
        </w:rPr>
        <w:t xml:space="preserve"> China</w:t>
      </w:r>
    </w:p>
    <w:p w14:paraId="6F7818BE" w14:textId="77777777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6D5A30C6" w14:textId="1E63E30F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Kenneth Siu Ho </w:t>
      </w:r>
      <w:proofErr w:type="spellStart"/>
      <w:r w:rsidRPr="000D70CA">
        <w:rPr>
          <w:rFonts w:ascii="Book Antiqua" w:hAnsi="Book Antiqua"/>
          <w:b/>
          <w:bCs/>
          <w:color w:val="000000" w:themeColor="text1"/>
          <w:szCs w:val="24"/>
        </w:rPr>
        <w:t>Chok</w:t>
      </w:r>
      <w:proofErr w:type="spellEnd"/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, </w:t>
      </w:r>
      <w:r w:rsidRPr="000D70CA">
        <w:rPr>
          <w:rFonts w:ascii="Book Antiqua" w:hAnsi="Book Antiqua"/>
          <w:color w:val="000000" w:themeColor="text1"/>
          <w:szCs w:val="24"/>
        </w:rPr>
        <w:t>Department of Surgery and State Key Laboratory for Liver Research, The University of Hong Kong, Hong Kong</w:t>
      </w:r>
      <w:r w:rsidR="00731DC4" w:rsidRPr="000D70CA">
        <w:rPr>
          <w:rFonts w:ascii="Book Antiqua" w:hAnsi="Book Antiqua"/>
          <w:color w:val="000000" w:themeColor="text1"/>
          <w:szCs w:val="24"/>
        </w:rPr>
        <w:t xml:space="preserve"> 999077</w:t>
      </w:r>
      <w:r w:rsidRPr="000D70CA">
        <w:rPr>
          <w:rFonts w:ascii="Book Antiqua" w:hAnsi="Book Antiqua"/>
          <w:color w:val="000000" w:themeColor="text1"/>
          <w:szCs w:val="24"/>
        </w:rPr>
        <w:t>, China</w:t>
      </w:r>
    </w:p>
    <w:p w14:paraId="380E1098" w14:textId="77777777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2ED282EE" w14:textId="3F6C6EBC" w:rsidR="00E044BF" w:rsidRPr="000D70CA" w:rsidRDefault="00731DC4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 xml:space="preserve">Author contributions: 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Chok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KSH proposed the study</w:t>
      </w:r>
      <w:r w:rsidR="000A78AC" w:rsidRPr="000D70CA">
        <w:rPr>
          <w:rFonts w:ascii="Book Antiqua" w:hAnsi="Book Antiqua"/>
          <w:color w:val="000000" w:themeColor="text1"/>
          <w:szCs w:val="24"/>
        </w:rPr>
        <w:t>;</w:t>
      </w:r>
      <w:r w:rsidR="00E044BF" w:rsidRPr="000D70CA">
        <w:rPr>
          <w:rFonts w:ascii="Book Antiqua" w:hAnsi="Book Antiqua"/>
          <w:color w:val="000000" w:themeColor="text1"/>
          <w:szCs w:val="24"/>
        </w:rPr>
        <w:t xml:space="preserve"> Au KP and 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Chok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KSH conducted the study and wrote the manuscript.</w:t>
      </w:r>
    </w:p>
    <w:p w14:paraId="0FA412B0" w14:textId="280018C8" w:rsidR="00E044BF" w:rsidRPr="000D70CA" w:rsidRDefault="00E044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50495C50" w14:textId="72B11589" w:rsidR="00E044BF" w:rsidRPr="000D70CA" w:rsidRDefault="00731DC4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>Corresponding author:</w:t>
      </w:r>
      <w:r w:rsidRPr="000D70CA">
        <w:rPr>
          <w:rFonts w:ascii="Book Antiqua" w:hAnsi="Book Antiqua"/>
          <w:color w:val="000000"/>
          <w:szCs w:val="24"/>
        </w:rPr>
        <w:t xml:space="preserve"> </w:t>
      </w:r>
      <w:r w:rsidR="000A78AC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Kenneth Siu Ho </w:t>
      </w:r>
      <w:proofErr w:type="spellStart"/>
      <w:r w:rsidR="000A78AC" w:rsidRPr="000D70CA">
        <w:rPr>
          <w:rFonts w:ascii="Book Antiqua" w:hAnsi="Book Antiqua"/>
          <w:b/>
          <w:bCs/>
          <w:color w:val="000000" w:themeColor="text1"/>
          <w:szCs w:val="24"/>
        </w:rPr>
        <w:t>Chok</w:t>
      </w:r>
      <w:proofErr w:type="spellEnd"/>
      <w:r w:rsidR="00E044BF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, </w:t>
      </w:r>
      <w:r w:rsidR="002A2D42" w:rsidRPr="000D70CA">
        <w:rPr>
          <w:rFonts w:ascii="Book Antiqua" w:hAnsi="Book Antiqua"/>
          <w:b/>
          <w:bCs/>
          <w:color w:val="000000" w:themeColor="text1"/>
          <w:szCs w:val="24"/>
        </w:rPr>
        <w:t>FACS, FRCS (Ed), MBBS, Associate Professor,</w:t>
      </w:r>
      <w:r w:rsidR="002A2D42" w:rsidRPr="000D70CA">
        <w:rPr>
          <w:rFonts w:ascii="Book Antiqua" w:hAnsi="Book Antiqua"/>
          <w:color w:val="000000" w:themeColor="text1"/>
          <w:szCs w:val="24"/>
        </w:rPr>
        <w:t xml:space="preserve"> Department of Surgery and State Key Laboratory for Liver Research, </w:t>
      </w:r>
      <w:r w:rsidR="00E044BF" w:rsidRPr="000D70CA">
        <w:rPr>
          <w:rFonts w:ascii="Book Antiqua" w:hAnsi="Book Antiqua"/>
          <w:color w:val="000000" w:themeColor="text1"/>
          <w:szCs w:val="24"/>
        </w:rPr>
        <w:t xml:space="preserve">The University of Hong Kong, 102 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Pok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Fu Lam Road, </w:t>
      </w:r>
      <w:r w:rsidRPr="000D70CA">
        <w:rPr>
          <w:rFonts w:ascii="Book Antiqua" w:hAnsi="Book Antiqua"/>
          <w:color w:val="000000" w:themeColor="text1"/>
          <w:szCs w:val="24"/>
        </w:rPr>
        <w:t xml:space="preserve">Hong Kong 999077, </w:t>
      </w:r>
      <w:r w:rsidR="00E044BF" w:rsidRPr="000D70CA">
        <w:rPr>
          <w:rFonts w:ascii="Book Antiqua" w:hAnsi="Book Antiqua"/>
          <w:color w:val="000000" w:themeColor="text1"/>
          <w:szCs w:val="24"/>
        </w:rPr>
        <w:t>China.</w:t>
      </w:r>
      <w:r w:rsidR="000A78AC"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 </w:t>
      </w:r>
      <w:r w:rsidR="00E044BF" w:rsidRPr="000D70CA">
        <w:rPr>
          <w:rFonts w:ascii="Book Antiqua" w:hAnsi="Book Antiqua"/>
          <w:color w:val="000000" w:themeColor="text1"/>
          <w:szCs w:val="24"/>
        </w:rPr>
        <w:t>chok6275@hku.hk</w:t>
      </w:r>
    </w:p>
    <w:p w14:paraId="5C21EDC7" w14:textId="77777777" w:rsidR="000A78AC" w:rsidRPr="000D70CA" w:rsidRDefault="000A78AC" w:rsidP="00BE6C9D">
      <w:pPr>
        <w:widowControl/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02A17D1C" w14:textId="3DB81093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 xml:space="preserve">Received: </w:t>
      </w:r>
      <w:r w:rsidRPr="000D70CA">
        <w:rPr>
          <w:rFonts w:ascii="Book Antiqua" w:hAnsi="Book Antiqua"/>
          <w:bCs/>
          <w:color w:val="000000"/>
          <w:szCs w:val="24"/>
          <w:lang w:eastAsia="zh-CN"/>
        </w:rPr>
        <w:t>December</w:t>
      </w:r>
      <w:r w:rsidRPr="000D70CA">
        <w:rPr>
          <w:rFonts w:ascii="Book Antiqua" w:hAnsi="Book Antiqua"/>
          <w:b/>
          <w:color w:val="000000"/>
          <w:szCs w:val="24"/>
          <w:lang w:eastAsia="zh-CN"/>
        </w:rPr>
        <w:t xml:space="preserve"> </w:t>
      </w:r>
      <w:r w:rsidRPr="000D70CA">
        <w:rPr>
          <w:rFonts w:ascii="Book Antiqua" w:hAnsi="Book Antiqua"/>
          <w:color w:val="000000"/>
          <w:szCs w:val="24"/>
        </w:rPr>
        <w:t>30, 2019</w:t>
      </w:r>
    </w:p>
    <w:p w14:paraId="0849480F" w14:textId="137ECCE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 xml:space="preserve">Revised: </w:t>
      </w:r>
      <w:r w:rsidRPr="000D70CA">
        <w:rPr>
          <w:rFonts w:ascii="Book Antiqua" w:hAnsi="Book Antiqua"/>
          <w:color w:val="000000"/>
          <w:szCs w:val="24"/>
        </w:rPr>
        <w:t>March 21, 2020</w:t>
      </w:r>
    </w:p>
    <w:p w14:paraId="7E5E135B" w14:textId="0DD9DDDF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>Accepted:</w:t>
      </w:r>
      <w:r w:rsidR="00AA795C" w:rsidRPr="000D70CA">
        <w:rPr>
          <w:rFonts w:ascii="Book Antiqua" w:hAnsi="Book Antiqua"/>
          <w:b/>
          <w:color w:val="000000"/>
          <w:szCs w:val="24"/>
        </w:rPr>
        <w:t xml:space="preserve"> </w:t>
      </w:r>
      <w:r w:rsidR="00AA795C" w:rsidRPr="000D70CA">
        <w:rPr>
          <w:rFonts w:ascii="Book Antiqua" w:hAnsi="Book Antiqua"/>
          <w:color w:val="000000"/>
          <w:szCs w:val="24"/>
        </w:rPr>
        <w:t>March 26, 2020</w:t>
      </w:r>
      <w:r w:rsidRPr="000D70CA">
        <w:rPr>
          <w:rFonts w:ascii="Book Antiqua" w:hAnsi="Book Antiqua"/>
          <w:b/>
          <w:color w:val="000000"/>
          <w:szCs w:val="24"/>
        </w:rPr>
        <w:t xml:space="preserve"> </w:t>
      </w:r>
    </w:p>
    <w:p w14:paraId="7A198BD2" w14:textId="207A68DC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>Published online:</w:t>
      </w:r>
      <w:r w:rsidR="00351644" w:rsidRPr="000D70CA">
        <w:t xml:space="preserve"> </w:t>
      </w:r>
      <w:r w:rsidR="00351644" w:rsidRPr="000D70CA">
        <w:rPr>
          <w:rFonts w:ascii="Book Antiqua" w:hAnsi="Book Antiqua"/>
          <w:color w:val="000000"/>
          <w:szCs w:val="24"/>
        </w:rPr>
        <w:t>April 27, 2020</w:t>
      </w:r>
    </w:p>
    <w:p w14:paraId="495C16A7" w14:textId="2CB5F919" w:rsidR="00E044BF" w:rsidRPr="000D70CA" w:rsidRDefault="00E044BF" w:rsidP="00BE6C9D">
      <w:pPr>
        <w:widowControl/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br w:type="page"/>
      </w:r>
    </w:p>
    <w:bookmarkEnd w:id="0"/>
    <w:p w14:paraId="7FFDAEC6" w14:textId="665950CD" w:rsidR="00AA1762" w:rsidRPr="000D70CA" w:rsidRDefault="00AA1762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lastRenderedPageBreak/>
        <w:t>Abstract</w:t>
      </w:r>
    </w:p>
    <w:p w14:paraId="4E548C84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Cs w:val="24"/>
        </w:rPr>
      </w:pPr>
      <w:r w:rsidRPr="000D70CA">
        <w:rPr>
          <w:rFonts w:ascii="Book Antiqua" w:hAnsi="Book Antiqua"/>
          <w:color w:val="000000"/>
          <w:szCs w:val="24"/>
        </w:rPr>
        <w:t>BACKGROUND</w:t>
      </w:r>
    </w:p>
    <w:p w14:paraId="32938E94" w14:textId="55B8D8A2" w:rsidR="000A78AC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Mammalian </w:t>
      </w:r>
      <w:r w:rsidR="00FB458A" w:rsidRPr="000D70CA">
        <w:rPr>
          <w:rFonts w:ascii="Book Antiqua" w:hAnsi="Book Antiqua"/>
          <w:color w:val="000000" w:themeColor="text1"/>
          <w:szCs w:val="24"/>
        </w:rPr>
        <w:t>target of rapamycin (</w:t>
      </w:r>
      <w:proofErr w:type="spellStart"/>
      <w:r w:rsidR="00FB458A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FB458A" w:rsidRPr="000D70CA">
        <w:rPr>
          <w:rFonts w:ascii="Book Antiqua" w:hAnsi="Book Antiqua"/>
          <w:color w:val="000000" w:themeColor="text1"/>
          <w:szCs w:val="24"/>
        </w:rPr>
        <w:t xml:space="preserve">) inhibitors have been shown to reduce the risk of </w:t>
      </w:r>
      <w:proofErr w:type="spellStart"/>
      <w:r w:rsidR="00FB458A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FB458A" w:rsidRPr="000D70CA">
        <w:rPr>
          <w:rFonts w:ascii="Book Antiqua" w:hAnsi="Book Antiqua"/>
          <w:color w:val="000000" w:themeColor="text1"/>
          <w:szCs w:val="24"/>
        </w:rPr>
        <w:t xml:space="preserve"> recurrence after liver transplantation for hepatocellular carcinoma (HCC). However, </w:t>
      </w:r>
      <w:r w:rsidR="00FC6CB4" w:rsidRPr="000D70CA">
        <w:rPr>
          <w:rFonts w:ascii="Book Antiqua" w:hAnsi="Book Antiqua"/>
          <w:color w:val="000000" w:themeColor="text1"/>
          <w:szCs w:val="24"/>
        </w:rPr>
        <w:t>their</w:t>
      </w:r>
      <w:r w:rsidR="00FB458A" w:rsidRPr="000D70CA">
        <w:rPr>
          <w:rFonts w:ascii="Book Antiqua" w:hAnsi="Book Antiqua"/>
          <w:color w:val="000000" w:themeColor="text1"/>
          <w:szCs w:val="24"/>
        </w:rPr>
        <w:t xml:space="preserve"> role in established post-transplant HCC recurrence is uncertain. </w:t>
      </w:r>
    </w:p>
    <w:p w14:paraId="40E5DD00" w14:textId="77777777" w:rsidR="000A78AC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1FD9D2CF" w14:textId="77777777" w:rsidR="000A78AC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AIM</w:t>
      </w:r>
    </w:p>
    <w:p w14:paraId="3B339447" w14:textId="2F5BA6B4" w:rsidR="00FB458A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proofErr w:type="gramStart"/>
      <w:r w:rsidRPr="000D70CA">
        <w:rPr>
          <w:rFonts w:ascii="Book Antiqua" w:hAnsi="Book Antiqua"/>
          <w:color w:val="000000" w:themeColor="text1"/>
          <w:szCs w:val="24"/>
        </w:rPr>
        <w:t>To</w:t>
      </w:r>
      <w:r w:rsidR="00FB458A" w:rsidRPr="000D70CA">
        <w:rPr>
          <w:rFonts w:ascii="Book Antiqua" w:hAnsi="Book Antiqua"/>
          <w:color w:val="000000" w:themeColor="text1"/>
          <w:szCs w:val="24"/>
        </w:rPr>
        <w:t xml:space="preserve"> investigate whether </w:t>
      </w:r>
      <w:proofErr w:type="spellStart"/>
      <w:r w:rsidR="00FB458A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FB458A" w:rsidRPr="000D70CA">
        <w:rPr>
          <w:rFonts w:ascii="Book Antiqua" w:hAnsi="Book Antiqua"/>
          <w:color w:val="000000" w:themeColor="text1"/>
          <w:szCs w:val="24"/>
        </w:rPr>
        <w:t xml:space="preserve"> inhibitor offers </w:t>
      </w:r>
      <w:r w:rsidR="00741894" w:rsidRPr="000D70CA">
        <w:rPr>
          <w:rFonts w:ascii="Book Antiqua" w:hAnsi="Book Antiqua"/>
          <w:color w:val="000000" w:themeColor="text1"/>
          <w:szCs w:val="24"/>
        </w:rPr>
        <w:t xml:space="preserve">a </w:t>
      </w:r>
      <w:r w:rsidR="00FB458A" w:rsidRPr="000D70CA">
        <w:rPr>
          <w:rFonts w:ascii="Book Antiqua" w:hAnsi="Book Antiqua"/>
          <w:color w:val="000000" w:themeColor="text1"/>
          <w:szCs w:val="24"/>
        </w:rPr>
        <w:t xml:space="preserve">survival benefit in </w:t>
      </w:r>
      <w:r w:rsidR="00741894" w:rsidRPr="000D70CA">
        <w:rPr>
          <w:rFonts w:ascii="Book Antiqua" w:hAnsi="Book Antiqua"/>
          <w:color w:val="000000" w:themeColor="text1"/>
          <w:szCs w:val="24"/>
        </w:rPr>
        <w:t>post-transplant HCC recurrence</w:t>
      </w:r>
      <w:r w:rsidR="00FB458A" w:rsidRPr="000D70CA">
        <w:rPr>
          <w:rFonts w:ascii="Book Antiqua" w:hAnsi="Book Antiqua"/>
          <w:color w:val="000000" w:themeColor="text1"/>
          <w:szCs w:val="24"/>
        </w:rPr>
        <w:t>.</w:t>
      </w:r>
      <w:proofErr w:type="gramEnd"/>
    </w:p>
    <w:p w14:paraId="14F85657" w14:textId="16151349" w:rsidR="00FB458A" w:rsidRPr="000D70CA" w:rsidRDefault="00FB458A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4E310C6A" w14:textId="498880B5" w:rsidR="000A78AC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METHODS</w:t>
      </w:r>
    </w:p>
    <w:p w14:paraId="41919C87" w14:textId="0401A559" w:rsidR="00FB458A" w:rsidRPr="000D70CA" w:rsidRDefault="00FB458A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A retrospective study of 143 patients who developed HCC recurrence after liver transplantation</w:t>
      </w:r>
      <w:r w:rsidR="006A3531" w:rsidRPr="000D70CA">
        <w:rPr>
          <w:rFonts w:ascii="Book Antiqua" w:hAnsi="Book Antiqua"/>
          <w:color w:val="000000" w:themeColor="text1"/>
          <w:szCs w:val="24"/>
        </w:rPr>
        <w:t xml:space="preserve"> was performed</w:t>
      </w:r>
      <w:r w:rsidRPr="000D70CA">
        <w:rPr>
          <w:rFonts w:ascii="Book Antiqua" w:hAnsi="Book Antiqua"/>
          <w:color w:val="000000" w:themeColor="text1"/>
          <w:szCs w:val="24"/>
        </w:rPr>
        <w:t xml:space="preserve">. They were divided into 2 groups based on whether they had received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inhibitor-based immunosuppression. The primary endpoint was post-recurrence survival. </w:t>
      </w:r>
    </w:p>
    <w:p w14:paraId="7DB4EF23" w14:textId="2147100C" w:rsidR="00FB458A" w:rsidRPr="000D70CA" w:rsidRDefault="00FB458A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09A3823B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FF"/>
          <w:szCs w:val="24"/>
          <w:lang w:val="en"/>
        </w:rPr>
      </w:pPr>
      <w:r w:rsidRPr="000D70CA">
        <w:rPr>
          <w:rFonts w:ascii="Book Antiqua" w:hAnsi="Book Antiqua"/>
          <w:color w:val="000000"/>
          <w:szCs w:val="24"/>
        </w:rPr>
        <w:t>RESULTS</w:t>
      </w:r>
    </w:p>
    <w:p w14:paraId="0A67B4E4" w14:textId="0685BA8D" w:rsidR="00FB458A" w:rsidRPr="000D70CA" w:rsidRDefault="00FB458A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Seventy-nine (55%) patients received </w:t>
      </w:r>
      <w:r w:rsidR="00FC6CB4" w:rsidRPr="000D70CA">
        <w:rPr>
          <w:rFonts w:ascii="Book Antiqua" w:hAnsi="Book Antiqua"/>
          <w:color w:val="000000" w:themeColor="text1"/>
          <w:szCs w:val="24"/>
        </w:rPr>
        <w:t xml:space="preserve">an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inhibitor-based immunosuppressive regime</w:t>
      </w:r>
      <w:r w:rsidR="00741894" w:rsidRPr="000D70CA">
        <w:rPr>
          <w:rFonts w:ascii="Book Antiqua" w:hAnsi="Book Antiqua"/>
          <w:color w:val="000000" w:themeColor="text1"/>
          <w:szCs w:val="24"/>
        </w:rPr>
        <w:t>,</w:t>
      </w:r>
      <w:r w:rsidRPr="000D70CA">
        <w:rPr>
          <w:rFonts w:ascii="Book Antiqua" w:hAnsi="Book Antiqua"/>
          <w:color w:val="000000" w:themeColor="text1"/>
          <w:szCs w:val="24"/>
        </w:rPr>
        <w:t xml:space="preserve"> while 64 (45%) </w:t>
      </w:r>
      <w:r w:rsidR="00741894" w:rsidRPr="000D70CA">
        <w:rPr>
          <w:rFonts w:ascii="Book Antiqua" w:hAnsi="Book Antiqua"/>
          <w:color w:val="000000" w:themeColor="text1"/>
          <w:szCs w:val="24"/>
        </w:rPr>
        <w:t>patients</w:t>
      </w:r>
      <w:r w:rsidRPr="000D70CA">
        <w:rPr>
          <w:rFonts w:ascii="Book Antiqua" w:hAnsi="Book Antiqua"/>
          <w:color w:val="000000" w:themeColor="text1"/>
          <w:szCs w:val="24"/>
        </w:rPr>
        <w:t xml:space="preserve"> did not. 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proofErr w:type="spellStart"/>
      <w:r w:rsidR="00215D2B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215D2B" w:rsidRPr="000D70CA">
        <w:rPr>
          <w:rFonts w:ascii="Book Antiqua" w:hAnsi="Book Antiqua"/>
          <w:color w:val="000000" w:themeColor="text1"/>
          <w:szCs w:val="24"/>
        </w:rPr>
        <w:t xml:space="preserve"> inhibitor group had a lower number of recurrent </w:t>
      </w:r>
      <w:proofErr w:type="spellStart"/>
      <w:r w:rsidR="00215D2B" w:rsidRPr="000D70CA">
        <w:rPr>
          <w:rFonts w:ascii="Book Antiqua" w:hAnsi="Book Antiqua"/>
          <w:color w:val="000000" w:themeColor="text1"/>
          <w:szCs w:val="24"/>
        </w:rPr>
        <w:t>tumours</w:t>
      </w:r>
      <w:proofErr w:type="spellEnd"/>
      <w:r w:rsidR="00215D2B" w:rsidRPr="000D70CA">
        <w:rPr>
          <w:rFonts w:ascii="Book Antiqua" w:hAnsi="Book Antiqua"/>
          <w:color w:val="000000" w:themeColor="text1"/>
          <w:szCs w:val="24"/>
        </w:rPr>
        <w:t xml:space="preserve"> (2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 5,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215D2B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0.02) and received more active treatments including radiotherapy (39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 22%,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215D2B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0.03) and targeted therapy (59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 23%,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215D2B" w:rsidRPr="000D70CA">
        <w:rPr>
          <w:rFonts w:ascii="Book Antiqua" w:hAnsi="Book Antiqua"/>
          <w:color w:val="000000" w:themeColor="text1"/>
          <w:szCs w:val="24"/>
        </w:rPr>
        <w:t>&lt;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0.001). </w:t>
      </w:r>
      <w:r w:rsidRPr="000D70CA">
        <w:rPr>
          <w:rFonts w:ascii="Book Antiqua" w:hAnsi="Book Antiqua"/>
          <w:color w:val="000000" w:themeColor="text1"/>
          <w:szCs w:val="24"/>
        </w:rPr>
        <w:t>The median post-recurrence survival was 21.0</w:t>
      </w:r>
      <w:r w:rsidR="000A78AC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0A78AC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 xml:space="preserve">4.1 </w:t>
      </w:r>
      <w:proofErr w:type="spellStart"/>
      <w:proofErr w:type="gramStart"/>
      <w:r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in </w:t>
      </w:r>
      <w:r w:rsidR="00741894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inhibitor group and 11.2</w:t>
      </w:r>
      <w:r w:rsidR="000A78AC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0A78AC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 xml:space="preserve">2.5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 the control group. 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Multivariate </w:t>
      </w:r>
      <w:r w:rsidR="00741894" w:rsidRPr="000D70CA">
        <w:rPr>
          <w:rFonts w:ascii="Book Antiqua" w:hAnsi="Book Antiqua"/>
          <w:color w:val="000000" w:themeColor="text1"/>
          <w:szCs w:val="24"/>
        </w:rPr>
        <w:t>C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ox regression analysis confirmed </w:t>
      </w:r>
      <w:r w:rsidR="00741894" w:rsidRPr="000D70CA">
        <w:rPr>
          <w:rFonts w:ascii="Book Antiqua" w:hAnsi="Book Antiqua"/>
          <w:color w:val="000000" w:themeColor="text1"/>
          <w:szCs w:val="24"/>
        </w:rPr>
        <w:t xml:space="preserve">that </w:t>
      </w:r>
      <w:proofErr w:type="spellStart"/>
      <w:r w:rsidR="00215D2B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215D2B" w:rsidRPr="000D70CA">
        <w:rPr>
          <w:rFonts w:ascii="Book Antiqua" w:hAnsi="Book Antiqua"/>
          <w:color w:val="000000" w:themeColor="text1"/>
          <w:szCs w:val="24"/>
        </w:rPr>
        <w:t xml:space="preserve"> inhibitor </w:t>
      </w:r>
      <w:r w:rsidR="00741894" w:rsidRPr="000D70CA">
        <w:rPr>
          <w:rFonts w:ascii="Book Antiqua" w:hAnsi="Book Antiqua"/>
          <w:color w:val="000000" w:themeColor="text1"/>
          <w:szCs w:val="24"/>
        </w:rPr>
        <w:t xml:space="preserve">therapy </w:t>
      </w:r>
      <w:r w:rsidR="00215D2B" w:rsidRPr="000D70CA">
        <w:rPr>
          <w:rFonts w:ascii="Book Antiqua" w:hAnsi="Book Antiqua"/>
          <w:color w:val="000000" w:themeColor="text1"/>
          <w:szCs w:val="24"/>
        </w:rPr>
        <w:t>was independently associated with improved post-recurrence survival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0F102D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F102D" w:rsidRPr="000D70CA">
        <w:rPr>
          <w:rFonts w:ascii="Book Antiqua" w:hAnsi="Book Antiqua"/>
          <w:color w:val="000000" w:themeColor="text1"/>
          <w:szCs w:val="24"/>
        </w:rPr>
        <w:t>0.04</w:t>
      </w:r>
      <w:r w:rsidR="00215D2B" w:rsidRPr="000D70CA">
        <w:rPr>
          <w:rFonts w:ascii="Book Antiqua" w:hAnsi="Book Antiqua"/>
          <w:color w:val="000000" w:themeColor="text1"/>
          <w:szCs w:val="24"/>
        </w:rPr>
        <w:t>, OR</w:t>
      </w:r>
      <w:r w:rsidR="000D71C3" w:rsidRPr="000D70CA">
        <w:rPr>
          <w:rFonts w:ascii="Book Antiqua" w:eastAsia="等线" w:hAnsi="Book Antiqua" w:hint="eastAsia"/>
          <w:color w:val="000000" w:themeColor="text1"/>
          <w:szCs w:val="24"/>
          <w:lang w:eastAsia="zh-CN"/>
        </w:rPr>
        <w:t xml:space="preserve"> = </w:t>
      </w:r>
      <w:r w:rsidR="00215D2B" w:rsidRPr="000D70CA">
        <w:rPr>
          <w:rFonts w:ascii="Book Antiqua" w:hAnsi="Book Antiqua"/>
          <w:color w:val="000000" w:themeColor="text1"/>
          <w:szCs w:val="24"/>
        </w:rPr>
        <w:t>0.</w:t>
      </w:r>
      <w:r w:rsidR="000F102D" w:rsidRPr="000D70CA">
        <w:rPr>
          <w:rFonts w:ascii="Book Antiqua" w:hAnsi="Book Antiqua"/>
          <w:color w:val="000000" w:themeColor="text1"/>
          <w:szCs w:val="24"/>
        </w:rPr>
        <w:t>482</w:t>
      </w:r>
      <w:r w:rsidR="00215D2B" w:rsidRPr="000D70CA">
        <w:rPr>
          <w:rFonts w:ascii="Book Antiqua" w:hAnsi="Book Antiqua"/>
          <w:color w:val="000000" w:themeColor="text1"/>
          <w:szCs w:val="24"/>
        </w:rPr>
        <w:t>, 95%CI</w:t>
      </w:r>
      <w:r w:rsidR="00AF289B" w:rsidRPr="000D70CA">
        <w:rPr>
          <w:rFonts w:ascii="Book Antiqua" w:hAnsi="Book Antiqua"/>
          <w:color w:val="000000" w:themeColor="text1"/>
          <w:szCs w:val="24"/>
        </w:rPr>
        <w:t>: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 0.</w:t>
      </w:r>
      <w:r w:rsidR="000F102D" w:rsidRPr="000D70CA">
        <w:rPr>
          <w:rFonts w:ascii="Book Antiqua" w:hAnsi="Book Antiqua"/>
          <w:color w:val="000000" w:themeColor="text1"/>
          <w:szCs w:val="24"/>
        </w:rPr>
        <w:t>241</w:t>
      </w:r>
      <w:r w:rsidR="00215D2B" w:rsidRPr="000D70CA">
        <w:rPr>
          <w:rFonts w:ascii="Book Antiqua" w:hAnsi="Book Antiqua"/>
          <w:color w:val="000000" w:themeColor="text1"/>
          <w:szCs w:val="24"/>
        </w:rPr>
        <w:t>-0.</w:t>
      </w:r>
      <w:r w:rsidR="000F102D" w:rsidRPr="000D70CA">
        <w:rPr>
          <w:rFonts w:ascii="Book Antiqua" w:hAnsi="Book Antiqua"/>
          <w:color w:val="000000" w:themeColor="text1"/>
          <w:szCs w:val="24"/>
        </w:rPr>
        <w:t>966)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741894" w:rsidRPr="000D70CA">
        <w:rPr>
          <w:rFonts w:ascii="Book Antiqua" w:hAnsi="Book Antiqua"/>
          <w:color w:val="000000" w:themeColor="text1"/>
          <w:szCs w:val="24"/>
        </w:rPr>
        <w:t>The n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umber of recurrent </w:t>
      </w:r>
      <w:proofErr w:type="spellStart"/>
      <w:r w:rsidR="00215D2B" w:rsidRPr="000D70CA">
        <w:rPr>
          <w:rFonts w:ascii="Book Antiqua" w:hAnsi="Book Antiqua"/>
          <w:color w:val="000000" w:themeColor="text1"/>
          <w:szCs w:val="24"/>
        </w:rPr>
        <w:t>tumours</w:t>
      </w:r>
      <w:proofErr w:type="spellEnd"/>
      <w:r w:rsidR="00215D2B" w:rsidRPr="000D70CA">
        <w:rPr>
          <w:rFonts w:ascii="Book Antiqua" w:hAnsi="Book Antiqua"/>
          <w:color w:val="000000" w:themeColor="text1"/>
          <w:szCs w:val="24"/>
        </w:rPr>
        <w:t xml:space="preserve"> and use of other treatment modalities did not affect survival. </w:t>
      </w:r>
      <w:r w:rsidR="00741894" w:rsidRPr="000D70CA">
        <w:rPr>
          <w:rFonts w:ascii="Book Antiqua" w:hAnsi="Book Antiqua"/>
          <w:color w:val="000000" w:themeColor="text1"/>
          <w:szCs w:val="24"/>
        </w:rPr>
        <w:t>N</w:t>
      </w:r>
      <w:r w:rsidR="00215D2B" w:rsidRPr="000D70CA">
        <w:rPr>
          <w:rFonts w:ascii="Book Antiqua" w:hAnsi="Book Antiqua"/>
          <w:color w:val="000000" w:themeColor="text1"/>
          <w:szCs w:val="24"/>
        </w:rPr>
        <w:t>o survival difference</w:t>
      </w:r>
      <w:r w:rsidR="00741894" w:rsidRPr="000D70CA">
        <w:rPr>
          <w:rFonts w:ascii="Book Antiqua" w:hAnsi="Book Antiqua"/>
          <w:color w:val="000000" w:themeColor="text1"/>
          <w:szCs w:val="24"/>
        </w:rPr>
        <w:t xml:space="preserve"> was</w:t>
      </w:r>
      <w:r w:rsidR="00215D2B" w:rsidRPr="000D70CA">
        <w:rPr>
          <w:rFonts w:ascii="Book Antiqua" w:hAnsi="Book Antiqua"/>
          <w:color w:val="000000" w:themeColor="text1"/>
          <w:szCs w:val="24"/>
        </w:rPr>
        <w:t xml:space="preserve"> observed between </w:t>
      </w:r>
      <w:proofErr w:type="spellStart"/>
      <w:r w:rsidR="00215D2B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215D2B" w:rsidRPr="000D70CA">
        <w:rPr>
          <w:rFonts w:ascii="Book Antiqua" w:hAnsi="Book Antiqua"/>
          <w:color w:val="000000" w:themeColor="text1"/>
          <w:szCs w:val="24"/>
        </w:rPr>
        <w:t xml:space="preserve"> inhibitor monotherapy and combination therapy with </w:t>
      </w:r>
      <w:proofErr w:type="spellStart"/>
      <w:r w:rsidR="00215D2B" w:rsidRPr="000D70CA">
        <w:rPr>
          <w:rFonts w:ascii="Book Antiqua" w:hAnsi="Book Antiqua"/>
          <w:color w:val="000000" w:themeColor="text1"/>
          <w:szCs w:val="24"/>
        </w:rPr>
        <w:t>calcineurin</w:t>
      </w:r>
      <w:proofErr w:type="spellEnd"/>
      <w:r w:rsidR="00215D2B" w:rsidRPr="000D70CA">
        <w:rPr>
          <w:rFonts w:ascii="Book Antiqua" w:hAnsi="Book Antiqua"/>
          <w:color w:val="000000" w:themeColor="text1"/>
          <w:szCs w:val="24"/>
        </w:rPr>
        <w:t xml:space="preserve"> inhibitor.</w:t>
      </w:r>
    </w:p>
    <w:p w14:paraId="479336EB" w14:textId="77777777" w:rsidR="00FB458A" w:rsidRPr="000D70CA" w:rsidRDefault="00FB458A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41B7EDDF" w14:textId="593BE241" w:rsidR="000A78AC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lastRenderedPageBreak/>
        <w:t>CONCLUSION</w:t>
      </w:r>
    </w:p>
    <w:p w14:paraId="1CDBB754" w14:textId="3B55590D" w:rsidR="00FB458A" w:rsidRPr="000D70CA" w:rsidRDefault="00215D2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proofErr w:type="spellStart"/>
      <w:proofErr w:type="gram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inhibitor</w:t>
      </w:r>
      <w:r w:rsidR="006A0E07" w:rsidRPr="000D70CA">
        <w:rPr>
          <w:rFonts w:ascii="Book Antiqua" w:hAnsi="Book Antiqua"/>
          <w:color w:val="000000" w:themeColor="text1"/>
          <w:szCs w:val="24"/>
        </w:rPr>
        <w:t>s</w:t>
      </w:r>
      <w:r w:rsidRPr="000D70CA">
        <w:rPr>
          <w:rFonts w:ascii="Book Antiqua" w:hAnsi="Book Antiqua"/>
          <w:color w:val="000000" w:themeColor="text1"/>
          <w:szCs w:val="24"/>
        </w:rPr>
        <w:t xml:space="preserve"> prolonged survival after post-transplant HCC recurrence.</w:t>
      </w:r>
    </w:p>
    <w:p w14:paraId="3E3F596D" w14:textId="7A16AFFF" w:rsidR="00FB458A" w:rsidRPr="000D70CA" w:rsidRDefault="00FB458A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536AC857" w14:textId="029CF586" w:rsidR="000A78AC" w:rsidRPr="000D70CA" w:rsidRDefault="00731DC4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  <w:lang w:eastAsia="zh-CN"/>
        </w:rPr>
      </w:pPr>
      <w:r w:rsidRPr="000D70CA">
        <w:rPr>
          <w:rFonts w:ascii="Book Antiqua" w:hAnsi="Book Antiqua"/>
          <w:b/>
          <w:color w:val="000000"/>
          <w:szCs w:val="24"/>
        </w:rPr>
        <w:t xml:space="preserve">Key words: </w:t>
      </w:r>
      <w:r w:rsidR="000A78AC" w:rsidRPr="000D70CA">
        <w:rPr>
          <w:rFonts w:ascii="Book Antiqua" w:hAnsi="Book Antiqua"/>
          <w:color w:val="000000" w:themeColor="text1"/>
          <w:szCs w:val="24"/>
        </w:rPr>
        <w:t>Mammalian target of rapamycin</w:t>
      </w:r>
      <w:r w:rsidR="000A78AC"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 inhibitor; Hepatocellular carcinoma; Recurrence; Liver transplant; Survival; Outcomes</w:t>
      </w:r>
    </w:p>
    <w:p w14:paraId="025D1006" w14:textId="77777777" w:rsidR="000A78AC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12683A68" w14:textId="4B31EEBB" w:rsidR="000A78AC" w:rsidRPr="000D70CA" w:rsidRDefault="008A3951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szCs w:val="24"/>
        </w:rPr>
      </w:pPr>
      <w:r w:rsidRPr="000D70CA">
        <w:rPr>
          <w:rFonts w:ascii="Book Antiqua" w:hAnsi="Book Antiqua" w:hint="eastAsia"/>
          <w:color w:val="000000" w:themeColor="text1"/>
          <w:szCs w:val="24"/>
          <w:lang w:eastAsia="zh-CN"/>
        </w:rPr>
        <w:t>Au</w:t>
      </w:r>
      <w:r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 </w:t>
      </w:r>
      <w:r w:rsidR="000A78AC" w:rsidRPr="000D70CA">
        <w:rPr>
          <w:rFonts w:ascii="Book Antiqua" w:hAnsi="Book Antiqua"/>
          <w:color w:val="000000" w:themeColor="text1"/>
          <w:szCs w:val="24"/>
        </w:rPr>
        <w:t xml:space="preserve">KP, </w:t>
      </w:r>
      <w:proofErr w:type="spellStart"/>
      <w:r w:rsidR="000A78AC" w:rsidRPr="000D70CA">
        <w:rPr>
          <w:rFonts w:ascii="Book Antiqua" w:hAnsi="Book Antiqua"/>
          <w:color w:val="000000" w:themeColor="text1"/>
          <w:szCs w:val="24"/>
        </w:rPr>
        <w:t>Chok</w:t>
      </w:r>
      <w:proofErr w:type="spellEnd"/>
      <w:r w:rsidR="000A78AC" w:rsidRPr="000D70CA">
        <w:rPr>
          <w:rFonts w:ascii="Book Antiqua" w:hAnsi="Book Antiqua"/>
          <w:color w:val="000000" w:themeColor="text1"/>
          <w:szCs w:val="24"/>
        </w:rPr>
        <w:t xml:space="preserve"> KSH. Mammalian target of rapamycin inhibitors after post-transplant hepatocellular carcinoma recurrence: Is it too late?</w:t>
      </w:r>
      <w:r w:rsidR="000A78AC"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 </w:t>
      </w:r>
      <w:r w:rsidR="00731DC4" w:rsidRPr="000D70CA">
        <w:rPr>
          <w:rFonts w:ascii="Book Antiqua" w:hAnsi="Book Antiqua"/>
          <w:i/>
          <w:color w:val="000000"/>
          <w:szCs w:val="24"/>
        </w:rPr>
        <w:t xml:space="preserve">World J </w:t>
      </w:r>
      <w:proofErr w:type="spellStart"/>
      <w:r w:rsidR="00731DC4" w:rsidRPr="000D70CA">
        <w:rPr>
          <w:rFonts w:ascii="Book Antiqua" w:hAnsi="Book Antiqua"/>
          <w:i/>
          <w:color w:val="000000"/>
          <w:szCs w:val="24"/>
        </w:rPr>
        <w:t>Gastrointest</w:t>
      </w:r>
      <w:proofErr w:type="spellEnd"/>
      <w:r w:rsidR="00731DC4" w:rsidRPr="000D70CA">
        <w:rPr>
          <w:rFonts w:ascii="Book Antiqua" w:hAnsi="Book Antiqua"/>
          <w:i/>
          <w:color w:val="000000"/>
          <w:szCs w:val="24"/>
        </w:rPr>
        <w:t xml:space="preserve"> </w:t>
      </w:r>
      <w:proofErr w:type="spellStart"/>
      <w:r w:rsidR="00731DC4" w:rsidRPr="000D70CA">
        <w:rPr>
          <w:rFonts w:ascii="Book Antiqua" w:hAnsi="Book Antiqua"/>
          <w:i/>
          <w:color w:val="000000"/>
          <w:szCs w:val="24"/>
        </w:rPr>
        <w:t>Surg</w:t>
      </w:r>
      <w:proofErr w:type="spellEnd"/>
      <w:r w:rsidR="00731DC4" w:rsidRPr="000D70CA">
        <w:rPr>
          <w:rFonts w:ascii="Book Antiqua" w:hAnsi="Book Antiqua"/>
          <w:color w:val="000000"/>
          <w:szCs w:val="24"/>
        </w:rPr>
        <w:t xml:space="preserve"> 2020; </w:t>
      </w:r>
      <w:r w:rsidR="00351644" w:rsidRPr="000D70CA">
        <w:rPr>
          <w:rFonts w:ascii="Book Antiqua" w:hAnsi="Book Antiqua"/>
          <w:bCs/>
          <w:szCs w:val="24"/>
        </w:rPr>
        <w:t xml:space="preserve">12(4): </w:t>
      </w:r>
      <w:r w:rsidR="000D70CA" w:rsidRPr="000D70CA">
        <w:rPr>
          <w:rFonts w:ascii="Book Antiqua" w:hAnsi="Book Antiqua"/>
          <w:bCs/>
          <w:szCs w:val="24"/>
        </w:rPr>
        <w:t>149-158</w:t>
      </w:r>
      <w:r w:rsidR="00351644" w:rsidRPr="000D70CA">
        <w:rPr>
          <w:rFonts w:ascii="Book Antiqua" w:hAnsi="Book Antiqua"/>
          <w:bCs/>
          <w:szCs w:val="24"/>
        </w:rPr>
        <w:t xml:space="preserve"> URL: https://www.wjgnet.com/1948-9366/full/v12/i4/</w:t>
      </w:r>
      <w:r w:rsidR="000D70CA" w:rsidRPr="000D70CA">
        <w:rPr>
          <w:rFonts w:ascii="Book Antiqua" w:hAnsi="Book Antiqua"/>
          <w:bCs/>
          <w:szCs w:val="24"/>
        </w:rPr>
        <w:t>149</w:t>
      </w:r>
      <w:r w:rsidR="00351644" w:rsidRPr="000D70CA">
        <w:rPr>
          <w:rFonts w:ascii="Book Antiqua" w:hAnsi="Book Antiqua"/>
          <w:bCs/>
          <w:szCs w:val="24"/>
        </w:rPr>
        <w:t>.htm DOI: https://dx.doi.org/10.4240/wjgs.v12.i4.</w:t>
      </w:r>
      <w:r w:rsidR="000D70CA" w:rsidRPr="000D70CA">
        <w:rPr>
          <w:rFonts w:ascii="Book Antiqua" w:hAnsi="Book Antiqua"/>
          <w:bCs/>
          <w:szCs w:val="24"/>
        </w:rPr>
        <w:t>149</w:t>
      </w:r>
    </w:p>
    <w:p w14:paraId="43957256" w14:textId="77777777" w:rsidR="000A78AC" w:rsidRPr="000D70CA" w:rsidRDefault="000A78A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30070421" w14:textId="5ECFF49D" w:rsidR="00E044BF" w:rsidRPr="000D70CA" w:rsidRDefault="00731DC4" w:rsidP="00BE6C9D">
      <w:pPr>
        <w:widowControl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>Core tip:</w:t>
      </w:r>
      <w:r w:rsidRPr="000D70CA">
        <w:rPr>
          <w:rFonts w:ascii="Book Antiqua" w:hAnsi="Book Antiqua"/>
          <w:color w:val="000000"/>
          <w:szCs w:val="24"/>
        </w:rPr>
        <w:t xml:space="preserve"> </w:t>
      </w:r>
      <w:r w:rsidR="00E044BF" w:rsidRPr="000D70CA">
        <w:rPr>
          <w:rFonts w:ascii="Book Antiqua" w:hAnsi="Book Antiqua"/>
          <w:color w:val="000000" w:themeColor="text1"/>
          <w:szCs w:val="24"/>
        </w:rPr>
        <w:t>Mammalian target of rapamycin (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) inhibitors have been shown to reduce the risk of 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recurrence after liver transplantation for hepatocellular carcinoma (HCC). However, </w:t>
      </w:r>
      <w:r w:rsidR="00741894" w:rsidRPr="000D70CA">
        <w:rPr>
          <w:rFonts w:ascii="Book Antiqua" w:hAnsi="Book Antiqua"/>
          <w:color w:val="000000" w:themeColor="text1"/>
          <w:szCs w:val="24"/>
        </w:rPr>
        <w:t>their</w:t>
      </w:r>
      <w:r w:rsidR="00E044BF" w:rsidRPr="000D70CA">
        <w:rPr>
          <w:rFonts w:ascii="Book Antiqua" w:hAnsi="Book Antiqua"/>
          <w:color w:val="000000" w:themeColor="text1"/>
          <w:szCs w:val="24"/>
        </w:rPr>
        <w:t xml:space="preserve"> role in established post-transplant HCC recurrence is uncertain. A retrospective study of 143 patients who developed HCC recurrence after liver transplantation was performed. Seventy-nine (55%) patients received </w:t>
      </w:r>
      <w:r w:rsidR="00741894" w:rsidRPr="000D70CA">
        <w:rPr>
          <w:rFonts w:ascii="Book Antiqua" w:hAnsi="Book Antiqua"/>
          <w:color w:val="000000" w:themeColor="text1"/>
          <w:szCs w:val="24"/>
        </w:rPr>
        <w:t>a</w:t>
      </w:r>
      <w:r w:rsidR="00FC6CB4" w:rsidRPr="000D70CA">
        <w:rPr>
          <w:rFonts w:ascii="Book Antiqua" w:hAnsi="Book Antiqua"/>
          <w:color w:val="000000" w:themeColor="text1"/>
          <w:szCs w:val="24"/>
        </w:rPr>
        <w:t>n</w:t>
      </w:r>
      <w:r w:rsidR="00741894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inhibitor-based immunosuppressive regime</w:t>
      </w:r>
      <w:r w:rsidR="00741894" w:rsidRPr="000D70CA">
        <w:rPr>
          <w:rFonts w:ascii="Book Antiqua" w:hAnsi="Book Antiqua"/>
          <w:color w:val="000000" w:themeColor="text1"/>
          <w:szCs w:val="24"/>
        </w:rPr>
        <w:t>,</w:t>
      </w:r>
      <w:r w:rsidR="00E044BF" w:rsidRPr="000D70CA">
        <w:rPr>
          <w:rFonts w:ascii="Book Antiqua" w:hAnsi="Book Antiqua"/>
          <w:color w:val="000000" w:themeColor="text1"/>
          <w:szCs w:val="24"/>
        </w:rPr>
        <w:t xml:space="preserve"> while 64 (45%) </w:t>
      </w:r>
      <w:r w:rsidR="00741894" w:rsidRPr="000D70CA">
        <w:rPr>
          <w:rFonts w:ascii="Book Antiqua" w:hAnsi="Book Antiqua"/>
          <w:color w:val="000000" w:themeColor="text1"/>
          <w:szCs w:val="24"/>
        </w:rPr>
        <w:t>patients</w:t>
      </w:r>
      <w:r w:rsidR="00E044BF" w:rsidRPr="000D70CA">
        <w:rPr>
          <w:rFonts w:ascii="Book Antiqua" w:hAnsi="Book Antiqua"/>
          <w:color w:val="000000" w:themeColor="text1"/>
          <w:szCs w:val="24"/>
        </w:rPr>
        <w:t xml:space="preserve"> did not. The median post-recurrence survival was 21.0</w:t>
      </w:r>
      <w:r w:rsidR="000A78AC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044BF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0A78AC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E044BF" w:rsidRPr="000D70CA">
        <w:rPr>
          <w:rFonts w:ascii="Book Antiqua" w:hAnsi="Book Antiqua"/>
          <w:color w:val="000000" w:themeColor="text1"/>
          <w:szCs w:val="24"/>
        </w:rPr>
        <w:t xml:space="preserve">4.1 </w:t>
      </w:r>
      <w:proofErr w:type="spellStart"/>
      <w:proofErr w:type="gramStart"/>
      <w:r w:rsidR="00E044BF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proofErr w:type="gram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in </w:t>
      </w:r>
      <w:r w:rsidR="00741894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inhibitor group and 11.2</w:t>
      </w:r>
      <w:r w:rsidR="000A78AC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044BF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0A78AC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E044BF" w:rsidRPr="000D70CA">
        <w:rPr>
          <w:rFonts w:ascii="Book Antiqua" w:hAnsi="Book Antiqua"/>
          <w:color w:val="000000" w:themeColor="text1"/>
          <w:szCs w:val="24"/>
        </w:rPr>
        <w:t xml:space="preserve">2.5 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in the control group. Multivariate </w:t>
      </w:r>
      <w:r w:rsidR="00741894" w:rsidRPr="000D70CA">
        <w:rPr>
          <w:rFonts w:ascii="Book Antiqua" w:hAnsi="Book Antiqua"/>
          <w:color w:val="000000" w:themeColor="text1"/>
          <w:szCs w:val="24"/>
        </w:rPr>
        <w:t>C</w:t>
      </w:r>
      <w:r w:rsidR="00E044BF" w:rsidRPr="000D70CA">
        <w:rPr>
          <w:rFonts w:ascii="Book Antiqua" w:hAnsi="Book Antiqua"/>
          <w:color w:val="000000" w:themeColor="text1"/>
          <w:szCs w:val="24"/>
        </w:rPr>
        <w:t xml:space="preserve">ox regression analysis confirmed </w:t>
      </w:r>
      <w:r w:rsidR="00741894" w:rsidRPr="000D70CA">
        <w:rPr>
          <w:rFonts w:ascii="Book Antiqua" w:hAnsi="Book Antiqua"/>
          <w:color w:val="000000" w:themeColor="text1"/>
          <w:szCs w:val="24"/>
        </w:rPr>
        <w:t xml:space="preserve">that </w:t>
      </w:r>
      <w:proofErr w:type="spellStart"/>
      <w:r w:rsidR="00E044BF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E044BF" w:rsidRPr="000D70CA">
        <w:rPr>
          <w:rFonts w:ascii="Book Antiqua" w:hAnsi="Book Antiqua"/>
          <w:color w:val="000000" w:themeColor="text1"/>
          <w:szCs w:val="24"/>
        </w:rPr>
        <w:t xml:space="preserve"> inhibitor </w:t>
      </w:r>
      <w:r w:rsidR="00741894" w:rsidRPr="000D70CA">
        <w:rPr>
          <w:rFonts w:ascii="Book Antiqua" w:hAnsi="Book Antiqua"/>
          <w:color w:val="000000" w:themeColor="text1"/>
          <w:szCs w:val="24"/>
        </w:rPr>
        <w:t xml:space="preserve">therapy </w:t>
      </w:r>
      <w:r w:rsidR="00E044BF" w:rsidRPr="000D70CA">
        <w:rPr>
          <w:rFonts w:ascii="Book Antiqua" w:hAnsi="Book Antiqua"/>
          <w:color w:val="000000" w:themeColor="text1"/>
          <w:szCs w:val="24"/>
        </w:rPr>
        <w:t>was independently associated with improved post-recurrence survival</w:t>
      </w:r>
      <w:r w:rsidR="006A0E07" w:rsidRPr="000D70CA">
        <w:rPr>
          <w:rFonts w:ascii="Book Antiqua" w:hAnsi="Book Antiqua"/>
          <w:color w:val="000000" w:themeColor="text1"/>
          <w:szCs w:val="24"/>
        </w:rPr>
        <w:t xml:space="preserve">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6A0E07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6A0E07" w:rsidRPr="000D70CA">
        <w:rPr>
          <w:rFonts w:ascii="Book Antiqua" w:hAnsi="Book Antiqua"/>
          <w:color w:val="000000" w:themeColor="text1"/>
          <w:szCs w:val="24"/>
        </w:rPr>
        <w:t xml:space="preserve">0.04, OR </w:t>
      </w:r>
      <w:r w:rsidR="00A33727" w:rsidRPr="000D70CA">
        <w:rPr>
          <w:rFonts w:ascii="Book Antiqua" w:hAnsi="Book Antiqua"/>
          <w:color w:val="000000" w:themeColor="text1"/>
          <w:szCs w:val="24"/>
        </w:rPr>
        <w:t>=</w:t>
      </w:r>
      <w:r w:rsidR="00A33727" w:rsidRPr="000D70CA">
        <w:rPr>
          <w:rFonts w:ascii="Book Antiqua" w:eastAsia="等线" w:hAnsi="Book Antiqua" w:hint="eastAsia"/>
          <w:color w:val="000000" w:themeColor="text1"/>
          <w:szCs w:val="24"/>
          <w:lang w:eastAsia="zh-CN"/>
        </w:rPr>
        <w:t xml:space="preserve"> </w:t>
      </w:r>
      <w:r w:rsidR="006A0E07" w:rsidRPr="000D70CA">
        <w:rPr>
          <w:rFonts w:ascii="Book Antiqua" w:hAnsi="Book Antiqua"/>
          <w:color w:val="000000" w:themeColor="text1"/>
          <w:szCs w:val="24"/>
        </w:rPr>
        <w:t>0.482, 95%CI</w:t>
      </w:r>
      <w:r w:rsidR="00AF289B" w:rsidRPr="000D70CA">
        <w:rPr>
          <w:rFonts w:ascii="Book Antiqua" w:hAnsi="Book Antiqua"/>
          <w:color w:val="000000" w:themeColor="text1"/>
          <w:szCs w:val="24"/>
        </w:rPr>
        <w:t>:</w:t>
      </w:r>
      <w:r w:rsidR="006A0E07" w:rsidRPr="000D70CA">
        <w:rPr>
          <w:rFonts w:ascii="Book Antiqua" w:hAnsi="Book Antiqua"/>
          <w:color w:val="000000" w:themeColor="text1"/>
          <w:szCs w:val="24"/>
        </w:rPr>
        <w:t xml:space="preserve"> 0.241-0.966)</w:t>
      </w:r>
      <w:r w:rsidR="00E044BF" w:rsidRPr="000D70CA">
        <w:rPr>
          <w:rFonts w:ascii="Book Antiqua" w:hAnsi="Book Antiqua"/>
          <w:color w:val="000000" w:themeColor="text1"/>
          <w:szCs w:val="24"/>
        </w:rPr>
        <w:t>.</w:t>
      </w:r>
    </w:p>
    <w:p w14:paraId="708CA41B" w14:textId="77777777" w:rsidR="00E044BF" w:rsidRPr="000D70CA" w:rsidRDefault="00E044BF" w:rsidP="00BE6C9D">
      <w:pPr>
        <w:widowControl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br w:type="page"/>
      </w:r>
    </w:p>
    <w:p w14:paraId="3D68B952" w14:textId="759A4CC9" w:rsidR="00731DC4" w:rsidRPr="000D70CA" w:rsidRDefault="00731DC4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b/>
          <w:color w:val="000000"/>
          <w:szCs w:val="24"/>
          <w:u w:val="single"/>
        </w:rPr>
        <w:lastRenderedPageBreak/>
        <w:t>INTRODUCTION</w:t>
      </w:r>
    </w:p>
    <w:p w14:paraId="2DCC8FC2" w14:textId="40B41BB2" w:rsidR="00B9449F" w:rsidRPr="000D70CA" w:rsidRDefault="00D36991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proofErr w:type="spellStart"/>
      <w:r w:rsidRPr="000D70CA">
        <w:rPr>
          <w:rFonts w:ascii="Book Antiqua" w:hAnsi="Book Antiqua"/>
          <w:color w:val="000000" w:themeColor="text1"/>
          <w:szCs w:val="24"/>
        </w:rPr>
        <w:t>Calcineurin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inhibitors (CNI)</w:t>
      </w:r>
      <w:r w:rsidR="00B9449F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>form the cornerstone of</w:t>
      </w:r>
      <w:r w:rsidR="00E8530E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>immunosuppressive therapy</w:t>
      </w:r>
      <w:r w:rsidR="00B101C9" w:rsidRPr="000D70CA">
        <w:rPr>
          <w:rFonts w:ascii="Book Antiqua" w:hAnsi="Book Antiqua"/>
          <w:color w:val="000000" w:themeColor="text1"/>
          <w:szCs w:val="24"/>
        </w:rPr>
        <w:t xml:space="preserve"> after liver transplantation</w:t>
      </w:r>
      <w:r w:rsidRPr="000D70CA">
        <w:rPr>
          <w:rFonts w:ascii="Book Antiqua" w:hAnsi="Book Antiqua"/>
          <w:color w:val="000000" w:themeColor="text1"/>
          <w:szCs w:val="24"/>
        </w:rPr>
        <w:t xml:space="preserve">. However, </w:t>
      </w:r>
      <w:r w:rsidR="00A86A11" w:rsidRPr="000D70CA">
        <w:rPr>
          <w:rFonts w:ascii="Book Antiqua" w:hAnsi="Book Antiqua"/>
          <w:color w:val="000000" w:themeColor="text1"/>
          <w:szCs w:val="24"/>
        </w:rPr>
        <w:t>CNIs promote</w:t>
      </w:r>
      <w:r w:rsidRPr="000D70CA">
        <w:rPr>
          <w:rFonts w:ascii="Book Antiqua" w:hAnsi="Book Antiqua"/>
          <w:color w:val="000000" w:themeColor="text1"/>
          <w:szCs w:val="24"/>
        </w:rPr>
        <w:t xml:space="preserve"> cancerous </w:t>
      </w:r>
      <w:proofErr w:type="gramStart"/>
      <w:r w:rsidR="00A85831" w:rsidRPr="000D70CA">
        <w:rPr>
          <w:rFonts w:ascii="Book Antiqua" w:hAnsi="Book Antiqua"/>
          <w:color w:val="000000" w:themeColor="text1"/>
          <w:szCs w:val="24"/>
        </w:rPr>
        <w:t>growth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A86A1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D5602F" w:rsidRPr="000D70CA">
        <w:rPr>
          <w:rFonts w:ascii="Book Antiqua" w:hAnsi="Book Antiqua"/>
          <w:color w:val="000000" w:themeColor="text1"/>
          <w:szCs w:val="24"/>
        </w:rPr>
        <w:t xml:space="preserve">and </w:t>
      </w:r>
      <w:r w:rsidR="00A86A11" w:rsidRPr="000D70CA">
        <w:rPr>
          <w:rFonts w:ascii="Book Antiqua" w:hAnsi="Book Antiqua"/>
          <w:color w:val="000000" w:themeColor="text1"/>
          <w:szCs w:val="24"/>
        </w:rPr>
        <w:t xml:space="preserve">studies have demonstrated </w:t>
      </w:r>
      <w:r w:rsidR="00D5602F" w:rsidRPr="000D70CA">
        <w:rPr>
          <w:rFonts w:ascii="Book Antiqua" w:hAnsi="Book Antiqua"/>
          <w:color w:val="000000" w:themeColor="text1"/>
          <w:szCs w:val="24"/>
        </w:rPr>
        <w:t xml:space="preserve">a dose-dependent </w:t>
      </w:r>
      <w:r w:rsidR="00B9449F" w:rsidRPr="000D70CA">
        <w:rPr>
          <w:rFonts w:ascii="Book Antiqua" w:hAnsi="Book Antiqua"/>
          <w:color w:val="000000" w:themeColor="text1"/>
          <w:szCs w:val="24"/>
        </w:rPr>
        <w:t>relationship with</w:t>
      </w:r>
      <w:r w:rsidR="00D5602F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D5602F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D5602F" w:rsidRPr="000D70CA">
        <w:rPr>
          <w:rFonts w:ascii="Book Antiqua" w:hAnsi="Book Antiqua"/>
          <w:color w:val="000000" w:themeColor="text1"/>
          <w:szCs w:val="24"/>
        </w:rPr>
        <w:t xml:space="preserve"> recurrence in patients transplanted for hepatocellular carcinoma (HCC)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2,3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D5602F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A86A11" w:rsidRPr="000D70CA">
        <w:rPr>
          <w:rFonts w:ascii="Book Antiqua" w:hAnsi="Book Antiqua"/>
          <w:color w:val="000000" w:themeColor="text1"/>
          <w:szCs w:val="24"/>
        </w:rPr>
        <w:t xml:space="preserve">In contrast, </w:t>
      </w:r>
      <w:r w:rsidR="00651CC7" w:rsidRPr="000D70CA">
        <w:rPr>
          <w:rFonts w:ascii="Book Antiqua" w:hAnsi="Book Antiqua"/>
          <w:color w:val="000000" w:themeColor="text1"/>
          <w:szCs w:val="24"/>
        </w:rPr>
        <w:t>mammalian target of rapamycin</w:t>
      </w:r>
      <w:r w:rsidR="00E8530E" w:rsidRPr="000D70CA">
        <w:rPr>
          <w:rFonts w:ascii="Book Antiqua" w:hAnsi="Book Antiqua"/>
          <w:color w:val="000000" w:themeColor="text1"/>
          <w:szCs w:val="24"/>
        </w:rPr>
        <w:t xml:space="preserve"> (</w:t>
      </w:r>
      <w:proofErr w:type="spellStart"/>
      <w:r w:rsidR="00E8530E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E8530E" w:rsidRPr="000D70CA">
        <w:rPr>
          <w:rFonts w:ascii="Book Antiqua" w:hAnsi="Book Antiqua"/>
          <w:color w:val="000000" w:themeColor="text1"/>
          <w:szCs w:val="24"/>
        </w:rPr>
        <w:t>)</w:t>
      </w:r>
      <w:r w:rsidR="00651CC7" w:rsidRPr="000D70CA">
        <w:rPr>
          <w:rFonts w:ascii="Book Antiqua" w:hAnsi="Book Antiqua"/>
          <w:color w:val="000000" w:themeColor="text1"/>
          <w:szCs w:val="24"/>
        </w:rPr>
        <w:t xml:space="preserve"> inhibitor</w:t>
      </w:r>
      <w:r w:rsidR="00E8530E" w:rsidRPr="000D70CA">
        <w:rPr>
          <w:rFonts w:ascii="Book Antiqua" w:hAnsi="Book Antiqua"/>
          <w:color w:val="000000" w:themeColor="text1"/>
          <w:szCs w:val="24"/>
        </w:rPr>
        <w:t>s</w:t>
      </w:r>
      <w:r w:rsidR="00352CE6" w:rsidRPr="000D70CA">
        <w:rPr>
          <w:rFonts w:ascii="Book Antiqua" w:hAnsi="Book Antiqua"/>
          <w:color w:val="000000" w:themeColor="text1"/>
          <w:szCs w:val="24"/>
        </w:rPr>
        <w:t xml:space="preserve">, such as </w:t>
      </w:r>
      <w:proofErr w:type="spellStart"/>
      <w:r w:rsidR="00352CE6"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="00352CE6" w:rsidRPr="000D70CA">
        <w:rPr>
          <w:rFonts w:ascii="Book Antiqua" w:hAnsi="Book Antiqua"/>
          <w:color w:val="000000" w:themeColor="text1"/>
          <w:szCs w:val="24"/>
        </w:rPr>
        <w:t xml:space="preserve"> and </w:t>
      </w:r>
      <w:proofErr w:type="spellStart"/>
      <w:r w:rsidR="00352CE6" w:rsidRPr="000D70CA">
        <w:rPr>
          <w:rFonts w:ascii="Book Antiqua" w:hAnsi="Book Antiqua"/>
          <w:color w:val="000000" w:themeColor="text1"/>
          <w:szCs w:val="24"/>
        </w:rPr>
        <w:t>everolimus</w:t>
      </w:r>
      <w:proofErr w:type="spellEnd"/>
      <w:r w:rsidR="00352CE6" w:rsidRPr="000D70CA">
        <w:rPr>
          <w:rFonts w:ascii="Book Antiqua" w:hAnsi="Book Antiqua"/>
          <w:color w:val="000000" w:themeColor="text1"/>
          <w:szCs w:val="24"/>
        </w:rPr>
        <w:t>,</w:t>
      </w:r>
      <w:r w:rsidR="00B9449F" w:rsidRPr="000D70CA">
        <w:rPr>
          <w:rFonts w:ascii="Book Antiqua" w:hAnsi="Book Antiqua"/>
          <w:color w:val="000000" w:themeColor="text1"/>
          <w:szCs w:val="24"/>
        </w:rPr>
        <w:t xml:space="preserve"> are</w:t>
      </w:r>
      <w:r w:rsidR="00E8530E" w:rsidRPr="000D70CA">
        <w:rPr>
          <w:rFonts w:ascii="Book Antiqua" w:hAnsi="Book Antiqua"/>
          <w:color w:val="000000" w:themeColor="text1"/>
          <w:szCs w:val="24"/>
        </w:rPr>
        <w:t xml:space="preserve"> suggested to </w:t>
      </w:r>
      <w:r w:rsidR="00B9449F" w:rsidRPr="000D70CA">
        <w:rPr>
          <w:rFonts w:ascii="Book Antiqua" w:hAnsi="Book Antiqua"/>
          <w:color w:val="000000" w:themeColor="text1"/>
          <w:szCs w:val="24"/>
        </w:rPr>
        <w:t xml:space="preserve">have </w:t>
      </w:r>
      <w:r w:rsidR="00E8530E" w:rsidRPr="000D70CA">
        <w:rPr>
          <w:rFonts w:ascii="Book Antiqua" w:hAnsi="Book Antiqua"/>
          <w:color w:val="000000" w:themeColor="text1"/>
          <w:szCs w:val="24"/>
        </w:rPr>
        <w:t>anti-</w:t>
      </w:r>
      <w:proofErr w:type="spellStart"/>
      <w:r w:rsidR="00E8530E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E8530E" w:rsidRPr="000D70CA">
        <w:rPr>
          <w:rFonts w:ascii="Book Antiqua" w:hAnsi="Book Antiqua"/>
          <w:color w:val="000000" w:themeColor="text1"/>
          <w:szCs w:val="24"/>
        </w:rPr>
        <w:t xml:space="preserve"> effect</w:t>
      </w:r>
      <w:r w:rsidR="00EE58CF" w:rsidRPr="000D70CA">
        <w:rPr>
          <w:rFonts w:ascii="Book Antiqua" w:hAnsi="Book Antiqua"/>
          <w:color w:val="000000" w:themeColor="text1"/>
          <w:szCs w:val="24"/>
        </w:rPr>
        <w:t>s</w:t>
      </w:r>
      <w:r w:rsidR="00E8530E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E58CF" w:rsidRPr="000D70CA">
        <w:rPr>
          <w:rFonts w:ascii="Book Antiqua" w:hAnsi="Book Antiqua"/>
          <w:color w:val="000000" w:themeColor="text1"/>
          <w:szCs w:val="24"/>
        </w:rPr>
        <w:t>by</w:t>
      </w:r>
      <w:r w:rsidR="00E8530E" w:rsidRPr="000D70CA">
        <w:rPr>
          <w:rFonts w:ascii="Book Antiqua" w:hAnsi="Book Antiqua"/>
          <w:color w:val="000000" w:themeColor="text1"/>
          <w:szCs w:val="24"/>
        </w:rPr>
        <w:t xml:space="preserve"> suppressing </w:t>
      </w:r>
      <w:proofErr w:type="gramStart"/>
      <w:r w:rsidR="00E8530E" w:rsidRPr="000D70CA">
        <w:rPr>
          <w:rFonts w:ascii="Book Antiqua" w:hAnsi="Book Antiqua"/>
          <w:color w:val="000000" w:themeColor="text1"/>
          <w:szCs w:val="24"/>
        </w:rPr>
        <w:t>angiogenesis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4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B9449F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8530E" w:rsidRPr="000D70CA">
        <w:rPr>
          <w:rFonts w:ascii="Book Antiqua" w:hAnsi="Book Antiqua"/>
          <w:color w:val="000000" w:themeColor="text1"/>
          <w:szCs w:val="24"/>
        </w:rPr>
        <w:t>and cellular proliferation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5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E8530E" w:rsidRPr="000D70CA">
        <w:rPr>
          <w:rFonts w:ascii="Book Antiqua" w:hAnsi="Book Antiqua"/>
          <w:color w:val="000000" w:themeColor="text1"/>
          <w:szCs w:val="24"/>
        </w:rPr>
        <w:t xml:space="preserve">. </w:t>
      </w:r>
      <w:proofErr w:type="spellStart"/>
      <w:proofErr w:type="gramStart"/>
      <w:r w:rsidR="00B9449F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proofErr w:type="gramEnd"/>
      <w:r w:rsidR="00B9449F" w:rsidRPr="000D70CA">
        <w:rPr>
          <w:rFonts w:ascii="Book Antiqua" w:hAnsi="Book Antiqua"/>
          <w:color w:val="000000" w:themeColor="text1"/>
          <w:szCs w:val="24"/>
        </w:rPr>
        <w:t xml:space="preserve"> inhibitors have been </w:t>
      </w:r>
      <w:r w:rsidR="00EE58CF" w:rsidRPr="000D70CA">
        <w:rPr>
          <w:rFonts w:ascii="Book Antiqua" w:hAnsi="Book Antiqua"/>
          <w:color w:val="000000" w:themeColor="text1"/>
          <w:szCs w:val="24"/>
        </w:rPr>
        <w:t>given to</w:t>
      </w:r>
      <w:r w:rsidR="00B9449F" w:rsidRPr="000D70CA">
        <w:rPr>
          <w:rFonts w:ascii="Book Antiqua" w:hAnsi="Book Antiqua"/>
          <w:color w:val="000000" w:themeColor="text1"/>
          <w:szCs w:val="24"/>
        </w:rPr>
        <w:t xml:space="preserve"> patients engrafted for HCC</w:t>
      </w:r>
      <w:r w:rsidR="005E4413" w:rsidRPr="000D70CA">
        <w:rPr>
          <w:rFonts w:ascii="Book Antiqua" w:hAnsi="Book Antiqua"/>
          <w:color w:val="000000" w:themeColor="text1"/>
          <w:szCs w:val="24"/>
        </w:rPr>
        <w:t xml:space="preserve"> with</w:t>
      </w:r>
      <w:r w:rsidR="00B9449F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52CE6" w:rsidRPr="000D70CA">
        <w:rPr>
          <w:rFonts w:ascii="Book Antiqua" w:hAnsi="Book Antiqua"/>
          <w:color w:val="000000" w:themeColor="text1"/>
          <w:szCs w:val="24"/>
        </w:rPr>
        <w:t>encouraging</w:t>
      </w:r>
      <w:r w:rsidR="00B9449F" w:rsidRPr="000D70CA">
        <w:rPr>
          <w:rFonts w:ascii="Book Antiqua" w:hAnsi="Book Antiqua"/>
          <w:color w:val="000000" w:themeColor="text1"/>
          <w:szCs w:val="24"/>
        </w:rPr>
        <w:t xml:space="preserve"> results.</w:t>
      </w:r>
      <w:r w:rsidR="000E6A25" w:rsidRPr="000D70CA">
        <w:rPr>
          <w:rFonts w:ascii="Book Antiqua" w:hAnsi="Book Antiqua"/>
          <w:color w:val="000000" w:themeColor="text1"/>
          <w:szCs w:val="24"/>
        </w:rPr>
        <w:t xml:space="preserve"> Their oncological benefits were supported by the findings </w:t>
      </w:r>
      <w:r w:rsidR="00EE58CF" w:rsidRPr="000D70CA">
        <w:rPr>
          <w:rFonts w:ascii="Book Antiqua" w:hAnsi="Book Antiqua"/>
          <w:color w:val="000000" w:themeColor="text1"/>
          <w:szCs w:val="24"/>
        </w:rPr>
        <w:t xml:space="preserve">in </w:t>
      </w:r>
      <w:r w:rsidR="00AF42D6" w:rsidRPr="000D70CA">
        <w:rPr>
          <w:rFonts w:ascii="Book Antiqua" w:hAnsi="Book Antiqua"/>
          <w:color w:val="000000" w:themeColor="text1"/>
          <w:szCs w:val="24"/>
        </w:rPr>
        <w:t xml:space="preserve">numerous </w:t>
      </w:r>
      <w:proofErr w:type="gramStart"/>
      <w:r w:rsidR="00AF42D6" w:rsidRPr="000D70CA">
        <w:rPr>
          <w:rFonts w:ascii="Book Antiqua" w:hAnsi="Book Antiqua"/>
          <w:color w:val="000000" w:themeColor="text1"/>
          <w:szCs w:val="24"/>
        </w:rPr>
        <w:t>retrospective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6</w:t>
      </w:r>
      <w:r w:rsidR="000A78AC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-</w:t>
      </w:r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10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AF42D6" w:rsidRPr="000D70CA">
        <w:rPr>
          <w:rFonts w:ascii="Book Antiqua" w:hAnsi="Book Antiqua"/>
          <w:color w:val="000000" w:themeColor="text1"/>
          <w:szCs w:val="24"/>
        </w:rPr>
        <w:t xml:space="preserve"> and prospective studies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11,12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3B6C55" w:rsidRPr="000D70CA">
        <w:rPr>
          <w:rFonts w:ascii="Book Antiqua" w:hAnsi="Book Antiqua"/>
          <w:color w:val="000000" w:themeColor="text1"/>
          <w:szCs w:val="24"/>
        </w:rPr>
        <w:t xml:space="preserve"> showing</w:t>
      </w:r>
      <w:r w:rsidR="00621FDC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E58CF" w:rsidRPr="000D70CA">
        <w:rPr>
          <w:rFonts w:ascii="Book Antiqua" w:hAnsi="Book Antiqua"/>
          <w:color w:val="000000" w:themeColor="text1"/>
          <w:szCs w:val="24"/>
        </w:rPr>
        <w:t xml:space="preserve">a </w:t>
      </w:r>
      <w:r w:rsidR="00621FDC" w:rsidRPr="000D70CA">
        <w:rPr>
          <w:rFonts w:ascii="Book Antiqua" w:hAnsi="Book Antiqua"/>
          <w:color w:val="000000" w:themeColor="text1"/>
          <w:szCs w:val="24"/>
        </w:rPr>
        <w:t>reduced risk of recurrence</w:t>
      </w:r>
      <w:r w:rsidR="000E6A25" w:rsidRPr="000D70CA">
        <w:rPr>
          <w:rFonts w:ascii="Book Antiqua" w:hAnsi="Book Antiqua"/>
          <w:color w:val="000000" w:themeColor="text1"/>
          <w:szCs w:val="24"/>
        </w:rPr>
        <w:t>.</w:t>
      </w:r>
    </w:p>
    <w:p w14:paraId="11286690" w14:textId="3D407D49" w:rsidR="00B9449F" w:rsidRPr="000D70CA" w:rsidRDefault="008132FB" w:rsidP="00BE6C9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In theory,</w:t>
      </w:r>
      <w:r w:rsidR="0028559C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982A62" w:rsidRPr="000D70CA">
        <w:rPr>
          <w:rFonts w:ascii="Book Antiqua" w:hAnsi="Book Antiqua"/>
          <w:color w:val="000000" w:themeColor="text1"/>
          <w:szCs w:val="24"/>
        </w:rPr>
        <w:t>patients</w:t>
      </w:r>
      <w:r w:rsidR="0028559C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B101C9" w:rsidRPr="000D70CA">
        <w:rPr>
          <w:rFonts w:ascii="Book Antiqua" w:hAnsi="Book Antiqua"/>
          <w:color w:val="000000" w:themeColor="text1"/>
          <w:szCs w:val="24"/>
        </w:rPr>
        <w:t xml:space="preserve">with established </w:t>
      </w:r>
      <w:r w:rsidR="00982A62" w:rsidRPr="000D70CA">
        <w:rPr>
          <w:rFonts w:ascii="Book Antiqua" w:hAnsi="Book Antiqua"/>
          <w:color w:val="000000" w:themeColor="text1"/>
          <w:szCs w:val="24"/>
        </w:rPr>
        <w:t>r</w:t>
      </w:r>
      <w:r w:rsidR="0028559C" w:rsidRPr="000D70CA">
        <w:rPr>
          <w:rFonts w:ascii="Book Antiqua" w:hAnsi="Book Antiqua"/>
          <w:color w:val="000000" w:themeColor="text1"/>
          <w:szCs w:val="24"/>
        </w:rPr>
        <w:t>ecurrence or at</w:t>
      </w:r>
      <w:r w:rsidR="009B51F4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8559C" w:rsidRPr="000D70CA">
        <w:rPr>
          <w:rFonts w:ascii="Book Antiqua" w:hAnsi="Book Antiqua"/>
          <w:color w:val="000000" w:themeColor="text1"/>
          <w:szCs w:val="24"/>
        </w:rPr>
        <w:t xml:space="preserve">risk of recurrence </w:t>
      </w:r>
      <w:r w:rsidR="0028559C" w:rsidRPr="000D70CA">
        <w:rPr>
          <w:rFonts w:ascii="Book Antiqua" w:hAnsi="Book Antiqua"/>
          <w:i/>
          <w:iCs/>
          <w:color w:val="000000" w:themeColor="text1"/>
          <w:szCs w:val="24"/>
        </w:rPr>
        <w:t>i.e.</w:t>
      </w:r>
      <w:r w:rsidR="000A78AC" w:rsidRPr="000D70CA">
        <w:rPr>
          <w:rFonts w:ascii="Book Antiqua" w:hAnsi="Book Antiqua"/>
          <w:color w:val="000000" w:themeColor="text1"/>
          <w:szCs w:val="24"/>
        </w:rPr>
        <w:t>,</w:t>
      </w:r>
      <w:r w:rsidR="0028559C" w:rsidRPr="000D70CA">
        <w:rPr>
          <w:rFonts w:ascii="Book Antiqua" w:hAnsi="Book Antiqua"/>
          <w:color w:val="000000" w:themeColor="text1"/>
          <w:szCs w:val="24"/>
        </w:rPr>
        <w:t xml:space="preserve"> more advanced </w:t>
      </w:r>
      <w:proofErr w:type="spellStart"/>
      <w:r w:rsidR="0028559C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28559C" w:rsidRPr="000D70CA">
        <w:rPr>
          <w:rFonts w:ascii="Book Antiqua" w:hAnsi="Book Antiqua"/>
          <w:color w:val="000000" w:themeColor="text1"/>
          <w:szCs w:val="24"/>
        </w:rPr>
        <w:t xml:space="preserve"> at transplant benefit most from the oncological advantage</w:t>
      </w:r>
      <w:r w:rsidR="00F651DA" w:rsidRPr="000D70CA">
        <w:rPr>
          <w:rFonts w:ascii="Book Antiqua" w:hAnsi="Book Antiqua"/>
          <w:color w:val="000000" w:themeColor="text1"/>
          <w:szCs w:val="24"/>
        </w:rPr>
        <w:t>s</w:t>
      </w:r>
      <w:r w:rsidR="0028559C" w:rsidRPr="000D70CA">
        <w:rPr>
          <w:rFonts w:ascii="Book Antiqua" w:hAnsi="Book Antiqua"/>
          <w:color w:val="000000" w:themeColor="text1"/>
          <w:szCs w:val="24"/>
        </w:rPr>
        <w:t xml:space="preserve"> offered</w:t>
      </w:r>
      <w:r w:rsidR="00B101C9" w:rsidRPr="000D70CA">
        <w:rPr>
          <w:rFonts w:ascii="Book Antiqua" w:hAnsi="Book Antiqua"/>
          <w:color w:val="000000" w:themeColor="text1"/>
          <w:szCs w:val="24"/>
        </w:rPr>
        <w:t xml:space="preserve"> by </w:t>
      </w:r>
      <w:proofErr w:type="spellStart"/>
      <w:r w:rsidR="00B101C9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B101C9" w:rsidRPr="000D70CA">
        <w:rPr>
          <w:rFonts w:ascii="Book Antiqua" w:hAnsi="Book Antiqua"/>
          <w:color w:val="000000" w:themeColor="text1"/>
          <w:szCs w:val="24"/>
        </w:rPr>
        <w:t xml:space="preserve"> inhibitors</w:t>
      </w:r>
      <w:r w:rsidR="0028559C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C9728A" w:rsidRPr="000D70CA">
        <w:rPr>
          <w:rFonts w:ascii="Book Antiqua" w:hAnsi="Book Antiqua"/>
          <w:color w:val="000000" w:themeColor="text1"/>
          <w:szCs w:val="24"/>
        </w:rPr>
        <w:t xml:space="preserve">These patients </w:t>
      </w:r>
      <w:r w:rsidR="00EE58CF" w:rsidRPr="000D70CA">
        <w:rPr>
          <w:rFonts w:ascii="Book Antiqua" w:hAnsi="Book Antiqua"/>
          <w:color w:val="000000" w:themeColor="text1"/>
          <w:szCs w:val="24"/>
        </w:rPr>
        <w:t>are</w:t>
      </w:r>
      <w:r w:rsidR="00C9728A" w:rsidRPr="000D70CA">
        <w:rPr>
          <w:rFonts w:ascii="Book Antiqua" w:hAnsi="Book Antiqua"/>
          <w:color w:val="000000" w:themeColor="text1"/>
          <w:szCs w:val="24"/>
        </w:rPr>
        <w:t xml:space="preserve"> also candidates for </w:t>
      </w:r>
      <w:proofErr w:type="spellStart"/>
      <w:r w:rsidR="00C9728A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C9728A" w:rsidRPr="000D70CA">
        <w:rPr>
          <w:rFonts w:ascii="Book Antiqua" w:hAnsi="Book Antiqua"/>
          <w:color w:val="000000" w:themeColor="text1"/>
          <w:szCs w:val="24"/>
        </w:rPr>
        <w:t xml:space="preserve"> inhibitor-based regime</w:t>
      </w:r>
      <w:r w:rsidR="00EE58CF" w:rsidRPr="000D70CA">
        <w:rPr>
          <w:rFonts w:ascii="Book Antiqua" w:hAnsi="Book Antiqua"/>
          <w:color w:val="000000" w:themeColor="text1"/>
          <w:szCs w:val="24"/>
        </w:rPr>
        <w:t>s</w:t>
      </w:r>
      <w:r w:rsidR="00C9728A" w:rsidRPr="000D70CA">
        <w:rPr>
          <w:rFonts w:ascii="Book Antiqua" w:hAnsi="Book Antiqua"/>
          <w:color w:val="000000" w:themeColor="text1"/>
          <w:szCs w:val="24"/>
        </w:rPr>
        <w:t xml:space="preserve"> in our </w:t>
      </w:r>
      <w:proofErr w:type="spellStart"/>
      <w:r w:rsidR="00C9728A" w:rsidRPr="000D70CA">
        <w:rPr>
          <w:rFonts w:ascii="Book Antiqua" w:hAnsi="Book Antiqua"/>
          <w:color w:val="000000" w:themeColor="text1"/>
          <w:szCs w:val="24"/>
        </w:rPr>
        <w:t>centre</w:t>
      </w:r>
      <w:proofErr w:type="spellEnd"/>
      <w:r w:rsidR="00C9728A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4A59FD" w:rsidRPr="000D70CA">
        <w:rPr>
          <w:rFonts w:ascii="Book Antiqua" w:hAnsi="Book Antiqua"/>
          <w:color w:val="000000" w:themeColor="text1"/>
          <w:szCs w:val="24"/>
        </w:rPr>
        <w:t xml:space="preserve">However, evidence supporting </w:t>
      </w:r>
      <w:proofErr w:type="spellStart"/>
      <w:r w:rsidR="004A59FD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4A59FD" w:rsidRPr="000D70CA">
        <w:rPr>
          <w:rFonts w:ascii="Book Antiqua" w:hAnsi="Book Antiqua"/>
          <w:color w:val="000000" w:themeColor="text1"/>
          <w:szCs w:val="24"/>
        </w:rPr>
        <w:t xml:space="preserve"> inhibitor therapy following HCC recurrence </w:t>
      </w:r>
      <w:r w:rsidR="00EE58CF" w:rsidRPr="000D70CA">
        <w:rPr>
          <w:rFonts w:ascii="Book Antiqua" w:hAnsi="Book Antiqua"/>
          <w:color w:val="000000" w:themeColor="text1"/>
          <w:szCs w:val="24"/>
        </w:rPr>
        <w:t>is</w:t>
      </w:r>
      <w:r w:rsidR="004A59FD" w:rsidRPr="000D70CA">
        <w:rPr>
          <w:rFonts w:ascii="Book Antiqua" w:hAnsi="Book Antiqua"/>
          <w:color w:val="000000" w:themeColor="text1"/>
          <w:szCs w:val="24"/>
        </w:rPr>
        <w:t xml:space="preserve"> limited.</w:t>
      </w:r>
      <w:r w:rsidR="00982A62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E58CF" w:rsidRPr="000D70CA">
        <w:rPr>
          <w:rFonts w:ascii="Book Antiqua" w:hAnsi="Book Antiqua"/>
          <w:color w:val="000000" w:themeColor="text1"/>
          <w:szCs w:val="24"/>
        </w:rPr>
        <w:t>It is unknown w</w:t>
      </w:r>
      <w:r w:rsidR="00E74B1C" w:rsidRPr="000D70CA">
        <w:rPr>
          <w:rFonts w:ascii="Book Antiqua" w:hAnsi="Book Antiqua"/>
          <w:color w:val="000000" w:themeColor="text1"/>
          <w:szCs w:val="24"/>
        </w:rPr>
        <w:t xml:space="preserve">hether </w:t>
      </w:r>
      <w:proofErr w:type="spellStart"/>
      <w:r w:rsidR="00E74B1C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E74B1C" w:rsidRPr="000D70CA">
        <w:rPr>
          <w:rFonts w:ascii="Book Antiqua" w:hAnsi="Book Antiqua"/>
          <w:color w:val="000000" w:themeColor="text1"/>
          <w:szCs w:val="24"/>
        </w:rPr>
        <w:t xml:space="preserve"> inhibitor</w:t>
      </w:r>
      <w:r w:rsidR="00EE58CF" w:rsidRPr="000D70CA">
        <w:rPr>
          <w:rFonts w:ascii="Book Antiqua" w:hAnsi="Book Antiqua"/>
          <w:color w:val="000000" w:themeColor="text1"/>
          <w:szCs w:val="24"/>
        </w:rPr>
        <w:t>s</w:t>
      </w:r>
      <w:r w:rsidR="00E74B1C" w:rsidRPr="000D70CA">
        <w:rPr>
          <w:rFonts w:ascii="Book Antiqua" w:hAnsi="Book Antiqua"/>
          <w:color w:val="000000" w:themeColor="text1"/>
          <w:szCs w:val="24"/>
        </w:rPr>
        <w:t xml:space="preserve"> still confer survival benefit</w:t>
      </w:r>
      <w:r w:rsidR="00621FDC" w:rsidRPr="000D70CA">
        <w:rPr>
          <w:rFonts w:ascii="Book Antiqua" w:hAnsi="Book Antiqua"/>
          <w:color w:val="000000" w:themeColor="text1"/>
          <w:szCs w:val="24"/>
        </w:rPr>
        <w:t>s</w:t>
      </w:r>
      <w:r w:rsidR="00E74B1C" w:rsidRPr="000D70CA">
        <w:rPr>
          <w:rFonts w:ascii="Book Antiqua" w:hAnsi="Book Antiqua"/>
          <w:color w:val="000000" w:themeColor="text1"/>
          <w:szCs w:val="24"/>
        </w:rPr>
        <w:t xml:space="preserve"> in this late course of </w:t>
      </w:r>
      <w:r w:rsidR="00EE58CF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E74B1C" w:rsidRPr="000D70CA">
        <w:rPr>
          <w:rFonts w:ascii="Book Antiqua" w:hAnsi="Book Antiqua"/>
          <w:color w:val="000000" w:themeColor="text1"/>
          <w:szCs w:val="24"/>
        </w:rPr>
        <w:t xml:space="preserve">disease. </w:t>
      </w:r>
      <w:r w:rsidR="007946E6" w:rsidRPr="000D70CA">
        <w:rPr>
          <w:rFonts w:ascii="Book Antiqua" w:hAnsi="Book Antiqua"/>
          <w:color w:val="000000" w:themeColor="text1"/>
          <w:szCs w:val="24"/>
        </w:rPr>
        <w:t xml:space="preserve">Recommendations for </w:t>
      </w:r>
      <w:proofErr w:type="spellStart"/>
      <w:r w:rsidR="007946E6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7946E6" w:rsidRPr="000D70CA">
        <w:rPr>
          <w:rFonts w:ascii="Book Antiqua" w:hAnsi="Book Antiqua"/>
          <w:color w:val="000000" w:themeColor="text1"/>
          <w:szCs w:val="24"/>
        </w:rPr>
        <w:t xml:space="preserve"> inhibitor</w:t>
      </w:r>
      <w:r w:rsidR="00EE58CF" w:rsidRPr="000D70CA">
        <w:rPr>
          <w:rFonts w:ascii="Book Antiqua" w:hAnsi="Book Antiqua"/>
          <w:color w:val="000000" w:themeColor="text1"/>
          <w:szCs w:val="24"/>
        </w:rPr>
        <w:t>s in</w:t>
      </w:r>
      <w:r w:rsidR="007946E6" w:rsidRPr="000D70CA">
        <w:rPr>
          <w:rFonts w:ascii="Book Antiqua" w:hAnsi="Book Antiqua"/>
          <w:color w:val="000000" w:themeColor="text1"/>
          <w:szCs w:val="24"/>
        </w:rPr>
        <w:t xml:space="preserve"> this context </w:t>
      </w:r>
      <w:r w:rsidR="00EE58CF" w:rsidRPr="000D70CA">
        <w:rPr>
          <w:rFonts w:ascii="Book Antiqua" w:hAnsi="Book Antiqua"/>
          <w:color w:val="000000" w:themeColor="text1"/>
          <w:szCs w:val="24"/>
        </w:rPr>
        <w:t>are</w:t>
      </w:r>
      <w:r w:rsidR="007946E6" w:rsidRPr="000D70CA">
        <w:rPr>
          <w:rFonts w:ascii="Book Antiqua" w:hAnsi="Book Antiqua"/>
          <w:color w:val="000000" w:themeColor="text1"/>
          <w:szCs w:val="24"/>
        </w:rPr>
        <w:t xml:space="preserve"> based on expert </w:t>
      </w:r>
      <w:proofErr w:type="gramStart"/>
      <w:r w:rsidR="007946E6" w:rsidRPr="000D70CA">
        <w:rPr>
          <w:rFonts w:ascii="Book Antiqua" w:hAnsi="Book Antiqua"/>
          <w:color w:val="000000" w:themeColor="text1"/>
          <w:szCs w:val="24"/>
        </w:rPr>
        <w:t>opinions</w:t>
      </w:r>
      <w:r w:rsidR="00AF289B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13</w:t>
      </w:r>
      <w:r w:rsidR="00AF289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7946E6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4A59FD" w:rsidRPr="000D70CA">
        <w:rPr>
          <w:rFonts w:ascii="Book Antiqua" w:hAnsi="Book Antiqua"/>
          <w:color w:val="000000" w:themeColor="text1"/>
          <w:szCs w:val="24"/>
        </w:rPr>
        <w:t xml:space="preserve">To </w:t>
      </w:r>
      <w:r w:rsidR="00354597" w:rsidRPr="000D70CA">
        <w:rPr>
          <w:rFonts w:ascii="Book Antiqua" w:hAnsi="Book Antiqua"/>
          <w:color w:val="000000" w:themeColor="text1"/>
          <w:szCs w:val="24"/>
        </w:rPr>
        <w:t>address</w:t>
      </w:r>
      <w:r w:rsidR="004A59FD" w:rsidRPr="000D70CA">
        <w:rPr>
          <w:rFonts w:ascii="Book Antiqua" w:hAnsi="Book Antiqua"/>
          <w:color w:val="000000" w:themeColor="text1"/>
          <w:szCs w:val="24"/>
        </w:rPr>
        <w:t xml:space="preserve"> this </w:t>
      </w:r>
      <w:r w:rsidR="00C6569A" w:rsidRPr="000D70CA">
        <w:rPr>
          <w:rFonts w:ascii="Book Antiqua" w:hAnsi="Book Antiqua"/>
          <w:color w:val="000000" w:themeColor="text1"/>
          <w:szCs w:val="24"/>
        </w:rPr>
        <w:t>knowledge gap in the literature</w:t>
      </w:r>
      <w:r w:rsidR="004853EF" w:rsidRPr="000D70CA">
        <w:rPr>
          <w:rFonts w:ascii="Book Antiqua" w:hAnsi="Book Antiqua"/>
          <w:color w:val="000000" w:themeColor="text1"/>
          <w:szCs w:val="24"/>
        </w:rPr>
        <w:t>,</w:t>
      </w:r>
      <w:r w:rsidR="00DE1165" w:rsidRPr="000D70CA">
        <w:rPr>
          <w:rFonts w:ascii="Book Antiqua" w:hAnsi="Book Antiqua"/>
          <w:color w:val="000000" w:themeColor="text1"/>
          <w:szCs w:val="24"/>
        </w:rPr>
        <w:t xml:space="preserve"> the</w:t>
      </w:r>
      <w:r w:rsidRPr="000D70CA">
        <w:rPr>
          <w:rFonts w:ascii="Book Antiqua" w:hAnsi="Book Antiqua"/>
          <w:color w:val="000000" w:themeColor="text1"/>
          <w:szCs w:val="24"/>
        </w:rPr>
        <w:t xml:space="preserve"> current study </w:t>
      </w:r>
      <w:r w:rsidR="008B5E30" w:rsidRPr="000D70CA">
        <w:rPr>
          <w:rFonts w:ascii="Book Antiqua" w:hAnsi="Book Antiqua"/>
          <w:color w:val="000000" w:themeColor="text1"/>
          <w:szCs w:val="24"/>
        </w:rPr>
        <w:t>was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995F55" w:rsidRPr="000D70CA">
        <w:rPr>
          <w:rFonts w:ascii="Book Antiqua" w:hAnsi="Book Antiqua"/>
          <w:color w:val="000000" w:themeColor="text1"/>
          <w:szCs w:val="24"/>
        </w:rPr>
        <w:t>undertaken</w:t>
      </w:r>
      <w:r w:rsidRPr="000D70CA">
        <w:rPr>
          <w:rFonts w:ascii="Book Antiqua" w:hAnsi="Book Antiqua"/>
          <w:color w:val="000000" w:themeColor="text1"/>
          <w:szCs w:val="24"/>
        </w:rPr>
        <w:t xml:space="preserve"> to quantify survival following post-transplant HCC recurrence with regard to </w:t>
      </w:r>
      <w:r w:rsidR="00EE58CF" w:rsidRPr="000D70CA">
        <w:rPr>
          <w:rFonts w:ascii="Book Antiqua" w:hAnsi="Book Antiqua"/>
          <w:color w:val="000000" w:themeColor="text1"/>
          <w:szCs w:val="24"/>
        </w:rPr>
        <w:t xml:space="preserve">the administration </w:t>
      </w:r>
      <w:r w:rsidR="00CC453F" w:rsidRPr="000D70CA">
        <w:rPr>
          <w:rFonts w:ascii="Book Antiqua" w:hAnsi="Book Antiqua"/>
          <w:color w:val="000000" w:themeColor="text1"/>
          <w:szCs w:val="24"/>
        </w:rPr>
        <w:t xml:space="preserve">of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inhibitor</w:t>
      </w:r>
      <w:r w:rsidR="00CC453F" w:rsidRPr="000D70CA">
        <w:rPr>
          <w:rFonts w:ascii="Book Antiqua" w:hAnsi="Book Antiqua"/>
          <w:color w:val="000000" w:themeColor="text1"/>
          <w:szCs w:val="24"/>
        </w:rPr>
        <w:t>s</w:t>
      </w:r>
      <w:r w:rsidRPr="000D70CA">
        <w:rPr>
          <w:rFonts w:ascii="Book Antiqua" w:hAnsi="Book Antiqua"/>
          <w:color w:val="000000" w:themeColor="text1"/>
          <w:szCs w:val="24"/>
        </w:rPr>
        <w:t>.</w:t>
      </w:r>
    </w:p>
    <w:p w14:paraId="3D4BC511" w14:textId="1ED3ED94" w:rsidR="00AD3822" w:rsidRPr="000D70CA" w:rsidRDefault="00AD3822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05A6F2D7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  <w:u w:val="single"/>
        </w:rPr>
      </w:pPr>
      <w:r w:rsidRPr="000D70CA">
        <w:rPr>
          <w:rFonts w:ascii="Book Antiqua" w:hAnsi="Book Antiqua"/>
          <w:b/>
          <w:color w:val="000000"/>
          <w:szCs w:val="24"/>
          <w:u w:val="single"/>
        </w:rPr>
        <w:t>MATERIALS AND METHODS</w:t>
      </w:r>
    </w:p>
    <w:p w14:paraId="37AA46A5" w14:textId="0E942202" w:rsidR="00BD1B8B" w:rsidRPr="000D70CA" w:rsidRDefault="00F3239B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Patients</w:t>
      </w:r>
    </w:p>
    <w:p w14:paraId="5116010A" w14:textId="44740DE6" w:rsidR="00F3239B" w:rsidRPr="000D70CA" w:rsidRDefault="00AA3279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A retrospective study was conducted at Queen Mary Hospital, the University of Hong Kong</w:t>
      </w:r>
      <w:r w:rsidR="00EE58CF" w:rsidRPr="000D70CA">
        <w:rPr>
          <w:rFonts w:ascii="Book Antiqua" w:hAnsi="Book Antiqua"/>
          <w:color w:val="000000" w:themeColor="text1"/>
          <w:szCs w:val="24"/>
        </w:rPr>
        <w:t>, which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gramStart"/>
      <w:r w:rsidR="00C54127" w:rsidRPr="000D70CA">
        <w:rPr>
          <w:rFonts w:ascii="Book Antiqua" w:hAnsi="Book Antiqua"/>
          <w:color w:val="000000" w:themeColor="text1"/>
          <w:szCs w:val="24"/>
        </w:rPr>
        <w:t>is</w:t>
      </w:r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E58CF" w:rsidRPr="000D70CA">
        <w:rPr>
          <w:rFonts w:ascii="Book Antiqua" w:hAnsi="Book Antiqua"/>
          <w:color w:val="000000" w:themeColor="text1"/>
          <w:szCs w:val="24"/>
        </w:rPr>
        <w:t>a</w:t>
      </w:r>
      <w:r w:rsidRPr="000D70CA">
        <w:rPr>
          <w:rFonts w:ascii="Book Antiqua" w:hAnsi="Book Antiqua"/>
          <w:color w:val="000000" w:themeColor="text1"/>
          <w:szCs w:val="24"/>
        </w:rPr>
        <w:t xml:space="preserve"> tertiary referral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centre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and the only liver transplant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centre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 Hong Kong</w:t>
      </w:r>
      <w:r w:rsidR="00D246EF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B01F05" w:rsidRPr="000D70CA">
        <w:rPr>
          <w:rFonts w:ascii="Book Antiqua" w:hAnsi="Book Antiqua"/>
          <w:color w:val="000000" w:themeColor="text1"/>
          <w:szCs w:val="24"/>
        </w:rPr>
        <w:t xml:space="preserve">Outpatient follow-up was arranged every 3 </w:t>
      </w:r>
      <w:proofErr w:type="spellStart"/>
      <w:r w:rsidR="00B01F05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r w:rsidR="00B01F05" w:rsidRPr="000D70CA">
        <w:rPr>
          <w:rFonts w:ascii="Book Antiqua" w:hAnsi="Book Antiqua"/>
          <w:color w:val="000000" w:themeColor="text1"/>
          <w:szCs w:val="24"/>
        </w:rPr>
        <w:t xml:space="preserve"> for p</w:t>
      </w:r>
      <w:r w:rsidR="00711499" w:rsidRPr="000D70CA">
        <w:rPr>
          <w:rFonts w:ascii="Book Antiqua" w:hAnsi="Book Antiqua"/>
          <w:color w:val="000000" w:themeColor="text1"/>
          <w:szCs w:val="24"/>
        </w:rPr>
        <w:t>atients transplanted for HCC</w:t>
      </w:r>
      <w:r w:rsidR="00B01F05" w:rsidRPr="000D70CA">
        <w:rPr>
          <w:rFonts w:ascii="Book Antiqua" w:hAnsi="Book Antiqua"/>
          <w:color w:val="000000" w:themeColor="text1"/>
          <w:szCs w:val="24"/>
        </w:rPr>
        <w:t>, during which c</w:t>
      </w:r>
      <w:r w:rsidR="00711499" w:rsidRPr="000D70CA">
        <w:rPr>
          <w:rFonts w:ascii="Book Antiqua" w:hAnsi="Book Antiqua"/>
          <w:color w:val="000000" w:themeColor="text1"/>
          <w:szCs w:val="24"/>
        </w:rPr>
        <w:t>linical examination and</w:t>
      </w:r>
      <w:r w:rsidR="00B01F05" w:rsidRPr="000D70CA">
        <w:rPr>
          <w:rFonts w:ascii="Book Antiqua" w:hAnsi="Book Antiqua"/>
          <w:color w:val="000000" w:themeColor="text1"/>
          <w:szCs w:val="24"/>
        </w:rPr>
        <w:t xml:space="preserve"> blood test</w:t>
      </w:r>
      <w:r w:rsidR="00651770" w:rsidRPr="000D70CA">
        <w:rPr>
          <w:rFonts w:ascii="Book Antiqua" w:hAnsi="Book Antiqua"/>
          <w:color w:val="000000" w:themeColor="text1"/>
          <w:szCs w:val="24"/>
        </w:rPr>
        <w:t>s</w:t>
      </w:r>
      <w:r w:rsidR="00B01F05" w:rsidRPr="000D70CA">
        <w:rPr>
          <w:rFonts w:ascii="Book Antiqua" w:hAnsi="Book Antiqua"/>
          <w:color w:val="000000" w:themeColor="text1"/>
          <w:szCs w:val="24"/>
        </w:rPr>
        <w:t xml:space="preserve"> for </w:t>
      </w:r>
      <w:r w:rsidR="00E11EE2" w:rsidRPr="000D70CA">
        <w:rPr>
          <w:rFonts w:ascii="Book Antiqua" w:hAnsi="Book Antiqua"/>
          <w:color w:val="000000" w:themeColor="text1"/>
          <w:szCs w:val="24"/>
        </w:rPr>
        <w:t xml:space="preserve">liver function and </w:t>
      </w:r>
      <w:r w:rsidR="00711499" w:rsidRPr="000D70CA">
        <w:rPr>
          <w:rFonts w:ascii="Book Antiqua" w:hAnsi="Book Antiqua"/>
          <w:color w:val="000000" w:themeColor="text1"/>
          <w:szCs w:val="24"/>
        </w:rPr>
        <w:t xml:space="preserve">alpha-fetoprotein </w:t>
      </w:r>
      <w:r w:rsidR="00BD1B8B" w:rsidRPr="000D70CA">
        <w:rPr>
          <w:rFonts w:ascii="Book Antiqua" w:hAnsi="Book Antiqua"/>
          <w:color w:val="000000" w:themeColor="text1"/>
          <w:szCs w:val="24"/>
        </w:rPr>
        <w:t>(AFP)</w:t>
      </w:r>
      <w:r w:rsidR="00651770" w:rsidRPr="000D70CA">
        <w:rPr>
          <w:rFonts w:ascii="Book Antiqua" w:hAnsi="Book Antiqua"/>
          <w:color w:val="000000" w:themeColor="text1"/>
          <w:szCs w:val="24"/>
        </w:rPr>
        <w:t xml:space="preserve"> were performed</w:t>
      </w:r>
      <w:r w:rsidR="00711499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EE58CF" w:rsidRPr="000D70CA">
        <w:rPr>
          <w:rFonts w:ascii="Book Antiqua" w:hAnsi="Book Antiqua"/>
          <w:color w:val="000000" w:themeColor="text1"/>
          <w:szCs w:val="24"/>
        </w:rPr>
        <w:t>A c</w:t>
      </w:r>
      <w:r w:rsidR="00711499" w:rsidRPr="000D70CA">
        <w:rPr>
          <w:rFonts w:ascii="Book Antiqua" w:hAnsi="Book Antiqua"/>
          <w:color w:val="000000" w:themeColor="text1"/>
          <w:szCs w:val="24"/>
        </w:rPr>
        <w:t xml:space="preserve">ontrast-enhanced computed tomography (CT) scan of the thorax and </w:t>
      </w:r>
      <w:r w:rsidR="00711499" w:rsidRPr="000D70CA">
        <w:rPr>
          <w:rFonts w:ascii="Book Antiqua" w:hAnsi="Book Antiqua"/>
          <w:color w:val="000000" w:themeColor="text1"/>
          <w:szCs w:val="24"/>
        </w:rPr>
        <w:lastRenderedPageBreak/>
        <w:t>abdomen was performed at 6-month interval</w:t>
      </w:r>
      <w:r w:rsidR="00EE58CF" w:rsidRPr="000D70CA">
        <w:rPr>
          <w:rFonts w:ascii="Book Antiqua" w:hAnsi="Book Antiqua"/>
          <w:color w:val="000000" w:themeColor="text1"/>
          <w:szCs w:val="24"/>
        </w:rPr>
        <w:t>s</w:t>
      </w:r>
      <w:r w:rsidR="00711499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EE58CF" w:rsidRPr="000D70CA">
        <w:rPr>
          <w:rFonts w:ascii="Book Antiqua" w:hAnsi="Book Antiqua"/>
          <w:color w:val="000000" w:themeColor="text1"/>
          <w:szCs w:val="24"/>
        </w:rPr>
        <w:t>The d</w:t>
      </w:r>
      <w:r w:rsidR="00711499" w:rsidRPr="000D70CA">
        <w:rPr>
          <w:rFonts w:ascii="Book Antiqua" w:hAnsi="Book Antiqua"/>
          <w:color w:val="000000" w:themeColor="text1"/>
          <w:szCs w:val="24"/>
        </w:rPr>
        <w:t>iagnosis of recurrent HCC was</w:t>
      </w:r>
      <w:r w:rsidR="00734395" w:rsidRPr="000D70CA">
        <w:rPr>
          <w:rFonts w:ascii="Book Antiqua" w:hAnsi="Book Antiqua"/>
          <w:color w:val="000000" w:themeColor="text1"/>
          <w:szCs w:val="24"/>
        </w:rPr>
        <w:t xml:space="preserve"> primarily </w:t>
      </w:r>
      <w:r w:rsidR="00711499" w:rsidRPr="000D70CA">
        <w:rPr>
          <w:rFonts w:ascii="Book Antiqua" w:hAnsi="Book Antiqua"/>
          <w:color w:val="000000" w:themeColor="text1"/>
          <w:szCs w:val="24"/>
        </w:rPr>
        <w:t xml:space="preserve">radiological. </w:t>
      </w:r>
      <w:r w:rsidR="00C11E17" w:rsidRPr="000D70CA">
        <w:rPr>
          <w:rFonts w:ascii="Book Antiqua" w:hAnsi="Book Antiqua"/>
          <w:color w:val="000000" w:themeColor="text1"/>
          <w:szCs w:val="24"/>
        </w:rPr>
        <w:t>All consecutive patients diagnosed with recurrent HCC after liver transplantation between 2000 and 2019 were included in this study. The</w:t>
      </w:r>
      <w:r w:rsidR="00EE58CF" w:rsidRPr="000D70CA">
        <w:rPr>
          <w:rFonts w:ascii="Book Antiqua" w:hAnsi="Book Antiqua"/>
          <w:color w:val="000000" w:themeColor="text1"/>
          <w:szCs w:val="24"/>
        </w:rPr>
        <w:t xml:space="preserve"> patients</w:t>
      </w:r>
      <w:r w:rsidR="00C11E17" w:rsidRPr="000D70CA">
        <w:rPr>
          <w:rFonts w:ascii="Book Antiqua" w:hAnsi="Book Antiqua"/>
          <w:color w:val="000000" w:themeColor="text1"/>
          <w:szCs w:val="24"/>
        </w:rPr>
        <w:t xml:space="preserve"> were divided into two groups based on whether they received </w:t>
      </w:r>
      <w:r w:rsidR="00FC6CB4" w:rsidRPr="000D70CA">
        <w:rPr>
          <w:rFonts w:ascii="Book Antiqua" w:hAnsi="Book Antiqua"/>
          <w:color w:val="000000" w:themeColor="text1"/>
          <w:szCs w:val="24"/>
        </w:rPr>
        <w:t xml:space="preserve">an </w:t>
      </w:r>
      <w:proofErr w:type="spellStart"/>
      <w:r w:rsidR="00C11E17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C11E17" w:rsidRPr="000D70CA">
        <w:rPr>
          <w:rFonts w:ascii="Book Antiqua" w:hAnsi="Book Antiqua"/>
          <w:color w:val="000000" w:themeColor="text1"/>
          <w:szCs w:val="24"/>
        </w:rPr>
        <w:t xml:space="preserve"> inhibitor (</w:t>
      </w:r>
      <w:proofErr w:type="spellStart"/>
      <w:r w:rsidR="00C11E17"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="00C11E17" w:rsidRPr="000D70CA">
        <w:rPr>
          <w:rFonts w:ascii="Book Antiqua" w:hAnsi="Book Antiqua"/>
          <w:color w:val="000000" w:themeColor="text1"/>
          <w:szCs w:val="24"/>
        </w:rPr>
        <w:t xml:space="preserve"> or </w:t>
      </w:r>
      <w:proofErr w:type="spellStart"/>
      <w:r w:rsidR="00C11E17" w:rsidRPr="000D70CA">
        <w:rPr>
          <w:rFonts w:ascii="Book Antiqua" w:hAnsi="Book Antiqua"/>
          <w:color w:val="000000" w:themeColor="text1"/>
          <w:szCs w:val="24"/>
        </w:rPr>
        <w:t>everolimus</w:t>
      </w:r>
      <w:proofErr w:type="spellEnd"/>
      <w:r w:rsidR="00C11E17" w:rsidRPr="000D70CA">
        <w:rPr>
          <w:rFonts w:ascii="Book Antiqua" w:hAnsi="Book Antiqua"/>
          <w:color w:val="000000" w:themeColor="text1"/>
          <w:szCs w:val="24"/>
        </w:rPr>
        <w:t xml:space="preserve">) after recurrence. </w:t>
      </w:r>
      <w:r w:rsidR="00E11EE2" w:rsidRPr="000D70CA">
        <w:rPr>
          <w:rFonts w:ascii="Book Antiqua" w:hAnsi="Book Antiqua"/>
          <w:color w:val="000000" w:themeColor="text1"/>
          <w:szCs w:val="24"/>
        </w:rPr>
        <w:t xml:space="preserve">Abnormal liver function </w:t>
      </w:r>
      <w:r w:rsidR="00560811" w:rsidRPr="000D70CA">
        <w:rPr>
          <w:rFonts w:ascii="Book Antiqua" w:hAnsi="Book Antiqua"/>
          <w:color w:val="000000" w:themeColor="text1"/>
          <w:szCs w:val="24"/>
        </w:rPr>
        <w:t xml:space="preserve">during follow-up </w:t>
      </w:r>
      <w:r w:rsidR="00E11EE2" w:rsidRPr="000D70CA">
        <w:rPr>
          <w:rFonts w:ascii="Book Antiqua" w:hAnsi="Book Antiqua"/>
          <w:color w:val="000000" w:themeColor="text1"/>
          <w:szCs w:val="24"/>
        </w:rPr>
        <w:t>w</w:t>
      </w:r>
      <w:r w:rsidR="00EE58CF" w:rsidRPr="000D70CA">
        <w:rPr>
          <w:rFonts w:ascii="Book Antiqua" w:hAnsi="Book Antiqua"/>
          <w:color w:val="000000" w:themeColor="text1"/>
          <w:szCs w:val="24"/>
        </w:rPr>
        <w:t>as</w:t>
      </w:r>
      <w:r w:rsidR="00E11EE2" w:rsidRPr="000D70CA">
        <w:rPr>
          <w:rFonts w:ascii="Book Antiqua" w:hAnsi="Book Antiqua"/>
          <w:color w:val="000000" w:themeColor="text1"/>
          <w:szCs w:val="24"/>
        </w:rPr>
        <w:t xml:space="preserve"> investigated with </w:t>
      </w:r>
      <w:r w:rsidR="00EE58CF" w:rsidRPr="000D70CA">
        <w:rPr>
          <w:rFonts w:ascii="Book Antiqua" w:hAnsi="Book Antiqua"/>
          <w:color w:val="000000" w:themeColor="text1"/>
          <w:szCs w:val="24"/>
        </w:rPr>
        <w:t xml:space="preserve">a </w:t>
      </w:r>
      <w:r w:rsidR="00E11EE2" w:rsidRPr="000D70CA">
        <w:rPr>
          <w:rFonts w:ascii="Book Antiqua" w:hAnsi="Book Antiqua"/>
          <w:color w:val="000000" w:themeColor="text1"/>
          <w:szCs w:val="24"/>
        </w:rPr>
        <w:t xml:space="preserve">CT scan and/or liver biopsy as appropriate. </w:t>
      </w:r>
      <w:r w:rsidR="00963B03" w:rsidRPr="000D70CA">
        <w:rPr>
          <w:rFonts w:ascii="Book Antiqua" w:hAnsi="Book Antiqua"/>
          <w:color w:val="000000" w:themeColor="text1"/>
          <w:szCs w:val="24"/>
        </w:rPr>
        <w:t xml:space="preserve">Clinical suspicion </w:t>
      </w:r>
      <w:r w:rsidR="00EE58CF" w:rsidRPr="000D70CA">
        <w:rPr>
          <w:rFonts w:ascii="Book Antiqua" w:hAnsi="Book Antiqua"/>
          <w:color w:val="000000" w:themeColor="text1"/>
          <w:szCs w:val="24"/>
        </w:rPr>
        <w:t>of</w:t>
      </w:r>
      <w:r w:rsidR="00963B03" w:rsidRPr="000D70CA">
        <w:rPr>
          <w:rFonts w:ascii="Book Antiqua" w:hAnsi="Book Antiqua"/>
          <w:color w:val="000000" w:themeColor="text1"/>
          <w:szCs w:val="24"/>
        </w:rPr>
        <w:t xml:space="preserve"> a</w:t>
      </w:r>
      <w:r w:rsidR="0036583F" w:rsidRPr="000D70CA">
        <w:rPr>
          <w:rFonts w:ascii="Book Antiqua" w:hAnsi="Book Antiqua"/>
          <w:color w:val="000000" w:themeColor="text1"/>
          <w:szCs w:val="24"/>
        </w:rPr>
        <w:t xml:space="preserve">cute rejection was </w:t>
      </w:r>
      <w:r w:rsidR="00832B26" w:rsidRPr="000D70CA">
        <w:rPr>
          <w:rFonts w:ascii="Book Antiqua" w:hAnsi="Book Antiqua"/>
          <w:color w:val="000000" w:themeColor="text1"/>
          <w:szCs w:val="24"/>
        </w:rPr>
        <w:t>confirmed by liver biopsy</w:t>
      </w:r>
      <w:r w:rsidR="0036583F" w:rsidRPr="000D70CA">
        <w:rPr>
          <w:rFonts w:ascii="Book Antiqua" w:hAnsi="Book Antiqua"/>
          <w:color w:val="000000" w:themeColor="text1"/>
          <w:szCs w:val="24"/>
        </w:rPr>
        <w:t>.</w:t>
      </w:r>
    </w:p>
    <w:p w14:paraId="7021286D" w14:textId="4318D568" w:rsidR="002C54C0" w:rsidRPr="000D70CA" w:rsidRDefault="002C54C0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5083D55D" w14:textId="77777777" w:rsidR="000365E1" w:rsidRPr="000D70CA" w:rsidRDefault="000365E1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Treatment</w:t>
      </w:r>
    </w:p>
    <w:p w14:paraId="0D664DEC" w14:textId="5935037A" w:rsidR="007F2CA2" w:rsidRPr="000D70CA" w:rsidRDefault="00F016B5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  <w:lang w:val="en-GB"/>
        </w:rPr>
      </w:pPr>
      <w:r w:rsidRPr="000D70CA">
        <w:rPr>
          <w:rFonts w:ascii="Book Antiqua" w:hAnsi="Book Antiqua"/>
          <w:color w:val="000000" w:themeColor="text1"/>
          <w:szCs w:val="24"/>
        </w:rPr>
        <w:t>Upon recurrence, i</w:t>
      </w:r>
      <w:r w:rsidR="001E7E01" w:rsidRPr="000D70CA">
        <w:rPr>
          <w:rFonts w:ascii="Book Antiqua" w:hAnsi="Book Antiqua"/>
          <w:color w:val="000000" w:themeColor="text1"/>
          <w:szCs w:val="24"/>
        </w:rPr>
        <w:t xml:space="preserve">mmunosuppression was tapered to the lowest effective dose. </w:t>
      </w:r>
      <w:r w:rsidR="00F255B2" w:rsidRPr="000D70CA">
        <w:rPr>
          <w:rFonts w:ascii="Book Antiqua" w:hAnsi="Book Antiqua"/>
          <w:color w:val="000000" w:themeColor="text1"/>
          <w:szCs w:val="24"/>
        </w:rPr>
        <w:t>Consideration</w:t>
      </w:r>
      <w:r w:rsidR="006E261F" w:rsidRPr="000D70CA">
        <w:rPr>
          <w:rFonts w:ascii="Book Antiqua" w:hAnsi="Book Antiqua"/>
          <w:color w:val="000000" w:themeColor="text1"/>
          <w:szCs w:val="24"/>
        </w:rPr>
        <w:t>s</w:t>
      </w:r>
      <w:r w:rsidR="00F255B2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6A0E07" w:rsidRPr="000D70CA">
        <w:rPr>
          <w:rFonts w:ascii="Book Antiqua" w:hAnsi="Book Antiqua"/>
          <w:color w:val="000000" w:themeColor="text1"/>
          <w:szCs w:val="24"/>
        </w:rPr>
        <w:t>were</w:t>
      </w:r>
      <w:r w:rsidR="00F255B2" w:rsidRPr="000D70CA">
        <w:rPr>
          <w:rFonts w:ascii="Book Antiqua" w:hAnsi="Book Antiqua"/>
          <w:color w:val="000000" w:themeColor="text1"/>
          <w:szCs w:val="24"/>
        </w:rPr>
        <w:t xml:space="preserve"> given to an </w:t>
      </w:r>
      <w:proofErr w:type="spellStart"/>
      <w:r w:rsidR="00F255B2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F255B2" w:rsidRPr="000D70CA">
        <w:rPr>
          <w:rFonts w:ascii="Book Antiqua" w:hAnsi="Book Antiqua"/>
          <w:color w:val="000000" w:themeColor="text1"/>
          <w:szCs w:val="24"/>
        </w:rPr>
        <w:t>-based regime, with</w:t>
      </w:r>
      <w:r w:rsidR="0059321F" w:rsidRPr="000D70CA">
        <w:rPr>
          <w:rFonts w:ascii="Book Antiqua" w:hAnsi="Book Antiqua"/>
          <w:color w:val="000000" w:themeColor="text1"/>
          <w:szCs w:val="24"/>
        </w:rPr>
        <w:t xml:space="preserve"> or without </w:t>
      </w:r>
      <w:r w:rsidR="00EE58CF" w:rsidRPr="000D70CA">
        <w:rPr>
          <w:rFonts w:ascii="Book Antiqua" w:hAnsi="Book Antiqua"/>
          <w:color w:val="000000" w:themeColor="text1"/>
          <w:szCs w:val="24"/>
        </w:rPr>
        <w:t>a</w:t>
      </w:r>
      <w:r w:rsidR="001E7E01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 reduced dose </w:t>
      </w:r>
      <w:r w:rsidR="00EE58CF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of </w:t>
      </w:r>
      <w:r w:rsidR="00F24319" w:rsidRPr="000D70CA">
        <w:rPr>
          <w:rFonts w:ascii="Book Antiqua" w:hAnsi="Book Antiqua"/>
          <w:color w:val="000000" w:themeColor="text1"/>
          <w:szCs w:val="24"/>
          <w:lang w:val="en-GB"/>
        </w:rPr>
        <w:t>CNI</w:t>
      </w:r>
      <w:r w:rsidR="001E7E01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 (</w:t>
      </w:r>
      <w:r w:rsidR="00F24319" w:rsidRPr="000D70CA">
        <w:rPr>
          <w:rFonts w:ascii="Book Antiqua" w:hAnsi="Book Antiqua"/>
          <w:color w:val="000000" w:themeColor="text1"/>
          <w:szCs w:val="24"/>
          <w:lang w:val="en-GB"/>
        </w:rPr>
        <w:t>tacrolimus with trough</w:t>
      </w:r>
      <w:r w:rsidR="001E7E01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 level &lt;</w:t>
      </w:r>
      <w:r w:rsidR="000A78AC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 </w:t>
      </w:r>
      <w:r w:rsidR="001E7E01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5 </w:t>
      </w:r>
      <w:proofErr w:type="spellStart"/>
      <w:r w:rsidR="000D71C3" w:rsidRPr="000D70CA">
        <w:rPr>
          <w:rFonts w:ascii="Book Antiqua" w:hAnsi="Book Antiqua"/>
          <w:color w:val="000000" w:themeColor="text1"/>
          <w:szCs w:val="24"/>
          <w:lang w:val="en-GB"/>
        </w:rPr>
        <w:t>μ</w:t>
      </w:r>
      <w:r w:rsidR="001E7E01" w:rsidRPr="000D70CA">
        <w:rPr>
          <w:rFonts w:ascii="Book Antiqua" w:hAnsi="Book Antiqua"/>
          <w:color w:val="000000" w:themeColor="text1"/>
          <w:szCs w:val="24"/>
          <w:lang w:val="en-GB"/>
        </w:rPr>
        <w:t>g</w:t>
      </w:r>
      <w:proofErr w:type="spellEnd"/>
      <w:r w:rsidR="001E7E01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/L). </w:t>
      </w:r>
      <w:r w:rsidRPr="000D70CA">
        <w:rPr>
          <w:rFonts w:ascii="Book Antiqua" w:hAnsi="Book Antiqua"/>
          <w:color w:val="000000" w:themeColor="text1"/>
          <w:szCs w:val="24"/>
          <w:lang w:val="en-GB"/>
        </w:rPr>
        <w:t>T</w:t>
      </w:r>
      <w:r w:rsidR="001E7E01" w:rsidRPr="000D70CA">
        <w:rPr>
          <w:rFonts w:ascii="Book Antiqua" w:hAnsi="Book Antiqua"/>
          <w:color w:val="000000" w:themeColor="text1"/>
          <w:szCs w:val="24"/>
          <w:lang w:val="en-GB"/>
        </w:rPr>
        <w:t>he decision was individualized base</w:t>
      </w:r>
      <w:r w:rsidR="006A0E07" w:rsidRPr="000D70CA">
        <w:rPr>
          <w:rFonts w:ascii="Book Antiqua" w:hAnsi="Book Antiqua"/>
          <w:color w:val="000000" w:themeColor="text1"/>
          <w:szCs w:val="24"/>
          <w:lang w:val="en-GB"/>
        </w:rPr>
        <w:t>d</w:t>
      </w:r>
      <w:r w:rsidR="001E7E01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 on the patients’ general status, liver function and tumour status. </w:t>
      </w:r>
      <w:r w:rsidR="00073CFA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In this study, </w:t>
      </w:r>
      <w:r w:rsidR="00A81452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combination therapy </w:t>
      </w:r>
      <w:r w:rsidR="00853569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was defined </w:t>
      </w:r>
      <w:r w:rsidR="00EE58CF" w:rsidRPr="000D70CA">
        <w:rPr>
          <w:rFonts w:ascii="Book Antiqua" w:hAnsi="Book Antiqua"/>
          <w:color w:val="000000" w:themeColor="text1"/>
          <w:szCs w:val="24"/>
          <w:lang w:val="en-GB"/>
        </w:rPr>
        <w:t>as</w:t>
      </w:r>
      <w:r w:rsidR="00853569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 </w:t>
      </w:r>
      <w:r w:rsidR="00EE58CF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patients receiving both </w:t>
      </w:r>
      <w:proofErr w:type="spellStart"/>
      <w:r w:rsidR="00EE58CF" w:rsidRPr="000D70CA">
        <w:rPr>
          <w:rFonts w:ascii="Book Antiqua" w:hAnsi="Book Antiqua"/>
          <w:color w:val="000000" w:themeColor="text1"/>
          <w:szCs w:val="24"/>
          <w:lang w:val="en-GB"/>
        </w:rPr>
        <w:t>mTOR</w:t>
      </w:r>
      <w:proofErr w:type="spellEnd"/>
      <w:r w:rsidR="00EE58CF" w:rsidRPr="000D70CA">
        <w:rPr>
          <w:rFonts w:ascii="Book Antiqua" w:hAnsi="Book Antiqua"/>
          <w:color w:val="000000" w:themeColor="text1"/>
          <w:szCs w:val="24"/>
          <w:lang w:val="en-GB"/>
        </w:rPr>
        <w:t xml:space="preserve"> inhibitor and CNI for </w:t>
      </w:r>
      <w:r w:rsidR="00432B53" w:rsidRPr="000D70CA">
        <w:rPr>
          <w:rFonts w:ascii="Book Antiqua" w:hAnsi="Book Antiqua"/>
          <w:color w:val="000000" w:themeColor="text1"/>
          <w:szCs w:val="24"/>
          <w:lang w:val="en-GB"/>
        </w:rPr>
        <w:t>more than 50% of the time</w:t>
      </w:r>
      <w:r w:rsidR="007F2CA2" w:rsidRPr="000D70CA">
        <w:rPr>
          <w:rFonts w:ascii="Book Antiqua" w:hAnsi="Book Antiqua"/>
          <w:color w:val="000000" w:themeColor="text1"/>
          <w:szCs w:val="24"/>
          <w:lang w:val="en-GB"/>
        </w:rPr>
        <w:t>.</w:t>
      </w:r>
    </w:p>
    <w:p w14:paraId="2DA0C2BF" w14:textId="1423EA43" w:rsidR="00BD1B8B" w:rsidRPr="000D70CA" w:rsidRDefault="00F016B5" w:rsidP="00BE6C9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Comprehensive staging was performed </w:t>
      </w:r>
      <w:r w:rsidR="00DA65C7" w:rsidRPr="000D70CA">
        <w:rPr>
          <w:rFonts w:ascii="Book Antiqua" w:hAnsi="Book Antiqua"/>
          <w:color w:val="000000" w:themeColor="text1"/>
          <w:szCs w:val="24"/>
        </w:rPr>
        <w:t>by</w:t>
      </w:r>
      <w:r w:rsidRPr="000D70CA">
        <w:rPr>
          <w:rFonts w:ascii="Book Antiqua" w:hAnsi="Book Antiqua"/>
          <w:color w:val="000000" w:themeColor="text1"/>
          <w:szCs w:val="24"/>
        </w:rPr>
        <w:t xml:space="preserve"> dual-tracer positron emission tomography or a combination of contrast CT </w:t>
      </w:r>
      <w:r w:rsidR="00DA65C7" w:rsidRPr="000D70CA">
        <w:rPr>
          <w:rFonts w:ascii="Book Antiqua" w:hAnsi="Book Antiqua"/>
          <w:color w:val="000000" w:themeColor="text1"/>
          <w:szCs w:val="24"/>
        </w:rPr>
        <w:t xml:space="preserve">scan of </w:t>
      </w:r>
      <w:r w:rsidR="00EE58CF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DA65C7" w:rsidRPr="000D70CA">
        <w:rPr>
          <w:rFonts w:ascii="Book Antiqua" w:hAnsi="Book Antiqua"/>
          <w:color w:val="000000" w:themeColor="text1"/>
          <w:szCs w:val="24"/>
        </w:rPr>
        <w:t>thorax and abdomen with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1D3A80" w:rsidRPr="000D70CA">
        <w:rPr>
          <w:rFonts w:ascii="Book Antiqua" w:hAnsi="Book Antiqua"/>
          <w:color w:val="000000" w:themeColor="text1"/>
          <w:szCs w:val="24"/>
        </w:rPr>
        <w:t xml:space="preserve">a </w:t>
      </w:r>
      <w:r w:rsidRPr="000D70CA">
        <w:rPr>
          <w:rFonts w:ascii="Book Antiqua" w:hAnsi="Book Antiqua"/>
          <w:color w:val="000000" w:themeColor="text1"/>
          <w:szCs w:val="24"/>
        </w:rPr>
        <w:t xml:space="preserve">bone scan. Patients with disseminated recurrence were </w:t>
      </w:r>
      <w:r w:rsidR="0043327D" w:rsidRPr="000D70CA">
        <w:rPr>
          <w:rFonts w:ascii="Book Antiqua" w:hAnsi="Book Antiqua"/>
          <w:color w:val="000000" w:themeColor="text1"/>
          <w:szCs w:val="24"/>
        </w:rPr>
        <w:t>reviewe</w:t>
      </w:r>
      <w:r w:rsidRPr="000D70CA">
        <w:rPr>
          <w:rFonts w:ascii="Book Antiqua" w:hAnsi="Book Antiqua"/>
          <w:color w:val="000000" w:themeColor="text1"/>
          <w:szCs w:val="24"/>
        </w:rPr>
        <w:t>d for targeted therapy</w:t>
      </w:r>
      <w:r w:rsidR="0043327D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43327D" w:rsidRPr="000D70CA">
        <w:rPr>
          <w:rFonts w:ascii="Book Antiqua" w:hAnsi="Book Antiqua"/>
          <w:i/>
          <w:iCs/>
          <w:color w:val="000000" w:themeColor="text1"/>
          <w:szCs w:val="24"/>
        </w:rPr>
        <w:t>e.g.</w:t>
      </w:r>
      <w:r w:rsidR="000A78AC" w:rsidRPr="000D70CA">
        <w:rPr>
          <w:rFonts w:ascii="Book Antiqua" w:hAnsi="Book Antiqua"/>
          <w:color w:val="000000" w:themeColor="text1"/>
          <w:szCs w:val="24"/>
        </w:rPr>
        <w:t>,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sorafenib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>. Patients with o</w:t>
      </w:r>
      <w:r w:rsidR="008454C6" w:rsidRPr="000D70CA">
        <w:rPr>
          <w:rFonts w:ascii="Book Antiqua" w:hAnsi="Book Antiqua"/>
          <w:color w:val="000000" w:themeColor="text1"/>
          <w:szCs w:val="24"/>
        </w:rPr>
        <w:t xml:space="preserve">ligo-recurrence </w:t>
      </w:r>
      <w:r w:rsidRPr="000D70CA">
        <w:rPr>
          <w:rFonts w:ascii="Book Antiqua" w:hAnsi="Book Antiqua"/>
          <w:i/>
          <w:iCs/>
          <w:color w:val="000000" w:themeColor="text1"/>
          <w:szCs w:val="24"/>
        </w:rPr>
        <w:t>i.e.</w:t>
      </w:r>
      <w:r w:rsidR="000A78AC" w:rsidRPr="000D70CA">
        <w:rPr>
          <w:rFonts w:ascii="Book Antiqua" w:hAnsi="Book Antiqua"/>
          <w:color w:val="000000" w:themeColor="text1"/>
          <w:szCs w:val="24"/>
        </w:rPr>
        <w:t>,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8454C6" w:rsidRPr="000D70CA">
        <w:rPr>
          <w:rFonts w:ascii="Book Antiqua" w:hAnsi="Book Antiqua"/>
          <w:color w:val="000000" w:themeColor="text1"/>
          <w:szCs w:val="24"/>
        </w:rPr>
        <w:t>recurrent disease limited in number and location</w:t>
      </w:r>
      <w:r w:rsidRPr="000D70CA">
        <w:rPr>
          <w:rFonts w:ascii="Book Antiqua" w:hAnsi="Book Antiqua"/>
          <w:color w:val="000000" w:themeColor="text1"/>
          <w:szCs w:val="24"/>
        </w:rPr>
        <w:t xml:space="preserve"> were selected for </w:t>
      </w:r>
      <w:r w:rsidR="008454C6" w:rsidRPr="000D70CA">
        <w:rPr>
          <w:rFonts w:ascii="Book Antiqua" w:hAnsi="Book Antiqua"/>
          <w:color w:val="000000" w:themeColor="text1"/>
          <w:szCs w:val="24"/>
        </w:rPr>
        <w:t>loco-regional treatment</w:t>
      </w:r>
      <w:r w:rsidR="0043327D" w:rsidRPr="000D70CA">
        <w:rPr>
          <w:rFonts w:ascii="Book Antiqua" w:hAnsi="Book Antiqua"/>
          <w:color w:val="000000" w:themeColor="text1"/>
          <w:szCs w:val="24"/>
        </w:rPr>
        <w:t>s</w:t>
      </w:r>
      <w:r w:rsidR="008454C6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 xml:space="preserve">including surgery, trans-arterial chemoembolization and </w:t>
      </w:r>
      <w:proofErr w:type="gramStart"/>
      <w:r w:rsidRPr="000D70CA">
        <w:rPr>
          <w:rFonts w:ascii="Book Antiqua" w:hAnsi="Book Antiqua"/>
          <w:color w:val="000000" w:themeColor="text1"/>
          <w:szCs w:val="24"/>
        </w:rPr>
        <w:t>radiotherapy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13</w:t>
      </w:r>
      <w:r w:rsidR="000A78AC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DB72C9" w:rsidRPr="000D70CA">
        <w:rPr>
          <w:rFonts w:ascii="Book Antiqua" w:hAnsi="Book Antiqua"/>
          <w:color w:val="000000" w:themeColor="text1"/>
          <w:szCs w:val="24"/>
        </w:rPr>
        <w:t xml:space="preserve">The treatment decisions were discussed in a multidisciplinary </w:t>
      </w:r>
      <w:proofErr w:type="spellStart"/>
      <w:r w:rsidR="00DB72C9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DB72C9" w:rsidRPr="000D70CA">
        <w:rPr>
          <w:rFonts w:ascii="Book Antiqua" w:hAnsi="Book Antiqua"/>
          <w:color w:val="000000" w:themeColor="text1"/>
          <w:szCs w:val="24"/>
        </w:rPr>
        <w:t xml:space="preserve"> board among transplant surgeons, transplant </w:t>
      </w:r>
      <w:proofErr w:type="spellStart"/>
      <w:r w:rsidR="00DB72C9" w:rsidRPr="000D70CA">
        <w:rPr>
          <w:rFonts w:ascii="Book Antiqua" w:hAnsi="Book Antiqua"/>
          <w:color w:val="000000" w:themeColor="text1"/>
          <w:szCs w:val="24"/>
        </w:rPr>
        <w:t>hepatologists</w:t>
      </w:r>
      <w:proofErr w:type="spellEnd"/>
      <w:r w:rsidR="00DB72C9" w:rsidRPr="000D70CA">
        <w:rPr>
          <w:rFonts w:ascii="Book Antiqua" w:hAnsi="Book Antiqua"/>
          <w:color w:val="000000" w:themeColor="text1"/>
          <w:szCs w:val="24"/>
        </w:rPr>
        <w:t xml:space="preserve">, radiation oncologists and medical oncologists. </w:t>
      </w:r>
    </w:p>
    <w:p w14:paraId="60301985" w14:textId="77777777" w:rsidR="00BD1B8B" w:rsidRPr="000D70CA" w:rsidRDefault="00BD1B8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2ABFE1B5" w14:textId="6C9D2620" w:rsidR="002C54C0" w:rsidRPr="000D70CA" w:rsidRDefault="002C54C0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Data collection</w:t>
      </w:r>
      <w:r w:rsidR="000365E1"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 xml:space="preserve">, </w:t>
      </w: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outcomes</w:t>
      </w:r>
      <w:r w:rsidR="000365E1"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 xml:space="preserve"> and statistics</w:t>
      </w:r>
    </w:p>
    <w:p w14:paraId="1C96E8B1" w14:textId="780BCFA7" w:rsidR="002C54C0" w:rsidRPr="000D70CA" w:rsidRDefault="000365E1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Data w</w:t>
      </w:r>
      <w:r w:rsidR="001D3A80" w:rsidRPr="000D70CA">
        <w:rPr>
          <w:rFonts w:ascii="Book Antiqua" w:hAnsi="Book Antiqua"/>
          <w:color w:val="000000" w:themeColor="text1"/>
          <w:szCs w:val="24"/>
        </w:rPr>
        <w:t>ere</w:t>
      </w:r>
      <w:r w:rsidRPr="000D70CA">
        <w:rPr>
          <w:rFonts w:ascii="Book Antiqua" w:hAnsi="Book Antiqua"/>
          <w:color w:val="000000" w:themeColor="text1"/>
          <w:szCs w:val="24"/>
        </w:rPr>
        <w:t xml:space="preserve"> retrieved from a prospectively maintained database. Patients were compared in terms of pre-transplant status, characteristics of recurrence and </w:t>
      </w:r>
      <w:r w:rsidR="00AA3288" w:rsidRPr="000D70CA">
        <w:rPr>
          <w:rFonts w:ascii="Book Antiqua" w:hAnsi="Book Antiqua"/>
          <w:color w:val="000000" w:themeColor="text1"/>
          <w:szCs w:val="24"/>
        </w:rPr>
        <w:t>the treatment</w:t>
      </w:r>
      <w:r w:rsidR="006A0E07" w:rsidRPr="000D70CA">
        <w:rPr>
          <w:rFonts w:ascii="Book Antiqua" w:hAnsi="Book Antiqua"/>
          <w:color w:val="000000" w:themeColor="text1"/>
          <w:szCs w:val="24"/>
        </w:rPr>
        <w:t>s</w:t>
      </w:r>
      <w:r w:rsidR="00AA3288" w:rsidRPr="000D70CA">
        <w:rPr>
          <w:rFonts w:ascii="Book Antiqua" w:hAnsi="Book Antiqua"/>
          <w:color w:val="000000" w:themeColor="text1"/>
          <w:szCs w:val="24"/>
        </w:rPr>
        <w:t xml:space="preserve"> they received. </w:t>
      </w:r>
      <w:r w:rsidR="001D3A80" w:rsidRPr="000D70CA">
        <w:rPr>
          <w:rFonts w:ascii="Book Antiqua" w:hAnsi="Book Antiqua"/>
          <w:color w:val="000000" w:themeColor="text1"/>
          <w:szCs w:val="24"/>
        </w:rPr>
        <w:t>The c</w:t>
      </w:r>
      <w:r w:rsidR="00AA3288" w:rsidRPr="000D70CA">
        <w:rPr>
          <w:rFonts w:ascii="Book Antiqua" w:hAnsi="Book Antiqua"/>
          <w:color w:val="000000" w:themeColor="text1"/>
          <w:szCs w:val="24"/>
        </w:rPr>
        <w:t xml:space="preserve">haracteristics of recurrence included pattern (intra-, extra-hepatic or both), location, </w:t>
      </w:r>
      <w:proofErr w:type="spellStart"/>
      <w:r w:rsidR="00AA3288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AA3288" w:rsidRPr="000D70CA">
        <w:rPr>
          <w:rFonts w:ascii="Book Antiqua" w:hAnsi="Book Antiqua"/>
          <w:color w:val="000000" w:themeColor="text1"/>
          <w:szCs w:val="24"/>
        </w:rPr>
        <w:t xml:space="preserve"> load (number and size) </w:t>
      </w:r>
      <w:r w:rsidR="00AA3288" w:rsidRPr="000D70CA">
        <w:rPr>
          <w:rFonts w:ascii="Book Antiqua" w:hAnsi="Book Antiqua"/>
          <w:color w:val="000000" w:themeColor="text1"/>
          <w:szCs w:val="24"/>
        </w:rPr>
        <w:lastRenderedPageBreak/>
        <w:t xml:space="preserve">and serum level of AFP. </w:t>
      </w:r>
      <w:r w:rsidR="002C54C0" w:rsidRPr="000D70CA">
        <w:rPr>
          <w:rFonts w:ascii="Book Antiqua" w:hAnsi="Book Antiqua"/>
          <w:color w:val="000000" w:themeColor="text1"/>
          <w:szCs w:val="24"/>
        </w:rPr>
        <w:t xml:space="preserve">The primary outcome was </w:t>
      </w:r>
      <w:r w:rsidRPr="000D70CA">
        <w:rPr>
          <w:rFonts w:ascii="Book Antiqua" w:hAnsi="Book Antiqua"/>
          <w:color w:val="000000" w:themeColor="text1"/>
          <w:szCs w:val="24"/>
        </w:rPr>
        <w:t>post-recurrence</w:t>
      </w:r>
      <w:r w:rsidR="002C54C0" w:rsidRPr="000D70CA">
        <w:rPr>
          <w:rFonts w:ascii="Book Antiqua" w:hAnsi="Book Antiqua"/>
          <w:color w:val="000000" w:themeColor="text1"/>
          <w:szCs w:val="24"/>
        </w:rPr>
        <w:t xml:space="preserve"> survival. </w:t>
      </w:r>
      <w:r w:rsidR="00711499" w:rsidRPr="000D70CA">
        <w:rPr>
          <w:rFonts w:ascii="Book Antiqua" w:hAnsi="Book Antiqua"/>
          <w:color w:val="000000" w:themeColor="text1"/>
          <w:szCs w:val="24"/>
        </w:rPr>
        <w:t>Categorical variables were compared with</w:t>
      </w:r>
      <w:r w:rsidR="001D3A80" w:rsidRPr="000D70CA">
        <w:rPr>
          <w:rFonts w:ascii="Book Antiqua" w:hAnsi="Book Antiqua"/>
          <w:color w:val="000000" w:themeColor="text1"/>
          <w:szCs w:val="24"/>
        </w:rPr>
        <w:t xml:space="preserve"> the</w:t>
      </w:r>
      <w:r w:rsidR="00711499" w:rsidRPr="000D70CA">
        <w:rPr>
          <w:rFonts w:ascii="Book Antiqua" w:hAnsi="Book Antiqua"/>
          <w:color w:val="000000" w:themeColor="text1"/>
          <w:szCs w:val="24"/>
        </w:rPr>
        <w:t xml:space="preserve"> </w:t>
      </w:r>
      <w:bookmarkStart w:id="2" w:name="OLE_LINK7"/>
      <w:bookmarkStart w:id="3" w:name="OLE_LINK8"/>
      <w:r w:rsidR="00AB36EC" w:rsidRPr="000D70CA">
        <w:rPr>
          <w:rFonts w:ascii="Symbol" w:hAnsi="Symbol"/>
          <w:i/>
          <w:kern w:val="0"/>
          <w:szCs w:val="24"/>
        </w:rPr>
        <w:t></w:t>
      </w:r>
      <w:r w:rsidR="00AB36EC" w:rsidRPr="000D70CA">
        <w:rPr>
          <w:rFonts w:ascii="Book Antiqua" w:hAnsi="Book Antiqua" w:hint="eastAsia"/>
          <w:szCs w:val="24"/>
          <w:vertAlign w:val="superscript"/>
        </w:rPr>
        <w:t>2</w:t>
      </w:r>
      <w:bookmarkEnd w:id="2"/>
      <w:bookmarkEnd w:id="3"/>
      <w:r w:rsidR="00103B81" w:rsidRPr="000D70CA">
        <w:rPr>
          <w:rFonts w:ascii="Book Antiqua" w:hAnsi="Book Antiqua"/>
          <w:color w:val="000000" w:themeColor="text1"/>
          <w:szCs w:val="24"/>
        </w:rPr>
        <w:t xml:space="preserve"> test. </w:t>
      </w:r>
      <w:r w:rsidR="002C54C0" w:rsidRPr="000D70CA">
        <w:rPr>
          <w:rFonts w:ascii="Book Antiqua" w:hAnsi="Book Antiqua"/>
          <w:color w:val="000000" w:themeColor="text1"/>
          <w:szCs w:val="24"/>
        </w:rPr>
        <w:t xml:space="preserve">Continuous variables </w:t>
      </w:r>
      <w:r w:rsidR="001D3A80" w:rsidRPr="000D70CA">
        <w:rPr>
          <w:rFonts w:ascii="Book Antiqua" w:hAnsi="Book Antiqua"/>
          <w:color w:val="000000" w:themeColor="text1"/>
          <w:szCs w:val="24"/>
        </w:rPr>
        <w:t>are</w:t>
      </w:r>
      <w:r w:rsidR="002C54C0" w:rsidRPr="000D70CA">
        <w:rPr>
          <w:rFonts w:ascii="Book Antiqua" w:hAnsi="Book Antiqua"/>
          <w:color w:val="000000" w:themeColor="text1"/>
          <w:szCs w:val="24"/>
        </w:rPr>
        <w:t xml:space="preserve"> presented as median and interquartile range. </w:t>
      </w:r>
      <w:r w:rsidR="00103B81" w:rsidRPr="000D70CA">
        <w:rPr>
          <w:rFonts w:ascii="Book Antiqua" w:hAnsi="Book Antiqua"/>
          <w:color w:val="000000" w:themeColor="text1"/>
          <w:szCs w:val="24"/>
        </w:rPr>
        <w:t>Parametric and non-parametric variables were compared using</w:t>
      </w:r>
      <w:r w:rsidR="001D3A80" w:rsidRPr="000D70CA">
        <w:rPr>
          <w:rFonts w:ascii="Book Antiqua" w:hAnsi="Book Antiqua"/>
          <w:color w:val="000000" w:themeColor="text1"/>
          <w:szCs w:val="24"/>
        </w:rPr>
        <w:t xml:space="preserve"> the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103B81" w:rsidRPr="000D70CA">
        <w:rPr>
          <w:rFonts w:ascii="Book Antiqua" w:hAnsi="Book Antiqua"/>
          <w:i/>
          <w:iCs/>
          <w:color w:val="000000" w:themeColor="text1"/>
          <w:szCs w:val="24"/>
        </w:rPr>
        <w:t>t</w:t>
      </w:r>
      <w:r w:rsidR="00103B81" w:rsidRPr="000D70CA">
        <w:rPr>
          <w:rFonts w:ascii="Book Antiqua" w:hAnsi="Book Antiqua"/>
          <w:color w:val="000000" w:themeColor="text1"/>
          <w:szCs w:val="24"/>
        </w:rPr>
        <w:t>-test and Man</w:t>
      </w:r>
      <w:r w:rsidR="001D3A80" w:rsidRPr="000D70CA">
        <w:rPr>
          <w:rFonts w:ascii="Book Antiqua" w:hAnsi="Book Antiqua"/>
          <w:color w:val="000000" w:themeColor="text1"/>
          <w:szCs w:val="24"/>
        </w:rPr>
        <w:t>n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-Whitney </w:t>
      </w:r>
      <w:r w:rsidR="00103B81" w:rsidRPr="000D70CA">
        <w:rPr>
          <w:rFonts w:ascii="Book Antiqua" w:hAnsi="Book Antiqua"/>
          <w:i/>
          <w:color w:val="000000" w:themeColor="text1"/>
          <w:szCs w:val="24"/>
        </w:rPr>
        <w:t>U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 test</w:t>
      </w:r>
      <w:r w:rsidR="001D3A80" w:rsidRPr="000D70CA">
        <w:rPr>
          <w:rFonts w:ascii="Book Antiqua" w:hAnsi="Book Antiqua"/>
          <w:color w:val="000000" w:themeColor="text1"/>
          <w:szCs w:val="24"/>
        </w:rPr>
        <w:t>,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 respectively. Survival w</w:t>
      </w:r>
      <w:r w:rsidR="001D3A80" w:rsidRPr="000D70CA">
        <w:rPr>
          <w:rFonts w:ascii="Book Antiqua" w:hAnsi="Book Antiqua"/>
          <w:color w:val="000000" w:themeColor="text1"/>
          <w:szCs w:val="24"/>
        </w:rPr>
        <w:t>as assessed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FC6CB4" w:rsidRPr="000D70CA">
        <w:rPr>
          <w:rFonts w:ascii="Book Antiqua" w:hAnsi="Book Antiqua"/>
          <w:color w:val="000000" w:themeColor="text1"/>
          <w:szCs w:val="24"/>
        </w:rPr>
        <w:t>by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1D3A80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103B81" w:rsidRPr="000D70CA">
        <w:rPr>
          <w:rFonts w:ascii="Book Antiqua" w:hAnsi="Book Antiqua"/>
          <w:color w:val="000000" w:themeColor="text1"/>
          <w:szCs w:val="24"/>
        </w:rPr>
        <w:t>Kaplan-Meier method</w:t>
      </w:r>
      <w:r w:rsidR="0047090F" w:rsidRPr="000D70CA">
        <w:rPr>
          <w:rFonts w:ascii="Book Antiqua" w:hAnsi="Book Antiqua"/>
          <w:color w:val="000000" w:themeColor="text1"/>
          <w:szCs w:val="24"/>
        </w:rPr>
        <w:t>. Potential confounding factors were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 compared with univariate and multivariate Cox-regression analysis. Data w</w:t>
      </w:r>
      <w:r w:rsidR="001D3A80" w:rsidRPr="000D70CA">
        <w:rPr>
          <w:rFonts w:ascii="Book Antiqua" w:hAnsi="Book Antiqua"/>
          <w:color w:val="000000" w:themeColor="text1"/>
          <w:szCs w:val="24"/>
        </w:rPr>
        <w:t>ere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A3288" w:rsidRPr="000D70CA">
        <w:rPr>
          <w:rFonts w:ascii="Book Antiqua" w:hAnsi="Book Antiqua"/>
          <w:color w:val="000000" w:themeColor="text1"/>
          <w:szCs w:val="24"/>
        </w:rPr>
        <w:t>analyzed</w:t>
      </w:r>
      <w:r w:rsidR="00BD1B8B" w:rsidRPr="000D70CA">
        <w:rPr>
          <w:rFonts w:ascii="Book Antiqua" w:hAnsi="Book Antiqua"/>
          <w:color w:val="000000" w:themeColor="text1"/>
          <w:szCs w:val="24"/>
        </w:rPr>
        <w:t xml:space="preserve"> using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1D3A80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103B81" w:rsidRPr="000D70CA">
        <w:rPr>
          <w:rFonts w:ascii="Book Antiqua" w:hAnsi="Book Antiqua"/>
          <w:color w:val="000000" w:themeColor="text1"/>
          <w:szCs w:val="24"/>
        </w:rPr>
        <w:t>Statistical Package for the Social Sciences 16.0 (SPSS) for Windows (SPSS Inc., Chicago, IL</w:t>
      </w:r>
      <w:r w:rsidR="0081782A" w:rsidRPr="000D70CA">
        <w:rPr>
          <w:rFonts w:ascii="Book Antiqua" w:eastAsia="等线" w:hAnsi="Book Antiqua" w:hint="eastAsia"/>
          <w:color w:val="000000" w:themeColor="text1"/>
          <w:szCs w:val="24"/>
          <w:lang w:eastAsia="zh-CN"/>
        </w:rPr>
        <w:t>, United States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). Statistical significance was defined </w:t>
      </w:r>
      <w:r w:rsidR="001D3A80" w:rsidRPr="000D70CA">
        <w:rPr>
          <w:rFonts w:ascii="Book Antiqua" w:hAnsi="Book Antiqua"/>
          <w:color w:val="000000" w:themeColor="text1"/>
          <w:szCs w:val="24"/>
        </w:rPr>
        <w:t>as a</w:t>
      </w:r>
      <w:r w:rsidR="00103B8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iCs/>
          <w:color w:val="000000" w:themeColor="text1"/>
          <w:szCs w:val="24"/>
        </w:rPr>
        <w:t>P</w:t>
      </w:r>
      <w:r w:rsidR="00103B81" w:rsidRPr="000D70CA">
        <w:rPr>
          <w:rFonts w:ascii="Book Antiqua" w:hAnsi="Book Antiqua"/>
          <w:color w:val="000000" w:themeColor="text1"/>
          <w:szCs w:val="24"/>
        </w:rPr>
        <w:t>-value &lt;</w:t>
      </w:r>
      <w:r w:rsidR="000A78AC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103B81" w:rsidRPr="000D70CA">
        <w:rPr>
          <w:rFonts w:ascii="Book Antiqua" w:hAnsi="Book Antiqua"/>
          <w:color w:val="000000" w:themeColor="text1"/>
          <w:szCs w:val="24"/>
        </w:rPr>
        <w:t>0.05.</w:t>
      </w:r>
    </w:p>
    <w:p w14:paraId="1C9288D1" w14:textId="1AA1D236" w:rsidR="002C54C0" w:rsidRPr="000D70CA" w:rsidRDefault="002C54C0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5F1DC79A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  <w:u w:val="single"/>
        </w:rPr>
      </w:pPr>
      <w:r w:rsidRPr="000D70CA">
        <w:rPr>
          <w:rFonts w:ascii="Book Antiqua" w:hAnsi="Book Antiqua"/>
          <w:b/>
          <w:color w:val="000000"/>
          <w:szCs w:val="24"/>
          <w:u w:val="single"/>
        </w:rPr>
        <w:t>RESULTS</w:t>
      </w:r>
    </w:p>
    <w:p w14:paraId="67DA2458" w14:textId="3BBDDFB7" w:rsidR="00A94C7C" w:rsidRPr="000D70CA" w:rsidRDefault="002B4C97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During the study period from January 2000 to December 2019, </w:t>
      </w:r>
      <w:r w:rsidR="00C52601" w:rsidRPr="000D70CA">
        <w:rPr>
          <w:rFonts w:ascii="Book Antiqua" w:hAnsi="Book Antiqua"/>
          <w:color w:val="000000" w:themeColor="text1"/>
          <w:szCs w:val="24"/>
        </w:rPr>
        <w:t xml:space="preserve">143 </w:t>
      </w:r>
      <w:r w:rsidRPr="000D70CA">
        <w:rPr>
          <w:rFonts w:ascii="Book Antiqua" w:hAnsi="Book Antiqua"/>
          <w:color w:val="000000" w:themeColor="text1"/>
          <w:szCs w:val="24"/>
        </w:rPr>
        <w:t>patients were diagnosed with post-transplant HCC recurrence</w:t>
      </w:r>
      <w:r w:rsidR="00C52601" w:rsidRPr="000D70CA">
        <w:rPr>
          <w:rFonts w:ascii="Book Antiqua" w:hAnsi="Book Antiqua"/>
          <w:color w:val="000000" w:themeColor="text1"/>
          <w:szCs w:val="24"/>
        </w:rPr>
        <w:t xml:space="preserve"> and they </w:t>
      </w:r>
      <w:r w:rsidR="009253A1" w:rsidRPr="000D70CA">
        <w:rPr>
          <w:rFonts w:ascii="Book Antiqua" w:hAnsi="Book Antiqua"/>
          <w:color w:val="000000" w:themeColor="text1"/>
          <w:szCs w:val="24"/>
        </w:rPr>
        <w:t>formed the basis of this study.</w:t>
      </w:r>
      <w:r w:rsidR="00C5260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831F87" w:rsidRPr="000D70CA">
        <w:rPr>
          <w:rFonts w:ascii="Book Antiqua" w:hAnsi="Book Antiqua"/>
          <w:color w:val="000000" w:themeColor="text1"/>
          <w:szCs w:val="24"/>
        </w:rPr>
        <w:t xml:space="preserve">Of </w:t>
      </w:r>
      <w:r w:rsidR="00937FD2" w:rsidRPr="000D70CA">
        <w:rPr>
          <w:rFonts w:ascii="Book Antiqua" w:hAnsi="Book Antiqua"/>
          <w:color w:val="000000" w:themeColor="text1"/>
          <w:szCs w:val="24"/>
        </w:rPr>
        <w:t>th</w:t>
      </w:r>
      <w:r w:rsidR="00043C12" w:rsidRPr="000D70CA">
        <w:rPr>
          <w:rFonts w:ascii="Book Antiqua" w:hAnsi="Book Antiqua"/>
          <w:color w:val="000000" w:themeColor="text1"/>
          <w:szCs w:val="24"/>
        </w:rPr>
        <w:t>e</w:t>
      </w:r>
      <w:r w:rsidR="00937FD2" w:rsidRPr="000D70CA">
        <w:rPr>
          <w:rFonts w:ascii="Book Antiqua" w:hAnsi="Book Antiqua"/>
          <w:color w:val="000000" w:themeColor="text1"/>
          <w:szCs w:val="24"/>
        </w:rPr>
        <w:t>se</w:t>
      </w:r>
      <w:r w:rsidR="00043C12" w:rsidRPr="000D70CA">
        <w:rPr>
          <w:rFonts w:ascii="Book Antiqua" w:hAnsi="Book Antiqua"/>
          <w:color w:val="000000" w:themeColor="text1"/>
          <w:szCs w:val="24"/>
        </w:rPr>
        <w:t xml:space="preserve"> patients</w:t>
      </w:r>
      <w:r w:rsidR="00937FD2" w:rsidRPr="000D70CA">
        <w:rPr>
          <w:rFonts w:ascii="Book Antiqua" w:hAnsi="Book Antiqua"/>
          <w:color w:val="000000" w:themeColor="text1"/>
          <w:szCs w:val="24"/>
        </w:rPr>
        <w:t xml:space="preserve">, 59 (41%) received liver transplantation in our </w:t>
      </w:r>
      <w:proofErr w:type="spellStart"/>
      <w:r w:rsidR="00937FD2" w:rsidRPr="000D70CA">
        <w:rPr>
          <w:rFonts w:ascii="Book Antiqua" w:hAnsi="Book Antiqua"/>
          <w:color w:val="000000" w:themeColor="text1"/>
          <w:szCs w:val="24"/>
        </w:rPr>
        <w:t>centre</w:t>
      </w:r>
      <w:proofErr w:type="spellEnd"/>
      <w:r w:rsidR="00043C12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E12810" w:rsidRPr="000D70CA">
        <w:rPr>
          <w:rFonts w:ascii="Book Antiqua" w:hAnsi="Book Antiqua"/>
          <w:color w:val="000000" w:themeColor="text1"/>
          <w:szCs w:val="24"/>
        </w:rPr>
        <w:t>while</w:t>
      </w:r>
      <w:r w:rsidR="00937FD2" w:rsidRPr="000D70CA">
        <w:rPr>
          <w:rFonts w:ascii="Book Antiqua" w:hAnsi="Book Antiqua"/>
          <w:color w:val="000000" w:themeColor="text1"/>
          <w:szCs w:val="24"/>
        </w:rPr>
        <w:t xml:space="preserve"> 84 (59%) underwent the procedure elsewhere.</w:t>
      </w:r>
      <w:r w:rsidR="00B85050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43C12" w:rsidRPr="000D70CA">
        <w:rPr>
          <w:rFonts w:ascii="Book Antiqua" w:hAnsi="Book Antiqua"/>
          <w:color w:val="000000" w:themeColor="text1"/>
          <w:szCs w:val="24"/>
        </w:rPr>
        <w:t>Following the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diagnosis of recurrence, 79 (55%) </w:t>
      </w:r>
      <w:r w:rsidR="00FC6CB4" w:rsidRPr="000D70CA">
        <w:rPr>
          <w:rFonts w:ascii="Book Antiqua" w:hAnsi="Book Antiqua"/>
          <w:color w:val="000000" w:themeColor="text1"/>
          <w:szCs w:val="24"/>
        </w:rPr>
        <w:t>patients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received an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 inhibitor-based immunosuppressive regime</w:t>
      </w:r>
      <w:r w:rsidR="00043C12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while 64 (45%) </w:t>
      </w:r>
      <w:r w:rsidR="00FC6CB4" w:rsidRPr="000D70CA">
        <w:rPr>
          <w:rFonts w:ascii="Book Antiqua" w:hAnsi="Book Antiqua"/>
          <w:color w:val="000000" w:themeColor="text1"/>
          <w:szCs w:val="24"/>
        </w:rPr>
        <w:t xml:space="preserve">patients </w:t>
      </w:r>
      <w:r w:rsidR="00A94C7C" w:rsidRPr="000D70CA">
        <w:rPr>
          <w:rFonts w:ascii="Book Antiqua" w:hAnsi="Book Antiqua"/>
          <w:color w:val="000000" w:themeColor="text1"/>
          <w:szCs w:val="24"/>
        </w:rPr>
        <w:t>did not.</w:t>
      </w:r>
    </w:p>
    <w:p w14:paraId="02D9F78B" w14:textId="77777777" w:rsidR="009253A1" w:rsidRPr="000D70CA" w:rsidRDefault="009253A1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7371DDB8" w14:textId="4BDA85A7" w:rsidR="001F6626" w:rsidRPr="000D70CA" w:rsidRDefault="001F6626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Pre-transplant</w:t>
      </w:r>
      <w:r w:rsidR="003A3795"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 xml:space="preserve"> characteristics</w:t>
      </w:r>
    </w:p>
    <w:p w14:paraId="02C83B16" w14:textId="6F4A89DC" w:rsidR="00B01F05" w:rsidRPr="000D70CA" w:rsidRDefault="00B01F05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The pre-transplant characteristics were 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comparable between </w:t>
      </w:r>
      <w:r w:rsidR="00043C12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3A3795" w:rsidRPr="000D70CA">
        <w:rPr>
          <w:rFonts w:ascii="Book Antiqua" w:hAnsi="Book Antiqua"/>
          <w:color w:val="000000" w:themeColor="text1"/>
          <w:szCs w:val="24"/>
        </w:rPr>
        <w:t>two groups</w:t>
      </w:r>
      <w:r w:rsidR="00714772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F67102" w:rsidRPr="000D70CA">
        <w:rPr>
          <w:rFonts w:ascii="Book Antiqua" w:hAnsi="Book Antiqua"/>
          <w:color w:val="000000" w:themeColor="text1"/>
          <w:szCs w:val="24"/>
        </w:rPr>
        <w:t>(</w:t>
      </w:r>
      <w:r w:rsidR="00714772" w:rsidRPr="000D70CA">
        <w:rPr>
          <w:rFonts w:ascii="Book Antiqua" w:hAnsi="Book Antiqua"/>
          <w:color w:val="000000" w:themeColor="text1"/>
          <w:szCs w:val="24"/>
        </w:rPr>
        <w:t>T</w:t>
      </w:r>
      <w:r w:rsidRPr="000D70CA">
        <w:rPr>
          <w:rFonts w:ascii="Book Antiqua" w:hAnsi="Book Antiqua"/>
          <w:color w:val="000000" w:themeColor="text1"/>
          <w:szCs w:val="24"/>
        </w:rPr>
        <w:t>able 1</w:t>
      </w:r>
      <w:r w:rsidR="00714772" w:rsidRPr="000D70CA">
        <w:rPr>
          <w:rFonts w:ascii="Book Antiqua" w:hAnsi="Book Antiqua"/>
          <w:color w:val="000000" w:themeColor="text1"/>
          <w:szCs w:val="24"/>
        </w:rPr>
        <w:t>)</w:t>
      </w:r>
      <w:r w:rsidRPr="000D70CA">
        <w:rPr>
          <w:rFonts w:ascii="Book Antiqua" w:hAnsi="Book Antiqua"/>
          <w:color w:val="000000" w:themeColor="text1"/>
          <w:szCs w:val="24"/>
        </w:rPr>
        <w:t>. There was a male predominance a</w:t>
      </w:r>
      <w:r w:rsidR="00043C12" w:rsidRPr="000D70CA">
        <w:rPr>
          <w:rFonts w:ascii="Book Antiqua" w:hAnsi="Book Antiqua"/>
          <w:color w:val="000000" w:themeColor="text1"/>
          <w:szCs w:val="24"/>
        </w:rPr>
        <w:t>nd</w:t>
      </w:r>
      <w:r w:rsidRPr="000D70CA">
        <w:rPr>
          <w:rFonts w:ascii="Book Antiqua" w:hAnsi="Book Antiqua"/>
          <w:color w:val="000000" w:themeColor="text1"/>
          <w:szCs w:val="24"/>
        </w:rPr>
        <w:t xml:space="preserve"> the </w:t>
      </w:r>
      <w:r w:rsidR="003A3795" w:rsidRPr="000D70CA">
        <w:rPr>
          <w:rFonts w:ascii="Book Antiqua" w:hAnsi="Book Antiqua"/>
          <w:color w:val="000000" w:themeColor="text1"/>
          <w:szCs w:val="24"/>
        </w:rPr>
        <w:t>subjects primarily had</w:t>
      </w:r>
      <w:r w:rsidRPr="000D70CA">
        <w:rPr>
          <w:rFonts w:ascii="Book Antiqua" w:hAnsi="Book Antiqua"/>
          <w:color w:val="000000" w:themeColor="text1"/>
          <w:szCs w:val="24"/>
        </w:rPr>
        <w:t xml:space="preserve"> hepatitis B virus </w:t>
      </w:r>
      <w:r w:rsidR="003A3795" w:rsidRPr="000D70CA">
        <w:rPr>
          <w:rFonts w:ascii="Book Antiqua" w:hAnsi="Book Antiqua"/>
          <w:color w:val="000000" w:themeColor="text1"/>
          <w:szCs w:val="24"/>
        </w:rPr>
        <w:t>induced liver disease</w:t>
      </w:r>
      <w:r w:rsidRPr="000D70CA">
        <w:rPr>
          <w:rFonts w:ascii="Book Antiqua" w:hAnsi="Book Antiqua"/>
          <w:color w:val="000000" w:themeColor="text1"/>
          <w:szCs w:val="24"/>
        </w:rPr>
        <w:t xml:space="preserve"> (9</w:t>
      </w:r>
      <w:r w:rsidR="00B85050" w:rsidRPr="000D70CA">
        <w:rPr>
          <w:rFonts w:ascii="Book Antiqua" w:hAnsi="Book Antiqua"/>
          <w:color w:val="000000" w:themeColor="text1"/>
          <w:szCs w:val="24"/>
        </w:rPr>
        <w:t>5</w:t>
      </w:r>
      <w:r w:rsidRPr="000D70CA">
        <w:rPr>
          <w:rFonts w:ascii="Book Antiqua" w:hAnsi="Book Antiqua"/>
          <w:color w:val="000000" w:themeColor="text1"/>
          <w:szCs w:val="24"/>
        </w:rPr>
        <w:t xml:space="preserve">% and </w:t>
      </w:r>
      <w:r w:rsidR="00B85050" w:rsidRPr="000D70CA">
        <w:rPr>
          <w:rFonts w:ascii="Book Antiqua" w:hAnsi="Book Antiqua"/>
          <w:color w:val="000000" w:themeColor="text1"/>
          <w:szCs w:val="24"/>
        </w:rPr>
        <w:t>89</w:t>
      </w:r>
      <w:r w:rsidRPr="000D70CA">
        <w:rPr>
          <w:rFonts w:ascii="Book Antiqua" w:hAnsi="Book Antiqua"/>
          <w:color w:val="000000" w:themeColor="text1"/>
          <w:szCs w:val="24"/>
        </w:rPr>
        <w:t>%</w:t>
      </w:r>
      <w:r w:rsidR="00043C12" w:rsidRPr="000D70CA">
        <w:rPr>
          <w:rFonts w:ascii="Book Antiqua" w:hAnsi="Book Antiqua"/>
          <w:color w:val="000000" w:themeColor="text1"/>
          <w:szCs w:val="24"/>
        </w:rPr>
        <w:t>, respectively</w:t>
      </w:r>
      <w:r w:rsidRPr="000D70CA">
        <w:rPr>
          <w:rFonts w:ascii="Book Antiqua" w:hAnsi="Book Antiqua"/>
          <w:color w:val="000000" w:themeColor="text1"/>
          <w:szCs w:val="24"/>
        </w:rPr>
        <w:t xml:space="preserve">). </w:t>
      </w:r>
      <w:r w:rsidR="003A3795" w:rsidRPr="000D70CA">
        <w:rPr>
          <w:rFonts w:ascii="Book Antiqua" w:hAnsi="Book Antiqua"/>
          <w:color w:val="000000" w:themeColor="text1"/>
          <w:szCs w:val="24"/>
        </w:rPr>
        <w:t>The number of salvage transplant</w:t>
      </w:r>
      <w:r w:rsidR="00043C12" w:rsidRPr="000D70CA">
        <w:rPr>
          <w:rFonts w:ascii="Book Antiqua" w:hAnsi="Book Antiqua"/>
          <w:color w:val="000000" w:themeColor="text1"/>
          <w:szCs w:val="24"/>
        </w:rPr>
        <w:t>ations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A3795" w:rsidRPr="000D70CA">
        <w:rPr>
          <w:rFonts w:ascii="Book Antiqua" w:hAnsi="Book Antiqua"/>
          <w:i/>
          <w:iCs/>
          <w:color w:val="000000" w:themeColor="text1"/>
          <w:szCs w:val="24"/>
        </w:rPr>
        <w:t>i.e.</w:t>
      </w:r>
      <w:r w:rsidR="00AF289B" w:rsidRPr="000D70CA">
        <w:rPr>
          <w:rFonts w:ascii="Book Antiqua" w:hAnsi="Book Antiqua"/>
          <w:color w:val="000000" w:themeColor="text1"/>
          <w:szCs w:val="24"/>
        </w:rPr>
        <w:t>,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 liver transplantation performed for recurrent HCC after primary liver resection w</w:t>
      </w:r>
      <w:r w:rsidR="00043C12" w:rsidRPr="000D70CA">
        <w:rPr>
          <w:rFonts w:ascii="Book Antiqua" w:hAnsi="Book Antiqua"/>
          <w:color w:val="000000" w:themeColor="text1"/>
          <w:szCs w:val="24"/>
        </w:rPr>
        <w:t>as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 similar (3</w:t>
      </w:r>
      <w:r w:rsidR="003A0DAE" w:rsidRPr="000D70CA">
        <w:rPr>
          <w:rFonts w:ascii="Book Antiqua" w:hAnsi="Book Antiqua"/>
          <w:color w:val="000000" w:themeColor="text1"/>
          <w:szCs w:val="24"/>
        </w:rPr>
        <w:t>8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%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 3</w:t>
      </w:r>
      <w:r w:rsidR="003A0DAE" w:rsidRPr="000D70CA">
        <w:rPr>
          <w:rFonts w:ascii="Book Antiqua" w:hAnsi="Book Antiqua"/>
          <w:color w:val="000000" w:themeColor="text1"/>
          <w:szCs w:val="24"/>
        </w:rPr>
        <w:t>3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3A3795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A3795" w:rsidRPr="000D70CA">
        <w:rPr>
          <w:rFonts w:ascii="Book Antiqua" w:hAnsi="Book Antiqua"/>
          <w:color w:val="000000" w:themeColor="text1"/>
          <w:szCs w:val="24"/>
        </w:rPr>
        <w:t>0.</w:t>
      </w:r>
      <w:r w:rsidR="003A0DAE" w:rsidRPr="000D70CA">
        <w:rPr>
          <w:rFonts w:ascii="Book Antiqua" w:hAnsi="Book Antiqua"/>
          <w:color w:val="000000" w:themeColor="text1"/>
          <w:szCs w:val="24"/>
        </w:rPr>
        <w:t>52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). </w:t>
      </w:r>
      <w:proofErr w:type="spellStart"/>
      <w:r w:rsidR="003A3795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3A3795" w:rsidRPr="000D70CA">
        <w:rPr>
          <w:rFonts w:ascii="Book Antiqua" w:hAnsi="Book Antiqua"/>
          <w:color w:val="000000" w:themeColor="text1"/>
          <w:szCs w:val="24"/>
        </w:rPr>
        <w:t xml:space="preserve"> status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at </w:t>
      </w:r>
      <w:r w:rsidR="00043C12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D93431" w:rsidRPr="000D70CA">
        <w:rPr>
          <w:rFonts w:ascii="Book Antiqua" w:hAnsi="Book Antiqua"/>
          <w:color w:val="000000" w:themeColor="text1"/>
          <w:szCs w:val="24"/>
        </w:rPr>
        <w:t>time of transplant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D93431" w:rsidRPr="000D70CA">
        <w:rPr>
          <w:rFonts w:ascii="Book Antiqua" w:hAnsi="Book Antiqua"/>
          <w:color w:val="000000" w:themeColor="text1"/>
          <w:szCs w:val="24"/>
        </w:rPr>
        <w:t>w</w:t>
      </w:r>
      <w:r w:rsidR="00043C12" w:rsidRPr="000D70CA">
        <w:rPr>
          <w:rFonts w:ascii="Book Antiqua" w:hAnsi="Book Antiqua"/>
          <w:color w:val="000000" w:themeColor="text1"/>
          <w:szCs w:val="24"/>
        </w:rPr>
        <w:t>as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comparable 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in terms of number of </w:t>
      </w:r>
      <w:proofErr w:type="spellStart"/>
      <w:r w:rsidR="003A3795" w:rsidRPr="000D70CA">
        <w:rPr>
          <w:rFonts w:ascii="Book Antiqua" w:hAnsi="Book Antiqua"/>
          <w:color w:val="000000" w:themeColor="text1"/>
          <w:szCs w:val="24"/>
        </w:rPr>
        <w:t>tumours</w:t>
      </w:r>
      <w:proofErr w:type="spellEnd"/>
      <w:r w:rsidR="003A3795" w:rsidRPr="000D70CA">
        <w:rPr>
          <w:rFonts w:ascii="Book Antiqua" w:hAnsi="Book Antiqua"/>
          <w:color w:val="000000" w:themeColor="text1"/>
          <w:szCs w:val="24"/>
        </w:rPr>
        <w:t xml:space="preserve"> (2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 2,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3A3795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A3795" w:rsidRPr="000D70CA">
        <w:rPr>
          <w:rFonts w:ascii="Book Antiqua" w:hAnsi="Book Antiqua"/>
          <w:color w:val="000000" w:themeColor="text1"/>
          <w:szCs w:val="24"/>
        </w:rPr>
        <w:t>0.</w:t>
      </w:r>
      <w:r w:rsidR="003A0DAE" w:rsidRPr="000D70CA">
        <w:rPr>
          <w:rFonts w:ascii="Book Antiqua" w:hAnsi="Book Antiqua"/>
          <w:color w:val="000000" w:themeColor="text1"/>
          <w:szCs w:val="24"/>
        </w:rPr>
        <w:t>85</w:t>
      </w:r>
      <w:r w:rsidR="003A3795" w:rsidRPr="000D70CA">
        <w:rPr>
          <w:rFonts w:ascii="Book Antiqua" w:hAnsi="Book Antiqua"/>
          <w:color w:val="000000" w:themeColor="text1"/>
          <w:szCs w:val="24"/>
        </w:rPr>
        <w:t xml:space="preserve">), size of largest </w:t>
      </w:r>
      <w:proofErr w:type="spellStart"/>
      <w:r w:rsidR="003A3795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3A3795" w:rsidRPr="000D70CA">
        <w:rPr>
          <w:rFonts w:ascii="Book Antiqua" w:hAnsi="Book Antiqua"/>
          <w:color w:val="000000" w:themeColor="text1"/>
          <w:szCs w:val="24"/>
        </w:rPr>
        <w:t xml:space="preserve"> (</w:t>
      </w:r>
      <w:r w:rsidR="00D93431" w:rsidRPr="000D70CA">
        <w:rPr>
          <w:rFonts w:ascii="Book Antiqua" w:hAnsi="Book Antiqua"/>
          <w:color w:val="000000" w:themeColor="text1"/>
          <w:szCs w:val="24"/>
        </w:rPr>
        <w:t>4.</w:t>
      </w:r>
      <w:r w:rsidR="003A0DAE" w:rsidRPr="000D70CA">
        <w:rPr>
          <w:rFonts w:ascii="Book Antiqua" w:hAnsi="Book Antiqua"/>
          <w:color w:val="000000" w:themeColor="text1"/>
          <w:szCs w:val="24"/>
        </w:rPr>
        <w:t>3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4.0</w:t>
      </w:r>
      <w:r w:rsidR="00771EA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cm,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D93431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D93431" w:rsidRPr="000D70CA">
        <w:rPr>
          <w:rFonts w:ascii="Book Antiqua" w:hAnsi="Book Antiqua"/>
          <w:color w:val="000000" w:themeColor="text1"/>
          <w:szCs w:val="24"/>
        </w:rPr>
        <w:t>0.</w:t>
      </w:r>
      <w:r w:rsidR="003A0DAE" w:rsidRPr="000D70CA">
        <w:rPr>
          <w:rFonts w:ascii="Book Antiqua" w:hAnsi="Book Antiqua"/>
          <w:color w:val="000000" w:themeColor="text1"/>
          <w:szCs w:val="24"/>
        </w:rPr>
        <w:t>68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), </w:t>
      </w:r>
      <w:r w:rsidR="00043C12" w:rsidRPr="000D70CA">
        <w:rPr>
          <w:rFonts w:ascii="Book Antiqua" w:hAnsi="Book Antiqua"/>
          <w:color w:val="000000" w:themeColor="text1"/>
          <w:szCs w:val="24"/>
        </w:rPr>
        <w:t xml:space="preserve">and </w:t>
      </w:r>
      <w:r w:rsidR="00D93431" w:rsidRPr="000D70CA">
        <w:rPr>
          <w:rFonts w:ascii="Book Antiqua" w:hAnsi="Book Antiqua"/>
          <w:color w:val="000000" w:themeColor="text1"/>
          <w:szCs w:val="24"/>
        </w:rPr>
        <w:t>serum level of AFP (1</w:t>
      </w:r>
      <w:r w:rsidR="003A0DAE" w:rsidRPr="000D70CA">
        <w:rPr>
          <w:rFonts w:ascii="Book Antiqua" w:hAnsi="Book Antiqua"/>
          <w:color w:val="000000" w:themeColor="text1"/>
          <w:szCs w:val="24"/>
        </w:rPr>
        <w:t>4</w:t>
      </w:r>
      <w:r w:rsidR="00B85050" w:rsidRPr="000D70CA">
        <w:rPr>
          <w:rFonts w:ascii="Book Antiqua" w:hAnsi="Book Antiqua"/>
          <w:color w:val="000000" w:themeColor="text1"/>
          <w:szCs w:val="24"/>
        </w:rPr>
        <w:t>4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1</w:t>
      </w:r>
      <w:r w:rsidR="003A0DAE" w:rsidRPr="000D70CA">
        <w:rPr>
          <w:rFonts w:ascii="Book Antiqua" w:hAnsi="Book Antiqua"/>
          <w:color w:val="000000" w:themeColor="text1"/>
          <w:szCs w:val="24"/>
        </w:rPr>
        <w:t>11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ng/m</w:t>
      </w:r>
      <w:r w:rsidR="00771EAB" w:rsidRPr="000D70CA">
        <w:rPr>
          <w:rFonts w:ascii="Book Antiqua" w:hAnsi="Book Antiqua"/>
          <w:color w:val="000000" w:themeColor="text1"/>
          <w:szCs w:val="24"/>
        </w:rPr>
        <w:t>L</w:t>
      </w:r>
      <w:r w:rsidR="00B85050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B85050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B85050" w:rsidRPr="000D70CA">
        <w:rPr>
          <w:rFonts w:ascii="Book Antiqua" w:hAnsi="Book Antiqua"/>
          <w:color w:val="000000" w:themeColor="text1"/>
          <w:szCs w:val="24"/>
        </w:rPr>
        <w:t>0.</w:t>
      </w:r>
      <w:r w:rsidR="003A0DAE" w:rsidRPr="000D70CA">
        <w:rPr>
          <w:rFonts w:ascii="Book Antiqua" w:hAnsi="Book Antiqua"/>
          <w:color w:val="000000" w:themeColor="text1"/>
          <w:szCs w:val="24"/>
        </w:rPr>
        <w:t>51</w:t>
      </w:r>
      <w:r w:rsidR="00D93431" w:rsidRPr="000D70CA">
        <w:rPr>
          <w:rFonts w:ascii="Book Antiqua" w:hAnsi="Book Antiqua"/>
          <w:color w:val="000000" w:themeColor="text1"/>
          <w:szCs w:val="24"/>
        </w:rPr>
        <w:t>). The proportion of patients compliant with Milan (</w:t>
      </w:r>
      <w:r w:rsidR="00B85050" w:rsidRPr="000D70CA">
        <w:rPr>
          <w:rFonts w:ascii="Book Antiqua" w:hAnsi="Book Antiqua"/>
          <w:color w:val="000000" w:themeColor="text1"/>
          <w:szCs w:val="24"/>
        </w:rPr>
        <w:t>27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2</w:t>
      </w:r>
      <w:r w:rsidR="003A0DAE" w:rsidRPr="000D70CA">
        <w:rPr>
          <w:rFonts w:ascii="Book Antiqua" w:hAnsi="Book Antiqua"/>
          <w:color w:val="000000" w:themeColor="text1"/>
          <w:szCs w:val="24"/>
        </w:rPr>
        <w:t>2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D93431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D93431" w:rsidRPr="000D70CA">
        <w:rPr>
          <w:rFonts w:ascii="Book Antiqua" w:hAnsi="Book Antiqua"/>
          <w:color w:val="000000" w:themeColor="text1"/>
          <w:szCs w:val="24"/>
        </w:rPr>
        <w:t>0.</w:t>
      </w:r>
      <w:r w:rsidR="003A0DAE" w:rsidRPr="000D70CA">
        <w:rPr>
          <w:rFonts w:ascii="Book Antiqua" w:hAnsi="Book Antiqua"/>
          <w:color w:val="000000" w:themeColor="text1"/>
          <w:szCs w:val="24"/>
        </w:rPr>
        <w:t>54</w:t>
      </w:r>
      <w:r w:rsidR="00D93431" w:rsidRPr="000D70CA">
        <w:rPr>
          <w:rFonts w:ascii="Book Antiqua" w:hAnsi="Book Antiqua"/>
          <w:color w:val="000000" w:themeColor="text1"/>
          <w:szCs w:val="24"/>
        </w:rPr>
        <w:t>) and UCSF criteria (</w:t>
      </w:r>
      <w:r w:rsidR="00B85050" w:rsidRPr="000D70CA">
        <w:rPr>
          <w:rFonts w:ascii="Book Antiqua" w:hAnsi="Book Antiqua"/>
          <w:color w:val="000000" w:themeColor="text1"/>
          <w:szCs w:val="24"/>
        </w:rPr>
        <w:t>3</w:t>
      </w:r>
      <w:r w:rsidR="003A0DAE" w:rsidRPr="000D70CA">
        <w:rPr>
          <w:rFonts w:ascii="Book Antiqua" w:hAnsi="Book Antiqua"/>
          <w:color w:val="000000" w:themeColor="text1"/>
          <w:szCs w:val="24"/>
        </w:rPr>
        <w:t>3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%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 2</w:t>
      </w:r>
      <w:r w:rsidR="00B85050" w:rsidRPr="000D70CA">
        <w:rPr>
          <w:rFonts w:ascii="Book Antiqua" w:hAnsi="Book Antiqua"/>
          <w:color w:val="000000" w:themeColor="text1"/>
          <w:szCs w:val="24"/>
        </w:rPr>
        <w:t>3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D93431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D93431" w:rsidRPr="000D70CA">
        <w:rPr>
          <w:rFonts w:ascii="Book Antiqua" w:hAnsi="Book Antiqua"/>
          <w:color w:val="000000" w:themeColor="text1"/>
          <w:szCs w:val="24"/>
        </w:rPr>
        <w:t>0.</w:t>
      </w:r>
      <w:r w:rsidR="003A0DAE" w:rsidRPr="000D70CA">
        <w:rPr>
          <w:rFonts w:ascii="Book Antiqua" w:hAnsi="Book Antiqua"/>
          <w:color w:val="000000" w:themeColor="text1"/>
          <w:szCs w:val="24"/>
        </w:rPr>
        <w:t>22</w:t>
      </w:r>
      <w:r w:rsidR="00D93431" w:rsidRPr="000D70CA">
        <w:rPr>
          <w:rFonts w:ascii="Book Antiqua" w:hAnsi="Book Antiqua"/>
          <w:color w:val="000000" w:themeColor="text1"/>
          <w:szCs w:val="24"/>
        </w:rPr>
        <w:t xml:space="preserve">) were similar. </w:t>
      </w:r>
    </w:p>
    <w:p w14:paraId="371A33BE" w14:textId="033FD239" w:rsidR="003A3795" w:rsidRPr="000D70CA" w:rsidRDefault="003A3795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6D84505A" w14:textId="7AB5B7F4" w:rsidR="001F6626" w:rsidRPr="000D70CA" w:rsidRDefault="001F6626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Recurrence status and treatment</w:t>
      </w:r>
    </w:p>
    <w:p w14:paraId="6F24C859" w14:textId="6A904534" w:rsidR="00D93431" w:rsidRPr="000D70CA" w:rsidRDefault="00B85050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lastRenderedPageBreak/>
        <w:t xml:space="preserve">The </w:t>
      </w:r>
      <w:r w:rsidR="008838C1" w:rsidRPr="000D70CA">
        <w:rPr>
          <w:rFonts w:ascii="Book Antiqua" w:hAnsi="Book Antiqua"/>
          <w:color w:val="000000" w:themeColor="text1"/>
          <w:szCs w:val="24"/>
        </w:rPr>
        <w:t>recurrence status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43C12" w:rsidRPr="000D70CA">
        <w:rPr>
          <w:rFonts w:ascii="Book Antiqua" w:hAnsi="Book Antiqua"/>
          <w:color w:val="000000" w:themeColor="text1"/>
          <w:szCs w:val="24"/>
        </w:rPr>
        <w:t>is</w:t>
      </w:r>
      <w:r w:rsidRPr="000D70CA">
        <w:rPr>
          <w:rFonts w:ascii="Book Antiqua" w:hAnsi="Book Antiqua"/>
          <w:color w:val="000000" w:themeColor="text1"/>
          <w:szCs w:val="24"/>
        </w:rPr>
        <w:t xml:space="preserve"> summarized in Table 2. 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Recurrence occurred later in </w:t>
      </w:r>
      <w:r w:rsidR="003E16F6" w:rsidRPr="000D70CA">
        <w:rPr>
          <w:rFonts w:ascii="Book Antiqua" w:hAnsi="Book Antiqua"/>
          <w:color w:val="000000" w:themeColor="text1"/>
          <w:szCs w:val="24"/>
        </w:rPr>
        <w:t>calendar years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 in the </w:t>
      </w:r>
      <w:proofErr w:type="spellStart"/>
      <w:r w:rsidR="004E2A15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4E2A15" w:rsidRPr="000D70CA">
        <w:rPr>
          <w:rFonts w:ascii="Book Antiqua" w:hAnsi="Book Antiqua"/>
          <w:color w:val="000000" w:themeColor="text1"/>
          <w:szCs w:val="24"/>
        </w:rPr>
        <w:t xml:space="preserve"> inhibitor group (</w:t>
      </w:r>
      <w:r w:rsidRPr="000D70CA">
        <w:rPr>
          <w:rFonts w:ascii="Book Antiqua" w:hAnsi="Book Antiqua"/>
          <w:color w:val="000000" w:themeColor="text1"/>
          <w:szCs w:val="24"/>
        </w:rPr>
        <w:t>7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/2013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A0DAE" w:rsidRPr="000D70CA">
        <w:rPr>
          <w:rFonts w:ascii="Book Antiqua" w:hAnsi="Book Antiqua"/>
          <w:color w:val="000000" w:themeColor="text1"/>
          <w:szCs w:val="24"/>
        </w:rPr>
        <w:t>3</w:t>
      </w:r>
      <w:r w:rsidR="004E2A15" w:rsidRPr="000D70CA">
        <w:rPr>
          <w:rFonts w:ascii="Book Antiqua" w:hAnsi="Book Antiqua"/>
          <w:color w:val="000000" w:themeColor="text1"/>
          <w:szCs w:val="24"/>
        </w:rPr>
        <w:t>/200</w:t>
      </w:r>
      <w:r w:rsidRPr="000D70CA">
        <w:rPr>
          <w:rFonts w:ascii="Book Antiqua" w:hAnsi="Book Antiqua"/>
          <w:color w:val="000000" w:themeColor="text1"/>
          <w:szCs w:val="24"/>
        </w:rPr>
        <w:t>8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4E2A15" w:rsidRPr="000D70CA">
        <w:rPr>
          <w:rFonts w:ascii="Book Antiqua" w:hAnsi="Book Antiqua"/>
          <w:color w:val="000000" w:themeColor="text1"/>
          <w:szCs w:val="24"/>
        </w:rPr>
        <w:t>&lt;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0.001). </w:t>
      </w:r>
      <w:r w:rsidR="00B26D04" w:rsidRPr="000D70CA">
        <w:rPr>
          <w:rFonts w:ascii="Book Antiqua" w:hAnsi="Book Antiqua"/>
          <w:color w:val="000000" w:themeColor="text1"/>
          <w:szCs w:val="24"/>
        </w:rPr>
        <w:t>However, t</w:t>
      </w:r>
      <w:r w:rsidR="00D93431" w:rsidRPr="000D70CA">
        <w:rPr>
          <w:rFonts w:ascii="Book Antiqua" w:hAnsi="Book Antiqua"/>
          <w:color w:val="000000" w:themeColor="text1"/>
          <w:szCs w:val="24"/>
        </w:rPr>
        <w:t>he</w:t>
      </w:r>
      <w:r w:rsidR="00A409C0" w:rsidRPr="000D70CA">
        <w:rPr>
          <w:rFonts w:ascii="Book Antiqua" w:hAnsi="Book Antiqua"/>
          <w:color w:val="000000" w:themeColor="text1"/>
          <w:szCs w:val="24"/>
        </w:rPr>
        <w:t xml:space="preserve"> timing was similar </w:t>
      </w:r>
      <w:r w:rsidR="00874E93" w:rsidRPr="000D70CA">
        <w:rPr>
          <w:rFonts w:ascii="Book Antiqua" w:hAnsi="Book Antiqua"/>
          <w:color w:val="000000" w:themeColor="text1"/>
          <w:szCs w:val="24"/>
        </w:rPr>
        <w:t>in terms of</w:t>
      </w:r>
      <w:r w:rsidR="00E93406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874E93" w:rsidRPr="000D70CA">
        <w:rPr>
          <w:rFonts w:ascii="Book Antiqua" w:hAnsi="Book Antiqua"/>
          <w:color w:val="000000" w:themeColor="text1"/>
          <w:szCs w:val="24"/>
        </w:rPr>
        <w:t>age</w:t>
      </w:r>
      <w:r w:rsidR="00F67102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874E93" w:rsidRPr="000D70CA">
        <w:rPr>
          <w:rFonts w:ascii="Book Antiqua" w:hAnsi="Book Antiqua"/>
          <w:color w:val="000000" w:themeColor="text1"/>
          <w:szCs w:val="24"/>
        </w:rPr>
        <w:t>(</w:t>
      </w:r>
      <w:r w:rsidR="00A409C0" w:rsidRPr="000D70CA">
        <w:rPr>
          <w:rFonts w:ascii="Book Antiqua" w:hAnsi="Book Antiqua"/>
          <w:color w:val="000000" w:themeColor="text1"/>
          <w:szCs w:val="24"/>
        </w:rPr>
        <w:t xml:space="preserve">58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A409C0" w:rsidRPr="000D70CA">
        <w:rPr>
          <w:rFonts w:ascii="Book Antiqua" w:hAnsi="Book Antiqua"/>
          <w:color w:val="000000" w:themeColor="text1"/>
          <w:szCs w:val="24"/>
        </w:rPr>
        <w:t xml:space="preserve"> 5</w:t>
      </w:r>
      <w:r w:rsidR="003A0DAE" w:rsidRPr="000D70CA">
        <w:rPr>
          <w:rFonts w:ascii="Book Antiqua" w:hAnsi="Book Antiqua"/>
          <w:color w:val="000000" w:themeColor="text1"/>
          <w:szCs w:val="24"/>
        </w:rPr>
        <w:t>5</w:t>
      </w:r>
      <w:r w:rsidR="00A409C0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A409C0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409C0" w:rsidRPr="000D70CA">
        <w:rPr>
          <w:rFonts w:ascii="Book Antiqua" w:hAnsi="Book Antiqua"/>
          <w:color w:val="000000" w:themeColor="text1"/>
          <w:szCs w:val="24"/>
        </w:rPr>
        <w:t>0.</w:t>
      </w:r>
      <w:r w:rsidRPr="000D70CA">
        <w:rPr>
          <w:rFonts w:ascii="Book Antiqua" w:hAnsi="Book Antiqua"/>
          <w:color w:val="000000" w:themeColor="text1"/>
          <w:szCs w:val="24"/>
        </w:rPr>
        <w:t>0</w:t>
      </w:r>
      <w:r w:rsidR="003A0DAE" w:rsidRPr="000D70CA">
        <w:rPr>
          <w:rFonts w:ascii="Book Antiqua" w:hAnsi="Book Antiqua"/>
          <w:color w:val="000000" w:themeColor="text1"/>
          <w:szCs w:val="24"/>
        </w:rPr>
        <w:t>6</w:t>
      </w:r>
      <w:r w:rsidR="00A409C0" w:rsidRPr="000D70CA">
        <w:rPr>
          <w:rFonts w:ascii="Book Antiqua" w:hAnsi="Book Antiqua"/>
          <w:color w:val="000000" w:themeColor="text1"/>
          <w:szCs w:val="24"/>
        </w:rPr>
        <w:t xml:space="preserve">) </w:t>
      </w:r>
      <w:r w:rsidR="00874E93" w:rsidRPr="000D70CA">
        <w:rPr>
          <w:rFonts w:ascii="Book Antiqua" w:hAnsi="Book Antiqua"/>
          <w:color w:val="000000" w:themeColor="text1"/>
          <w:szCs w:val="24"/>
        </w:rPr>
        <w:t xml:space="preserve">and </w:t>
      </w:r>
      <w:r w:rsidR="00043C12" w:rsidRPr="000D70CA">
        <w:rPr>
          <w:rFonts w:ascii="Book Antiqua" w:hAnsi="Book Antiqua"/>
          <w:color w:val="000000" w:themeColor="text1"/>
          <w:szCs w:val="24"/>
        </w:rPr>
        <w:t>time</w:t>
      </w:r>
      <w:r w:rsidR="00A409C0" w:rsidRPr="000D70CA">
        <w:rPr>
          <w:rFonts w:ascii="Book Antiqua" w:hAnsi="Book Antiqua"/>
          <w:color w:val="000000" w:themeColor="text1"/>
          <w:szCs w:val="24"/>
        </w:rPr>
        <w:t xml:space="preserve"> from transplant (12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A409C0" w:rsidRPr="000D70CA">
        <w:rPr>
          <w:rFonts w:ascii="Book Antiqua" w:hAnsi="Book Antiqua"/>
          <w:color w:val="000000" w:themeColor="text1"/>
          <w:szCs w:val="24"/>
        </w:rPr>
        <w:t xml:space="preserve"> 12</w:t>
      </w:r>
      <w:r w:rsidR="003E16F6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A409C0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r w:rsidR="00A409C0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A409C0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409C0" w:rsidRPr="000D70CA">
        <w:rPr>
          <w:rFonts w:ascii="Book Antiqua" w:hAnsi="Book Antiqua"/>
          <w:color w:val="000000" w:themeColor="text1"/>
          <w:szCs w:val="24"/>
        </w:rPr>
        <w:t>0.</w:t>
      </w:r>
      <w:r w:rsidRPr="000D70CA">
        <w:rPr>
          <w:rFonts w:ascii="Book Antiqua" w:hAnsi="Book Antiqua"/>
          <w:color w:val="000000" w:themeColor="text1"/>
          <w:szCs w:val="24"/>
        </w:rPr>
        <w:t>7</w:t>
      </w:r>
      <w:r w:rsidR="003A0DAE" w:rsidRPr="000D70CA">
        <w:rPr>
          <w:rFonts w:ascii="Book Antiqua" w:hAnsi="Book Antiqua"/>
          <w:color w:val="000000" w:themeColor="text1"/>
          <w:szCs w:val="24"/>
        </w:rPr>
        <w:t>3)</w:t>
      </w:r>
      <w:r w:rsidR="00A409C0" w:rsidRPr="000D70CA">
        <w:rPr>
          <w:rFonts w:ascii="Book Antiqua" w:hAnsi="Book Antiqua"/>
          <w:color w:val="000000" w:themeColor="text1"/>
          <w:szCs w:val="24"/>
        </w:rPr>
        <w:t>.</w:t>
      </w:r>
      <w:r w:rsidR="00F67102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 xml:space="preserve">The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inhibitor group had a lower number of recurrent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tumours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(</w:t>
      </w:r>
      <w:r w:rsidR="003A0DAE" w:rsidRPr="000D70CA">
        <w:rPr>
          <w:rFonts w:ascii="Book Antiqua" w:hAnsi="Book Antiqua"/>
          <w:color w:val="000000" w:themeColor="text1"/>
          <w:szCs w:val="24"/>
        </w:rPr>
        <w:t>2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A0DAE" w:rsidRPr="000D70CA">
        <w:rPr>
          <w:rFonts w:ascii="Book Antiqua" w:hAnsi="Book Antiqua"/>
          <w:color w:val="000000" w:themeColor="text1"/>
          <w:szCs w:val="24"/>
        </w:rPr>
        <w:t>5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>0.0</w:t>
      </w:r>
      <w:r w:rsidR="003A0DAE" w:rsidRPr="000D70CA">
        <w:rPr>
          <w:rFonts w:ascii="Book Antiqua" w:hAnsi="Book Antiqua"/>
          <w:color w:val="000000" w:themeColor="text1"/>
          <w:szCs w:val="24"/>
        </w:rPr>
        <w:t>2</w:t>
      </w:r>
      <w:r w:rsidRPr="000D70CA">
        <w:rPr>
          <w:rFonts w:ascii="Book Antiqua" w:hAnsi="Book Antiqua"/>
          <w:color w:val="000000" w:themeColor="text1"/>
          <w:szCs w:val="24"/>
        </w:rPr>
        <w:t xml:space="preserve">). Otherwise the </w:t>
      </w:r>
      <w:r w:rsidR="00F67102" w:rsidRPr="000D70CA">
        <w:rPr>
          <w:rFonts w:ascii="Book Antiqua" w:hAnsi="Book Antiqua"/>
          <w:color w:val="000000" w:themeColor="text1"/>
          <w:szCs w:val="24"/>
        </w:rPr>
        <w:t xml:space="preserve">disease status </w:t>
      </w:r>
      <w:r w:rsidR="00714772" w:rsidRPr="000D70CA">
        <w:rPr>
          <w:rFonts w:ascii="Book Antiqua" w:hAnsi="Book Antiqua"/>
          <w:color w:val="000000" w:themeColor="text1"/>
          <w:szCs w:val="24"/>
        </w:rPr>
        <w:t>upon</w:t>
      </w:r>
      <w:r w:rsidR="00F67102" w:rsidRPr="000D70CA">
        <w:rPr>
          <w:rFonts w:ascii="Book Antiqua" w:hAnsi="Book Antiqua"/>
          <w:color w:val="000000" w:themeColor="text1"/>
          <w:szCs w:val="24"/>
        </w:rPr>
        <w:t xml:space="preserve"> recurrence was comparable</w:t>
      </w:r>
      <w:r w:rsidRPr="000D70CA">
        <w:rPr>
          <w:rFonts w:ascii="Book Antiqua" w:hAnsi="Book Antiqua"/>
          <w:color w:val="000000" w:themeColor="text1"/>
          <w:szCs w:val="24"/>
        </w:rPr>
        <w:t xml:space="preserve"> in terms of </w:t>
      </w:r>
      <w:r w:rsidR="00067A20" w:rsidRPr="000D70CA">
        <w:rPr>
          <w:rFonts w:ascii="Book Antiqua" w:hAnsi="Book Antiqua"/>
          <w:color w:val="000000" w:themeColor="text1"/>
          <w:szCs w:val="24"/>
        </w:rPr>
        <w:t xml:space="preserve">numbers of involved organs (1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067A20" w:rsidRPr="000D70CA">
        <w:rPr>
          <w:rFonts w:ascii="Book Antiqua" w:hAnsi="Book Antiqua"/>
          <w:color w:val="000000" w:themeColor="text1"/>
          <w:szCs w:val="24"/>
        </w:rPr>
        <w:t xml:space="preserve"> 1, </w:t>
      </w:r>
      <w:r w:rsidR="00771EAB" w:rsidRPr="000D70CA">
        <w:rPr>
          <w:rFonts w:ascii="Book Antiqua" w:hAnsi="Book Antiqua"/>
          <w:i/>
          <w:iCs/>
          <w:color w:val="000000" w:themeColor="text1"/>
          <w:szCs w:val="24"/>
        </w:rPr>
        <w:t>P</w:t>
      </w:r>
      <w:r w:rsidR="00771EA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67A20" w:rsidRPr="000D70CA">
        <w:rPr>
          <w:rFonts w:ascii="Book Antiqua" w:hAnsi="Book Antiqua"/>
          <w:color w:val="000000" w:themeColor="text1"/>
          <w:szCs w:val="24"/>
        </w:rPr>
        <w:t>=</w:t>
      </w:r>
      <w:r w:rsidR="00771EA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67A20" w:rsidRPr="000D70CA">
        <w:rPr>
          <w:rFonts w:ascii="Book Antiqua" w:hAnsi="Book Antiqua"/>
          <w:color w:val="000000" w:themeColor="text1"/>
          <w:szCs w:val="24"/>
        </w:rPr>
        <w:t>0.</w:t>
      </w:r>
      <w:r w:rsidR="003A0DAE" w:rsidRPr="000D70CA">
        <w:rPr>
          <w:rFonts w:ascii="Book Antiqua" w:hAnsi="Book Antiqua"/>
          <w:color w:val="000000" w:themeColor="text1"/>
          <w:szCs w:val="24"/>
        </w:rPr>
        <w:t>50</w:t>
      </w:r>
      <w:r w:rsidR="00067A20" w:rsidRPr="000D70CA">
        <w:rPr>
          <w:rFonts w:ascii="Book Antiqua" w:hAnsi="Book Antiqua"/>
          <w:color w:val="000000" w:themeColor="text1"/>
          <w:szCs w:val="24"/>
        </w:rPr>
        <w:t xml:space="preserve">) and </w:t>
      </w:r>
      <w:r w:rsidRPr="000D70CA">
        <w:rPr>
          <w:rFonts w:ascii="Book Antiqua" w:hAnsi="Book Antiqua"/>
          <w:color w:val="000000" w:themeColor="text1"/>
          <w:szCs w:val="24"/>
        </w:rPr>
        <w:t xml:space="preserve">size of largest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067A20" w:rsidRPr="000D70CA">
        <w:rPr>
          <w:rFonts w:ascii="Book Antiqua" w:hAnsi="Book Antiqua"/>
          <w:color w:val="000000" w:themeColor="text1"/>
          <w:szCs w:val="24"/>
        </w:rPr>
        <w:t xml:space="preserve"> (</w:t>
      </w:r>
      <w:r w:rsidRPr="000D70CA">
        <w:rPr>
          <w:rFonts w:ascii="Book Antiqua" w:hAnsi="Book Antiqua"/>
          <w:color w:val="000000" w:themeColor="text1"/>
          <w:szCs w:val="24"/>
        </w:rPr>
        <w:t>2.0</w:t>
      </w:r>
      <w:r w:rsidR="00067A20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067A20" w:rsidRPr="000D70CA">
        <w:rPr>
          <w:rFonts w:ascii="Book Antiqua" w:hAnsi="Book Antiqua"/>
          <w:color w:val="000000" w:themeColor="text1"/>
          <w:szCs w:val="24"/>
        </w:rPr>
        <w:t xml:space="preserve"> 2.</w:t>
      </w:r>
      <w:r w:rsidRPr="000D70CA">
        <w:rPr>
          <w:rFonts w:ascii="Book Antiqua" w:hAnsi="Book Antiqua"/>
          <w:color w:val="000000" w:themeColor="text1"/>
          <w:szCs w:val="24"/>
        </w:rPr>
        <w:t>1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67A20" w:rsidRPr="000D70CA">
        <w:rPr>
          <w:rFonts w:ascii="Book Antiqua" w:hAnsi="Book Antiqua"/>
          <w:color w:val="000000" w:themeColor="text1"/>
          <w:szCs w:val="24"/>
        </w:rPr>
        <w:t xml:space="preserve">cm,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067A20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67A20" w:rsidRPr="000D70CA">
        <w:rPr>
          <w:rFonts w:ascii="Book Antiqua" w:hAnsi="Book Antiqua"/>
          <w:color w:val="000000" w:themeColor="text1"/>
          <w:szCs w:val="24"/>
        </w:rPr>
        <w:t>0.</w:t>
      </w:r>
      <w:r w:rsidR="003A0DAE" w:rsidRPr="000D70CA">
        <w:rPr>
          <w:rFonts w:ascii="Book Antiqua" w:hAnsi="Book Antiqua"/>
          <w:color w:val="000000" w:themeColor="text1"/>
          <w:szCs w:val="24"/>
        </w:rPr>
        <w:t>74</w:t>
      </w:r>
      <w:r w:rsidR="00067A20" w:rsidRPr="000D70CA">
        <w:rPr>
          <w:rFonts w:ascii="Book Antiqua" w:hAnsi="Book Antiqua"/>
          <w:color w:val="000000" w:themeColor="text1"/>
          <w:szCs w:val="24"/>
        </w:rPr>
        <w:t xml:space="preserve">). </w:t>
      </w:r>
      <w:r w:rsidR="003A0DAE" w:rsidRPr="000D70CA">
        <w:rPr>
          <w:rFonts w:ascii="Book Antiqua" w:hAnsi="Book Antiqua"/>
          <w:color w:val="000000" w:themeColor="text1"/>
          <w:szCs w:val="24"/>
        </w:rPr>
        <w:t xml:space="preserve">There were more bone recurrences in the </w:t>
      </w:r>
      <w:proofErr w:type="spellStart"/>
      <w:r w:rsidR="003A0DAE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3A0DAE" w:rsidRPr="000D70CA">
        <w:rPr>
          <w:rFonts w:ascii="Book Antiqua" w:hAnsi="Book Antiqua"/>
          <w:color w:val="000000" w:themeColor="text1"/>
          <w:szCs w:val="24"/>
        </w:rPr>
        <w:t xml:space="preserve"> inhibitor group (22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3A0DAE" w:rsidRPr="000D70CA">
        <w:rPr>
          <w:rFonts w:ascii="Book Antiqua" w:hAnsi="Book Antiqua"/>
          <w:color w:val="000000" w:themeColor="text1"/>
          <w:szCs w:val="24"/>
        </w:rPr>
        <w:t xml:space="preserve"> 9%,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3A0DAE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A0DAE" w:rsidRPr="000D70CA">
        <w:rPr>
          <w:rFonts w:ascii="Book Antiqua" w:hAnsi="Book Antiqua"/>
          <w:color w:val="000000" w:themeColor="text1"/>
          <w:szCs w:val="24"/>
        </w:rPr>
        <w:t>0.049).</w:t>
      </w:r>
    </w:p>
    <w:p w14:paraId="1C0D59FC" w14:textId="4E8F1B74" w:rsidR="00E13AC6" w:rsidRPr="000D70CA" w:rsidRDefault="00B85050" w:rsidP="00BE6C9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Fewer </w:t>
      </w:r>
      <w:r w:rsidR="00E13AC6" w:rsidRPr="000D70CA">
        <w:rPr>
          <w:rFonts w:ascii="Book Antiqua" w:hAnsi="Book Antiqua"/>
          <w:color w:val="000000" w:themeColor="text1"/>
          <w:szCs w:val="24"/>
        </w:rPr>
        <w:t>patients in the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E13AC6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E13AC6" w:rsidRPr="000D70CA">
        <w:rPr>
          <w:rFonts w:ascii="Book Antiqua" w:hAnsi="Book Antiqua"/>
          <w:color w:val="000000" w:themeColor="text1"/>
          <w:szCs w:val="24"/>
        </w:rPr>
        <w:t xml:space="preserve"> inhibitor group received supportive care (4</w:t>
      </w:r>
      <w:r w:rsidR="00043C12" w:rsidRPr="000D70CA">
        <w:rPr>
          <w:rFonts w:ascii="Book Antiqua" w:hAnsi="Book Antiqua"/>
          <w:color w:val="000000" w:themeColor="text1"/>
          <w:szCs w:val="24"/>
        </w:rPr>
        <w:t>%</w:t>
      </w:r>
      <w:r w:rsidR="00E13AC6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E13AC6" w:rsidRPr="000D70CA">
        <w:rPr>
          <w:rFonts w:ascii="Book Antiqua" w:hAnsi="Book Antiqua"/>
          <w:color w:val="000000" w:themeColor="text1"/>
          <w:szCs w:val="24"/>
        </w:rPr>
        <w:t xml:space="preserve"> 3</w:t>
      </w:r>
      <w:r w:rsidR="003A0DAE" w:rsidRPr="000D70CA">
        <w:rPr>
          <w:rFonts w:ascii="Book Antiqua" w:hAnsi="Book Antiqua"/>
          <w:color w:val="000000" w:themeColor="text1"/>
          <w:szCs w:val="24"/>
        </w:rPr>
        <w:t>6</w:t>
      </w:r>
      <w:r w:rsidR="00E13AC6" w:rsidRPr="000D70CA">
        <w:rPr>
          <w:rFonts w:ascii="Book Antiqua" w:hAnsi="Book Antiqua"/>
          <w:color w:val="000000" w:themeColor="text1"/>
          <w:szCs w:val="24"/>
        </w:rPr>
        <w:t xml:space="preserve">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E13AC6" w:rsidRPr="000D70CA">
        <w:rPr>
          <w:rFonts w:ascii="Book Antiqua" w:hAnsi="Book Antiqua"/>
          <w:color w:val="000000" w:themeColor="text1"/>
          <w:szCs w:val="24"/>
        </w:rPr>
        <w:t>&lt;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13AC6" w:rsidRPr="000D70CA">
        <w:rPr>
          <w:rFonts w:ascii="Book Antiqua" w:hAnsi="Book Antiqua"/>
          <w:color w:val="000000" w:themeColor="text1"/>
          <w:szCs w:val="24"/>
        </w:rPr>
        <w:t>0.001)</w:t>
      </w:r>
      <w:r w:rsidR="00FC6CB4" w:rsidRPr="000D70CA">
        <w:rPr>
          <w:rFonts w:ascii="Book Antiqua" w:hAnsi="Book Antiqua"/>
          <w:color w:val="000000" w:themeColor="text1"/>
          <w:szCs w:val="24"/>
        </w:rPr>
        <w:t xml:space="preserve"> and m</w:t>
      </w:r>
      <w:r w:rsidRPr="000D70CA">
        <w:rPr>
          <w:rFonts w:ascii="Book Antiqua" w:hAnsi="Book Antiqua"/>
          <w:color w:val="000000" w:themeColor="text1"/>
          <w:szCs w:val="24"/>
        </w:rPr>
        <w:t xml:space="preserve">ore </w:t>
      </w:r>
      <w:r w:rsidR="003D23FF" w:rsidRPr="000D70CA">
        <w:rPr>
          <w:rFonts w:ascii="Book Antiqua" w:hAnsi="Book Antiqua"/>
          <w:color w:val="000000" w:themeColor="text1"/>
          <w:szCs w:val="24"/>
        </w:rPr>
        <w:t>active treatments</w:t>
      </w:r>
      <w:r w:rsidRPr="000D70CA">
        <w:rPr>
          <w:rFonts w:ascii="Book Antiqua" w:hAnsi="Book Antiqua"/>
          <w:color w:val="000000" w:themeColor="text1"/>
          <w:szCs w:val="24"/>
        </w:rPr>
        <w:t xml:space="preserve"> were </w:t>
      </w:r>
      <w:r w:rsidR="00A34D65" w:rsidRPr="000D70CA">
        <w:rPr>
          <w:rFonts w:ascii="Book Antiqua" w:hAnsi="Book Antiqua"/>
          <w:color w:val="000000" w:themeColor="text1"/>
          <w:szCs w:val="24"/>
        </w:rPr>
        <w:t>undertaken</w:t>
      </w:r>
      <w:r w:rsidR="003D23FF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043C12" w:rsidRPr="000D70CA">
        <w:rPr>
          <w:rFonts w:ascii="Book Antiqua" w:hAnsi="Book Antiqua"/>
          <w:color w:val="000000" w:themeColor="text1"/>
          <w:szCs w:val="24"/>
        </w:rPr>
        <w:t>including</w:t>
      </w:r>
      <w:r w:rsidR="003D23FF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91254B" w:rsidRPr="000D70CA">
        <w:rPr>
          <w:rFonts w:ascii="Book Antiqua" w:hAnsi="Book Antiqua"/>
          <w:color w:val="000000" w:themeColor="text1"/>
          <w:szCs w:val="24"/>
        </w:rPr>
        <w:t xml:space="preserve">radiotherapy (39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91254B" w:rsidRPr="000D70CA">
        <w:rPr>
          <w:rFonts w:ascii="Book Antiqua" w:hAnsi="Book Antiqua"/>
          <w:color w:val="000000" w:themeColor="text1"/>
          <w:szCs w:val="24"/>
        </w:rPr>
        <w:t xml:space="preserve"> 2</w:t>
      </w:r>
      <w:r w:rsidR="003A0DAE" w:rsidRPr="000D70CA">
        <w:rPr>
          <w:rFonts w:ascii="Book Antiqua" w:hAnsi="Book Antiqua"/>
          <w:color w:val="000000" w:themeColor="text1"/>
          <w:szCs w:val="24"/>
        </w:rPr>
        <w:t>2</w:t>
      </w:r>
      <w:r w:rsidR="0091254B" w:rsidRPr="000D70CA">
        <w:rPr>
          <w:rFonts w:ascii="Book Antiqua" w:hAnsi="Book Antiqua"/>
          <w:color w:val="000000" w:themeColor="text1"/>
          <w:szCs w:val="24"/>
        </w:rPr>
        <w:t xml:space="preserve">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91254B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91254B" w:rsidRPr="000D70CA">
        <w:rPr>
          <w:rFonts w:ascii="Book Antiqua" w:hAnsi="Book Antiqua"/>
          <w:color w:val="000000" w:themeColor="text1"/>
          <w:szCs w:val="24"/>
        </w:rPr>
        <w:t>0.0</w:t>
      </w:r>
      <w:r w:rsidR="003A0DAE" w:rsidRPr="000D70CA">
        <w:rPr>
          <w:rFonts w:ascii="Book Antiqua" w:hAnsi="Book Antiqua"/>
          <w:color w:val="000000" w:themeColor="text1"/>
          <w:szCs w:val="24"/>
        </w:rPr>
        <w:t>3</w:t>
      </w:r>
      <w:r w:rsidR="0091254B" w:rsidRPr="000D70CA">
        <w:rPr>
          <w:rFonts w:ascii="Book Antiqua" w:hAnsi="Book Antiqua"/>
          <w:color w:val="000000" w:themeColor="text1"/>
          <w:szCs w:val="24"/>
        </w:rPr>
        <w:t>) and targeted therapy (5</w:t>
      </w:r>
      <w:r w:rsidR="003A0DAE" w:rsidRPr="000D70CA">
        <w:rPr>
          <w:rFonts w:ascii="Book Antiqua" w:hAnsi="Book Antiqua"/>
          <w:color w:val="000000" w:themeColor="text1"/>
          <w:szCs w:val="24"/>
        </w:rPr>
        <w:t>9</w:t>
      </w:r>
      <w:r w:rsidR="0091254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91254B" w:rsidRPr="000D70CA">
        <w:rPr>
          <w:rFonts w:ascii="Book Antiqua" w:hAnsi="Book Antiqua"/>
          <w:color w:val="000000" w:themeColor="text1"/>
          <w:szCs w:val="24"/>
        </w:rPr>
        <w:t xml:space="preserve"> 2</w:t>
      </w:r>
      <w:r w:rsidR="003A0DAE" w:rsidRPr="000D70CA">
        <w:rPr>
          <w:rFonts w:ascii="Book Antiqua" w:hAnsi="Book Antiqua"/>
          <w:color w:val="000000" w:themeColor="text1"/>
          <w:szCs w:val="24"/>
        </w:rPr>
        <w:t>3</w:t>
      </w:r>
      <w:r w:rsidR="0091254B" w:rsidRPr="000D70CA">
        <w:rPr>
          <w:rFonts w:ascii="Book Antiqua" w:hAnsi="Book Antiqua"/>
          <w:color w:val="000000" w:themeColor="text1"/>
          <w:szCs w:val="24"/>
        </w:rPr>
        <w:t xml:space="preserve">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91254B" w:rsidRPr="000D70CA">
        <w:rPr>
          <w:rFonts w:ascii="Book Antiqua" w:hAnsi="Book Antiqua"/>
          <w:color w:val="000000" w:themeColor="text1"/>
          <w:szCs w:val="24"/>
        </w:rPr>
        <w:t>&lt;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91254B" w:rsidRPr="000D70CA">
        <w:rPr>
          <w:rFonts w:ascii="Book Antiqua" w:hAnsi="Book Antiqua"/>
          <w:color w:val="000000" w:themeColor="text1"/>
          <w:szCs w:val="24"/>
        </w:rPr>
        <w:t>0.001</w:t>
      </w:r>
      <w:r w:rsidR="003D23FF" w:rsidRPr="000D70CA">
        <w:rPr>
          <w:rFonts w:ascii="Book Antiqua" w:hAnsi="Book Antiqua"/>
          <w:color w:val="000000" w:themeColor="text1"/>
          <w:szCs w:val="24"/>
        </w:rPr>
        <w:t xml:space="preserve">). </w:t>
      </w:r>
    </w:p>
    <w:p w14:paraId="114B6106" w14:textId="285F0A92" w:rsidR="00A42F24" w:rsidRPr="000D70CA" w:rsidRDefault="00A42F24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6125517D" w14:textId="7909971A" w:rsidR="00A94C7C" w:rsidRPr="000D70CA" w:rsidRDefault="00A94C7C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Immunosuppression after recurrence</w:t>
      </w:r>
    </w:p>
    <w:p w14:paraId="559918CF" w14:textId="5E4C6BE0" w:rsidR="00A94C7C" w:rsidRPr="000D70CA" w:rsidRDefault="00043C12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bookmarkStart w:id="4" w:name="_Hlk35717765"/>
      <w:r w:rsidRPr="000D70CA">
        <w:rPr>
          <w:rFonts w:ascii="Book Antiqua" w:hAnsi="Book Antiqua"/>
          <w:color w:val="000000" w:themeColor="text1"/>
          <w:szCs w:val="24"/>
        </w:rPr>
        <w:t>In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the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 inhibitor group, 48 (61%) </w:t>
      </w:r>
      <w:r w:rsidRPr="000D70CA">
        <w:rPr>
          <w:rFonts w:ascii="Book Antiqua" w:hAnsi="Book Antiqua"/>
          <w:color w:val="000000" w:themeColor="text1"/>
          <w:szCs w:val="24"/>
        </w:rPr>
        <w:t xml:space="preserve">patients 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received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 and 29 (37%) received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everolimus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>. The remaining 2 patients (3%) w</w:t>
      </w:r>
      <w:r w:rsidR="0069322C" w:rsidRPr="000D70CA">
        <w:rPr>
          <w:rFonts w:ascii="Book Antiqua" w:hAnsi="Book Antiqua"/>
          <w:color w:val="000000" w:themeColor="text1"/>
          <w:szCs w:val="24"/>
        </w:rPr>
        <w:t>ere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initially started on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 but w</w:t>
      </w:r>
      <w:r w:rsidR="0069322C" w:rsidRPr="000D70CA">
        <w:rPr>
          <w:rFonts w:ascii="Book Antiqua" w:hAnsi="Book Antiqua"/>
          <w:color w:val="000000" w:themeColor="text1"/>
          <w:szCs w:val="24"/>
        </w:rPr>
        <w:t>ere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subsequently converted to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everolimus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. </w:t>
      </w:r>
      <w:bookmarkEnd w:id="4"/>
      <w:r w:rsidRPr="000D70CA">
        <w:rPr>
          <w:rFonts w:ascii="Book Antiqua" w:hAnsi="Book Antiqua"/>
          <w:color w:val="000000" w:themeColor="text1"/>
          <w:szCs w:val="24"/>
        </w:rPr>
        <w:t>The m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ajority of them (80%, </w:t>
      </w:r>
      <w:r w:rsidR="00A94C7C" w:rsidRPr="000D70CA">
        <w:rPr>
          <w:rFonts w:ascii="Book Antiqua" w:hAnsi="Book Antiqua"/>
          <w:i/>
          <w:iCs/>
          <w:color w:val="000000" w:themeColor="text1"/>
          <w:szCs w:val="24"/>
        </w:rPr>
        <w:t>n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94C7C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63) were commenced on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 inhibitor after diagnosis of recurrence. Thirty-one of the</w:t>
      </w:r>
      <w:r w:rsidRPr="000D70CA">
        <w:rPr>
          <w:rFonts w:ascii="Book Antiqua" w:hAnsi="Book Antiqua"/>
          <w:color w:val="000000" w:themeColor="text1"/>
          <w:szCs w:val="24"/>
        </w:rPr>
        <w:t xml:space="preserve">se patients </w:t>
      </w:r>
      <w:r w:rsidR="00A94C7C" w:rsidRPr="000D70CA">
        <w:rPr>
          <w:rFonts w:ascii="Book Antiqua" w:hAnsi="Book Antiqua"/>
          <w:color w:val="000000" w:themeColor="text1"/>
          <w:szCs w:val="24"/>
        </w:rPr>
        <w:t>(39%) w</w:t>
      </w:r>
      <w:r w:rsidRPr="000D70CA">
        <w:rPr>
          <w:rFonts w:ascii="Book Antiqua" w:hAnsi="Book Antiqua"/>
          <w:color w:val="000000" w:themeColor="text1"/>
          <w:szCs w:val="24"/>
        </w:rPr>
        <w:t>ere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maintained on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 inhibitor only</w:t>
      </w:r>
      <w:r w:rsidRPr="000D70CA">
        <w:rPr>
          <w:rFonts w:ascii="Book Antiqua" w:hAnsi="Book Antiqua"/>
          <w:color w:val="000000" w:themeColor="text1"/>
          <w:szCs w:val="24"/>
        </w:rPr>
        <w:t>,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while 48 (61%) received a combination of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 inhibitor and CNI. </w:t>
      </w:r>
      <w:r w:rsidR="006A0E07" w:rsidRPr="000D70CA">
        <w:rPr>
          <w:rFonts w:ascii="Book Antiqua" w:hAnsi="Book Antiqua"/>
          <w:color w:val="000000" w:themeColor="text1"/>
          <w:szCs w:val="24"/>
        </w:rPr>
        <w:t>As a result, there w</w:t>
      </w:r>
      <w:r w:rsidRPr="000D70CA">
        <w:rPr>
          <w:rFonts w:ascii="Book Antiqua" w:hAnsi="Book Antiqua"/>
          <w:color w:val="000000" w:themeColor="text1"/>
          <w:szCs w:val="24"/>
        </w:rPr>
        <w:t>as</w:t>
      </w:r>
      <w:r w:rsidR="006A0E07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lower CNI usage (62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97%,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A94C7C" w:rsidRPr="000D70CA">
        <w:rPr>
          <w:rFonts w:ascii="Book Antiqua" w:hAnsi="Book Antiqua"/>
          <w:color w:val="000000" w:themeColor="text1"/>
          <w:szCs w:val="24"/>
        </w:rPr>
        <w:t>&lt;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0.001) and lower median </w:t>
      </w:r>
      <w:r w:rsidRPr="000D70CA">
        <w:rPr>
          <w:rFonts w:ascii="Book Antiqua" w:hAnsi="Book Antiqua"/>
          <w:color w:val="000000" w:themeColor="text1"/>
          <w:szCs w:val="24"/>
        </w:rPr>
        <w:t>t</w:t>
      </w:r>
      <w:r w:rsidR="00A94C7C" w:rsidRPr="000D70CA">
        <w:rPr>
          <w:rFonts w:ascii="Book Antiqua" w:hAnsi="Book Antiqua"/>
          <w:color w:val="000000" w:themeColor="text1"/>
          <w:szCs w:val="24"/>
        </w:rPr>
        <w:t>acrolimus level</w:t>
      </w:r>
      <w:r w:rsidRPr="000D70CA">
        <w:rPr>
          <w:rFonts w:ascii="Book Antiqua" w:hAnsi="Book Antiqua"/>
          <w:color w:val="000000" w:themeColor="text1"/>
          <w:szCs w:val="24"/>
        </w:rPr>
        <w:t>s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(3.0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5.2</w:t>
      </w:r>
      <w:r w:rsidR="0001791B" w:rsidRPr="000D70CA">
        <w:rPr>
          <w:rFonts w:ascii="Book Antiqua" w:eastAsia="等线" w:hAnsi="Book Antiqua" w:hint="eastAsia"/>
          <w:color w:val="000000" w:themeColor="text1"/>
          <w:szCs w:val="24"/>
          <w:lang w:eastAsia="zh-CN"/>
        </w:rPr>
        <w:t xml:space="preserve"> </w:t>
      </w:r>
      <w:proofErr w:type="spellStart"/>
      <w:r w:rsidR="0001791B" w:rsidRPr="000D70CA">
        <w:rPr>
          <w:rFonts w:ascii="Book Antiqua" w:hAnsi="Book Antiqua"/>
          <w:color w:val="000000" w:themeColor="text1"/>
          <w:szCs w:val="24"/>
        </w:rPr>
        <w:t>μ</w:t>
      </w:r>
      <w:r w:rsidR="00A94C7C" w:rsidRPr="000D70CA">
        <w:rPr>
          <w:rFonts w:ascii="Book Antiqua" w:hAnsi="Book Antiqua"/>
          <w:color w:val="000000" w:themeColor="text1"/>
          <w:szCs w:val="24"/>
        </w:rPr>
        <w:t>g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/L,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A94C7C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0.03) in the </w:t>
      </w:r>
      <w:proofErr w:type="spellStart"/>
      <w:r w:rsidR="00A94C7C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A94C7C" w:rsidRPr="000D70CA">
        <w:rPr>
          <w:rFonts w:ascii="Book Antiqua" w:hAnsi="Book Antiqua"/>
          <w:color w:val="000000" w:themeColor="text1"/>
          <w:szCs w:val="24"/>
        </w:rPr>
        <w:t xml:space="preserve"> inhibitor group. </w:t>
      </w:r>
    </w:p>
    <w:p w14:paraId="31EB244C" w14:textId="77777777" w:rsidR="00A94C7C" w:rsidRPr="000D70CA" w:rsidRDefault="00A94C7C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46B7E06B" w14:textId="00A4D920" w:rsidR="001F6626" w:rsidRPr="000D70CA" w:rsidRDefault="003E16F6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Outcomes</w:t>
      </w:r>
    </w:p>
    <w:p w14:paraId="07D72780" w14:textId="33596B4A" w:rsidR="00B85050" w:rsidRPr="000D70CA" w:rsidRDefault="00B85050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The median follow-up time was 14.2 mo.</w:t>
      </w:r>
      <w:r w:rsidR="003E16F6" w:rsidRPr="000D70CA">
        <w:rPr>
          <w:rFonts w:ascii="Book Antiqua" w:hAnsi="Book Antiqua"/>
          <w:color w:val="000000" w:themeColor="text1"/>
          <w:szCs w:val="24"/>
        </w:rPr>
        <w:t xml:space="preserve"> Patients with </w:t>
      </w:r>
      <w:r w:rsidR="00FC6CB4" w:rsidRPr="000D70CA">
        <w:rPr>
          <w:rFonts w:ascii="Book Antiqua" w:hAnsi="Book Antiqua"/>
          <w:color w:val="000000" w:themeColor="text1"/>
          <w:szCs w:val="24"/>
        </w:rPr>
        <w:t xml:space="preserve">an </w:t>
      </w:r>
      <w:proofErr w:type="spellStart"/>
      <w:r w:rsidR="003E16F6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3E16F6" w:rsidRPr="000D70CA">
        <w:rPr>
          <w:rFonts w:ascii="Book Antiqua" w:hAnsi="Book Antiqua"/>
          <w:color w:val="000000" w:themeColor="text1"/>
          <w:szCs w:val="24"/>
        </w:rPr>
        <w:t xml:space="preserve"> inhibitor inc</w:t>
      </w:r>
      <w:r w:rsidR="00043C12" w:rsidRPr="000D70CA">
        <w:rPr>
          <w:rFonts w:ascii="Book Antiqua" w:hAnsi="Book Antiqua"/>
          <w:color w:val="000000" w:themeColor="text1"/>
          <w:szCs w:val="24"/>
        </w:rPr>
        <w:t>luded</w:t>
      </w:r>
      <w:r w:rsidR="003E16F6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43C12" w:rsidRPr="000D70CA">
        <w:rPr>
          <w:rFonts w:ascii="Book Antiqua" w:hAnsi="Book Antiqua"/>
          <w:color w:val="000000" w:themeColor="text1"/>
          <w:szCs w:val="24"/>
        </w:rPr>
        <w:t>in the</w:t>
      </w:r>
      <w:r w:rsidR="003E16F6" w:rsidRPr="000D70CA">
        <w:rPr>
          <w:rFonts w:ascii="Book Antiqua" w:hAnsi="Book Antiqua"/>
          <w:color w:val="000000" w:themeColor="text1"/>
          <w:szCs w:val="24"/>
        </w:rPr>
        <w:t xml:space="preserve"> immunosuppressi</w:t>
      </w:r>
      <w:r w:rsidR="005E350D" w:rsidRPr="000D70CA">
        <w:rPr>
          <w:rFonts w:ascii="Book Antiqua" w:hAnsi="Book Antiqua"/>
          <w:color w:val="000000" w:themeColor="text1"/>
          <w:szCs w:val="24"/>
        </w:rPr>
        <w:t>ve</w:t>
      </w:r>
      <w:r w:rsidR="003E16F6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43C12" w:rsidRPr="000D70CA">
        <w:rPr>
          <w:rFonts w:ascii="Book Antiqua" w:hAnsi="Book Antiqua"/>
          <w:color w:val="000000" w:themeColor="text1"/>
          <w:szCs w:val="24"/>
        </w:rPr>
        <w:t xml:space="preserve">regime </w:t>
      </w:r>
      <w:r w:rsidR="003E16F6" w:rsidRPr="000D70CA">
        <w:rPr>
          <w:rFonts w:ascii="Book Antiqua" w:hAnsi="Book Antiqua"/>
          <w:color w:val="000000" w:themeColor="text1"/>
          <w:szCs w:val="24"/>
        </w:rPr>
        <w:t>survived significantly longer (2</w:t>
      </w:r>
      <w:r w:rsidR="001A1AA8" w:rsidRPr="000D70CA">
        <w:rPr>
          <w:rFonts w:ascii="Book Antiqua" w:hAnsi="Book Antiqua"/>
          <w:color w:val="000000" w:themeColor="text1"/>
          <w:szCs w:val="24"/>
        </w:rPr>
        <w:t>1.0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E16F6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3E16F6" w:rsidRPr="000D70CA">
        <w:rPr>
          <w:rFonts w:ascii="Book Antiqua" w:hAnsi="Book Antiqua"/>
          <w:color w:val="000000" w:themeColor="text1"/>
          <w:szCs w:val="24"/>
        </w:rPr>
        <w:t xml:space="preserve">4.1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3E16F6" w:rsidRPr="000D70CA">
        <w:rPr>
          <w:rFonts w:ascii="Book Antiqua" w:hAnsi="Book Antiqua"/>
          <w:color w:val="000000" w:themeColor="text1"/>
          <w:szCs w:val="24"/>
        </w:rPr>
        <w:t xml:space="preserve"> 11.</w:t>
      </w:r>
      <w:r w:rsidR="001A1AA8" w:rsidRPr="000D70CA">
        <w:rPr>
          <w:rFonts w:ascii="Book Antiqua" w:hAnsi="Book Antiqua"/>
          <w:color w:val="000000" w:themeColor="text1"/>
          <w:szCs w:val="24"/>
        </w:rPr>
        <w:t>2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E16F6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3E16F6" w:rsidRPr="000D70CA">
        <w:rPr>
          <w:rFonts w:ascii="Book Antiqua" w:hAnsi="Book Antiqua"/>
          <w:color w:val="000000" w:themeColor="text1"/>
          <w:szCs w:val="24"/>
        </w:rPr>
        <w:t>2.</w:t>
      </w:r>
      <w:r w:rsidR="001A1AA8" w:rsidRPr="000D70CA">
        <w:rPr>
          <w:rFonts w:ascii="Book Antiqua" w:hAnsi="Book Antiqua"/>
          <w:color w:val="000000" w:themeColor="text1"/>
          <w:szCs w:val="24"/>
        </w:rPr>
        <w:t>5</w:t>
      </w:r>
      <w:r w:rsidR="003E16F6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3E16F6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r w:rsidR="003E16F6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A94C7C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94C7C" w:rsidRPr="000D70CA">
        <w:rPr>
          <w:rFonts w:ascii="Book Antiqua" w:hAnsi="Book Antiqua"/>
          <w:color w:val="000000" w:themeColor="text1"/>
          <w:szCs w:val="24"/>
        </w:rPr>
        <w:t>0.04</w:t>
      </w:r>
      <w:r w:rsidR="003E16F6" w:rsidRPr="000D70CA">
        <w:rPr>
          <w:rFonts w:ascii="Book Antiqua" w:hAnsi="Book Antiqua"/>
          <w:color w:val="000000" w:themeColor="text1"/>
          <w:szCs w:val="24"/>
        </w:rPr>
        <w:t>)</w:t>
      </w:r>
      <w:r w:rsidR="008A575E" w:rsidRPr="000D70CA">
        <w:rPr>
          <w:rFonts w:ascii="Book Antiqua" w:hAnsi="Book Antiqua"/>
          <w:color w:val="000000" w:themeColor="text1"/>
          <w:szCs w:val="24"/>
        </w:rPr>
        <w:t xml:space="preserve"> (Figure 1)</w:t>
      </w:r>
      <w:r w:rsidR="003E16F6" w:rsidRPr="000D70CA">
        <w:rPr>
          <w:rFonts w:ascii="Book Antiqua" w:hAnsi="Book Antiqua"/>
          <w:color w:val="000000" w:themeColor="text1"/>
          <w:szCs w:val="24"/>
        </w:rPr>
        <w:t>. Th</w:t>
      </w:r>
      <w:r w:rsidR="008A575E" w:rsidRPr="000D70CA">
        <w:rPr>
          <w:rFonts w:ascii="Book Antiqua" w:hAnsi="Book Antiqua"/>
          <w:color w:val="000000" w:themeColor="text1"/>
          <w:szCs w:val="24"/>
        </w:rPr>
        <w:t xml:space="preserve">ere was no difference in survival outcomes between patients receiving </w:t>
      </w:r>
      <w:proofErr w:type="spellStart"/>
      <w:r w:rsidR="008A575E"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="008A575E" w:rsidRPr="000D70CA">
        <w:rPr>
          <w:rFonts w:ascii="Book Antiqua" w:hAnsi="Book Antiqua"/>
          <w:color w:val="000000" w:themeColor="text1"/>
          <w:szCs w:val="24"/>
        </w:rPr>
        <w:t xml:space="preserve"> and </w:t>
      </w:r>
      <w:proofErr w:type="spellStart"/>
      <w:r w:rsidR="008A575E" w:rsidRPr="000D70CA">
        <w:rPr>
          <w:rFonts w:ascii="Book Antiqua" w:hAnsi="Book Antiqua"/>
          <w:color w:val="000000" w:themeColor="text1"/>
          <w:szCs w:val="24"/>
        </w:rPr>
        <w:t>everolimus</w:t>
      </w:r>
      <w:proofErr w:type="spellEnd"/>
      <w:r w:rsidR="008A575E" w:rsidRPr="000D70CA">
        <w:rPr>
          <w:rFonts w:ascii="Book Antiqua" w:hAnsi="Book Antiqua"/>
          <w:color w:val="000000" w:themeColor="text1"/>
          <w:szCs w:val="24"/>
        </w:rPr>
        <w:t xml:space="preserve"> (19.1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1A1AA8" w:rsidRPr="000D70CA">
        <w:rPr>
          <w:rFonts w:ascii="Book Antiqua" w:hAnsi="Book Antiqua" w:cstheme="minorHAnsi"/>
          <w:color w:val="000000" w:themeColor="text1"/>
          <w:szCs w:val="24"/>
        </w:rPr>
        <w:t>5.7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 w:cstheme="minorHAnsi"/>
          <w:i/>
          <w:color w:val="000000" w:themeColor="text1"/>
          <w:szCs w:val="24"/>
        </w:rPr>
        <w:t>vs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 21.0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>4.</w:t>
      </w:r>
      <w:r w:rsidR="001A1AA8" w:rsidRPr="000D70CA">
        <w:rPr>
          <w:rFonts w:ascii="Book Antiqua" w:hAnsi="Book Antiqua" w:cstheme="minorHAnsi"/>
          <w:color w:val="000000" w:themeColor="text1"/>
          <w:szCs w:val="24"/>
        </w:rPr>
        <w:t>4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proofErr w:type="spellStart"/>
      <w:r w:rsidR="008A575E" w:rsidRPr="000D70CA">
        <w:rPr>
          <w:rFonts w:ascii="Book Antiqua" w:hAnsi="Book Antiqua" w:cstheme="minorHAnsi"/>
          <w:color w:val="000000" w:themeColor="text1"/>
          <w:szCs w:val="24"/>
        </w:rPr>
        <w:t>mo</w:t>
      </w:r>
      <w:proofErr w:type="spellEnd"/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 w:cstheme="minorHAnsi"/>
          <w:i/>
          <w:color w:val="000000" w:themeColor="text1"/>
          <w:szCs w:val="24"/>
        </w:rPr>
        <w:t xml:space="preserve">P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>=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>0.8</w:t>
      </w:r>
      <w:r w:rsidR="001A1AA8" w:rsidRPr="000D70CA">
        <w:rPr>
          <w:rFonts w:ascii="Book Antiqua" w:hAnsi="Book Antiqua" w:cstheme="minorHAnsi"/>
          <w:color w:val="000000" w:themeColor="text1"/>
          <w:szCs w:val="24"/>
        </w:rPr>
        <w:t>8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) (Figure 2). Single agent immunosuppression did not affect survival (single </w:t>
      </w:r>
      <w:r w:rsidR="00AF289B" w:rsidRPr="000D70CA">
        <w:rPr>
          <w:rFonts w:ascii="Book Antiqua" w:hAnsi="Book Antiqua" w:cstheme="minorHAnsi"/>
          <w:i/>
          <w:color w:val="000000" w:themeColor="text1"/>
          <w:szCs w:val="24"/>
        </w:rPr>
        <w:t>vs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 combination: </w:t>
      </w:r>
      <w:r w:rsidR="006C152D" w:rsidRPr="000D70CA">
        <w:rPr>
          <w:rFonts w:ascii="Book Antiqua" w:hAnsi="Book Antiqua" w:cstheme="minorHAnsi"/>
          <w:color w:val="000000" w:themeColor="text1"/>
          <w:szCs w:val="24"/>
        </w:rPr>
        <w:t>26.3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6C152D" w:rsidRPr="000D70CA">
        <w:rPr>
          <w:rFonts w:ascii="Book Antiqua" w:hAnsi="Book Antiqua" w:cstheme="minorHAnsi"/>
          <w:color w:val="000000" w:themeColor="text1"/>
          <w:szCs w:val="24"/>
        </w:rPr>
        <w:t>8.0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 w:cstheme="minorHAnsi"/>
          <w:i/>
          <w:color w:val="000000" w:themeColor="text1"/>
          <w:szCs w:val="24"/>
        </w:rPr>
        <w:t>vs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1A1AA8" w:rsidRPr="000D70CA">
        <w:rPr>
          <w:rFonts w:ascii="Book Antiqua" w:hAnsi="Book Antiqua" w:cstheme="minorHAnsi"/>
          <w:color w:val="000000" w:themeColor="text1"/>
          <w:szCs w:val="24"/>
        </w:rPr>
        <w:t>17.9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1B2046" w:rsidRPr="000D70CA">
        <w:rPr>
          <w:rFonts w:ascii="Book Antiqua" w:hAnsi="Book Antiqua" w:cstheme="minorHAnsi"/>
          <w:color w:val="000000" w:themeColor="text1"/>
          <w:szCs w:val="24"/>
        </w:rPr>
        <w:t>5.3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proofErr w:type="spellStart"/>
      <w:r w:rsidR="008A575E" w:rsidRPr="000D70CA">
        <w:rPr>
          <w:rFonts w:ascii="Book Antiqua" w:hAnsi="Book Antiqua" w:cstheme="minorHAnsi"/>
          <w:color w:val="000000" w:themeColor="text1"/>
          <w:szCs w:val="24"/>
        </w:rPr>
        <w:t>mo</w:t>
      </w:r>
      <w:proofErr w:type="spellEnd"/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 w:cstheme="minorHAnsi"/>
          <w:i/>
          <w:color w:val="000000" w:themeColor="text1"/>
          <w:szCs w:val="24"/>
        </w:rPr>
        <w:t xml:space="preserve">P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>=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lastRenderedPageBreak/>
        <w:t>0</w:t>
      </w:r>
      <w:r w:rsidR="004E71E8" w:rsidRPr="000D70CA">
        <w:rPr>
          <w:rFonts w:ascii="Book Antiqua" w:hAnsi="Book Antiqua" w:cstheme="minorHAnsi"/>
          <w:color w:val="000000" w:themeColor="text1"/>
          <w:szCs w:val="24"/>
        </w:rPr>
        <w:t>.59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) (Figure 3) or rejection rate (0 </w:t>
      </w:r>
      <w:r w:rsidR="00AF289B" w:rsidRPr="000D70CA">
        <w:rPr>
          <w:rFonts w:ascii="Book Antiqua" w:hAnsi="Book Antiqua" w:cstheme="minorHAnsi"/>
          <w:i/>
          <w:color w:val="000000" w:themeColor="text1"/>
          <w:szCs w:val="24"/>
        </w:rPr>
        <w:t>vs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 4.</w:t>
      </w:r>
      <w:r w:rsidR="001A1AA8" w:rsidRPr="000D70CA">
        <w:rPr>
          <w:rFonts w:ascii="Book Antiqua" w:hAnsi="Book Antiqua" w:cstheme="minorHAnsi"/>
          <w:color w:val="000000" w:themeColor="text1"/>
          <w:szCs w:val="24"/>
        </w:rPr>
        <w:t>2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%, </w:t>
      </w:r>
      <w:r w:rsidR="00AF289B" w:rsidRPr="000D70CA">
        <w:rPr>
          <w:rFonts w:ascii="Book Antiqua" w:hAnsi="Book Antiqua" w:cstheme="minorHAnsi"/>
          <w:i/>
          <w:color w:val="000000" w:themeColor="text1"/>
          <w:szCs w:val="24"/>
        </w:rPr>
        <w:t xml:space="preserve">P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>=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8A575E" w:rsidRPr="000D70CA">
        <w:rPr>
          <w:rFonts w:ascii="Book Antiqua" w:hAnsi="Book Antiqua" w:cstheme="minorHAnsi"/>
          <w:color w:val="000000" w:themeColor="text1"/>
          <w:szCs w:val="24"/>
        </w:rPr>
        <w:t xml:space="preserve">0.25). </w:t>
      </w:r>
    </w:p>
    <w:p w14:paraId="76FDE1B0" w14:textId="0875CEC0" w:rsidR="00B3409B" w:rsidRPr="000D70CA" w:rsidRDefault="001A1AA8" w:rsidP="00BE6C9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As shown in Table 3, m</w:t>
      </w:r>
      <w:r w:rsidR="00D525D5" w:rsidRPr="000D70CA">
        <w:rPr>
          <w:rFonts w:ascii="Book Antiqua" w:hAnsi="Book Antiqua"/>
          <w:color w:val="000000" w:themeColor="text1"/>
          <w:szCs w:val="24"/>
        </w:rPr>
        <w:t>ultivariate analysis confirmed that</w:t>
      </w:r>
      <w:r w:rsidR="00F458B0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B10030" w:rsidRPr="000D70CA">
        <w:rPr>
          <w:rFonts w:ascii="Book Antiqua" w:hAnsi="Book Antiqua"/>
          <w:color w:val="000000" w:themeColor="text1"/>
          <w:szCs w:val="24"/>
        </w:rPr>
        <w:t xml:space="preserve">immunosuppression with </w:t>
      </w:r>
      <w:proofErr w:type="spellStart"/>
      <w:r w:rsidR="00B10030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B10030" w:rsidRPr="000D70CA">
        <w:rPr>
          <w:rFonts w:ascii="Book Antiqua" w:hAnsi="Book Antiqua"/>
          <w:color w:val="000000" w:themeColor="text1"/>
          <w:szCs w:val="24"/>
        </w:rPr>
        <w:t xml:space="preserve"> inhibitor was </w:t>
      </w:r>
      <w:r w:rsidR="004F58EE" w:rsidRPr="000D70CA">
        <w:rPr>
          <w:rFonts w:ascii="Book Antiqua" w:hAnsi="Book Antiqua"/>
          <w:color w:val="000000" w:themeColor="text1"/>
          <w:szCs w:val="24"/>
        </w:rPr>
        <w:t xml:space="preserve">independently </w:t>
      </w:r>
      <w:r w:rsidR="00B10030" w:rsidRPr="000D70CA">
        <w:rPr>
          <w:rFonts w:ascii="Book Antiqua" w:hAnsi="Book Antiqua"/>
          <w:color w:val="000000" w:themeColor="text1"/>
          <w:szCs w:val="24"/>
        </w:rPr>
        <w:t>associated with improved survival from recurrence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A94C7C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94C7C" w:rsidRPr="000D70CA">
        <w:rPr>
          <w:rFonts w:ascii="Book Antiqua" w:hAnsi="Book Antiqua"/>
          <w:color w:val="000000" w:themeColor="text1"/>
          <w:szCs w:val="24"/>
        </w:rPr>
        <w:t>0.04</w:t>
      </w:r>
      <w:r w:rsidR="00B10030" w:rsidRPr="000D70CA">
        <w:rPr>
          <w:rFonts w:ascii="Book Antiqua" w:hAnsi="Book Antiqua"/>
          <w:color w:val="000000" w:themeColor="text1"/>
          <w:szCs w:val="24"/>
        </w:rPr>
        <w:t xml:space="preserve">, OR </w:t>
      </w:r>
      <w:r w:rsidR="008B669A" w:rsidRPr="000D70CA">
        <w:rPr>
          <w:rFonts w:ascii="Book Antiqua" w:eastAsia="等线" w:hAnsi="Book Antiqua" w:hint="eastAsia"/>
          <w:color w:val="000000" w:themeColor="text1"/>
          <w:szCs w:val="24"/>
          <w:lang w:eastAsia="zh-CN"/>
        </w:rPr>
        <w:t xml:space="preserve">= </w:t>
      </w:r>
      <w:r w:rsidR="00B10030" w:rsidRPr="000D70CA">
        <w:rPr>
          <w:rFonts w:ascii="Book Antiqua" w:hAnsi="Book Antiqua"/>
          <w:color w:val="000000" w:themeColor="text1"/>
          <w:szCs w:val="24"/>
        </w:rPr>
        <w:t>0.</w:t>
      </w:r>
      <w:r w:rsidR="00A94C7C" w:rsidRPr="000D70CA">
        <w:rPr>
          <w:rFonts w:ascii="Book Antiqua" w:hAnsi="Book Antiqua"/>
          <w:color w:val="000000" w:themeColor="text1"/>
          <w:szCs w:val="24"/>
        </w:rPr>
        <w:t>482</w:t>
      </w:r>
      <w:r w:rsidR="00B10030" w:rsidRPr="000D70CA">
        <w:rPr>
          <w:rFonts w:ascii="Book Antiqua" w:hAnsi="Book Antiqua"/>
          <w:color w:val="000000" w:themeColor="text1"/>
          <w:szCs w:val="24"/>
        </w:rPr>
        <w:t>).</w:t>
      </w:r>
      <w:r w:rsidRPr="000D70CA">
        <w:rPr>
          <w:rFonts w:ascii="Book Antiqua" w:hAnsi="Book Antiqua"/>
          <w:color w:val="000000" w:themeColor="text1"/>
          <w:szCs w:val="24"/>
        </w:rPr>
        <w:t xml:space="preserve"> E</w:t>
      </w:r>
      <w:r w:rsidR="0045357E" w:rsidRPr="000D70CA">
        <w:rPr>
          <w:rFonts w:ascii="Book Antiqua" w:hAnsi="Book Antiqua"/>
          <w:color w:val="000000" w:themeColor="text1"/>
          <w:szCs w:val="24"/>
        </w:rPr>
        <w:t>arly recurrence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45357E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45357E" w:rsidRPr="000D70CA">
        <w:rPr>
          <w:rFonts w:ascii="Book Antiqua" w:hAnsi="Book Antiqua"/>
          <w:color w:val="000000" w:themeColor="text1"/>
          <w:szCs w:val="24"/>
        </w:rPr>
        <w:t>0.</w:t>
      </w:r>
      <w:r w:rsidR="00A94C7C" w:rsidRPr="000D70CA">
        <w:rPr>
          <w:rFonts w:ascii="Book Antiqua" w:hAnsi="Book Antiqua"/>
          <w:color w:val="000000" w:themeColor="text1"/>
          <w:szCs w:val="24"/>
        </w:rPr>
        <w:t>0</w:t>
      </w:r>
      <w:r w:rsidR="0045357E" w:rsidRPr="000D70CA">
        <w:rPr>
          <w:rFonts w:ascii="Book Antiqua" w:hAnsi="Book Antiqua"/>
          <w:color w:val="000000" w:themeColor="text1"/>
          <w:szCs w:val="24"/>
        </w:rPr>
        <w:t>0</w:t>
      </w:r>
      <w:r w:rsidR="00B84797" w:rsidRPr="000D70CA">
        <w:rPr>
          <w:rFonts w:ascii="Book Antiqua" w:hAnsi="Book Antiqua"/>
          <w:color w:val="000000" w:themeColor="text1"/>
          <w:szCs w:val="24"/>
        </w:rPr>
        <w:t xml:space="preserve">1, OR </w:t>
      </w:r>
      <w:r w:rsidR="008B669A" w:rsidRPr="000D70CA">
        <w:rPr>
          <w:rFonts w:ascii="Book Antiqua" w:eastAsia="等线" w:hAnsi="Book Antiqua" w:hint="eastAsia"/>
          <w:color w:val="000000" w:themeColor="text1"/>
          <w:szCs w:val="24"/>
          <w:lang w:eastAsia="zh-CN"/>
        </w:rPr>
        <w:t xml:space="preserve">= </w:t>
      </w:r>
      <w:r w:rsidR="00B84797" w:rsidRPr="000D70CA">
        <w:rPr>
          <w:rFonts w:ascii="Book Antiqua" w:hAnsi="Book Antiqua"/>
          <w:color w:val="000000" w:themeColor="text1"/>
          <w:szCs w:val="24"/>
        </w:rPr>
        <w:t>0.9</w:t>
      </w:r>
      <w:r w:rsidRPr="000D70CA">
        <w:rPr>
          <w:rFonts w:ascii="Book Antiqua" w:hAnsi="Book Antiqua"/>
          <w:color w:val="000000" w:themeColor="text1"/>
          <w:szCs w:val="24"/>
        </w:rPr>
        <w:t>7</w:t>
      </w:r>
      <w:r w:rsidR="00A94C7C" w:rsidRPr="000D70CA">
        <w:rPr>
          <w:rFonts w:ascii="Book Antiqua" w:hAnsi="Book Antiqua"/>
          <w:color w:val="000000" w:themeColor="text1"/>
          <w:szCs w:val="24"/>
        </w:rPr>
        <w:t>7</w:t>
      </w:r>
      <w:r w:rsidR="00B84797" w:rsidRPr="000D70CA">
        <w:rPr>
          <w:rFonts w:ascii="Book Antiqua" w:hAnsi="Book Antiqua"/>
          <w:color w:val="000000" w:themeColor="text1"/>
          <w:szCs w:val="24"/>
        </w:rPr>
        <w:t>), liver recurrence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B84797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B84797" w:rsidRPr="000D70CA">
        <w:rPr>
          <w:rFonts w:ascii="Book Antiqua" w:hAnsi="Book Antiqua"/>
          <w:color w:val="000000" w:themeColor="text1"/>
          <w:szCs w:val="24"/>
        </w:rPr>
        <w:t>0.01, OR</w:t>
      </w:r>
      <w:r w:rsidR="008B669A" w:rsidRPr="000D70CA">
        <w:rPr>
          <w:rFonts w:ascii="Book Antiqua" w:eastAsia="等线" w:hAnsi="Book Antiqua" w:hint="eastAsia"/>
          <w:color w:val="000000" w:themeColor="text1"/>
          <w:szCs w:val="24"/>
          <w:lang w:eastAsia="zh-CN"/>
        </w:rPr>
        <w:t xml:space="preserve"> =</w:t>
      </w:r>
      <w:r w:rsidR="00A94C7C" w:rsidRPr="000D70CA">
        <w:rPr>
          <w:rFonts w:ascii="Book Antiqua" w:hAnsi="Book Antiqua"/>
          <w:color w:val="000000" w:themeColor="text1"/>
          <w:szCs w:val="24"/>
        </w:rPr>
        <w:t xml:space="preserve"> 1.92</w:t>
      </w:r>
      <w:r w:rsidR="00244736" w:rsidRPr="000D70CA">
        <w:rPr>
          <w:rFonts w:ascii="Book Antiqua" w:hAnsi="Book Antiqua"/>
          <w:color w:val="000000" w:themeColor="text1"/>
          <w:szCs w:val="24"/>
        </w:rPr>
        <w:t>)</w:t>
      </w:r>
      <w:r w:rsidR="0088152D" w:rsidRPr="000D70CA">
        <w:rPr>
          <w:rFonts w:ascii="Book Antiqua" w:hAnsi="Book Antiqua"/>
          <w:color w:val="000000" w:themeColor="text1"/>
          <w:szCs w:val="24"/>
        </w:rPr>
        <w:t xml:space="preserve">, larger </w:t>
      </w:r>
      <w:proofErr w:type="spellStart"/>
      <w:r w:rsidR="0088152D" w:rsidRPr="000D70CA">
        <w:rPr>
          <w:rFonts w:ascii="Book Antiqua" w:hAnsi="Book Antiqua"/>
          <w:color w:val="000000" w:themeColor="text1"/>
          <w:szCs w:val="24"/>
        </w:rPr>
        <w:t>tumour</w:t>
      </w:r>
      <w:proofErr w:type="spellEnd"/>
      <w:r w:rsidR="0088152D" w:rsidRPr="000D70CA">
        <w:rPr>
          <w:rFonts w:ascii="Book Antiqua" w:hAnsi="Book Antiqua"/>
          <w:color w:val="000000" w:themeColor="text1"/>
          <w:szCs w:val="24"/>
        </w:rPr>
        <w:t xml:space="preserve">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88152D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88152D" w:rsidRPr="000D70CA">
        <w:rPr>
          <w:rFonts w:ascii="Book Antiqua" w:hAnsi="Book Antiqua"/>
          <w:color w:val="000000" w:themeColor="text1"/>
          <w:szCs w:val="24"/>
        </w:rPr>
        <w:t>0.0</w:t>
      </w:r>
      <w:r w:rsidR="00200F3A" w:rsidRPr="000D70CA">
        <w:rPr>
          <w:rFonts w:ascii="Book Antiqua" w:hAnsi="Book Antiqua"/>
          <w:color w:val="000000" w:themeColor="text1"/>
          <w:szCs w:val="24"/>
        </w:rPr>
        <w:t>2</w:t>
      </w:r>
      <w:r w:rsidR="0088152D" w:rsidRPr="000D70CA">
        <w:rPr>
          <w:rFonts w:ascii="Book Antiqua" w:hAnsi="Book Antiqua"/>
          <w:color w:val="000000" w:themeColor="text1"/>
          <w:szCs w:val="24"/>
        </w:rPr>
        <w:t>, OR</w:t>
      </w:r>
      <w:r w:rsidR="008B669A" w:rsidRPr="000D70CA">
        <w:rPr>
          <w:rFonts w:ascii="Book Antiqua" w:eastAsia="等线" w:hAnsi="Book Antiqua" w:hint="eastAsia"/>
          <w:color w:val="000000" w:themeColor="text1"/>
          <w:szCs w:val="24"/>
          <w:lang w:eastAsia="zh-CN"/>
        </w:rPr>
        <w:t xml:space="preserve"> =</w:t>
      </w:r>
      <w:r w:rsidR="0088152D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>1.13</w:t>
      </w:r>
      <w:r w:rsidR="0088152D" w:rsidRPr="000D70CA">
        <w:rPr>
          <w:rFonts w:ascii="Book Antiqua" w:hAnsi="Book Antiqua"/>
          <w:color w:val="000000" w:themeColor="text1"/>
          <w:szCs w:val="24"/>
        </w:rPr>
        <w:t xml:space="preserve">), </w:t>
      </w:r>
      <w:r w:rsidR="005E350D" w:rsidRPr="000D70CA">
        <w:rPr>
          <w:rFonts w:ascii="Book Antiqua" w:hAnsi="Book Antiqua"/>
          <w:color w:val="000000" w:themeColor="text1"/>
          <w:szCs w:val="24"/>
        </w:rPr>
        <w:t xml:space="preserve">and </w:t>
      </w:r>
      <w:r w:rsidR="0088152D" w:rsidRPr="000D70CA">
        <w:rPr>
          <w:rFonts w:ascii="Book Antiqua" w:hAnsi="Book Antiqua"/>
          <w:color w:val="000000" w:themeColor="text1"/>
          <w:szCs w:val="24"/>
        </w:rPr>
        <w:t>higher AFP level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88152D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88152D" w:rsidRPr="000D70CA">
        <w:rPr>
          <w:rFonts w:ascii="Book Antiqua" w:hAnsi="Book Antiqua"/>
          <w:color w:val="000000" w:themeColor="text1"/>
          <w:szCs w:val="24"/>
        </w:rPr>
        <w:t>0.0</w:t>
      </w:r>
      <w:r w:rsidR="00200F3A" w:rsidRPr="000D70CA">
        <w:rPr>
          <w:rFonts w:ascii="Book Antiqua" w:hAnsi="Book Antiqua"/>
          <w:color w:val="000000" w:themeColor="text1"/>
          <w:szCs w:val="24"/>
        </w:rPr>
        <w:t>2</w:t>
      </w:r>
      <w:r w:rsidR="0088152D" w:rsidRPr="000D70CA">
        <w:rPr>
          <w:rFonts w:ascii="Book Antiqua" w:hAnsi="Book Antiqua"/>
          <w:color w:val="000000" w:themeColor="text1"/>
          <w:szCs w:val="24"/>
        </w:rPr>
        <w:t>, OR</w:t>
      </w:r>
      <w:r w:rsidR="008B669A" w:rsidRPr="000D70CA">
        <w:rPr>
          <w:rFonts w:ascii="Book Antiqua" w:eastAsia="等线" w:hAnsi="Book Antiqua" w:hint="eastAsia"/>
          <w:color w:val="000000" w:themeColor="text1"/>
          <w:szCs w:val="24"/>
          <w:lang w:eastAsia="zh-CN"/>
        </w:rPr>
        <w:t xml:space="preserve"> =</w:t>
      </w:r>
      <w:r w:rsidR="0088152D" w:rsidRPr="000D70CA">
        <w:rPr>
          <w:rFonts w:ascii="Book Antiqua" w:hAnsi="Book Antiqua"/>
          <w:color w:val="000000" w:themeColor="text1"/>
          <w:szCs w:val="24"/>
        </w:rPr>
        <w:t xml:space="preserve"> 1.00)</w:t>
      </w:r>
      <w:r w:rsidR="004A4EC4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653CC" w:rsidRPr="000D70CA">
        <w:rPr>
          <w:rFonts w:ascii="Book Antiqua" w:hAnsi="Book Antiqua"/>
          <w:color w:val="000000" w:themeColor="text1"/>
          <w:szCs w:val="24"/>
        </w:rPr>
        <w:t>were predictors of poor survival</w:t>
      </w:r>
      <w:r w:rsidR="004A4EC4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200F3A" w:rsidRPr="000D70CA">
        <w:rPr>
          <w:rFonts w:ascii="Book Antiqua" w:hAnsi="Book Antiqua"/>
          <w:color w:val="000000" w:themeColor="text1"/>
          <w:szCs w:val="24"/>
        </w:rPr>
        <w:t>T</w:t>
      </w:r>
      <w:r w:rsidR="005E350D" w:rsidRPr="000D70CA">
        <w:rPr>
          <w:rFonts w:ascii="Book Antiqua" w:hAnsi="Book Antiqua"/>
          <w:color w:val="000000" w:themeColor="text1"/>
          <w:szCs w:val="24"/>
        </w:rPr>
        <w:t>he t</w:t>
      </w:r>
      <w:r w:rsidR="00200F3A" w:rsidRPr="000D70CA">
        <w:rPr>
          <w:rFonts w:ascii="Book Antiqua" w:hAnsi="Book Antiqua"/>
          <w:color w:val="000000" w:themeColor="text1"/>
          <w:szCs w:val="24"/>
        </w:rPr>
        <w:t xml:space="preserve">rough level of </w:t>
      </w:r>
      <w:r w:rsidR="005E350D" w:rsidRPr="000D70CA">
        <w:rPr>
          <w:rFonts w:ascii="Book Antiqua" w:hAnsi="Book Antiqua"/>
          <w:color w:val="000000" w:themeColor="text1"/>
          <w:szCs w:val="24"/>
        </w:rPr>
        <w:t>t</w:t>
      </w:r>
      <w:r w:rsidR="00200F3A" w:rsidRPr="000D70CA">
        <w:rPr>
          <w:rFonts w:ascii="Book Antiqua" w:hAnsi="Book Antiqua"/>
          <w:color w:val="000000" w:themeColor="text1"/>
          <w:szCs w:val="24"/>
        </w:rPr>
        <w:t>acrolimus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200F3A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00F3A" w:rsidRPr="000D70CA">
        <w:rPr>
          <w:rFonts w:ascii="Book Antiqua" w:hAnsi="Book Antiqua"/>
          <w:color w:val="000000" w:themeColor="text1"/>
          <w:szCs w:val="24"/>
        </w:rPr>
        <w:t>0.16), d</w:t>
      </w:r>
      <w:r w:rsidRPr="000D70CA">
        <w:rPr>
          <w:rFonts w:ascii="Book Antiqua" w:hAnsi="Book Antiqua"/>
          <w:color w:val="000000" w:themeColor="text1"/>
          <w:szCs w:val="24"/>
        </w:rPr>
        <w:t>ate of recurrence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>0.</w:t>
      </w:r>
      <w:r w:rsidR="00200F3A" w:rsidRPr="000D70CA">
        <w:rPr>
          <w:rFonts w:ascii="Book Antiqua" w:hAnsi="Book Antiqua"/>
          <w:color w:val="000000" w:themeColor="text1"/>
          <w:szCs w:val="24"/>
        </w:rPr>
        <w:t>7</w:t>
      </w:r>
      <w:r w:rsidRPr="000D70CA">
        <w:rPr>
          <w:rFonts w:ascii="Book Antiqua" w:hAnsi="Book Antiqua"/>
          <w:color w:val="000000" w:themeColor="text1"/>
          <w:szCs w:val="24"/>
        </w:rPr>
        <w:t xml:space="preserve">9) and number of recurrent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tumours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(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>0.</w:t>
      </w:r>
      <w:r w:rsidR="00200F3A" w:rsidRPr="000D70CA">
        <w:rPr>
          <w:rFonts w:ascii="Book Antiqua" w:hAnsi="Book Antiqua"/>
          <w:color w:val="000000" w:themeColor="text1"/>
          <w:szCs w:val="24"/>
        </w:rPr>
        <w:t>33</w:t>
      </w:r>
      <w:r w:rsidRPr="000D70CA">
        <w:rPr>
          <w:rFonts w:ascii="Book Antiqua" w:hAnsi="Book Antiqua"/>
          <w:color w:val="000000" w:themeColor="text1"/>
          <w:szCs w:val="24"/>
        </w:rPr>
        <w:t xml:space="preserve">) did not predict survival. </w:t>
      </w:r>
    </w:p>
    <w:p w14:paraId="4B09A76C" w14:textId="5D45825D" w:rsidR="00EB68EB" w:rsidRPr="000D70CA" w:rsidRDefault="00EB68E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01FE55C5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  <w:u w:val="single"/>
        </w:rPr>
      </w:pPr>
      <w:r w:rsidRPr="000D70CA">
        <w:rPr>
          <w:rFonts w:ascii="Book Antiqua" w:hAnsi="Book Antiqua"/>
          <w:b/>
          <w:color w:val="000000"/>
          <w:szCs w:val="24"/>
          <w:u w:val="single"/>
        </w:rPr>
        <w:t>DISCUSSION</w:t>
      </w:r>
    </w:p>
    <w:p w14:paraId="78244B3D" w14:textId="63827849" w:rsidR="00B41EAB" w:rsidRPr="000D70CA" w:rsidRDefault="005A30BF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B41EAB" w:rsidRPr="000D70CA">
        <w:rPr>
          <w:rFonts w:ascii="Book Antiqua" w:hAnsi="Book Antiqua"/>
          <w:color w:val="000000" w:themeColor="text1"/>
          <w:szCs w:val="24"/>
        </w:rPr>
        <w:t>results</w:t>
      </w:r>
      <w:r w:rsidRPr="000D70CA">
        <w:rPr>
          <w:rFonts w:ascii="Book Antiqua" w:hAnsi="Book Antiqua"/>
          <w:color w:val="000000" w:themeColor="text1"/>
          <w:szCs w:val="24"/>
        </w:rPr>
        <w:t xml:space="preserve"> from our study</w:t>
      </w:r>
      <w:r w:rsidR="00B41EA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7F7081" w:rsidRPr="000D70CA">
        <w:rPr>
          <w:rFonts w:ascii="Book Antiqua" w:hAnsi="Book Antiqua"/>
          <w:color w:val="000000" w:themeColor="text1"/>
          <w:szCs w:val="24"/>
        </w:rPr>
        <w:t>suggested</w:t>
      </w:r>
      <w:r w:rsidR="00B41EAB" w:rsidRPr="000D70CA">
        <w:rPr>
          <w:rFonts w:ascii="Book Antiqua" w:hAnsi="Book Antiqua"/>
          <w:color w:val="000000" w:themeColor="text1"/>
          <w:szCs w:val="24"/>
        </w:rPr>
        <w:t xml:space="preserve"> that incorporation </w:t>
      </w:r>
      <w:r w:rsidR="00495714" w:rsidRPr="000D70CA">
        <w:rPr>
          <w:rFonts w:ascii="Book Antiqua" w:hAnsi="Book Antiqua"/>
          <w:color w:val="000000" w:themeColor="text1"/>
          <w:szCs w:val="24"/>
        </w:rPr>
        <w:t xml:space="preserve">of 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an </w:t>
      </w:r>
      <w:proofErr w:type="spellStart"/>
      <w:r w:rsidR="000F7AAA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0F7AAA" w:rsidRPr="000D70CA">
        <w:rPr>
          <w:rFonts w:ascii="Book Antiqua" w:hAnsi="Book Antiqua"/>
          <w:color w:val="000000" w:themeColor="text1"/>
          <w:szCs w:val="24"/>
        </w:rPr>
        <w:t xml:space="preserve"> inhibitor</w:t>
      </w:r>
      <w:r w:rsidR="00B41EAB" w:rsidRPr="000D70CA">
        <w:rPr>
          <w:rFonts w:ascii="Book Antiqua" w:hAnsi="Book Antiqua"/>
          <w:color w:val="000000" w:themeColor="text1"/>
          <w:szCs w:val="24"/>
        </w:rPr>
        <w:t xml:space="preserve"> into the immunosuppressive regime </w:t>
      </w:r>
      <w:r w:rsidRPr="000D70CA">
        <w:rPr>
          <w:rFonts w:ascii="Book Antiqua" w:hAnsi="Book Antiqua"/>
          <w:color w:val="000000" w:themeColor="text1"/>
          <w:szCs w:val="24"/>
        </w:rPr>
        <w:t xml:space="preserve">of liver transplant recipients with recurrent HCC </w:t>
      </w:r>
      <w:r w:rsidR="00B41EAB" w:rsidRPr="000D70CA">
        <w:rPr>
          <w:rFonts w:ascii="Book Antiqua" w:hAnsi="Book Antiqua"/>
          <w:color w:val="000000" w:themeColor="text1"/>
          <w:szCs w:val="24"/>
        </w:rPr>
        <w:t>was associated with improved survival</w:t>
      </w:r>
      <w:r w:rsidR="00C51F0B" w:rsidRPr="000D70CA">
        <w:rPr>
          <w:rFonts w:ascii="Book Antiqua" w:hAnsi="Book Antiqua"/>
          <w:color w:val="000000" w:themeColor="text1"/>
          <w:szCs w:val="24"/>
        </w:rPr>
        <w:t xml:space="preserve"> after recurrence</w:t>
      </w:r>
      <w:r w:rsidR="001647B6" w:rsidRPr="000D70CA">
        <w:rPr>
          <w:rFonts w:ascii="Book Antiqua" w:hAnsi="Book Antiqua"/>
          <w:color w:val="000000" w:themeColor="text1"/>
          <w:szCs w:val="24"/>
        </w:rPr>
        <w:t xml:space="preserve"> (median survival 21.0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1647B6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1647B6" w:rsidRPr="000D70CA">
        <w:rPr>
          <w:rFonts w:ascii="Book Antiqua" w:hAnsi="Book Antiqua"/>
          <w:color w:val="000000" w:themeColor="text1"/>
          <w:szCs w:val="24"/>
        </w:rPr>
        <w:t xml:space="preserve">4.1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1647B6" w:rsidRPr="000D70CA">
        <w:rPr>
          <w:rFonts w:ascii="Book Antiqua" w:hAnsi="Book Antiqua"/>
          <w:color w:val="000000" w:themeColor="text1"/>
          <w:szCs w:val="24"/>
        </w:rPr>
        <w:t xml:space="preserve"> 11.2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1647B6" w:rsidRPr="000D70CA">
        <w:rPr>
          <w:rFonts w:ascii="Book Antiqua" w:hAnsi="Book Antiqua" w:cstheme="minorHAnsi"/>
          <w:color w:val="000000" w:themeColor="text1"/>
          <w:szCs w:val="24"/>
        </w:rPr>
        <w:t>±</w:t>
      </w:r>
      <w:r w:rsidR="00AF289B" w:rsidRPr="000D70CA">
        <w:rPr>
          <w:rFonts w:ascii="Book Antiqua" w:hAnsi="Book Antiqua" w:cstheme="minorHAnsi"/>
          <w:color w:val="000000" w:themeColor="text1"/>
          <w:szCs w:val="24"/>
        </w:rPr>
        <w:t xml:space="preserve"> </w:t>
      </w:r>
      <w:r w:rsidR="001647B6" w:rsidRPr="000D70CA">
        <w:rPr>
          <w:rFonts w:ascii="Book Antiqua" w:hAnsi="Book Antiqua"/>
          <w:color w:val="000000" w:themeColor="text1"/>
          <w:szCs w:val="24"/>
        </w:rPr>
        <w:t xml:space="preserve">2.5 </w:t>
      </w:r>
      <w:proofErr w:type="spellStart"/>
      <w:r w:rsidR="001647B6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r w:rsidR="001647B6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200F3A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00F3A" w:rsidRPr="000D70CA">
        <w:rPr>
          <w:rFonts w:ascii="Book Antiqua" w:hAnsi="Book Antiqua"/>
          <w:color w:val="000000" w:themeColor="text1"/>
          <w:szCs w:val="24"/>
        </w:rPr>
        <w:t>0.04</w:t>
      </w:r>
      <w:r w:rsidR="001647B6" w:rsidRPr="000D70CA">
        <w:rPr>
          <w:rFonts w:ascii="Book Antiqua" w:hAnsi="Book Antiqua"/>
          <w:color w:val="000000" w:themeColor="text1"/>
          <w:szCs w:val="24"/>
        </w:rPr>
        <w:t>)</w:t>
      </w:r>
      <w:r w:rsidR="00B41EAB" w:rsidRPr="000D70CA">
        <w:rPr>
          <w:rFonts w:ascii="Book Antiqua" w:hAnsi="Book Antiqua"/>
          <w:color w:val="000000" w:themeColor="text1"/>
          <w:szCs w:val="24"/>
        </w:rPr>
        <w:t xml:space="preserve">. </w:t>
      </w:r>
    </w:p>
    <w:p w14:paraId="5181C667" w14:textId="67D3EB29" w:rsidR="004B7599" w:rsidRPr="000D70CA" w:rsidRDefault="00340C55" w:rsidP="00BE6C9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In this cohort, s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everal differences </w:t>
      </w:r>
      <w:r w:rsidR="00E74B1C" w:rsidRPr="000D70CA">
        <w:rPr>
          <w:rFonts w:ascii="Book Antiqua" w:hAnsi="Book Antiqua"/>
          <w:color w:val="000000" w:themeColor="text1"/>
          <w:szCs w:val="24"/>
        </w:rPr>
        <w:t xml:space="preserve">in recurrence status </w:t>
      </w:r>
      <w:r w:rsidR="005E350D" w:rsidRPr="000D70CA">
        <w:rPr>
          <w:rFonts w:ascii="Book Antiqua" w:hAnsi="Book Antiqua"/>
          <w:color w:val="000000" w:themeColor="text1"/>
          <w:szCs w:val="24"/>
        </w:rPr>
        <w:t>were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 highlighted between both arms. </w:t>
      </w:r>
      <w:r w:rsidR="00E74B1C" w:rsidRPr="000D70CA">
        <w:rPr>
          <w:rFonts w:ascii="Book Antiqua" w:hAnsi="Book Antiqua"/>
          <w:color w:val="000000" w:themeColor="text1"/>
          <w:szCs w:val="24"/>
        </w:rPr>
        <w:t>Firstly, r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ecurrence in the </w:t>
      </w:r>
      <w:proofErr w:type="spellStart"/>
      <w:r w:rsidR="004E2A15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4E2A15" w:rsidRPr="000D70CA">
        <w:rPr>
          <w:rFonts w:ascii="Book Antiqua" w:hAnsi="Book Antiqua"/>
          <w:color w:val="000000" w:themeColor="text1"/>
          <w:szCs w:val="24"/>
        </w:rPr>
        <w:t xml:space="preserve"> inhibitor group occurred later in </w:t>
      </w:r>
      <w:r w:rsidR="003760F6" w:rsidRPr="000D70CA">
        <w:rPr>
          <w:rFonts w:ascii="Book Antiqua" w:hAnsi="Book Antiqua"/>
          <w:color w:val="000000" w:themeColor="text1"/>
          <w:szCs w:val="24"/>
        </w:rPr>
        <w:t>calendar years</w:t>
      </w:r>
      <w:r w:rsidR="00B26D04" w:rsidRPr="000D70CA">
        <w:rPr>
          <w:rFonts w:ascii="Book Antiqua" w:hAnsi="Book Antiqua"/>
          <w:color w:val="000000" w:themeColor="text1"/>
          <w:szCs w:val="24"/>
        </w:rPr>
        <w:t xml:space="preserve"> (</w:t>
      </w:r>
      <w:r w:rsidR="001647B6" w:rsidRPr="000D70CA">
        <w:rPr>
          <w:rFonts w:ascii="Book Antiqua" w:hAnsi="Book Antiqua"/>
          <w:color w:val="000000" w:themeColor="text1"/>
          <w:szCs w:val="24"/>
        </w:rPr>
        <w:t>7</w:t>
      </w:r>
      <w:r w:rsidR="00E74B1C" w:rsidRPr="000D70CA">
        <w:rPr>
          <w:rFonts w:ascii="Book Antiqua" w:hAnsi="Book Antiqua"/>
          <w:color w:val="000000" w:themeColor="text1"/>
          <w:szCs w:val="24"/>
        </w:rPr>
        <w:t>/</w:t>
      </w:r>
      <w:r w:rsidR="00B26D04" w:rsidRPr="000D70CA">
        <w:rPr>
          <w:rFonts w:ascii="Book Antiqua" w:hAnsi="Book Antiqua"/>
          <w:color w:val="000000" w:themeColor="text1"/>
          <w:szCs w:val="24"/>
        </w:rPr>
        <w:t xml:space="preserve">2013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B26D04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1647B6" w:rsidRPr="000D70CA">
        <w:rPr>
          <w:rFonts w:ascii="Book Antiqua" w:hAnsi="Book Antiqua"/>
          <w:color w:val="000000" w:themeColor="text1"/>
          <w:szCs w:val="24"/>
        </w:rPr>
        <w:t>3</w:t>
      </w:r>
      <w:r w:rsidR="00B26D04" w:rsidRPr="000D70CA">
        <w:rPr>
          <w:rFonts w:ascii="Book Antiqua" w:hAnsi="Book Antiqua"/>
          <w:color w:val="000000" w:themeColor="text1"/>
          <w:szCs w:val="24"/>
        </w:rPr>
        <w:t>/200</w:t>
      </w:r>
      <w:r w:rsidR="001647B6" w:rsidRPr="000D70CA">
        <w:rPr>
          <w:rFonts w:ascii="Book Antiqua" w:hAnsi="Book Antiqua"/>
          <w:color w:val="000000" w:themeColor="text1"/>
          <w:szCs w:val="24"/>
        </w:rPr>
        <w:t>8</w:t>
      </w:r>
      <w:r w:rsidR="00B26D04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B26D04" w:rsidRPr="000D70CA">
        <w:rPr>
          <w:rFonts w:ascii="Book Antiqua" w:hAnsi="Book Antiqua"/>
          <w:color w:val="000000" w:themeColor="text1"/>
          <w:szCs w:val="24"/>
        </w:rPr>
        <w:t>&lt;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B26D04" w:rsidRPr="000D70CA">
        <w:rPr>
          <w:rFonts w:ascii="Book Antiqua" w:hAnsi="Book Antiqua"/>
          <w:color w:val="000000" w:themeColor="text1"/>
          <w:szCs w:val="24"/>
        </w:rPr>
        <w:t>0.001)</w:t>
      </w:r>
      <w:r w:rsidR="004E2A15" w:rsidRPr="000D70CA">
        <w:rPr>
          <w:rFonts w:ascii="Book Antiqua" w:hAnsi="Book Antiqua"/>
          <w:color w:val="000000" w:themeColor="text1"/>
          <w:szCs w:val="24"/>
        </w:rPr>
        <w:t xml:space="preserve">. </w:t>
      </w:r>
      <w:proofErr w:type="spellStart"/>
      <w:proofErr w:type="gramStart"/>
      <w:r w:rsidR="00E74B1C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proofErr w:type="gramEnd"/>
      <w:r w:rsidR="00E74B1C" w:rsidRPr="000D70CA">
        <w:rPr>
          <w:rFonts w:ascii="Book Antiqua" w:hAnsi="Book Antiqua"/>
          <w:color w:val="000000" w:themeColor="text1"/>
          <w:szCs w:val="24"/>
        </w:rPr>
        <w:t xml:space="preserve"> inhibitor was first a</w:t>
      </w:r>
      <w:r w:rsidR="005E350D" w:rsidRPr="000D70CA">
        <w:rPr>
          <w:rFonts w:ascii="Book Antiqua" w:hAnsi="Book Antiqua"/>
          <w:color w:val="000000" w:themeColor="text1"/>
          <w:szCs w:val="24"/>
        </w:rPr>
        <w:t>dministered</w:t>
      </w:r>
      <w:r w:rsidR="00E74B1C" w:rsidRPr="000D70CA">
        <w:rPr>
          <w:rFonts w:ascii="Book Antiqua" w:hAnsi="Book Antiqua"/>
          <w:color w:val="000000" w:themeColor="text1"/>
          <w:szCs w:val="24"/>
        </w:rPr>
        <w:t xml:space="preserve"> in 2004 </w:t>
      </w:r>
      <w:r w:rsidRPr="000D70CA">
        <w:rPr>
          <w:rFonts w:ascii="Book Antiqua" w:hAnsi="Book Antiqua"/>
          <w:color w:val="000000" w:themeColor="text1"/>
          <w:szCs w:val="24"/>
        </w:rPr>
        <w:t xml:space="preserve">in our </w:t>
      </w:r>
      <w:r w:rsidR="000F7AAA" w:rsidRPr="000D70CA">
        <w:rPr>
          <w:rFonts w:ascii="Book Antiqua" w:hAnsi="Book Antiqua"/>
          <w:color w:val="000000" w:themeColor="text1"/>
          <w:szCs w:val="24"/>
        </w:rPr>
        <w:t>series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74B1C" w:rsidRPr="000D70CA">
        <w:rPr>
          <w:rFonts w:ascii="Book Antiqua" w:hAnsi="Book Antiqua"/>
          <w:color w:val="000000" w:themeColor="text1"/>
          <w:szCs w:val="24"/>
        </w:rPr>
        <w:t xml:space="preserve">and </w:t>
      </w:r>
      <w:r w:rsidR="00D864C3" w:rsidRPr="000D70CA">
        <w:rPr>
          <w:rFonts w:ascii="Book Antiqua" w:hAnsi="Book Antiqua"/>
          <w:color w:val="000000" w:themeColor="text1"/>
          <w:szCs w:val="24"/>
        </w:rPr>
        <w:t xml:space="preserve">was </w:t>
      </w:r>
      <w:r w:rsidRPr="000D70CA">
        <w:rPr>
          <w:rFonts w:ascii="Book Antiqua" w:hAnsi="Book Antiqua"/>
          <w:color w:val="000000" w:themeColor="text1"/>
          <w:szCs w:val="24"/>
        </w:rPr>
        <w:t>only considered</w:t>
      </w:r>
      <w:r w:rsidR="00D864C3" w:rsidRPr="000D70CA">
        <w:rPr>
          <w:rFonts w:ascii="Book Antiqua" w:hAnsi="Book Antiqua"/>
          <w:color w:val="000000" w:themeColor="text1"/>
          <w:szCs w:val="24"/>
        </w:rPr>
        <w:t xml:space="preserve"> for patients </w:t>
      </w:r>
      <w:r w:rsidRPr="000D70CA">
        <w:rPr>
          <w:rFonts w:ascii="Book Antiqua" w:hAnsi="Book Antiqua"/>
          <w:color w:val="000000" w:themeColor="text1"/>
          <w:szCs w:val="24"/>
        </w:rPr>
        <w:t>from th</w:t>
      </w:r>
      <w:r w:rsidR="000F7AAA" w:rsidRPr="000D70CA">
        <w:rPr>
          <w:rFonts w:ascii="Book Antiqua" w:hAnsi="Book Antiqua"/>
          <w:color w:val="000000" w:themeColor="text1"/>
          <w:szCs w:val="24"/>
        </w:rPr>
        <w:t>at time</w:t>
      </w:r>
      <w:r w:rsidRPr="000D70CA">
        <w:rPr>
          <w:rFonts w:ascii="Book Antiqua" w:hAnsi="Book Antiqua"/>
          <w:color w:val="000000" w:themeColor="text1"/>
          <w:szCs w:val="24"/>
        </w:rPr>
        <w:t xml:space="preserve"> onwards. There was a</w:t>
      </w:r>
      <w:r w:rsidR="00566DC8" w:rsidRPr="000D70CA">
        <w:rPr>
          <w:rFonts w:ascii="Book Antiqua" w:hAnsi="Book Antiqua"/>
          <w:color w:val="000000" w:themeColor="text1"/>
          <w:szCs w:val="24"/>
        </w:rPr>
        <w:t xml:space="preserve"> fundamental</w:t>
      </w:r>
      <w:r w:rsidRPr="000D70CA">
        <w:rPr>
          <w:rFonts w:ascii="Book Antiqua" w:hAnsi="Book Antiqua"/>
          <w:color w:val="000000" w:themeColor="text1"/>
          <w:szCs w:val="24"/>
        </w:rPr>
        <w:t xml:space="preserve"> time effect 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while improvements in </w:t>
      </w:r>
      <w:r w:rsidR="001710FA" w:rsidRPr="000D70CA">
        <w:rPr>
          <w:rFonts w:ascii="Book Antiqua" w:hAnsi="Book Antiqua"/>
          <w:color w:val="000000" w:themeColor="text1"/>
          <w:szCs w:val="24"/>
        </w:rPr>
        <w:t xml:space="preserve">medical and surgical 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treatment contributed to better survival </w:t>
      </w:r>
      <w:proofErr w:type="gramStart"/>
      <w:r w:rsidR="000F7AAA" w:rsidRPr="000D70CA">
        <w:rPr>
          <w:rFonts w:ascii="Book Antiqua" w:hAnsi="Book Antiqua"/>
          <w:color w:val="000000" w:themeColor="text1"/>
          <w:szCs w:val="24"/>
        </w:rPr>
        <w:t>outcomes</w:t>
      </w:r>
      <w:r w:rsidR="00AF289B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14</w:t>
      </w:r>
      <w:r w:rsidR="00AF289B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-</w:t>
      </w:r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19</w:t>
      </w:r>
      <w:r w:rsidR="00AF289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D864C3" w:rsidRPr="000D70CA">
        <w:rPr>
          <w:rFonts w:ascii="Book Antiqua" w:hAnsi="Book Antiqua"/>
          <w:color w:val="000000" w:themeColor="text1"/>
          <w:szCs w:val="24"/>
        </w:rPr>
        <w:t>Indeed, m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ore patients in the </w:t>
      </w:r>
      <w:proofErr w:type="spellStart"/>
      <w:r w:rsidR="000F7AAA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0F7AAA" w:rsidRPr="000D70CA">
        <w:rPr>
          <w:rFonts w:ascii="Book Antiqua" w:hAnsi="Book Antiqua"/>
          <w:color w:val="000000" w:themeColor="text1"/>
          <w:szCs w:val="24"/>
        </w:rPr>
        <w:t xml:space="preserve"> inhibitor group received targeted therapy </w:t>
      </w:r>
      <w:r w:rsidR="000F7AAA" w:rsidRPr="000D70CA">
        <w:rPr>
          <w:rFonts w:ascii="Book Antiqua" w:hAnsi="Book Antiqua"/>
          <w:i/>
          <w:iCs/>
          <w:color w:val="000000" w:themeColor="text1"/>
          <w:szCs w:val="24"/>
        </w:rPr>
        <w:t>e.g.</w:t>
      </w:r>
      <w:r w:rsidR="00AF289B" w:rsidRPr="000D70CA">
        <w:rPr>
          <w:rFonts w:ascii="Book Antiqua" w:hAnsi="Book Antiqua"/>
          <w:color w:val="000000" w:themeColor="text1"/>
          <w:szCs w:val="24"/>
        </w:rPr>
        <w:t>,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0F7AAA" w:rsidRPr="000D70CA">
        <w:rPr>
          <w:rFonts w:ascii="Book Antiqua" w:hAnsi="Book Antiqua"/>
          <w:color w:val="000000" w:themeColor="text1"/>
          <w:szCs w:val="24"/>
        </w:rPr>
        <w:t>sorafenib</w:t>
      </w:r>
      <w:proofErr w:type="spellEnd"/>
      <w:r w:rsidR="000F7AAA" w:rsidRPr="000D70CA">
        <w:rPr>
          <w:rFonts w:ascii="Book Antiqua" w:hAnsi="Book Antiqua"/>
          <w:color w:val="000000" w:themeColor="text1"/>
          <w:szCs w:val="24"/>
        </w:rPr>
        <w:t xml:space="preserve"> (59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 2</w:t>
      </w:r>
      <w:r w:rsidR="001647B6" w:rsidRPr="000D70CA">
        <w:rPr>
          <w:rFonts w:ascii="Book Antiqua" w:hAnsi="Book Antiqua"/>
          <w:color w:val="000000" w:themeColor="text1"/>
          <w:szCs w:val="24"/>
        </w:rPr>
        <w:t>3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0F7AAA" w:rsidRPr="000D70CA">
        <w:rPr>
          <w:rFonts w:ascii="Book Antiqua" w:hAnsi="Book Antiqua"/>
          <w:color w:val="000000" w:themeColor="text1"/>
          <w:szCs w:val="24"/>
        </w:rPr>
        <w:t>&lt;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0.001) and radiotherapy (39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 22%,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="000F7AAA"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0F7AAA" w:rsidRPr="000D70CA">
        <w:rPr>
          <w:rFonts w:ascii="Book Antiqua" w:hAnsi="Book Antiqua"/>
          <w:color w:val="000000" w:themeColor="text1"/>
          <w:szCs w:val="24"/>
        </w:rPr>
        <w:t>0.03)</w:t>
      </w:r>
      <w:r w:rsidR="004B7599" w:rsidRPr="000D70CA">
        <w:rPr>
          <w:rFonts w:ascii="Book Antiqua" w:hAnsi="Book Antiqua"/>
          <w:color w:val="000000" w:themeColor="text1"/>
          <w:szCs w:val="24"/>
        </w:rPr>
        <w:t>.</w:t>
      </w:r>
      <w:r w:rsidR="000F7AAA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4B7599" w:rsidRPr="000D70CA">
        <w:rPr>
          <w:rFonts w:ascii="Book Antiqua" w:hAnsi="Book Antiqua"/>
          <w:color w:val="000000" w:themeColor="text1"/>
          <w:szCs w:val="24"/>
        </w:rPr>
        <w:t>S</w:t>
      </w:r>
      <w:r w:rsidR="00D864C3" w:rsidRPr="000D70CA">
        <w:rPr>
          <w:rFonts w:ascii="Book Antiqua" w:hAnsi="Book Antiqua"/>
          <w:color w:val="000000" w:themeColor="text1"/>
          <w:szCs w:val="24"/>
        </w:rPr>
        <w:t xml:space="preserve">tereotactic body radiotherapy </w:t>
      </w:r>
      <w:r w:rsidR="004B7599" w:rsidRPr="000D70CA">
        <w:rPr>
          <w:rFonts w:ascii="Book Antiqua" w:hAnsi="Book Antiqua"/>
          <w:color w:val="000000" w:themeColor="text1"/>
          <w:szCs w:val="24"/>
        </w:rPr>
        <w:t xml:space="preserve">was </w:t>
      </w:r>
      <w:r w:rsidR="00D864C3" w:rsidRPr="000D70CA">
        <w:rPr>
          <w:rFonts w:ascii="Book Antiqua" w:hAnsi="Book Antiqua"/>
          <w:color w:val="000000" w:themeColor="text1"/>
          <w:szCs w:val="24"/>
        </w:rPr>
        <w:t xml:space="preserve">applied for </w:t>
      </w:r>
      <w:r w:rsidR="004B7599" w:rsidRPr="000D70CA">
        <w:rPr>
          <w:rFonts w:ascii="Book Antiqua" w:hAnsi="Book Antiqua"/>
          <w:color w:val="000000" w:themeColor="text1"/>
          <w:szCs w:val="24"/>
        </w:rPr>
        <w:t xml:space="preserve">patients with limited </w:t>
      </w:r>
      <w:r w:rsidR="00D864C3" w:rsidRPr="000D70CA">
        <w:rPr>
          <w:rFonts w:ascii="Book Antiqua" w:hAnsi="Book Antiqua"/>
          <w:color w:val="000000" w:themeColor="text1"/>
          <w:szCs w:val="24"/>
        </w:rPr>
        <w:t xml:space="preserve">intrahepatic recurrence </w:t>
      </w:r>
      <w:r w:rsidR="004B7599" w:rsidRPr="000D70CA">
        <w:rPr>
          <w:rFonts w:ascii="Book Antiqua" w:hAnsi="Book Antiqua"/>
          <w:color w:val="000000" w:themeColor="text1"/>
          <w:szCs w:val="24"/>
        </w:rPr>
        <w:t>for local control</w:t>
      </w:r>
      <w:r w:rsidR="00D864C3" w:rsidRPr="000D70CA">
        <w:rPr>
          <w:rFonts w:ascii="Book Antiqua" w:hAnsi="Book Antiqua"/>
          <w:color w:val="000000" w:themeColor="text1"/>
          <w:szCs w:val="24"/>
        </w:rPr>
        <w:t xml:space="preserve">. </w:t>
      </w:r>
    </w:p>
    <w:p w14:paraId="7D1979AB" w14:textId="1140A22A" w:rsidR="001710FA" w:rsidRPr="000D70CA" w:rsidRDefault="001710FA" w:rsidP="00BE6C9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Secondly, the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inhibitor group </w:t>
      </w:r>
      <w:r w:rsidR="001647B6" w:rsidRPr="000D70CA">
        <w:rPr>
          <w:rFonts w:ascii="Book Antiqua" w:hAnsi="Book Antiqua"/>
          <w:color w:val="000000" w:themeColor="text1"/>
          <w:szCs w:val="24"/>
        </w:rPr>
        <w:t>had</w:t>
      </w:r>
      <w:r w:rsidRPr="000D70CA">
        <w:rPr>
          <w:rFonts w:ascii="Book Antiqua" w:hAnsi="Book Antiqua"/>
          <w:color w:val="000000" w:themeColor="text1"/>
          <w:szCs w:val="24"/>
        </w:rPr>
        <w:t xml:space="preserve"> earlier disease </w:t>
      </w:r>
      <w:r w:rsidR="00420608" w:rsidRPr="000D70CA">
        <w:rPr>
          <w:rFonts w:ascii="Book Antiqua" w:hAnsi="Book Antiqua"/>
          <w:color w:val="000000" w:themeColor="text1"/>
          <w:szCs w:val="24"/>
        </w:rPr>
        <w:t xml:space="preserve">with fewer </w:t>
      </w:r>
      <w:proofErr w:type="spellStart"/>
      <w:r w:rsidR="00420608" w:rsidRPr="000D70CA">
        <w:rPr>
          <w:rFonts w:ascii="Book Antiqua" w:hAnsi="Book Antiqua"/>
          <w:color w:val="000000" w:themeColor="text1"/>
          <w:szCs w:val="24"/>
        </w:rPr>
        <w:t>tumours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(</w:t>
      </w:r>
      <w:r w:rsidR="001647B6" w:rsidRPr="000D70CA">
        <w:rPr>
          <w:rFonts w:ascii="Book Antiqua" w:hAnsi="Book Antiqua"/>
          <w:color w:val="000000" w:themeColor="text1"/>
          <w:szCs w:val="24"/>
        </w:rPr>
        <w:t>2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Pr="000D70CA">
        <w:rPr>
          <w:rFonts w:ascii="Book Antiqua" w:hAnsi="Book Antiqua"/>
          <w:color w:val="000000" w:themeColor="text1"/>
          <w:szCs w:val="24"/>
        </w:rPr>
        <w:t xml:space="preserve"> 5,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>0.0</w:t>
      </w:r>
      <w:r w:rsidR="001647B6" w:rsidRPr="000D70CA">
        <w:rPr>
          <w:rFonts w:ascii="Book Antiqua" w:hAnsi="Book Antiqua"/>
          <w:color w:val="000000" w:themeColor="text1"/>
          <w:szCs w:val="24"/>
        </w:rPr>
        <w:t>2</w:t>
      </w:r>
      <w:r w:rsidRPr="000D70CA">
        <w:rPr>
          <w:rFonts w:ascii="Book Antiqua" w:hAnsi="Book Antiqua"/>
          <w:color w:val="000000" w:themeColor="text1"/>
          <w:szCs w:val="24"/>
        </w:rPr>
        <w:t xml:space="preserve">). This </w:t>
      </w:r>
      <w:r w:rsidR="004A6DD8" w:rsidRPr="000D70CA">
        <w:rPr>
          <w:rFonts w:ascii="Book Antiqua" w:hAnsi="Book Antiqua"/>
          <w:color w:val="000000" w:themeColor="text1"/>
          <w:szCs w:val="24"/>
        </w:rPr>
        <w:t xml:space="preserve">probably resulted </w:t>
      </w:r>
      <w:r w:rsidR="005E350D" w:rsidRPr="000D70CA">
        <w:rPr>
          <w:rFonts w:ascii="Book Antiqua" w:hAnsi="Book Antiqua"/>
          <w:color w:val="000000" w:themeColor="text1"/>
          <w:szCs w:val="24"/>
        </w:rPr>
        <w:t>due to</w:t>
      </w:r>
      <w:r w:rsidRPr="000D70CA">
        <w:rPr>
          <w:rFonts w:ascii="Book Antiqua" w:hAnsi="Book Antiqua"/>
          <w:color w:val="000000" w:themeColor="text1"/>
          <w:szCs w:val="24"/>
        </w:rPr>
        <w:t xml:space="preserve"> selection bias. </w:t>
      </w:r>
      <w:r w:rsidR="00420608" w:rsidRPr="000D70CA">
        <w:rPr>
          <w:rFonts w:ascii="Book Antiqua" w:hAnsi="Book Antiqua"/>
          <w:color w:val="000000" w:themeColor="text1"/>
          <w:szCs w:val="24"/>
        </w:rPr>
        <w:t>C</w:t>
      </w:r>
      <w:r w:rsidRPr="000D70CA">
        <w:rPr>
          <w:rFonts w:ascii="Book Antiqua" w:hAnsi="Book Antiqua"/>
          <w:color w:val="000000" w:themeColor="text1"/>
          <w:szCs w:val="24"/>
        </w:rPr>
        <w:t xml:space="preserve">linicians could have </w:t>
      </w:r>
      <w:r w:rsidR="004A6DD8" w:rsidRPr="000D70CA">
        <w:rPr>
          <w:rFonts w:ascii="Book Antiqua" w:hAnsi="Book Antiqua"/>
          <w:color w:val="000000" w:themeColor="text1"/>
          <w:szCs w:val="24"/>
        </w:rPr>
        <w:t xml:space="preserve">avoided </w:t>
      </w:r>
      <w:r w:rsidR="00EA6B46" w:rsidRPr="000D70CA">
        <w:rPr>
          <w:rFonts w:ascii="Book Antiqua" w:hAnsi="Book Antiqua"/>
          <w:color w:val="000000" w:themeColor="text1"/>
          <w:szCs w:val="24"/>
        </w:rPr>
        <w:t>aggressive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420608" w:rsidRPr="000D70CA">
        <w:rPr>
          <w:rFonts w:ascii="Book Antiqua" w:hAnsi="Book Antiqua"/>
          <w:color w:val="000000" w:themeColor="text1"/>
          <w:szCs w:val="24"/>
        </w:rPr>
        <w:t>therapy</w:t>
      </w:r>
      <w:r w:rsidRPr="000D70CA">
        <w:rPr>
          <w:rFonts w:ascii="Book Antiqua" w:hAnsi="Book Antiqua"/>
          <w:color w:val="000000" w:themeColor="text1"/>
          <w:szCs w:val="24"/>
        </w:rPr>
        <w:t xml:space="preserve"> in patients with widespread disease </w:t>
      </w:r>
      <w:r w:rsidR="005E350D" w:rsidRPr="000D70CA">
        <w:rPr>
          <w:rFonts w:ascii="Book Antiqua" w:hAnsi="Book Antiqua"/>
          <w:color w:val="000000" w:themeColor="text1"/>
          <w:szCs w:val="24"/>
        </w:rPr>
        <w:t>due to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4A6DD8" w:rsidRPr="000D70CA">
        <w:rPr>
          <w:rFonts w:ascii="Book Antiqua" w:hAnsi="Book Antiqua"/>
          <w:color w:val="000000" w:themeColor="text1"/>
          <w:szCs w:val="24"/>
        </w:rPr>
        <w:t xml:space="preserve">fear </w:t>
      </w:r>
      <w:r w:rsidRPr="000D70CA">
        <w:rPr>
          <w:rFonts w:ascii="Book Antiqua" w:hAnsi="Book Antiqua"/>
          <w:color w:val="000000" w:themeColor="text1"/>
          <w:szCs w:val="24"/>
        </w:rPr>
        <w:t xml:space="preserve">of futility. This </w:t>
      </w:r>
      <w:r w:rsidR="00420608" w:rsidRPr="000D70CA">
        <w:rPr>
          <w:rFonts w:ascii="Book Antiqua" w:hAnsi="Book Antiqua"/>
          <w:color w:val="000000" w:themeColor="text1"/>
          <w:szCs w:val="24"/>
        </w:rPr>
        <w:t xml:space="preserve">also </w:t>
      </w:r>
      <w:r w:rsidR="004A6DD8" w:rsidRPr="000D70CA">
        <w:rPr>
          <w:rFonts w:ascii="Book Antiqua" w:hAnsi="Book Antiqua"/>
          <w:color w:val="000000" w:themeColor="text1"/>
          <w:szCs w:val="24"/>
        </w:rPr>
        <w:t>explained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4A6DD8" w:rsidRPr="000D70CA">
        <w:rPr>
          <w:rFonts w:ascii="Book Antiqua" w:hAnsi="Book Antiqua"/>
          <w:color w:val="000000" w:themeColor="text1"/>
          <w:szCs w:val="24"/>
        </w:rPr>
        <w:t>why more</w:t>
      </w:r>
      <w:r w:rsidRPr="000D70CA">
        <w:rPr>
          <w:rFonts w:ascii="Book Antiqua" w:hAnsi="Book Antiqua"/>
          <w:color w:val="000000" w:themeColor="text1"/>
          <w:szCs w:val="24"/>
        </w:rPr>
        <w:t xml:space="preserve"> patients in the control group rece</w:t>
      </w:r>
      <w:r w:rsidR="00420608" w:rsidRPr="000D70CA">
        <w:rPr>
          <w:rFonts w:ascii="Book Antiqua" w:hAnsi="Book Antiqua"/>
          <w:color w:val="000000" w:themeColor="text1"/>
          <w:szCs w:val="24"/>
        </w:rPr>
        <w:t>ived</w:t>
      </w:r>
      <w:r w:rsidRPr="000D70CA">
        <w:rPr>
          <w:rFonts w:ascii="Book Antiqua" w:hAnsi="Book Antiqua"/>
          <w:color w:val="000000" w:themeColor="text1"/>
          <w:szCs w:val="24"/>
        </w:rPr>
        <w:t xml:space="preserve"> supportive treatment (4</w:t>
      </w:r>
      <w:r w:rsidR="004A6DD8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>vs</w:t>
      </w:r>
      <w:r w:rsidRPr="000D70CA">
        <w:rPr>
          <w:rFonts w:ascii="Book Antiqua" w:hAnsi="Book Antiqua"/>
          <w:color w:val="000000" w:themeColor="text1"/>
          <w:szCs w:val="24"/>
        </w:rPr>
        <w:t xml:space="preserve"> 3</w:t>
      </w:r>
      <w:r w:rsidR="001647B6" w:rsidRPr="000D70CA">
        <w:rPr>
          <w:rFonts w:ascii="Book Antiqua" w:hAnsi="Book Antiqua"/>
          <w:color w:val="000000" w:themeColor="text1"/>
          <w:szCs w:val="24"/>
        </w:rPr>
        <w:t>6</w:t>
      </w:r>
      <w:r w:rsidRPr="000D70CA">
        <w:rPr>
          <w:rFonts w:ascii="Book Antiqua" w:hAnsi="Book Antiqua"/>
          <w:color w:val="000000" w:themeColor="text1"/>
          <w:szCs w:val="24"/>
        </w:rPr>
        <w:t xml:space="preserve">%, </w:t>
      </w:r>
      <w:r w:rsidR="00AF289B" w:rsidRPr="000D70CA">
        <w:rPr>
          <w:rFonts w:ascii="Book Antiqua" w:hAnsi="Book Antiqua"/>
          <w:i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color w:val="000000" w:themeColor="text1"/>
          <w:szCs w:val="24"/>
        </w:rPr>
        <w:t>&lt;</w:t>
      </w:r>
      <w:r w:rsidR="00AF289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>0.001).</w:t>
      </w:r>
      <w:r w:rsidR="005B32A5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07706" w:rsidRPr="000D70CA">
        <w:rPr>
          <w:rFonts w:ascii="Book Antiqua" w:hAnsi="Book Antiqua"/>
          <w:color w:val="000000" w:themeColor="text1"/>
          <w:szCs w:val="24"/>
        </w:rPr>
        <w:t xml:space="preserve">Last but not least, </w:t>
      </w:r>
      <w:proofErr w:type="spellStart"/>
      <w:r w:rsidR="00207706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207706" w:rsidRPr="000D70CA">
        <w:rPr>
          <w:rFonts w:ascii="Book Antiqua" w:hAnsi="Book Antiqua"/>
          <w:color w:val="000000" w:themeColor="text1"/>
          <w:szCs w:val="24"/>
        </w:rPr>
        <w:t xml:space="preserve"> inhibitors were used with reduced or spared CNI</w:t>
      </w:r>
      <w:r w:rsidR="000F102D" w:rsidRPr="000D70CA">
        <w:rPr>
          <w:rFonts w:ascii="Book Antiqua" w:hAnsi="Book Antiqua"/>
          <w:color w:val="000000" w:themeColor="text1"/>
          <w:szCs w:val="24"/>
        </w:rPr>
        <w:t xml:space="preserve">, which could have contributed to their protective </w:t>
      </w:r>
      <w:proofErr w:type="gramStart"/>
      <w:r w:rsidR="000F102D" w:rsidRPr="000D70CA">
        <w:rPr>
          <w:rFonts w:ascii="Book Antiqua" w:hAnsi="Book Antiqua"/>
          <w:color w:val="000000" w:themeColor="text1"/>
          <w:szCs w:val="24"/>
        </w:rPr>
        <w:t>effect</w:t>
      </w:r>
      <w:r w:rsidR="00AF289B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207706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2,3</w:t>
      </w:r>
      <w:r w:rsidR="00AF289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207706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077B33" w:rsidRPr="000D70CA">
        <w:rPr>
          <w:rFonts w:ascii="Book Antiqua" w:hAnsi="Book Antiqua"/>
          <w:color w:val="000000" w:themeColor="text1"/>
          <w:szCs w:val="24"/>
        </w:rPr>
        <w:t xml:space="preserve">Therefore, </w:t>
      </w:r>
      <w:r w:rsidR="00077B33" w:rsidRPr="000D70CA">
        <w:rPr>
          <w:rFonts w:ascii="Book Antiqua" w:hAnsi="Book Antiqua"/>
          <w:color w:val="000000" w:themeColor="text1"/>
          <w:szCs w:val="24"/>
        </w:rPr>
        <w:lastRenderedPageBreak/>
        <w:t>s</w:t>
      </w:r>
      <w:r w:rsidR="005B32A5" w:rsidRPr="000D70CA">
        <w:rPr>
          <w:rFonts w:ascii="Book Antiqua" w:hAnsi="Book Antiqua"/>
          <w:color w:val="000000" w:themeColor="text1"/>
          <w:szCs w:val="24"/>
        </w:rPr>
        <w:t xml:space="preserve">urvival </w:t>
      </w:r>
      <w:r w:rsidR="004A6DD8" w:rsidRPr="000D70CA">
        <w:rPr>
          <w:rFonts w:ascii="Book Antiqua" w:hAnsi="Book Antiqua"/>
          <w:color w:val="000000" w:themeColor="text1"/>
          <w:szCs w:val="24"/>
        </w:rPr>
        <w:t>association</w:t>
      </w:r>
      <w:r w:rsidR="005B32A5" w:rsidRPr="000D70CA">
        <w:rPr>
          <w:rFonts w:ascii="Book Antiqua" w:hAnsi="Book Antiqua"/>
          <w:color w:val="000000" w:themeColor="text1"/>
          <w:szCs w:val="24"/>
        </w:rPr>
        <w:t>s were</w:t>
      </w:r>
      <w:r w:rsidR="004A6DD8" w:rsidRPr="000D70CA">
        <w:rPr>
          <w:rFonts w:ascii="Book Antiqua" w:hAnsi="Book Antiqua"/>
          <w:color w:val="000000" w:themeColor="text1"/>
          <w:szCs w:val="24"/>
        </w:rPr>
        <w:t xml:space="preserve"> estimated using multivariate </w:t>
      </w:r>
      <w:r w:rsidR="005E350D" w:rsidRPr="000D70CA">
        <w:rPr>
          <w:rFonts w:ascii="Book Antiqua" w:hAnsi="Book Antiqua"/>
          <w:color w:val="000000" w:themeColor="text1"/>
          <w:szCs w:val="24"/>
        </w:rPr>
        <w:t>C</w:t>
      </w:r>
      <w:r w:rsidR="004A6DD8" w:rsidRPr="000D70CA">
        <w:rPr>
          <w:rFonts w:ascii="Book Antiqua" w:hAnsi="Book Antiqua"/>
          <w:color w:val="000000" w:themeColor="text1"/>
          <w:szCs w:val="24"/>
        </w:rPr>
        <w:t xml:space="preserve">ox regression taking into account </w:t>
      </w:r>
      <w:r w:rsidR="005B32A5" w:rsidRPr="000D70CA">
        <w:rPr>
          <w:rFonts w:ascii="Book Antiqua" w:hAnsi="Book Antiqua"/>
          <w:color w:val="000000" w:themeColor="text1"/>
          <w:szCs w:val="24"/>
        </w:rPr>
        <w:t xml:space="preserve">these </w:t>
      </w:r>
      <w:r w:rsidR="005C11D5" w:rsidRPr="000D70CA">
        <w:rPr>
          <w:rFonts w:ascii="Book Antiqua" w:hAnsi="Book Antiqua"/>
          <w:color w:val="000000" w:themeColor="text1"/>
          <w:szCs w:val="24"/>
        </w:rPr>
        <w:t>potential confounders</w:t>
      </w:r>
      <w:r w:rsidR="004A6DD8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5E350D" w:rsidRPr="000D70CA">
        <w:rPr>
          <w:rFonts w:ascii="Book Antiqua" w:hAnsi="Book Antiqua"/>
          <w:color w:val="000000" w:themeColor="text1"/>
          <w:szCs w:val="24"/>
        </w:rPr>
        <w:t>O</w:t>
      </w:r>
      <w:r w:rsidR="00420608" w:rsidRPr="000D70CA">
        <w:rPr>
          <w:rFonts w:ascii="Book Antiqua" w:hAnsi="Book Antiqua"/>
          <w:color w:val="000000" w:themeColor="text1"/>
          <w:szCs w:val="24"/>
        </w:rPr>
        <w:t>ur results</w:t>
      </w:r>
      <w:r w:rsidR="005E350D" w:rsidRPr="000D70CA">
        <w:rPr>
          <w:rFonts w:ascii="Book Antiqua" w:hAnsi="Book Antiqua"/>
          <w:color w:val="000000" w:themeColor="text1"/>
          <w:szCs w:val="24"/>
        </w:rPr>
        <w:t xml:space="preserve"> showed that</w:t>
      </w:r>
      <w:r w:rsidR="00420608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420608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420608" w:rsidRPr="000D70CA">
        <w:rPr>
          <w:rFonts w:ascii="Book Antiqua" w:hAnsi="Book Antiqua"/>
          <w:color w:val="000000" w:themeColor="text1"/>
          <w:szCs w:val="24"/>
        </w:rPr>
        <w:t xml:space="preserve"> inhibitor maintained a robust</w:t>
      </w:r>
      <w:r w:rsidR="00207706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420608" w:rsidRPr="000D70CA">
        <w:rPr>
          <w:rFonts w:ascii="Book Antiqua" w:hAnsi="Book Antiqua"/>
          <w:color w:val="000000" w:themeColor="text1"/>
          <w:szCs w:val="24"/>
        </w:rPr>
        <w:t xml:space="preserve">association with improved survival. </w:t>
      </w:r>
      <w:r w:rsidR="000F102D" w:rsidRPr="000D70CA">
        <w:rPr>
          <w:rFonts w:ascii="Book Antiqua" w:hAnsi="Book Antiqua"/>
          <w:color w:val="000000" w:themeColor="text1"/>
          <w:szCs w:val="24"/>
        </w:rPr>
        <w:t>Data suggested</w:t>
      </w:r>
      <w:r w:rsidR="00207706" w:rsidRPr="000D70CA">
        <w:rPr>
          <w:rFonts w:ascii="Book Antiqua" w:hAnsi="Book Antiqua"/>
          <w:color w:val="000000" w:themeColor="text1"/>
          <w:szCs w:val="24"/>
        </w:rPr>
        <w:t xml:space="preserve"> tha</w:t>
      </w:r>
      <w:r w:rsidR="000F102D" w:rsidRPr="000D70CA">
        <w:rPr>
          <w:rFonts w:ascii="Book Antiqua" w:hAnsi="Book Antiqua"/>
          <w:color w:val="000000" w:themeColor="text1"/>
          <w:szCs w:val="24"/>
        </w:rPr>
        <w:t xml:space="preserve">t the oncological advantages of </w:t>
      </w:r>
      <w:proofErr w:type="spellStart"/>
      <w:r w:rsidR="00207706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207706" w:rsidRPr="000D70CA">
        <w:rPr>
          <w:rFonts w:ascii="Book Antiqua" w:hAnsi="Book Antiqua"/>
          <w:color w:val="000000" w:themeColor="text1"/>
          <w:szCs w:val="24"/>
        </w:rPr>
        <w:t xml:space="preserve"> inhibitors </w:t>
      </w:r>
      <w:r w:rsidR="000F102D" w:rsidRPr="000D70CA">
        <w:rPr>
          <w:rFonts w:ascii="Book Antiqua" w:hAnsi="Book Antiqua"/>
          <w:color w:val="000000" w:themeColor="text1"/>
          <w:szCs w:val="24"/>
        </w:rPr>
        <w:t xml:space="preserve">in patients with post-transplant HCC recurrence </w:t>
      </w:r>
      <w:r w:rsidR="00207706" w:rsidRPr="000D70CA">
        <w:rPr>
          <w:rFonts w:ascii="Book Antiqua" w:hAnsi="Book Antiqua"/>
          <w:color w:val="000000" w:themeColor="text1"/>
          <w:szCs w:val="24"/>
        </w:rPr>
        <w:t>w</w:t>
      </w:r>
      <w:r w:rsidR="000F102D" w:rsidRPr="000D70CA">
        <w:rPr>
          <w:rFonts w:ascii="Book Antiqua" w:hAnsi="Book Antiqua"/>
          <w:color w:val="000000" w:themeColor="text1"/>
          <w:szCs w:val="24"/>
        </w:rPr>
        <w:t xml:space="preserve">ere independent </w:t>
      </w:r>
      <w:r w:rsidR="005E350D" w:rsidRPr="000D70CA">
        <w:rPr>
          <w:rFonts w:ascii="Book Antiqua" w:hAnsi="Book Antiqua"/>
          <w:color w:val="000000" w:themeColor="text1"/>
          <w:szCs w:val="24"/>
        </w:rPr>
        <w:t>of</w:t>
      </w:r>
      <w:r w:rsidR="000F102D" w:rsidRPr="000D70CA">
        <w:rPr>
          <w:rFonts w:ascii="Book Antiqua" w:hAnsi="Book Antiqua"/>
          <w:color w:val="000000" w:themeColor="text1"/>
          <w:szCs w:val="24"/>
        </w:rPr>
        <w:t xml:space="preserve"> the CNI sparing effect. T</w:t>
      </w:r>
      <w:r w:rsidR="005B32A5" w:rsidRPr="000D70CA">
        <w:rPr>
          <w:rFonts w:ascii="Book Antiqua" w:hAnsi="Book Antiqua"/>
          <w:color w:val="000000" w:themeColor="text1"/>
          <w:szCs w:val="24"/>
        </w:rPr>
        <w:t xml:space="preserve">he other clinical </w:t>
      </w:r>
      <w:r w:rsidR="009B3340" w:rsidRPr="000D70CA">
        <w:rPr>
          <w:rFonts w:ascii="Book Antiqua" w:hAnsi="Book Antiqua"/>
          <w:color w:val="000000" w:themeColor="text1"/>
          <w:szCs w:val="24"/>
        </w:rPr>
        <w:t xml:space="preserve">differences, including </w:t>
      </w:r>
      <w:r w:rsidR="001647B6" w:rsidRPr="000D70CA">
        <w:rPr>
          <w:rFonts w:ascii="Book Antiqua" w:hAnsi="Book Antiqua"/>
          <w:color w:val="000000" w:themeColor="text1"/>
          <w:szCs w:val="24"/>
        </w:rPr>
        <w:t xml:space="preserve">date of recurrence, number of recurrent </w:t>
      </w:r>
      <w:proofErr w:type="spellStart"/>
      <w:r w:rsidR="001647B6" w:rsidRPr="000D70CA">
        <w:rPr>
          <w:rFonts w:ascii="Book Antiqua" w:hAnsi="Book Antiqua"/>
          <w:color w:val="000000" w:themeColor="text1"/>
          <w:szCs w:val="24"/>
        </w:rPr>
        <w:t>tumours</w:t>
      </w:r>
      <w:proofErr w:type="spellEnd"/>
      <w:r w:rsidR="00D20324" w:rsidRPr="000D70CA">
        <w:rPr>
          <w:rFonts w:ascii="Book Antiqua" w:hAnsi="Book Antiqua"/>
          <w:color w:val="000000" w:themeColor="text1"/>
          <w:szCs w:val="24"/>
        </w:rPr>
        <w:t xml:space="preserve">, use of targeted therapy and </w:t>
      </w:r>
      <w:r w:rsidR="009B3340" w:rsidRPr="000D70CA">
        <w:rPr>
          <w:rFonts w:ascii="Book Antiqua" w:hAnsi="Book Antiqua"/>
          <w:color w:val="000000" w:themeColor="text1"/>
          <w:szCs w:val="24"/>
        </w:rPr>
        <w:t xml:space="preserve">decision </w:t>
      </w:r>
      <w:r w:rsidR="005E350D" w:rsidRPr="000D70CA">
        <w:rPr>
          <w:rFonts w:ascii="Book Antiqua" w:hAnsi="Book Antiqua"/>
          <w:color w:val="000000" w:themeColor="text1"/>
          <w:szCs w:val="24"/>
        </w:rPr>
        <w:t>for</w:t>
      </w:r>
      <w:r w:rsidR="009B3340" w:rsidRPr="000D70CA">
        <w:rPr>
          <w:rFonts w:ascii="Book Antiqua" w:hAnsi="Book Antiqua"/>
          <w:color w:val="000000" w:themeColor="text1"/>
          <w:szCs w:val="24"/>
        </w:rPr>
        <w:t xml:space="preserve"> supportive treatment,</w:t>
      </w:r>
      <w:r w:rsidR="005B32A5" w:rsidRPr="000D70CA">
        <w:rPr>
          <w:rFonts w:ascii="Book Antiqua" w:hAnsi="Book Antiqua"/>
          <w:color w:val="000000" w:themeColor="text1"/>
          <w:szCs w:val="24"/>
        </w:rPr>
        <w:t xml:space="preserve"> did not </w:t>
      </w:r>
      <w:r w:rsidR="009B3340" w:rsidRPr="000D70CA">
        <w:rPr>
          <w:rFonts w:ascii="Book Antiqua" w:hAnsi="Book Antiqua"/>
          <w:color w:val="000000" w:themeColor="text1"/>
          <w:szCs w:val="24"/>
        </w:rPr>
        <w:t>contribute to</w:t>
      </w:r>
      <w:r w:rsidR="005B32A5" w:rsidRPr="000D70CA">
        <w:rPr>
          <w:rFonts w:ascii="Book Antiqua" w:hAnsi="Book Antiqua"/>
          <w:color w:val="000000" w:themeColor="text1"/>
          <w:szCs w:val="24"/>
        </w:rPr>
        <w:t xml:space="preserve"> the </w:t>
      </w:r>
      <w:r w:rsidR="009B3340" w:rsidRPr="000D70CA">
        <w:rPr>
          <w:rFonts w:ascii="Book Antiqua" w:hAnsi="Book Antiqua"/>
          <w:color w:val="000000" w:themeColor="text1"/>
          <w:szCs w:val="24"/>
        </w:rPr>
        <w:t>disparity</w:t>
      </w:r>
      <w:r w:rsidR="005B32A5" w:rsidRPr="000D70CA">
        <w:rPr>
          <w:rFonts w:ascii="Book Antiqua" w:hAnsi="Book Antiqua"/>
          <w:color w:val="000000" w:themeColor="text1"/>
          <w:szCs w:val="24"/>
        </w:rPr>
        <w:t xml:space="preserve"> in </w:t>
      </w:r>
      <w:r w:rsidR="00963319" w:rsidRPr="000D70CA">
        <w:rPr>
          <w:rFonts w:ascii="Book Antiqua" w:hAnsi="Book Antiqua"/>
          <w:color w:val="000000" w:themeColor="text1"/>
          <w:szCs w:val="24"/>
        </w:rPr>
        <w:t>outcomes</w:t>
      </w:r>
      <w:r w:rsidR="005B32A5" w:rsidRPr="000D70CA">
        <w:rPr>
          <w:rFonts w:ascii="Book Antiqua" w:hAnsi="Book Antiqua"/>
          <w:color w:val="000000" w:themeColor="text1"/>
          <w:szCs w:val="24"/>
        </w:rPr>
        <w:t>.</w:t>
      </w:r>
    </w:p>
    <w:p w14:paraId="47CD4172" w14:textId="6F1DE9F7" w:rsidR="007F7081" w:rsidRPr="000D70CA" w:rsidRDefault="00444F54" w:rsidP="00BE6C9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3C6249" w:rsidRPr="000D70CA">
        <w:rPr>
          <w:rFonts w:ascii="Book Antiqua" w:hAnsi="Book Antiqua"/>
          <w:color w:val="000000" w:themeColor="text1"/>
          <w:szCs w:val="24"/>
        </w:rPr>
        <w:t>prognosis</w:t>
      </w:r>
      <w:r w:rsidRPr="000D70CA">
        <w:rPr>
          <w:rFonts w:ascii="Book Antiqua" w:hAnsi="Book Antiqua"/>
          <w:color w:val="000000" w:themeColor="text1"/>
          <w:szCs w:val="24"/>
        </w:rPr>
        <w:t xml:space="preserve"> after post-transplant </w:t>
      </w:r>
      <w:r w:rsidR="00A1099E" w:rsidRPr="000D70CA">
        <w:rPr>
          <w:rFonts w:ascii="Book Antiqua" w:hAnsi="Book Antiqua"/>
          <w:color w:val="000000" w:themeColor="text1"/>
          <w:szCs w:val="24"/>
        </w:rPr>
        <w:t xml:space="preserve">HCC </w:t>
      </w:r>
      <w:r w:rsidR="00BC140E" w:rsidRPr="000D70CA">
        <w:rPr>
          <w:rFonts w:ascii="Book Antiqua" w:hAnsi="Book Antiqua"/>
          <w:color w:val="000000" w:themeColor="text1"/>
          <w:szCs w:val="24"/>
        </w:rPr>
        <w:t>is</w:t>
      </w:r>
      <w:r w:rsidR="00A1099E" w:rsidRPr="000D70CA">
        <w:rPr>
          <w:rFonts w:ascii="Book Antiqua" w:hAnsi="Book Antiqua"/>
          <w:color w:val="000000" w:themeColor="text1"/>
          <w:szCs w:val="24"/>
        </w:rPr>
        <w:t xml:space="preserve"> dismal</w:t>
      </w:r>
      <w:r w:rsidR="006F0B47" w:rsidRPr="000D70CA">
        <w:rPr>
          <w:rFonts w:ascii="Book Antiqua" w:hAnsi="Book Antiqua"/>
          <w:color w:val="000000" w:themeColor="text1"/>
          <w:szCs w:val="24"/>
        </w:rPr>
        <w:t>. The median survival after recurrence range</w:t>
      </w:r>
      <w:r w:rsidR="00BC140E" w:rsidRPr="000D70CA">
        <w:rPr>
          <w:rFonts w:ascii="Book Antiqua" w:hAnsi="Book Antiqua"/>
          <w:color w:val="000000" w:themeColor="text1"/>
          <w:szCs w:val="24"/>
        </w:rPr>
        <w:t>s</w:t>
      </w:r>
      <w:r w:rsidR="006F0B47" w:rsidRPr="000D70CA">
        <w:rPr>
          <w:rFonts w:ascii="Book Antiqua" w:hAnsi="Book Antiqua"/>
          <w:color w:val="000000" w:themeColor="text1"/>
          <w:szCs w:val="24"/>
        </w:rPr>
        <w:t xml:space="preserve"> from 8 to 19 </w:t>
      </w:r>
      <w:proofErr w:type="spellStart"/>
      <w:proofErr w:type="gramStart"/>
      <w:r w:rsidR="006F0B47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r w:rsidR="005452DB" w:rsidRPr="000D70CA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19</w:t>
      </w:r>
      <w:r w:rsidR="005452DB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-</w:t>
      </w:r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21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ED7DC9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3563FB" w:rsidRPr="000D70CA">
        <w:rPr>
          <w:rFonts w:ascii="Book Antiqua" w:hAnsi="Book Antiqua"/>
          <w:color w:val="000000" w:themeColor="text1"/>
          <w:szCs w:val="24"/>
        </w:rPr>
        <w:t>Not surprisingly</w:t>
      </w:r>
      <w:r w:rsidR="00BC140E" w:rsidRPr="000D70CA">
        <w:rPr>
          <w:rFonts w:ascii="Book Antiqua" w:hAnsi="Book Antiqua"/>
          <w:color w:val="000000" w:themeColor="text1"/>
          <w:szCs w:val="24"/>
        </w:rPr>
        <w:t>,</w:t>
      </w:r>
      <w:r w:rsidR="00963319" w:rsidRPr="000D70CA">
        <w:rPr>
          <w:rFonts w:ascii="Book Antiqua" w:hAnsi="Book Antiqua"/>
          <w:color w:val="000000" w:themeColor="text1"/>
          <w:szCs w:val="24"/>
        </w:rPr>
        <w:t xml:space="preserve"> most studies</w:t>
      </w:r>
      <w:r w:rsidR="006F0B47" w:rsidRPr="000D70CA">
        <w:rPr>
          <w:rFonts w:ascii="Book Antiqua" w:hAnsi="Book Antiqua"/>
          <w:color w:val="000000" w:themeColor="text1"/>
          <w:szCs w:val="24"/>
        </w:rPr>
        <w:t xml:space="preserve"> on </w:t>
      </w:r>
      <w:proofErr w:type="spellStart"/>
      <w:r w:rsidR="006F0B47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6F0B47" w:rsidRPr="000D70CA">
        <w:rPr>
          <w:rFonts w:ascii="Book Antiqua" w:hAnsi="Book Antiqua"/>
          <w:color w:val="000000" w:themeColor="text1"/>
          <w:szCs w:val="24"/>
        </w:rPr>
        <w:t xml:space="preserve"> inhibitor</w:t>
      </w:r>
      <w:r w:rsidR="003563FB" w:rsidRPr="000D70CA">
        <w:rPr>
          <w:rFonts w:ascii="Book Antiqua" w:hAnsi="Book Antiqua"/>
          <w:color w:val="000000" w:themeColor="text1"/>
          <w:szCs w:val="24"/>
        </w:rPr>
        <w:t>s</w:t>
      </w:r>
      <w:r w:rsidR="00963319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BC140E" w:rsidRPr="000D70CA">
        <w:rPr>
          <w:rFonts w:ascii="Book Antiqua" w:hAnsi="Book Antiqua"/>
          <w:color w:val="000000" w:themeColor="text1"/>
          <w:szCs w:val="24"/>
        </w:rPr>
        <w:t xml:space="preserve">have </w:t>
      </w:r>
      <w:r w:rsidR="003760F6" w:rsidRPr="000D70CA">
        <w:rPr>
          <w:rFonts w:ascii="Book Antiqua" w:hAnsi="Book Antiqua"/>
          <w:color w:val="000000" w:themeColor="text1"/>
          <w:szCs w:val="24"/>
        </w:rPr>
        <w:t>focuse</w:t>
      </w:r>
      <w:r w:rsidR="00963319" w:rsidRPr="000D70CA">
        <w:rPr>
          <w:rFonts w:ascii="Book Antiqua" w:hAnsi="Book Antiqua"/>
          <w:color w:val="000000" w:themeColor="text1"/>
          <w:szCs w:val="24"/>
        </w:rPr>
        <w:t>d on prevent</w:t>
      </w:r>
      <w:r w:rsidR="005B4031" w:rsidRPr="000D70CA">
        <w:rPr>
          <w:rFonts w:ascii="Book Antiqua" w:hAnsi="Book Antiqua"/>
          <w:color w:val="000000" w:themeColor="text1"/>
          <w:szCs w:val="24"/>
        </w:rPr>
        <w:t xml:space="preserve">ion </w:t>
      </w:r>
      <w:r w:rsidR="00ED7DC9" w:rsidRPr="000D70CA">
        <w:rPr>
          <w:rFonts w:ascii="Book Antiqua" w:hAnsi="Book Antiqua"/>
          <w:color w:val="000000" w:themeColor="text1"/>
          <w:szCs w:val="24"/>
        </w:rPr>
        <w:t xml:space="preserve">rather than </w:t>
      </w:r>
      <w:r w:rsidR="003563FB" w:rsidRPr="000D70CA">
        <w:rPr>
          <w:rFonts w:ascii="Book Antiqua" w:hAnsi="Book Antiqua"/>
          <w:color w:val="000000" w:themeColor="text1"/>
          <w:szCs w:val="24"/>
        </w:rPr>
        <w:t>control</w:t>
      </w:r>
      <w:r w:rsidR="00ED7DC9" w:rsidRPr="000D70CA">
        <w:rPr>
          <w:rFonts w:ascii="Book Antiqua" w:hAnsi="Book Antiqua"/>
          <w:color w:val="000000" w:themeColor="text1"/>
          <w:szCs w:val="24"/>
        </w:rPr>
        <w:t xml:space="preserve"> of recurrence. The protective effect</w:t>
      </w:r>
      <w:r w:rsidRPr="000D70CA">
        <w:rPr>
          <w:rFonts w:ascii="Book Antiqua" w:hAnsi="Book Antiqua"/>
          <w:color w:val="000000" w:themeColor="text1"/>
          <w:szCs w:val="24"/>
        </w:rPr>
        <w:t>s</w:t>
      </w:r>
      <w:r w:rsidR="00ED7DC9" w:rsidRPr="000D70CA">
        <w:rPr>
          <w:rFonts w:ascii="Book Antiqua" w:hAnsi="Book Antiqua"/>
          <w:color w:val="000000" w:themeColor="text1"/>
          <w:szCs w:val="24"/>
        </w:rPr>
        <w:t xml:space="preserve"> against recurrence ha</w:t>
      </w:r>
      <w:r w:rsidRPr="000D70CA">
        <w:rPr>
          <w:rFonts w:ascii="Book Antiqua" w:hAnsi="Book Antiqua"/>
          <w:color w:val="000000" w:themeColor="text1"/>
          <w:szCs w:val="24"/>
        </w:rPr>
        <w:t>ve</w:t>
      </w:r>
      <w:r w:rsidR="00ED7DC9" w:rsidRPr="000D70CA">
        <w:rPr>
          <w:rFonts w:ascii="Book Antiqua" w:hAnsi="Book Antiqua"/>
          <w:color w:val="000000" w:themeColor="text1"/>
          <w:szCs w:val="24"/>
        </w:rPr>
        <w:t xml:space="preserve"> been illustrated by numerous </w:t>
      </w:r>
      <w:proofErr w:type="gramStart"/>
      <w:r w:rsidR="00ED7DC9" w:rsidRPr="000D70CA">
        <w:rPr>
          <w:rFonts w:ascii="Book Antiqua" w:hAnsi="Book Antiqua"/>
          <w:color w:val="000000" w:themeColor="text1"/>
          <w:szCs w:val="24"/>
        </w:rPr>
        <w:t>retrospective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  <w:lang w:eastAsia="zh-CN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6</w:t>
      </w:r>
      <w:r w:rsidR="005452DB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-</w:t>
      </w:r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10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ED7DC9" w:rsidRPr="000D70CA">
        <w:rPr>
          <w:rFonts w:ascii="Book Antiqua" w:hAnsi="Book Antiqua"/>
          <w:color w:val="000000" w:themeColor="text1"/>
          <w:szCs w:val="24"/>
        </w:rPr>
        <w:t xml:space="preserve"> and prospective stud</w:t>
      </w:r>
      <w:r w:rsidR="00AF42D6" w:rsidRPr="000D70CA">
        <w:rPr>
          <w:rFonts w:ascii="Book Antiqua" w:hAnsi="Book Antiqua"/>
          <w:color w:val="000000" w:themeColor="text1"/>
          <w:szCs w:val="24"/>
        </w:rPr>
        <w:t>ies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11,12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ED7DC9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Pr="000D70CA">
        <w:rPr>
          <w:rFonts w:ascii="Book Antiqua" w:hAnsi="Book Antiqua"/>
          <w:color w:val="000000" w:themeColor="text1"/>
          <w:szCs w:val="24"/>
        </w:rPr>
        <w:t>Interestingly,</w:t>
      </w:r>
      <w:r w:rsidR="005B4031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5B4031" w:rsidRPr="000D70CA">
        <w:rPr>
          <w:rFonts w:ascii="Book Antiqua" w:hAnsi="Book Antiqua"/>
          <w:color w:val="000000" w:themeColor="text1"/>
          <w:szCs w:val="24"/>
        </w:rPr>
        <w:t>Geissler</w:t>
      </w:r>
      <w:proofErr w:type="spellEnd"/>
      <w:r w:rsidR="005B4031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5B4031" w:rsidRPr="000D70CA">
        <w:rPr>
          <w:rFonts w:ascii="Book Antiqua" w:hAnsi="Book Antiqua"/>
          <w:i/>
          <w:iCs/>
          <w:color w:val="000000" w:themeColor="text1"/>
          <w:szCs w:val="24"/>
        </w:rPr>
        <w:t>et al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[12]</w:t>
      </w:r>
      <w:r w:rsidR="005B4031" w:rsidRPr="000D70CA">
        <w:rPr>
          <w:rFonts w:ascii="Book Antiqua" w:hAnsi="Book Antiqua"/>
          <w:color w:val="000000" w:themeColor="text1"/>
          <w:szCs w:val="24"/>
        </w:rPr>
        <w:t xml:space="preserve"> pointed out </w:t>
      </w:r>
      <w:r w:rsidRPr="000D70CA">
        <w:rPr>
          <w:rFonts w:ascii="Book Antiqua" w:hAnsi="Book Antiqua"/>
          <w:color w:val="000000" w:themeColor="text1"/>
          <w:szCs w:val="24"/>
        </w:rPr>
        <w:t xml:space="preserve">from the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SiLVER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trial </w:t>
      </w:r>
      <w:r w:rsidR="005B4031" w:rsidRPr="000D70CA">
        <w:rPr>
          <w:rFonts w:ascii="Book Antiqua" w:hAnsi="Book Antiqua"/>
          <w:color w:val="000000" w:themeColor="text1"/>
          <w:szCs w:val="24"/>
        </w:rPr>
        <w:t xml:space="preserve">that survival benefits </w:t>
      </w:r>
      <w:r w:rsidR="00BC140E" w:rsidRPr="000D70CA">
        <w:rPr>
          <w:rFonts w:ascii="Book Antiqua" w:hAnsi="Book Antiqua"/>
          <w:color w:val="000000" w:themeColor="text1"/>
          <w:szCs w:val="24"/>
        </w:rPr>
        <w:t>due to</w:t>
      </w:r>
      <w:r w:rsidR="005B4031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5B4031"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="005B4031" w:rsidRPr="000D70CA">
        <w:rPr>
          <w:rFonts w:ascii="Book Antiqua" w:hAnsi="Book Antiqua"/>
          <w:color w:val="000000" w:themeColor="text1"/>
          <w:szCs w:val="24"/>
        </w:rPr>
        <w:t xml:space="preserve"> were confined to low risk patients, as defined by those receiving </w:t>
      </w:r>
      <w:r w:rsidR="00BC140E" w:rsidRPr="000D70CA">
        <w:rPr>
          <w:rFonts w:ascii="Book Antiqua" w:hAnsi="Book Antiqua"/>
          <w:color w:val="000000" w:themeColor="text1"/>
          <w:szCs w:val="24"/>
        </w:rPr>
        <w:t xml:space="preserve">a </w:t>
      </w:r>
      <w:r w:rsidR="005B4031" w:rsidRPr="000D70CA">
        <w:rPr>
          <w:rFonts w:ascii="Book Antiqua" w:hAnsi="Book Antiqua"/>
          <w:color w:val="000000" w:themeColor="text1"/>
          <w:szCs w:val="24"/>
        </w:rPr>
        <w:t xml:space="preserve">primary transplant for </w:t>
      </w:r>
      <w:proofErr w:type="spellStart"/>
      <w:r w:rsidR="005B4031" w:rsidRPr="000D70CA">
        <w:rPr>
          <w:rFonts w:ascii="Book Antiqua" w:hAnsi="Book Antiqua"/>
          <w:color w:val="000000" w:themeColor="text1"/>
          <w:szCs w:val="24"/>
        </w:rPr>
        <w:t>tumours</w:t>
      </w:r>
      <w:proofErr w:type="spellEnd"/>
      <w:r w:rsidR="005B4031" w:rsidRPr="000D70CA">
        <w:rPr>
          <w:rFonts w:ascii="Book Antiqua" w:hAnsi="Book Antiqua"/>
          <w:color w:val="000000" w:themeColor="text1"/>
          <w:szCs w:val="24"/>
        </w:rPr>
        <w:t xml:space="preserve"> within </w:t>
      </w:r>
      <w:r w:rsidR="00BC140E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5B4031" w:rsidRPr="000D70CA">
        <w:rPr>
          <w:rFonts w:ascii="Book Antiqua" w:hAnsi="Book Antiqua"/>
          <w:color w:val="000000" w:themeColor="text1"/>
          <w:szCs w:val="24"/>
        </w:rPr>
        <w:t>Milan criteria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22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5B4031" w:rsidRPr="000D70CA">
        <w:rPr>
          <w:rFonts w:ascii="Book Antiqua" w:hAnsi="Book Antiqua"/>
          <w:color w:val="000000" w:themeColor="text1"/>
          <w:szCs w:val="24"/>
        </w:rPr>
        <w:t>.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</w:t>
      </w:r>
      <w:r w:rsidR="005B4031" w:rsidRPr="000D70CA">
        <w:rPr>
          <w:rFonts w:ascii="Book Antiqua" w:hAnsi="Book Antiqua"/>
          <w:color w:val="000000" w:themeColor="text1"/>
          <w:szCs w:val="24"/>
        </w:rPr>
        <w:t>irolimus</w:t>
      </w:r>
      <w:proofErr w:type="spellEnd"/>
      <w:r w:rsidR="005B4031" w:rsidRPr="000D70CA">
        <w:rPr>
          <w:rFonts w:ascii="Book Antiqua" w:hAnsi="Book Antiqua"/>
          <w:color w:val="000000" w:themeColor="text1"/>
          <w:szCs w:val="24"/>
        </w:rPr>
        <w:t xml:space="preserve"> was unable to alter the imminent </w:t>
      </w:r>
      <w:r w:rsidR="00A1099E" w:rsidRPr="000D70CA">
        <w:rPr>
          <w:rFonts w:ascii="Book Antiqua" w:hAnsi="Book Antiqua"/>
          <w:color w:val="000000" w:themeColor="text1"/>
          <w:szCs w:val="24"/>
        </w:rPr>
        <w:t>disease course</w:t>
      </w:r>
      <w:r w:rsidR="005B4031" w:rsidRPr="000D70CA">
        <w:rPr>
          <w:rFonts w:ascii="Book Antiqua" w:hAnsi="Book Antiqua"/>
          <w:color w:val="000000" w:themeColor="text1"/>
          <w:szCs w:val="24"/>
        </w:rPr>
        <w:t xml:space="preserve"> in patients with more advanced </w:t>
      </w:r>
      <w:proofErr w:type="spellStart"/>
      <w:r w:rsidR="005B4031" w:rsidRPr="000D70CA">
        <w:rPr>
          <w:rFonts w:ascii="Book Antiqua" w:hAnsi="Book Antiqua"/>
          <w:color w:val="000000" w:themeColor="text1"/>
          <w:szCs w:val="24"/>
        </w:rPr>
        <w:t>tumour</w:t>
      </w:r>
      <w:r w:rsidR="003C6249" w:rsidRPr="000D70CA">
        <w:rPr>
          <w:rFonts w:ascii="Book Antiqua" w:hAnsi="Book Antiqua"/>
          <w:color w:val="000000" w:themeColor="text1"/>
          <w:szCs w:val="24"/>
        </w:rPr>
        <w:t>s</w:t>
      </w:r>
      <w:proofErr w:type="spellEnd"/>
      <w:r w:rsidR="005B4031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Pr="000D70CA">
        <w:rPr>
          <w:rFonts w:ascii="Book Antiqua" w:hAnsi="Book Antiqua"/>
          <w:color w:val="000000" w:themeColor="text1"/>
          <w:szCs w:val="24"/>
        </w:rPr>
        <w:t xml:space="preserve">Along this line, </w:t>
      </w:r>
      <w:r w:rsidR="003C6249" w:rsidRPr="000D70CA">
        <w:rPr>
          <w:rFonts w:ascii="Book Antiqua" w:hAnsi="Book Antiqua"/>
          <w:color w:val="000000" w:themeColor="text1"/>
          <w:szCs w:val="24"/>
        </w:rPr>
        <w:t>the efficacy of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inhibitor</w:t>
      </w:r>
      <w:r w:rsidR="003C6249" w:rsidRPr="000D70CA">
        <w:rPr>
          <w:rFonts w:ascii="Book Antiqua" w:hAnsi="Book Antiqua"/>
          <w:color w:val="000000" w:themeColor="text1"/>
          <w:szCs w:val="24"/>
        </w:rPr>
        <w:t xml:space="preserve"> in established </w:t>
      </w:r>
      <w:r w:rsidRPr="000D70CA">
        <w:rPr>
          <w:rFonts w:ascii="Book Antiqua" w:hAnsi="Book Antiqua"/>
          <w:color w:val="000000" w:themeColor="text1"/>
          <w:szCs w:val="24"/>
        </w:rPr>
        <w:t xml:space="preserve">recurrence </w:t>
      </w:r>
      <w:r w:rsidR="003C6249" w:rsidRPr="000D70CA">
        <w:rPr>
          <w:rFonts w:ascii="Book Antiqua" w:hAnsi="Book Antiqua"/>
          <w:color w:val="000000" w:themeColor="text1"/>
          <w:szCs w:val="24"/>
        </w:rPr>
        <w:t xml:space="preserve">was questioned. </w:t>
      </w:r>
      <w:r w:rsidR="003717E8" w:rsidRPr="000D70CA">
        <w:rPr>
          <w:rFonts w:ascii="Book Antiqua" w:hAnsi="Book Antiqua"/>
          <w:color w:val="000000" w:themeColor="text1"/>
          <w:szCs w:val="24"/>
        </w:rPr>
        <w:t xml:space="preserve">This is the first report </w:t>
      </w:r>
      <w:r w:rsidR="003C6249" w:rsidRPr="000D70CA">
        <w:rPr>
          <w:rFonts w:ascii="Book Antiqua" w:hAnsi="Book Antiqua"/>
          <w:color w:val="000000" w:themeColor="text1"/>
          <w:szCs w:val="24"/>
        </w:rPr>
        <w:t xml:space="preserve">in the literature directed </w:t>
      </w:r>
      <w:r w:rsidR="00BC140E" w:rsidRPr="000D70CA">
        <w:rPr>
          <w:rFonts w:ascii="Book Antiqua" w:hAnsi="Book Antiqua"/>
          <w:color w:val="000000" w:themeColor="text1"/>
          <w:szCs w:val="24"/>
        </w:rPr>
        <w:t>at</w:t>
      </w:r>
      <w:r w:rsidR="003C6249" w:rsidRPr="000D70CA">
        <w:rPr>
          <w:rFonts w:ascii="Book Antiqua" w:hAnsi="Book Antiqua"/>
          <w:color w:val="000000" w:themeColor="text1"/>
          <w:szCs w:val="24"/>
        </w:rPr>
        <w:t xml:space="preserve"> this question</w:t>
      </w:r>
      <w:r w:rsidR="003717E8" w:rsidRPr="000D70CA">
        <w:rPr>
          <w:rFonts w:ascii="Book Antiqua" w:hAnsi="Book Antiqua"/>
          <w:color w:val="000000" w:themeColor="text1"/>
          <w:szCs w:val="24"/>
        </w:rPr>
        <w:t xml:space="preserve">. Apart from </w:t>
      </w:r>
      <w:r w:rsidR="003C6249" w:rsidRPr="000D70CA">
        <w:rPr>
          <w:rFonts w:ascii="Book Antiqua" w:hAnsi="Book Antiqua"/>
          <w:color w:val="000000" w:themeColor="text1"/>
          <w:szCs w:val="24"/>
        </w:rPr>
        <w:t xml:space="preserve">confirming the survival benefits, we reported </w:t>
      </w:r>
      <w:r w:rsidR="0029167D" w:rsidRPr="000D70CA">
        <w:rPr>
          <w:rFonts w:ascii="Book Antiqua" w:hAnsi="Book Antiqua"/>
          <w:color w:val="000000" w:themeColor="text1"/>
          <w:szCs w:val="24"/>
        </w:rPr>
        <w:t>a</w:t>
      </w:r>
      <w:r w:rsidR="00425DE2" w:rsidRPr="000D70CA">
        <w:rPr>
          <w:rFonts w:ascii="Book Antiqua" w:hAnsi="Book Antiqua"/>
          <w:color w:val="000000" w:themeColor="text1"/>
          <w:szCs w:val="24"/>
        </w:rPr>
        <w:t xml:space="preserve"> median post-recurrence survival of 2</w:t>
      </w:r>
      <w:r w:rsidR="00683934" w:rsidRPr="000D70CA">
        <w:rPr>
          <w:rFonts w:ascii="Book Antiqua" w:hAnsi="Book Antiqua"/>
          <w:color w:val="000000" w:themeColor="text1"/>
          <w:szCs w:val="24"/>
        </w:rPr>
        <w:t>1</w:t>
      </w:r>
      <w:r w:rsidR="00425DE2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proofErr w:type="gramStart"/>
      <w:r w:rsidR="00425DE2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proofErr w:type="gramEnd"/>
      <w:r w:rsidR="00425DE2" w:rsidRPr="000D70CA">
        <w:rPr>
          <w:rFonts w:ascii="Book Antiqua" w:hAnsi="Book Antiqua"/>
          <w:color w:val="000000" w:themeColor="text1"/>
          <w:szCs w:val="24"/>
        </w:rPr>
        <w:t xml:space="preserve"> associated with </w:t>
      </w:r>
      <w:proofErr w:type="spellStart"/>
      <w:r w:rsidR="00425DE2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425DE2" w:rsidRPr="000D70CA">
        <w:rPr>
          <w:rFonts w:ascii="Book Antiqua" w:hAnsi="Book Antiqua"/>
          <w:color w:val="000000" w:themeColor="text1"/>
          <w:szCs w:val="24"/>
        </w:rPr>
        <w:t xml:space="preserve"> inhibitors.</w:t>
      </w:r>
      <w:r w:rsidR="008F525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12810" w:rsidRPr="000D70CA">
        <w:rPr>
          <w:rFonts w:ascii="Book Antiqua" w:hAnsi="Book Antiqua"/>
          <w:color w:val="000000" w:themeColor="text1"/>
          <w:szCs w:val="24"/>
        </w:rPr>
        <w:t>We did not manage all post-transplant HCC recurrence</w:t>
      </w:r>
      <w:r w:rsidR="00BC140E" w:rsidRPr="000D70CA">
        <w:rPr>
          <w:rFonts w:ascii="Book Antiqua" w:hAnsi="Book Antiqua"/>
          <w:color w:val="000000" w:themeColor="text1"/>
          <w:szCs w:val="24"/>
        </w:rPr>
        <w:t>s</w:t>
      </w:r>
      <w:r w:rsidR="00E12810" w:rsidRPr="000D70CA">
        <w:rPr>
          <w:rFonts w:ascii="Book Antiqua" w:hAnsi="Book Antiqua"/>
          <w:color w:val="000000" w:themeColor="text1"/>
          <w:szCs w:val="24"/>
        </w:rPr>
        <w:t xml:space="preserve"> with palliative intent. We adapted the concept of oligo-</w:t>
      </w:r>
      <w:proofErr w:type="gramStart"/>
      <w:r w:rsidR="00E12810" w:rsidRPr="000D70CA">
        <w:rPr>
          <w:rFonts w:ascii="Book Antiqua" w:hAnsi="Book Antiqua"/>
          <w:color w:val="000000" w:themeColor="text1"/>
          <w:szCs w:val="24"/>
        </w:rPr>
        <w:t>recurrence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13,23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E12810" w:rsidRPr="000D70CA">
        <w:rPr>
          <w:rFonts w:ascii="Book Antiqua" w:hAnsi="Book Antiqua"/>
          <w:color w:val="000000" w:themeColor="text1"/>
          <w:szCs w:val="24"/>
        </w:rPr>
        <w:t xml:space="preserve">, in which patients with recurrent disease limited in number and location were given the therapeutic opportunity </w:t>
      </w:r>
      <w:r w:rsidR="00BC140E" w:rsidRPr="000D70CA">
        <w:rPr>
          <w:rFonts w:ascii="Book Antiqua" w:hAnsi="Book Antiqua"/>
          <w:color w:val="000000" w:themeColor="text1"/>
          <w:szCs w:val="24"/>
        </w:rPr>
        <w:t>of cure</w:t>
      </w:r>
      <w:r w:rsidR="00E12810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06159" w:rsidRPr="000D70CA">
        <w:rPr>
          <w:rFonts w:ascii="Book Antiqua" w:hAnsi="Book Antiqua"/>
          <w:color w:val="000000" w:themeColor="text1"/>
          <w:szCs w:val="24"/>
        </w:rPr>
        <w:t>with a</w:t>
      </w:r>
      <w:r w:rsidR="00E12810" w:rsidRPr="000D70CA">
        <w:rPr>
          <w:rFonts w:ascii="Book Antiqua" w:hAnsi="Book Antiqua"/>
          <w:color w:val="000000" w:themeColor="text1"/>
          <w:szCs w:val="24"/>
        </w:rPr>
        <w:t xml:space="preserve"> combination of systemic</w:t>
      </w:r>
      <w:r w:rsidR="00306159" w:rsidRPr="000D70CA">
        <w:rPr>
          <w:rFonts w:ascii="Book Antiqua" w:hAnsi="Book Antiqua"/>
          <w:color w:val="000000" w:themeColor="text1"/>
          <w:szCs w:val="24"/>
        </w:rPr>
        <w:t xml:space="preserve"> (including </w:t>
      </w:r>
      <w:proofErr w:type="spellStart"/>
      <w:r w:rsidR="00306159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306159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E55E2" w:rsidRPr="000D70CA">
        <w:rPr>
          <w:rFonts w:ascii="Book Antiqua" w:hAnsi="Book Antiqua"/>
          <w:color w:val="000000" w:themeColor="text1"/>
          <w:szCs w:val="24"/>
        </w:rPr>
        <w:t>blockade</w:t>
      </w:r>
      <w:r w:rsidR="00306159" w:rsidRPr="000D70CA">
        <w:rPr>
          <w:rFonts w:ascii="Book Antiqua" w:hAnsi="Book Antiqua"/>
          <w:color w:val="000000" w:themeColor="text1"/>
          <w:szCs w:val="24"/>
        </w:rPr>
        <w:t>)</w:t>
      </w:r>
      <w:r w:rsidR="00E12810" w:rsidRPr="000D70CA">
        <w:rPr>
          <w:rFonts w:ascii="Book Antiqua" w:hAnsi="Book Antiqua"/>
          <w:color w:val="000000" w:themeColor="text1"/>
          <w:szCs w:val="24"/>
        </w:rPr>
        <w:t xml:space="preserve"> and loco-regional therapy. </w:t>
      </w:r>
      <w:r w:rsidR="006F0B47" w:rsidRPr="000D70CA">
        <w:rPr>
          <w:rFonts w:ascii="Book Antiqua" w:hAnsi="Book Antiqua"/>
          <w:color w:val="000000" w:themeColor="text1"/>
          <w:szCs w:val="24"/>
        </w:rPr>
        <w:t>Twenty-</w:t>
      </w:r>
      <w:r w:rsidR="008F18D0" w:rsidRPr="000D70CA">
        <w:rPr>
          <w:rFonts w:ascii="Book Antiqua" w:hAnsi="Book Antiqua"/>
          <w:color w:val="000000" w:themeColor="text1"/>
          <w:szCs w:val="24"/>
        </w:rPr>
        <w:t>seven</w:t>
      </w:r>
      <w:r w:rsidR="006F0B47" w:rsidRPr="000D70CA">
        <w:rPr>
          <w:rFonts w:ascii="Book Antiqua" w:hAnsi="Book Antiqua"/>
          <w:color w:val="000000" w:themeColor="text1"/>
          <w:szCs w:val="24"/>
        </w:rPr>
        <w:t xml:space="preserve"> patients (3</w:t>
      </w:r>
      <w:r w:rsidR="002116C9" w:rsidRPr="000D70CA">
        <w:rPr>
          <w:rFonts w:ascii="Book Antiqua" w:hAnsi="Book Antiqua"/>
          <w:color w:val="000000" w:themeColor="text1"/>
          <w:szCs w:val="24"/>
        </w:rPr>
        <w:t>5</w:t>
      </w:r>
      <w:r w:rsidR="006F0B47" w:rsidRPr="000D70CA">
        <w:rPr>
          <w:rFonts w:ascii="Book Antiqua" w:hAnsi="Book Antiqua"/>
          <w:color w:val="000000" w:themeColor="text1"/>
          <w:szCs w:val="24"/>
        </w:rPr>
        <w:t xml:space="preserve">%) in the study arm </w:t>
      </w:r>
      <w:r w:rsidR="00306159" w:rsidRPr="000D70CA">
        <w:rPr>
          <w:rFonts w:ascii="Book Antiqua" w:hAnsi="Book Antiqua"/>
          <w:color w:val="000000" w:themeColor="text1"/>
          <w:szCs w:val="24"/>
        </w:rPr>
        <w:t>received</w:t>
      </w:r>
      <w:r w:rsidR="006F0B47" w:rsidRPr="000D70CA">
        <w:rPr>
          <w:rFonts w:ascii="Book Antiqua" w:hAnsi="Book Antiqua"/>
          <w:color w:val="000000" w:themeColor="text1"/>
          <w:szCs w:val="24"/>
        </w:rPr>
        <w:t xml:space="preserve"> curative</w:t>
      </w:r>
      <w:r w:rsidR="00306159" w:rsidRPr="000D70CA">
        <w:rPr>
          <w:rFonts w:ascii="Book Antiqua" w:hAnsi="Book Antiqua"/>
          <w:color w:val="000000" w:themeColor="text1"/>
          <w:szCs w:val="24"/>
        </w:rPr>
        <w:t xml:space="preserve"> treatment</w:t>
      </w:r>
      <w:r w:rsidR="00E967BA" w:rsidRPr="000D70CA">
        <w:rPr>
          <w:rFonts w:ascii="Book Antiqua" w:hAnsi="Book Antiqua"/>
          <w:color w:val="000000" w:themeColor="text1"/>
          <w:szCs w:val="24"/>
        </w:rPr>
        <w:t>. T</w:t>
      </w:r>
      <w:r w:rsidR="006F0B47" w:rsidRPr="000D70CA">
        <w:rPr>
          <w:rFonts w:ascii="Book Antiqua" w:hAnsi="Book Antiqua"/>
          <w:color w:val="000000" w:themeColor="text1"/>
          <w:szCs w:val="24"/>
        </w:rPr>
        <w:t>he 3-year post-recurrence survival reached 2</w:t>
      </w:r>
      <w:r w:rsidR="00123CA2" w:rsidRPr="000D70CA">
        <w:rPr>
          <w:rFonts w:ascii="Book Antiqua" w:hAnsi="Book Antiqua"/>
          <w:color w:val="000000" w:themeColor="text1"/>
          <w:szCs w:val="24"/>
        </w:rPr>
        <w:t>7.1</w:t>
      </w:r>
      <w:r w:rsidR="006F0B47" w:rsidRPr="000D70CA">
        <w:rPr>
          <w:rFonts w:ascii="Book Antiqua" w:hAnsi="Book Antiqua"/>
          <w:color w:val="000000" w:themeColor="text1"/>
          <w:szCs w:val="24"/>
        </w:rPr>
        <w:t>%</w:t>
      </w:r>
      <w:r w:rsidR="00E967BA" w:rsidRPr="000D70CA">
        <w:rPr>
          <w:rFonts w:ascii="Book Antiqua" w:hAnsi="Book Antiqua"/>
          <w:color w:val="000000" w:themeColor="text1"/>
          <w:szCs w:val="24"/>
        </w:rPr>
        <w:t xml:space="preserve"> in the entire </w:t>
      </w:r>
      <w:proofErr w:type="spellStart"/>
      <w:r w:rsidR="00E967BA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E967BA" w:rsidRPr="000D70CA">
        <w:rPr>
          <w:rFonts w:ascii="Book Antiqua" w:hAnsi="Book Antiqua"/>
          <w:color w:val="000000" w:themeColor="text1"/>
          <w:szCs w:val="24"/>
        </w:rPr>
        <w:t xml:space="preserve"> inhibitor group</w:t>
      </w:r>
      <w:r w:rsidR="00306159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BC140E" w:rsidRPr="000D70CA">
        <w:rPr>
          <w:rFonts w:ascii="Book Antiqua" w:hAnsi="Book Antiqua"/>
          <w:color w:val="000000" w:themeColor="text1"/>
          <w:szCs w:val="24"/>
        </w:rPr>
        <w:t>The r</w:t>
      </w:r>
      <w:r w:rsidR="00306159" w:rsidRPr="000D70CA">
        <w:rPr>
          <w:rFonts w:ascii="Book Antiqua" w:hAnsi="Book Antiqua"/>
          <w:color w:val="000000" w:themeColor="text1"/>
          <w:szCs w:val="24"/>
        </w:rPr>
        <w:t>esults</w:t>
      </w:r>
      <w:r w:rsidR="00E12810" w:rsidRPr="000D70CA">
        <w:rPr>
          <w:rFonts w:ascii="Book Antiqua" w:hAnsi="Book Antiqua"/>
          <w:color w:val="000000" w:themeColor="text1"/>
          <w:szCs w:val="24"/>
        </w:rPr>
        <w:t xml:space="preserve"> in this study</w:t>
      </w:r>
      <w:r w:rsidR="00306159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BC140E" w:rsidRPr="000D70CA">
        <w:rPr>
          <w:rFonts w:ascii="Book Antiqua" w:hAnsi="Book Antiqua"/>
          <w:color w:val="000000" w:themeColor="text1"/>
          <w:szCs w:val="24"/>
        </w:rPr>
        <w:t>indicate</w:t>
      </w:r>
      <w:r w:rsidR="00306159" w:rsidRPr="000D70CA">
        <w:rPr>
          <w:rFonts w:ascii="Book Antiqua" w:hAnsi="Book Antiqua"/>
          <w:color w:val="000000" w:themeColor="text1"/>
          <w:szCs w:val="24"/>
        </w:rPr>
        <w:t xml:space="preserve"> that long</w:t>
      </w:r>
      <w:r w:rsidR="00BC140E" w:rsidRPr="000D70CA">
        <w:rPr>
          <w:rFonts w:ascii="Book Antiqua" w:hAnsi="Book Antiqua"/>
          <w:color w:val="000000" w:themeColor="text1"/>
          <w:szCs w:val="24"/>
        </w:rPr>
        <w:t>-</w:t>
      </w:r>
      <w:r w:rsidR="00306159" w:rsidRPr="000D70CA">
        <w:rPr>
          <w:rFonts w:ascii="Book Antiqua" w:hAnsi="Book Antiqua"/>
          <w:color w:val="000000" w:themeColor="text1"/>
          <w:szCs w:val="24"/>
        </w:rPr>
        <w:t xml:space="preserve">term survival </w:t>
      </w:r>
      <w:r w:rsidR="00034014" w:rsidRPr="000D70CA">
        <w:rPr>
          <w:rFonts w:ascii="Book Antiqua" w:hAnsi="Book Antiqua"/>
          <w:color w:val="000000" w:themeColor="text1"/>
          <w:szCs w:val="24"/>
        </w:rPr>
        <w:t>i</w:t>
      </w:r>
      <w:r w:rsidR="006F0B47" w:rsidRPr="000D70CA">
        <w:rPr>
          <w:rFonts w:ascii="Book Antiqua" w:hAnsi="Book Antiqua"/>
          <w:color w:val="000000" w:themeColor="text1"/>
          <w:szCs w:val="24"/>
        </w:rPr>
        <w:t>s</w:t>
      </w:r>
      <w:r w:rsidR="00306159" w:rsidRPr="000D70CA">
        <w:rPr>
          <w:rFonts w:ascii="Book Antiqua" w:hAnsi="Book Antiqua"/>
          <w:color w:val="000000" w:themeColor="text1"/>
          <w:szCs w:val="24"/>
        </w:rPr>
        <w:t xml:space="preserve"> not impossible and </w:t>
      </w:r>
      <w:r w:rsidR="006F0B47" w:rsidRPr="000D70CA">
        <w:rPr>
          <w:rFonts w:ascii="Book Antiqua" w:hAnsi="Book Antiqua"/>
          <w:color w:val="000000" w:themeColor="text1"/>
          <w:szCs w:val="24"/>
        </w:rPr>
        <w:t>reinforce</w:t>
      </w:r>
      <w:r w:rsidR="00BC140E" w:rsidRPr="000D70CA">
        <w:rPr>
          <w:rFonts w:ascii="Book Antiqua" w:hAnsi="Book Antiqua"/>
          <w:color w:val="000000" w:themeColor="text1"/>
          <w:szCs w:val="24"/>
        </w:rPr>
        <w:t>s</w:t>
      </w:r>
      <w:r w:rsidR="006F0B47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306159" w:rsidRPr="000D70CA">
        <w:rPr>
          <w:rFonts w:ascii="Book Antiqua" w:hAnsi="Book Antiqua"/>
          <w:color w:val="000000" w:themeColor="text1"/>
          <w:szCs w:val="24"/>
        </w:rPr>
        <w:t>our treatment strategy.</w:t>
      </w:r>
    </w:p>
    <w:p w14:paraId="10BF479D" w14:textId="4014955C" w:rsidR="001A38AC" w:rsidRPr="000D70CA" w:rsidRDefault="004117FC" w:rsidP="00BE6C9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A</w:t>
      </w:r>
      <w:r w:rsidR="00B22957" w:rsidRPr="000D70CA">
        <w:rPr>
          <w:rFonts w:ascii="Book Antiqua" w:hAnsi="Book Antiqua"/>
          <w:color w:val="000000" w:themeColor="text1"/>
          <w:szCs w:val="24"/>
        </w:rPr>
        <w:t xml:space="preserve">nother consideration </w:t>
      </w:r>
      <w:r w:rsidR="00A11988" w:rsidRPr="000D70CA">
        <w:rPr>
          <w:rFonts w:ascii="Book Antiqua" w:hAnsi="Book Antiqua"/>
          <w:color w:val="000000" w:themeColor="text1"/>
          <w:szCs w:val="24"/>
        </w:rPr>
        <w:t>is</w:t>
      </w:r>
      <w:r w:rsidRPr="000D70CA">
        <w:rPr>
          <w:rFonts w:ascii="Book Antiqua" w:hAnsi="Book Antiqua"/>
          <w:color w:val="000000" w:themeColor="text1"/>
          <w:szCs w:val="24"/>
        </w:rPr>
        <w:t xml:space="preserve"> whether</w:t>
      </w:r>
      <w:r w:rsidR="00B22957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B22957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B22957" w:rsidRPr="000D70CA">
        <w:rPr>
          <w:rFonts w:ascii="Book Antiqua" w:hAnsi="Book Antiqua"/>
          <w:color w:val="000000" w:themeColor="text1"/>
          <w:szCs w:val="24"/>
        </w:rPr>
        <w:t xml:space="preserve"> inhibitor monotherapy</w:t>
      </w:r>
      <w:r w:rsidRPr="000D70CA">
        <w:rPr>
          <w:rFonts w:ascii="Book Antiqua" w:hAnsi="Book Antiqua"/>
          <w:color w:val="000000" w:themeColor="text1"/>
          <w:szCs w:val="24"/>
        </w:rPr>
        <w:t xml:space="preserve"> offer</w:t>
      </w:r>
      <w:r w:rsidR="00A11988" w:rsidRPr="000D70CA">
        <w:rPr>
          <w:rFonts w:ascii="Book Antiqua" w:hAnsi="Book Antiqua"/>
          <w:color w:val="000000" w:themeColor="text1"/>
          <w:szCs w:val="24"/>
        </w:rPr>
        <w:t>s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lastRenderedPageBreak/>
        <w:t xml:space="preserve">superior survival outcomes over </w:t>
      </w:r>
      <w:r w:rsidR="00B22957" w:rsidRPr="000D70CA">
        <w:rPr>
          <w:rFonts w:ascii="Book Antiqua" w:hAnsi="Book Antiqua"/>
          <w:color w:val="000000" w:themeColor="text1"/>
          <w:szCs w:val="24"/>
        </w:rPr>
        <w:t xml:space="preserve">combination with CNI. </w:t>
      </w:r>
      <w:r w:rsidR="001A38AC" w:rsidRPr="000D70CA">
        <w:rPr>
          <w:rFonts w:ascii="Book Antiqua" w:hAnsi="Book Antiqua"/>
          <w:color w:val="000000" w:themeColor="text1"/>
          <w:szCs w:val="24"/>
        </w:rPr>
        <w:t xml:space="preserve">Results from the </w:t>
      </w:r>
      <w:proofErr w:type="spellStart"/>
      <w:r w:rsidR="001A38AC" w:rsidRPr="000D70CA">
        <w:rPr>
          <w:rFonts w:ascii="Book Antiqua" w:hAnsi="Book Antiqua"/>
          <w:color w:val="000000" w:themeColor="text1"/>
          <w:szCs w:val="24"/>
        </w:rPr>
        <w:t>SiLVER</w:t>
      </w:r>
      <w:proofErr w:type="spellEnd"/>
      <w:r w:rsidR="001A38AC" w:rsidRPr="000D70CA">
        <w:rPr>
          <w:rFonts w:ascii="Book Antiqua" w:hAnsi="Book Antiqua"/>
          <w:color w:val="000000" w:themeColor="text1"/>
          <w:szCs w:val="24"/>
        </w:rPr>
        <w:t xml:space="preserve"> study </w:t>
      </w:r>
      <w:r w:rsidR="00C966DD" w:rsidRPr="000D70CA">
        <w:rPr>
          <w:rFonts w:ascii="Book Antiqua" w:hAnsi="Book Antiqua"/>
          <w:color w:val="000000" w:themeColor="text1"/>
          <w:szCs w:val="24"/>
        </w:rPr>
        <w:t xml:space="preserve">revealed that patients receiving </w:t>
      </w:r>
      <w:proofErr w:type="spellStart"/>
      <w:r w:rsidR="00C966DD"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="00C966DD" w:rsidRPr="000D70CA">
        <w:rPr>
          <w:rFonts w:ascii="Book Antiqua" w:hAnsi="Book Antiqua"/>
          <w:color w:val="000000" w:themeColor="text1"/>
          <w:szCs w:val="24"/>
        </w:rPr>
        <w:t xml:space="preserve"> monotherapy had fewer recurrences </w:t>
      </w:r>
      <w:r w:rsidRPr="000D70CA">
        <w:rPr>
          <w:rFonts w:ascii="Book Antiqua" w:hAnsi="Book Antiqua"/>
          <w:color w:val="000000" w:themeColor="text1"/>
          <w:szCs w:val="24"/>
        </w:rPr>
        <w:t xml:space="preserve">than </w:t>
      </w:r>
      <w:proofErr w:type="gramStart"/>
      <w:r w:rsidR="00C966DD" w:rsidRPr="000D70CA">
        <w:rPr>
          <w:rFonts w:ascii="Book Antiqua" w:hAnsi="Book Antiqua"/>
          <w:color w:val="000000" w:themeColor="text1"/>
          <w:szCs w:val="24"/>
        </w:rPr>
        <w:t xml:space="preserve">those </w:t>
      </w:r>
      <w:r w:rsidRPr="000D70CA">
        <w:rPr>
          <w:rFonts w:ascii="Book Antiqua" w:hAnsi="Book Antiqua"/>
          <w:color w:val="000000" w:themeColor="text1"/>
          <w:szCs w:val="24"/>
        </w:rPr>
        <w:t>receiving</w:t>
      </w:r>
      <w:r w:rsidR="00C966DD" w:rsidRPr="000D70CA">
        <w:rPr>
          <w:rFonts w:ascii="Book Antiqua" w:hAnsi="Book Antiqua"/>
          <w:color w:val="000000" w:themeColor="text1"/>
          <w:szCs w:val="24"/>
        </w:rPr>
        <w:t xml:space="preserve"> combination therapy</w:t>
      </w:r>
      <w:proofErr w:type="gramEnd"/>
      <w:r w:rsidR="00C966DD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Pr="000D70CA">
        <w:rPr>
          <w:rFonts w:ascii="Book Antiqua" w:hAnsi="Book Antiqua"/>
          <w:color w:val="000000" w:themeColor="text1"/>
          <w:szCs w:val="24"/>
        </w:rPr>
        <w:t xml:space="preserve">The major concern with </w:t>
      </w:r>
      <w:r w:rsidR="00BC140E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Pr="000D70CA">
        <w:rPr>
          <w:rFonts w:ascii="Book Antiqua" w:hAnsi="Book Antiqua"/>
          <w:color w:val="000000" w:themeColor="text1"/>
          <w:szCs w:val="24"/>
        </w:rPr>
        <w:t>CNI sparing</w:t>
      </w:r>
      <w:r w:rsidR="00A11988" w:rsidRPr="000D70CA">
        <w:rPr>
          <w:rFonts w:ascii="Book Antiqua" w:hAnsi="Book Antiqua"/>
          <w:color w:val="000000" w:themeColor="text1"/>
          <w:szCs w:val="24"/>
        </w:rPr>
        <w:t xml:space="preserve"> regime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11988" w:rsidRPr="000D70CA">
        <w:rPr>
          <w:rFonts w:ascii="Book Antiqua" w:hAnsi="Book Antiqua"/>
          <w:color w:val="000000" w:themeColor="text1"/>
          <w:szCs w:val="24"/>
        </w:rPr>
        <w:t>is the risk of</w:t>
      </w:r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A11988" w:rsidRPr="000D70CA">
        <w:rPr>
          <w:rFonts w:ascii="Book Antiqua" w:hAnsi="Book Antiqua"/>
          <w:color w:val="000000" w:themeColor="text1"/>
          <w:szCs w:val="24"/>
        </w:rPr>
        <w:t xml:space="preserve">acute rejection. </w:t>
      </w:r>
      <w:r w:rsidR="00BC140E" w:rsidRPr="000D70CA">
        <w:rPr>
          <w:rFonts w:ascii="Book Antiqua" w:hAnsi="Book Antiqua"/>
          <w:color w:val="000000" w:themeColor="text1"/>
          <w:szCs w:val="24"/>
        </w:rPr>
        <w:t>A p</w:t>
      </w:r>
      <w:r w:rsidR="00A11988" w:rsidRPr="000D70CA">
        <w:rPr>
          <w:rFonts w:ascii="Book Antiqua" w:hAnsi="Book Antiqua"/>
          <w:color w:val="000000" w:themeColor="text1"/>
          <w:szCs w:val="24"/>
        </w:rPr>
        <w:t>revious study show</w:t>
      </w:r>
      <w:r w:rsidR="00BC140E" w:rsidRPr="000D70CA">
        <w:rPr>
          <w:rFonts w:ascii="Book Antiqua" w:hAnsi="Book Antiqua"/>
          <w:color w:val="000000" w:themeColor="text1"/>
          <w:szCs w:val="24"/>
        </w:rPr>
        <w:t>ed</w:t>
      </w:r>
      <w:r w:rsidR="00A11988" w:rsidRPr="000D70CA">
        <w:rPr>
          <w:rFonts w:ascii="Book Antiqua" w:hAnsi="Book Antiqua"/>
          <w:color w:val="000000" w:themeColor="text1"/>
          <w:szCs w:val="24"/>
        </w:rPr>
        <w:t xml:space="preserve"> that </w:t>
      </w:r>
      <w:proofErr w:type="spellStart"/>
      <w:r w:rsidR="00A11988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A11988" w:rsidRPr="000D70CA">
        <w:rPr>
          <w:rFonts w:ascii="Book Antiqua" w:hAnsi="Book Antiqua"/>
          <w:color w:val="000000" w:themeColor="text1"/>
          <w:szCs w:val="24"/>
        </w:rPr>
        <w:t xml:space="preserve"> inhibitor monotherapy was associated with </w:t>
      </w:r>
      <w:r w:rsidR="00BC140E" w:rsidRPr="000D70CA">
        <w:rPr>
          <w:rFonts w:ascii="Book Antiqua" w:hAnsi="Book Antiqua"/>
          <w:color w:val="000000" w:themeColor="text1"/>
          <w:szCs w:val="24"/>
        </w:rPr>
        <w:t xml:space="preserve">a </w:t>
      </w:r>
      <w:r w:rsidR="00A11988" w:rsidRPr="000D70CA">
        <w:rPr>
          <w:rFonts w:ascii="Book Antiqua" w:hAnsi="Book Antiqua"/>
          <w:color w:val="000000" w:themeColor="text1"/>
          <w:szCs w:val="24"/>
        </w:rPr>
        <w:t>significantly higher rejection rate despite combination with CNI u</w:t>
      </w:r>
      <w:r w:rsidR="00BC140E" w:rsidRPr="000D70CA">
        <w:rPr>
          <w:rFonts w:ascii="Book Antiqua" w:hAnsi="Book Antiqua"/>
          <w:color w:val="000000" w:themeColor="text1"/>
          <w:szCs w:val="24"/>
        </w:rPr>
        <w:t>p to</w:t>
      </w:r>
      <w:r w:rsidR="00A11988" w:rsidRPr="000D70CA">
        <w:rPr>
          <w:rFonts w:ascii="Book Antiqua" w:hAnsi="Book Antiqua"/>
          <w:color w:val="000000" w:themeColor="text1"/>
          <w:szCs w:val="24"/>
        </w:rPr>
        <w:t xml:space="preserve"> 4</w:t>
      </w:r>
      <w:r w:rsidR="00F65509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A11988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r w:rsidR="00A11988" w:rsidRPr="000D70CA">
        <w:rPr>
          <w:rFonts w:ascii="Book Antiqua" w:hAnsi="Book Antiqua"/>
          <w:color w:val="000000" w:themeColor="text1"/>
          <w:szCs w:val="24"/>
        </w:rPr>
        <w:t xml:space="preserve"> after </w:t>
      </w:r>
      <w:proofErr w:type="gramStart"/>
      <w:r w:rsidR="00A11988" w:rsidRPr="000D70CA">
        <w:rPr>
          <w:rFonts w:ascii="Book Antiqua" w:hAnsi="Book Antiqua"/>
          <w:color w:val="000000" w:themeColor="text1"/>
          <w:szCs w:val="24"/>
        </w:rPr>
        <w:t>transplant</w:t>
      </w:r>
      <w:r w:rsidR="00AF289B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24</w:t>
      </w:r>
      <w:r w:rsidR="00AF289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A11988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8103EB" w:rsidRPr="000D70CA">
        <w:rPr>
          <w:rFonts w:ascii="Book Antiqua" w:hAnsi="Book Antiqua"/>
          <w:color w:val="000000" w:themeColor="text1"/>
          <w:szCs w:val="24"/>
        </w:rPr>
        <w:t>R</w:t>
      </w:r>
      <w:r w:rsidR="00A11988" w:rsidRPr="000D70CA">
        <w:rPr>
          <w:rFonts w:ascii="Book Antiqua" w:hAnsi="Book Antiqua"/>
          <w:color w:val="000000" w:themeColor="text1"/>
          <w:szCs w:val="24"/>
        </w:rPr>
        <w:t xml:space="preserve">ejection might become less of a problem at the time of recurrence (median </w:t>
      </w:r>
      <w:r w:rsidR="008103EB" w:rsidRPr="000D70CA">
        <w:rPr>
          <w:rFonts w:ascii="Book Antiqua" w:hAnsi="Book Antiqua"/>
          <w:color w:val="000000" w:themeColor="text1"/>
          <w:szCs w:val="24"/>
        </w:rPr>
        <w:t xml:space="preserve">time </w:t>
      </w:r>
      <w:r w:rsidR="00A11988" w:rsidRPr="000D70CA">
        <w:rPr>
          <w:rFonts w:ascii="Book Antiqua" w:hAnsi="Book Antiqua"/>
          <w:color w:val="000000" w:themeColor="text1"/>
          <w:szCs w:val="24"/>
        </w:rPr>
        <w:t>from transplant</w:t>
      </w:r>
      <w:r w:rsidR="008103EB" w:rsidRPr="000D70CA">
        <w:rPr>
          <w:rFonts w:ascii="Book Antiqua" w:hAnsi="Book Antiqua"/>
          <w:color w:val="000000" w:themeColor="text1"/>
          <w:szCs w:val="24"/>
        </w:rPr>
        <w:t xml:space="preserve"> 12 </w:t>
      </w:r>
      <w:proofErr w:type="spellStart"/>
      <w:r w:rsidR="008103EB" w:rsidRPr="000D70CA">
        <w:rPr>
          <w:rFonts w:ascii="Book Antiqua" w:hAnsi="Book Antiqua"/>
          <w:color w:val="000000" w:themeColor="text1"/>
          <w:szCs w:val="24"/>
        </w:rPr>
        <w:t>mo</w:t>
      </w:r>
      <w:proofErr w:type="spellEnd"/>
      <w:r w:rsidR="00A11988" w:rsidRPr="000D70CA">
        <w:rPr>
          <w:rFonts w:ascii="Book Antiqua" w:hAnsi="Book Antiqua"/>
          <w:color w:val="000000" w:themeColor="text1"/>
          <w:szCs w:val="24"/>
        </w:rPr>
        <w:t>)</w:t>
      </w:r>
      <w:r w:rsidR="008103EB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322AD9" w:rsidRPr="000D70CA">
        <w:rPr>
          <w:rFonts w:ascii="Book Antiqua" w:hAnsi="Book Antiqua"/>
          <w:color w:val="000000" w:themeColor="text1"/>
          <w:szCs w:val="24"/>
        </w:rPr>
        <w:t>Our study results were produced with a case mix of monotherapy and combination therapy. Two</w:t>
      </w:r>
      <w:r w:rsidR="00D07586" w:rsidRPr="000D70CA">
        <w:rPr>
          <w:rFonts w:ascii="Book Antiqua" w:hAnsi="Book Antiqua"/>
          <w:color w:val="000000" w:themeColor="text1"/>
          <w:szCs w:val="24"/>
        </w:rPr>
        <w:t xml:space="preserve"> episodes of biopsy proven acute rejection occurred in the combination therapy group</w:t>
      </w:r>
      <w:r w:rsidR="009F3091" w:rsidRPr="000D70CA">
        <w:rPr>
          <w:rFonts w:ascii="Book Antiqua" w:hAnsi="Book Antiqua"/>
          <w:color w:val="000000" w:themeColor="text1"/>
          <w:szCs w:val="24"/>
        </w:rPr>
        <w:t xml:space="preserve"> and none occurred in the monotherapy group</w:t>
      </w:r>
      <w:r w:rsidR="00D07586" w:rsidRPr="000D70CA">
        <w:rPr>
          <w:rFonts w:ascii="Book Antiqua" w:hAnsi="Book Antiqua"/>
          <w:color w:val="000000" w:themeColor="text1"/>
          <w:szCs w:val="24"/>
        </w:rPr>
        <w:t xml:space="preserve">. However, </w:t>
      </w:r>
      <w:r w:rsidR="00C8260A" w:rsidRPr="000D70CA">
        <w:rPr>
          <w:rFonts w:ascii="Book Antiqua" w:hAnsi="Book Antiqua"/>
          <w:color w:val="000000" w:themeColor="text1"/>
          <w:szCs w:val="24"/>
        </w:rPr>
        <w:t xml:space="preserve">we did not perform protocol biopsy and mild episodes of rejection </w:t>
      </w:r>
      <w:r w:rsidR="002242F1" w:rsidRPr="000D70CA">
        <w:rPr>
          <w:rFonts w:ascii="Book Antiqua" w:hAnsi="Book Antiqua"/>
          <w:color w:val="000000" w:themeColor="text1"/>
          <w:szCs w:val="24"/>
        </w:rPr>
        <w:t xml:space="preserve">were not </w:t>
      </w:r>
      <w:r w:rsidR="006C1EC6" w:rsidRPr="000D70CA">
        <w:rPr>
          <w:rFonts w:ascii="Book Antiqua" w:hAnsi="Book Antiqua"/>
          <w:color w:val="000000" w:themeColor="text1"/>
          <w:szCs w:val="24"/>
        </w:rPr>
        <w:t>studied</w:t>
      </w:r>
      <w:r w:rsidR="00C8260A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2242F1" w:rsidRPr="000D70CA">
        <w:rPr>
          <w:rFonts w:ascii="Book Antiqua" w:hAnsi="Book Antiqua"/>
          <w:color w:val="000000" w:themeColor="text1"/>
          <w:szCs w:val="24"/>
        </w:rPr>
        <w:t>G</w:t>
      </w:r>
      <w:r w:rsidR="00D07586" w:rsidRPr="000D70CA">
        <w:rPr>
          <w:rFonts w:ascii="Book Antiqua" w:hAnsi="Book Antiqua"/>
          <w:color w:val="000000" w:themeColor="text1"/>
          <w:szCs w:val="24"/>
        </w:rPr>
        <w:t>iven the low incidence of acute rejection</w:t>
      </w:r>
      <w:r w:rsidR="00BC140E" w:rsidRPr="000D70CA">
        <w:rPr>
          <w:rFonts w:ascii="Book Antiqua" w:hAnsi="Book Antiqua"/>
          <w:color w:val="000000" w:themeColor="text1"/>
          <w:szCs w:val="24"/>
        </w:rPr>
        <w:t xml:space="preserve">, </w:t>
      </w:r>
      <w:r w:rsidR="00D07586" w:rsidRPr="000D70CA">
        <w:rPr>
          <w:rFonts w:ascii="Book Antiqua" w:hAnsi="Book Antiqua"/>
          <w:color w:val="000000" w:themeColor="text1"/>
          <w:szCs w:val="24"/>
        </w:rPr>
        <w:t xml:space="preserve">the current study </w:t>
      </w:r>
      <w:r w:rsidR="00AD0189" w:rsidRPr="000D70CA">
        <w:rPr>
          <w:rFonts w:ascii="Book Antiqua" w:hAnsi="Book Antiqua"/>
          <w:color w:val="000000" w:themeColor="text1"/>
          <w:szCs w:val="24"/>
        </w:rPr>
        <w:t xml:space="preserve">would </w:t>
      </w:r>
      <w:r w:rsidR="00621EBF" w:rsidRPr="000D70CA">
        <w:rPr>
          <w:rFonts w:ascii="Book Antiqua" w:hAnsi="Book Antiqua"/>
          <w:color w:val="000000" w:themeColor="text1"/>
          <w:szCs w:val="24"/>
        </w:rPr>
        <w:t>be</w:t>
      </w:r>
      <w:r w:rsidR="00D07586" w:rsidRPr="000D70CA">
        <w:rPr>
          <w:rFonts w:ascii="Book Antiqua" w:hAnsi="Book Antiqua"/>
          <w:color w:val="000000" w:themeColor="text1"/>
          <w:szCs w:val="24"/>
        </w:rPr>
        <w:t xml:space="preserve"> underpowered to detect any differences. </w:t>
      </w:r>
      <w:r w:rsidR="0081501C" w:rsidRPr="000D70CA">
        <w:rPr>
          <w:rFonts w:ascii="Book Antiqua" w:hAnsi="Book Antiqua"/>
          <w:color w:val="000000" w:themeColor="text1"/>
          <w:szCs w:val="24"/>
        </w:rPr>
        <w:t>Th</w:t>
      </w:r>
      <w:r w:rsidR="00E10F23" w:rsidRPr="000D70CA">
        <w:rPr>
          <w:rFonts w:ascii="Book Antiqua" w:hAnsi="Book Antiqua"/>
          <w:color w:val="000000" w:themeColor="text1"/>
          <w:szCs w:val="24"/>
        </w:rPr>
        <w:t>e sample size might well be insufficient to study any differences in survival</w:t>
      </w:r>
      <w:r w:rsidR="0081501C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D07586" w:rsidRPr="000D70CA">
        <w:rPr>
          <w:rFonts w:ascii="Book Antiqua" w:hAnsi="Book Antiqua"/>
          <w:color w:val="000000" w:themeColor="text1"/>
          <w:szCs w:val="24"/>
        </w:rPr>
        <w:t xml:space="preserve">We </w:t>
      </w:r>
      <w:proofErr w:type="spellStart"/>
      <w:r w:rsidR="00D6003A" w:rsidRPr="000D70CA">
        <w:rPr>
          <w:rFonts w:ascii="Book Antiqua" w:hAnsi="Book Antiqua"/>
          <w:color w:val="000000" w:themeColor="text1"/>
          <w:szCs w:val="24"/>
        </w:rPr>
        <w:t>c</w:t>
      </w:r>
      <w:r w:rsidR="00BC140E" w:rsidRPr="000D70CA">
        <w:rPr>
          <w:rFonts w:ascii="Book Antiqua" w:hAnsi="Book Antiqua"/>
          <w:color w:val="000000" w:themeColor="text1"/>
          <w:szCs w:val="24"/>
        </w:rPr>
        <w:t>an</w:t>
      </w:r>
      <w:r w:rsidR="00D6003A" w:rsidRPr="000D70CA">
        <w:rPr>
          <w:rFonts w:ascii="Book Antiqua" w:hAnsi="Book Antiqua"/>
          <w:color w:val="000000" w:themeColor="text1"/>
          <w:szCs w:val="24"/>
        </w:rPr>
        <w:t xml:space="preserve"> not</w:t>
      </w:r>
      <w:proofErr w:type="spellEnd"/>
      <w:r w:rsidR="00D07586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BC140E" w:rsidRPr="000D70CA">
        <w:rPr>
          <w:rFonts w:ascii="Book Antiqua" w:hAnsi="Book Antiqua"/>
          <w:color w:val="000000" w:themeColor="text1"/>
          <w:szCs w:val="24"/>
        </w:rPr>
        <w:t>provide</w:t>
      </w:r>
      <w:r w:rsidR="00D90309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1C3F15" w:rsidRPr="000D70CA">
        <w:rPr>
          <w:rFonts w:ascii="Book Antiqua" w:hAnsi="Book Antiqua"/>
          <w:color w:val="000000" w:themeColor="text1"/>
          <w:szCs w:val="24"/>
        </w:rPr>
        <w:t>any recommendation</w:t>
      </w:r>
      <w:r w:rsidR="00E83878" w:rsidRPr="000D70CA">
        <w:rPr>
          <w:rFonts w:ascii="Book Antiqua" w:hAnsi="Book Antiqua"/>
          <w:color w:val="000000" w:themeColor="text1"/>
          <w:szCs w:val="24"/>
        </w:rPr>
        <w:t>s</w:t>
      </w:r>
      <w:r w:rsidR="001C3F15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E83878" w:rsidRPr="000D70CA">
        <w:rPr>
          <w:rFonts w:ascii="Book Antiqua" w:hAnsi="Book Antiqua"/>
          <w:color w:val="000000" w:themeColor="text1"/>
          <w:szCs w:val="24"/>
        </w:rPr>
        <w:t>regarding</w:t>
      </w:r>
      <w:r w:rsidR="001C3F15" w:rsidRPr="000D70CA">
        <w:rPr>
          <w:rFonts w:ascii="Book Antiqua" w:hAnsi="Book Antiqua"/>
          <w:color w:val="000000" w:themeColor="text1"/>
          <w:szCs w:val="24"/>
        </w:rPr>
        <w:t xml:space="preserve"> monotherapy </w:t>
      </w:r>
      <w:r w:rsidR="00FA67C0" w:rsidRPr="000D70CA">
        <w:rPr>
          <w:rFonts w:ascii="Book Antiqua" w:hAnsi="Book Antiqua"/>
          <w:color w:val="000000" w:themeColor="text1"/>
          <w:szCs w:val="24"/>
        </w:rPr>
        <w:t>versus</w:t>
      </w:r>
      <w:r w:rsidR="001C3F15" w:rsidRPr="000D70CA">
        <w:rPr>
          <w:rFonts w:ascii="Book Antiqua" w:hAnsi="Book Antiqua"/>
          <w:color w:val="000000" w:themeColor="text1"/>
          <w:szCs w:val="24"/>
        </w:rPr>
        <w:t xml:space="preserve"> combination therapy</w:t>
      </w:r>
      <w:r w:rsidR="00A11988" w:rsidRPr="000D70CA">
        <w:rPr>
          <w:rFonts w:ascii="Book Antiqua" w:hAnsi="Book Antiqua"/>
          <w:color w:val="000000" w:themeColor="text1"/>
          <w:szCs w:val="24"/>
        </w:rPr>
        <w:t>.</w:t>
      </w:r>
    </w:p>
    <w:p w14:paraId="203D39BB" w14:textId="2C119BA4" w:rsidR="004A3706" w:rsidRPr="000D70CA" w:rsidRDefault="003563FB" w:rsidP="00BE6C9D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>T</w:t>
      </w:r>
      <w:r w:rsidR="000B1DD6" w:rsidRPr="000D70CA">
        <w:rPr>
          <w:rFonts w:ascii="Book Antiqua" w:hAnsi="Book Antiqua"/>
          <w:color w:val="000000" w:themeColor="text1"/>
          <w:szCs w:val="24"/>
        </w:rPr>
        <w:t xml:space="preserve">he current study was limited </w:t>
      </w:r>
      <w:r w:rsidR="00B52007" w:rsidRPr="000D70CA">
        <w:rPr>
          <w:rFonts w:ascii="Book Antiqua" w:hAnsi="Book Antiqua"/>
          <w:color w:val="000000" w:themeColor="text1"/>
          <w:szCs w:val="24"/>
        </w:rPr>
        <w:t xml:space="preserve">by its retrospective nature. Selection bias was inevitable. </w:t>
      </w:r>
      <w:r w:rsidR="00F90DBD" w:rsidRPr="000D70CA">
        <w:rPr>
          <w:rFonts w:ascii="Book Antiqua" w:hAnsi="Book Antiqua"/>
          <w:color w:val="000000" w:themeColor="text1"/>
          <w:szCs w:val="24"/>
        </w:rPr>
        <w:t>The non-</w:t>
      </w:r>
      <w:proofErr w:type="spellStart"/>
      <w:r w:rsidR="00F90DBD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F90DBD" w:rsidRPr="000D70CA">
        <w:rPr>
          <w:rFonts w:ascii="Book Antiqua" w:hAnsi="Book Antiqua"/>
          <w:color w:val="000000" w:themeColor="text1"/>
          <w:szCs w:val="24"/>
        </w:rPr>
        <w:t xml:space="preserve"> inhibitor group had</w:t>
      </w:r>
      <w:r w:rsidR="00FA67C0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2517A" w:rsidRPr="000D70CA">
        <w:rPr>
          <w:rFonts w:ascii="Book Antiqua" w:hAnsi="Book Antiqua"/>
          <w:color w:val="000000" w:themeColor="text1"/>
          <w:szCs w:val="24"/>
        </w:rPr>
        <w:t>modestly</w:t>
      </w:r>
      <w:r w:rsidR="00FA67C0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F90DBD" w:rsidRPr="000D70CA">
        <w:rPr>
          <w:rFonts w:ascii="Book Antiqua" w:hAnsi="Book Antiqua"/>
          <w:color w:val="000000" w:themeColor="text1"/>
          <w:szCs w:val="24"/>
        </w:rPr>
        <w:t xml:space="preserve">more advanced disease. </w:t>
      </w:r>
      <w:r w:rsidR="0041012E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C27042" w:rsidRPr="000D70CA">
        <w:rPr>
          <w:rFonts w:ascii="Book Antiqua" w:hAnsi="Book Antiqua"/>
          <w:color w:val="000000" w:themeColor="text1"/>
          <w:szCs w:val="24"/>
        </w:rPr>
        <w:t xml:space="preserve">performance status </w:t>
      </w:r>
      <w:r w:rsidR="0041012E" w:rsidRPr="000D70CA">
        <w:rPr>
          <w:rFonts w:ascii="Book Antiqua" w:hAnsi="Book Antiqua"/>
          <w:color w:val="000000" w:themeColor="text1"/>
          <w:szCs w:val="24"/>
        </w:rPr>
        <w:t xml:space="preserve">of our </w:t>
      </w:r>
      <w:r w:rsidR="0029351F" w:rsidRPr="000D70CA">
        <w:rPr>
          <w:rFonts w:ascii="Book Antiqua" w:hAnsi="Book Antiqua"/>
          <w:color w:val="000000" w:themeColor="text1"/>
          <w:szCs w:val="24"/>
        </w:rPr>
        <w:t xml:space="preserve">patients </w:t>
      </w:r>
      <w:r w:rsidR="00C5223F" w:rsidRPr="000D70CA">
        <w:rPr>
          <w:rFonts w:ascii="Book Antiqua" w:hAnsi="Book Antiqua"/>
          <w:color w:val="000000" w:themeColor="text1"/>
          <w:szCs w:val="24"/>
        </w:rPr>
        <w:t>was</w:t>
      </w:r>
      <w:r w:rsidR="0029351F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22517A" w:rsidRPr="000D70CA">
        <w:rPr>
          <w:rFonts w:ascii="Book Antiqua" w:hAnsi="Book Antiqua"/>
          <w:color w:val="000000" w:themeColor="text1"/>
          <w:szCs w:val="24"/>
        </w:rPr>
        <w:t xml:space="preserve">not </w:t>
      </w:r>
      <w:r w:rsidR="0041012E" w:rsidRPr="000D70CA">
        <w:rPr>
          <w:rFonts w:ascii="Book Antiqua" w:hAnsi="Book Antiqua"/>
          <w:color w:val="000000" w:themeColor="text1"/>
          <w:szCs w:val="24"/>
        </w:rPr>
        <w:t xml:space="preserve">quantified in </w:t>
      </w:r>
      <w:r w:rsidR="00C27042" w:rsidRPr="000D70CA">
        <w:rPr>
          <w:rFonts w:ascii="Book Antiqua" w:hAnsi="Book Antiqua"/>
          <w:color w:val="000000" w:themeColor="text1"/>
          <w:szCs w:val="24"/>
        </w:rPr>
        <w:t xml:space="preserve">our pre-existing database. </w:t>
      </w:r>
      <w:r w:rsidRPr="000D70CA">
        <w:rPr>
          <w:rFonts w:ascii="Book Antiqua" w:hAnsi="Book Antiqua"/>
          <w:color w:val="000000" w:themeColor="text1"/>
          <w:szCs w:val="24"/>
        </w:rPr>
        <w:t xml:space="preserve">Patients with </w:t>
      </w:r>
      <w:r w:rsidR="007B302F" w:rsidRPr="000D70CA">
        <w:rPr>
          <w:rFonts w:ascii="Book Antiqua" w:hAnsi="Book Antiqua"/>
          <w:color w:val="000000" w:themeColor="text1"/>
          <w:szCs w:val="24"/>
        </w:rPr>
        <w:t xml:space="preserve">inferior performance status could be poorer candidates for </w:t>
      </w:r>
      <w:proofErr w:type="spellStart"/>
      <w:r w:rsidR="007B302F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7B302F" w:rsidRPr="000D70CA">
        <w:rPr>
          <w:rFonts w:ascii="Book Antiqua" w:hAnsi="Book Antiqua"/>
          <w:color w:val="000000" w:themeColor="text1"/>
          <w:szCs w:val="24"/>
        </w:rPr>
        <w:t xml:space="preserve"> inhibitor therapy due to </w:t>
      </w:r>
      <w:r w:rsidR="008103EB" w:rsidRPr="000D70CA">
        <w:rPr>
          <w:rFonts w:ascii="Book Antiqua" w:hAnsi="Book Antiqua"/>
          <w:color w:val="000000" w:themeColor="text1"/>
          <w:szCs w:val="24"/>
        </w:rPr>
        <w:t xml:space="preserve">potential </w:t>
      </w:r>
      <w:r w:rsidR="007B302F" w:rsidRPr="000D70CA">
        <w:rPr>
          <w:rFonts w:ascii="Book Antiqua" w:hAnsi="Book Antiqua"/>
          <w:color w:val="000000" w:themeColor="text1"/>
          <w:szCs w:val="24"/>
        </w:rPr>
        <w:t>side effects.</w:t>
      </w:r>
      <w:r w:rsidR="00C27042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D02878" w:rsidRPr="000D70CA">
        <w:rPr>
          <w:rFonts w:ascii="Book Antiqua" w:hAnsi="Book Antiqua"/>
          <w:color w:val="000000" w:themeColor="text1"/>
          <w:szCs w:val="24"/>
        </w:rPr>
        <w:t>T</w:t>
      </w:r>
      <w:r w:rsidR="00F277D5" w:rsidRPr="000D70CA">
        <w:rPr>
          <w:rFonts w:ascii="Book Antiqua" w:hAnsi="Book Antiqua"/>
          <w:color w:val="000000" w:themeColor="text1"/>
          <w:szCs w:val="24"/>
        </w:rPr>
        <w:t xml:space="preserve">he decision to </w:t>
      </w:r>
      <w:r w:rsidR="00BC140E" w:rsidRPr="000D70CA">
        <w:rPr>
          <w:rFonts w:ascii="Book Antiqua" w:hAnsi="Book Antiqua"/>
          <w:color w:val="000000" w:themeColor="text1"/>
          <w:szCs w:val="24"/>
        </w:rPr>
        <w:t xml:space="preserve">administer </w:t>
      </w:r>
      <w:proofErr w:type="spellStart"/>
      <w:r w:rsidR="00F277D5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F277D5" w:rsidRPr="000D70CA">
        <w:rPr>
          <w:rFonts w:ascii="Book Antiqua" w:hAnsi="Book Antiqua"/>
          <w:color w:val="000000" w:themeColor="text1"/>
          <w:szCs w:val="24"/>
        </w:rPr>
        <w:t xml:space="preserve"> inhibitor was primarily </w:t>
      </w:r>
      <w:r w:rsidR="009353BE" w:rsidRPr="000D70CA">
        <w:rPr>
          <w:rFonts w:ascii="Book Antiqua" w:hAnsi="Book Antiqua"/>
          <w:color w:val="000000" w:themeColor="text1"/>
          <w:szCs w:val="24"/>
        </w:rPr>
        <w:t xml:space="preserve">based on </w:t>
      </w:r>
      <w:r w:rsidR="00F277D5" w:rsidRPr="000D70CA">
        <w:rPr>
          <w:rFonts w:ascii="Book Antiqua" w:hAnsi="Book Antiqua"/>
          <w:color w:val="000000" w:themeColor="text1"/>
          <w:szCs w:val="24"/>
        </w:rPr>
        <w:t>clinical</w:t>
      </w:r>
      <w:r w:rsidR="00EC3F03" w:rsidRPr="000D70CA">
        <w:rPr>
          <w:rFonts w:ascii="Book Antiqua" w:hAnsi="Book Antiqua"/>
          <w:color w:val="000000" w:themeColor="text1"/>
          <w:szCs w:val="24"/>
        </w:rPr>
        <w:t xml:space="preserve"> judgement </w:t>
      </w:r>
      <w:r w:rsidR="00BC140E" w:rsidRPr="000D70CA">
        <w:rPr>
          <w:rFonts w:ascii="Book Antiqua" w:hAnsi="Book Antiqua"/>
          <w:color w:val="000000" w:themeColor="text1"/>
          <w:szCs w:val="24"/>
        </w:rPr>
        <w:t>and was</w:t>
      </w:r>
      <w:r w:rsidR="00EC3F03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F277D5" w:rsidRPr="000D70CA">
        <w:rPr>
          <w:rFonts w:ascii="Book Antiqua" w:hAnsi="Book Antiqua"/>
          <w:color w:val="000000" w:themeColor="text1"/>
          <w:szCs w:val="24"/>
        </w:rPr>
        <w:t xml:space="preserve">not protocol driven. Our data could not </w:t>
      </w:r>
      <w:r w:rsidR="00BC140E" w:rsidRPr="000D70CA">
        <w:rPr>
          <w:rFonts w:ascii="Book Antiqua" w:hAnsi="Book Antiqua"/>
          <w:color w:val="000000" w:themeColor="text1"/>
          <w:szCs w:val="24"/>
        </w:rPr>
        <w:t>provide</w:t>
      </w:r>
      <w:r w:rsidR="00F277D5" w:rsidRPr="000D70CA">
        <w:rPr>
          <w:rFonts w:ascii="Book Antiqua" w:hAnsi="Book Antiqua"/>
          <w:color w:val="000000" w:themeColor="text1"/>
          <w:szCs w:val="24"/>
        </w:rPr>
        <w:t xml:space="preserve"> recommendations for patient selection. Results from previous studies showed that </w:t>
      </w:r>
      <w:r w:rsidR="00BC140E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proofErr w:type="spellStart"/>
      <w:r w:rsidR="00F277D5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F277D5" w:rsidRPr="000D70CA">
        <w:rPr>
          <w:rFonts w:ascii="Book Antiqua" w:hAnsi="Book Antiqua"/>
          <w:color w:val="000000" w:themeColor="text1"/>
          <w:szCs w:val="24"/>
        </w:rPr>
        <w:t xml:space="preserve"> pathway was not universally upregulated in all patients transplanted for </w:t>
      </w:r>
      <w:proofErr w:type="gramStart"/>
      <w:r w:rsidR="00F277D5" w:rsidRPr="000D70CA">
        <w:rPr>
          <w:rFonts w:ascii="Book Antiqua" w:hAnsi="Book Antiqua"/>
          <w:color w:val="000000" w:themeColor="text1"/>
          <w:szCs w:val="24"/>
        </w:rPr>
        <w:t>HCC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[</w:t>
      </w:r>
      <w:proofErr w:type="gramEnd"/>
      <w:r w:rsidR="00A228B7" w:rsidRPr="000D70CA">
        <w:rPr>
          <w:rFonts w:ascii="Book Antiqua" w:hAnsi="Book Antiqua"/>
          <w:noProof/>
          <w:color w:val="000000" w:themeColor="text1"/>
          <w:szCs w:val="24"/>
          <w:vertAlign w:val="superscript"/>
        </w:rPr>
        <w:t>25,26</w:t>
      </w:r>
      <w:r w:rsidR="005452DB" w:rsidRPr="000D70CA">
        <w:rPr>
          <w:rFonts w:ascii="Book Antiqua" w:hAnsi="Book Antiqua"/>
          <w:color w:val="000000" w:themeColor="text1"/>
          <w:szCs w:val="24"/>
          <w:vertAlign w:val="superscript"/>
        </w:rPr>
        <w:t>]</w:t>
      </w:r>
      <w:r w:rsidR="00DF23CD" w:rsidRPr="000D70CA">
        <w:rPr>
          <w:rFonts w:ascii="Book Antiqua" w:hAnsi="Book Antiqua"/>
          <w:color w:val="000000" w:themeColor="text1"/>
          <w:szCs w:val="24"/>
        </w:rPr>
        <w:t xml:space="preserve">. </w:t>
      </w:r>
      <w:r w:rsidR="00F277D5" w:rsidRPr="000D70CA">
        <w:rPr>
          <w:rFonts w:ascii="Book Antiqua" w:hAnsi="Book Antiqua"/>
          <w:color w:val="000000" w:themeColor="text1"/>
          <w:szCs w:val="24"/>
        </w:rPr>
        <w:t>Whether</w:t>
      </w:r>
      <w:r w:rsidR="00524EF1" w:rsidRPr="000D70CA">
        <w:rPr>
          <w:rFonts w:ascii="Book Antiqua" w:hAnsi="Book Antiqua"/>
          <w:color w:val="000000" w:themeColor="text1"/>
          <w:szCs w:val="24"/>
        </w:rPr>
        <w:t xml:space="preserve"> a subgroup of</w:t>
      </w:r>
      <w:r w:rsidR="00F277D5" w:rsidRPr="000D70CA">
        <w:rPr>
          <w:rFonts w:ascii="Book Antiqua" w:hAnsi="Book Antiqua"/>
          <w:color w:val="000000" w:themeColor="text1"/>
          <w:szCs w:val="24"/>
        </w:rPr>
        <w:t xml:space="preserve"> patients benefit</w:t>
      </w:r>
      <w:r w:rsidR="00524EF1" w:rsidRPr="000D70CA">
        <w:rPr>
          <w:rFonts w:ascii="Book Antiqua" w:hAnsi="Book Antiqua"/>
          <w:color w:val="000000" w:themeColor="text1"/>
          <w:szCs w:val="24"/>
        </w:rPr>
        <w:t xml:space="preserve"> more</w:t>
      </w:r>
      <w:r w:rsidR="00F277D5" w:rsidRPr="000D70CA">
        <w:rPr>
          <w:rFonts w:ascii="Book Antiqua" w:hAnsi="Book Antiqua"/>
          <w:color w:val="000000" w:themeColor="text1"/>
          <w:szCs w:val="24"/>
        </w:rPr>
        <w:t xml:space="preserve"> from </w:t>
      </w:r>
      <w:proofErr w:type="spellStart"/>
      <w:r w:rsidR="00F277D5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F277D5" w:rsidRPr="000D70CA">
        <w:rPr>
          <w:rFonts w:ascii="Book Antiqua" w:hAnsi="Book Antiqua"/>
          <w:color w:val="000000" w:themeColor="text1"/>
          <w:szCs w:val="24"/>
        </w:rPr>
        <w:t xml:space="preserve"> blockade remains to be answered by future studies. </w:t>
      </w:r>
      <w:r w:rsidR="00DF1C1B" w:rsidRPr="000D70CA">
        <w:rPr>
          <w:rFonts w:ascii="Book Antiqua" w:hAnsi="Book Antiqua"/>
          <w:color w:val="000000" w:themeColor="text1"/>
          <w:szCs w:val="24"/>
        </w:rPr>
        <w:t xml:space="preserve">In summary, the current study adds to the literature </w:t>
      </w:r>
      <w:r w:rsidR="00F277D5" w:rsidRPr="000D70CA">
        <w:rPr>
          <w:rFonts w:ascii="Book Antiqua" w:hAnsi="Book Antiqua"/>
          <w:color w:val="000000" w:themeColor="text1"/>
          <w:szCs w:val="24"/>
        </w:rPr>
        <w:t>confirming</w:t>
      </w:r>
      <w:r w:rsidR="00DF1C1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F70628" w:rsidRPr="000D70CA">
        <w:rPr>
          <w:rFonts w:ascii="Book Antiqua" w:hAnsi="Book Antiqua"/>
          <w:color w:val="000000" w:themeColor="text1"/>
          <w:szCs w:val="24"/>
        </w:rPr>
        <w:t xml:space="preserve">the </w:t>
      </w:r>
      <w:r w:rsidR="001A38AC" w:rsidRPr="000D70CA">
        <w:rPr>
          <w:rFonts w:ascii="Book Antiqua" w:hAnsi="Book Antiqua"/>
          <w:color w:val="000000" w:themeColor="text1"/>
          <w:szCs w:val="24"/>
        </w:rPr>
        <w:t xml:space="preserve">clear </w:t>
      </w:r>
      <w:r w:rsidR="00DF1C1B" w:rsidRPr="000D70CA">
        <w:rPr>
          <w:rFonts w:ascii="Book Antiqua" w:hAnsi="Book Antiqua"/>
          <w:color w:val="000000" w:themeColor="text1"/>
          <w:szCs w:val="24"/>
        </w:rPr>
        <w:t xml:space="preserve">survival </w:t>
      </w:r>
      <w:r w:rsidR="001A38AC" w:rsidRPr="000D70CA">
        <w:rPr>
          <w:rFonts w:ascii="Book Antiqua" w:hAnsi="Book Antiqua"/>
          <w:color w:val="000000" w:themeColor="text1"/>
          <w:szCs w:val="24"/>
        </w:rPr>
        <w:t>benefit</w:t>
      </w:r>
      <w:r w:rsidR="004B1DA5" w:rsidRPr="000D70CA">
        <w:rPr>
          <w:rFonts w:ascii="Book Antiqua" w:hAnsi="Book Antiqua"/>
          <w:color w:val="000000" w:themeColor="text1"/>
          <w:szCs w:val="24"/>
        </w:rPr>
        <w:t>s</w:t>
      </w:r>
      <w:r w:rsidR="001A38AC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F70628" w:rsidRPr="000D70CA">
        <w:rPr>
          <w:rFonts w:ascii="Book Antiqua" w:hAnsi="Book Antiqua"/>
          <w:color w:val="000000" w:themeColor="text1"/>
          <w:szCs w:val="24"/>
        </w:rPr>
        <w:t xml:space="preserve">of </w:t>
      </w:r>
      <w:proofErr w:type="spellStart"/>
      <w:r w:rsidR="00F70628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F70628" w:rsidRPr="000D70CA">
        <w:rPr>
          <w:rFonts w:ascii="Book Antiqua" w:hAnsi="Book Antiqua"/>
          <w:color w:val="000000" w:themeColor="text1"/>
          <w:szCs w:val="24"/>
        </w:rPr>
        <w:t xml:space="preserve"> inhibitor-based immunosuppression, </w:t>
      </w:r>
      <w:r w:rsidR="00F277D5" w:rsidRPr="000D70CA">
        <w:rPr>
          <w:rFonts w:ascii="Book Antiqua" w:hAnsi="Book Antiqua"/>
          <w:color w:val="000000" w:themeColor="text1"/>
          <w:szCs w:val="24"/>
        </w:rPr>
        <w:t>and provid</w:t>
      </w:r>
      <w:r w:rsidR="00BC140E" w:rsidRPr="000D70CA">
        <w:rPr>
          <w:rFonts w:ascii="Book Antiqua" w:hAnsi="Book Antiqua"/>
          <w:color w:val="000000" w:themeColor="text1"/>
          <w:szCs w:val="24"/>
        </w:rPr>
        <w:t>es</w:t>
      </w:r>
      <w:r w:rsidR="00F277D5" w:rsidRPr="000D70CA">
        <w:rPr>
          <w:rFonts w:ascii="Book Antiqua" w:hAnsi="Book Antiqua"/>
          <w:color w:val="000000" w:themeColor="text1"/>
          <w:szCs w:val="24"/>
        </w:rPr>
        <w:t xml:space="preserve"> a foundation for</w:t>
      </w:r>
      <w:r w:rsidR="00DF1C1B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F70628" w:rsidRPr="000D70CA">
        <w:rPr>
          <w:rFonts w:ascii="Book Antiqua" w:hAnsi="Book Antiqua"/>
          <w:color w:val="000000" w:themeColor="text1"/>
          <w:szCs w:val="24"/>
        </w:rPr>
        <w:t xml:space="preserve">this therapy </w:t>
      </w:r>
      <w:r w:rsidR="007B302F" w:rsidRPr="000D70CA">
        <w:rPr>
          <w:rFonts w:ascii="Book Antiqua" w:hAnsi="Book Antiqua"/>
          <w:color w:val="000000" w:themeColor="text1"/>
          <w:szCs w:val="24"/>
        </w:rPr>
        <w:t xml:space="preserve">in post-transplant HCC recurrence. </w:t>
      </w:r>
      <w:r w:rsidR="00114765" w:rsidRPr="000D70CA">
        <w:rPr>
          <w:rFonts w:ascii="Book Antiqua" w:hAnsi="Book Antiqua"/>
          <w:color w:val="000000" w:themeColor="text1"/>
          <w:szCs w:val="24"/>
        </w:rPr>
        <w:t xml:space="preserve">It </w:t>
      </w:r>
      <w:r w:rsidR="001A38AC" w:rsidRPr="000D70CA">
        <w:rPr>
          <w:rFonts w:ascii="Book Antiqua" w:hAnsi="Book Antiqua"/>
          <w:color w:val="000000" w:themeColor="text1"/>
          <w:szCs w:val="24"/>
        </w:rPr>
        <w:t>i</w:t>
      </w:r>
      <w:r w:rsidR="00114765" w:rsidRPr="000D70CA">
        <w:rPr>
          <w:rFonts w:ascii="Book Antiqua" w:hAnsi="Book Antiqua"/>
          <w:color w:val="000000" w:themeColor="text1"/>
          <w:szCs w:val="24"/>
        </w:rPr>
        <w:t xml:space="preserve">s not too late to </w:t>
      </w:r>
      <w:r w:rsidR="00F70628" w:rsidRPr="000D70CA">
        <w:rPr>
          <w:rFonts w:ascii="Book Antiqua" w:hAnsi="Book Antiqua"/>
          <w:color w:val="000000" w:themeColor="text1"/>
          <w:szCs w:val="24"/>
        </w:rPr>
        <w:t>offer</w:t>
      </w:r>
      <w:r w:rsidR="00114765"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="00114765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114765" w:rsidRPr="000D70CA">
        <w:rPr>
          <w:rFonts w:ascii="Book Antiqua" w:hAnsi="Book Antiqua"/>
          <w:color w:val="000000" w:themeColor="text1"/>
          <w:szCs w:val="24"/>
        </w:rPr>
        <w:t xml:space="preserve"> blockade </w:t>
      </w:r>
      <w:r w:rsidR="00F70628" w:rsidRPr="000D70CA">
        <w:rPr>
          <w:rFonts w:ascii="Book Antiqua" w:hAnsi="Book Antiqua"/>
          <w:color w:val="000000" w:themeColor="text1"/>
          <w:szCs w:val="24"/>
        </w:rPr>
        <w:t>following</w:t>
      </w:r>
      <w:r w:rsidR="00114765"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="00F70628" w:rsidRPr="000D70CA">
        <w:rPr>
          <w:rFonts w:ascii="Book Antiqua" w:hAnsi="Book Antiqua"/>
          <w:color w:val="000000" w:themeColor="text1"/>
          <w:szCs w:val="24"/>
        </w:rPr>
        <w:t xml:space="preserve">the development of </w:t>
      </w:r>
      <w:r w:rsidR="00114765" w:rsidRPr="000D70CA">
        <w:rPr>
          <w:rFonts w:ascii="Book Antiqua" w:hAnsi="Book Antiqua"/>
          <w:color w:val="000000" w:themeColor="text1"/>
          <w:szCs w:val="24"/>
        </w:rPr>
        <w:t>recurrence.</w:t>
      </w:r>
    </w:p>
    <w:p w14:paraId="7F48923A" w14:textId="1E1EC384" w:rsidR="006250CB" w:rsidRPr="000D70CA" w:rsidRDefault="006250C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78C6AAC8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  <w:u w:val="single"/>
        </w:rPr>
      </w:pPr>
      <w:r w:rsidRPr="000D70CA">
        <w:rPr>
          <w:rFonts w:ascii="Book Antiqua" w:hAnsi="Book Antiqua"/>
          <w:b/>
          <w:color w:val="000000"/>
          <w:szCs w:val="24"/>
          <w:u w:val="single"/>
        </w:rPr>
        <w:t>ARTICLE HIGHLIGHTS</w:t>
      </w:r>
    </w:p>
    <w:p w14:paraId="516681C6" w14:textId="77777777" w:rsidR="006250CB" w:rsidRPr="000D70CA" w:rsidRDefault="006250CB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Cs w:val="24"/>
        </w:rPr>
      </w:pPr>
      <w:r w:rsidRPr="000D70CA">
        <w:rPr>
          <w:rFonts w:ascii="Book Antiqua" w:hAnsi="Book Antiqua"/>
          <w:b/>
          <w:i/>
          <w:color w:val="000000" w:themeColor="text1"/>
          <w:szCs w:val="24"/>
        </w:rPr>
        <w:t>Research background</w:t>
      </w:r>
    </w:p>
    <w:p w14:paraId="648D6FF4" w14:textId="288F49F6" w:rsidR="006250CB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  <w:szCs w:val="24"/>
        </w:rPr>
      </w:pPr>
      <w:r w:rsidRPr="000D70CA">
        <w:rPr>
          <w:rFonts w:ascii="Book Antiqua" w:hAnsi="Book Antiqua"/>
          <w:bCs/>
          <w:iCs/>
          <w:color w:val="000000" w:themeColor="text1"/>
          <w:szCs w:val="24"/>
        </w:rPr>
        <w:t>Mammalian target of rapamycin (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) inhibitors have been shown to reduce the risk of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tumour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recurrence after liver transplantation for hepatocellular carcinoma (HCC). However,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>their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role in established post-transplant HCC recurrence is uncertain.</w:t>
      </w:r>
    </w:p>
    <w:p w14:paraId="5C06A287" w14:textId="77777777" w:rsidR="00145789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/>
          <w:color w:val="000000" w:themeColor="text1"/>
          <w:szCs w:val="24"/>
        </w:rPr>
      </w:pPr>
    </w:p>
    <w:p w14:paraId="210CDA7B" w14:textId="77777777" w:rsidR="006250CB" w:rsidRPr="000D70CA" w:rsidRDefault="006250CB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Cs w:val="24"/>
        </w:rPr>
      </w:pPr>
      <w:r w:rsidRPr="000D70CA">
        <w:rPr>
          <w:rFonts w:ascii="Book Antiqua" w:hAnsi="Book Antiqua"/>
          <w:b/>
          <w:i/>
          <w:color w:val="000000" w:themeColor="text1"/>
          <w:szCs w:val="24"/>
        </w:rPr>
        <w:t>Research motivation</w:t>
      </w:r>
    </w:p>
    <w:p w14:paraId="0526574F" w14:textId="3206A8D7" w:rsidR="006250CB" w:rsidRPr="000D70CA" w:rsidRDefault="00F70628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  <w:szCs w:val="24"/>
        </w:rPr>
      </w:pPr>
      <w:r w:rsidRPr="000D70CA">
        <w:rPr>
          <w:rFonts w:ascii="Book Antiqua" w:hAnsi="Book Antiqua"/>
          <w:bCs/>
          <w:iCs/>
          <w:color w:val="000000" w:themeColor="text1"/>
          <w:szCs w:val="24"/>
        </w:rPr>
        <w:t>It is unknown w</w:t>
      </w:r>
      <w:r w:rsidR="00145789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hether </w:t>
      </w:r>
      <w:proofErr w:type="spellStart"/>
      <w:r w:rsidR="00145789"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="00145789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 still confers survival benefits following HCC recurrence. Recommendations for </w:t>
      </w:r>
      <w:proofErr w:type="spellStart"/>
      <w:r w:rsidR="00145789"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="00145789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 under this context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are</w:t>
      </w:r>
      <w:r w:rsidR="00145789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based on expert opinions. To address this knowledge gap in the literature, the current study was undertaken to quantify survival following post-transplant HCC recurrence with regard to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the administration</w:t>
      </w:r>
      <w:r w:rsidR="00145789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of </w:t>
      </w:r>
      <w:proofErr w:type="spellStart"/>
      <w:r w:rsidR="00145789"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="00145789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inhibitors.</w:t>
      </w:r>
    </w:p>
    <w:p w14:paraId="6E7F544C" w14:textId="77777777" w:rsidR="00145789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/>
          <w:color w:val="000000" w:themeColor="text1"/>
          <w:szCs w:val="24"/>
        </w:rPr>
      </w:pPr>
    </w:p>
    <w:p w14:paraId="2AF03523" w14:textId="77777777" w:rsidR="006250CB" w:rsidRPr="000D70CA" w:rsidRDefault="006250CB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Cs w:val="24"/>
        </w:rPr>
      </w:pPr>
      <w:r w:rsidRPr="000D70CA">
        <w:rPr>
          <w:rFonts w:ascii="Book Antiqua" w:hAnsi="Book Antiqua"/>
          <w:b/>
          <w:i/>
          <w:color w:val="000000" w:themeColor="text1"/>
          <w:szCs w:val="24"/>
        </w:rPr>
        <w:t>Research objectives</w:t>
      </w:r>
    </w:p>
    <w:p w14:paraId="5C334579" w14:textId="448807F6" w:rsidR="006250CB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  <w:szCs w:val="24"/>
        </w:rPr>
      </w:pP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The objective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>was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to ascertain any survival benefits conferred by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inhibitors following HCC recurrence after liver transplantation.</w:t>
      </w:r>
    </w:p>
    <w:p w14:paraId="5B7E8761" w14:textId="77777777" w:rsidR="00145789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Cs w:val="24"/>
        </w:rPr>
      </w:pPr>
    </w:p>
    <w:p w14:paraId="35FD10EB" w14:textId="77777777" w:rsidR="006250CB" w:rsidRPr="000D70CA" w:rsidRDefault="006250CB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Cs w:val="24"/>
        </w:rPr>
      </w:pPr>
      <w:r w:rsidRPr="000D70CA">
        <w:rPr>
          <w:rFonts w:ascii="Book Antiqua" w:hAnsi="Book Antiqua"/>
          <w:b/>
          <w:i/>
          <w:color w:val="000000" w:themeColor="text1"/>
          <w:szCs w:val="24"/>
        </w:rPr>
        <w:t>Research methods</w:t>
      </w:r>
    </w:p>
    <w:p w14:paraId="487ED8AB" w14:textId="31A649A0" w:rsidR="006250CB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  <w:szCs w:val="24"/>
        </w:rPr>
      </w:pPr>
      <w:r w:rsidRPr="000D70CA">
        <w:rPr>
          <w:rFonts w:ascii="Book Antiqua" w:hAnsi="Book Antiqua"/>
          <w:bCs/>
          <w:iCs/>
          <w:color w:val="000000" w:themeColor="text1"/>
          <w:szCs w:val="24"/>
        </w:rPr>
        <w:t>A retrospective study of 143 patients who developed HCC recurrence after liver transplantation was performed. The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patients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were divided into 2 groups based on whether they had received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inhibitor-based immunosuppression. The primary endpoint was post-recurrence survival.</w:t>
      </w:r>
    </w:p>
    <w:p w14:paraId="1422EF68" w14:textId="77777777" w:rsidR="00145789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/>
          <w:color w:val="000000" w:themeColor="text1"/>
          <w:szCs w:val="24"/>
        </w:rPr>
      </w:pPr>
    </w:p>
    <w:p w14:paraId="454AF508" w14:textId="77777777" w:rsidR="006250CB" w:rsidRPr="000D70CA" w:rsidRDefault="006250CB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Cs w:val="24"/>
        </w:rPr>
      </w:pPr>
      <w:r w:rsidRPr="000D70CA">
        <w:rPr>
          <w:rFonts w:ascii="Book Antiqua" w:hAnsi="Book Antiqua"/>
          <w:b/>
          <w:i/>
          <w:color w:val="000000" w:themeColor="text1"/>
          <w:szCs w:val="24"/>
        </w:rPr>
        <w:t>Research results</w:t>
      </w:r>
    </w:p>
    <w:p w14:paraId="67A716BC" w14:textId="5569DEC9" w:rsidR="006250CB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  <w:szCs w:val="24"/>
        </w:rPr>
      </w:pP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Seventy-nine (55%) patients received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an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inhibitor-based immunosuppressive regime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>,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while 64 (45%) </w:t>
      </w:r>
      <w:r w:rsidR="00A96B95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patients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did not. The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 group had a lower number of recurrent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tumours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(2 </w:t>
      </w:r>
      <w:r w:rsidR="00AF289B" w:rsidRPr="000D70CA">
        <w:rPr>
          <w:rFonts w:ascii="Book Antiqua" w:hAnsi="Book Antiqua"/>
          <w:bCs/>
          <w:i/>
          <w:iCs/>
          <w:color w:val="000000" w:themeColor="text1"/>
          <w:szCs w:val="24"/>
        </w:rPr>
        <w:t>vs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5, </w:t>
      </w:r>
      <w:r w:rsidR="00AF289B" w:rsidRPr="000D70CA">
        <w:rPr>
          <w:rFonts w:ascii="Book Antiqua" w:hAnsi="Book Antiqua"/>
          <w:bCs/>
          <w:i/>
          <w:iCs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0.02) and received more active treatments including radiotherapy (39 </w:t>
      </w:r>
      <w:r w:rsidR="00AF289B" w:rsidRPr="000D70CA">
        <w:rPr>
          <w:rFonts w:ascii="Book Antiqua" w:hAnsi="Book Antiqua"/>
          <w:bCs/>
          <w:i/>
          <w:iCs/>
          <w:color w:val="000000" w:themeColor="text1"/>
          <w:szCs w:val="24"/>
        </w:rPr>
        <w:t>vs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22%, </w:t>
      </w:r>
      <w:r w:rsidR="00AF289B" w:rsidRPr="000D70CA">
        <w:rPr>
          <w:rFonts w:ascii="Book Antiqua" w:hAnsi="Book Antiqua"/>
          <w:bCs/>
          <w:i/>
          <w:iCs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lastRenderedPageBreak/>
        <w:t xml:space="preserve">0.03) and targeted therapy (59 </w:t>
      </w:r>
      <w:r w:rsidR="00AF289B" w:rsidRPr="000D70CA">
        <w:rPr>
          <w:rFonts w:ascii="Book Antiqua" w:hAnsi="Book Antiqua"/>
          <w:bCs/>
          <w:i/>
          <w:iCs/>
          <w:color w:val="000000" w:themeColor="text1"/>
          <w:szCs w:val="24"/>
        </w:rPr>
        <w:t>vs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23%, </w:t>
      </w:r>
      <w:r w:rsidR="00AF289B" w:rsidRPr="000D70CA">
        <w:rPr>
          <w:rFonts w:ascii="Book Antiqua" w:hAnsi="Book Antiqua"/>
          <w:bCs/>
          <w:i/>
          <w:iCs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&lt;</w:t>
      </w:r>
      <w:r w:rsidR="00AF289B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0.001). The median post-recurrence survival was 21.0</w:t>
      </w:r>
      <w:r w:rsidR="00AF289B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±</w:t>
      </w:r>
      <w:r w:rsidR="00AF289B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4.1 </w:t>
      </w:r>
      <w:proofErr w:type="spellStart"/>
      <w:proofErr w:type="gram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mo</w:t>
      </w:r>
      <w:proofErr w:type="spellEnd"/>
      <w:proofErr w:type="gram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the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 group and 11.2</w:t>
      </w:r>
      <w:r w:rsidR="00AF289B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±</w:t>
      </w:r>
      <w:r w:rsidR="00AF289B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2.5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mo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 the control group. Multivariate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>C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ox regression analysis confirmed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that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therapy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was independently associated with improved post-recurrence survival (</w:t>
      </w:r>
      <w:r w:rsidR="00AF289B" w:rsidRPr="000D70CA">
        <w:rPr>
          <w:rFonts w:ascii="Book Antiqua" w:hAnsi="Book Antiqua"/>
          <w:bCs/>
          <w:i/>
          <w:iCs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0.04, OR 0.482, 95%CI</w:t>
      </w:r>
      <w:r w:rsidR="00AF289B" w:rsidRPr="000D70CA">
        <w:rPr>
          <w:rFonts w:ascii="Book Antiqua" w:hAnsi="Book Antiqua"/>
          <w:bCs/>
          <w:iCs/>
          <w:color w:val="000000" w:themeColor="text1"/>
          <w:szCs w:val="24"/>
        </w:rPr>
        <w:t>: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0.241-0.966).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>The n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umber of recurrent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tumours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and use of other treatment modalities did not affect survival. There </w:t>
      </w:r>
      <w:proofErr w:type="gram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were</w:t>
      </w:r>
      <w:proofErr w:type="gram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no survival differences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between patients treated with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 monotherapy and combination therapy with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calcineurin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inhibitor.</w:t>
      </w:r>
    </w:p>
    <w:p w14:paraId="7E9372C2" w14:textId="77777777" w:rsidR="00145789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/>
          <w:color w:val="000000" w:themeColor="text1"/>
          <w:szCs w:val="24"/>
        </w:rPr>
      </w:pPr>
    </w:p>
    <w:p w14:paraId="10201A8B" w14:textId="77777777" w:rsidR="006250CB" w:rsidRPr="000D70CA" w:rsidRDefault="006250CB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Cs w:val="24"/>
        </w:rPr>
      </w:pPr>
      <w:r w:rsidRPr="000D70CA">
        <w:rPr>
          <w:rFonts w:ascii="Book Antiqua" w:hAnsi="Book Antiqua"/>
          <w:b/>
          <w:i/>
          <w:color w:val="000000" w:themeColor="text1"/>
          <w:szCs w:val="24"/>
        </w:rPr>
        <w:t>Research conclusions</w:t>
      </w:r>
    </w:p>
    <w:p w14:paraId="3AA6FDB8" w14:textId="32CC78E2" w:rsidR="006250CB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  <w:szCs w:val="24"/>
        </w:rPr>
      </w:pPr>
      <w:proofErr w:type="spellStart"/>
      <w:proofErr w:type="gram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proofErr w:type="gram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inhibitors prolonged survival after post-transplant HCC recurrence.</w:t>
      </w:r>
    </w:p>
    <w:p w14:paraId="014F44E1" w14:textId="77777777" w:rsidR="00145789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Cs w:val="24"/>
        </w:rPr>
      </w:pPr>
    </w:p>
    <w:p w14:paraId="336050AA" w14:textId="0B110F24" w:rsidR="006250CB" w:rsidRPr="000D70CA" w:rsidRDefault="006250CB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  <w:color w:val="000000" w:themeColor="text1"/>
          <w:szCs w:val="24"/>
        </w:rPr>
      </w:pPr>
      <w:r w:rsidRPr="000D70CA">
        <w:rPr>
          <w:rFonts w:ascii="Book Antiqua" w:hAnsi="Book Antiqua"/>
          <w:b/>
          <w:i/>
          <w:color w:val="000000" w:themeColor="text1"/>
          <w:szCs w:val="24"/>
        </w:rPr>
        <w:t>Research perspectives</w:t>
      </w:r>
    </w:p>
    <w:p w14:paraId="287E98BE" w14:textId="299358C5" w:rsidR="00145789" w:rsidRPr="000D70CA" w:rsidRDefault="00145789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Cs/>
          <w:color w:val="000000" w:themeColor="text1"/>
          <w:szCs w:val="24"/>
        </w:rPr>
      </w:pP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The role of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 therapy in post-transplant HCC recurrences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>sh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>ould be confirmed with further prospective randomized stud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>ies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.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>A f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urther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>area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of study </w:t>
      </w:r>
      <w:r w:rsidR="00F70628"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should </w:t>
      </w:r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include patient selection for </w:t>
      </w:r>
      <w:proofErr w:type="spellStart"/>
      <w:r w:rsidRPr="000D70CA">
        <w:rPr>
          <w:rFonts w:ascii="Book Antiqua" w:hAnsi="Book Antiqua"/>
          <w:bCs/>
          <w:iCs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bCs/>
          <w:iCs/>
          <w:color w:val="000000" w:themeColor="text1"/>
          <w:szCs w:val="24"/>
        </w:rPr>
        <w:t xml:space="preserve"> inhibitor treatment following HCC recurrence.</w:t>
      </w:r>
    </w:p>
    <w:p w14:paraId="27D4B096" w14:textId="25FB6AA2" w:rsidR="006250CB" w:rsidRPr="000D70CA" w:rsidRDefault="006250C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030CF4D3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>REFERENCES</w:t>
      </w:r>
    </w:p>
    <w:p w14:paraId="4C2D7945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Hojo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M</w:t>
      </w:r>
      <w:r w:rsidRPr="000D70CA">
        <w:rPr>
          <w:rFonts w:ascii="Book Antiqua" w:hAnsi="Book Antiqua"/>
          <w:color w:val="000000" w:themeColor="text1"/>
          <w:szCs w:val="24"/>
        </w:rPr>
        <w:t xml:space="preserve">, Morimoto T,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Maluccio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Asano T, Morimoto K,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Lagman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Shimbo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T,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Suthanthiran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M. Cyclosporine induces cancer progression by a cell-autonomous mechanism. </w:t>
      </w:r>
      <w:r w:rsidRPr="000D70CA">
        <w:rPr>
          <w:rFonts w:ascii="Book Antiqua" w:hAnsi="Book Antiqua"/>
          <w:i/>
          <w:color w:val="000000" w:themeColor="text1"/>
          <w:szCs w:val="24"/>
        </w:rPr>
        <w:t>Nature</w:t>
      </w:r>
      <w:r w:rsidRPr="000D70CA">
        <w:rPr>
          <w:rFonts w:ascii="Book Antiqua" w:hAnsi="Book Antiqua"/>
          <w:color w:val="000000" w:themeColor="text1"/>
          <w:szCs w:val="24"/>
        </w:rPr>
        <w:t xml:space="preserve"> 1999; </w:t>
      </w:r>
      <w:r w:rsidRPr="000D70CA">
        <w:rPr>
          <w:rFonts w:ascii="Book Antiqua" w:hAnsi="Book Antiqua"/>
          <w:b/>
          <w:color w:val="000000" w:themeColor="text1"/>
          <w:szCs w:val="24"/>
        </w:rPr>
        <w:t>397</w:t>
      </w:r>
      <w:r w:rsidRPr="000D70CA">
        <w:rPr>
          <w:rFonts w:ascii="Book Antiqua" w:hAnsi="Book Antiqua"/>
          <w:color w:val="000000" w:themeColor="text1"/>
          <w:szCs w:val="24"/>
        </w:rPr>
        <w:t>: 530-534 [PMID: 10028970 DOI: 10.1038/17401]</w:t>
      </w:r>
    </w:p>
    <w:p w14:paraId="07922276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2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Vivarelli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M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Cucchetti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Piscaglia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F, La Barba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Bolondi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L,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Cavallari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Pinna AD. Analysis of risk factors for tumor recurrence after liver transplantation for hepatocellular carcinoma: key role of immunosuppression.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Liver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Transpl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2005; </w:t>
      </w:r>
      <w:r w:rsidRPr="000D70CA">
        <w:rPr>
          <w:rFonts w:ascii="Book Antiqua" w:hAnsi="Book Antiqua"/>
          <w:b/>
          <w:color w:val="000000" w:themeColor="text1"/>
          <w:szCs w:val="24"/>
        </w:rPr>
        <w:t>11</w:t>
      </w:r>
      <w:r w:rsidRPr="000D70CA">
        <w:rPr>
          <w:rFonts w:ascii="Book Antiqua" w:hAnsi="Book Antiqua"/>
          <w:color w:val="000000" w:themeColor="text1"/>
          <w:szCs w:val="24"/>
        </w:rPr>
        <w:t>: 497-503 [PMID: 15838913 DOI: 10.1002/lt.20391]</w:t>
      </w:r>
    </w:p>
    <w:p w14:paraId="0C40CCE8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3 </w:t>
      </w:r>
      <w:r w:rsidRPr="000D70CA">
        <w:rPr>
          <w:rFonts w:ascii="Book Antiqua" w:hAnsi="Book Antiqua"/>
          <w:b/>
          <w:color w:val="000000" w:themeColor="text1"/>
          <w:szCs w:val="24"/>
        </w:rPr>
        <w:t>Rodríguez-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Perálvarez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M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Tsochatzis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E,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Naveas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Pieri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García-Caparrós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O'Beirne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Poyato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-González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Ferrín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>-Sánchez G, Montero-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Álvarez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JL, Patch D,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Thorburn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D,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Briceño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De la Mata M, </w:t>
      </w:r>
      <w:r w:rsidRPr="000D70CA">
        <w:rPr>
          <w:rFonts w:ascii="Book Antiqua" w:hAnsi="Book Antiqua"/>
          <w:color w:val="000000" w:themeColor="text1"/>
          <w:szCs w:val="24"/>
        </w:rPr>
        <w:lastRenderedPageBreak/>
        <w:t xml:space="preserve">Burroughs AK. Reduced exposure to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calcineurin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inhibitors early after liver transplantation prevents recurrence of hepatocellular carcinoma.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J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Hepatol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2013; </w:t>
      </w:r>
      <w:r w:rsidRPr="000D70CA">
        <w:rPr>
          <w:rFonts w:ascii="Book Antiqua" w:hAnsi="Book Antiqua"/>
          <w:b/>
          <w:color w:val="000000" w:themeColor="text1"/>
          <w:szCs w:val="24"/>
        </w:rPr>
        <w:t>59</w:t>
      </w:r>
      <w:r w:rsidRPr="000D70CA">
        <w:rPr>
          <w:rFonts w:ascii="Book Antiqua" w:hAnsi="Book Antiqua"/>
          <w:color w:val="000000" w:themeColor="text1"/>
          <w:szCs w:val="24"/>
        </w:rPr>
        <w:t>: 1193-1199 [PMID: 23867318 DOI: 10.1016/j.jhep.2013.07.012]</w:t>
      </w:r>
    </w:p>
    <w:p w14:paraId="2D019110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4 </w:t>
      </w:r>
      <w:r w:rsidRPr="000D70CA">
        <w:rPr>
          <w:rFonts w:ascii="Book Antiqua" w:hAnsi="Book Antiqua"/>
          <w:b/>
          <w:color w:val="000000" w:themeColor="text1"/>
          <w:szCs w:val="24"/>
        </w:rPr>
        <w:t>Guba M</w:t>
      </w:r>
      <w:r w:rsidRPr="000D70CA">
        <w:rPr>
          <w:rFonts w:ascii="Book Antiqua" w:hAnsi="Book Antiqua"/>
          <w:color w:val="000000" w:themeColor="text1"/>
          <w:szCs w:val="24"/>
        </w:rPr>
        <w:t xml:space="preserve">, von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Breitenbuch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Steinbauer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Koehl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Flegel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Hornung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Bruns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Zuelke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Farkas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Anthuber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Jauch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KW,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Geissler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EK. Rapamycin inhibits primary and metastatic tumor growth by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antiangiogenesis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: involvement of vascular endothelial growth factor. </w:t>
      </w:r>
      <w:r w:rsidRPr="000D70CA">
        <w:rPr>
          <w:rFonts w:ascii="Book Antiqua" w:hAnsi="Book Antiqua"/>
          <w:i/>
          <w:color w:val="000000" w:themeColor="text1"/>
          <w:szCs w:val="24"/>
        </w:rPr>
        <w:t>Nat Med</w:t>
      </w:r>
      <w:r w:rsidRPr="000D70CA">
        <w:rPr>
          <w:rFonts w:ascii="Book Antiqua" w:hAnsi="Book Antiqua"/>
          <w:color w:val="000000" w:themeColor="text1"/>
          <w:szCs w:val="24"/>
        </w:rPr>
        <w:t xml:space="preserve"> 2002; </w:t>
      </w:r>
      <w:r w:rsidRPr="000D70CA">
        <w:rPr>
          <w:rFonts w:ascii="Book Antiqua" w:hAnsi="Book Antiqua"/>
          <w:b/>
          <w:color w:val="000000" w:themeColor="text1"/>
          <w:szCs w:val="24"/>
        </w:rPr>
        <w:t>8</w:t>
      </w:r>
      <w:r w:rsidRPr="000D70CA">
        <w:rPr>
          <w:rFonts w:ascii="Book Antiqua" w:hAnsi="Book Antiqua"/>
          <w:color w:val="000000" w:themeColor="text1"/>
          <w:szCs w:val="24"/>
        </w:rPr>
        <w:t>: 128-135 [PMID: 11821896 DOI: 10.1038/nm0202-128]</w:t>
      </w:r>
    </w:p>
    <w:p w14:paraId="3026CFCE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proofErr w:type="gramStart"/>
      <w:r w:rsidRPr="000D70CA">
        <w:rPr>
          <w:rFonts w:ascii="Book Antiqua" w:hAnsi="Book Antiqua"/>
          <w:color w:val="000000" w:themeColor="text1"/>
          <w:szCs w:val="24"/>
        </w:rPr>
        <w:t xml:space="preserve">5 </w:t>
      </w:r>
      <w:r w:rsidRPr="000D70CA">
        <w:rPr>
          <w:rFonts w:ascii="Book Antiqua" w:hAnsi="Book Antiqua"/>
          <w:b/>
          <w:color w:val="000000" w:themeColor="text1"/>
          <w:szCs w:val="24"/>
        </w:rPr>
        <w:t>Sehgal SN</w:t>
      </w:r>
      <w:r w:rsidRPr="000D70CA">
        <w:rPr>
          <w:rFonts w:ascii="Book Antiqua" w:hAnsi="Book Antiqua"/>
          <w:color w:val="000000" w:themeColor="text1"/>
          <w:szCs w:val="24"/>
        </w:rPr>
        <w:t>.</w:t>
      </w:r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Rapamune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(RAPA, rapamycin,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): mechanism of action immunosuppressive effect results from blockade of signal transduction and inhibition of cell cycle progression.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Clin</w:t>
      </w:r>
      <w:proofErr w:type="spellEnd"/>
      <w:r w:rsidRPr="000D70CA">
        <w:rPr>
          <w:rFonts w:ascii="Book Antiqua" w:hAnsi="Book Antiqua"/>
          <w:i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Biochem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1998; </w:t>
      </w:r>
      <w:r w:rsidRPr="000D70CA">
        <w:rPr>
          <w:rFonts w:ascii="Book Antiqua" w:hAnsi="Book Antiqua"/>
          <w:b/>
          <w:color w:val="000000" w:themeColor="text1"/>
          <w:szCs w:val="24"/>
        </w:rPr>
        <w:t>31</w:t>
      </w:r>
      <w:r w:rsidRPr="000D70CA">
        <w:rPr>
          <w:rFonts w:ascii="Book Antiqua" w:hAnsi="Book Antiqua"/>
          <w:color w:val="000000" w:themeColor="text1"/>
          <w:szCs w:val="24"/>
        </w:rPr>
        <w:t>: 335-340 [PMID: 9721431 DOI: 10.1016/s0009-9120(98)00045-9]</w:t>
      </w:r>
    </w:p>
    <w:p w14:paraId="5BFEE621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6 </w:t>
      </w:r>
      <w:r w:rsidRPr="000D70CA">
        <w:rPr>
          <w:rFonts w:ascii="Book Antiqua" w:hAnsi="Book Antiqua"/>
          <w:b/>
          <w:color w:val="000000" w:themeColor="text1"/>
          <w:szCs w:val="24"/>
        </w:rPr>
        <w:t>Menon KV</w:t>
      </w:r>
      <w:r w:rsidRPr="000D70CA">
        <w:rPr>
          <w:rFonts w:ascii="Book Antiqua" w:hAnsi="Book Antiqua"/>
          <w:color w:val="000000" w:themeColor="text1"/>
          <w:szCs w:val="24"/>
        </w:rPr>
        <w:t xml:space="preserve">, Hakeem AR, Heaton ND. Meta-analysis: recurrence and survival following the use of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in liver transplantation for hepatocellular carcinoma.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Aliment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Pharmacol</w:t>
      </w:r>
      <w:proofErr w:type="spellEnd"/>
      <w:r w:rsidRPr="000D70CA">
        <w:rPr>
          <w:rFonts w:ascii="Book Antiqua" w:hAnsi="Book Antiqua"/>
          <w:i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Ther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2013; </w:t>
      </w:r>
      <w:r w:rsidRPr="000D70CA">
        <w:rPr>
          <w:rFonts w:ascii="Book Antiqua" w:hAnsi="Book Antiqua"/>
          <w:b/>
          <w:color w:val="000000" w:themeColor="text1"/>
          <w:szCs w:val="24"/>
        </w:rPr>
        <w:t>37</w:t>
      </w:r>
      <w:r w:rsidRPr="000D70CA">
        <w:rPr>
          <w:rFonts w:ascii="Book Antiqua" w:hAnsi="Book Antiqua"/>
          <w:color w:val="000000" w:themeColor="text1"/>
          <w:szCs w:val="24"/>
        </w:rPr>
        <w:t>: 411-419 [PMID: 23278125 DOI: 10.1111/apt.12185]</w:t>
      </w:r>
    </w:p>
    <w:p w14:paraId="5CCF6717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7 </w:t>
      </w:r>
      <w:r w:rsidRPr="000D70CA">
        <w:rPr>
          <w:rFonts w:ascii="Book Antiqua" w:hAnsi="Book Antiqua"/>
          <w:b/>
          <w:color w:val="000000" w:themeColor="text1"/>
          <w:szCs w:val="24"/>
        </w:rPr>
        <w:t>Liang W</w:t>
      </w:r>
      <w:r w:rsidRPr="000D70CA">
        <w:rPr>
          <w:rFonts w:ascii="Book Antiqua" w:hAnsi="Book Antiqua"/>
          <w:color w:val="000000" w:themeColor="text1"/>
          <w:szCs w:val="24"/>
        </w:rPr>
        <w:t xml:space="preserve">, Wang D, Ling X, Kao AA, Kong Y, Shang Y,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Guo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Z, He X.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-based immunosuppression in liver transplantation for hepatocellular carcinoma: a meta-analysis.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Liver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Transpl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2012; </w:t>
      </w:r>
      <w:r w:rsidRPr="000D70CA">
        <w:rPr>
          <w:rFonts w:ascii="Book Antiqua" w:hAnsi="Book Antiqua"/>
          <w:b/>
          <w:color w:val="000000" w:themeColor="text1"/>
          <w:szCs w:val="24"/>
        </w:rPr>
        <w:t>18</w:t>
      </w:r>
      <w:r w:rsidRPr="000D70CA">
        <w:rPr>
          <w:rFonts w:ascii="Book Antiqua" w:hAnsi="Book Antiqua"/>
          <w:color w:val="000000" w:themeColor="text1"/>
          <w:szCs w:val="24"/>
        </w:rPr>
        <w:t>: 62-69 [PMID: 21964956 DOI: 10.1002/lt.22441]</w:t>
      </w:r>
    </w:p>
    <w:p w14:paraId="1BB2B4CD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8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Chinnakotla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S</w:t>
      </w:r>
      <w:r w:rsidRPr="000D70CA">
        <w:rPr>
          <w:rFonts w:ascii="Book Antiqua" w:hAnsi="Book Antiqua"/>
          <w:color w:val="000000" w:themeColor="text1"/>
          <w:szCs w:val="24"/>
        </w:rPr>
        <w:t xml:space="preserve">, Davis GL,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Vasani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Kim 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Tomiyama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K, Sanchez E,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Onaca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N, Goldstein R, Levy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Klintmalm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GB. </w:t>
      </w:r>
      <w:proofErr w:type="gramStart"/>
      <w:r w:rsidRPr="000D70CA">
        <w:rPr>
          <w:rFonts w:ascii="Book Antiqua" w:hAnsi="Book Antiqua"/>
          <w:color w:val="000000" w:themeColor="text1"/>
          <w:szCs w:val="24"/>
        </w:rPr>
        <w:t xml:space="preserve">Impact of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on the recurrence of hepatocellular carcinoma after liver transplantation.</w:t>
      </w:r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Liver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Transpl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2009; </w:t>
      </w:r>
      <w:r w:rsidRPr="000D70CA">
        <w:rPr>
          <w:rFonts w:ascii="Book Antiqua" w:hAnsi="Book Antiqua"/>
          <w:b/>
          <w:color w:val="000000" w:themeColor="text1"/>
          <w:szCs w:val="24"/>
        </w:rPr>
        <w:t>15</w:t>
      </w:r>
      <w:r w:rsidRPr="000D70CA">
        <w:rPr>
          <w:rFonts w:ascii="Book Antiqua" w:hAnsi="Book Antiqua"/>
          <w:color w:val="000000" w:themeColor="text1"/>
          <w:szCs w:val="24"/>
        </w:rPr>
        <w:t>: 1834-1842 [PMID: 19938137 DOI: 10.1002/lt.21953]</w:t>
      </w:r>
    </w:p>
    <w:p w14:paraId="31CECEFA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9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Toso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C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Merani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Bigam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DL, Shapiro AM,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Kneteman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NM.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-based immunosuppression is associated with increased survival after liver transplantation for hepatocellular carcinoma. </w:t>
      </w:r>
      <w:r w:rsidRPr="000D70CA">
        <w:rPr>
          <w:rFonts w:ascii="Book Antiqua" w:hAnsi="Book Antiqua"/>
          <w:i/>
          <w:color w:val="000000" w:themeColor="text1"/>
          <w:szCs w:val="24"/>
        </w:rPr>
        <w:t>Hepatology</w:t>
      </w:r>
      <w:r w:rsidRPr="000D70CA">
        <w:rPr>
          <w:rFonts w:ascii="Book Antiqua" w:hAnsi="Book Antiqua"/>
          <w:color w:val="000000" w:themeColor="text1"/>
          <w:szCs w:val="24"/>
        </w:rPr>
        <w:t xml:space="preserve"> 2010; </w:t>
      </w:r>
      <w:r w:rsidRPr="000D70CA">
        <w:rPr>
          <w:rFonts w:ascii="Book Antiqua" w:hAnsi="Book Antiqua"/>
          <w:b/>
          <w:color w:val="000000" w:themeColor="text1"/>
          <w:szCs w:val="24"/>
        </w:rPr>
        <w:t>51</w:t>
      </w:r>
      <w:r w:rsidRPr="000D70CA">
        <w:rPr>
          <w:rFonts w:ascii="Book Antiqua" w:hAnsi="Book Antiqua"/>
          <w:color w:val="000000" w:themeColor="text1"/>
          <w:szCs w:val="24"/>
        </w:rPr>
        <w:t>: 1237-1243 [PMID: 20187107 DOI: 10.1002/hep.23437]</w:t>
      </w:r>
    </w:p>
    <w:p w14:paraId="65E710A1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10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Schnitzbauer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AA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Schlitt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HJ,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Geissler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EK. Influence of immunosuppressive drugs on the recurrence of hepatocellular carcinoma after liver transplantation: a gap between basic science and clinical evidence. </w:t>
      </w:r>
      <w:r w:rsidRPr="000D70CA">
        <w:rPr>
          <w:rFonts w:ascii="Book Antiqua" w:hAnsi="Book Antiqua"/>
          <w:i/>
          <w:color w:val="000000" w:themeColor="text1"/>
          <w:szCs w:val="24"/>
        </w:rPr>
        <w:lastRenderedPageBreak/>
        <w:t>Transplantation</w:t>
      </w:r>
      <w:r w:rsidRPr="000D70CA">
        <w:rPr>
          <w:rFonts w:ascii="Book Antiqua" w:hAnsi="Book Antiqua"/>
          <w:color w:val="000000" w:themeColor="text1"/>
          <w:szCs w:val="24"/>
        </w:rPr>
        <w:t xml:space="preserve"> 2011; </w:t>
      </w:r>
      <w:r w:rsidRPr="000D70CA">
        <w:rPr>
          <w:rFonts w:ascii="Book Antiqua" w:hAnsi="Book Antiqua"/>
          <w:b/>
          <w:color w:val="000000" w:themeColor="text1"/>
          <w:szCs w:val="24"/>
        </w:rPr>
        <w:t>91</w:t>
      </w:r>
      <w:r w:rsidRPr="000D70CA">
        <w:rPr>
          <w:rFonts w:ascii="Book Antiqua" w:hAnsi="Book Antiqua"/>
          <w:color w:val="000000" w:themeColor="text1"/>
          <w:szCs w:val="24"/>
        </w:rPr>
        <w:t>: 1173-1176 [PMID: 21427632 DOI: 10.1097/TP.0b013e318215e72b]</w:t>
      </w:r>
    </w:p>
    <w:p w14:paraId="6C75D916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11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Schnitzbauer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AA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Zuelke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Graeb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Rochon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Bilbao I, Burra P, de Jong KP,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Duvoux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Kneteman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NM, Adam R,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Bechstein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WO, Becker T,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Beckebaum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Chazouillères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O,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Cillo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U,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Colledan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Fändrich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F,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Gugenheim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Hauss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Heise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Hidalgo E, Jamieson N,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Königsrainer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Lamby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PE,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Lerut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Mäkisalo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H,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Margreiter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Mazzaferro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V,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Mutzbauer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I, Otto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Pageaux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GP, Pinna AD,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Pirenne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Rizell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Rossi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Rostaing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L, Roy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Turrion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VS, Schmidt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Troisi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RI, van Hoek B, Valente U, Wolf P, Wolters H, Mirza DF,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Scholz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T,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Steininger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Soderdahl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Strasser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SI,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Jauch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KW,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Neuhaus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Schlitt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HJ,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Geissler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EK. </w:t>
      </w:r>
      <w:proofErr w:type="gramStart"/>
      <w:r w:rsidRPr="000D70CA">
        <w:rPr>
          <w:rFonts w:ascii="Book Antiqua" w:hAnsi="Book Antiqua"/>
          <w:color w:val="000000" w:themeColor="text1"/>
          <w:szCs w:val="24"/>
        </w:rPr>
        <w:t xml:space="preserve">A prospective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randomised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, open-labeled, trial comparing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-containing versus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>-inhibitor-free immunosuppression in patients undergoing liver transplantation for hepatocellular carcinoma.</w:t>
      </w:r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i/>
          <w:color w:val="000000" w:themeColor="text1"/>
          <w:szCs w:val="24"/>
        </w:rPr>
        <w:t>BMC Cancer</w:t>
      </w:r>
      <w:r w:rsidRPr="000D70CA">
        <w:rPr>
          <w:rFonts w:ascii="Book Antiqua" w:hAnsi="Book Antiqua"/>
          <w:color w:val="000000" w:themeColor="text1"/>
          <w:szCs w:val="24"/>
        </w:rPr>
        <w:t xml:space="preserve"> 2010; </w:t>
      </w:r>
      <w:r w:rsidRPr="000D70CA">
        <w:rPr>
          <w:rFonts w:ascii="Book Antiqua" w:hAnsi="Book Antiqua"/>
          <w:b/>
          <w:color w:val="000000" w:themeColor="text1"/>
          <w:szCs w:val="24"/>
        </w:rPr>
        <w:t>10</w:t>
      </w:r>
      <w:r w:rsidRPr="000D70CA">
        <w:rPr>
          <w:rFonts w:ascii="Book Antiqua" w:hAnsi="Book Antiqua"/>
          <w:color w:val="000000" w:themeColor="text1"/>
          <w:szCs w:val="24"/>
        </w:rPr>
        <w:t>: 190 [PMID: 20459775 DOI: 10.1186/1471-2407-10-190]</w:t>
      </w:r>
    </w:p>
    <w:p w14:paraId="001610B7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12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Geissler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EK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Schnitzbauer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Zülke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Lamby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PE,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Proneth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Duvoux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Burra 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Jauch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KW,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Rentsch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Ganten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TM, Schmidt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Settmacher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U,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Heise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Rossi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Cillo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U,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Kneteman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N, Adam R, van Hoek B,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Bachellier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P, Wolf 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Rostaing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L,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Bechstein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WO,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Rizell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Powell J, Hidalgo E,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Gugenheim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Wolters H,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Brockmann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Roy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Mutzbauer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Schlitt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Beckebaum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Graeb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Nadalin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Valente U,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Turrión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VS, Jamieson N,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Scholz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T,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Colledan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Fändrich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F, Becker T,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Söderdahl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Chazouillères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O,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Mäkisalo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H,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Pageaux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Steininger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Soliman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T, de Jong KP,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Pirenne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Margreiter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Pratschke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Pinna AD,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Hauss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Schreiber 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Strasser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Klempnauer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Troisi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RI,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Bhoori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Lerut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Bilbao I, Klein CG,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Königsrainer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Mirza DF, Otto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Mazzaferro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V,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Neuhaus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Schlitt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HJ.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Sirolimus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Use in Liver Transplant Recipients With Hepatocellular Carcinoma: A Randomized, Multicenter, Open-Label Phase 3 Trial. </w:t>
      </w:r>
      <w:r w:rsidRPr="000D70CA">
        <w:rPr>
          <w:rFonts w:ascii="Book Antiqua" w:hAnsi="Book Antiqua"/>
          <w:i/>
          <w:color w:val="000000" w:themeColor="text1"/>
          <w:szCs w:val="24"/>
        </w:rPr>
        <w:t>Transplantation</w:t>
      </w:r>
      <w:r w:rsidRPr="000D70CA">
        <w:rPr>
          <w:rFonts w:ascii="Book Antiqua" w:hAnsi="Book Antiqua"/>
          <w:color w:val="000000" w:themeColor="text1"/>
          <w:szCs w:val="24"/>
        </w:rPr>
        <w:t xml:space="preserve"> 2016; </w:t>
      </w:r>
      <w:r w:rsidRPr="000D70CA">
        <w:rPr>
          <w:rFonts w:ascii="Book Antiqua" w:hAnsi="Book Antiqua"/>
          <w:b/>
          <w:color w:val="000000" w:themeColor="text1"/>
          <w:szCs w:val="24"/>
        </w:rPr>
        <w:t>100</w:t>
      </w:r>
      <w:r w:rsidRPr="000D70CA">
        <w:rPr>
          <w:rFonts w:ascii="Book Antiqua" w:hAnsi="Book Antiqua"/>
          <w:color w:val="000000" w:themeColor="text1"/>
          <w:szCs w:val="24"/>
        </w:rPr>
        <w:t>: 116-125 [PMID: 26555945 DOI: 10.1097/TP.0000000000000965]</w:t>
      </w:r>
    </w:p>
    <w:p w14:paraId="698BE95C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13 </w:t>
      </w:r>
      <w:r w:rsidRPr="000D70CA">
        <w:rPr>
          <w:rFonts w:ascii="Book Antiqua" w:hAnsi="Book Antiqua"/>
          <w:b/>
          <w:color w:val="000000" w:themeColor="text1"/>
          <w:szCs w:val="24"/>
        </w:rPr>
        <w:t>Au KP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Chok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KSH. Multidisciplinary approach for post-liver transplant recurrence of hepatocellular carcinoma: A proposed management algorithm.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World J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Gastroenterol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2018; </w:t>
      </w:r>
      <w:r w:rsidRPr="000D70CA">
        <w:rPr>
          <w:rFonts w:ascii="Book Antiqua" w:hAnsi="Book Antiqua"/>
          <w:b/>
          <w:color w:val="000000" w:themeColor="text1"/>
          <w:szCs w:val="24"/>
        </w:rPr>
        <w:t>24</w:t>
      </w:r>
      <w:r w:rsidRPr="000D70CA">
        <w:rPr>
          <w:rFonts w:ascii="Book Antiqua" w:hAnsi="Book Antiqua"/>
          <w:color w:val="000000" w:themeColor="text1"/>
          <w:szCs w:val="24"/>
        </w:rPr>
        <w:t xml:space="preserve">: 5081-5094 [PMID: 30568386 DOI: </w:t>
      </w:r>
      <w:r w:rsidRPr="000D70CA">
        <w:rPr>
          <w:rFonts w:ascii="Book Antiqua" w:hAnsi="Book Antiqua"/>
          <w:color w:val="000000" w:themeColor="text1"/>
          <w:szCs w:val="24"/>
        </w:rPr>
        <w:lastRenderedPageBreak/>
        <w:t>10.3748/wjg.v24.i45.5081]</w:t>
      </w:r>
    </w:p>
    <w:p w14:paraId="3784670F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  <w:lang w:eastAsia="zh-CN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14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Piñero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F,</w:t>
      </w:r>
      <w:r w:rsidRPr="000D70CA">
        <w:rPr>
          <w:rFonts w:ascii="Book Antiqua" w:hAnsi="Book Antiqua"/>
          <w:color w:val="000000" w:themeColor="text1"/>
          <w:szCs w:val="24"/>
        </w:rPr>
        <w:t xml:space="preserve"> Marciano S, Anders M.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Sorafenib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for Recurrent Hepatocellular Carcinoma after Liver Transplantation: A South American Experience. 2016</w:t>
      </w:r>
      <w:r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; </w:t>
      </w:r>
      <w:r w:rsidRPr="000D70CA">
        <w:rPr>
          <w:rFonts w:ascii="Book Antiqua" w:hAnsi="Book Antiqua"/>
          <w:b/>
          <w:bCs/>
          <w:color w:val="000000" w:themeColor="text1"/>
          <w:szCs w:val="24"/>
          <w:lang w:eastAsia="zh-CN"/>
        </w:rPr>
        <w:t>46</w:t>
      </w:r>
    </w:p>
    <w:p w14:paraId="6D727C7E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15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Fallah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>-Rad N,</w:t>
      </w:r>
      <w:r w:rsidRPr="000D70CA">
        <w:rPr>
          <w:rFonts w:ascii="Book Antiqua" w:hAnsi="Book Antiqua"/>
          <w:color w:val="000000" w:themeColor="text1"/>
          <w:szCs w:val="24"/>
        </w:rPr>
        <w:t xml:space="preserve"> Cao Y, Knox JJ, Jang RWJ,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Dhani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NC,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Sapisochin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G, Grant D,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Greig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PD, Lilly L, Chen E.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Sorafenib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treatment in recurrent hepatocellular carcinoma post liver transplantation. </w:t>
      </w:r>
      <w:r w:rsidRPr="000D70CA">
        <w:rPr>
          <w:rFonts w:ascii="Book Antiqua" w:hAnsi="Book Antiqua"/>
          <w:i/>
          <w:iCs/>
          <w:color w:val="000000" w:themeColor="text1"/>
          <w:szCs w:val="24"/>
        </w:rPr>
        <w:t xml:space="preserve">J </w:t>
      </w:r>
      <w:proofErr w:type="spellStart"/>
      <w:r w:rsidRPr="000D70CA">
        <w:rPr>
          <w:rFonts w:ascii="Book Antiqua" w:hAnsi="Book Antiqua"/>
          <w:i/>
          <w:iCs/>
          <w:color w:val="000000" w:themeColor="text1"/>
          <w:szCs w:val="24"/>
        </w:rPr>
        <w:t>Clin</w:t>
      </w:r>
      <w:proofErr w:type="spellEnd"/>
      <w:r w:rsidRPr="000D70CA">
        <w:rPr>
          <w:rFonts w:ascii="Book Antiqua" w:hAnsi="Book Antiqua"/>
          <w:i/>
          <w:iCs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i/>
          <w:iCs/>
          <w:color w:val="000000" w:themeColor="text1"/>
          <w:szCs w:val="24"/>
        </w:rPr>
        <w:t>Oncol</w:t>
      </w:r>
      <w:proofErr w:type="spellEnd"/>
      <w:r w:rsidRPr="000D70CA">
        <w:rPr>
          <w:rFonts w:ascii="Book Antiqua" w:hAnsi="Book Antiqua"/>
          <w:i/>
          <w:i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color w:val="000000" w:themeColor="text1"/>
          <w:szCs w:val="24"/>
        </w:rPr>
        <w:t xml:space="preserve">2017;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35</w:t>
      </w:r>
      <w:r w:rsidRPr="000D70CA">
        <w:rPr>
          <w:rFonts w:ascii="Book Antiqua" w:hAnsi="Book Antiqua"/>
          <w:color w:val="000000" w:themeColor="text1"/>
          <w:szCs w:val="24"/>
        </w:rPr>
        <w:t>: 479-479 [DOI: 10.1200/JCO.2017.35.4_suppl.479]</w:t>
      </w:r>
    </w:p>
    <w:p w14:paraId="5C1EEA01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16 </w:t>
      </w:r>
      <w:r w:rsidRPr="000D70CA">
        <w:rPr>
          <w:rFonts w:ascii="Book Antiqua" w:hAnsi="Book Antiqua"/>
          <w:b/>
          <w:color w:val="000000" w:themeColor="text1"/>
          <w:szCs w:val="24"/>
        </w:rPr>
        <w:t>Kornberg A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Küpper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B,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Tannapfel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Katenkamp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K, Thrum K,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Habrecht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O,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Wilberg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J. Long-term survival after recurrent hepatocellular carcinoma in liver transplant patients: clinical patterns and outcome variables.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Eur</w:t>
      </w:r>
      <w:proofErr w:type="spellEnd"/>
      <w:r w:rsidRPr="000D70CA">
        <w:rPr>
          <w:rFonts w:ascii="Book Antiqua" w:hAnsi="Book Antiqua"/>
          <w:i/>
          <w:color w:val="000000" w:themeColor="text1"/>
          <w:szCs w:val="24"/>
        </w:rPr>
        <w:t xml:space="preserve"> J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Surg</w:t>
      </w:r>
      <w:proofErr w:type="spellEnd"/>
      <w:r w:rsidRPr="000D70CA">
        <w:rPr>
          <w:rFonts w:ascii="Book Antiqua" w:hAnsi="Book Antiqua"/>
          <w:i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Oncol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2010; </w:t>
      </w:r>
      <w:r w:rsidRPr="000D70CA">
        <w:rPr>
          <w:rFonts w:ascii="Book Antiqua" w:hAnsi="Book Antiqua"/>
          <w:b/>
          <w:color w:val="000000" w:themeColor="text1"/>
          <w:szCs w:val="24"/>
        </w:rPr>
        <w:t>36</w:t>
      </w:r>
      <w:r w:rsidRPr="000D70CA">
        <w:rPr>
          <w:rFonts w:ascii="Book Antiqua" w:hAnsi="Book Antiqua"/>
          <w:color w:val="000000" w:themeColor="text1"/>
          <w:szCs w:val="24"/>
        </w:rPr>
        <w:t>: 275-280 [PMID: 19857941 DOI: 10.1016/j.ejso.2009.10.001]</w:t>
      </w:r>
    </w:p>
    <w:p w14:paraId="2904087F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17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Sapisochin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G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Goldaracena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N,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Astete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Laurence JM, Davidson D, Rafael E, Castells L,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Sandroussi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Bilbao I,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Dopazo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Grant DR,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Lázaro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JL,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Caralt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Ghanekar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McGilvray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ID, Lilly L,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Cattral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Selzner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Charco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Greig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PD. Benefit of Treating Hepatocellular Carcinoma Recurrence after Liver Transplantation and Analysis of Prognostic Factors for Survival in a Large Euro-American Series.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Ann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Surg</w:t>
      </w:r>
      <w:proofErr w:type="spellEnd"/>
      <w:r w:rsidRPr="000D70CA">
        <w:rPr>
          <w:rFonts w:ascii="Book Antiqua" w:hAnsi="Book Antiqua"/>
          <w:i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Oncol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2015; </w:t>
      </w:r>
      <w:r w:rsidRPr="000D70CA">
        <w:rPr>
          <w:rFonts w:ascii="Book Antiqua" w:hAnsi="Book Antiqua"/>
          <w:b/>
          <w:color w:val="000000" w:themeColor="text1"/>
          <w:szCs w:val="24"/>
        </w:rPr>
        <w:t>22</w:t>
      </w:r>
      <w:r w:rsidRPr="000D70CA">
        <w:rPr>
          <w:rFonts w:ascii="Book Antiqua" w:hAnsi="Book Antiqua"/>
          <w:color w:val="000000" w:themeColor="text1"/>
          <w:szCs w:val="24"/>
        </w:rPr>
        <w:t>: 2286-2294 [PMID: 25472651 DOI: 10.1245/s10434-014-4273-6]</w:t>
      </w:r>
    </w:p>
    <w:p w14:paraId="1AC6CBB4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proofErr w:type="gramStart"/>
      <w:r w:rsidRPr="000D70CA">
        <w:rPr>
          <w:rFonts w:ascii="Book Antiqua" w:hAnsi="Book Antiqua"/>
          <w:color w:val="000000" w:themeColor="text1"/>
          <w:szCs w:val="24"/>
        </w:rPr>
        <w:t xml:space="preserve">18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Bodzin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AS</w:t>
      </w:r>
      <w:r w:rsidRPr="000D70CA">
        <w:rPr>
          <w:rFonts w:ascii="Book Antiqua" w:hAnsi="Book Antiqua"/>
          <w:color w:val="000000" w:themeColor="text1"/>
          <w:szCs w:val="24"/>
        </w:rPr>
        <w:t xml:space="preserve">, Lunsford KE,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Markovic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D,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Harlander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-Locke MP,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Busuttil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RW,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Agopian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VG.</w:t>
      </w:r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Predicting Mortality in Patients Developing Recurrent Hepatocellular Carcinoma </w:t>
      </w:r>
      <w:proofErr w:type="gramStart"/>
      <w:r w:rsidRPr="000D70CA">
        <w:rPr>
          <w:rFonts w:ascii="Book Antiqua" w:hAnsi="Book Antiqua"/>
          <w:color w:val="000000" w:themeColor="text1"/>
          <w:szCs w:val="24"/>
        </w:rPr>
        <w:t>After</w:t>
      </w:r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Liver Transplantation: Impact of Treatment Modality and Recurrence Characteristics.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Ann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Surg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2017; </w:t>
      </w:r>
      <w:r w:rsidRPr="000D70CA">
        <w:rPr>
          <w:rFonts w:ascii="Book Antiqua" w:hAnsi="Book Antiqua"/>
          <w:b/>
          <w:color w:val="000000" w:themeColor="text1"/>
          <w:szCs w:val="24"/>
        </w:rPr>
        <w:t>266</w:t>
      </w:r>
      <w:r w:rsidRPr="000D70CA">
        <w:rPr>
          <w:rFonts w:ascii="Book Antiqua" w:hAnsi="Book Antiqua"/>
          <w:color w:val="000000" w:themeColor="text1"/>
          <w:szCs w:val="24"/>
        </w:rPr>
        <w:t>: 118-125 [PMID: 27433914 DOI: 10.1097/SLA.0000000000001894]</w:t>
      </w:r>
    </w:p>
    <w:p w14:paraId="57816A84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19 </w:t>
      </w:r>
      <w:r w:rsidRPr="000D70CA">
        <w:rPr>
          <w:rFonts w:ascii="Book Antiqua" w:hAnsi="Book Antiqua"/>
          <w:b/>
          <w:color w:val="000000" w:themeColor="text1"/>
          <w:szCs w:val="24"/>
        </w:rPr>
        <w:t>Fernandez-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Sevilla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E</w:t>
      </w:r>
      <w:r w:rsidRPr="000D70CA">
        <w:rPr>
          <w:rFonts w:ascii="Book Antiqua" w:hAnsi="Book Antiqua"/>
          <w:color w:val="000000" w:themeColor="text1"/>
          <w:szCs w:val="24"/>
        </w:rPr>
        <w:t xml:space="preserve">, Allard MA,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Selten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Golse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N,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Vibert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E, Sa Cunha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Cherqui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D,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Castaing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D, Adam R. Recurrence of hepatocellular carcinoma after liver transplantation: Is there a place for resection?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Liver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Transpl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2017; </w:t>
      </w:r>
      <w:r w:rsidRPr="000D70CA">
        <w:rPr>
          <w:rFonts w:ascii="Book Antiqua" w:hAnsi="Book Antiqua"/>
          <w:b/>
          <w:color w:val="000000" w:themeColor="text1"/>
          <w:szCs w:val="24"/>
        </w:rPr>
        <w:t>23</w:t>
      </w:r>
      <w:r w:rsidRPr="000D70CA">
        <w:rPr>
          <w:rFonts w:ascii="Book Antiqua" w:hAnsi="Book Antiqua"/>
          <w:color w:val="000000" w:themeColor="text1"/>
          <w:szCs w:val="24"/>
        </w:rPr>
        <w:t>: 440-447 [PMID: 28187493 DOI: 10.1002/lt.24742]</w:t>
      </w:r>
    </w:p>
    <w:p w14:paraId="1AE037A7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20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Roayaie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S</w:t>
      </w:r>
      <w:r w:rsidRPr="000D70CA">
        <w:rPr>
          <w:rFonts w:ascii="Book Antiqua" w:hAnsi="Book Antiqua"/>
          <w:color w:val="000000" w:themeColor="text1"/>
          <w:szCs w:val="24"/>
        </w:rPr>
        <w:t xml:space="preserve">, Schwartz JD, Sung MW,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Emre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SH, Miller CM,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Gondolesi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GE, Krieger NR, Schwartz ME. Recurrence of hepatocellular carcinoma after liver transplant: patterns and prognosis.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Liver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Transpl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2004; </w:t>
      </w:r>
      <w:r w:rsidRPr="000D70CA">
        <w:rPr>
          <w:rFonts w:ascii="Book Antiqua" w:hAnsi="Book Antiqua"/>
          <w:b/>
          <w:color w:val="000000" w:themeColor="text1"/>
          <w:szCs w:val="24"/>
        </w:rPr>
        <w:t>10</w:t>
      </w:r>
      <w:r w:rsidRPr="000D70CA">
        <w:rPr>
          <w:rFonts w:ascii="Book Antiqua" w:hAnsi="Book Antiqua"/>
          <w:color w:val="000000" w:themeColor="text1"/>
          <w:szCs w:val="24"/>
        </w:rPr>
        <w:t xml:space="preserve">: 534-540 [PMID: </w:t>
      </w:r>
      <w:r w:rsidRPr="000D70CA">
        <w:rPr>
          <w:rFonts w:ascii="Book Antiqua" w:hAnsi="Book Antiqua"/>
          <w:color w:val="000000" w:themeColor="text1"/>
          <w:szCs w:val="24"/>
        </w:rPr>
        <w:lastRenderedPageBreak/>
        <w:t>15048797 DOI: 10.1002/lt.20128]</w:t>
      </w:r>
    </w:p>
    <w:p w14:paraId="26C3B226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21 </w:t>
      </w:r>
      <w:r w:rsidRPr="000D70CA">
        <w:rPr>
          <w:rFonts w:ascii="Book Antiqua" w:hAnsi="Book Antiqua"/>
          <w:b/>
          <w:color w:val="000000" w:themeColor="text1"/>
          <w:szCs w:val="24"/>
        </w:rPr>
        <w:t>Zimmerman MA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Ghobrial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RM, Tong MJ, Hiatt JR, Cameron AM, Hong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Busuttil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RW. Recurrence of hepatocellular carcinoma following liver transplantation: a review of preoperative and postoperative prognostic indicators.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Arch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Surg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2008; </w:t>
      </w:r>
      <w:r w:rsidRPr="000D70CA">
        <w:rPr>
          <w:rFonts w:ascii="Book Antiqua" w:hAnsi="Book Antiqua"/>
          <w:b/>
          <w:color w:val="000000" w:themeColor="text1"/>
          <w:szCs w:val="24"/>
        </w:rPr>
        <w:t>143</w:t>
      </w:r>
      <w:r w:rsidRPr="000D70CA">
        <w:rPr>
          <w:rFonts w:ascii="Book Antiqua" w:hAnsi="Book Antiqua"/>
          <w:color w:val="000000" w:themeColor="text1"/>
          <w:szCs w:val="24"/>
        </w:rPr>
        <w:t>: 182-8; discussion 188 [PMID: 18283144 DOI: 10.1001/archsurg.2007.39]</w:t>
      </w:r>
    </w:p>
    <w:p w14:paraId="3C962349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22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Mazzaferro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V</w:t>
      </w:r>
      <w:r w:rsidRPr="000D70CA">
        <w:rPr>
          <w:rFonts w:ascii="Book Antiqua" w:hAnsi="Book Antiqua"/>
          <w:color w:val="000000" w:themeColor="text1"/>
          <w:szCs w:val="24"/>
        </w:rPr>
        <w:t xml:space="preserve">, Regalia E,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Doci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Andreola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Pulvirenti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Bozzetti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F,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Montalto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F,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Ammatuna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Morabito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A,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Gennari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L. Liver transplantation for the treatment of small hepatocellular carcinomas in patients with cirrhosis.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N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Engl</w:t>
      </w:r>
      <w:proofErr w:type="spellEnd"/>
      <w:r w:rsidRPr="000D70CA">
        <w:rPr>
          <w:rFonts w:ascii="Book Antiqua" w:hAnsi="Book Antiqua"/>
          <w:i/>
          <w:color w:val="000000" w:themeColor="text1"/>
          <w:szCs w:val="24"/>
        </w:rPr>
        <w:t xml:space="preserve"> J Med</w:t>
      </w:r>
      <w:r w:rsidRPr="000D70CA">
        <w:rPr>
          <w:rFonts w:ascii="Book Antiqua" w:hAnsi="Book Antiqua"/>
          <w:color w:val="000000" w:themeColor="text1"/>
          <w:szCs w:val="24"/>
        </w:rPr>
        <w:t xml:space="preserve"> 1996; </w:t>
      </w:r>
      <w:r w:rsidRPr="000D70CA">
        <w:rPr>
          <w:rFonts w:ascii="Book Antiqua" w:hAnsi="Book Antiqua"/>
          <w:b/>
          <w:color w:val="000000" w:themeColor="text1"/>
          <w:szCs w:val="24"/>
        </w:rPr>
        <w:t>334</w:t>
      </w:r>
      <w:r w:rsidRPr="000D70CA">
        <w:rPr>
          <w:rFonts w:ascii="Book Antiqua" w:hAnsi="Book Antiqua"/>
          <w:color w:val="000000" w:themeColor="text1"/>
          <w:szCs w:val="24"/>
        </w:rPr>
        <w:t>: 693-699 [PMID: 8594428 DOI: 10.1056/NEJM199603143341104]</w:t>
      </w:r>
    </w:p>
    <w:p w14:paraId="66D48C4C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23 </w:t>
      </w:r>
      <w:r w:rsidRPr="000D70CA">
        <w:rPr>
          <w:rFonts w:ascii="Book Antiqua" w:hAnsi="Book Antiqua"/>
          <w:b/>
          <w:color w:val="000000" w:themeColor="text1"/>
          <w:szCs w:val="24"/>
        </w:rPr>
        <w:t>Hellman S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Weichselbaum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RR. </w:t>
      </w:r>
      <w:proofErr w:type="spellStart"/>
      <w:proofErr w:type="gramStart"/>
      <w:r w:rsidRPr="000D70CA">
        <w:rPr>
          <w:rFonts w:ascii="Book Antiqua" w:hAnsi="Book Antiqua"/>
          <w:color w:val="000000" w:themeColor="text1"/>
          <w:szCs w:val="24"/>
        </w:rPr>
        <w:t>Oligometastases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>.</w:t>
      </w:r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i/>
          <w:color w:val="000000" w:themeColor="text1"/>
          <w:szCs w:val="24"/>
        </w:rPr>
        <w:t xml:space="preserve">J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Clin</w:t>
      </w:r>
      <w:proofErr w:type="spellEnd"/>
      <w:r w:rsidRPr="000D70CA">
        <w:rPr>
          <w:rFonts w:ascii="Book Antiqua" w:hAnsi="Book Antiqua"/>
          <w:i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i/>
          <w:color w:val="000000" w:themeColor="text1"/>
          <w:szCs w:val="24"/>
        </w:rPr>
        <w:t>Oncol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1995; </w:t>
      </w:r>
      <w:r w:rsidRPr="000D70CA">
        <w:rPr>
          <w:rFonts w:ascii="Book Antiqua" w:hAnsi="Book Antiqua"/>
          <w:b/>
          <w:color w:val="000000" w:themeColor="text1"/>
          <w:szCs w:val="24"/>
        </w:rPr>
        <w:t>13</w:t>
      </w:r>
      <w:r w:rsidRPr="000D70CA">
        <w:rPr>
          <w:rFonts w:ascii="Book Antiqua" w:hAnsi="Book Antiqua"/>
          <w:color w:val="000000" w:themeColor="text1"/>
          <w:szCs w:val="24"/>
        </w:rPr>
        <w:t>: 8-10 [PMID: 7799047 DOI: 10.1200/JCO.1995.13.1.8]</w:t>
      </w:r>
    </w:p>
    <w:p w14:paraId="03172537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24 </w:t>
      </w:r>
      <w:r w:rsidRPr="000D70CA">
        <w:rPr>
          <w:rFonts w:ascii="Book Antiqua" w:hAnsi="Book Antiqua"/>
          <w:b/>
          <w:color w:val="000000" w:themeColor="text1"/>
          <w:szCs w:val="24"/>
        </w:rPr>
        <w:t>Fischer L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Saliba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F, Kaiser GM, De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Carlis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L,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Metselaar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HJ, De Simone P,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Duvoux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C,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Nevens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F, Fung JJ, Dong G,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Rauer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B,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Junge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G; H2304 Study Group. Three-year Outcomes in De Novo Liver Transplant Patients Receiving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Everolimus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</w:t>
      </w:r>
      <w:proofErr w:type="gramStart"/>
      <w:r w:rsidRPr="000D70CA">
        <w:rPr>
          <w:rFonts w:ascii="Book Antiqua" w:hAnsi="Book Antiqua"/>
          <w:color w:val="000000" w:themeColor="text1"/>
          <w:szCs w:val="24"/>
        </w:rPr>
        <w:t>With</w:t>
      </w:r>
      <w:proofErr w:type="gramEnd"/>
      <w:r w:rsidRPr="000D70CA">
        <w:rPr>
          <w:rFonts w:ascii="Book Antiqua" w:hAnsi="Book Antiqua"/>
          <w:color w:val="000000" w:themeColor="text1"/>
          <w:szCs w:val="24"/>
        </w:rPr>
        <w:t xml:space="preserve"> Reduced Tacrolimus: Follow-Up Results From a Randomized, Multicenter Study. </w:t>
      </w:r>
      <w:r w:rsidRPr="000D70CA">
        <w:rPr>
          <w:rFonts w:ascii="Book Antiqua" w:hAnsi="Book Antiqua"/>
          <w:i/>
          <w:color w:val="000000" w:themeColor="text1"/>
          <w:szCs w:val="24"/>
        </w:rPr>
        <w:t>Transplantation</w:t>
      </w:r>
      <w:r w:rsidRPr="000D70CA">
        <w:rPr>
          <w:rFonts w:ascii="Book Antiqua" w:hAnsi="Book Antiqua"/>
          <w:color w:val="000000" w:themeColor="text1"/>
          <w:szCs w:val="24"/>
        </w:rPr>
        <w:t xml:space="preserve"> 2015; </w:t>
      </w:r>
      <w:r w:rsidRPr="000D70CA">
        <w:rPr>
          <w:rFonts w:ascii="Book Antiqua" w:hAnsi="Book Antiqua"/>
          <w:b/>
          <w:color w:val="000000" w:themeColor="text1"/>
          <w:szCs w:val="24"/>
        </w:rPr>
        <w:t>99</w:t>
      </w:r>
      <w:r w:rsidRPr="000D70CA">
        <w:rPr>
          <w:rFonts w:ascii="Book Antiqua" w:hAnsi="Book Antiqua"/>
          <w:color w:val="000000" w:themeColor="text1"/>
          <w:szCs w:val="24"/>
        </w:rPr>
        <w:t>: 1455-1462 [PMID: 26151607 DOI: 10.1097/TP.0000000000000555]</w:t>
      </w:r>
    </w:p>
    <w:p w14:paraId="29FB6E26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25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Bjornsti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MA</w:t>
      </w:r>
      <w:r w:rsidRPr="000D70CA">
        <w:rPr>
          <w:rFonts w:ascii="Book Antiqua" w:hAnsi="Book Antiqua"/>
          <w:color w:val="000000" w:themeColor="text1"/>
          <w:szCs w:val="24"/>
        </w:rPr>
        <w:t xml:space="preserve">, Houghton PJ. The TOR pathway: a target for cancer therapy. </w:t>
      </w:r>
      <w:r w:rsidRPr="000D70CA">
        <w:rPr>
          <w:rFonts w:ascii="Book Antiqua" w:hAnsi="Book Antiqua"/>
          <w:i/>
          <w:color w:val="000000" w:themeColor="text1"/>
          <w:szCs w:val="24"/>
        </w:rPr>
        <w:t>Nat Rev Cancer</w:t>
      </w:r>
      <w:r w:rsidRPr="000D70CA">
        <w:rPr>
          <w:rFonts w:ascii="Book Antiqua" w:hAnsi="Book Antiqua"/>
          <w:color w:val="000000" w:themeColor="text1"/>
          <w:szCs w:val="24"/>
        </w:rPr>
        <w:t xml:space="preserve"> 2004; </w:t>
      </w:r>
      <w:r w:rsidRPr="000D70CA">
        <w:rPr>
          <w:rFonts w:ascii="Book Antiqua" w:hAnsi="Book Antiqua"/>
          <w:b/>
          <w:color w:val="000000" w:themeColor="text1"/>
          <w:szCs w:val="24"/>
        </w:rPr>
        <w:t>4</w:t>
      </w:r>
      <w:r w:rsidRPr="000D70CA">
        <w:rPr>
          <w:rFonts w:ascii="Book Antiqua" w:hAnsi="Book Antiqua"/>
          <w:color w:val="000000" w:themeColor="text1"/>
          <w:szCs w:val="24"/>
        </w:rPr>
        <w:t>: 335-348 [PMID: 15122205 DOI: 10.1038/nrc1362]</w:t>
      </w:r>
    </w:p>
    <w:p w14:paraId="2DBD6001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t xml:space="preserve">26 </w:t>
      </w:r>
      <w:proofErr w:type="spellStart"/>
      <w:r w:rsidRPr="000D70CA">
        <w:rPr>
          <w:rFonts w:ascii="Book Antiqua" w:hAnsi="Book Antiqua"/>
          <w:b/>
          <w:color w:val="000000" w:themeColor="text1"/>
          <w:szCs w:val="24"/>
        </w:rPr>
        <w:t>Sieghart</w:t>
      </w:r>
      <w:proofErr w:type="spellEnd"/>
      <w:r w:rsidRPr="000D70CA">
        <w:rPr>
          <w:rFonts w:ascii="Book Antiqua" w:hAnsi="Book Antiqua"/>
          <w:b/>
          <w:color w:val="000000" w:themeColor="text1"/>
          <w:szCs w:val="24"/>
        </w:rPr>
        <w:t xml:space="preserve"> W</w:t>
      </w:r>
      <w:r w:rsidRPr="000D70CA">
        <w:rPr>
          <w:rFonts w:ascii="Book Antiqua" w:hAnsi="Book Antiqua"/>
          <w:color w:val="000000" w:themeColor="text1"/>
          <w:szCs w:val="24"/>
        </w:rPr>
        <w:t xml:space="preserve">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Fuereder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T,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Schmid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K,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Cejka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D,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Werzowa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J,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Wrba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F, Wang X, Gruber D,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Rasoul-Rockenschaub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S, Peck-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Radosavljevic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M,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Wacheck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 xml:space="preserve"> V. Mammalian target of rapamycin pathway activity in hepatocellular carcinomas of patients undergoing liver transplantation. </w:t>
      </w:r>
      <w:r w:rsidRPr="000D70CA">
        <w:rPr>
          <w:rFonts w:ascii="Book Antiqua" w:hAnsi="Book Antiqua"/>
          <w:i/>
          <w:color w:val="000000" w:themeColor="text1"/>
          <w:szCs w:val="24"/>
        </w:rPr>
        <w:t>Transplantation</w:t>
      </w:r>
      <w:r w:rsidRPr="000D70CA">
        <w:rPr>
          <w:rFonts w:ascii="Book Antiqua" w:hAnsi="Book Antiqua"/>
          <w:color w:val="000000" w:themeColor="text1"/>
          <w:szCs w:val="24"/>
        </w:rPr>
        <w:t xml:space="preserve"> 2007; </w:t>
      </w:r>
      <w:r w:rsidRPr="000D70CA">
        <w:rPr>
          <w:rFonts w:ascii="Book Antiqua" w:hAnsi="Book Antiqua"/>
          <w:b/>
          <w:color w:val="000000" w:themeColor="text1"/>
          <w:szCs w:val="24"/>
        </w:rPr>
        <w:t>83</w:t>
      </w:r>
      <w:r w:rsidRPr="000D70CA">
        <w:rPr>
          <w:rFonts w:ascii="Book Antiqua" w:hAnsi="Book Antiqua"/>
          <w:color w:val="000000" w:themeColor="text1"/>
          <w:szCs w:val="24"/>
        </w:rPr>
        <w:t>: 425-432 [PMID: 17318075 DOI: 10.1097/01.tp.0000252780.42104.95]</w:t>
      </w:r>
    </w:p>
    <w:p w14:paraId="3936859F" w14:textId="4F541E14" w:rsidR="00731DC4" w:rsidRPr="000D70CA" w:rsidRDefault="00731DC4" w:rsidP="00BE6C9D">
      <w:pPr>
        <w:widowControl/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br w:type="page"/>
      </w:r>
    </w:p>
    <w:p w14:paraId="0B00561B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Cs w:val="24"/>
        </w:rPr>
      </w:pPr>
      <w:r w:rsidRPr="000D70CA">
        <w:rPr>
          <w:rFonts w:ascii="Book Antiqua" w:hAnsi="Book Antiqua"/>
          <w:b/>
          <w:szCs w:val="24"/>
        </w:rPr>
        <w:lastRenderedPageBreak/>
        <w:t>Footnotes</w:t>
      </w:r>
    </w:p>
    <w:p w14:paraId="612796A9" w14:textId="5415B290" w:rsidR="00731DC4" w:rsidRPr="000D70CA" w:rsidRDefault="00731DC4" w:rsidP="00BE6C9D">
      <w:pPr>
        <w:pStyle w:val="Default"/>
        <w:snapToGrid w:val="0"/>
        <w:spacing w:line="360" w:lineRule="auto"/>
        <w:jc w:val="both"/>
      </w:pPr>
      <w:r w:rsidRPr="000D70CA">
        <w:rPr>
          <w:b/>
        </w:rPr>
        <w:t>Institutional review board statement</w:t>
      </w:r>
      <w:r w:rsidRPr="000D70CA">
        <w:rPr>
          <w:b/>
          <w:bCs/>
          <w:iCs/>
        </w:rPr>
        <w:t>:</w:t>
      </w:r>
      <w:r w:rsidR="00F740D9" w:rsidRPr="000D70CA">
        <w:t xml:space="preserve"> Institutional review board approval was not required for this study </w:t>
      </w:r>
      <w:r w:rsidR="00BE271A" w:rsidRPr="000D70CA">
        <w:t>as</w:t>
      </w:r>
      <w:r w:rsidR="00F740D9" w:rsidRPr="000D70CA">
        <w:t xml:space="preserve"> it </w:t>
      </w:r>
      <w:r w:rsidR="00BE271A" w:rsidRPr="000D70CA">
        <w:t>was</w:t>
      </w:r>
      <w:r w:rsidR="00F740D9" w:rsidRPr="000D70CA">
        <w:t xml:space="preserve"> a retrospective analysis of data and thus treatments given to patients were not affected by the study.</w:t>
      </w:r>
    </w:p>
    <w:p w14:paraId="62D53E71" w14:textId="77777777" w:rsidR="00F740D9" w:rsidRPr="000D70CA" w:rsidRDefault="00F740D9" w:rsidP="00BE6C9D">
      <w:pPr>
        <w:pStyle w:val="Default"/>
        <w:snapToGrid w:val="0"/>
        <w:spacing w:line="360" w:lineRule="auto"/>
        <w:jc w:val="both"/>
      </w:pPr>
    </w:p>
    <w:p w14:paraId="49B19F2B" w14:textId="5F701634" w:rsidR="00731DC4" w:rsidRPr="000D70CA" w:rsidRDefault="00731DC4" w:rsidP="00BE6C9D">
      <w:pPr>
        <w:pStyle w:val="Default"/>
        <w:snapToGrid w:val="0"/>
        <w:spacing w:line="360" w:lineRule="auto"/>
        <w:jc w:val="both"/>
      </w:pPr>
      <w:r w:rsidRPr="000D70CA">
        <w:rPr>
          <w:b/>
        </w:rPr>
        <w:t>Informed consent statement</w:t>
      </w:r>
      <w:r w:rsidRPr="000D70CA">
        <w:rPr>
          <w:b/>
          <w:bCs/>
          <w:iCs/>
        </w:rPr>
        <w:t>:</w:t>
      </w:r>
      <w:r w:rsidR="00F740D9" w:rsidRPr="000D70CA">
        <w:t xml:space="preserve"> No informed consent forms were required as this </w:t>
      </w:r>
      <w:r w:rsidR="00BE271A" w:rsidRPr="000D70CA">
        <w:t>was</w:t>
      </w:r>
      <w:r w:rsidR="00F740D9" w:rsidRPr="000D70CA">
        <w:t xml:space="preserve"> a retrospective cohort study.</w:t>
      </w:r>
    </w:p>
    <w:p w14:paraId="704EFD30" w14:textId="77777777" w:rsidR="00731DC4" w:rsidRPr="000D70CA" w:rsidRDefault="00731DC4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iCs/>
          <w:color w:val="000000"/>
          <w:kern w:val="0"/>
          <w:szCs w:val="24"/>
        </w:rPr>
      </w:pPr>
    </w:p>
    <w:p w14:paraId="5D387463" w14:textId="5F20D3C8" w:rsidR="00731DC4" w:rsidRPr="000D70CA" w:rsidRDefault="00731DC4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>Conflict-of-interest statement</w:t>
      </w:r>
      <w:r w:rsidRPr="000D70CA">
        <w:rPr>
          <w:rFonts w:ascii="Book Antiqua" w:hAnsi="Book Antiqua" w:cs="TimesNewRomanPS-BoldItalicMT"/>
          <w:b/>
          <w:bCs/>
          <w:iCs/>
          <w:color w:val="000000"/>
          <w:szCs w:val="24"/>
        </w:rPr>
        <w:t xml:space="preserve">: </w:t>
      </w:r>
      <w:r w:rsidRPr="000D70CA">
        <w:rPr>
          <w:rFonts w:ascii="Book Antiqua" w:hAnsi="Book Antiqua"/>
          <w:color w:val="000000" w:themeColor="text1"/>
          <w:szCs w:val="24"/>
        </w:rPr>
        <w:t>None of the authors has any conflict of interest.</w:t>
      </w:r>
    </w:p>
    <w:p w14:paraId="7CC0A545" w14:textId="77777777" w:rsidR="00731DC4" w:rsidRPr="000D70CA" w:rsidRDefault="00731DC4" w:rsidP="00BE6C9D">
      <w:pPr>
        <w:snapToGrid w:val="0"/>
        <w:spacing w:line="360" w:lineRule="auto"/>
        <w:jc w:val="both"/>
        <w:rPr>
          <w:rFonts w:ascii="Book Antiqua" w:hAnsi="Book Antiqua" w:cs="TimesNewRomanPS-BoldItalicMT"/>
          <w:b/>
          <w:bCs/>
          <w:iCs/>
          <w:color w:val="000000"/>
          <w:szCs w:val="24"/>
        </w:rPr>
      </w:pPr>
    </w:p>
    <w:p w14:paraId="207AAD6B" w14:textId="77777777" w:rsidR="00731DC4" w:rsidRPr="000D70CA" w:rsidRDefault="00731DC4" w:rsidP="00BE6C9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>Data sharing statement</w:t>
      </w:r>
      <w:r w:rsidRPr="000D70CA">
        <w:rPr>
          <w:rFonts w:ascii="Book Antiqua" w:hAnsi="Book Antiqua" w:cs="TimesNewRomanPS-BoldItalicMT"/>
          <w:b/>
          <w:bCs/>
          <w:iCs/>
          <w:color w:val="000000"/>
          <w:szCs w:val="24"/>
        </w:rPr>
        <w:t>:</w:t>
      </w:r>
      <w:r w:rsidRPr="000D70CA">
        <w:rPr>
          <w:rFonts w:ascii="Book Antiqua" w:eastAsia="Times New Roman" w:hAnsi="Book Antiqua"/>
          <w:color w:val="000000"/>
          <w:szCs w:val="24"/>
        </w:rPr>
        <w:t xml:space="preserve"> </w:t>
      </w:r>
      <w:r w:rsidRPr="000D70CA">
        <w:rPr>
          <w:rFonts w:ascii="Book Antiqua" w:hAnsi="Book Antiqua"/>
          <w:bCs/>
          <w:iCs/>
          <w:color w:val="000000"/>
          <w:kern w:val="0"/>
          <w:szCs w:val="24"/>
        </w:rPr>
        <w:t>No additional data are available.</w:t>
      </w:r>
    </w:p>
    <w:p w14:paraId="1D5BA9BB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Cs w:val="24"/>
        </w:rPr>
      </w:pPr>
    </w:p>
    <w:p w14:paraId="0F513F73" w14:textId="54F7AAF3" w:rsidR="00731DC4" w:rsidRPr="000D70CA" w:rsidRDefault="00731DC4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 xml:space="preserve">STROBE statement: </w:t>
      </w:r>
      <w:r w:rsidRPr="000D70CA">
        <w:rPr>
          <w:rFonts w:ascii="Book Antiqua" w:hAnsi="Book Antiqua"/>
          <w:color w:val="000000" w:themeColor="text1"/>
          <w:szCs w:val="24"/>
        </w:rPr>
        <w:t>The guidelines of the STROBE Statement have been adopted.</w:t>
      </w:r>
    </w:p>
    <w:p w14:paraId="3AFBD733" w14:textId="77777777" w:rsidR="00731DC4" w:rsidRPr="000D70CA" w:rsidRDefault="00731DC4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</w:p>
    <w:p w14:paraId="408AC8BF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Cs w:val="24"/>
        </w:rPr>
      </w:pPr>
      <w:r w:rsidRPr="000D70CA">
        <w:rPr>
          <w:rFonts w:ascii="Book Antiqua" w:hAnsi="Book Antiqua"/>
          <w:b/>
          <w:color w:val="000000"/>
          <w:szCs w:val="24"/>
        </w:rPr>
        <w:t>Open-Access:</w:t>
      </w:r>
      <w:r w:rsidRPr="000D70CA">
        <w:rPr>
          <w:rFonts w:ascii="Book Antiqua" w:hAnsi="Book Antiqua"/>
          <w:color w:val="000000"/>
          <w:szCs w:val="24"/>
        </w:rPr>
        <w:t xml:space="preserve"> This article is an open-access </w:t>
      </w:r>
      <w:r w:rsidRPr="000D70CA">
        <w:rPr>
          <w:rFonts w:ascii="Book Antiqua" w:hAnsi="Book Antiqua"/>
          <w:szCs w:val="24"/>
        </w:rPr>
        <w:t xml:space="preserve">article that was selected </w:t>
      </w:r>
      <w:r w:rsidRPr="000D70CA">
        <w:rPr>
          <w:rFonts w:ascii="Book Antiqua" w:hAnsi="Book Antiqua"/>
          <w:color w:val="000000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0D70CA">
        <w:rPr>
          <w:rFonts w:ascii="Book Antiqua" w:hAnsi="Book Antiqua"/>
          <w:color w:val="000000"/>
          <w:szCs w:val="24"/>
        </w:rPr>
        <w:t>NonCommercial</w:t>
      </w:r>
      <w:proofErr w:type="spellEnd"/>
      <w:r w:rsidRPr="000D70CA">
        <w:rPr>
          <w:rFonts w:ascii="Book Antiqua" w:hAnsi="Book Antiqua"/>
          <w:color w:val="000000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7442E0A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Cs w:val="24"/>
        </w:rPr>
      </w:pPr>
    </w:p>
    <w:p w14:paraId="7DA709A0" w14:textId="3CDEED23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  <w:szCs w:val="24"/>
        </w:rPr>
      </w:pPr>
      <w:r w:rsidRPr="000D70CA">
        <w:rPr>
          <w:rFonts w:ascii="Book Antiqua" w:hAnsi="Book Antiqua"/>
          <w:b/>
          <w:bCs/>
          <w:color w:val="000000"/>
          <w:szCs w:val="24"/>
          <w:lang w:eastAsia="pl-PL"/>
        </w:rPr>
        <w:t>Manuscript source:</w:t>
      </w:r>
      <w:r w:rsidRPr="000D70CA">
        <w:rPr>
          <w:rFonts w:ascii="Book Antiqua" w:hAnsi="Book Antiqua"/>
          <w:b/>
          <w:bCs/>
          <w:color w:val="000000"/>
          <w:szCs w:val="24"/>
        </w:rPr>
        <w:t xml:space="preserve"> </w:t>
      </w:r>
      <w:r w:rsidRPr="000D70CA">
        <w:rPr>
          <w:rFonts w:ascii="Book Antiqua" w:hAnsi="Book Antiqua"/>
          <w:bCs/>
          <w:color w:val="000000"/>
          <w:szCs w:val="24"/>
          <w:lang w:eastAsia="pl-PL"/>
        </w:rPr>
        <w:t>Invited manuscript</w:t>
      </w:r>
    </w:p>
    <w:p w14:paraId="0C2930B8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szCs w:val="24"/>
        </w:rPr>
      </w:pPr>
    </w:p>
    <w:p w14:paraId="6B9000B3" w14:textId="1DC46982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Cs w:val="24"/>
        </w:rPr>
      </w:pPr>
      <w:r w:rsidRPr="000D70CA">
        <w:rPr>
          <w:rFonts w:ascii="Book Antiqua" w:hAnsi="Book Antiqua"/>
          <w:b/>
          <w:szCs w:val="24"/>
        </w:rPr>
        <w:t xml:space="preserve">Peer-review started: </w:t>
      </w:r>
      <w:r w:rsidRPr="000D70CA">
        <w:rPr>
          <w:rFonts w:ascii="Book Antiqua" w:hAnsi="Book Antiqua"/>
          <w:bCs/>
          <w:szCs w:val="24"/>
          <w:lang w:eastAsia="zh-CN"/>
        </w:rPr>
        <w:t>December</w:t>
      </w:r>
      <w:r w:rsidRPr="000D70CA">
        <w:rPr>
          <w:rFonts w:ascii="Book Antiqua" w:hAnsi="Book Antiqua"/>
          <w:b/>
          <w:szCs w:val="24"/>
          <w:lang w:eastAsia="zh-CN"/>
        </w:rPr>
        <w:t xml:space="preserve"> </w:t>
      </w:r>
      <w:r w:rsidRPr="000D70CA">
        <w:rPr>
          <w:rFonts w:ascii="Book Antiqua" w:hAnsi="Book Antiqua"/>
          <w:szCs w:val="24"/>
          <w:lang w:eastAsia="zh-CN"/>
        </w:rPr>
        <w:t>30</w:t>
      </w:r>
      <w:r w:rsidRPr="000D70CA">
        <w:rPr>
          <w:rFonts w:ascii="Book Antiqua" w:hAnsi="Book Antiqua"/>
          <w:szCs w:val="24"/>
        </w:rPr>
        <w:t>, 2019</w:t>
      </w:r>
    </w:p>
    <w:p w14:paraId="0E77C153" w14:textId="17C84700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Cs w:val="24"/>
        </w:rPr>
      </w:pPr>
      <w:r w:rsidRPr="000D70CA">
        <w:rPr>
          <w:rFonts w:ascii="Book Antiqua" w:hAnsi="Book Antiqua"/>
          <w:b/>
          <w:szCs w:val="24"/>
        </w:rPr>
        <w:t xml:space="preserve">First decision: </w:t>
      </w:r>
      <w:r w:rsidRPr="000D70CA">
        <w:rPr>
          <w:rFonts w:ascii="Book Antiqua" w:hAnsi="Book Antiqua"/>
          <w:bCs/>
          <w:szCs w:val="24"/>
          <w:lang w:eastAsia="zh-CN"/>
        </w:rPr>
        <w:t>January</w:t>
      </w:r>
      <w:r w:rsidRPr="000D70CA">
        <w:rPr>
          <w:rFonts w:ascii="Book Antiqua" w:hAnsi="Book Antiqua"/>
          <w:b/>
          <w:szCs w:val="24"/>
          <w:lang w:eastAsia="zh-CN"/>
        </w:rPr>
        <w:t xml:space="preserve"> </w:t>
      </w:r>
      <w:r w:rsidRPr="000D70CA">
        <w:rPr>
          <w:rFonts w:ascii="Book Antiqua" w:hAnsi="Book Antiqua"/>
          <w:szCs w:val="24"/>
        </w:rPr>
        <w:t>28, 2020</w:t>
      </w:r>
    </w:p>
    <w:p w14:paraId="23404F04" w14:textId="024FE8B5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Cs w:val="24"/>
        </w:rPr>
      </w:pPr>
      <w:r w:rsidRPr="000D70CA">
        <w:rPr>
          <w:rFonts w:ascii="Book Antiqua" w:hAnsi="Book Antiqua"/>
          <w:b/>
          <w:szCs w:val="24"/>
        </w:rPr>
        <w:t>Article in press:</w:t>
      </w:r>
      <w:r w:rsidR="00351644" w:rsidRPr="000D70CA">
        <w:rPr>
          <w:rFonts w:ascii="Book Antiqua" w:hAnsi="Book Antiqua"/>
          <w:color w:val="000000"/>
          <w:szCs w:val="24"/>
        </w:rPr>
        <w:t xml:space="preserve"> March 26, 2020</w:t>
      </w:r>
    </w:p>
    <w:p w14:paraId="75241954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Cs w:val="24"/>
        </w:rPr>
      </w:pPr>
    </w:p>
    <w:p w14:paraId="04EC934C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szCs w:val="24"/>
        </w:rPr>
      </w:pPr>
      <w:r w:rsidRPr="000D70CA">
        <w:rPr>
          <w:rFonts w:ascii="Book Antiqua" w:hAnsi="Book Antiqua" w:cs="宋体"/>
          <w:b/>
          <w:szCs w:val="24"/>
        </w:rPr>
        <w:lastRenderedPageBreak/>
        <w:t xml:space="preserve">Specialty type: </w:t>
      </w:r>
      <w:r w:rsidRPr="000D70CA">
        <w:rPr>
          <w:rFonts w:ascii="Book Antiqua" w:eastAsia="微软雅黑" w:hAnsi="Book Antiqua" w:cs="宋体"/>
          <w:szCs w:val="24"/>
        </w:rPr>
        <w:t>Gastroenterology and hepatology</w:t>
      </w:r>
    </w:p>
    <w:p w14:paraId="02DB6DC1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szCs w:val="24"/>
        </w:rPr>
      </w:pPr>
      <w:r w:rsidRPr="000D70CA">
        <w:rPr>
          <w:rFonts w:ascii="Book Antiqua" w:hAnsi="Book Antiqua" w:cs="宋体"/>
          <w:b/>
          <w:szCs w:val="24"/>
        </w:rPr>
        <w:t xml:space="preserve">Country of origin: </w:t>
      </w:r>
      <w:r w:rsidRPr="000D70CA">
        <w:rPr>
          <w:rFonts w:ascii="Book Antiqua" w:hAnsi="Book Antiqua" w:cs="宋体"/>
          <w:szCs w:val="24"/>
        </w:rPr>
        <w:t>China</w:t>
      </w:r>
    </w:p>
    <w:p w14:paraId="370E3FDC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szCs w:val="24"/>
        </w:rPr>
      </w:pPr>
      <w:r w:rsidRPr="000D70CA">
        <w:rPr>
          <w:rFonts w:ascii="Book Antiqua" w:hAnsi="Book Antiqua" w:cs="宋体"/>
          <w:b/>
          <w:szCs w:val="24"/>
        </w:rPr>
        <w:t>Peer-review report classification</w:t>
      </w:r>
    </w:p>
    <w:p w14:paraId="38B49DFC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szCs w:val="24"/>
        </w:rPr>
      </w:pPr>
      <w:r w:rsidRPr="000D70CA">
        <w:rPr>
          <w:rFonts w:ascii="Book Antiqua" w:hAnsi="Book Antiqua" w:cs="宋体"/>
          <w:szCs w:val="24"/>
        </w:rPr>
        <w:t>Grade </w:t>
      </w:r>
      <w:proofErr w:type="gramStart"/>
      <w:r w:rsidRPr="000D70CA">
        <w:rPr>
          <w:rFonts w:ascii="Book Antiqua" w:hAnsi="Book Antiqua" w:cs="宋体"/>
          <w:szCs w:val="24"/>
        </w:rPr>
        <w:t>A</w:t>
      </w:r>
      <w:proofErr w:type="gramEnd"/>
      <w:r w:rsidRPr="000D70CA">
        <w:rPr>
          <w:rFonts w:ascii="Book Antiqua" w:hAnsi="Book Antiqua" w:cs="宋体"/>
          <w:szCs w:val="24"/>
        </w:rPr>
        <w:t> (Excellent): 0</w:t>
      </w:r>
    </w:p>
    <w:p w14:paraId="041DACD5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szCs w:val="24"/>
        </w:rPr>
      </w:pPr>
      <w:r w:rsidRPr="000D70CA">
        <w:rPr>
          <w:rFonts w:ascii="Book Antiqua" w:hAnsi="Book Antiqua" w:cs="宋体"/>
          <w:szCs w:val="24"/>
        </w:rPr>
        <w:t>Grade B (Very good): 0</w:t>
      </w:r>
    </w:p>
    <w:p w14:paraId="017C2A85" w14:textId="0361A375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szCs w:val="24"/>
          <w:lang w:eastAsia="zh-CN"/>
        </w:rPr>
      </w:pPr>
      <w:r w:rsidRPr="000D70CA">
        <w:rPr>
          <w:rFonts w:ascii="Book Antiqua" w:hAnsi="Book Antiqua" w:cs="宋体"/>
          <w:szCs w:val="24"/>
        </w:rPr>
        <w:t>Grade C (Good): C</w:t>
      </w:r>
      <w:r w:rsidRPr="000D70CA">
        <w:rPr>
          <w:rFonts w:ascii="Book Antiqua" w:hAnsi="Book Antiqua" w:cs="宋体"/>
          <w:szCs w:val="24"/>
          <w:lang w:eastAsia="zh-CN"/>
        </w:rPr>
        <w:t>, C</w:t>
      </w:r>
    </w:p>
    <w:p w14:paraId="1377DA34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szCs w:val="24"/>
        </w:rPr>
      </w:pPr>
      <w:r w:rsidRPr="000D70CA">
        <w:rPr>
          <w:rFonts w:ascii="Book Antiqua" w:hAnsi="Book Antiqua" w:cs="宋体"/>
          <w:szCs w:val="24"/>
        </w:rPr>
        <w:t>Grade D (Fair): 0</w:t>
      </w:r>
    </w:p>
    <w:p w14:paraId="77FAC4F8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szCs w:val="24"/>
          <w:lang w:val="hu-HU"/>
        </w:rPr>
      </w:pPr>
      <w:r w:rsidRPr="000D70CA">
        <w:rPr>
          <w:rFonts w:ascii="Book Antiqua" w:hAnsi="Book Antiqua" w:cs="宋体"/>
          <w:szCs w:val="24"/>
        </w:rPr>
        <w:t>Grade E (Poor): 0</w:t>
      </w:r>
    </w:p>
    <w:p w14:paraId="6A635FC1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szCs w:val="24"/>
          <w:lang w:val="hu-HU"/>
        </w:rPr>
      </w:pPr>
    </w:p>
    <w:p w14:paraId="015D68E0" w14:textId="20348721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color w:val="000000"/>
          <w:szCs w:val="24"/>
          <w:lang w:eastAsia="zh-CN"/>
        </w:rPr>
      </w:pPr>
      <w:r w:rsidRPr="000D70CA">
        <w:rPr>
          <w:rFonts w:ascii="Book Antiqua" w:hAnsi="Book Antiqua"/>
          <w:b/>
          <w:bCs/>
          <w:color w:val="000000"/>
          <w:szCs w:val="24"/>
        </w:rPr>
        <w:t xml:space="preserve">P-Reviewer: </w:t>
      </w:r>
      <w:r w:rsidRPr="000D70CA">
        <w:rPr>
          <w:rFonts w:ascii="Book Antiqua" w:hAnsi="Book Antiqua"/>
          <w:bCs/>
          <w:color w:val="000000"/>
          <w:szCs w:val="24"/>
        </w:rPr>
        <w:t>Corrales FJ, Mizuguchi T</w:t>
      </w:r>
      <w:r w:rsidRPr="000D70CA">
        <w:rPr>
          <w:rFonts w:ascii="Book Antiqua" w:hAnsi="Book Antiqua"/>
          <w:b/>
          <w:bCs/>
          <w:color w:val="000000"/>
          <w:szCs w:val="24"/>
        </w:rPr>
        <w:t xml:space="preserve"> S-Editor:</w:t>
      </w:r>
      <w:r w:rsidRPr="000D70CA">
        <w:rPr>
          <w:rFonts w:ascii="Book Antiqua" w:hAnsi="Book Antiqua"/>
          <w:color w:val="000000"/>
          <w:szCs w:val="24"/>
        </w:rPr>
        <w:t xml:space="preserve"> Dou Y </w:t>
      </w:r>
      <w:r w:rsidRPr="000D70CA">
        <w:rPr>
          <w:rFonts w:ascii="Book Antiqua" w:hAnsi="Book Antiqua"/>
          <w:b/>
          <w:bCs/>
          <w:color w:val="000000"/>
          <w:szCs w:val="24"/>
        </w:rPr>
        <w:t>L-Editor:</w:t>
      </w:r>
      <w:r w:rsidRPr="000D70CA">
        <w:rPr>
          <w:rFonts w:ascii="Book Antiqua" w:hAnsi="Book Antiqua"/>
          <w:color w:val="000000"/>
          <w:szCs w:val="24"/>
        </w:rPr>
        <w:t xml:space="preserve"> </w:t>
      </w:r>
      <w:r w:rsidR="00BE271A" w:rsidRPr="000D70CA">
        <w:rPr>
          <w:rFonts w:ascii="Book Antiqua" w:hAnsi="Book Antiqua"/>
          <w:color w:val="000000"/>
          <w:szCs w:val="24"/>
        </w:rPr>
        <w:t xml:space="preserve">Webster JR </w:t>
      </w:r>
      <w:r w:rsidRPr="000D70CA">
        <w:rPr>
          <w:rFonts w:ascii="Book Antiqua" w:hAnsi="Book Antiqua"/>
          <w:b/>
          <w:bCs/>
          <w:color w:val="000000"/>
          <w:szCs w:val="24"/>
        </w:rPr>
        <w:t>E-Editor:</w:t>
      </w:r>
      <w:r w:rsidR="00351644" w:rsidRPr="000D70CA">
        <w:rPr>
          <w:rFonts w:ascii="Book Antiqua" w:eastAsia="等线" w:hAnsi="Book Antiqua" w:hint="eastAsia"/>
          <w:b/>
          <w:bCs/>
          <w:color w:val="000000"/>
          <w:szCs w:val="24"/>
          <w:lang w:eastAsia="zh-CN"/>
        </w:rPr>
        <w:t xml:space="preserve"> </w:t>
      </w:r>
      <w:r w:rsidR="00351644" w:rsidRPr="000D70CA">
        <w:rPr>
          <w:rFonts w:ascii="Book Antiqua" w:eastAsia="等线" w:hAnsi="Book Antiqua"/>
          <w:bCs/>
          <w:color w:val="000000"/>
          <w:szCs w:val="24"/>
          <w:lang w:eastAsia="zh-CN"/>
        </w:rPr>
        <w:t>Xing YX</w:t>
      </w:r>
    </w:p>
    <w:p w14:paraId="749366FB" w14:textId="08ED4C96" w:rsidR="001647B6" w:rsidRPr="000D70CA" w:rsidRDefault="001647B6" w:rsidP="00BE6C9D">
      <w:pPr>
        <w:widowControl/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br w:type="page"/>
      </w:r>
    </w:p>
    <w:p w14:paraId="07AAE72A" w14:textId="77777777" w:rsidR="00731DC4" w:rsidRPr="000D70CA" w:rsidRDefault="00731DC4" w:rsidP="00BE6C9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Cs w:val="24"/>
        </w:rPr>
      </w:pPr>
      <w:r w:rsidRPr="000D70CA">
        <w:rPr>
          <w:rFonts w:ascii="Book Antiqua" w:hAnsi="Book Antiqua"/>
          <w:b/>
          <w:szCs w:val="24"/>
        </w:rPr>
        <w:lastRenderedPageBreak/>
        <w:t>Figure Legends</w:t>
      </w:r>
    </w:p>
    <w:p w14:paraId="4D08BF7F" w14:textId="58F13E31" w:rsidR="006174DE" w:rsidRPr="000D70CA" w:rsidRDefault="00F740D9" w:rsidP="00BE6C9D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kern w:val="0"/>
          <w:szCs w:val="24"/>
        </w:rPr>
      </w:pPr>
      <w:r w:rsidRPr="000D70CA">
        <w:rPr>
          <w:rFonts w:ascii="Book Antiqua" w:hAnsi="Book Antiqua" w:cs="Times New Roman"/>
          <w:noProof/>
          <w:color w:val="000000" w:themeColor="text1"/>
          <w:kern w:val="0"/>
          <w:szCs w:val="24"/>
          <w:lang w:eastAsia="zh-CN"/>
        </w:rPr>
        <w:drawing>
          <wp:inline distT="0" distB="0" distL="0" distR="0" wp14:anchorId="39EBB877" wp14:editId="294E47CE">
            <wp:extent cx="5274310" cy="2987040"/>
            <wp:effectExtent l="0" t="0" r="0" b="0"/>
            <wp:docPr id="6" name="图片 6" descr="图片包含 游戏机, 文字, 地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C60AF" w14:textId="6A10A533" w:rsidR="00FC6297" w:rsidRPr="000D70CA" w:rsidRDefault="00397895" w:rsidP="00BE6C9D">
      <w:pPr>
        <w:widowControl/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Figure 1 Survival of patients with </w:t>
      </w:r>
      <w:r w:rsidR="00771EA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mammalian target of rapamycin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inhibitor </w:t>
      </w: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vs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no </w:t>
      </w:r>
      <w:r w:rsidR="00771EA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mammalian target of rapamycin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inhibitor (survival 21.0 </w:t>
      </w:r>
      <w:r w:rsidRPr="000D70CA">
        <w:rPr>
          <w:rFonts w:ascii="Book Antiqua" w:hAnsi="Book Antiqua" w:cstheme="minorHAnsi"/>
          <w:b/>
          <w:bCs/>
          <w:color w:val="000000" w:themeColor="text1"/>
          <w:szCs w:val="24"/>
        </w:rPr>
        <w:t xml:space="preserve">±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4.1 </w:t>
      </w:r>
      <w:r w:rsidR="00AF289B" w:rsidRPr="000D70CA">
        <w:rPr>
          <w:rFonts w:ascii="Book Antiqua" w:hAnsi="Book Antiqua"/>
          <w:b/>
          <w:bCs/>
          <w:i/>
          <w:color w:val="000000" w:themeColor="text1"/>
          <w:szCs w:val="24"/>
        </w:rPr>
        <w:t>vs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11.2 </w:t>
      </w:r>
      <w:r w:rsidRPr="000D70CA">
        <w:rPr>
          <w:rFonts w:ascii="Book Antiqua" w:hAnsi="Book Antiqua" w:cstheme="minorHAnsi"/>
          <w:b/>
          <w:bCs/>
          <w:color w:val="000000" w:themeColor="text1"/>
          <w:szCs w:val="24"/>
        </w:rPr>
        <w:t xml:space="preserve">±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2.5 </w:t>
      </w:r>
      <w:proofErr w:type="spellStart"/>
      <w:r w:rsidRPr="000D70CA">
        <w:rPr>
          <w:rFonts w:ascii="Book Antiqua" w:hAnsi="Book Antiqua"/>
          <w:b/>
          <w:bCs/>
          <w:color w:val="000000" w:themeColor="text1"/>
          <w:szCs w:val="24"/>
        </w:rPr>
        <w:t>mo</w:t>
      </w:r>
      <w:proofErr w:type="spellEnd"/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, </w:t>
      </w:r>
      <w:r w:rsidR="00AF289B" w:rsidRPr="000D70CA">
        <w:rPr>
          <w:rFonts w:ascii="Book Antiqua" w:hAnsi="Book Antiqua"/>
          <w:b/>
          <w:bCs/>
          <w:i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0.04).</w:t>
      </w:r>
      <w:r w:rsidR="00771EA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771EAB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proofErr w:type="gramEnd"/>
      <w:r w:rsidR="00771EAB" w:rsidRPr="000D70CA">
        <w:rPr>
          <w:rFonts w:ascii="Book Antiqua" w:hAnsi="Book Antiqua"/>
          <w:color w:val="000000" w:themeColor="text1"/>
          <w:szCs w:val="24"/>
        </w:rPr>
        <w:t>: Mammalian target of rapamycin.</w:t>
      </w:r>
    </w:p>
    <w:p w14:paraId="023591BC" w14:textId="77777777" w:rsidR="006174DE" w:rsidRPr="000D70CA" w:rsidRDefault="006174DE" w:rsidP="00BE6C9D">
      <w:pPr>
        <w:widowControl/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br w:type="page"/>
      </w:r>
    </w:p>
    <w:p w14:paraId="5D87B4C1" w14:textId="7EAF7DDC" w:rsidR="0015441E" w:rsidRPr="000D70CA" w:rsidRDefault="00F740D9" w:rsidP="00BE6C9D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kern w:val="0"/>
          <w:szCs w:val="24"/>
        </w:rPr>
      </w:pPr>
      <w:r w:rsidRPr="000D70CA">
        <w:rPr>
          <w:rFonts w:ascii="Book Antiqua" w:hAnsi="Book Antiqua" w:cs="Times New Roman"/>
          <w:noProof/>
          <w:color w:val="000000" w:themeColor="text1"/>
          <w:kern w:val="0"/>
          <w:szCs w:val="24"/>
          <w:lang w:eastAsia="zh-CN"/>
        </w:rPr>
        <w:lastRenderedPageBreak/>
        <w:drawing>
          <wp:inline distT="0" distB="0" distL="0" distR="0" wp14:anchorId="2D7C5BA8" wp14:editId="19643EE9">
            <wp:extent cx="5274310" cy="3174365"/>
            <wp:effectExtent l="0" t="0" r="0" b="635"/>
            <wp:docPr id="5" name="图片 5" descr="图片包含 文字,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E4288" w14:textId="1B9E8D57" w:rsidR="0015441E" w:rsidRPr="000D70CA" w:rsidRDefault="00397895" w:rsidP="00BE6C9D">
      <w:pPr>
        <w:widowControl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Figure 2 Survival of patients stratified by </w:t>
      </w:r>
      <w:proofErr w:type="spellStart"/>
      <w:r w:rsidRPr="000D70CA">
        <w:rPr>
          <w:rFonts w:ascii="Book Antiqua" w:hAnsi="Book Antiqua"/>
          <w:b/>
          <w:bCs/>
          <w:color w:val="000000" w:themeColor="text1"/>
          <w:szCs w:val="24"/>
        </w:rPr>
        <w:t>sirolimus</w:t>
      </w:r>
      <w:proofErr w:type="spellEnd"/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vs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</w:t>
      </w:r>
      <w:proofErr w:type="spellStart"/>
      <w:r w:rsidRPr="000D70CA">
        <w:rPr>
          <w:rFonts w:ascii="Book Antiqua" w:hAnsi="Book Antiqua"/>
          <w:b/>
          <w:bCs/>
          <w:color w:val="000000" w:themeColor="text1"/>
          <w:szCs w:val="24"/>
        </w:rPr>
        <w:t>everolimus</w:t>
      </w:r>
      <w:proofErr w:type="spellEnd"/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(</w:t>
      </w:r>
      <w:r w:rsidR="00AF289B" w:rsidRPr="000D70CA">
        <w:rPr>
          <w:rFonts w:ascii="Book Antiqua" w:hAnsi="Book Antiqua"/>
          <w:b/>
          <w:bCs/>
          <w:i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0.88).</w:t>
      </w:r>
      <w:r w:rsidR="00771EA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771EAB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proofErr w:type="gramEnd"/>
      <w:r w:rsidR="00771EAB" w:rsidRPr="000D70CA">
        <w:rPr>
          <w:rFonts w:ascii="Book Antiqua" w:hAnsi="Book Antiqua"/>
          <w:color w:val="000000" w:themeColor="text1"/>
          <w:szCs w:val="24"/>
        </w:rPr>
        <w:t>: Mammalian target of rapamycin.</w:t>
      </w:r>
    </w:p>
    <w:p w14:paraId="286F89D0" w14:textId="5C2492FE" w:rsidR="0074312B" w:rsidRPr="000D70CA" w:rsidRDefault="0074312B" w:rsidP="00BE6C9D">
      <w:pPr>
        <w:widowControl/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br w:type="page"/>
      </w:r>
    </w:p>
    <w:p w14:paraId="3B064DB3" w14:textId="47F11038" w:rsidR="004A26B4" w:rsidRPr="000D70CA" w:rsidRDefault="00F740D9" w:rsidP="00BE6C9D">
      <w:pPr>
        <w:widowControl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kern w:val="0"/>
          <w:szCs w:val="24"/>
        </w:rPr>
      </w:pPr>
      <w:r w:rsidRPr="000D70CA">
        <w:rPr>
          <w:rFonts w:ascii="Book Antiqua" w:hAnsi="Book Antiqua" w:cs="Times New Roman"/>
          <w:noProof/>
          <w:color w:val="000000" w:themeColor="text1"/>
          <w:kern w:val="0"/>
          <w:szCs w:val="24"/>
          <w:lang w:eastAsia="zh-CN"/>
        </w:rPr>
        <w:lastRenderedPageBreak/>
        <w:drawing>
          <wp:inline distT="0" distB="0" distL="0" distR="0" wp14:anchorId="0608123C" wp14:editId="2406215B">
            <wp:extent cx="5274310" cy="3115310"/>
            <wp:effectExtent l="0" t="0" r="0" b="0"/>
            <wp:docPr id="4" name="图片 4" descr="图片包含 文字,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F8CC3" w14:textId="2CA10717" w:rsidR="004A26B4" w:rsidRPr="000D70CA" w:rsidRDefault="00397895" w:rsidP="00BE6C9D">
      <w:pPr>
        <w:widowControl/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Figure 3 Survival of patients stratified by </w:t>
      </w:r>
      <w:r w:rsidR="00771EA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mammalian target of rapamycin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inhibitor monotherapy </w:t>
      </w:r>
      <w:r w:rsidRPr="000D70CA">
        <w:rPr>
          <w:rFonts w:ascii="Book Antiqua" w:hAnsi="Book Antiqua"/>
          <w:b/>
          <w:bCs/>
          <w:i/>
          <w:iCs/>
          <w:color w:val="000000" w:themeColor="text1"/>
          <w:szCs w:val="24"/>
        </w:rPr>
        <w:t>vs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combination therapy with </w:t>
      </w:r>
      <w:proofErr w:type="spellStart"/>
      <w:r w:rsidR="00AF289B" w:rsidRPr="000D70CA">
        <w:rPr>
          <w:rFonts w:ascii="Book Antiqua" w:hAnsi="Book Antiqua"/>
          <w:b/>
          <w:bCs/>
          <w:color w:val="000000" w:themeColor="text1"/>
          <w:szCs w:val="24"/>
        </w:rPr>
        <w:t>calcineurin</w:t>
      </w:r>
      <w:proofErr w:type="spellEnd"/>
      <w:r w:rsidR="00AF289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inhibitor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(</w:t>
      </w:r>
      <w:r w:rsidR="00AF289B" w:rsidRPr="000D70CA">
        <w:rPr>
          <w:rFonts w:ascii="Book Antiqua" w:hAnsi="Book Antiqua"/>
          <w:b/>
          <w:bCs/>
          <w:i/>
          <w:color w:val="000000" w:themeColor="text1"/>
          <w:szCs w:val="24"/>
        </w:rPr>
        <w:t xml:space="preserve">P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=</w:t>
      </w:r>
      <w:r w:rsidR="00AF289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0.59).</w:t>
      </w:r>
      <w:r w:rsidR="00771EAB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771EAB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proofErr w:type="gramEnd"/>
      <w:r w:rsidR="00771EAB" w:rsidRPr="000D70CA">
        <w:rPr>
          <w:rFonts w:ascii="Book Antiqua" w:hAnsi="Book Antiqua"/>
          <w:color w:val="000000" w:themeColor="text1"/>
          <w:szCs w:val="24"/>
        </w:rPr>
        <w:t>: Mammalian target of rapamycin.</w:t>
      </w:r>
    </w:p>
    <w:p w14:paraId="4A2812A5" w14:textId="607B2565" w:rsidR="00AF289B" w:rsidRPr="000D70CA" w:rsidRDefault="00AF289B" w:rsidP="00BE6C9D">
      <w:pPr>
        <w:widowControl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kern w:val="0"/>
          <w:szCs w:val="24"/>
        </w:rPr>
      </w:pPr>
      <w:r w:rsidRPr="000D70CA">
        <w:rPr>
          <w:rFonts w:ascii="Book Antiqua" w:hAnsi="Book Antiqua" w:cs="Times New Roman"/>
          <w:color w:val="000000" w:themeColor="text1"/>
          <w:kern w:val="0"/>
          <w:szCs w:val="24"/>
        </w:rPr>
        <w:br w:type="page"/>
      </w:r>
    </w:p>
    <w:p w14:paraId="651EA4C3" w14:textId="720A4388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lastRenderedPageBreak/>
        <w:t xml:space="preserve">Table 1 Baseline characteristics at </w:t>
      </w:r>
      <w:r w:rsidR="00BE271A" w:rsidRPr="000D70CA">
        <w:rPr>
          <w:rFonts w:ascii="Book Antiqua" w:hAnsi="Book Antiqua"/>
          <w:b/>
          <w:bCs/>
          <w:color w:val="000000" w:themeColor="text1"/>
          <w:szCs w:val="24"/>
        </w:rPr>
        <w:t xml:space="preserve">the </w:t>
      </w:r>
      <w:r w:rsidRPr="000D70CA">
        <w:rPr>
          <w:rFonts w:ascii="Book Antiqua" w:hAnsi="Book Antiqua"/>
          <w:b/>
          <w:bCs/>
          <w:color w:val="000000" w:themeColor="text1"/>
          <w:szCs w:val="24"/>
        </w:rPr>
        <w:t>time of liver transplantation</w:t>
      </w:r>
    </w:p>
    <w:tbl>
      <w:tblPr>
        <w:tblW w:w="9261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0"/>
        <w:gridCol w:w="2660"/>
        <w:gridCol w:w="2421"/>
        <w:gridCol w:w="900"/>
      </w:tblGrid>
      <w:tr w:rsidR="00AF289B" w:rsidRPr="000D70CA" w14:paraId="41D01838" w14:textId="77777777" w:rsidTr="00AF289B">
        <w:trPr>
          <w:trHeight w:val="315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B391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9CA4" w14:textId="0A532884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mTOR</w:t>
            </w:r>
            <w:proofErr w:type="spellEnd"/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 (</w:t>
            </w:r>
            <w:r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>n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 = 79)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06B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No </w:t>
            </w:r>
            <w:proofErr w:type="spellStart"/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mTOR</w:t>
            </w:r>
            <w:proofErr w:type="spellEnd"/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 (</w:t>
            </w:r>
            <w:r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>n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 = 64)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4FDF" w14:textId="6ED3D4D9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>P</w:t>
            </w:r>
            <w:r w:rsidR="00AA795C"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value</w:t>
            </w:r>
          </w:p>
        </w:tc>
      </w:tr>
      <w:tr w:rsidR="00AF289B" w:rsidRPr="000D70CA" w14:paraId="01A56969" w14:textId="77777777" w:rsidTr="00AF289B">
        <w:trPr>
          <w:trHeight w:val="315"/>
        </w:trPr>
        <w:tc>
          <w:tcPr>
            <w:tcW w:w="3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FFFF" w14:textId="7FFBF4C6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Age at transplant</w:t>
            </w:r>
            <w:r w:rsidR="00BE271A"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 (years)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C9C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57 (50-62)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BA74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53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(46-59)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CD15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0.07</w:t>
            </w:r>
          </w:p>
        </w:tc>
      </w:tr>
      <w:tr w:rsidR="00AF289B" w:rsidRPr="000D70CA" w14:paraId="515F5D40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41C99F43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Gender (%M)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EEF9711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75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(95%)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788368A6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57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(89%)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52A3B6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0.19</w:t>
            </w:r>
          </w:p>
        </w:tc>
      </w:tr>
      <w:tr w:rsidR="00AF289B" w:rsidRPr="000D70CA" w14:paraId="690D8AB6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52893BD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Etiology</w:t>
            </w:r>
          </w:p>
        </w:tc>
        <w:tc>
          <w:tcPr>
            <w:tcW w:w="5081" w:type="dxa"/>
            <w:gridSpan w:val="2"/>
            <w:shd w:val="clear" w:color="auto" w:fill="auto"/>
            <w:noWrap/>
            <w:vAlign w:val="center"/>
            <w:hideMark/>
          </w:tcPr>
          <w:p w14:paraId="75C8730D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F2A76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0.28</w:t>
            </w:r>
          </w:p>
        </w:tc>
      </w:tr>
      <w:tr w:rsidR="00AF289B" w:rsidRPr="000D70CA" w14:paraId="4AB35A3D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478F55F6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Cryptogenic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0E1A325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4B3CA80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(6%)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079385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</w:p>
        </w:tc>
      </w:tr>
      <w:tr w:rsidR="00AF289B" w:rsidRPr="000D70CA" w14:paraId="7C04D2D8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5D99B8FD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HBV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D5AB226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72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(91%)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4B715FC1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59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(92%)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7734402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</w:p>
        </w:tc>
      </w:tr>
      <w:tr w:rsidR="00AF289B" w:rsidRPr="000D70CA" w14:paraId="4A6AD8F6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019ABAB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HCV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3DB9B0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(5%)</w:t>
            </w:r>
          </w:p>
        </w:tc>
        <w:tc>
          <w:tcPr>
            <w:tcW w:w="3321" w:type="dxa"/>
            <w:gridSpan w:val="2"/>
            <w:shd w:val="clear" w:color="auto" w:fill="auto"/>
            <w:noWrap/>
            <w:vAlign w:val="center"/>
            <w:hideMark/>
          </w:tcPr>
          <w:p w14:paraId="2AD8636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(2%)</w:t>
            </w:r>
          </w:p>
        </w:tc>
      </w:tr>
      <w:tr w:rsidR="00AF289B" w:rsidRPr="000D70CA" w14:paraId="17E9B5E6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0122E16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Alcoholic liver disease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47EB7DD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3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(4%)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1C608A22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(3%)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9FEA3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</w:p>
        </w:tc>
      </w:tr>
      <w:tr w:rsidR="00AF289B" w:rsidRPr="000D70CA" w14:paraId="25ED7A89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7BF3F192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Primary/salvage transplant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8877702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49/30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5FED631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43/21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FE46C3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0.52</w:t>
            </w:r>
          </w:p>
        </w:tc>
      </w:tr>
      <w:tr w:rsidR="00AF289B" w:rsidRPr="000D70CA" w14:paraId="583E6FC3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2282AF7D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Cadaveric/living related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A932076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53/26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4950FE5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47/17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3B627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0.41</w:t>
            </w:r>
          </w:p>
        </w:tc>
      </w:tr>
      <w:tr w:rsidR="00AF289B" w:rsidRPr="000D70CA" w14:paraId="739F6D59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E526C92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Whole graft/partial graft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B1C09FC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53/26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2DB7E695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47/17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15BA79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0.41</w:t>
            </w:r>
          </w:p>
        </w:tc>
      </w:tr>
      <w:tr w:rsidR="00AF289B" w:rsidRPr="000D70CA" w14:paraId="40690EA0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4632F4C8" w14:textId="7FEA4EDB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No. of </w:t>
            </w: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tumour</w:t>
            </w:r>
            <w:r w:rsidR="00BE271A"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s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2BE57A65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(1-5)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1D953116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(1-6)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F88DBE6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0.85</w:t>
            </w:r>
          </w:p>
        </w:tc>
      </w:tr>
      <w:tr w:rsidR="00AF289B" w:rsidRPr="000D70CA" w14:paraId="2B5B36C9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1962E492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Size of largest </w:t>
            </w: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tumour</w:t>
            </w:r>
            <w:proofErr w:type="spellEnd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 (cm)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1E783B8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4.3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(2.9-6.6)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29B4D2A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4.0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(2.5-6.5)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0336D5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0.68</w:t>
            </w:r>
          </w:p>
        </w:tc>
      </w:tr>
      <w:tr w:rsidR="00AF289B" w:rsidRPr="000D70CA" w14:paraId="1102F455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655199B4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AFP (ng/mL)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68282A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144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(14-1388)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57DC2374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111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(19-817)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48F59A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0.51</w:t>
            </w:r>
          </w:p>
        </w:tc>
      </w:tr>
      <w:tr w:rsidR="00AF289B" w:rsidRPr="000D70CA" w14:paraId="079BF82B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39641D1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Within Milan criteria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0BE0999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(27%)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25831C88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(22%)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EA611A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0.54</w:t>
            </w:r>
          </w:p>
        </w:tc>
      </w:tr>
      <w:tr w:rsidR="00F740D9" w:rsidRPr="000D70CA" w14:paraId="6AB2A09A" w14:textId="77777777" w:rsidTr="00AF289B">
        <w:trPr>
          <w:trHeight w:val="3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14:paraId="058C354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Within UCSF criteria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EE5C734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26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(33%)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0017F5E1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15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(23%)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406014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0.22</w:t>
            </w:r>
          </w:p>
        </w:tc>
      </w:tr>
    </w:tbl>
    <w:p w14:paraId="61C82A68" w14:textId="76C9167B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  <w:lang w:eastAsia="zh-CN"/>
        </w:rPr>
      </w:pPr>
      <w:r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AFP: </w:t>
      </w:r>
      <w:r w:rsidRPr="000D70CA">
        <w:rPr>
          <w:rFonts w:ascii="Book Antiqua" w:hAnsi="Book Antiqua"/>
          <w:color w:val="000000" w:themeColor="text1"/>
          <w:szCs w:val="24"/>
        </w:rPr>
        <w:t xml:space="preserve">Alpha-fetoprotein; </w:t>
      </w:r>
      <w:r w:rsidR="00771EAB" w:rsidRPr="000D70CA">
        <w:rPr>
          <w:rFonts w:ascii="Book Antiqua" w:hAnsi="Book Antiqua"/>
          <w:color w:val="000000" w:themeColor="text1"/>
          <w:szCs w:val="24"/>
        </w:rPr>
        <w:t xml:space="preserve">HBV: Hepatitis B virus; HCV: Hepatitis C virus; </w:t>
      </w:r>
      <w:proofErr w:type="spellStart"/>
      <w:r w:rsidR="00771EAB"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="00771EAB" w:rsidRPr="000D70CA">
        <w:rPr>
          <w:rFonts w:ascii="Book Antiqua" w:hAnsi="Book Antiqua"/>
          <w:color w:val="000000" w:themeColor="text1"/>
          <w:szCs w:val="24"/>
        </w:rPr>
        <w:t>: Mammalian target of rapamycin.</w:t>
      </w:r>
    </w:p>
    <w:p w14:paraId="570FB84A" w14:textId="77777777" w:rsidR="00AF289B" w:rsidRPr="000D70CA" w:rsidRDefault="00AF289B" w:rsidP="00BE6C9D">
      <w:pPr>
        <w:widowControl/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</w:rPr>
      </w:pPr>
      <w:r w:rsidRPr="000D70CA">
        <w:rPr>
          <w:rFonts w:ascii="Book Antiqua" w:hAnsi="Book Antiqua"/>
          <w:color w:val="000000" w:themeColor="text1"/>
          <w:szCs w:val="24"/>
        </w:rPr>
        <w:br w:type="page"/>
      </w:r>
    </w:p>
    <w:p w14:paraId="111DC6ED" w14:textId="77777777" w:rsidR="00AF289B" w:rsidRPr="000D70CA" w:rsidRDefault="00AF289B" w:rsidP="00BE6C9D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szCs w:val="24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lastRenderedPageBreak/>
        <w:t>Table 2 Recurrence characteristics</w:t>
      </w:r>
    </w:p>
    <w:tbl>
      <w:tblPr>
        <w:tblW w:w="9302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1"/>
        <w:gridCol w:w="2660"/>
        <w:gridCol w:w="2421"/>
        <w:gridCol w:w="900"/>
      </w:tblGrid>
      <w:tr w:rsidR="00AF289B" w:rsidRPr="000D70CA" w14:paraId="327E5E85" w14:textId="77777777" w:rsidTr="00AF289B">
        <w:trPr>
          <w:trHeight w:val="315"/>
        </w:trPr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35FC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CDC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proofErr w:type="spellStart"/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mTOR</w:t>
            </w:r>
            <w:proofErr w:type="spellEnd"/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 (</w:t>
            </w:r>
            <w:r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>n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 = 79)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A59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No </w:t>
            </w:r>
            <w:proofErr w:type="spellStart"/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mTOR</w:t>
            </w:r>
            <w:proofErr w:type="spellEnd"/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 (</w:t>
            </w:r>
            <w:r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>n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 xml:space="preserve"> = 64)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6BE1" w14:textId="4C2B9E0E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>P</w:t>
            </w:r>
            <w:r w:rsidR="00AA795C"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value</w:t>
            </w:r>
          </w:p>
        </w:tc>
      </w:tr>
      <w:tr w:rsidR="00AF289B" w:rsidRPr="000D70CA" w14:paraId="6769E191" w14:textId="77777777" w:rsidTr="00AF289B">
        <w:trPr>
          <w:trHeight w:val="315"/>
        </w:trPr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E9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Date of recurrence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856D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7/2013</w:t>
            </w: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8DA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3/2008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0399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&lt; 0.001</w:t>
            </w:r>
          </w:p>
        </w:tc>
      </w:tr>
      <w:tr w:rsidR="00AF289B" w:rsidRPr="000D70CA" w14:paraId="53E52922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63FF6179" w14:textId="17B58513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Age at recurrence</w:t>
            </w:r>
            <w:r w:rsidR="00BE271A"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 (years)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74B4B14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58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(52-64)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7E8C1C39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55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(46-61)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23AE5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0.06</w:t>
            </w:r>
          </w:p>
        </w:tc>
      </w:tr>
      <w:tr w:rsidR="00AF289B" w:rsidRPr="000D70CA" w14:paraId="4022E64C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1967E727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Time from transplant (</w:t>
            </w: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mo</w:t>
            </w:r>
            <w:proofErr w:type="spellEnd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421B88ED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(6-24)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3560CA0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(5-25)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3472B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0.73</w:t>
            </w:r>
          </w:p>
        </w:tc>
      </w:tr>
      <w:tr w:rsidR="00AF289B" w:rsidRPr="000D70CA" w14:paraId="2053A0DE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15E9D471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Number of </w:t>
            </w: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tumours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4687BCE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(1-5)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6067D40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(1-9)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3EA52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0.02</w:t>
            </w:r>
          </w:p>
        </w:tc>
      </w:tr>
      <w:tr w:rsidR="00AF289B" w:rsidRPr="000D70CA" w14:paraId="704BCCE0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434F1F3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Size of largest </w:t>
            </w: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tumour</w:t>
            </w:r>
            <w:proofErr w:type="spellEnd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 (cm)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4D6E6903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2.0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(1.1-3.2)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1FBF699D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2.1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(1.1-3.9)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43777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0.74</w:t>
            </w:r>
          </w:p>
        </w:tc>
      </w:tr>
      <w:tr w:rsidR="00AF289B" w:rsidRPr="000D70CA" w14:paraId="154D4DAC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26FF9EB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Number of organs involved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3779B21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(1-1)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52B31398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(1-2)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03A13C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0.50</w:t>
            </w:r>
          </w:p>
        </w:tc>
      </w:tr>
      <w:tr w:rsidR="00AF289B" w:rsidRPr="000D70CA" w14:paraId="6C10E005" w14:textId="77777777" w:rsidTr="00AF289B">
        <w:trPr>
          <w:trHeight w:val="315"/>
        </w:trPr>
        <w:tc>
          <w:tcPr>
            <w:tcW w:w="9302" w:type="dxa"/>
            <w:gridSpan w:val="4"/>
            <w:shd w:val="clear" w:color="auto" w:fill="auto"/>
            <w:noWrap/>
            <w:vAlign w:val="center"/>
            <w:hideMark/>
          </w:tcPr>
          <w:p w14:paraId="51A96EEA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Site of recurrence</w:t>
            </w:r>
          </w:p>
        </w:tc>
      </w:tr>
      <w:tr w:rsidR="00AF289B" w:rsidRPr="000D70CA" w14:paraId="2180EA35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5E6F17ED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Liver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6F5BF87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34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(43%)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7CC1957A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28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(44%)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9057B1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0.93</w:t>
            </w:r>
          </w:p>
        </w:tc>
      </w:tr>
      <w:tr w:rsidR="00AF289B" w:rsidRPr="000D70CA" w14:paraId="0663D47B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69A5C2FA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Lung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1735D4DA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36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(46%)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0733757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35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(55%)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2EB1B2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0.33</w:t>
            </w:r>
          </w:p>
        </w:tc>
      </w:tr>
      <w:tr w:rsidR="00AF289B" w:rsidRPr="000D70CA" w14:paraId="46FBC529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3EDB2BDB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Bone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92E3ABC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17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(22%)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7D9037C1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6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(9%)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B7D1E3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0.049</w:t>
            </w:r>
          </w:p>
        </w:tc>
      </w:tr>
      <w:tr w:rsidR="00AF289B" w:rsidRPr="000D70CA" w14:paraId="4A0705E3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43C78B9D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Peritoneum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943D815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(5%)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1AC5738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8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(13%)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ECAF1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0.11</w:t>
            </w:r>
          </w:p>
        </w:tc>
      </w:tr>
      <w:tr w:rsidR="00AF289B" w:rsidRPr="000D70CA" w14:paraId="65C51532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0A79B633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Adrenal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A4F891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(6%)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584BD50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6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(9%)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396ADA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0.50</w:t>
            </w:r>
          </w:p>
        </w:tc>
      </w:tr>
      <w:tr w:rsidR="00AF289B" w:rsidRPr="000D70CA" w14:paraId="4A8B79A7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54CAFD7F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Lymph node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A6BE547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6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(8%)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68479D19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(6%)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62ACCA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0.75</w:t>
            </w:r>
          </w:p>
        </w:tc>
      </w:tr>
      <w:tr w:rsidR="00AF289B" w:rsidRPr="000D70CA" w14:paraId="2D616EB1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63C6E551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AFP upon recurrence (ng/mL)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058329C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(4-139)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329A70E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32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(6-855)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E911EC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0.19</w:t>
            </w:r>
          </w:p>
        </w:tc>
      </w:tr>
      <w:tr w:rsidR="00AF289B" w:rsidRPr="000D70CA" w14:paraId="6E5BE287" w14:textId="77777777" w:rsidTr="00AF289B">
        <w:trPr>
          <w:trHeight w:val="315"/>
        </w:trPr>
        <w:tc>
          <w:tcPr>
            <w:tcW w:w="9302" w:type="dxa"/>
            <w:gridSpan w:val="4"/>
            <w:shd w:val="clear" w:color="auto" w:fill="auto"/>
            <w:noWrap/>
            <w:vAlign w:val="center"/>
            <w:hideMark/>
          </w:tcPr>
          <w:p w14:paraId="0DE03B9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Immunosuppression</w:t>
            </w:r>
          </w:p>
        </w:tc>
      </w:tr>
      <w:tr w:rsidR="00AF289B" w:rsidRPr="000D70CA" w14:paraId="0E0D0B08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560E55D8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Calcineurin</w:t>
            </w:r>
            <w:proofErr w:type="spellEnd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 Inhibitor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7F002298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49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(62%)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433C2D56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62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(97%)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A4097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&lt; 0.001</w:t>
            </w:r>
          </w:p>
        </w:tc>
      </w:tr>
      <w:tr w:rsidR="00AF289B" w:rsidRPr="000D70CA" w14:paraId="1056D517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256CE6E2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Tacrolimus level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DE22FAF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3.0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(0-4.9)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494C46A2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5.2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(3.7-6.1)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3E8A93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0.03</w:t>
            </w:r>
          </w:p>
        </w:tc>
      </w:tr>
      <w:tr w:rsidR="00AF289B" w:rsidRPr="000D70CA" w14:paraId="2F5E11E8" w14:textId="77777777" w:rsidTr="00AF289B">
        <w:trPr>
          <w:trHeight w:val="315"/>
        </w:trPr>
        <w:tc>
          <w:tcPr>
            <w:tcW w:w="9302" w:type="dxa"/>
            <w:gridSpan w:val="4"/>
            <w:shd w:val="clear" w:color="auto" w:fill="auto"/>
            <w:noWrap/>
            <w:vAlign w:val="center"/>
            <w:hideMark/>
          </w:tcPr>
          <w:p w14:paraId="6E3982DC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Treatment</w:t>
            </w:r>
          </w:p>
        </w:tc>
      </w:tr>
      <w:tr w:rsidR="00AF289B" w:rsidRPr="000D70CA" w14:paraId="00FC523C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46E1BEFB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Surgery 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5D688AE2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(28%)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0EA4E8E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(17%)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88AA5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0.13</w:t>
            </w:r>
          </w:p>
        </w:tc>
      </w:tr>
      <w:tr w:rsidR="00AF289B" w:rsidRPr="000D70CA" w14:paraId="6718A2D9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6AEB6DDC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RFA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64E2754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7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(9%)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5EB90605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6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(9%)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28CBA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0.89</w:t>
            </w:r>
          </w:p>
        </w:tc>
      </w:tr>
      <w:tr w:rsidR="00AF289B" w:rsidRPr="000D70CA" w14:paraId="713BA734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372C4410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TACE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383BDC8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19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(24%)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6B86E74D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10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(16%)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6455C8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0.23</w:t>
            </w:r>
          </w:p>
        </w:tc>
      </w:tr>
      <w:tr w:rsidR="00AF289B" w:rsidRPr="000D70CA" w14:paraId="6DDA2967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188A7605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Radiotherapy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12DE68AC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31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(39%)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79625391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(22%)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2CCDA6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0.03</w:t>
            </w:r>
          </w:p>
        </w:tc>
      </w:tr>
      <w:tr w:rsidR="00AF289B" w:rsidRPr="000D70CA" w14:paraId="3224806C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657334EC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Targeted therapy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0FC24024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47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(59%)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2A2368F7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15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(23%)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7E94F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&lt; 0.001</w:t>
            </w:r>
          </w:p>
        </w:tc>
      </w:tr>
      <w:tr w:rsidR="00AF289B" w:rsidRPr="000D70CA" w14:paraId="72933137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3D5F82C8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Immunotherapy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1428FA71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(3%)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031C74F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(0%)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C06FF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0.18</w:t>
            </w:r>
          </w:p>
        </w:tc>
      </w:tr>
      <w:tr w:rsidR="00F740D9" w:rsidRPr="000D70CA" w14:paraId="7E480980" w14:textId="77777777" w:rsidTr="00AF289B">
        <w:trPr>
          <w:trHeight w:val="315"/>
        </w:trPr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13D3F276" w14:textId="77777777" w:rsidR="00AF289B" w:rsidRPr="000D70CA" w:rsidRDefault="00AF289B" w:rsidP="00BE6C9D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Supportive</w:t>
            </w:r>
          </w:p>
        </w:tc>
        <w:tc>
          <w:tcPr>
            <w:tcW w:w="2660" w:type="dxa"/>
            <w:shd w:val="clear" w:color="auto" w:fill="auto"/>
            <w:noWrap/>
            <w:vAlign w:val="center"/>
            <w:hideMark/>
          </w:tcPr>
          <w:p w14:paraId="45094680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3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(4%)</w:t>
            </w:r>
          </w:p>
        </w:tc>
        <w:tc>
          <w:tcPr>
            <w:tcW w:w="2421" w:type="dxa"/>
            <w:shd w:val="clear" w:color="auto" w:fill="auto"/>
            <w:noWrap/>
            <w:vAlign w:val="center"/>
            <w:hideMark/>
          </w:tcPr>
          <w:p w14:paraId="0FE267BB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23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(36%)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B2327E" w14:textId="77777777" w:rsidR="00AF289B" w:rsidRPr="000D70CA" w:rsidRDefault="00AF289B" w:rsidP="00BE6C9D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&lt; 0.001</w:t>
            </w:r>
          </w:p>
        </w:tc>
      </w:tr>
    </w:tbl>
    <w:p w14:paraId="47A965D4" w14:textId="56E6AC72" w:rsidR="00AF289B" w:rsidRPr="000D70CA" w:rsidRDefault="00771EAB" w:rsidP="00BE6C9D">
      <w:pPr>
        <w:widowControl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szCs w:val="24"/>
          <w:lang w:eastAsia="zh-CN"/>
        </w:rPr>
      </w:pPr>
      <w:r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AFP: </w:t>
      </w:r>
      <w:r w:rsidRPr="000D70CA">
        <w:rPr>
          <w:rFonts w:ascii="Book Antiqua" w:hAnsi="Book Antiqua"/>
          <w:color w:val="000000" w:themeColor="text1"/>
          <w:szCs w:val="24"/>
        </w:rPr>
        <w:t xml:space="preserve">Alpha-fetoprotein; </w:t>
      </w:r>
      <w:r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RFA: Radiofrequency ablation; </w:t>
      </w:r>
      <w:r w:rsidRPr="000D70CA">
        <w:rPr>
          <w:rFonts w:ascii="Book Antiqua" w:hAnsi="Book Antiqua"/>
          <w:color w:val="000000" w:themeColor="text1"/>
          <w:szCs w:val="24"/>
        </w:rPr>
        <w:t xml:space="preserve">TACE: Trans-arterial chemoembolization;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>: Mammalian target of rapamycin.</w:t>
      </w:r>
    </w:p>
    <w:p w14:paraId="4793EB3E" w14:textId="77777777" w:rsidR="00701A09" w:rsidRPr="000D70CA" w:rsidRDefault="00701A09" w:rsidP="00BE6C9D">
      <w:pPr>
        <w:widowControl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szCs w:val="24"/>
          <w:lang w:eastAsia="zh-CN"/>
        </w:rPr>
      </w:pPr>
    </w:p>
    <w:p w14:paraId="10B4731B" w14:textId="75B09485" w:rsidR="00701A09" w:rsidRPr="000D70CA" w:rsidRDefault="00701A09" w:rsidP="00BE6C9D">
      <w:pPr>
        <w:widowControl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szCs w:val="24"/>
          <w:lang w:eastAsia="zh-CN"/>
        </w:rPr>
      </w:pPr>
      <w:r w:rsidRPr="000D70CA">
        <w:rPr>
          <w:rFonts w:ascii="Book Antiqua" w:hAnsi="Book Antiqua"/>
          <w:b/>
          <w:bCs/>
          <w:color w:val="000000" w:themeColor="text1"/>
          <w:szCs w:val="24"/>
        </w:rPr>
        <w:lastRenderedPageBreak/>
        <w:t>Table 3 Survival analysis</w:t>
      </w:r>
    </w:p>
    <w:p w14:paraId="38C1A284" w14:textId="77777777" w:rsidR="00771EAB" w:rsidRPr="000D70CA" w:rsidRDefault="00771EAB" w:rsidP="00BE6C9D">
      <w:pPr>
        <w:widowControl/>
        <w:snapToGrid w:val="0"/>
        <w:spacing w:line="360" w:lineRule="auto"/>
        <w:jc w:val="both"/>
        <w:rPr>
          <w:rFonts w:ascii="Book Antiqua" w:eastAsia="等线" w:hAnsi="Book Antiqua"/>
          <w:color w:val="000000" w:themeColor="text1"/>
          <w:szCs w:val="24"/>
          <w:lang w:eastAsia="zh-CN"/>
        </w:rPr>
      </w:pPr>
    </w:p>
    <w:p w14:paraId="355D6E25" w14:textId="121EEDC2" w:rsidR="00771EAB" w:rsidRPr="000D70CA" w:rsidRDefault="00771EAB" w:rsidP="00701A09">
      <w:pPr>
        <w:widowControl/>
        <w:snapToGrid w:val="0"/>
        <w:spacing w:line="360" w:lineRule="auto"/>
        <w:rPr>
          <w:rFonts w:ascii="Book Antiqua" w:eastAsia="等线" w:hAnsi="Book Antiqua"/>
          <w:b/>
          <w:bCs/>
          <w:color w:val="000000" w:themeColor="text1"/>
          <w:szCs w:val="24"/>
          <w:lang w:eastAsia="zh-CN"/>
        </w:rPr>
      </w:pPr>
    </w:p>
    <w:p w14:paraId="47B59F96" w14:textId="6DE1FFCB" w:rsidR="00AF289B" w:rsidRPr="000D70CA" w:rsidRDefault="00AF289B" w:rsidP="00BE6C9D">
      <w:pPr>
        <w:snapToGrid w:val="0"/>
        <w:spacing w:line="360" w:lineRule="auto"/>
        <w:jc w:val="both"/>
        <w:rPr>
          <w:rFonts w:ascii="Book Antiqua" w:eastAsia="PMingLiU" w:hAnsi="Book Antiqua" w:cs="PMingLiU"/>
          <w:b/>
          <w:bCs/>
          <w:color w:val="000000" w:themeColor="text1"/>
          <w:kern w:val="0"/>
          <w:szCs w:val="24"/>
        </w:rPr>
      </w:pPr>
    </w:p>
    <w:tbl>
      <w:tblPr>
        <w:tblpPr w:leftFromText="180" w:rightFromText="180" w:vertAnchor="page" w:horzAnchor="margin" w:tblpXSpec="center" w:tblpY="1873"/>
        <w:tblW w:w="11462" w:type="dxa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0"/>
        <w:gridCol w:w="1138"/>
        <w:gridCol w:w="2763"/>
        <w:gridCol w:w="1120"/>
        <w:gridCol w:w="2721"/>
      </w:tblGrid>
      <w:tr w:rsidR="00FC4970" w:rsidRPr="000D70CA" w14:paraId="06114F01" w14:textId="77777777" w:rsidTr="00FC4970">
        <w:trPr>
          <w:trHeight w:val="315"/>
        </w:trPr>
        <w:tc>
          <w:tcPr>
            <w:tcW w:w="37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6BC3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39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E65E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Univariate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656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Multivariate</w:t>
            </w:r>
          </w:p>
        </w:tc>
      </w:tr>
      <w:tr w:rsidR="00FC4970" w:rsidRPr="000D70CA" w14:paraId="6FC80761" w14:textId="77777777" w:rsidTr="00FC4970">
        <w:trPr>
          <w:trHeight w:val="315"/>
        </w:trPr>
        <w:tc>
          <w:tcPr>
            <w:tcW w:w="37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9561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9709" w14:textId="14AC3B04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>P</w:t>
            </w:r>
            <w:r w:rsidR="00AA795C"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value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43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OR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(95%CI)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AAEA" w14:textId="0DCDD27C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>P</w:t>
            </w:r>
            <w:r w:rsidR="00AA795C" w:rsidRPr="000D70CA">
              <w:rPr>
                <w:rFonts w:ascii="Book Antiqua" w:eastAsia="PMingLiU" w:hAnsi="Book Antiqua" w:cs="PMingLiU"/>
                <w:b/>
                <w:bCs/>
                <w:i/>
                <w:iCs/>
                <w:color w:val="000000" w:themeColor="text1"/>
                <w:kern w:val="0"/>
                <w:szCs w:val="24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value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B34B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OR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b/>
                <w:bCs/>
                <w:color w:val="000000" w:themeColor="text1"/>
                <w:kern w:val="0"/>
                <w:szCs w:val="24"/>
              </w:rPr>
              <w:t>(95%CI)</w:t>
            </w:r>
          </w:p>
        </w:tc>
      </w:tr>
      <w:tr w:rsidR="00FC4970" w:rsidRPr="000D70CA" w14:paraId="314F40F7" w14:textId="77777777" w:rsidTr="00FC4970">
        <w:trPr>
          <w:trHeight w:val="315"/>
        </w:trPr>
        <w:tc>
          <w:tcPr>
            <w:tcW w:w="3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AD9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Date of recurrence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155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0.006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F476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1.00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(1.00-1.00)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39BE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0.79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16ED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65C7CB3A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87C066B" w14:textId="6ABF5765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Age at recurrence</w:t>
            </w:r>
            <w:r w:rsidR="00BE271A"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 (years)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90F03A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0.93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300CBE4B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3ED10CB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68AA3BDF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0800E8E1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CCC5B85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Time from transplant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6DFC2EE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&lt; 0.001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5145CE1F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0.977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(0.966-0.988)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E0154C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0.001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141F18A3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0.977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(0.963-0.991)</w:t>
            </w:r>
          </w:p>
        </w:tc>
      </w:tr>
      <w:tr w:rsidR="00FC4970" w:rsidRPr="000D70CA" w14:paraId="1D6F22E5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5F2B40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Number of </w:t>
            </w: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tumours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AF1B53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&lt; 0.001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55C26ADB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1.01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(1.01-1.02)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8A25E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0.33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34DD00A9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5992CD02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B9A7A51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Size of largest </w:t>
            </w: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tumour</w:t>
            </w:r>
            <w:proofErr w:type="spellEnd"/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0534813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1600C1CB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1.11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(1.02-1.20)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361747C3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3628E2D5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1.13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(1.02-1.24)</w:t>
            </w:r>
          </w:p>
        </w:tc>
      </w:tr>
      <w:tr w:rsidR="00FC4970" w:rsidRPr="000D70CA" w14:paraId="0A868F97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FCFB870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Number of organs involved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EE3A46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4E273692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1.14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(1.11-1.89)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165647E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0.27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39CD0D5E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02D6CB96" w14:textId="77777777" w:rsidTr="00FC4970">
        <w:trPr>
          <w:trHeight w:val="315"/>
        </w:trPr>
        <w:tc>
          <w:tcPr>
            <w:tcW w:w="11462" w:type="dxa"/>
            <w:gridSpan w:val="5"/>
            <w:shd w:val="clear" w:color="auto" w:fill="auto"/>
            <w:noWrap/>
            <w:vAlign w:val="center"/>
            <w:hideMark/>
          </w:tcPr>
          <w:p w14:paraId="673F4F6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Site of recurrence</w:t>
            </w:r>
          </w:p>
        </w:tc>
      </w:tr>
      <w:tr w:rsidR="00FC4970" w:rsidRPr="000D70CA" w14:paraId="228E465F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54CFBCF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Liver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564DE29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39ABB0F0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1.62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(1.13-2.31)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AAFC10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0.01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138CFB3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1.92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(1.14-3.25)</w:t>
            </w:r>
          </w:p>
        </w:tc>
      </w:tr>
      <w:tr w:rsidR="00FC4970" w:rsidRPr="000D70CA" w14:paraId="65E011D3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472E78BD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Lung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CDAB669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0.43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4D94CC7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07591ED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196C2BF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7D2E062E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018BD18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Bone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01B1BB5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0.17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1B02CE5D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5B396EE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65B21DC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373BE75F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9B00234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Peritoneal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0516986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0.46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6E49EAFB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24C88CF5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3CD44A87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0D2ECE3D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1028088C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Adrenal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ADC9EF3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0.52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2CCAC40B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9CFA5E5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2E1C427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054E779E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57AAA910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Lymph node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4924BFC6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0.49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21DDFD87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C53DB6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18155444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37B9348F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E4FA3BE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AFP upon recurrence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4049847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5F6BBE44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1.00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(1.00-1.00)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36F2C44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1B020652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1.00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(1.00-1.00)</w:t>
            </w:r>
          </w:p>
        </w:tc>
      </w:tr>
      <w:tr w:rsidR="00FC4970" w:rsidRPr="000D70CA" w14:paraId="510003B5" w14:textId="77777777" w:rsidTr="00FC4970">
        <w:trPr>
          <w:trHeight w:val="315"/>
        </w:trPr>
        <w:tc>
          <w:tcPr>
            <w:tcW w:w="11462" w:type="dxa"/>
            <w:gridSpan w:val="5"/>
            <w:shd w:val="clear" w:color="auto" w:fill="auto"/>
            <w:noWrap/>
            <w:vAlign w:val="center"/>
            <w:hideMark/>
          </w:tcPr>
          <w:p w14:paraId="57221156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Immunosuppression after recurrence</w:t>
            </w:r>
          </w:p>
        </w:tc>
      </w:tr>
      <w:tr w:rsidR="00FC4970" w:rsidRPr="000D70CA" w14:paraId="49A3A91F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89B0D13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mTOR</w:t>
            </w:r>
            <w:proofErr w:type="spellEnd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 inhibitor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F514EF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&lt; 0.001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2D4F5B5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0.485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(0.339-0.695)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5870950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0.04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72127872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0.482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(0.241-0.966)</w:t>
            </w:r>
          </w:p>
        </w:tc>
      </w:tr>
      <w:tr w:rsidR="00FC4970" w:rsidRPr="000D70CA" w14:paraId="647E9650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69BDFE8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proofErr w:type="spellStart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Calcineurin</w:t>
            </w:r>
            <w:proofErr w:type="spellEnd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 Inhibitor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44E9925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0.07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4FA0AD69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622974C0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6B70E142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0C5E3F0C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7596648" w14:textId="0E2A4D90" w:rsidR="00FC4970" w:rsidRPr="000D70CA" w:rsidRDefault="00FC4970" w:rsidP="00701A09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Tacrolimus trough (</w:t>
            </w:r>
            <w:proofErr w:type="spellStart"/>
            <w:r w:rsidR="00701A09"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μ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g</w:t>
            </w:r>
            <w:proofErr w:type="spellEnd"/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/L)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BB5D595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0.002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39CFB7E1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1.13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(1.04-1.22)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70CE0B3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0.16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2B919DC4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64CCFAE2" w14:textId="77777777" w:rsidTr="00FC4970">
        <w:trPr>
          <w:trHeight w:val="315"/>
        </w:trPr>
        <w:tc>
          <w:tcPr>
            <w:tcW w:w="11462" w:type="dxa"/>
            <w:gridSpan w:val="5"/>
            <w:shd w:val="clear" w:color="auto" w:fill="auto"/>
            <w:noWrap/>
            <w:vAlign w:val="center"/>
            <w:hideMark/>
          </w:tcPr>
          <w:p w14:paraId="16A576D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Treatment</w:t>
            </w:r>
          </w:p>
        </w:tc>
      </w:tr>
      <w:tr w:rsidR="00FC4970" w:rsidRPr="000D70CA" w14:paraId="15E78137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6C195B5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 xml:space="preserve">Surgery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B98FFEB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&lt; 0.001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679EB8EE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0.380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(0.240-0.601)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F29654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0.22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21FB821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6BBA6746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D54C970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RFA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8C0AFD7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0.16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4326C982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20D6A7A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17BA9387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55FE01FD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6918E256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TACE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AAFEB75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0.32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49E8EF20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82A6FC7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5F0ECDE7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26ABCEB8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C9F3668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Radiotherapy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2F6F20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0.90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66B08E06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E4569F4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67FE6D16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4B7DDBCA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282627A3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Targeted therapy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ACB53EE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0.97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455FC8BF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06A527D3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8F5745D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3F964BC3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3665C394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Immunotherapy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90CCD85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0.80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7B354F77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473674A7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0F25FE37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  <w:tr w:rsidR="00FC4970" w:rsidRPr="000D70CA" w14:paraId="454DEC87" w14:textId="77777777" w:rsidTr="00FC4970">
        <w:trPr>
          <w:trHeight w:val="31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14:paraId="03E55222" w14:textId="77777777" w:rsidR="00FC4970" w:rsidRPr="000D70CA" w:rsidRDefault="00FC4970" w:rsidP="00FC4970">
            <w:pPr>
              <w:widowControl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Supportive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F8C911C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&lt; 0.001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14:paraId="1EA79FD6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2.34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(1.49-3.67)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FABA53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</w:pPr>
            <w:r w:rsidRPr="000D70CA">
              <w:rPr>
                <w:rFonts w:ascii="Book Antiqua" w:eastAsia="PMingLiU" w:hAnsi="Book Antiqua" w:cs="PMingLiU"/>
                <w:color w:val="000000" w:themeColor="text1"/>
                <w:kern w:val="0"/>
                <w:szCs w:val="24"/>
              </w:rPr>
              <w:t>0.73</w:t>
            </w:r>
          </w:p>
        </w:tc>
        <w:tc>
          <w:tcPr>
            <w:tcW w:w="2721" w:type="dxa"/>
            <w:shd w:val="clear" w:color="auto" w:fill="auto"/>
            <w:noWrap/>
            <w:vAlign w:val="center"/>
            <w:hideMark/>
          </w:tcPr>
          <w:p w14:paraId="16EE0BF8" w14:textId="77777777" w:rsidR="00FC4970" w:rsidRPr="000D70CA" w:rsidRDefault="00FC4970" w:rsidP="00FC4970">
            <w:pPr>
              <w:widowControl/>
              <w:snapToGrid w:val="0"/>
              <w:spacing w:line="36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kern w:val="0"/>
                <w:szCs w:val="24"/>
              </w:rPr>
            </w:pPr>
          </w:p>
        </w:tc>
      </w:tr>
    </w:tbl>
    <w:p w14:paraId="0D57E610" w14:textId="6752A037" w:rsidR="00FC4970" w:rsidRPr="00FC4970" w:rsidRDefault="00FC4970" w:rsidP="00FC4970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szCs w:val="24"/>
          <w:lang w:eastAsia="zh-CN"/>
        </w:rPr>
      </w:pPr>
      <w:r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AFP: </w:t>
      </w:r>
      <w:r w:rsidRPr="000D70CA">
        <w:rPr>
          <w:rFonts w:ascii="Book Antiqua" w:hAnsi="Book Antiqua"/>
          <w:color w:val="000000" w:themeColor="text1"/>
          <w:szCs w:val="24"/>
        </w:rPr>
        <w:t xml:space="preserve">Alpha-fetoprotein; </w:t>
      </w:r>
      <w:r w:rsidRPr="000D70CA">
        <w:rPr>
          <w:rFonts w:ascii="Book Antiqua" w:hAnsi="Book Antiqua"/>
          <w:color w:val="000000" w:themeColor="text1"/>
          <w:szCs w:val="24"/>
          <w:lang w:eastAsia="zh-CN"/>
        </w:rPr>
        <w:t xml:space="preserve">RFA: Radiofrequency ablation; TACE: </w:t>
      </w:r>
      <w:r w:rsidRPr="000D70CA">
        <w:rPr>
          <w:rFonts w:ascii="Book Antiqua" w:hAnsi="Book Antiqua"/>
          <w:color w:val="000000" w:themeColor="text1"/>
          <w:szCs w:val="24"/>
        </w:rPr>
        <w:t xml:space="preserve">Trans-arterial chemoembolization; </w:t>
      </w:r>
      <w:proofErr w:type="spellStart"/>
      <w:r w:rsidRPr="000D70CA">
        <w:rPr>
          <w:rFonts w:ascii="Book Antiqua" w:hAnsi="Book Antiqua"/>
          <w:color w:val="000000" w:themeColor="text1"/>
          <w:szCs w:val="24"/>
        </w:rPr>
        <w:t>mTOR</w:t>
      </w:r>
      <w:proofErr w:type="spellEnd"/>
      <w:r w:rsidRPr="000D70CA">
        <w:rPr>
          <w:rFonts w:ascii="Book Antiqua" w:hAnsi="Book Antiqua"/>
          <w:color w:val="000000" w:themeColor="text1"/>
          <w:szCs w:val="24"/>
        </w:rPr>
        <w:t>: Mammalian target of rapamycin.</w:t>
      </w:r>
      <w:bookmarkStart w:id="5" w:name="_GoBack"/>
      <w:bookmarkEnd w:id="5"/>
    </w:p>
    <w:sectPr w:rsidR="00FC4970" w:rsidRPr="00FC4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C6C6F" w14:textId="77777777" w:rsidR="00FD356B" w:rsidRDefault="00FD356B" w:rsidP="00354597">
      <w:r>
        <w:separator/>
      </w:r>
    </w:p>
  </w:endnote>
  <w:endnote w:type="continuationSeparator" w:id="0">
    <w:p w14:paraId="2F1C3DA8" w14:textId="77777777" w:rsidR="00FD356B" w:rsidRDefault="00FD356B" w:rsidP="00354597">
      <w:r>
        <w:continuationSeparator/>
      </w:r>
    </w:p>
  </w:endnote>
  <w:endnote w:type="continuationNotice" w:id="1">
    <w:p w14:paraId="71742518" w14:textId="77777777" w:rsidR="00FD356B" w:rsidRDefault="00FD3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charset w:val="00"/>
    <w:family w:val="roma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03CD3" w14:textId="77777777" w:rsidR="00FD356B" w:rsidRDefault="00FD356B" w:rsidP="00354597">
      <w:r>
        <w:separator/>
      </w:r>
    </w:p>
  </w:footnote>
  <w:footnote w:type="continuationSeparator" w:id="0">
    <w:p w14:paraId="5530A5B1" w14:textId="77777777" w:rsidR="00FD356B" w:rsidRDefault="00FD356B" w:rsidP="00354597">
      <w:r>
        <w:continuationSeparator/>
      </w:r>
    </w:p>
  </w:footnote>
  <w:footnote w:type="continuationNotice" w:id="1">
    <w:p w14:paraId="385DA6DB" w14:textId="77777777" w:rsidR="00FD356B" w:rsidRDefault="00FD35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79"/>
    <w:rsid w:val="000034ED"/>
    <w:rsid w:val="0000354E"/>
    <w:rsid w:val="000113BD"/>
    <w:rsid w:val="0001791B"/>
    <w:rsid w:val="00034014"/>
    <w:rsid w:val="000365E1"/>
    <w:rsid w:val="00037F16"/>
    <w:rsid w:val="00043C12"/>
    <w:rsid w:val="000653CC"/>
    <w:rsid w:val="00066D67"/>
    <w:rsid w:val="00067A20"/>
    <w:rsid w:val="00073CFA"/>
    <w:rsid w:val="00077B33"/>
    <w:rsid w:val="000A0984"/>
    <w:rsid w:val="000A7866"/>
    <w:rsid w:val="000A78AC"/>
    <w:rsid w:val="000B1DD6"/>
    <w:rsid w:val="000C5E9F"/>
    <w:rsid w:val="000C6B5F"/>
    <w:rsid w:val="000D70CA"/>
    <w:rsid w:val="000D71C3"/>
    <w:rsid w:val="000E2666"/>
    <w:rsid w:val="000E5218"/>
    <w:rsid w:val="000E5A77"/>
    <w:rsid w:val="000E6A25"/>
    <w:rsid w:val="000F102D"/>
    <w:rsid w:val="000F54F5"/>
    <w:rsid w:val="000F7AAA"/>
    <w:rsid w:val="000F7DEA"/>
    <w:rsid w:val="00103B81"/>
    <w:rsid w:val="00114765"/>
    <w:rsid w:val="00123CA2"/>
    <w:rsid w:val="00127B94"/>
    <w:rsid w:val="00145789"/>
    <w:rsid w:val="00150B4A"/>
    <w:rsid w:val="0015441E"/>
    <w:rsid w:val="001647B6"/>
    <w:rsid w:val="0016787B"/>
    <w:rsid w:val="001705FD"/>
    <w:rsid w:val="001710FA"/>
    <w:rsid w:val="001763A7"/>
    <w:rsid w:val="00191D55"/>
    <w:rsid w:val="001A1AA8"/>
    <w:rsid w:val="001A38AC"/>
    <w:rsid w:val="001B0220"/>
    <w:rsid w:val="001B0A76"/>
    <w:rsid w:val="001B2046"/>
    <w:rsid w:val="001C3F15"/>
    <w:rsid w:val="001C7FF2"/>
    <w:rsid w:val="001D3A80"/>
    <w:rsid w:val="001D3CBF"/>
    <w:rsid w:val="001E27CE"/>
    <w:rsid w:val="001E7E01"/>
    <w:rsid w:val="001F6626"/>
    <w:rsid w:val="00200F3A"/>
    <w:rsid w:val="00201449"/>
    <w:rsid w:val="00207706"/>
    <w:rsid w:val="002116C9"/>
    <w:rsid w:val="00215D2B"/>
    <w:rsid w:val="002242F1"/>
    <w:rsid w:val="0022517A"/>
    <w:rsid w:val="00233B5E"/>
    <w:rsid w:val="00244736"/>
    <w:rsid w:val="00261749"/>
    <w:rsid w:val="0028559C"/>
    <w:rsid w:val="0029167D"/>
    <w:rsid w:val="0029351F"/>
    <w:rsid w:val="002A2D42"/>
    <w:rsid w:val="002B3975"/>
    <w:rsid w:val="002B4C97"/>
    <w:rsid w:val="002C54C0"/>
    <w:rsid w:val="002C689B"/>
    <w:rsid w:val="002E55E2"/>
    <w:rsid w:val="00306159"/>
    <w:rsid w:val="00312771"/>
    <w:rsid w:val="00322AD9"/>
    <w:rsid w:val="00323789"/>
    <w:rsid w:val="00330510"/>
    <w:rsid w:val="0033234F"/>
    <w:rsid w:val="00340C55"/>
    <w:rsid w:val="00351644"/>
    <w:rsid w:val="00351F5F"/>
    <w:rsid w:val="00352CE6"/>
    <w:rsid w:val="00354597"/>
    <w:rsid w:val="003563FB"/>
    <w:rsid w:val="0036277B"/>
    <w:rsid w:val="0036583F"/>
    <w:rsid w:val="003717E8"/>
    <w:rsid w:val="00372910"/>
    <w:rsid w:val="003760F6"/>
    <w:rsid w:val="00397895"/>
    <w:rsid w:val="003A0DAE"/>
    <w:rsid w:val="003A3795"/>
    <w:rsid w:val="003B1DDB"/>
    <w:rsid w:val="003B6C55"/>
    <w:rsid w:val="003C6249"/>
    <w:rsid w:val="003D02B6"/>
    <w:rsid w:val="003D23FF"/>
    <w:rsid w:val="003E094D"/>
    <w:rsid w:val="003E16F6"/>
    <w:rsid w:val="003E5F49"/>
    <w:rsid w:val="003F32B7"/>
    <w:rsid w:val="0041012E"/>
    <w:rsid w:val="004117FC"/>
    <w:rsid w:val="00411FDA"/>
    <w:rsid w:val="00417C5F"/>
    <w:rsid w:val="00420608"/>
    <w:rsid w:val="00425DE2"/>
    <w:rsid w:val="00432B53"/>
    <w:rsid w:val="0043327D"/>
    <w:rsid w:val="004350B1"/>
    <w:rsid w:val="00443105"/>
    <w:rsid w:val="00444F54"/>
    <w:rsid w:val="00445C34"/>
    <w:rsid w:val="00445C40"/>
    <w:rsid w:val="0045357E"/>
    <w:rsid w:val="00457012"/>
    <w:rsid w:val="00457CF9"/>
    <w:rsid w:val="0046012B"/>
    <w:rsid w:val="00461C25"/>
    <w:rsid w:val="004643F2"/>
    <w:rsid w:val="0047090F"/>
    <w:rsid w:val="00481E6F"/>
    <w:rsid w:val="004853EF"/>
    <w:rsid w:val="00495714"/>
    <w:rsid w:val="004A26B4"/>
    <w:rsid w:val="004A3706"/>
    <w:rsid w:val="004A4EC4"/>
    <w:rsid w:val="004A59FD"/>
    <w:rsid w:val="004A6DD8"/>
    <w:rsid w:val="004B1DA5"/>
    <w:rsid w:val="004B7599"/>
    <w:rsid w:val="004E2A15"/>
    <w:rsid w:val="004E71E8"/>
    <w:rsid w:val="004F2849"/>
    <w:rsid w:val="004F58EE"/>
    <w:rsid w:val="00510429"/>
    <w:rsid w:val="00522222"/>
    <w:rsid w:val="00524EF1"/>
    <w:rsid w:val="00532A3B"/>
    <w:rsid w:val="00533526"/>
    <w:rsid w:val="0054059E"/>
    <w:rsid w:val="005452DB"/>
    <w:rsid w:val="0055265D"/>
    <w:rsid w:val="005543F5"/>
    <w:rsid w:val="00560811"/>
    <w:rsid w:val="00566DC8"/>
    <w:rsid w:val="005845EA"/>
    <w:rsid w:val="0059321F"/>
    <w:rsid w:val="005A0CC6"/>
    <w:rsid w:val="005A30BF"/>
    <w:rsid w:val="005B32A5"/>
    <w:rsid w:val="005B4031"/>
    <w:rsid w:val="005C11D5"/>
    <w:rsid w:val="005C720C"/>
    <w:rsid w:val="005D6F2D"/>
    <w:rsid w:val="005E350D"/>
    <w:rsid w:val="005E4413"/>
    <w:rsid w:val="005F62A7"/>
    <w:rsid w:val="006022F3"/>
    <w:rsid w:val="00603593"/>
    <w:rsid w:val="00607B52"/>
    <w:rsid w:val="0061726E"/>
    <w:rsid w:val="006174DE"/>
    <w:rsid w:val="00621EBF"/>
    <w:rsid w:val="00621FDC"/>
    <w:rsid w:val="006250CB"/>
    <w:rsid w:val="00651770"/>
    <w:rsid w:val="00651CC7"/>
    <w:rsid w:val="00655876"/>
    <w:rsid w:val="00655932"/>
    <w:rsid w:val="00661880"/>
    <w:rsid w:val="00683934"/>
    <w:rsid w:val="00686225"/>
    <w:rsid w:val="0069322C"/>
    <w:rsid w:val="006A0E07"/>
    <w:rsid w:val="006A3531"/>
    <w:rsid w:val="006B60F3"/>
    <w:rsid w:val="006C152D"/>
    <w:rsid w:val="006C1EC6"/>
    <w:rsid w:val="006D3C33"/>
    <w:rsid w:val="006E261F"/>
    <w:rsid w:val="006E3810"/>
    <w:rsid w:val="006E582F"/>
    <w:rsid w:val="006E7111"/>
    <w:rsid w:val="006F0B47"/>
    <w:rsid w:val="00701A09"/>
    <w:rsid w:val="0070543E"/>
    <w:rsid w:val="00711499"/>
    <w:rsid w:val="00711F0E"/>
    <w:rsid w:val="00712A0B"/>
    <w:rsid w:val="0071471B"/>
    <w:rsid w:val="00714772"/>
    <w:rsid w:val="00731DC4"/>
    <w:rsid w:val="00734395"/>
    <w:rsid w:val="00741894"/>
    <w:rsid w:val="0074312B"/>
    <w:rsid w:val="0075254D"/>
    <w:rsid w:val="007567FC"/>
    <w:rsid w:val="007613F3"/>
    <w:rsid w:val="00763D58"/>
    <w:rsid w:val="00770282"/>
    <w:rsid w:val="00771EAB"/>
    <w:rsid w:val="0079022A"/>
    <w:rsid w:val="0079048F"/>
    <w:rsid w:val="00794336"/>
    <w:rsid w:val="007946E6"/>
    <w:rsid w:val="00796EA9"/>
    <w:rsid w:val="007A56E4"/>
    <w:rsid w:val="007B302F"/>
    <w:rsid w:val="007C0AA2"/>
    <w:rsid w:val="007C6286"/>
    <w:rsid w:val="007D6CB7"/>
    <w:rsid w:val="007D77DC"/>
    <w:rsid w:val="007E3C5E"/>
    <w:rsid w:val="007F2CA2"/>
    <w:rsid w:val="007F7081"/>
    <w:rsid w:val="0080761F"/>
    <w:rsid w:val="008103EB"/>
    <w:rsid w:val="008132FB"/>
    <w:rsid w:val="0081501C"/>
    <w:rsid w:val="0081782A"/>
    <w:rsid w:val="00831F87"/>
    <w:rsid w:val="00832B26"/>
    <w:rsid w:val="0084059E"/>
    <w:rsid w:val="008454C6"/>
    <w:rsid w:val="008523E0"/>
    <w:rsid w:val="00853569"/>
    <w:rsid w:val="00874E93"/>
    <w:rsid w:val="0088152D"/>
    <w:rsid w:val="008838C1"/>
    <w:rsid w:val="00884E4D"/>
    <w:rsid w:val="00886B94"/>
    <w:rsid w:val="008924F2"/>
    <w:rsid w:val="008A1D89"/>
    <w:rsid w:val="008A3951"/>
    <w:rsid w:val="008A575E"/>
    <w:rsid w:val="008A5F37"/>
    <w:rsid w:val="008A7CBD"/>
    <w:rsid w:val="008B5E30"/>
    <w:rsid w:val="008B669A"/>
    <w:rsid w:val="008C1D57"/>
    <w:rsid w:val="008C5DDC"/>
    <w:rsid w:val="008E67AF"/>
    <w:rsid w:val="008F18D0"/>
    <w:rsid w:val="008F1EF4"/>
    <w:rsid w:val="008F525B"/>
    <w:rsid w:val="00907271"/>
    <w:rsid w:val="0091254B"/>
    <w:rsid w:val="00920A96"/>
    <w:rsid w:val="009253A1"/>
    <w:rsid w:val="009353BE"/>
    <w:rsid w:val="00937FD2"/>
    <w:rsid w:val="00944DDD"/>
    <w:rsid w:val="00946B39"/>
    <w:rsid w:val="009540FF"/>
    <w:rsid w:val="00963319"/>
    <w:rsid w:val="00963B03"/>
    <w:rsid w:val="0096519F"/>
    <w:rsid w:val="00973F74"/>
    <w:rsid w:val="00982A62"/>
    <w:rsid w:val="00995F55"/>
    <w:rsid w:val="009B3340"/>
    <w:rsid w:val="009B51F4"/>
    <w:rsid w:val="009C24E4"/>
    <w:rsid w:val="009C4530"/>
    <w:rsid w:val="009D3D5F"/>
    <w:rsid w:val="009D7E8D"/>
    <w:rsid w:val="009F3091"/>
    <w:rsid w:val="009F67DC"/>
    <w:rsid w:val="00A00D8D"/>
    <w:rsid w:val="00A01D08"/>
    <w:rsid w:val="00A1099E"/>
    <w:rsid w:val="00A11988"/>
    <w:rsid w:val="00A228B7"/>
    <w:rsid w:val="00A27D37"/>
    <w:rsid w:val="00A311EB"/>
    <w:rsid w:val="00A324FE"/>
    <w:rsid w:val="00A33727"/>
    <w:rsid w:val="00A343B1"/>
    <w:rsid w:val="00A3477F"/>
    <w:rsid w:val="00A34D65"/>
    <w:rsid w:val="00A409C0"/>
    <w:rsid w:val="00A42F24"/>
    <w:rsid w:val="00A5142B"/>
    <w:rsid w:val="00A811DB"/>
    <w:rsid w:val="00A81452"/>
    <w:rsid w:val="00A84A25"/>
    <w:rsid w:val="00A85831"/>
    <w:rsid w:val="00A86A11"/>
    <w:rsid w:val="00A94C7C"/>
    <w:rsid w:val="00A96B95"/>
    <w:rsid w:val="00AA023A"/>
    <w:rsid w:val="00AA1762"/>
    <w:rsid w:val="00AA3279"/>
    <w:rsid w:val="00AA3288"/>
    <w:rsid w:val="00AA3E18"/>
    <w:rsid w:val="00AA795C"/>
    <w:rsid w:val="00AB36EC"/>
    <w:rsid w:val="00AD0189"/>
    <w:rsid w:val="00AD3822"/>
    <w:rsid w:val="00AF289B"/>
    <w:rsid w:val="00AF42D6"/>
    <w:rsid w:val="00B01F05"/>
    <w:rsid w:val="00B020E0"/>
    <w:rsid w:val="00B10030"/>
    <w:rsid w:val="00B101C9"/>
    <w:rsid w:val="00B12E99"/>
    <w:rsid w:val="00B22957"/>
    <w:rsid w:val="00B26D04"/>
    <w:rsid w:val="00B3409B"/>
    <w:rsid w:val="00B41EAB"/>
    <w:rsid w:val="00B52007"/>
    <w:rsid w:val="00B5233B"/>
    <w:rsid w:val="00B570F3"/>
    <w:rsid w:val="00B65AED"/>
    <w:rsid w:val="00B75168"/>
    <w:rsid w:val="00B84797"/>
    <w:rsid w:val="00B85050"/>
    <w:rsid w:val="00B90133"/>
    <w:rsid w:val="00B9449F"/>
    <w:rsid w:val="00BC140E"/>
    <w:rsid w:val="00BD04AB"/>
    <w:rsid w:val="00BD1B8B"/>
    <w:rsid w:val="00BE271A"/>
    <w:rsid w:val="00BE6C9D"/>
    <w:rsid w:val="00BE78A5"/>
    <w:rsid w:val="00C0116C"/>
    <w:rsid w:val="00C10905"/>
    <w:rsid w:val="00C11E17"/>
    <w:rsid w:val="00C231A4"/>
    <w:rsid w:val="00C27042"/>
    <w:rsid w:val="00C355B7"/>
    <w:rsid w:val="00C51B6B"/>
    <w:rsid w:val="00C51F0B"/>
    <w:rsid w:val="00C5223F"/>
    <w:rsid w:val="00C52601"/>
    <w:rsid w:val="00C54127"/>
    <w:rsid w:val="00C6569A"/>
    <w:rsid w:val="00C735B1"/>
    <w:rsid w:val="00C8260A"/>
    <w:rsid w:val="00C966DD"/>
    <w:rsid w:val="00C9728A"/>
    <w:rsid w:val="00CC453F"/>
    <w:rsid w:val="00CC595F"/>
    <w:rsid w:val="00CC64C1"/>
    <w:rsid w:val="00CC7614"/>
    <w:rsid w:val="00CC7626"/>
    <w:rsid w:val="00CD1202"/>
    <w:rsid w:val="00CE65F5"/>
    <w:rsid w:val="00CF3039"/>
    <w:rsid w:val="00D02878"/>
    <w:rsid w:val="00D07586"/>
    <w:rsid w:val="00D20324"/>
    <w:rsid w:val="00D246EF"/>
    <w:rsid w:val="00D36991"/>
    <w:rsid w:val="00D37087"/>
    <w:rsid w:val="00D44C3A"/>
    <w:rsid w:val="00D47A99"/>
    <w:rsid w:val="00D50AE2"/>
    <w:rsid w:val="00D525D5"/>
    <w:rsid w:val="00D52A43"/>
    <w:rsid w:val="00D5602F"/>
    <w:rsid w:val="00D6003A"/>
    <w:rsid w:val="00D864C3"/>
    <w:rsid w:val="00D90309"/>
    <w:rsid w:val="00D91FFC"/>
    <w:rsid w:val="00D93431"/>
    <w:rsid w:val="00DA65C7"/>
    <w:rsid w:val="00DB72C9"/>
    <w:rsid w:val="00DC38BA"/>
    <w:rsid w:val="00DD2784"/>
    <w:rsid w:val="00DE01F1"/>
    <w:rsid w:val="00DE1165"/>
    <w:rsid w:val="00DF1C1B"/>
    <w:rsid w:val="00DF23CD"/>
    <w:rsid w:val="00E0033C"/>
    <w:rsid w:val="00E044BF"/>
    <w:rsid w:val="00E06A09"/>
    <w:rsid w:val="00E109F5"/>
    <w:rsid w:val="00E10F23"/>
    <w:rsid w:val="00E11EE2"/>
    <w:rsid w:val="00E12810"/>
    <w:rsid w:val="00E13AC6"/>
    <w:rsid w:val="00E15CDF"/>
    <w:rsid w:val="00E16835"/>
    <w:rsid w:val="00E443C6"/>
    <w:rsid w:val="00E74B1C"/>
    <w:rsid w:val="00E83878"/>
    <w:rsid w:val="00E8530E"/>
    <w:rsid w:val="00E87397"/>
    <w:rsid w:val="00E93406"/>
    <w:rsid w:val="00E967BA"/>
    <w:rsid w:val="00EA6B46"/>
    <w:rsid w:val="00EB0415"/>
    <w:rsid w:val="00EB68EB"/>
    <w:rsid w:val="00EC3F03"/>
    <w:rsid w:val="00EC6E41"/>
    <w:rsid w:val="00ED7DC9"/>
    <w:rsid w:val="00EE243A"/>
    <w:rsid w:val="00EE58CF"/>
    <w:rsid w:val="00EE6138"/>
    <w:rsid w:val="00F016B5"/>
    <w:rsid w:val="00F24319"/>
    <w:rsid w:val="00F255B2"/>
    <w:rsid w:val="00F277D5"/>
    <w:rsid w:val="00F3239B"/>
    <w:rsid w:val="00F45283"/>
    <w:rsid w:val="00F458B0"/>
    <w:rsid w:val="00F5689F"/>
    <w:rsid w:val="00F651DA"/>
    <w:rsid w:val="00F65509"/>
    <w:rsid w:val="00F67102"/>
    <w:rsid w:val="00F70628"/>
    <w:rsid w:val="00F740D9"/>
    <w:rsid w:val="00F7571D"/>
    <w:rsid w:val="00F800DC"/>
    <w:rsid w:val="00F90DBD"/>
    <w:rsid w:val="00F917AC"/>
    <w:rsid w:val="00FA67C0"/>
    <w:rsid w:val="00FB458A"/>
    <w:rsid w:val="00FC088D"/>
    <w:rsid w:val="00FC4970"/>
    <w:rsid w:val="00FC6297"/>
    <w:rsid w:val="00FC6CB4"/>
    <w:rsid w:val="00FD356B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41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354597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5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354597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C5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DD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unhideWhenUsed/>
    <w:qFormat/>
    <w:rsid w:val="006250CB"/>
    <w:rPr>
      <w:sz w:val="21"/>
      <w:szCs w:val="21"/>
    </w:rPr>
  </w:style>
  <w:style w:type="paragraph" w:styleId="a7">
    <w:name w:val="annotation text"/>
    <w:basedOn w:val="a"/>
    <w:link w:val="Char2"/>
    <w:uiPriority w:val="99"/>
    <w:unhideWhenUsed/>
    <w:qFormat/>
    <w:rsid w:val="006250CB"/>
  </w:style>
  <w:style w:type="character" w:customStyle="1" w:styleId="Char2">
    <w:name w:val="批注文字 Char"/>
    <w:basedOn w:val="a0"/>
    <w:link w:val="a7"/>
    <w:uiPriority w:val="99"/>
    <w:semiHidden/>
    <w:rsid w:val="006250C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250C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250CB"/>
    <w:rPr>
      <w:b/>
      <w:bCs/>
    </w:rPr>
  </w:style>
  <w:style w:type="character" w:customStyle="1" w:styleId="1">
    <w:name w:val="批注文字 字符1"/>
    <w:basedOn w:val="a0"/>
    <w:uiPriority w:val="99"/>
    <w:qFormat/>
    <w:rsid w:val="006250CB"/>
    <w:rPr>
      <w:rFonts w:eastAsiaTheme="minorEastAsia"/>
      <w:kern w:val="2"/>
      <w:sz w:val="21"/>
    </w:rPr>
  </w:style>
  <w:style w:type="paragraph" w:customStyle="1" w:styleId="Default">
    <w:name w:val="Default"/>
    <w:rsid w:val="00F740D9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354597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5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354597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8C5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DD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unhideWhenUsed/>
    <w:qFormat/>
    <w:rsid w:val="006250CB"/>
    <w:rPr>
      <w:sz w:val="21"/>
      <w:szCs w:val="21"/>
    </w:rPr>
  </w:style>
  <w:style w:type="paragraph" w:styleId="a7">
    <w:name w:val="annotation text"/>
    <w:basedOn w:val="a"/>
    <w:link w:val="Char2"/>
    <w:uiPriority w:val="99"/>
    <w:unhideWhenUsed/>
    <w:qFormat/>
    <w:rsid w:val="006250CB"/>
  </w:style>
  <w:style w:type="character" w:customStyle="1" w:styleId="Char2">
    <w:name w:val="批注文字 Char"/>
    <w:basedOn w:val="a0"/>
    <w:link w:val="a7"/>
    <w:uiPriority w:val="99"/>
    <w:semiHidden/>
    <w:rsid w:val="006250CB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250C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250CB"/>
    <w:rPr>
      <w:b/>
      <w:bCs/>
    </w:rPr>
  </w:style>
  <w:style w:type="character" w:customStyle="1" w:styleId="1">
    <w:name w:val="批注文字 字符1"/>
    <w:basedOn w:val="a0"/>
    <w:uiPriority w:val="99"/>
    <w:qFormat/>
    <w:rsid w:val="006250CB"/>
    <w:rPr>
      <w:rFonts w:eastAsiaTheme="minorEastAsia"/>
      <w:kern w:val="2"/>
      <w:sz w:val="21"/>
    </w:rPr>
  </w:style>
  <w:style w:type="paragraph" w:customStyle="1" w:styleId="Default">
    <w:name w:val="Default"/>
    <w:rsid w:val="00F740D9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1CC5-A871-4012-A6EA-B073F033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5138</Words>
  <Characters>29291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 Au</dc:creator>
  <cp:lastModifiedBy>邢燕霞</cp:lastModifiedBy>
  <cp:revision>7</cp:revision>
  <dcterms:created xsi:type="dcterms:W3CDTF">2020-03-29T17:35:00Z</dcterms:created>
  <dcterms:modified xsi:type="dcterms:W3CDTF">2020-04-20T09:04:00Z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65902618-9472-3c63-ad4b-4e45582f3ac9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