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C70A" w14:textId="77777777" w:rsidR="00194299" w:rsidRPr="006257CB" w:rsidRDefault="00194299" w:rsidP="006D1F4C">
      <w:pPr>
        <w:pStyle w:val="Default"/>
        <w:snapToGrid w:val="0"/>
        <w:spacing w:line="360" w:lineRule="auto"/>
        <w:jc w:val="both"/>
        <w:rPr>
          <w:i/>
          <w:iCs/>
          <w:color w:val="000000" w:themeColor="text1"/>
        </w:rPr>
      </w:pPr>
      <w:r w:rsidRPr="006257CB">
        <w:rPr>
          <w:b/>
          <w:bCs/>
          <w:color w:val="000000" w:themeColor="text1"/>
        </w:rPr>
        <w:t xml:space="preserve">Name of Journal: </w:t>
      </w:r>
      <w:r w:rsidRPr="006257CB">
        <w:rPr>
          <w:i/>
          <w:iCs/>
          <w:color w:val="000000" w:themeColor="text1"/>
        </w:rPr>
        <w:t>World Journal of Gastrointestinal Surgery</w:t>
      </w:r>
    </w:p>
    <w:p w14:paraId="7B5B9CAD" w14:textId="12A7C7C4" w:rsidR="00194299" w:rsidRPr="006257CB" w:rsidRDefault="009528CE" w:rsidP="006D1F4C">
      <w:pPr>
        <w:pStyle w:val="Default"/>
        <w:snapToGrid w:val="0"/>
        <w:spacing w:line="360" w:lineRule="auto"/>
        <w:jc w:val="both"/>
        <w:rPr>
          <w:color w:val="000000" w:themeColor="text1"/>
        </w:rPr>
      </w:pPr>
      <w:r w:rsidRPr="006257CB">
        <w:rPr>
          <w:b/>
          <w:bCs/>
          <w:color w:val="000000" w:themeColor="text1"/>
        </w:rPr>
        <w:t>Manuscript NO:</w:t>
      </w:r>
      <w:r w:rsidRPr="006257CB">
        <w:rPr>
          <w:color w:val="000000" w:themeColor="text1"/>
        </w:rPr>
        <w:t xml:space="preserve"> 53782</w:t>
      </w:r>
    </w:p>
    <w:p w14:paraId="7EBCBF82" w14:textId="77777777" w:rsidR="00377C2C" w:rsidRPr="006257CB" w:rsidRDefault="00377C2C" w:rsidP="006D1F4C">
      <w:pPr>
        <w:adjustRightInd w:val="0"/>
        <w:snapToGrid w:val="0"/>
        <w:spacing w:line="360" w:lineRule="auto"/>
        <w:rPr>
          <w:rFonts w:ascii="Book Antiqua" w:eastAsia="幼圆" w:hAnsi="Book Antiqua"/>
          <w:sz w:val="24"/>
          <w:szCs w:val="24"/>
        </w:rPr>
      </w:pPr>
      <w:bookmarkStart w:id="0" w:name="OLE_LINK3"/>
      <w:bookmarkStart w:id="1" w:name="OLE_LINK4"/>
      <w:r w:rsidRPr="006257CB">
        <w:rPr>
          <w:rFonts w:ascii="Book Antiqua" w:hAnsi="Book Antiqua"/>
          <w:b/>
          <w:color w:val="000000"/>
          <w:sz w:val="24"/>
          <w:szCs w:val="24"/>
          <w:shd w:val="clear" w:color="auto" w:fill="FFFFFF"/>
        </w:rPr>
        <w:t>Manuscript Type</w:t>
      </w:r>
      <w:r w:rsidRPr="006257CB">
        <w:rPr>
          <w:rFonts w:ascii="Book Antiqua" w:hAnsi="Book Antiqua"/>
          <w:b/>
          <w:color w:val="000000"/>
          <w:sz w:val="24"/>
          <w:szCs w:val="24"/>
        </w:rPr>
        <w:t>:</w:t>
      </w:r>
      <w:bookmarkEnd w:id="0"/>
      <w:bookmarkEnd w:id="1"/>
      <w:r w:rsidRPr="006257CB">
        <w:rPr>
          <w:rFonts w:ascii="Book Antiqua" w:eastAsiaTheme="minorEastAsia" w:hAnsi="Book Antiqua" w:cs="Arial"/>
          <w:b/>
          <w:color w:val="222222"/>
          <w:sz w:val="24"/>
          <w:szCs w:val="24"/>
          <w:shd w:val="clear" w:color="auto" w:fill="FFFFFF"/>
        </w:rPr>
        <w:t xml:space="preserve"> </w:t>
      </w:r>
      <w:r w:rsidRPr="006257CB">
        <w:rPr>
          <w:rFonts w:ascii="Book Antiqua" w:hAnsi="Book Antiqua"/>
          <w:sz w:val="24"/>
          <w:szCs w:val="24"/>
        </w:rPr>
        <w:t>ORIGINAL ARTICLE</w:t>
      </w:r>
      <w:r w:rsidRPr="006257CB">
        <w:rPr>
          <w:rFonts w:ascii="Book Antiqua" w:eastAsia="幼圆" w:hAnsi="Book Antiqua"/>
          <w:sz w:val="24"/>
          <w:szCs w:val="24"/>
        </w:rPr>
        <w:t xml:space="preserve"> </w:t>
      </w:r>
    </w:p>
    <w:p w14:paraId="2A0BD4D7" w14:textId="77777777" w:rsidR="00377C2C" w:rsidRPr="006257CB" w:rsidRDefault="00377C2C" w:rsidP="006D1F4C">
      <w:pPr>
        <w:adjustRightInd w:val="0"/>
        <w:snapToGrid w:val="0"/>
        <w:spacing w:line="360" w:lineRule="auto"/>
        <w:rPr>
          <w:rFonts w:ascii="Book Antiqua" w:eastAsia="幼圆" w:hAnsi="Book Antiqua"/>
          <w:b/>
          <w:i/>
          <w:sz w:val="24"/>
          <w:szCs w:val="24"/>
        </w:rPr>
      </w:pPr>
    </w:p>
    <w:p w14:paraId="22F10443" w14:textId="77777777" w:rsidR="00377C2C" w:rsidRPr="006257CB" w:rsidRDefault="00377C2C" w:rsidP="006D1F4C">
      <w:pPr>
        <w:adjustRightInd w:val="0"/>
        <w:snapToGrid w:val="0"/>
        <w:spacing w:line="360" w:lineRule="auto"/>
        <w:rPr>
          <w:rFonts w:ascii="Book Antiqua" w:eastAsia="幼圆" w:hAnsi="Book Antiqua"/>
          <w:b/>
          <w:i/>
          <w:sz w:val="24"/>
          <w:szCs w:val="24"/>
        </w:rPr>
      </w:pPr>
      <w:r w:rsidRPr="006257CB">
        <w:rPr>
          <w:rFonts w:ascii="Book Antiqua" w:eastAsia="幼圆" w:hAnsi="Book Antiqua"/>
          <w:b/>
          <w:i/>
          <w:sz w:val="24"/>
          <w:szCs w:val="24"/>
        </w:rPr>
        <w:t>Retrospective Study</w:t>
      </w:r>
    </w:p>
    <w:p w14:paraId="3C36249E" w14:textId="77777777" w:rsidR="00194299" w:rsidRPr="006257CB" w:rsidRDefault="00194299" w:rsidP="006D1F4C">
      <w:pPr>
        <w:snapToGrid w:val="0"/>
        <w:spacing w:line="360" w:lineRule="auto"/>
        <w:rPr>
          <w:rFonts w:ascii="Book Antiqua" w:eastAsia="Arial Unicode MS" w:hAnsi="Book Antiqua"/>
          <w:b/>
          <w:color w:val="000000" w:themeColor="text1"/>
          <w:sz w:val="24"/>
          <w:szCs w:val="24"/>
        </w:rPr>
      </w:pPr>
      <w:r w:rsidRPr="006257CB">
        <w:rPr>
          <w:rFonts w:ascii="Book Antiqua" w:eastAsia="Arial Unicode MS" w:hAnsi="Book Antiqua"/>
          <w:b/>
          <w:color w:val="000000" w:themeColor="text1"/>
          <w:sz w:val="24"/>
          <w:szCs w:val="24"/>
        </w:rPr>
        <w:t>Clinical course of suspected small gastrointestinal stromal tumors in the stomach</w:t>
      </w:r>
    </w:p>
    <w:p w14:paraId="042799E5" w14:textId="77777777" w:rsidR="00194299" w:rsidRPr="006257CB" w:rsidRDefault="00194299" w:rsidP="006D1F4C">
      <w:pPr>
        <w:snapToGrid w:val="0"/>
        <w:spacing w:line="360" w:lineRule="auto"/>
        <w:rPr>
          <w:rFonts w:ascii="Book Antiqua" w:hAnsi="Book Antiqua" w:cs="Arial"/>
          <w:b/>
          <w:bCs/>
          <w:color w:val="000000" w:themeColor="text1"/>
          <w:sz w:val="24"/>
          <w:szCs w:val="24"/>
        </w:rPr>
      </w:pPr>
    </w:p>
    <w:p w14:paraId="7E478728" w14:textId="71CCE320" w:rsidR="00194299" w:rsidRPr="006257CB" w:rsidRDefault="00E41D64" w:rsidP="006D1F4C">
      <w:pPr>
        <w:snapToGrid w:val="0"/>
        <w:spacing w:line="360" w:lineRule="auto"/>
        <w:rPr>
          <w:rFonts w:ascii="Book Antiqua" w:eastAsia="Arial Unicode MS" w:hAnsi="Book Antiqua"/>
          <w:bCs/>
          <w:color w:val="000000" w:themeColor="text1"/>
          <w:sz w:val="24"/>
          <w:szCs w:val="24"/>
        </w:rPr>
      </w:pPr>
      <w:r w:rsidRPr="006257CB">
        <w:rPr>
          <w:rFonts w:ascii="Book Antiqua" w:hAnsi="Book Antiqua" w:cs="Arial"/>
          <w:color w:val="000000" w:themeColor="text1"/>
          <w:sz w:val="24"/>
          <w:szCs w:val="24"/>
        </w:rPr>
        <w:t xml:space="preserve">Ye LS </w:t>
      </w:r>
      <w:r w:rsidR="00194299" w:rsidRPr="006257CB">
        <w:rPr>
          <w:rFonts w:ascii="Book Antiqua" w:hAnsi="Book Antiqua" w:cs="Arial"/>
          <w:i/>
          <w:iCs/>
          <w:color w:val="000000" w:themeColor="text1"/>
          <w:sz w:val="24"/>
          <w:szCs w:val="24"/>
        </w:rPr>
        <w:t>et al</w:t>
      </w:r>
      <w:r w:rsidR="00194299" w:rsidRPr="006257CB">
        <w:rPr>
          <w:rFonts w:ascii="Book Antiqua" w:hAnsi="Book Antiqua" w:cs="Arial"/>
          <w:color w:val="000000" w:themeColor="text1"/>
          <w:sz w:val="24"/>
          <w:szCs w:val="24"/>
        </w:rPr>
        <w:t xml:space="preserve">. </w:t>
      </w:r>
      <w:r w:rsidRPr="006257CB">
        <w:rPr>
          <w:rFonts w:ascii="Book Antiqua" w:eastAsia="Arial Unicode MS" w:hAnsi="Book Antiqua"/>
          <w:bCs/>
          <w:color w:val="000000" w:themeColor="text1"/>
          <w:sz w:val="24"/>
          <w:szCs w:val="24"/>
        </w:rPr>
        <w:t xml:space="preserve">Clinical </w:t>
      </w:r>
      <w:r w:rsidR="00194299" w:rsidRPr="006257CB">
        <w:rPr>
          <w:rFonts w:ascii="Book Antiqua" w:eastAsia="Arial Unicode MS" w:hAnsi="Book Antiqua"/>
          <w:bCs/>
          <w:color w:val="000000" w:themeColor="text1"/>
          <w:sz w:val="24"/>
          <w:szCs w:val="24"/>
        </w:rPr>
        <w:t>course of suspected small gastric GIST</w:t>
      </w:r>
    </w:p>
    <w:p w14:paraId="191906BD" w14:textId="77777777" w:rsidR="00194299" w:rsidRPr="006257CB" w:rsidRDefault="00194299" w:rsidP="006D1F4C">
      <w:pPr>
        <w:snapToGrid w:val="0"/>
        <w:spacing w:line="360" w:lineRule="auto"/>
        <w:rPr>
          <w:rFonts w:ascii="Book Antiqua" w:hAnsi="Book Antiqua" w:cs="Arial"/>
          <w:b/>
          <w:bCs/>
          <w:color w:val="000000" w:themeColor="text1"/>
          <w:sz w:val="24"/>
          <w:szCs w:val="24"/>
        </w:rPr>
      </w:pPr>
    </w:p>
    <w:p w14:paraId="70244837" w14:textId="52DAC2D0" w:rsidR="00194299" w:rsidRPr="006257CB" w:rsidRDefault="00194299" w:rsidP="006D1F4C">
      <w:pPr>
        <w:snapToGrid w:val="0"/>
        <w:spacing w:line="360" w:lineRule="auto"/>
        <w:rPr>
          <w:rFonts w:ascii="Book Antiqua" w:hAnsi="Book Antiqua"/>
          <w:color w:val="000000" w:themeColor="text1"/>
          <w:sz w:val="24"/>
          <w:szCs w:val="24"/>
        </w:rPr>
      </w:pPr>
      <w:bookmarkStart w:id="2" w:name="_Hlk11163590"/>
      <w:proofErr w:type="spellStart"/>
      <w:r w:rsidRPr="006257CB">
        <w:rPr>
          <w:rFonts w:ascii="Book Antiqua" w:hAnsi="Book Antiqua"/>
          <w:color w:val="000000" w:themeColor="text1"/>
          <w:sz w:val="24"/>
          <w:szCs w:val="24"/>
        </w:rPr>
        <w:t>Lian</w:t>
      </w:r>
      <w:proofErr w:type="spellEnd"/>
      <w:r w:rsidRPr="006257CB">
        <w:rPr>
          <w:rFonts w:ascii="Book Antiqua" w:hAnsi="Book Antiqua"/>
          <w:color w:val="000000" w:themeColor="text1"/>
          <w:sz w:val="24"/>
          <w:szCs w:val="24"/>
        </w:rPr>
        <w:t>-Song Ye, Yan Li, Wei Liu, Ming-Hong Yao</w:t>
      </w:r>
      <w:r w:rsidR="00E41D64" w:rsidRPr="006257CB">
        <w:rPr>
          <w:rFonts w:ascii="Book Antiqua" w:hAnsi="Book Antiqua"/>
          <w:color w:val="000000" w:themeColor="text1"/>
          <w:sz w:val="24"/>
          <w:szCs w:val="24"/>
        </w:rPr>
        <w:t>,</w:t>
      </w:r>
      <w:r w:rsidRPr="006257CB">
        <w:rPr>
          <w:rFonts w:ascii="Book Antiqua" w:hAnsi="Book Antiqua"/>
          <w:color w:val="000000" w:themeColor="text1"/>
          <w:sz w:val="24"/>
          <w:szCs w:val="24"/>
        </w:rPr>
        <w:t xml:space="preserve"> Naveed Khan, Bing Hu</w:t>
      </w:r>
    </w:p>
    <w:bookmarkEnd w:id="2"/>
    <w:p w14:paraId="3AF351BA" w14:textId="77777777" w:rsidR="00194299" w:rsidRPr="006257CB" w:rsidRDefault="00194299" w:rsidP="006D1F4C">
      <w:pPr>
        <w:snapToGrid w:val="0"/>
        <w:spacing w:line="360" w:lineRule="auto"/>
        <w:rPr>
          <w:rFonts w:ascii="Book Antiqua" w:hAnsi="Book Antiqua"/>
          <w:color w:val="000000" w:themeColor="text1"/>
          <w:sz w:val="24"/>
          <w:szCs w:val="24"/>
        </w:rPr>
      </w:pPr>
    </w:p>
    <w:p w14:paraId="23932E34" w14:textId="49F5A72B" w:rsidR="00194299" w:rsidRPr="006257CB" w:rsidRDefault="00E41D64" w:rsidP="006D1F4C">
      <w:pPr>
        <w:snapToGrid w:val="0"/>
        <w:spacing w:line="360" w:lineRule="auto"/>
        <w:rPr>
          <w:rFonts w:ascii="Book Antiqua" w:hAnsi="Book Antiqua"/>
          <w:color w:val="000000" w:themeColor="text1"/>
          <w:sz w:val="24"/>
          <w:szCs w:val="24"/>
        </w:rPr>
      </w:pPr>
      <w:proofErr w:type="spellStart"/>
      <w:r w:rsidRPr="006257CB">
        <w:rPr>
          <w:rFonts w:ascii="Book Antiqua" w:hAnsi="Book Antiqua"/>
          <w:b/>
          <w:bCs/>
          <w:color w:val="000000" w:themeColor="text1"/>
          <w:sz w:val="24"/>
          <w:szCs w:val="24"/>
        </w:rPr>
        <w:t>Lian</w:t>
      </w:r>
      <w:proofErr w:type="spellEnd"/>
      <w:r w:rsidRPr="006257CB">
        <w:rPr>
          <w:rFonts w:ascii="Book Antiqua" w:hAnsi="Book Antiqua"/>
          <w:b/>
          <w:bCs/>
          <w:color w:val="000000" w:themeColor="text1"/>
          <w:sz w:val="24"/>
          <w:szCs w:val="24"/>
        </w:rPr>
        <w:t xml:space="preserve">-Song Ye, Yan Li, Wei Liu, Naveed Khan, Bing Hu, </w:t>
      </w:r>
      <w:r w:rsidR="00194299" w:rsidRPr="006257CB">
        <w:rPr>
          <w:rFonts w:ascii="Book Antiqua" w:hAnsi="Book Antiqua"/>
          <w:color w:val="000000" w:themeColor="text1"/>
          <w:sz w:val="24"/>
          <w:szCs w:val="24"/>
        </w:rPr>
        <w:t>Department of Gastroenterology, West China Hospital, Sichuan University, Chengdu 610041, Sichuan</w:t>
      </w:r>
      <w:r w:rsidRPr="006257CB">
        <w:rPr>
          <w:rFonts w:ascii="Book Antiqua" w:hAnsi="Book Antiqua"/>
          <w:color w:val="000000" w:themeColor="text1"/>
          <w:sz w:val="24"/>
          <w:szCs w:val="24"/>
        </w:rPr>
        <w:t xml:space="preserve"> Province</w:t>
      </w:r>
      <w:r w:rsidR="00194299" w:rsidRPr="006257CB">
        <w:rPr>
          <w:rFonts w:ascii="Book Antiqua" w:hAnsi="Book Antiqua"/>
          <w:color w:val="000000" w:themeColor="text1"/>
          <w:sz w:val="24"/>
          <w:szCs w:val="24"/>
        </w:rPr>
        <w:t>, China</w:t>
      </w:r>
    </w:p>
    <w:p w14:paraId="3DD9EDF6" w14:textId="77777777" w:rsidR="00E41D64" w:rsidRPr="006257CB" w:rsidRDefault="00E41D64" w:rsidP="006D1F4C">
      <w:pPr>
        <w:snapToGrid w:val="0"/>
        <w:spacing w:line="360" w:lineRule="auto"/>
        <w:rPr>
          <w:rFonts w:ascii="Book Antiqua" w:hAnsi="Book Antiqua"/>
          <w:color w:val="000000" w:themeColor="text1"/>
          <w:sz w:val="24"/>
          <w:szCs w:val="24"/>
        </w:rPr>
      </w:pPr>
    </w:p>
    <w:p w14:paraId="69AB3EF1" w14:textId="6B566E27" w:rsidR="00194299" w:rsidRPr="006257CB" w:rsidRDefault="00E41D64" w:rsidP="006D1F4C">
      <w:pPr>
        <w:snapToGrid w:val="0"/>
        <w:spacing w:line="360" w:lineRule="auto"/>
        <w:rPr>
          <w:rFonts w:ascii="Book Antiqua" w:hAnsi="Book Antiqua"/>
          <w:color w:val="000000" w:themeColor="text1"/>
          <w:sz w:val="24"/>
          <w:szCs w:val="24"/>
        </w:rPr>
      </w:pPr>
      <w:r w:rsidRPr="006257CB">
        <w:rPr>
          <w:rFonts w:ascii="Book Antiqua" w:hAnsi="Book Antiqua"/>
          <w:b/>
          <w:bCs/>
          <w:color w:val="000000" w:themeColor="text1"/>
          <w:sz w:val="24"/>
          <w:szCs w:val="24"/>
        </w:rPr>
        <w:t xml:space="preserve">Ming-Hong Yao, </w:t>
      </w:r>
      <w:r w:rsidR="00194299" w:rsidRPr="006257CB">
        <w:rPr>
          <w:rFonts w:ascii="Book Antiqua" w:hAnsi="Book Antiqua"/>
          <w:color w:val="000000" w:themeColor="text1"/>
          <w:sz w:val="24"/>
          <w:szCs w:val="24"/>
        </w:rPr>
        <w:t xml:space="preserve">Department of Epidemiology and Health Statistics, West China School of Public Health, Sichuan University, Chengdu 610041, </w:t>
      </w:r>
      <w:r w:rsidRPr="006257CB">
        <w:rPr>
          <w:rFonts w:ascii="Book Antiqua" w:hAnsi="Book Antiqua"/>
          <w:color w:val="000000" w:themeColor="text1"/>
          <w:sz w:val="24"/>
          <w:szCs w:val="24"/>
        </w:rPr>
        <w:t xml:space="preserve">Sichuan Province, </w:t>
      </w:r>
      <w:r w:rsidR="00194299" w:rsidRPr="006257CB">
        <w:rPr>
          <w:rFonts w:ascii="Book Antiqua" w:hAnsi="Book Antiqua"/>
          <w:color w:val="000000" w:themeColor="text1"/>
          <w:sz w:val="24"/>
          <w:szCs w:val="24"/>
        </w:rPr>
        <w:t>China</w:t>
      </w:r>
    </w:p>
    <w:p w14:paraId="699A98BD" w14:textId="77777777" w:rsidR="00194299" w:rsidRPr="006257CB" w:rsidRDefault="00194299" w:rsidP="006D1F4C">
      <w:pPr>
        <w:snapToGrid w:val="0"/>
        <w:spacing w:line="360" w:lineRule="auto"/>
        <w:rPr>
          <w:rFonts w:ascii="Book Antiqua" w:hAnsi="Book Antiqua"/>
          <w:b/>
          <w:bCs/>
          <w:color w:val="000000" w:themeColor="text1"/>
          <w:sz w:val="24"/>
          <w:szCs w:val="24"/>
        </w:rPr>
      </w:pPr>
    </w:p>
    <w:p w14:paraId="33042A56" w14:textId="6A21DD81" w:rsidR="00194299" w:rsidRPr="006257CB" w:rsidRDefault="00377C2C" w:rsidP="006D1F4C">
      <w:pPr>
        <w:snapToGrid w:val="0"/>
        <w:spacing w:line="360" w:lineRule="auto"/>
        <w:rPr>
          <w:rFonts w:ascii="Book Antiqua" w:eastAsia="Calibri,Bold" w:hAnsi="Book Antiqua"/>
          <w:b/>
          <w:bCs/>
          <w:color w:val="000000" w:themeColor="text1"/>
          <w:sz w:val="24"/>
          <w:szCs w:val="24"/>
        </w:rPr>
      </w:pPr>
      <w:r w:rsidRPr="006257CB">
        <w:rPr>
          <w:rFonts w:ascii="Book Antiqua" w:hAnsi="Book Antiqua"/>
          <w:b/>
          <w:sz w:val="24"/>
          <w:szCs w:val="24"/>
        </w:rPr>
        <w:t>Author contributions:</w:t>
      </w:r>
      <w:r w:rsidRPr="006257CB">
        <w:rPr>
          <w:rFonts w:ascii="Book Antiqua" w:hAnsi="Book Antiqua"/>
          <w:sz w:val="24"/>
          <w:szCs w:val="24"/>
        </w:rPr>
        <w:t xml:space="preserve"> </w:t>
      </w:r>
      <w:r w:rsidR="00194299" w:rsidRPr="006257CB">
        <w:rPr>
          <w:rFonts w:ascii="Book Antiqua" w:hAnsi="Book Antiqua"/>
          <w:color w:val="000000" w:themeColor="text1"/>
          <w:sz w:val="24"/>
          <w:szCs w:val="24"/>
        </w:rPr>
        <w:t>Ye</w:t>
      </w:r>
      <w:r w:rsidR="00E41D64" w:rsidRPr="006257CB">
        <w:rPr>
          <w:rFonts w:ascii="Book Antiqua" w:hAnsi="Book Antiqua"/>
          <w:color w:val="000000" w:themeColor="text1"/>
          <w:sz w:val="24"/>
          <w:szCs w:val="24"/>
        </w:rPr>
        <w:t xml:space="preserve"> LS</w:t>
      </w:r>
      <w:r w:rsidR="00194299" w:rsidRPr="006257CB">
        <w:rPr>
          <w:rFonts w:ascii="Book Antiqua" w:hAnsi="Book Antiqua"/>
          <w:color w:val="000000" w:themeColor="text1"/>
          <w:sz w:val="24"/>
          <w:szCs w:val="24"/>
        </w:rPr>
        <w:t>, Li</w:t>
      </w:r>
      <w:r w:rsidR="00E41D64" w:rsidRPr="006257CB">
        <w:rPr>
          <w:rFonts w:ascii="Book Antiqua" w:hAnsi="Book Antiqua"/>
          <w:color w:val="000000" w:themeColor="text1"/>
          <w:sz w:val="24"/>
          <w:szCs w:val="24"/>
        </w:rPr>
        <w:t xml:space="preserve"> Y</w:t>
      </w:r>
      <w:r w:rsidR="00194299" w:rsidRPr="006257CB">
        <w:rPr>
          <w:rFonts w:ascii="Book Antiqua" w:hAnsi="Book Antiqua"/>
          <w:color w:val="000000" w:themeColor="text1"/>
          <w:sz w:val="24"/>
          <w:szCs w:val="24"/>
        </w:rPr>
        <w:t>, Liu</w:t>
      </w:r>
      <w:r w:rsidR="00E41D64" w:rsidRPr="006257CB">
        <w:rPr>
          <w:rFonts w:ascii="Book Antiqua" w:hAnsi="Book Antiqua"/>
          <w:color w:val="000000" w:themeColor="text1"/>
          <w:sz w:val="24"/>
          <w:szCs w:val="24"/>
        </w:rPr>
        <w:t xml:space="preserve"> W</w:t>
      </w:r>
      <w:r w:rsidR="00381697" w:rsidRPr="006257CB">
        <w:rPr>
          <w:rFonts w:ascii="Book Antiqua" w:hAnsi="Book Antiqua" w:hint="eastAsia"/>
          <w:color w:val="000000" w:themeColor="text1"/>
          <w:sz w:val="24"/>
          <w:szCs w:val="24"/>
        </w:rPr>
        <w:t xml:space="preserve"> and</w:t>
      </w:r>
      <w:r w:rsidR="00194299" w:rsidRPr="006257CB">
        <w:rPr>
          <w:rFonts w:ascii="Book Antiqua" w:hAnsi="Book Antiqua"/>
          <w:color w:val="000000" w:themeColor="text1"/>
          <w:sz w:val="24"/>
          <w:szCs w:val="24"/>
        </w:rPr>
        <w:t xml:space="preserve"> Hu</w:t>
      </w:r>
      <w:r w:rsidR="00E41D64" w:rsidRPr="006257CB">
        <w:rPr>
          <w:rFonts w:ascii="Book Antiqua" w:hAnsi="Book Antiqua"/>
          <w:color w:val="000000" w:themeColor="text1"/>
          <w:sz w:val="24"/>
          <w:szCs w:val="24"/>
        </w:rPr>
        <w:t xml:space="preserve"> B made the </w:t>
      </w:r>
      <w:r w:rsidR="00E41D64" w:rsidRPr="006257CB">
        <w:rPr>
          <w:rFonts w:ascii="Book Antiqua" w:hAnsi="Book Antiqua"/>
          <w:color w:val="000000" w:themeColor="text1"/>
          <w:sz w:val="24"/>
          <w:szCs w:val="24"/>
          <w:shd w:val="clear" w:color="auto" w:fill="FFFFFF"/>
        </w:rPr>
        <w:t xml:space="preserve">conception and design; </w:t>
      </w:r>
      <w:r w:rsidR="00E41D64" w:rsidRPr="006257CB">
        <w:rPr>
          <w:rFonts w:ascii="Book Antiqua" w:hAnsi="Book Antiqua"/>
          <w:color w:val="000000" w:themeColor="text1"/>
          <w:sz w:val="24"/>
          <w:szCs w:val="24"/>
        </w:rPr>
        <w:t xml:space="preserve">Ye LS, Li Y, Liu W, </w:t>
      </w:r>
      <w:r w:rsidR="00194299" w:rsidRPr="006257CB">
        <w:rPr>
          <w:rFonts w:ascii="Book Antiqua" w:hAnsi="Book Antiqua"/>
          <w:color w:val="000000" w:themeColor="text1"/>
          <w:sz w:val="24"/>
          <w:szCs w:val="24"/>
        </w:rPr>
        <w:t>Yao</w:t>
      </w:r>
      <w:r w:rsidR="00E41D64" w:rsidRPr="006257CB">
        <w:rPr>
          <w:rFonts w:ascii="Book Antiqua" w:hAnsi="Book Antiqua"/>
          <w:color w:val="000000" w:themeColor="text1"/>
          <w:sz w:val="24"/>
          <w:szCs w:val="24"/>
        </w:rPr>
        <w:t xml:space="preserve"> MH</w:t>
      </w:r>
      <w:r w:rsidR="00194299" w:rsidRPr="006257CB">
        <w:rPr>
          <w:rFonts w:ascii="Book Antiqua" w:hAnsi="Book Antiqua"/>
          <w:color w:val="000000" w:themeColor="text1"/>
          <w:sz w:val="24"/>
          <w:szCs w:val="24"/>
        </w:rPr>
        <w:t>, Khan</w:t>
      </w:r>
      <w:r w:rsidR="00E41D64" w:rsidRPr="006257CB">
        <w:rPr>
          <w:rFonts w:ascii="Book Antiqua" w:hAnsi="Book Antiqua"/>
          <w:color w:val="000000" w:themeColor="text1"/>
          <w:sz w:val="24"/>
          <w:szCs w:val="24"/>
        </w:rPr>
        <w:t xml:space="preserve"> N</w:t>
      </w:r>
      <w:r w:rsidR="00381697" w:rsidRPr="006257CB">
        <w:rPr>
          <w:rFonts w:ascii="Book Antiqua" w:hAnsi="Book Antiqua" w:hint="eastAsia"/>
          <w:color w:val="000000" w:themeColor="text1"/>
          <w:sz w:val="24"/>
          <w:szCs w:val="24"/>
        </w:rPr>
        <w:t xml:space="preserve"> and</w:t>
      </w:r>
      <w:r w:rsidR="00194299" w:rsidRPr="006257CB">
        <w:rPr>
          <w:rFonts w:ascii="Book Antiqua" w:hAnsi="Book Antiqua"/>
          <w:color w:val="000000" w:themeColor="text1"/>
          <w:sz w:val="24"/>
          <w:szCs w:val="24"/>
        </w:rPr>
        <w:t xml:space="preserve"> Hu</w:t>
      </w:r>
      <w:r w:rsidR="00E41D64" w:rsidRPr="006257CB">
        <w:rPr>
          <w:rFonts w:ascii="Book Antiqua" w:hAnsi="Book Antiqua"/>
          <w:color w:val="000000" w:themeColor="text1"/>
          <w:sz w:val="24"/>
          <w:szCs w:val="24"/>
        </w:rPr>
        <w:t xml:space="preserve"> B made </w:t>
      </w:r>
      <w:r w:rsidR="00E41D64" w:rsidRPr="006257CB">
        <w:rPr>
          <w:rFonts w:ascii="Book Antiqua" w:hAnsi="Book Antiqua"/>
          <w:color w:val="000000" w:themeColor="text1"/>
          <w:sz w:val="24"/>
          <w:szCs w:val="24"/>
          <w:shd w:val="clear" w:color="auto" w:fill="FFFFFF"/>
        </w:rPr>
        <w:t xml:space="preserve">analysis and interpretation of the data; Ye LS drafted the article; </w:t>
      </w:r>
      <w:r w:rsidR="00194299" w:rsidRPr="006257CB">
        <w:rPr>
          <w:rFonts w:ascii="Book Antiqua" w:hAnsi="Book Antiqua"/>
          <w:color w:val="000000" w:themeColor="text1"/>
          <w:sz w:val="24"/>
          <w:szCs w:val="24"/>
        </w:rPr>
        <w:t>Li</w:t>
      </w:r>
      <w:r w:rsidR="00E41D64" w:rsidRPr="006257CB">
        <w:rPr>
          <w:rFonts w:ascii="Book Antiqua" w:hAnsi="Book Antiqua"/>
          <w:color w:val="000000" w:themeColor="text1"/>
          <w:sz w:val="24"/>
          <w:szCs w:val="24"/>
        </w:rPr>
        <w:t xml:space="preserve"> Y</w:t>
      </w:r>
      <w:r w:rsidR="00194299" w:rsidRPr="006257CB">
        <w:rPr>
          <w:rFonts w:ascii="Book Antiqua" w:hAnsi="Book Antiqua"/>
          <w:color w:val="000000" w:themeColor="text1"/>
          <w:sz w:val="24"/>
          <w:szCs w:val="24"/>
        </w:rPr>
        <w:t>, Liu</w:t>
      </w:r>
      <w:r w:rsidR="00E41D64" w:rsidRPr="006257CB">
        <w:rPr>
          <w:rFonts w:ascii="Book Antiqua" w:hAnsi="Book Antiqua"/>
          <w:color w:val="000000" w:themeColor="text1"/>
          <w:sz w:val="24"/>
          <w:szCs w:val="24"/>
        </w:rPr>
        <w:t xml:space="preserve"> W</w:t>
      </w:r>
      <w:r w:rsidR="00194299" w:rsidRPr="006257CB">
        <w:rPr>
          <w:rFonts w:ascii="Book Antiqua" w:hAnsi="Book Antiqua"/>
          <w:color w:val="000000" w:themeColor="text1"/>
          <w:sz w:val="24"/>
          <w:szCs w:val="24"/>
        </w:rPr>
        <w:t>, Yao</w:t>
      </w:r>
      <w:r w:rsidR="00E41D64" w:rsidRPr="006257CB">
        <w:rPr>
          <w:rFonts w:ascii="Book Antiqua" w:hAnsi="Book Antiqua"/>
          <w:color w:val="000000" w:themeColor="text1"/>
          <w:sz w:val="24"/>
          <w:szCs w:val="24"/>
        </w:rPr>
        <w:t xml:space="preserve"> MH</w:t>
      </w:r>
      <w:r w:rsidR="00194299" w:rsidRPr="006257CB">
        <w:rPr>
          <w:rFonts w:ascii="Book Antiqua" w:hAnsi="Book Antiqua"/>
          <w:color w:val="000000" w:themeColor="text1"/>
          <w:sz w:val="24"/>
          <w:szCs w:val="24"/>
        </w:rPr>
        <w:t>, Khan</w:t>
      </w:r>
      <w:r w:rsidR="00E41D64" w:rsidRPr="006257CB">
        <w:rPr>
          <w:rFonts w:ascii="Book Antiqua" w:hAnsi="Book Antiqua"/>
          <w:color w:val="000000" w:themeColor="text1"/>
          <w:sz w:val="24"/>
          <w:szCs w:val="24"/>
        </w:rPr>
        <w:t xml:space="preserve"> N</w:t>
      </w:r>
      <w:r w:rsidR="00381697" w:rsidRPr="006257CB">
        <w:rPr>
          <w:rFonts w:ascii="Book Antiqua" w:hAnsi="Book Antiqua" w:hint="eastAsia"/>
          <w:color w:val="000000" w:themeColor="text1"/>
          <w:sz w:val="24"/>
          <w:szCs w:val="24"/>
        </w:rPr>
        <w:t xml:space="preserve"> and</w:t>
      </w:r>
      <w:r w:rsidR="00194299" w:rsidRPr="006257CB">
        <w:rPr>
          <w:rFonts w:ascii="Book Antiqua" w:hAnsi="Book Antiqua"/>
          <w:color w:val="000000" w:themeColor="text1"/>
          <w:sz w:val="24"/>
          <w:szCs w:val="24"/>
        </w:rPr>
        <w:t xml:space="preserve"> Hu</w:t>
      </w:r>
      <w:r w:rsidR="00E41D64" w:rsidRPr="006257CB">
        <w:rPr>
          <w:rFonts w:ascii="Book Antiqua" w:hAnsi="Book Antiqua"/>
          <w:color w:val="000000" w:themeColor="text1"/>
          <w:sz w:val="24"/>
          <w:szCs w:val="24"/>
        </w:rPr>
        <w:t xml:space="preserve"> B made the</w:t>
      </w:r>
      <w:r w:rsidR="00E41D64" w:rsidRPr="006257CB">
        <w:rPr>
          <w:rFonts w:ascii="Book Antiqua" w:hAnsi="Book Antiqua"/>
          <w:color w:val="000000" w:themeColor="text1"/>
          <w:sz w:val="24"/>
          <w:szCs w:val="24"/>
          <w:shd w:val="clear" w:color="auto" w:fill="FFFFFF"/>
        </w:rPr>
        <w:t xml:space="preserve"> critical revision of the article for important intellectual content; </w:t>
      </w:r>
      <w:r w:rsidR="00194299" w:rsidRPr="006257CB">
        <w:rPr>
          <w:rFonts w:ascii="Book Antiqua" w:hAnsi="Book Antiqua"/>
          <w:color w:val="000000" w:themeColor="text1"/>
          <w:sz w:val="24"/>
          <w:szCs w:val="24"/>
        </w:rPr>
        <w:t>Ye</w:t>
      </w:r>
      <w:r w:rsidR="00E41D64" w:rsidRPr="006257CB">
        <w:rPr>
          <w:rFonts w:ascii="Book Antiqua" w:hAnsi="Book Antiqua"/>
          <w:color w:val="000000" w:themeColor="text1"/>
          <w:sz w:val="24"/>
          <w:szCs w:val="24"/>
        </w:rPr>
        <w:t xml:space="preserve"> LS</w:t>
      </w:r>
      <w:r w:rsidR="00194299" w:rsidRPr="006257CB">
        <w:rPr>
          <w:rFonts w:ascii="Book Antiqua" w:hAnsi="Book Antiqua"/>
          <w:color w:val="000000" w:themeColor="text1"/>
          <w:sz w:val="24"/>
          <w:szCs w:val="24"/>
        </w:rPr>
        <w:t>, Li</w:t>
      </w:r>
      <w:r w:rsidR="00E41D64" w:rsidRPr="006257CB">
        <w:rPr>
          <w:rFonts w:ascii="Book Antiqua" w:hAnsi="Book Antiqua"/>
          <w:color w:val="000000" w:themeColor="text1"/>
          <w:sz w:val="24"/>
          <w:szCs w:val="24"/>
        </w:rPr>
        <w:t xml:space="preserve"> Y</w:t>
      </w:r>
      <w:r w:rsidR="00194299" w:rsidRPr="006257CB">
        <w:rPr>
          <w:rFonts w:ascii="Book Antiqua" w:hAnsi="Book Antiqua"/>
          <w:color w:val="000000" w:themeColor="text1"/>
          <w:sz w:val="24"/>
          <w:szCs w:val="24"/>
        </w:rPr>
        <w:t>, Liu</w:t>
      </w:r>
      <w:r w:rsidR="00E41D64" w:rsidRPr="006257CB">
        <w:rPr>
          <w:rFonts w:ascii="Book Antiqua" w:hAnsi="Book Antiqua"/>
          <w:color w:val="000000" w:themeColor="text1"/>
          <w:sz w:val="24"/>
          <w:szCs w:val="24"/>
        </w:rPr>
        <w:t xml:space="preserve"> W</w:t>
      </w:r>
      <w:r w:rsidR="00194299" w:rsidRPr="006257CB">
        <w:rPr>
          <w:rFonts w:ascii="Book Antiqua" w:hAnsi="Book Antiqua"/>
          <w:color w:val="000000" w:themeColor="text1"/>
          <w:sz w:val="24"/>
          <w:szCs w:val="24"/>
        </w:rPr>
        <w:t>, Yao</w:t>
      </w:r>
      <w:r w:rsidR="00E41D64" w:rsidRPr="006257CB">
        <w:rPr>
          <w:rFonts w:ascii="Book Antiqua" w:hAnsi="Book Antiqua"/>
          <w:color w:val="000000" w:themeColor="text1"/>
          <w:sz w:val="24"/>
          <w:szCs w:val="24"/>
        </w:rPr>
        <w:t xml:space="preserve"> MH</w:t>
      </w:r>
      <w:r w:rsidR="00194299" w:rsidRPr="006257CB">
        <w:rPr>
          <w:rFonts w:ascii="Book Antiqua" w:hAnsi="Book Antiqua"/>
          <w:color w:val="000000" w:themeColor="text1"/>
          <w:sz w:val="24"/>
          <w:szCs w:val="24"/>
        </w:rPr>
        <w:t>, Khan</w:t>
      </w:r>
      <w:r w:rsidR="00E41D64" w:rsidRPr="006257CB">
        <w:rPr>
          <w:rFonts w:ascii="Book Antiqua" w:hAnsi="Book Antiqua"/>
          <w:color w:val="000000" w:themeColor="text1"/>
          <w:sz w:val="24"/>
          <w:szCs w:val="24"/>
        </w:rPr>
        <w:t xml:space="preserve"> N</w:t>
      </w:r>
      <w:r w:rsidR="00381697" w:rsidRPr="006257CB">
        <w:rPr>
          <w:rFonts w:ascii="Book Antiqua" w:hAnsi="Book Antiqua" w:hint="eastAsia"/>
          <w:color w:val="000000" w:themeColor="text1"/>
          <w:sz w:val="24"/>
          <w:szCs w:val="24"/>
        </w:rPr>
        <w:t xml:space="preserve"> and</w:t>
      </w:r>
      <w:r w:rsidR="00194299" w:rsidRPr="006257CB">
        <w:rPr>
          <w:rFonts w:ascii="Book Antiqua" w:hAnsi="Book Antiqua"/>
          <w:color w:val="000000" w:themeColor="text1"/>
          <w:sz w:val="24"/>
          <w:szCs w:val="24"/>
        </w:rPr>
        <w:t xml:space="preserve"> Hu</w:t>
      </w:r>
      <w:r w:rsidR="00E41D64" w:rsidRPr="006257CB">
        <w:rPr>
          <w:rFonts w:ascii="Book Antiqua" w:hAnsi="Book Antiqua"/>
          <w:color w:val="000000" w:themeColor="text1"/>
          <w:sz w:val="24"/>
          <w:szCs w:val="24"/>
        </w:rPr>
        <w:t xml:space="preserve"> B made </w:t>
      </w:r>
      <w:r w:rsidR="00E41D64" w:rsidRPr="006257CB">
        <w:rPr>
          <w:rFonts w:ascii="Book Antiqua" w:hAnsi="Book Antiqua"/>
          <w:color w:val="000000" w:themeColor="text1"/>
          <w:sz w:val="24"/>
          <w:szCs w:val="24"/>
          <w:shd w:val="clear" w:color="auto" w:fill="FFFFFF"/>
        </w:rPr>
        <w:t>final approval of the article</w:t>
      </w:r>
      <w:r w:rsidR="00194299" w:rsidRPr="006257CB">
        <w:rPr>
          <w:rFonts w:ascii="Book Antiqua" w:hAnsi="Book Antiqua"/>
          <w:color w:val="000000" w:themeColor="text1"/>
          <w:sz w:val="24"/>
          <w:szCs w:val="24"/>
        </w:rPr>
        <w:t>.</w:t>
      </w:r>
    </w:p>
    <w:p w14:paraId="41D8F87D" w14:textId="77777777" w:rsidR="00194299" w:rsidRPr="006257CB" w:rsidRDefault="00194299" w:rsidP="006D1F4C">
      <w:pPr>
        <w:snapToGrid w:val="0"/>
        <w:spacing w:line="360" w:lineRule="auto"/>
        <w:rPr>
          <w:rFonts w:ascii="Book Antiqua" w:hAnsi="Book Antiqua"/>
          <w:color w:val="000000" w:themeColor="text1"/>
          <w:sz w:val="24"/>
          <w:szCs w:val="24"/>
        </w:rPr>
      </w:pPr>
    </w:p>
    <w:p w14:paraId="3BC1A5AF" w14:textId="274F3775" w:rsidR="00194299" w:rsidRPr="006257CB" w:rsidRDefault="00194299" w:rsidP="006D1F4C">
      <w:pPr>
        <w:snapToGrid w:val="0"/>
        <w:spacing w:line="360" w:lineRule="auto"/>
        <w:rPr>
          <w:rFonts w:ascii="Book Antiqua" w:hAnsi="Book Antiqua" w:cs="Arial"/>
          <w:color w:val="000000" w:themeColor="text1"/>
          <w:sz w:val="24"/>
          <w:szCs w:val="24"/>
        </w:rPr>
      </w:pPr>
      <w:r w:rsidRPr="006257CB">
        <w:rPr>
          <w:rFonts w:ascii="Book Antiqua" w:hAnsi="Book Antiqua" w:cs="Arial"/>
          <w:b/>
          <w:bCs/>
          <w:color w:val="000000" w:themeColor="text1"/>
          <w:sz w:val="24"/>
          <w:szCs w:val="24"/>
        </w:rPr>
        <w:t>Supported by</w:t>
      </w:r>
      <w:r w:rsidRPr="006257CB">
        <w:rPr>
          <w:rFonts w:ascii="Book Antiqua" w:hAnsi="Book Antiqua" w:cs="Arial"/>
          <w:color w:val="000000" w:themeColor="text1"/>
          <w:sz w:val="24"/>
          <w:szCs w:val="24"/>
        </w:rPr>
        <w:t xml:space="preserve"> National Key R&amp;D Program of China</w:t>
      </w:r>
      <w:r w:rsidR="00E41D64" w:rsidRPr="006257CB">
        <w:rPr>
          <w:rFonts w:ascii="Book Antiqua" w:hAnsi="Book Antiqua" w:cs="Arial"/>
          <w:color w:val="000000" w:themeColor="text1"/>
          <w:sz w:val="24"/>
          <w:szCs w:val="24"/>
        </w:rPr>
        <w:t>,</w:t>
      </w:r>
      <w:r w:rsidRPr="006257CB">
        <w:rPr>
          <w:rFonts w:ascii="Book Antiqua" w:hAnsi="Book Antiqua" w:cs="Arial"/>
          <w:color w:val="000000" w:themeColor="text1"/>
          <w:sz w:val="24"/>
          <w:szCs w:val="24"/>
        </w:rPr>
        <w:t xml:space="preserve"> No. 2017YFC0112300</w:t>
      </w:r>
      <w:r w:rsidR="00E41D64" w:rsidRPr="006257CB">
        <w:rPr>
          <w:rFonts w:ascii="Book Antiqua" w:hAnsi="Book Antiqua" w:cs="Arial"/>
          <w:color w:val="000000" w:themeColor="text1"/>
          <w:sz w:val="24"/>
          <w:szCs w:val="24"/>
        </w:rPr>
        <w:t xml:space="preserve">, </w:t>
      </w:r>
      <w:proofErr w:type="gramStart"/>
      <w:r w:rsidR="00E41D64" w:rsidRPr="006257CB">
        <w:rPr>
          <w:rFonts w:ascii="Book Antiqua" w:hAnsi="Book Antiqua" w:cs="Arial"/>
          <w:color w:val="000000" w:themeColor="text1"/>
          <w:sz w:val="24"/>
          <w:szCs w:val="24"/>
        </w:rPr>
        <w:t>No</w:t>
      </w:r>
      <w:proofErr w:type="gramEnd"/>
      <w:r w:rsidR="00E41D64" w:rsidRPr="006257CB">
        <w:rPr>
          <w:rFonts w:ascii="Book Antiqua" w:hAnsi="Book Antiqua" w:cs="Arial"/>
          <w:color w:val="000000" w:themeColor="text1"/>
          <w:sz w:val="24"/>
          <w:szCs w:val="24"/>
        </w:rPr>
        <w:t>.</w:t>
      </w:r>
      <w:r w:rsidRPr="006257CB">
        <w:rPr>
          <w:rFonts w:ascii="Book Antiqua" w:hAnsi="Book Antiqua" w:cs="Arial"/>
          <w:color w:val="000000" w:themeColor="text1"/>
          <w:sz w:val="24"/>
          <w:szCs w:val="24"/>
        </w:rPr>
        <w:t xml:space="preserve"> 2017YFC0112305.</w:t>
      </w:r>
    </w:p>
    <w:p w14:paraId="0EFDEEFD" w14:textId="77777777" w:rsidR="00194299" w:rsidRPr="006257CB" w:rsidRDefault="00194299" w:rsidP="006D1F4C">
      <w:pPr>
        <w:snapToGrid w:val="0"/>
        <w:spacing w:line="360" w:lineRule="auto"/>
        <w:rPr>
          <w:rFonts w:ascii="Book Antiqua" w:hAnsi="Book Antiqua" w:cs="Arial"/>
          <w:color w:val="000000" w:themeColor="text1"/>
          <w:sz w:val="24"/>
          <w:szCs w:val="24"/>
        </w:rPr>
      </w:pPr>
    </w:p>
    <w:p w14:paraId="426EC2E5" w14:textId="7F249D1E" w:rsidR="009528CE" w:rsidRPr="006257CB" w:rsidRDefault="00377C2C" w:rsidP="006D1F4C">
      <w:pPr>
        <w:snapToGrid w:val="0"/>
        <w:spacing w:line="360" w:lineRule="auto"/>
        <w:rPr>
          <w:rStyle w:val="a7"/>
          <w:rFonts w:ascii="Book Antiqua" w:hAnsi="Book Antiqua"/>
          <w:color w:val="000000" w:themeColor="text1"/>
          <w:sz w:val="24"/>
          <w:szCs w:val="24"/>
          <w:u w:val="none"/>
        </w:rPr>
      </w:pPr>
      <w:r w:rsidRPr="006257CB">
        <w:rPr>
          <w:rFonts w:ascii="Book Antiqua" w:hAnsi="Book Antiqua"/>
          <w:b/>
          <w:sz w:val="24"/>
          <w:szCs w:val="24"/>
        </w:rPr>
        <w:t xml:space="preserve">Corresponding author: </w:t>
      </w:r>
      <w:r w:rsidR="00194299" w:rsidRPr="006257CB">
        <w:rPr>
          <w:rFonts w:ascii="Book Antiqua" w:hAnsi="Book Antiqua"/>
          <w:b/>
          <w:bCs/>
          <w:color w:val="000000" w:themeColor="text1"/>
          <w:sz w:val="24"/>
          <w:szCs w:val="24"/>
        </w:rPr>
        <w:t xml:space="preserve">Bing Hu, </w:t>
      </w:r>
      <w:r w:rsidR="00246797" w:rsidRPr="006257CB">
        <w:rPr>
          <w:rFonts w:ascii="Book Antiqua" w:hAnsi="Book Antiqua"/>
          <w:b/>
          <w:bCs/>
          <w:color w:val="000000" w:themeColor="text1"/>
          <w:sz w:val="24"/>
          <w:szCs w:val="24"/>
        </w:rPr>
        <w:t>MD, Chief Doctor, Professor,</w:t>
      </w:r>
      <w:r w:rsidR="00194299" w:rsidRPr="006257CB">
        <w:rPr>
          <w:rFonts w:ascii="Book Antiqua" w:hAnsi="Book Antiqua"/>
          <w:color w:val="000000" w:themeColor="text1"/>
          <w:sz w:val="24"/>
          <w:szCs w:val="24"/>
        </w:rPr>
        <w:t xml:space="preserve"> Department </w:t>
      </w:r>
      <w:r w:rsidR="00194299" w:rsidRPr="006257CB">
        <w:rPr>
          <w:rFonts w:ascii="Book Antiqua" w:hAnsi="Book Antiqua"/>
          <w:color w:val="000000" w:themeColor="text1"/>
          <w:sz w:val="24"/>
          <w:szCs w:val="24"/>
        </w:rPr>
        <w:lastRenderedPageBreak/>
        <w:t>of Gastroenterology, West China Hospital, Sichuan University</w:t>
      </w:r>
      <w:r w:rsidR="00E41D64" w:rsidRPr="006257CB">
        <w:rPr>
          <w:rFonts w:ascii="Book Antiqua" w:hAnsi="Book Antiqua"/>
          <w:color w:val="000000" w:themeColor="text1"/>
          <w:sz w:val="24"/>
          <w:szCs w:val="24"/>
        </w:rPr>
        <w:t>,</w:t>
      </w:r>
      <w:r w:rsidR="00194299" w:rsidRPr="006257CB">
        <w:rPr>
          <w:rFonts w:ascii="Book Antiqua" w:hAnsi="Book Antiqua"/>
          <w:color w:val="000000" w:themeColor="text1"/>
          <w:sz w:val="24"/>
          <w:szCs w:val="24"/>
        </w:rPr>
        <w:t xml:space="preserve"> No. 37, </w:t>
      </w:r>
      <w:proofErr w:type="spellStart"/>
      <w:r w:rsidR="00194299" w:rsidRPr="006257CB">
        <w:rPr>
          <w:rFonts w:ascii="Book Antiqua" w:hAnsi="Book Antiqua"/>
          <w:color w:val="000000" w:themeColor="text1"/>
          <w:sz w:val="24"/>
          <w:szCs w:val="24"/>
        </w:rPr>
        <w:t>Guo</w:t>
      </w:r>
      <w:proofErr w:type="spellEnd"/>
      <w:r w:rsidR="00194299" w:rsidRPr="006257CB">
        <w:rPr>
          <w:rFonts w:ascii="Book Antiqua" w:hAnsi="Book Antiqua"/>
          <w:color w:val="000000" w:themeColor="text1"/>
          <w:sz w:val="24"/>
          <w:szCs w:val="24"/>
        </w:rPr>
        <w:t xml:space="preserve"> </w:t>
      </w:r>
      <w:proofErr w:type="spellStart"/>
      <w:r w:rsidR="00194299" w:rsidRPr="006257CB">
        <w:rPr>
          <w:rFonts w:ascii="Book Antiqua" w:hAnsi="Book Antiqua"/>
          <w:color w:val="000000" w:themeColor="text1"/>
          <w:sz w:val="24"/>
          <w:szCs w:val="24"/>
        </w:rPr>
        <w:t>Xue</w:t>
      </w:r>
      <w:proofErr w:type="spellEnd"/>
      <w:r w:rsidR="00194299" w:rsidRPr="006257CB">
        <w:rPr>
          <w:rFonts w:ascii="Book Antiqua" w:hAnsi="Book Antiqua"/>
          <w:color w:val="000000" w:themeColor="text1"/>
          <w:sz w:val="24"/>
          <w:szCs w:val="24"/>
        </w:rPr>
        <w:t xml:space="preserve"> </w:t>
      </w:r>
      <w:bookmarkStart w:id="3" w:name="_Hlk24737185"/>
      <w:r w:rsidR="00194299" w:rsidRPr="006257CB">
        <w:rPr>
          <w:rFonts w:ascii="Book Antiqua" w:hAnsi="Book Antiqua"/>
          <w:color w:val="000000" w:themeColor="text1"/>
          <w:sz w:val="24"/>
          <w:szCs w:val="24"/>
        </w:rPr>
        <w:t>Alley</w:t>
      </w:r>
      <w:bookmarkEnd w:id="3"/>
      <w:r w:rsidR="00194299" w:rsidRPr="006257CB">
        <w:rPr>
          <w:rFonts w:ascii="Book Antiqua" w:hAnsi="Book Antiqua"/>
          <w:color w:val="000000" w:themeColor="text1"/>
          <w:sz w:val="24"/>
          <w:szCs w:val="24"/>
        </w:rPr>
        <w:t xml:space="preserve">, </w:t>
      </w:r>
      <w:proofErr w:type="spellStart"/>
      <w:r w:rsidR="00194299" w:rsidRPr="006257CB">
        <w:rPr>
          <w:rFonts w:ascii="Book Antiqua" w:hAnsi="Book Antiqua"/>
          <w:color w:val="000000" w:themeColor="text1"/>
          <w:sz w:val="24"/>
          <w:szCs w:val="24"/>
        </w:rPr>
        <w:t>Wu</w:t>
      </w:r>
      <w:r w:rsidR="00246797" w:rsidRPr="006257CB">
        <w:rPr>
          <w:rFonts w:ascii="Book Antiqua" w:hAnsi="Book Antiqua"/>
          <w:color w:val="000000" w:themeColor="text1"/>
          <w:sz w:val="24"/>
          <w:szCs w:val="24"/>
        </w:rPr>
        <w:t>h</w:t>
      </w:r>
      <w:r w:rsidR="00194299" w:rsidRPr="006257CB">
        <w:rPr>
          <w:rFonts w:ascii="Book Antiqua" w:hAnsi="Book Antiqua"/>
          <w:color w:val="000000" w:themeColor="text1"/>
          <w:sz w:val="24"/>
          <w:szCs w:val="24"/>
        </w:rPr>
        <w:t>ou</w:t>
      </w:r>
      <w:proofErr w:type="spellEnd"/>
      <w:r w:rsidR="00194299" w:rsidRPr="006257CB">
        <w:rPr>
          <w:rFonts w:ascii="Book Antiqua" w:hAnsi="Book Antiqua"/>
          <w:color w:val="000000" w:themeColor="text1"/>
          <w:sz w:val="24"/>
          <w:szCs w:val="24"/>
        </w:rPr>
        <w:t xml:space="preserve"> District, Chengdu 610041, Sichuan Province, China. </w:t>
      </w:r>
      <w:r w:rsidR="00194299" w:rsidRPr="006257CB">
        <w:rPr>
          <w:rFonts w:ascii="Book Antiqua" w:hAnsi="Book Antiqua"/>
          <w:sz w:val="24"/>
          <w:szCs w:val="24"/>
        </w:rPr>
        <w:t>hubingnj@163.com</w:t>
      </w:r>
    </w:p>
    <w:p w14:paraId="00B287AF" w14:textId="75995ACA" w:rsidR="00194299" w:rsidRPr="006257CB" w:rsidRDefault="00194299" w:rsidP="006D1F4C">
      <w:pPr>
        <w:snapToGrid w:val="0"/>
        <w:spacing w:line="360" w:lineRule="auto"/>
        <w:rPr>
          <w:rFonts w:ascii="Book Antiqua" w:eastAsia="Arial Unicode MS" w:hAnsi="Book Antiqua"/>
          <w:b/>
          <w:color w:val="000000" w:themeColor="text1"/>
          <w:sz w:val="24"/>
          <w:szCs w:val="24"/>
        </w:rPr>
      </w:pPr>
    </w:p>
    <w:p w14:paraId="6DD4E42B" w14:textId="220F4EB7" w:rsidR="009528CE" w:rsidRPr="006257CB" w:rsidRDefault="00377C2C" w:rsidP="006D1F4C">
      <w:pPr>
        <w:snapToGrid w:val="0"/>
        <w:spacing w:line="360" w:lineRule="auto"/>
        <w:rPr>
          <w:rFonts w:ascii="Book Antiqua" w:eastAsia="Arial Unicode MS" w:hAnsi="Book Antiqua"/>
          <w:bCs/>
          <w:color w:val="000000" w:themeColor="text1"/>
          <w:sz w:val="24"/>
          <w:szCs w:val="24"/>
        </w:rPr>
      </w:pPr>
      <w:r w:rsidRPr="006257CB">
        <w:rPr>
          <w:rFonts w:ascii="Book Antiqua" w:hAnsi="Book Antiqua"/>
          <w:b/>
          <w:sz w:val="24"/>
          <w:szCs w:val="24"/>
        </w:rPr>
        <w:t xml:space="preserve">Received: </w:t>
      </w:r>
      <w:r w:rsidR="00E41D64" w:rsidRPr="006257CB">
        <w:rPr>
          <w:rFonts w:ascii="Book Antiqua" w:eastAsia="Arial Unicode MS" w:hAnsi="Book Antiqua"/>
          <w:bCs/>
          <w:color w:val="000000" w:themeColor="text1"/>
          <w:sz w:val="24"/>
          <w:szCs w:val="24"/>
        </w:rPr>
        <w:t>December 30, 2019</w:t>
      </w:r>
    </w:p>
    <w:p w14:paraId="34550ABA" w14:textId="007C1C65" w:rsidR="009528CE" w:rsidRPr="006257CB" w:rsidRDefault="00377C2C" w:rsidP="006D1F4C">
      <w:pPr>
        <w:snapToGrid w:val="0"/>
        <w:spacing w:line="360" w:lineRule="auto"/>
        <w:rPr>
          <w:rFonts w:ascii="Book Antiqua" w:eastAsia="Arial Unicode MS" w:hAnsi="Book Antiqua"/>
          <w:bCs/>
          <w:color w:val="000000" w:themeColor="text1"/>
          <w:sz w:val="24"/>
          <w:szCs w:val="24"/>
        </w:rPr>
      </w:pPr>
      <w:r w:rsidRPr="006257CB">
        <w:rPr>
          <w:rFonts w:ascii="Book Antiqua" w:hAnsi="Book Antiqua"/>
          <w:b/>
          <w:sz w:val="24"/>
          <w:szCs w:val="24"/>
        </w:rPr>
        <w:t xml:space="preserve">Revised: </w:t>
      </w:r>
      <w:r w:rsidR="00E41D64" w:rsidRPr="006257CB">
        <w:rPr>
          <w:rFonts w:ascii="Book Antiqua" w:eastAsia="Arial Unicode MS" w:hAnsi="Book Antiqua"/>
          <w:bCs/>
          <w:color w:val="000000" w:themeColor="text1"/>
          <w:sz w:val="24"/>
          <w:szCs w:val="24"/>
        </w:rPr>
        <w:t>February 24, 2020</w:t>
      </w:r>
    </w:p>
    <w:p w14:paraId="7592424F" w14:textId="497699BE" w:rsidR="00377C2C" w:rsidRPr="006257CB" w:rsidRDefault="00377C2C" w:rsidP="006D1F4C">
      <w:pPr>
        <w:widowControl/>
        <w:adjustRightInd w:val="0"/>
        <w:snapToGrid w:val="0"/>
        <w:spacing w:line="360" w:lineRule="auto"/>
        <w:rPr>
          <w:rFonts w:ascii="Book Antiqua" w:hAnsi="Book Antiqua"/>
          <w:b/>
          <w:sz w:val="24"/>
          <w:szCs w:val="24"/>
        </w:rPr>
      </w:pPr>
      <w:r w:rsidRPr="006257CB">
        <w:rPr>
          <w:rFonts w:ascii="Book Antiqua" w:hAnsi="Book Antiqua"/>
          <w:b/>
          <w:sz w:val="24"/>
          <w:szCs w:val="24"/>
        </w:rPr>
        <w:t xml:space="preserve">Accepted: </w:t>
      </w:r>
      <w:r w:rsidR="002F4E9B" w:rsidRPr="006257CB">
        <w:rPr>
          <w:rFonts w:ascii="Book Antiqua" w:hAnsi="Book Antiqua"/>
          <w:sz w:val="24"/>
          <w:szCs w:val="24"/>
        </w:rPr>
        <w:t>March 26, 2020</w:t>
      </w:r>
    </w:p>
    <w:p w14:paraId="0706D0D5" w14:textId="4A4DBB5C" w:rsidR="00377C2C" w:rsidRPr="006257CB" w:rsidRDefault="00377C2C" w:rsidP="006D1F4C">
      <w:pPr>
        <w:widowControl/>
        <w:adjustRightInd w:val="0"/>
        <w:snapToGrid w:val="0"/>
        <w:spacing w:line="360" w:lineRule="auto"/>
        <w:rPr>
          <w:rFonts w:ascii="Book Antiqua" w:hAnsi="Book Antiqua"/>
          <w:b/>
          <w:sz w:val="24"/>
          <w:szCs w:val="24"/>
        </w:rPr>
      </w:pPr>
      <w:r w:rsidRPr="006257CB">
        <w:rPr>
          <w:rFonts w:ascii="Book Antiqua" w:hAnsi="Book Antiqua"/>
          <w:b/>
          <w:sz w:val="24"/>
          <w:szCs w:val="24"/>
        </w:rPr>
        <w:t>Published online:</w:t>
      </w:r>
      <w:r w:rsidR="00E91126" w:rsidRPr="006257CB">
        <w:rPr>
          <w:rFonts w:ascii="Book Antiqua" w:hAnsi="Book Antiqua" w:hint="eastAsia"/>
          <w:b/>
          <w:sz w:val="24"/>
          <w:szCs w:val="24"/>
        </w:rPr>
        <w:t xml:space="preserve"> </w:t>
      </w:r>
      <w:r w:rsidR="00E91126" w:rsidRPr="006257CB">
        <w:rPr>
          <w:rFonts w:ascii="Book Antiqua" w:hAnsi="Book Antiqua" w:hint="eastAsia"/>
          <w:sz w:val="24"/>
          <w:szCs w:val="24"/>
        </w:rPr>
        <w:t>April 27, 2020</w:t>
      </w:r>
    </w:p>
    <w:p w14:paraId="3627AFCC" w14:textId="77777777" w:rsidR="00E41D64" w:rsidRPr="006257CB" w:rsidRDefault="00E41D64" w:rsidP="006D1F4C">
      <w:pPr>
        <w:widowControl/>
        <w:snapToGrid w:val="0"/>
        <w:spacing w:line="360" w:lineRule="auto"/>
        <w:rPr>
          <w:rFonts w:ascii="Book Antiqua" w:eastAsia="Arial Unicode MS" w:hAnsi="Book Antiqua"/>
          <w:b/>
          <w:color w:val="000000" w:themeColor="text1"/>
          <w:sz w:val="24"/>
          <w:szCs w:val="24"/>
        </w:rPr>
      </w:pPr>
      <w:r w:rsidRPr="006257CB">
        <w:rPr>
          <w:rFonts w:ascii="Book Antiqua" w:eastAsia="Arial Unicode MS" w:hAnsi="Book Antiqua"/>
          <w:b/>
          <w:color w:val="000000" w:themeColor="text1"/>
          <w:sz w:val="24"/>
          <w:szCs w:val="24"/>
        </w:rPr>
        <w:br w:type="page"/>
      </w:r>
    </w:p>
    <w:p w14:paraId="28294BB1" w14:textId="77777777" w:rsidR="00377C2C" w:rsidRPr="006257CB" w:rsidRDefault="00377C2C" w:rsidP="006D1F4C">
      <w:pPr>
        <w:adjustRightInd w:val="0"/>
        <w:snapToGrid w:val="0"/>
        <w:spacing w:line="360" w:lineRule="auto"/>
        <w:rPr>
          <w:rFonts w:ascii="Book Antiqua" w:eastAsiaTheme="minorEastAsia" w:hAnsi="Book Antiqua"/>
          <w:b/>
          <w:sz w:val="24"/>
          <w:szCs w:val="24"/>
        </w:rPr>
      </w:pPr>
      <w:r w:rsidRPr="006257CB">
        <w:rPr>
          <w:rFonts w:ascii="Book Antiqua" w:hAnsi="Book Antiqua"/>
          <w:b/>
          <w:sz w:val="24"/>
          <w:szCs w:val="24"/>
        </w:rPr>
        <w:lastRenderedPageBreak/>
        <w:t>Abstract</w:t>
      </w:r>
    </w:p>
    <w:p w14:paraId="53499553" w14:textId="77777777" w:rsidR="00377C2C" w:rsidRPr="006257CB" w:rsidRDefault="00377C2C" w:rsidP="006D1F4C">
      <w:pPr>
        <w:adjustRightInd w:val="0"/>
        <w:snapToGrid w:val="0"/>
        <w:spacing w:line="360" w:lineRule="auto"/>
        <w:rPr>
          <w:rFonts w:ascii="Book Antiqua" w:eastAsiaTheme="minorEastAsia" w:hAnsi="Book Antiqua"/>
          <w:sz w:val="24"/>
          <w:szCs w:val="24"/>
        </w:rPr>
      </w:pPr>
      <w:r w:rsidRPr="006257CB">
        <w:rPr>
          <w:rFonts w:ascii="Book Antiqua" w:hAnsi="Book Antiqua"/>
          <w:sz w:val="24"/>
          <w:szCs w:val="24"/>
        </w:rPr>
        <w:t>BACKGROUND</w:t>
      </w:r>
    </w:p>
    <w:p w14:paraId="44BC83F5" w14:textId="731B8719"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Gastric subepithelial lesions are frequently encountered during endoscopic examinations, and the</w:t>
      </w:r>
      <w:r w:rsidR="00895EF5" w:rsidRPr="006257CB">
        <w:rPr>
          <w:rFonts w:ascii="Book Antiqua" w:eastAsia="Arial Unicode MS" w:hAnsi="Book Antiqua"/>
          <w:color w:val="000000" w:themeColor="text1"/>
          <w:sz w:val="24"/>
          <w:szCs w:val="24"/>
        </w:rPr>
        <w:t xml:space="preserve"> </w:t>
      </w:r>
      <w:r w:rsidRPr="006257CB">
        <w:rPr>
          <w:rFonts w:ascii="Book Antiqua" w:eastAsia="Arial Unicode MS" w:hAnsi="Book Antiqua"/>
          <w:color w:val="000000" w:themeColor="text1"/>
          <w:sz w:val="24"/>
          <w:szCs w:val="24"/>
        </w:rPr>
        <w:t>majority of them are small and asymptomatic. Among these lesions, gastrointestinal stromal tumors (GISTs) are the major concern for patients and clinicians owing to their malignant potentials. Although previous guidelines suggested periodic surveillance for such small (≤ 20 mm) lesions, several patients and clinicians have still requested or prescribed repeated examinations or radical resection, posing extra medical burdens and risks.</w:t>
      </w:r>
    </w:p>
    <w:p w14:paraId="021AB396" w14:textId="77777777" w:rsidR="00E41D64" w:rsidRPr="006257CB" w:rsidRDefault="00E41D64" w:rsidP="006D1F4C">
      <w:pPr>
        <w:snapToGrid w:val="0"/>
        <w:spacing w:line="360" w:lineRule="auto"/>
        <w:rPr>
          <w:rFonts w:ascii="Book Antiqua" w:eastAsia="Arial Unicode MS" w:hAnsi="Book Antiqua"/>
          <w:color w:val="000000" w:themeColor="text1"/>
          <w:sz w:val="24"/>
          <w:szCs w:val="24"/>
        </w:rPr>
      </w:pPr>
    </w:p>
    <w:p w14:paraId="0F1F30D6" w14:textId="104A62CA" w:rsidR="00194299" w:rsidRPr="006257CB" w:rsidRDefault="00E41D64" w:rsidP="006D1F4C">
      <w:pPr>
        <w:snapToGrid w:val="0"/>
        <w:spacing w:line="360" w:lineRule="auto"/>
        <w:rPr>
          <w:rFonts w:ascii="Book Antiqua" w:eastAsia="Arial Unicode MS" w:hAnsi="Book Antiqua"/>
          <w:bCs/>
          <w:color w:val="000000" w:themeColor="text1"/>
          <w:sz w:val="24"/>
          <w:szCs w:val="24"/>
        </w:rPr>
      </w:pPr>
      <w:r w:rsidRPr="006257CB">
        <w:rPr>
          <w:rFonts w:ascii="Book Antiqua" w:eastAsia="Arial Unicode MS" w:hAnsi="Book Antiqua"/>
          <w:bCs/>
          <w:color w:val="000000" w:themeColor="text1"/>
          <w:sz w:val="24"/>
          <w:szCs w:val="24"/>
        </w:rPr>
        <w:t>AIM</w:t>
      </w:r>
    </w:p>
    <w:p w14:paraId="3AA14B9F" w14:textId="02A0D3E0" w:rsidR="00194299" w:rsidRPr="006257CB" w:rsidRDefault="00194299" w:rsidP="006D1F4C">
      <w:pPr>
        <w:snapToGrid w:val="0"/>
        <w:spacing w:line="360" w:lineRule="auto"/>
        <w:rPr>
          <w:rFonts w:ascii="Book Antiqua" w:eastAsia="Arial Unicode MS" w:hAnsi="Book Antiqua"/>
          <w:color w:val="000000" w:themeColor="text1"/>
          <w:sz w:val="24"/>
          <w:szCs w:val="24"/>
        </w:rPr>
      </w:pPr>
      <w:proofErr w:type="gramStart"/>
      <w:r w:rsidRPr="006257CB">
        <w:rPr>
          <w:rFonts w:ascii="Book Antiqua" w:eastAsia="Arial Unicode MS" w:hAnsi="Book Antiqua"/>
          <w:color w:val="000000" w:themeColor="text1"/>
          <w:sz w:val="24"/>
          <w:szCs w:val="24"/>
        </w:rPr>
        <w:t xml:space="preserve">To describe the clinical course of suspected small gastric </w:t>
      </w:r>
      <w:r w:rsidR="00E41D64" w:rsidRPr="006257CB">
        <w:rPr>
          <w:rFonts w:ascii="Book Antiqua" w:eastAsia="Arial Unicode MS" w:hAnsi="Book Antiqua"/>
          <w:color w:val="000000" w:themeColor="text1"/>
          <w:sz w:val="24"/>
          <w:szCs w:val="24"/>
        </w:rPr>
        <w:t>GISTs and</w:t>
      </w:r>
      <w:r w:rsidRPr="006257CB">
        <w:rPr>
          <w:rFonts w:ascii="Book Antiqua" w:eastAsia="Arial Unicode MS" w:hAnsi="Book Antiqua"/>
          <w:color w:val="000000" w:themeColor="text1"/>
          <w:sz w:val="24"/>
          <w:szCs w:val="24"/>
        </w:rPr>
        <w:t xml:space="preserve"> provide further evidence for surveillance strategy for tumor therapy.</w:t>
      </w:r>
      <w:proofErr w:type="gramEnd"/>
    </w:p>
    <w:p w14:paraId="6EECDDB0" w14:textId="77777777" w:rsidR="00E41D64" w:rsidRPr="006257CB" w:rsidRDefault="00E41D64" w:rsidP="006D1F4C">
      <w:pPr>
        <w:snapToGrid w:val="0"/>
        <w:spacing w:line="360" w:lineRule="auto"/>
        <w:rPr>
          <w:rFonts w:ascii="Book Antiqua" w:eastAsia="Arial Unicode MS" w:hAnsi="Book Antiqua"/>
          <w:color w:val="000000" w:themeColor="text1"/>
          <w:sz w:val="24"/>
          <w:szCs w:val="24"/>
        </w:rPr>
      </w:pPr>
    </w:p>
    <w:p w14:paraId="58DEF059" w14:textId="27A396B5" w:rsidR="00194299" w:rsidRPr="006257CB" w:rsidRDefault="00E41D64" w:rsidP="006D1F4C">
      <w:pPr>
        <w:snapToGrid w:val="0"/>
        <w:spacing w:line="360" w:lineRule="auto"/>
        <w:rPr>
          <w:rFonts w:ascii="Book Antiqua" w:eastAsia="Arial Unicode MS" w:hAnsi="Book Antiqua"/>
          <w:bCs/>
          <w:color w:val="000000" w:themeColor="text1"/>
          <w:sz w:val="24"/>
          <w:szCs w:val="24"/>
        </w:rPr>
      </w:pPr>
      <w:r w:rsidRPr="006257CB">
        <w:rPr>
          <w:rFonts w:ascii="Book Antiqua" w:eastAsia="Arial Unicode MS" w:hAnsi="Book Antiqua"/>
          <w:bCs/>
          <w:color w:val="000000" w:themeColor="text1"/>
          <w:sz w:val="24"/>
          <w:szCs w:val="24"/>
        </w:rPr>
        <w:t>METHODS</w:t>
      </w:r>
    </w:p>
    <w:p w14:paraId="7BB75B26" w14:textId="49D968D5" w:rsidR="00194299" w:rsidRPr="006257CB" w:rsidRDefault="00194299" w:rsidP="006D1F4C">
      <w:pPr>
        <w:snapToGrid w:val="0"/>
        <w:spacing w:line="360" w:lineRule="auto"/>
        <w:rPr>
          <w:rFonts w:ascii="Book Antiqua" w:eastAsia="Arial Unicode MS" w:hAnsi="Book Antiqua"/>
          <w:color w:val="000000" w:themeColor="text1"/>
          <w:sz w:val="24"/>
          <w:szCs w:val="24"/>
        </w:rPr>
      </w:pPr>
      <w:proofErr w:type="gramStart"/>
      <w:r w:rsidRPr="006257CB">
        <w:rPr>
          <w:rFonts w:ascii="Book Antiqua" w:eastAsia="Arial Unicode MS" w:hAnsi="Book Antiqua"/>
          <w:color w:val="000000" w:themeColor="text1"/>
          <w:sz w:val="24"/>
          <w:szCs w:val="24"/>
        </w:rPr>
        <w:t xml:space="preserve">This single-center, retrospective study was conducted at West China </w:t>
      </w:r>
      <w:r w:rsidRPr="006257CB">
        <w:rPr>
          <w:rFonts w:ascii="Book Antiqua" w:eastAsia="Arial Unicode MS" w:hAnsi="Book Antiqua"/>
          <w:bCs/>
          <w:color w:val="000000" w:themeColor="text1"/>
          <w:sz w:val="24"/>
          <w:szCs w:val="24"/>
        </w:rPr>
        <w:t>Hospital,</w:t>
      </w:r>
      <w:r w:rsidRPr="006257CB">
        <w:rPr>
          <w:rFonts w:ascii="Book Antiqua" w:eastAsia="Arial Unicode MS" w:hAnsi="Book Antiqua"/>
          <w:color w:val="000000" w:themeColor="text1"/>
          <w:sz w:val="24"/>
          <w:szCs w:val="24"/>
        </w:rPr>
        <w:t xml:space="preserve"> Sichuan University.</w:t>
      </w:r>
      <w:proofErr w:type="gramEnd"/>
      <w:r w:rsidRPr="006257CB">
        <w:rPr>
          <w:rFonts w:ascii="Book Antiqua" w:eastAsia="Arial Unicode MS" w:hAnsi="Book Antiqua"/>
          <w:color w:val="000000" w:themeColor="text1"/>
          <w:sz w:val="24"/>
          <w:szCs w:val="24"/>
        </w:rPr>
        <w:t xml:space="preserve"> Consecutive patients with suspected small gastric GISTs were reviewed from November 2004 to November 2018. GIST was suspected according to endoscopic ultrasonography features: hypoechoic lesions from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w:t>
      </w:r>
      <w:proofErr w:type="spellStart"/>
      <w:r w:rsidRPr="006257CB">
        <w:rPr>
          <w:rFonts w:ascii="Book Antiqua" w:eastAsia="Arial Unicode MS" w:hAnsi="Book Antiqua"/>
          <w:color w:val="000000" w:themeColor="text1"/>
          <w:sz w:val="24"/>
          <w:szCs w:val="24"/>
        </w:rPr>
        <w:t>propria</w:t>
      </w:r>
      <w:proofErr w:type="spellEnd"/>
      <w:r w:rsidRPr="006257CB">
        <w:rPr>
          <w:rFonts w:ascii="Book Antiqua" w:eastAsia="Arial Unicode MS" w:hAnsi="Book Antiqua"/>
          <w:color w:val="000000" w:themeColor="text1"/>
          <w:sz w:val="24"/>
          <w:szCs w:val="24"/>
        </w:rPr>
        <w:t xml:space="preserve"> or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mucosa. Eligible patients with suspected small (≤ 20 mm) GISTs were included for analysis. Patients’ demographic data, lesions’ characteristics, and follow-up medical records were collected.</w:t>
      </w:r>
    </w:p>
    <w:p w14:paraId="34978D5E" w14:textId="77777777" w:rsidR="00E41D64" w:rsidRPr="006257CB" w:rsidRDefault="00E41D64" w:rsidP="006D1F4C">
      <w:pPr>
        <w:snapToGrid w:val="0"/>
        <w:spacing w:line="360" w:lineRule="auto"/>
        <w:rPr>
          <w:rFonts w:ascii="Book Antiqua" w:eastAsia="Arial Unicode MS" w:hAnsi="Book Antiqua"/>
          <w:color w:val="000000" w:themeColor="text1"/>
          <w:sz w:val="24"/>
          <w:szCs w:val="24"/>
        </w:rPr>
      </w:pPr>
    </w:p>
    <w:p w14:paraId="4430B252" w14:textId="5569999F" w:rsidR="00194299" w:rsidRPr="006257CB" w:rsidRDefault="00E41D64" w:rsidP="006D1F4C">
      <w:pPr>
        <w:snapToGrid w:val="0"/>
        <w:spacing w:line="360" w:lineRule="auto"/>
        <w:rPr>
          <w:rFonts w:ascii="Book Antiqua" w:eastAsia="Arial Unicode MS" w:hAnsi="Book Antiqua"/>
          <w:bCs/>
          <w:color w:val="000000" w:themeColor="text1"/>
          <w:sz w:val="24"/>
          <w:szCs w:val="24"/>
        </w:rPr>
      </w:pPr>
      <w:r w:rsidRPr="006257CB">
        <w:rPr>
          <w:rFonts w:ascii="Book Antiqua" w:eastAsia="Arial Unicode MS" w:hAnsi="Book Antiqua"/>
          <w:bCs/>
          <w:color w:val="000000" w:themeColor="text1"/>
          <w:sz w:val="24"/>
          <w:szCs w:val="24"/>
        </w:rPr>
        <w:t>RESULTS</w:t>
      </w:r>
    </w:p>
    <w:p w14:paraId="1B35D4D3" w14:textId="2DDD6C80"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A total of 383 patients (male/female, 121/262; mean age, 54 years) with 410 suspected small gastric GISTs (1 lesion in 362 patients, 2 lesions in 16, 3 lesions in 4, and 4 lesions in 1) were included for analysis. The most common location was gastric fundus (56.6%), followed by body (29.0%), cardia (12.2%), and antrum (2.2%). After a median follow-up of 28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(interquartile range, 16-48; range, 3-156), 402 lesions (98.0%) showed no changes in size, and size of </w:t>
      </w:r>
      <w:r w:rsidRPr="006257CB">
        <w:rPr>
          <w:rFonts w:ascii="Book Antiqua" w:eastAsia="Arial Unicode MS" w:hAnsi="Book Antiqua"/>
          <w:color w:val="000000" w:themeColor="text1"/>
          <w:sz w:val="24"/>
          <w:szCs w:val="24"/>
        </w:rPr>
        <w:lastRenderedPageBreak/>
        <w:t>8 lesions (2.0%) was increased (mean increment, 10 mm). Of the 8 lesions with size increment, endoscopic or surgical resection was performed in 6 patients (5 GISTs and 1 leiomyoma). For other 2 remaining patients, unroofing biopsy or endoscopic ultrasound-guided fine-needle aspiration was carried out (2 GISTs), while no further change in size was noted over a period of 62-64 mo.</w:t>
      </w:r>
    </w:p>
    <w:p w14:paraId="1E3B57AA" w14:textId="77777777" w:rsidR="00E41D64" w:rsidRPr="006257CB" w:rsidRDefault="00E41D64" w:rsidP="006D1F4C">
      <w:pPr>
        <w:snapToGrid w:val="0"/>
        <w:spacing w:line="360" w:lineRule="auto"/>
        <w:rPr>
          <w:rFonts w:ascii="Book Antiqua" w:eastAsia="Arial Unicode MS" w:hAnsi="Book Antiqua"/>
          <w:color w:val="000000" w:themeColor="text1"/>
          <w:sz w:val="24"/>
          <w:szCs w:val="24"/>
        </w:rPr>
      </w:pPr>
    </w:p>
    <w:p w14:paraId="7B325EBE" w14:textId="71B3A03C" w:rsidR="00194299" w:rsidRPr="006257CB" w:rsidRDefault="00E41D64" w:rsidP="006D1F4C">
      <w:pPr>
        <w:snapToGrid w:val="0"/>
        <w:spacing w:line="360" w:lineRule="auto"/>
        <w:rPr>
          <w:rFonts w:ascii="Book Antiqua" w:eastAsia="Arial Unicode MS" w:hAnsi="Book Antiqua"/>
          <w:bCs/>
          <w:color w:val="000000" w:themeColor="text1"/>
          <w:sz w:val="24"/>
          <w:szCs w:val="24"/>
        </w:rPr>
      </w:pPr>
      <w:r w:rsidRPr="006257CB">
        <w:rPr>
          <w:rFonts w:ascii="Book Antiqua" w:eastAsia="Arial Unicode MS" w:hAnsi="Book Antiqua"/>
          <w:bCs/>
          <w:color w:val="000000" w:themeColor="text1"/>
          <w:sz w:val="24"/>
          <w:szCs w:val="24"/>
        </w:rPr>
        <w:t>CONCLUSION</w:t>
      </w:r>
    </w:p>
    <w:p w14:paraId="566992C9" w14:textId="77777777"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The majority of suspected small (≤ 20 mm) gastric GISTs had no size increment during follow-up. Regular endoscopic follow-up without pathological diagnosis may be highly helpful for such small gastric subepithelial lesions.</w:t>
      </w:r>
    </w:p>
    <w:p w14:paraId="2B311B49" w14:textId="77777777" w:rsidR="00194299" w:rsidRPr="006257CB" w:rsidRDefault="00194299" w:rsidP="006D1F4C">
      <w:pPr>
        <w:snapToGrid w:val="0"/>
        <w:spacing w:line="360" w:lineRule="auto"/>
        <w:rPr>
          <w:rFonts w:ascii="Book Antiqua" w:eastAsia="Arial Unicode MS" w:hAnsi="Book Antiqua"/>
          <w:color w:val="000000" w:themeColor="text1"/>
          <w:sz w:val="24"/>
          <w:szCs w:val="24"/>
        </w:rPr>
      </w:pPr>
    </w:p>
    <w:p w14:paraId="15F09970" w14:textId="13B5FD04" w:rsidR="00194299" w:rsidRPr="006257CB" w:rsidRDefault="00377C2C" w:rsidP="006D1F4C">
      <w:pPr>
        <w:snapToGrid w:val="0"/>
        <w:spacing w:line="360" w:lineRule="auto"/>
        <w:rPr>
          <w:rFonts w:ascii="Book Antiqua" w:eastAsia="Arial Unicode MS" w:hAnsi="Book Antiqua"/>
          <w:color w:val="000000" w:themeColor="text1"/>
          <w:sz w:val="24"/>
          <w:szCs w:val="24"/>
        </w:rPr>
      </w:pPr>
      <w:r w:rsidRPr="006257CB">
        <w:rPr>
          <w:rFonts w:ascii="Book Antiqua" w:hAnsi="Book Antiqua"/>
          <w:b/>
          <w:sz w:val="24"/>
          <w:szCs w:val="24"/>
        </w:rPr>
        <w:t>Key words:</w:t>
      </w:r>
      <w:r w:rsidRPr="006257CB">
        <w:rPr>
          <w:rFonts w:ascii="Book Antiqua" w:hAnsi="Book Antiqua"/>
          <w:sz w:val="24"/>
          <w:szCs w:val="24"/>
        </w:rPr>
        <w:t xml:space="preserve"> </w:t>
      </w:r>
      <w:r w:rsidR="00E41D64" w:rsidRPr="006257CB">
        <w:rPr>
          <w:rFonts w:ascii="Book Antiqua" w:eastAsia="Arial Unicode MS" w:hAnsi="Book Antiqua"/>
          <w:color w:val="000000" w:themeColor="text1"/>
          <w:sz w:val="24"/>
          <w:szCs w:val="24"/>
        </w:rPr>
        <w:t xml:space="preserve">Endoscopic </w:t>
      </w:r>
      <w:r w:rsidR="00EB54AF" w:rsidRPr="006257CB">
        <w:rPr>
          <w:rFonts w:ascii="Book Antiqua" w:eastAsia="Arial Unicode MS" w:hAnsi="Book Antiqua"/>
          <w:color w:val="000000" w:themeColor="text1"/>
          <w:sz w:val="24"/>
          <w:szCs w:val="24"/>
        </w:rPr>
        <w:t xml:space="preserve">ultrasound-guided fine-needle aspiration; </w:t>
      </w:r>
      <w:proofErr w:type="gramStart"/>
      <w:r w:rsidR="00E41D64" w:rsidRPr="006257CB">
        <w:rPr>
          <w:rFonts w:ascii="Book Antiqua" w:eastAsia="Arial Unicode MS" w:hAnsi="Book Antiqua"/>
          <w:color w:val="000000" w:themeColor="text1"/>
          <w:sz w:val="24"/>
          <w:szCs w:val="24"/>
        </w:rPr>
        <w:t>Gastrointestinal</w:t>
      </w:r>
      <w:proofErr w:type="gramEnd"/>
      <w:r w:rsidR="00E41D64" w:rsidRPr="006257CB">
        <w:rPr>
          <w:rFonts w:ascii="Book Antiqua" w:eastAsia="Arial Unicode MS" w:hAnsi="Book Antiqua"/>
          <w:color w:val="000000" w:themeColor="text1"/>
          <w:sz w:val="24"/>
          <w:szCs w:val="24"/>
        </w:rPr>
        <w:t xml:space="preserve"> </w:t>
      </w:r>
      <w:r w:rsidR="00194299" w:rsidRPr="006257CB">
        <w:rPr>
          <w:rFonts w:ascii="Book Antiqua" w:eastAsia="Arial Unicode MS" w:hAnsi="Book Antiqua"/>
          <w:color w:val="000000" w:themeColor="text1"/>
          <w:sz w:val="24"/>
          <w:szCs w:val="24"/>
        </w:rPr>
        <w:t xml:space="preserve">stromal tumor; </w:t>
      </w:r>
      <w:r w:rsidR="00E41D64" w:rsidRPr="006257CB">
        <w:rPr>
          <w:rFonts w:ascii="Book Antiqua" w:eastAsia="Arial Unicode MS" w:hAnsi="Book Antiqua"/>
          <w:color w:val="000000" w:themeColor="text1"/>
          <w:sz w:val="24"/>
          <w:szCs w:val="24"/>
        </w:rPr>
        <w:t xml:space="preserve">Hypoechoic </w:t>
      </w:r>
      <w:r w:rsidR="00EB54AF" w:rsidRPr="006257CB">
        <w:rPr>
          <w:rFonts w:ascii="Book Antiqua" w:eastAsia="Arial Unicode MS" w:hAnsi="Book Antiqua"/>
          <w:color w:val="000000" w:themeColor="text1"/>
          <w:sz w:val="24"/>
          <w:szCs w:val="24"/>
        </w:rPr>
        <w:t xml:space="preserve">lesions; </w:t>
      </w:r>
      <w:r w:rsidR="00E41D64" w:rsidRPr="006257CB">
        <w:rPr>
          <w:rFonts w:ascii="Book Antiqua" w:eastAsia="Arial Unicode MS" w:hAnsi="Book Antiqua"/>
          <w:color w:val="000000" w:themeColor="text1"/>
          <w:sz w:val="24"/>
          <w:szCs w:val="24"/>
        </w:rPr>
        <w:t>Stomach</w:t>
      </w:r>
      <w:r w:rsidR="00EB54AF" w:rsidRPr="006257CB">
        <w:rPr>
          <w:rFonts w:ascii="Book Antiqua" w:eastAsia="Arial Unicode MS" w:hAnsi="Book Antiqua"/>
          <w:color w:val="000000" w:themeColor="text1"/>
          <w:sz w:val="24"/>
          <w:szCs w:val="24"/>
        </w:rPr>
        <w:t xml:space="preserve">; </w:t>
      </w:r>
      <w:r w:rsidR="00E41D64" w:rsidRPr="006257CB">
        <w:rPr>
          <w:rFonts w:ascii="Book Antiqua" w:eastAsia="Arial Unicode MS" w:hAnsi="Book Antiqua"/>
          <w:color w:val="000000" w:themeColor="text1"/>
          <w:sz w:val="24"/>
          <w:szCs w:val="24"/>
        </w:rPr>
        <w:t xml:space="preserve">Surveillance </w:t>
      </w:r>
      <w:r w:rsidR="00194299" w:rsidRPr="006257CB">
        <w:rPr>
          <w:rFonts w:ascii="Book Antiqua" w:eastAsia="Arial Unicode MS" w:hAnsi="Book Antiqua"/>
          <w:color w:val="000000" w:themeColor="text1"/>
          <w:sz w:val="24"/>
          <w:szCs w:val="24"/>
        </w:rPr>
        <w:t xml:space="preserve">strategy; </w:t>
      </w:r>
      <w:r w:rsidR="00E41D64" w:rsidRPr="006257CB">
        <w:rPr>
          <w:rFonts w:ascii="Book Antiqua" w:eastAsia="Arial Unicode MS" w:hAnsi="Book Antiqua"/>
          <w:color w:val="000000" w:themeColor="text1"/>
          <w:sz w:val="24"/>
          <w:szCs w:val="24"/>
        </w:rPr>
        <w:t xml:space="preserve">Unroofing </w:t>
      </w:r>
      <w:r w:rsidR="00EB54AF" w:rsidRPr="006257CB">
        <w:rPr>
          <w:rFonts w:ascii="Book Antiqua" w:eastAsia="Arial Unicode MS" w:hAnsi="Book Antiqua"/>
          <w:color w:val="000000" w:themeColor="text1"/>
          <w:sz w:val="24"/>
          <w:szCs w:val="24"/>
        </w:rPr>
        <w:t>biopsy</w:t>
      </w:r>
    </w:p>
    <w:p w14:paraId="41F592AA" w14:textId="77777777" w:rsidR="008B06D0" w:rsidRPr="006257CB" w:rsidRDefault="008B06D0" w:rsidP="006D1F4C">
      <w:pPr>
        <w:snapToGrid w:val="0"/>
        <w:spacing w:line="360" w:lineRule="auto"/>
        <w:rPr>
          <w:rFonts w:ascii="Book Antiqua" w:hAnsi="Book Antiqua" w:cs="Arial"/>
          <w:b/>
          <w:bCs/>
          <w:color w:val="000000" w:themeColor="text1"/>
          <w:sz w:val="24"/>
          <w:szCs w:val="24"/>
        </w:rPr>
      </w:pPr>
    </w:p>
    <w:p w14:paraId="6AA46510" w14:textId="6C72A5D8" w:rsidR="008B06D0" w:rsidRPr="006257CB" w:rsidRDefault="008B06D0" w:rsidP="006D1F4C">
      <w:pPr>
        <w:snapToGrid w:val="0"/>
        <w:spacing w:line="360" w:lineRule="auto"/>
        <w:rPr>
          <w:rFonts w:ascii="Book Antiqua" w:eastAsia="Arial Unicode MS" w:hAnsi="Book Antiqua"/>
          <w:b/>
          <w:color w:val="000000" w:themeColor="text1"/>
          <w:sz w:val="24"/>
          <w:szCs w:val="24"/>
        </w:rPr>
      </w:pPr>
      <w:r w:rsidRPr="006257CB">
        <w:rPr>
          <w:rFonts w:ascii="Book Antiqua" w:hAnsi="Book Antiqua"/>
          <w:color w:val="000000" w:themeColor="text1"/>
          <w:sz w:val="24"/>
          <w:szCs w:val="24"/>
        </w:rPr>
        <w:t xml:space="preserve">Ye LS, Li Y, Liu W, Yao MH, Khan N, Hu B. </w:t>
      </w:r>
      <w:r w:rsidRPr="006257CB">
        <w:rPr>
          <w:rFonts w:ascii="Book Antiqua" w:eastAsia="Arial Unicode MS" w:hAnsi="Book Antiqua"/>
          <w:bCs/>
          <w:color w:val="000000" w:themeColor="text1"/>
          <w:sz w:val="24"/>
          <w:szCs w:val="24"/>
        </w:rPr>
        <w:t xml:space="preserve">Clinical course of suspected small gastrointestinal stromal tumors in the stomach. </w:t>
      </w:r>
      <w:r w:rsidR="00246797" w:rsidRPr="006257CB">
        <w:rPr>
          <w:rFonts w:ascii="Book Antiqua" w:eastAsiaTheme="minorEastAsia" w:hAnsi="Book Antiqua"/>
          <w:i/>
          <w:color w:val="000000"/>
          <w:sz w:val="24"/>
          <w:szCs w:val="24"/>
        </w:rPr>
        <w:t xml:space="preserve">World J </w:t>
      </w:r>
      <w:proofErr w:type="spellStart"/>
      <w:r w:rsidR="00246797" w:rsidRPr="006257CB">
        <w:rPr>
          <w:rFonts w:ascii="Book Antiqua" w:eastAsiaTheme="minorEastAsia" w:hAnsi="Book Antiqua"/>
          <w:i/>
          <w:color w:val="000000"/>
          <w:sz w:val="24"/>
          <w:szCs w:val="24"/>
        </w:rPr>
        <w:t>Gastrointest</w:t>
      </w:r>
      <w:proofErr w:type="spellEnd"/>
      <w:r w:rsidR="00246797" w:rsidRPr="006257CB">
        <w:rPr>
          <w:rFonts w:ascii="Book Antiqua" w:eastAsiaTheme="minorEastAsia" w:hAnsi="Book Antiqua"/>
          <w:i/>
          <w:color w:val="000000"/>
          <w:sz w:val="24"/>
          <w:szCs w:val="24"/>
        </w:rPr>
        <w:t xml:space="preserve"> </w:t>
      </w:r>
      <w:proofErr w:type="spellStart"/>
      <w:r w:rsidR="00246797" w:rsidRPr="006257CB">
        <w:rPr>
          <w:rFonts w:ascii="Book Antiqua" w:eastAsiaTheme="minorEastAsia" w:hAnsi="Book Antiqua"/>
          <w:i/>
          <w:color w:val="000000"/>
          <w:sz w:val="24"/>
          <w:szCs w:val="24"/>
        </w:rPr>
        <w:t>Surg</w:t>
      </w:r>
      <w:proofErr w:type="spellEnd"/>
      <w:r w:rsidR="00246797" w:rsidRPr="006257CB">
        <w:rPr>
          <w:rFonts w:ascii="Book Antiqua" w:eastAsiaTheme="minorEastAsia" w:hAnsi="Book Antiqua"/>
          <w:i/>
          <w:color w:val="000000"/>
          <w:sz w:val="24"/>
          <w:szCs w:val="24"/>
        </w:rPr>
        <w:t xml:space="preserve"> </w:t>
      </w:r>
      <w:r w:rsidR="00377C2C" w:rsidRPr="006257CB">
        <w:rPr>
          <w:rFonts w:ascii="Book Antiqua" w:eastAsiaTheme="minorEastAsia" w:hAnsi="Book Antiqua"/>
          <w:color w:val="000000"/>
          <w:sz w:val="24"/>
          <w:szCs w:val="24"/>
        </w:rPr>
        <w:t>20</w:t>
      </w:r>
      <w:r w:rsidR="00246797" w:rsidRPr="006257CB">
        <w:rPr>
          <w:rFonts w:ascii="Book Antiqua" w:eastAsiaTheme="minorEastAsia" w:hAnsi="Book Antiqua"/>
          <w:color w:val="000000"/>
          <w:sz w:val="24"/>
          <w:szCs w:val="24"/>
        </w:rPr>
        <w:t>20</w:t>
      </w:r>
      <w:r w:rsidR="00377C2C" w:rsidRPr="006257CB">
        <w:rPr>
          <w:rFonts w:ascii="Book Antiqua" w:eastAsiaTheme="minorEastAsia" w:hAnsi="Book Antiqua"/>
          <w:color w:val="000000"/>
          <w:sz w:val="24"/>
          <w:szCs w:val="24"/>
        </w:rPr>
        <w:t xml:space="preserve">; </w:t>
      </w:r>
      <w:r w:rsidR="006257CB" w:rsidRPr="006257CB">
        <w:rPr>
          <w:rFonts w:ascii="Book Antiqua" w:hAnsi="Book Antiqua"/>
          <w:sz w:val="24"/>
          <w:szCs w:val="24"/>
        </w:rPr>
        <w:t>12(4): 171-177 URL: https://www.wjgnet.com/1948-9366/full/v12/i4/171.htm DOI: https://dx.doi.org/10.4240/wjgs.v12.i4.171</w:t>
      </w:r>
    </w:p>
    <w:p w14:paraId="15BE7810" w14:textId="3FC60170" w:rsidR="008B06D0" w:rsidRPr="006257CB" w:rsidRDefault="008B06D0" w:rsidP="006D1F4C">
      <w:pPr>
        <w:snapToGrid w:val="0"/>
        <w:spacing w:line="360" w:lineRule="auto"/>
        <w:rPr>
          <w:rFonts w:ascii="Book Antiqua" w:hAnsi="Book Antiqua"/>
          <w:color w:val="000000" w:themeColor="text1"/>
          <w:sz w:val="24"/>
          <w:szCs w:val="24"/>
        </w:rPr>
      </w:pPr>
    </w:p>
    <w:p w14:paraId="75D06A99" w14:textId="51CC9024" w:rsidR="00194299" w:rsidRPr="006257CB" w:rsidRDefault="00377C2C" w:rsidP="006D1F4C">
      <w:pPr>
        <w:snapToGrid w:val="0"/>
        <w:spacing w:line="360" w:lineRule="auto"/>
        <w:rPr>
          <w:rFonts w:ascii="Book Antiqua" w:eastAsia="Arial Unicode MS" w:hAnsi="Book Antiqua"/>
          <w:b/>
          <w:color w:val="000000" w:themeColor="text1"/>
          <w:sz w:val="24"/>
          <w:szCs w:val="24"/>
        </w:rPr>
      </w:pPr>
      <w:r w:rsidRPr="006257CB">
        <w:rPr>
          <w:rFonts w:ascii="Book Antiqua" w:hAnsi="Book Antiqua"/>
          <w:b/>
          <w:sz w:val="24"/>
          <w:szCs w:val="24"/>
        </w:rPr>
        <w:t>Core tip:</w:t>
      </w:r>
      <w:r w:rsidRPr="006257CB">
        <w:rPr>
          <w:rFonts w:ascii="Book Antiqua" w:hAnsi="Book Antiqua"/>
          <w:sz w:val="24"/>
          <w:szCs w:val="24"/>
        </w:rPr>
        <w:t xml:space="preserve"> </w:t>
      </w:r>
      <w:r w:rsidR="00194299" w:rsidRPr="006257CB">
        <w:rPr>
          <w:rFonts w:ascii="Book Antiqua" w:eastAsia="Arial Unicode MS" w:hAnsi="Book Antiqua"/>
          <w:bCs/>
          <w:color w:val="000000" w:themeColor="text1"/>
          <w:sz w:val="24"/>
          <w:szCs w:val="24"/>
        </w:rPr>
        <w:t>This retrospective study submitted by Ye</w:t>
      </w:r>
      <w:r w:rsidR="00E41D64" w:rsidRPr="006257CB">
        <w:rPr>
          <w:rFonts w:ascii="Book Antiqua" w:eastAsia="Arial Unicode MS" w:hAnsi="Book Antiqua"/>
          <w:bCs/>
          <w:color w:val="000000" w:themeColor="text1"/>
          <w:sz w:val="24"/>
          <w:szCs w:val="24"/>
        </w:rPr>
        <w:t xml:space="preserve"> LS</w:t>
      </w:r>
      <w:r w:rsidR="00194299" w:rsidRPr="006257CB">
        <w:rPr>
          <w:rFonts w:ascii="Book Antiqua" w:eastAsia="Arial Unicode MS" w:hAnsi="Book Antiqua"/>
          <w:bCs/>
          <w:color w:val="000000" w:themeColor="text1"/>
          <w:sz w:val="24"/>
          <w:szCs w:val="24"/>
        </w:rPr>
        <w:t xml:space="preserve"> </w:t>
      </w:r>
      <w:r w:rsidR="00194299" w:rsidRPr="006257CB">
        <w:rPr>
          <w:rFonts w:ascii="Book Antiqua" w:eastAsia="Arial Unicode MS" w:hAnsi="Book Antiqua"/>
          <w:bCs/>
          <w:i/>
          <w:iCs/>
          <w:color w:val="000000" w:themeColor="text1"/>
          <w:sz w:val="24"/>
          <w:szCs w:val="24"/>
        </w:rPr>
        <w:t>et al</w:t>
      </w:r>
      <w:r w:rsidR="00194299" w:rsidRPr="006257CB">
        <w:rPr>
          <w:rFonts w:ascii="Book Antiqua" w:eastAsia="Arial Unicode MS" w:hAnsi="Book Antiqua"/>
          <w:bCs/>
          <w:color w:val="000000" w:themeColor="text1"/>
          <w:sz w:val="24"/>
          <w:szCs w:val="24"/>
        </w:rPr>
        <w:t xml:space="preserve"> describes the clinical course of suspected small (≤</w:t>
      </w:r>
      <w:r w:rsidR="008B06D0" w:rsidRPr="006257CB">
        <w:rPr>
          <w:rFonts w:ascii="Book Antiqua" w:eastAsia="Arial Unicode MS" w:hAnsi="Book Antiqua"/>
          <w:bCs/>
          <w:color w:val="000000" w:themeColor="text1"/>
          <w:sz w:val="24"/>
          <w:szCs w:val="24"/>
        </w:rPr>
        <w:t xml:space="preserve"> </w:t>
      </w:r>
      <w:r w:rsidR="00194299" w:rsidRPr="006257CB">
        <w:rPr>
          <w:rFonts w:ascii="Book Antiqua" w:eastAsia="Arial Unicode MS" w:hAnsi="Book Antiqua"/>
          <w:bCs/>
          <w:color w:val="000000" w:themeColor="text1"/>
          <w:sz w:val="24"/>
          <w:szCs w:val="24"/>
        </w:rPr>
        <w:t xml:space="preserve">20 mm) gastrointestinal stromal tumors in the stomach, in which the majority of lesions (98%, 402/410) had no size increment during a median follow-up of 28 </w:t>
      </w:r>
      <w:proofErr w:type="spellStart"/>
      <w:r w:rsidR="00194299" w:rsidRPr="006257CB">
        <w:rPr>
          <w:rFonts w:ascii="Book Antiqua" w:eastAsia="Arial Unicode MS" w:hAnsi="Book Antiqua"/>
          <w:bCs/>
          <w:color w:val="000000" w:themeColor="text1"/>
          <w:sz w:val="24"/>
          <w:szCs w:val="24"/>
        </w:rPr>
        <w:t>mo</w:t>
      </w:r>
      <w:proofErr w:type="spellEnd"/>
      <w:r w:rsidR="00194299" w:rsidRPr="006257CB">
        <w:rPr>
          <w:rFonts w:ascii="Book Antiqua" w:eastAsia="Arial Unicode MS" w:hAnsi="Book Antiqua"/>
          <w:bCs/>
          <w:color w:val="000000" w:themeColor="text1"/>
          <w:sz w:val="24"/>
          <w:szCs w:val="24"/>
        </w:rPr>
        <w:t xml:space="preserve"> (</w:t>
      </w:r>
      <w:r w:rsidR="00194299" w:rsidRPr="006257CB">
        <w:rPr>
          <w:rFonts w:ascii="Book Antiqua" w:eastAsia="Arial Unicode MS" w:hAnsi="Book Antiqua"/>
          <w:color w:val="000000" w:themeColor="text1"/>
          <w:sz w:val="24"/>
          <w:szCs w:val="24"/>
        </w:rPr>
        <w:t>interquartile range, 16-48; range, 3-156</w:t>
      </w:r>
      <w:r w:rsidR="00194299" w:rsidRPr="006257CB">
        <w:rPr>
          <w:rFonts w:ascii="Book Antiqua" w:eastAsia="Arial Unicode MS" w:hAnsi="Book Antiqua"/>
          <w:bCs/>
          <w:color w:val="000000" w:themeColor="text1"/>
          <w:sz w:val="24"/>
          <w:szCs w:val="24"/>
        </w:rPr>
        <w:t xml:space="preserve">), and the size of only 8 lesions (2.0%, 8/410) was increased (mean increment, 10 mm). Our findings may provide further evidence that surveillance strategy may be helpful for such small gastric subepithelial lesions. </w:t>
      </w:r>
    </w:p>
    <w:p w14:paraId="57965E2D" w14:textId="77777777" w:rsidR="00194299" w:rsidRPr="006257CB" w:rsidRDefault="00194299" w:rsidP="006D1F4C">
      <w:pPr>
        <w:snapToGrid w:val="0"/>
        <w:spacing w:line="360" w:lineRule="auto"/>
        <w:rPr>
          <w:rFonts w:ascii="Book Antiqua" w:eastAsia="Arial Unicode MS" w:hAnsi="Book Antiqua"/>
          <w:b/>
          <w:color w:val="000000" w:themeColor="text1"/>
          <w:sz w:val="24"/>
          <w:szCs w:val="24"/>
        </w:rPr>
      </w:pPr>
    </w:p>
    <w:p w14:paraId="1B0F45A4" w14:textId="77777777" w:rsidR="008B06D0" w:rsidRPr="006257CB" w:rsidRDefault="008B06D0" w:rsidP="006D1F4C">
      <w:pPr>
        <w:widowControl/>
        <w:snapToGrid w:val="0"/>
        <w:spacing w:line="360" w:lineRule="auto"/>
        <w:rPr>
          <w:rFonts w:ascii="Book Antiqua" w:eastAsia="Arial Unicode MS" w:hAnsi="Book Antiqua"/>
          <w:b/>
          <w:color w:val="000000" w:themeColor="text1"/>
          <w:sz w:val="24"/>
          <w:szCs w:val="24"/>
        </w:rPr>
      </w:pPr>
      <w:r w:rsidRPr="006257CB">
        <w:rPr>
          <w:rFonts w:ascii="Book Antiqua" w:eastAsia="Arial Unicode MS" w:hAnsi="Book Antiqua"/>
          <w:b/>
          <w:color w:val="000000" w:themeColor="text1"/>
          <w:sz w:val="24"/>
          <w:szCs w:val="24"/>
        </w:rPr>
        <w:br w:type="page"/>
      </w:r>
    </w:p>
    <w:p w14:paraId="65508D21" w14:textId="77777777" w:rsidR="00377C2C" w:rsidRPr="006257CB" w:rsidRDefault="00377C2C" w:rsidP="006D1F4C">
      <w:pPr>
        <w:adjustRightInd w:val="0"/>
        <w:snapToGrid w:val="0"/>
        <w:spacing w:line="360" w:lineRule="auto"/>
        <w:rPr>
          <w:rFonts w:ascii="Book Antiqua" w:hAnsi="Book Antiqua"/>
          <w:b/>
          <w:sz w:val="24"/>
          <w:szCs w:val="24"/>
          <w:u w:val="single"/>
        </w:rPr>
      </w:pPr>
      <w:r w:rsidRPr="006257CB">
        <w:rPr>
          <w:rFonts w:ascii="Book Antiqua" w:hAnsi="Book Antiqua"/>
          <w:b/>
          <w:sz w:val="24"/>
          <w:szCs w:val="24"/>
          <w:u w:val="single"/>
        </w:rPr>
        <w:lastRenderedPageBreak/>
        <w:t>INTRODUCTION</w:t>
      </w:r>
    </w:p>
    <w:p w14:paraId="44CD8262" w14:textId="452947A1"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shd w:val="clear" w:color="auto" w:fill="FFFFFF"/>
        </w:rPr>
        <w:t xml:space="preserve">Gastric subepithelial lesions are frequently encountered, with a frequency of about 0.36% during routine upper </w:t>
      </w:r>
      <w:proofErr w:type="gramStart"/>
      <w:r w:rsidRPr="006257CB">
        <w:rPr>
          <w:rFonts w:ascii="Book Antiqua" w:eastAsia="Arial Unicode MS" w:hAnsi="Book Antiqua"/>
          <w:color w:val="000000" w:themeColor="text1"/>
          <w:sz w:val="24"/>
          <w:szCs w:val="24"/>
          <w:shd w:val="clear" w:color="auto" w:fill="FFFFFF"/>
        </w:rPr>
        <w:t>endoscopies</w:t>
      </w:r>
      <w:r w:rsidRPr="006257CB">
        <w:rPr>
          <w:rFonts w:ascii="Book Antiqua" w:eastAsia="Arial Unicode MS" w:hAnsi="Book Antiqua"/>
          <w:color w:val="000000" w:themeColor="text1"/>
          <w:sz w:val="24"/>
          <w:szCs w:val="24"/>
          <w:shd w:val="clear" w:color="auto" w:fill="FFFFFF"/>
          <w:vertAlign w:val="superscript"/>
        </w:rPr>
        <w:t>[</w:t>
      </w:r>
      <w:proofErr w:type="gramEnd"/>
      <w:r w:rsidRPr="006257CB">
        <w:rPr>
          <w:rFonts w:ascii="Book Antiqua" w:eastAsia="Arial Unicode MS" w:hAnsi="Book Antiqua"/>
          <w:color w:val="000000" w:themeColor="text1"/>
          <w:sz w:val="24"/>
          <w:szCs w:val="24"/>
          <w:shd w:val="clear" w:color="auto" w:fill="FFFFFF"/>
          <w:vertAlign w:val="superscript"/>
        </w:rPr>
        <w:t>1]</w:t>
      </w:r>
      <w:r w:rsidRPr="006257CB">
        <w:rPr>
          <w:rFonts w:ascii="Book Antiqua" w:eastAsia="Arial Unicode MS" w:hAnsi="Book Antiqua"/>
          <w:color w:val="000000" w:themeColor="text1"/>
          <w:sz w:val="24"/>
          <w:szCs w:val="24"/>
          <w:shd w:val="clear" w:color="auto" w:fill="FFFFFF"/>
        </w:rPr>
        <w:t xml:space="preserve">. </w:t>
      </w:r>
      <w:r w:rsidRPr="006257CB">
        <w:rPr>
          <w:rFonts w:ascii="Book Antiqua" w:eastAsia="Arial Unicode MS" w:hAnsi="Book Antiqua"/>
          <w:color w:val="000000" w:themeColor="text1"/>
          <w:sz w:val="24"/>
          <w:szCs w:val="24"/>
        </w:rPr>
        <w:t xml:space="preserve">With increased endoscopic and radiological utilization, such lesions are becoming increasingly prevalent. Although the majority of these lesions are small and asymptomatic, they can cause bleeding, obstructive symptoms, and also carry malignant potentials. The most common subepithelial lesions detected by </w:t>
      </w:r>
      <w:proofErr w:type="spellStart"/>
      <w:r w:rsidRPr="006257CB">
        <w:rPr>
          <w:rFonts w:ascii="Book Antiqua" w:eastAsia="Arial Unicode MS" w:hAnsi="Book Antiqua"/>
          <w:color w:val="000000" w:themeColor="text1"/>
          <w:sz w:val="24"/>
          <w:szCs w:val="24"/>
        </w:rPr>
        <w:t>endoscopists</w:t>
      </w:r>
      <w:proofErr w:type="spellEnd"/>
      <w:r w:rsidRPr="006257CB">
        <w:rPr>
          <w:rFonts w:ascii="Book Antiqua" w:eastAsia="Arial Unicode MS" w:hAnsi="Book Antiqua"/>
          <w:color w:val="000000" w:themeColor="text1"/>
          <w:sz w:val="24"/>
          <w:szCs w:val="24"/>
        </w:rPr>
        <w:t xml:space="preserve"> are gastrointestinal stromal tumors (GISTs), leiomyomas, lipomas, granular cell tumors, pancreatic rests, and carcinoid tumors. Among them, GISTs remain as one of the major concerns for patients and clinicians because of their potential malignancy. Although previous guidelines have recommended that periodic surveillance for small (less than 20 mm) GISTs without high-risk endoscopic ultrasound (EUS) features is reasonable since malignant evolution is uncommon</w:t>
      </w:r>
      <w:r w:rsidRPr="006257CB">
        <w:rPr>
          <w:rFonts w:ascii="Book Antiqua" w:eastAsia="Arial Unicode MS" w:hAnsi="Book Antiqua"/>
          <w:color w:val="000000" w:themeColor="text1"/>
          <w:sz w:val="24"/>
          <w:szCs w:val="24"/>
          <w:vertAlign w:val="superscript"/>
        </w:rPr>
        <w:t>[2-4]</w:t>
      </w:r>
      <w:r w:rsidRPr="006257CB">
        <w:rPr>
          <w:rFonts w:ascii="Book Antiqua" w:eastAsia="Arial Unicode MS" w:hAnsi="Book Antiqua"/>
          <w:color w:val="000000" w:themeColor="text1"/>
          <w:sz w:val="24"/>
          <w:szCs w:val="24"/>
        </w:rPr>
        <w:t>, several patients remain extremely worried, and request repeated endoscopic examinations or radical resection for their accidentally detected small gastric subepithelial lesions, posing extra medical burdens and risks. In addition, several clinicians prefer to perform endoscopic or surgical resection for these patients because of patients’ strong demands and the potential malignancy of lesions, which is blameless indeed, while may put those patients at great medical risks. Although several studies</w:t>
      </w:r>
      <w:r w:rsidRPr="006257CB">
        <w:rPr>
          <w:rFonts w:ascii="Book Antiqua" w:eastAsia="Arial Unicode MS" w:hAnsi="Book Antiqua"/>
          <w:color w:val="000000" w:themeColor="text1"/>
          <w:sz w:val="24"/>
          <w:szCs w:val="24"/>
          <w:vertAlign w:val="superscript"/>
        </w:rPr>
        <w:t>[5,6]</w:t>
      </w:r>
      <w:r w:rsidRPr="006257CB">
        <w:rPr>
          <w:rFonts w:ascii="Book Antiqua" w:eastAsia="Arial Unicode MS" w:hAnsi="Book Antiqua"/>
          <w:color w:val="000000" w:themeColor="text1"/>
          <w:sz w:val="24"/>
          <w:szCs w:val="24"/>
        </w:rPr>
        <w:t xml:space="preserve"> demonstrated a low rate of size increment in patients with subepithelial lesions of the </w:t>
      </w:r>
      <w:r w:rsidR="008D0D7A" w:rsidRPr="006257CB">
        <w:rPr>
          <w:rFonts w:ascii="Book Antiqua" w:eastAsia="Arial Unicode MS" w:hAnsi="Book Antiqua"/>
          <w:color w:val="000000" w:themeColor="text1"/>
          <w:sz w:val="24"/>
          <w:szCs w:val="24"/>
        </w:rPr>
        <w:t xml:space="preserve">upper </w:t>
      </w:r>
      <w:r w:rsidRPr="006257CB">
        <w:rPr>
          <w:rFonts w:ascii="Book Antiqua" w:eastAsia="Arial Unicode MS" w:hAnsi="Book Antiqua"/>
          <w:color w:val="000000" w:themeColor="text1"/>
          <w:sz w:val="24"/>
          <w:szCs w:val="24"/>
        </w:rPr>
        <w:t>gastrointestinal tract, investigations involving only suspected gastric GISTs are limited; optimal follow-up interval for such lesions remained uncertain</w:t>
      </w:r>
      <w:r w:rsidRPr="006257CB">
        <w:rPr>
          <w:rFonts w:ascii="Book Antiqua" w:eastAsia="Arial Unicode MS" w:hAnsi="Book Antiqua"/>
          <w:color w:val="000000" w:themeColor="text1"/>
          <w:sz w:val="24"/>
          <w:szCs w:val="24"/>
          <w:vertAlign w:val="superscript"/>
        </w:rPr>
        <w:t>[2,4,7]</w:t>
      </w:r>
      <w:r w:rsidRPr="006257CB">
        <w:rPr>
          <w:rFonts w:ascii="Book Antiqua" w:eastAsia="Arial Unicode MS" w:hAnsi="Book Antiqua"/>
          <w:color w:val="000000" w:themeColor="text1"/>
          <w:sz w:val="24"/>
          <w:szCs w:val="24"/>
        </w:rPr>
        <w:t>. Therefore, in the present study, we described the clinical course of suspected small gastric GISTs, and our results may provide further evidence for surveillance strategy for tumor therapy.</w:t>
      </w:r>
    </w:p>
    <w:p w14:paraId="1B0FD2E1" w14:textId="77777777" w:rsidR="00194299" w:rsidRPr="006257CB" w:rsidRDefault="00194299" w:rsidP="006D1F4C">
      <w:pPr>
        <w:snapToGrid w:val="0"/>
        <w:spacing w:line="360" w:lineRule="auto"/>
        <w:rPr>
          <w:rFonts w:ascii="Book Antiqua" w:eastAsia="Arial Unicode MS" w:hAnsi="Book Antiqua"/>
          <w:color w:val="000000" w:themeColor="text1"/>
          <w:sz w:val="24"/>
          <w:szCs w:val="24"/>
        </w:rPr>
      </w:pPr>
    </w:p>
    <w:p w14:paraId="51CB893F" w14:textId="77777777" w:rsidR="00377C2C" w:rsidRPr="006257CB" w:rsidRDefault="00377C2C" w:rsidP="006D1F4C">
      <w:pPr>
        <w:adjustRightInd w:val="0"/>
        <w:snapToGrid w:val="0"/>
        <w:spacing w:line="360" w:lineRule="auto"/>
        <w:rPr>
          <w:rFonts w:ascii="Book Antiqua" w:hAnsi="Book Antiqua"/>
          <w:b/>
          <w:sz w:val="24"/>
          <w:szCs w:val="24"/>
          <w:u w:val="single"/>
        </w:rPr>
      </w:pPr>
      <w:r w:rsidRPr="006257CB">
        <w:rPr>
          <w:rFonts w:ascii="Book Antiqua" w:hAnsi="Book Antiqua"/>
          <w:b/>
          <w:sz w:val="24"/>
          <w:szCs w:val="24"/>
          <w:u w:val="single"/>
        </w:rPr>
        <w:t>MATERIALS AND METHODS</w:t>
      </w:r>
    </w:p>
    <w:p w14:paraId="7B77A312" w14:textId="77777777" w:rsidR="00194299" w:rsidRPr="006257CB" w:rsidRDefault="00194299" w:rsidP="006D1F4C">
      <w:pPr>
        <w:snapToGrid w:val="0"/>
        <w:spacing w:line="360" w:lineRule="auto"/>
        <w:rPr>
          <w:rFonts w:ascii="Book Antiqua" w:eastAsia="Arial Unicode MS" w:hAnsi="Book Antiqua"/>
          <w:b/>
          <w:i/>
          <w:iCs/>
          <w:color w:val="000000" w:themeColor="text1"/>
          <w:sz w:val="24"/>
          <w:szCs w:val="24"/>
        </w:rPr>
      </w:pPr>
      <w:r w:rsidRPr="006257CB">
        <w:rPr>
          <w:rFonts w:ascii="Book Antiqua" w:eastAsia="Arial Unicode MS" w:hAnsi="Book Antiqua"/>
          <w:b/>
          <w:i/>
          <w:iCs/>
          <w:color w:val="000000" w:themeColor="text1"/>
          <w:sz w:val="24"/>
          <w:szCs w:val="24"/>
        </w:rPr>
        <w:t>Study design</w:t>
      </w:r>
    </w:p>
    <w:p w14:paraId="37B7DE94" w14:textId="5BADBA89" w:rsidR="00194299" w:rsidRPr="006257CB" w:rsidRDefault="00194299" w:rsidP="006D1F4C">
      <w:pPr>
        <w:snapToGrid w:val="0"/>
        <w:spacing w:line="360" w:lineRule="auto"/>
        <w:rPr>
          <w:rFonts w:ascii="Book Antiqua" w:hAnsi="Book Antiqua"/>
          <w:color w:val="000000" w:themeColor="text1"/>
          <w:kern w:val="0"/>
          <w:sz w:val="24"/>
          <w:szCs w:val="24"/>
        </w:rPr>
      </w:pPr>
      <w:r w:rsidRPr="006257CB">
        <w:rPr>
          <w:rFonts w:ascii="Book Antiqua" w:eastAsia="Arial Unicode MS" w:hAnsi="Book Antiqua"/>
          <w:bCs/>
          <w:color w:val="000000" w:themeColor="text1"/>
          <w:sz w:val="24"/>
          <w:szCs w:val="24"/>
        </w:rPr>
        <w:t xml:space="preserve">This is a single-center, retrospective study conducted at West China </w:t>
      </w:r>
      <w:r w:rsidR="00834E77" w:rsidRPr="006257CB">
        <w:rPr>
          <w:rFonts w:ascii="Book Antiqua" w:eastAsia="Arial Unicode MS" w:hAnsi="Book Antiqua"/>
          <w:bCs/>
          <w:color w:val="000000" w:themeColor="text1"/>
          <w:sz w:val="24"/>
          <w:szCs w:val="24"/>
        </w:rPr>
        <w:t xml:space="preserve">Hospital, </w:t>
      </w:r>
      <w:r w:rsidRPr="006257CB">
        <w:rPr>
          <w:rFonts w:ascii="Book Antiqua" w:eastAsia="Arial Unicode MS" w:hAnsi="Book Antiqua"/>
          <w:bCs/>
          <w:color w:val="000000" w:themeColor="text1"/>
          <w:sz w:val="24"/>
          <w:szCs w:val="24"/>
        </w:rPr>
        <w:t xml:space="preserve">Sichuan University (Chengdu, China). The study protocol was reviewed and </w:t>
      </w:r>
      <w:r w:rsidRPr="006257CB">
        <w:rPr>
          <w:rFonts w:ascii="Book Antiqua" w:eastAsia="Arial Unicode MS" w:hAnsi="Book Antiqua"/>
          <w:bCs/>
          <w:color w:val="000000" w:themeColor="text1"/>
          <w:sz w:val="24"/>
          <w:szCs w:val="24"/>
        </w:rPr>
        <w:lastRenderedPageBreak/>
        <w:t xml:space="preserve">approved by the </w:t>
      </w:r>
      <w:r w:rsidRPr="006257CB">
        <w:rPr>
          <w:rFonts w:ascii="Book Antiqua" w:hAnsi="Book Antiqua"/>
          <w:color w:val="000000" w:themeColor="text1"/>
          <w:sz w:val="24"/>
          <w:szCs w:val="24"/>
        </w:rPr>
        <w:t xml:space="preserve">Ethics Committee of West China Hospital, Sichuan University </w:t>
      </w:r>
      <w:r w:rsidRPr="006257CB">
        <w:rPr>
          <w:rFonts w:ascii="Book Antiqua" w:eastAsia="Arial Unicode MS" w:hAnsi="Book Antiqua"/>
          <w:bCs/>
          <w:color w:val="000000" w:themeColor="text1"/>
          <w:sz w:val="24"/>
          <w:szCs w:val="24"/>
        </w:rPr>
        <w:t>(Chengdu, China)</w:t>
      </w:r>
      <w:r w:rsidRPr="006257CB">
        <w:rPr>
          <w:rFonts w:ascii="Book Antiqua" w:hAnsi="Book Antiqua"/>
          <w:color w:val="000000" w:themeColor="text1"/>
          <w:sz w:val="24"/>
          <w:szCs w:val="24"/>
        </w:rPr>
        <w:t>.</w:t>
      </w:r>
    </w:p>
    <w:p w14:paraId="23E2A31E" w14:textId="77777777" w:rsidR="00194299" w:rsidRPr="006257CB" w:rsidRDefault="00194299" w:rsidP="006D1F4C">
      <w:pPr>
        <w:snapToGrid w:val="0"/>
        <w:spacing w:line="360" w:lineRule="auto"/>
        <w:rPr>
          <w:rFonts w:ascii="Book Antiqua" w:eastAsia="Arial Unicode MS" w:hAnsi="Book Antiqua"/>
          <w:bCs/>
          <w:color w:val="000000" w:themeColor="text1"/>
          <w:sz w:val="24"/>
          <w:szCs w:val="24"/>
        </w:rPr>
      </w:pPr>
    </w:p>
    <w:p w14:paraId="48987716" w14:textId="77777777" w:rsidR="00194299" w:rsidRPr="006257CB" w:rsidRDefault="00194299" w:rsidP="006D1F4C">
      <w:pPr>
        <w:snapToGrid w:val="0"/>
        <w:spacing w:line="360" w:lineRule="auto"/>
        <w:rPr>
          <w:rFonts w:ascii="Book Antiqua" w:eastAsia="Arial Unicode MS" w:hAnsi="Book Antiqua"/>
          <w:b/>
          <w:i/>
          <w:iCs/>
          <w:color w:val="000000" w:themeColor="text1"/>
          <w:sz w:val="24"/>
          <w:szCs w:val="24"/>
        </w:rPr>
      </w:pPr>
      <w:r w:rsidRPr="006257CB">
        <w:rPr>
          <w:rFonts w:ascii="Book Antiqua" w:eastAsia="Arial Unicode MS" w:hAnsi="Book Antiqua"/>
          <w:b/>
          <w:i/>
          <w:iCs/>
          <w:color w:val="000000" w:themeColor="text1"/>
          <w:sz w:val="24"/>
          <w:szCs w:val="24"/>
        </w:rPr>
        <w:t>Patients</w:t>
      </w:r>
    </w:p>
    <w:p w14:paraId="1C1D61E2" w14:textId="7203EF92"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From November 2004 to November 2018, all patients with suspected small (≤ 20 mm) gastric GIST were retrospectively reviewed at West China Hospital, Sichuan University. The diagnosis of GIST was suspected according to EUS </w:t>
      </w:r>
      <w:proofErr w:type="gramStart"/>
      <w:r w:rsidRPr="006257CB">
        <w:rPr>
          <w:rFonts w:ascii="Book Antiqua" w:eastAsia="Arial Unicode MS" w:hAnsi="Book Antiqua"/>
          <w:color w:val="000000" w:themeColor="text1"/>
          <w:sz w:val="24"/>
          <w:szCs w:val="24"/>
        </w:rPr>
        <w:t>characteristics</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8,9]</w:t>
      </w:r>
      <w:r w:rsidRPr="006257CB">
        <w:rPr>
          <w:rFonts w:ascii="Book Antiqua" w:eastAsia="Arial Unicode MS" w:hAnsi="Book Antiqua"/>
          <w:color w:val="000000" w:themeColor="text1"/>
          <w:sz w:val="24"/>
          <w:szCs w:val="24"/>
        </w:rPr>
        <w:t xml:space="preserve">, which were hypoechoic lesions (with or without homogeneous echo and well-defined margins) from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w:t>
      </w:r>
      <w:proofErr w:type="spellStart"/>
      <w:r w:rsidRPr="006257CB">
        <w:rPr>
          <w:rFonts w:ascii="Book Antiqua" w:eastAsia="Arial Unicode MS" w:hAnsi="Book Antiqua"/>
          <w:color w:val="000000" w:themeColor="text1"/>
          <w:sz w:val="24"/>
          <w:szCs w:val="24"/>
        </w:rPr>
        <w:t>propria</w:t>
      </w:r>
      <w:proofErr w:type="spellEnd"/>
      <w:r w:rsidRPr="006257CB">
        <w:rPr>
          <w:rFonts w:ascii="Book Antiqua" w:eastAsia="Arial Unicode MS" w:hAnsi="Book Antiqua"/>
          <w:color w:val="000000" w:themeColor="text1"/>
          <w:sz w:val="24"/>
          <w:szCs w:val="24"/>
        </w:rPr>
        <w:t xml:space="preserve"> or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mucosa. Patients who underwent endoscopic or surgical resection after initial assessment owing to patients’ demands or high-risk EUS features, or patients who lost follow-up after initial endoscopic assessment were excluded. </w:t>
      </w:r>
    </w:p>
    <w:p w14:paraId="2E40DB3E" w14:textId="77777777"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p>
    <w:p w14:paraId="09279F96" w14:textId="77777777" w:rsidR="00194299" w:rsidRPr="006257CB" w:rsidRDefault="00194299" w:rsidP="006D1F4C">
      <w:pPr>
        <w:widowControl/>
        <w:snapToGrid w:val="0"/>
        <w:spacing w:line="360" w:lineRule="auto"/>
        <w:rPr>
          <w:rFonts w:ascii="Book Antiqua" w:eastAsia="Arial Unicode MS" w:hAnsi="Book Antiqua"/>
          <w:b/>
          <w:i/>
          <w:iCs/>
          <w:color w:val="000000" w:themeColor="text1"/>
          <w:sz w:val="24"/>
          <w:szCs w:val="24"/>
        </w:rPr>
      </w:pPr>
      <w:r w:rsidRPr="006257CB">
        <w:rPr>
          <w:rFonts w:ascii="Book Antiqua" w:eastAsia="Arial Unicode MS" w:hAnsi="Book Antiqua"/>
          <w:b/>
          <w:i/>
          <w:iCs/>
          <w:color w:val="000000" w:themeColor="text1"/>
          <w:sz w:val="24"/>
          <w:szCs w:val="24"/>
        </w:rPr>
        <w:t>Endoscopic assessment</w:t>
      </w:r>
    </w:p>
    <w:p w14:paraId="5021EA99" w14:textId="77777777"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All the examinations were performed by experienced </w:t>
      </w:r>
      <w:proofErr w:type="spellStart"/>
      <w:r w:rsidRPr="006257CB">
        <w:rPr>
          <w:rFonts w:ascii="Book Antiqua" w:eastAsia="Arial Unicode MS" w:hAnsi="Book Antiqua"/>
          <w:color w:val="000000" w:themeColor="text1"/>
          <w:sz w:val="24"/>
          <w:szCs w:val="24"/>
        </w:rPr>
        <w:t>endoscopists</w:t>
      </w:r>
      <w:proofErr w:type="spellEnd"/>
      <w:r w:rsidRPr="006257CB">
        <w:rPr>
          <w:rFonts w:ascii="Book Antiqua" w:eastAsia="Arial Unicode MS" w:hAnsi="Book Antiqua"/>
          <w:color w:val="000000" w:themeColor="text1"/>
          <w:sz w:val="24"/>
          <w:szCs w:val="24"/>
        </w:rPr>
        <w:t xml:space="preserve"> (each with experience of ≥ 1000 endoscopic examinations). </w:t>
      </w:r>
      <w:proofErr w:type="spellStart"/>
      <w:r w:rsidRPr="006257CB">
        <w:rPr>
          <w:rFonts w:ascii="Book Antiqua" w:eastAsia="Arial Unicode MS" w:hAnsi="Book Antiqua"/>
          <w:color w:val="000000" w:themeColor="text1"/>
          <w:sz w:val="24"/>
          <w:szCs w:val="24"/>
        </w:rPr>
        <w:t>Miniprobe</w:t>
      </w:r>
      <w:proofErr w:type="spellEnd"/>
      <w:r w:rsidRPr="006257CB">
        <w:rPr>
          <w:rFonts w:ascii="Book Antiqua" w:eastAsia="Arial Unicode MS" w:hAnsi="Book Antiqua"/>
          <w:color w:val="000000" w:themeColor="text1"/>
          <w:sz w:val="24"/>
          <w:szCs w:val="24"/>
        </w:rPr>
        <w:t xml:space="preserve"> EUS examination was performed on all patients to measure the exact size of lesions and for differential diagnosis. Radial or linear EUS was selected when </w:t>
      </w:r>
      <w:proofErr w:type="spellStart"/>
      <w:r w:rsidRPr="006257CB">
        <w:rPr>
          <w:rFonts w:ascii="Book Antiqua" w:eastAsia="Arial Unicode MS" w:hAnsi="Book Antiqua"/>
          <w:color w:val="000000" w:themeColor="text1"/>
          <w:sz w:val="24"/>
          <w:szCs w:val="24"/>
        </w:rPr>
        <w:t>miniprobe</w:t>
      </w:r>
      <w:proofErr w:type="spellEnd"/>
      <w:r w:rsidRPr="006257CB">
        <w:rPr>
          <w:rFonts w:ascii="Book Antiqua" w:eastAsia="Arial Unicode MS" w:hAnsi="Book Antiqua"/>
          <w:color w:val="000000" w:themeColor="text1"/>
          <w:sz w:val="24"/>
          <w:szCs w:val="24"/>
        </w:rPr>
        <w:t xml:space="preserve"> EUS could not clearly show the details of lesions. High-risk EUS features included irregular border, cystic spaces, ulceration, echogenic foci, and heterogeneity. Specimens were obtained by unroofing biopsy, EUS-guided fine needle aspiration (EUS-FNA), or resection, when lesions increased in size or patients strongly requested. </w:t>
      </w:r>
    </w:p>
    <w:p w14:paraId="4031D6C2" w14:textId="77777777" w:rsidR="00194299" w:rsidRPr="006257CB" w:rsidRDefault="00194299" w:rsidP="006D1F4C">
      <w:pPr>
        <w:widowControl/>
        <w:snapToGrid w:val="0"/>
        <w:spacing w:line="360" w:lineRule="auto"/>
        <w:rPr>
          <w:rFonts w:ascii="Book Antiqua" w:eastAsia="Arial Unicode MS" w:hAnsi="Book Antiqua"/>
          <w:b/>
          <w:bCs/>
          <w:color w:val="000000" w:themeColor="text1"/>
          <w:sz w:val="24"/>
          <w:szCs w:val="24"/>
        </w:rPr>
      </w:pPr>
    </w:p>
    <w:p w14:paraId="5308AEE3" w14:textId="77777777" w:rsidR="00194299" w:rsidRPr="006257CB" w:rsidRDefault="00194299" w:rsidP="006D1F4C">
      <w:pPr>
        <w:widowControl/>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Follow-up</w:t>
      </w:r>
    </w:p>
    <w:p w14:paraId="0F2A0F36" w14:textId="77777777"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Patients with suspected GISTs less than 10 mm in size were recommended to receive endoscopic follow-up every 2 to 3 years, while patients with suspected GISTs of 10-20 mm in size were recommended to undergo endoscopic follow-up every 1 to 2 years. Endoscopic or surgical resection was planned if the </w:t>
      </w:r>
      <w:r w:rsidRPr="006257CB">
        <w:rPr>
          <w:rFonts w:ascii="Book Antiqua" w:eastAsia="Arial Unicode MS" w:hAnsi="Book Antiqua"/>
          <w:color w:val="000000" w:themeColor="text1"/>
          <w:sz w:val="24"/>
          <w:szCs w:val="24"/>
        </w:rPr>
        <w:lastRenderedPageBreak/>
        <w:t>lesion increased in size or became ulcerative, or when the patient strongly refused continual surveillance.</w:t>
      </w:r>
    </w:p>
    <w:p w14:paraId="5B964ECD" w14:textId="77777777" w:rsidR="00194299" w:rsidRPr="006257CB" w:rsidRDefault="00194299" w:rsidP="006D1F4C">
      <w:pPr>
        <w:widowControl/>
        <w:snapToGrid w:val="0"/>
        <w:spacing w:line="360" w:lineRule="auto"/>
        <w:rPr>
          <w:rFonts w:ascii="Book Antiqua" w:eastAsia="Arial Unicode MS" w:hAnsi="Book Antiqua"/>
          <w:b/>
          <w:color w:val="000000" w:themeColor="text1"/>
          <w:sz w:val="24"/>
          <w:szCs w:val="24"/>
        </w:rPr>
      </w:pPr>
    </w:p>
    <w:p w14:paraId="3059F38D" w14:textId="77777777" w:rsidR="00194299" w:rsidRPr="006257CB" w:rsidRDefault="00194299" w:rsidP="006D1F4C">
      <w:pPr>
        <w:widowControl/>
        <w:snapToGrid w:val="0"/>
        <w:spacing w:line="360" w:lineRule="auto"/>
        <w:rPr>
          <w:rFonts w:ascii="Book Antiqua" w:eastAsia="Arial Unicode MS" w:hAnsi="Book Antiqua"/>
          <w:b/>
          <w:i/>
          <w:iCs/>
          <w:color w:val="000000" w:themeColor="text1"/>
          <w:sz w:val="24"/>
          <w:szCs w:val="24"/>
        </w:rPr>
      </w:pPr>
      <w:r w:rsidRPr="006257CB">
        <w:rPr>
          <w:rFonts w:ascii="Book Antiqua" w:eastAsia="Arial Unicode MS" w:hAnsi="Book Antiqua"/>
          <w:b/>
          <w:i/>
          <w:iCs/>
          <w:color w:val="000000" w:themeColor="text1"/>
          <w:sz w:val="24"/>
          <w:szCs w:val="24"/>
        </w:rPr>
        <w:t>Statistical analysis</w:t>
      </w:r>
    </w:p>
    <w:p w14:paraId="05E14357" w14:textId="24ACE35D"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Statistical analysis was performed using SPSS 25.0 software (IBM, Armonk, NY, </w:t>
      </w:r>
      <w:r w:rsidR="008B06D0" w:rsidRPr="006257CB">
        <w:rPr>
          <w:rFonts w:ascii="Book Antiqua" w:eastAsia="Arial Unicode MS" w:hAnsi="Book Antiqua"/>
          <w:color w:val="000000" w:themeColor="text1"/>
          <w:sz w:val="24"/>
          <w:szCs w:val="24"/>
        </w:rPr>
        <w:t>United States</w:t>
      </w:r>
      <w:r w:rsidRPr="006257CB">
        <w:rPr>
          <w:rFonts w:ascii="Book Antiqua" w:eastAsia="Arial Unicode MS" w:hAnsi="Book Antiqua"/>
          <w:color w:val="000000" w:themeColor="text1"/>
          <w:sz w:val="24"/>
          <w:szCs w:val="24"/>
        </w:rPr>
        <w:t xml:space="preserve">). Continuous data were described as mean </w:t>
      </w:r>
      <w:r w:rsidR="004E6F05" w:rsidRPr="006257CB">
        <w:rPr>
          <w:rFonts w:ascii="Book Antiqua" w:eastAsia="Arial Unicode MS" w:hAnsi="Book Antiqua"/>
          <w:color w:val="000000" w:themeColor="text1"/>
          <w:sz w:val="24"/>
          <w:szCs w:val="24"/>
        </w:rPr>
        <w:t>±</w:t>
      </w:r>
      <w:r w:rsidR="004E6F05" w:rsidRPr="006257CB">
        <w:rPr>
          <w:rFonts w:ascii="Book Antiqua" w:eastAsia="Arial Unicode MS" w:hAnsi="Book Antiqua" w:hint="eastAsia"/>
          <w:color w:val="000000" w:themeColor="text1"/>
          <w:sz w:val="24"/>
          <w:szCs w:val="24"/>
        </w:rPr>
        <w:t xml:space="preserve"> </w:t>
      </w:r>
      <w:r w:rsidR="004E6F05" w:rsidRPr="006257CB">
        <w:rPr>
          <w:rFonts w:ascii="Book Antiqua" w:eastAsia="Arial Unicode MS" w:hAnsi="Book Antiqua"/>
          <w:color w:val="000000" w:themeColor="text1"/>
          <w:sz w:val="24"/>
          <w:szCs w:val="24"/>
        </w:rPr>
        <w:t>SD</w:t>
      </w:r>
      <w:r w:rsidRPr="006257CB">
        <w:rPr>
          <w:rFonts w:ascii="Book Antiqua" w:eastAsia="Arial Unicode MS" w:hAnsi="Book Antiqua"/>
          <w:color w:val="000000" w:themeColor="text1"/>
          <w:sz w:val="24"/>
          <w:szCs w:val="24"/>
        </w:rPr>
        <w:t xml:space="preserve">; range or median </w:t>
      </w:r>
      <w:r w:rsidR="008B06D0" w:rsidRPr="006257CB">
        <w:rPr>
          <w:rFonts w:ascii="Book Antiqua" w:eastAsia="Arial Unicode MS" w:hAnsi="Book Antiqua"/>
          <w:color w:val="000000" w:themeColor="text1"/>
          <w:sz w:val="24"/>
          <w:szCs w:val="24"/>
        </w:rPr>
        <w:t>[</w:t>
      </w:r>
      <w:r w:rsidRPr="006257CB">
        <w:rPr>
          <w:rFonts w:ascii="Book Antiqua" w:eastAsia="Arial Unicode MS" w:hAnsi="Book Antiqua"/>
          <w:color w:val="000000" w:themeColor="text1"/>
          <w:sz w:val="24"/>
          <w:szCs w:val="24"/>
        </w:rPr>
        <w:t>interquartile range (IQR); range</w:t>
      </w:r>
      <w:r w:rsidR="008B06D0" w:rsidRPr="006257CB">
        <w:rPr>
          <w:rFonts w:ascii="Book Antiqua" w:eastAsia="Arial Unicode MS" w:hAnsi="Book Antiqua"/>
          <w:color w:val="000000" w:themeColor="text1"/>
          <w:sz w:val="24"/>
          <w:szCs w:val="24"/>
        </w:rPr>
        <w:t>]</w:t>
      </w:r>
      <w:r w:rsidRPr="006257CB">
        <w:rPr>
          <w:rFonts w:ascii="Book Antiqua" w:eastAsia="Arial Unicode MS" w:hAnsi="Book Antiqua"/>
          <w:color w:val="000000" w:themeColor="text1"/>
          <w:sz w:val="24"/>
          <w:szCs w:val="24"/>
        </w:rPr>
        <w:t xml:space="preserve"> according to their distribution. Categorical data were described as rate or proportion. The Student’s </w:t>
      </w:r>
      <w:r w:rsidRPr="006257CB">
        <w:rPr>
          <w:rFonts w:ascii="Book Antiqua" w:eastAsia="Arial Unicode MS" w:hAnsi="Book Antiqua"/>
          <w:i/>
          <w:iCs/>
          <w:color w:val="000000" w:themeColor="text1"/>
          <w:sz w:val="24"/>
          <w:szCs w:val="24"/>
        </w:rPr>
        <w:t>t</w:t>
      </w:r>
      <w:r w:rsidRPr="006257CB">
        <w:rPr>
          <w:rFonts w:ascii="Book Antiqua" w:eastAsia="Arial Unicode MS" w:hAnsi="Book Antiqua"/>
          <w:color w:val="000000" w:themeColor="text1"/>
          <w:sz w:val="24"/>
          <w:szCs w:val="24"/>
        </w:rPr>
        <w:t xml:space="preserve">-test, the Mann–Whitney </w:t>
      </w:r>
      <w:r w:rsidRPr="006257CB">
        <w:rPr>
          <w:rFonts w:ascii="Book Antiqua" w:eastAsia="Arial Unicode MS" w:hAnsi="Book Antiqua"/>
          <w:i/>
          <w:color w:val="000000" w:themeColor="text1"/>
          <w:sz w:val="24"/>
          <w:szCs w:val="24"/>
        </w:rPr>
        <w:t>U</w:t>
      </w:r>
      <w:r w:rsidRPr="006257CB">
        <w:rPr>
          <w:rFonts w:ascii="Book Antiqua" w:eastAsia="Arial Unicode MS" w:hAnsi="Book Antiqua"/>
          <w:color w:val="000000" w:themeColor="text1"/>
          <w:sz w:val="24"/>
          <w:szCs w:val="24"/>
        </w:rPr>
        <w:t xml:space="preserve"> test, the </w:t>
      </w:r>
      <w:r w:rsidR="006D1F4C" w:rsidRPr="006257CB">
        <w:rPr>
          <w:rFonts w:ascii="Book Antiqua" w:eastAsia="MingLiU" w:hAnsi="Book Antiqua" w:cs="Arial"/>
          <w:i/>
          <w:sz w:val="24"/>
          <w:szCs w:val="24"/>
        </w:rPr>
        <w:sym w:font="Symbol" w:char="F063"/>
      </w:r>
      <w:r w:rsidR="006D1F4C" w:rsidRPr="006257CB">
        <w:rPr>
          <w:rFonts w:ascii="Book Antiqua" w:hAnsi="Book Antiqua" w:cs="Arial"/>
          <w:i/>
          <w:iCs/>
          <w:sz w:val="24"/>
          <w:szCs w:val="24"/>
          <w:vertAlign w:val="superscript"/>
        </w:rPr>
        <w:t>2</w:t>
      </w:r>
      <w:r w:rsidRPr="006257CB">
        <w:rPr>
          <w:rFonts w:ascii="Book Antiqua" w:eastAsia="Arial Unicode MS" w:hAnsi="Book Antiqua"/>
          <w:color w:val="000000" w:themeColor="text1"/>
          <w:sz w:val="24"/>
          <w:szCs w:val="24"/>
        </w:rPr>
        <w:t xml:space="preserve"> test, or Fisher’s exact test was used accordingly. </w:t>
      </w:r>
      <w:r w:rsidRPr="006257CB">
        <w:rPr>
          <w:rFonts w:ascii="Book Antiqua" w:eastAsia="Arial Unicode MS" w:hAnsi="Book Antiqua"/>
          <w:i/>
          <w:iCs/>
          <w:color w:val="000000" w:themeColor="text1"/>
          <w:sz w:val="24"/>
          <w:szCs w:val="24"/>
        </w:rPr>
        <w:t xml:space="preserve">P </w:t>
      </w:r>
      <w:r w:rsidRPr="006257CB">
        <w:rPr>
          <w:rFonts w:ascii="Book Antiqua" w:eastAsia="Arial Unicode MS" w:hAnsi="Book Antiqua"/>
          <w:color w:val="000000" w:themeColor="text1"/>
          <w:sz w:val="24"/>
          <w:szCs w:val="24"/>
        </w:rPr>
        <w:t>&lt; 0.05 was considered statistically significant.</w:t>
      </w:r>
    </w:p>
    <w:p w14:paraId="2DE10F4A" w14:textId="77777777" w:rsidR="00194299" w:rsidRPr="006257CB" w:rsidRDefault="00194299" w:rsidP="006D1F4C">
      <w:pPr>
        <w:widowControl/>
        <w:snapToGrid w:val="0"/>
        <w:spacing w:line="360" w:lineRule="auto"/>
        <w:rPr>
          <w:rFonts w:ascii="Book Antiqua" w:eastAsia="Arial Unicode MS" w:hAnsi="Book Antiqua"/>
          <w:color w:val="000000" w:themeColor="text1"/>
          <w:sz w:val="24"/>
          <w:szCs w:val="24"/>
        </w:rPr>
      </w:pPr>
    </w:p>
    <w:p w14:paraId="78D47A56" w14:textId="77777777" w:rsidR="00377C2C" w:rsidRPr="006257CB" w:rsidRDefault="00377C2C" w:rsidP="006D1F4C">
      <w:pPr>
        <w:adjustRightInd w:val="0"/>
        <w:snapToGrid w:val="0"/>
        <w:spacing w:line="360" w:lineRule="auto"/>
        <w:rPr>
          <w:rFonts w:ascii="Book Antiqua" w:hAnsi="Book Antiqua"/>
          <w:b/>
          <w:sz w:val="24"/>
          <w:szCs w:val="24"/>
          <w:u w:val="single"/>
        </w:rPr>
      </w:pPr>
      <w:r w:rsidRPr="006257CB">
        <w:rPr>
          <w:rFonts w:ascii="Book Antiqua" w:hAnsi="Book Antiqua"/>
          <w:b/>
          <w:sz w:val="24"/>
          <w:szCs w:val="24"/>
          <w:u w:val="single"/>
        </w:rPr>
        <w:t>RESULTS</w:t>
      </w:r>
    </w:p>
    <w:p w14:paraId="5A71595C" w14:textId="77777777" w:rsidR="00194299" w:rsidRPr="006257CB" w:rsidRDefault="00194299"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Patients’ baseline characteristics</w:t>
      </w:r>
    </w:p>
    <w:p w14:paraId="497DFB08" w14:textId="79AF41CA"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A total of 448 patients with 475 suspected small (≤ 20 mm) gastric GIST</w:t>
      </w:r>
      <w:r w:rsidR="00777CCB" w:rsidRPr="006257CB">
        <w:rPr>
          <w:rFonts w:ascii="Book Antiqua" w:eastAsia="Arial Unicode MS" w:hAnsi="Book Antiqua"/>
          <w:color w:val="000000" w:themeColor="text1"/>
          <w:sz w:val="24"/>
          <w:szCs w:val="24"/>
        </w:rPr>
        <w:t>s</w:t>
      </w:r>
      <w:r w:rsidRPr="006257CB">
        <w:rPr>
          <w:rFonts w:ascii="Book Antiqua" w:eastAsia="Arial Unicode MS" w:hAnsi="Book Antiqua"/>
          <w:color w:val="000000" w:themeColor="text1"/>
          <w:sz w:val="24"/>
          <w:szCs w:val="24"/>
        </w:rPr>
        <w:t xml:space="preserve"> were retrospectively reviewed, and 383 patients with 410 lesions were eligible for final analysis (Fig</w:t>
      </w:r>
      <w:r w:rsidR="008B06D0" w:rsidRPr="006257CB">
        <w:rPr>
          <w:rFonts w:ascii="Book Antiqua" w:eastAsia="Arial Unicode MS" w:hAnsi="Book Antiqua"/>
          <w:color w:val="000000" w:themeColor="text1"/>
          <w:sz w:val="24"/>
          <w:szCs w:val="24"/>
        </w:rPr>
        <w:t>ure</w:t>
      </w:r>
      <w:r w:rsidRPr="006257CB">
        <w:rPr>
          <w:rFonts w:ascii="Book Antiqua" w:eastAsia="Arial Unicode MS" w:hAnsi="Book Antiqua"/>
          <w:color w:val="000000" w:themeColor="text1"/>
          <w:sz w:val="24"/>
          <w:szCs w:val="24"/>
        </w:rPr>
        <w:t xml:space="preserve"> 1 and Table 1). The mean age of the 383 patients was 54 years (SD, 10; range, 23-80), and the male-to-female ratio was 1:2.2 (121/262). The majority of patients (94.5%, 362/383) had a single lesion, 16 patients (4.2%) had 2 lesions, 4 patients (1.0%) had 3 lesions, and 1 patient (0.3%) had 4 lesions. The median initial size of these lesions was 7 mm (IQR, 6-10; range, 3-20). The most common location was gastric fundus [232 lesions (56.6%)], followed by body [119 lesions (29.0%)], cardia [50 lesions (12.2%)], and antrum [9 lesions (2.2%)].</w:t>
      </w:r>
    </w:p>
    <w:p w14:paraId="01144F3B" w14:textId="77777777"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Specimens were obtained from 45 of 410 lesions, by unroofing biopsy in 1 lesion, EUS-FNA in 1, endoscopic resection in 29, and surgical resection in 14.</w:t>
      </w:r>
    </w:p>
    <w:p w14:paraId="03303E70" w14:textId="77777777"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Final diagnosis was made in all the 45 patients, including 39 GISTs and 6 leiomyomas. </w:t>
      </w:r>
    </w:p>
    <w:p w14:paraId="6CD80469" w14:textId="77777777" w:rsidR="00194299" w:rsidRPr="006257CB" w:rsidRDefault="00194299" w:rsidP="006D1F4C">
      <w:pPr>
        <w:snapToGrid w:val="0"/>
        <w:spacing w:line="360" w:lineRule="auto"/>
        <w:rPr>
          <w:rFonts w:ascii="Book Antiqua" w:eastAsia="Arial Unicode MS" w:hAnsi="Book Antiqua"/>
          <w:color w:val="000000" w:themeColor="text1"/>
          <w:sz w:val="24"/>
          <w:szCs w:val="24"/>
        </w:rPr>
      </w:pPr>
    </w:p>
    <w:p w14:paraId="362E1E8D" w14:textId="77777777" w:rsidR="00194299" w:rsidRPr="006257CB" w:rsidRDefault="00194299"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Clinical course</w:t>
      </w:r>
    </w:p>
    <w:p w14:paraId="2256CFD5" w14:textId="537BD76C"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During a median follow-up of 28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(IQR, 16-48; range, 3-156), 402 lesions (98.0%) showed no changes in size, and size of 8 lesions (2.0%) was increased </w:t>
      </w:r>
      <w:r w:rsidRPr="006257CB">
        <w:rPr>
          <w:rFonts w:ascii="Book Antiqua" w:eastAsia="Arial Unicode MS" w:hAnsi="Book Antiqua"/>
          <w:color w:val="000000" w:themeColor="text1"/>
          <w:sz w:val="24"/>
          <w:szCs w:val="24"/>
        </w:rPr>
        <w:lastRenderedPageBreak/>
        <w:t xml:space="preserve">(mean increment was 10 mm; SD, 3; range, 7-14) (Table 1). </w:t>
      </w:r>
    </w:p>
    <w:p w14:paraId="776FD23A" w14:textId="28ACB7C5"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Of these 8 lesions with increased size, endoscopic or surgical resection was performed in 6 patients, which revealed 5 GISTs (3 with low risk of malignancy, and 2 with intermediate risk of malignancy) and 1 leiomyoma. For other 2 remaining patients, unroofing biopsy or EUS-FNA was conducted, while no further change in size was noted over a period of 62-64 </w:t>
      </w:r>
      <w:proofErr w:type="spellStart"/>
      <w:proofErr w:type="gramStart"/>
      <w:r w:rsidRPr="006257CB">
        <w:rPr>
          <w:rFonts w:ascii="Book Antiqua" w:eastAsia="Arial Unicode MS" w:hAnsi="Book Antiqua"/>
          <w:color w:val="000000" w:themeColor="text1"/>
          <w:sz w:val="24"/>
          <w:szCs w:val="24"/>
        </w:rPr>
        <w:t>mo</w:t>
      </w:r>
      <w:proofErr w:type="spellEnd"/>
      <w:proofErr w:type="gramEnd"/>
      <w:r w:rsidRPr="006257CB">
        <w:rPr>
          <w:rFonts w:ascii="Book Antiqua" w:eastAsia="Arial Unicode MS" w:hAnsi="Book Antiqua"/>
          <w:color w:val="000000" w:themeColor="text1"/>
          <w:sz w:val="24"/>
          <w:szCs w:val="24"/>
        </w:rPr>
        <w:t xml:space="preserve"> (Fig</w:t>
      </w:r>
      <w:r w:rsidR="008B06D0" w:rsidRPr="006257CB">
        <w:rPr>
          <w:rFonts w:ascii="Book Antiqua" w:eastAsia="Arial Unicode MS" w:hAnsi="Book Antiqua"/>
          <w:color w:val="000000" w:themeColor="text1"/>
          <w:sz w:val="24"/>
          <w:szCs w:val="24"/>
        </w:rPr>
        <w:t>ure</w:t>
      </w:r>
      <w:r w:rsidRPr="006257CB">
        <w:rPr>
          <w:rFonts w:ascii="Book Antiqua" w:eastAsia="Arial Unicode MS" w:hAnsi="Book Antiqua"/>
          <w:color w:val="000000" w:themeColor="text1"/>
          <w:sz w:val="24"/>
          <w:szCs w:val="24"/>
        </w:rPr>
        <w:t xml:space="preserve"> 2).</w:t>
      </w:r>
    </w:p>
    <w:p w14:paraId="17E0EF96" w14:textId="77777777" w:rsidR="00194299" w:rsidRPr="006257CB" w:rsidRDefault="00194299" w:rsidP="006D1F4C">
      <w:pPr>
        <w:snapToGrid w:val="0"/>
        <w:spacing w:line="360" w:lineRule="auto"/>
        <w:rPr>
          <w:rFonts w:ascii="Book Antiqua" w:eastAsia="Arial Unicode MS" w:hAnsi="Book Antiqua"/>
          <w:color w:val="000000" w:themeColor="text1"/>
          <w:sz w:val="24"/>
          <w:szCs w:val="24"/>
        </w:rPr>
      </w:pPr>
    </w:p>
    <w:p w14:paraId="0F2B5C02" w14:textId="77777777" w:rsidR="00377C2C" w:rsidRPr="006257CB" w:rsidRDefault="00377C2C" w:rsidP="006D1F4C">
      <w:pPr>
        <w:adjustRightInd w:val="0"/>
        <w:snapToGrid w:val="0"/>
        <w:spacing w:line="360" w:lineRule="auto"/>
        <w:rPr>
          <w:rFonts w:ascii="Book Antiqua" w:hAnsi="Book Antiqua"/>
          <w:b/>
          <w:sz w:val="24"/>
          <w:szCs w:val="24"/>
          <w:u w:val="single"/>
        </w:rPr>
      </w:pPr>
      <w:r w:rsidRPr="006257CB">
        <w:rPr>
          <w:rFonts w:ascii="Book Antiqua" w:hAnsi="Book Antiqua"/>
          <w:b/>
          <w:sz w:val="24"/>
          <w:szCs w:val="24"/>
          <w:u w:val="single"/>
        </w:rPr>
        <w:t>DISCUSSION</w:t>
      </w:r>
    </w:p>
    <w:p w14:paraId="5350DDC3" w14:textId="65FDC297" w:rsidR="00194299"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In the present study, we found that there was no size increment in the majority of small (≤ 20 mm) suspected gastric GISTs (98.0%, 402/410), and the size of only 8 lesions (2.0%) was increased during a median follow-up of 28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(IQR, 16-48; range, 3-156). Our findings are consistent with those reported </w:t>
      </w:r>
      <w:proofErr w:type="gramStart"/>
      <w:r w:rsidRPr="006257CB">
        <w:rPr>
          <w:rFonts w:ascii="Book Antiqua" w:eastAsia="Arial Unicode MS" w:hAnsi="Book Antiqua"/>
          <w:color w:val="000000" w:themeColor="text1"/>
          <w:sz w:val="24"/>
          <w:szCs w:val="24"/>
        </w:rPr>
        <w:t>previously</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5,6,10]</w:t>
      </w:r>
      <w:r w:rsidRPr="006257CB">
        <w:rPr>
          <w:rFonts w:ascii="Book Antiqua" w:eastAsia="Arial Unicode MS" w:hAnsi="Book Antiqua"/>
          <w:color w:val="000000" w:themeColor="text1"/>
          <w:sz w:val="24"/>
          <w:szCs w:val="24"/>
        </w:rPr>
        <w:t xml:space="preserve">. </w:t>
      </w:r>
      <w:proofErr w:type="spellStart"/>
      <w:r w:rsidRPr="006257CB">
        <w:rPr>
          <w:rFonts w:ascii="Book Antiqua" w:eastAsia="Arial Unicode MS" w:hAnsi="Book Antiqua"/>
          <w:color w:val="000000" w:themeColor="text1"/>
          <w:sz w:val="24"/>
          <w:szCs w:val="24"/>
        </w:rPr>
        <w:t>Imaoka</w:t>
      </w:r>
      <w:proofErr w:type="spellEnd"/>
      <w:r w:rsidRPr="006257CB">
        <w:rPr>
          <w:rFonts w:ascii="Book Antiqua" w:eastAsia="Arial Unicode MS" w:hAnsi="Book Antiqua"/>
          <w:color w:val="000000" w:themeColor="text1"/>
          <w:sz w:val="24"/>
          <w:szCs w:val="24"/>
        </w:rPr>
        <w:t xml:space="preserve"> </w:t>
      </w:r>
      <w:r w:rsidRPr="006257CB">
        <w:rPr>
          <w:rFonts w:ascii="Book Antiqua" w:eastAsia="Arial Unicode MS" w:hAnsi="Book Antiqua"/>
          <w:i/>
          <w:iCs/>
          <w:color w:val="000000" w:themeColor="text1"/>
          <w:sz w:val="24"/>
          <w:szCs w:val="24"/>
        </w:rPr>
        <w:t xml:space="preserve">et </w:t>
      </w:r>
      <w:proofErr w:type="gramStart"/>
      <w:r w:rsidRPr="006257CB">
        <w:rPr>
          <w:rFonts w:ascii="Book Antiqua" w:eastAsia="Arial Unicode MS" w:hAnsi="Book Antiqua"/>
          <w:i/>
          <w:iCs/>
          <w:color w:val="000000" w:themeColor="text1"/>
          <w:sz w:val="24"/>
          <w:szCs w:val="24"/>
        </w:rPr>
        <w:t>al</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5]</w:t>
      </w:r>
      <w:r w:rsidRPr="006257CB">
        <w:rPr>
          <w:rFonts w:ascii="Book Antiqua" w:eastAsia="Arial Unicode MS" w:hAnsi="Book Antiqua"/>
          <w:color w:val="000000" w:themeColor="text1"/>
          <w:sz w:val="24"/>
          <w:szCs w:val="24"/>
        </w:rPr>
        <w:t xml:space="preserve"> showed that only 2 of 132 subepithelial lesions of the stomach (1.51%) had size increment during 5 years of endoscopic follow-up. Kim </w:t>
      </w:r>
      <w:r w:rsidRPr="006257CB">
        <w:rPr>
          <w:rFonts w:ascii="Book Antiqua" w:eastAsia="Arial Unicode MS" w:hAnsi="Book Antiqua"/>
          <w:i/>
          <w:iCs/>
          <w:color w:val="000000" w:themeColor="text1"/>
          <w:sz w:val="24"/>
          <w:szCs w:val="24"/>
        </w:rPr>
        <w:t>et al</w:t>
      </w:r>
      <w:r w:rsidRPr="006257CB">
        <w:rPr>
          <w:rFonts w:ascii="Book Antiqua" w:eastAsia="Arial Unicode MS" w:hAnsi="Book Antiqua"/>
          <w:color w:val="000000" w:themeColor="text1"/>
          <w:sz w:val="24"/>
          <w:szCs w:val="24"/>
          <w:vertAlign w:val="superscript"/>
        </w:rPr>
        <w:t>[6]</w:t>
      </w:r>
      <w:r w:rsidRPr="006257CB">
        <w:rPr>
          <w:rFonts w:ascii="Book Antiqua" w:eastAsia="Arial Unicode MS" w:hAnsi="Book Antiqua"/>
          <w:color w:val="000000" w:themeColor="text1"/>
          <w:sz w:val="24"/>
          <w:szCs w:val="24"/>
        </w:rPr>
        <w:t xml:space="preserve"> followed-up 989 subepithelial lesions of the stomach (≤ 30 mm) over a median period of 24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(range, 3-123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and noted that only 81 tumors (8.19%) had significant increment in size. Song </w:t>
      </w:r>
      <w:r w:rsidRPr="006257CB">
        <w:rPr>
          <w:rFonts w:ascii="Book Antiqua" w:eastAsia="Arial Unicode MS" w:hAnsi="Book Antiqua"/>
          <w:i/>
          <w:iCs/>
          <w:color w:val="000000" w:themeColor="text1"/>
          <w:sz w:val="24"/>
          <w:szCs w:val="24"/>
        </w:rPr>
        <w:t xml:space="preserve">et </w:t>
      </w:r>
      <w:proofErr w:type="gramStart"/>
      <w:r w:rsidRPr="006257CB">
        <w:rPr>
          <w:rFonts w:ascii="Book Antiqua" w:eastAsia="Arial Unicode MS" w:hAnsi="Book Antiqua"/>
          <w:i/>
          <w:iCs/>
          <w:color w:val="000000" w:themeColor="text1"/>
          <w:sz w:val="24"/>
          <w:szCs w:val="24"/>
        </w:rPr>
        <w:t>al</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10]</w:t>
      </w:r>
      <w:r w:rsidRPr="006257CB">
        <w:rPr>
          <w:rFonts w:ascii="Book Antiqua" w:eastAsia="Arial Unicode MS" w:hAnsi="Book Antiqua"/>
          <w:color w:val="000000" w:themeColor="text1"/>
          <w:sz w:val="24"/>
          <w:szCs w:val="24"/>
        </w:rPr>
        <w:t xml:space="preserve"> also reported no size increment in 613 of 640 small (≤ 35 mm) subepithelial lesions of the upper gastrointestinal tract (95.78%) over a mean follow-up of 47.3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(range, 6-118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The difference between these reports and the present study is related to the definition of small lesions. We defined small lesions as lesions ≤ 20 mm in size, since lesions larger than 20 mm are commonly recommended to undergo resection, and lesions with size of ≤ 20 mm are taken as very low risk of </w:t>
      </w:r>
      <w:proofErr w:type="gramStart"/>
      <w:r w:rsidRPr="006257CB">
        <w:rPr>
          <w:rFonts w:ascii="Book Antiqua" w:eastAsia="Arial Unicode MS" w:hAnsi="Book Antiqua"/>
          <w:color w:val="000000" w:themeColor="text1"/>
          <w:sz w:val="24"/>
          <w:szCs w:val="24"/>
        </w:rPr>
        <w:t>recurrence</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4]</w:t>
      </w:r>
      <w:r w:rsidRPr="006257CB">
        <w:rPr>
          <w:rFonts w:ascii="Book Antiqua" w:eastAsia="Arial Unicode MS" w:hAnsi="Book Antiqua"/>
          <w:color w:val="000000" w:themeColor="text1"/>
          <w:sz w:val="24"/>
          <w:szCs w:val="24"/>
        </w:rPr>
        <w:t>, which seems to be more reasonable. The current study provided further evidence that the majority of small (≤</w:t>
      </w:r>
      <w:r w:rsidR="008B06D0" w:rsidRPr="006257CB">
        <w:rPr>
          <w:rFonts w:ascii="Book Antiqua" w:eastAsia="Arial Unicode MS" w:hAnsi="Book Antiqua"/>
          <w:color w:val="000000" w:themeColor="text1"/>
          <w:sz w:val="24"/>
          <w:szCs w:val="24"/>
        </w:rPr>
        <w:t xml:space="preserve"> </w:t>
      </w:r>
      <w:r w:rsidRPr="006257CB">
        <w:rPr>
          <w:rFonts w:ascii="Book Antiqua" w:eastAsia="Arial Unicode MS" w:hAnsi="Book Antiqua"/>
          <w:color w:val="000000" w:themeColor="text1"/>
          <w:sz w:val="24"/>
          <w:szCs w:val="24"/>
        </w:rPr>
        <w:t>20 mm in size) suspected gastric GISTs remained stable during follow-up, and periodic surveillance without pathological diagnosis was found to be reasonable.</w:t>
      </w:r>
    </w:p>
    <w:p w14:paraId="3923AF7D" w14:textId="4CB9EEED"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It is also highly important to indicate optimal follow-up interval for such suspected small gastric GISTs. Recommendations from different countries and associations were found remarkably </w:t>
      </w:r>
      <w:proofErr w:type="gramStart"/>
      <w:r w:rsidRPr="006257CB">
        <w:rPr>
          <w:rFonts w:ascii="Book Antiqua" w:eastAsia="Arial Unicode MS" w:hAnsi="Book Antiqua"/>
          <w:color w:val="000000" w:themeColor="text1"/>
          <w:sz w:val="24"/>
          <w:szCs w:val="24"/>
        </w:rPr>
        <w:t>different</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2,4,7]</w:t>
      </w:r>
      <w:r w:rsidRPr="006257CB">
        <w:rPr>
          <w:rFonts w:ascii="Book Antiqua" w:eastAsia="Arial Unicode MS" w:hAnsi="Book Antiqua"/>
          <w:color w:val="000000" w:themeColor="text1"/>
          <w:sz w:val="24"/>
          <w:szCs w:val="24"/>
        </w:rPr>
        <w:t xml:space="preserve">. The European Society for Medical Oncology and the European Society of Gastrointestinal </w:t>
      </w:r>
      <w:r w:rsidRPr="006257CB">
        <w:rPr>
          <w:rFonts w:ascii="Book Antiqua" w:eastAsia="Arial Unicode MS" w:hAnsi="Book Antiqua"/>
          <w:color w:val="000000" w:themeColor="text1"/>
          <w:sz w:val="24"/>
          <w:szCs w:val="24"/>
        </w:rPr>
        <w:lastRenderedPageBreak/>
        <w:t xml:space="preserve">Endoscopy suggested initial EUS after 3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of detection, and then annual follow-up; the National Comprehensive Cancer Network highly recommended 6-12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of follow-up interval; the Japan Gastroenterological Endoscopy Society demonstrated that 1-2 years of follow-up interval is enough for such small lesions; the recently published French guideline recommended EUS follow-up at 6 and 18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and then every 2 years. However, as shown in Table 1, lesions with larger initial size may be more likely to increase during follow-up. Such phenomenon has already been reported by Kim </w:t>
      </w:r>
      <w:r w:rsidRPr="006257CB">
        <w:rPr>
          <w:rFonts w:ascii="Book Antiqua" w:eastAsia="Arial Unicode MS" w:hAnsi="Book Antiqua"/>
          <w:i/>
          <w:iCs/>
          <w:color w:val="000000" w:themeColor="text1"/>
          <w:sz w:val="24"/>
          <w:szCs w:val="24"/>
        </w:rPr>
        <w:t xml:space="preserve">et </w:t>
      </w:r>
      <w:proofErr w:type="gramStart"/>
      <w:r w:rsidRPr="006257CB">
        <w:rPr>
          <w:rFonts w:ascii="Book Antiqua" w:eastAsia="Arial Unicode MS" w:hAnsi="Book Antiqua"/>
          <w:i/>
          <w:iCs/>
          <w:color w:val="000000" w:themeColor="text1"/>
          <w:sz w:val="24"/>
          <w:szCs w:val="24"/>
        </w:rPr>
        <w:t>al</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6]</w:t>
      </w:r>
      <w:r w:rsidRPr="006257CB">
        <w:rPr>
          <w:rFonts w:ascii="Book Antiqua" w:eastAsia="Arial Unicode MS" w:hAnsi="Book Antiqua"/>
          <w:color w:val="000000" w:themeColor="text1"/>
          <w:sz w:val="24"/>
          <w:szCs w:val="24"/>
        </w:rPr>
        <w:t xml:space="preserve"> and Song </w:t>
      </w:r>
      <w:r w:rsidRPr="006257CB">
        <w:rPr>
          <w:rFonts w:ascii="Book Antiqua" w:eastAsia="Arial Unicode MS" w:hAnsi="Book Antiqua"/>
          <w:i/>
          <w:iCs/>
          <w:color w:val="000000" w:themeColor="text1"/>
          <w:sz w:val="24"/>
          <w:szCs w:val="24"/>
        </w:rPr>
        <w:t>et al</w:t>
      </w:r>
      <w:r w:rsidRPr="006257CB">
        <w:rPr>
          <w:rFonts w:ascii="Book Antiqua" w:eastAsia="Arial Unicode MS" w:hAnsi="Book Antiqua"/>
          <w:color w:val="000000" w:themeColor="text1"/>
          <w:sz w:val="24"/>
          <w:szCs w:val="24"/>
          <w:vertAlign w:val="superscript"/>
        </w:rPr>
        <w:t>[10]</w:t>
      </w:r>
      <w:r w:rsidRPr="006257CB">
        <w:rPr>
          <w:rFonts w:ascii="Book Antiqua" w:eastAsia="Arial Unicode MS" w:hAnsi="Book Antiqua"/>
          <w:color w:val="000000" w:themeColor="text1"/>
          <w:sz w:val="24"/>
          <w:szCs w:val="24"/>
        </w:rPr>
        <w:t xml:space="preserve">. Therefore, from economic point of view, we suggested that different follow-up intervals may be better for lesions with different initial sizes. Our strategy that 2- to 3-year interval for lesions less than 10 mm and 1- to 2-year interval for lesions with size of 10-20 </w:t>
      </w:r>
      <w:proofErr w:type="gramStart"/>
      <w:r w:rsidRPr="006257CB">
        <w:rPr>
          <w:rFonts w:ascii="Book Antiqua" w:eastAsia="Arial Unicode MS" w:hAnsi="Book Antiqua"/>
          <w:color w:val="000000" w:themeColor="text1"/>
          <w:sz w:val="24"/>
          <w:szCs w:val="24"/>
        </w:rPr>
        <w:t>mm,</w:t>
      </w:r>
      <w:proofErr w:type="gramEnd"/>
      <w:r w:rsidRPr="006257CB">
        <w:rPr>
          <w:rFonts w:ascii="Book Antiqua" w:eastAsia="Arial Unicode MS" w:hAnsi="Book Antiqua"/>
          <w:color w:val="000000" w:themeColor="text1"/>
          <w:sz w:val="24"/>
          <w:szCs w:val="24"/>
        </w:rPr>
        <w:t xml:space="preserve"> seems to be advisable. </w:t>
      </w:r>
    </w:p>
    <w:p w14:paraId="68139CE4" w14:textId="1753B10F"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In the present study, all the patients underwent initial and follow-up EUS for lesion assessment. Although EUS has been suggested as the gold-standard in distinguishing intramural lesions from extramural compression, its role in determining lesions with size of less than 10 mm is limited</w:t>
      </w:r>
      <w:r w:rsidRPr="006257CB">
        <w:rPr>
          <w:rFonts w:ascii="Book Antiqua" w:eastAsia="Arial Unicode MS" w:hAnsi="Book Antiqua"/>
          <w:color w:val="000000" w:themeColor="text1"/>
          <w:sz w:val="24"/>
          <w:szCs w:val="24"/>
          <w:vertAlign w:val="superscript"/>
        </w:rPr>
        <w:t>[11-13]</w:t>
      </w:r>
      <w:r w:rsidRPr="006257CB">
        <w:rPr>
          <w:rFonts w:ascii="Book Antiqua" w:eastAsia="Arial Unicode MS" w:hAnsi="Book Antiqua"/>
          <w:color w:val="000000" w:themeColor="text1"/>
          <w:sz w:val="24"/>
          <w:szCs w:val="24"/>
        </w:rPr>
        <w:t>. Considering that exophytic</w:t>
      </w:r>
      <w:r w:rsidRPr="006257CB">
        <w:rPr>
          <w:rFonts w:ascii="Book Antiqua" w:hAnsi="Book Antiqua"/>
          <w:b/>
          <w:bCs/>
          <w:color w:val="000000" w:themeColor="text1"/>
          <w:sz w:val="24"/>
          <w:szCs w:val="24"/>
          <w:shd w:val="clear" w:color="auto" w:fill="FCFCFE"/>
        </w:rPr>
        <w:t xml:space="preserve"> </w:t>
      </w:r>
      <w:r w:rsidRPr="006257CB">
        <w:rPr>
          <w:rFonts w:ascii="Book Antiqua" w:eastAsia="Arial Unicode MS" w:hAnsi="Book Antiqua"/>
          <w:color w:val="000000" w:themeColor="text1"/>
          <w:sz w:val="24"/>
          <w:szCs w:val="24"/>
        </w:rPr>
        <w:t>lesions may be underestimated under endoscopic view, initial EUS assessment regardless of lesion size seems to be reasonable, while routine EUS follow-up should not be used despite patients’ preference.</w:t>
      </w:r>
    </w:p>
    <w:p w14:paraId="0E557FEA" w14:textId="22F7C583"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We also demonstrated that lesions with size increment did not increase constantly over time (Fig</w:t>
      </w:r>
      <w:r w:rsidR="008B06D0" w:rsidRPr="006257CB">
        <w:rPr>
          <w:rFonts w:ascii="Book Antiqua" w:eastAsia="Arial Unicode MS" w:hAnsi="Book Antiqua"/>
          <w:color w:val="000000" w:themeColor="text1"/>
          <w:sz w:val="24"/>
          <w:szCs w:val="24"/>
        </w:rPr>
        <w:t>ure</w:t>
      </w:r>
      <w:r w:rsidRPr="006257CB">
        <w:rPr>
          <w:rFonts w:ascii="Book Antiqua" w:eastAsia="Arial Unicode MS" w:hAnsi="Book Antiqua"/>
          <w:color w:val="000000" w:themeColor="text1"/>
          <w:sz w:val="24"/>
          <w:szCs w:val="24"/>
        </w:rPr>
        <w:t xml:space="preserve"> 2). In 2010, Lim </w:t>
      </w:r>
      <w:r w:rsidRPr="006257CB">
        <w:rPr>
          <w:rFonts w:ascii="Book Antiqua" w:eastAsia="Arial Unicode MS" w:hAnsi="Book Antiqua"/>
          <w:i/>
          <w:iCs/>
          <w:color w:val="000000" w:themeColor="text1"/>
          <w:sz w:val="24"/>
          <w:szCs w:val="24"/>
        </w:rPr>
        <w:t xml:space="preserve">et </w:t>
      </w:r>
      <w:proofErr w:type="gramStart"/>
      <w:r w:rsidRPr="006257CB">
        <w:rPr>
          <w:rFonts w:ascii="Book Antiqua" w:eastAsia="Arial Unicode MS" w:hAnsi="Book Antiqua"/>
          <w:i/>
          <w:iCs/>
          <w:color w:val="000000" w:themeColor="text1"/>
          <w:sz w:val="24"/>
          <w:szCs w:val="24"/>
        </w:rPr>
        <w:t>al</w:t>
      </w:r>
      <w:r w:rsidR="008B06D0" w:rsidRPr="006257CB">
        <w:rPr>
          <w:rFonts w:ascii="Book Antiqua" w:eastAsia="Arial Unicode MS" w:hAnsi="Book Antiqua"/>
          <w:color w:val="000000" w:themeColor="text1"/>
          <w:sz w:val="24"/>
          <w:szCs w:val="24"/>
          <w:vertAlign w:val="superscript"/>
        </w:rPr>
        <w:t>[</w:t>
      </w:r>
      <w:proofErr w:type="gramEnd"/>
      <w:r w:rsidR="008B06D0" w:rsidRPr="006257CB">
        <w:rPr>
          <w:rFonts w:ascii="Book Antiqua" w:eastAsia="Arial Unicode MS" w:hAnsi="Book Antiqua"/>
          <w:color w:val="000000" w:themeColor="text1"/>
          <w:sz w:val="24"/>
          <w:szCs w:val="24"/>
          <w:vertAlign w:val="superscript"/>
        </w:rPr>
        <w:t>14]</w:t>
      </w:r>
      <w:r w:rsidRPr="006257CB">
        <w:rPr>
          <w:rFonts w:ascii="Book Antiqua" w:eastAsia="Arial Unicode MS" w:hAnsi="Book Antiqua"/>
          <w:color w:val="000000" w:themeColor="text1"/>
          <w:sz w:val="24"/>
          <w:szCs w:val="24"/>
        </w:rPr>
        <w:t xml:space="preserve"> reported that continual size increment was not detected in lesions with size increments. In addition, Kim </w:t>
      </w:r>
      <w:r w:rsidRPr="006257CB">
        <w:rPr>
          <w:rFonts w:ascii="Book Antiqua" w:eastAsia="Arial Unicode MS" w:hAnsi="Book Antiqua"/>
          <w:i/>
          <w:iCs/>
          <w:color w:val="000000" w:themeColor="text1"/>
          <w:sz w:val="24"/>
          <w:szCs w:val="24"/>
        </w:rPr>
        <w:t xml:space="preserve">et </w:t>
      </w:r>
      <w:proofErr w:type="gramStart"/>
      <w:r w:rsidRPr="006257CB">
        <w:rPr>
          <w:rFonts w:ascii="Book Antiqua" w:eastAsia="Arial Unicode MS" w:hAnsi="Book Antiqua"/>
          <w:i/>
          <w:iCs/>
          <w:color w:val="000000" w:themeColor="text1"/>
          <w:sz w:val="24"/>
          <w:szCs w:val="24"/>
        </w:rPr>
        <w:t>al</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6]</w:t>
      </w:r>
      <w:r w:rsidRPr="006257CB">
        <w:rPr>
          <w:rFonts w:ascii="Book Antiqua" w:eastAsia="Arial Unicode MS" w:hAnsi="Book Antiqua"/>
          <w:color w:val="000000" w:themeColor="text1"/>
          <w:sz w:val="24"/>
          <w:szCs w:val="24"/>
        </w:rPr>
        <w:t xml:space="preserve"> found no consistent growth patterns for small gastric subepithelial lesions. These results revealed that size increment during follow-up may not be taken as a catastrophe into consideration, and continual follow-up may also be an alternative for selective patients. </w:t>
      </w:r>
    </w:p>
    <w:p w14:paraId="328F5C11" w14:textId="794571D2"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There were several limitations in this study. First, it was a retrospective study, thus the modality and interval of follow-up could not be standardized. Some patients with lesions less than 10 mm in size strongly requested repeated examinations or even radical resection although no size increment </w:t>
      </w:r>
      <w:r w:rsidRPr="006257CB">
        <w:rPr>
          <w:rFonts w:ascii="Book Antiqua" w:eastAsia="Arial Unicode MS" w:hAnsi="Book Antiqua"/>
          <w:color w:val="000000" w:themeColor="text1"/>
          <w:sz w:val="24"/>
          <w:szCs w:val="24"/>
        </w:rPr>
        <w:lastRenderedPageBreak/>
        <w:t xml:space="preserve">was noted. Second, underlying mucosal change was not discussed in this study although it has been reported to be a risk factor for size </w:t>
      </w:r>
      <w:proofErr w:type="gramStart"/>
      <w:r w:rsidRPr="006257CB">
        <w:rPr>
          <w:rFonts w:ascii="Book Antiqua" w:eastAsia="Arial Unicode MS" w:hAnsi="Book Antiqua"/>
          <w:color w:val="000000" w:themeColor="text1"/>
          <w:sz w:val="24"/>
          <w:szCs w:val="24"/>
        </w:rPr>
        <w:t>increment</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10]</w:t>
      </w:r>
      <w:r w:rsidRPr="006257CB">
        <w:rPr>
          <w:rFonts w:ascii="Book Antiqua" w:eastAsia="Arial Unicode MS" w:hAnsi="Book Antiqua"/>
          <w:color w:val="000000" w:themeColor="text1"/>
          <w:sz w:val="24"/>
          <w:szCs w:val="24"/>
        </w:rPr>
        <w:t xml:space="preserve">. This is mainly because only 2 lesions had underlying mucosal ulceration during follow-up (1 lesion with size increment and 1 lesion without size increment, respectively). Since size of lesion is one of the most important factors (the other one is mitotic index) for prediction of the risk of recurrence for localized gastric </w:t>
      </w:r>
      <w:proofErr w:type="gramStart"/>
      <w:r w:rsidRPr="006257CB">
        <w:rPr>
          <w:rFonts w:ascii="Book Antiqua" w:eastAsia="Arial Unicode MS" w:hAnsi="Book Antiqua"/>
          <w:color w:val="000000" w:themeColor="text1"/>
          <w:sz w:val="24"/>
          <w:szCs w:val="24"/>
        </w:rPr>
        <w:t>GIST</w:t>
      </w:r>
      <w:r w:rsidRPr="006257CB">
        <w:rPr>
          <w:rFonts w:ascii="Book Antiqua" w:eastAsia="Arial Unicode MS" w:hAnsi="Book Antiqua"/>
          <w:color w:val="000000" w:themeColor="text1"/>
          <w:sz w:val="24"/>
          <w:szCs w:val="24"/>
          <w:vertAlign w:val="superscript"/>
        </w:rPr>
        <w:t>[</w:t>
      </w:r>
      <w:proofErr w:type="gramEnd"/>
      <w:r w:rsidRPr="006257CB">
        <w:rPr>
          <w:rFonts w:ascii="Book Antiqua" w:eastAsia="Arial Unicode MS" w:hAnsi="Book Antiqua"/>
          <w:color w:val="000000" w:themeColor="text1"/>
          <w:sz w:val="24"/>
          <w:szCs w:val="24"/>
          <w:vertAlign w:val="superscript"/>
        </w:rPr>
        <w:t>4]</w:t>
      </w:r>
      <w:r w:rsidRPr="006257CB">
        <w:rPr>
          <w:rFonts w:ascii="Book Antiqua" w:eastAsia="Arial Unicode MS" w:hAnsi="Book Antiqua"/>
          <w:color w:val="000000" w:themeColor="text1"/>
          <w:sz w:val="24"/>
          <w:szCs w:val="24"/>
        </w:rPr>
        <w:t xml:space="preserve">, assessment of only lesion size for suspected gastric GIST is reasonable. </w:t>
      </w:r>
    </w:p>
    <w:p w14:paraId="63DD9C4D" w14:textId="77777777" w:rsidR="00194299" w:rsidRPr="006257CB" w:rsidRDefault="00194299"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In conclusion, the majority of small (≤ 20 mm) suspected gastric GISTs had no size increment during follow-up. Regular endoscopic follow-up may be therefore helpful for such small gastric subepithelial lesions. From economic point of view, different follow-up intervals should be proposed for lesions with size of less than 10 mm and those with size of 10-20 mm. </w:t>
      </w:r>
    </w:p>
    <w:p w14:paraId="47C21D86" w14:textId="4ABC7A67" w:rsidR="003B207D" w:rsidRPr="006257CB" w:rsidRDefault="00194299"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 </w:t>
      </w:r>
    </w:p>
    <w:p w14:paraId="6D2F33C6" w14:textId="77777777" w:rsidR="00377C2C" w:rsidRPr="006257CB" w:rsidRDefault="00377C2C" w:rsidP="006D1F4C">
      <w:pPr>
        <w:adjustRightInd w:val="0"/>
        <w:snapToGrid w:val="0"/>
        <w:spacing w:line="360" w:lineRule="auto"/>
        <w:rPr>
          <w:rFonts w:ascii="Book Antiqua" w:eastAsiaTheme="minorEastAsia" w:hAnsi="Book Antiqua"/>
          <w:b/>
          <w:color w:val="000000"/>
          <w:sz w:val="24"/>
          <w:szCs w:val="24"/>
          <w:u w:val="single"/>
        </w:rPr>
      </w:pPr>
      <w:bookmarkStart w:id="4" w:name="_Hlk33464885"/>
      <w:r w:rsidRPr="006257CB">
        <w:rPr>
          <w:rFonts w:ascii="Book Antiqua" w:hAnsi="Book Antiqua"/>
          <w:b/>
          <w:color w:val="000000"/>
          <w:sz w:val="24"/>
          <w:szCs w:val="24"/>
          <w:u w:val="single"/>
        </w:rPr>
        <w:t>ARTICLE HIGHLIGHTS</w:t>
      </w:r>
    </w:p>
    <w:p w14:paraId="65F68AC9"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Research background</w:t>
      </w:r>
    </w:p>
    <w:p w14:paraId="3E372460" w14:textId="782C70F5"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Gastric subepithelial lesions are frequently encountered during endoscopic examinations, and the majority of them are small and asymptomatic. Among these lesions, gastrointestinal stromal tumors (GISTs) are the major concern for patients and clinicians owing to their malignant potentials. Although previous guidelines suggested periodic surveillance for such small (≤ 20 mm) lesions, several patients and clinicians have still requested or prescribed repeated examinations or radical resection, posing extra medical burdens and risks.</w:t>
      </w:r>
    </w:p>
    <w:p w14:paraId="5BF667F4"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647B4B2B"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Research motivation</w:t>
      </w:r>
    </w:p>
    <w:p w14:paraId="68FF97B8" w14:textId="4CCBB944"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Although several studies demonstrated a low rate of size increment in patients with gastric subepithelial lesions, there were limited investigations involving only suspected small gastric GISTs; the optimal follow-up interval for such lesions remains uncertain.</w:t>
      </w:r>
    </w:p>
    <w:p w14:paraId="3E8F338E"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306C6BA6"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lastRenderedPageBreak/>
        <w:t>Research objectives</w:t>
      </w:r>
    </w:p>
    <w:p w14:paraId="4A6A982B" w14:textId="16B99DDD"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In this retrospective study, we aimed to describe the clinical course of suspected small gastric GISTs, and to provide further evidence for surveillance strategy for tumor therapy.</w:t>
      </w:r>
    </w:p>
    <w:p w14:paraId="69E9E181"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765C93CB"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Research methods</w:t>
      </w:r>
    </w:p>
    <w:p w14:paraId="589EBB58" w14:textId="4C7CF0DF"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Consecutive patients with suspected small (≤ 20 mm) gastric GISTs from November 2004 to November 2018 at West China Hospital were retrospectively reviewed. GIST was suspected according to endoscopic ultrasonography features: hypoechoic lesions from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w:t>
      </w:r>
      <w:proofErr w:type="spellStart"/>
      <w:r w:rsidRPr="006257CB">
        <w:rPr>
          <w:rFonts w:ascii="Book Antiqua" w:eastAsia="Arial Unicode MS" w:hAnsi="Book Antiqua"/>
          <w:color w:val="000000" w:themeColor="text1"/>
          <w:sz w:val="24"/>
          <w:szCs w:val="24"/>
        </w:rPr>
        <w:t>propria</w:t>
      </w:r>
      <w:proofErr w:type="spellEnd"/>
      <w:r w:rsidRPr="006257CB">
        <w:rPr>
          <w:rFonts w:ascii="Book Antiqua" w:eastAsia="Arial Unicode MS" w:hAnsi="Book Antiqua"/>
          <w:color w:val="000000" w:themeColor="text1"/>
          <w:sz w:val="24"/>
          <w:szCs w:val="24"/>
        </w:rPr>
        <w:t xml:space="preserve"> or </w:t>
      </w:r>
      <w:proofErr w:type="spellStart"/>
      <w:r w:rsidRPr="006257CB">
        <w:rPr>
          <w:rFonts w:ascii="Book Antiqua" w:eastAsia="Arial Unicode MS" w:hAnsi="Book Antiqua"/>
          <w:color w:val="000000" w:themeColor="text1"/>
          <w:sz w:val="24"/>
          <w:szCs w:val="24"/>
        </w:rPr>
        <w:t>muscularis</w:t>
      </w:r>
      <w:proofErr w:type="spellEnd"/>
      <w:r w:rsidRPr="006257CB">
        <w:rPr>
          <w:rFonts w:ascii="Book Antiqua" w:eastAsia="Arial Unicode MS" w:hAnsi="Book Antiqua"/>
          <w:color w:val="000000" w:themeColor="text1"/>
          <w:sz w:val="24"/>
          <w:szCs w:val="24"/>
        </w:rPr>
        <w:t xml:space="preserve"> mucosa. Eligible patients with suspected small GISTs were included for analysis. Patients’ demographic data, lesions’ characteristics, and follow-up medical records were collected.</w:t>
      </w:r>
    </w:p>
    <w:p w14:paraId="70318123"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5C860EAF"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Research results</w:t>
      </w:r>
    </w:p>
    <w:p w14:paraId="1DEE491C" w14:textId="4F05F4DA"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A total of 383 patients (male/female, 121/262; mean age, 54 years) with 410 suspected small gastric GISTs (1 lesion in 362 patients, 2 lesions in 16, 3 lesions in 4, and 4 lesions in 1) were included for analysis. The most common location was gastric fundus (56.6%), followed by body (29.0%), cardia (12.2%), and antrum (2.2%). After a median follow-up of 28 </w:t>
      </w:r>
      <w:proofErr w:type="spellStart"/>
      <w:r w:rsidRPr="006257CB">
        <w:rPr>
          <w:rFonts w:ascii="Book Antiqua" w:eastAsia="Arial Unicode MS" w:hAnsi="Book Antiqua"/>
          <w:color w:val="000000" w:themeColor="text1"/>
          <w:sz w:val="24"/>
          <w:szCs w:val="24"/>
        </w:rPr>
        <w:t>mo</w:t>
      </w:r>
      <w:proofErr w:type="spellEnd"/>
      <w:r w:rsidRPr="006257CB">
        <w:rPr>
          <w:rFonts w:ascii="Book Antiqua" w:eastAsia="Arial Unicode MS" w:hAnsi="Book Antiqua"/>
          <w:color w:val="000000" w:themeColor="text1"/>
          <w:sz w:val="24"/>
          <w:szCs w:val="24"/>
        </w:rPr>
        <w:t xml:space="preserve"> (interquartile range, 16-48; range, 3-156), 402 lesions (98.0%) showed no changes in size, and 8 (2.0%) lesions increased in size (mean increment, 10 mm). Of the 8 lesions with size increment, endoscopic or surgical resection was performed in 6 patients (5 GISTs and 1 leiomyoma). For other 2 remaining patients, unroofing biopsy or endoscopic ultrasound-guided fine-needle aspiration was carried out (2 GISTs), while no further change in size was noted over a period of 62-64 mo.</w:t>
      </w:r>
    </w:p>
    <w:p w14:paraId="328F36F9"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59778279"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Research conclusions</w:t>
      </w:r>
    </w:p>
    <w:p w14:paraId="58D54ADA" w14:textId="3B3CB7E3" w:rsidR="00ED2D31" w:rsidRPr="006257CB" w:rsidRDefault="00ED2D31"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The majority of suspected small (≤ 20 mm) gastric GISTs had no size increment during follow-up. Regular endoscopic follow-up without </w:t>
      </w:r>
      <w:r w:rsidRPr="006257CB">
        <w:rPr>
          <w:rFonts w:ascii="Book Antiqua" w:eastAsia="Arial Unicode MS" w:hAnsi="Book Antiqua"/>
          <w:color w:val="000000" w:themeColor="text1"/>
          <w:sz w:val="24"/>
          <w:szCs w:val="24"/>
        </w:rPr>
        <w:lastRenderedPageBreak/>
        <w:t>pathological diagnosis may be highly helpful for such small gastric subepithelial lesions.</w:t>
      </w:r>
    </w:p>
    <w:p w14:paraId="2367599B" w14:textId="77777777" w:rsidR="008B06D0" w:rsidRPr="006257CB" w:rsidRDefault="008B06D0" w:rsidP="006D1F4C">
      <w:pPr>
        <w:snapToGrid w:val="0"/>
        <w:spacing w:line="360" w:lineRule="auto"/>
        <w:rPr>
          <w:rFonts w:ascii="Book Antiqua" w:eastAsia="Arial Unicode MS" w:hAnsi="Book Antiqua"/>
          <w:color w:val="000000" w:themeColor="text1"/>
          <w:sz w:val="24"/>
          <w:szCs w:val="24"/>
        </w:rPr>
      </w:pPr>
    </w:p>
    <w:p w14:paraId="09A56072" w14:textId="77777777" w:rsidR="00ED2D31" w:rsidRPr="006257CB" w:rsidRDefault="00ED2D31" w:rsidP="006D1F4C">
      <w:pPr>
        <w:snapToGrid w:val="0"/>
        <w:spacing w:line="360" w:lineRule="auto"/>
        <w:rPr>
          <w:rFonts w:ascii="Book Antiqua" w:eastAsia="Arial Unicode MS" w:hAnsi="Book Antiqua"/>
          <w:b/>
          <w:bCs/>
          <w:i/>
          <w:iCs/>
          <w:color w:val="000000" w:themeColor="text1"/>
          <w:sz w:val="24"/>
          <w:szCs w:val="24"/>
        </w:rPr>
      </w:pPr>
      <w:r w:rsidRPr="006257CB">
        <w:rPr>
          <w:rFonts w:ascii="Book Antiqua" w:eastAsia="Arial Unicode MS" w:hAnsi="Book Antiqua"/>
          <w:b/>
          <w:bCs/>
          <w:i/>
          <w:iCs/>
          <w:color w:val="000000" w:themeColor="text1"/>
          <w:sz w:val="24"/>
          <w:szCs w:val="24"/>
        </w:rPr>
        <w:t xml:space="preserve">Research perspectives </w:t>
      </w:r>
    </w:p>
    <w:bookmarkEnd w:id="4"/>
    <w:p w14:paraId="2871A153" w14:textId="1B88B955" w:rsidR="00ED2D31" w:rsidRPr="006257CB" w:rsidRDefault="00ED2D31" w:rsidP="006D1F4C">
      <w:pPr>
        <w:snapToGrid w:val="0"/>
        <w:spacing w:line="360" w:lineRule="auto"/>
        <w:rPr>
          <w:rFonts w:ascii="Book Antiqua" w:hAnsi="Book Antiqua"/>
          <w:color w:val="000000" w:themeColor="text1"/>
          <w:sz w:val="24"/>
          <w:szCs w:val="24"/>
        </w:rPr>
      </w:pPr>
      <w:r w:rsidRPr="006257CB">
        <w:rPr>
          <w:rFonts w:ascii="Book Antiqua" w:hAnsi="Book Antiqua"/>
          <w:color w:val="000000" w:themeColor="text1"/>
          <w:sz w:val="24"/>
          <w:szCs w:val="24"/>
        </w:rPr>
        <w:t>Prospective study involving specific follow-up period for lesions with different initial size may be better to develop an economic strategy for surveillance.</w:t>
      </w:r>
    </w:p>
    <w:p w14:paraId="7229DCF1" w14:textId="77777777" w:rsidR="00ED2D31" w:rsidRPr="006257CB" w:rsidRDefault="00ED2D31" w:rsidP="006D1F4C">
      <w:pPr>
        <w:snapToGrid w:val="0"/>
        <w:spacing w:line="360" w:lineRule="auto"/>
        <w:rPr>
          <w:rFonts w:ascii="Book Antiqua" w:eastAsia="Arial Unicode MS" w:hAnsi="Book Antiqua"/>
          <w:color w:val="000000" w:themeColor="text1"/>
          <w:sz w:val="24"/>
          <w:szCs w:val="24"/>
        </w:rPr>
      </w:pPr>
    </w:p>
    <w:p w14:paraId="2133D09E" w14:textId="77777777" w:rsidR="00377C2C" w:rsidRPr="006257CB" w:rsidRDefault="00377C2C" w:rsidP="006D1F4C">
      <w:pPr>
        <w:adjustRightInd w:val="0"/>
        <w:snapToGrid w:val="0"/>
        <w:spacing w:line="360" w:lineRule="auto"/>
        <w:rPr>
          <w:rFonts w:ascii="Book Antiqua" w:eastAsiaTheme="minorEastAsia" w:hAnsi="Book Antiqua"/>
          <w:b/>
          <w:sz w:val="24"/>
          <w:szCs w:val="24"/>
        </w:rPr>
      </w:pPr>
      <w:r w:rsidRPr="006257CB">
        <w:rPr>
          <w:rFonts w:ascii="Book Antiqua" w:hAnsi="Book Antiqua"/>
          <w:b/>
          <w:sz w:val="24"/>
          <w:szCs w:val="24"/>
        </w:rPr>
        <w:t>REFERENCES</w:t>
      </w:r>
    </w:p>
    <w:p w14:paraId="79F40A53"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1 </w:t>
      </w:r>
      <w:proofErr w:type="spellStart"/>
      <w:r w:rsidRPr="006257CB">
        <w:rPr>
          <w:rFonts w:ascii="Book Antiqua" w:hAnsi="Book Antiqua"/>
          <w:b/>
          <w:sz w:val="24"/>
          <w:szCs w:val="24"/>
        </w:rPr>
        <w:t>Papanikolaou</w:t>
      </w:r>
      <w:proofErr w:type="spellEnd"/>
      <w:r w:rsidRPr="006257CB">
        <w:rPr>
          <w:rFonts w:ascii="Book Antiqua" w:hAnsi="Book Antiqua"/>
          <w:b/>
          <w:sz w:val="24"/>
          <w:szCs w:val="24"/>
        </w:rPr>
        <w:t xml:space="preserve"> IS</w:t>
      </w:r>
      <w:r w:rsidRPr="006257CB">
        <w:rPr>
          <w:rFonts w:ascii="Book Antiqua" w:hAnsi="Book Antiqua"/>
          <w:sz w:val="24"/>
          <w:szCs w:val="24"/>
        </w:rPr>
        <w:t xml:space="preserve">, </w:t>
      </w:r>
      <w:proofErr w:type="spellStart"/>
      <w:r w:rsidRPr="006257CB">
        <w:rPr>
          <w:rFonts w:ascii="Book Antiqua" w:hAnsi="Book Antiqua"/>
          <w:sz w:val="24"/>
          <w:szCs w:val="24"/>
        </w:rPr>
        <w:t>Triantafyllou</w:t>
      </w:r>
      <w:proofErr w:type="spellEnd"/>
      <w:r w:rsidRPr="006257CB">
        <w:rPr>
          <w:rFonts w:ascii="Book Antiqua" w:hAnsi="Book Antiqua"/>
          <w:sz w:val="24"/>
          <w:szCs w:val="24"/>
        </w:rPr>
        <w:t xml:space="preserve"> K, </w:t>
      </w:r>
      <w:proofErr w:type="spellStart"/>
      <w:r w:rsidRPr="006257CB">
        <w:rPr>
          <w:rFonts w:ascii="Book Antiqua" w:hAnsi="Book Antiqua"/>
          <w:sz w:val="24"/>
          <w:szCs w:val="24"/>
        </w:rPr>
        <w:t>Kourikou</w:t>
      </w:r>
      <w:proofErr w:type="spellEnd"/>
      <w:r w:rsidRPr="006257CB">
        <w:rPr>
          <w:rFonts w:ascii="Book Antiqua" w:hAnsi="Book Antiqua"/>
          <w:sz w:val="24"/>
          <w:szCs w:val="24"/>
        </w:rPr>
        <w:t xml:space="preserve"> A, </w:t>
      </w:r>
      <w:proofErr w:type="spellStart"/>
      <w:r w:rsidRPr="006257CB">
        <w:rPr>
          <w:rFonts w:ascii="Book Antiqua" w:hAnsi="Book Antiqua"/>
          <w:sz w:val="24"/>
          <w:szCs w:val="24"/>
        </w:rPr>
        <w:t>Rösch</w:t>
      </w:r>
      <w:proofErr w:type="spellEnd"/>
      <w:r w:rsidRPr="006257CB">
        <w:rPr>
          <w:rFonts w:ascii="Book Antiqua" w:hAnsi="Book Antiqua"/>
          <w:sz w:val="24"/>
          <w:szCs w:val="24"/>
        </w:rPr>
        <w:t xml:space="preserve"> T. Endoscopic ultrasonography for gastric submucosal lesions. </w:t>
      </w:r>
      <w:r w:rsidRPr="006257CB">
        <w:rPr>
          <w:rFonts w:ascii="Book Antiqua" w:hAnsi="Book Antiqua"/>
          <w:i/>
          <w:sz w:val="24"/>
          <w:szCs w:val="24"/>
        </w:rPr>
        <w:t xml:space="preserve">World J </w:t>
      </w:r>
      <w:proofErr w:type="spellStart"/>
      <w:r w:rsidRPr="006257CB">
        <w:rPr>
          <w:rFonts w:ascii="Book Antiqua" w:hAnsi="Book Antiqua"/>
          <w:i/>
          <w:sz w:val="24"/>
          <w:szCs w:val="24"/>
        </w:rPr>
        <w:t>Gastrointest</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Endosc</w:t>
      </w:r>
      <w:proofErr w:type="spellEnd"/>
      <w:r w:rsidRPr="006257CB">
        <w:rPr>
          <w:rFonts w:ascii="Book Antiqua" w:hAnsi="Book Antiqua"/>
          <w:sz w:val="24"/>
          <w:szCs w:val="24"/>
        </w:rPr>
        <w:t xml:space="preserve"> 2011; </w:t>
      </w:r>
      <w:r w:rsidRPr="006257CB">
        <w:rPr>
          <w:rFonts w:ascii="Book Antiqua" w:hAnsi="Book Antiqua"/>
          <w:b/>
          <w:sz w:val="24"/>
          <w:szCs w:val="24"/>
        </w:rPr>
        <w:t>3</w:t>
      </w:r>
      <w:r w:rsidRPr="006257CB">
        <w:rPr>
          <w:rFonts w:ascii="Book Antiqua" w:hAnsi="Book Antiqua"/>
          <w:sz w:val="24"/>
          <w:szCs w:val="24"/>
        </w:rPr>
        <w:t>: 86-94 [PMID: 21772939 DOI: 10.4253/wjge.v3.i5.86]</w:t>
      </w:r>
    </w:p>
    <w:p w14:paraId="223D1AE6"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2 </w:t>
      </w:r>
      <w:r w:rsidRPr="006257CB">
        <w:rPr>
          <w:rFonts w:ascii="Book Antiqua" w:hAnsi="Book Antiqua"/>
          <w:b/>
          <w:sz w:val="24"/>
          <w:szCs w:val="24"/>
        </w:rPr>
        <w:t>Demetri GD</w:t>
      </w:r>
      <w:r w:rsidRPr="006257CB">
        <w:rPr>
          <w:rFonts w:ascii="Book Antiqua" w:hAnsi="Book Antiqua"/>
          <w:sz w:val="24"/>
          <w:szCs w:val="24"/>
        </w:rPr>
        <w:t xml:space="preserve">, von </w:t>
      </w:r>
      <w:proofErr w:type="spellStart"/>
      <w:r w:rsidRPr="006257CB">
        <w:rPr>
          <w:rFonts w:ascii="Book Antiqua" w:hAnsi="Book Antiqua"/>
          <w:sz w:val="24"/>
          <w:szCs w:val="24"/>
        </w:rPr>
        <w:t>Mehren</w:t>
      </w:r>
      <w:proofErr w:type="spellEnd"/>
      <w:r w:rsidRPr="006257CB">
        <w:rPr>
          <w:rFonts w:ascii="Book Antiqua" w:hAnsi="Book Antiqua"/>
          <w:sz w:val="24"/>
          <w:szCs w:val="24"/>
        </w:rPr>
        <w:t xml:space="preserve"> M, </w:t>
      </w:r>
      <w:proofErr w:type="spellStart"/>
      <w:r w:rsidRPr="006257CB">
        <w:rPr>
          <w:rFonts w:ascii="Book Antiqua" w:hAnsi="Book Antiqua"/>
          <w:sz w:val="24"/>
          <w:szCs w:val="24"/>
        </w:rPr>
        <w:t>Antonescu</w:t>
      </w:r>
      <w:proofErr w:type="spellEnd"/>
      <w:r w:rsidRPr="006257CB">
        <w:rPr>
          <w:rFonts w:ascii="Book Antiqua" w:hAnsi="Book Antiqua"/>
          <w:sz w:val="24"/>
          <w:szCs w:val="24"/>
        </w:rPr>
        <w:t xml:space="preserve"> CR, </w:t>
      </w:r>
      <w:proofErr w:type="spellStart"/>
      <w:r w:rsidRPr="006257CB">
        <w:rPr>
          <w:rFonts w:ascii="Book Antiqua" w:hAnsi="Book Antiqua"/>
          <w:sz w:val="24"/>
          <w:szCs w:val="24"/>
        </w:rPr>
        <w:t>DeMatteo</w:t>
      </w:r>
      <w:proofErr w:type="spellEnd"/>
      <w:r w:rsidRPr="006257CB">
        <w:rPr>
          <w:rFonts w:ascii="Book Antiqua" w:hAnsi="Book Antiqua"/>
          <w:sz w:val="24"/>
          <w:szCs w:val="24"/>
        </w:rPr>
        <w:t xml:space="preserve"> RP, </w:t>
      </w:r>
      <w:proofErr w:type="spellStart"/>
      <w:r w:rsidRPr="006257CB">
        <w:rPr>
          <w:rFonts w:ascii="Book Antiqua" w:hAnsi="Book Antiqua"/>
          <w:sz w:val="24"/>
          <w:szCs w:val="24"/>
        </w:rPr>
        <w:t>Ganjoo</w:t>
      </w:r>
      <w:proofErr w:type="spellEnd"/>
      <w:r w:rsidRPr="006257CB">
        <w:rPr>
          <w:rFonts w:ascii="Book Antiqua" w:hAnsi="Book Antiqua"/>
          <w:sz w:val="24"/>
          <w:szCs w:val="24"/>
        </w:rPr>
        <w:t xml:space="preserve"> KN, Maki RG, Pisters PW, Raut CP, Riedel RF, </w:t>
      </w:r>
      <w:proofErr w:type="spellStart"/>
      <w:r w:rsidRPr="006257CB">
        <w:rPr>
          <w:rFonts w:ascii="Book Antiqua" w:hAnsi="Book Antiqua"/>
          <w:sz w:val="24"/>
          <w:szCs w:val="24"/>
        </w:rPr>
        <w:t>Schuetze</w:t>
      </w:r>
      <w:proofErr w:type="spellEnd"/>
      <w:r w:rsidRPr="006257CB">
        <w:rPr>
          <w:rFonts w:ascii="Book Antiqua" w:hAnsi="Book Antiqua"/>
          <w:sz w:val="24"/>
          <w:szCs w:val="24"/>
        </w:rPr>
        <w:t xml:space="preserve"> S, </w:t>
      </w:r>
      <w:proofErr w:type="spellStart"/>
      <w:r w:rsidRPr="006257CB">
        <w:rPr>
          <w:rFonts w:ascii="Book Antiqua" w:hAnsi="Book Antiqua"/>
          <w:sz w:val="24"/>
          <w:szCs w:val="24"/>
        </w:rPr>
        <w:t>Sundar</w:t>
      </w:r>
      <w:proofErr w:type="spellEnd"/>
      <w:r w:rsidRPr="006257CB">
        <w:rPr>
          <w:rFonts w:ascii="Book Antiqua" w:hAnsi="Book Antiqua"/>
          <w:sz w:val="24"/>
          <w:szCs w:val="24"/>
        </w:rPr>
        <w:t xml:space="preserve"> HM, Trent JC, Wayne JD. NCCN Task Force report: update on the management of patients with gastrointestinal stromal tumors. </w:t>
      </w:r>
      <w:r w:rsidRPr="006257CB">
        <w:rPr>
          <w:rFonts w:ascii="Book Antiqua" w:hAnsi="Book Antiqua"/>
          <w:i/>
          <w:sz w:val="24"/>
          <w:szCs w:val="24"/>
        </w:rPr>
        <w:t xml:space="preserve">J Natl </w:t>
      </w:r>
      <w:proofErr w:type="spellStart"/>
      <w:r w:rsidRPr="006257CB">
        <w:rPr>
          <w:rFonts w:ascii="Book Antiqua" w:hAnsi="Book Antiqua"/>
          <w:i/>
          <w:sz w:val="24"/>
          <w:szCs w:val="24"/>
        </w:rPr>
        <w:t>Compr</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Canc</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Netw</w:t>
      </w:r>
      <w:proofErr w:type="spellEnd"/>
      <w:r w:rsidRPr="006257CB">
        <w:rPr>
          <w:rFonts w:ascii="Book Antiqua" w:hAnsi="Book Antiqua"/>
          <w:sz w:val="24"/>
          <w:szCs w:val="24"/>
        </w:rPr>
        <w:t xml:space="preserve"> 2010; </w:t>
      </w:r>
      <w:r w:rsidRPr="006257CB">
        <w:rPr>
          <w:rFonts w:ascii="Book Antiqua" w:hAnsi="Book Antiqua"/>
          <w:b/>
          <w:sz w:val="24"/>
          <w:szCs w:val="24"/>
        </w:rPr>
        <w:t xml:space="preserve">8 </w:t>
      </w:r>
      <w:proofErr w:type="spellStart"/>
      <w:r w:rsidRPr="006257CB">
        <w:rPr>
          <w:rFonts w:ascii="Book Antiqua" w:hAnsi="Book Antiqua"/>
          <w:b/>
          <w:sz w:val="24"/>
          <w:szCs w:val="24"/>
        </w:rPr>
        <w:t>Suppl</w:t>
      </w:r>
      <w:proofErr w:type="spellEnd"/>
      <w:r w:rsidRPr="006257CB">
        <w:rPr>
          <w:rFonts w:ascii="Book Antiqua" w:hAnsi="Book Antiqua"/>
          <w:b/>
          <w:sz w:val="24"/>
          <w:szCs w:val="24"/>
        </w:rPr>
        <w:t xml:space="preserve"> 2</w:t>
      </w:r>
      <w:r w:rsidRPr="006257CB">
        <w:rPr>
          <w:rFonts w:ascii="Book Antiqua" w:hAnsi="Book Antiqua"/>
          <w:sz w:val="24"/>
          <w:szCs w:val="24"/>
        </w:rPr>
        <w:t>: S1-41; quiz S42-4 [PMID: 20457867 DOI: 10.6004/jnccn.2010.0116]</w:t>
      </w:r>
    </w:p>
    <w:p w14:paraId="1D3DB011" w14:textId="0078516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3 </w:t>
      </w:r>
      <w:r w:rsidRPr="006257CB">
        <w:rPr>
          <w:rFonts w:ascii="Book Antiqua" w:hAnsi="Book Antiqua"/>
          <w:b/>
          <w:sz w:val="24"/>
          <w:szCs w:val="24"/>
        </w:rPr>
        <w:t>ESMO/European Sarcoma Network Working Group</w:t>
      </w:r>
      <w:r w:rsidRPr="006257CB">
        <w:rPr>
          <w:rFonts w:ascii="Book Antiqua" w:hAnsi="Book Antiqua"/>
          <w:sz w:val="24"/>
          <w:szCs w:val="24"/>
        </w:rPr>
        <w:t>.</w:t>
      </w:r>
      <w:proofErr w:type="gramEnd"/>
      <w:r w:rsidRPr="006257CB">
        <w:rPr>
          <w:rFonts w:ascii="Book Antiqua" w:hAnsi="Book Antiqua"/>
          <w:sz w:val="24"/>
          <w:szCs w:val="24"/>
        </w:rPr>
        <w:t xml:space="preserve"> Gastrointestinal stromal </w:t>
      </w:r>
      <w:proofErr w:type="spellStart"/>
      <w:r w:rsidRPr="006257CB">
        <w:rPr>
          <w:rFonts w:ascii="Book Antiqua" w:hAnsi="Book Antiqua"/>
          <w:sz w:val="24"/>
          <w:szCs w:val="24"/>
        </w:rPr>
        <w:t>tumours</w:t>
      </w:r>
      <w:proofErr w:type="spellEnd"/>
      <w:r w:rsidRPr="006257CB">
        <w:rPr>
          <w:rFonts w:ascii="Book Antiqua" w:hAnsi="Book Antiqua"/>
          <w:sz w:val="24"/>
          <w:szCs w:val="24"/>
        </w:rPr>
        <w:t xml:space="preserve">: ESMO Clinical Practice Guidelines for diagnosis, treatment and follow-up. </w:t>
      </w:r>
      <w:r w:rsidRPr="006257CB">
        <w:rPr>
          <w:rFonts w:ascii="Book Antiqua" w:hAnsi="Book Antiqua"/>
          <w:i/>
          <w:sz w:val="24"/>
          <w:szCs w:val="24"/>
        </w:rPr>
        <w:t xml:space="preserve">Ann </w:t>
      </w:r>
      <w:proofErr w:type="spellStart"/>
      <w:r w:rsidRPr="006257CB">
        <w:rPr>
          <w:rFonts w:ascii="Book Antiqua" w:hAnsi="Book Antiqua"/>
          <w:i/>
          <w:sz w:val="24"/>
          <w:szCs w:val="24"/>
        </w:rPr>
        <w:t>Oncol</w:t>
      </w:r>
      <w:proofErr w:type="spellEnd"/>
      <w:r w:rsidRPr="006257CB">
        <w:rPr>
          <w:rFonts w:ascii="Book Antiqua" w:hAnsi="Book Antiqua"/>
          <w:sz w:val="24"/>
          <w:szCs w:val="24"/>
        </w:rPr>
        <w:t xml:space="preserve"> 2014; </w:t>
      </w:r>
      <w:r w:rsidRPr="006257CB">
        <w:rPr>
          <w:rFonts w:ascii="Book Antiqua" w:hAnsi="Book Antiqua"/>
          <w:b/>
          <w:sz w:val="24"/>
          <w:szCs w:val="24"/>
        </w:rPr>
        <w:t xml:space="preserve">25 </w:t>
      </w:r>
      <w:proofErr w:type="spellStart"/>
      <w:r w:rsidRPr="006257CB">
        <w:rPr>
          <w:rFonts w:ascii="Book Antiqua" w:hAnsi="Book Antiqua"/>
          <w:b/>
          <w:sz w:val="24"/>
          <w:szCs w:val="24"/>
        </w:rPr>
        <w:t>Suppl</w:t>
      </w:r>
      <w:proofErr w:type="spellEnd"/>
      <w:r w:rsidRPr="006257CB">
        <w:rPr>
          <w:rFonts w:ascii="Book Antiqua" w:hAnsi="Book Antiqua"/>
          <w:b/>
          <w:sz w:val="24"/>
          <w:szCs w:val="24"/>
        </w:rPr>
        <w:t xml:space="preserve"> 3</w:t>
      </w:r>
      <w:r w:rsidRPr="006257CB">
        <w:rPr>
          <w:rFonts w:ascii="Book Antiqua" w:hAnsi="Book Antiqua"/>
          <w:sz w:val="24"/>
          <w:szCs w:val="24"/>
        </w:rPr>
        <w:t>: iii21-iii26 [PMID: 25210085 DOI: 10.1093/</w:t>
      </w:r>
      <w:proofErr w:type="spellStart"/>
      <w:r w:rsidRPr="006257CB">
        <w:rPr>
          <w:rFonts w:ascii="Book Antiqua" w:hAnsi="Book Antiqua"/>
          <w:sz w:val="24"/>
          <w:szCs w:val="24"/>
        </w:rPr>
        <w:t>annonc</w:t>
      </w:r>
      <w:proofErr w:type="spellEnd"/>
      <w:r w:rsidRPr="006257CB">
        <w:rPr>
          <w:rFonts w:ascii="Book Antiqua" w:hAnsi="Book Antiqua"/>
          <w:sz w:val="24"/>
          <w:szCs w:val="24"/>
        </w:rPr>
        <w:t>/mdu255]</w:t>
      </w:r>
    </w:p>
    <w:p w14:paraId="62982CBA"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4 </w:t>
      </w:r>
      <w:proofErr w:type="spellStart"/>
      <w:r w:rsidRPr="006257CB">
        <w:rPr>
          <w:rFonts w:ascii="Book Antiqua" w:hAnsi="Book Antiqua"/>
          <w:b/>
          <w:sz w:val="24"/>
          <w:szCs w:val="24"/>
        </w:rPr>
        <w:t>Landi</w:t>
      </w:r>
      <w:proofErr w:type="spellEnd"/>
      <w:r w:rsidRPr="006257CB">
        <w:rPr>
          <w:rFonts w:ascii="Book Antiqua" w:hAnsi="Book Antiqua"/>
          <w:b/>
          <w:sz w:val="24"/>
          <w:szCs w:val="24"/>
        </w:rPr>
        <w:t xml:space="preserve"> B</w:t>
      </w:r>
      <w:r w:rsidRPr="006257CB">
        <w:rPr>
          <w:rFonts w:ascii="Book Antiqua" w:hAnsi="Book Antiqua"/>
          <w:sz w:val="24"/>
          <w:szCs w:val="24"/>
        </w:rPr>
        <w:t xml:space="preserve">, </w:t>
      </w:r>
      <w:proofErr w:type="spellStart"/>
      <w:r w:rsidRPr="006257CB">
        <w:rPr>
          <w:rFonts w:ascii="Book Antiqua" w:hAnsi="Book Antiqua"/>
          <w:sz w:val="24"/>
          <w:szCs w:val="24"/>
        </w:rPr>
        <w:t>Blay</w:t>
      </w:r>
      <w:proofErr w:type="spellEnd"/>
      <w:r w:rsidRPr="006257CB">
        <w:rPr>
          <w:rFonts w:ascii="Book Antiqua" w:hAnsi="Book Antiqua"/>
          <w:sz w:val="24"/>
          <w:szCs w:val="24"/>
        </w:rPr>
        <w:t xml:space="preserve"> JY, </w:t>
      </w:r>
      <w:proofErr w:type="spellStart"/>
      <w:r w:rsidRPr="006257CB">
        <w:rPr>
          <w:rFonts w:ascii="Book Antiqua" w:hAnsi="Book Antiqua"/>
          <w:sz w:val="24"/>
          <w:szCs w:val="24"/>
        </w:rPr>
        <w:t>Bonvalot</w:t>
      </w:r>
      <w:proofErr w:type="spellEnd"/>
      <w:r w:rsidRPr="006257CB">
        <w:rPr>
          <w:rFonts w:ascii="Book Antiqua" w:hAnsi="Book Antiqua"/>
          <w:sz w:val="24"/>
          <w:szCs w:val="24"/>
        </w:rPr>
        <w:t xml:space="preserve"> S, Brasseur M, </w:t>
      </w:r>
      <w:proofErr w:type="spellStart"/>
      <w:r w:rsidRPr="006257CB">
        <w:rPr>
          <w:rFonts w:ascii="Book Antiqua" w:hAnsi="Book Antiqua"/>
          <w:sz w:val="24"/>
          <w:szCs w:val="24"/>
        </w:rPr>
        <w:t>Coindre</w:t>
      </w:r>
      <w:proofErr w:type="spellEnd"/>
      <w:r w:rsidRPr="006257CB">
        <w:rPr>
          <w:rFonts w:ascii="Book Antiqua" w:hAnsi="Book Antiqua"/>
          <w:sz w:val="24"/>
          <w:szCs w:val="24"/>
        </w:rPr>
        <w:t xml:space="preserve"> JM, Emile JF, </w:t>
      </w:r>
      <w:proofErr w:type="spellStart"/>
      <w:r w:rsidRPr="006257CB">
        <w:rPr>
          <w:rFonts w:ascii="Book Antiqua" w:hAnsi="Book Antiqua"/>
          <w:sz w:val="24"/>
          <w:szCs w:val="24"/>
        </w:rPr>
        <w:t>Hautefeuille</w:t>
      </w:r>
      <w:proofErr w:type="spellEnd"/>
      <w:r w:rsidRPr="006257CB">
        <w:rPr>
          <w:rFonts w:ascii="Book Antiqua" w:hAnsi="Book Antiqua"/>
          <w:sz w:val="24"/>
          <w:szCs w:val="24"/>
        </w:rPr>
        <w:t xml:space="preserve"> V, </w:t>
      </w:r>
      <w:proofErr w:type="spellStart"/>
      <w:r w:rsidRPr="006257CB">
        <w:rPr>
          <w:rFonts w:ascii="Book Antiqua" w:hAnsi="Book Antiqua"/>
          <w:sz w:val="24"/>
          <w:szCs w:val="24"/>
        </w:rPr>
        <w:t>Honore</w:t>
      </w:r>
      <w:proofErr w:type="spellEnd"/>
      <w:r w:rsidRPr="006257CB">
        <w:rPr>
          <w:rFonts w:ascii="Book Antiqua" w:hAnsi="Book Antiqua"/>
          <w:sz w:val="24"/>
          <w:szCs w:val="24"/>
        </w:rPr>
        <w:t xml:space="preserve"> C, </w:t>
      </w:r>
      <w:proofErr w:type="spellStart"/>
      <w:r w:rsidRPr="006257CB">
        <w:rPr>
          <w:rFonts w:ascii="Book Antiqua" w:hAnsi="Book Antiqua"/>
          <w:sz w:val="24"/>
          <w:szCs w:val="24"/>
        </w:rPr>
        <w:t>Lartigau</w:t>
      </w:r>
      <w:proofErr w:type="spellEnd"/>
      <w:r w:rsidRPr="006257CB">
        <w:rPr>
          <w:rFonts w:ascii="Book Antiqua" w:hAnsi="Book Antiqua"/>
          <w:sz w:val="24"/>
          <w:szCs w:val="24"/>
        </w:rPr>
        <w:t xml:space="preserve"> E, </w:t>
      </w:r>
      <w:proofErr w:type="spellStart"/>
      <w:r w:rsidRPr="006257CB">
        <w:rPr>
          <w:rFonts w:ascii="Book Antiqua" w:hAnsi="Book Antiqua"/>
          <w:sz w:val="24"/>
          <w:szCs w:val="24"/>
        </w:rPr>
        <w:t>Mantion</w:t>
      </w:r>
      <w:proofErr w:type="spellEnd"/>
      <w:r w:rsidRPr="006257CB">
        <w:rPr>
          <w:rFonts w:ascii="Book Antiqua" w:hAnsi="Book Antiqua"/>
          <w:sz w:val="24"/>
          <w:szCs w:val="24"/>
        </w:rPr>
        <w:t xml:space="preserve"> G, </w:t>
      </w:r>
      <w:proofErr w:type="spellStart"/>
      <w:r w:rsidRPr="006257CB">
        <w:rPr>
          <w:rFonts w:ascii="Book Antiqua" w:hAnsi="Book Antiqua"/>
          <w:sz w:val="24"/>
          <w:szCs w:val="24"/>
        </w:rPr>
        <w:t>Pracht</w:t>
      </w:r>
      <w:proofErr w:type="spellEnd"/>
      <w:r w:rsidRPr="006257CB">
        <w:rPr>
          <w:rFonts w:ascii="Book Antiqua" w:hAnsi="Book Antiqua"/>
          <w:sz w:val="24"/>
          <w:szCs w:val="24"/>
        </w:rPr>
        <w:t xml:space="preserve"> M, Le </w:t>
      </w:r>
      <w:proofErr w:type="spellStart"/>
      <w:r w:rsidRPr="006257CB">
        <w:rPr>
          <w:rFonts w:ascii="Book Antiqua" w:hAnsi="Book Antiqua"/>
          <w:sz w:val="24"/>
          <w:szCs w:val="24"/>
        </w:rPr>
        <w:t>Cesne</w:t>
      </w:r>
      <w:proofErr w:type="spellEnd"/>
      <w:r w:rsidRPr="006257CB">
        <w:rPr>
          <w:rFonts w:ascii="Book Antiqua" w:hAnsi="Book Antiqua"/>
          <w:sz w:val="24"/>
          <w:szCs w:val="24"/>
        </w:rPr>
        <w:t xml:space="preserve"> A, </w:t>
      </w:r>
      <w:proofErr w:type="spellStart"/>
      <w:r w:rsidRPr="006257CB">
        <w:rPr>
          <w:rFonts w:ascii="Book Antiqua" w:hAnsi="Book Antiqua"/>
          <w:sz w:val="24"/>
          <w:szCs w:val="24"/>
        </w:rPr>
        <w:t>Ducreux</w:t>
      </w:r>
      <w:proofErr w:type="spellEnd"/>
      <w:r w:rsidRPr="006257CB">
        <w:rPr>
          <w:rFonts w:ascii="Book Antiqua" w:hAnsi="Book Antiqua"/>
          <w:sz w:val="24"/>
          <w:szCs w:val="24"/>
        </w:rPr>
        <w:t xml:space="preserve"> M, Bouche O; «</w:t>
      </w:r>
      <w:proofErr w:type="spellStart"/>
      <w:r w:rsidRPr="006257CB">
        <w:rPr>
          <w:rFonts w:ascii="Book Antiqua" w:hAnsi="Book Antiqua"/>
          <w:sz w:val="24"/>
          <w:szCs w:val="24"/>
        </w:rPr>
        <w:t>Thésaurus</w:t>
      </w:r>
      <w:proofErr w:type="spellEnd"/>
      <w:r w:rsidRPr="006257CB">
        <w:rPr>
          <w:rFonts w:ascii="Book Antiqua" w:hAnsi="Book Antiqua"/>
          <w:sz w:val="24"/>
          <w:szCs w:val="24"/>
        </w:rPr>
        <w:t xml:space="preserve"> National de </w:t>
      </w:r>
      <w:proofErr w:type="spellStart"/>
      <w:r w:rsidRPr="006257CB">
        <w:rPr>
          <w:rFonts w:ascii="Book Antiqua" w:hAnsi="Book Antiqua"/>
          <w:sz w:val="24"/>
          <w:szCs w:val="24"/>
        </w:rPr>
        <w:t>Cancérologie</w:t>
      </w:r>
      <w:proofErr w:type="spellEnd"/>
      <w:r w:rsidRPr="006257CB">
        <w:rPr>
          <w:rFonts w:ascii="Book Antiqua" w:hAnsi="Book Antiqua"/>
          <w:sz w:val="24"/>
          <w:szCs w:val="24"/>
        </w:rPr>
        <w:t xml:space="preserve"> Digestive (TNCD)» (</w:t>
      </w:r>
      <w:proofErr w:type="spellStart"/>
      <w:r w:rsidRPr="006257CB">
        <w:rPr>
          <w:rFonts w:ascii="Book Antiqua" w:hAnsi="Book Antiqua"/>
          <w:sz w:val="24"/>
          <w:szCs w:val="24"/>
        </w:rPr>
        <w:t>Fédération</w:t>
      </w:r>
      <w:proofErr w:type="spellEnd"/>
      <w:r w:rsidRPr="006257CB">
        <w:rPr>
          <w:rFonts w:ascii="Book Antiqua" w:hAnsi="Book Antiqua"/>
          <w:sz w:val="24"/>
          <w:szCs w:val="24"/>
        </w:rPr>
        <w:t xml:space="preserve"> Francophone de </w:t>
      </w:r>
      <w:proofErr w:type="spellStart"/>
      <w:r w:rsidRPr="006257CB">
        <w:rPr>
          <w:rFonts w:ascii="Book Antiqua" w:hAnsi="Book Antiqua"/>
          <w:sz w:val="24"/>
          <w:szCs w:val="24"/>
        </w:rPr>
        <w:t>Cancérologie</w:t>
      </w:r>
      <w:proofErr w:type="spellEnd"/>
      <w:r w:rsidRPr="006257CB">
        <w:rPr>
          <w:rFonts w:ascii="Book Antiqua" w:hAnsi="Book Antiqua"/>
          <w:sz w:val="24"/>
          <w:szCs w:val="24"/>
        </w:rPr>
        <w:t xml:space="preserve"> Digestive (FFCD); </w:t>
      </w:r>
      <w:proofErr w:type="spellStart"/>
      <w:r w:rsidRPr="006257CB">
        <w:rPr>
          <w:rFonts w:ascii="Book Antiqua" w:hAnsi="Book Antiqua"/>
          <w:sz w:val="24"/>
          <w:szCs w:val="24"/>
        </w:rPr>
        <w:t>Fédération</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Nationale</w:t>
      </w:r>
      <w:proofErr w:type="spellEnd"/>
      <w:r w:rsidRPr="006257CB">
        <w:rPr>
          <w:rFonts w:ascii="Book Antiqua" w:hAnsi="Book Antiqua"/>
          <w:sz w:val="24"/>
          <w:szCs w:val="24"/>
        </w:rPr>
        <w:t xml:space="preserve"> de </w:t>
      </w:r>
      <w:proofErr w:type="spellStart"/>
      <w:r w:rsidRPr="006257CB">
        <w:rPr>
          <w:rFonts w:ascii="Book Antiqua" w:hAnsi="Book Antiqua"/>
          <w:sz w:val="24"/>
          <w:szCs w:val="24"/>
        </w:rPr>
        <w:t>Centres</w:t>
      </w:r>
      <w:proofErr w:type="spellEnd"/>
      <w:r w:rsidRPr="006257CB">
        <w:rPr>
          <w:rFonts w:ascii="Book Antiqua" w:hAnsi="Book Antiqua"/>
          <w:sz w:val="24"/>
          <w:szCs w:val="24"/>
        </w:rPr>
        <w:t xml:space="preserve"> de </w:t>
      </w:r>
      <w:proofErr w:type="spellStart"/>
      <w:r w:rsidRPr="006257CB">
        <w:rPr>
          <w:rFonts w:ascii="Book Antiqua" w:hAnsi="Book Antiqua"/>
          <w:sz w:val="24"/>
          <w:szCs w:val="24"/>
        </w:rPr>
        <w:t>Lutte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Contre</w:t>
      </w:r>
      <w:proofErr w:type="spellEnd"/>
      <w:r w:rsidRPr="006257CB">
        <w:rPr>
          <w:rFonts w:ascii="Book Antiqua" w:hAnsi="Book Antiqua"/>
          <w:sz w:val="24"/>
          <w:szCs w:val="24"/>
        </w:rPr>
        <w:t xml:space="preserve"> les Cancers (UNICANCER); </w:t>
      </w:r>
      <w:proofErr w:type="spellStart"/>
      <w:r w:rsidRPr="006257CB">
        <w:rPr>
          <w:rFonts w:ascii="Book Antiqua" w:hAnsi="Book Antiqua"/>
          <w:sz w:val="24"/>
          <w:szCs w:val="24"/>
        </w:rPr>
        <w:t>Groupe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Coopérateur</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Multidisciplinaire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en</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Oncologie</w:t>
      </w:r>
      <w:proofErr w:type="spellEnd"/>
      <w:r w:rsidRPr="006257CB">
        <w:rPr>
          <w:rFonts w:ascii="Book Antiqua" w:hAnsi="Book Antiqua"/>
          <w:sz w:val="24"/>
          <w:szCs w:val="24"/>
        </w:rPr>
        <w:t xml:space="preserve"> (GERCOR); </w:t>
      </w:r>
      <w:proofErr w:type="spellStart"/>
      <w:r w:rsidRPr="006257CB">
        <w:rPr>
          <w:rFonts w:ascii="Book Antiqua" w:hAnsi="Book Antiqua"/>
          <w:sz w:val="24"/>
          <w:szCs w:val="24"/>
        </w:rPr>
        <w:t>Société</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Française</w:t>
      </w:r>
      <w:proofErr w:type="spellEnd"/>
      <w:r w:rsidRPr="006257CB">
        <w:rPr>
          <w:rFonts w:ascii="Book Antiqua" w:hAnsi="Book Antiqua"/>
          <w:sz w:val="24"/>
          <w:szCs w:val="24"/>
        </w:rPr>
        <w:t xml:space="preserve"> de </w:t>
      </w:r>
      <w:proofErr w:type="spellStart"/>
      <w:r w:rsidRPr="006257CB">
        <w:rPr>
          <w:rFonts w:ascii="Book Antiqua" w:hAnsi="Book Antiqua"/>
          <w:sz w:val="24"/>
          <w:szCs w:val="24"/>
        </w:rPr>
        <w:t>Chirurgie</w:t>
      </w:r>
      <w:proofErr w:type="spellEnd"/>
      <w:r w:rsidRPr="006257CB">
        <w:rPr>
          <w:rFonts w:ascii="Book Antiqua" w:hAnsi="Book Antiqua"/>
          <w:sz w:val="24"/>
          <w:szCs w:val="24"/>
        </w:rPr>
        <w:t xml:space="preserve"> Digestive (SFCD); </w:t>
      </w:r>
      <w:proofErr w:type="spellStart"/>
      <w:r w:rsidRPr="006257CB">
        <w:rPr>
          <w:rFonts w:ascii="Book Antiqua" w:hAnsi="Book Antiqua"/>
          <w:sz w:val="24"/>
          <w:szCs w:val="24"/>
        </w:rPr>
        <w:t>Société</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Française</w:t>
      </w:r>
      <w:proofErr w:type="spellEnd"/>
      <w:r w:rsidRPr="006257CB">
        <w:rPr>
          <w:rFonts w:ascii="Book Antiqua" w:hAnsi="Book Antiqua"/>
          <w:sz w:val="24"/>
          <w:szCs w:val="24"/>
        </w:rPr>
        <w:t xml:space="preserve"> de </w:t>
      </w:r>
      <w:proofErr w:type="spellStart"/>
      <w:r w:rsidRPr="006257CB">
        <w:rPr>
          <w:rFonts w:ascii="Book Antiqua" w:hAnsi="Book Antiqua"/>
          <w:sz w:val="24"/>
          <w:szCs w:val="24"/>
        </w:rPr>
        <w:t>Radiothérapie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Oncologique</w:t>
      </w:r>
      <w:proofErr w:type="spellEnd"/>
      <w:r w:rsidRPr="006257CB">
        <w:rPr>
          <w:rFonts w:ascii="Book Antiqua" w:hAnsi="Book Antiqua"/>
          <w:sz w:val="24"/>
          <w:szCs w:val="24"/>
        </w:rPr>
        <w:t xml:space="preserve"> (SFRO); </w:t>
      </w:r>
      <w:proofErr w:type="spellStart"/>
      <w:r w:rsidRPr="006257CB">
        <w:rPr>
          <w:rFonts w:ascii="Book Antiqua" w:hAnsi="Book Antiqua"/>
          <w:sz w:val="24"/>
          <w:szCs w:val="24"/>
        </w:rPr>
        <w:t>Société</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Française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d’Endoscopie</w:t>
      </w:r>
      <w:proofErr w:type="spellEnd"/>
      <w:r w:rsidRPr="006257CB">
        <w:rPr>
          <w:rFonts w:ascii="Book Antiqua" w:hAnsi="Book Antiqua"/>
          <w:sz w:val="24"/>
          <w:szCs w:val="24"/>
        </w:rPr>
        <w:t xml:space="preserve"> Digestive (SFED); </w:t>
      </w:r>
      <w:proofErr w:type="spellStart"/>
      <w:r w:rsidRPr="006257CB">
        <w:rPr>
          <w:rFonts w:ascii="Book Antiqua" w:hAnsi="Book Antiqua"/>
          <w:sz w:val="24"/>
          <w:szCs w:val="24"/>
        </w:rPr>
        <w:t>Société</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Nationale</w:t>
      </w:r>
      <w:proofErr w:type="spellEnd"/>
      <w:r w:rsidRPr="006257CB">
        <w:rPr>
          <w:rFonts w:ascii="Book Antiqua" w:hAnsi="Book Antiqua"/>
          <w:sz w:val="24"/>
          <w:szCs w:val="24"/>
        </w:rPr>
        <w:t xml:space="preserve"> </w:t>
      </w:r>
      <w:proofErr w:type="spellStart"/>
      <w:r w:rsidRPr="006257CB">
        <w:rPr>
          <w:rFonts w:ascii="Book Antiqua" w:hAnsi="Book Antiqua"/>
          <w:sz w:val="24"/>
          <w:szCs w:val="24"/>
        </w:rPr>
        <w:t>Française</w:t>
      </w:r>
      <w:proofErr w:type="spellEnd"/>
      <w:r w:rsidRPr="006257CB">
        <w:rPr>
          <w:rFonts w:ascii="Book Antiqua" w:hAnsi="Book Antiqua"/>
          <w:sz w:val="24"/>
          <w:szCs w:val="24"/>
        </w:rPr>
        <w:t xml:space="preserve"> de </w:t>
      </w:r>
      <w:proofErr w:type="spellStart"/>
      <w:r w:rsidRPr="006257CB">
        <w:rPr>
          <w:rFonts w:ascii="Book Antiqua" w:hAnsi="Book Antiqua"/>
          <w:sz w:val="24"/>
          <w:szCs w:val="24"/>
        </w:rPr>
        <w:t>Gastroentérologie</w:t>
      </w:r>
      <w:proofErr w:type="spellEnd"/>
      <w:r w:rsidRPr="006257CB">
        <w:rPr>
          <w:rFonts w:ascii="Book Antiqua" w:hAnsi="Book Antiqua"/>
          <w:sz w:val="24"/>
          <w:szCs w:val="24"/>
        </w:rPr>
        <w:t xml:space="preserve"> (SNFGE). Gastrointestinal stromal </w:t>
      </w:r>
      <w:proofErr w:type="spellStart"/>
      <w:r w:rsidRPr="006257CB">
        <w:rPr>
          <w:rFonts w:ascii="Book Antiqua" w:hAnsi="Book Antiqua"/>
          <w:sz w:val="24"/>
          <w:szCs w:val="24"/>
        </w:rPr>
        <w:t>tumours</w:t>
      </w:r>
      <w:proofErr w:type="spellEnd"/>
      <w:r w:rsidRPr="006257CB">
        <w:rPr>
          <w:rFonts w:ascii="Book Antiqua" w:hAnsi="Book Antiqua"/>
          <w:sz w:val="24"/>
          <w:szCs w:val="24"/>
        </w:rPr>
        <w:t xml:space="preserve"> (GISTs): French Intergroup Clinical Practice Guidelines for </w:t>
      </w:r>
      <w:r w:rsidRPr="006257CB">
        <w:rPr>
          <w:rFonts w:ascii="Book Antiqua" w:hAnsi="Book Antiqua"/>
          <w:sz w:val="24"/>
          <w:szCs w:val="24"/>
        </w:rPr>
        <w:lastRenderedPageBreak/>
        <w:t xml:space="preserve">diagnosis, treatments and follow-up (SNFGE, FFCD, GERCOR, UNICANCER, SFCD, SFED, SFRO). </w:t>
      </w:r>
      <w:r w:rsidRPr="006257CB">
        <w:rPr>
          <w:rFonts w:ascii="Book Antiqua" w:hAnsi="Book Antiqua"/>
          <w:i/>
          <w:sz w:val="24"/>
          <w:szCs w:val="24"/>
        </w:rPr>
        <w:t>Dig Liver Dis</w:t>
      </w:r>
      <w:r w:rsidRPr="006257CB">
        <w:rPr>
          <w:rFonts w:ascii="Book Antiqua" w:hAnsi="Book Antiqua"/>
          <w:sz w:val="24"/>
          <w:szCs w:val="24"/>
        </w:rPr>
        <w:t xml:space="preserve"> 2019; </w:t>
      </w:r>
      <w:r w:rsidRPr="006257CB">
        <w:rPr>
          <w:rFonts w:ascii="Book Antiqua" w:hAnsi="Book Antiqua"/>
          <w:b/>
          <w:sz w:val="24"/>
          <w:szCs w:val="24"/>
        </w:rPr>
        <w:t>51</w:t>
      </w:r>
      <w:r w:rsidRPr="006257CB">
        <w:rPr>
          <w:rFonts w:ascii="Book Antiqua" w:hAnsi="Book Antiqua"/>
          <w:sz w:val="24"/>
          <w:szCs w:val="24"/>
        </w:rPr>
        <w:t>: 1223-1231 [PMID: 31387778 DOI: 10.1016/j.dld.2019.07.006]</w:t>
      </w:r>
    </w:p>
    <w:p w14:paraId="02F8D063" w14:textId="62089A58"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5 </w:t>
      </w:r>
      <w:proofErr w:type="spellStart"/>
      <w:r w:rsidRPr="006257CB">
        <w:rPr>
          <w:rFonts w:ascii="Book Antiqua" w:hAnsi="Book Antiqua"/>
          <w:b/>
          <w:sz w:val="24"/>
          <w:szCs w:val="24"/>
        </w:rPr>
        <w:t>Imaoka</w:t>
      </w:r>
      <w:proofErr w:type="spellEnd"/>
      <w:r w:rsidRPr="006257CB">
        <w:rPr>
          <w:rFonts w:ascii="Book Antiqua" w:hAnsi="Book Antiqua"/>
          <w:b/>
          <w:sz w:val="24"/>
          <w:szCs w:val="24"/>
        </w:rPr>
        <w:t xml:space="preserve"> H,</w:t>
      </w:r>
      <w:r w:rsidRPr="006257CB">
        <w:rPr>
          <w:rFonts w:ascii="Book Antiqua" w:hAnsi="Book Antiqua"/>
          <w:sz w:val="24"/>
          <w:szCs w:val="24"/>
        </w:rPr>
        <w:t xml:space="preserve"> </w:t>
      </w:r>
      <w:proofErr w:type="spellStart"/>
      <w:r w:rsidRPr="006257CB">
        <w:rPr>
          <w:rFonts w:ascii="Book Antiqua" w:hAnsi="Book Antiqua"/>
          <w:sz w:val="24"/>
          <w:szCs w:val="24"/>
        </w:rPr>
        <w:t>Sawaki</w:t>
      </w:r>
      <w:proofErr w:type="spellEnd"/>
      <w:r w:rsidRPr="006257CB">
        <w:rPr>
          <w:rFonts w:ascii="Book Antiqua" w:hAnsi="Book Antiqua"/>
          <w:sz w:val="24"/>
          <w:szCs w:val="24"/>
        </w:rPr>
        <w:t xml:space="preserve"> A, Mizuno N, Takahashi K, Nakamura T, </w:t>
      </w:r>
      <w:proofErr w:type="spellStart"/>
      <w:r w:rsidRPr="006257CB">
        <w:rPr>
          <w:rFonts w:ascii="Book Antiqua" w:hAnsi="Book Antiqua"/>
          <w:sz w:val="24"/>
          <w:szCs w:val="24"/>
        </w:rPr>
        <w:t>Tajika</w:t>
      </w:r>
      <w:proofErr w:type="spellEnd"/>
      <w:r w:rsidRPr="006257CB">
        <w:rPr>
          <w:rFonts w:ascii="Book Antiqua" w:hAnsi="Book Antiqua"/>
          <w:sz w:val="24"/>
          <w:szCs w:val="24"/>
        </w:rPr>
        <w:t xml:space="preserve"> M, Kawai H, </w:t>
      </w:r>
      <w:proofErr w:type="spellStart"/>
      <w:r w:rsidRPr="006257CB">
        <w:rPr>
          <w:rFonts w:ascii="Book Antiqua" w:hAnsi="Book Antiqua"/>
          <w:sz w:val="24"/>
          <w:szCs w:val="24"/>
        </w:rPr>
        <w:t>Isaka</w:t>
      </w:r>
      <w:proofErr w:type="spellEnd"/>
      <w:r w:rsidRPr="006257CB">
        <w:rPr>
          <w:rFonts w:ascii="Book Antiqua" w:hAnsi="Book Antiqua"/>
          <w:sz w:val="24"/>
          <w:szCs w:val="24"/>
        </w:rPr>
        <w:t xml:space="preserve"> T, Okamoto Y, Inoue H, Aoki M, Salem AA, </w:t>
      </w:r>
      <w:proofErr w:type="spellStart"/>
      <w:r w:rsidRPr="006257CB">
        <w:rPr>
          <w:rFonts w:ascii="Book Antiqua" w:hAnsi="Book Antiqua"/>
          <w:sz w:val="24"/>
          <w:szCs w:val="24"/>
        </w:rPr>
        <w:t>Yamao</w:t>
      </w:r>
      <w:proofErr w:type="spellEnd"/>
      <w:r w:rsidRPr="006257CB">
        <w:rPr>
          <w:rFonts w:ascii="Book Antiqua" w:hAnsi="Book Antiqua"/>
          <w:sz w:val="24"/>
          <w:szCs w:val="24"/>
        </w:rPr>
        <w:t xml:space="preserve"> K. Incidence and clinical course of submucosal lesions of the stomach. </w:t>
      </w:r>
      <w:proofErr w:type="spellStart"/>
      <w:r w:rsidRPr="006257CB">
        <w:rPr>
          <w:rFonts w:ascii="Book Antiqua" w:hAnsi="Book Antiqua"/>
          <w:i/>
          <w:iCs/>
          <w:sz w:val="24"/>
          <w:szCs w:val="24"/>
        </w:rPr>
        <w:t>Gastrointest</w:t>
      </w:r>
      <w:proofErr w:type="spellEnd"/>
      <w:r w:rsidRPr="006257CB">
        <w:rPr>
          <w:rFonts w:ascii="Book Antiqua" w:hAnsi="Book Antiqua"/>
          <w:i/>
          <w:iCs/>
          <w:sz w:val="24"/>
          <w:szCs w:val="24"/>
        </w:rPr>
        <w:t xml:space="preserve"> </w:t>
      </w:r>
      <w:proofErr w:type="spellStart"/>
      <w:r w:rsidRPr="006257CB">
        <w:rPr>
          <w:rFonts w:ascii="Book Antiqua" w:hAnsi="Book Antiqua"/>
          <w:i/>
          <w:iCs/>
          <w:sz w:val="24"/>
          <w:szCs w:val="24"/>
        </w:rPr>
        <w:t>Endosc</w:t>
      </w:r>
      <w:proofErr w:type="spellEnd"/>
      <w:r w:rsidRPr="006257CB">
        <w:rPr>
          <w:rFonts w:ascii="Book Antiqua" w:hAnsi="Book Antiqua"/>
          <w:sz w:val="24"/>
          <w:szCs w:val="24"/>
        </w:rPr>
        <w:t xml:space="preserve"> 2005; </w:t>
      </w:r>
      <w:r w:rsidRPr="006257CB">
        <w:rPr>
          <w:rFonts w:ascii="Book Antiqua" w:hAnsi="Book Antiqua"/>
          <w:b/>
          <w:bCs/>
          <w:sz w:val="24"/>
          <w:szCs w:val="24"/>
        </w:rPr>
        <w:t>61</w:t>
      </w:r>
      <w:r w:rsidRPr="006257CB">
        <w:rPr>
          <w:rFonts w:ascii="Book Antiqua" w:hAnsi="Book Antiqua"/>
          <w:sz w:val="24"/>
          <w:szCs w:val="24"/>
        </w:rPr>
        <w:t>: Ab167-Ab167 [DOI: 10.1016/S0016-5107(05)00941-7]</w:t>
      </w:r>
    </w:p>
    <w:p w14:paraId="1E5F2043"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6 </w:t>
      </w:r>
      <w:r w:rsidRPr="006257CB">
        <w:rPr>
          <w:rFonts w:ascii="Book Antiqua" w:hAnsi="Book Antiqua"/>
          <w:b/>
          <w:sz w:val="24"/>
          <w:szCs w:val="24"/>
        </w:rPr>
        <w:t>Kim MY</w:t>
      </w:r>
      <w:r w:rsidRPr="006257CB">
        <w:rPr>
          <w:rFonts w:ascii="Book Antiqua" w:hAnsi="Book Antiqua"/>
          <w:sz w:val="24"/>
          <w:szCs w:val="24"/>
        </w:rPr>
        <w:t xml:space="preserve">, Jung HY, Choi KD, Song HJ, Lee JH, Kim DH, Choi KS, Lee GH, Kim JH. </w:t>
      </w:r>
      <w:proofErr w:type="gramStart"/>
      <w:r w:rsidRPr="006257CB">
        <w:rPr>
          <w:rFonts w:ascii="Book Antiqua" w:hAnsi="Book Antiqua"/>
          <w:sz w:val="24"/>
          <w:szCs w:val="24"/>
        </w:rPr>
        <w:t>Natural history of asymptomatic small gastric subepithelial tumors.</w:t>
      </w:r>
      <w:proofErr w:type="gramEnd"/>
      <w:r w:rsidRPr="006257CB">
        <w:rPr>
          <w:rFonts w:ascii="Book Antiqua" w:hAnsi="Book Antiqua"/>
          <w:sz w:val="24"/>
          <w:szCs w:val="24"/>
        </w:rPr>
        <w:t xml:space="preserve"> </w:t>
      </w:r>
      <w:r w:rsidRPr="006257CB">
        <w:rPr>
          <w:rFonts w:ascii="Book Antiqua" w:hAnsi="Book Antiqua"/>
          <w:i/>
          <w:sz w:val="24"/>
          <w:szCs w:val="24"/>
        </w:rPr>
        <w:t xml:space="preserve">J </w:t>
      </w:r>
      <w:proofErr w:type="spellStart"/>
      <w:r w:rsidRPr="006257CB">
        <w:rPr>
          <w:rFonts w:ascii="Book Antiqua" w:hAnsi="Book Antiqua"/>
          <w:i/>
          <w:sz w:val="24"/>
          <w:szCs w:val="24"/>
        </w:rPr>
        <w:t>Clin</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Gastroenterol</w:t>
      </w:r>
      <w:proofErr w:type="spellEnd"/>
      <w:r w:rsidRPr="006257CB">
        <w:rPr>
          <w:rFonts w:ascii="Book Antiqua" w:hAnsi="Book Antiqua"/>
          <w:sz w:val="24"/>
          <w:szCs w:val="24"/>
        </w:rPr>
        <w:t xml:space="preserve"> 2011; </w:t>
      </w:r>
      <w:r w:rsidRPr="006257CB">
        <w:rPr>
          <w:rFonts w:ascii="Book Antiqua" w:hAnsi="Book Antiqua"/>
          <w:b/>
          <w:sz w:val="24"/>
          <w:szCs w:val="24"/>
        </w:rPr>
        <w:t>45</w:t>
      </w:r>
      <w:r w:rsidRPr="006257CB">
        <w:rPr>
          <w:rFonts w:ascii="Book Antiqua" w:hAnsi="Book Antiqua"/>
          <w:sz w:val="24"/>
          <w:szCs w:val="24"/>
        </w:rPr>
        <w:t>: 330-336 [PMID: 21278578 DOI: 10.1097/MCG.0b013e318206474e]</w:t>
      </w:r>
    </w:p>
    <w:p w14:paraId="426569F5" w14:textId="7777777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7 </w:t>
      </w:r>
      <w:r w:rsidRPr="006257CB">
        <w:rPr>
          <w:rFonts w:ascii="Book Antiqua" w:hAnsi="Book Antiqua"/>
          <w:b/>
          <w:sz w:val="24"/>
          <w:szCs w:val="24"/>
        </w:rPr>
        <w:t>Cho JW</w:t>
      </w:r>
      <w:r w:rsidRPr="006257CB">
        <w:rPr>
          <w:rFonts w:ascii="Book Antiqua" w:hAnsi="Book Antiqua"/>
          <w:sz w:val="24"/>
          <w:szCs w:val="24"/>
        </w:rPr>
        <w:t>; Korean ESD Study Group.</w:t>
      </w:r>
      <w:proofErr w:type="gramEnd"/>
      <w:r w:rsidRPr="006257CB">
        <w:rPr>
          <w:rFonts w:ascii="Book Antiqua" w:hAnsi="Book Antiqua"/>
          <w:sz w:val="24"/>
          <w:szCs w:val="24"/>
        </w:rPr>
        <w:t xml:space="preserve"> </w:t>
      </w:r>
      <w:proofErr w:type="gramStart"/>
      <w:r w:rsidRPr="006257CB">
        <w:rPr>
          <w:rFonts w:ascii="Book Antiqua" w:hAnsi="Book Antiqua"/>
          <w:sz w:val="24"/>
          <w:szCs w:val="24"/>
        </w:rPr>
        <w:t>Current Guidelines in the Management of Upper Gastrointestinal Subepithelial Tumors.</w:t>
      </w:r>
      <w:proofErr w:type="gramEnd"/>
      <w:r w:rsidRPr="006257CB">
        <w:rPr>
          <w:rFonts w:ascii="Book Antiqua" w:hAnsi="Book Antiqua"/>
          <w:sz w:val="24"/>
          <w:szCs w:val="24"/>
        </w:rPr>
        <w:t xml:space="preserve"> </w:t>
      </w:r>
      <w:proofErr w:type="spellStart"/>
      <w:r w:rsidRPr="006257CB">
        <w:rPr>
          <w:rFonts w:ascii="Book Antiqua" w:hAnsi="Book Antiqua"/>
          <w:i/>
          <w:sz w:val="24"/>
          <w:szCs w:val="24"/>
        </w:rPr>
        <w:t>Clin</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Endosc</w:t>
      </w:r>
      <w:proofErr w:type="spellEnd"/>
      <w:r w:rsidRPr="006257CB">
        <w:rPr>
          <w:rFonts w:ascii="Book Antiqua" w:hAnsi="Book Antiqua"/>
          <w:sz w:val="24"/>
          <w:szCs w:val="24"/>
        </w:rPr>
        <w:t xml:space="preserve"> 2016; </w:t>
      </w:r>
      <w:r w:rsidRPr="006257CB">
        <w:rPr>
          <w:rFonts w:ascii="Book Antiqua" w:hAnsi="Book Antiqua"/>
          <w:b/>
          <w:sz w:val="24"/>
          <w:szCs w:val="24"/>
        </w:rPr>
        <w:t>49</w:t>
      </w:r>
      <w:r w:rsidRPr="006257CB">
        <w:rPr>
          <w:rFonts w:ascii="Book Antiqua" w:hAnsi="Book Antiqua"/>
          <w:sz w:val="24"/>
          <w:szCs w:val="24"/>
        </w:rPr>
        <w:t>: 235-240 [PMID: 26898512 DOI: 10.5946/ce.2015.096]</w:t>
      </w:r>
    </w:p>
    <w:p w14:paraId="479EAEA6" w14:textId="7777777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8 </w:t>
      </w:r>
      <w:proofErr w:type="spellStart"/>
      <w:r w:rsidRPr="006257CB">
        <w:rPr>
          <w:rFonts w:ascii="Book Antiqua" w:hAnsi="Book Antiqua"/>
          <w:b/>
          <w:sz w:val="24"/>
          <w:szCs w:val="24"/>
        </w:rPr>
        <w:t>Chak</w:t>
      </w:r>
      <w:proofErr w:type="spellEnd"/>
      <w:r w:rsidRPr="006257CB">
        <w:rPr>
          <w:rFonts w:ascii="Book Antiqua" w:hAnsi="Book Antiqua"/>
          <w:b/>
          <w:sz w:val="24"/>
          <w:szCs w:val="24"/>
        </w:rPr>
        <w:t xml:space="preserve"> A</w:t>
      </w:r>
      <w:r w:rsidRPr="006257CB">
        <w:rPr>
          <w:rFonts w:ascii="Book Antiqua" w:hAnsi="Book Antiqua"/>
          <w:sz w:val="24"/>
          <w:szCs w:val="24"/>
        </w:rPr>
        <w:t>. EUS in submucosal tumors.</w:t>
      </w:r>
      <w:proofErr w:type="gramEnd"/>
      <w:r w:rsidRPr="006257CB">
        <w:rPr>
          <w:rFonts w:ascii="Book Antiqua" w:hAnsi="Book Antiqua"/>
          <w:sz w:val="24"/>
          <w:szCs w:val="24"/>
        </w:rPr>
        <w:t xml:space="preserve"> </w:t>
      </w:r>
      <w:proofErr w:type="spellStart"/>
      <w:r w:rsidRPr="006257CB">
        <w:rPr>
          <w:rFonts w:ascii="Book Antiqua" w:hAnsi="Book Antiqua"/>
          <w:i/>
          <w:sz w:val="24"/>
          <w:szCs w:val="24"/>
        </w:rPr>
        <w:t>Gastrointest</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Endosc</w:t>
      </w:r>
      <w:proofErr w:type="spellEnd"/>
      <w:r w:rsidRPr="006257CB">
        <w:rPr>
          <w:rFonts w:ascii="Book Antiqua" w:hAnsi="Book Antiqua"/>
          <w:sz w:val="24"/>
          <w:szCs w:val="24"/>
        </w:rPr>
        <w:t xml:space="preserve"> 2002; </w:t>
      </w:r>
      <w:r w:rsidRPr="006257CB">
        <w:rPr>
          <w:rFonts w:ascii="Book Antiqua" w:hAnsi="Book Antiqua"/>
          <w:b/>
          <w:sz w:val="24"/>
          <w:szCs w:val="24"/>
        </w:rPr>
        <w:t>56</w:t>
      </w:r>
      <w:r w:rsidRPr="006257CB">
        <w:rPr>
          <w:rFonts w:ascii="Book Antiqua" w:hAnsi="Book Antiqua"/>
          <w:sz w:val="24"/>
          <w:szCs w:val="24"/>
        </w:rPr>
        <w:t>: S43-S48 [PMID: 12297748 DOI: 10.1016/s0016-5107(02)70085-0]</w:t>
      </w:r>
    </w:p>
    <w:p w14:paraId="2D9EFD8F" w14:textId="7777777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9 </w:t>
      </w:r>
      <w:proofErr w:type="spellStart"/>
      <w:r w:rsidRPr="006257CB">
        <w:rPr>
          <w:rFonts w:ascii="Book Antiqua" w:hAnsi="Book Antiqua"/>
          <w:b/>
          <w:sz w:val="24"/>
          <w:szCs w:val="24"/>
        </w:rPr>
        <w:t>Eckardt</w:t>
      </w:r>
      <w:proofErr w:type="spellEnd"/>
      <w:r w:rsidRPr="006257CB">
        <w:rPr>
          <w:rFonts w:ascii="Book Antiqua" w:hAnsi="Book Antiqua"/>
          <w:b/>
          <w:sz w:val="24"/>
          <w:szCs w:val="24"/>
        </w:rPr>
        <w:t xml:space="preserve"> AJ</w:t>
      </w:r>
      <w:r w:rsidRPr="006257CB">
        <w:rPr>
          <w:rFonts w:ascii="Book Antiqua" w:hAnsi="Book Antiqua"/>
          <w:sz w:val="24"/>
          <w:szCs w:val="24"/>
        </w:rPr>
        <w:t>, Wassef W. Diagnosis of subepithelial tumors in the GI tract.</w:t>
      </w:r>
      <w:proofErr w:type="gramEnd"/>
      <w:r w:rsidRPr="006257CB">
        <w:rPr>
          <w:rFonts w:ascii="Book Antiqua" w:hAnsi="Book Antiqua"/>
          <w:sz w:val="24"/>
          <w:szCs w:val="24"/>
        </w:rPr>
        <w:t xml:space="preserve"> Endoscopy, EUS, and histology: bronze, silver, and gold standard? </w:t>
      </w:r>
      <w:proofErr w:type="spellStart"/>
      <w:r w:rsidRPr="006257CB">
        <w:rPr>
          <w:rFonts w:ascii="Book Antiqua" w:hAnsi="Book Antiqua"/>
          <w:i/>
          <w:sz w:val="24"/>
          <w:szCs w:val="24"/>
        </w:rPr>
        <w:t>Gastrointest</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Endosc</w:t>
      </w:r>
      <w:proofErr w:type="spellEnd"/>
      <w:r w:rsidRPr="006257CB">
        <w:rPr>
          <w:rFonts w:ascii="Book Antiqua" w:hAnsi="Book Antiqua"/>
          <w:sz w:val="24"/>
          <w:szCs w:val="24"/>
        </w:rPr>
        <w:t xml:space="preserve"> 2005; </w:t>
      </w:r>
      <w:r w:rsidRPr="006257CB">
        <w:rPr>
          <w:rFonts w:ascii="Book Antiqua" w:hAnsi="Book Antiqua"/>
          <w:b/>
          <w:sz w:val="24"/>
          <w:szCs w:val="24"/>
        </w:rPr>
        <w:t>62</w:t>
      </w:r>
      <w:r w:rsidRPr="006257CB">
        <w:rPr>
          <w:rFonts w:ascii="Book Antiqua" w:hAnsi="Book Antiqua"/>
          <w:sz w:val="24"/>
          <w:szCs w:val="24"/>
        </w:rPr>
        <w:t>: 209-212 [PMID: 16046980 DOI: 10.1016/j.gie.2005.05.001]</w:t>
      </w:r>
    </w:p>
    <w:p w14:paraId="477215F7" w14:textId="7777777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10 </w:t>
      </w:r>
      <w:r w:rsidRPr="006257CB">
        <w:rPr>
          <w:rFonts w:ascii="Book Antiqua" w:hAnsi="Book Antiqua"/>
          <w:b/>
          <w:sz w:val="24"/>
          <w:szCs w:val="24"/>
        </w:rPr>
        <w:t>Song JH</w:t>
      </w:r>
      <w:r w:rsidRPr="006257CB">
        <w:rPr>
          <w:rFonts w:ascii="Book Antiqua" w:hAnsi="Book Antiqua"/>
          <w:sz w:val="24"/>
          <w:szCs w:val="24"/>
        </w:rPr>
        <w:t>, Kim SG, Chung SJ, Kang HY, Yang SY, Kim YS.</w:t>
      </w:r>
      <w:proofErr w:type="gramEnd"/>
      <w:r w:rsidRPr="006257CB">
        <w:rPr>
          <w:rFonts w:ascii="Book Antiqua" w:hAnsi="Book Antiqua"/>
          <w:sz w:val="24"/>
          <w:szCs w:val="24"/>
        </w:rPr>
        <w:t xml:space="preserve"> </w:t>
      </w:r>
      <w:proofErr w:type="gramStart"/>
      <w:r w:rsidRPr="006257CB">
        <w:rPr>
          <w:rFonts w:ascii="Book Antiqua" w:hAnsi="Book Antiqua"/>
          <w:sz w:val="24"/>
          <w:szCs w:val="24"/>
        </w:rPr>
        <w:t>Risk of progression for incidental small subepithelial tumors in the upper gastrointestinal tract.</w:t>
      </w:r>
      <w:proofErr w:type="gramEnd"/>
      <w:r w:rsidRPr="006257CB">
        <w:rPr>
          <w:rFonts w:ascii="Book Antiqua" w:hAnsi="Book Antiqua"/>
          <w:sz w:val="24"/>
          <w:szCs w:val="24"/>
        </w:rPr>
        <w:t xml:space="preserve"> </w:t>
      </w:r>
      <w:r w:rsidRPr="006257CB">
        <w:rPr>
          <w:rFonts w:ascii="Book Antiqua" w:hAnsi="Book Antiqua"/>
          <w:i/>
          <w:sz w:val="24"/>
          <w:szCs w:val="24"/>
        </w:rPr>
        <w:t>Endoscopy</w:t>
      </w:r>
      <w:r w:rsidRPr="006257CB">
        <w:rPr>
          <w:rFonts w:ascii="Book Antiqua" w:hAnsi="Book Antiqua"/>
          <w:sz w:val="24"/>
          <w:szCs w:val="24"/>
        </w:rPr>
        <w:t xml:space="preserve"> 2015; </w:t>
      </w:r>
      <w:r w:rsidRPr="006257CB">
        <w:rPr>
          <w:rFonts w:ascii="Book Antiqua" w:hAnsi="Book Antiqua"/>
          <w:b/>
          <w:sz w:val="24"/>
          <w:szCs w:val="24"/>
        </w:rPr>
        <w:t>47</w:t>
      </w:r>
      <w:r w:rsidRPr="006257CB">
        <w:rPr>
          <w:rFonts w:ascii="Book Antiqua" w:hAnsi="Book Antiqua"/>
          <w:sz w:val="24"/>
          <w:szCs w:val="24"/>
        </w:rPr>
        <w:t>: 675-679 [PMID: 25961444 DOI: 10.1055/s-0034-1391967]</w:t>
      </w:r>
    </w:p>
    <w:p w14:paraId="7EC1755A" w14:textId="77777777" w:rsidR="008B06D0" w:rsidRPr="006257CB" w:rsidRDefault="008B06D0" w:rsidP="006D1F4C">
      <w:pPr>
        <w:snapToGrid w:val="0"/>
        <w:spacing w:line="360" w:lineRule="auto"/>
        <w:rPr>
          <w:rFonts w:ascii="Book Antiqua" w:hAnsi="Book Antiqua"/>
          <w:sz w:val="24"/>
          <w:szCs w:val="24"/>
        </w:rPr>
      </w:pPr>
      <w:proofErr w:type="gramStart"/>
      <w:r w:rsidRPr="006257CB">
        <w:rPr>
          <w:rFonts w:ascii="Book Antiqua" w:hAnsi="Book Antiqua"/>
          <w:sz w:val="24"/>
          <w:szCs w:val="24"/>
        </w:rPr>
        <w:t xml:space="preserve">11 </w:t>
      </w:r>
      <w:r w:rsidRPr="006257CB">
        <w:rPr>
          <w:rFonts w:ascii="Book Antiqua" w:hAnsi="Book Antiqua"/>
          <w:b/>
          <w:sz w:val="24"/>
          <w:szCs w:val="24"/>
        </w:rPr>
        <w:t>Menon L</w:t>
      </w:r>
      <w:r w:rsidRPr="006257CB">
        <w:rPr>
          <w:rFonts w:ascii="Book Antiqua" w:hAnsi="Book Antiqua"/>
          <w:sz w:val="24"/>
          <w:szCs w:val="24"/>
        </w:rPr>
        <w:t xml:space="preserve">, </w:t>
      </w:r>
      <w:proofErr w:type="spellStart"/>
      <w:r w:rsidRPr="006257CB">
        <w:rPr>
          <w:rFonts w:ascii="Book Antiqua" w:hAnsi="Book Antiqua"/>
          <w:sz w:val="24"/>
          <w:szCs w:val="24"/>
        </w:rPr>
        <w:t>Buscaglia</w:t>
      </w:r>
      <w:proofErr w:type="spellEnd"/>
      <w:r w:rsidRPr="006257CB">
        <w:rPr>
          <w:rFonts w:ascii="Book Antiqua" w:hAnsi="Book Antiqua"/>
          <w:sz w:val="24"/>
          <w:szCs w:val="24"/>
        </w:rPr>
        <w:t xml:space="preserve"> JM.</w:t>
      </w:r>
      <w:proofErr w:type="gramEnd"/>
      <w:r w:rsidRPr="006257CB">
        <w:rPr>
          <w:rFonts w:ascii="Book Antiqua" w:hAnsi="Book Antiqua"/>
          <w:sz w:val="24"/>
          <w:szCs w:val="24"/>
        </w:rPr>
        <w:t xml:space="preserve"> </w:t>
      </w:r>
      <w:proofErr w:type="gramStart"/>
      <w:r w:rsidRPr="006257CB">
        <w:rPr>
          <w:rFonts w:ascii="Book Antiqua" w:hAnsi="Book Antiqua"/>
          <w:sz w:val="24"/>
          <w:szCs w:val="24"/>
        </w:rPr>
        <w:t>Endoscopic approach to subepithelial lesions.</w:t>
      </w:r>
      <w:proofErr w:type="gramEnd"/>
      <w:r w:rsidRPr="006257CB">
        <w:rPr>
          <w:rFonts w:ascii="Book Antiqua" w:hAnsi="Book Antiqua"/>
          <w:sz w:val="24"/>
          <w:szCs w:val="24"/>
        </w:rPr>
        <w:t xml:space="preserve"> </w:t>
      </w:r>
      <w:proofErr w:type="spellStart"/>
      <w:r w:rsidRPr="006257CB">
        <w:rPr>
          <w:rFonts w:ascii="Book Antiqua" w:hAnsi="Book Antiqua"/>
          <w:i/>
          <w:sz w:val="24"/>
          <w:szCs w:val="24"/>
        </w:rPr>
        <w:t>Therap</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Adv</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Gastroenterol</w:t>
      </w:r>
      <w:proofErr w:type="spellEnd"/>
      <w:r w:rsidRPr="006257CB">
        <w:rPr>
          <w:rFonts w:ascii="Book Antiqua" w:hAnsi="Book Antiqua"/>
          <w:sz w:val="24"/>
          <w:szCs w:val="24"/>
        </w:rPr>
        <w:t xml:space="preserve"> 2014; </w:t>
      </w:r>
      <w:r w:rsidRPr="006257CB">
        <w:rPr>
          <w:rFonts w:ascii="Book Antiqua" w:hAnsi="Book Antiqua"/>
          <w:b/>
          <w:sz w:val="24"/>
          <w:szCs w:val="24"/>
        </w:rPr>
        <w:t>7</w:t>
      </w:r>
      <w:r w:rsidRPr="006257CB">
        <w:rPr>
          <w:rFonts w:ascii="Book Antiqua" w:hAnsi="Book Antiqua"/>
          <w:sz w:val="24"/>
          <w:szCs w:val="24"/>
        </w:rPr>
        <w:t>: 123-130 [PMID: 24790643 DOI: 10.1177/1756283X13513538]</w:t>
      </w:r>
    </w:p>
    <w:p w14:paraId="5EBFE89E"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12 </w:t>
      </w:r>
      <w:proofErr w:type="spellStart"/>
      <w:r w:rsidRPr="006257CB">
        <w:rPr>
          <w:rFonts w:ascii="Book Antiqua" w:hAnsi="Book Antiqua"/>
          <w:b/>
          <w:sz w:val="24"/>
          <w:szCs w:val="24"/>
        </w:rPr>
        <w:t>Reddymasu</w:t>
      </w:r>
      <w:proofErr w:type="spellEnd"/>
      <w:r w:rsidRPr="006257CB">
        <w:rPr>
          <w:rFonts w:ascii="Book Antiqua" w:hAnsi="Book Antiqua"/>
          <w:b/>
          <w:sz w:val="24"/>
          <w:szCs w:val="24"/>
        </w:rPr>
        <w:t xml:space="preserve"> SC</w:t>
      </w:r>
      <w:r w:rsidRPr="006257CB">
        <w:rPr>
          <w:rFonts w:ascii="Book Antiqua" w:hAnsi="Book Antiqua"/>
          <w:sz w:val="24"/>
          <w:szCs w:val="24"/>
        </w:rPr>
        <w:t xml:space="preserve">, </w:t>
      </w:r>
      <w:proofErr w:type="spellStart"/>
      <w:r w:rsidRPr="006257CB">
        <w:rPr>
          <w:rFonts w:ascii="Book Antiqua" w:hAnsi="Book Antiqua"/>
          <w:sz w:val="24"/>
          <w:szCs w:val="24"/>
        </w:rPr>
        <w:t>Oropeza</w:t>
      </w:r>
      <w:proofErr w:type="spellEnd"/>
      <w:r w:rsidRPr="006257CB">
        <w:rPr>
          <w:rFonts w:ascii="Book Antiqua" w:hAnsi="Book Antiqua"/>
          <w:sz w:val="24"/>
          <w:szCs w:val="24"/>
        </w:rPr>
        <w:t xml:space="preserve">-Vail M, </w:t>
      </w:r>
      <w:proofErr w:type="spellStart"/>
      <w:r w:rsidRPr="006257CB">
        <w:rPr>
          <w:rFonts w:ascii="Book Antiqua" w:hAnsi="Book Antiqua"/>
          <w:sz w:val="24"/>
          <w:szCs w:val="24"/>
        </w:rPr>
        <w:t>Pakseresht</w:t>
      </w:r>
      <w:proofErr w:type="spellEnd"/>
      <w:r w:rsidRPr="006257CB">
        <w:rPr>
          <w:rFonts w:ascii="Book Antiqua" w:hAnsi="Book Antiqua"/>
          <w:sz w:val="24"/>
          <w:szCs w:val="24"/>
        </w:rPr>
        <w:t xml:space="preserve"> K, </w:t>
      </w:r>
      <w:proofErr w:type="spellStart"/>
      <w:r w:rsidRPr="006257CB">
        <w:rPr>
          <w:rFonts w:ascii="Book Antiqua" w:hAnsi="Book Antiqua"/>
          <w:sz w:val="24"/>
          <w:szCs w:val="24"/>
        </w:rPr>
        <w:t>Moloney</w:t>
      </w:r>
      <w:proofErr w:type="spellEnd"/>
      <w:r w:rsidRPr="006257CB">
        <w:rPr>
          <w:rFonts w:ascii="Book Antiqua" w:hAnsi="Book Antiqua"/>
          <w:sz w:val="24"/>
          <w:szCs w:val="24"/>
        </w:rPr>
        <w:t xml:space="preserve"> B, </w:t>
      </w:r>
      <w:proofErr w:type="spellStart"/>
      <w:r w:rsidRPr="006257CB">
        <w:rPr>
          <w:rFonts w:ascii="Book Antiqua" w:hAnsi="Book Antiqua"/>
          <w:sz w:val="24"/>
          <w:szCs w:val="24"/>
        </w:rPr>
        <w:t>Esfandyari</w:t>
      </w:r>
      <w:proofErr w:type="spellEnd"/>
      <w:r w:rsidRPr="006257CB">
        <w:rPr>
          <w:rFonts w:ascii="Book Antiqua" w:hAnsi="Book Antiqua"/>
          <w:sz w:val="24"/>
          <w:szCs w:val="24"/>
        </w:rPr>
        <w:t xml:space="preserve"> T, </w:t>
      </w:r>
      <w:proofErr w:type="spellStart"/>
      <w:r w:rsidRPr="006257CB">
        <w:rPr>
          <w:rFonts w:ascii="Book Antiqua" w:hAnsi="Book Antiqua"/>
          <w:sz w:val="24"/>
          <w:szCs w:val="24"/>
        </w:rPr>
        <w:t>Grisolano</w:t>
      </w:r>
      <w:proofErr w:type="spellEnd"/>
      <w:r w:rsidRPr="006257CB">
        <w:rPr>
          <w:rFonts w:ascii="Book Antiqua" w:hAnsi="Book Antiqua"/>
          <w:sz w:val="24"/>
          <w:szCs w:val="24"/>
        </w:rPr>
        <w:t xml:space="preserve"> S, Buckles D, </w:t>
      </w:r>
      <w:proofErr w:type="spellStart"/>
      <w:r w:rsidRPr="006257CB">
        <w:rPr>
          <w:rFonts w:ascii="Book Antiqua" w:hAnsi="Book Antiqua"/>
          <w:sz w:val="24"/>
          <w:szCs w:val="24"/>
        </w:rPr>
        <w:t>Olyaee</w:t>
      </w:r>
      <w:proofErr w:type="spellEnd"/>
      <w:r w:rsidRPr="006257CB">
        <w:rPr>
          <w:rFonts w:ascii="Book Antiqua" w:hAnsi="Book Antiqua"/>
          <w:sz w:val="24"/>
          <w:szCs w:val="24"/>
        </w:rPr>
        <w:t xml:space="preserve"> M. </w:t>
      </w:r>
      <w:proofErr w:type="gramStart"/>
      <w:r w:rsidRPr="006257CB">
        <w:rPr>
          <w:rFonts w:ascii="Book Antiqua" w:hAnsi="Book Antiqua"/>
          <w:sz w:val="24"/>
          <w:szCs w:val="24"/>
        </w:rPr>
        <w:t>Are endoscopic ultrasonography</w:t>
      </w:r>
      <w:proofErr w:type="gramEnd"/>
      <w:r w:rsidRPr="006257CB">
        <w:rPr>
          <w:rFonts w:ascii="Book Antiqua" w:hAnsi="Book Antiqua"/>
          <w:sz w:val="24"/>
          <w:szCs w:val="24"/>
        </w:rPr>
        <w:t xml:space="preserve"> imaging characteristics reliable for the diagnosis of small upper gastrointestinal </w:t>
      </w:r>
      <w:r w:rsidRPr="006257CB">
        <w:rPr>
          <w:rFonts w:ascii="Book Antiqua" w:hAnsi="Book Antiqua"/>
          <w:sz w:val="24"/>
          <w:szCs w:val="24"/>
        </w:rPr>
        <w:lastRenderedPageBreak/>
        <w:t xml:space="preserve">subepithelial lesions? </w:t>
      </w:r>
      <w:r w:rsidRPr="006257CB">
        <w:rPr>
          <w:rFonts w:ascii="Book Antiqua" w:hAnsi="Book Antiqua"/>
          <w:i/>
          <w:sz w:val="24"/>
          <w:szCs w:val="24"/>
        </w:rPr>
        <w:t xml:space="preserve">J </w:t>
      </w:r>
      <w:proofErr w:type="spellStart"/>
      <w:r w:rsidRPr="006257CB">
        <w:rPr>
          <w:rFonts w:ascii="Book Antiqua" w:hAnsi="Book Antiqua"/>
          <w:i/>
          <w:sz w:val="24"/>
          <w:szCs w:val="24"/>
        </w:rPr>
        <w:t>Clin</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Gastroenterol</w:t>
      </w:r>
      <w:proofErr w:type="spellEnd"/>
      <w:r w:rsidRPr="006257CB">
        <w:rPr>
          <w:rFonts w:ascii="Book Antiqua" w:hAnsi="Book Antiqua"/>
          <w:sz w:val="24"/>
          <w:szCs w:val="24"/>
        </w:rPr>
        <w:t xml:space="preserve"> 2012; </w:t>
      </w:r>
      <w:r w:rsidRPr="006257CB">
        <w:rPr>
          <w:rFonts w:ascii="Book Antiqua" w:hAnsi="Book Antiqua"/>
          <w:b/>
          <w:sz w:val="24"/>
          <w:szCs w:val="24"/>
        </w:rPr>
        <w:t>46</w:t>
      </w:r>
      <w:r w:rsidRPr="006257CB">
        <w:rPr>
          <w:rFonts w:ascii="Book Antiqua" w:hAnsi="Book Antiqua"/>
          <w:sz w:val="24"/>
          <w:szCs w:val="24"/>
        </w:rPr>
        <w:t>: 42-45 [PMID: 21778894 DOI: 10.1097/MCG.0b013e318226af8e]</w:t>
      </w:r>
    </w:p>
    <w:p w14:paraId="034BD709" w14:textId="77777777" w:rsidR="008B06D0"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13 </w:t>
      </w:r>
      <w:proofErr w:type="spellStart"/>
      <w:r w:rsidRPr="006257CB">
        <w:rPr>
          <w:rFonts w:ascii="Book Antiqua" w:hAnsi="Book Antiqua"/>
          <w:b/>
          <w:sz w:val="24"/>
          <w:szCs w:val="24"/>
        </w:rPr>
        <w:t>Karaca</w:t>
      </w:r>
      <w:proofErr w:type="spellEnd"/>
      <w:r w:rsidRPr="006257CB">
        <w:rPr>
          <w:rFonts w:ascii="Book Antiqua" w:hAnsi="Book Antiqua"/>
          <w:b/>
          <w:sz w:val="24"/>
          <w:szCs w:val="24"/>
        </w:rPr>
        <w:t xml:space="preserve"> C</w:t>
      </w:r>
      <w:r w:rsidRPr="006257CB">
        <w:rPr>
          <w:rFonts w:ascii="Book Antiqua" w:hAnsi="Book Antiqua"/>
          <w:sz w:val="24"/>
          <w:szCs w:val="24"/>
        </w:rPr>
        <w:t xml:space="preserve">, Turner BG, </w:t>
      </w:r>
      <w:proofErr w:type="spellStart"/>
      <w:r w:rsidRPr="006257CB">
        <w:rPr>
          <w:rFonts w:ascii="Book Antiqua" w:hAnsi="Book Antiqua"/>
          <w:sz w:val="24"/>
          <w:szCs w:val="24"/>
        </w:rPr>
        <w:t>Cizginer</w:t>
      </w:r>
      <w:proofErr w:type="spellEnd"/>
      <w:r w:rsidRPr="006257CB">
        <w:rPr>
          <w:rFonts w:ascii="Book Antiqua" w:hAnsi="Book Antiqua"/>
          <w:sz w:val="24"/>
          <w:szCs w:val="24"/>
        </w:rPr>
        <w:t xml:space="preserve"> S, </w:t>
      </w:r>
      <w:proofErr w:type="spellStart"/>
      <w:r w:rsidRPr="006257CB">
        <w:rPr>
          <w:rFonts w:ascii="Book Antiqua" w:hAnsi="Book Antiqua"/>
          <w:sz w:val="24"/>
          <w:szCs w:val="24"/>
        </w:rPr>
        <w:t>Forcione</w:t>
      </w:r>
      <w:proofErr w:type="spellEnd"/>
      <w:r w:rsidRPr="006257CB">
        <w:rPr>
          <w:rFonts w:ascii="Book Antiqua" w:hAnsi="Book Antiqua"/>
          <w:sz w:val="24"/>
          <w:szCs w:val="24"/>
        </w:rPr>
        <w:t xml:space="preserve"> D, </w:t>
      </w:r>
      <w:proofErr w:type="spellStart"/>
      <w:r w:rsidRPr="006257CB">
        <w:rPr>
          <w:rFonts w:ascii="Book Antiqua" w:hAnsi="Book Antiqua"/>
          <w:sz w:val="24"/>
          <w:szCs w:val="24"/>
        </w:rPr>
        <w:t>Brugge</w:t>
      </w:r>
      <w:proofErr w:type="spellEnd"/>
      <w:r w:rsidRPr="006257CB">
        <w:rPr>
          <w:rFonts w:ascii="Book Antiqua" w:hAnsi="Book Antiqua"/>
          <w:sz w:val="24"/>
          <w:szCs w:val="24"/>
        </w:rPr>
        <w:t xml:space="preserve"> W. Accuracy of EUS in the evaluation of small gastric subepithelial lesions. </w:t>
      </w:r>
      <w:proofErr w:type="spellStart"/>
      <w:r w:rsidRPr="006257CB">
        <w:rPr>
          <w:rFonts w:ascii="Book Antiqua" w:hAnsi="Book Antiqua"/>
          <w:i/>
          <w:sz w:val="24"/>
          <w:szCs w:val="24"/>
        </w:rPr>
        <w:t>Gastrointest</w:t>
      </w:r>
      <w:proofErr w:type="spellEnd"/>
      <w:r w:rsidRPr="006257CB">
        <w:rPr>
          <w:rFonts w:ascii="Book Antiqua" w:hAnsi="Book Antiqua"/>
          <w:i/>
          <w:sz w:val="24"/>
          <w:szCs w:val="24"/>
        </w:rPr>
        <w:t xml:space="preserve"> </w:t>
      </w:r>
      <w:proofErr w:type="spellStart"/>
      <w:r w:rsidRPr="006257CB">
        <w:rPr>
          <w:rFonts w:ascii="Book Antiqua" w:hAnsi="Book Antiqua"/>
          <w:i/>
          <w:sz w:val="24"/>
          <w:szCs w:val="24"/>
        </w:rPr>
        <w:t>Endosc</w:t>
      </w:r>
      <w:proofErr w:type="spellEnd"/>
      <w:r w:rsidRPr="006257CB">
        <w:rPr>
          <w:rFonts w:ascii="Book Antiqua" w:hAnsi="Book Antiqua"/>
          <w:sz w:val="24"/>
          <w:szCs w:val="24"/>
        </w:rPr>
        <w:t xml:space="preserve"> 2010; </w:t>
      </w:r>
      <w:r w:rsidRPr="006257CB">
        <w:rPr>
          <w:rFonts w:ascii="Book Antiqua" w:hAnsi="Book Antiqua"/>
          <w:b/>
          <w:sz w:val="24"/>
          <w:szCs w:val="24"/>
        </w:rPr>
        <w:t>71</w:t>
      </w:r>
      <w:r w:rsidRPr="006257CB">
        <w:rPr>
          <w:rFonts w:ascii="Book Antiqua" w:hAnsi="Book Antiqua"/>
          <w:sz w:val="24"/>
          <w:szCs w:val="24"/>
        </w:rPr>
        <w:t>: 722-727 [PMID: 20171632 DOI: 10.1016/j.gie.2009.10.019]</w:t>
      </w:r>
    </w:p>
    <w:p w14:paraId="6B77D17C" w14:textId="531F0567" w:rsidR="005A22C6" w:rsidRPr="006257CB" w:rsidRDefault="008B06D0" w:rsidP="006D1F4C">
      <w:pPr>
        <w:snapToGrid w:val="0"/>
        <w:spacing w:line="360" w:lineRule="auto"/>
        <w:rPr>
          <w:rFonts w:ascii="Book Antiqua" w:hAnsi="Book Antiqua"/>
          <w:sz w:val="24"/>
          <w:szCs w:val="24"/>
        </w:rPr>
      </w:pPr>
      <w:r w:rsidRPr="006257CB">
        <w:rPr>
          <w:rFonts w:ascii="Book Antiqua" w:hAnsi="Book Antiqua"/>
          <w:sz w:val="24"/>
          <w:szCs w:val="24"/>
        </w:rPr>
        <w:t xml:space="preserve">14 </w:t>
      </w:r>
      <w:r w:rsidRPr="006257CB">
        <w:rPr>
          <w:rFonts w:ascii="Book Antiqua" w:hAnsi="Book Antiqua"/>
          <w:b/>
          <w:sz w:val="24"/>
          <w:szCs w:val="24"/>
        </w:rPr>
        <w:t>Lim YJ</w:t>
      </w:r>
      <w:r w:rsidRPr="006257CB">
        <w:rPr>
          <w:rFonts w:ascii="Book Antiqua" w:hAnsi="Book Antiqua"/>
          <w:sz w:val="24"/>
          <w:szCs w:val="24"/>
        </w:rPr>
        <w:t xml:space="preserve">, Son HJ, Lee JS, Byun YH, Suh HJ, Rhee PL, Kim JJ, Rhee JC. Clinical course of subepithelial lesions detected on upper gastrointestinal endoscopy. </w:t>
      </w:r>
      <w:r w:rsidRPr="006257CB">
        <w:rPr>
          <w:rFonts w:ascii="Book Antiqua" w:hAnsi="Book Antiqua"/>
          <w:i/>
          <w:sz w:val="24"/>
          <w:szCs w:val="24"/>
        </w:rPr>
        <w:t>World J Gastroenterol</w:t>
      </w:r>
      <w:r w:rsidRPr="006257CB">
        <w:rPr>
          <w:rFonts w:ascii="Book Antiqua" w:hAnsi="Book Antiqua"/>
          <w:sz w:val="24"/>
          <w:szCs w:val="24"/>
        </w:rPr>
        <w:t xml:space="preserve"> 2010; </w:t>
      </w:r>
      <w:r w:rsidRPr="006257CB">
        <w:rPr>
          <w:rFonts w:ascii="Book Antiqua" w:hAnsi="Book Antiqua"/>
          <w:b/>
          <w:sz w:val="24"/>
          <w:szCs w:val="24"/>
        </w:rPr>
        <w:t>16</w:t>
      </w:r>
      <w:r w:rsidRPr="006257CB">
        <w:rPr>
          <w:rFonts w:ascii="Book Antiqua" w:hAnsi="Book Antiqua"/>
          <w:sz w:val="24"/>
          <w:szCs w:val="24"/>
        </w:rPr>
        <w:t>: 439-444 [PMID: 20101768 DOI: 10.3748/wjg.v16.i4.439]</w:t>
      </w:r>
    </w:p>
    <w:p w14:paraId="4484012C" w14:textId="77777777" w:rsidR="008B06D0" w:rsidRPr="006257CB" w:rsidRDefault="008B06D0" w:rsidP="006D1F4C">
      <w:pPr>
        <w:widowControl/>
        <w:snapToGrid w:val="0"/>
        <w:spacing w:line="360" w:lineRule="auto"/>
        <w:rPr>
          <w:rFonts w:ascii="Book Antiqua" w:hAnsi="Book Antiqua"/>
          <w:color w:val="000000" w:themeColor="text1"/>
          <w:sz w:val="24"/>
          <w:szCs w:val="24"/>
        </w:rPr>
      </w:pPr>
      <w:r w:rsidRPr="006257CB">
        <w:rPr>
          <w:rFonts w:ascii="Book Antiqua" w:hAnsi="Book Antiqua"/>
          <w:color w:val="000000" w:themeColor="text1"/>
          <w:sz w:val="24"/>
          <w:szCs w:val="24"/>
        </w:rPr>
        <w:br w:type="page"/>
      </w:r>
    </w:p>
    <w:p w14:paraId="58CC3F61" w14:textId="77777777" w:rsidR="00377C2C" w:rsidRPr="006257CB" w:rsidRDefault="00377C2C" w:rsidP="006D1F4C">
      <w:pPr>
        <w:adjustRightInd w:val="0"/>
        <w:snapToGrid w:val="0"/>
        <w:spacing w:line="360" w:lineRule="auto"/>
        <w:rPr>
          <w:rFonts w:ascii="Book Antiqua" w:hAnsi="Book Antiqua"/>
          <w:b/>
          <w:sz w:val="24"/>
          <w:szCs w:val="24"/>
        </w:rPr>
      </w:pPr>
      <w:r w:rsidRPr="006257CB">
        <w:rPr>
          <w:rFonts w:ascii="Book Antiqua" w:hAnsi="Book Antiqua"/>
          <w:b/>
          <w:sz w:val="24"/>
          <w:szCs w:val="24"/>
        </w:rPr>
        <w:lastRenderedPageBreak/>
        <w:t>Footnotes</w:t>
      </w:r>
    </w:p>
    <w:p w14:paraId="11EE2BE5" w14:textId="2EA85584" w:rsidR="006B14D0" w:rsidRPr="006257CB" w:rsidRDefault="00377C2C" w:rsidP="006D1F4C">
      <w:pPr>
        <w:snapToGrid w:val="0"/>
        <w:spacing w:line="360" w:lineRule="auto"/>
        <w:rPr>
          <w:rFonts w:ascii="Book Antiqua" w:hAnsi="Book Antiqua"/>
          <w:color w:val="000000" w:themeColor="text1"/>
          <w:sz w:val="24"/>
          <w:szCs w:val="24"/>
        </w:rPr>
      </w:pPr>
      <w:r w:rsidRPr="006257CB">
        <w:rPr>
          <w:rFonts w:ascii="Book Antiqua" w:hAnsi="Book Antiqua"/>
          <w:b/>
          <w:sz w:val="24"/>
          <w:szCs w:val="24"/>
        </w:rPr>
        <w:t>Institutional review board statement</w:t>
      </w:r>
      <w:r w:rsidRPr="006257CB">
        <w:rPr>
          <w:rFonts w:ascii="Book Antiqua" w:hAnsi="Book Antiqua"/>
          <w:b/>
          <w:iCs/>
          <w:color w:val="000000"/>
          <w:kern w:val="0"/>
          <w:sz w:val="24"/>
          <w:szCs w:val="24"/>
        </w:rPr>
        <w:t xml:space="preserve">: </w:t>
      </w:r>
      <w:r w:rsidR="006B14D0" w:rsidRPr="006257CB">
        <w:rPr>
          <w:rFonts w:ascii="Book Antiqua" w:hAnsi="Book Antiqua"/>
          <w:color w:val="000000" w:themeColor="text1"/>
          <w:sz w:val="24"/>
          <w:szCs w:val="24"/>
        </w:rPr>
        <w:t>The study protocol was approved by Biomedical Research Ethics Committee, West China Hospital of Sichuan University.</w:t>
      </w:r>
    </w:p>
    <w:p w14:paraId="7916B75F" w14:textId="77777777" w:rsidR="006B14D0" w:rsidRPr="006257CB" w:rsidRDefault="006B14D0" w:rsidP="006D1F4C">
      <w:pPr>
        <w:snapToGrid w:val="0"/>
        <w:spacing w:line="360" w:lineRule="auto"/>
        <w:rPr>
          <w:rFonts w:ascii="Book Antiqua" w:hAnsi="Book Antiqua" w:cs="Arial"/>
          <w:color w:val="000000" w:themeColor="text1"/>
          <w:sz w:val="24"/>
          <w:szCs w:val="24"/>
        </w:rPr>
      </w:pPr>
    </w:p>
    <w:p w14:paraId="7785A6C7" w14:textId="6DD4DF09" w:rsidR="006B14D0" w:rsidRPr="006257CB" w:rsidRDefault="00377C2C" w:rsidP="006D1F4C">
      <w:pPr>
        <w:snapToGrid w:val="0"/>
        <w:spacing w:line="360" w:lineRule="auto"/>
        <w:rPr>
          <w:rFonts w:ascii="Book Antiqua" w:hAnsi="Book Antiqua" w:cs="Arial"/>
          <w:color w:val="000000" w:themeColor="text1"/>
          <w:sz w:val="24"/>
          <w:szCs w:val="24"/>
        </w:rPr>
      </w:pPr>
      <w:r w:rsidRPr="006257CB">
        <w:rPr>
          <w:rFonts w:ascii="Book Antiqua" w:hAnsi="Book Antiqua"/>
          <w:b/>
          <w:sz w:val="24"/>
          <w:szCs w:val="24"/>
        </w:rPr>
        <w:t>Informed consent statement</w:t>
      </w:r>
      <w:r w:rsidRPr="006257CB">
        <w:rPr>
          <w:rFonts w:ascii="Book Antiqua" w:hAnsi="Book Antiqua"/>
          <w:b/>
          <w:iCs/>
          <w:color w:val="000000"/>
          <w:sz w:val="24"/>
          <w:szCs w:val="24"/>
        </w:rPr>
        <w:t>:</w:t>
      </w:r>
      <w:r w:rsidRPr="006257CB">
        <w:rPr>
          <w:rFonts w:ascii="Book Antiqua" w:hAnsi="Book Antiqua"/>
          <w:b/>
          <w:iCs/>
          <w:color w:val="000000"/>
          <w:kern w:val="0"/>
          <w:sz w:val="24"/>
          <w:szCs w:val="24"/>
        </w:rPr>
        <w:t xml:space="preserve"> </w:t>
      </w:r>
      <w:r w:rsidR="006B14D0" w:rsidRPr="006257CB">
        <w:rPr>
          <w:rFonts w:ascii="Book Antiqua" w:hAnsi="Book Antiqua" w:cs="Arial"/>
          <w:color w:val="000000" w:themeColor="text1"/>
          <w:sz w:val="24"/>
          <w:szCs w:val="24"/>
        </w:rPr>
        <w:t>Informed consent was waived by the Ethics Committee.</w:t>
      </w:r>
    </w:p>
    <w:p w14:paraId="5D5C1674" w14:textId="77777777" w:rsidR="006B14D0" w:rsidRPr="006257CB" w:rsidRDefault="006B14D0" w:rsidP="006D1F4C">
      <w:pPr>
        <w:snapToGrid w:val="0"/>
        <w:spacing w:line="360" w:lineRule="auto"/>
        <w:rPr>
          <w:rFonts w:ascii="Book Antiqua" w:hAnsi="Book Antiqua" w:cs="Arial"/>
          <w:color w:val="000000" w:themeColor="text1"/>
          <w:sz w:val="24"/>
          <w:szCs w:val="24"/>
        </w:rPr>
      </w:pPr>
    </w:p>
    <w:p w14:paraId="30D64B37" w14:textId="24B4A15B" w:rsidR="006B14D0" w:rsidRPr="006257CB" w:rsidRDefault="00377C2C" w:rsidP="006D1F4C">
      <w:pPr>
        <w:snapToGrid w:val="0"/>
        <w:spacing w:line="360" w:lineRule="auto"/>
        <w:rPr>
          <w:rFonts w:ascii="Book Antiqua" w:hAnsi="Book Antiqua" w:cs="Arial"/>
          <w:color w:val="000000" w:themeColor="text1"/>
          <w:sz w:val="24"/>
          <w:szCs w:val="24"/>
        </w:rPr>
      </w:pPr>
      <w:r w:rsidRPr="006257CB">
        <w:rPr>
          <w:rFonts w:ascii="Book Antiqua" w:hAnsi="Book Antiqua"/>
          <w:b/>
          <w:sz w:val="24"/>
          <w:szCs w:val="24"/>
        </w:rPr>
        <w:t>Conflict-of-interest statement</w:t>
      </w:r>
      <w:r w:rsidRPr="006257CB">
        <w:rPr>
          <w:rFonts w:ascii="Book Antiqua" w:hAnsi="Book Antiqua" w:cs="TimesNewRomanPS-BoldItalicMT"/>
          <w:b/>
          <w:iCs/>
          <w:color w:val="000000"/>
          <w:sz w:val="24"/>
          <w:szCs w:val="24"/>
        </w:rPr>
        <w:t xml:space="preserve">: </w:t>
      </w:r>
      <w:r w:rsidR="006B14D0" w:rsidRPr="006257CB">
        <w:rPr>
          <w:rFonts w:ascii="Book Antiqua" w:hAnsi="Book Antiqua" w:cs="Arial"/>
          <w:color w:val="000000" w:themeColor="text1"/>
          <w:sz w:val="24"/>
          <w:szCs w:val="24"/>
        </w:rPr>
        <w:t>All authors disclose no conflict of interest relevant to this study.</w:t>
      </w:r>
    </w:p>
    <w:p w14:paraId="1BA8D3F3" w14:textId="77777777" w:rsidR="006B14D0" w:rsidRPr="006257CB" w:rsidRDefault="006B14D0" w:rsidP="006D1F4C">
      <w:pPr>
        <w:snapToGrid w:val="0"/>
        <w:spacing w:line="360" w:lineRule="auto"/>
        <w:rPr>
          <w:rFonts w:ascii="Book Antiqua" w:hAnsi="Book Antiqua"/>
          <w:color w:val="000000" w:themeColor="text1"/>
          <w:sz w:val="24"/>
          <w:szCs w:val="24"/>
        </w:rPr>
      </w:pPr>
    </w:p>
    <w:p w14:paraId="0C750628" w14:textId="7213138F" w:rsidR="005A22C6" w:rsidRPr="006257CB" w:rsidRDefault="00377C2C" w:rsidP="006D1F4C">
      <w:pPr>
        <w:snapToGrid w:val="0"/>
        <w:spacing w:line="360" w:lineRule="auto"/>
        <w:rPr>
          <w:rFonts w:ascii="Book Antiqua" w:hAnsi="Book Antiqua"/>
          <w:color w:val="000000" w:themeColor="text1"/>
          <w:sz w:val="24"/>
          <w:szCs w:val="24"/>
        </w:rPr>
      </w:pPr>
      <w:r w:rsidRPr="006257CB">
        <w:rPr>
          <w:rFonts w:ascii="Book Antiqua" w:hAnsi="Book Antiqua"/>
          <w:b/>
          <w:sz w:val="24"/>
          <w:szCs w:val="24"/>
        </w:rPr>
        <w:t>Data sharing statement</w:t>
      </w:r>
      <w:r w:rsidRPr="006257CB">
        <w:rPr>
          <w:rFonts w:ascii="Book Antiqua" w:hAnsi="Book Antiqua" w:cs="TimesNewRomanPS-BoldItalicMT"/>
          <w:b/>
          <w:iCs/>
          <w:color w:val="000000"/>
          <w:sz w:val="24"/>
          <w:szCs w:val="24"/>
        </w:rPr>
        <w:t>:</w:t>
      </w:r>
      <w:r w:rsidRPr="006257CB">
        <w:rPr>
          <w:rFonts w:ascii="Book Antiqua" w:hAnsi="Book Antiqua"/>
          <w:b/>
          <w:sz w:val="24"/>
          <w:szCs w:val="24"/>
        </w:rPr>
        <w:t xml:space="preserve"> </w:t>
      </w:r>
      <w:r w:rsidR="006B14D0" w:rsidRPr="006257CB">
        <w:rPr>
          <w:rFonts w:ascii="Book Antiqua" w:hAnsi="Book Antiqua"/>
          <w:color w:val="000000" w:themeColor="text1"/>
          <w:sz w:val="24"/>
          <w:szCs w:val="24"/>
        </w:rPr>
        <w:t xml:space="preserve">No additional data are available. </w:t>
      </w:r>
    </w:p>
    <w:p w14:paraId="0079D585" w14:textId="77777777" w:rsidR="005A22C6" w:rsidRPr="006257CB" w:rsidRDefault="005A22C6" w:rsidP="006D1F4C">
      <w:pPr>
        <w:snapToGrid w:val="0"/>
        <w:spacing w:line="360" w:lineRule="auto"/>
        <w:rPr>
          <w:rFonts w:ascii="Book Antiqua" w:hAnsi="Book Antiqua"/>
          <w:color w:val="000000" w:themeColor="text1"/>
          <w:sz w:val="24"/>
          <w:szCs w:val="24"/>
        </w:rPr>
      </w:pPr>
    </w:p>
    <w:p w14:paraId="6A265FA2" w14:textId="77777777" w:rsidR="00377C2C" w:rsidRPr="006257CB" w:rsidRDefault="00377C2C" w:rsidP="006D1F4C">
      <w:pPr>
        <w:widowControl/>
        <w:adjustRightInd w:val="0"/>
        <w:snapToGrid w:val="0"/>
        <w:spacing w:line="360" w:lineRule="auto"/>
        <w:rPr>
          <w:rFonts w:ascii="Book Antiqua" w:hAnsi="Book Antiqua" w:cs="宋体"/>
          <w:kern w:val="0"/>
          <w:sz w:val="24"/>
          <w:szCs w:val="24"/>
        </w:rPr>
      </w:pPr>
      <w:r w:rsidRPr="006257CB">
        <w:rPr>
          <w:rFonts w:ascii="Book Antiqua" w:hAnsi="Book Antiqua"/>
          <w:b/>
          <w:color w:val="000000"/>
          <w:sz w:val="24"/>
          <w:szCs w:val="24"/>
        </w:rPr>
        <w:t>Open-Access:</w:t>
      </w:r>
      <w:r w:rsidRPr="006257CB">
        <w:rPr>
          <w:rFonts w:ascii="Book Antiqua" w:hAnsi="Book Antiqua"/>
          <w:color w:val="000000"/>
          <w:sz w:val="24"/>
          <w:szCs w:val="24"/>
        </w:rPr>
        <w:t xml:space="preserve"> This article is an open-access </w:t>
      </w:r>
      <w:r w:rsidRPr="006257CB">
        <w:rPr>
          <w:rFonts w:ascii="Book Antiqua" w:hAnsi="Book Antiqua"/>
          <w:sz w:val="24"/>
          <w:szCs w:val="24"/>
        </w:rPr>
        <w:t xml:space="preserve">article that was selected </w:t>
      </w:r>
      <w:r w:rsidRPr="006257C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257CB">
        <w:rPr>
          <w:rFonts w:ascii="Book Antiqua" w:hAnsi="Book Antiqua"/>
          <w:color w:val="000000"/>
          <w:sz w:val="24"/>
          <w:szCs w:val="24"/>
        </w:rPr>
        <w:t>NonCommercial</w:t>
      </w:r>
      <w:proofErr w:type="spellEnd"/>
      <w:r w:rsidRPr="006257C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2FC4F5" w14:textId="77777777" w:rsidR="00377C2C" w:rsidRPr="006257CB" w:rsidRDefault="00377C2C" w:rsidP="006D1F4C">
      <w:pPr>
        <w:widowControl/>
        <w:adjustRightInd w:val="0"/>
        <w:snapToGrid w:val="0"/>
        <w:spacing w:line="360" w:lineRule="auto"/>
        <w:rPr>
          <w:rFonts w:ascii="Book Antiqua" w:eastAsiaTheme="minorEastAsia" w:hAnsi="Book Antiqua"/>
          <w:sz w:val="24"/>
          <w:szCs w:val="24"/>
        </w:rPr>
      </w:pPr>
    </w:p>
    <w:p w14:paraId="7B7A5AB6" w14:textId="0CA3D58E" w:rsidR="005A22C6" w:rsidRPr="006257CB" w:rsidRDefault="00377C2C" w:rsidP="006D1F4C">
      <w:pPr>
        <w:snapToGrid w:val="0"/>
        <w:spacing w:line="360" w:lineRule="auto"/>
        <w:rPr>
          <w:rFonts w:ascii="Book Antiqua" w:hAnsi="Book Antiqua"/>
          <w:color w:val="000000" w:themeColor="text1"/>
          <w:sz w:val="24"/>
          <w:szCs w:val="24"/>
        </w:rPr>
      </w:pPr>
      <w:r w:rsidRPr="006257CB">
        <w:rPr>
          <w:rFonts w:ascii="Book Antiqua" w:hAnsi="Book Antiqua"/>
          <w:b/>
          <w:color w:val="000000"/>
          <w:sz w:val="24"/>
          <w:szCs w:val="24"/>
          <w:lang w:eastAsia="pl-PL"/>
        </w:rPr>
        <w:t>Manuscript source:</w:t>
      </w:r>
      <w:r w:rsidRPr="006257CB">
        <w:rPr>
          <w:rFonts w:ascii="Book Antiqua" w:hAnsi="Book Antiqua"/>
          <w:b/>
          <w:color w:val="000000"/>
          <w:sz w:val="24"/>
          <w:szCs w:val="24"/>
        </w:rPr>
        <w:t xml:space="preserve"> </w:t>
      </w:r>
      <w:r w:rsidR="00F24554" w:rsidRPr="006257CB">
        <w:rPr>
          <w:rFonts w:ascii="Book Antiqua" w:hAnsi="Book Antiqua"/>
          <w:color w:val="000000" w:themeColor="text1"/>
          <w:sz w:val="24"/>
          <w:szCs w:val="24"/>
        </w:rPr>
        <w:t>Invited manuscript</w:t>
      </w:r>
    </w:p>
    <w:p w14:paraId="1FF702E3" w14:textId="77777777" w:rsidR="005A22C6" w:rsidRPr="006257CB" w:rsidRDefault="005A22C6" w:rsidP="006D1F4C">
      <w:pPr>
        <w:snapToGrid w:val="0"/>
        <w:spacing w:line="360" w:lineRule="auto"/>
        <w:rPr>
          <w:rFonts w:ascii="Book Antiqua" w:hAnsi="Book Antiqua"/>
          <w:color w:val="000000" w:themeColor="text1"/>
          <w:sz w:val="24"/>
          <w:szCs w:val="24"/>
        </w:rPr>
      </w:pPr>
    </w:p>
    <w:p w14:paraId="62368139" w14:textId="63568653" w:rsidR="005A22C6" w:rsidRPr="006257CB" w:rsidRDefault="00377C2C" w:rsidP="006D1F4C">
      <w:pPr>
        <w:snapToGrid w:val="0"/>
        <w:spacing w:line="360" w:lineRule="auto"/>
        <w:rPr>
          <w:rFonts w:ascii="Book Antiqua" w:hAnsi="Book Antiqua"/>
          <w:color w:val="000000" w:themeColor="text1"/>
          <w:sz w:val="24"/>
          <w:szCs w:val="24"/>
        </w:rPr>
      </w:pPr>
      <w:r w:rsidRPr="006257CB">
        <w:rPr>
          <w:rFonts w:ascii="Book Antiqua" w:hAnsi="Book Antiqua"/>
          <w:b/>
          <w:sz w:val="24"/>
          <w:szCs w:val="24"/>
        </w:rPr>
        <w:t>Peer-review started:</w:t>
      </w:r>
      <w:r w:rsidRPr="006257CB">
        <w:rPr>
          <w:rFonts w:ascii="Book Antiqua" w:eastAsiaTheme="minorEastAsia" w:hAnsi="Book Antiqua"/>
          <w:b/>
          <w:sz w:val="24"/>
          <w:szCs w:val="24"/>
        </w:rPr>
        <w:t xml:space="preserve"> </w:t>
      </w:r>
      <w:r w:rsidR="008B06D0" w:rsidRPr="006257CB">
        <w:rPr>
          <w:rFonts w:ascii="Book Antiqua" w:hAnsi="Book Antiqua"/>
          <w:color w:val="000000" w:themeColor="text1"/>
          <w:sz w:val="24"/>
          <w:szCs w:val="24"/>
        </w:rPr>
        <w:t>December 30, 2019</w:t>
      </w:r>
    </w:p>
    <w:p w14:paraId="6A3DF40E" w14:textId="5F23FD2F" w:rsidR="00F24554" w:rsidRPr="006257CB" w:rsidRDefault="00377C2C" w:rsidP="006D1F4C">
      <w:pPr>
        <w:snapToGrid w:val="0"/>
        <w:spacing w:line="360" w:lineRule="auto"/>
        <w:rPr>
          <w:rFonts w:ascii="Book Antiqua" w:hAnsi="Book Antiqua"/>
          <w:color w:val="000000" w:themeColor="text1"/>
          <w:sz w:val="24"/>
          <w:szCs w:val="24"/>
        </w:rPr>
      </w:pPr>
      <w:r w:rsidRPr="006257CB">
        <w:rPr>
          <w:rFonts w:ascii="Book Antiqua" w:hAnsi="Book Antiqua"/>
          <w:b/>
          <w:sz w:val="24"/>
          <w:szCs w:val="24"/>
        </w:rPr>
        <w:t>First decision:</w:t>
      </w:r>
      <w:r w:rsidRPr="006257CB">
        <w:rPr>
          <w:rFonts w:ascii="Book Antiqua" w:eastAsiaTheme="minorEastAsia" w:hAnsi="Book Antiqua"/>
          <w:b/>
          <w:sz w:val="24"/>
          <w:szCs w:val="24"/>
        </w:rPr>
        <w:t xml:space="preserve"> </w:t>
      </w:r>
      <w:r w:rsidR="008B06D0" w:rsidRPr="006257CB">
        <w:rPr>
          <w:rFonts w:ascii="Book Antiqua" w:hAnsi="Book Antiqua"/>
          <w:color w:val="000000" w:themeColor="text1"/>
          <w:sz w:val="24"/>
          <w:szCs w:val="24"/>
        </w:rPr>
        <w:t>February 23, 2020</w:t>
      </w:r>
    </w:p>
    <w:p w14:paraId="59D57066" w14:textId="77777777" w:rsidR="00377C2C" w:rsidRPr="006257CB" w:rsidRDefault="00377C2C" w:rsidP="006D1F4C">
      <w:pPr>
        <w:widowControl/>
        <w:adjustRightInd w:val="0"/>
        <w:snapToGrid w:val="0"/>
        <w:spacing w:line="360" w:lineRule="auto"/>
        <w:rPr>
          <w:rFonts w:ascii="Book Antiqua" w:hAnsi="Book Antiqua"/>
          <w:b/>
          <w:sz w:val="24"/>
          <w:szCs w:val="24"/>
        </w:rPr>
      </w:pPr>
      <w:r w:rsidRPr="006257CB">
        <w:rPr>
          <w:rFonts w:ascii="Book Antiqua" w:hAnsi="Book Antiqua"/>
          <w:b/>
          <w:sz w:val="24"/>
          <w:szCs w:val="24"/>
        </w:rPr>
        <w:t>Article in press:</w:t>
      </w:r>
    </w:p>
    <w:p w14:paraId="6C45D79D" w14:textId="77777777" w:rsidR="00377C2C" w:rsidRPr="006257CB" w:rsidRDefault="00377C2C" w:rsidP="006D1F4C">
      <w:pPr>
        <w:widowControl/>
        <w:adjustRightInd w:val="0"/>
        <w:snapToGrid w:val="0"/>
        <w:spacing w:line="360" w:lineRule="auto"/>
        <w:rPr>
          <w:rFonts w:ascii="Book Antiqua" w:eastAsiaTheme="minorEastAsia" w:hAnsi="Book Antiqua"/>
          <w:sz w:val="24"/>
          <w:szCs w:val="24"/>
        </w:rPr>
      </w:pPr>
    </w:p>
    <w:p w14:paraId="4E6D84B7" w14:textId="77777777" w:rsidR="00377C2C" w:rsidRPr="006257CB" w:rsidRDefault="00377C2C" w:rsidP="006D1F4C">
      <w:pPr>
        <w:adjustRightInd w:val="0"/>
        <w:snapToGrid w:val="0"/>
        <w:spacing w:line="360" w:lineRule="auto"/>
        <w:rPr>
          <w:rFonts w:ascii="Book Antiqua" w:eastAsia="微软雅黑" w:hAnsi="Book Antiqua" w:cs="宋体"/>
          <w:sz w:val="24"/>
          <w:szCs w:val="24"/>
        </w:rPr>
      </w:pPr>
      <w:r w:rsidRPr="006257CB">
        <w:rPr>
          <w:rFonts w:ascii="Book Antiqua" w:hAnsi="Book Antiqua" w:cs="宋体"/>
          <w:b/>
          <w:sz w:val="24"/>
          <w:szCs w:val="24"/>
        </w:rPr>
        <w:t xml:space="preserve">Specialty type: </w:t>
      </w:r>
      <w:r w:rsidRPr="006257CB">
        <w:rPr>
          <w:rFonts w:ascii="Book Antiqua" w:eastAsia="微软雅黑" w:hAnsi="Book Antiqua" w:cs="宋体"/>
          <w:sz w:val="24"/>
          <w:szCs w:val="24"/>
        </w:rPr>
        <w:t>Gastroenterology and hepatology</w:t>
      </w:r>
    </w:p>
    <w:p w14:paraId="5A8942DC" w14:textId="4559CE45" w:rsidR="00377C2C" w:rsidRPr="006257CB" w:rsidRDefault="00377C2C" w:rsidP="006D1F4C">
      <w:pPr>
        <w:adjustRightInd w:val="0"/>
        <w:snapToGrid w:val="0"/>
        <w:spacing w:line="360" w:lineRule="auto"/>
        <w:rPr>
          <w:rFonts w:ascii="Book Antiqua" w:eastAsiaTheme="minorEastAsia" w:hAnsi="Book Antiqua" w:cs="宋体"/>
          <w:sz w:val="24"/>
          <w:szCs w:val="24"/>
        </w:rPr>
      </w:pPr>
      <w:r w:rsidRPr="006257CB">
        <w:rPr>
          <w:rFonts w:ascii="Book Antiqua" w:hAnsi="Book Antiqua" w:cs="宋体"/>
          <w:b/>
          <w:sz w:val="24"/>
          <w:szCs w:val="24"/>
        </w:rPr>
        <w:t xml:space="preserve">Country of origin: </w:t>
      </w:r>
      <w:r w:rsidRPr="006257CB">
        <w:rPr>
          <w:rFonts w:ascii="Book Antiqua" w:eastAsiaTheme="minorEastAsia" w:hAnsi="Book Antiqua" w:cs="宋体"/>
          <w:sz w:val="24"/>
          <w:szCs w:val="24"/>
        </w:rPr>
        <w:t>China</w:t>
      </w:r>
    </w:p>
    <w:p w14:paraId="5ED6DEB7" w14:textId="77777777" w:rsidR="00377C2C" w:rsidRPr="006257CB" w:rsidRDefault="00377C2C" w:rsidP="006D1F4C">
      <w:pPr>
        <w:adjustRightInd w:val="0"/>
        <w:snapToGrid w:val="0"/>
        <w:spacing w:line="360" w:lineRule="auto"/>
        <w:rPr>
          <w:rFonts w:ascii="Book Antiqua" w:hAnsi="Book Antiqua" w:cs="宋体"/>
          <w:b/>
          <w:sz w:val="24"/>
          <w:szCs w:val="24"/>
        </w:rPr>
      </w:pPr>
      <w:r w:rsidRPr="006257CB">
        <w:rPr>
          <w:rFonts w:ascii="Book Antiqua" w:hAnsi="Book Antiqua" w:cs="宋体"/>
          <w:b/>
          <w:sz w:val="24"/>
          <w:szCs w:val="24"/>
        </w:rPr>
        <w:t>Peer-review report classification</w:t>
      </w:r>
    </w:p>
    <w:p w14:paraId="742B08CA" w14:textId="5383446A" w:rsidR="00377C2C" w:rsidRPr="006257CB" w:rsidRDefault="00377C2C" w:rsidP="006D1F4C">
      <w:pPr>
        <w:adjustRightInd w:val="0"/>
        <w:snapToGrid w:val="0"/>
        <w:spacing w:line="360" w:lineRule="auto"/>
        <w:rPr>
          <w:rFonts w:ascii="Book Antiqua" w:hAnsi="Book Antiqua" w:cs="宋体"/>
          <w:sz w:val="24"/>
          <w:szCs w:val="24"/>
        </w:rPr>
      </w:pPr>
      <w:r w:rsidRPr="006257CB">
        <w:rPr>
          <w:rFonts w:ascii="Book Antiqua" w:hAnsi="Book Antiqua" w:cs="宋体"/>
          <w:sz w:val="24"/>
          <w:szCs w:val="24"/>
        </w:rPr>
        <w:t>Grade </w:t>
      </w:r>
      <w:proofErr w:type="gramStart"/>
      <w:r w:rsidRPr="006257CB">
        <w:rPr>
          <w:rFonts w:ascii="Book Antiqua" w:hAnsi="Book Antiqua" w:cs="宋体"/>
          <w:sz w:val="24"/>
          <w:szCs w:val="24"/>
        </w:rPr>
        <w:t>A</w:t>
      </w:r>
      <w:proofErr w:type="gramEnd"/>
      <w:r w:rsidRPr="006257CB">
        <w:rPr>
          <w:rFonts w:ascii="Book Antiqua" w:hAnsi="Book Antiqua" w:cs="宋体"/>
          <w:sz w:val="24"/>
          <w:szCs w:val="24"/>
        </w:rPr>
        <w:t> (Excellent): 0</w:t>
      </w:r>
    </w:p>
    <w:p w14:paraId="31FD2651" w14:textId="77777777" w:rsidR="00377C2C" w:rsidRPr="006257CB" w:rsidRDefault="00377C2C" w:rsidP="006D1F4C">
      <w:pPr>
        <w:adjustRightInd w:val="0"/>
        <w:snapToGrid w:val="0"/>
        <w:spacing w:line="360" w:lineRule="auto"/>
        <w:rPr>
          <w:rFonts w:ascii="Book Antiqua" w:eastAsiaTheme="minorEastAsia" w:hAnsi="Book Antiqua" w:cs="宋体"/>
          <w:sz w:val="24"/>
          <w:szCs w:val="24"/>
        </w:rPr>
      </w:pPr>
      <w:r w:rsidRPr="006257CB">
        <w:rPr>
          <w:rFonts w:ascii="Book Antiqua" w:hAnsi="Book Antiqua" w:cs="宋体"/>
          <w:sz w:val="24"/>
          <w:szCs w:val="24"/>
        </w:rPr>
        <w:lastRenderedPageBreak/>
        <w:t xml:space="preserve">Grade B (Very good): </w:t>
      </w:r>
      <w:r w:rsidRPr="006257CB">
        <w:rPr>
          <w:rFonts w:ascii="Book Antiqua" w:eastAsiaTheme="minorEastAsia" w:hAnsi="Book Antiqua" w:cs="宋体"/>
          <w:sz w:val="24"/>
          <w:szCs w:val="24"/>
        </w:rPr>
        <w:t>B</w:t>
      </w:r>
    </w:p>
    <w:p w14:paraId="57B3D1DB" w14:textId="6F6EFB3C" w:rsidR="00377C2C" w:rsidRPr="006257CB" w:rsidRDefault="00377C2C" w:rsidP="006D1F4C">
      <w:pPr>
        <w:adjustRightInd w:val="0"/>
        <w:snapToGrid w:val="0"/>
        <w:spacing w:line="360" w:lineRule="auto"/>
        <w:rPr>
          <w:rFonts w:ascii="Book Antiqua" w:hAnsi="Book Antiqua" w:cs="宋体"/>
          <w:sz w:val="24"/>
          <w:szCs w:val="24"/>
        </w:rPr>
      </w:pPr>
      <w:r w:rsidRPr="006257CB">
        <w:rPr>
          <w:rFonts w:ascii="Book Antiqua" w:hAnsi="Book Antiqua" w:cs="宋体"/>
          <w:sz w:val="24"/>
          <w:szCs w:val="24"/>
        </w:rPr>
        <w:t>Grade C (Good): 0</w:t>
      </w:r>
    </w:p>
    <w:p w14:paraId="2886B5FF" w14:textId="66530036" w:rsidR="00377C2C" w:rsidRPr="006257CB" w:rsidRDefault="00377C2C" w:rsidP="006D1F4C">
      <w:pPr>
        <w:adjustRightInd w:val="0"/>
        <w:snapToGrid w:val="0"/>
        <w:spacing w:line="360" w:lineRule="auto"/>
        <w:rPr>
          <w:rFonts w:ascii="Book Antiqua" w:hAnsi="Book Antiqua" w:cs="宋体"/>
          <w:sz w:val="24"/>
          <w:szCs w:val="24"/>
        </w:rPr>
      </w:pPr>
      <w:r w:rsidRPr="006257CB">
        <w:rPr>
          <w:rFonts w:ascii="Book Antiqua" w:hAnsi="Book Antiqua" w:cs="宋体"/>
          <w:sz w:val="24"/>
          <w:szCs w:val="24"/>
        </w:rPr>
        <w:t>Grade D (Fair): D</w:t>
      </w:r>
    </w:p>
    <w:p w14:paraId="5300BFA4" w14:textId="77777777" w:rsidR="00377C2C" w:rsidRPr="006257CB" w:rsidRDefault="00377C2C" w:rsidP="006D1F4C">
      <w:pPr>
        <w:adjustRightInd w:val="0"/>
        <w:snapToGrid w:val="0"/>
        <w:spacing w:line="360" w:lineRule="auto"/>
        <w:rPr>
          <w:rFonts w:ascii="Book Antiqua" w:eastAsia="等线" w:hAnsi="Book Antiqua"/>
          <w:sz w:val="24"/>
          <w:szCs w:val="24"/>
          <w:lang w:val="hu-HU"/>
        </w:rPr>
      </w:pPr>
      <w:r w:rsidRPr="006257CB">
        <w:rPr>
          <w:rFonts w:ascii="Book Antiqua" w:hAnsi="Book Antiqua" w:cs="宋体"/>
          <w:sz w:val="24"/>
          <w:szCs w:val="24"/>
        </w:rPr>
        <w:t>Grade E (Poor): 0</w:t>
      </w:r>
    </w:p>
    <w:p w14:paraId="5EC4E5C5" w14:textId="77777777" w:rsidR="00377C2C" w:rsidRPr="006257CB" w:rsidRDefault="00377C2C" w:rsidP="006D1F4C">
      <w:pPr>
        <w:adjustRightInd w:val="0"/>
        <w:snapToGrid w:val="0"/>
        <w:spacing w:line="360" w:lineRule="auto"/>
        <w:rPr>
          <w:rFonts w:ascii="Book Antiqua" w:eastAsiaTheme="minorEastAsia" w:hAnsi="Book Antiqua"/>
          <w:b/>
          <w:bCs/>
          <w:sz w:val="24"/>
          <w:szCs w:val="24"/>
          <w:lang w:val="hu-HU"/>
        </w:rPr>
      </w:pPr>
    </w:p>
    <w:p w14:paraId="512E2686" w14:textId="2D915EFB" w:rsidR="00E259A4" w:rsidRPr="006257CB" w:rsidRDefault="00377C2C" w:rsidP="006D1F4C">
      <w:pPr>
        <w:adjustRightInd w:val="0"/>
        <w:snapToGrid w:val="0"/>
        <w:spacing w:line="360" w:lineRule="auto"/>
        <w:rPr>
          <w:rFonts w:ascii="Book Antiqua" w:hAnsi="Book Antiqua"/>
          <w:b/>
          <w:bCs/>
          <w:sz w:val="24"/>
          <w:szCs w:val="24"/>
        </w:rPr>
      </w:pPr>
      <w:r w:rsidRPr="006257CB">
        <w:rPr>
          <w:rFonts w:ascii="Book Antiqua" w:hAnsi="Book Antiqua"/>
          <w:b/>
          <w:sz w:val="24"/>
          <w:szCs w:val="24"/>
        </w:rPr>
        <w:t xml:space="preserve">P-Reviewer: </w:t>
      </w:r>
      <w:r w:rsidRPr="006257CB">
        <w:rPr>
          <w:rFonts w:ascii="Book Antiqua" w:hAnsi="Book Antiqua"/>
          <w:sz w:val="24"/>
          <w:szCs w:val="24"/>
        </w:rPr>
        <w:t xml:space="preserve">Caputo D, </w:t>
      </w:r>
      <w:r w:rsidR="006D1F4C" w:rsidRPr="006257CB">
        <w:rPr>
          <w:rFonts w:ascii="Book Antiqua" w:hAnsi="Book Antiqua"/>
          <w:sz w:val="24"/>
          <w:szCs w:val="24"/>
        </w:rPr>
        <w:t>Yoshinaga S</w:t>
      </w:r>
      <w:r w:rsidRPr="006257CB">
        <w:rPr>
          <w:rFonts w:ascii="Book Antiqua" w:hAnsi="Book Antiqua"/>
          <w:b/>
          <w:sz w:val="24"/>
          <w:szCs w:val="24"/>
        </w:rPr>
        <w:t xml:space="preserve"> S-Editor:</w:t>
      </w:r>
      <w:r w:rsidRPr="006257CB">
        <w:rPr>
          <w:rFonts w:ascii="Book Antiqua" w:hAnsi="Book Antiqua"/>
          <w:sz w:val="24"/>
          <w:szCs w:val="24"/>
        </w:rPr>
        <w:t xml:space="preserve"> </w:t>
      </w:r>
      <w:r w:rsidR="006D1F4C" w:rsidRPr="006257CB">
        <w:rPr>
          <w:rFonts w:ascii="Book Antiqua" w:eastAsiaTheme="minorEastAsia" w:hAnsi="Book Antiqua"/>
          <w:sz w:val="24"/>
          <w:szCs w:val="24"/>
        </w:rPr>
        <w:t>Dou Y</w:t>
      </w:r>
      <w:r w:rsidRPr="006257CB">
        <w:rPr>
          <w:rFonts w:ascii="Book Antiqua" w:hAnsi="Book Antiqua"/>
          <w:sz w:val="24"/>
          <w:szCs w:val="24"/>
        </w:rPr>
        <w:t xml:space="preserve"> </w:t>
      </w:r>
      <w:r w:rsidRPr="006257CB">
        <w:rPr>
          <w:rFonts w:ascii="Book Antiqua" w:hAnsi="Book Antiqua"/>
          <w:b/>
          <w:sz w:val="24"/>
          <w:szCs w:val="24"/>
        </w:rPr>
        <w:t>L-Editor:</w:t>
      </w:r>
      <w:r w:rsidRPr="006257CB">
        <w:rPr>
          <w:rFonts w:ascii="Book Antiqua" w:hAnsi="Book Antiqua"/>
          <w:sz w:val="24"/>
          <w:szCs w:val="24"/>
        </w:rPr>
        <w:t xml:space="preserve"> </w:t>
      </w:r>
      <w:r w:rsidRPr="006257CB">
        <w:rPr>
          <w:rFonts w:ascii="Book Antiqua" w:hAnsi="Book Antiqua"/>
          <w:b/>
          <w:sz w:val="24"/>
          <w:szCs w:val="24"/>
        </w:rPr>
        <w:t>E-Editor:</w:t>
      </w:r>
    </w:p>
    <w:p w14:paraId="7F6AADE5" w14:textId="77777777" w:rsidR="008B06D0" w:rsidRPr="006257CB" w:rsidRDefault="008B06D0" w:rsidP="006D1F4C">
      <w:pPr>
        <w:widowControl/>
        <w:snapToGrid w:val="0"/>
        <w:spacing w:line="360" w:lineRule="auto"/>
        <w:rPr>
          <w:rFonts w:ascii="Book Antiqua" w:eastAsia="Arial Unicode MS" w:hAnsi="Book Antiqua"/>
          <w:b/>
          <w:color w:val="000000" w:themeColor="text1"/>
          <w:sz w:val="24"/>
          <w:szCs w:val="24"/>
        </w:rPr>
      </w:pPr>
      <w:r w:rsidRPr="006257CB">
        <w:rPr>
          <w:rFonts w:ascii="Book Antiqua" w:eastAsia="Arial Unicode MS" w:hAnsi="Book Antiqua"/>
          <w:b/>
          <w:color w:val="000000" w:themeColor="text1"/>
          <w:sz w:val="24"/>
          <w:szCs w:val="24"/>
        </w:rPr>
        <w:br w:type="page"/>
      </w:r>
    </w:p>
    <w:p w14:paraId="412E77C6" w14:textId="77777777" w:rsidR="006D1F4C" w:rsidRPr="006257CB" w:rsidRDefault="006D1F4C" w:rsidP="006D1F4C">
      <w:pPr>
        <w:adjustRightInd w:val="0"/>
        <w:snapToGrid w:val="0"/>
        <w:spacing w:line="360" w:lineRule="auto"/>
        <w:rPr>
          <w:rFonts w:ascii="Book Antiqua" w:hAnsi="Book Antiqua"/>
          <w:b/>
          <w:sz w:val="24"/>
          <w:szCs w:val="24"/>
        </w:rPr>
      </w:pPr>
      <w:r w:rsidRPr="006257CB">
        <w:rPr>
          <w:rFonts w:ascii="Book Antiqua" w:hAnsi="Book Antiqua"/>
          <w:b/>
          <w:sz w:val="24"/>
          <w:szCs w:val="24"/>
        </w:rPr>
        <w:lastRenderedPageBreak/>
        <w:t>Figure Legends</w:t>
      </w:r>
    </w:p>
    <w:p w14:paraId="60C75B04" w14:textId="2C4942CA" w:rsidR="008B06D0" w:rsidRPr="006257CB" w:rsidRDefault="008F61A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noProof/>
          <w:color w:val="000000" w:themeColor="text1"/>
          <w:sz w:val="24"/>
          <w:szCs w:val="24"/>
        </w:rPr>
        <w:drawing>
          <wp:inline distT="0" distB="0" distL="0" distR="0" wp14:anchorId="11941BC6" wp14:editId="47E3E8AF">
            <wp:extent cx="5274310" cy="3127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127375"/>
                    </a:xfrm>
                    <a:prstGeom prst="rect">
                      <a:avLst/>
                    </a:prstGeom>
                  </pic:spPr>
                </pic:pic>
              </a:graphicData>
            </a:graphic>
          </wp:inline>
        </w:drawing>
      </w:r>
    </w:p>
    <w:p w14:paraId="07D73676" w14:textId="46965BBD" w:rsidR="008B06D0" w:rsidRPr="006257CB" w:rsidRDefault="008B06D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b/>
          <w:bCs/>
          <w:color w:val="000000" w:themeColor="text1"/>
          <w:sz w:val="24"/>
          <w:szCs w:val="24"/>
        </w:rPr>
        <w:t xml:space="preserve">Figure 1 Study flowchart of patients’ selection. </w:t>
      </w:r>
      <w:r w:rsidRPr="006257CB">
        <w:rPr>
          <w:rFonts w:ascii="Book Antiqua" w:eastAsia="Arial Unicode MS" w:hAnsi="Book Antiqua"/>
          <w:color w:val="000000" w:themeColor="text1"/>
          <w:sz w:val="24"/>
          <w:szCs w:val="24"/>
        </w:rPr>
        <w:t>GISTs: Gastrointestinal stromal tumors. (“</w:t>
      </w:r>
      <w:proofErr w:type="gramStart"/>
      <w:r w:rsidRPr="006257CB">
        <w:rPr>
          <w:rFonts w:ascii="Book Antiqua" w:eastAsia="Arial Unicode MS" w:hAnsi="Book Antiqua"/>
          <w:color w:val="000000" w:themeColor="text1"/>
          <w:sz w:val="24"/>
          <w:szCs w:val="24"/>
        </w:rPr>
        <w:t>small</w:t>
      </w:r>
      <w:proofErr w:type="gramEnd"/>
      <w:r w:rsidRPr="006257CB">
        <w:rPr>
          <w:rFonts w:ascii="Book Antiqua" w:eastAsia="Arial Unicode MS" w:hAnsi="Book Antiqua"/>
          <w:color w:val="000000" w:themeColor="text1"/>
          <w:sz w:val="24"/>
          <w:szCs w:val="24"/>
        </w:rPr>
        <w:t>” was added in the first line of this Figure, and “unknow” in the last line was revised to “Unknown”).</w:t>
      </w:r>
    </w:p>
    <w:p w14:paraId="3A483B1E" w14:textId="114A417F" w:rsidR="008B06D0" w:rsidRPr="006257CB" w:rsidRDefault="008B06D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br w:type="page"/>
      </w:r>
    </w:p>
    <w:p w14:paraId="68BF64D3" w14:textId="29E73E27" w:rsidR="008B06D0" w:rsidRPr="006257CB" w:rsidRDefault="008B06D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noProof/>
          <w:color w:val="000000" w:themeColor="text1"/>
          <w:sz w:val="24"/>
          <w:szCs w:val="24"/>
        </w:rPr>
        <w:lastRenderedPageBreak/>
        <w:drawing>
          <wp:inline distT="0" distB="0" distL="0" distR="0" wp14:anchorId="5E22AFB7" wp14:editId="0427B21A">
            <wp:extent cx="5274310" cy="4225925"/>
            <wp:effectExtent l="0" t="0" r="0" b="0"/>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225925"/>
                    </a:xfrm>
                    <a:prstGeom prst="rect">
                      <a:avLst/>
                    </a:prstGeom>
                  </pic:spPr>
                </pic:pic>
              </a:graphicData>
            </a:graphic>
          </wp:inline>
        </w:drawing>
      </w:r>
    </w:p>
    <w:p w14:paraId="2748268D" w14:textId="156C2454" w:rsidR="008B06D0" w:rsidRPr="006257CB" w:rsidRDefault="008B06D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b/>
          <w:bCs/>
          <w:color w:val="000000" w:themeColor="text1"/>
          <w:sz w:val="24"/>
          <w:szCs w:val="24"/>
        </w:rPr>
        <w:t xml:space="preserve">Figure 2 Changes in size of suspected small gastric </w:t>
      </w:r>
      <w:r w:rsidR="007F737F" w:rsidRPr="006257CB">
        <w:rPr>
          <w:rFonts w:ascii="Book Antiqua" w:eastAsia="Arial Unicode MS" w:hAnsi="Book Antiqua"/>
          <w:b/>
          <w:bCs/>
          <w:color w:val="000000" w:themeColor="text1"/>
          <w:sz w:val="24"/>
          <w:szCs w:val="24"/>
        </w:rPr>
        <w:t xml:space="preserve">gastrointestinal stromal tumors </w:t>
      </w:r>
      <w:r w:rsidRPr="006257CB">
        <w:rPr>
          <w:rFonts w:ascii="Book Antiqua" w:eastAsia="Arial Unicode MS" w:hAnsi="Book Antiqua"/>
          <w:b/>
          <w:bCs/>
          <w:color w:val="000000" w:themeColor="text1"/>
          <w:sz w:val="24"/>
          <w:szCs w:val="24"/>
        </w:rPr>
        <w:t>compared with follow-up interval.</w:t>
      </w:r>
    </w:p>
    <w:p w14:paraId="0AF8CB37" w14:textId="72A54186" w:rsidR="008B06D0" w:rsidRPr="006257CB" w:rsidRDefault="008B06D0" w:rsidP="006D1F4C">
      <w:pPr>
        <w:widowControl/>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br w:type="page"/>
      </w:r>
    </w:p>
    <w:p w14:paraId="48CFA658" w14:textId="361C3535" w:rsidR="00ED746C" w:rsidRPr="006257CB" w:rsidRDefault="007F737F" w:rsidP="006D1F4C">
      <w:pPr>
        <w:snapToGrid w:val="0"/>
        <w:spacing w:line="360" w:lineRule="auto"/>
        <w:rPr>
          <w:rFonts w:ascii="Book Antiqua" w:eastAsia="Arial Unicode MS" w:hAnsi="Book Antiqua"/>
          <w:b/>
          <w:bCs/>
          <w:color w:val="000000" w:themeColor="text1"/>
          <w:sz w:val="24"/>
          <w:szCs w:val="24"/>
        </w:rPr>
      </w:pPr>
      <w:r w:rsidRPr="006257CB">
        <w:rPr>
          <w:rFonts w:ascii="Book Antiqua" w:eastAsia="Arial Unicode MS" w:hAnsi="Book Antiqua"/>
          <w:b/>
          <w:bCs/>
          <w:color w:val="000000" w:themeColor="text1"/>
          <w:sz w:val="24"/>
          <w:szCs w:val="24"/>
        </w:rPr>
        <w:lastRenderedPageBreak/>
        <w:t>Table 1 Four hundred and ten suspected gastric gastrointestinal stromal tumors in 383 patients: comparing demographic and lesion characteristics of lesions with or without size increment</w:t>
      </w:r>
    </w:p>
    <w:tbl>
      <w:tblPr>
        <w:tblStyle w:val="a6"/>
        <w:tblW w:w="99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1916"/>
        <w:gridCol w:w="1954"/>
        <w:gridCol w:w="2268"/>
        <w:gridCol w:w="1007"/>
      </w:tblGrid>
      <w:tr w:rsidR="00E41D64" w:rsidRPr="006257CB" w14:paraId="33BDEEEC" w14:textId="77777777" w:rsidTr="007F737F">
        <w:trPr>
          <w:jc w:val="center"/>
        </w:trPr>
        <w:tc>
          <w:tcPr>
            <w:tcW w:w="2793" w:type="dxa"/>
            <w:tcBorders>
              <w:top w:val="single" w:sz="4" w:space="0" w:color="auto"/>
              <w:bottom w:val="single" w:sz="4" w:space="0" w:color="auto"/>
            </w:tcBorders>
          </w:tcPr>
          <w:p w14:paraId="3A58DA5F" w14:textId="77777777" w:rsidR="00ED746C" w:rsidRPr="006257CB" w:rsidRDefault="00ED746C" w:rsidP="006D1F4C">
            <w:pPr>
              <w:snapToGrid w:val="0"/>
              <w:spacing w:line="360" w:lineRule="auto"/>
              <w:rPr>
                <w:rFonts w:ascii="Book Antiqua" w:eastAsia="Arial Unicode MS" w:hAnsi="Book Antiqua"/>
                <w:b/>
                <w:bCs/>
                <w:color w:val="000000" w:themeColor="text1"/>
                <w:sz w:val="24"/>
                <w:szCs w:val="24"/>
              </w:rPr>
            </w:pPr>
          </w:p>
        </w:tc>
        <w:tc>
          <w:tcPr>
            <w:tcW w:w="1916" w:type="dxa"/>
            <w:tcBorders>
              <w:top w:val="single" w:sz="4" w:space="0" w:color="auto"/>
              <w:bottom w:val="single" w:sz="4" w:space="0" w:color="auto"/>
            </w:tcBorders>
          </w:tcPr>
          <w:p w14:paraId="7DBE3BE9" w14:textId="77777777" w:rsidR="00ED746C" w:rsidRPr="006257CB" w:rsidRDefault="00ED746C" w:rsidP="006D1F4C">
            <w:pPr>
              <w:snapToGrid w:val="0"/>
              <w:spacing w:line="360" w:lineRule="auto"/>
              <w:rPr>
                <w:rFonts w:ascii="Book Antiqua" w:eastAsia="Arial Unicode MS" w:hAnsi="Book Antiqua"/>
                <w:b/>
                <w:bCs/>
                <w:color w:val="000000" w:themeColor="text1"/>
                <w:sz w:val="24"/>
                <w:szCs w:val="24"/>
              </w:rPr>
            </w:pPr>
            <w:r w:rsidRPr="006257CB">
              <w:rPr>
                <w:rFonts w:ascii="Book Antiqua" w:eastAsia="Arial Unicode MS" w:hAnsi="Book Antiqua"/>
                <w:b/>
                <w:bCs/>
                <w:color w:val="000000" w:themeColor="text1"/>
                <w:sz w:val="24"/>
                <w:szCs w:val="24"/>
              </w:rPr>
              <w:t>All lesions</w:t>
            </w:r>
          </w:p>
        </w:tc>
        <w:tc>
          <w:tcPr>
            <w:tcW w:w="1954" w:type="dxa"/>
            <w:tcBorders>
              <w:top w:val="single" w:sz="4" w:space="0" w:color="auto"/>
              <w:bottom w:val="single" w:sz="4" w:space="0" w:color="auto"/>
            </w:tcBorders>
          </w:tcPr>
          <w:p w14:paraId="060D4BD7" w14:textId="77777777" w:rsidR="00ED746C" w:rsidRPr="006257CB" w:rsidRDefault="00ED746C" w:rsidP="006D1F4C">
            <w:pPr>
              <w:snapToGrid w:val="0"/>
              <w:spacing w:line="360" w:lineRule="auto"/>
              <w:rPr>
                <w:rFonts w:ascii="Book Antiqua" w:eastAsia="Arial Unicode MS" w:hAnsi="Book Antiqua"/>
                <w:b/>
                <w:bCs/>
                <w:color w:val="000000" w:themeColor="text1"/>
                <w:sz w:val="24"/>
                <w:szCs w:val="24"/>
              </w:rPr>
            </w:pPr>
            <w:r w:rsidRPr="006257CB">
              <w:rPr>
                <w:rFonts w:ascii="Book Antiqua" w:eastAsia="Arial Unicode MS" w:hAnsi="Book Antiqua"/>
                <w:b/>
                <w:bCs/>
                <w:color w:val="000000" w:themeColor="text1"/>
                <w:sz w:val="24"/>
                <w:szCs w:val="24"/>
              </w:rPr>
              <w:t>Lesions without size increment</w:t>
            </w:r>
          </w:p>
        </w:tc>
        <w:tc>
          <w:tcPr>
            <w:tcW w:w="2268" w:type="dxa"/>
            <w:tcBorders>
              <w:top w:val="single" w:sz="4" w:space="0" w:color="auto"/>
              <w:bottom w:val="single" w:sz="4" w:space="0" w:color="auto"/>
            </w:tcBorders>
          </w:tcPr>
          <w:p w14:paraId="472323B0" w14:textId="77777777" w:rsidR="00ED746C" w:rsidRPr="006257CB" w:rsidRDefault="00ED746C" w:rsidP="006D1F4C">
            <w:pPr>
              <w:snapToGrid w:val="0"/>
              <w:spacing w:line="360" w:lineRule="auto"/>
              <w:rPr>
                <w:rFonts w:ascii="Book Antiqua" w:eastAsia="Arial Unicode MS" w:hAnsi="Book Antiqua"/>
                <w:b/>
                <w:bCs/>
                <w:color w:val="000000" w:themeColor="text1"/>
                <w:sz w:val="24"/>
                <w:szCs w:val="24"/>
              </w:rPr>
            </w:pPr>
            <w:r w:rsidRPr="006257CB">
              <w:rPr>
                <w:rFonts w:ascii="Book Antiqua" w:eastAsia="Arial Unicode MS" w:hAnsi="Book Antiqua"/>
                <w:b/>
                <w:bCs/>
                <w:color w:val="000000" w:themeColor="text1"/>
                <w:sz w:val="24"/>
                <w:szCs w:val="24"/>
              </w:rPr>
              <w:t>Lesions with size increment</w:t>
            </w:r>
          </w:p>
        </w:tc>
        <w:tc>
          <w:tcPr>
            <w:tcW w:w="1007" w:type="dxa"/>
            <w:tcBorders>
              <w:top w:val="single" w:sz="4" w:space="0" w:color="auto"/>
              <w:bottom w:val="single" w:sz="4" w:space="0" w:color="auto"/>
            </w:tcBorders>
          </w:tcPr>
          <w:p w14:paraId="2A1CF3B3" w14:textId="1A9B9720" w:rsidR="00ED746C" w:rsidRPr="006257CB" w:rsidRDefault="00ED746C" w:rsidP="006D1F4C">
            <w:pPr>
              <w:snapToGrid w:val="0"/>
              <w:spacing w:line="360" w:lineRule="auto"/>
              <w:rPr>
                <w:rFonts w:ascii="Book Antiqua" w:eastAsia="Arial Unicode MS" w:hAnsi="Book Antiqua"/>
                <w:b/>
                <w:bCs/>
                <w:color w:val="000000" w:themeColor="text1"/>
                <w:sz w:val="24"/>
                <w:szCs w:val="24"/>
              </w:rPr>
            </w:pPr>
            <w:r w:rsidRPr="006257CB">
              <w:rPr>
                <w:rFonts w:ascii="Book Antiqua" w:eastAsia="Arial Unicode MS" w:hAnsi="Book Antiqua"/>
                <w:b/>
                <w:bCs/>
                <w:i/>
                <w:iCs/>
                <w:color w:val="000000" w:themeColor="text1"/>
                <w:sz w:val="24"/>
                <w:szCs w:val="24"/>
              </w:rPr>
              <w:t>P</w:t>
            </w:r>
            <w:r w:rsidR="007F737F" w:rsidRPr="006257CB">
              <w:rPr>
                <w:rFonts w:ascii="Book Antiqua" w:eastAsia="Arial Unicode MS" w:hAnsi="Book Antiqua"/>
                <w:b/>
                <w:bCs/>
                <w:color w:val="000000" w:themeColor="text1"/>
                <w:sz w:val="24"/>
                <w:szCs w:val="24"/>
              </w:rPr>
              <w:t>-</w:t>
            </w:r>
            <w:r w:rsidRPr="006257CB">
              <w:rPr>
                <w:rFonts w:ascii="Book Antiqua" w:eastAsia="Arial Unicode MS" w:hAnsi="Book Antiqua"/>
                <w:b/>
                <w:bCs/>
                <w:color w:val="000000" w:themeColor="text1"/>
                <w:sz w:val="24"/>
                <w:szCs w:val="24"/>
              </w:rPr>
              <w:t>value</w:t>
            </w:r>
          </w:p>
        </w:tc>
      </w:tr>
      <w:tr w:rsidR="00E41D64" w:rsidRPr="006257CB" w14:paraId="6E80AEBB" w14:textId="77777777" w:rsidTr="007F737F">
        <w:trPr>
          <w:jc w:val="center"/>
        </w:trPr>
        <w:tc>
          <w:tcPr>
            <w:tcW w:w="2793" w:type="dxa"/>
            <w:tcBorders>
              <w:top w:val="single" w:sz="4" w:space="0" w:color="auto"/>
            </w:tcBorders>
          </w:tcPr>
          <w:p w14:paraId="1883A5DC" w14:textId="020D144E"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Patients, </w:t>
            </w:r>
            <w:r w:rsidRPr="006257CB">
              <w:rPr>
                <w:rFonts w:ascii="Book Antiqua" w:eastAsia="Arial Unicode MS" w:hAnsi="Book Antiqua"/>
                <w:i/>
                <w:iCs/>
                <w:color w:val="000000" w:themeColor="text1"/>
                <w:sz w:val="24"/>
                <w:szCs w:val="24"/>
              </w:rPr>
              <w:t>n</w:t>
            </w:r>
            <w:r w:rsidR="006D1F4C" w:rsidRPr="006257CB">
              <w:rPr>
                <w:rFonts w:ascii="Book Antiqua" w:eastAsia="Arial Unicode MS" w:hAnsi="Book Antiqua"/>
                <w:color w:val="000000" w:themeColor="text1"/>
                <w:sz w:val="24"/>
                <w:szCs w:val="24"/>
                <w:vertAlign w:val="superscript"/>
              </w:rPr>
              <w:t>1</w:t>
            </w:r>
          </w:p>
        </w:tc>
        <w:tc>
          <w:tcPr>
            <w:tcW w:w="1916" w:type="dxa"/>
            <w:tcBorders>
              <w:top w:val="single" w:sz="4" w:space="0" w:color="auto"/>
            </w:tcBorders>
          </w:tcPr>
          <w:p w14:paraId="0D7E9F6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383 </w:t>
            </w:r>
          </w:p>
        </w:tc>
        <w:tc>
          <w:tcPr>
            <w:tcW w:w="1954" w:type="dxa"/>
            <w:tcBorders>
              <w:top w:val="single" w:sz="4" w:space="0" w:color="auto"/>
            </w:tcBorders>
          </w:tcPr>
          <w:p w14:paraId="4DB5C18E"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375</w:t>
            </w:r>
          </w:p>
        </w:tc>
        <w:tc>
          <w:tcPr>
            <w:tcW w:w="2268" w:type="dxa"/>
            <w:tcBorders>
              <w:top w:val="single" w:sz="4" w:space="0" w:color="auto"/>
            </w:tcBorders>
          </w:tcPr>
          <w:p w14:paraId="50CF329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8 </w:t>
            </w:r>
          </w:p>
        </w:tc>
        <w:tc>
          <w:tcPr>
            <w:tcW w:w="1007" w:type="dxa"/>
            <w:tcBorders>
              <w:top w:val="single" w:sz="4" w:space="0" w:color="auto"/>
            </w:tcBorders>
          </w:tcPr>
          <w:p w14:paraId="37D481B4" w14:textId="162F561C" w:rsidR="00ED746C" w:rsidRPr="006257CB" w:rsidRDefault="007F737F"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w:t>
            </w:r>
          </w:p>
        </w:tc>
      </w:tr>
      <w:tr w:rsidR="00E41D64" w:rsidRPr="006257CB" w14:paraId="07DDD9A9" w14:textId="77777777" w:rsidTr="007F737F">
        <w:trPr>
          <w:jc w:val="center"/>
        </w:trPr>
        <w:tc>
          <w:tcPr>
            <w:tcW w:w="2793" w:type="dxa"/>
          </w:tcPr>
          <w:p w14:paraId="59BC1BB1" w14:textId="3812A82E"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Age, yr</w:t>
            </w:r>
            <w:r w:rsidR="006D1F4C" w:rsidRPr="006257CB">
              <w:rPr>
                <w:rFonts w:ascii="Book Antiqua" w:eastAsia="Arial Unicode MS" w:hAnsi="Book Antiqua"/>
                <w:color w:val="000000" w:themeColor="text1"/>
                <w:sz w:val="24"/>
                <w:szCs w:val="24"/>
                <w:vertAlign w:val="superscript"/>
              </w:rPr>
              <w:t>2</w:t>
            </w:r>
          </w:p>
        </w:tc>
        <w:tc>
          <w:tcPr>
            <w:tcW w:w="1916" w:type="dxa"/>
          </w:tcPr>
          <w:p w14:paraId="207F348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54 (10; 23-80)</w:t>
            </w:r>
          </w:p>
        </w:tc>
        <w:tc>
          <w:tcPr>
            <w:tcW w:w="1954" w:type="dxa"/>
          </w:tcPr>
          <w:p w14:paraId="4B0F4070"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54 (10; 23-80)</w:t>
            </w:r>
          </w:p>
        </w:tc>
        <w:tc>
          <w:tcPr>
            <w:tcW w:w="2268" w:type="dxa"/>
          </w:tcPr>
          <w:p w14:paraId="2327EC45"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57 (16; 31-74)</w:t>
            </w:r>
          </w:p>
        </w:tc>
        <w:tc>
          <w:tcPr>
            <w:tcW w:w="1007" w:type="dxa"/>
          </w:tcPr>
          <w:p w14:paraId="4D9FD5E7" w14:textId="4F016A4F" w:rsidR="00ED746C" w:rsidRPr="006257CB" w:rsidRDefault="00ED746C" w:rsidP="0095002B">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0.572</w:t>
            </w:r>
            <w:r w:rsidR="0095002B" w:rsidRPr="006257CB">
              <w:rPr>
                <w:rFonts w:ascii="Book Antiqua" w:eastAsia="Arial Unicode MS" w:hAnsi="Book Antiqua" w:hint="eastAsia"/>
                <w:color w:val="000000" w:themeColor="text1"/>
                <w:sz w:val="24"/>
                <w:szCs w:val="24"/>
                <w:vertAlign w:val="superscript"/>
                <w:lang w:eastAsia="zh-CN"/>
              </w:rPr>
              <w:t>4</w:t>
            </w:r>
          </w:p>
        </w:tc>
      </w:tr>
      <w:tr w:rsidR="00E41D64" w:rsidRPr="006257CB" w14:paraId="2A5DD50C" w14:textId="77777777" w:rsidTr="007F737F">
        <w:trPr>
          <w:jc w:val="center"/>
        </w:trPr>
        <w:tc>
          <w:tcPr>
            <w:tcW w:w="2793" w:type="dxa"/>
          </w:tcPr>
          <w:p w14:paraId="64F3DA98" w14:textId="416DD7BF"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Sex, male/female, </w:t>
            </w:r>
            <w:r w:rsidRPr="006257CB">
              <w:rPr>
                <w:rFonts w:ascii="Book Antiqua" w:eastAsia="Arial Unicode MS" w:hAnsi="Book Antiqua"/>
                <w:i/>
                <w:iCs/>
                <w:color w:val="000000" w:themeColor="text1"/>
                <w:sz w:val="24"/>
                <w:szCs w:val="24"/>
              </w:rPr>
              <w:t>n</w:t>
            </w:r>
            <w:r w:rsidRPr="006257CB">
              <w:rPr>
                <w:rFonts w:ascii="Book Antiqua" w:eastAsia="Arial Unicode MS" w:hAnsi="Book Antiqua"/>
                <w:color w:val="000000" w:themeColor="text1"/>
                <w:sz w:val="24"/>
                <w:szCs w:val="24"/>
                <w:vertAlign w:val="superscript"/>
              </w:rPr>
              <w:t xml:space="preserve"> </w:t>
            </w:r>
          </w:p>
        </w:tc>
        <w:tc>
          <w:tcPr>
            <w:tcW w:w="1916" w:type="dxa"/>
          </w:tcPr>
          <w:p w14:paraId="7A15EDE1"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121/262</w:t>
            </w:r>
          </w:p>
        </w:tc>
        <w:tc>
          <w:tcPr>
            <w:tcW w:w="1954" w:type="dxa"/>
          </w:tcPr>
          <w:p w14:paraId="3653C9D3"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115/260</w:t>
            </w:r>
          </w:p>
        </w:tc>
        <w:tc>
          <w:tcPr>
            <w:tcW w:w="2268" w:type="dxa"/>
          </w:tcPr>
          <w:p w14:paraId="47726B8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6/2</w:t>
            </w:r>
          </w:p>
        </w:tc>
        <w:tc>
          <w:tcPr>
            <w:tcW w:w="1007" w:type="dxa"/>
          </w:tcPr>
          <w:p w14:paraId="0B933B7D" w14:textId="45D71278"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0.014</w:t>
            </w:r>
            <w:r w:rsidR="0095002B" w:rsidRPr="006257CB">
              <w:rPr>
                <w:rFonts w:ascii="Book Antiqua" w:eastAsia="Arial Unicode MS" w:hAnsi="Book Antiqua" w:hint="eastAsia"/>
                <w:color w:val="000000" w:themeColor="text1"/>
                <w:sz w:val="24"/>
                <w:szCs w:val="24"/>
                <w:vertAlign w:val="superscript"/>
                <w:lang w:eastAsia="zh-CN"/>
              </w:rPr>
              <w:t>5</w:t>
            </w:r>
          </w:p>
        </w:tc>
      </w:tr>
      <w:tr w:rsidR="00E41D64" w:rsidRPr="006257CB" w14:paraId="05F0EFC8" w14:textId="77777777" w:rsidTr="007F737F">
        <w:trPr>
          <w:jc w:val="center"/>
        </w:trPr>
        <w:tc>
          <w:tcPr>
            <w:tcW w:w="2793" w:type="dxa"/>
          </w:tcPr>
          <w:p w14:paraId="6CC2EE65" w14:textId="059CF079"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Lesions, </w:t>
            </w:r>
            <w:r w:rsidRPr="006257CB">
              <w:rPr>
                <w:rFonts w:ascii="Book Antiqua" w:eastAsia="Arial Unicode MS" w:hAnsi="Book Antiqua"/>
                <w:i/>
                <w:iCs/>
                <w:color w:val="000000" w:themeColor="text1"/>
                <w:sz w:val="24"/>
                <w:szCs w:val="24"/>
              </w:rPr>
              <w:t>n</w:t>
            </w:r>
            <w:r w:rsidR="006D1F4C" w:rsidRPr="006257CB">
              <w:rPr>
                <w:rFonts w:ascii="Book Antiqua" w:eastAsia="Arial Unicode MS" w:hAnsi="Book Antiqua"/>
                <w:color w:val="000000" w:themeColor="text1"/>
                <w:sz w:val="24"/>
                <w:szCs w:val="24"/>
                <w:vertAlign w:val="superscript"/>
              </w:rPr>
              <w:t>1</w:t>
            </w:r>
          </w:p>
        </w:tc>
        <w:tc>
          <w:tcPr>
            <w:tcW w:w="1916" w:type="dxa"/>
          </w:tcPr>
          <w:p w14:paraId="0D408C0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410 (100%)</w:t>
            </w:r>
          </w:p>
        </w:tc>
        <w:tc>
          <w:tcPr>
            <w:tcW w:w="1954" w:type="dxa"/>
          </w:tcPr>
          <w:p w14:paraId="0047F130"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402 (98.0%)</w:t>
            </w:r>
          </w:p>
        </w:tc>
        <w:tc>
          <w:tcPr>
            <w:tcW w:w="2268" w:type="dxa"/>
          </w:tcPr>
          <w:p w14:paraId="62FC645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8 (2.0%)</w:t>
            </w:r>
          </w:p>
        </w:tc>
        <w:tc>
          <w:tcPr>
            <w:tcW w:w="1007" w:type="dxa"/>
          </w:tcPr>
          <w:p w14:paraId="07A2A718" w14:textId="02D8FCAF" w:rsidR="00ED746C" w:rsidRPr="006257CB" w:rsidRDefault="007F737F"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w:t>
            </w:r>
          </w:p>
        </w:tc>
      </w:tr>
      <w:tr w:rsidR="00E41D64" w:rsidRPr="006257CB" w14:paraId="35277CD7" w14:textId="77777777" w:rsidTr="007F737F">
        <w:trPr>
          <w:jc w:val="center"/>
        </w:trPr>
        <w:tc>
          <w:tcPr>
            <w:tcW w:w="2793" w:type="dxa"/>
          </w:tcPr>
          <w:p w14:paraId="072B77A5" w14:textId="2DFA9367"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Distribution, </w:t>
            </w:r>
            <w:r w:rsidRPr="006257CB">
              <w:rPr>
                <w:rFonts w:ascii="Book Antiqua" w:eastAsia="Arial Unicode MS" w:hAnsi="Book Antiqua"/>
                <w:i/>
                <w:iCs/>
                <w:color w:val="000000" w:themeColor="text1"/>
                <w:sz w:val="24"/>
                <w:szCs w:val="24"/>
              </w:rPr>
              <w:t>n</w:t>
            </w:r>
          </w:p>
        </w:tc>
        <w:tc>
          <w:tcPr>
            <w:tcW w:w="1916" w:type="dxa"/>
          </w:tcPr>
          <w:p w14:paraId="299999F5"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1954" w:type="dxa"/>
          </w:tcPr>
          <w:p w14:paraId="04B41B8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2268" w:type="dxa"/>
          </w:tcPr>
          <w:p w14:paraId="0C8FF2FE"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1007" w:type="dxa"/>
            <w:vMerge w:val="restart"/>
            <w:vAlign w:val="center"/>
          </w:tcPr>
          <w:p w14:paraId="0969A68F" w14:textId="16270AB7"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0.366</w:t>
            </w:r>
            <w:r w:rsidR="0095002B" w:rsidRPr="006257CB">
              <w:rPr>
                <w:rFonts w:ascii="Book Antiqua" w:eastAsia="Arial Unicode MS" w:hAnsi="Book Antiqua" w:hint="eastAsia"/>
                <w:color w:val="000000" w:themeColor="text1"/>
                <w:sz w:val="24"/>
                <w:szCs w:val="24"/>
                <w:vertAlign w:val="superscript"/>
                <w:lang w:eastAsia="zh-CN"/>
              </w:rPr>
              <w:t>5</w:t>
            </w:r>
          </w:p>
        </w:tc>
      </w:tr>
      <w:tr w:rsidR="00E41D64" w:rsidRPr="006257CB" w14:paraId="365E9548" w14:textId="77777777" w:rsidTr="007F737F">
        <w:trPr>
          <w:jc w:val="center"/>
        </w:trPr>
        <w:tc>
          <w:tcPr>
            <w:tcW w:w="2793" w:type="dxa"/>
          </w:tcPr>
          <w:p w14:paraId="46ED031F" w14:textId="00F5A82B"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Single lesion</w:t>
            </w:r>
          </w:p>
        </w:tc>
        <w:tc>
          <w:tcPr>
            <w:tcW w:w="1916" w:type="dxa"/>
          </w:tcPr>
          <w:p w14:paraId="0D9D8CE3"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362 (94.5%)</w:t>
            </w:r>
          </w:p>
        </w:tc>
        <w:tc>
          <w:tcPr>
            <w:tcW w:w="1954" w:type="dxa"/>
          </w:tcPr>
          <w:p w14:paraId="7032A50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355 (94.7%)</w:t>
            </w:r>
          </w:p>
        </w:tc>
        <w:tc>
          <w:tcPr>
            <w:tcW w:w="2268" w:type="dxa"/>
          </w:tcPr>
          <w:p w14:paraId="61F1B8B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7 (87.5%)</w:t>
            </w:r>
          </w:p>
        </w:tc>
        <w:tc>
          <w:tcPr>
            <w:tcW w:w="1007" w:type="dxa"/>
            <w:vMerge/>
          </w:tcPr>
          <w:p w14:paraId="1148F15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7DA41F97" w14:textId="77777777" w:rsidTr="007F737F">
        <w:trPr>
          <w:jc w:val="center"/>
        </w:trPr>
        <w:tc>
          <w:tcPr>
            <w:tcW w:w="2793" w:type="dxa"/>
          </w:tcPr>
          <w:p w14:paraId="6591B15D" w14:textId="6B41339D"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Two lesions</w:t>
            </w:r>
          </w:p>
        </w:tc>
        <w:tc>
          <w:tcPr>
            <w:tcW w:w="1916" w:type="dxa"/>
          </w:tcPr>
          <w:p w14:paraId="214E1E3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16 (4.2%)</w:t>
            </w:r>
          </w:p>
        </w:tc>
        <w:tc>
          <w:tcPr>
            <w:tcW w:w="1954" w:type="dxa"/>
          </w:tcPr>
          <w:p w14:paraId="4CE91CB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15 (4.0%)</w:t>
            </w:r>
          </w:p>
        </w:tc>
        <w:tc>
          <w:tcPr>
            <w:tcW w:w="2268" w:type="dxa"/>
          </w:tcPr>
          <w:p w14:paraId="26003775"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 (12.5%)</w:t>
            </w:r>
          </w:p>
        </w:tc>
        <w:tc>
          <w:tcPr>
            <w:tcW w:w="1007" w:type="dxa"/>
            <w:vMerge/>
          </w:tcPr>
          <w:p w14:paraId="715C513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72076773" w14:textId="77777777" w:rsidTr="007F737F">
        <w:trPr>
          <w:jc w:val="center"/>
        </w:trPr>
        <w:tc>
          <w:tcPr>
            <w:tcW w:w="2793" w:type="dxa"/>
          </w:tcPr>
          <w:p w14:paraId="1C5CCCAF" w14:textId="3F65FE81"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Three lesions</w:t>
            </w:r>
          </w:p>
        </w:tc>
        <w:tc>
          <w:tcPr>
            <w:tcW w:w="1916" w:type="dxa"/>
          </w:tcPr>
          <w:p w14:paraId="2F250D8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4 (1.0%)</w:t>
            </w:r>
          </w:p>
        </w:tc>
        <w:tc>
          <w:tcPr>
            <w:tcW w:w="1954" w:type="dxa"/>
          </w:tcPr>
          <w:p w14:paraId="3B8581A3"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4 (1.1%)</w:t>
            </w:r>
          </w:p>
        </w:tc>
        <w:tc>
          <w:tcPr>
            <w:tcW w:w="2268" w:type="dxa"/>
          </w:tcPr>
          <w:p w14:paraId="0BCB128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0 (0%)</w:t>
            </w:r>
          </w:p>
        </w:tc>
        <w:tc>
          <w:tcPr>
            <w:tcW w:w="1007" w:type="dxa"/>
            <w:vMerge/>
          </w:tcPr>
          <w:p w14:paraId="08925D0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426DE346" w14:textId="77777777" w:rsidTr="007F737F">
        <w:trPr>
          <w:jc w:val="center"/>
        </w:trPr>
        <w:tc>
          <w:tcPr>
            <w:tcW w:w="2793" w:type="dxa"/>
          </w:tcPr>
          <w:p w14:paraId="2118906E" w14:textId="46E1729B"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Four lesions </w:t>
            </w:r>
          </w:p>
        </w:tc>
        <w:tc>
          <w:tcPr>
            <w:tcW w:w="1916" w:type="dxa"/>
          </w:tcPr>
          <w:p w14:paraId="466983EF"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 (0.3%)</w:t>
            </w:r>
          </w:p>
        </w:tc>
        <w:tc>
          <w:tcPr>
            <w:tcW w:w="1954" w:type="dxa"/>
          </w:tcPr>
          <w:p w14:paraId="58F7359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 (0.3%)</w:t>
            </w:r>
          </w:p>
        </w:tc>
        <w:tc>
          <w:tcPr>
            <w:tcW w:w="2268" w:type="dxa"/>
          </w:tcPr>
          <w:p w14:paraId="1ED01D41"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0 (0%)</w:t>
            </w:r>
          </w:p>
        </w:tc>
        <w:tc>
          <w:tcPr>
            <w:tcW w:w="1007" w:type="dxa"/>
            <w:vMerge/>
          </w:tcPr>
          <w:p w14:paraId="30FF04F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4C6B9C03" w14:textId="77777777" w:rsidTr="007F737F">
        <w:trPr>
          <w:jc w:val="center"/>
        </w:trPr>
        <w:tc>
          <w:tcPr>
            <w:tcW w:w="2793" w:type="dxa"/>
          </w:tcPr>
          <w:p w14:paraId="0CB4DE15" w14:textId="769A7D43"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Location, </w:t>
            </w:r>
            <w:r w:rsidRPr="006257CB">
              <w:rPr>
                <w:rFonts w:ascii="Book Antiqua" w:eastAsia="Arial Unicode MS" w:hAnsi="Book Antiqua"/>
                <w:i/>
                <w:iCs/>
                <w:color w:val="000000" w:themeColor="text1"/>
                <w:sz w:val="24"/>
                <w:szCs w:val="24"/>
              </w:rPr>
              <w:t>n</w:t>
            </w:r>
          </w:p>
        </w:tc>
        <w:tc>
          <w:tcPr>
            <w:tcW w:w="1916" w:type="dxa"/>
          </w:tcPr>
          <w:p w14:paraId="11B8837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1954" w:type="dxa"/>
          </w:tcPr>
          <w:p w14:paraId="6E97B8FA"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2268" w:type="dxa"/>
          </w:tcPr>
          <w:p w14:paraId="4DA045BB"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c>
          <w:tcPr>
            <w:tcW w:w="1007" w:type="dxa"/>
            <w:vMerge w:val="restart"/>
            <w:vAlign w:val="center"/>
          </w:tcPr>
          <w:p w14:paraId="189FFAF7" w14:textId="19289409"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0.139</w:t>
            </w:r>
            <w:r w:rsidR="0095002B" w:rsidRPr="006257CB">
              <w:rPr>
                <w:rFonts w:ascii="Book Antiqua" w:eastAsia="Arial Unicode MS" w:hAnsi="Book Antiqua" w:hint="eastAsia"/>
                <w:color w:val="000000" w:themeColor="text1"/>
                <w:sz w:val="24"/>
                <w:szCs w:val="24"/>
                <w:vertAlign w:val="superscript"/>
                <w:lang w:eastAsia="zh-CN"/>
              </w:rPr>
              <w:t>5</w:t>
            </w:r>
          </w:p>
        </w:tc>
      </w:tr>
      <w:tr w:rsidR="00E41D64" w:rsidRPr="006257CB" w14:paraId="33AFE531" w14:textId="77777777" w:rsidTr="007F737F">
        <w:trPr>
          <w:jc w:val="center"/>
        </w:trPr>
        <w:tc>
          <w:tcPr>
            <w:tcW w:w="2793" w:type="dxa"/>
          </w:tcPr>
          <w:p w14:paraId="574D0777" w14:textId="1FC45D71"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Cardia</w:t>
            </w:r>
          </w:p>
        </w:tc>
        <w:tc>
          <w:tcPr>
            <w:tcW w:w="1916" w:type="dxa"/>
          </w:tcPr>
          <w:p w14:paraId="41243B0B"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50 (12.2%)</w:t>
            </w:r>
          </w:p>
        </w:tc>
        <w:tc>
          <w:tcPr>
            <w:tcW w:w="1954" w:type="dxa"/>
          </w:tcPr>
          <w:p w14:paraId="25F9F488"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49 (12.2%)</w:t>
            </w:r>
          </w:p>
        </w:tc>
        <w:tc>
          <w:tcPr>
            <w:tcW w:w="2268" w:type="dxa"/>
          </w:tcPr>
          <w:p w14:paraId="0126CF97"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 (12.5%)</w:t>
            </w:r>
          </w:p>
        </w:tc>
        <w:tc>
          <w:tcPr>
            <w:tcW w:w="1007" w:type="dxa"/>
            <w:vMerge/>
            <w:vAlign w:val="center"/>
          </w:tcPr>
          <w:p w14:paraId="48F6809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16541B2F" w14:textId="77777777" w:rsidTr="007F737F">
        <w:trPr>
          <w:jc w:val="center"/>
        </w:trPr>
        <w:tc>
          <w:tcPr>
            <w:tcW w:w="2793" w:type="dxa"/>
          </w:tcPr>
          <w:p w14:paraId="7DF860EA" w14:textId="4B417352"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Fundus</w:t>
            </w:r>
          </w:p>
        </w:tc>
        <w:tc>
          <w:tcPr>
            <w:tcW w:w="1916" w:type="dxa"/>
          </w:tcPr>
          <w:p w14:paraId="3CAAE23A"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232 (56.6%)</w:t>
            </w:r>
          </w:p>
        </w:tc>
        <w:tc>
          <w:tcPr>
            <w:tcW w:w="1954" w:type="dxa"/>
          </w:tcPr>
          <w:p w14:paraId="02B5903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230 (57.2%)</w:t>
            </w:r>
          </w:p>
        </w:tc>
        <w:tc>
          <w:tcPr>
            <w:tcW w:w="2268" w:type="dxa"/>
          </w:tcPr>
          <w:p w14:paraId="0A6AF40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 (25.0%)</w:t>
            </w:r>
          </w:p>
        </w:tc>
        <w:tc>
          <w:tcPr>
            <w:tcW w:w="1007" w:type="dxa"/>
            <w:vMerge/>
          </w:tcPr>
          <w:p w14:paraId="441FE2FF"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26DE3D8B" w14:textId="77777777" w:rsidTr="007F737F">
        <w:trPr>
          <w:jc w:val="center"/>
        </w:trPr>
        <w:tc>
          <w:tcPr>
            <w:tcW w:w="2793" w:type="dxa"/>
          </w:tcPr>
          <w:p w14:paraId="33A39A5D" w14:textId="28F1DE44"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Body</w:t>
            </w:r>
          </w:p>
        </w:tc>
        <w:tc>
          <w:tcPr>
            <w:tcW w:w="1916" w:type="dxa"/>
          </w:tcPr>
          <w:p w14:paraId="2665B5C8"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119 (29.0%)</w:t>
            </w:r>
          </w:p>
        </w:tc>
        <w:tc>
          <w:tcPr>
            <w:tcW w:w="1954" w:type="dxa"/>
          </w:tcPr>
          <w:p w14:paraId="26FB84E3"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114 (28.4%)</w:t>
            </w:r>
          </w:p>
        </w:tc>
        <w:tc>
          <w:tcPr>
            <w:tcW w:w="2268" w:type="dxa"/>
          </w:tcPr>
          <w:p w14:paraId="1A25BA08"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5 (62.5%)</w:t>
            </w:r>
          </w:p>
        </w:tc>
        <w:tc>
          <w:tcPr>
            <w:tcW w:w="1007" w:type="dxa"/>
            <w:vMerge/>
          </w:tcPr>
          <w:p w14:paraId="345E75E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02D3E0DB" w14:textId="77777777" w:rsidTr="007F737F">
        <w:trPr>
          <w:jc w:val="center"/>
        </w:trPr>
        <w:tc>
          <w:tcPr>
            <w:tcW w:w="2793" w:type="dxa"/>
          </w:tcPr>
          <w:p w14:paraId="36EBC56E" w14:textId="61E8A97F"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Antrum</w:t>
            </w:r>
          </w:p>
        </w:tc>
        <w:tc>
          <w:tcPr>
            <w:tcW w:w="1916" w:type="dxa"/>
          </w:tcPr>
          <w:p w14:paraId="0E01CED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9 (2.2%)</w:t>
            </w:r>
          </w:p>
        </w:tc>
        <w:tc>
          <w:tcPr>
            <w:tcW w:w="1954" w:type="dxa"/>
          </w:tcPr>
          <w:p w14:paraId="76684187"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9 (2.2%)</w:t>
            </w:r>
          </w:p>
        </w:tc>
        <w:tc>
          <w:tcPr>
            <w:tcW w:w="2268" w:type="dxa"/>
          </w:tcPr>
          <w:p w14:paraId="18A6BFD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0 (0%)</w:t>
            </w:r>
          </w:p>
        </w:tc>
        <w:tc>
          <w:tcPr>
            <w:tcW w:w="1007" w:type="dxa"/>
            <w:vMerge/>
          </w:tcPr>
          <w:p w14:paraId="5019A4CB"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3D9C2520" w14:textId="77777777" w:rsidTr="007F737F">
        <w:trPr>
          <w:jc w:val="center"/>
        </w:trPr>
        <w:tc>
          <w:tcPr>
            <w:tcW w:w="2793" w:type="dxa"/>
          </w:tcPr>
          <w:p w14:paraId="1565F49F" w14:textId="60540E1B"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Initial size, mm</w:t>
            </w:r>
            <w:r w:rsidR="006D1F4C" w:rsidRPr="006257CB">
              <w:rPr>
                <w:rFonts w:ascii="Book Antiqua" w:eastAsia="Arial Unicode MS" w:hAnsi="Book Antiqua"/>
                <w:color w:val="000000" w:themeColor="text1"/>
                <w:sz w:val="24"/>
                <w:szCs w:val="24"/>
                <w:vertAlign w:val="superscript"/>
              </w:rPr>
              <w:t>3</w:t>
            </w:r>
          </w:p>
        </w:tc>
        <w:tc>
          <w:tcPr>
            <w:tcW w:w="1916" w:type="dxa"/>
          </w:tcPr>
          <w:p w14:paraId="0366410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7 (6-10; 3-20)</w:t>
            </w:r>
          </w:p>
        </w:tc>
        <w:tc>
          <w:tcPr>
            <w:tcW w:w="1954" w:type="dxa"/>
          </w:tcPr>
          <w:p w14:paraId="04DA2635"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7 (6-10; 3-20)</w:t>
            </w:r>
          </w:p>
        </w:tc>
        <w:tc>
          <w:tcPr>
            <w:tcW w:w="2268" w:type="dxa"/>
          </w:tcPr>
          <w:p w14:paraId="3FF85F40"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12 (9-13; 4-15)</w:t>
            </w:r>
          </w:p>
        </w:tc>
        <w:tc>
          <w:tcPr>
            <w:tcW w:w="1007" w:type="dxa"/>
          </w:tcPr>
          <w:p w14:paraId="366AE33B" w14:textId="26AD86C0"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0.018</w:t>
            </w:r>
            <w:r w:rsidR="0095002B" w:rsidRPr="006257CB">
              <w:rPr>
                <w:rFonts w:ascii="Book Antiqua" w:eastAsia="Arial Unicode MS" w:hAnsi="Book Antiqua" w:hint="eastAsia"/>
                <w:color w:val="000000" w:themeColor="text1"/>
                <w:sz w:val="24"/>
                <w:szCs w:val="24"/>
                <w:vertAlign w:val="superscript"/>
                <w:lang w:eastAsia="zh-CN"/>
              </w:rPr>
              <w:t>6</w:t>
            </w:r>
          </w:p>
        </w:tc>
      </w:tr>
      <w:tr w:rsidR="00E41D64" w:rsidRPr="006257CB" w14:paraId="13C53078" w14:textId="77777777" w:rsidTr="007F737F">
        <w:trPr>
          <w:jc w:val="center"/>
        </w:trPr>
        <w:tc>
          <w:tcPr>
            <w:tcW w:w="2793" w:type="dxa"/>
          </w:tcPr>
          <w:p w14:paraId="2A491C89" w14:textId="70B7E749"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Less than 10 mm, </w:t>
            </w:r>
            <w:r w:rsidRPr="006257CB">
              <w:rPr>
                <w:rFonts w:ascii="Book Antiqua" w:eastAsia="Arial Unicode MS" w:hAnsi="Book Antiqua"/>
                <w:i/>
                <w:iCs/>
                <w:color w:val="000000" w:themeColor="text1"/>
                <w:sz w:val="24"/>
                <w:szCs w:val="24"/>
              </w:rPr>
              <w:t>n</w:t>
            </w:r>
          </w:p>
        </w:tc>
        <w:tc>
          <w:tcPr>
            <w:tcW w:w="1916" w:type="dxa"/>
          </w:tcPr>
          <w:p w14:paraId="51D87A6D"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291 (71.0%)</w:t>
            </w:r>
          </w:p>
        </w:tc>
        <w:tc>
          <w:tcPr>
            <w:tcW w:w="1954" w:type="dxa"/>
          </w:tcPr>
          <w:p w14:paraId="78DD8C73"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289 (71.9%)</w:t>
            </w:r>
          </w:p>
        </w:tc>
        <w:tc>
          <w:tcPr>
            <w:tcW w:w="2268" w:type="dxa"/>
          </w:tcPr>
          <w:p w14:paraId="6662045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 (25.0%)</w:t>
            </w:r>
          </w:p>
        </w:tc>
        <w:tc>
          <w:tcPr>
            <w:tcW w:w="1007" w:type="dxa"/>
            <w:vMerge w:val="restart"/>
            <w:vAlign w:val="center"/>
          </w:tcPr>
          <w:p w14:paraId="594DABD0" w14:textId="1964BE69"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0.009</w:t>
            </w:r>
            <w:r w:rsidR="0095002B" w:rsidRPr="006257CB">
              <w:rPr>
                <w:rFonts w:ascii="Book Antiqua" w:eastAsia="Arial Unicode MS" w:hAnsi="Book Antiqua" w:hint="eastAsia"/>
                <w:color w:val="000000" w:themeColor="text1"/>
                <w:sz w:val="24"/>
                <w:szCs w:val="24"/>
                <w:vertAlign w:val="superscript"/>
                <w:lang w:eastAsia="zh-CN"/>
              </w:rPr>
              <w:t>5</w:t>
            </w:r>
          </w:p>
        </w:tc>
      </w:tr>
      <w:tr w:rsidR="00E41D64" w:rsidRPr="006257CB" w14:paraId="1B7D8911" w14:textId="77777777" w:rsidTr="007F737F">
        <w:trPr>
          <w:jc w:val="center"/>
        </w:trPr>
        <w:tc>
          <w:tcPr>
            <w:tcW w:w="2793" w:type="dxa"/>
          </w:tcPr>
          <w:p w14:paraId="0EE12046" w14:textId="5A30D341"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 xml:space="preserve">10-20 mm, </w:t>
            </w:r>
            <w:r w:rsidRPr="006257CB">
              <w:rPr>
                <w:rFonts w:ascii="Book Antiqua" w:eastAsia="Arial Unicode MS" w:hAnsi="Book Antiqua"/>
                <w:i/>
                <w:iCs/>
                <w:color w:val="000000" w:themeColor="text1"/>
                <w:sz w:val="24"/>
                <w:szCs w:val="24"/>
              </w:rPr>
              <w:t>n</w:t>
            </w:r>
          </w:p>
        </w:tc>
        <w:tc>
          <w:tcPr>
            <w:tcW w:w="1916" w:type="dxa"/>
          </w:tcPr>
          <w:p w14:paraId="6D9FC524"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119 (29.0%)</w:t>
            </w:r>
          </w:p>
        </w:tc>
        <w:tc>
          <w:tcPr>
            <w:tcW w:w="1954" w:type="dxa"/>
          </w:tcPr>
          <w:p w14:paraId="255ADA42"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113 (28.1%)</w:t>
            </w:r>
          </w:p>
        </w:tc>
        <w:tc>
          <w:tcPr>
            <w:tcW w:w="2268" w:type="dxa"/>
          </w:tcPr>
          <w:p w14:paraId="2973EA4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6 (75.0%)</w:t>
            </w:r>
          </w:p>
        </w:tc>
        <w:tc>
          <w:tcPr>
            <w:tcW w:w="1007" w:type="dxa"/>
            <w:vMerge/>
          </w:tcPr>
          <w:p w14:paraId="5EEF402B"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p>
        </w:tc>
      </w:tr>
      <w:tr w:rsidR="00E41D64" w:rsidRPr="006257CB" w14:paraId="761B81F9" w14:textId="77777777" w:rsidTr="007F737F">
        <w:trPr>
          <w:jc w:val="center"/>
        </w:trPr>
        <w:tc>
          <w:tcPr>
            <w:tcW w:w="2793" w:type="dxa"/>
          </w:tcPr>
          <w:p w14:paraId="3A0003AE" w14:textId="14796288" w:rsidR="00ED746C" w:rsidRPr="006257CB" w:rsidRDefault="00ED746C" w:rsidP="006D1F4C">
            <w:pPr>
              <w:snapToGrid w:val="0"/>
              <w:spacing w:line="360" w:lineRule="auto"/>
              <w:ind w:firstLineChars="100" w:firstLine="240"/>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Follow-up, mo</w:t>
            </w:r>
            <w:r w:rsidR="006D1F4C" w:rsidRPr="006257CB">
              <w:rPr>
                <w:rFonts w:ascii="Book Antiqua" w:eastAsia="Arial Unicode MS" w:hAnsi="Book Antiqua"/>
                <w:color w:val="000000" w:themeColor="text1"/>
                <w:sz w:val="24"/>
                <w:szCs w:val="24"/>
                <w:vertAlign w:val="superscript"/>
              </w:rPr>
              <w:t>3</w:t>
            </w:r>
          </w:p>
        </w:tc>
        <w:tc>
          <w:tcPr>
            <w:tcW w:w="1916" w:type="dxa"/>
          </w:tcPr>
          <w:p w14:paraId="2D99EE06"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28 (16-48; 3-156)</w:t>
            </w:r>
          </w:p>
        </w:tc>
        <w:tc>
          <w:tcPr>
            <w:tcW w:w="1954" w:type="dxa"/>
          </w:tcPr>
          <w:p w14:paraId="054D1E6C"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27 (15-47; 3-156)</w:t>
            </w:r>
          </w:p>
        </w:tc>
        <w:tc>
          <w:tcPr>
            <w:tcW w:w="2268" w:type="dxa"/>
          </w:tcPr>
          <w:p w14:paraId="7A94B839" w14:textId="77777777" w:rsidR="00ED746C" w:rsidRPr="006257CB" w:rsidRDefault="00ED746C"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rPr>
              <w:t>60 (46-83; 41-146)</w:t>
            </w:r>
          </w:p>
        </w:tc>
        <w:tc>
          <w:tcPr>
            <w:tcW w:w="1007" w:type="dxa"/>
          </w:tcPr>
          <w:p w14:paraId="366C5C3E" w14:textId="432EF9F2" w:rsidR="00ED746C" w:rsidRPr="006257CB" w:rsidRDefault="00ED746C" w:rsidP="0095002B">
            <w:pPr>
              <w:snapToGrid w:val="0"/>
              <w:spacing w:line="360" w:lineRule="auto"/>
              <w:rPr>
                <w:rFonts w:ascii="Book Antiqua" w:eastAsia="Arial Unicode MS" w:hAnsi="Book Antiqua"/>
                <w:color w:val="000000" w:themeColor="text1"/>
                <w:sz w:val="24"/>
                <w:szCs w:val="24"/>
                <w:lang w:eastAsia="zh-CN"/>
              </w:rPr>
            </w:pPr>
            <w:r w:rsidRPr="006257CB">
              <w:rPr>
                <w:rFonts w:ascii="Book Antiqua" w:eastAsia="Arial Unicode MS" w:hAnsi="Book Antiqua"/>
                <w:color w:val="000000" w:themeColor="text1"/>
                <w:sz w:val="24"/>
                <w:szCs w:val="24"/>
              </w:rPr>
              <w:t>0.001</w:t>
            </w:r>
            <w:r w:rsidR="0095002B" w:rsidRPr="006257CB">
              <w:rPr>
                <w:rFonts w:ascii="Book Antiqua" w:eastAsia="Arial Unicode MS" w:hAnsi="Book Antiqua" w:hint="eastAsia"/>
                <w:color w:val="000000" w:themeColor="text1"/>
                <w:sz w:val="24"/>
                <w:szCs w:val="24"/>
                <w:vertAlign w:val="superscript"/>
                <w:lang w:eastAsia="zh-CN"/>
              </w:rPr>
              <w:t>6</w:t>
            </w:r>
          </w:p>
        </w:tc>
      </w:tr>
    </w:tbl>
    <w:p w14:paraId="1B012E31" w14:textId="4803C639" w:rsidR="00052E41" w:rsidRPr="0095002B" w:rsidRDefault="007F737F" w:rsidP="006D1F4C">
      <w:pPr>
        <w:snapToGrid w:val="0"/>
        <w:spacing w:line="360" w:lineRule="auto"/>
        <w:rPr>
          <w:rFonts w:ascii="Book Antiqua" w:eastAsia="Arial Unicode MS" w:hAnsi="Book Antiqua"/>
          <w:color w:val="000000" w:themeColor="text1"/>
          <w:sz w:val="24"/>
          <w:szCs w:val="24"/>
        </w:rPr>
      </w:pPr>
      <w:r w:rsidRPr="006257CB">
        <w:rPr>
          <w:rFonts w:ascii="Book Antiqua" w:eastAsia="Arial Unicode MS" w:hAnsi="Book Antiqua"/>
          <w:color w:val="000000" w:themeColor="text1"/>
          <w:sz w:val="24"/>
          <w:szCs w:val="24"/>
          <w:vertAlign w:val="superscript"/>
        </w:rPr>
        <w:t>1</w:t>
      </w:r>
      <w:r w:rsidRPr="006257CB">
        <w:rPr>
          <w:rFonts w:ascii="Book Antiqua" w:eastAsia="Arial Unicode MS" w:hAnsi="Book Antiqua"/>
          <w:color w:val="000000" w:themeColor="text1"/>
          <w:sz w:val="24"/>
          <w:szCs w:val="24"/>
        </w:rPr>
        <w:t xml:space="preserve">Sixteen patients had 2 lesions (one lesion in these patients increased in size during follow-up), 4 patients had 3 lesions, and 1 patient had 4 lesions. </w:t>
      </w:r>
      <w:r w:rsidRPr="006257CB">
        <w:rPr>
          <w:rFonts w:ascii="Book Antiqua" w:eastAsia="Arial Unicode MS" w:hAnsi="Book Antiqua"/>
          <w:color w:val="000000" w:themeColor="text1"/>
          <w:sz w:val="24"/>
          <w:szCs w:val="24"/>
          <w:vertAlign w:val="superscript"/>
        </w:rPr>
        <w:t>2</w:t>
      </w:r>
      <w:r w:rsidRPr="006257CB">
        <w:rPr>
          <w:rFonts w:ascii="Book Antiqua" w:eastAsia="Arial Unicode MS" w:hAnsi="Book Antiqua"/>
          <w:color w:val="000000" w:themeColor="text1"/>
          <w:sz w:val="24"/>
          <w:szCs w:val="24"/>
        </w:rPr>
        <w:t xml:space="preserve">Age was expressed as mean (standard deviation; range). </w:t>
      </w:r>
      <w:r w:rsidRPr="006257CB">
        <w:rPr>
          <w:rFonts w:ascii="Book Antiqua" w:eastAsia="Arial Unicode MS" w:hAnsi="Book Antiqua"/>
          <w:color w:val="000000" w:themeColor="text1"/>
          <w:sz w:val="24"/>
          <w:szCs w:val="24"/>
          <w:vertAlign w:val="superscript"/>
        </w:rPr>
        <w:t>3</w:t>
      </w:r>
      <w:r w:rsidRPr="006257CB">
        <w:rPr>
          <w:rFonts w:ascii="Book Antiqua" w:eastAsia="Arial Unicode MS" w:hAnsi="Book Antiqua"/>
          <w:color w:val="000000" w:themeColor="text1"/>
          <w:sz w:val="24"/>
          <w:szCs w:val="24"/>
        </w:rPr>
        <w:t>Initial size and follow-up were expressed as median (interquartile range; range).</w:t>
      </w:r>
      <w:r w:rsidR="0095002B" w:rsidRPr="006257CB">
        <w:rPr>
          <w:rFonts w:ascii="Book Antiqua" w:eastAsia="Arial Unicode MS" w:hAnsi="Book Antiqua" w:hint="eastAsia"/>
          <w:color w:val="000000" w:themeColor="text1"/>
          <w:sz w:val="24"/>
          <w:szCs w:val="24"/>
        </w:rPr>
        <w:t xml:space="preserve"> </w:t>
      </w:r>
      <w:proofErr w:type="gramStart"/>
      <w:r w:rsidR="0095002B" w:rsidRPr="006257CB">
        <w:rPr>
          <w:rFonts w:ascii="Book Antiqua" w:eastAsia="Arial Unicode MS" w:hAnsi="Book Antiqua" w:hint="eastAsia"/>
          <w:color w:val="000000" w:themeColor="text1"/>
          <w:sz w:val="24"/>
          <w:szCs w:val="24"/>
          <w:vertAlign w:val="superscript"/>
        </w:rPr>
        <w:t>4</w:t>
      </w:r>
      <w:r w:rsidRPr="006257CB">
        <w:rPr>
          <w:rFonts w:ascii="Book Antiqua" w:eastAsia="Arial Unicode MS" w:hAnsi="Book Antiqua"/>
          <w:color w:val="000000" w:themeColor="text1"/>
          <w:sz w:val="24"/>
          <w:szCs w:val="24"/>
        </w:rPr>
        <w:t xml:space="preserve">Student’s </w:t>
      </w:r>
      <w:r w:rsidRPr="006257CB">
        <w:rPr>
          <w:rFonts w:ascii="Book Antiqua" w:eastAsia="Arial Unicode MS" w:hAnsi="Book Antiqua"/>
          <w:i/>
          <w:iCs/>
          <w:color w:val="000000" w:themeColor="text1"/>
          <w:sz w:val="24"/>
          <w:szCs w:val="24"/>
        </w:rPr>
        <w:t>t</w:t>
      </w:r>
      <w:r w:rsidRPr="006257CB">
        <w:rPr>
          <w:rFonts w:ascii="Book Antiqua" w:eastAsia="Arial Unicode MS" w:hAnsi="Book Antiqua"/>
          <w:color w:val="000000" w:themeColor="text1"/>
          <w:sz w:val="24"/>
          <w:szCs w:val="24"/>
        </w:rPr>
        <w:t>-test.</w:t>
      </w:r>
      <w:proofErr w:type="gramEnd"/>
      <w:r w:rsidRPr="006257CB">
        <w:rPr>
          <w:rFonts w:ascii="Book Antiqua" w:eastAsia="Arial Unicode MS" w:hAnsi="Book Antiqua"/>
          <w:color w:val="000000" w:themeColor="text1"/>
          <w:sz w:val="24"/>
          <w:szCs w:val="24"/>
        </w:rPr>
        <w:t xml:space="preserve"> </w:t>
      </w:r>
      <w:proofErr w:type="gramStart"/>
      <w:r w:rsidR="0095002B" w:rsidRPr="006257CB">
        <w:rPr>
          <w:rFonts w:ascii="Book Antiqua" w:eastAsia="Arial Unicode MS" w:hAnsi="Book Antiqua" w:hint="eastAsia"/>
          <w:color w:val="000000" w:themeColor="text1"/>
          <w:sz w:val="24"/>
          <w:szCs w:val="24"/>
          <w:vertAlign w:val="superscript"/>
        </w:rPr>
        <w:t>5</w:t>
      </w:r>
      <w:r w:rsidRPr="006257CB">
        <w:rPr>
          <w:rFonts w:ascii="Book Antiqua" w:eastAsia="Arial Unicode MS" w:hAnsi="Book Antiqua"/>
          <w:color w:val="000000" w:themeColor="text1"/>
          <w:sz w:val="24"/>
          <w:szCs w:val="24"/>
        </w:rPr>
        <w:t>Fisher’s exact test.</w:t>
      </w:r>
      <w:proofErr w:type="gramEnd"/>
      <w:r w:rsidRPr="006257CB">
        <w:rPr>
          <w:rFonts w:ascii="Book Antiqua" w:eastAsia="Arial Unicode MS" w:hAnsi="Book Antiqua"/>
          <w:color w:val="000000" w:themeColor="text1"/>
          <w:sz w:val="24"/>
          <w:szCs w:val="24"/>
        </w:rPr>
        <w:t xml:space="preserve"> </w:t>
      </w:r>
      <w:proofErr w:type="gramStart"/>
      <w:r w:rsidR="0095002B" w:rsidRPr="006257CB">
        <w:rPr>
          <w:rFonts w:ascii="Book Antiqua" w:eastAsia="Arial Unicode MS" w:hAnsi="Book Antiqua" w:hint="eastAsia"/>
          <w:color w:val="000000" w:themeColor="text1"/>
          <w:sz w:val="24"/>
          <w:szCs w:val="24"/>
          <w:vertAlign w:val="superscript"/>
        </w:rPr>
        <w:t>6</w:t>
      </w:r>
      <w:r w:rsidRPr="006257CB">
        <w:rPr>
          <w:rFonts w:ascii="Book Antiqua" w:eastAsia="Arial Unicode MS" w:hAnsi="Book Antiqua"/>
          <w:color w:val="000000" w:themeColor="text1"/>
          <w:sz w:val="24"/>
          <w:szCs w:val="24"/>
        </w:rPr>
        <w:t xml:space="preserve">Mann–Whitney </w:t>
      </w:r>
      <w:r w:rsidRPr="006257CB">
        <w:rPr>
          <w:rFonts w:ascii="Book Antiqua" w:eastAsia="Arial Unicode MS" w:hAnsi="Book Antiqua"/>
          <w:i/>
          <w:color w:val="000000" w:themeColor="text1"/>
          <w:sz w:val="24"/>
          <w:szCs w:val="24"/>
        </w:rPr>
        <w:t>U</w:t>
      </w:r>
      <w:r w:rsidRPr="006257CB">
        <w:rPr>
          <w:rFonts w:ascii="Book Antiqua" w:eastAsia="Arial Unicode MS" w:hAnsi="Book Antiqua"/>
          <w:color w:val="000000" w:themeColor="text1"/>
          <w:sz w:val="24"/>
          <w:szCs w:val="24"/>
        </w:rPr>
        <w:t xml:space="preserve"> test.</w:t>
      </w:r>
      <w:bookmarkStart w:id="5" w:name="_GoBack"/>
      <w:bookmarkEnd w:id="5"/>
      <w:proofErr w:type="gramEnd"/>
    </w:p>
    <w:sectPr w:rsidR="00052E41" w:rsidRPr="0095002B" w:rsidSect="0092713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0B3C" w14:textId="77777777" w:rsidR="008E1FC4" w:rsidRDefault="008E1FC4" w:rsidP="00381697">
      <w:r>
        <w:separator/>
      </w:r>
    </w:p>
  </w:endnote>
  <w:endnote w:type="continuationSeparator" w:id="0">
    <w:p w14:paraId="1AD8252F" w14:textId="77777777" w:rsidR="008E1FC4" w:rsidRDefault="008E1FC4" w:rsidP="0038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幼圆">
    <w:altName w:val="Microsoft YaHei"/>
    <w:panose1 w:val="02010509060101010101"/>
    <w:charset w:val="86"/>
    <w:family w:val="modern"/>
    <w:pitch w:val="fixed"/>
    <w:sig w:usb0="00000001" w:usb1="080E0000" w:usb2="00000010" w:usb3="00000000" w:csb0="00040000" w:csb1="00000000"/>
  </w:font>
  <w:font w:name="Calibri,Bold">
    <w:altName w:val="宋体"/>
    <w:panose1 w:val="00000000000000000000"/>
    <w:charset w:val="86"/>
    <w:family w:val="auto"/>
    <w:notTrueType/>
    <w:pitch w:val="default"/>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PS-BoldItalicMT">
    <w:altName w:val="Times New Roman"/>
    <w:charset w:val="00"/>
    <w:family w:val="roman"/>
    <w:pitch w:val="default"/>
    <w:sig w:usb0="00000000" w:usb1="00000000" w:usb2="00000010" w:usb3="00000000" w:csb0="00040001" w:csb1="00000000"/>
  </w:font>
  <w:font w:name="微软雅黑">
    <w:altName w:val="Microsoft YaHei"/>
    <w:panose1 w:val="020B0503020204020204"/>
    <w:charset w:val="86"/>
    <w:family w:val="swiss"/>
    <w:pitch w:val="variable"/>
    <w:sig w:usb0="80000287" w:usb1="2A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E207" w14:textId="77777777" w:rsidR="008E1FC4" w:rsidRDefault="008E1FC4" w:rsidP="00381697">
      <w:r>
        <w:separator/>
      </w:r>
    </w:p>
  </w:footnote>
  <w:footnote w:type="continuationSeparator" w:id="0">
    <w:p w14:paraId="7BC759F4" w14:textId="77777777" w:rsidR="008E1FC4" w:rsidRDefault="008E1FC4" w:rsidP="0038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BD03562"/>
    <w:lvl w:ilvl="0" w:tplc="560C7E16">
      <w:start w:val="1"/>
      <w:numFmt w:val="bullet"/>
      <w:lvlText w:val="•"/>
      <w:lvlJc w:val="left"/>
      <w:pPr>
        <w:tabs>
          <w:tab w:val="num" w:pos="720"/>
        </w:tabs>
        <w:ind w:left="720" w:hanging="360"/>
      </w:pPr>
      <w:rPr>
        <w:rFonts w:ascii="宋体" w:hAnsi="宋体" w:hint="default"/>
      </w:rPr>
    </w:lvl>
    <w:lvl w:ilvl="1" w:tplc="A3C2CE30">
      <w:start w:val="1"/>
      <w:numFmt w:val="bullet"/>
      <w:lvlRestart w:val="0"/>
      <w:lvlText w:val="•"/>
      <w:lvlJc w:val="left"/>
      <w:pPr>
        <w:tabs>
          <w:tab w:val="num" w:pos="1440"/>
        </w:tabs>
        <w:ind w:left="1440" w:hanging="360"/>
      </w:pPr>
      <w:rPr>
        <w:rFonts w:ascii="宋体" w:hAnsi="宋体" w:hint="default"/>
      </w:rPr>
    </w:lvl>
    <w:lvl w:ilvl="2" w:tplc="8998009E">
      <w:start w:val="1"/>
      <w:numFmt w:val="bullet"/>
      <w:lvlRestart w:val="0"/>
      <w:lvlText w:val="•"/>
      <w:lvlJc w:val="left"/>
      <w:pPr>
        <w:tabs>
          <w:tab w:val="num" w:pos="2160"/>
        </w:tabs>
        <w:ind w:left="2160" w:hanging="360"/>
      </w:pPr>
      <w:rPr>
        <w:rFonts w:ascii="宋体" w:hAnsi="宋体" w:hint="default"/>
      </w:rPr>
    </w:lvl>
    <w:lvl w:ilvl="3" w:tplc="15223ED4">
      <w:start w:val="1"/>
      <w:numFmt w:val="bullet"/>
      <w:lvlRestart w:val="0"/>
      <w:lvlText w:val="•"/>
      <w:lvlJc w:val="left"/>
      <w:pPr>
        <w:tabs>
          <w:tab w:val="num" w:pos="2880"/>
        </w:tabs>
        <w:ind w:left="2880" w:hanging="360"/>
      </w:pPr>
      <w:rPr>
        <w:rFonts w:ascii="宋体" w:hAnsi="宋体" w:hint="default"/>
      </w:rPr>
    </w:lvl>
    <w:lvl w:ilvl="4" w:tplc="9A5A0D6E">
      <w:start w:val="1"/>
      <w:numFmt w:val="bullet"/>
      <w:lvlRestart w:val="0"/>
      <w:lvlText w:val="•"/>
      <w:lvlJc w:val="left"/>
      <w:pPr>
        <w:tabs>
          <w:tab w:val="num" w:pos="3600"/>
        </w:tabs>
        <w:ind w:left="3600" w:hanging="360"/>
      </w:pPr>
      <w:rPr>
        <w:rFonts w:ascii="宋体" w:hAnsi="宋体" w:hint="default"/>
      </w:rPr>
    </w:lvl>
    <w:lvl w:ilvl="5" w:tplc="8C6C74B6">
      <w:start w:val="1"/>
      <w:numFmt w:val="bullet"/>
      <w:lvlRestart w:val="0"/>
      <w:lvlText w:val="•"/>
      <w:lvlJc w:val="left"/>
      <w:pPr>
        <w:tabs>
          <w:tab w:val="num" w:pos="4320"/>
        </w:tabs>
        <w:ind w:left="4320" w:hanging="360"/>
      </w:pPr>
      <w:rPr>
        <w:rFonts w:ascii="宋体" w:hAnsi="宋体" w:hint="default"/>
      </w:rPr>
    </w:lvl>
    <w:lvl w:ilvl="6" w:tplc="066A538C">
      <w:start w:val="1"/>
      <w:numFmt w:val="bullet"/>
      <w:lvlRestart w:val="0"/>
      <w:lvlText w:val="•"/>
      <w:lvlJc w:val="left"/>
      <w:pPr>
        <w:tabs>
          <w:tab w:val="num" w:pos="5040"/>
        </w:tabs>
        <w:ind w:left="5040" w:hanging="360"/>
      </w:pPr>
      <w:rPr>
        <w:rFonts w:ascii="宋体" w:hAnsi="宋体" w:hint="default"/>
      </w:rPr>
    </w:lvl>
    <w:lvl w:ilvl="7" w:tplc="B42C81E2">
      <w:start w:val="1"/>
      <w:numFmt w:val="bullet"/>
      <w:lvlRestart w:val="0"/>
      <w:lvlText w:val="•"/>
      <w:lvlJc w:val="left"/>
      <w:pPr>
        <w:tabs>
          <w:tab w:val="num" w:pos="5760"/>
        </w:tabs>
        <w:ind w:left="5760" w:hanging="360"/>
      </w:pPr>
      <w:rPr>
        <w:rFonts w:ascii="宋体" w:hAnsi="宋体" w:hint="default"/>
      </w:rPr>
    </w:lvl>
    <w:lvl w:ilvl="8" w:tplc="5986F23C">
      <w:start w:val="1"/>
      <w:numFmt w:val="bullet"/>
      <w:lvlRestart w:val="0"/>
      <w:lvlText w:val="•"/>
      <w:lvlJc w:val="left"/>
      <w:pPr>
        <w:tabs>
          <w:tab w:val="num" w:pos="6480"/>
        </w:tabs>
        <w:ind w:left="6480" w:hanging="360"/>
      </w:pPr>
      <w:rPr>
        <w:rFonts w:ascii="宋体" w:hAnsi="宋体" w:hint="default"/>
      </w:rPr>
    </w:lvl>
  </w:abstractNum>
  <w:abstractNum w:abstractNumId="1">
    <w:nsid w:val="00000002"/>
    <w:multiLevelType w:val="hybridMultilevel"/>
    <w:tmpl w:val="D6644B38"/>
    <w:lvl w:ilvl="0" w:tplc="FC56F4DE">
      <w:start w:val="1"/>
      <w:numFmt w:val="bullet"/>
      <w:lvlText w:val="•"/>
      <w:lvlJc w:val="left"/>
      <w:pPr>
        <w:tabs>
          <w:tab w:val="num" w:pos="720"/>
        </w:tabs>
        <w:ind w:left="720" w:hanging="360"/>
      </w:pPr>
      <w:rPr>
        <w:rFonts w:ascii="宋体" w:hAnsi="宋体" w:hint="default"/>
      </w:rPr>
    </w:lvl>
    <w:lvl w:ilvl="1" w:tplc="6DACE6A4">
      <w:start w:val="1"/>
      <w:numFmt w:val="bullet"/>
      <w:lvlRestart w:val="0"/>
      <w:lvlText w:val="•"/>
      <w:lvlJc w:val="left"/>
      <w:pPr>
        <w:tabs>
          <w:tab w:val="num" w:pos="1440"/>
        </w:tabs>
        <w:ind w:left="1440" w:hanging="360"/>
      </w:pPr>
      <w:rPr>
        <w:rFonts w:ascii="宋体" w:hAnsi="宋体" w:hint="default"/>
      </w:rPr>
    </w:lvl>
    <w:lvl w:ilvl="2" w:tplc="E09C833E">
      <w:start w:val="1"/>
      <w:numFmt w:val="bullet"/>
      <w:lvlRestart w:val="0"/>
      <w:lvlText w:val="•"/>
      <w:lvlJc w:val="left"/>
      <w:pPr>
        <w:tabs>
          <w:tab w:val="num" w:pos="2160"/>
        </w:tabs>
        <w:ind w:left="2160" w:hanging="360"/>
      </w:pPr>
      <w:rPr>
        <w:rFonts w:ascii="宋体" w:hAnsi="宋体" w:hint="default"/>
      </w:rPr>
    </w:lvl>
    <w:lvl w:ilvl="3" w:tplc="68D42DCC">
      <w:start w:val="1"/>
      <w:numFmt w:val="bullet"/>
      <w:lvlRestart w:val="0"/>
      <w:lvlText w:val="•"/>
      <w:lvlJc w:val="left"/>
      <w:pPr>
        <w:tabs>
          <w:tab w:val="num" w:pos="2880"/>
        </w:tabs>
        <w:ind w:left="2880" w:hanging="360"/>
      </w:pPr>
      <w:rPr>
        <w:rFonts w:ascii="宋体" w:hAnsi="宋体" w:hint="default"/>
      </w:rPr>
    </w:lvl>
    <w:lvl w:ilvl="4" w:tplc="5844AE12">
      <w:start w:val="1"/>
      <w:numFmt w:val="bullet"/>
      <w:lvlRestart w:val="0"/>
      <w:lvlText w:val="•"/>
      <w:lvlJc w:val="left"/>
      <w:pPr>
        <w:tabs>
          <w:tab w:val="num" w:pos="3600"/>
        </w:tabs>
        <w:ind w:left="3600" w:hanging="360"/>
      </w:pPr>
      <w:rPr>
        <w:rFonts w:ascii="宋体" w:hAnsi="宋体" w:hint="default"/>
      </w:rPr>
    </w:lvl>
    <w:lvl w:ilvl="5" w:tplc="6AA48B54">
      <w:start w:val="1"/>
      <w:numFmt w:val="bullet"/>
      <w:lvlRestart w:val="0"/>
      <w:lvlText w:val="•"/>
      <w:lvlJc w:val="left"/>
      <w:pPr>
        <w:tabs>
          <w:tab w:val="num" w:pos="4320"/>
        </w:tabs>
        <w:ind w:left="4320" w:hanging="360"/>
      </w:pPr>
      <w:rPr>
        <w:rFonts w:ascii="宋体" w:hAnsi="宋体" w:hint="default"/>
      </w:rPr>
    </w:lvl>
    <w:lvl w:ilvl="6" w:tplc="81344572">
      <w:start w:val="1"/>
      <w:numFmt w:val="bullet"/>
      <w:lvlRestart w:val="0"/>
      <w:lvlText w:val="•"/>
      <w:lvlJc w:val="left"/>
      <w:pPr>
        <w:tabs>
          <w:tab w:val="num" w:pos="5040"/>
        </w:tabs>
        <w:ind w:left="5040" w:hanging="360"/>
      </w:pPr>
      <w:rPr>
        <w:rFonts w:ascii="宋体" w:hAnsi="宋体" w:hint="default"/>
      </w:rPr>
    </w:lvl>
    <w:lvl w:ilvl="7" w:tplc="7DCA133A">
      <w:start w:val="1"/>
      <w:numFmt w:val="bullet"/>
      <w:lvlRestart w:val="0"/>
      <w:lvlText w:val="•"/>
      <w:lvlJc w:val="left"/>
      <w:pPr>
        <w:tabs>
          <w:tab w:val="num" w:pos="5760"/>
        </w:tabs>
        <w:ind w:left="5760" w:hanging="360"/>
      </w:pPr>
      <w:rPr>
        <w:rFonts w:ascii="宋体" w:hAnsi="宋体" w:hint="default"/>
      </w:rPr>
    </w:lvl>
    <w:lvl w:ilvl="8" w:tplc="1E84FB1A">
      <w:start w:val="1"/>
      <w:numFmt w:val="bullet"/>
      <w:lvlRestart w:val="0"/>
      <w:lvlText w:val="•"/>
      <w:lvlJc w:val="left"/>
      <w:pPr>
        <w:tabs>
          <w:tab w:val="num" w:pos="6480"/>
        </w:tabs>
        <w:ind w:left="6480" w:hanging="360"/>
      </w:pPr>
      <w:rPr>
        <w:rFonts w:ascii="宋体" w:hAnsi="宋体" w:hint="default"/>
      </w:rPr>
    </w:lvl>
  </w:abstractNum>
  <w:abstractNum w:abstractNumId="2">
    <w:nsid w:val="00000003"/>
    <w:multiLevelType w:val="hybridMultilevel"/>
    <w:tmpl w:val="F15C0EF6"/>
    <w:lvl w:ilvl="0" w:tplc="51D27A54">
      <w:start w:val="1"/>
      <w:numFmt w:val="bullet"/>
      <w:lvlText w:val="•"/>
      <w:lvlJc w:val="left"/>
      <w:pPr>
        <w:tabs>
          <w:tab w:val="num" w:pos="720"/>
        </w:tabs>
        <w:ind w:left="720" w:hanging="360"/>
      </w:pPr>
      <w:rPr>
        <w:rFonts w:ascii="宋体" w:hAnsi="宋体" w:hint="default"/>
      </w:rPr>
    </w:lvl>
    <w:lvl w:ilvl="1" w:tplc="685E3D32">
      <w:start w:val="1"/>
      <w:numFmt w:val="bullet"/>
      <w:lvlRestart w:val="0"/>
      <w:lvlText w:val="•"/>
      <w:lvlJc w:val="left"/>
      <w:pPr>
        <w:tabs>
          <w:tab w:val="num" w:pos="1440"/>
        </w:tabs>
        <w:ind w:left="1440" w:hanging="360"/>
      </w:pPr>
      <w:rPr>
        <w:rFonts w:ascii="宋体" w:hAnsi="宋体" w:hint="default"/>
      </w:rPr>
    </w:lvl>
    <w:lvl w:ilvl="2" w:tplc="F3F6E376">
      <w:start w:val="1"/>
      <w:numFmt w:val="bullet"/>
      <w:lvlRestart w:val="0"/>
      <w:lvlText w:val="•"/>
      <w:lvlJc w:val="left"/>
      <w:pPr>
        <w:tabs>
          <w:tab w:val="num" w:pos="2160"/>
        </w:tabs>
        <w:ind w:left="2160" w:hanging="360"/>
      </w:pPr>
      <w:rPr>
        <w:rFonts w:ascii="宋体" w:hAnsi="宋体" w:hint="default"/>
      </w:rPr>
    </w:lvl>
    <w:lvl w:ilvl="3" w:tplc="BCFCB6FE">
      <w:start w:val="1"/>
      <w:numFmt w:val="bullet"/>
      <w:lvlRestart w:val="0"/>
      <w:lvlText w:val="•"/>
      <w:lvlJc w:val="left"/>
      <w:pPr>
        <w:tabs>
          <w:tab w:val="num" w:pos="2880"/>
        </w:tabs>
        <w:ind w:left="2880" w:hanging="360"/>
      </w:pPr>
      <w:rPr>
        <w:rFonts w:ascii="宋体" w:hAnsi="宋体" w:hint="default"/>
      </w:rPr>
    </w:lvl>
    <w:lvl w:ilvl="4" w:tplc="BCDE0A6C">
      <w:start w:val="1"/>
      <w:numFmt w:val="bullet"/>
      <w:lvlRestart w:val="0"/>
      <w:lvlText w:val="•"/>
      <w:lvlJc w:val="left"/>
      <w:pPr>
        <w:tabs>
          <w:tab w:val="num" w:pos="3600"/>
        </w:tabs>
        <w:ind w:left="3600" w:hanging="360"/>
      </w:pPr>
      <w:rPr>
        <w:rFonts w:ascii="宋体" w:hAnsi="宋体" w:hint="default"/>
      </w:rPr>
    </w:lvl>
    <w:lvl w:ilvl="5" w:tplc="2376A824">
      <w:start w:val="1"/>
      <w:numFmt w:val="bullet"/>
      <w:lvlRestart w:val="0"/>
      <w:lvlText w:val="•"/>
      <w:lvlJc w:val="left"/>
      <w:pPr>
        <w:tabs>
          <w:tab w:val="num" w:pos="4320"/>
        </w:tabs>
        <w:ind w:left="4320" w:hanging="360"/>
      </w:pPr>
      <w:rPr>
        <w:rFonts w:ascii="宋体" w:hAnsi="宋体" w:hint="default"/>
      </w:rPr>
    </w:lvl>
    <w:lvl w:ilvl="6" w:tplc="F9EEA6EC">
      <w:start w:val="1"/>
      <w:numFmt w:val="bullet"/>
      <w:lvlRestart w:val="0"/>
      <w:lvlText w:val="•"/>
      <w:lvlJc w:val="left"/>
      <w:pPr>
        <w:tabs>
          <w:tab w:val="num" w:pos="5040"/>
        </w:tabs>
        <w:ind w:left="5040" w:hanging="360"/>
      </w:pPr>
      <w:rPr>
        <w:rFonts w:ascii="宋体" w:hAnsi="宋体" w:hint="default"/>
      </w:rPr>
    </w:lvl>
    <w:lvl w:ilvl="7" w:tplc="518011BC">
      <w:start w:val="1"/>
      <w:numFmt w:val="bullet"/>
      <w:lvlRestart w:val="0"/>
      <w:lvlText w:val="•"/>
      <w:lvlJc w:val="left"/>
      <w:pPr>
        <w:tabs>
          <w:tab w:val="num" w:pos="5760"/>
        </w:tabs>
        <w:ind w:left="5760" w:hanging="360"/>
      </w:pPr>
      <w:rPr>
        <w:rFonts w:ascii="宋体" w:hAnsi="宋体" w:hint="default"/>
      </w:rPr>
    </w:lvl>
    <w:lvl w:ilvl="8" w:tplc="A40A8940">
      <w:start w:val="1"/>
      <w:numFmt w:val="bullet"/>
      <w:lvlRestart w:val="0"/>
      <w:lvlText w:val="•"/>
      <w:lvlJc w:val="left"/>
      <w:pPr>
        <w:tabs>
          <w:tab w:val="num" w:pos="6480"/>
        </w:tabs>
        <w:ind w:left="6480" w:hanging="360"/>
      </w:pPr>
      <w:rPr>
        <w:rFonts w:ascii="宋体" w:hAnsi="宋体" w:hint="default"/>
      </w:rPr>
    </w:lvl>
  </w:abstractNum>
  <w:abstractNum w:abstractNumId="3">
    <w:nsid w:val="00000004"/>
    <w:multiLevelType w:val="hybridMultilevel"/>
    <w:tmpl w:val="CC2EAEAE"/>
    <w:lvl w:ilvl="0" w:tplc="DDFEFBAC">
      <w:start w:val="1"/>
      <w:numFmt w:val="bullet"/>
      <w:lvlText w:val="•"/>
      <w:lvlJc w:val="left"/>
      <w:pPr>
        <w:tabs>
          <w:tab w:val="num" w:pos="720"/>
        </w:tabs>
        <w:ind w:left="720" w:hanging="360"/>
      </w:pPr>
      <w:rPr>
        <w:rFonts w:ascii="宋体" w:hAnsi="宋体" w:hint="default"/>
      </w:rPr>
    </w:lvl>
    <w:lvl w:ilvl="1" w:tplc="B8B0D314">
      <w:start w:val="1"/>
      <w:numFmt w:val="bullet"/>
      <w:lvlRestart w:val="0"/>
      <w:lvlText w:val="•"/>
      <w:lvlJc w:val="left"/>
      <w:pPr>
        <w:tabs>
          <w:tab w:val="num" w:pos="1440"/>
        </w:tabs>
        <w:ind w:left="1440" w:hanging="360"/>
      </w:pPr>
      <w:rPr>
        <w:rFonts w:ascii="宋体" w:hAnsi="宋体" w:hint="default"/>
      </w:rPr>
    </w:lvl>
    <w:lvl w:ilvl="2" w:tplc="5A16597A">
      <w:start w:val="1"/>
      <w:numFmt w:val="bullet"/>
      <w:lvlRestart w:val="0"/>
      <w:lvlText w:val="•"/>
      <w:lvlJc w:val="left"/>
      <w:pPr>
        <w:tabs>
          <w:tab w:val="num" w:pos="2160"/>
        </w:tabs>
        <w:ind w:left="2160" w:hanging="360"/>
      </w:pPr>
      <w:rPr>
        <w:rFonts w:ascii="宋体" w:hAnsi="宋体" w:hint="default"/>
      </w:rPr>
    </w:lvl>
    <w:lvl w:ilvl="3" w:tplc="079C38E2">
      <w:start w:val="1"/>
      <w:numFmt w:val="bullet"/>
      <w:lvlRestart w:val="0"/>
      <w:lvlText w:val="•"/>
      <w:lvlJc w:val="left"/>
      <w:pPr>
        <w:tabs>
          <w:tab w:val="num" w:pos="2880"/>
        </w:tabs>
        <w:ind w:left="2880" w:hanging="360"/>
      </w:pPr>
      <w:rPr>
        <w:rFonts w:ascii="宋体" w:hAnsi="宋体" w:hint="default"/>
      </w:rPr>
    </w:lvl>
    <w:lvl w:ilvl="4" w:tplc="AB0C7DE6">
      <w:start w:val="1"/>
      <w:numFmt w:val="bullet"/>
      <w:lvlRestart w:val="0"/>
      <w:lvlText w:val="•"/>
      <w:lvlJc w:val="left"/>
      <w:pPr>
        <w:tabs>
          <w:tab w:val="num" w:pos="3600"/>
        </w:tabs>
        <w:ind w:left="3600" w:hanging="360"/>
      </w:pPr>
      <w:rPr>
        <w:rFonts w:ascii="宋体" w:hAnsi="宋体" w:hint="default"/>
      </w:rPr>
    </w:lvl>
    <w:lvl w:ilvl="5" w:tplc="505AEFEE">
      <w:start w:val="1"/>
      <w:numFmt w:val="bullet"/>
      <w:lvlRestart w:val="0"/>
      <w:lvlText w:val="•"/>
      <w:lvlJc w:val="left"/>
      <w:pPr>
        <w:tabs>
          <w:tab w:val="num" w:pos="4320"/>
        </w:tabs>
        <w:ind w:left="4320" w:hanging="360"/>
      </w:pPr>
      <w:rPr>
        <w:rFonts w:ascii="宋体" w:hAnsi="宋体" w:hint="default"/>
      </w:rPr>
    </w:lvl>
    <w:lvl w:ilvl="6" w:tplc="000E8DE0">
      <w:start w:val="1"/>
      <w:numFmt w:val="bullet"/>
      <w:lvlRestart w:val="0"/>
      <w:lvlText w:val="•"/>
      <w:lvlJc w:val="left"/>
      <w:pPr>
        <w:tabs>
          <w:tab w:val="num" w:pos="5040"/>
        </w:tabs>
        <w:ind w:left="5040" w:hanging="360"/>
      </w:pPr>
      <w:rPr>
        <w:rFonts w:ascii="宋体" w:hAnsi="宋体" w:hint="default"/>
      </w:rPr>
    </w:lvl>
    <w:lvl w:ilvl="7" w:tplc="2F2048AA">
      <w:start w:val="1"/>
      <w:numFmt w:val="bullet"/>
      <w:lvlRestart w:val="0"/>
      <w:lvlText w:val="•"/>
      <w:lvlJc w:val="left"/>
      <w:pPr>
        <w:tabs>
          <w:tab w:val="num" w:pos="5760"/>
        </w:tabs>
        <w:ind w:left="5760" w:hanging="360"/>
      </w:pPr>
      <w:rPr>
        <w:rFonts w:ascii="宋体" w:hAnsi="宋体" w:hint="default"/>
      </w:rPr>
    </w:lvl>
    <w:lvl w:ilvl="8" w:tplc="0DEC71A4">
      <w:start w:val="1"/>
      <w:numFmt w:val="bullet"/>
      <w:lvlRestart w:val="0"/>
      <w:lvlText w:val="•"/>
      <w:lvlJc w:val="left"/>
      <w:pPr>
        <w:tabs>
          <w:tab w:val="num" w:pos="6480"/>
        </w:tabs>
        <w:ind w:left="6480" w:hanging="360"/>
      </w:pPr>
      <w:rPr>
        <w:rFonts w:ascii="宋体" w:hAnsi="宋体" w:hint="default"/>
      </w:rPr>
    </w:lvl>
  </w:abstractNum>
  <w:abstractNum w:abstractNumId="4">
    <w:nsid w:val="00000005"/>
    <w:multiLevelType w:val="hybridMultilevel"/>
    <w:tmpl w:val="20CEDCBE"/>
    <w:lvl w:ilvl="0" w:tplc="1B8C4538">
      <w:start w:val="1"/>
      <w:numFmt w:val="bullet"/>
      <w:lvlText w:val="•"/>
      <w:lvlJc w:val="left"/>
      <w:pPr>
        <w:tabs>
          <w:tab w:val="num" w:pos="720"/>
        </w:tabs>
        <w:ind w:left="720" w:hanging="360"/>
      </w:pPr>
      <w:rPr>
        <w:rFonts w:ascii="宋体" w:hAnsi="宋体" w:hint="default"/>
      </w:rPr>
    </w:lvl>
    <w:lvl w:ilvl="1" w:tplc="C9AC86A2">
      <w:start w:val="1"/>
      <w:numFmt w:val="bullet"/>
      <w:lvlRestart w:val="0"/>
      <w:lvlText w:val="•"/>
      <w:lvlJc w:val="left"/>
      <w:pPr>
        <w:tabs>
          <w:tab w:val="num" w:pos="1440"/>
        </w:tabs>
        <w:ind w:left="1440" w:hanging="360"/>
      </w:pPr>
      <w:rPr>
        <w:rFonts w:ascii="宋体" w:hAnsi="宋体" w:hint="default"/>
      </w:rPr>
    </w:lvl>
    <w:lvl w:ilvl="2" w:tplc="80CA6D26">
      <w:start w:val="1"/>
      <w:numFmt w:val="bullet"/>
      <w:lvlRestart w:val="0"/>
      <w:lvlText w:val="•"/>
      <w:lvlJc w:val="left"/>
      <w:pPr>
        <w:tabs>
          <w:tab w:val="num" w:pos="2160"/>
        </w:tabs>
        <w:ind w:left="2160" w:hanging="360"/>
      </w:pPr>
      <w:rPr>
        <w:rFonts w:ascii="宋体" w:hAnsi="宋体" w:hint="default"/>
      </w:rPr>
    </w:lvl>
    <w:lvl w:ilvl="3" w:tplc="B4548CB0">
      <w:start w:val="1"/>
      <w:numFmt w:val="bullet"/>
      <w:lvlRestart w:val="0"/>
      <w:lvlText w:val="•"/>
      <w:lvlJc w:val="left"/>
      <w:pPr>
        <w:tabs>
          <w:tab w:val="num" w:pos="2880"/>
        </w:tabs>
        <w:ind w:left="2880" w:hanging="360"/>
      </w:pPr>
      <w:rPr>
        <w:rFonts w:ascii="宋体" w:hAnsi="宋体" w:hint="default"/>
      </w:rPr>
    </w:lvl>
    <w:lvl w:ilvl="4" w:tplc="B8449930">
      <w:start w:val="1"/>
      <w:numFmt w:val="bullet"/>
      <w:lvlRestart w:val="0"/>
      <w:lvlText w:val="•"/>
      <w:lvlJc w:val="left"/>
      <w:pPr>
        <w:tabs>
          <w:tab w:val="num" w:pos="3600"/>
        </w:tabs>
        <w:ind w:left="3600" w:hanging="360"/>
      </w:pPr>
      <w:rPr>
        <w:rFonts w:ascii="宋体" w:hAnsi="宋体" w:hint="default"/>
      </w:rPr>
    </w:lvl>
    <w:lvl w:ilvl="5" w:tplc="5B1A8646">
      <w:start w:val="1"/>
      <w:numFmt w:val="bullet"/>
      <w:lvlRestart w:val="0"/>
      <w:lvlText w:val="•"/>
      <w:lvlJc w:val="left"/>
      <w:pPr>
        <w:tabs>
          <w:tab w:val="num" w:pos="4320"/>
        </w:tabs>
        <w:ind w:left="4320" w:hanging="360"/>
      </w:pPr>
      <w:rPr>
        <w:rFonts w:ascii="宋体" w:hAnsi="宋体" w:hint="default"/>
      </w:rPr>
    </w:lvl>
    <w:lvl w:ilvl="6" w:tplc="D2D610A6">
      <w:start w:val="1"/>
      <w:numFmt w:val="bullet"/>
      <w:lvlRestart w:val="0"/>
      <w:lvlText w:val="•"/>
      <w:lvlJc w:val="left"/>
      <w:pPr>
        <w:tabs>
          <w:tab w:val="num" w:pos="5040"/>
        </w:tabs>
        <w:ind w:left="5040" w:hanging="360"/>
      </w:pPr>
      <w:rPr>
        <w:rFonts w:ascii="宋体" w:hAnsi="宋体" w:hint="default"/>
      </w:rPr>
    </w:lvl>
    <w:lvl w:ilvl="7" w:tplc="21E00924">
      <w:start w:val="1"/>
      <w:numFmt w:val="bullet"/>
      <w:lvlRestart w:val="0"/>
      <w:lvlText w:val="•"/>
      <w:lvlJc w:val="left"/>
      <w:pPr>
        <w:tabs>
          <w:tab w:val="num" w:pos="5760"/>
        </w:tabs>
        <w:ind w:left="5760" w:hanging="360"/>
      </w:pPr>
      <w:rPr>
        <w:rFonts w:ascii="宋体" w:hAnsi="宋体" w:hint="default"/>
      </w:rPr>
    </w:lvl>
    <w:lvl w:ilvl="8" w:tplc="13563538">
      <w:start w:val="1"/>
      <w:numFmt w:val="bullet"/>
      <w:lvlRestart w:val="0"/>
      <w:lvlText w:val="•"/>
      <w:lvlJc w:val="left"/>
      <w:pPr>
        <w:tabs>
          <w:tab w:val="num" w:pos="6480"/>
        </w:tabs>
        <w:ind w:left="6480" w:hanging="360"/>
      </w:pPr>
      <w:rPr>
        <w:rFonts w:ascii="宋体" w:hAnsi="宋体" w:hint="default"/>
      </w:rPr>
    </w:lvl>
  </w:abstractNum>
  <w:abstractNum w:abstractNumId="5">
    <w:nsid w:val="11576DBE"/>
    <w:multiLevelType w:val="hybridMultilevel"/>
    <w:tmpl w:val="86144F16"/>
    <w:lvl w:ilvl="0" w:tplc="6CE62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E01AAD"/>
    <w:multiLevelType w:val="hybridMultilevel"/>
    <w:tmpl w:val="B904720A"/>
    <w:lvl w:ilvl="0" w:tplc="BF663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3101A0"/>
    <w:multiLevelType w:val="multilevel"/>
    <w:tmpl w:val="E7C2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71963"/>
    <w:multiLevelType w:val="hybridMultilevel"/>
    <w:tmpl w:val="D5D26C22"/>
    <w:lvl w:ilvl="0" w:tplc="576C428E">
      <w:start w:val="1"/>
      <w:numFmt w:val="decimal"/>
      <w:lvlText w:val="%1."/>
      <w:lvlJc w:val="left"/>
      <w:pPr>
        <w:ind w:left="360" w:hanging="360"/>
      </w:pPr>
      <w:rPr>
        <w:rFonts w:eastAsia="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94299"/>
    <w:rsid w:val="00004263"/>
    <w:rsid w:val="00052E41"/>
    <w:rsid w:val="00063632"/>
    <w:rsid w:val="00093EF7"/>
    <w:rsid w:val="000B7B32"/>
    <w:rsid w:val="000D000D"/>
    <w:rsid w:val="000D4396"/>
    <w:rsid w:val="000D4BC3"/>
    <w:rsid w:val="000E08AE"/>
    <w:rsid w:val="001072F3"/>
    <w:rsid w:val="00146FDE"/>
    <w:rsid w:val="00181B3B"/>
    <w:rsid w:val="00194299"/>
    <w:rsid w:val="001976B5"/>
    <w:rsid w:val="001D1720"/>
    <w:rsid w:val="001E7CFF"/>
    <w:rsid w:val="00210FE9"/>
    <w:rsid w:val="00246217"/>
    <w:rsid w:val="00246797"/>
    <w:rsid w:val="00247CB4"/>
    <w:rsid w:val="0026561C"/>
    <w:rsid w:val="002662AB"/>
    <w:rsid w:val="0027311D"/>
    <w:rsid w:val="002C1F3F"/>
    <w:rsid w:val="002E5F1C"/>
    <w:rsid w:val="002F4E9B"/>
    <w:rsid w:val="0032302C"/>
    <w:rsid w:val="003316A9"/>
    <w:rsid w:val="00377C2C"/>
    <w:rsid w:val="00377D6D"/>
    <w:rsid w:val="00381697"/>
    <w:rsid w:val="00395934"/>
    <w:rsid w:val="003B207D"/>
    <w:rsid w:val="0043575E"/>
    <w:rsid w:val="00446502"/>
    <w:rsid w:val="00454AA4"/>
    <w:rsid w:val="004A047E"/>
    <w:rsid w:val="004D3629"/>
    <w:rsid w:val="004E6F05"/>
    <w:rsid w:val="005377AB"/>
    <w:rsid w:val="00540290"/>
    <w:rsid w:val="00542864"/>
    <w:rsid w:val="00545C5C"/>
    <w:rsid w:val="00566DAA"/>
    <w:rsid w:val="00583594"/>
    <w:rsid w:val="005A22C6"/>
    <w:rsid w:val="005A2FD9"/>
    <w:rsid w:val="005E04AC"/>
    <w:rsid w:val="005E0B17"/>
    <w:rsid w:val="00604F29"/>
    <w:rsid w:val="006257CB"/>
    <w:rsid w:val="006514DA"/>
    <w:rsid w:val="006879C6"/>
    <w:rsid w:val="006967F2"/>
    <w:rsid w:val="006B14D0"/>
    <w:rsid w:val="006C2A2B"/>
    <w:rsid w:val="006C4060"/>
    <w:rsid w:val="006D1F4C"/>
    <w:rsid w:val="006D49CE"/>
    <w:rsid w:val="0074338A"/>
    <w:rsid w:val="00746D3E"/>
    <w:rsid w:val="00755927"/>
    <w:rsid w:val="00762A1B"/>
    <w:rsid w:val="00777CCB"/>
    <w:rsid w:val="00796F6F"/>
    <w:rsid w:val="00797845"/>
    <w:rsid w:val="007F737F"/>
    <w:rsid w:val="00803E4D"/>
    <w:rsid w:val="00834E77"/>
    <w:rsid w:val="0086025E"/>
    <w:rsid w:val="00873012"/>
    <w:rsid w:val="00894F5D"/>
    <w:rsid w:val="00895EF5"/>
    <w:rsid w:val="008B06D0"/>
    <w:rsid w:val="008D0D7A"/>
    <w:rsid w:val="008E1FC4"/>
    <w:rsid w:val="008F61A0"/>
    <w:rsid w:val="00927131"/>
    <w:rsid w:val="00942918"/>
    <w:rsid w:val="0094712C"/>
    <w:rsid w:val="0095002B"/>
    <w:rsid w:val="009528CE"/>
    <w:rsid w:val="00954DC0"/>
    <w:rsid w:val="0098363E"/>
    <w:rsid w:val="00A31F80"/>
    <w:rsid w:val="00A81ED6"/>
    <w:rsid w:val="00A85903"/>
    <w:rsid w:val="00A94B15"/>
    <w:rsid w:val="00AA685E"/>
    <w:rsid w:val="00B3555F"/>
    <w:rsid w:val="00B40183"/>
    <w:rsid w:val="00B8172F"/>
    <w:rsid w:val="00BA33C1"/>
    <w:rsid w:val="00BA5577"/>
    <w:rsid w:val="00C05D07"/>
    <w:rsid w:val="00C30A8B"/>
    <w:rsid w:val="00C51668"/>
    <w:rsid w:val="00C57875"/>
    <w:rsid w:val="00C752E6"/>
    <w:rsid w:val="00CE275C"/>
    <w:rsid w:val="00CE444B"/>
    <w:rsid w:val="00D04051"/>
    <w:rsid w:val="00D24F42"/>
    <w:rsid w:val="00D6737F"/>
    <w:rsid w:val="00D80AB1"/>
    <w:rsid w:val="00D97A8F"/>
    <w:rsid w:val="00DD3CD3"/>
    <w:rsid w:val="00E21306"/>
    <w:rsid w:val="00E259A4"/>
    <w:rsid w:val="00E41D64"/>
    <w:rsid w:val="00E811AC"/>
    <w:rsid w:val="00E91126"/>
    <w:rsid w:val="00EA47E3"/>
    <w:rsid w:val="00EB54AF"/>
    <w:rsid w:val="00ED2D31"/>
    <w:rsid w:val="00ED746C"/>
    <w:rsid w:val="00F03FB5"/>
    <w:rsid w:val="00F24554"/>
    <w:rsid w:val="00FD228F"/>
    <w:rsid w:val="00FF6FA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9"/>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4299"/>
    <w:pPr>
      <w:widowControl/>
      <w:spacing w:before="100" w:beforeAutospacing="1" w:after="100" w:afterAutospacing="1"/>
      <w:jc w:val="left"/>
    </w:pPr>
    <w:rPr>
      <w:rFonts w:ascii="宋体" w:hAnsi="宋体" w:cs="宋体"/>
      <w:kern w:val="0"/>
      <w:sz w:val="24"/>
      <w:szCs w:val="24"/>
    </w:rPr>
  </w:style>
  <w:style w:type="character" w:customStyle="1" w:styleId="EndNoteBibliographyChar">
    <w:name w:val="EndNote Bibliography Char"/>
    <w:link w:val="EndNoteBibliography"/>
    <w:rsid w:val="00194299"/>
    <w:rPr>
      <w:rFonts w:cs="Calibri"/>
      <w:noProof/>
      <w:kern w:val="2"/>
    </w:rPr>
  </w:style>
  <w:style w:type="paragraph" w:customStyle="1" w:styleId="EndNoteBibliography">
    <w:name w:val="EndNote Bibliography"/>
    <w:basedOn w:val="a"/>
    <w:link w:val="EndNoteBibliographyChar"/>
    <w:rsid w:val="00194299"/>
    <w:rPr>
      <w:rFonts w:asciiTheme="minorHAnsi" w:eastAsiaTheme="minorEastAsia" w:hAnsiTheme="minorHAnsi" w:cs="Calibri"/>
      <w:noProof/>
      <w:sz w:val="22"/>
    </w:rPr>
  </w:style>
  <w:style w:type="character" w:customStyle="1" w:styleId="Char">
    <w:name w:val="页眉 Char"/>
    <w:link w:val="a4"/>
    <w:rsid w:val="00194299"/>
    <w:rPr>
      <w:rFonts w:ascii="Calibri" w:eastAsia="宋体" w:hAnsi="Calibri" w:cs="Times New Roman"/>
      <w:kern w:val="2"/>
      <w:sz w:val="18"/>
      <w:szCs w:val="18"/>
    </w:rPr>
  </w:style>
  <w:style w:type="paragraph" w:styleId="a4">
    <w:name w:val="header"/>
    <w:basedOn w:val="a"/>
    <w:link w:val="Char"/>
    <w:rsid w:val="00194299"/>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uiPriority w:val="99"/>
    <w:semiHidden/>
    <w:rsid w:val="00194299"/>
    <w:rPr>
      <w:rFonts w:ascii="Calibri" w:eastAsia="宋体" w:hAnsi="Calibri" w:cs="Times New Roman"/>
      <w:kern w:val="2"/>
      <w:sz w:val="21"/>
    </w:rPr>
  </w:style>
  <w:style w:type="character" w:customStyle="1" w:styleId="Char0">
    <w:name w:val="页脚 Char"/>
    <w:link w:val="a5"/>
    <w:rsid w:val="00194299"/>
    <w:rPr>
      <w:rFonts w:ascii="Calibri" w:eastAsia="宋体" w:hAnsi="Calibri" w:cs="Times New Roman"/>
      <w:kern w:val="2"/>
      <w:sz w:val="18"/>
      <w:szCs w:val="18"/>
    </w:rPr>
  </w:style>
  <w:style w:type="paragraph" w:styleId="a5">
    <w:name w:val="footer"/>
    <w:basedOn w:val="a"/>
    <w:link w:val="Char0"/>
    <w:rsid w:val="00194299"/>
    <w:pPr>
      <w:tabs>
        <w:tab w:val="center" w:pos="4153"/>
        <w:tab w:val="right" w:pos="8306"/>
      </w:tabs>
      <w:snapToGrid w:val="0"/>
      <w:jc w:val="left"/>
    </w:pPr>
    <w:rPr>
      <w:sz w:val="18"/>
      <w:szCs w:val="18"/>
    </w:rPr>
  </w:style>
  <w:style w:type="character" w:customStyle="1" w:styleId="10">
    <w:name w:val="页脚 字符1"/>
    <w:basedOn w:val="a0"/>
    <w:uiPriority w:val="99"/>
    <w:semiHidden/>
    <w:rsid w:val="00194299"/>
    <w:rPr>
      <w:rFonts w:ascii="Calibri" w:eastAsia="宋体" w:hAnsi="Calibri" w:cs="Times New Roman"/>
      <w:kern w:val="2"/>
      <w:sz w:val="21"/>
    </w:rPr>
  </w:style>
  <w:style w:type="table" w:styleId="a6">
    <w:name w:val="Table Grid"/>
    <w:basedOn w:val="a1"/>
    <w:rsid w:val="00194299"/>
    <w:pPr>
      <w:spacing w:after="0" w:line="240" w:lineRule="auto"/>
    </w:pPr>
    <w:rPr>
      <w:rFonts w:ascii="Calibri" w:eastAsia="宋体"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Char">
    <w:name w:val="EndNote Bibliography Title Char"/>
    <w:link w:val="EndNoteBibliographyTitle"/>
    <w:rsid w:val="00194299"/>
    <w:rPr>
      <w:rFonts w:cs="Calibri"/>
      <w:noProof/>
      <w:kern w:val="2"/>
    </w:rPr>
  </w:style>
  <w:style w:type="paragraph" w:customStyle="1" w:styleId="EndNoteBibliographyTitle">
    <w:name w:val="EndNote Bibliography Title"/>
    <w:basedOn w:val="a"/>
    <w:link w:val="EndNoteBibliographyTitleChar"/>
    <w:rsid w:val="00194299"/>
    <w:pPr>
      <w:jc w:val="center"/>
    </w:pPr>
    <w:rPr>
      <w:rFonts w:asciiTheme="minorHAnsi" w:eastAsiaTheme="minorEastAsia" w:hAnsiTheme="minorHAnsi" w:cs="Calibri"/>
      <w:noProof/>
      <w:sz w:val="22"/>
    </w:rPr>
  </w:style>
  <w:style w:type="character" w:styleId="a7">
    <w:name w:val="Hyperlink"/>
    <w:rsid w:val="00194299"/>
    <w:rPr>
      <w:rFonts w:ascii="Calibri" w:eastAsia="宋体" w:hAnsi="Calibri" w:cs="Times New Roman"/>
      <w:color w:val="0563C1"/>
      <w:u w:val="single"/>
    </w:rPr>
  </w:style>
  <w:style w:type="character" w:customStyle="1" w:styleId="apple-converted-space">
    <w:name w:val="apple-converted-space"/>
    <w:rsid w:val="00194299"/>
  </w:style>
  <w:style w:type="character" w:customStyle="1" w:styleId="highlight">
    <w:name w:val="highlight"/>
    <w:rsid w:val="00194299"/>
  </w:style>
  <w:style w:type="paragraph" w:styleId="a8">
    <w:name w:val="Balloon Text"/>
    <w:basedOn w:val="a"/>
    <w:link w:val="Char1"/>
    <w:uiPriority w:val="99"/>
    <w:semiHidden/>
    <w:unhideWhenUsed/>
    <w:rsid w:val="00194299"/>
    <w:rPr>
      <w:sz w:val="18"/>
      <w:szCs w:val="18"/>
    </w:rPr>
  </w:style>
  <w:style w:type="character" w:customStyle="1" w:styleId="Char1">
    <w:name w:val="批注框文本 Char"/>
    <w:basedOn w:val="a0"/>
    <w:link w:val="a8"/>
    <w:uiPriority w:val="99"/>
    <w:semiHidden/>
    <w:rsid w:val="00194299"/>
    <w:rPr>
      <w:rFonts w:ascii="Calibri" w:eastAsia="宋体" w:hAnsi="Calibri" w:cs="Times New Roman"/>
      <w:kern w:val="2"/>
      <w:sz w:val="18"/>
      <w:szCs w:val="18"/>
    </w:rPr>
  </w:style>
  <w:style w:type="paragraph" w:styleId="a9">
    <w:name w:val="List Paragraph"/>
    <w:basedOn w:val="a"/>
    <w:uiPriority w:val="34"/>
    <w:qFormat/>
    <w:rsid w:val="00194299"/>
    <w:pPr>
      <w:ind w:firstLineChars="200" w:firstLine="420"/>
    </w:pPr>
  </w:style>
  <w:style w:type="paragraph" w:customStyle="1" w:styleId="Default">
    <w:name w:val="Default"/>
    <w:rsid w:val="00194299"/>
    <w:pPr>
      <w:autoSpaceDE w:val="0"/>
      <w:autoSpaceDN w:val="0"/>
      <w:adjustRightInd w:val="0"/>
      <w:spacing w:after="0" w:line="240" w:lineRule="auto"/>
    </w:pPr>
    <w:rPr>
      <w:rFonts w:ascii="Book Antiqua" w:hAnsi="Book Antiqua" w:cs="Book Antiqua"/>
      <w:color w:val="000000"/>
      <w:sz w:val="24"/>
      <w:szCs w:val="24"/>
    </w:rPr>
  </w:style>
  <w:style w:type="character" w:customStyle="1" w:styleId="UnresolvedMention1">
    <w:name w:val="Unresolved Mention1"/>
    <w:basedOn w:val="a0"/>
    <w:uiPriority w:val="99"/>
    <w:semiHidden/>
    <w:unhideWhenUsed/>
    <w:rsid w:val="00194299"/>
    <w:rPr>
      <w:color w:val="605E5C"/>
      <w:shd w:val="clear" w:color="auto" w:fill="E1DFDD"/>
    </w:rPr>
  </w:style>
  <w:style w:type="character" w:customStyle="1" w:styleId="Char2">
    <w:name w:val="纯文本 Char"/>
    <w:link w:val="aa"/>
    <w:uiPriority w:val="99"/>
    <w:locked/>
    <w:rsid w:val="00E259A4"/>
    <w:rPr>
      <w:rFonts w:ascii="宋体" w:hAnsi="Courier New"/>
      <w:kern w:val="2"/>
      <w:sz w:val="21"/>
    </w:rPr>
  </w:style>
  <w:style w:type="paragraph" w:styleId="aa">
    <w:name w:val="Plain Text"/>
    <w:basedOn w:val="a"/>
    <w:link w:val="Char2"/>
    <w:uiPriority w:val="99"/>
    <w:rsid w:val="00E259A4"/>
    <w:rPr>
      <w:rFonts w:ascii="宋体" w:eastAsiaTheme="minorEastAsia" w:hAnsi="Courier New" w:cstheme="minorBidi"/>
    </w:rPr>
  </w:style>
  <w:style w:type="character" w:customStyle="1" w:styleId="11">
    <w:name w:val="纯文本 字符1"/>
    <w:basedOn w:val="a0"/>
    <w:uiPriority w:val="99"/>
    <w:semiHidden/>
    <w:rsid w:val="00E259A4"/>
    <w:rPr>
      <w:rFonts w:ascii="Consolas" w:eastAsia="宋体" w:hAnsi="Consolas"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9"/>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4299"/>
    <w:pPr>
      <w:widowControl/>
      <w:spacing w:before="100" w:beforeAutospacing="1" w:after="100" w:afterAutospacing="1"/>
      <w:jc w:val="left"/>
    </w:pPr>
    <w:rPr>
      <w:rFonts w:ascii="宋体" w:hAnsi="宋体" w:cs="宋体"/>
      <w:kern w:val="0"/>
      <w:sz w:val="24"/>
      <w:szCs w:val="24"/>
    </w:rPr>
  </w:style>
  <w:style w:type="character" w:customStyle="1" w:styleId="EndNoteBibliographyChar">
    <w:name w:val="EndNote Bibliography Char"/>
    <w:link w:val="EndNoteBibliography"/>
    <w:rsid w:val="00194299"/>
    <w:rPr>
      <w:rFonts w:cs="Calibri"/>
      <w:noProof/>
      <w:kern w:val="2"/>
    </w:rPr>
  </w:style>
  <w:style w:type="paragraph" w:customStyle="1" w:styleId="EndNoteBibliography">
    <w:name w:val="EndNote Bibliography"/>
    <w:basedOn w:val="a"/>
    <w:link w:val="EndNoteBibliographyChar"/>
    <w:rsid w:val="00194299"/>
    <w:rPr>
      <w:rFonts w:asciiTheme="minorHAnsi" w:eastAsiaTheme="minorEastAsia" w:hAnsiTheme="minorHAnsi" w:cs="Calibri"/>
      <w:noProof/>
      <w:sz w:val="22"/>
    </w:rPr>
  </w:style>
  <w:style w:type="character" w:customStyle="1" w:styleId="Char">
    <w:name w:val="页眉 Char"/>
    <w:link w:val="a4"/>
    <w:rsid w:val="00194299"/>
    <w:rPr>
      <w:rFonts w:ascii="Calibri" w:eastAsia="宋体" w:hAnsi="Calibri" w:cs="Times New Roman"/>
      <w:kern w:val="2"/>
      <w:sz w:val="18"/>
      <w:szCs w:val="18"/>
    </w:rPr>
  </w:style>
  <w:style w:type="paragraph" w:styleId="a4">
    <w:name w:val="header"/>
    <w:basedOn w:val="a"/>
    <w:link w:val="Char"/>
    <w:rsid w:val="00194299"/>
    <w:pPr>
      <w:pBdr>
        <w:bottom w:val="single" w:sz="6" w:space="1" w:color="auto"/>
      </w:pBdr>
      <w:tabs>
        <w:tab w:val="center" w:pos="4153"/>
        <w:tab w:val="right" w:pos="8306"/>
      </w:tabs>
      <w:snapToGrid w:val="0"/>
      <w:jc w:val="center"/>
    </w:pPr>
    <w:rPr>
      <w:sz w:val="18"/>
      <w:szCs w:val="18"/>
    </w:rPr>
  </w:style>
  <w:style w:type="character" w:customStyle="1" w:styleId="1">
    <w:name w:val="页眉 字符1"/>
    <w:basedOn w:val="a0"/>
    <w:uiPriority w:val="99"/>
    <w:semiHidden/>
    <w:rsid w:val="00194299"/>
    <w:rPr>
      <w:rFonts w:ascii="Calibri" w:eastAsia="宋体" w:hAnsi="Calibri" w:cs="Times New Roman"/>
      <w:kern w:val="2"/>
      <w:sz w:val="21"/>
    </w:rPr>
  </w:style>
  <w:style w:type="character" w:customStyle="1" w:styleId="Char0">
    <w:name w:val="页脚 Char"/>
    <w:link w:val="a5"/>
    <w:rsid w:val="00194299"/>
    <w:rPr>
      <w:rFonts w:ascii="Calibri" w:eastAsia="宋体" w:hAnsi="Calibri" w:cs="Times New Roman"/>
      <w:kern w:val="2"/>
      <w:sz w:val="18"/>
      <w:szCs w:val="18"/>
    </w:rPr>
  </w:style>
  <w:style w:type="paragraph" w:styleId="a5">
    <w:name w:val="footer"/>
    <w:basedOn w:val="a"/>
    <w:link w:val="Char0"/>
    <w:rsid w:val="00194299"/>
    <w:pPr>
      <w:tabs>
        <w:tab w:val="center" w:pos="4153"/>
        <w:tab w:val="right" w:pos="8306"/>
      </w:tabs>
      <w:snapToGrid w:val="0"/>
      <w:jc w:val="left"/>
    </w:pPr>
    <w:rPr>
      <w:sz w:val="18"/>
      <w:szCs w:val="18"/>
    </w:rPr>
  </w:style>
  <w:style w:type="character" w:customStyle="1" w:styleId="10">
    <w:name w:val="页脚 字符1"/>
    <w:basedOn w:val="a0"/>
    <w:uiPriority w:val="99"/>
    <w:semiHidden/>
    <w:rsid w:val="00194299"/>
    <w:rPr>
      <w:rFonts w:ascii="Calibri" w:eastAsia="宋体" w:hAnsi="Calibri" w:cs="Times New Roman"/>
      <w:kern w:val="2"/>
      <w:sz w:val="21"/>
    </w:rPr>
  </w:style>
  <w:style w:type="table" w:styleId="a6">
    <w:name w:val="Table Grid"/>
    <w:basedOn w:val="a1"/>
    <w:rsid w:val="00194299"/>
    <w:pPr>
      <w:spacing w:after="0" w:line="240" w:lineRule="auto"/>
    </w:pPr>
    <w:rPr>
      <w:rFonts w:ascii="Calibri" w:eastAsia="宋体"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Char">
    <w:name w:val="EndNote Bibliography Title Char"/>
    <w:link w:val="EndNoteBibliographyTitle"/>
    <w:rsid w:val="00194299"/>
    <w:rPr>
      <w:rFonts w:cs="Calibri"/>
      <w:noProof/>
      <w:kern w:val="2"/>
    </w:rPr>
  </w:style>
  <w:style w:type="paragraph" w:customStyle="1" w:styleId="EndNoteBibliographyTitle">
    <w:name w:val="EndNote Bibliography Title"/>
    <w:basedOn w:val="a"/>
    <w:link w:val="EndNoteBibliographyTitleChar"/>
    <w:rsid w:val="00194299"/>
    <w:pPr>
      <w:jc w:val="center"/>
    </w:pPr>
    <w:rPr>
      <w:rFonts w:asciiTheme="minorHAnsi" w:eastAsiaTheme="minorEastAsia" w:hAnsiTheme="minorHAnsi" w:cs="Calibri"/>
      <w:noProof/>
      <w:sz w:val="22"/>
    </w:rPr>
  </w:style>
  <w:style w:type="character" w:styleId="a7">
    <w:name w:val="Hyperlink"/>
    <w:rsid w:val="00194299"/>
    <w:rPr>
      <w:rFonts w:ascii="Calibri" w:eastAsia="宋体" w:hAnsi="Calibri" w:cs="Times New Roman"/>
      <w:color w:val="0563C1"/>
      <w:u w:val="single"/>
    </w:rPr>
  </w:style>
  <w:style w:type="character" w:customStyle="1" w:styleId="apple-converted-space">
    <w:name w:val="apple-converted-space"/>
    <w:rsid w:val="00194299"/>
  </w:style>
  <w:style w:type="character" w:customStyle="1" w:styleId="highlight">
    <w:name w:val="highlight"/>
    <w:rsid w:val="00194299"/>
  </w:style>
  <w:style w:type="paragraph" w:styleId="a8">
    <w:name w:val="Balloon Text"/>
    <w:basedOn w:val="a"/>
    <w:link w:val="Char1"/>
    <w:uiPriority w:val="99"/>
    <w:semiHidden/>
    <w:unhideWhenUsed/>
    <w:rsid w:val="00194299"/>
    <w:rPr>
      <w:sz w:val="18"/>
      <w:szCs w:val="18"/>
    </w:rPr>
  </w:style>
  <w:style w:type="character" w:customStyle="1" w:styleId="Char1">
    <w:name w:val="批注框文本 Char"/>
    <w:basedOn w:val="a0"/>
    <w:link w:val="a8"/>
    <w:uiPriority w:val="99"/>
    <w:semiHidden/>
    <w:rsid w:val="00194299"/>
    <w:rPr>
      <w:rFonts w:ascii="Calibri" w:eastAsia="宋体" w:hAnsi="Calibri" w:cs="Times New Roman"/>
      <w:kern w:val="2"/>
      <w:sz w:val="18"/>
      <w:szCs w:val="18"/>
    </w:rPr>
  </w:style>
  <w:style w:type="paragraph" w:styleId="a9">
    <w:name w:val="List Paragraph"/>
    <w:basedOn w:val="a"/>
    <w:uiPriority w:val="34"/>
    <w:qFormat/>
    <w:rsid w:val="00194299"/>
    <w:pPr>
      <w:ind w:firstLineChars="200" w:firstLine="420"/>
    </w:pPr>
  </w:style>
  <w:style w:type="paragraph" w:customStyle="1" w:styleId="Default">
    <w:name w:val="Default"/>
    <w:rsid w:val="00194299"/>
    <w:pPr>
      <w:autoSpaceDE w:val="0"/>
      <w:autoSpaceDN w:val="0"/>
      <w:adjustRightInd w:val="0"/>
      <w:spacing w:after="0" w:line="240" w:lineRule="auto"/>
    </w:pPr>
    <w:rPr>
      <w:rFonts w:ascii="Book Antiqua" w:hAnsi="Book Antiqua" w:cs="Book Antiqua"/>
      <w:color w:val="000000"/>
      <w:sz w:val="24"/>
      <w:szCs w:val="24"/>
    </w:rPr>
  </w:style>
  <w:style w:type="character" w:customStyle="1" w:styleId="UnresolvedMention1">
    <w:name w:val="Unresolved Mention1"/>
    <w:basedOn w:val="a0"/>
    <w:uiPriority w:val="99"/>
    <w:semiHidden/>
    <w:unhideWhenUsed/>
    <w:rsid w:val="00194299"/>
    <w:rPr>
      <w:color w:val="605E5C"/>
      <w:shd w:val="clear" w:color="auto" w:fill="E1DFDD"/>
    </w:rPr>
  </w:style>
  <w:style w:type="character" w:customStyle="1" w:styleId="Char2">
    <w:name w:val="纯文本 Char"/>
    <w:link w:val="aa"/>
    <w:uiPriority w:val="99"/>
    <w:locked/>
    <w:rsid w:val="00E259A4"/>
    <w:rPr>
      <w:rFonts w:ascii="宋体" w:hAnsi="Courier New"/>
      <w:kern w:val="2"/>
      <w:sz w:val="21"/>
    </w:rPr>
  </w:style>
  <w:style w:type="paragraph" w:styleId="aa">
    <w:name w:val="Plain Text"/>
    <w:basedOn w:val="a"/>
    <w:link w:val="Char2"/>
    <w:uiPriority w:val="99"/>
    <w:rsid w:val="00E259A4"/>
    <w:rPr>
      <w:rFonts w:ascii="宋体" w:eastAsiaTheme="minorEastAsia" w:hAnsi="Courier New" w:cstheme="minorBidi"/>
    </w:rPr>
  </w:style>
  <w:style w:type="character" w:customStyle="1" w:styleId="11">
    <w:name w:val="纯文本 字符1"/>
    <w:basedOn w:val="a0"/>
    <w:uiPriority w:val="99"/>
    <w:semiHidden/>
    <w:rsid w:val="00E259A4"/>
    <w:rPr>
      <w:rFonts w:ascii="Consolas" w:eastAsia="宋体" w:hAnsi="Consolas"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3808</Words>
  <Characters>21711</Characters>
  <Application>Microsoft Office Word</Application>
  <DocSecurity>0</DocSecurity>
  <Lines>180</Lines>
  <Paragraphs>50</Paragraphs>
  <ScaleCrop>false</ScaleCrop>
  <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song</dc:creator>
  <cp:keywords/>
  <dc:description/>
  <cp:lastModifiedBy>邢燕霞</cp:lastModifiedBy>
  <cp:revision>4</cp:revision>
  <dcterms:created xsi:type="dcterms:W3CDTF">2020-03-26T13:11:00Z</dcterms:created>
  <dcterms:modified xsi:type="dcterms:W3CDTF">2020-04-20T09:31:00Z</dcterms:modified>
</cp:coreProperties>
</file>