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B5CE"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Name of Journal: </w:t>
      </w:r>
      <w:r w:rsidRPr="0047516E">
        <w:rPr>
          <w:rFonts w:ascii="Book Antiqua" w:eastAsia="Book Antiqua" w:hAnsi="Book Antiqua" w:cs="Book Antiqua"/>
          <w:i/>
          <w:color w:val="000000"/>
        </w:rPr>
        <w:t>World Journal of Gastrointestinal Surgery</w:t>
      </w:r>
    </w:p>
    <w:p w14:paraId="2BEA754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Manuscript NO: </w:t>
      </w:r>
      <w:r w:rsidRPr="0047516E">
        <w:rPr>
          <w:rFonts w:ascii="Book Antiqua" w:eastAsia="Book Antiqua" w:hAnsi="Book Antiqua" w:cs="Book Antiqua"/>
          <w:color w:val="000000"/>
        </w:rPr>
        <w:t>60619</w:t>
      </w:r>
    </w:p>
    <w:p w14:paraId="5CA11B2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Manuscript Type: </w:t>
      </w:r>
      <w:r w:rsidRPr="0047516E">
        <w:rPr>
          <w:rFonts w:ascii="Book Antiqua" w:eastAsia="Book Antiqua" w:hAnsi="Book Antiqua" w:cs="Book Antiqua"/>
          <w:color w:val="000000"/>
        </w:rPr>
        <w:t>ORIGINAL ARTICLE</w:t>
      </w:r>
    </w:p>
    <w:p w14:paraId="2B9B6729" w14:textId="77777777" w:rsidR="00A77B3E" w:rsidRPr="0047516E" w:rsidRDefault="00A77B3E" w:rsidP="0047516E">
      <w:pPr>
        <w:adjustRightInd w:val="0"/>
        <w:snapToGrid w:val="0"/>
        <w:spacing w:line="360" w:lineRule="auto"/>
        <w:jc w:val="both"/>
        <w:rPr>
          <w:rFonts w:ascii="Book Antiqua" w:hAnsi="Book Antiqua"/>
        </w:rPr>
      </w:pPr>
    </w:p>
    <w:p w14:paraId="03D14805"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Retrospective Study</w:t>
      </w:r>
    </w:p>
    <w:p w14:paraId="0EC49D2B" w14:textId="77777777" w:rsidR="00A77B3E" w:rsidRPr="0047516E" w:rsidRDefault="00722A3E" w:rsidP="0047516E">
      <w:pPr>
        <w:adjustRightInd w:val="0"/>
        <w:snapToGrid w:val="0"/>
        <w:spacing w:line="360" w:lineRule="auto"/>
        <w:jc w:val="both"/>
        <w:rPr>
          <w:rFonts w:ascii="Book Antiqua" w:hAnsi="Book Antiqua"/>
        </w:rPr>
      </w:pPr>
      <w:bookmarkStart w:id="0" w:name="OLE_LINK1"/>
      <w:bookmarkStart w:id="1" w:name="OLE_LINK2"/>
      <w:bookmarkStart w:id="2" w:name="OLE_LINK3"/>
      <w:r w:rsidRPr="0047516E">
        <w:rPr>
          <w:rFonts w:ascii="Book Antiqua" w:eastAsia="Book Antiqua" w:hAnsi="Book Antiqua" w:cs="Book Antiqua"/>
          <w:b/>
          <w:bCs/>
          <w:color w:val="000000"/>
        </w:rPr>
        <w:t>Hospital outcomes and early readmission for the most common gastrointestinal and liver diseases in the United States: Implications for healthcare delivery</w:t>
      </w:r>
    </w:p>
    <w:bookmarkEnd w:id="0"/>
    <w:bookmarkEnd w:id="1"/>
    <w:bookmarkEnd w:id="2"/>
    <w:p w14:paraId="27CE3AB0" w14:textId="77777777" w:rsidR="00A77B3E" w:rsidRPr="0047516E" w:rsidRDefault="00A77B3E" w:rsidP="0047516E">
      <w:pPr>
        <w:adjustRightInd w:val="0"/>
        <w:snapToGrid w:val="0"/>
        <w:spacing w:line="360" w:lineRule="auto"/>
        <w:jc w:val="both"/>
        <w:rPr>
          <w:rFonts w:ascii="Book Antiqua" w:hAnsi="Book Antiqua"/>
        </w:rPr>
      </w:pPr>
    </w:p>
    <w:p w14:paraId="2DAE310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Krishna SG </w:t>
      </w:r>
      <w:r w:rsidRPr="0047516E">
        <w:rPr>
          <w:rFonts w:ascii="Book Antiqua" w:eastAsia="Book Antiqua" w:hAnsi="Book Antiqua" w:cs="Book Antiqua"/>
          <w:i/>
          <w:iCs/>
          <w:color w:val="000000"/>
        </w:rPr>
        <w:t>et al</w:t>
      </w:r>
      <w:r w:rsidRPr="0047516E">
        <w:rPr>
          <w:rFonts w:ascii="Book Antiqua" w:eastAsia="Book Antiqua" w:hAnsi="Book Antiqua" w:cs="Book Antiqua"/>
          <w:color w:val="000000"/>
        </w:rPr>
        <w:t xml:space="preserve">. </w:t>
      </w:r>
      <w:bookmarkStart w:id="3" w:name="OLE_LINK4"/>
      <w:bookmarkStart w:id="4" w:name="OLE_LINK5"/>
      <w:r w:rsidRPr="0047516E">
        <w:rPr>
          <w:rFonts w:ascii="Book Antiqua" w:eastAsia="Book Antiqua" w:hAnsi="Book Antiqua" w:cs="Book Antiqua"/>
          <w:color w:val="000000"/>
        </w:rPr>
        <w:t>Gastrointestinal diseases hospital outcomes and readmissions</w:t>
      </w:r>
      <w:bookmarkEnd w:id="3"/>
      <w:bookmarkEnd w:id="4"/>
    </w:p>
    <w:p w14:paraId="0E9BB123" w14:textId="77777777" w:rsidR="00A77B3E" w:rsidRPr="0047516E" w:rsidRDefault="00A77B3E" w:rsidP="0047516E">
      <w:pPr>
        <w:adjustRightInd w:val="0"/>
        <w:snapToGrid w:val="0"/>
        <w:spacing w:line="360" w:lineRule="auto"/>
        <w:jc w:val="both"/>
        <w:rPr>
          <w:rFonts w:ascii="Book Antiqua" w:hAnsi="Book Antiqua"/>
        </w:rPr>
      </w:pPr>
    </w:p>
    <w:p w14:paraId="05E74C28" w14:textId="70A82D57" w:rsidR="00A77B3E" w:rsidRPr="0047516E" w:rsidRDefault="00C9394C"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Somashekar G Krishna, Brandon K Chu, Alecia M</w:t>
      </w:r>
      <w:r w:rsidR="00722A3E" w:rsidRPr="0047516E">
        <w:rPr>
          <w:rFonts w:ascii="Book Antiqua" w:eastAsia="Book Antiqua" w:hAnsi="Book Antiqua" w:cs="Book Antiqua"/>
          <w:color w:val="000000"/>
        </w:rPr>
        <w:t xml:space="preserve"> Blaszczak, Gokulakrishnan Balasubr</w:t>
      </w:r>
      <w:r w:rsidRPr="0047516E">
        <w:rPr>
          <w:rFonts w:ascii="Book Antiqua" w:eastAsia="Book Antiqua" w:hAnsi="Book Antiqua" w:cs="Book Antiqua"/>
          <w:color w:val="000000"/>
        </w:rPr>
        <w:t>amanian, Hisham Hussan, Peter P</w:t>
      </w:r>
      <w:r w:rsidR="00722A3E" w:rsidRPr="0047516E">
        <w:rPr>
          <w:rFonts w:ascii="Book Antiqua" w:eastAsia="Book Antiqua" w:hAnsi="Book Antiqua" w:cs="Book Antiqua"/>
          <w:color w:val="000000"/>
        </w:rPr>
        <w:t xml:space="preserve"> Stanich, Khalid</w:t>
      </w:r>
      <w:r w:rsidRPr="0047516E">
        <w:rPr>
          <w:rFonts w:ascii="Book Antiqua" w:eastAsia="Book Antiqua" w:hAnsi="Book Antiqua" w:cs="Book Antiqua"/>
          <w:color w:val="000000"/>
        </w:rPr>
        <w:t xml:space="preserve"> Mumtaz, Alice Hinton, Darwin L</w:t>
      </w:r>
      <w:r w:rsidR="00722A3E" w:rsidRPr="0047516E">
        <w:rPr>
          <w:rFonts w:ascii="Book Antiqua" w:eastAsia="Book Antiqua" w:hAnsi="Book Antiqua" w:cs="Book Antiqua"/>
          <w:color w:val="000000"/>
        </w:rPr>
        <w:t xml:space="preserve"> Conwell</w:t>
      </w:r>
    </w:p>
    <w:p w14:paraId="1561561A" w14:textId="77777777" w:rsidR="00A77B3E" w:rsidRPr="0047516E" w:rsidRDefault="00A77B3E" w:rsidP="0047516E">
      <w:pPr>
        <w:adjustRightInd w:val="0"/>
        <w:snapToGrid w:val="0"/>
        <w:spacing w:line="360" w:lineRule="auto"/>
        <w:jc w:val="both"/>
        <w:rPr>
          <w:rFonts w:ascii="Book Antiqua" w:hAnsi="Book Antiqua"/>
        </w:rPr>
      </w:pPr>
    </w:p>
    <w:p w14:paraId="5230E66E" w14:textId="0C44A77E" w:rsidR="00A77B3E" w:rsidRPr="0047516E" w:rsidRDefault="00C9394C"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Somashekar G Krishna, Alecia M</w:t>
      </w:r>
      <w:r w:rsidR="00722A3E" w:rsidRPr="0047516E">
        <w:rPr>
          <w:rFonts w:ascii="Book Antiqua" w:eastAsia="Book Antiqua" w:hAnsi="Book Antiqua" w:cs="Book Antiqua"/>
          <w:b/>
          <w:bCs/>
          <w:color w:val="000000"/>
        </w:rPr>
        <w:t xml:space="preserve"> Blaszczak, Gokulakrishnan Balasubra</w:t>
      </w:r>
      <w:r w:rsidRPr="0047516E">
        <w:rPr>
          <w:rFonts w:ascii="Book Antiqua" w:eastAsia="Book Antiqua" w:hAnsi="Book Antiqua" w:cs="Book Antiqua"/>
          <w:b/>
          <w:bCs/>
          <w:color w:val="000000"/>
        </w:rPr>
        <w:t xml:space="preserve">manian, Hisham Hussan, Peter P </w:t>
      </w:r>
      <w:r w:rsidR="00722A3E" w:rsidRPr="0047516E">
        <w:rPr>
          <w:rFonts w:ascii="Book Antiqua" w:eastAsia="Book Antiqua" w:hAnsi="Book Antiqua" w:cs="Book Antiqua"/>
          <w:b/>
          <w:bCs/>
          <w:color w:val="000000"/>
        </w:rPr>
        <w:t>S</w:t>
      </w:r>
      <w:r w:rsidRPr="0047516E">
        <w:rPr>
          <w:rFonts w:ascii="Book Antiqua" w:eastAsia="Book Antiqua" w:hAnsi="Book Antiqua" w:cs="Book Antiqua"/>
          <w:b/>
          <w:bCs/>
          <w:color w:val="000000"/>
        </w:rPr>
        <w:t>tanich, Khalid Mumtaz, Darwin L</w:t>
      </w:r>
      <w:r w:rsidR="00722A3E" w:rsidRPr="0047516E">
        <w:rPr>
          <w:rFonts w:ascii="Book Antiqua" w:eastAsia="Book Antiqua" w:hAnsi="Book Antiqua" w:cs="Book Antiqua"/>
          <w:b/>
          <w:bCs/>
          <w:color w:val="000000"/>
        </w:rPr>
        <w:t xml:space="preserve"> Conwell, </w:t>
      </w:r>
      <w:r w:rsidR="00722A3E" w:rsidRPr="0047516E">
        <w:rPr>
          <w:rFonts w:ascii="Book Antiqua" w:eastAsia="Book Antiqua" w:hAnsi="Book Antiqua" w:cs="Book Antiqua"/>
          <w:color w:val="000000"/>
        </w:rPr>
        <w:t>Division of Gastroenterology, Hepatology and Nutrition, The Ohio State University Wexner Medical Center, Columbus, OH 43210, United States</w:t>
      </w:r>
    </w:p>
    <w:p w14:paraId="3904F2A3" w14:textId="77777777" w:rsidR="00A77B3E" w:rsidRPr="0047516E" w:rsidRDefault="00A77B3E" w:rsidP="0047516E">
      <w:pPr>
        <w:adjustRightInd w:val="0"/>
        <w:snapToGrid w:val="0"/>
        <w:spacing w:line="360" w:lineRule="auto"/>
        <w:jc w:val="both"/>
        <w:rPr>
          <w:rFonts w:ascii="Book Antiqua" w:hAnsi="Book Antiqua"/>
        </w:rPr>
      </w:pPr>
    </w:p>
    <w:p w14:paraId="0DDD278B" w14:textId="0AE15888" w:rsidR="00A77B3E" w:rsidRPr="0047516E" w:rsidRDefault="00133EDF"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Brandon K</w:t>
      </w:r>
      <w:r w:rsidR="00722A3E" w:rsidRPr="0047516E">
        <w:rPr>
          <w:rFonts w:ascii="Book Antiqua" w:eastAsia="Book Antiqua" w:hAnsi="Book Antiqua" w:cs="Book Antiqua"/>
          <w:b/>
          <w:bCs/>
          <w:color w:val="000000"/>
        </w:rPr>
        <w:t xml:space="preserve"> Chu, </w:t>
      </w:r>
      <w:r w:rsidR="00722A3E" w:rsidRPr="0047516E">
        <w:rPr>
          <w:rFonts w:ascii="Book Antiqua" w:eastAsia="Book Antiqua" w:hAnsi="Book Antiqua" w:cs="Book Antiqua"/>
          <w:color w:val="000000"/>
        </w:rPr>
        <w:t>Department of Internal Medicine, The Ohio State University Wexner Medical Center, Columbus, OH 43210, United States</w:t>
      </w:r>
    </w:p>
    <w:p w14:paraId="7842A82E" w14:textId="77777777" w:rsidR="00A77B3E" w:rsidRPr="0047516E" w:rsidRDefault="00A77B3E" w:rsidP="0047516E">
      <w:pPr>
        <w:adjustRightInd w:val="0"/>
        <w:snapToGrid w:val="0"/>
        <w:spacing w:line="360" w:lineRule="auto"/>
        <w:jc w:val="both"/>
        <w:rPr>
          <w:rFonts w:ascii="Book Antiqua" w:hAnsi="Book Antiqua"/>
        </w:rPr>
      </w:pPr>
    </w:p>
    <w:p w14:paraId="303ADEC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Alice Hinton, </w:t>
      </w:r>
      <w:r w:rsidRPr="0047516E">
        <w:rPr>
          <w:rFonts w:ascii="Book Antiqua" w:eastAsia="Book Antiqua" w:hAnsi="Book Antiqua" w:cs="Book Antiqua"/>
          <w:color w:val="000000"/>
        </w:rPr>
        <w:t>Division of Biostatistics, Ohio State University Wexner Medical Center, Columbus, OH 43210, United States</w:t>
      </w:r>
    </w:p>
    <w:p w14:paraId="5D805745" w14:textId="77777777" w:rsidR="00A77B3E" w:rsidRPr="0047516E" w:rsidRDefault="00A77B3E" w:rsidP="0047516E">
      <w:pPr>
        <w:adjustRightInd w:val="0"/>
        <w:snapToGrid w:val="0"/>
        <w:spacing w:line="360" w:lineRule="auto"/>
        <w:jc w:val="both"/>
        <w:rPr>
          <w:rFonts w:ascii="Book Antiqua" w:hAnsi="Book Antiqua"/>
        </w:rPr>
      </w:pPr>
    </w:p>
    <w:p w14:paraId="1FA0E502" w14:textId="316B13D2"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Author contributions: </w:t>
      </w:r>
      <w:bookmarkStart w:id="5" w:name="OLE_LINK16"/>
      <w:bookmarkStart w:id="6" w:name="OLE_LINK17"/>
      <w:r w:rsidRPr="0047516E">
        <w:rPr>
          <w:rFonts w:ascii="Book Antiqua" w:eastAsia="Book Antiqua" w:hAnsi="Book Antiqua" w:cs="Book Antiqua"/>
          <w:color w:val="000000"/>
        </w:rPr>
        <w:t>Krishna SG designed the study, interpreted the data, contributed to the figures and tables, revised the manu</w:t>
      </w:r>
      <w:r w:rsidR="00C9394C" w:rsidRPr="0047516E">
        <w:rPr>
          <w:rFonts w:ascii="Book Antiqua" w:eastAsia="Book Antiqua" w:hAnsi="Book Antiqua" w:cs="Book Antiqua"/>
          <w:color w:val="000000"/>
        </w:rPr>
        <w:t>script and supervised the study</w:t>
      </w:r>
      <w:r w:rsidR="00C9394C"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 Chu BK designed the study, interpreted the data, contributed to the figures and tables and wrote the manuscript</w:t>
      </w:r>
      <w:r w:rsidR="00C9394C"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 Blaszczak AM designed the</w:t>
      </w:r>
      <w:r w:rsidR="00C9394C" w:rsidRPr="0047516E">
        <w:rPr>
          <w:rFonts w:ascii="Book Antiqua" w:eastAsia="Book Antiqua" w:hAnsi="Book Antiqua" w:cs="Book Antiqua"/>
          <w:color w:val="000000"/>
        </w:rPr>
        <w:t xml:space="preserve"> study and wrote </w:t>
      </w:r>
      <w:r w:rsidR="00C9394C" w:rsidRPr="0047516E">
        <w:rPr>
          <w:rFonts w:ascii="Book Antiqua" w:eastAsia="Book Antiqua" w:hAnsi="Book Antiqua" w:cs="Book Antiqua"/>
          <w:color w:val="000000"/>
        </w:rPr>
        <w:lastRenderedPageBreak/>
        <w:t>the manuscript</w:t>
      </w:r>
      <w:r w:rsidR="00C9394C"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 Conwell DL designed the study, interpreted the data and revised the manuscript. Hinton A performed the statistical analyses, designed the ta</w:t>
      </w:r>
      <w:r w:rsidR="00C9394C" w:rsidRPr="0047516E">
        <w:rPr>
          <w:rFonts w:ascii="Book Antiqua" w:eastAsia="Book Antiqua" w:hAnsi="Book Antiqua" w:cs="Book Antiqua"/>
          <w:color w:val="000000"/>
        </w:rPr>
        <w:t>bles and revised the manuscript</w:t>
      </w:r>
      <w:r w:rsidR="00C9394C"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 Balasubramanian G, Hussan H, Stanich PP, and Mumtaz K interpreted the data and revised the manuscript.</w:t>
      </w:r>
      <w:bookmarkEnd w:id="5"/>
      <w:bookmarkEnd w:id="6"/>
    </w:p>
    <w:p w14:paraId="7A7E49A0" w14:textId="77777777" w:rsidR="00A77B3E" w:rsidRPr="0047516E" w:rsidRDefault="00A77B3E" w:rsidP="0047516E">
      <w:pPr>
        <w:adjustRightInd w:val="0"/>
        <w:snapToGrid w:val="0"/>
        <w:spacing w:line="360" w:lineRule="auto"/>
        <w:jc w:val="both"/>
        <w:rPr>
          <w:rFonts w:ascii="Book Antiqua" w:hAnsi="Book Antiqua"/>
        </w:rPr>
      </w:pPr>
    </w:p>
    <w:p w14:paraId="59DB7F67" w14:textId="1245DD22"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Corresponding author: Somas</w:t>
      </w:r>
      <w:r w:rsidR="00C9394C" w:rsidRPr="0047516E">
        <w:rPr>
          <w:rFonts w:ascii="Book Antiqua" w:eastAsia="Book Antiqua" w:hAnsi="Book Antiqua" w:cs="Book Antiqua"/>
          <w:b/>
          <w:bCs/>
          <w:color w:val="000000"/>
        </w:rPr>
        <w:t>hekar G</w:t>
      </w:r>
      <w:r w:rsidRPr="0047516E">
        <w:rPr>
          <w:rFonts w:ascii="Book Antiqua" w:eastAsia="Book Antiqua" w:hAnsi="Book Antiqua" w:cs="Book Antiqua"/>
          <w:b/>
          <w:bCs/>
          <w:color w:val="000000"/>
        </w:rPr>
        <w:t xml:space="preserve"> Krishna, AGAF, FACG, FASGE, MD, Associate Professor, </w:t>
      </w:r>
      <w:r w:rsidRPr="0047516E">
        <w:rPr>
          <w:rFonts w:ascii="Book Antiqua" w:eastAsia="Book Antiqua" w:hAnsi="Book Antiqua" w:cs="Book Antiqua"/>
          <w:color w:val="000000"/>
        </w:rPr>
        <w:t>Division of Gastroenterology, Hepatology and Nutrition, The Ohio State University Wexner Medical Center, 395 W. 12</w:t>
      </w:r>
      <w:r w:rsidRPr="00E91F6A">
        <w:rPr>
          <w:rFonts w:ascii="Book Antiqua" w:eastAsia="Book Antiqua" w:hAnsi="Book Antiqua" w:cs="Book Antiqua"/>
          <w:color w:val="000000"/>
          <w:vertAlign w:val="superscript"/>
        </w:rPr>
        <w:t>th</w:t>
      </w:r>
      <w:r w:rsidRPr="0047516E">
        <w:rPr>
          <w:rFonts w:ascii="Book Antiqua" w:eastAsia="Book Antiqua" w:hAnsi="Book Antiqua" w:cs="Book Antiqua"/>
          <w:color w:val="000000"/>
        </w:rPr>
        <w:t xml:space="preserve"> Avenue, Suite 262, Columbus, OH 43210, United States. somashekar.krishna@osumc.edu</w:t>
      </w:r>
    </w:p>
    <w:p w14:paraId="54B36B0F" w14:textId="77777777" w:rsidR="00A77B3E" w:rsidRPr="0047516E" w:rsidRDefault="00A77B3E" w:rsidP="0047516E">
      <w:pPr>
        <w:adjustRightInd w:val="0"/>
        <w:snapToGrid w:val="0"/>
        <w:spacing w:line="360" w:lineRule="auto"/>
        <w:jc w:val="both"/>
        <w:rPr>
          <w:rFonts w:ascii="Book Antiqua" w:hAnsi="Book Antiqua"/>
        </w:rPr>
      </w:pPr>
    </w:p>
    <w:p w14:paraId="021EF3B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Received: </w:t>
      </w:r>
      <w:r w:rsidRPr="0047516E">
        <w:rPr>
          <w:rFonts w:ascii="Book Antiqua" w:eastAsia="Book Antiqua" w:hAnsi="Book Antiqua" w:cs="Book Antiqua"/>
          <w:color w:val="000000"/>
        </w:rPr>
        <w:t>November 12, 2020</w:t>
      </w:r>
    </w:p>
    <w:p w14:paraId="7878A87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Revised: </w:t>
      </w:r>
      <w:r w:rsidRPr="0047516E">
        <w:rPr>
          <w:rFonts w:ascii="Book Antiqua" w:eastAsia="Book Antiqua" w:hAnsi="Book Antiqua" w:cs="Book Antiqua"/>
          <w:color w:val="000000"/>
        </w:rPr>
        <w:t>December 24, 2020</w:t>
      </w:r>
    </w:p>
    <w:p w14:paraId="47E2E5A6" w14:textId="55AC68B3"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Accepted: </w:t>
      </w:r>
      <w:r w:rsidR="00ED7713" w:rsidRPr="00ED7713">
        <w:rPr>
          <w:rFonts w:ascii="Book Antiqua" w:eastAsia="Book Antiqua" w:hAnsi="Book Antiqua" w:cs="Book Antiqua"/>
          <w:color w:val="000000"/>
        </w:rPr>
        <w:t>January 14, 2021</w:t>
      </w:r>
    </w:p>
    <w:p w14:paraId="6690DFC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Published online: </w:t>
      </w:r>
    </w:p>
    <w:p w14:paraId="5EE4CFC5" w14:textId="77777777" w:rsidR="00A77B3E" w:rsidRPr="0047516E" w:rsidRDefault="00A77B3E" w:rsidP="0047516E">
      <w:pPr>
        <w:adjustRightInd w:val="0"/>
        <w:snapToGrid w:val="0"/>
        <w:spacing w:line="360" w:lineRule="auto"/>
        <w:jc w:val="both"/>
        <w:rPr>
          <w:rFonts w:ascii="Book Antiqua" w:hAnsi="Book Antiqua"/>
        </w:rPr>
      </w:pPr>
      <w:r w:rsidRPr="0047516E">
        <w:rPr>
          <w:rFonts w:ascii="Book Antiqua" w:hAnsi="Book Antiqua"/>
        </w:rPr>
        <w:br w:type="page"/>
      </w:r>
      <w:r w:rsidR="00722A3E" w:rsidRPr="0047516E">
        <w:rPr>
          <w:rFonts w:ascii="Book Antiqua" w:eastAsia="Book Antiqua" w:hAnsi="Book Antiqua" w:cs="Book Antiqua"/>
          <w:b/>
          <w:color w:val="000000"/>
        </w:rPr>
        <w:lastRenderedPageBreak/>
        <w:t>Abstract</w:t>
      </w:r>
    </w:p>
    <w:p w14:paraId="24E61C8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BACKGROUND</w:t>
      </w:r>
    </w:p>
    <w:p w14:paraId="2AE04AD2" w14:textId="3955ADD1" w:rsidR="00A77B3E" w:rsidRPr="0047516E" w:rsidRDefault="00722A3E" w:rsidP="0047516E">
      <w:pPr>
        <w:adjustRightInd w:val="0"/>
        <w:snapToGrid w:val="0"/>
        <w:spacing w:line="360" w:lineRule="auto"/>
        <w:jc w:val="both"/>
        <w:rPr>
          <w:rFonts w:ascii="Book Antiqua" w:hAnsi="Book Antiqua"/>
        </w:rPr>
      </w:pPr>
      <w:bookmarkStart w:id="7" w:name="_Hlk60175441"/>
      <w:bookmarkStart w:id="8" w:name="OLE_LINK22"/>
      <w:r w:rsidRPr="0047516E">
        <w:rPr>
          <w:rFonts w:ascii="Book Antiqua" w:eastAsia="Book Antiqua" w:hAnsi="Book Antiqua" w:cs="Book Antiqua"/>
          <w:color w:val="000000"/>
        </w:rPr>
        <w:t>Gastrointestinal</w:t>
      </w:r>
      <w:bookmarkEnd w:id="7"/>
      <w:r w:rsidRPr="0047516E">
        <w:rPr>
          <w:rFonts w:ascii="Book Antiqua" w:eastAsia="Book Antiqua" w:hAnsi="Book Antiqua" w:cs="Book Antiqua"/>
          <w:color w:val="000000"/>
        </w:rPr>
        <w:t xml:space="preserve"> (GI) and liver diseases contribute to substantial inpatient morbidity, mortality, and healthcare resource utilization. Finding ways to reduce the economic burden of healthcare costs and the impact of these diseases is of crucial importance. </w:t>
      </w:r>
      <w:r w:rsidR="0047516E" w:rsidRPr="0047516E">
        <w:rPr>
          <w:rFonts w:ascii="Book Antiqua" w:eastAsia="Book Antiqua" w:hAnsi="Book Antiqua" w:cs="Book Antiqua"/>
          <w:color w:val="000000"/>
        </w:rPr>
        <w:t xml:space="preserve">Thirty days </w:t>
      </w:r>
      <w:r w:rsidRPr="0047516E">
        <w:rPr>
          <w:rFonts w:ascii="Book Antiqua" w:eastAsia="Book Antiqua" w:hAnsi="Book Antiqua" w:cs="Book Antiqua"/>
          <w:color w:val="000000"/>
        </w:rPr>
        <w:t>readmission rates and related hospital outcomes can serve as objective measures to assess the impact of and provide further insights into the most common GI ailments.</w:t>
      </w:r>
    </w:p>
    <w:bookmarkEnd w:id="8"/>
    <w:p w14:paraId="79A3187A" w14:textId="77777777" w:rsidR="00A77B3E" w:rsidRPr="0047516E" w:rsidRDefault="00A77B3E" w:rsidP="0047516E">
      <w:pPr>
        <w:adjustRightInd w:val="0"/>
        <w:snapToGrid w:val="0"/>
        <w:spacing w:line="360" w:lineRule="auto"/>
        <w:jc w:val="both"/>
        <w:rPr>
          <w:rFonts w:ascii="Book Antiqua" w:hAnsi="Book Antiqua"/>
        </w:rPr>
      </w:pPr>
    </w:p>
    <w:p w14:paraId="00EEF76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AIM</w:t>
      </w:r>
    </w:p>
    <w:p w14:paraId="6A953634" w14:textId="4096B1DE" w:rsidR="00A77B3E" w:rsidRPr="0047516E" w:rsidRDefault="00F8071D" w:rsidP="0047516E">
      <w:pPr>
        <w:adjustRightInd w:val="0"/>
        <w:snapToGrid w:val="0"/>
        <w:spacing w:line="360" w:lineRule="auto"/>
        <w:jc w:val="both"/>
        <w:rPr>
          <w:rFonts w:ascii="Book Antiqua" w:hAnsi="Book Antiqua"/>
        </w:rPr>
      </w:pPr>
      <w:bookmarkStart w:id="9" w:name="OLE_LINK23"/>
      <w:bookmarkStart w:id="10" w:name="OLE_LINK24"/>
      <w:r w:rsidRPr="0047516E">
        <w:rPr>
          <w:rFonts w:ascii="Book Antiqua" w:eastAsia="Book Antiqua" w:hAnsi="Book Antiqua" w:cs="Book Antiqua"/>
          <w:color w:val="000000"/>
        </w:rPr>
        <w:t>T</w:t>
      </w:r>
      <w:r w:rsidR="00C9394C" w:rsidRPr="0047516E">
        <w:rPr>
          <w:rFonts w:ascii="Book Antiqua" w:eastAsia="Book Antiqua" w:hAnsi="Book Antiqua" w:cs="Book Antiqua"/>
          <w:color w:val="000000"/>
        </w:rPr>
        <w:t xml:space="preserve">o identify the </w:t>
      </w:r>
      <w:r w:rsidR="0047516E" w:rsidRPr="0047516E">
        <w:rPr>
          <w:rFonts w:ascii="Book Antiqua" w:eastAsia="Book Antiqua" w:hAnsi="Book Antiqua" w:cs="Book Antiqua"/>
          <w:color w:val="000000"/>
        </w:rPr>
        <w:t>thirty days</w:t>
      </w:r>
      <w:r w:rsidR="00722A3E" w:rsidRPr="0047516E">
        <w:rPr>
          <w:rFonts w:ascii="Book Antiqua" w:eastAsia="Book Antiqua" w:hAnsi="Book Antiqua" w:cs="Book Antiqua"/>
          <w:color w:val="000000"/>
        </w:rPr>
        <w:t xml:space="preserve"> readmission rates with related predictors and outcomes of hospitalization of the most common GI and liver diseases in the </w:t>
      </w:r>
      <w:r w:rsidRPr="0047516E">
        <w:rPr>
          <w:rFonts w:ascii="Book Antiqua" w:eastAsia="Book Antiqua" w:hAnsi="Book Antiqua" w:cs="Book Antiqua"/>
          <w:color w:val="000000"/>
        </w:rPr>
        <w:t>United States.</w:t>
      </w:r>
    </w:p>
    <w:bookmarkEnd w:id="9"/>
    <w:bookmarkEnd w:id="10"/>
    <w:p w14:paraId="794D4D4B" w14:textId="77777777" w:rsidR="00A77B3E" w:rsidRPr="0047516E" w:rsidRDefault="00A77B3E" w:rsidP="0047516E">
      <w:pPr>
        <w:adjustRightInd w:val="0"/>
        <w:snapToGrid w:val="0"/>
        <w:spacing w:line="360" w:lineRule="auto"/>
        <w:jc w:val="both"/>
        <w:rPr>
          <w:rFonts w:ascii="Book Antiqua" w:hAnsi="Book Antiqua"/>
        </w:rPr>
      </w:pPr>
    </w:p>
    <w:p w14:paraId="259B2AD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METHODS</w:t>
      </w:r>
    </w:p>
    <w:p w14:paraId="4CC71F7F" w14:textId="40A7C4F8" w:rsidR="00A77B3E" w:rsidRPr="0047516E" w:rsidRDefault="00722A3E" w:rsidP="0047516E">
      <w:pPr>
        <w:adjustRightInd w:val="0"/>
        <w:snapToGrid w:val="0"/>
        <w:spacing w:line="360" w:lineRule="auto"/>
        <w:jc w:val="both"/>
        <w:rPr>
          <w:rFonts w:ascii="Book Antiqua" w:hAnsi="Book Antiqua"/>
        </w:rPr>
      </w:pPr>
      <w:bookmarkStart w:id="11" w:name="OLE_LINK25"/>
      <w:bookmarkStart w:id="12" w:name="OLE_LINK26"/>
      <w:r w:rsidRPr="0047516E">
        <w:rPr>
          <w:rFonts w:ascii="Book Antiqua" w:eastAsia="Book Antiqua" w:hAnsi="Book Antiqua" w:cs="Book Antiqua"/>
          <w:color w:val="000000"/>
        </w:rPr>
        <w:t xml:space="preserve">A cross-sectional analysis of the 2012 National Inpatient Sample was performed to identify the 13 most common GI diseases. The 2013 Nationwide Readmission Database was then queried with specific </w:t>
      </w:r>
      <w:r w:rsidR="00570778" w:rsidRPr="0047516E">
        <w:rPr>
          <w:rFonts w:ascii="Book Antiqua" w:eastAsia="Book Antiqua" w:hAnsi="Book Antiqua" w:cs="Book Antiqua"/>
          <w:color w:val="000000"/>
        </w:rPr>
        <w:t>International Classification of Diseases, Ninth Revision, Clinical Modification</w:t>
      </w:r>
      <w:r w:rsidRPr="0047516E">
        <w:rPr>
          <w:rFonts w:ascii="Book Antiqua" w:eastAsia="Book Antiqua" w:hAnsi="Book Antiqua" w:cs="Book Antiqua"/>
          <w:color w:val="000000"/>
        </w:rPr>
        <w:t xml:space="preserve"> codes. Primary outcomes were mortality (index admission, calendar-year), h</w:t>
      </w:r>
      <w:r w:rsidR="00C9394C" w:rsidRPr="0047516E">
        <w:rPr>
          <w:rFonts w:ascii="Book Antiqua" w:eastAsia="Book Antiqua" w:hAnsi="Book Antiqua" w:cs="Book Antiqua"/>
          <w:color w:val="000000"/>
        </w:rPr>
        <w:t xml:space="preserve">ospitalization costs, and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and secondary outcomes were predictors o</w:t>
      </w:r>
      <w:r w:rsidR="00C9394C" w:rsidRPr="0047516E">
        <w:rPr>
          <w:rFonts w:ascii="Book Antiqua" w:eastAsia="Book Antiqua" w:hAnsi="Book Antiqua" w:cs="Book Antiqua"/>
          <w:color w:val="000000"/>
        </w:rPr>
        <w:t xml:space="preserve">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w:t>
      </w:r>
    </w:p>
    <w:bookmarkEnd w:id="11"/>
    <w:bookmarkEnd w:id="12"/>
    <w:p w14:paraId="0E10171E" w14:textId="77777777" w:rsidR="00A77B3E" w:rsidRPr="0047516E" w:rsidRDefault="00A77B3E" w:rsidP="0047516E">
      <w:pPr>
        <w:adjustRightInd w:val="0"/>
        <w:snapToGrid w:val="0"/>
        <w:spacing w:line="360" w:lineRule="auto"/>
        <w:jc w:val="both"/>
        <w:rPr>
          <w:rFonts w:ascii="Book Antiqua" w:hAnsi="Book Antiqua"/>
        </w:rPr>
      </w:pPr>
    </w:p>
    <w:p w14:paraId="1A53946C"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RESULTS</w:t>
      </w:r>
    </w:p>
    <w:p w14:paraId="077B6EC3" w14:textId="2877F6AB" w:rsidR="00A77B3E" w:rsidRPr="0047516E" w:rsidRDefault="00722A3E" w:rsidP="0047516E">
      <w:pPr>
        <w:adjustRightInd w:val="0"/>
        <w:snapToGrid w:val="0"/>
        <w:spacing w:line="360" w:lineRule="auto"/>
        <w:jc w:val="both"/>
        <w:rPr>
          <w:rFonts w:ascii="Book Antiqua" w:hAnsi="Book Antiqua"/>
        </w:rPr>
      </w:pPr>
      <w:bookmarkStart w:id="13" w:name="OLE_LINK27"/>
      <w:bookmarkStart w:id="14" w:name="OLE_LINK28"/>
      <w:r w:rsidRPr="0047516E">
        <w:rPr>
          <w:rFonts w:ascii="Book Antiqua" w:eastAsia="Book Antiqua" w:hAnsi="Book Antiqua" w:cs="Book Antiqua"/>
          <w:color w:val="000000"/>
        </w:rPr>
        <w:t>For the year 2013, the thirteen most common GI diseases contributed to 2.4 million index hospitalizations accounting f</w:t>
      </w:r>
      <w:r w:rsidR="00C9394C" w:rsidRPr="0047516E">
        <w:rPr>
          <w:rFonts w:ascii="Book Antiqua" w:eastAsia="Book Antiqua" w:hAnsi="Book Antiqua" w:cs="Book Antiqua"/>
          <w:color w:val="000000"/>
        </w:rPr>
        <w:t xml:space="preserve">or about $25 billion. The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were highest for chronic liver disease</w:t>
      </w:r>
      <w:r w:rsidR="00F8071D"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(25.4%), </w:t>
      </w:r>
      <w:r w:rsidR="00D34478" w:rsidRPr="0047516E">
        <w:rPr>
          <w:rFonts w:ascii="Book Antiqua" w:eastAsia="Book Antiqua" w:hAnsi="Book Antiqua" w:cs="Book Antiqua"/>
          <w:i/>
          <w:iCs/>
          <w:color w:val="000000"/>
        </w:rPr>
        <w:t>Clostridium difficile</w:t>
      </w:r>
      <w:r w:rsidRPr="0047516E">
        <w:rPr>
          <w:rFonts w:ascii="Book Antiqua" w:eastAsia="Book Antiqua" w:hAnsi="Book Antiqua" w:cs="Book Antiqua"/>
          <w:color w:val="000000"/>
        </w:rPr>
        <w:t xml:space="preserve"> </w:t>
      </w:r>
      <w:r w:rsidR="00482170" w:rsidRPr="00482170">
        <w:rPr>
          <w:rFonts w:ascii="Book Antiqua" w:eastAsia="Book Antiqua" w:hAnsi="Book Antiqua" w:cs="Book Antiqua"/>
          <w:iCs/>
          <w:color w:val="000000"/>
        </w:rPr>
        <w:t>(</w:t>
      </w:r>
      <w:r w:rsidR="00482170" w:rsidRPr="0047516E">
        <w:rPr>
          <w:rFonts w:ascii="Book Antiqua" w:eastAsia="Book Antiqua" w:hAnsi="Book Antiqua" w:cs="Book Antiqua"/>
          <w:i/>
          <w:iCs/>
          <w:color w:val="000000"/>
        </w:rPr>
        <w:t>C. difficile</w:t>
      </w:r>
      <w:r w:rsidR="00482170" w:rsidRPr="00482170">
        <w:rPr>
          <w:rFonts w:ascii="Book Antiqua" w:eastAsia="Book Antiqua" w:hAnsi="Book Antiqua" w:cs="Book Antiqua"/>
          <w:iCs/>
          <w:color w:val="000000"/>
        </w:rPr>
        <w:t>)</w:t>
      </w:r>
      <w:r w:rsidR="00482170">
        <w:rPr>
          <w:rFonts w:ascii="Book Antiqua" w:eastAsia="Book Antiqua" w:hAnsi="Book Antiqua" w:cs="Book Antiqua"/>
          <w:iCs/>
          <w:color w:val="000000"/>
        </w:rPr>
        <w:t xml:space="preserve"> </w:t>
      </w:r>
      <w:r w:rsidRPr="0047516E">
        <w:rPr>
          <w:rFonts w:ascii="Book Antiqua" w:eastAsia="Book Antiqua" w:hAnsi="Book Antiqua" w:cs="Book Antiqua"/>
          <w:color w:val="000000"/>
        </w:rPr>
        <w:t>infection (23.6%), functional/motility disorders (18.5%), inflammatory bowel disease (16.3%), and GI bleeding</w:t>
      </w:r>
      <w:r w:rsidR="00F8071D"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(15.5%).</w:t>
      </w:r>
      <w:r w:rsidR="009045D4" w:rsidRPr="0047516E">
        <w:rPr>
          <w:rFonts w:ascii="Book Antiqua" w:hAnsi="Book Antiqua"/>
          <w:lang w:eastAsia="zh-CN"/>
        </w:rPr>
        <w:t xml:space="preserve"> </w:t>
      </w:r>
      <w:r w:rsidRPr="0047516E">
        <w:rPr>
          <w:rFonts w:ascii="Book Antiqua" w:eastAsia="Book Antiqua" w:hAnsi="Book Antiqua" w:cs="Book Antiqua"/>
          <w:color w:val="000000"/>
        </w:rPr>
        <w:t xml:space="preserve">The highest index and subsequent calendar-year hospitalization mortality rates were, </w:t>
      </w:r>
      <w:r w:rsidR="00F8071D" w:rsidRPr="0047516E">
        <w:rPr>
          <w:rFonts w:ascii="Book Antiqua" w:eastAsia="Book Antiqua" w:hAnsi="Book Antiqua" w:cs="Book Antiqua"/>
          <w:color w:val="000000"/>
        </w:rPr>
        <w:t>chronic liver disease</w:t>
      </w:r>
      <w:r w:rsidRPr="0047516E">
        <w:rPr>
          <w:rFonts w:ascii="Book Antiqua" w:eastAsia="Book Antiqua" w:hAnsi="Book Antiqua" w:cs="Book Antiqua"/>
          <w:color w:val="000000"/>
        </w:rPr>
        <w:t xml:space="preserve"> (6.1% and 12.6%), </w:t>
      </w:r>
      <w:r w:rsidR="00D34478" w:rsidRPr="0047516E">
        <w:rPr>
          <w:rFonts w:ascii="Book Antiqua" w:eastAsia="Book Antiqua" w:hAnsi="Book Antiqua" w:cs="Book Antiqua"/>
          <w:i/>
          <w:iCs/>
          <w:color w:val="000000"/>
        </w:rPr>
        <w:t>C</w:t>
      </w:r>
      <w:r w:rsidR="00F02E11">
        <w:rPr>
          <w:rFonts w:ascii="Book Antiqua" w:eastAsia="Book Antiqua" w:hAnsi="Book Antiqua" w:cs="Book Antiqua"/>
          <w:i/>
          <w:iCs/>
          <w:color w:val="000000"/>
        </w:rPr>
        <w:t xml:space="preserve">. </w:t>
      </w:r>
      <w:r w:rsidR="00D34478" w:rsidRPr="0047516E">
        <w:rPr>
          <w:rFonts w:ascii="Book Antiqua" w:eastAsia="Book Antiqua" w:hAnsi="Book Antiqua" w:cs="Book Antiqua"/>
          <w:i/>
          <w:iCs/>
          <w:color w:val="000000"/>
        </w:rPr>
        <w:t>difficile</w:t>
      </w:r>
      <w:r w:rsidR="00F8071D" w:rsidRPr="0047516E">
        <w:rPr>
          <w:rFonts w:ascii="Book Antiqua" w:eastAsia="Book Antiqua" w:hAnsi="Book Antiqua" w:cs="Book Antiqua"/>
          <w:color w:val="000000"/>
        </w:rPr>
        <w:t xml:space="preserve"> infection</w:t>
      </w:r>
      <w:r w:rsidRPr="0047516E">
        <w:rPr>
          <w:rFonts w:ascii="Book Antiqua" w:eastAsia="Book Antiqua" w:hAnsi="Book Antiqua" w:cs="Book Antiqua"/>
          <w:color w:val="000000"/>
        </w:rPr>
        <w:t xml:space="preserve"> (2.3% and 6.1%), and </w:t>
      </w:r>
      <w:r w:rsidR="00F8071D" w:rsidRPr="0047516E">
        <w:rPr>
          <w:rFonts w:ascii="Book Antiqua" w:eastAsia="Book Antiqua" w:hAnsi="Book Antiqua" w:cs="Book Antiqua"/>
          <w:color w:val="000000"/>
        </w:rPr>
        <w:t>GI bleeding</w:t>
      </w:r>
      <w:r w:rsidRPr="0047516E">
        <w:rPr>
          <w:rFonts w:ascii="Book Antiqua" w:eastAsia="Book Antiqua" w:hAnsi="Book Antiqua" w:cs="Book Antiqua"/>
          <w:color w:val="000000"/>
        </w:rPr>
        <w:t xml:space="preserve"> (2.2% and 5.0%), </w:t>
      </w:r>
      <w:r w:rsidRPr="0047516E">
        <w:rPr>
          <w:rFonts w:ascii="Book Antiqua" w:eastAsia="Book Antiqua" w:hAnsi="Book Antiqua" w:cs="Book Antiqua"/>
          <w:color w:val="000000"/>
        </w:rPr>
        <w:lastRenderedPageBreak/>
        <w:t>respectively.</w:t>
      </w:r>
      <w:r w:rsidR="009045D4" w:rsidRPr="0047516E">
        <w:rPr>
          <w:rFonts w:ascii="Book Antiqua" w:hAnsi="Book Antiqua"/>
          <w:lang w:eastAsia="zh-CN"/>
        </w:rPr>
        <w:t xml:space="preserve"> </w:t>
      </w:r>
      <w:r w:rsidR="0047516E" w:rsidRPr="0047516E">
        <w:rPr>
          <w:rFonts w:ascii="Book Antiqua" w:eastAsia="Book Antiqua" w:hAnsi="Book Antiqua" w:cs="Book Antiqua"/>
          <w:color w:val="000000"/>
        </w:rPr>
        <w:t>Thirty days</w:t>
      </w:r>
      <w:r w:rsidR="00D3447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readmission correlated with any subsequent admission mortality (</w:t>
      </w:r>
      <w:r w:rsidRPr="0047516E">
        <w:rPr>
          <w:rFonts w:ascii="Book Antiqua" w:eastAsia="Book Antiqua" w:hAnsi="Book Antiqua" w:cs="Book Antiqua"/>
          <w:i/>
          <w:iCs/>
          <w:color w:val="000000"/>
        </w:rPr>
        <w:t>r</w:t>
      </w:r>
      <w:r w:rsidRPr="0047516E">
        <w:rPr>
          <w:rFonts w:ascii="Book Antiqua" w:eastAsia="Book Antiqua" w:hAnsi="Book Antiqua" w:cs="Book Antiqua"/>
          <w:color w:val="000000"/>
        </w:rPr>
        <w:t xml:space="preserve"> = 0.798, </w:t>
      </w:r>
      <w:r w:rsidRPr="0047516E">
        <w:rPr>
          <w:rFonts w:ascii="Book Antiqua" w:eastAsia="Book Antiqua" w:hAnsi="Book Antiqua" w:cs="Book Antiqua"/>
          <w:i/>
          <w:iCs/>
          <w:color w:val="000000"/>
        </w:rPr>
        <w:t>P</w:t>
      </w:r>
      <w:r w:rsidRPr="0047516E">
        <w:rPr>
          <w:rFonts w:ascii="Book Antiqua" w:eastAsia="Book Antiqua" w:hAnsi="Book Antiqua" w:cs="Book Antiqua"/>
          <w:color w:val="000000"/>
        </w:rPr>
        <w:t xml:space="preserve"> = 0.001).</w:t>
      </w:r>
      <w:r w:rsidR="009045D4"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Medicare/Medicaid insurances, ≥</w:t>
      </w:r>
      <w:r w:rsidR="00635552"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3 Elixhauser comorbidities, and length of stay &gt;</w:t>
      </w:r>
      <w:r w:rsidR="00635552"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3 d were sign</w:t>
      </w:r>
      <w:r w:rsidR="00D34478" w:rsidRPr="0047516E">
        <w:rPr>
          <w:rFonts w:ascii="Book Antiqua" w:eastAsia="Book Antiqua" w:hAnsi="Book Antiqua" w:cs="Book Antiqua"/>
          <w:color w:val="000000"/>
        </w:rPr>
        <w:t xml:space="preserve">ificantly associated with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for all the thirteen GI diseases.</w:t>
      </w:r>
    </w:p>
    <w:bookmarkEnd w:id="13"/>
    <w:bookmarkEnd w:id="14"/>
    <w:p w14:paraId="2554E816" w14:textId="77777777" w:rsidR="00A77B3E" w:rsidRPr="0047516E" w:rsidRDefault="00A77B3E" w:rsidP="0047516E">
      <w:pPr>
        <w:adjustRightInd w:val="0"/>
        <w:snapToGrid w:val="0"/>
        <w:spacing w:line="360" w:lineRule="auto"/>
        <w:jc w:val="both"/>
        <w:rPr>
          <w:rFonts w:ascii="Book Antiqua" w:hAnsi="Book Antiqua"/>
        </w:rPr>
      </w:pPr>
    </w:p>
    <w:p w14:paraId="4558652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CONCLUSION</w:t>
      </w:r>
    </w:p>
    <w:p w14:paraId="6B2CE50D" w14:textId="77777777" w:rsidR="00A77B3E" w:rsidRPr="0047516E" w:rsidRDefault="00722A3E" w:rsidP="0047516E">
      <w:pPr>
        <w:adjustRightInd w:val="0"/>
        <w:snapToGrid w:val="0"/>
        <w:spacing w:line="360" w:lineRule="auto"/>
        <w:jc w:val="both"/>
        <w:rPr>
          <w:rFonts w:ascii="Book Antiqua" w:hAnsi="Book Antiqua"/>
        </w:rPr>
      </w:pPr>
      <w:bookmarkStart w:id="15" w:name="OLE_LINK29"/>
      <w:bookmarkStart w:id="16" w:name="OLE_LINK30"/>
      <w:r w:rsidRPr="0047516E">
        <w:rPr>
          <w:rFonts w:ascii="Book Antiqua" w:eastAsia="Book Antiqua" w:hAnsi="Book Antiqua" w:cs="Book Antiqua"/>
          <w:color w:val="000000"/>
        </w:rPr>
        <w:t>Preventable and non-chronic GI disease contributed to a significant economic and health burden comparable to chronic GI conditions, providing a window of opportunity for improving healthcare delivery in reducing its burden.</w:t>
      </w:r>
    </w:p>
    <w:bookmarkEnd w:id="15"/>
    <w:bookmarkEnd w:id="16"/>
    <w:p w14:paraId="345C0ECC" w14:textId="77777777" w:rsidR="00A77B3E" w:rsidRPr="0047516E" w:rsidRDefault="00A77B3E" w:rsidP="0047516E">
      <w:pPr>
        <w:adjustRightInd w:val="0"/>
        <w:snapToGrid w:val="0"/>
        <w:spacing w:line="360" w:lineRule="auto"/>
        <w:jc w:val="both"/>
        <w:rPr>
          <w:rFonts w:ascii="Book Antiqua" w:hAnsi="Book Antiqua"/>
        </w:rPr>
      </w:pPr>
    </w:p>
    <w:p w14:paraId="4AB07150" w14:textId="58972CCE"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Key Words: </w:t>
      </w:r>
      <w:bookmarkStart w:id="17" w:name="OLE_LINK8"/>
      <w:bookmarkStart w:id="18" w:name="OLE_LINK11"/>
      <w:bookmarkStart w:id="19" w:name="OLE_LINK18"/>
      <w:bookmarkStart w:id="20" w:name="OLE_LINK19"/>
      <w:r w:rsidRPr="0047516E">
        <w:rPr>
          <w:rFonts w:ascii="Book Antiqua" w:eastAsia="Book Antiqua" w:hAnsi="Book Antiqua" w:cs="Book Antiqua"/>
          <w:color w:val="000000"/>
        </w:rPr>
        <w:t>Gastrointestinal disease</w:t>
      </w:r>
      <w:bookmarkEnd w:id="17"/>
      <w:bookmarkEnd w:id="18"/>
      <w:r w:rsidRPr="0047516E">
        <w:rPr>
          <w:rFonts w:ascii="Book Antiqua" w:eastAsia="Book Antiqua" w:hAnsi="Book Antiqua" w:cs="Book Antiqua"/>
          <w:color w:val="000000"/>
        </w:rPr>
        <w:t xml:space="preserve">;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Nationwide readmission database; Outcomes; Mortality; Cost</w:t>
      </w:r>
    </w:p>
    <w:bookmarkEnd w:id="19"/>
    <w:bookmarkEnd w:id="20"/>
    <w:p w14:paraId="4E42D297" w14:textId="77777777" w:rsidR="00741D46" w:rsidRDefault="00741D46" w:rsidP="00741D46">
      <w:pPr>
        <w:spacing w:line="360" w:lineRule="auto"/>
        <w:jc w:val="both"/>
        <w:rPr>
          <w:lang w:eastAsia="zh-CN"/>
        </w:rPr>
      </w:pPr>
    </w:p>
    <w:p w14:paraId="7495D45A" w14:textId="77777777" w:rsidR="00741D46" w:rsidRDefault="00741D46" w:rsidP="00741D4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300774F" w14:textId="77777777" w:rsidR="00741D46" w:rsidRDefault="00741D46" w:rsidP="00741D46">
      <w:pPr>
        <w:spacing w:line="360" w:lineRule="auto"/>
        <w:jc w:val="both"/>
        <w:rPr>
          <w:lang w:eastAsia="zh-CN"/>
        </w:rPr>
      </w:pPr>
    </w:p>
    <w:p w14:paraId="61B7ECC0" w14:textId="2C0E87FC" w:rsidR="000420FB" w:rsidRDefault="00741D46" w:rsidP="000420FB">
      <w:pPr>
        <w:spacing w:line="360" w:lineRule="auto"/>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722A3E" w:rsidRPr="0047516E">
        <w:rPr>
          <w:rFonts w:ascii="Book Antiqua" w:eastAsia="Book Antiqua" w:hAnsi="Book Antiqua" w:cs="Book Antiqua"/>
          <w:color w:val="000000"/>
        </w:rPr>
        <w:t xml:space="preserve">Krishna SG, Chu BK, Blaszczak AM, Balasubramanian G, Hussan H, Stanich PP, Mumtaz K, Hinton A, Conwell DL. Hospital outcomes and early readmission for the most common gastrointestinal and liver diseases in the United States: Implications for healthcare delivery. </w:t>
      </w:r>
      <w:r w:rsidR="00722A3E" w:rsidRPr="0047516E">
        <w:rPr>
          <w:rFonts w:ascii="Book Antiqua" w:eastAsia="Book Antiqua" w:hAnsi="Book Antiqua" w:cs="Book Antiqua"/>
          <w:i/>
          <w:iCs/>
          <w:color w:val="000000"/>
        </w:rPr>
        <w:t>World J Gastrointest Surg</w:t>
      </w:r>
      <w:r w:rsidR="00722A3E" w:rsidRPr="0047516E">
        <w:rPr>
          <w:rFonts w:ascii="Book Antiqua" w:eastAsia="Book Antiqua" w:hAnsi="Book Antiqua" w:cs="Book Antiqua"/>
          <w:color w:val="000000"/>
        </w:rPr>
        <w:t xml:space="preserve"> 202</w:t>
      </w:r>
      <w:r w:rsidR="00E91F6A">
        <w:rPr>
          <w:rFonts w:ascii="Book Antiqua" w:eastAsia="Book Antiqua" w:hAnsi="Book Antiqua" w:cs="Book Antiqua"/>
          <w:color w:val="000000"/>
        </w:rPr>
        <w:t>1</w:t>
      </w:r>
      <w:r w:rsidR="00722A3E" w:rsidRPr="0047516E">
        <w:rPr>
          <w:rFonts w:ascii="Book Antiqua" w:eastAsia="Book Antiqua" w:hAnsi="Book Antiqua" w:cs="Book Antiqua"/>
          <w:color w:val="000000"/>
        </w:rPr>
        <w:t xml:space="preserve">; </w:t>
      </w:r>
      <w:bookmarkStart w:id="21" w:name="_Hlk63328019"/>
      <w:r w:rsidR="000420FB">
        <w:rPr>
          <w:rFonts w:ascii="Book Antiqua" w:eastAsia="Book Antiqua" w:hAnsi="Book Antiqua" w:cs="Book Antiqua"/>
          <w:color w:val="000000"/>
        </w:rPr>
        <w:t xml:space="preserve">13(2): </w:t>
      </w:r>
      <w:r w:rsidR="000420FB">
        <w:rPr>
          <w:rFonts w:ascii="Book Antiqua" w:eastAsia="Book Antiqua" w:hAnsi="Book Antiqua" w:cs="Book Antiqua"/>
          <w:color w:val="000000"/>
        </w:rPr>
        <w:t>141-152</w:t>
      </w:r>
    </w:p>
    <w:p w14:paraId="68025B70" w14:textId="6BB72658" w:rsidR="000420FB" w:rsidRDefault="000420FB" w:rsidP="000420FB">
      <w:pPr>
        <w:spacing w:line="360" w:lineRule="auto"/>
        <w:rPr>
          <w:rFonts w:ascii="Book Antiqua" w:eastAsia="Book Antiqua" w:hAnsi="Book Antiqua" w:cs="Book Antiqua"/>
          <w:color w:val="000000"/>
        </w:rPr>
      </w:pPr>
      <w:r>
        <w:rPr>
          <w:rFonts w:ascii="Book Antiqua" w:eastAsia="Book Antiqua" w:hAnsi="Book Antiqua" w:cs="Book Antiqua"/>
          <w:color w:val="000000"/>
        </w:rPr>
        <w:t>URL: https://www.wjgnet.com/1948-9366/full/v13/i2/</w:t>
      </w:r>
      <w:r>
        <w:rPr>
          <w:rFonts w:ascii="Book Antiqua" w:eastAsia="Book Antiqua" w:hAnsi="Book Antiqua" w:cs="Book Antiqua"/>
          <w:color w:val="000000"/>
        </w:rPr>
        <w:t>141</w:t>
      </w:r>
      <w:r>
        <w:rPr>
          <w:rFonts w:ascii="Book Antiqua" w:eastAsia="Book Antiqua" w:hAnsi="Book Antiqua" w:cs="Book Antiqua"/>
          <w:color w:val="000000"/>
        </w:rPr>
        <w:t xml:space="preserve">.htm  </w:t>
      </w:r>
    </w:p>
    <w:p w14:paraId="3D7AC1C9" w14:textId="00285F6F" w:rsidR="000420FB" w:rsidRDefault="000420FB" w:rsidP="000420FB">
      <w:pPr>
        <w:spacing w:line="360" w:lineRule="auto"/>
        <w:rPr>
          <w:rFonts w:ascii="Book Antiqua" w:hAnsi="Book Antiqua" w:cs="Book Antiqua"/>
          <w:color w:val="000000"/>
          <w:lang w:eastAsia="zh-CN"/>
        </w:rPr>
      </w:pPr>
      <w:r>
        <w:rPr>
          <w:rFonts w:ascii="Book Antiqua" w:eastAsia="Book Antiqua" w:hAnsi="Book Antiqua" w:cs="Book Antiqua"/>
          <w:color w:val="000000"/>
        </w:rPr>
        <w:t>DOI: https://dx.doi.org/10.4240/wjgs.v13.i2.</w:t>
      </w:r>
      <w:bookmarkEnd w:id="21"/>
      <w:r>
        <w:rPr>
          <w:rFonts w:ascii="Book Antiqua" w:eastAsia="Book Antiqua" w:hAnsi="Book Antiqua" w:cs="Book Antiqua"/>
          <w:color w:val="000000"/>
        </w:rPr>
        <w:t>141</w:t>
      </w:r>
    </w:p>
    <w:p w14:paraId="54411068" w14:textId="29691DA7" w:rsidR="00A77B3E" w:rsidRPr="0047516E" w:rsidRDefault="00A77B3E" w:rsidP="0047516E">
      <w:pPr>
        <w:adjustRightInd w:val="0"/>
        <w:snapToGrid w:val="0"/>
        <w:spacing w:line="360" w:lineRule="auto"/>
        <w:jc w:val="both"/>
        <w:rPr>
          <w:rFonts w:ascii="Book Antiqua" w:hAnsi="Book Antiqua"/>
        </w:rPr>
      </w:pPr>
    </w:p>
    <w:p w14:paraId="4DF51BA1" w14:textId="6FFB56E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Core Tip: </w:t>
      </w:r>
      <w:bookmarkStart w:id="22" w:name="OLE_LINK20"/>
      <w:bookmarkStart w:id="23" w:name="OLE_LINK21"/>
      <w:r w:rsidRPr="0047516E">
        <w:rPr>
          <w:rFonts w:ascii="Book Antiqua" w:eastAsia="Book Antiqua" w:hAnsi="Book Antiqua" w:cs="Book Antiqua"/>
          <w:color w:val="000000"/>
        </w:rPr>
        <w:t xml:space="preserve">Using the 2013 Nationwide Readmission Database, we sought to elucidate the hospital outcomes, including hospitalization costs, mortality rates, readmission rates, and factors contributing to readmission for the 13 most common </w:t>
      </w:r>
      <w:r w:rsidR="00635552" w:rsidRPr="0047516E">
        <w:rPr>
          <w:rFonts w:ascii="Book Antiqua" w:eastAsia="Book Antiqua" w:hAnsi="Book Antiqua" w:cs="Book Antiqua"/>
          <w:color w:val="000000"/>
        </w:rPr>
        <w:t>gastrointestinal (GI)</w:t>
      </w:r>
      <w:r w:rsidRPr="0047516E">
        <w:rPr>
          <w:rFonts w:ascii="Book Antiqua" w:eastAsia="Book Antiqua" w:hAnsi="Book Antiqua" w:cs="Book Antiqua"/>
          <w:color w:val="000000"/>
        </w:rPr>
        <w:t xml:space="preserve">-related diseases. The results of our study highlight the large economic and healthcare burden for these 13 GI-related diseases and </w:t>
      </w:r>
      <w:r w:rsidRPr="0047516E">
        <w:rPr>
          <w:rFonts w:ascii="Book Antiqua" w:eastAsia="Book Antiqua" w:hAnsi="Book Antiqua" w:cs="Book Antiqua"/>
          <w:color w:val="000000"/>
        </w:rPr>
        <w:lastRenderedPageBreak/>
        <w:t xml:space="preserve">identify factors associated with early readmissions. Our study also reveals that preventable and non-chronic GI diseases such as </w:t>
      </w:r>
      <w:r w:rsidRPr="0047516E">
        <w:rPr>
          <w:rFonts w:ascii="Book Antiqua" w:eastAsia="Book Antiqua" w:hAnsi="Book Antiqua" w:cs="Book Antiqua"/>
          <w:i/>
          <w:iCs/>
          <w:color w:val="000000"/>
        </w:rPr>
        <w:t>Clostridium difficile</w:t>
      </w:r>
      <w:r w:rsidRPr="0047516E">
        <w:rPr>
          <w:rFonts w:ascii="Book Antiqua" w:eastAsia="Book Antiqua" w:hAnsi="Book Antiqua" w:cs="Book Antiqua"/>
          <w:color w:val="000000"/>
        </w:rPr>
        <w:t>, GI hemorrhage, and acute pancreatitis contribute a significant proportion of the overall costs, mortality, and readmission burden. Our data underscore a crucial opportunity for providers to aim at targeting preemptive care to reduce the initial and subsequent readmissions for these preventable GI-related diseases.</w:t>
      </w:r>
    </w:p>
    <w:bookmarkEnd w:id="22"/>
    <w:bookmarkEnd w:id="23"/>
    <w:p w14:paraId="4F31D6E4" w14:textId="4E60A25B" w:rsidR="00A77B3E" w:rsidRPr="0047516E" w:rsidRDefault="0047516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br w:type="page"/>
      </w:r>
      <w:r w:rsidR="00722A3E" w:rsidRPr="0047516E">
        <w:rPr>
          <w:rFonts w:ascii="Book Antiqua" w:eastAsia="Book Antiqua" w:hAnsi="Book Antiqua" w:cs="Book Antiqua"/>
          <w:b/>
          <w:caps/>
          <w:color w:val="000000"/>
          <w:u w:val="single"/>
        </w:rPr>
        <w:lastRenderedPageBreak/>
        <w:t>INTRODUCTION</w:t>
      </w:r>
    </w:p>
    <w:p w14:paraId="1703820A" w14:textId="35D6E048" w:rsidR="00A77B3E" w:rsidRPr="0047516E" w:rsidRDefault="00722A3E" w:rsidP="0047516E">
      <w:pPr>
        <w:adjustRightInd w:val="0"/>
        <w:snapToGrid w:val="0"/>
        <w:spacing w:line="360" w:lineRule="auto"/>
        <w:jc w:val="both"/>
        <w:rPr>
          <w:rFonts w:ascii="Book Antiqua" w:hAnsi="Book Antiqua"/>
        </w:rPr>
      </w:pPr>
      <w:bookmarkStart w:id="24" w:name="OLE_LINK31"/>
      <w:bookmarkStart w:id="25" w:name="OLE_LINK32"/>
      <w:r w:rsidRPr="0047516E">
        <w:rPr>
          <w:rFonts w:ascii="Book Antiqua" w:eastAsia="Book Antiqua" w:hAnsi="Book Antiqua" w:cs="Book Antiqua"/>
          <w:color w:val="000000"/>
        </w:rPr>
        <w:t>The United States spends nearly 18% of Gross Domestic Product annually on healthcare expenses</w:t>
      </w:r>
      <w:r w:rsidRPr="0047516E">
        <w:rPr>
          <w:rFonts w:ascii="Book Antiqua" w:eastAsia="Book Antiqua" w:hAnsi="Book Antiqua" w:cs="Book Antiqua"/>
          <w:color w:val="000000"/>
          <w:vertAlign w:val="superscript"/>
        </w:rPr>
        <w:t>[1]</w:t>
      </w:r>
      <w:r w:rsidRPr="0047516E">
        <w:rPr>
          <w:rFonts w:ascii="Book Antiqua" w:eastAsia="Book Antiqua" w:hAnsi="Book Antiqua" w:cs="Book Antiqua"/>
          <w:color w:val="000000"/>
        </w:rPr>
        <w:t>. In 2013 alone, personal health care spending on digestive diseases and cirrhosis amounted to over $100 billion, with greater than 60% of these costs arising from inpatient care and treatment</w:t>
      </w:r>
      <w:r w:rsidRPr="0047516E">
        <w:rPr>
          <w:rFonts w:ascii="Book Antiqua" w:eastAsia="Book Antiqua" w:hAnsi="Book Antiqua" w:cs="Book Antiqua"/>
          <w:color w:val="000000"/>
          <w:vertAlign w:val="superscript"/>
        </w:rPr>
        <w:t>[2]</w:t>
      </w:r>
      <w:r w:rsidRPr="0047516E">
        <w:rPr>
          <w:rFonts w:ascii="Book Antiqua" w:eastAsia="Book Antiqua" w:hAnsi="Book Antiqua" w:cs="Book Antiqua"/>
          <w:color w:val="000000"/>
        </w:rPr>
        <w:t>. Gastrointestinal (GI) diseases are also associated with significant morbidity and mortality, including poorer quality of life and a greater amount of work and activity limitations</w:t>
      </w:r>
      <w:r w:rsidRPr="0047516E">
        <w:rPr>
          <w:rFonts w:ascii="Book Antiqua" w:eastAsia="Book Antiqua" w:hAnsi="Book Antiqua" w:cs="Book Antiqua"/>
          <w:color w:val="000000"/>
          <w:vertAlign w:val="superscript"/>
        </w:rPr>
        <w:t>[3]</w:t>
      </w:r>
      <w:r w:rsidRPr="0047516E">
        <w:rPr>
          <w:rFonts w:ascii="Book Antiqua" w:eastAsia="Book Antiqua" w:hAnsi="Book Antiqua" w:cs="Book Antiqua"/>
          <w:color w:val="000000"/>
        </w:rPr>
        <w:t>. Nearly 10% of deaths in the</w:t>
      </w:r>
      <w:r w:rsidR="00570778" w:rsidRPr="0047516E">
        <w:rPr>
          <w:rFonts w:ascii="Book Antiqua" w:hAnsi="Book Antiqua"/>
        </w:rPr>
        <w:t xml:space="preserve"> </w:t>
      </w:r>
      <w:r w:rsidR="00570778" w:rsidRPr="0047516E">
        <w:rPr>
          <w:rFonts w:ascii="Book Antiqua" w:eastAsia="Book Antiqua" w:hAnsi="Book Antiqua" w:cs="Book Antiqua"/>
          <w:color w:val="000000"/>
        </w:rPr>
        <w:t>United States</w:t>
      </w:r>
      <w:r w:rsidRPr="0047516E">
        <w:rPr>
          <w:rFonts w:ascii="Book Antiqua" w:eastAsia="Book Antiqua" w:hAnsi="Book Antiqua" w:cs="Book Antiqua"/>
          <w:color w:val="000000"/>
        </w:rPr>
        <w:t xml:space="preserve"> have GI disease as the underlying cause where the top ten all-cause mortality includes cirrhosis of the liver, </w:t>
      </w:r>
      <w:r w:rsidRPr="0047516E">
        <w:rPr>
          <w:rFonts w:ascii="Book Antiqua" w:eastAsia="Book Antiqua" w:hAnsi="Book Antiqua" w:cs="Book Antiqua"/>
          <w:i/>
          <w:iCs/>
          <w:color w:val="000000"/>
        </w:rPr>
        <w:t>Clostridium difficile</w:t>
      </w:r>
      <w:r w:rsidR="00D34478" w:rsidRPr="0047516E">
        <w:rPr>
          <w:rFonts w:ascii="Book Antiqua" w:eastAsia="Book Antiqua" w:hAnsi="Book Antiqua" w:cs="Book Antiqua"/>
          <w:i/>
          <w:iCs/>
          <w:color w:val="000000"/>
        </w:rPr>
        <w:t xml:space="preserve"> </w:t>
      </w:r>
      <w:r w:rsidR="00D34478" w:rsidRPr="00482170">
        <w:rPr>
          <w:rFonts w:ascii="Book Antiqua" w:eastAsia="Book Antiqua" w:hAnsi="Book Antiqua" w:cs="Book Antiqua"/>
          <w:iCs/>
          <w:color w:val="000000"/>
        </w:rPr>
        <w:t>(</w:t>
      </w:r>
      <w:r w:rsidR="00D34478" w:rsidRPr="0047516E">
        <w:rPr>
          <w:rFonts w:ascii="Book Antiqua" w:eastAsia="Book Antiqua" w:hAnsi="Book Antiqua" w:cs="Book Antiqua"/>
          <w:i/>
          <w:iCs/>
          <w:color w:val="000000"/>
        </w:rPr>
        <w:t>C. difficile</w:t>
      </w:r>
      <w:r w:rsidR="00D34478" w:rsidRPr="00482170">
        <w:rPr>
          <w:rFonts w:ascii="Book Antiqua" w:eastAsia="Book Antiqua" w:hAnsi="Book Antiqua" w:cs="Book Antiqua"/>
          <w:iCs/>
          <w:color w:val="000000"/>
        </w:rPr>
        <w:t>)</w:t>
      </w:r>
      <w:r w:rsidRPr="0047516E">
        <w:rPr>
          <w:rFonts w:ascii="Book Antiqua" w:eastAsia="Book Antiqua" w:hAnsi="Book Antiqua" w:cs="Book Antiqua"/>
          <w:color w:val="000000"/>
        </w:rPr>
        <w:t xml:space="preserve"> colitis, and gastrointestinal hemorrhage</w:t>
      </w:r>
      <w:r w:rsidRPr="0047516E">
        <w:rPr>
          <w:rFonts w:ascii="Book Antiqua" w:eastAsia="Book Antiqua" w:hAnsi="Book Antiqua" w:cs="Book Antiqua"/>
          <w:color w:val="000000"/>
          <w:vertAlign w:val="superscript"/>
        </w:rPr>
        <w:t>[3]</w:t>
      </w:r>
      <w:r w:rsidRPr="0047516E">
        <w:rPr>
          <w:rFonts w:ascii="Book Antiqua" w:eastAsia="Book Antiqua" w:hAnsi="Book Antiqua" w:cs="Book Antiqua"/>
          <w:color w:val="000000"/>
        </w:rPr>
        <w:t>. Several of these diseases have been associated with high rates of readmission, which is not only expensive but also an indicator of inferior quality of care and increased rates of 1-year mortality</w:t>
      </w:r>
      <w:r w:rsidRPr="0047516E">
        <w:rPr>
          <w:rFonts w:ascii="Book Antiqua" w:eastAsia="Book Antiqua" w:hAnsi="Book Antiqua" w:cs="Book Antiqua"/>
          <w:color w:val="000000"/>
          <w:vertAlign w:val="superscript"/>
        </w:rPr>
        <w:t>[4-6]</w:t>
      </w:r>
      <w:r w:rsidRPr="0047516E">
        <w:rPr>
          <w:rFonts w:ascii="Book Antiqua" w:eastAsia="Book Antiqua" w:hAnsi="Book Antiqua" w:cs="Book Antiqua"/>
          <w:color w:val="000000"/>
        </w:rPr>
        <w:t>. Finding ways to reduce the economic burden of healthcare costs and the impact of disease on morbidity and mortality is of vital importance.</w:t>
      </w:r>
    </w:p>
    <w:p w14:paraId="7CA07EF0" w14:textId="50D0D469"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While there are currently several population-based studies examining readmission data for specific GI and liver disease, there are very few population-based studies evaluating overall readmission rates and their impact for the most common GI and liver diseases as a whole. Hence,</w:t>
      </w:r>
      <w:r w:rsidR="00D34478" w:rsidRPr="0047516E">
        <w:rPr>
          <w:rFonts w:ascii="Book Antiqua" w:eastAsia="Book Antiqua" w:hAnsi="Book Antiqua" w:cs="Book Antiqua"/>
          <w:color w:val="000000"/>
        </w:rPr>
        <w:t xml:space="preserve"> we sought to examine the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morta</w:t>
      </w:r>
      <w:r w:rsidR="00D34478" w:rsidRPr="0047516E">
        <w:rPr>
          <w:rFonts w:ascii="Book Antiqua" w:eastAsia="Book Antiqua" w:hAnsi="Book Antiqua" w:cs="Book Antiqua"/>
          <w:color w:val="000000"/>
        </w:rPr>
        <w:t>lity and predictors of</w:t>
      </w:r>
      <w:r w:rsidR="0047516E" w:rsidRPr="0047516E">
        <w:rPr>
          <w:rFonts w:ascii="Book Antiqua" w:eastAsia="Book Antiqua" w:hAnsi="Book Antiqua" w:cs="Book Antiqua"/>
          <w:color w:val="000000"/>
        </w:rPr>
        <w:t xml:space="preserve"> thirty days</w:t>
      </w:r>
      <w:r w:rsidRPr="0047516E">
        <w:rPr>
          <w:rFonts w:ascii="Book Antiqua" w:eastAsia="Book Antiqua" w:hAnsi="Book Antiqua" w:cs="Book Antiqua"/>
          <w:color w:val="000000"/>
        </w:rPr>
        <w:t xml:space="preserve"> readmission for the most common GI and liver diseases in the </w:t>
      </w:r>
      <w:r w:rsidR="00570778" w:rsidRPr="0047516E">
        <w:rPr>
          <w:rFonts w:ascii="Book Antiqua" w:eastAsia="Book Antiqua" w:hAnsi="Book Antiqua" w:cs="Book Antiqua"/>
          <w:color w:val="000000"/>
        </w:rPr>
        <w:t>United States.</w:t>
      </w:r>
    </w:p>
    <w:bookmarkEnd w:id="24"/>
    <w:bookmarkEnd w:id="25"/>
    <w:p w14:paraId="3432BE11" w14:textId="77777777" w:rsidR="00A77B3E" w:rsidRPr="0047516E" w:rsidRDefault="00A77B3E" w:rsidP="0047516E">
      <w:pPr>
        <w:adjustRightInd w:val="0"/>
        <w:snapToGrid w:val="0"/>
        <w:spacing w:line="360" w:lineRule="auto"/>
        <w:jc w:val="both"/>
        <w:rPr>
          <w:rFonts w:ascii="Book Antiqua" w:hAnsi="Book Antiqua"/>
        </w:rPr>
      </w:pPr>
    </w:p>
    <w:p w14:paraId="19B255D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t>MATERIALS AND METHODS</w:t>
      </w:r>
    </w:p>
    <w:p w14:paraId="6993CD67" w14:textId="7E20858C" w:rsidR="00A77B3E" w:rsidRPr="0047516E" w:rsidRDefault="00722A3E" w:rsidP="0047516E">
      <w:pPr>
        <w:adjustRightInd w:val="0"/>
        <w:snapToGrid w:val="0"/>
        <w:spacing w:line="360" w:lineRule="auto"/>
        <w:jc w:val="both"/>
        <w:rPr>
          <w:rFonts w:ascii="Book Antiqua" w:hAnsi="Book Antiqua"/>
        </w:rPr>
      </w:pPr>
      <w:bookmarkStart w:id="26" w:name="OLE_LINK33"/>
      <w:bookmarkStart w:id="27" w:name="OLE_LINK34"/>
      <w:r w:rsidRPr="0047516E">
        <w:rPr>
          <w:rFonts w:ascii="Book Antiqua" w:eastAsia="Book Antiqua" w:hAnsi="Book Antiqua" w:cs="Book Antiqua"/>
          <w:b/>
          <w:bCs/>
          <w:i/>
          <w:iCs/>
          <w:color w:val="000000"/>
        </w:rPr>
        <w:t xml:space="preserve">Data </w:t>
      </w:r>
      <w:r w:rsidR="00D34478" w:rsidRPr="0047516E">
        <w:rPr>
          <w:rFonts w:ascii="Book Antiqua" w:eastAsia="Book Antiqua" w:hAnsi="Book Antiqua" w:cs="Book Antiqua"/>
          <w:b/>
          <w:bCs/>
          <w:i/>
          <w:iCs/>
          <w:color w:val="000000"/>
        </w:rPr>
        <w:t>source</w:t>
      </w:r>
    </w:p>
    <w:p w14:paraId="221BBBA9" w14:textId="449B4343"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The Nationwide Readmissions Database (NRD) from 2013 was utilized for study development and analysis utilizing the International Classificati</w:t>
      </w:r>
      <w:r w:rsidR="0047516E">
        <w:rPr>
          <w:rFonts w:ascii="Book Antiqua" w:eastAsia="Book Antiqua" w:hAnsi="Book Antiqua" w:cs="Book Antiqua"/>
          <w:color w:val="000000"/>
        </w:rPr>
        <w:t xml:space="preserve">on of Diseases, Ninth Revision, </w:t>
      </w:r>
      <w:r w:rsidR="0047516E" w:rsidRPr="0047516E">
        <w:rPr>
          <w:rFonts w:ascii="Book Antiqua" w:eastAsia="Book Antiqua" w:hAnsi="Book Antiqua" w:cs="Book Antiqua"/>
          <w:color w:val="000000"/>
        </w:rPr>
        <w:t xml:space="preserve">Clinical </w:t>
      </w:r>
      <w:r w:rsidRPr="0047516E">
        <w:rPr>
          <w:rFonts w:ascii="Book Antiqua" w:eastAsia="Book Antiqua" w:hAnsi="Book Antiqua" w:cs="Book Antiqua"/>
          <w:color w:val="000000"/>
        </w:rPr>
        <w:t>Modification</w:t>
      </w:r>
      <w:r w:rsidR="0057077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diagnosis and procedure codes. This database is a part of the </w:t>
      </w:r>
      <w:bookmarkStart w:id="28" w:name="_Hlk60172278"/>
      <w:r w:rsidRPr="0047516E">
        <w:rPr>
          <w:rFonts w:ascii="Book Antiqua" w:eastAsia="Book Antiqua" w:hAnsi="Book Antiqua" w:cs="Book Antiqua"/>
          <w:color w:val="000000"/>
        </w:rPr>
        <w:t>Healthcare Cost Utilization Project</w:t>
      </w:r>
      <w:bookmarkEnd w:id="28"/>
      <w:r w:rsidRPr="0047516E">
        <w:rPr>
          <w:rFonts w:ascii="Book Antiqua" w:eastAsia="Book Antiqua" w:hAnsi="Book Antiqua" w:cs="Book Antiqua"/>
          <w:color w:val="000000"/>
        </w:rPr>
        <w:t xml:space="preserve"> State Inpatient Databases. The unique aspect of this database is its ability to track patients with patient-specific linkage numbers statewide in all nonfederal acute care hospitals </w:t>
      </w:r>
      <w:r w:rsidRPr="0047516E">
        <w:rPr>
          <w:rFonts w:ascii="Book Antiqua" w:eastAsia="Book Antiqua" w:hAnsi="Book Antiqua" w:cs="Book Antiqua"/>
          <w:color w:val="000000"/>
        </w:rPr>
        <w:lastRenderedPageBreak/>
        <w:t xml:space="preserve">over the course of one year. This database provides unweighted information for roughly 14 million discharges per year and is based on weighting to represent the </w:t>
      </w:r>
      <w:r w:rsidR="00BE61CA" w:rsidRPr="0047516E">
        <w:rPr>
          <w:rFonts w:ascii="Book Antiqua" w:eastAsia="Book Antiqua" w:hAnsi="Book Antiqua" w:cs="Book Antiqua"/>
          <w:color w:val="000000"/>
        </w:rPr>
        <w:t>United States</w:t>
      </w:r>
      <w:r w:rsidRPr="0047516E">
        <w:rPr>
          <w:rFonts w:ascii="Book Antiqua" w:eastAsia="Book Antiqua" w:hAnsi="Book Antiqua" w:cs="Book Antiqua"/>
          <w:color w:val="000000"/>
        </w:rPr>
        <w:t xml:space="preserve"> national readmission rates, and it accounts for nearly 36 million discharges annually</w:t>
      </w:r>
      <w:r w:rsidRPr="0047516E">
        <w:rPr>
          <w:rFonts w:ascii="Book Antiqua" w:eastAsia="Book Antiqua" w:hAnsi="Book Antiqua" w:cs="Book Antiqua"/>
          <w:color w:val="000000"/>
          <w:vertAlign w:val="superscript"/>
        </w:rPr>
        <w:t>[7]</w:t>
      </w:r>
      <w:r w:rsidRPr="0047516E">
        <w:rPr>
          <w:rFonts w:ascii="Book Antiqua" w:eastAsia="Book Antiqua" w:hAnsi="Book Antiqua" w:cs="Book Antiqua"/>
          <w:color w:val="000000"/>
        </w:rPr>
        <w:t>.</w:t>
      </w:r>
    </w:p>
    <w:p w14:paraId="1CFB14BE" w14:textId="354EE35F"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The study schema is represented in Figure 1</w:t>
      </w:r>
      <w:r w:rsidRPr="0047516E">
        <w:rPr>
          <w:rFonts w:ascii="Book Antiqua" w:eastAsia="Book Antiqua" w:hAnsi="Book Antiqua" w:cs="Book Antiqua"/>
          <w:bCs/>
          <w:color w:val="000000"/>
        </w:rPr>
        <w:t xml:space="preserve">. </w:t>
      </w:r>
      <w:r w:rsidRPr="0047516E">
        <w:rPr>
          <w:rFonts w:ascii="Book Antiqua" w:eastAsia="Book Antiqua" w:hAnsi="Book Antiqua" w:cs="Book Antiqua"/>
          <w:color w:val="000000"/>
        </w:rPr>
        <w:t xml:space="preserve">Hospitalizations for the 13 most common gastrointestinal diseases were identified based on data from the 2012 Nationwide Inpatient Sample and included GI hemorrhage, cholelithiasis with cholecystitis, acute pancreatitis, intestinal obstruction, appendicitis, chronic liver disease (CLD) including viral hepatitis, diverticulitis without hemorrhage, non-infectious gastroenteritis, obesity, </w:t>
      </w:r>
      <w:r w:rsidRPr="0047516E">
        <w:rPr>
          <w:rFonts w:ascii="Book Antiqua" w:eastAsia="Book Antiqua" w:hAnsi="Book Antiqua" w:cs="Book Antiqua"/>
          <w:i/>
          <w:iCs/>
          <w:color w:val="000000"/>
        </w:rPr>
        <w:t>C</w:t>
      </w:r>
      <w:r w:rsidR="00D34478" w:rsidRPr="0047516E">
        <w:rPr>
          <w:rFonts w:ascii="Book Antiqua" w:eastAsia="Book Antiqua" w:hAnsi="Book Antiqua" w:cs="Book Antiqua"/>
          <w:i/>
          <w:iCs/>
          <w:color w:val="000000"/>
        </w:rPr>
        <w:t>.</w:t>
      </w:r>
      <w:r w:rsidRPr="0047516E">
        <w:rPr>
          <w:rFonts w:ascii="Book Antiqua" w:eastAsia="Book Antiqua" w:hAnsi="Book Antiqua" w:cs="Book Antiqua"/>
          <w:i/>
          <w:iCs/>
          <w:color w:val="000000"/>
        </w:rPr>
        <w:t xml:space="preserve"> difficile</w:t>
      </w:r>
      <w:r w:rsidRPr="0047516E">
        <w:rPr>
          <w:rFonts w:ascii="Book Antiqua" w:eastAsia="Book Antiqua" w:hAnsi="Book Antiqua" w:cs="Book Antiqua"/>
          <w:color w:val="000000"/>
        </w:rPr>
        <w:t xml:space="preserve"> infection, GI infection, functional/motility disorder, and inflammatory bowel disease (IBD)</w:t>
      </w:r>
      <w:r w:rsidRPr="0047516E">
        <w:rPr>
          <w:rFonts w:ascii="Book Antiqua" w:eastAsia="Book Antiqua" w:hAnsi="Book Antiqua" w:cs="Book Antiqua"/>
          <w:color w:val="000000"/>
          <w:vertAlign w:val="superscript"/>
        </w:rPr>
        <w:t>[7]</w:t>
      </w:r>
      <w:r w:rsidRPr="0047516E">
        <w:rPr>
          <w:rFonts w:ascii="Book Antiqua" w:eastAsia="Book Antiqua" w:hAnsi="Book Antiqua" w:cs="Book Antiqua"/>
          <w:color w:val="000000"/>
        </w:rPr>
        <w:t>. The corresponding ICD-9 codes found in Supplementary Table 1 were used to query the 2013 NRD database. Patients were excluded from index adm</w:t>
      </w:r>
      <w:r w:rsidR="00D34478" w:rsidRPr="0047516E">
        <w:rPr>
          <w:rFonts w:ascii="Book Antiqua" w:eastAsia="Book Antiqua" w:hAnsi="Book Antiqua" w:cs="Book Antiqua"/>
          <w:color w:val="000000"/>
        </w:rPr>
        <w:t>issions analysis if they were (1) 17 years old or younger, or (2</w:t>
      </w:r>
      <w:r w:rsidRPr="0047516E">
        <w:rPr>
          <w:rFonts w:ascii="Book Antiqua" w:eastAsia="Book Antiqua" w:hAnsi="Book Antiqua" w:cs="Book Antiqua"/>
          <w:color w:val="000000"/>
        </w:rPr>
        <w:t>) pregnant at the index admission. Further exclusion criteria we</w:t>
      </w:r>
      <w:r w:rsidR="00D34478" w:rsidRPr="0047516E">
        <w:rPr>
          <w:rFonts w:ascii="Book Antiqua" w:eastAsia="Book Antiqua" w:hAnsi="Book Antiqua" w:cs="Book Antiqua"/>
          <w:color w:val="000000"/>
        </w:rPr>
        <w:t xml:space="preserve">re employed for analyzing </w:t>
      </w:r>
      <w:r w:rsidR="0047516E" w:rsidRPr="0047516E">
        <w:rPr>
          <w:rFonts w:ascii="Book Antiqua" w:eastAsia="Book Antiqua" w:hAnsi="Book Antiqua" w:cs="Book Antiqua"/>
          <w:color w:val="000000"/>
        </w:rPr>
        <w:t>thirty days</w:t>
      </w:r>
      <w:r w:rsidR="00D34478" w:rsidRPr="0047516E">
        <w:rPr>
          <w:rFonts w:ascii="Book Antiqua" w:eastAsia="Book Antiqua" w:hAnsi="Book Antiqua" w:cs="Book Antiqua"/>
          <w:color w:val="000000"/>
        </w:rPr>
        <w:t xml:space="preserve"> readmissions, including (1</w:t>
      </w:r>
      <w:r w:rsidRPr="0047516E">
        <w:rPr>
          <w:rFonts w:ascii="Book Antiqua" w:eastAsia="Book Antiqua" w:hAnsi="Book Antiqua" w:cs="Book Antiqua"/>
          <w:color w:val="000000"/>
        </w:rPr>
        <w:t>) dea</w:t>
      </w:r>
      <w:r w:rsidR="00D34478" w:rsidRPr="0047516E">
        <w:rPr>
          <w:rFonts w:ascii="Book Antiqua" w:eastAsia="Book Antiqua" w:hAnsi="Book Antiqua" w:cs="Book Antiqua"/>
          <w:color w:val="000000"/>
        </w:rPr>
        <w:t xml:space="preserve">th during </w:t>
      </w:r>
      <w:r w:rsidR="00E24F72" w:rsidRPr="0047516E">
        <w:rPr>
          <w:rFonts w:ascii="Book Antiqua" w:eastAsia="Book Antiqua" w:hAnsi="Book Antiqua" w:cs="Book Antiqua"/>
          <w:color w:val="000000"/>
        </w:rPr>
        <w:t xml:space="preserve">the </w:t>
      </w:r>
      <w:r w:rsidR="00D34478" w:rsidRPr="0047516E">
        <w:rPr>
          <w:rFonts w:ascii="Book Antiqua" w:eastAsia="Book Antiqua" w:hAnsi="Book Antiqua" w:cs="Book Antiqua"/>
          <w:color w:val="000000"/>
        </w:rPr>
        <w:t>index admission, or (2</w:t>
      </w:r>
      <w:r w:rsidRPr="0047516E">
        <w:rPr>
          <w:rFonts w:ascii="Book Antiqua" w:eastAsia="Book Antiqua" w:hAnsi="Book Antiqua" w:cs="Book Antiqua"/>
          <w:color w:val="000000"/>
        </w:rPr>
        <w:t>) discharged in December 2013 since they c</w:t>
      </w:r>
      <w:r w:rsidR="00D34478" w:rsidRPr="0047516E">
        <w:rPr>
          <w:rFonts w:ascii="Book Antiqua" w:eastAsia="Book Antiqua" w:hAnsi="Book Antiqua" w:cs="Book Antiqua"/>
          <w:color w:val="000000"/>
        </w:rPr>
        <w:t>ould not be followed for</w:t>
      </w:r>
      <w:r w:rsidR="0047516E" w:rsidRPr="0047516E">
        <w:rPr>
          <w:rFonts w:ascii="Book Antiqua" w:eastAsia="Book Antiqua" w:hAnsi="Book Antiqua" w:cs="Book Antiqua"/>
          <w:color w:val="000000"/>
        </w:rPr>
        <w:t xml:space="preserve"> thirty days</w:t>
      </w:r>
      <w:r w:rsidRPr="0047516E">
        <w:rPr>
          <w:rFonts w:ascii="Book Antiqua" w:eastAsia="Book Antiqua" w:hAnsi="Book Antiqua" w:cs="Book Antiqua"/>
          <w:color w:val="000000"/>
        </w:rPr>
        <w:t>.</w:t>
      </w:r>
    </w:p>
    <w:p w14:paraId="67578866" w14:textId="7777777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Institutional Review Board approval is not necessary for a population-based public data set based on The Ohio State University Data and Specimen Policy and Human Subjects Research Policy.</w:t>
      </w:r>
    </w:p>
    <w:p w14:paraId="2418A6EB" w14:textId="77777777" w:rsidR="00A77B3E" w:rsidRPr="0047516E" w:rsidRDefault="00A77B3E" w:rsidP="0047516E">
      <w:pPr>
        <w:adjustRightInd w:val="0"/>
        <w:snapToGrid w:val="0"/>
        <w:spacing w:line="360" w:lineRule="auto"/>
        <w:jc w:val="both"/>
        <w:rPr>
          <w:rFonts w:ascii="Book Antiqua" w:hAnsi="Book Antiqua"/>
        </w:rPr>
      </w:pPr>
    </w:p>
    <w:p w14:paraId="60C8547E" w14:textId="0AA42282"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i/>
          <w:iCs/>
          <w:color w:val="000000"/>
        </w:rPr>
        <w:t xml:space="preserve">Patients and </w:t>
      </w:r>
      <w:r w:rsidR="00D34478" w:rsidRPr="0047516E">
        <w:rPr>
          <w:rFonts w:ascii="Book Antiqua" w:eastAsia="Book Antiqua" w:hAnsi="Book Antiqua" w:cs="Book Antiqua"/>
          <w:b/>
          <w:bCs/>
          <w:i/>
          <w:iCs/>
          <w:color w:val="000000"/>
        </w:rPr>
        <w:t>outcomes</w:t>
      </w:r>
    </w:p>
    <w:p w14:paraId="3F6705E8" w14:textId="17899428"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For each index admission, patient characteristics were gathered, including age, sex, median income quartile based on zip code, and insurance status based on primary payer (Medicaid, Medicare, private insurance, other) indicated on discharge record. Comorbidity classification was carried out using the Agency for Healthcare Research and Quality-Elixhauser Index classifying patients as having less than 3 or greater than or equal to 3 comorbidities for risk adjustment</w:t>
      </w:r>
      <w:r w:rsidRPr="0047516E">
        <w:rPr>
          <w:rFonts w:ascii="Book Antiqua" w:eastAsia="Book Antiqua" w:hAnsi="Book Antiqua" w:cs="Book Antiqua"/>
          <w:color w:val="000000"/>
          <w:vertAlign w:val="superscript"/>
        </w:rPr>
        <w:t>[8]</w:t>
      </w:r>
      <w:r w:rsidRPr="0047516E">
        <w:rPr>
          <w:rFonts w:ascii="Book Antiqua" w:eastAsia="Book Antiqua" w:hAnsi="Book Antiqua" w:cs="Book Antiqua"/>
          <w:color w:val="000000"/>
        </w:rPr>
        <w:t xml:space="preserve">. Hospital characteristics were also collected, including hospital size (small, </w:t>
      </w:r>
      <w:r w:rsidRPr="0047516E">
        <w:rPr>
          <w:rFonts w:ascii="Book Antiqua" w:eastAsia="Book Antiqua" w:hAnsi="Book Antiqua" w:cs="Book Antiqua"/>
          <w:color w:val="000000"/>
        </w:rPr>
        <w:lastRenderedPageBreak/>
        <w:t xml:space="preserve">medium, large) based on the </w:t>
      </w:r>
      <w:r w:rsidR="00570778" w:rsidRPr="0047516E">
        <w:rPr>
          <w:rFonts w:ascii="Book Antiqua" w:eastAsia="Book Antiqua" w:hAnsi="Book Antiqua" w:cs="Book Antiqua"/>
          <w:color w:val="000000"/>
        </w:rPr>
        <w:t>Healthcare Cost Utilization Project</w:t>
      </w:r>
      <w:r w:rsidRPr="0047516E">
        <w:rPr>
          <w:rFonts w:ascii="Book Antiqua" w:eastAsia="Book Antiqua" w:hAnsi="Book Antiqua" w:cs="Book Antiqua"/>
          <w:color w:val="000000"/>
        </w:rPr>
        <w:t xml:space="preserve"> developed algorithm and hospital location and teaching status as a single variable (rural, urban nonteaching, and urban teaching hospital). Lastly, length-of-stay was classified as less than or equal to 3 d, 3 to 7 d or greater than 7 d for index admission and disposition to home/home health/against medical advice</w:t>
      </w:r>
      <w:r w:rsidR="00BE61CA"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or other was indicated.</w:t>
      </w:r>
    </w:p>
    <w:p w14:paraId="6E5A7AA8" w14:textId="2E757321"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The primary outcome measures were calculated for each of the 13 conditions</w:t>
      </w:r>
      <w:r w:rsidR="00D34478" w:rsidRPr="0047516E">
        <w:rPr>
          <w:rFonts w:ascii="Book Antiqua" w:eastAsia="Book Antiqua" w:hAnsi="Book Antiqua" w:cs="Book Antiqua"/>
          <w:color w:val="000000"/>
        </w:rPr>
        <w:t xml:space="preserve">: total index admissions,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 mean length of stay, mean hospitalization cost of index hospitalization, and frequency and percent mortality at index admission and any subsequent admission during that calendar-year. The secondary ou</w:t>
      </w:r>
      <w:r w:rsidR="00D34478" w:rsidRPr="0047516E">
        <w:rPr>
          <w:rFonts w:ascii="Book Antiqua" w:eastAsia="Book Antiqua" w:hAnsi="Book Antiqua" w:cs="Book Antiqua"/>
          <w:color w:val="000000"/>
        </w:rPr>
        <w:t xml:space="preserve">tcomes were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readmissions for each of the most common GI and liver diseases.</w:t>
      </w:r>
    </w:p>
    <w:p w14:paraId="20208468" w14:textId="77777777" w:rsidR="00A77B3E" w:rsidRPr="0047516E" w:rsidRDefault="00A77B3E" w:rsidP="0047516E">
      <w:pPr>
        <w:adjustRightInd w:val="0"/>
        <w:snapToGrid w:val="0"/>
        <w:spacing w:line="360" w:lineRule="auto"/>
        <w:jc w:val="both"/>
        <w:rPr>
          <w:rFonts w:ascii="Book Antiqua" w:hAnsi="Book Antiqua"/>
        </w:rPr>
      </w:pPr>
    </w:p>
    <w:p w14:paraId="1A84498C" w14:textId="31BA1D4F"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i/>
          <w:iCs/>
          <w:color w:val="000000"/>
        </w:rPr>
        <w:t xml:space="preserve">Statistical </w:t>
      </w:r>
      <w:r w:rsidR="00D34478" w:rsidRPr="0047516E">
        <w:rPr>
          <w:rFonts w:ascii="Book Antiqua" w:eastAsia="Book Antiqua" w:hAnsi="Book Antiqua" w:cs="Book Antiqua"/>
          <w:b/>
          <w:bCs/>
          <w:i/>
          <w:iCs/>
          <w:color w:val="000000"/>
        </w:rPr>
        <w:t>analysis</w:t>
      </w:r>
    </w:p>
    <w:p w14:paraId="60064970" w14:textId="47BE1CFB"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Index admission characteristics, including the total number of admissions, mean length of stay, mean cost, and mortality rate were calculated for the 13 most common G</w:t>
      </w:r>
      <w:r w:rsidR="00D34478" w:rsidRPr="0047516E">
        <w:rPr>
          <w:rFonts w:ascii="Book Antiqua" w:eastAsia="Book Antiqua" w:hAnsi="Book Antiqua" w:cs="Book Antiqua"/>
          <w:color w:val="000000"/>
        </w:rPr>
        <w:t xml:space="preserve">I diseases in addition to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and calendar-year mortality rates; data were presented with their corresponding 95% confidence intervals. Thirteen different multivariable logistic regression models were fit </w:t>
      </w:r>
      <w:r w:rsidR="00D34478" w:rsidRPr="0047516E">
        <w:rPr>
          <w:rFonts w:ascii="Book Antiqua" w:eastAsia="Book Antiqua" w:hAnsi="Book Antiqua" w:cs="Book Antiqua"/>
          <w:color w:val="000000"/>
        </w:rPr>
        <w:t xml:space="preserve">to evaluate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for each of the most common GI and liver diseases. The models adjusted for all patient demographics and hospital characteristics and results were represented using odds ratios (ORs) and 95%</w:t>
      </w:r>
      <w:r w:rsidR="0025268E" w:rsidRPr="0047516E">
        <w:rPr>
          <w:rFonts w:ascii="Book Antiqua" w:eastAsia="Book Antiqua" w:hAnsi="Book Antiqua" w:cs="Book Antiqua"/>
          <w:color w:val="000000"/>
        </w:rPr>
        <w:t xml:space="preserve"> confidence intervals</w:t>
      </w:r>
      <w:r w:rsidRPr="0047516E">
        <w:rPr>
          <w:rFonts w:ascii="Book Antiqua" w:eastAsia="Book Antiqua" w:hAnsi="Book Antiqua" w:cs="Book Antiqua"/>
          <w:color w:val="000000"/>
        </w:rPr>
        <w:t>. To examine</w:t>
      </w:r>
      <w:r w:rsidR="009045D4" w:rsidRPr="0047516E">
        <w:rPr>
          <w:rFonts w:ascii="Book Antiqua" w:eastAsia="Book Antiqua" w:hAnsi="Book Antiqua" w:cs="Book Antiqua"/>
          <w:color w:val="000000"/>
        </w:rPr>
        <w:t xml:space="preserve"> the relationship between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and any subsequent mortality within the calendar-year, Pearson’s correlation (r) with corresponding significance was calculated. Statistical significance was defined by</w:t>
      </w:r>
      <w:r w:rsidRPr="0047516E">
        <w:rPr>
          <w:rFonts w:ascii="Book Antiqua" w:eastAsia="Book Antiqua" w:hAnsi="Book Antiqua" w:cs="Book Antiqua"/>
          <w:i/>
          <w:iCs/>
          <w:color w:val="000000"/>
        </w:rPr>
        <w:t xml:space="preserve"> </w:t>
      </w:r>
      <w:r w:rsidR="00DB1B35" w:rsidRPr="0047516E">
        <w:rPr>
          <w:rFonts w:ascii="Book Antiqua" w:eastAsia="Book Antiqua" w:hAnsi="Book Antiqua" w:cs="Book Antiqua"/>
          <w:i/>
          <w:iCs/>
          <w:color w:val="000000"/>
        </w:rPr>
        <w:t>P</w:t>
      </w:r>
      <w:r w:rsidR="00DB1B35"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&lt;</w:t>
      </w:r>
      <w:r w:rsidR="00DB1B35"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0.05. SAS 9.4 (SAS, Cary, NC</w:t>
      </w:r>
      <w:r w:rsidR="00AC5582">
        <w:rPr>
          <w:rFonts w:ascii="Book Antiqua" w:eastAsia="Book Antiqua" w:hAnsi="Book Antiqua" w:cs="Book Antiqua"/>
          <w:color w:val="000000"/>
        </w:rPr>
        <w:t>, United States</w:t>
      </w:r>
      <w:r w:rsidRPr="0047516E">
        <w:rPr>
          <w:rFonts w:ascii="Book Antiqua" w:eastAsia="Book Antiqua" w:hAnsi="Book Antiqua" w:cs="Book Antiqua"/>
          <w:color w:val="000000"/>
        </w:rPr>
        <w:t>) was used for all analyses. All results are weighted and account for the complex survey design to represent national estimates.</w:t>
      </w:r>
    </w:p>
    <w:bookmarkEnd w:id="26"/>
    <w:bookmarkEnd w:id="27"/>
    <w:p w14:paraId="6C3C35C3" w14:textId="77777777" w:rsidR="00A77B3E" w:rsidRPr="0047516E" w:rsidRDefault="00A77B3E" w:rsidP="0047516E">
      <w:pPr>
        <w:adjustRightInd w:val="0"/>
        <w:snapToGrid w:val="0"/>
        <w:spacing w:line="360" w:lineRule="auto"/>
        <w:jc w:val="both"/>
        <w:rPr>
          <w:rFonts w:ascii="Book Antiqua" w:hAnsi="Book Antiqua"/>
        </w:rPr>
      </w:pPr>
    </w:p>
    <w:p w14:paraId="5CE75F2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lastRenderedPageBreak/>
        <w:t>RESULTS</w:t>
      </w:r>
    </w:p>
    <w:p w14:paraId="3339D819" w14:textId="77777777" w:rsidR="00A77B3E" w:rsidRPr="0047516E" w:rsidRDefault="00722A3E" w:rsidP="0047516E">
      <w:pPr>
        <w:adjustRightInd w:val="0"/>
        <w:snapToGrid w:val="0"/>
        <w:spacing w:line="360" w:lineRule="auto"/>
        <w:jc w:val="both"/>
        <w:rPr>
          <w:rFonts w:ascii="Book Antiqua" w:hAnsi="Book Antiqua"/>
        </w:rPr>
      </w:pPr>
      <w:bookmarkStart w:id="29" w:name="OLE_LINK35"/>
      <w:r w:rsidRPr="0047516E">
        <w:rPr>
          <w:rFonts w:ascii="Book Antiqua" w:eastAsia="Book Antiqua" w:hAnsi="Book Antiqua" w:cs="Book Antiqua"/>
          <w:b/>
          <w:bCs/>
          <w:i/>
          <w:iCs/>
          <w:color w:val="000000"/>
        </w:rPr>
        <w:t>Healthcare resource utilization and mortality</w:t>
      </w:r>
    </w:p>
    <w:p w14:paraId="4D23FFC3" w14:textId="1C25A0F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The 13 most common GI diseases accounted for 2.4 million (m) index admissions in 2013</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with the most frequent being GI hemorrhage (0.47 m), cholelithiasis with cholecystitis (0.36 m)</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intestinal obstruction (0.24 m), and acute pancreatitis (0.22 m); (</w:t>
      </w:r>
      <w:bookmarkStart w:id="30" w:name="_Hlk60172974"/>
      <w:r w:rsidRPr="0047516E">
        <w:rPr>
          <w:rFonts w:ascii="Book Antiqua" w:eastAsia="Book Antiqua" w:hAnsi="Book Antiqua" w:cs="Book Antiqua"/>
          <w:color w:val="000000"/>
        </w:rPr>
        <w:t>Table 1</w:t>
      </w:r>
      <w:r w:rsidR="00692042" w:rsidRPr="0047516E">
        <w:rPr>
          <w:rFonts w:ascii="Book Antiqua" w:eastAsia="Book Antiqua" w:hAnsi="Book Antiqua" w:cs="Book Antiqua"/>
          <w:color w:val="000000"/>
        </w:rPr>
        <w:t xml:space="preserve"> and</w:t>
      </w:r>
      <w:r w:rsidRPr="0047516E">
        <w:rPr>
          <w:rFonts w:ascii="Book Antiqua" w:eastAsia="Book Antiqua" w:hAnsi="Book Antiqua" w:cs="Book Antiqua"/>
          <w:color w:val="000000"/>
        </w:rPr>
        <w:t xml:space="preserve"> Figure 2</w:t>
      </w:r>
      <w:bookmarkEnd w:id="30"/>
      <w:r w:rsidRPr="0047516E">
        <w:rPr>
          <w:rFonts w:ascii="Book Antiqua" w:eastAsia="Book Antiqua" w:hAnsi="Book Antiqua" w:cs="Book Antiqua"/>
          <w:color w:val="000000"/>
        </w:rPr>
        <w:t>). In total, this accounted for 25 billion dollars in healthcare-associated costs (</w:t>
      </w:r>
      <w:r w:rsidR="00692042" w:rsidRPr="0047516E">
        <w:rPr>
          <w:rFonts w:ascii="Book Antiqua" w:eastAsia="Book Antiqua" w:hAnsi="Book Antiqua" w:cs="Book Antiqua"/>
          <w:color w:val="000000"/>
        </w:rPr>
        <w:t>Table 1 and Figure 2</w:t>
      </w:r>
      <w:r w:rsidRPr="0047516E">
        <w:rPr>
          <w:rFonts w:ascii="Book Antiqua" w:eastAsia="Book Antiqua" w:hAnsi="Book Antiqua" w:cs="Book Antiqua"/>
          <w:color w:val="000000"/>
        </w:rPr>
        <w:t xml:space="preserve">). CLDs and viral hepatitis had the highest index and subsequent calendar-year hospitalization associated mortality rate (6.07% and 12.62%, respectively), followed by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(2.32% and 6.06%, respectively) and GI hemorrhage (2.32% an</w:t>
      </w:r>
      <w:r w:rsidR="00D34478" w:rsidRPr="0047516E">
        <w:rPr>
          <w:rFonts w:ascii="Book Antiqua" w:eastAsia="Book Antiqua" w:hAnsi="Book Antiqua" w:cs="Book Antiqua"/>
          <w:color w:val="000000"/>
        </w:rPr>
        <w:t>d 6.06%, respectively) (Table 1 and</w:t>
      </w:r>
      <w:r w:rsidRPr="0047516E">
        <w:rPr>
          <w:rFonts w:ascii="Book Antiqua" w:eastAsia="Book Antiqua" w:hAnsi="Book Antiqua" w:cs="Book Antiqua"/>
          <w:color w:val="000000"/>
        </w:rPr>
        <w:t xml:space="preserve"> Figure 2). Together, CLD and viral hepatitis, GI hemorrhage,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and intestinal obstruction accounted for 81.6% of all index hospitalization mortality and 76.8% of all subsequent hospitalization</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related mortality (one-calendar year)</w:t>
      </w:r>
      <w:r w:rsidR="00692042"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Figure 2</w:t>
      </w:r>
      <w:r w:rsidR="00692042" w:rsidRPr="0047516E">
        <w:rPr>
          <w:rFonts w:ascii="Book Antiqua" w:eastAsia="Book Antiqua" w:hAnsi="Book Antiqua" w:cs="Book Antiqua"/>
          <w:color w:val="000000"/>
        </w:rPr>
        <w:t>)</w:t>
      </w:r>
      <w:r w:rsidRPr="0047516E">
        <w:rPr>
          <w:rFonts w:ascii="Book Antiqua" w:eastAsia="Book Antiqua" w:hAnsi="Book Antiqua" w:cs="Book Antiqua"/>
          <w:bCs/>
          <w:color w:val="000000"/>
        </w:rPr>
        <w:t>.</w:t>
      </w:r>
      <w:r w:rsidRPr="0047516E">
        <w:rPr>
          <w:rFonts w:ascii="Book Antiqua" w:eastAsia="Book Antiqua" w:hAnsi="Book Antiqua" w:cs="Book Antiqua"/>
          <w:color w:val="000000"/>
        </w:rPr>
        <w:t xml:space="preserve"> CLDs and viral hepatitis and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experienced the most prolonged mean duration of index hospitalization of 6 d (Table 1). Obesity and CLDs incurred the highest cost of index hospitalization (Table 1).</w:t>
      </w:r>
    </w:p>
    <w:p w14:paraId="7917BD05" w14:textId="77777777" w:rsidR="00A77B3E" w:rsidRPr="0047516E" w:rsidRDefault="00A77B3E" w:rsidP="0047516E">
      <w:pPr>
        <w:adjustRightInd w:val="0"/>
        <w:snapToGrid w:val="0"/>
        <w:spacing w:line="360" w:lineRule="auto"/>
        <w:jc w:val="both"/>
        <w:rPr>
          <w:rFonts w:ascii="Book Antiqua" w:hAnsi="Book Antiqua"/>
        </w:rPr>
      </w:pPr>
    </w:p>
    <w:p w14:paraId="1EBB5936" w14:textId="32FF3DB8" w:rsidR="00A77B3E" w:rsidRPr="0047516E" w:rsidRDefault="0047516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Thirty days</w:t>
      </w:r>
      <w:r w:rsidRPr="0047516E">
        <w:rPr>
          <w:rFonts w:ascii="Book Antiqua" w:eastAsia="Book Antiqua" w:hAnsi="Book Antiqua" w:cs="Book Antiqua"/>
          <w:b/>
          <w:bCs/>
          <w:i/>
          <w:iCs/>
          <w:color w:val="000000"/>
        </w:rPr>
        <w:t xml:space="preserve"> </w:t>
      </w:r>
      <w:r w:rsidR="00722A3E" w:rsidRPr="0047516E">
        <w:rPr>
          <w:rFonts w:ascii="Book Antiqua" w:eastAsia="Book Antiqua" w:hAnsi="Book Antiqua" w:cs="Book Antiqua"/>
          <w:b/>
          <w:bCs/>
          <w:i/>
          <w:iCs/>
          <w:color w:val="000000"/>
        </w:rPr>
        <w:t>readmissions</w:t>
      </w:r>
    </w:p>
    <w:p w14:paraId="145A31C7" w14:textId="6B69BC2C"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The </w:t>
      </w:r>
      <w:r w:rsidR="00D34478" w:rsidRPr="0047516E">
        <w:rPr>
          <w:rFonts w:ascii="Book Antiqua" w:eastAsia="Book Antiqua" w:hAnsi="Book Antiqua" w:cs="Book Antiqua"/>
          <w:color w:val="000000"/>
        </w:rPr>
        <w:t xml:space="preserve">diseases with the highest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were CLDs and viral hepatitis (25.40%),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(23.64%), and functional/motility disorders (18.51%), Figure 3.</w:t>
      </w:r>
      <w:r w:rsidR="00D34478" w:rsidRPr="0047516E">
        <w:rPr>
          <w:rFonts w:ascii="Book Antiqua" w:eastAsia="Book Antiqua" w:hAnsi="Book Antiqua" w:cs="Book Antiqua"/>
          <w:color w:val="000000"/>
        </w:rPr>
        <w:t xml:space="preserve"> Multivariable models for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after admission for each of the most common </w:t>
      </w:r>
      <w:r w:rsidR="00D34478" w:rsidRPr="0047516E">
        <w:rPr>
          <w:rFonts w:ascii="Book Antiqua" w:eastAsia="Book Antiqua" w:hAnsi="Book Antiqua" w:cs="Book Antiqua"/>
          <w:color w:val="000000"/>
        </w:rPr>
        <w:t>GI and liver diseases (Figure 4 and</w:t>
      </w:r>
      <w:r w:rsidRPr="0047516E">
        <w:rPr>
          <w:rFonts w:ascii="Book Antiqua" w:eastAsia="Book Antiqua" w:hAnsi="Book Antiqua" w:cs="Book Antiqua"/>
          <w:color w:val="000000"/>
        </w:rPr>
        <w:t xml:space="preserve"> Supplementary Table</w:t>
      </w:r>
      <w:r w:rsidR="00553C71" w:rsidRPr="0047516E">
        <w:rPr>
          <w:rFonts w:ascii="Book Antiqua" w:eastAsia="Book Antiqua" w:hAnsi="Book Antiqua" w:cs="Book Antiqua"/>
          <w:color w:val="000000"/>
        </w:rPr>
        <w:t>s</w:t>
      </w:r>
      <w:r w:rsidRPr="0047516E">
        <w:rPr>
          <w:rFonts w:ascii="Book Antiqua" w:eastAsia="Book Antiqua" w:hAnsi="Book Antiqua" w:cs="Book Antiqua"/>
          <w:color w:val="000000"/>
        </w:rPr>
        <w:t xml:space="preserve"> 2</w:t>
      </w:r>
      <w:r w:rsidR="00553C71" w:rsidRPr="0047516E">
        <w:rPr>
          <w:rFonts w:ascii="Book Antiqua" w:eastAsia="Book Antiqua" w:hAnsi="Book Antiqua" w:cs="Book Antiqua"/>
          <w:color w:val="000000"/>
        </w:rPr>
        <w:t>-5</w:t>
      </w:r>
      <w:r w:rsidRPr="0047516E">
        <w:rPr>
          <w:rFonts w:ascii="Book Antiqua" w:eastAsia="Book Antiqua" w:hAnsi="Book Antiqua" w:cs="Book Antiqua"/>
          <w:color w:val="000000"/>
        </w:rPr>
        <w:t xml:space="preserve">) revealed that Medicare (OR range: 1.19-1.81) and Medicaid (OR range: 1.16-1.66) insurance, </w:t>
      </w:r>
      <w:r w:rsidR="00BE61CA" w:rsidRPr="0047516E">
        <w:rPr>
          <w:rFonts w:ascii="Book Antiqua" w:eastAsia="Book Antiqua" w:hAnsi="Book Antiqua" w:cs="Book Antiqua"/>
          <w:color w:val="000000"/>
        </w:rPr>
        <w:t>Agency for Healthcare Research and Quality</w:t>
      </w:r>
      <w:r w:rsidRPr="0047516E">
        <w:rPr>
          <w:rFonts w:ascii="Book Antiqua" w:eastAsia="Book Antiqua" w:hAnsi="Book Antiqua" w:cs="Book Antiqua"/>
          <w:color w:val="000000"/>
        </w:rPr>
        <w:t xml:space="preserve">-Elixhauser Index of 3 or greater (OR range: 1.18-1.75) and hospitalization duration greater than 3 d (OR: 1.05-5.78) were associated with early readmissions. Compared to younger age groups (≤ 40 years), increasing age was associated </w:t>
      </w:r>
      <w:r w:rsidR="00D34478" w:rsidRPr="0047516E">
        <w:rPr>
          <w:rFonts w:ascii="Book Antiqua" w:eastAsia="Book Antiqua" w:hAnsi="Book Antiqua" w:cs="Book Antiqua"/>
          <w:color w:val="000000"/>
        </w:rPr>
        <w:t xml:space="preserve">with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readmissions for diverticulitis without hemorrhage, cholelithiasis with </w:t>
      </w:r>
      <w:r w:rsidRPr="0047516E">
        <w:rPr>
          <w:rFonts w:ascii="Book Antiqua" w:eastAsia="Book Antiqua" w:hAnsi="Book Antiqua" w:cs="Book Antiqua"/>
          <w:color w:val="000000"/>
        </w:rPr>
        <w:lastRenderedPageBreak/>
        <w:t>cholecystitis, and CLD and viral hepatitis. Disposition of patients to other than home or home-health was associated with early readmissions for GI hemorrhage, cholelithiasis with cholecystitis, acute pancreatitis, diverticulitis without hemorrhage, GI infection, and IBD (Figure 4).</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In addition, there was a strong positive correlation (</w:t>
      </w:r>
      <w:r w:rsidRPr="0047516E">
        <w:rPr>
          <w:rFonts w:ascii="Book Antiqua" w:eastAsia="Book Antiqua" w:hAnsi="Book Antiqua" w:cs="Book Antiqua"/>
          <w:i/>
          <w:iCs/>
          <w:color w:val="000000"/>
        </w:rPr>
        <w:t>r</w:t>
      </w:r>
      <w:r w:rsidR="00D34478" w:rsidRPr="0047516E">
        <w:rPr>
          <w:rFonts w:ascii="Book Antiqua" w:eastAsia="Book Antiqua" w:hAnsi="Book Antiqua" w:cs="Book Antiqua"/>
          <w:color w:val="000000"/>
        </w:rPr>
        <w:t xml:space="preserve"> = 0.798) between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 and subsequent mortality (</w:t>
      </w:r>
      <w:r w:rsidRPr="0047516E">
        <w:rPr>
          <w:rFonts w:ascii="Book Antiqua" w:eastAsia="Book Antiqua" w:hAnsi="Book Antiqua" w:cs="Book Antiqua"/>
          <w:i/>
          <w:iCs/>
          <w:color w:val="000000"/>
        </w:rPr>
        <w:t>P</w:t>
      </w:r>
      <w:r w:rsidRPr="0047516E">
        <w:rPr>
          <w:rFonts w:ascii="Book Antiqua" w:eastAsia="Book Antiqua" w:hAnsi="Book Antiqua" w:cs="Book Antiqua"/>
          <w:color w:val="000000"/>
        </w:rPr>
        <w:t xml:space="preserve"> = 0.001; </w:t>
      </w:r>
      <w:r w:rsidR="00C64408" w:rsidRPr="0047516E">
        <w:rPr>
          <w:rFonts w:ascii="Book Antiqua" w:eastAsia="Book Antiqua" w:hAnsi="Book Antiqua" w:cs="Book Antiqua"/>
          <w:color w:val="000000"/>
        </w:rPr>
        <w:t>Supplementary Figure 1</w:t>
      </w:r>
      <w:r w:rsidRPr="0047516E">
        <w:rPr>
          <w:rFonts w:ascii="Book Antiqua" w:eastAsia="Book Antiqua" w:hAnsi="Book Antiqua" w:cs="Book Antiqua"/>
          <w:color w:val="000000"/>
        </w:rPr>
        <w:t>).</w:t>
      </w:r>
    </w:p>
    <w:bookmarkEnd w:id="29"/>
    <w:p w14:paraId="63346BDE" w14:textId="77777777" w:rsidR="00A77B3E" w:rsidRPr="0047516E" w:rsidRDefault="00A77B3E" w:rsidP="0047516E">
      <w:pPr>
        <w:adjustRightInd w:val="0"/>
        <w:snapToGrid w:val="0"/>
        <w:spacing w:line="360" w:lineRule="auto"/>
        <w:jc w:val="both"/>
        <w:rPr>
          <w:rFonts w:ascii="Book Antiqua" w:hAnsi="Book Antiqua"/>
        </w:rPr>
      </w:pPr>
    </w:p>
    <w:p w14:paraId="6D1B15E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t>DISCUSSION</w:t>
      </w:r>
    </w:p>
    <w:p w14:paraId="6C18B55F" w14:textId="107EA6AC" w:rsidR="00A77B3E" w:rsidRPr="0047516E" w:rsidRDefault="00722A3E" w:rsidP="0047516E">
      <w:pPr>
        <w:adjustRightInd w:val="0"/>
        <w:snapToGrid w:val="0"/>
        <w:spacing w:line="360" w:lineRule="auto"/>
        <w:jc w:val="both"/>
        <w:rPr>
          <w:rFonts w:ascii="Book Antiqua" w:hAnsi="Book Antiqua"/>
        </w:rPr>
      </w:pPr>
      <w:bookmarkStart w:id="31" w:name="OLE_LINK36"/>
      <w:bookmarkStart w:id="32" w:name="OLE_LINK37"/>
      <w:r w:rsidRPr="0047516E">
        <w:rPr>
          <w:rFonts w:ascii="Book Antiqua" w:eastAsia="Book Antiqua" w:hAnsi="Book Antiqua" w:cs="Book Antiqua"/>
          <w:color w:val="000000"/>
        </w:rPr>
        <w:t xml:space="preserve">In this analysis of a national inpatient database, we found that emergent conditions such as GI hemorrhage, cholecystitis due to cholelithiasis, intestinal obstruction, and acute pancreatitis were most frequent and accounted for nearly 60% of all index hospitalizations. In terms of inpatient deaths, CLD and GI bleeding together contributed to approximately 60% of index hospitalization and readmission-related mortality. Notably, the mortality rate due to CLD and viral hepatitis during index and subsequent admissions was more than twice higher than any other disease state. Unfortunately, mortality rates due to acute reversible disorders such as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and GI hemorrhage, albeit elevated, nearly tripled during subsequent hospitalizations (from 2% to 5</w:t>
      </w:r>
      <w:r w:rsidR="00692042" w:rsidRPr="0047516E">
        <w:rPr>
          <w:rFonts w:ascii="Book Antiqua" w:eastAsia="Book Antiqua" w:hAnsi="Book Antiqua" w:cs="Book Antiqua"/>
          <w:color w:val="000000"/>
        </w:rPr>
        <w:t>%</w:t>
      </w:r>
      <w:r w:rsidRPr="0047516E">
        <w:rPr>
          <w:rFonts w:ascii="Book Antiqua" w:eastAsia="Book Antiqua" w:hAnsi="Book Antiqua" w:cs="Book Antiqua"/>
          <w:color w:val="000000"/>
        </w:rPr>
        <w:t>-6</w:t>
      </w:r>
      <w:bookmarkStart w:id="33" w:name="_Hlk60173200"/>
      <w:r w:rsidRPr="0047516E">
        <w:rPr>
          <w:rFonts w:ascii="Book Antiqua" w:eastAsia="Book Antiqua" w:hAnsi="Book Antiqua" w:cs="Book Antiqua"/>
          <w:color w:val="000000"/>
        </w:rPr>
        <w:t>%</w:t>
      </w:r>
      <w:bookmarkEnd w:id="33"/>
      <w:r w:rsidRPr="0047516E">
        <w:rPr>
          <w:rFonts w:ascii="Book Antiqua" w:eastAsia="Book Antiqua" w:hAnsi="Book Antiqua" w:cs="Book Antiqua"/>
          <w:color w:val="000000"/>
        </w:rPr>
        <w:t xml:space="preserve"> of admissions). While chronic GI diseases such as those involving the liver, functional/motility di</w:t>
      </w:r>
      <w:r w:rsidR="00D34478" w:rsidRPr="0047516E">
        <w:rPr>
          <w:rFonts w:ascii="Book Antiqua" w:eastAsia="Book Antiqua" w:hAnsi="Book Antiqua" w:cs="Book Antiqua"/>
          <w:color w:val="000000"/>
        </w:rPr>
        <w:t xml:space="preserve">sorders, and IBD had high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(15</w:t>
      </w:r>
      <w:r w:rsidR="00692042" w:rsidRPr="0047516E">
        <w:rPr>
          <w:rFonts w:ascii="Book Antiqua" w:eastAsia="Book Antiqua" w:hAnsi="Book Antiqua" w:cs="Book Antiqua"/>
          <w:color w:val="000000"/>
        </w:rPr>
        <w:t>%</w:t>
      </w:r>
      <w:r w:rsidRPr="0047516E">
        <w:rPr>
          <w:rFonts w:ascii="Book Antiqua" w:eastAsia="Book Antiqua" w:hAnsi="Book Antiqua" w:cs="Book Antiqua"/>
          <w:color w:val="000000"/>
        </w:rPr>
        <w:t>-25%), a significant opportunity existed to decrease readmission rates (13</w:t>
      </w:r>
      <w:r w:rsidR="0069204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-23%) in preventable and non-chronic GI diseases such as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GI hemorrhage, and acute pancreatitis. In addit</w:t>
      </w:r>
      <w:r w:rsidR="00D34478" w:rsidRPr="0047516E">
        <w:rPr>
          <w:rFonts w:ascii="Book Antiqua" w:eastAsia="Book Antiqua" w:hAnsi="Book Antiqua" w:cs="Book Antiqua"/>
          <w:color w:val="000000"/>
        </w:rPr>
        <w:t xml:space="preserve">ion, readmissions within </w:t>
      </w:r>
      <w:r w:rsidR="0047516E" w:rsidRPr="0047516E">
        <w:rPr>
          <w:rFonts w:ascii="Book Antiqua" w:eastAsia="Book Antiqua" w:hAnsi="Book Antiqua" w:cs="Book Antiqua"/>
          <w:color w:val="000000"/>
        </w:rPr>
        <w:t xml:space="preserve">thirty days </w:t>
      </w:r>
      <w:r w:rsidRPr="0047516E">
        <w:rPr>
          <w:rFonts w:ascii="Book Antiqua" w:eastAsia="Book Antiqua" w:hAnsi="Book Antiqua" w:cs="Book Antiqua"/>
          <w:color w:val="000000"/>
        </w:rPr>
        <w:t>correlated with increasing rates of mortality during subsequent hospitalizations in the same calendar-year.</w:t>
      </w:r>
    </w:p>
    <w:p w14:paraId="0AF2F926" w14:textId="24F97DCF"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 xml:space="preserve">Gastrointestinal hemorrhage, CLD and viral hepatitis, intestinal obstruction, and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attributed to an alarming 81.64% of all index admission mortality and 76.77% of all subsequent admission mortality. The mortality associated with CLD and viral hepatitis was the highest among the GI diseases </w:t>
      </w:r>
      <w:r w:rsidRPr="0047516E">
        <w:rPr>
          <w:rFonts w:ascii="Book Antiqua" w:eastAsia="Book Antiqua" w:hAnsi="Book Antiqua" w:cs="Book Antiqua"/>
          <w:color w:val="000000"/>
        </w:rPr>
        <w:lastRenderedPageBreak/>
        <w:t>examined at 6.07% of index admissions and 12.62% at any subsequent hospitalization. Medical complications following a diagnosis of liver disease are well known, including decompensated cirrhosis, fulminant liver failure, hepatocellular carcinoma, sepsis, acute renal failure, variceal bleeding, and hepatic encephalopathy</w:t>
      </w:r>
      <w:r w:rsidRPr="0047516E">
        <w:rPr>
          <w:rFonts w:ascii="Book Antiqua" w:eastAsia="Book Antiqua" w:hAnsi="Book Antiqua" w:cs="Book Antiqua"/>
          <w:color w:val="000000"/>
          <w:vertAlign w:val="superscript"/>
        </w:rPr>
        <w:t>[9]</w:t>
      </w:r>
      <w:r w:rsidRPr="0047516E">
        <w:rPr>
          <w:rFonts w:ascii="Book Antiqua" w:eastAsia="Book Antiqua" w:hAnsi="Book Antiqua" w:cs="Book Antiqua"/>
          <w:color w:val="000000"/>
        </w:rPr>
        <w:t xml:space="preserve">. The overall mortality burden from CLD and viral hepatitis are expected to continue to increase. In the case of cirrhosis, observational studies have demonstrated a higher burden of mortality with </w:t>
      </w:r>
      <w:r w:rsidR="00D6361D" w:rsidRPr="0047516E">
        <w:rPr>
          <w:rFonts w:ascii="Book Antiqua" w:eastAsia="Book Antiqua" w:hAnsi="Book Antiqua" w:cs="Book Antiqua"/>
          <w:color w:val="000000"/>
        </w:rPr>
        <w:t>United States</w:t>
      </w:r>
      <w:r w:rsidRPr="0047516E">
        <w:rPr>
          <w:rFonts w:ascii="Book Antiqua" w:eastAsia="Book Antiqua" w:hAnsi="Book Antiqua" w:cs="Book Antiqua"/>
          <w:color w:val="000000"/>
        </w:rPr>
        <w:t xml:space="preserve"> annual deaths from cirrhosis increased by 65% from 1999 to 2016</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w:t>
      </w:r>
      <w:r w:rsidR="00E24F72" w:rsidRPr="0047516E">
        <w:rPr>
          <w:rFonts w:ascii="Book Antiqua" w:eastAsia="Book Antiqua" w:hAnsi="Book Antiqua" w:cs="Book Antiqua"/>
          <w:color w:val="000000"/>
        </w:rPr>
        <w:t>l</w:t>
      </w:r>
      <w:r w:rsidRPr="0047516E">
        <w:rPr>
          <w:rFonts w:ascii="Book Antiqua" w:eastAsia="Book Antiqua" w:hAnsi="Book Antiqua" w:cs="Book Antiqua"/>
          <w:color w:val="000000"/>
        </w:rPr>
        <w:t>argely driven due to alcoholic cirrhosis and NAFLD</w:t>
      </w:r>
      <w:r w:rsidRPr="0047516E">
        <w:rPr>
          <w:rFonts w:ascii="Book Antiqua" w:eastAsia="Book Antiqua" w:hAnsi="Book Antiqua" w:cs="Book Antiqua"/>
          <w:color w:val="000000"/>
          <w:vertAlign w:val="superscript"/>
        </w:rPr>
        <w:t>[10,11]</w:t>
      </w:r>
      <w:r w:rsidRPr="0047516E">
        <w:rPr>
          <w:rFonts w:ascii="Book Antiqua" w:eastAsia="Book Antiqua" w:hAnsi="Book Antiqua" w:cs="Book Antiqua"/>
          <w:color w:val="000000"/>
        </w:rPr>
        <w:t>. Similarly, an assessment of the global burden of viral hepatitis from the global burden of disease study 2013 also demonstrated global viral hepatitis deaths increased from 0.89 million to 1.45 million, an increase far outpacing other communicable diseases</w:t>
      </w:r>
      <w:r w:rsidRPr="0047516E">
        <w:rPr>
          <w:rFonts w:ascii="Book Antiqua" w:eastAsia="Book Antiqua" w:hAnsi="Book Antiqua" w:cs="Book Antiqua"/>
          <w:color w:val="000000"/>
          <w:vertAlign w:val="superscript"/>
        </w:rPr>
        <w:t>[12]</w:t>
      </w:r>
      <w:r w:rsidRPr="0047516E">
        <w:rPr>
          <w:rFonts w:ascii="Book Antiqua" w:eastAsia="Book Antiqua" w:hAnsi="Book Antiqua" w:cs="Book Antiqua"/>
          <w:color w:val="000000"/>
        </w:rPr>
        <w:t>. Hospitalizations with a primary diagnosis of GI hemorrhage accounted for 1 of 5 index admissions and 1 of 3 deaths at index or subsequent (same calendar-year) hospitalization. The mortality rate for GI hemorrhage was amongst the highest, notably incurring twice the index mortality rate at any subsequent hospitalization within one-calendar year. Our study encompassed all categories of GI bleed and did not distinguish between the types and sources of GI bleed. A review of the primary literature revealed similarly high mortality rates in other studies. In-hospital mortality rates for non-variceal Upper GI hemorrhage were approximately 2.1% in a 2009 nationwide database analysis</w:t>
      </w:r>
      <w:r w:rsidRPr="0047516E">
        <w:rPr>
          <w:rFonts w:ascii="Book Antiqua" w:eastAsia="Book Antiqua" w:hAnsi="Book Antiqua" w:cs="Book Antiqua"/>
          <w:color w:val="000000"/>
          <w:vertAlign w:val="superscript"/>
        </w:rPr>
        <w:t>[13]</w:t>
      </w:r>
      <w:r w:rsidRPr="0047516E">
        <w:rPr>
          <w:rFonts w:ascii="Book Antiqua" w:eastAsia="Book Antiqua" w:hAnsi="Book Antiqua" w:cs="Book Antiqua"/>
          <w:color w:val="000000"/>
        </w:rPr>
        <w:t>.</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A nationwide study of lower GI bleeding in the </w:t>
      </w:r>
      <w:r w:rsidR="009D4243" w:rsidRPr="0047516E">
        <w:rPr>
          <w:rFonts w:ascii="Book Antiqua" w:eastAsia="Book Antiqua" w:hAnsi="Book Antiqua" w:cs="Book Antiqua"/>
          <w:color w:val="000000"/>
        </w:rPr>
        <w:t>United Kingdom</w:t>
      </w:r>
      <w:r w:rsidRPr="0047516E">
        <w:rPr>
          <w:rFonts w:ascii="Book Antiqua" w:eastAsia="Book Antiqua" w:hAnsi="Book Antiqua" w:cs="Book Antiqua"/>
          <w:color w:val="000000"/>
        </w:rPr>
        <w:t xml:space="preserve"> revealed in-hospital mortality of 3.4% with a 7.0% subsequent readmission mortality rate, and these findings are comparable to our study</w:t>
      </w:r>
      <w:r w:rsidRPr="0047516E">
        <w:rPr>
          <w:rFonts w:ascii="Book Antiqua" w:eastAsia="Book Antiqua" w:hAnsi="Book Antiqua" w:cs="Book Antiqua"/>
          <w:color w:val="000000"/>
          <w:vertAlign w:val="superscript"/>
        </w:rPr>
        <w:t>[14]</w:t>
      </w:r>
      <w:r w:rsidRPr="0047516E">
        <w:rPr>
          <w:rFonts w:ascii="Book Antiqua" w:eastAsia="Book Antiqua" w:hAnsi="Book Antiqua" w:cs="Book Antiqua"/>
          <w:color w:val="000000"/>
        </w:rPr>
        <w:t xml:space="preserve">. Another alarming finding is the high mortality rates of </w:t>
      </w:r>
      <w:r w:rsidRPr="0047516E">
        <w:rPr>
          <w:rFonts w:ascii="Book Antiqua" w:eastAsia="Book Antiqua" w:hAnsi="Book Antiqua" w:cs="Book Antiqua"/>
          <w:i/>
          <w:color w:val="000000"/>
        </w:rPr>
        <w:t xml:space="preserve">C.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infection. Mortality is initially at 2.32% for index admission; however, mortality quickly jumps to 6.06% for readmissions. The high morbidity and mortality associated with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infections are well known</w:t>
      </w:r>
      <w:r w:rsidRPr="0047516E">
        <w:rPr>
          <w:rFonts w:ascii="Book Antiqua" w:eastAsia="Book Antiqua" w:hAnsi="Book Antiqua" w:cs="Book Antiqua"/>
          <w:color w:val="000000"/>
          <w:vertAlign w:val="superscript"/>
        </w:rPr>
        <w:t>[15,16]</w:t>
      </w:r>
      <w:r w:rsidRPr="0047516E">
        <w:rPr>
          <w:rFonts w:ascii="Book Antiqua" w:eastAsia="Book Antiqua" w:hAnsi="Book Antiqua" w:cs="Book Antiqua"/>
          <w:color w:val="000000"/>
        </w:rPr>
        <w:t>. Prior studies of the nationwide inpatient sample from 1993-2003 revealed a case fatality rate of around 3</w:t>
      </w:r>
      <w:r w:rsidR="00D6361D"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-4% for discharged patients with a primary diagnosis of </w:t>
      </w:r>
      <w:r w:rsidRPr="0047516E">
        <w:rPr>
          <w:rFonts w:ascii="Book Antiqua" w:eastAsia="Book Antiqua" w:hAnsi="Book Antiqua" w:cs="Book Antiqua"/>
          <w:i/>
          <w:color w:val="000000"/>
        </w:rPr>
        <w:t>C.</w:t>
      </w:r>
      <w:r w:rsidRPr="0047516E">
        <w:rPr>
          <w:rFonts w:ascii="Book Antiqua" w:eastAsia="Book Antiqua" w:hAnsi="Book Antiqua" w:cs="Book Antiqua"/>
          <w:color w:val="000000"/>
        </w:rPr>
        <w:t xml:space="preserve">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vertAlign w:val="superscript"/>
        </w:rPr>
        <w:t>[17]</w:t>
      </w:r>
      <w:r w:rsidRPr="0047516E">
        <w:rPr>
          <w:rFonts w:ascii="Book Antiqua" w:eastAsia="Book Antiqua" w:hAnsi="Book Antiqua" w:cs="Book Antiqua"/>
          <w:color w:val="000000"/>
        </w:rPr>
        <w:t xml:space="preserve">. The high initial and subsequent </w:t>
      </w:r>
      <w:r w:rsidRPr="0047516E">
        <w:rPr>
          <w:rFonts w:ascii="Book Antiqua" w:eastAsia="Book Antiqua" w:hAnsi="Book Antiqua" w:cs="Book Antiqua"/>
          <w:color w:val="000000"/>
        </w:rPr>
        <w:lastRenderedPageBreak/>
        <w:t>mortality rates for preventable and non-chronic GI disease</w:t>
      </w:r>
      <w:r w:rsidR="00E24F72" w:rsidRPr="0047516E">
        <w:rPr>
          <w:rFonts w:ascii="Book Antiqua" w:eastAsia="Book Antiqua" w:hAnsi="Book Antiqua" w:cs="Book Antiqua"/>
          <w:color w:val="000000"/>
        </w:rPr>
        <w:t>s</w:t>
      </w:r>
      <w:r w:rsidRPr="0047516E">
        <w:rPr>
          <w:rFonts w:ascii="Book Antiqua" w:eastAsia="Book Antiqua" w:hAnsi="Book Antiqua" w:cs="Book Antiqua"/>
          <w:color w:val="000000"/>
        </w:rPr>
        <w:t xml:space="preserve"> such as </w:t>
      </w:r>
      <w:r w:rsidRPr="0047516E">
        <w:rPr>
          <w:rFonts w:ascii="Book Antiqua" w:eastAsia="Book Antiqua" w:hAnsi="Book Antiqua" w:cs="Book Antiqua"/>
          <w:i/>
          <w:color w:val="000000"/>
        </w:rPr>
        <w:t xml:space="preserve">C.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and GI bleeding underscore a key opportunity for providers to focus on preventative care to reduce initial and subsequent readmissions.</w:t>
      </w:r>
    </w:p>
    <w:p w14:paraId="2855DF97" w14:textId="12E032C1"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Costs for hospitalizations with GI diseases are significant. Mea</w:t>
      </w:r>
      <w:r w:rsidR="00D34478" w:rsidRPr="0047516E">
        <w:rPr>
          <w:rFonts w:ascii="Book Antiqua" w:eastAsia="Book Antiqua" w:hAnsi="Book Antiqua" w:cs="Book Antiqua"/>
          <w:color w:val="000000"/>
        </w:rPr>
        <w:t>n index admission costs are $15</w:t>
      </w:r>
      <w:r w:rsidRPr="0047516E">
        <w:rPr>
          <w:rFonts w:ascii="Book Antiqua" w:eastAsia="Book Antiqua" w:hAnsi="Book Antiqua" w:cs="Book Antiqua"/>
          <w:color w:val="000000"/>
        </w:rPr>
        <w:t xml:space="preserve">000 for CLD and viral hepatitis, $12000 for cholelithiasis with cholecystitis, and $10000 for preventable GI diseases such as GI hemorrhage, </w:t>
      </w:r>
      <w:r w:rsidRPr="0047516E">
        <w:rPr>
          <w:rFonts w:ascii="Book Antiqua" w:eastAsia="Book Antiqua" w:hAnsi="Book Antiqua" w:cs="Book Antiqua"/>
          <w:i/>
          <w:color w:val="000000"/>
        </w:rPr>
        <w:t>C.</w:t>
      </w:r>
      <w:r w:rsidRPr="0047516E">
        <w:rPr>
          <w:rFonts w:ascii="Book Antiqua" w:eastAsia="Book Antiqua" w:hAnsi="Book Antiqua" w:cs="Book Antiqua"/>
          <w:color w:val="000000"/>
        </w:rPr>
        <w:t xml:space="preserve">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infection and acute pancreatitis. In comparison, the average hospitalization costs were $8000 for chronic obstructive pulmonary disease</w:t>
      </w:r>
      <w:r w:rsidR="001B1B9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exacerbation, $10000 for Pneumonia, and $11000 for congestive heart failure exacerbation (CHF) in 2013 adjusted dollars</w:t>
      </w:r>
      <w:r w:rsidRPr="0047516E">
        <w:rPr>
          <w:rFonts w:ascii="Book Antiqua" w:eastAsia="Book Antiqua" w:hAnsi="Book Antiqua" w:cs="Book Antiqua"/>
          <w:color w:val="000000"/>
          <w:vertAlign w:val="superscript"/>
        </w:rPr>
        <w:t>[18]</w:t>
      </w:r>
      <w:r w:rsidRPr="0047516E">
        <w:rPr>
          <w:rFonts w:ascii="Book Antiqua" w:eastAsia="Book Antiqua" w:hAnsi="Book Antiqua" w:cs="Book Antiqua"/>
          <w:color w:val="000000"/>
        </w:rPr>
        <w:t xml:space="preserve">. Total index admission costs for GI hemorrhage were $4.6 billion, followed by $4.2 billion in cholelithiasis with cholecystitis. Total costs for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xml:space="preserve"> infection in index admissions were approximately $1 billion and $2.4 billion for CLD and viral hepatitis, whereas, in large part due to sheer numbers, total index admissions cost was roughly $10 billion each for pneumonia and CHF exacerbations.</w:t>
      </w:r>
    </w:p>
    <w:p w14:paraId="28EBD8BD" w14:textId="3F995BF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The average national length of stay is approximately 4.5 d</w:t>
      </w:r>
      <w:r w:rsidRPr="0047516E">
        <w:rPr>
          <w:rFonts w:ascii="Book Antiqua" w:eastAsia="Book Antiqua" w:hAnsi="Book Antiqua" w:cs="Book Antiqua"/>
          <w:color w:val="000000"/>
          <w:vertAlign w:val="superscript"/>
        </w:rPr>
        <w:t>[19]</w:t>
      </w:r>
      <w:r w:rsidRPr="0047516E">
        <w:rPr>
          <w:rFonts w:ascii="Book Antiqua" w:eastAsia="Book Antiqua" w:hAnsi="Book Antiqua" w:cs="Book Antiqua"/>
          <w:color w:val="000000"/>
        </w:rPr>
        <w:t>. Among the thirteen most common GI diseases examined, 5 have a longer duration of stay than the national average and seven are below.</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Although not uniformly consistent, conditions with higher index mortality rates were generally paired with a longer initial length of stay.</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Among the four diseases with the highest index admission mortality (GI Hemorrhage, CLD and viral hepatitis,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and intestinal obstruction), three of which had LOS higher than the national average. Our data suggest that there is a correlation between length of stay and mortality rate. However, our analysis does not examine patients in different stages of a disease state. We suspect that patients with higher mortality burden exist in more severe disease states, thus leading to more prolonged hospital admissions.</w:t>
      </w:r>
    </w:p>
    <w:p w14:paraId="7AE6A565" w14:textId="30967EC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 xml:space="preserve">Readmission rates for GI diseases ranged from 5% to 25%. Chronic GI diseases such as CLD and IBD had high readmission rates, but preventable and non-chronic GI diseases such as </w:t>
      </w:r>
      <w:r w:rsidRPr="0047516E">
        <w:rPr>
          <w:rFonts w:ascii="Book Antiqua" w:eastAsia="Book Antiqua" w:hAnsi="Book Antiqua" w:cs="Book Antiqua"/>
          <w:i/>
          <w:color w:val="000000"/>
        </w:rPr>
        <w:t>C.</w:t>
      </w:r>
      <w:r w:rsidRPr="0047516E">
        <w:rPr>
          <w:rFonts w:ascii="Book Antiqua" w:eastAsia="Book Antiqua" w:hAnsi="Book Antiqua" w:cs="Book Antiqua"/>
          <w:color w:val="000000"/>
        </w:rPr>
        <w:t xml:space="preserve">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GI hemorrhage, and acute pancreatitis also </w:t>
      </w:r>
      <w:r w:rsidRPr="0047516E">
        <w:rPr>
          <w:rFonts w:ascii="Book Antiqua" w:eastAsia="Book Antiqua" w:hAnsi="Book Antiqua" w:cs="Book Antiqua"/>
          <w:color w:val="000000"/>
        </w:rPr>
        <w:lastRenderedPageBreak/>
        <w:t>presented with significant readmission rates (13</w:t>
      </w:r>
      <w:r w:rsidR="001B1B98" w:rsidRPr="0047516E">
        <w:rPr>
          <w:rFonts w:ascii="Book Antiqua" w:hAnsi="Book Antiqua" w:cs="Book Antiqua"/>
          <w:color w:val="000000"/>
          <w:lang w:eastAsia="zh-CN"/>
        </w:rPr>
        <w:t>%</w:t>
      </w:r>
      <w:r w:rsidRPr="0047516E">
        <w:rPr>
          <w:rFonts w:ascii="Book Antiqua" w:eastAsia="Book Antiqua" w:hAnsi="Book Antiqua" w:cs="Book Antiqua"/>
          <w:color w:val="000000"/>
        </w:rPr>
        <w:t xml:space="preserve">-23%). </w:t>
      </w:r>
      <w:r w:rsidR="0047516E" w:rsidRPr="0047516E">
        <w:rPr>
          <w:rFonts w:ascii="Book Antiqua" w:eastAsia="Book Antiqua" w:hAnsi="Book Antiqua" w:cs="Book Antiqua"/>
          <w:color w:val="000000"/>
        </w:rPr>
        <w:t>Thirty days</w:t>
      </w:r>
      <w:r w:rsidR="00D3447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readmission rates for GI diseases were comparable to other disease categories in previously examined database analysis: CHF exacerbations 23%, </w:t>
      </w:r>
      <w:r w:rsidR="001B1B98" w:rsidRPr="0047516E">
        <w:rPr>
          <w:rFonts w:ascii="Book Antiqua" w:eastAsia="Book Antiqua" w:hAnsi="Book Antiqua" w:cs="Book Antiqua"/>
          <w:color w:val="000000"/>
        </w:rPr>
        <w:t>chronic obstructive pulmonary disease</w:t>
      </w:r>
      <w:r w:rsidRPr="0047516E">
        <w:rPr>
          <w:rFonts w:ascii="Book Antiqua" w:eastAsia="Book Antiqua" w:hAnsi="Book Antiqua" w:cs="Book Antiqua"/>
          <w:color w:val="000000"/>
        </w:rPr>
        <w:t xml:space="preserve"> exacerbation 20.1%, 18.1% septicemia, and 14.2% for acute myocardial infarction</w:t>
      </w:r>
      <w:r w:rsidRPr="0047516E">
        <w:rPr>
          <w:rFonts w:ascii="Book Antiqua" w:eastAsia="Book Antiqua" w:hAnsi="Book Antiqua" w:cs="Book Antiqua"/>
          <w:color w:val="000000"/>
          <w:vertAlign w:val="superscript"/>
        </w:rPr>
        <w:t>[20]</w:t>
      </w:r>
      <w:r w:rsidRPr="0047516E">
        <w:rPr>
          <w:rFonts w:ascii="Book Antiqua" w:eastAsia="Book Antiqua" w:hAnsi="Book Antiqua" w:cs="Book Antiqua"/>
          <w:color w:val="000000"/>
        </w:rPr>
        <w:t>.</w:t>
      </w:r>
    </w:p>
    <w:p w14:paraId="04E46840" w14:textId="1118A1BC"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Age, gender, income, hospital size, type of hospital, and disposition were no</w:t>
      </w:r>
      <w:r w:rsidR="009045D4" w:rsidRPr="0047516E">
        <w:rPr>
          <w:rFonts w:ascii="Book Antiqua" w:eastAsia="Book Antiqua" w:hAnsi="Book Antiqua" w:cs="Book Antiqua"/>
          <w:color w:val="000000"/>
        </w:rPr>
        <w:t xml:space="preserve">t uniformly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for all thirteen diseases examined. However, our analyses showed that patients with Elixhauser comorbidity indices ≥</w:t>
      </w:r>
      <w:r w:rsidR="001B1B9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3, a longer length of stay, and Medicare/Medicaid were significantly more likely to be readmitted in the conditions examined.</w:t>
      </w:r>
      <w:r w:rsidR="009D4243"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Patients with multiple comorbidities are often known to be at increased risk of readmission due to their overall poor baseline health status, which is congruent with findings from other studies</w:t>
      </w:r>
      <w:r w:rsidRPr="0047516E">
        <w:rPr>
          <w:rFonts w:ascii="Book Antiqua" w:eastAsia="Book Antiqua" w:hAnsi="Book Antiqua" w:cs="Book Antiqua"/>
          <w:color w:val="000000"/>
          <w:vertAlign w:val="superscript"/>
        </w:rPr>
        <w:t>[21-23]</w:t>
      </w:r>
      <w:r w:rsidRPr="0047516E">
        <w:rPr>
          <w:rFonts w:ascii="Book Antiqua" w:eastAsia="Book Antiqua" w:hAnsi="Book Antiqua" w:cs="Book Antiqua"/>
          <w:color w:val="000000"/>
        </w:rPr>
        <w:t>. As our analysis is unable to stratify the severity of a patient's illness, we believe that longer length of stay serves as a surrogate marker for the severity of a patient’s illness; longer hospitalization indicates more critically ill patients who are more prone to readmission. Our data should not be interpreted as evidence for reducing the length of stay as we are unable to compare patient disease severity and duration of stay due to the absence of objective clinical severity data.</w:t>
      </w:r>
    </w:p>
    <w:p w14:paraId="53C25F91" w14:textId="7777777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Possessing Medicare and/or Medicaid were also predictors of readmission. Detailed analysis as to why Medicare and Medicaid patients had higher rates of readmission is challenging to discern while utilizing the NRD. Further studies should examine the reasons for readmissions in this population and to investigate strategies to reduce readmissions.</w:t>
      </w:r>
    </w:p>
    <w:p w14:paraId="62D91783" w14:textId="7777777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 xml:space="preserve">Disposition of patients to other than home or home-health was associated with early readmissions for GI hemorrhage, acute pancreatitis, cholelithiasis with cholecystitis, diverticulitis without hemorrhage, GI infection, and IBD. However, there was no association with </w:t>
      </w:r>
      <w:r w:rsidRPr="0047516E">
        <w:rPr>
          <w:rFonts w:ascii="Book Antiqua" w:eastAsia="Book Antiqua" w:hAnsi="Book Antiqua" w:cs="Book Antiqua"/>
          <w:i/>
          <w:color w:val="000000"/>
        </w:rPr>
        <w:t xml:space="preserve">C.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Increasing age was also associated with early readmissions for diverticulitis, cholelithiasis with cholecystitis and CLD and viral hepatitis.</w:t>
      </w:r>
    </w:p>
    <w:p w14:paraId="58207783" w14:textId="385F56E7"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lastRenderedPageBreak/>
        <w:t xml:space="preserve">Our multivariable analyses show that factors such as disposition, age, type of insurance, length of stay, and comorbidities are predictors of readmission risks. Our analyses highlight an area of improvement for hospitals, discharging providers, and outpatient providers to not only recognize patients at increased risk for readmission with the aforementioned predictors but also to develop better post-discharge care coordination in patients with these conditions to reduce their readmissions. As readmission rate is correlated with increased mortality, there is a clear window of opportunity to reduce the readmission rates, especially for preventable and non-chronic diseases. In the case of </w:t>
      </w:r>
      <w:r w:rsidRPr="0047516E">
        <w:rPr>
          <w:rFonts w:ascii="Book Antiqua" w:eastAsia="Book Antiqua" w:hAnsi="Book Antiqua" w:cs="Book Antiqua"/>
          <w:i/>
          <w:iCs/>
          <w:color w:val="000000"/>
        </w:rPr>
        <w:t>C. difficile</w:t>
      </w:r>
      <w:r w:rsidRPr="0047516E">
        <w:rPr>
          <w:rFonts w:ascii="Book Antiqua" w:eastAsia="Book Antiqua" w:hAnsi="Book Antiqua" w:cs="Book Antiqua"/>
          <w:color w:val="000000"/>
        </w:rPr>
        <w:t>, frequent antibiotic use, particularly clindamycin, cephalosporins and fluoroquinolones</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and long-term </w:t>
      </w:r>
      <w:bookmarkStart w:id="34" w:name="OLE_LINK9"/>
      <w:bookmarkStart w:id="35" w:name="OLE_LINK10"/>
      <w:r w:rsidRPr="0047516E">
        <w:rPr>
          <w:rFonts w:ascii="Book Antiqua" w:eastAsia="Book Antiqua" w:hAnsi="Book Antiqua" w:cs="Book Antiqua"/>
          <w:color w:val="000000"/>
        </w:rPr>
        <w:t>proton-pump inhibitors</w:t>
      </w:r>
      <w:bookmarkEnd w:id="34"/>
      <w:bookmarkEnd w:id="35"/>
      <w:r w:rsidR="001B1B9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use can increase the risk of recurrent </w:t>
      </w:r>
      <w:r w:rsidRPr="0047516E">
        <w:rPr>
          <w:rFonts w:ascii="Book Antiqua" w:eastAsia="Book Antiqua" w:hAnsi="Book Antiqua" w:cs="Book Antiqua"/>
          <w:i/>
          <w:color w:val="000000"/>
        </w:rPr>
        <w:t>C.</w:t>
      </w:r>
      <w:r w:rsidRPr="0047516E">
        <w:rPr>
          <w:rFonts w:ascii="Book Antiqua" w:eastAsia="Book Antiqua" w:hAnsi="Book Antiqua" w:cs="Book Antiqua"/>
          <w:color w:val="000000"/>
        </w:rPr>
        <w:t xml:space="preserve">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and should be carefully monitored post-discharge</w:t>
      </w:r>
      <w:r w:rsidRPr="0047516E">
        <w:rPr>
          <w:rFonts w:ascii="Book Antiqua" w:eastAsia="Book Antiqua" w:hAnsi="Book Antiqua" w:cs="Book Antiqua"/>
          <w:color w:val="000000"/>
          <w:vertAlign w:val="superscript"/>
        </w:rPr>
        <w:t>[24]</w:t>
      </w:r>
      <w:r w:rsidRPr="0047516E">
        <w:rPr>
          <w:rFonts w:ascii="Book Antiqua" w:eastAsia="Book Antiqua" w:hAnsi="Book Antiqua" w:cs="Book Antiqua"/>
          <w:color w:val="000000"/>
        </w:rPr>
        <w:t xml:space="preserve">. Newer medications such as Bezlotoxumab, a Food and Drug Administration approved monoclonal antibody against toxin B, offer cost-effective therapeutic option in reducing the incidence of recurrent </w:t>
      </w:r>
      <w:r w:rsidRPr="0047516E">
        <w:rPr>
          <w:rFonts w:ascii="Book Antiqua" w:eastAsia="Book Antiqua" w:hAnsi="Book Antiqua" w:cs="Book Antiqua"/>
          <w:i/>
          <w:color w:val="000000"/>
        </w:rPr>
        <w:t xml:space="preserve">C. </w:t>
      </w:r>
      <w:r w:rsidRPr="0047516E">
        <w:rPr>
          <w:rFonts w:ascii="Book Antiqua" w:eastAsia="Book Antiqua" w:hAnsi="Book Antiqua" w:cs="Book Antiqua"/>
          <w:i/>
          <w:iCs/>
          <w:color w:val="000000"/>
        </w:rPr>
        <w:t>difficile</w:t>
      </w:r>
      <w:r w:rsidRPr="0047516E">
        <w:rPr>
          <w:rFonts w:ascii="Book Antiqua" w:eastAsia="Book Antiqua" w:hAnsi="Book Antiqua" w:cs="Book Antiqua"/>
          <w:color w:val="000000"/>
        </w:rPr>
        <w:t xml:space="preserve"> in high-risk patient populations</w:t>
      </w:r>
      <w:r w:rsidRPr="0047516E">
        <w:rPr>
          <w:rFonts w:ascii="Book Antiqua" w:eastAsia="Book Antiqua" w:hAnsi="Book Antiqua" w:cs="Book Antiqua"/>
          <w:color w:val="000000"/>
          <w:vertAlign w:val="superscript"/>
        </w:rPr>
        <w:t>[25,26]</w:t>
      </w:r>
      <w:r w:rsidRPr="0047516E">
        <w:rPr>
          <w:rFonts w:ascii="Book Antiqua" w:eastAsia="Book Antiqua" w:hAnsi="Book Antiqua" w:cs="Book Antiqua"/>
          <w:color w:val="000000"/>
        </w:rPr>
        <w:t>. In acute pancreatitis, alcohol consumption, medications, hypertriglyceridemia, and gallstones are known triggers</w:t>
      </w:r>
      <w:r w:rsidRPr="0047516E">
        <w:rPr>
          <w:rFonts w:ascii="Book Antiqua" w:eastAsia="Book Antiqua" w:hAnsi="Book Antiqua" w:cs="Book Antiqua"/>
          <w:color w:val="000000"/>
          <w:vertAlign w:val="superscript"/>
        </w:rPr>
        <w:t>[27]</w:t>
      </w:r>
      <w:r w:rsidRPr="0047516E">
        <w:rPr>
          <w:rFonts w:ascii="Book Antiqua" w:eastAsia="Book Antiqua" w:hAnsi="Book Antiqua" w:cs="Book Antiqua"/>
          <w:color w:val="000000"/>
        </w:rPr>
        <w:t>. Readmissions of acute pancreatitis can occur due to uncontrolled symptom management, recurrence of acute pancreatitis, and post pancreatitis complications such as pancreatic necrosis and pseudocyst formation</w:t>
      </w:r>
      <w:r w:rsidRPr="0047516E">
        <w:rPr>
          <w:rFonts w:ascii="Book Antiqua" w:eastAsia="Book Antiqua" w:hAnsi="Book Antiqua" w:cs="Book Antiqua"/>
          <w:color w:val="000000"/>
          <w:vertAlign w:val="superscript"/>
        </w:rPr>
        <w:t>[28]</w:t>
      </w:r>
      <w:r w:rsidRPr="0047516E">
        <w:rPr>
          <w:rFonts w:ascii="Book Antiqua" w:eastAsia="Book Antiqua" w:hAnsi="Book Antiqua" w:cs="Book Antiqua"/>
          <w:color w:val="000000"/>
        </w:rPr>
        <w:t>. Readmission reduction strategies can include appropriate management of pain symptoms and close monitoring and treatment of underlying etiologies. Patients with alcohol-induced pancreatitis should have close management of alcohol use disorder with appropriate counseling and consideration of pharmacologic therapies</w:t>
      </w:r>
      <w:r w:rsidRPr="0047516E">
        <w:rPr>
          <w:rFonts w:ascii="Book Antiqua" w:eastAsia="Book Antiqua" w:hAnsi="Book Antiqua" w:cs="Book Antiqua"/>
          <w:color w:val="000000"/>
          <w:vertAlign w:val="superscript"/>
        </w:rPr>
        <w:t>[29,30]</w:t>
      </w:r>
      <w:r w:rsidRPr="0047516E">
        <w:rPr>
          <w:rFonts w:ascii="Book Antiqua" w:eastAsia="Book Antiqua" w:hAnsi="Book Antiqua" w:cs="Book Antiqua"/>
          <w:color w:val="000000"/>
        </w:rPr>
        <w:t>. In cases of severe hypertriglyceridemia, in addition to non-pharmacologic therapies such as weight loss and dietary changes, statin therapies were associated with a reduction in the number of patients developing pancreatitis</w:t>
      </w:r>
      <w:r w:rsidRPr="0047516E">
        <w:rPr>
          <w:rFonts w:ascii="Book Antiqua" w:eastAsia="Book Antiqua" w:hAnsi="Book Antiqua" w:cs="Book Antiqua"/>
          <w:color w:val="000000"/>
          <w:vertAlign w:val="superscript"/>
        </w:rPr>
        <w:t>[31]</w:t>
      </w:r>
      <w:r w:rsidRPr="0047516E">
        <w:rPr>
          <w:rFonts w:ascii="Book Antiqua" w:eastAsia="Book Antiqua" w:hAnsi="Book Antiqua" w:cs="Book Antiqua"/>
          <w:color w:val="000000"/>
        </w:rPr>
        <w:t>. There is some evidence that routine plasmapheresis may also reduce the incidence of recurrent pancreatitis, though there remains a paucity of data, and additional data is needed</w:t>
      </w:r>
      <w:r w:rsidRPr="0047516E">
        <w:rPr>
          <w:rFonts w:ascii="Book Antiqua" w:eastAsia="Book Antiqua" w:hAnsi="Book Antiqua" w:cs="Book Antiqua"/>
          <w:color w:val="000000"/>
          <w:vertAlign w:val="superscript"/>
        </w:rPr>
        <w:t>[32]</w:t>
      </w:r>
      <w:r w:rsidRPr="0047516E">
        <w:rPr>
          <w:rFonts w:ascii="Book Antiqua" w:eastAsia="Book Antiqua" w:hAnsi="Book Antiqua" w:cs="Book Antiqua"/>
          <w:color w:val="000000"/>
        </w:rPr>
        <w:t xml:space="preserve">. For patients with </w:t>
      </w:r>
      <w:r w:rsidRPr="0047516E">
        <w:rPr>
          <w:rFonts w:ascii="Book Antiqua" w:eastAsia="Book Antiqua" w:hAnsi="Book Antiqua" w:cs="Book Antiqua"/>
          <w:color w:val="000000"/>
        </w:rPr>
        <w:lastRenderedPageBreak/>
        <w:t xml:space="preserve">GI hemorrhage, strategies to reduce index admission and readmission include strict adherence to </w:t>
      </w:r>
      <w:r w:rsidR="001B1B98" w:rsidRPr="0047516E">
        <w:rPr>
          <w:rFonts w:ascii="Book Antiqua" w:eastAsia="Book Antiqua" w:hAnsi="Book Antiqua" w:cs="Book Antiqua"/>
          <w:color w:val="000000"/>
        </w:rPr>
        <w:t>proton-pump inhibitors</w:t>
      </w:r>
      <w:r w:rsidRPr="0047516E">
        <w:rPr>
          <w:rFonts w:ascii="Book Antiqua" w:eastAsia="Book Antiqua" w:hAnsi="Book Antiqua" w:cs="Book Antiqua"/>
          <w:color w:val="000000"/>
        </w:rPr>
        <w:t xml:space="preserve"> therapy, avoidance of NSAIDs, and treatment of underlying infections such as </w:t>
      </w:r>
      <w:r w:rsidR="00D34478" w:rsidRPr="0047516E">
        <w:rPr>
          <w:rFonts w:ascii="Book Antiqua" w:eastAsia="Book Antiqua" w:hAnsi="Book Antiqua" w:cs="Book Antiqua"/>
          <w:i/>
          <w:color w:val="000000"/>
        </w:rPr>
        <w:t>Helicobacter pylori</w:t>
      </w:r>
      <w:r w:rsidRPr="0047516E">
        <w:rPr>
          <w:rFonts w:ascii="Book Antiqua" w:eastAsia="Book Antiqua" w:hAnsi="Book Antiqua" w:cs="Book Antiqua"/>
          <w:color w:val="000000"/>
        </w:rPr>
        <w:t>.</w:t>
      </w:r>
      <w:r w:rsidR="00C6440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Patients on oral anticoagulation should have frank conversations with their providers weighing the risks and benefits of anticoagulation, as well as using validated scoring systems such as HAS-BLED scores in the case of atrial fibrillation</w:t>
      </w:r>
      <w:r w:rsidRPr="0047516E">
        <w:rPr>
          <w:rFonts w:ascii="Book Antiqua" w:eastAsia="Book Antiqua" w:hAnsi="Book Antiqua" w:cs="Book Antiqua"/>
          <w:color w:val="000000"/>
          <w:vertAlign w:val="superscript"/>
        </w:rPr>
        <w:t>[33]</w:t>
      </w:r>
      <w:r w:rsidRPr="0047516E">
        <w:rPr>
          <w:rFonts w:ascii="Book Antiqua" w:eastAsia="Book Antiqua" w:hAnsi="Book Antiqua" w:cs="Book Antiqua"/>
          <w:color w:val="000000"/>
        </w:rPr>
        <w:t>.</w:t>
      </w:r>
    </w:p>
    <w:p w14:paraId="3E869D77" w14:textId="7479207A" w:rsidR="00A77B3E" w:rsidRPr="0047516E" w:rsidRDefault="00722A3E" w:rsidP="0047516E">
      <w:pPr>
        <w:adjustRightInd w:val="0"/>
        <w:snapToGrid w:val="0"/>
        <w:spacing w:line="360" w:lineRule="auto"/>
        <w:ind w:firstLineChars="100" w:firstLine="240"/>
        <w:jc w:val="both"/>
        <w:rPr>
          <w:rFonts w:ascii="Book Antiqua" w:hAnsi="Book Antiqua"/>
        </w:rPr>
      </w:pPr>
      <w:r w:rsidRPr="0047516E">
        <w:rPr>
          <w:rFonts w:ascii="Book Antiqua" w:eastAsia="Book Antiqua" w:hAnsi="Book Antiqua" w:cs="Book Antiqua"/>
          <w:color w:val="000000"/>
        </w:rPr>
        <w:t>There were inherent limitations with nationwide databases that rely on accurate ICD-9 coding</w:t>
      </w:r>
      <w:r w:rsidRPr="0047516E">
        <w:rPr>
          <w:rFonts w:ascii="Book Antiqua" w:eastAsia="Book Antiqua" w:hAnsi="Book Antiqua" w:cs="Book Antiqua"/>
          <w:color w:val="000000"/>
          <w:vertAlign w:val="superscript"/>
        </w:rPr>
        <w:t>[34,35]</w:t>
      </w:r>
      <w:r w:rsidRPr="0047516E">
        <w:rPr>
          <w:rFonts w:ascii="Book Antiqua" w:eastAsia="Book Antiqua" w:hAnsi="Book Antiqua" w:cs="Book Antiqua"/>
          <w:color w:val="000000"/>
        </w:rPr>
        <w:t>. The NRD is based on administrative data and lacks clinical variables, which preclude our ability to stratify patients based on the severity of their disease state. Important measures such as race/ethnicity and geographic location were removed as they were considered as patient identifiers. We also did not examine specific disease states or specific conditions associated with some of these GI diseases as predictors of early readmission. Furthermore, the NRD does not link patients for more than a single calendar-year. Finally, our analysis did not focus on predictors of mortality since it has been previously examined in prior papers</w:t>
      </w:r>
      <w:r w:rsidRPr="0047516E">
        <w:rPr>
          <w:rFonts w:ascii="Book Antiqua" w:eastAsia="Book Antiqua" w:hAnsi="Book Antiqua" w:cs="Book Antiqua"/>
          <w:color w:val="000000"/>
          <w:vertAlign w:val="superscript"/>
        </w:rPr>
        <w:t>[3]</w:t>
      </w:r>
      <w:r w:rsidRPr="0047516E">
        <w:rPr>
          <w:rFonts w:ascii="Book Antiqua" w:eastAsia="Book Antiqua" w:hAnsi="Book Antiqua" w:cs="Book Antiqua"/>
          <w:color w:val="000000"/>
        </w:rPr>
        <w:t>.</w:t>
      </w:r>
      <w:r w:rsidRPr="0047516E">
        <w:rPr>
          <w:rFonts w:ascii="Book Antiqua" w:eastAsia="Book Antiqua" w:hAnsi="Book Antiqua" w:cs="Book Antiqua"/>
          <w:b/>
          <w:bCs/>
          <w:color w:val="000000"/>
        </w:rPr>
        <w:t xml:space="preserve"> </w:t>
      </w:r>
    </w:p>
    <w:bookmarkEnd w:id="31"/>
    <w:bookmarkEnd w:id="32"/>
    <w:p w14:paraId="4D53AA48" w14:textId="77777777" w:rsidR="00A77B3E" w:rsidRPr="0047516E" w:rsidRDefault="00A77B3E" w:rsidP="0047516E">
      <w:pPr>
        <w:adjustRightInd w:val="0"/>
        <w:snapToGrid w:val="0"/>
        <w:spacing w:line="360" w:lineRule="auto"/>
        <w:jc w:val="both"/>
        <w:rPr>
          <w:rFonts w:ascii="Book Antiqua" w:hAnsi="Book Antiqua"/>
        </w:rPr>
      </w:pPr>
    </w:p>
    <w:p w14:paraId="1DB8740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t>CONCLUSION</w:t>
      </w:r>
    </w:p>
    <w:p w14:paraId="48474120" w14:textId="550BF4ED" w:rsidR="00A77B3E" w:rsidRPr="0047516E" w:rsidRDefault="00722A3E" w:rsidP="0047516E">
      <w:pPr>
        <w:adjustRightInd w:val="0"/>
        <w:snapToGrid w:val="0"/>
        <w:spacing w:line="360" w:lineRule="auto"/>
        <w:jc w:val="both"/>
        <w:rPr>
          <w:rFonts w:ascii="Book Antiqua" w:hAnsi="Book Antiqua"/>
        </w:rPr>
      </w:pPr>
      <w:bookmarkStart w:id="36" w:name="OLE_LINK38"/>
      <w:r w:rsidRPr="0047516E">
        <w:rPr>
          <w:rFonts w:ascii="Book Antiqua" w:eastAsia="Book Antiqua" w:hAnsi="Book Antiqua" w:cs="Book Antiqua"/>
          <w:color w:val="000000"/>
        </w:rPr>
        <w:t>In conclusion, readmissions are associated with increased mortality in patients with common GI diseases. While a majority of GI readmissions are associated with chronic diseases</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especially CLD and viral hepatitis, a significant proportion is accounted for by preventable and non-chronic disease states including</w:t>
      </w:r>
      <w:r w:rsidR="00E24F72"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GI hemorrhage and </w:t>
      </w:r>
      <w:r w:rsidRPr="0047516E">
        <w:rPr>
          <w:rFonts w:ascii="Book Antiqua" w:eastAsia="Book Antiqua" w:hAnsi="Book Antiqua" w:cs="Book Antiqua"/>
          <w:i/>
          <w:iCs/>
          <w:color w:val="000000"/>
        </w:rPr>
        <w:t xml:space="preserve">C. difficile </w:t>
      </w:r>
      <w:r w:rsidRPr="0047516E">
        <w:rPr>
          <w:rFonts w:ascii="Book Antiqua" w:eastAsia="Book Antiqua" w:hAnsi="Book Antiqua" w:cs="Book Antiqua"/>
          <w:color w:val="000000"/>
        </w:rPr>
        <w:t>infection. The data contained herein supports the need for improved healthcare quality and preventative medicine to decrease the overall GI burden. This analysis also demonstrates that targeted research, quality improvement, and preventative healthcare strategies for hospitalized adult patients can likely reduce the global GI disease burden.</w:t>
      </w:r>
    </w:p>
    <w:bookmarkEnd w:id="36"/>
    <w:p w14:paraId="709A3EA4" w14:textId="77777777" w:rsidR="00A77B3E" w:rsidRPr="0047516E" w:rsidRDefault="00A77B3E" w:rsidP="0047516E">
      <w:pPr>
        <w:adjustRightInd w:val="0"/>
        <w:snapToGrid w:val="0"/>
        <w:spacing w:line="360" w:lineRule="auto"/>
        <w:jc w:val="both"/>
        <w:rPr>
          <w:rFonts w:ascii="Book Antiqua" w:hAnsi="Book Antiqua"/>
        </w:rPr>
      </w:pPr>
    </w:p>
    <w:p w14:paraId="6862077F"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aps/>
          <w:color w:val="000000"/>
          <w:u w:val="single"/>
        </w:rPr>
        <w:t>ARTICLE HIGHLIGHTS</w:t>
      </w:r>
    </w:p>
    <w:p w14:paraId="13C67EF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lastRenderedPageBreak/>
        <w:t>Research background</w:t>
      </w:r>
    </w:p>
    <w:p w14:paraId="4101657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Gastrointestinal (GI) related diseases account for over $100 billion in healthcare expenditures in the United States. </w:t>
      </w:r>
    </w:p>
    <w:p w14:paraId="6D9DF4EB" w14:textId="77777777" w:rsidR="00A77B3E" w:rsidRPr="0047516E" w:rsidRDefault="00A77B3E" w:rsidP="0047516E">
      <w:pPr>
        <w:adjustRightInd w:val="0"/>
        <w:snapToGrid w:val="0"/>
        <w:spacing w:line="360" w:lineRule="auto"/>
        <w:jc w:val="both"/>
        <w:rPr>
          <w:rFonts w:ascii="Book Antiqua" w:hAnsi="Book Antiqua"/>
        </w:rPr>
      </w:pPr>
    </w:p>
    <w:p w14:paraId="5FC9DD25"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motivation</w:t>
      </w:r>
    </w:p>
    <w:p w14:paraId="5E35C55B" w14:textId="3B7C9DB9" w:rsidR="00A77B3E" w:rsidRPr="0047516E" w:rsidRDefault="00722A3E" w:rsidP="0047516E">
      <w:pPr>
        <w:adjustRightInd w:val="0"/>
        <w:snapToGrid w:val="0"/>
        <w:spacing w:line="360" w:lineRule="auto"/>
        <w:jc w:val="both"/>
        <w:rPr>
          <w:rFonts w:ascii="Book Antiqua" w:hAnsi="Book Antiqua"/>
        </w:rPr>
      </w:pPr>
      <w:bookmarkStart w:id="37" w:name="OLE_LINK39"/>
      <w:bookmarkStart w:id="38" w:name="OLE_LINK40"/>
      <w:r w:rsidRPr="0047516E">
        <w:rPr>
          <w:rFonts w:ascii="Book Antiqua" w:eastAsia="Book Antiqua" w:hAnsi="Book Antiqua" w:cs="Book Antiqua"/>
          <w:color w:val="000000"/>
        </w:rPr>
        <w:t>Currently, few population-based studies are evaluating key</w:t>
      </w:r>
      <w:r w:rsidR="004D3B8C" w:rsidRPr="0047516E">
        <w:rPr>
          <w:rFonts w:ascii="Book Antiqua" w:eastAsia="Book Antiqua" w:hAnsi="Book Antiqua" w:cs="Book Antiqua"/>
          <w:color w:val="000000"/>
        </w:rPr>
        <w:t xml:space="preserve"> hospital metrics such as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mortal</w:t>
      </w:r>
      <w:r w:rsidR="004D3B8C" w:rsidRPr="0047516E">
        <w:rPr>
          <w:rFonts w:ascii="Book Antiqua" w:eastAsia="Book Antiqua" w:hAnsi="Book Antiqua" w:cs="Book Antiqua"/>
          <w:color w:val="000000"/>
        </w:rPr>
        <w:t xml:space="preserve">ity and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readmissions for the most common GI diseases as a whole. Obtaining this information can provide further insights for clinicians and key stakeholders in recognizing the impact of these diseases and identifying opportunities for improved healthcare delivery</w:t>
      </w:r>
      <w:r w:rsidR="00F26922" w:rsidRPr="0047516E">
        <w:rPr>
          <w:rFonts w:ascii="Book Antiqua" w:eastAsia="Book Antiqua" w:hAnsi="Book Antiqua" w:cs="Book Antiqua"/>
          <w:color w:val="000000"/>
        </w:rPr>
        <w:t>.</w:t>
      </w:r>
    </w:p>
    <w:bookmarkEnd w:id="37"/>
    <w:bookmarkEnd w:id="38"/>
    <w:p w14:paraId="4FE129FF" w14:textId="77777777" w:rsidR="00A77B3E" w:rsidRPr="0047516E" w:rsidRDefault="00A77B3E" w:rsidP="0047516E">
      <w:pPr>
        <w:adjustRightInd w:val="0"/>
        <w:snapToGrid w:val="0"/>
        <w:spacing w:line="360" w:lineRule="auto"/>
        <w:jc w:val="both"/>
        <w:rPr>
          <w:rFonts w:ascii="Book Antiqua" w:hAnsi="Book Antiqua"/>
        </w:rPr>
      </w:pPr>
    </w:p>
    <w:p w14:paraId="0C14F1BC"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objectives</w:t>
      </w:r>
    </w:p>
    <w:p w14:paraId="1A8A6176" w14:textId="1E8D53DE" w:rsidR="00A77B3E" w:rsidRPr="0047516E" w:rsidRDefault="00722A3E" w:rsidP="0047516E">
      <w:pPr>
        <w:adjustRightInd w:val="0"/>
        <w:snapToGrid w:val="0"/>
        <w:spacing w:line="360" w:lineRule="auto"/>
        <w:jc w:val="both"/>
        <w:rPr>
          <w:rFonts w:ascii="Book Antiqua" w:hAnsi="Book Antiqua"/>
        </w:rPr>
      </w:pPr>
      <w:bookmarkStart w:id="39" w:name="OLE_LINK41"/>
      <w:r w:rsidRPr="0047516E">
        <w:rPr>
          <w:rFonts w:ascii="Book Antiqua" w:eastAsia="Book Antiqua" w:hAnsi="Book Antiqua" w:cs="Book Antiqua"/>
          <w:color w:val="000000"/>
        </w:rPr>
        <w:t>We aimed to find the most common GI-related illnesses and calculate th</w:t>
      </w:r>
      <w:r w:rsidR="0047516E">
        <w:rPr>
          <w:rFonts w:ascii="Book Antiqua" w:eastAsia="Book Antiqua" w:hAnsi="Book Antiqua" w:cs="Book Antiqua"/>
          <w:color w:val="000000"/>
        </w:rPr>
        <w:t xml:space="preserve">e total index admissions,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rates, mean length of stay, mean hospitalization costs, and the mortality rates for each of these diseases. We also sough</w:t>
      </w:r>
      <w:r w:rsidR="004D3B8C" w:rsidRPr="0047516E">
        <w:rPr>
          <w:rFonts w:ascii="Book Antiqua" w:eastAsia="Book Antiqua" w:hAnsi="Book Antiqua" w:cs="Book Antiqua"/>
          <w:color w:val="000000"/>
        </w:rPr>
        <w:t xml:space="preserve">t to assess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readmissions for these conditions.</w:t>
      </w:r>
    </w:p>
    <w:bookmarkEnd w:id="39"/>
    <w:p w14:paraId="49C9AD21" w14:textId="77777777" w:rsidR="00A77B3E" w:rsidRPr="0047516E" w:rsidRDefault="00A77B3E" w:rsidP="0047516E">
      <w:pPr>
        <w:adjustRightInd w:val="0"/>
        <w:snapToGrid w:val="0"/>
        <w:spacing w:line="360" w:lineRule="auto"/>
        <w:jc w:val="both"/>
        <w:rPr>
          <w:rFonts w:ascii="Book Antiqua" w:hAnsi="Book Antiqua"/>
        </w:rPr>
      </w:pPr>
    </w:p>
    <w:p w14:paraId="5903ACD8"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methods</w:t>
      </w:r>
    </w:p>
    <w:p w14:paraId="7D0ABCD9" w14:textId="0F947E18" w:rsidR="00A77B3E" w:rsidRPr="0047516E" w:rsidRDefault="00722A3E" w:rsidP="0047516E">
      <w:pPr>
        <w:adjustRightInd w:val="0"/>
        <w:snapToGrid w:val="0"/>
        <w:spacing w:line="360" w:lineRule="auto"/>
        <w:jc w:val="both"/>
        <w:rPr>
          <w:rFonts w:ascii="Book Antiqua" w:hAnsi="Book Antiqua"/>
        </w:rPr>
      </w:pPr>
      <w:bookmarkStart w:id="40" w:name="OLE_LINK42"/>
      <w:r w:rsidRPr="0047516E">
        <w:rPr>
          <w:rFonts w:ascii="Book Antiqua" w:eastAsia="Book Antiqua" w:hAnsi="Book Antiqua" w:cs="Book Antiqua"/>
          <w:color w:val="000000"/>
        </w:rPr>
        <w:t xml:space="preserve">The Nationwide Inpatient Sample (2012) identified the 13 most common GI and Liver disease hospitalizations, which included GI hemorrhage, cholelithiasis with cholecystitis, acute pancreatitis, and </w:t>
      </w:r>
      <w:r w:rsidRPr="0047516E">
        <w:rPr>
          <w:rFonts w:ascii="Book Antiqua" w:eastAsia="Book Antiqua" w:hAnsi="Book Antiqua" w:cs="Book Antiqua"/>
          <w:i/>
          <w:iCs/>
          <w:color w:val="000000"/>
        </w:rPr>
        <w:t>Clostridium difficile</w:t>
      </w:r>
      <w:r w:rsidR="004D3B8C" w:rsidRPr="0047516E">
        <w:rPr>
          <w:rFonts w:ascii="Book Antiqua" w:eastAsia="Book Antiqua" w:hAnsi="Book Antiqua" w:cs="Book Antiqua"/>
          <w:i/>
          <w:iCs/>
          <w:color w:val="000000"/>
        </w:rPr>
        <w:t xml:space="preserve"> (C. difficile)</w:t>
      </w:r>
      <w:r w:rsidRPr="0047516E">
        <w:rPr>
          <w:rFonts w:ascii="Book Antiqua" w:eastAsia="Book Antiqua" w:hAnsi="Book Antiqua" w:cs="Book Antiqua"/>
          <w:color w:val="000000"/>
        </w:rPr>
        <w:t xml:space="preserve"> infection.</w:t>
      </w:r>
      <w:r w:rsidR="00C6440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 xml:space="preserve">The 2013 Nationwide Readmission Database was then queried with each disease to obtain hospital outcomes and readmission data. Multivariable logistic regression analyses for each disease group </w:t>
      </w:r>
      <w:r w:rsidR="004D3B8C" w:rsidRPr="0047516E">
        <w:rPr>
          <w:rFonts w:ascii="Book Antiqua" w:eastAsia="Book Antiqua" w:hAnsi="Book Antiqua" w:cs="Book Antiqua"/>
          <w:color w:val="000000"/>
        </w:rPr>
        <w:t xml:space="preserve">identified predictors for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w:t>
      </w:r>
    </w:p>
    <w:bookmarkEnd w:id="40"/>
    <w:p w14:paraId="1FFBBDA1" w14:textId="77777777" w:rsidR="00A77B3E" w:rsidRPr="0047516E" w:rsidRDefault="00A77B3E" w:rsidP="0047516E">
      <w:pPr>
        <w:adjustRightInd w:val="0"/>
        <w:snapToGrid w:val="0"/>
        <w:spacing w:line="360" w:lineRule="auto"/>
        <w:jc w:val="both"/>
        <w:rPr>
          <w:rFonts w:ascii="Book Antiqua" w:hAnsi="Book Antiqua"/>
        </w:rPr>
      </w:pPr>
    </w:p>
    <w:p w14:paraId="17A6997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results</w:t>
      </w:r>
    </w:p>
    <w:p w14:paraId="6D593042" w14:textId="04D88D8F" w:rsidR="00A77B3E" w:rsidRPr="0047516E" w:rsidRDefault="00722A3E" w:rsidP="0047516E">
      <w:pPr>
        <w:adjustRightInd w:val="0"/>
        <w:snapToGrid w:val="0"/>
        <w:spacing w:line="360" w:lineRule="auto"/>
        <w:jc w:val="both"/>
        <w:rPr>
          <w:rFonts w:ascii="Book Antiqua" w:hAnsi="Book Antiqua"/>
        </w:rPr>
      </w:pPr>
      <w:bookmarkStart w:id="41" w:name="OLE_LINK43"/>
      <w:bookmarkStart w:id="42" w:name="OLE_LINK44"/>
      <w:r w:rsidRPr="0047516E">
        <w:rPr>
          <w:rFonts w:ascii="Book Antiqua" w:eastAsia="Book Antiqua" w:hAnsi="Book Antiqua" w:cs="Book Antiqua"/>
          <w:color w:val="000000"/>
        </w:rPr>
        <w:t xml:space="preserve">The thirteen GI diseases accounted for 2.4 million index hospitalizations and $25 billion in healthcare-associated costs. Chronic conditions such as those involving </w:t>
      </w:r>
      <w:r w:rsidRPr="0047516E">
        <w:rPr>
          <w:rFonts w:ascii="Book Antiqua" w:eastAsia="Book Antiqua" w:hAnsi="Book Antiqua" w:cs="Book Antiqua"/>
          <w:color w:val="000000"/>
        </w:rPr>
        <w:lastRenderedPageBreak/>
        <w:t xml:space="preserve">the liver, functional/motility disorders and inflammatory bowel disease were associated with high readmission rates, mortality rates and hospitalization costs. However, potentially preventable and non-chronic GI ailments such as GI hemorrhage, acute pancreatitis and </w:t>
      </w:r>
      <w:r w:rsidRPr="0047516E">
        <w:rPr>
          <w:rFonts w:ascii="Book Antiqua" w:eastAsia="Book Antiqua" w:hAnsi="Book Antiqua" w:cs="Book Antiqua"/>
          <w:i/>
          <w:iCs/>
          <w:color w:val="000000"/>
        </w:rPr>
        <w:t>C</w:t>
      </w:r>
      <w:r w:rsidR="004D3B8C" w:rsidRPr="0047516E">
        <w:rPr>
          <w:rFonts w:ascii="Book Antiqua" w:eastAsia="Book Antiqua" w:hAnsi="Book Antiqua" w:cs="Book Antiqua"/>
          <w:i/>
          <w:iCs/>
          <w:color w:val="000000"/>
        </w:rPr>
        <w:t>.</w:t>
      </w:r>
      <w:r w:rsidRPr="0047516E">
        <w:rPr>
          <w:rFonts w:ascii="Book Antiqua" w:eastAsia="Book Antiqua" w:hAnsi="Book Antiqua" w:cs="Book Antiqua"/>
          <w:i/>
          <w:iCs/>
          <w:color w:val="000000"/>
        </w:rPr>
        <w:t xml:space="preserve"> difficile</w:t>
      </w:r>
      <w:r w:rsidRPr="0047516E">
        <w:rPr>
          <w:rFonts w:ascii="Book Antiqua" w:eastAsia="Book Antiqua" w:hAnsi="Book Antiqua" w:cs="Book Antiqua"/>
          <w:color w:val="000000"/>
        </w:rPr>
        <w:t xml:space="preserve"> infection were also linked with considerable readmission rates, mortality rates and hospitalization costs. Patient variables such as type of insurance, presence of ≥</w:t>
      </w:r>
      <w:r w:rsidR="00F26922"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3 Elixhauser comorbidities, and length of stay &gt;</w:t>
      </w:r>
      <w:r w:rsidR="00C64408" w:rsidRPr="0047516E">
        <w:rPr>
          <w:rFonts w:ascii="Book Antiqua" w:eastAsia="Book Antiqua" w:hAnsi="Book Antiqua" w:cs="Book Antiqua"/>
          <w:color w:val="000000"/>
        </w:rPr>
        <w:t xml:space="preserve"> </w:t>
      </w:r>
      <w:r w:rsidR="004D3B8C" w:rsidRPr="0047516E">
        <w:rPr>
          <w:rFonts w:ascii="Book Antiqua" w:eastAsia="Book Antiqua" w:hAnsi="Book Antiqua" w:cs="Book Antiqua"/>
          <w:color w:val="000000"/>
        </w:rPr>
        <w:t xml:space="preserve">3 d were predictors of </w:t>
      </w:r>
      <w:r w:rsidR="0047516E" w:rsidRPr="0047516E">
        <w:rPr>
          <w:rFonts w:ascii="Book Antiqua" w:eastAsia="Book Antiqua" w:hAnsi="Book Antiqua" w:cs="Book Antiqua"/>
          <w:color w:val="000000"/>
        </w:rPr>
        <w:t>thirty days</w:t>
      </w:r>
      <w:r w:rsidRPr="0047516E">
        <w:rPr>
          <w:rFonts w:ascii="Book Antiqua" w:eastAsia="Book Antiqua" w:hAnsi="Book Antiqua" w:cs="Book Antiqua"/>
          <w:color w:val="000000"/>
        </w:rPr>
        <w:t xml:space="preserve"> readmission for all the thirteen GI diseases</w:t>
      </w:r>
      <w:r w:rsidR="00F26922" w:rsidRPr="0047516E">
        <w:rPr>
          <w:rFonts w:ascii="Book Antiqua" w:eastAsia="Book Antiqua" w:hAnsi="Book Antiqua" w:cs="Book Antiqua"/>
          <w:color w:val="000000"/>
        </w:rPr>
        <w:t>.</w:t>
      </w:r>
    </w:p>
    <w:bookmarkEnd w:id="41"/>
    <w:bookmarkEnd w:id="42"/>
    <w:p w14:paraId="119D3443" w14:textId="77777777" w:rsidR="00A77B3E" w:rsidRPr="0047516E" w:rsidRDefault="00A77B3E" w:rsidP="0047516E">
      <w:pPr>
        <w:adjustRightInd w:val="0"/>
        <w:snapToGrid w:val="0"/>
        <w:spacing w:line="360" w:lineRule="auto"/>
        <w:jc w:val="both"/>
        <w:rPr>
          <w:rFonts w:ascii="Book Antiqua" w:hAnsi="Book Antiqua"/>
        </w:rPr>
      </w:pPr>
    </w:p>
    <w:p w14:paraId="56EAB18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conclusions</w:t>
      </w:r>
    </w:p>
    <w:p w14:paraId="04AA4571" w14:textId="61660CAB" w:rsidR="00A77B3E" w:rsidRPr="0047516E" w:rsidRDefault="00722A3E" w:rsidP="0047516E">
      <w:pPr>
        <w:adjustRightInd w:val="0"/>
        <w:snapToGrid w:val="0"/>
        <w:spacing w:line="360" w:lineRule="auto"/>
        <w:jc w:val="both"/>
        <w:rPr>
          <w:rFonts w:ascii="Book Antiqua" w:hAnsi="Book Antiqua"/>
        </w:rPr>
      </w:pPr>
      <w:bookmarkStart w:id="43" w:name="OLE_LINK45"/>
      <w:r w:rsidRPr="0047516E">
        <w:rPr>
          <w:rFonts w:ascii="Book Antiqua" w:eastAsia="Book Antiqua" w:hAnsi="Book Antiqua" w:cs="Book Antiqua"/>
          <w:color w:val="000000"/>
        </w:rPr>
        <w:t xml:space="preserve">GI-related diseases contribute to substantial inpatient morbidity, mortality and healthcare resource utilization. Our study highlighted the sizeable portion of readmissions, mortality rates and hospitalization costs attributed to potentially preventable and non-chronic GI diseases such as </w:t>
      </w:r>
      <w:r w:rsidRPr="0047516E">
        <w:rPr>
          <w:rFonts w:ascii="Book Antiqua" w:eastAsia="Book Antiqua" w:hAnsi="Book Antiqua" w:cs="Book Antiqua"/>
          <w:i/>
          <w:iCs/>
          <w:color w:val="000000"/>
        </w:rPr>
        <w:t>C</w:t>
      </w:r>
      <w:r w:rsidR="004D3B8C" w:rsidRPr="0047516E">
        <w:rPr>
          <w:rFonts w:ascii="Book Antiqua" w:eastAsia="Book Antiqua" w:hAnsi="Book Antiqua" w:cs="Book Antiqua"/>
          <w:i/>
          <w:iCs/>
          <w:color w:val="000000"/>
        </w:rPr>
        <w:t>.</w:t>
      </w:r>
      <w:r w:rsidRPr="0047516E">
        <w:rPr>
          <w:rFonts w:ascii="Book Antiqua" w:eastAsia="Book Antiqua" w:hAnsi="Book Antiqua" w:cs="Book Antiqua"/>
          <w:i/>
          <w:iCs/>
          <w:color w:val="000000"/>
        </w:rPr>
        <w:t xml:space="preserve"> difficile </w:t>
      </w:r>
      <w:r w:rsidRPr="0047516E">
        <w:rPr>
          <w:rFonts w:ascii="Book Antiqua" w:eastAsia="Book Antiqua" w:hAnsi="Book Antiqua" w:cs="Book Antiqua"/>
          <w:color w:val="000000"/>
        </w:rPr>
        <w:t>infection, gastrointestinal bleeding, and acute pancreatitis.</w:t>
      </w:r>
    </w:p>
    <w:bookmarkEnd w:id="43"/>
    <w:p w14:paraId="1336C404" w14:textId="77777777" w:rsidR="00A77B3E" w:rsidRPr="0047516E" w:rsidRDefault="00A77B3E" w:rsidP="0047516E">
      <w:pPr>
        <w:adjustRightInd w:val="0"/>
        <w:snapToGrid w:val="0"/>
        <w:spacing w:line="360" w:lineRule="auto"/>
        <w:jc w:val="both"/>
        <w:rPr>
          <w:rFonts w:ascii="Book Antiqua" w:hAnsi="Book Antiqua"/>
        </w:rPr>
      </w:pPr>
    </w:p>
    <w:p w14:paraId="370A774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i/>
          <w:color w:val="000000"/>
        </w:rPr>
        <w:t>Research perspectives</w:t>
      </w:r>
    </w:p>
    <w:p w14:paraId="278E2CD1" w14:textId="77777777" w:rsidR="00A77B3E" w:rsidRPr="0047516E" w:rsidRDefault="00722A3E" w:rsidP="0047516E">
      <w:pPr>
        <w:adjustRightInd w:val="0"/>
        <w:snapToGrid w:val="0"/>
        <w:spacing w:line="360" w:lineRule="auto"/>
        <w:jc w:val="both"/>
        <w:rPr>
          <w:rFonts w:ascii="Book Antiqua" w:hAnsi="Book Antiqua"/>
        </w:rPr>
      </w:pPr>
      <w:bookmarkStart w:id="44" w:name="OLE_LINK46"/>
      <w:bookmarkStart w:id="45" w:name="OLE_LINK47"/>
      <w:r w:rsidRPr="0047516E">
        <w:rPr>
          <w:rFonts w:ascii="Book Antiqua" w:eastAsia="Book Antiqua" w:hAnsi="Book Antiqua" w:cs="Book Antiqua"/>
          <w:color w:val="000000"/>
        </w:rPr>
        <w:t>Our study identifies a need for improved healthcare quality and a stronger emphasis on preventative medicine to decrease the overall GI burden, especially with preventable and non-chronic GI diseases.</w:t>
      </w:r>
    </w:p>
    <w:bookmarkEnd w:id="44"/>
    <w:bookmarkEnd w:id="45"/>
    <w:p w14:paraId="145A21D9" w14:textId="77777777" w:rsidR="00A77B3E" w:rsidRPr="0047516E" w:rsidRDefault="00A77B3E" w:rsidP="0047516E">
      <w:pPr>
        <w:adjustRightInd w:val="0"/>
        <w:snapToGrid w:val="0"/>
        <w:spacing w:line="360" w:lineRule="auto"/>
        <w:jc w:val="both"/>
        <w:rPr>
          <w:rFonts w:ascii="Book Antiqua" w:hAnsi="Book Antiqua"/>
        </w:rPr>
      </w:pPr>
    </w:p>
    <w:p w14:paraId="60D1461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REFERENCES</w:t>
      </w:r>
    </w:p>
    <w:p w14:paraId="577ACC67" w14:textId="2D9B3434"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t xml:space="preserve">1 </w:t>
      </w:r>
      <w:r w:rsidR="00595256" w:rsidRPr="0047516E">
        <w:rPr>
          <w:rFonts w:ascii="Book Antiqua" w:eastAsia="Book Antiqua" w:hAnsi="Book Antiqua" w:cs="Book Antiqua"/>
          <w:b/>
          <w:color w:val="000000"/>
          <w:highlight w:val="yellow"/>
        </w:rPr>
        <w:t>Centers for Medicare and Medicaid Services</w:t>
      </w:r>
      <w:r w:rsidRPr="0047516E">
        <w:rPr>
          <w:rFonts w:ascii="Book Antiqua" w:eastAsia="Book Antiqua" w:hAnsi="Book Antiqua" w:cs="Book Antiqua"/>
          <w:b/>
          <w:color w:val="000000"/>
          <w:highlight w:val="yellow"/>
        </w:rPr>
        <w:t xml:space="preserve">. </w:t>
      </w:r>
      <w:bookmarkStart w:id="46" w:name="OLE_LINK14"/>
      <w:bookmarkStart w:id="47" w:name="OLE_LINK15"/>
      <w:r w:rsidRPr="0047516E">
        <w:rPr>
          <w:rFonts w:ascii="Book Antiqua" w:eastAsia="Book Antiqua" w:hAnsi="Book Antiqua" w:cs="Book Antiqua"/>
          <w:color w:val="000000"/>
          <w:highlight w:val="yellow"/>
        </w:rPr>
        <w:t>National Health Expenditure Data. 2019</w:t>
      </w:r>
      <w:bookmarkEnd w:id="46"/>
      <w:bookmarkEnd w:id="47"/>
      <w:r w:rsidRPr="0047516E">
        <w:rPr>
          <w:rFonts w:ascii="Book Antiqua" w:eastAsia="Book Antiqua" w:hAnsi="Book Antiqua" w:cs="Book Antiqua"/>
          <w:color w:val="000000"/>
          <w:highlight w:val="yellow"/>
        </w:rPr>
        <w:t xml:space="preserve">. Available from: </w:t>
      </w:r>
      <w:bookmarkStart w:id="48" w:name="OLE_LINK12"/>
      <w:bookmarkStart w:id="49" w:name="OLE_LINK13"/>
      <w:r w:rsidRPr="0047516E">
        <w:rPr>
          <w:rFonts w:ascii="Book Antiqua" w:eastAsia="Book Antiqua" w:hAnsi="Book Antiqua" w:cs="Book Antiqua"/>
          <w:color w:val="000000"/>
          <w:highlight w:val="yellow"/>
        </w:rPr>
        <w:t>https://www.cms.gov/research-statistics-data-and-systems/statistics-trends-and-reports/nationalhealthexpenddata/nationalhealthaccountshistorical</w:t>
      </w:r>
      <w:bookmarkEnd w:id="48"/>
      <w:bookmarkEnd w:id="49"/>
    </w:p>
    <w:p w14:paraId="1D00626A"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 </w:t>
      </w:r>
      <w:r w:rsidRPr="0047516E">
        <w:rPr>
          <w:rFonts w:ascii="Book Antiqua" w:eastAsia="Book Antiqua" w:hAnsi="Book Antiqua" w:cs="Book Antiqua"/>
          <w:b/>
          <w:bCs/>
          <w:color w:val="000000"/>
        </w:rPr>
        <w:t>Dieleman JL</w:t>
      </w:r>
      <w:r w:rsidRPr="0047516E">
        <w:rPr>
          <w:rFonts w:ascii="Book Antiqua" w:eastAsia="Book Antiqua" w:hAnsi="Book Antiqua" w:cs="Book Antiqua"/>
          <w:color w:val="000000"/>
        </w:rPr>
        <w:t xml:space="preserve">, Baral R, Birger M, Bui AL, Bulchis A, Chapin A, Hamavid H, Horst C, Johnson EK, Joseph J, Lavado R, Lomsadze L, Reynolds A, Squires E, Campbell M, DeCenso B, Dicker D, Flaxman AD, Gabert R, Highfill T, Naghavi M, </w:t>
      </w:r>
      <w:r w:rsidRPr="0047516E">
        <w:rPr>
          <w:rFonts w:ascii="Book Antiqua" w:eastAsia="Book Antiqua" w:hAnsi="Book Antiqua" w:cs="Book Antiqua"/>
          <w:color w:val="000000"/>
        </w:rPr>
        <w:lastRenderedPageBreak/>
        <w:t xml:space="preserve">Nightingale N, Templin T, Tobias MI, Vos T, Murray CJ. US Spending on Personal Health Care and Public Health, 1996-2013. </w:t>
      </w:r>
      <w:r w:rsidRPr="0047516E">
        <w:rPr>
          <w:rFonts w:ascii="Book Antiqua" w:eastAsia="Book Antiqua" w:hAnsi="Book Antiqua" w:cs="Book Antiqua"/>
          <w:i/>
          <w:iCs/>
          <w:color w:val="000000"/>
        </w:rPr>
        <w:t>JAMA</w:t>
      </w:r>
      <w:r w:rsidRPr="0047516E">
        <w:rPr>
          <w:rFonts w:ascii="Book Antiqua" w:eastAsia="Book Antiqua" w:hAnsi="Book Antiqua" w:cs="Book Antiqua"/>
          <w:color w:val="000000"/>
        </w:rPr>
        <w:t xml:space="preserve"> 2016; </w:t>
      </w:r>
      <w:r w:rsidRPr="0047516E">
        <w:rPr>
          <w:rFonts w:ascii="Book Antiqua" w:eastAsia="Book Antiqua" w:hAnsi="Book Antiqua" w:cs="Book Antiqua"/>
          <w:b/>
          <w:bCs/>
          <w:color w:val="000000"/>
        </w:rPr>
        <w:t>316</w:t>
      </w:r>
      <w:r w:rsidRPr="0047516E">
        <w:rPr>
          <w:rFonts w:ascii="Book Antiqua" w:eastAsia="Book Antiqua" w:hAnsi="Book Antiqua" w:cs="Book Antiqua"/>
          <w:color w:val="000000"/>
        </w:rPr>
        <w:t>: 2627-2646 [PMID: 28027366 DOI: 10.1001/jama.2016.16885]</w:t>
      </w:r>
    </w:p>
    <w:p w14:paraId="32CC2B90"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 </w:t>
      </w:r>
      <w:r w:rsidRPr="0047516E">
        <w:rPr>
          <w:rFonts w:ascii="Book Antiqua" w:eastAsia="Book Antiqua" w:hAnsi="Book Antiqua" w:cs="Book Antiqua"/>
          <w:b/>
          <w:bCs/>
          <w:color w:val="000000"/>
        </w:rPr>
        <w:t>Peery AF</w:t>
      </w:r>
      <w:r w:rsidRPr="0047516E">
        <w:rPr>
          <w:rFonts w:ascii="Book Antiqua" w:eastAsia="Book Antiqua" w:hAnsi="Book Antiqua" w:cs="Book Antiqua"/>
          <w:color w:val="000000"/>
        </w:rPr>
        <w:t xml:space="preserve">,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47516E">
        <w:rPr>
          <w:rFonts w:ascii="Book Antiqua" w:eastAsia="Book Antiqua" w:hAnsi="Book Antiqua" w:cs="Book Antiqua"/>
          <w:i/>
          <w:iCs/>
          <w:color w:val="000000"/>
        </w:rPr>
        <w:t>Gastroenterology</w:t>
      </w:r>
      <w:r w:rsidRPr="0047516E">
        <w:rPr>
          <w:rFonts w:ascii="Book Antiqua" w:eastAsia="Book Antiqua" w:hAnsi="Book Antiqua" w:cs="Book Antiqua"/>
          <w:color w:val="000000"/>
        </w:rPr>
        <w:t xml:space="preserve"> 2012; </w:t>
      </w:r>
      <w:r w:rsidRPr="0047516E">
        <w:rPr>
          <w:rFonts w:ascii="Book Antiqua" w:eastAsia="Book Antiqua" w:hAnsi="Book Antiqua" w:cs="Book Antiqua"/>
          <w:b/>
          <w:bCs/>
          <w:color w:val="000000"/>
        </w:rPr>
        <w:t>143</w:t>
      </w:r>
      <w:r w:rsidRPr="0047516E">
        <w:rPr>
          <w:rFonts w:ascii="Book Antiqua" w:eastAsia="Book Antiqua" w:hAnsi="Book Antiqua" w:cs="Book Antiqua"/>
          <w:color w:val="000000"/>
        </w:rPr>
        <w:t>: 1179-1187.e3 [PMID: 22885331 DOI: 10.1053/j.gastro.2012.08.002]</w:t>
      </w:r>
    </w:p>
    <w:p w14:paraId="5DB00FD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4 </w:t>
      </w:r>
      <w:r w:rsidRPr="0047516E">
        <w:rPr>
          <w:rFonts w:ascii="Book Antiqua" w:eastAsia="Book Antiqua" w:hAnsi="Book Antiqua" w:cs="Book Antiqua"/>
          <w:b/>
          <w:bCs/>
          <w:color w:val="000000"/>
        </w:rPr>
        <w:t>Fagan KJ</w:t>
      </w:r>
      <w:r w:rsidRPr="0047516E">
        <w:rPr>
          <w:rFonts w:ascii="Book Antiqua" w:eastAsia="Book Antiqua" w:hAnsi="Book Antiqua" w:cs="Book Antiqua"/>
          <w:color w:val="000000"/>
        </w:rPr>
        <w:t xml:space="preserve">, Zhao EY, Horsfall LU, Ruffin BJ, Kruger MS, McPhail SM, O'Rourke P, Ballard E, Irvine KM, Powell EE. Burden of decompensated cirrhosis and ascites on hospital services in a tertiary care facility: time for change? </w:t>
      </w:r>
      <w:r w:rsidRPr="0047516E">
        <w:rPr>
          <w:rFonts w:ascii="Book Antiqua" w:eastAsia="Book Antiqua" w:hAnsi="Book Antiqua" w:cs="Book Antiqua"/>
          <w:i/>
          <w:iCs/>
          <w:color w:val="000000"/>
        </w:rPr>
        <w:t>Intern Med J</w:t>
      </w:r>
      <w:r w:rsidRPr="0047516E">
        <w:rPr>
          <w:rFonts w:ascii="Book Antiqua" w:eastAsia="Book Antiqua" w:hAnsi="Book Antiqua" w:cs="Book Antiqua"/>
          <w:color w:val="000000"/>
        </w:rPr>
        <w:t xml:space="preserve"> 2014; </w:t>
      </w:r>
      <w:r w:rsidRPr="0047516E">
        <w:rPr>
          <w:rFonts w:ascii="Book Antiqua" w:eastAsia="Book Antiqua" w:hAnsi="Book Antiqua" w:cs="Book Antiqua"/>
          <w:b/>
          <w:bCs/>
          <w:color w:val="000000"/>
        </w:rPr>
        <w:t>44</w:t>
      </w:r>
      <w:r w:rsidRPr="0047516E">
        <w:rPr>
          <w:rFonts w:ascii="Book Antiqua" w:eastAsia="Book Antiqua" w:hAnsi="Book Antiqua" w:cs="Book Antiqua"/>
          <w:color w:val="000000"/>
        </w:rPr>
        <w:t>: 865-872 [PMID: 24893971 DOI: 10.1111/imj.12491]</w:t>
      </w:r>
    </w:p>
    <w:p w14:paraId="465CDE2F"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5 </w:t>
      </w:r>
      <w:r w:rsidRPr="0047516E">
        <w:rPr>
          <w:rFonts w:ascii="Book Antiqua" w:eastAsia="Book Antiqua" w:hAnsi="Book Antiqua" w:cs="Book Antiqua"/>
          <w:b/>
          <w:bCs/>
          <w:color w:val="000000"/>
        </w:rPr>
        <w:t>Chopra T</w:t>
      </w:r>
      <w:r w:rsidRPr="0047516E">
        <w:rPr>
          <w:rFonts w:ascii="Book Antiqua" w:eastAsia="Book Antiqua" w:hAnsi="Book Antiqua" w:cs="Book Antiqua"/>
          <w:color w:val="000000"/>
        </w:rPr>
        <w:t xml:space="preserve">, Neelakanta A, Dombecki C, Awali RA, Sharma S, Kaye KS, Patel P. Burden of Clostridium difficile infection on hospital readmissions and its potential impact under the Hospital Readmission Reduction Program. </w:t>
      </w:r>
      <w:r w:rsidRPr="0047516E">
        <w:rPr>
          <w:rFonts w:ascii="Book Antiqua" w:eastAsia="Book Antiqua" w:hAnsi="Book Antiqua" w:cs="Book Antiqua"/>
          <w:i/>
          <w:iCs/>
          <w:color w:val="000000"/>
        </w:rPr>
        <w:t>Am J Infect Control</w:t>
      </w:r>
      <w:r w:rsidRPr="0047516E">
        <w:rPr>
          <w:rFonts w:ascii="Book Antiqua" w:eastAsia="Book Antiqua" w:hAnsi="Book Antiqua" w:cs="Book Antiqua"/>
          <w:color w:val="000000"/>
        </w:rPr>
        <w:t xml:space="preserve"> 2015; </w:t>
      </w:r>
      <w:r w:rsidRPr="0047516E">
        <w:rPr>
          <w:rFonts w:ascii="Book Antiqua" w:eastAsia="Book Antiqua" w:hAnsi="Book Antiqua" w:cs="Book Antiqua"/>
          <w:b/>
          <w:bCs/>
          <w:color w:val="000000"/>
        </w:rPr>
        <w:t>43</w:t>
      </w:r>
      <w:r w:rsidRPr="0047516E">
        <w:rPr>
          <w:rFonts w:ascii="Book Antiqua" w:eastAsia="Book Antiqua" w:hAnsi="Book Antiqua" w:cs="Book Antiqua"/>
          <w:color w:val="000000"/>
        </w:rPr>
        <w:t>: 314-317 [PMID: 25838133 DOI: 10.1016/j.ajic.2014.11.004]</w:t>
      </w:r>
    </w:p>
    <w:p w14:paraId="73C48F8E"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6 </w:t>
      </w:r>
      <w:r w:rsidRPr="0047516E">
        <w:rPr>
          <w:rFonts w:ascii="Book Antiqua" w:eastAsia="Book Antiqua" w:hAnsi="Book Antiqua" w:cs="Book Antiqua"/>
          <w:b/>
          <w:bCs/>
          <w:color w:val="000000"/>
        </w:rPr>
        <w:t>Jencks SF</w:t>
      </w:r>
      <w:r w:rsidRPr="0047516E">
        <w:rPr>
          <w:rFonts w:ascii="Book Antiqua" w:eastAsia="Book Antiqua" w:hAnsi="Book Antiqua" w:cs="Book Antiqua"/>
          <w:color w:val="000000"/>
        </w:rPr>
        <w:t xml:space="preserve">, Williams MV, Coleman EA. Rehospitalizations among patients in the Medicare fee-for-service program. </w:t>
      </w:r>
      <w:r w:rsidRPr="0047516E">
        <w:rPr>
          <w:rFonts w:ascii="Book Antiqua" w:eastAsia="Book Antiqua" w:hAnsi="Book Antiqua" w:cs="Book Antiqua"/>
          <w:i/>
          <w:iCs/>
          <w:color w:val="000000"/>
        </w:rPr>
        <w:t>N Engl J Med</w:t>
      </w:r>
      <w:r w:rsidRPr="0047516E">
        <w:rPr>
          <w:rFonts w:ascii="Book Antiqua" w:eastAsia="Book Antiqua" w:hAnsi="Book Antiqua" w:cs="Book Antiqua"/>
          <w:color w:val="000000"/>
        </w:rPr>
        <w:t xml:space="preserve"> 2009; </w:t>
      </w:r>
      <w:r w:rsidRPr="0047516E">
        <w:rPr>
          <w:rFonts w:ascii="Book Antiqua" w:eastAsia="Book Antiqua" w:hAnsi="Book Antiqua" w:cs="Book Antiqua"/>
          <w:b/>
          <w:bCs/>
          <w:color w:val="000000"/>
        </w:rPr>
        <w:t>360</w:t>
      </w:r>
      <w:r w:rsidRPr="0047516E">
        <w:rPr>
          <w:rFonts w:ascii="Book Antiqua" w:eastAsia="Book Antiqua" w:hAnsi="Book Antiqua" w:cs="Book Antiqua"/>
          <w:color w:val="000000"/>
        </w:rPr>
        <w:t>: 1418-1428 [PMID: 19339721 DOI: 10.1056/NEJMsa0803563]</w:t>
      </w:r>
    </w:p>
    <w:p w14:paraId="56C43CA9" w14:textId="383C20CA"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t xml:space="preserve">7 </w:t>
      </w:r>
      <w:r w:rsidR="00277F90" w:rsidRPr="0047516E">
        <w:rPr>
          <w:rFonts w:ascii="Book Antiqua" w:eastAsia="Book Antiqua" w:hAnsi="Book Antiqua" w:cs="Book Antiqua"/>
          <w:b/>
          <w:color w:val="000000"/>
          <w:highlight w:val="yellow"/>
        </w:rPr>
        <w:t>Healthcare Cost and Utilization Project</w:t>
      </w:r>
      <w:r w:rsidRPr="0047516E">
        <w:rPr>
          <w:rFonts w:ascii="Book Antiqua" w:eastAsia="Book Antiqua" w:hAnsi="Book Antiqua" w:cs="Book Antiqua"/>
          <w:b/>
          <w:color w:val="000000"/>
          <w:highlight w:val="yellow"/>
        </w:rPr>
        <w:t>.</w:t>
      </w:r>
      <w:r w:rsidR="009045D4" w:rsidRPr="0047516E">
        <w:rPr>
          <w:rFonts w:ascii="Book Antiqua" w:eastAsia="Book Antiqua" w:hAnsi="Book Antiqua" w:cs="Book Antiqua"/>
          <w:color w:val="000000"/>
          <w:highlight w:val="yellow"/>
        </w:rPr>
        <w:t xml:space="preserve"> NRD Overview</w:t>
      </w:r>
      <w:r w:rsidRPr="0047516E">
        <w:rPr>
          <w:rFonts w:ascii="Book Antiqua" w:eastAsia="Book Antiqua" w:hAnsi="Book Antiqua" w:cs="Book Antiqua"/>
          <w:color w:val="000000"/>
          <w:highlight w:val="yellow"/>
        </w:rPr>
        <w:t xml:space="preserve"> 2020. Agency for Healthcare Research and Quality. Available from: https://www.hcup-us.ahrq.gov/nrdoverview.jsp</w:t>
      </w:r>
    </w:p>
    <w:p w14:paraId="415805D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8 </w:t>
      </w:r>
      <w:r w:rsidRPr="0047516E">
        <w:rPr>
          <w:rFonts w:ascii="Book Antiqua" w:eastAsia="Book Antiqua" w:hAnsi="Book Antiqua" w:cs="Book Antiqua"/>
          <w:b/>
          <w:bCs/>
          <w:color w:val="000000"/>
        </w:rPr>
        <w:t>Elixhauser A</w:t>
      </w:r>
      <w:r w:rsidRPr="0047516E">
        <w:rPr>
          <w:rFonts w:ascii="Book Antiqua" w:eastAsia="Book Antiqua" w:hAnsi="Book Antiqua" w:cs="Book Antiqua"/>
          <w:color w:val="000000"/>
        </w:rPr>
        <w:t xml:space="preserve">, Steiner C, Harris DR, Coffey RM. Comorbidity measures for use with administrative data. </w:t>
      </w:r>
      <w:r w:rsidRPr="0047516E">
        <w:rPr>
          <w:rFonts w:ascii="Book Antiqua" w:eastAsia="Book Antiqua" w:hAnsi="Book Antiqua" w:cs="Book Antiqua"/>
          <w:i/>
          <w:iCs/>
          <w:color w:val="000000"/>
        </w:rPr>
        <w:t>Med Care</w:t>
      </w:r>
      <w:r w:rsidRPr="0047516E">
        <w:rPr>
          <w:rFonts w:ascii="Book Antiqua" w:eastAsia="Book Antiqua" w:hAnsi="Book Antiqua" w:cs="Book Antiqua"/>
          <w:color w:val="000000"/>
        </w:rPr>
        <w:t xml:space="preserve"> 1998; </w:t>
      </w:r>
      <w:r w:rsidRPr="0047516E">
        <w:rPr>
          <w:rFonts w:ascii="Book Antiqua" w:eastAsia="Book Antiqua" w:hAnsi="Book Antiqua" w:cs="Book Antiqua"/>
          <w:b/>
          <w:bCs/>
          <w:color w:val="000000"/>
        </w:rPr>
        <w:t>36</w:t>
      </w:r>
      <w:r w:rsidRPr="0047516E">
        <w:rPr>
          <w:rFonts w:ascii="Book Antiqua" w:eastAsia="Book Antiqua" w:hAnsi="Book Antiqua" w:cs="Book Antiqua"/>
          <w:color w:val="000000"/>
        </w:rPr>
        <w:t>: 8-27 [PMID: 9431328 DOI: 10.1097/00005650-199801000-00004]</w:t>
      </w:r>
    </w:p>
    <w:p w14:paraId="68E42EB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9 </w:t>
      </w:r>
      <w:r w:rsidRPr="0047516E">
        <w:rPr>
          <w:rFonts w:ascii="Book Antiqua" w:eastAsia="Book Antiqua" w:hAnsi="Book Antiqua" w:cs="Book Antiqua"/>
          <w:b/>
          <w:bCs/>
          <w:color w:val="000000"/>
        </w:rPr>
        <w:t>Leber B</w:t>
      </w:r>
      <w:r w:rsidRPr="0047516E">
        <w:rPr>
          <w:rFonts w:ascii="Book Antiqua" w:eastAsia="Book Antiqua" w:hAnsi="Book Antiqua" w:cs="Book Antiqua"/>
          <w:color w:val="000000"/>
        </w:rPr>
        <w:t xml:space="preserve">, Spindelboeck W, Stadlbauer V. Infectious complications of acute and chronic liver disease. </w:t>
      </w:r>
      <w:r w:rsidRPr="0047516E">
        <w:rPr>
          <w:rFonts w:ascii="Book Antiqua" w:eastAsia="Book Antiqua" w:hAnsi="Book Antiqua" w:cs="Book Antiqua"/>
          <w:i/>
          <w:iCs/>
          <w:color w:val="000000"/>
        </w:rPr>
        <w:t>Semin Respir Crit Care Med</w:t>
      </w:r>
      <w:r w:rsidRPr="0047516E">
        <w:rPr>
          <w:rFonts w:ascii="Book Antiqua" w:eastAsia="Book Antiqua" w:hAnsi="Book Antiqua" w:cs="Book Antiqua"/>
          <w:color w:val="000000"/>
        </w:rPr>
        <w:t xml:space="preserve"> 2012; </w:t>
      </w:r>
      <w:r w:rsidRPr="0047516E">
        <w:rPr>
          <w:rFonts w:ascii="Book Antiqua" w:eastAsia="Book Antiqua" w:hAnsi="Book Antiqua" w:cs="Book Antiqua"/>
          <w:b/>
          <w:bCs/>
          <w:color w:val="000000"/>
        </w:rPr>
        <w:t>33</w:t>
      </w:r>
      <w:r w:rsidRPr="0047516E">
        <w:rPr>
          <w:rFonts w:ascii="Book Antiqua" w:eastAsia="Book Antiqua" w:hAnsi="Book Antiqua" w:cs="Book Antiqua"/>
          <w:color w:val="000000"/>
        </w:rPr>
        <w:t>: 80-95 [PMID: 22447263 DOI: 10.1055/s-0032-1301737]</w:t>
      </w:r>
    </w:p>
    <w:p w14:paraId="14E2069E"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lastRenderedPageBreak/>
        <w:t xml:space="preserve">10 </w:t>
      </w:r>
      <w:r w:rsidRPr="0047516E">
        <w:rPr>
          <w:rFonts w:ascii="Book Antiqua" w:eastAsia="Book Antiqua" w:hAnsi="Book Antiqua" w:cs="Book Antiqua"/>
          <w:b/>
          <w:bCs/>
          <w:color w:val="000000"/>
        </w:rPr>
        <w:t>Tapper EB</w:t>
      </w:r>
      <w:r w:rsidRPr="0047516E">
        <w:rPr>
          <w:rFonts w:ascii="Book Antiqua" w:eastAsia="Book Antiqua" w:hAnsi="Book Antiqua" w:cs="Book Antiqua"/>
          <w:color w:val="000000"/>
        </w:rPr>
        <w:t xml:space="preserve">, Parikh ND. Mortality due to cirrhosis and liver cancer in the United States, 1999-2016: observational study. </w:t>
      </w:r>
      <w:r w:rsidRPr="0047516E">
        <w:rPr>
          <w:rFonts w:ascii="Book Antiqua" w:eastAsia="Book Antiqua" w:hAnsi="Book Antiqua" w:cs="Book Antiqua"/>
          <w:i/>
          <w:iCs/>
          <w:color w:val="000000"/>
        </w:rPr>
        <w:t>BMJ</w:t>
      </w:r>
      <w:r w:rsidRPr="0047516E">
        <w:rPr>
          <w:rFonts w:ascii="Book Antiqua" w:eastAsia="Book Antiqua" w:hAnsi="Book Antiqua" w:cs="Book Antiqua"/>
          <w:color w:val="000000"/>
        </w:rPr>
        <w:t xml:space="preserve"> 2018; </w:t>
      </w:r>
      <w:r w:rsidRPr="0047516E">
        <w:rPr>
          <w:rFonts w:ascii="Book Antiqua" w:eastAsia="Book Antiqua" w:hAnsi="Book Antiqua" w:cs="Book Antiqua"/>
          <w:b/>
          <w:bCs/>
          <w:color w:val="000000"/>
        </w:rPr>
        <w:t>362</w:t>
      </w:r>
      <w:r w:rsidRPr="0047516E">
        <w:rPr>
          <w:rFonts w:ascii="Book Antiqua" w:eastAsia="Book Antiqua" w:hAnsi="Book Antiqua" w:cs="Book Antiqua"/>
          <w:color w:val="000000"/>
        </w:rPr>
        <w:t>: k2817 [PMID: 30021785 DOI: 10.1136/bmj.k2817]</w:t>
      </w:r>
    </w:p>
    <w:p w14:paraId="3E249BD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11 </w:t>
      </w:r>
      <w:r w:rsidRPr="0047516E">
        <w:rPr>
          <w:rFonts w:ascii="Book Antiqua" w:eastAsia="Book Antiqua" w:hAnsi="Book Antiqua" w:cs="Book Antiqua"/>
          <w:b/>
          <w:bCs/>
          <w:color w:val="000000"/>
        </w:rPr>
        <w:t>Hirode G</w:t>
      </w:r>
      <w:r w:rsidRPr="0047516E">
        <w:rPr>
          <w:rFonts w:ascii="Book Antiqua" w:eastAsia="Book Antiqua" w:hAnsi="Book Antiqua" w:cs="Book Antiqua"/>
          <w:color w:val="000000"/>
        </w:rPr>
        <w:t xml:space="preserve">, Vittinghoff E, Wong RJ. Increasing Clinical and Economic Burden of Nonalcoholic Fatty Liver Disease Among Hospitalized Adults in the United States. </w:t>
      </w:r>
      <w:r w:rsidRPr="0047516E">
        <w:rPr>
          <w:rFonts w:ascii="Book Antiqua" w:eastAsia="Book Antiqua" w:hAnsi="Book Antiqua" w:cs="Book Antiqua"/>
          <w:i/>
          <w:iCs/>
          <w:color w:val="000000"/>
        </w:rPr>
        <w:t>J Clin Gastroenterol</w:t>
      </w:r>
      <w:r w:rsidRPr="0047516E">
        <w:rPr>
          <w:rFonts w:ascii="Book Antiqua" w:eastAsia="Book Antiqua" w:hAnsi="Book Antiqua" w:cs="Book Antiqua"/>
          <w:color w:val="000000"/>
        </w:rPr>
        <w:t xml:space="preserve"> 2019; </w:t>
      </w:r>
      <w:r w:rsidRPr="0047516E">
        <w:rPr>
          <w:rFonts w:ascii="Book Antiqua" w:eastAsia="Book Antiqua" w:hAnsi="Book Antiqua" w:cs="Book Antiqua"/>
          <w:b/>
          <w:bCs/>
          <w:color w:val="000000"/>
        </w:rPr>
        <w:t>53</w:t>
      </w:r>
      <w:r w:rsidRPr="0047516E">
        <w:rPr>
          <w:rFonts w:ascii="Book Antiqua" w:eastAsia="Book Antiqua" w:hAnsi="Book Antiqua" w:cs="Book Antiqua"/>
          <w:color w:val="000000"/>
        </w:rPr>
        <w:t>: 765-771 [PMID: 31135632 DOI: 10.1097/MCG.0000000000001229]</w:t>
      </w:r>
    </w:p>
    <w:p w14:paraId="1D7B42A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12 </w:t>
      </w:r>
      <w:r w:rsidRPr="0047516E">
        <w:rPr>
          <w:rFonts w:ascii="Book Antiqua" w:eastAsia="Book Antiqua" w:hAnsi="Book Antiqua" w:cs="Book Antiqua"/>
          <w:b/>
          <w:bCs/>
          <w:color w:val="000000"/>
        </w:rPr>
        <w:t>Stanaway JD</w:t>
      </w:r>
      <w:r w:rsidRPr="0047516E">
        <w:rPr>
          <w:rFonts w:ascii="Book Antiqua" w:eastAsia="Book Antiqua" w:hAnsi="Book Antiqua" w:cs="Book Antiqua"/>
          <w:color w:val="000000"/>
        </w:rPr>
        <w:t xml:space="preserve">, Flaxman AD, Naghavi M, Fitzmaurice C, Vos T, Abubakar I, Abu-Raddad LJ, Assadi R, Bhala N, Cowie B, Forouzanfour MH, Groeger J, Hanafiah KM, Jacobsen KH, James SL, MacLachlan J, Malekzadeh R, Martin NK, Mokdad AA, Mokdad AH, Murray CJL, Plass D, Rana S, Rein DB, Richardus JH, Sanabria J, Saylan M, Shahraz S, So S, Vlassov VV, Weiderpass E, Wiersma ST, Younis M, Yu C, El Sayed Zaki M, Cooke GS. The global burden of viral hepatitis from 1990 to 2013: findings from the Global Burden of Disease Study 2013. </w:t>
      </w:r>
      <w:r w:rsidRPr="0047516E">
        <w:rPr>
          <w:rFonts w:ascii="Book Antiqua" w:eastAsia="Book Antiqua" w:hAnsi="Book Antiqua" w:cs="Book Antiqua"/>
          <w:i/>
          <w:iCs/>
          <w:color w:val="000000"/>
        </w:rPr>
        <w:t>Lancet</w:t>
      </w:r>
      <w:r w:rsidRPr="0047516E">
        <w:rPr>
          <w:rFonts w:ascii="Book Antiqua" w:eastAsia="Book Antiqua" w:hAnsi="Book Antiqua" w:cs="Book Antiqua"/>
          <w:color w:val="000000"/>
        </w:rPr>
        <w:t xml:space="preserve"> 2016; </w:t>
      </w:r>
      <w:r w:rsidRPr="0047516E">
        <w:rPr>
          <w:rFonts w:ascii="Book Antiqua" w:eastAsia="Book Antiqua" w:hAnsi="Book Antiqua" w:cs="Book Antiqua"/>
          <w:b/>
          <w:bCs/>
          <w:color w:val="000000"/>
        </w:rPr>
        <w:t>388</w:t>
      </w:r>
      <w:r w:rsidRPr="0047516E">
        <w:rPr>
          <w:rFonts w:ascii="Book Antiqua" w:eastAsia="Book Antiqua" w:hAnsi="Book Antiqua" w:cs="Book Antiqua"/>
          <w:color w:val="000000"/>
        </w:rPr>
        <w:t>: 1081-1088 [PMID: 27394647 DOI: 10.1016/S0140-6736(16)30579-7]</w:t>
      </w:r>
    </w:p>
    <w:p w14:paraId="1CB9A9D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13 </w:t>
      </w:r>
      <w:r w:rsidRPr="0047516E">
        <w:rPr>
          <w:rFonts w:ascii="Book Antiqua" w:eastAsia="Book Antiqua" w:hAnsi="Book Antiqua" w:cs="Book Antiqua"/>
          <w:b/>
          <w:bCs/>
          <w:color w:val="000000"/>
        </w:rPr>
        <w:t>Abougergi MS</w:t>
      </w:r>
      <w:r w:rsidRPr="0047516E">
        <w:rPr>
          <w:rFonts w:ascii="Book Antiqua" w:eastAsia="Book Antiqua" w:hAnsi="Book Antiqua" w:cs="Book Antiqua"/>
          <w:color w:val="000000"/>
        </w:rPr>
        <w:t xml:space="preserve">, Travis AC, Saltzman JR. The in-hospital mortality rate for upper GI hemorrhage has decreased over 2 decades in the United States: a nationwide analysis. </w:t>
      </w:r>
      <w:r w:rsidRPr="0047516E">
        <w:rPr>
          <w:rFonts w:ascii="Book Antiqua" w:eastAsia="Book Antiqua" w:hAnsi="Book Antiqua" w:cs="Book Antiqua"/>
          <w:i/>
          <w:iCs/>
          <w:color w:val="000000"/>
        </w:rPr>
        <w:t>Gastrointest Endosc</w:t>
      </w:r>
      <w:r w:rsidRPr="0047516E">
        <w:rPr>
          <w:rFonts w:ascii="Book Antiqua" w:eastAsia="Book Antiqua" w:hAnsi="Book Antiqua" w:cs="Book Antiqua"/>
          <w:color w:val="000000"/>
        </w:rPr>
        <w:t xml:space="preserve"> 2015; </w:t>
      </w:r>
      <w:r w:rsidRPr="0047516E">
        <w:rPr>
          <w:rFonts w:ascii="Book Antiqua" w:eastAsia="Book Antiqua" w:hAnsi="Book Antiqua" w:cs="Book Antiqua"/>
          <w:b/>
          <w:bCs/>
          <w:color w:val="000000"/>
        </w:rPr>
        <w:t>81</w:t>
      </w:r>
      <w:r w:rsidRPr="0047516E">
        <w:rPr>
          <w:rFonts w:ascii="Book Antiqua" w:eastAsia="Book Antiqua" w:hAnsi="Book Antiqua" w:cs="Book Antiqua"/>
          <w:color w:val="000000"/>
        </w:rPr>
        <w:t>: 882-8.e1 [PMID: 25484324 DOI: 10.1016/j.gie.2014.09.027]</w:t>
      </w:r>
    </w:p>
    <w:p w14:paraId="19B5390E"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14 </w:t>
      </w:r>
      <w:r w:rsidRPr="0047516E">
        <w:rPr>
          <w:rFonts w:ascii="Book Antiqua" w:eastAsia="Book Antiqua" w:hAnsi="Book Antiqua" w:cs="Book Antiqua"/>
          <w:b/>
          <w:bCs/>
          <w:color w:val="000000"/>
        </w:rPr>
        <w:t>Oakland K</w:t>
      </w:r>
      <w:r w:rsidRPr="0047516E">
        <w:rPr>
          <w:rFonts w:ascii="Book Antiqua" w:eastAsia="Book Antiqua" w:hAnsi="Book Antiqua" w:cs="Book Antiqua"/>
          <w:color w:val="000000"/>
        </w:rPr>
        <w:t xml:space="preserve">, Guy R, Uberoi R, Hogg R, Mortensen N, Murphy MF, Jairath V; UK Lower GI Bleeding Collaborative. Acute lower GI bleeding in the UK: patient characteristics, interventions and outcomes in the first nationwide audit. </w:t>
      </w:r>
      <w:r w:rsidRPr="0047516E">
        <w:rPr>
          <w:rFonts w:ascii="Book Antiqua" w:eastAsia="Book Antiqua" w:hAnsi="Book Antiqua" w:cs="Book Antiqua"/>
          <w:i/>
          <w:iCs/>
          <w:color w:val="000000"/>
        </w:rPr>
        <w:t>Gut</w:t>
      </w:r>
      <w:r w:rsidRPr="0047516E">
        <w:rPr>
          <w:rFonts w:ascii="Book Antiqua" w:eastAsia="Book Antiqua" w:hAnsi="Book Antiqua" w:cs="Book Antiqua"/>
          <w:color w:val="000000"/>
        </w:rPr>
        <w:t xml:space="preserve"> 2018; </w:t>
      </w:r>
      <w:r w:rsidRPr="0047516E">
        <w:rPr>
          <w:rFonts w:ascii="Book Antiqua" w:eastAsia="Book Antiqua" w:hAnsi="Book Antiqua" w:cs="Book Antiqua"/>
          <w:b/>
          <w:bCs/>
          <w:color w:val="000000"/>
        </w:rPr>
        <w:t>67</w:t>
      </w:r>
      <w:r w:rsidRPr="0047516E">
        <w:rPr>
          <w:rFonts w:ascii="Book Antiqua" w:eastAsia="Book Antiqua" w:hAnsi="Book Antiqua" w:cs="Book Antiqua"/>
          <w:color w:val="000000"/>
        </w:rPr>
        <w:t>: 654-662 [PMID: 28148540 DOI: 10.1136/gutjnl-2016-313428]</w:t>
      </w:r>
    </w:p>
    <w:p w14:paraId="585A9E68"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15 </w:t>
      </w:r>
      <w:r w:rsidRPr="0047516E">
        <w:rPr>
          <w:rFonts w:ascii="Book Antiqua" w:eastAsia="Book Antiqua" w:hAnsi="Book Antiqua" w:cs="Book Antiqua"/>
          <w:b/>
          <w:bCs/>
          <w:color w:val="000000"/>
        </w:rPr>
        <w:t>Miller MA</w:t>
      </w:r>
      <w:r w:rsidRPr="0047516E">
        <w:rPr>
          <w:rFonts w:ascii="Book Antiqua" w:eastAsia="Book Antiqua" w:hAnsi="Book Antiqua" w:cs="Book Antiqua"/>
          <w:color w:val="000000"/>
        </w:rPr>
        <w:t xml:space="preserve">, Hyland M, Ofner-Agostini M, Gourdeau M, Ishak M; Canadian Hospital Epidemiology Committee. Canadian Nosocomial Infection Surveillance Program. Morbidity, mortality, and healthcare burden of nosocomial Clostridium difficile-associated diarrhea in Canadian hospitals. </w:t>
      </w:r>
      <w:r w:rsidRPr="0047516E">
        <w:rPr>
          <w:rFonts w:ascii="Book Antiqua" w:eastAsia="Book Antiqua" w:hAnsi="Book Antiqua" w:cs="Book Antiqua"/>
          <w:i/>
          <w:iCs/>
          <w:color w:val="000000"/>
        </w:rPr>
        <w:t>Infect Control Hosp Epidemiol</w:t>
      </w:r>
      <w:r w:rsidRPr="0047516E">
        <w:rPr>
          <w:rFonts w:ascii="Book Antiqua" w:eastAsia="Book Antiqua" w:hAnsi="Book Antiqua" w:cs="Book Antiqua"/>
          <w:color w:val="000000"/>
        </w:rPr>
        <w:t xml:space="preserve"> 2002; </w:t>
      </w:r>
      <w:r w:rsidRPr="0047516E">
        <w:rPr>
          <w:rFonts w:ascii="Book Antiqua" w:eastAsia="Book Antiqua" w:hAnsi="Book Antiqua" w:cs="Book Antiqua"/>
          <w:b/>
          <w:bCs/>
          <w:color w:val="000000"/>
        </w:rPr>
        <w:t>23</w:t>
      </w:r>
      <w:r w:rsidRPr="0047516E">
        <w:rPr>
          <w:rFonts w:ascii="Book Antiqua" w:eastAsia="Book Antiqua" w:hAnsi="Book Antiqua" w:cs="Book Antiqua"/>
          <w:color w:val="000000"/>
        </w:rPr>
        <w:t>: 137-140 [PMID: 11918118 DOI: 10.1086/502023]</w:t>
      </w:r>
    </w:p>
    <w:p w14:paraId="277BF13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lastRenderedPageBreak/>
        <w:t xml:space="preserve">16 </w:t>
      </w:r>
      <w:r w:rsidRPr="0047516E">
        <w:rPr>
          <w:rFonts w:ascii="Book Antiqua" w:eastAsia="Book Antiqua" w:hAnsi="Book Antiqua" w:cs="Book Antiqua"/>
          <w:b/>
          <w:bCs/>
          <w:color w:val="000000"/>
        </w:rPr>
        <w:t>Kwon JH</w:t>
      </w:r>
      <w:r w:rsidRPr="0047516E">
        <w:rPr>
          <w:rFonts w:ascii="Book Antiqua" w:eastAsia="Book Antiqua" w:hAnsi="Book Antiqua" w:cs="Book Antiqua"/>
          <w:color w:val="000000"/>
        </w:rPr>
        <w:t xml:space="preserve">, Olsen MA, Dubberke ER. The morbidity, mortality, and costs associated with Clostridium difficile infection. </w:t>
      </w:r>
      <w:r w:rsidRPr="0047516E">
        <w:rPr>
          <w:rFonts w:ascii="Book Antiqua" w:eastAsia="Book Antiqua" w:hAnsi="Book Antiqua" w:cs="Book Antiqua"/>
          <w:i/>
          <w:iCs/>
          <w:color w:val="000000"/>
        </w:rPr>
        <w:t>Infect Dis Clin North Am</w:t>
      </w:r>
      <w:r w:rsidRPr="0047516E">
        <w:rPr>
          <w:rFonts w:ascii="Book Antiqua" w:eastAsia="Book Antiqua" w:hAnsi="Book Antiqua" w:cs="Book Antiqua"/>
          <w:color w:val="000000"/>
        </w:rPr>
        <w:t xml:space="preserve"> 2015; </w:t>
      </w:r>
      <w:r w:rsidRPr="0047516E">
        <w:rPr>
          <w:rFonts w:ascii="Book Antiqua" w:eastAsia="Book Antiqua" w:hAnsi="Book Antiqua" w:cs="Book Antiqua"/>
          <w:b/>
          <w:bCs/>
          <w:color w:val="000000"/>
        </w:rPr>
        <w:t>29</w:t>
      </w:r>
      <w:r w:rsidRPr="0047516E">
        <w:rPr>
          <w:rFonts w:ascii="Book Antiqua" w:eastAsia="Book Antiqua" w:hAnsi="Book Antiqua" w:cs="Book Antiqua"/>
          <w:color w:val="000000"/>
        </w:rPr>
        <w:t>: 123-134 [PMID: 25677706 DOI: 10.1016/j.idc.2014.11.003]</w:t>
      </w:r>
    </w:p>
    <w:p w14:paraId="58E0D6D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17 </w:t>
      </w:r>
      <w:r w:rsidRPr="0047516E">
        <w:rPr>
          <w:rFonts w:ascii="Book Antiqua" w:eastAsia="Book Antiqua" w:hAnsi="Book Antiqua" w:cs="Book Antiqua"/>
          <w:b/>
          <w:bCs/>
          <w:color w:val="000000"/>
        </w:rPr>
        <w:t>Ricciardi R</w:t>
      </w:r>
      <w:r w:rsidRPr="0047516E">
        <w:rPr>
          <w:rFonts w:ascii="Book Antiqua" w:eastAsia="Book Antiqua" w:hAnsi="Book Antiqua" w:cs="Book Antiqua"/>
          <w:color w:val="000000"/>
        </w:rPr>
        <w:t xml:space="preserve">, Rothenberger DA, Madoff RD, Baxter NN. Increasing prevalence and severity of Clostridium difficile colitis in hospitalized patients in the United States. </w:t>
      </w:r>
      <w:r w:rsidRPr="0047516E">
        <w:rPr>
          <w:rFonts w:ascii="Book Antiqua" w:eastAsia="Book Antiqua" w:hAnsi="Book Antiqua" w:cs="Book Antiqua"/>
          <w:i/>
          <w:iCs/>
          <w:color w:val="000000"/>
        </w:rPr>
        <w:t>Arch Surg</w:t>
      </w:r>
      <w:r w:rsidRPr="0047516E">
        <w:rPr>
          <w:rFonts w:ascii="Book Antiqua" w:eastAsia="Book Antiqua" w:hAnsi="Book Antiqua" w:cs="Book Antiqua"/>
          <w:color w:val="000000"/>
        </w:rPr>
        <w:t xml:space="preserve"> 2007; </w:t>
      </w:r>
      <w:r w:rsidRPr="0047516E">
        <w:rPr>
          <w:rFonts w:ascii="Book Antiqua" w:eastAsia="Book Antiqua" w:hAnsi="Book Antiqua" w:cs="Book Antiqua"/>
          <w:b/>
          <w:bCs/>
          <w:color w:val="000000"/>
        </w:rPr>
        <w:t>142</w:t>
      </w:r>
      <w:r w:rsidRPr="0047516E">
        <w:rPr>
          <w:rFonts w:ascii="Book Antiqua" w:eastAsia="Book Antiqua" w:hAnsi="Book Antiqua" w:cs="Book Antiqua"/>
          <w:color w:val="000000"/>
        </w:rPr>
        <w:t>: 624-31; discussion 631 [PMID: 17638799 DOI: 10.1001/archsurg.142.7.624]</w:t>
      </w:r>
    </w:p>
    <w:p w14:paraId="449EE17A"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t xml:space="preserve">18 </w:t>
      </w:r>
      <w:r w:rsidRPr="0047516E">
        <w:rPr>
          <w:rFonts w:ascii="Book Antiqua" w:eastAsia="Book Antiqua" w:hAnsi="Book Antiqua" w:cs="Book Antiqua"/>
          <w:b/>
          <w:bCs/>
          <w:color w:val="000000"/>
          <w:highlight w:val="yellow"/>
        </w:rPr>
        <w:t>Pfuntner A,</w:t>
      </w:r>
      <w:r w:rsidRPr="0047516E">
        <w:rPr>
          <w:rFonts w:ascii="Book Antiqua" w:eastAsia="Book Antiqua" w:hAnsi="Book Antiqua" w:cs="Book Antiqua"/>
          <w:color w:val="000000"/>
          <w:highlight w:val="yellow"/>
        </w:rPr>
        <w:t xml:space="preserve"> Wier LM, Steiner C. Costs for Hospital Stays in the United States, 2010. HCUP Statistical Brief #146. January 2013. Agency for Healthcare Research and Quality. Available from: https://www.hcup-us.ahrq.gov/reports/statbriefs/sb146.pdf</w:t>
      </w:r>
    </w:p>
    <w:p w14:paraId="1E3CEA5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t xml:space="preserve">19 </w:t>
      </w:r>
      <w:r w:rsidRPr="0047516E">
        <w:rPr>
          <w:rFonts w:ascii="Book Antiqua" w:eastAsia="Book Antiqua" w:hAnsi="Book Antiqua" w:cs="Book Antiqua"/>
          <w:b/>
          <w:bCs/>
          <w:color w:val="000000"/>
          <w:highlight w:val="yellow"/>
        </w:rPr>
        <w:t>Weiss AJ,</w:t>
      </w:r>
      <w:r w:rsidRPr="0047516E">
        <w:rPr>
          <w:rFonts w:ascii="Book Antiqua" w:eastAsia="Book Antiqua" w:hAnsi="Book Antiqua" w:cs="Book Antiqua"/>
          <w:color w:val="000000"/>
          <w:highlight w:val="yellow"/>
        </w:rPr>
        <w:t xml:space="preserve"> Elixhauser A. Overview of Hospital Stays in the United States, 2012. HCUP Statistical Brief #180. October 2014. Agency for Healthcare Research and Quality. Available from: https://www.hcup-us.ahrq.gov/reports/statbriefs/sb180-Hospitalizations-United-States-2012.pdf</w:t>
      </w:r>
    </w:p>
    <w:p w14:paraId="21F6464D" w14:textId="4FA11FA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highlight w:val="yellow"/>
        </w:rPr>
        <w:t xml:space="preserve">20 </w:t>
      </w:r>
      <w:r w:rsidRPr="0047516E">
        <w:rPr>
          <w:rFonts w:ascii="Book Antiqua" w:eastAsia="Book Antiqua" w:hAnsi="Book Antiqua" w:cs="Book Antiqua"/>
          <w:b/>
          <w:bCs/>
          <w:color w:val="000000"/>
          <w:highlight w:val="yellow"/>
        </w:rPr>
        <w:t>Fingar KR,</w:t>
      </w:r>
      <w:r w:rsidRPr="0047516E">
        <w:rPr>
          <w:rFonts w:ascii="Book Antiqua" w:eastAsia="Book Antiqua" w:hAnsi="Book Antiqua" w:cs="Book Antiqua"/>
          <w:color w:val="000000"/>
          <w:highlight w:val="yellow"/>
        </w:rPr>
        <w:t xml:space="preserve"> Barrett ML, Jiang HJ. A Comparison of All-Cause 7-Day and 30-Day Readmissions, 2014. HCUP Statistical Brief #230. October 2017. Agency for Healthcare Research and Quality. Available from: https://www.hcup-us.ahrq.gov/reports/statbriefs/sb230-7-Day-Versus-30-Day-Readmissions.jsp</w:t>
      </w:r>
    </w:p>
    <w:p w14:paraId="7FF3AAC5"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21 </w:t>
      </w:r>
      <w:r w:rsidRPr="0047516E">
        <w:rPr>
          <w:rFonts w:ascii="Book Antiqua" w:eastAsia="Book Antiqua" w:hAnsi="Book Antiqua" w:cs="Book Antiqua"/>
          <w:b/>
          <w:bCs/>
          <w:color w:val="000000"/>
        </w:rPr>
        <w:t>Donzé J</w:t>
      </w:r>
      <w:r w:rsidRPr="0047516E">
        <w:rPr>
          <w:rFonts w:ascii="Book Antiqua" w:eastAsia="Book Antiqua" w:hAnsi="Book Antiqua" w:cs="Book Antiqua"/>
          <w:color w:val="000000"/>
        </w:rPr>
        <w:t xml:space="preserve">, Lipsitz S, Bates DW, Schnipper JL. Causes and patterns of readmissions in patients with common comorbidities: retrospective cohort study. </w:t>
      </w:r>
      <w:r w:rsidRPr="0047516E">
        <w:rPr>
          <w:rFonts w:ascii="Book Antiqua" w:eastAsia="Book Antiqua" w:hAnsi="Book Antiqua" w:cs="Book Antiqua"/>
          <w:i/>
          <w:iCs/>
          <w:color w:val="000000"/>
        </w:rPr>
        <w:t>BMJ</w:t>
      </w:r>
      <w:r w:rsidRPr="0047516E">
        <w:rPr>
          <w:rFonts w:ascii="Book Antiqua" w:eastAsia="Book Antiqua" w:hAnsi="Book Antiqua" w:cs="Book Antiqua"/>
          <w:color w:val="000000"/>
        </w:rPr>
        <w:t xml:space="preserve"> 2013; </w:t>
      </w:r>
      <w:r w:rsidRPr="0047516E">
        <w:rPr>
          <w:rFonts w:ascii="Book Antiqua" w:eastAsia="Book Antiqua" w:hAnsi="Book Antiqua" w:cs="Book Antiqua"/>
          <w:b/>
          <w:bCs/>
          <w:color w:val="000000"/>
        </w:rPr>
        <w:t>347</w:t>
      </w:r>
      <w:r w:rsidRPr="0047516E">
        <w:rPr>
          <w:rFonts w:ascii="Book Antiqua" w:eastAsia="Book Antiqua" w:hAnsi="Book Antiqua" w:cs="Book Antiqua"/>
          <w:color w:val="000000"/>
        </w:rPr>
        <w:t>: f7171 [PMID: 24342737 DOI: 10.1136/bmj.f7171]</w:t>
      </w:r>
    </w:p>
    <w:p w14:paraId="41EB4D9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22 </w:t>
      </w:r>
      <w:r w:rsidRPr="0047516E">
        <w:rPr>
          <w:rFonts w:ascii="Book Antiqua" w:eastAsia="Book Antiqua" w:hAnsi="Book Antiqua" w:cs="Book Antiqua"/>
          <w:b/>
          <w:bCs/>
          <w:color w:val="000000"/>
        </w:rPr>
        <w:t>Librero J</w:t>
      </w:r>
      <w:r w:rsidRPr="0047516E">
        <w:rPr>
          <w:rFonts w:ascii="Book Antiqua" w:eastAsia="Book Antiqua" w:hAnsi="Book Antiqua" w:cs="Book Antiqua"/>
          <w:color w:val="000000"/>
        </w:rPr>
        <w:t xml:space="preserve">, Peiró S, Ordiñana R. Chronic comorbidity and outcomes of hospital care: length of stay, mortality, and readmission at 30 and 365 days. </w:t>
      </w:r>
      <w:r w:rsidRPr="0047516E">
        <w:rPr>
          <w:rFonts w:ascii="Book Antiqua" w:eastAsia="Book Antiqua" w:hAnsi="Book Antiqua" w:cs="Book Antiqua"/>
          <w:i/>
          <w:iCs/>
          <w:color w:val="000000"/>
        </w:rPr>
        <w:t>J Clin Epidemiol</w:t>
      </w:r>
      <w:r w:rsidRPr="0047516E">
        <w:rPr>
          <w:rFonts w:ascii="Book Antiqua" w:eastAsia="Book Antiqua" w:hAnsi="Book Antiqua" w:cs="Book Antiqua"/>
          <w:color w:val="000000"/>
        </w:rPr>
        <w:t xml:space="preserve"> 1999; </w:t>
      </w:r>
      <w:r w:rsidRPr="0047516E">
        <w:rPr>
          <w:rFonts w:ascii="Book Antiqua" w:eastAsia="Book Antiqua" w:hAnsi="Book Antiqua" w:cs="Book Antiqua"/>
          <w:b/>
          <w:bCs/>
          <w:color w:val="000000"/>
        </w:rPr>
        <w:t>52</w:t>
      </w:r>
      <w:r w:rsidRPr="0047516E">
        <w:rPr>
          <w:rFonts w:ascii="Book Antiqua" w:eastAsia="Book Antiqua" w:hAnsi="Book Antiqua" w:cs="Book Antiqua"/>
          <w:color w:val="000000"/>
        </w:rPr>
        <w:t>: 171-179 [PMID: 10210233 DOI: 10.1016/s0895-4356(98)00160-7]</w:t>
      </w:r>
    </w:p>
    <w:p w14:paraId="7B0D583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23 </w:t>
      </w:r>
      <w:r w:rsidRPr="0047516E">
        <w:rPr>
          <w:rFonts w:ascii="Book Antiqua" w:eastAsia="Book Antiqua" w:hAnsi="Book Antiqua" w:cs="Book Antiqua"/>
          <w:b/>
          <w:bCs/>
          <w:color w:val="000000"/>
        </w:rPr>
        <w:t>Siddique SM</w:t>
      </w:r>
      <w:r w:rsidRPr="0047516E">
        <w:rPr>
          <w:rFonts w:ascii="Book Antiqua" w:eastAsia="Book Antiqua" w:hAnsi="Book Antiqua" w:cs="Book Antiqua"/>
          <w:color w:val="000000"/>
        </w:rPr>
        <w:t xml:space="preserve">, Mehta SJ, Lewis JD, Neuman MD, Werner RM. Rates of Hospital Readmission Among Medicare Beneficiaries With Gastrointestinal Bleeding Vary Based on Etiology and Comorbidities. </w:t>
      </w:r>
      <w:r w:rsidRPr="0047516E">
        <w:rPr>
          <w:rFonts w:ascii="Book Antiqua" w:eastAsia="Book Antiqua" w:hAnsi="Book Antiqua" w:cs="Book Antiqua"/>
          <w:i/>
          <w:iCs/>
          <w:color w:val="000000"/>
        </w:rPr>
        <w:t>Clin Gastroenterol Hepatol</w:t>
      </w:r>
      <w:r w:rsidRPr="0047516E">
        <w:rPr>
          <w:rFonts w:ascii="Book Antiqua" w:eastAsia="Book Antiqua" w:hAnsi="Book Antiqua" w:cs="Book Antiqua"/>
          <w:color w:val="000000"/>
        </w:rPr>
        <w:t xml:space="preserve"> 2019; </w:t>
      </w:r>
      <w:r w:rsidRPr="0047516E">
        <w:rPr>
          <w:rFonts w:ascii="Book Antiqua" w:eastAsia="Book Antiqua" w:hAnsi="Book Antiqua" w:cs="Book Antiqua"/>
          <w:b/>
          <w:bCs/>
          <w:color w:val="000000"/>
        </w:rPr>
        <w:t>17</w:t>
      </w:r>
      <w:r w:rsidRPr="0047516E">
        <w:rPr>
          <w:rFonts w:ascii="Book Antiqua" w:eastAsia="Book Antiqua" w:hAnsi="Book Antiqua" w:cs="Book Antiqua"/>
          <w:color w:val="000000"/>
        </w:rPr>
        <w:t>: 90-97.e3 [PMID: 29704683 DOI: 10.1016/j.cgh.2018.04.039]</w:t>
      </w:r>
    </w:p>
    <w:p w14:paraId="49FE7AE4"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lastRenderedPageBreak/>
        <w:t xml:space="preserve">24 </w:t>
      </w:r>
      <w:r w:rsidRPr="0047516E">
        <w:rPr>
          <w:rFonts w:ascii="Book Antiqua" w:eastAsia="Book Antiqua" w:hAnsi="Book Antiqua" w:cs="Book Antiqua"/>
          <w:b/>
          <w:bCs/>
          <w:color w:val="000000"/>
        </w:rPr>
        <w:t>Surawicz CM</w:t>
      </w:r>
      <w:r w:rsidRPr="0047516E">
        <w:rPr>
          <w:rFonts w:ascii="Book Antiqua" w:eastAsia="Book Antiqua" w:hAnsi="Book Antiqua" w:cs="Book Antiqua"/>
          <w:color w:val="000000"/>
        </w:rPr>
        <w:t xml:space="preserve">, Brandt LJ, Binion DG, Ananthakrishnan AN, Curry SR, Gilligan PH, McFarland LV, Mellow M, Zuckerbraun BS. Guidelines for diagnosis, treatment, and prevention of Clostridium difficile infections. </w:t>
      </w:r>
      <w:r w:rsidRPr="0047516E">
        <w:rPr>
          <w:rFonts w:ascii="Book Antiqua" w:eastAsia="Book Antiqua" w:hAnsi="Book Antiqua" w:cs="Book Antiqua"/>
          <w:i/>
          <w:iCs/>
          <w:color w:val="000000"/>
        </w:rPr>
        <w:t>Am J Gastroenterol</w:t>
      </w:r>
      <w:r w:rsidRPr="0047516E">
        <w:rPr>
          <w:rFonts w:ascii="Book Antiqua" w:eastAsia="Book Antiqua" w:hAnsi="Book Antiqua" w:cs="Book Antiqua"/>
          <w:color w:val="000000"/>
        </w:rPr>
        <w:t xml:space="preserve"> 2013; </w:t>
      </w:r>
      <w:r w:rsidRPr="0047516E">
        <w:rPr>
          <w:rFonts w:ascii="Book Antiqua" w:eastAsia="Book Antiqua" w:hAnsi="Book Antiqua" w:cs="Book Antiqua"/>
          <w:b/>
          <w:bCs/>
          <w:color w:val="000000"/>
        </w:rPr>
        <w:t>108</w:t>
      </w:r>
      <w:r w:rsidRPr="0047516E">
        <w:rPr>
          <w:rFonts w:ascii="Book Antiqua" w:eastAsia="Book Antiqua" w:hAnsi="Book Antiqua" w:cs="Book Antiqua"/>
          <w:color w:val="000000"/>
        </w:rPr>
        <w:t>: 478-98; quiz 499 [PMID: 23439232 DOI: 10.1038/ajg.2013.4]</w:t>
      </w:r>
    </w:p>
    <w:p w14:paraId="42BD6428"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25 </w:t>
      </w:r>
      <w:r w:rsidRPr="0047516E">
        <w:rPr>
          <w:rFonts w:ascii="Book Antiqua" w:eastAsia="Book Antiqua" w:hAnsi="Book Antiqua" w:cs="Book Antiqua"/>
          <w:b/>
          <w:bCs/>
          <w:color w:val="000000"/>
        </w:rPr>
        <w:t>Singh T</w:t>
      </w:r>
      <w:r w:rsidRPr="0047516E">
        <w:rPr>
          <w:rFonts w:ascii="Book Antiqua" w:eastAsia="Book Antiqua" w:hAnsi="Book Antiqua" w:cs="Book Antiqua"/>
          <w:color w:val="000000"/>
        </w:rPr>
        <w:t xml:space="preserve">, Bedi P, Bumrah K, Singh J, Rai M, Seelam S. Updates in Treatment of Recurrent </w:t>
      </w:r>
      <w:r w:rsidRPr="0047516E">
        <w:rPr>
          <w:rFonts w:ascii="Book Antiqua" w:eastAsia="Book Antiqua" w:hAnsi="Book Antiqua" w:cs="Book Antiqua"/>
          <w:i/>
          <w:iCs/>
          <w:color w:val="000000"/>
        </w:rPr>
        <w:t>Clostridium difficile</w:t>
      </w:r>
      <w:r w:rsidRPr="0047516E">
        <w:rPr>
          <w:rFonts w:ascii="Book Antiqua" w:eastAsia="Book Antiqua" w:hAnsi="Book Antiqua" w:cs="Book Antiqua"/>
          <w:color w:val="000000"/>
        </w:rPr>
        <w:t xml:space="preserve"> Infection. </w:t>
      </w:r>
      <w:r w:rsidRPr="0047516E">
        <w:rPr>
          <w:rFonts w:ascii="Book Antiqua" w:eastAsia="Book Antiqua" w:hAnsi="Book Antiqua" w:cs="Book Antiqua"/>
          <w:i/>
          <w:iCs/>
          <w:color w:val="000000"/>
        </w:rPr>
        <w:t>J Clin Med Res</w:t>
      </w:r>
      <w:r w:rsidRPr="0047516E">
        <w:rPr>
          <w:rFonts w:ascii="Book Antiqua" w:eastAsia="Book Antiqua" w:hAnsi="Book Antiqua" w:cs="Book Antiqua"/>
          <w:color w:val="000000"/>
        </w:rPr>
        <w:t xml:space="preserve"> 2019; </w:t>
      </w:r>
      <w:r w:rsidRPr="0047516E">
        <w:rPr>
          <w:rFonts w:ascii="Book Antiqua" w:eastAsia="Book Antiqua" w:hAnsi="Book Antiqua" w:cs="Book Antiqua"/>
          <w:b/>
          <w:bCs/>
          <w:color w:val="000000"/>
        </w:rPr>
        <w:t>11</w:t>
      </w:r>
      <w:r w:rsidRPr="0047516E">
        <w:rPr>
          <w:rFonts w:ascii="Book Antiqua" w:eastAsia="Book Antiqua" w:hAnsi="Book Antiqua" w:cs="Book Antiqua"/>
          <w:color w:val="000000"/>
        </w:rPr>
        <w:t>: 465-471 [PMID: 31236163 DOI: 10.14740/jocmr3854]</w:t>
      </w:r>
    </w:p>
    <w:p w14:paraId="76B8188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26 </w:t>
      </w:r>
      <w:r w:rsidRPr="0047516E">
        <w:rPr>
          <w:rFonts w:ascii="Book Antiqua" w:eastAsia="Book Antiqua" w:hAnsi="Book Antiqua" w:cs="Book Antiqua"/>
          <w:b/>
          <w:bCs/>
          <w:color w:val="000000"/>
        </w:rPr>
        <w:t>Alonso CD</w:t>
      </w:r>
      <w:r w:rsidRPr="0047516E">
        <w:rPr>
          <w:rFonts w:ascii="Book Antiqua" w:eastAsia="Book Antiqua" w:hAnsi="Book Antiqua" w:cs="Book Antiqua"/>
          <w:color w:val="000000"/>
        </w:rPr>
        <w:t xml:space="preserve">, Mahoney MV. Bezlotoxumab for the prevention of </w:t>
      </w:r>
      <w:r w:rsidRPr="0047516E">
        <w:rPr>
          <w:rFonts w:ascii="Book Antiqua" w:eastAsia="Book Antiqua" w:hAnsi="Book Antiqua" w:cs="Book Antiqua"/>
          <w:i/>
          <w:iCs/>
          <w:color w:val="000000"/>
        </w:rPr>
        <w:t>Clostridium difficile</w:t>
      </w:r>
      <w:r w:rsidRPr="0047516E">
        <w:rPr>
          <w:rFonts w:ascii="Book Antiqua" w:eastAsia="Book Antiqua" w:hAnsi="Book Antiqua" w:cs="Book Antiqua"/>
          <w:color w:val="000000"/>
        </w:rPr>
        <w:t xml:space="preserve"> infection: a review of current evidence and safety profile. </w:t>
      </w:r>
      <w:r w:rsidRPr="0047516E">
        <w:rPr>
          <w:rFonts w:ascii="Book Antiqua" w:eastAsia="Book Antiqua" w:hAnsi="Book Antiqua" w:cs="Book Antiqua"/>
          <w:i/>
          <w:iCs/>
          <w:color w:val="000000"/>
        </w:rPr>
        <w:t>Infect Drug Resist</w:t>
      </w:r>
      <w:r w:rsidRPr="0047516E">
        <w:rPr>
          <w:rFonts w:ascii="Book Antiqua" w:eastAsia="Book Antiqua" w:hAnsi="Book Antiqua" w:cs="Book Antiqua"/>
          <w:color w:val="000000"/>
        </w:rPr>
        <w:t xml:space="preserve"> 2019; </w:t>
      </w:r>
      <w:r w:rsidRPr="0047516E">
        <w:rPr>
          <w:rFonts w:ascii="Book Antiqua" w:eastAsia="Book Antiqua" w:hAnsi="Book Antiqua" w:cs="Book Antiqua"/>
          <w:b/>
          <w:bCs/>
          <w:color w:val="000000"/>
        </w:rPr>
        <w:t>12</w:t>
      </w:r>
      <w:r w:rsidRPr="0047516E">
        <w:rPr>
          <w:rFonts w:ascii="Book Antiqua" w:eastAsia="Book Antiqua" w:hAnsi="Book Antiqua" w:cs="Book Antiqua"/>
          <w:color w:val="000000"/>
        </w:rPr>
        <w:t>: 1-9 [PMID: 30588042 DOI: 10.2147/IDR.S159957]</w:t>
      </w:r>
    </w:p>
    <w:p w14:paraId="0F914C75"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27 </w:t>
      </w:r>
      <w:r w:rsidRPr="0047516E">
        <w:rPr>
          <w:rFonts w:ascii="Book Antiqua" w:eastAsia="Book Antiqua" w:hAnsi="Book Antiqua" w:cs="Book Antiqua"/>
          <w:b/>
          <w:bCs/>
          <w:color w:val="000000"/>
        </w:rPr>
        <w:t>Whitlock TL</w:t>
      </w:r>
      <w:r w:rsidRPr="0047516E">
        <w:rPr>
          <w:rFonts w:ascii="Book Antiqua" w:eastAsia="Book Antiqua" w:hAnsi="Book Antiqua" w:cs="Book Antiqua"/>
          <w:color w:val="000000"/>
        </w:rPr>
        <w:t xml:space="preserve">, Repas K, Tignor A, Conwell D, Singh V, Banks PA, Wu BU. Early readmission in acute pancreatitis: incidence and risk factors. </w:t>
      </w:r>
      <w:r w:rsidRPr="0047516E">
        <w:rPr>
          <w:rFonts w:ascii="Book Antiqua" w:eastAsia="Book Antiqua" w:hAnsi="Book Antiqua" w:cs="Book Antiqua"/>
          <w:i/>
          <w:iCs/>
          <w:color w:val="000000"/>
        </w:rPr>
        <w:t>Am J Gastroenterol</w:t>
      </w:r>
      <w:r w:rsidRPr="0047516E">
        <w:rPr>
          <w:rFonts w:ascii="Book Antiqua" w:eastAsia="Book Antiqua" w:hAnsi="Book Antiqua" w:cs="Book Antiqua"/>
          <w:color w:val="000000"/>
        </w:rPr>
        <w:t xml:space="preserve"> 2010; </w:t>
      </w:r>
      <w:r w:rsidRPr="0047516E">
        <w:rPr>
          <w:rFonts w:ascii="Book Antiqua" w:eastAsia="Book Antiqua" w:hAnsi="Book Antiqua" w:cs="Book Antiqua"/>
          <w:b/>
          <w:bCs/>
          <w:color w:val="000000"/>
        </w:rPr>
        <w:t>105</w:t>
      </w:r>
      <w:r w:rsidRPr="0047516E">
        <w:rPr>
          <w:rFonts w:ascii="Book Antiqua" w:eastAsia="Book Antiqua" w:hAnsi="Book Antiqua" w:cs="Book Antiqua"/>
          <w:color w:val="000000"/>
        </w:rPr>
        <w:t>: 2492-2497 [PMID: 20531398 DOI: 10.1038/ajg.2010.234]</w:t>
      </w:r>
    </w:p>
    <w:p w14:paraId="542EE98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28 </w:t>
      </w:r>
      <w:r w:rsidRPr="0047516E">
        <w:rPr>
          <w:rFonts w:ascii="Book Antiqua" w:eastAsia="Book Antiqua" w:hAnsi="Book Antiqua" w:cs="Book Antiqua"/>
          <w:b/>
          <w:bCs/>
          <w:color w:val="000000"/>
        </w:rPr>
        <w:t>Vipperla K</w:t>
      </w:r>
      <w:r w:rsidRPr="0047516E">
        <w:rPr>
          <w:rFonts w:ascii="Book Antiqua" w:eastAsia="Book Antiqua" w:hAnsi="Book Antiqua" w:cs="Book Antiqua"/>
          <w:color w:val="000000"/>
        </w:rPr>
        <w:t xml:space="preserve">, Papachristou GI, Easler J, Muddana V, Slivka A, Whitcomb DC, Yadav D. Risk of and factors associated with readmission after a sentinel attack of acute pancreatitis. </w:t>
      </w:r>
      <w:r w:rsidRPr="0047516E">
        <w:rPr>
          <w:rFonts w:ascii="Book Antiqua" w:eastAsia="Book Antiqua" w:hAnsi="Book Antiqua" w:cs="Book Antiqua"/>
          <w:i/>
          <w:iCs/>
          <w:color w:val="000000"/>
        </w:rPr>
        <w:t>Clin Gastroenterol Hepatol</w:t>
      </w:r>
      <w:r w:rsidRPr="0047516E">
        <w:rPr>
          <w:rFonts w:ascii="Book Antiqua" w:eastAsia="Book Antiqua" w:hAnsi="Book Antiqua" w:cs="Book Antiqua"/>
          <w:color w:val="000000"/>
        </w:rPr>
        <w:t xml:space="preserve"> 2014; </w:t>
      </w:r>
      <w:r w:rsidRPr="0047516E">
        <w:rPr>
          <w:rFonts w:ascii="Book Antiqua" w:eastAsia="Book Antiqua" w:hAnsi="Book Antiqua" w:cs="Book Antiqua"/>
          <w:b/>
          <w:bCs/>
          <w:color w:val="000000"/>
        </w:rPr>
        <w:t>12</w:t>
      </w:r>
      <w:r w:rsidRPr="0047516E">
        <w:rPr>
          <w:rFonts w:ascii="Book Antiqua" w:eastAsia="Book Antiqua" w:hAnsi="Book Antiqua" w:cs="Book Antiqua"/>
          <w:color w:val="000000"/>
        </w:rPr>
        <w:t>: 1911-1919 [PMID: 24815327 DOI: 10.1016/j.cgh.2014.04.035]</w:t>
      </w:r>
    </w:p>
    <w:p w14:paraId="26C12B98"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29 </w:t>
      </w:r>
      <w:r w:rsidRPr="0047516E">
        <w:rPr>
          <w:rFonts w:ascii="Book Antiqua" w:eastAsia="Book Antiqua" w:hAnsi="Book Antiqua" w:cs="Book Antiqua"/>
          <w:b/>
          <w:bCs/>
          <w:color w:val="000000"/>
        </w:rPr>
        <w:t>Nordback I</w:t>
      </w:r>
      <w:r w:rsidRPr="0047516E">
        <w:rPr>
          <w:rFonts w:ascii="Book Antiqua" w:eastAsia="Book Antiqua" w:hAnsi="Book Antiqua" w:cs="Book Antiqua"/>
          <w:color w:val="000000"/>
        </w:rPr>
        <w:t xml:space="preserve">, Pelli H, Lappalainen-Lehto R, Järvinen S, Räty S, Sand J. The recurrence of acute alcohol-associated pancreatitis can be reduced: a randomized controlled trial. </w:t>
      </w:r>
      <w:r w:rsidRPr="0047516E">
        <w:rPr>
          <w:rFonts w:ascii="Book Antiqua" w:eastAsia="Book Antiqua" w:hAnsi="Book Antiqua" w:cs="Book Antiqua"/>
          <w:i/>
          <w:iCs/>
          <w:color w:val="000000"/>
        </w:rPr>
        <w:t>Gastroenterology</w:t>
      </w:r>
      <w:r w:rsidRPr="0047516E">
        <w:rPr>
          <w:rFonts w:ascii="Book Antiqua" w:eastAsia="Book Antiqua" w:hAnsi="Book Antiqua" w:cs="Book Antiqua"/>
          <w:color w:val="000000"/>
        </w:rPr>
        <w:t xml:space="preserve"> 2009; </w:t>
      </w:r>
      <w:r w:rsidRPr="0047516E">
        <w:rPr>
          <w:rFonts w:ascii="Book Antiqua" w:eastAsia="Book Antiqua" w:hAnsi="Book Antiqua" w:cs="Book Antiqua"/>
          <w:b/>
          <w:bCs/>
          <w:color w:val="000000"/>
        </w:rPr>
        <w:t>136</w:t>
      </w:r>
      <w:r w:rsidRPr="0047516E">
        <w:rPr>
          <w:rFonts w:ascii="Book Antiqua" w:eastAsia="Book Antiqua" w:hAnsi="Book Antiqua" w:cs="Book Antiqua"/>
          <w:color w:val="000000"/>
        </w:rPr>
        <w:t>: 848-855 [PMID: 19162029 DOI: 10.1053/j.gastro.2008.11.044]</w:t>
      </w:r>
    </w:p>
    <w:p w14:paraId="5BB23A5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30 </w:t>
      </w:r>
      <w:r w:rsidRPr="0047516E">
        <w:rPr>
          <w:rFonts w:ascii="Book Antiqua" w:eastAsia="Book Antiqua" w:hAnsi="Book Antiqua" w:cs="Book Antiqua"/>
          <w:b/>
          <w:bCs/>
          <w:color w:val="000000"/>
        </w:rPr>
        <w:t>Swift RM</w:t>
      </w:r>
      <w:r w:rsidRPr="0047516E">
        <w:rPr>
          <w:rFonts w:ascii="Book Antiqua" w:eastAsia="Book Antiqua" w:hAnsi="Book Antiqua" w:cs="Book Antiqua"/>
          <w:color w:val="000000"/>
        </w:rPr>
        <w:t xml:space="preserve">, Aston ER. Pharmacotherapy for alcohol use disorder: current and emerging therapies. </w:t>
      </w:r>
      <w:r w:rsidRPr="0047516E">
        <w:rPr>
          <w:rFonts w:ascii="Book Antiqua" w:eastAsia="Book Antiqua" w:hAnsi="Book Antiqua" w:cs="Book Antiqua"/>
          <w:i/>
          <w:iCs/>
          <w:color w:val="000000"/>
        </w:rPr>
        <w:t>Harv Rev Psychiatry</w:t>
      </w:r>
      <w:r w:rsidRPr="0047516E">
        <w:rPr>
          <w:rFonts w:ascii="Book Antiqua" w:eastAsia="Book Antiqua" w:hAnsi="Book Antiqua" w:cs="Book Antiqua"/>
          <w:color w:val="000000"/>
        </w:rPr>
        <w:t xml:space="preserve"> 2015; </w:t>
      </w:r>
      <w:r w:rsidRPr="0047516E">
        <w:rPr>
          <w:rFonts w:ascii="Book Antiqua" w:eastAsia="Book Antiqua" w:hAnsi="Book Antiqua" w:cs="Book Antiqua"/>
          <w:b/>
          <w:bCs/>
          <w:color w:val="000000"/>
        </w:rPr>
        <w:t>23</w:t>
      </w:r>
      <w:r w:rsidRPr="0047516E">
        <w:rPr>
          <w:rFonts w:ascii="Book Antiqua" w:eastAsia="Book Antiqua" w:hAnsi="Book Antiqua" w:cs="Book Antiqua"/>
          <w:color w:val="000000"/>
        </w:rPr>
        <w:t>: 122-133 [PMID: 25747925 DOI: 10.1097/HRP.0000000000000079]</w:t>
      </w:r>
    </w:p>
    <w:p w14:paraId="5F75DAF3"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31 </w:t>
      </w:r>
      <w:r w:rsidRPr="0047516E">
        <w:rPr>
          <w:rFonts w:ascii="Book Antiqua" w:eastAsia="Book Antiqua" w:hAnsi="Book Antiqua" w:cs="Book Antiqua"/>
          <w:b/>
          <w:bCs/>
          <w:color w:val="000000"/>
        </w:rPr>
        <w:t>Preiss D</w:t>
      </w:r>
      <w:r w:rsidRPr="0047516E">
        <w:rPr>
          <w:rFonts w:ascii="Book Antiqua" w:eastAsia="Book Antiqua" w:hAnsi="Book Antiqua" w:cs="Book Antiqua"/>
          <w:color w:val="000000"/>
        </w:rPr>
        <w:t xml:space="preserve">, Tikkanen MJ, Welsh P, Ford I, Lovato LC, Elam MB, LaRosa JC, DeMicco DA, Colhoun HM, Goldenberg I, Murphy MJ, MacDonald TM, Pedersen TR, Keech AC, Ridker PM, Kjekshus J, Sattar N, McMurray JJ. Lipid-modifying therapies and risk of pancreatitis: a meta-analysis. </w:t>
      </w:r>
      <w:r w:rsidRPr="0047516E">
        <w:rPr>
          <w:rFonts w:ascii="Book Antiqua" w:eastAsia="Book Antiqua" w:hAnsi="Book Antiqua" w:cs="Book Antiqua"/>
          <w:i/>
          <w:iCs/>
          <w:color w:val="000000"/>
        </w:rPr>
        <w:t>JAMA</w:t>
      </w:r>
      <w:r w:rsidRPr="0047516E">
        <w:rPr>
          <w:rFonts w:ascii="Book Antiqua" w:eastAsia="Book Antiqua" w:hAnsi="Book Antiqua" w:cs="Book Antiqua"/>
          <w:color w:val="000000"/>
        </w:rPr>
        <w:t xml:space="preserve"> 2012; </w:t>
      </w:r>
      <w:r w:rsidRPr="0047516E">
        <w:rPr>
          <w:rFonts w:ascii="Book Antiqua" w:eastAsia="Book Antiqua" w:hAnsi="Book Antiqua" w:cs="Book Antiqua"/>
          <w:b/>
          <w:bCs/>
          <w:color w:val="000000"/>
        </w:rPr>
        <w:t>308</w:t>
      </w:r>
      <w:r w:rsidRPr="0047516E">
        <w:rPr>
          <w:rFonts w:ascii="Book Antiqua" w:eastAsia="Book Antiqua" w:hAnsi="Book Antiqua" w:cs="Book Antiqua"/>
          <w:color w:val="000000"/>
        </w:rPr>
        <w:t>: 804-811 [PMID: 22910758 DOI: 10.1001/jama.2012.8439]</w:t>
      </w:r>
    </w:p>
    <w:p w14:paraId="475D7BF6"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lastRenderedPageBreak/>
        <w:t xml:space="preserve">32 </w:t>
      </w:r>
      <w:r w:rsidRPr="0047516E">
        <w:rPr>
          <w:rFonts w:ascii="Book Antiqua" w:eastAsia="Book Antiqua" w:hAnsi="Book Antiqua" w:cs="Book Antiqua"/>
          <w:b/>
          <w:bCs/>
          <w:color w:val="000000"/>
        </w:rPr>
        <w:t>Piolot A</w:t>
      </w:r>
      <w:r w:rsidRPr="0047516E">
        <w:rPr>
          <w:rFonts w:ascii="Book Antiqua" w:eastAsia="Book Antiqua" w:hAnsi="Book Antiqua" w:cs="Book Antiqua"/>
          <w:color w:val="000000"/>
        </w:rPr>
        <w:t xml:space="preserve">, Nadler F, Cavallero E, Coquard JL, Jacotot B. Prevention of recurrent acute pancreatitis in patients with severe hypertriglyceridemia: value of regular plasmapheresis. </w:t>
      </w:r>
      <w:r w:rsidRPr="0047516E">
        <w:rPr>
          <w:rFonts w:ascii="Book Antiqua" w:eastAsia="Book Antiqua" w:hAnsi="Book Antiqua" w:cs="Book Antiqua"/>
          <w:i/>
          <w:iCs/>
          <w:color w:val="000000"/>
        </w:rPr>
        <w:t>Pancreas</w:t>
      </w:r>
      <w:r w:rsidRPr="0047516E">
        <w:rPr>
          <w:rFonts w:ascii="Book Antiqua" w:eastAsia="Book Antiqua" w:hAnsi="Book Antiqua" w:cs="Book Antiqua"/>
          <w:color w:val="000000"/>
        </w:rPr>
        <w:t xml:space="preserve"> 1996; </w:t>
      </w:r>
      <w:r w:rsidRPr="0047516E">
        <w:rPr>
          <w:rFonts w:ascii="Book Antiqua" w:eastAsia="Book Antiqua" w:hAnsi="Book Antiqua" w:cs="Book Antiqua"/>
          <w:b/>
          <w:bCs/>
          <w:color w:val="000000"/>
        </w:rPr>
        <w:t>13</w:t>
      </w:r>
      <w:r w:rsidRPr="0047516E">
        <w:rPr>
          <w:rFonts w:ascii="Book Antiqua" w:eastAsia="Book Antiqua" w:hAnsi="Book Antiqua" w:cs="Book Antiqua"/>
          <w:color w:val="000000"/>
        </w:rPr>
        <w:t>: 96-99 [PMID: 8783340 DOI: 10.1097/00006676-199607000-00013]</w:t>
      </w:r>
    </w:p>
    <w:p w14:paraId="6869647B"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33 </w:t>
      </w:r>
      <w:r w:rsidRPr="0047516E">
        <w:rPr>
          <w:rFonts w:ascii="Book Antiqua" w:eastAsia="Book Antiqua" w:hAnsi="Book Antiqua" w:cs="Book Antiqua"/>
          <w:b/>
          <w:bCs/>
          <w:color w:val="000000"/>
        </w:rPr>
        <w:t>Pisters R</w:t>
      </w:r>
      <w:r w:rsidRPr="0047516E">
        <w:rPr>
          <w:rFonts w:ascii="Book Antiqua" w:eastAsia="Book Antiqua" w:hAnsi="Book Antiqua" w:cs="Book Antiqua"/>
          <w:color w:val="000000"/>
        </w:rPr>
        <w:t xml:space="preserve">, Lane DA, Nieuwlaat R, de Vos CB, Crijns HJ, Lip GY. A novel user-friendly score (HAS-BLED) to assess 1-year risk of major bleeding in patients with atrial fibrillation: the Euro Heart Survey. </w:t>
      </w:r>
      <w:r w:rsidRPr="0047516E">
        <w:rPr>
          <w:rFonts w:ascii="Book Antiqua" w:eastAsia="Book Antiqua" w:hAnsi="Book Antiqua" w:cs="Book Antiqua"/>
          <w:i/>
          <w:iCs/>
          <w:color w:val="000000"/>
        </w:rPr>
        <w:t>Chest</w:t>
      </w:r>
      <w:r w:rsidRPr="0047516E">
        <w:rPr>
          <w:rFonts w:ascii="Book Antiqua" w:eastAsia="Book Antiqua" w:hAnsi="Book Antiqua" w:cs="Book Antiqua"/>
          <w:color w:val="000000"/>
        </w:rPr>
        <w:t xml:space="preserve"> 2010; </w:t>
      </w:r>
      <w:r w:rsidRPr="0047516E">
        <w:rPr>
          <w:rFonts w:ascii="Book Antiqua" w:eastAsia="Book Antiqua" w:hAnsi="Book Antiqua" w:cs="Book Antiqua"/>
          <w:b/>
          <w:bCs/>
          <w:color w:val="000000"/>
        </w:rPr>
        <w:t>138</w:t>
      </w:r>
      <w:r w:rsidRPr="0047516E">
        <w:rPr>
          <w:rFonts w:ascii="Book Antiqua" w:eastAsia="Book Antiqua" w:hAnsi="Book Antiqua" w:cs="Book Antiqua"/>
          <w:color w:val="000000"/>
        </w:rPr>
        <w:t>: 1093-1100 [PMID: 20299623 DOI: 10.1378/chest.10-0134]</w:t>
      </w:r>
    </w:p>
    <w:p w14:paraId="2E40B3E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34 </w:t>
      </w:r>
      <w:r w:rsidRPr="0047516E">
        <w:rPr>
          <w:rFonts w:ascii="Book Antiqua" w:eastAsia="Book Antiqua" w:hAnsi="Book Antiqua" w:cs="Book Antiqua"/>
          <w:b/>
          <w:bCs/>
          <w:color w:val="000000"/>
        </w:rPr>
        <w:t>Attenello FJ</w:t>
      </w:r>
      <w:r w:rsidRPr="0047516E">
        <w:rPr>
          <w:rFonts w:ascii="Book Antiqua" w:eastAsia="Book Antiqua" w:hAnsi="Book Antiqua" w:cs="Book Antiqua"/>
          <w:color w:val="000000"/>
        </w:rPr>
        <w:t xml:space="preserve">, Mack WJ. Pitfalls of administrative database analysis are evident when assessing the 'weekend effect' in stroke. </w:t>
      </w:r>
      <w:r w:rsidRPr="0047516E">
        <w:rPr>
          <w:rFonts w:ascii="Book Antiqua" w:eastAsia="Book Antiqua" w:hAnsi="Book Antiqua" w:cs="Book Antiqua"/>
          <w:i/>
          <w:iCs/>
          <w:color w:val="000000"/>
        </w:rPr>
        <w:t>Evid Based Med</w:t>
      </w:r>
      <w:r w:rsidRPr="0047516E">
        <w:rPr>
          <w:rFonts w:ascii="Book Antiqua" w:eastAsia="Book Antiqua" w:hAnsi="Book Antiqua" w:cs="Book Antiqua"/>
          <w:color w:val="000000"/>
        </w:rPr>
        <w:t xml:space="preserve"> 2017; </w:t>
      </w:r>
      <w:r w:rsidRPr="0047516E">
        <w:rPr>
          <w:rFonts w:ascii="Book Antiqua" w:eastAsia="Book Antiqua" w:hAnsi="Book Antiqua" w:cs="Book Antiqua"/>
          <w:b/>
          <w:bCs/>
          <w:color w:val="000000"/>
        </w:rPr>
        <w:t>22</w:t>
      </w:r>
      <w:r w:rsidRPr="0047516E">
        <w:rPr>
          <w:rFonts w:ascii="Book Antiqua" w:eastAsia="Book Antiqua" w:hAnsi="Book Antiqua" w:cs="Book Antiqua"/>
          <w:color w:val="000000"/>
        </w:rPr>
        <w:t>: 35 [PMID: 27815303 DOI: 10.1136/ebmed-2016-110557]</w:t>
      </w:r>
    </w:p>
    <w:p w14:paraId="03426A0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 xml:space="preserve">35 </w:t>
      </w:r>
      <w:r w:rsidRPr="0047516E">
        <w:rPr>
          <w:rFonts w:ascii="Book Antiqua" w:eastAsia="Book Antiqua" w:hAnsi="Book Antiqua" w:cs="Book Antiqua"/>
          <w:b/>
          <w:bCs/>
          <w:color w:val="000000"/>
        </w:rPr>
        <w:t>Hashimoto RE</w:t>
      </w:r>
      <w:r w:rsidRPr="0047516E">
        <w:rPr>
          <w:rFonts w:ascii="Book Antiqua" w:eastAsia="Book Antiqua" w:hAnsi="Book Antiqua" w:cs="Book Antiqua"/>
          <w:color w:val="000000"/>
        </w:rPr>
        <w:t xml:space="preserve">, Brodt ED, Skelly AC, Dettori JR. Administrative database studies: goldmine or goose chase? </w:t>
      </w:r>
      <w:r w:rsidRPr="0047516E">
        <w:rPr>
          <w:rFonts w:ascii="Book Antiqua" w:eastAsia="Book Antiqua" w:hAnsi="Book Antiqua" w:cs="Book Antiqua"/>
          <w:i/>
          <w:iCs/>
          <w:color w:val="000000"/>
        </w:rPr>
        <w:t>Evid Based Spine Care J</w:t>
      </w:r>
      <w:r w:rsidRPr="0047516E">
        <w:rPr>
          <w:rFonts w:ascii="Book Antiqua" w:eastAsia="Book Antiqua" w:hAnsi="Book Antiqua" w:cs="Book Antiqua"/>
          <w:color w:val="000000"/>
        </w:rPr>
        <w:t xml:space="preserve"> 2014; </w:t>
      </w:r>
      <w:r w:rsidRPr="0047516E">
        <w:rPr>
          <w:rFonts w:ascii="Book Antiqua" w:eastAsia="Book Antiqua" w:hAnsi="Book Antiqua" w:cs="Book Antiqua"/>
          <w:b/>
          <w:bCs/>
          <w:color w:val="000000"/>
        </w:rPr>
        <w:t>5</w:t>
      </w:r>
      <w:r w:rsidRPr="0047516E">
        <w:rPr>
          <w:rFonts w:ascii="Book Antiqua" w:eastAsia="Book Antiqua" w:hAnsi="Book Antiqua" w:cs="Book Antiqua"/>
          <w:color w:val="000000"/>
        </w:rPr>
        <w:t>: 74-76 [PMID: 25278880 DOI: 10.1055/s-0034-1390027]</w:t>
      </w:r>
    </w:p>
    <w:p w14:paraId="25E96DF9" w14:textId="77777777" w:rsidR="00A77B3E" w:rsidRPr="0047516E" w:rsidRDefault="00A77B3E" w:rsidP="0047516E">
      <w:pPr>
        <w:adjustRightInd w:val="0"/>
        <w:snapToGrid w:val="0"/>
        <w:spacing w:line="360" w:lineRule="auto"/>
        <w:jc w:val="both"/>
        <w:rPr>
          <w:rFonts w:ascii="Book Antiqua" w:hAnsi="Book Antiqua"/>
        </w:rPr>
      </w:pPr>
      <w:r w:rsidRPr="0047516E">
        <w:rPr>
          <w:rFonts w:ascii="Book Antiqua" w:hAnsi="Book Antiqua"/>
        </w:rPr>
        <w:br w:type="page"/>
      </w:r>
      <w:r w:rsidR="00722A3E" w:rsidRPr="0047516E">
        <w:rPr>
          <w:rFonts w:ascii="Book Antiqua" w:eastAsia="Book Antiqua" w:hAnsi="Book Antiqua" w:cs="Book Antiqua"/>
          <w:b/>
          <w:color w:val="000000"/>
        </w:rPr>
        <w:lastRenderedPageBreak/>
        <w:t>Footnotes</w:t>
      </w:r>
    </w:p>
    <w:p w14:paraId="59D4943A"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Institutional review board statement: </w:t>
      </w:r>
      <w:bookmarkStart w:id="50" w:name="OLE_LINK48"/>
      <w:bookmarkStart w:id="51" w:name="OLE_LINK49"/>
      <w:r w:rsidRPr="0047516E">
        <w:rPr>
          <w:rFonts w:ascii="Book Antiqua" w:eastAsia="Book Antiqua" w:hAnsi="Book Antiqua" w:cs="Book Antiqua"/>
          <w:color w:val="000000"/>
        </w:rPr>
        <w:t>Data for this study was obtained from querying the Nationwide Readmission Database (2013) and the Nationwide Inpatient Sample (2012). Institutional Review Board approval was not necessary for a population-based public data set based on The Ohio State University Data and Specimen Policy and Human Subjects Research Policy.</w:t>
      </w:r>
    </w:p>
    <w:bookmarkEnd w:id="50"/>
    <w:bookmarkEnd w:id="51"/>
    <w:p w14:paraId="4B47482A" w14:textId="77777777" w:rsidR="00A77B3E" w:rsidRPr="0047516E" w:rsidRDefault="00A77B3E" w:rsidP="0047516E">
      <w:pPr>
        <w:adjustRightInd w:val="0"/>
        <w:snapToGrid w:val="0"/>
        <w:spacing w:line="360" w:lineRule="auto"/>
        <w:jc w:val="both"/>
        <w:rPr>
          <w:rFonts w:ascii="Book Antiqua" w:hAnsi="Book Antiqua"/>
        </w:rPr>
      </w:pPr>
    </w:p>
    <w:p w14:paraId="0E9D1844" w14:textId="689CE5CD" w:rsidR="008D440B" w:rsidRPr="0047516E" w:rsidRDefault="008D440B" w:rsidP="0047516E">
      <w:pPr>
        <w:adjustRightInd w:val="0"/>
        <w:snapToGrid w:val="0"/>
        <w:spacing w:line="360" w:lineRule="auto"/>
        <w:jc w:val="both"/>
        <w:rPr>
          <w:rFonts w:ascii="Book Antiqua" w:hAnsi="Book Antiqua" w:cs="Book Antiqua"/>
          <w:bCs/>
          <w:color w:val="000000"/>
          <w:lang w:eastAsia="zh-CN"/>
        </w:rPr>
      </w:pPr>
      <w:r w:rsidRPr="0047516E">
        <w:rPr>
          <w:rFonts w:ascii="Book Antiqua" w:eastAsia="Book Antiqua" w:hAnsi="Book Antiqua" w:cs="Book Antiqua"/>
          <w:b/>
          <w:bCs/>
          <w:color w:val="000000"/>
        </w:rPr>
        <w:t xml:space="preserve">Informed consent statement: </w:t>
      </w:r>
      <w:bookmarkStart w:id="52" w:name="OLE_LINK54"/>
      <w:bookmarkStart w:id="53" w:name="OLE_LINK55"/>
      <w:r w:rsidRPr="0047516E">
        <w:rPr>
          <w:rFonts w:ascii="Book Antiqua" w:eastAsia="Book Antiqua" w:hAnsi="Book Antiqua" w:cs="Book Antiqua"/>
          <w:bCs/>
          <w:color w:val="000000"/>
        </w:rPr>
        <w:t>Informed consent approval was not necessary for a population-based public data set based on The Ohio State University Data and Specimen Policy and Human Subjects Research Policy.</w:t>
      </w:r>
    </w:p>
    <w:bookmarkEnd w:id="52"/>
    <w:bookmarkEnd w:id="53"/>
    <w:p w14:paraId="41B62FA0" w14:textId="77777777" w:rsidR="008D440B" w:rsidRPr="0047516E" w:rsidRDefault="008D440B" w:rsidP="0047516E">
      <w:pPr>
        <w:adjustRightInd w:val="0"/>
        <w:snapToGrid w:val="0"/>
        <w:spacing w:line="360" w:lineRule="auto"/>
        <w:jc w:val="both"/>
        <w:rPr>
          <w:rFonts w:ascii="Book Antiqua" w:eastAsia="Book Antiqua" w:hAnsi="Book Antiqua" w:cs="Book Antiqua"/>
          <w:b/>
          <w:bCs/>
          <w:color w:val="000000"/>
        </w:rPr>
      </w:pPr>
    </w:p>
    <w:p w14:paraId="08A85DF6" w14:textId="00CDCE41"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Conflict-of-interest statement</w:t>
      </w:r>
      <w:bookmarkStart w:id="54" w:name="OLE_LINK52"/>
      <w:bookmarkStart w:id="55" w:name="OLE_LINK53"/>
      <w:r w:rsidRPr="0047516E">
        <w:rPr>
          <w:rFonts w:ascii="Book Antiqua" w:eastAsia="Book Antiqua" w:hAnsi="Book Antiqua" w:cs="Book Antiqua"/>
          <w:b/>
          <w:bCs/>
          <w:color w:val="000000"/>
        </w:rPr>
        <w:t>:</w:t>
      </w:r>
      <w:bookmarkEnd w:id="54"/>
      <w:bookmarkEnd w:id="55"/>
      <w:r w:rsidRPr="0047516E">
        <w:rPr>
          <w:rFonts w:ascii="Book Antiqua" w:eastAsia="Book Antiqua" w:hAnsi="Book Antiqua" w:cs="Book Antiqua"/>
          <w:b/>
          <w:bCs/>
          <w:color w:val="000000"/>
        </w:rPr>
        <w:t xml:space="preserve"> </w:t>
      </w:r>
      <w:r w:rsidRPr="0047516E">
        <w:rPr>
          <w:rFonts w:ascii="Book Antiqua" w:eastAsia="Book Antiqua" w:hAnsi="Book Antiqua" w:cs="Book Antiqua"/>
          <w:color w:val="000000"/>
        </w:rPr>
        <w:t xml:space="preserve">There is no conflict of interest associated with any of the senior author or other coauthors contributed their efforts in this manuscript. </w:t>
      </w:r>
    </w:p>
    <w:p w14:paraId="3E294CA8" w14:textId="77777777" w:rsidR="00A77B3E" w:rsidRPr="0047516E" w:rsidRDefault="00A77B3E" w:rsidP="0047516E">
      <w:pPr>
        <w:adjustRightInd w:val="0"/>
        <w:snapToGrid w:val="0"/>
        <w:spacing w:line="360" w:lineRule="auto"/>
        <w:jc w:val="both"/>
        <w:rPr>
          <w:rFonts w:ascii="Book Antiqua" w:hAnsi="Book Antiqua"/>
        </w:rPr>
      </w:pPr>
    </w:p>
    <w:p w14:paraId="516E9BE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Data sharing statement: </w:t>
      </w:r>
      <w:r w:rsidRPr="0047516E">
        <w:rPr>
          <w:rFonts w:ascii="Book Antiqua" w:eastAsia="Book Antiqua" w:hAnsi="Book Antiqua" w:cs="Book Antiqua"/>
          <w:color w:val="000000"/>
        </w:rPr>
        <w:t xml:space="preserve">Data for this study was obtained from querying the Nationwide Readmission Database (2013) and the Nationwide Inpatient Sample (2012). </w:t>
      </w:r>
      <w:r w:rsidRPr="0047516E">
        <w:rPr>
          <w:rFonts w:ascii="Book Antiqua" w:eastAsia="Book Antiqua" w:hAnsi="Book Antiqua" w:cs="Book Antiqua"/>
          <w:color w:val="000000"/>
          <w:shd w:val="clear" w:color="auto" w:fill="FFFFFF"/>
        </w:rPr>
        <w:t>No additional data are available</w:t>
      </w:r>
      <w:r w:rsidRPr="0047516E">
        <w:rPr>
          <w:rFonts w:ascii="Book Antiqua" w:eastAsia="Book Antiqua" w:hAnsi="Book Antiqua" w:cs="Book Antiqua"/>
          <w:color w:val="000000"/>
        </w:rPr>
        <w:t>.</w:t>
      </w:r>
    </w:p>
    <w:p w14:paraId="1B5FC2B7" w14:textId="77777777" w:rsidR="00A77B3E" w:rsidRPr="0047516E" w:rsidRDefault="00A77B3E" w:rsidP="0047516E">
      <w:pPr>
        <w:adjustRightInd w:val="0"/>
        <w:snapToGrid w:val="0"/>
        <w:spacing w:line="360" w:lineRule="auto"/>
        <w:jc w:val="both"/>
        <w:rPr>
          <w:rFonts w:ascii="Book Antiqua" w:hAnsi="Book Antiqua"/>
        </w:rPr>
      </w:pPr>
    </w:p>
    <w:p w14:paraId="43BD9922"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 xml:space="preserve">Open-Access: </w:t>
      </w:r>
      <w:bookmarkStart w:id="56" w:name="OLE_LINK6"/>
      <w:bookmarkStart w:id="57" w:name="OLE_LINK7"/>
      <w:r w:rsidRPr="0047516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6"/>
      <w:bookmarkEnd w:id="57"/>
    </w:p>
    <w:p w14:paraId="5BA87F19" w14:textId="77777777" w:rsidR="00A77B3E" w:rsidRPr="0047516E" w:rsidRDefault="00A77B3E" w:rsidP="0047516E">
      <w:pPr>
        <w:adjustRightInd w:val="0"/>
        <w:snapToGrid w:val="0"/>
        <w:spacing w:line="360" w:lineRule="auto"/>
        <w:jc w:val="both"/>
        <w:rPr>
          <w:rFonts w:ascii="Book Antiqua" w:hAnsi="Book Antiqua"/>
        </w:rPr>
      </w:pPr>
    </w:p>
    <w:p w14:paraId="6A20C270" w14:textId="213F90E2" w:rsidR="00A77B3E" w:rsidRPr="0047516E" w:rsidRDefault="00722A3E" w:rsidP="0047516E">
      <w:pPr>
        <w:adjustRightInd w:val="0"/>
        <w:snapToGrid w:val="0"/>
        <w:spacing w:line="360" w:lineRule="auto"/>
        <w:jc w:val="both"/>
        <w:rPr>
          <w:rFonts w:ascii="Book Antiqua" w:eastAsia="Book Antiqua" w:hAnsi="Book Antiqua" w:cs="Book Antiqua"/>
          <w:color w:val="000000"/>
        </w:rPr>
      </w:pPr>
      <w:r w:rsidRPr="0047516E">
        <w:rPr>
          <w:rFonts w:ascii="Book Antiqua" w:eastAsia="Book Antiqua" w:hAnsi="Book Antiqua" w:cs="Book Antiqua"/>
          <w:b/>
          <w:color w:val="000000"/>
        </w:rPr>
        <w:t xml:space="preserve">Manuscript source: </w:t>
      </w:r>
      <w:r w:rsidRPr="0047516E">
        <w:rPr>
          <w:rFonts w:ascii="Book Antiqua" w:eastAsia="Book Antiqua" w:hAnsi="Book Antiqua" w:cs="Book Antiqua"/>
          <w:color w:val="000000"/>
        </w:rPr>
        <w:t xml:space="preserve">Invited </w:t>
      </w:r>
      <w:r w:rsidR="00E008B6" w:rsidRPr="0047516E">
        <w:rPr>
          <w:rFonts w:ascii="Book Antiqua" w:eastAsia="Book Antiqua" w:hAnsi="Book Antiqua" w:cs="Book Antiqua"/>
          <w:color w:val="000000"/>
        </w:rPr>
        <w:t>manuscript</w:t>
      </w:r>
    </w:p>
    <w:p w14:paraId="5C5F0BF1" w14:textId="77777777" w:rsidR="00E008B6" w:rsidRPr="0047516E" w:rsidRDefault="00E008B6" w:rsidP="0047516E">
      <w:pPr>
        <w:adjustRightInd w:val="0"/>
        <w:snapToGrid w:val="0"/>
        <w:spacing w:line="360" w:lineRule="auto"/>
        <w:jc w:val="both"/>
        <w:rPr>
          <w:rFonts w:ascii="Book Antiqua" w:hAnsi="Book Antiqua"/>
        </w:rPr>
      </w:pPr>
    </w:p>
    <w:p w14:paraId="05D03329" w14:textId="4F4DCC0E"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lastRenderedPageBreak/>
        <w:t xml:space="preserve">Corresponding Author's Membership in Professional Societies: </w:t>
      </w:r>
      <w:r w:rsidRPr="0047516E">
        <w:rPr>
          <w:rFonts w:ascii="Book Antiqua" w:eastAsia="Book Antiqua" w:hAnsi="Book Antiqua" w:cs="Book Antiqua"/>
          <w:color w:val="000000"/>
        </w:rPr>
        <w:t xml:space="preserve">American College of </w:t>
      </w:r>
      <w:r w:rsidR="00E008B6" w:rsidRPr="0047516E">
        <w:rPr>
          <w:rFonts w:ascii="Book Antiqua" w:eastAsia="Book Antiqua" w:hAnsi="Book Antiqua" w:cs="Book Antiqua"/>
          <w:color w:val="000000"/>
        </w:rPr>
        <w:t>Gastroenterology</w:t>
      </w:r>
      <w:r w:rsidRPr="0047516E">
        <w:rPr>
          <w:rFonts w:ascii="Book Antiqua" w:eastAsia="Book Antiqua" w:hAnsi="Book Antiqua" w:cs="Book Antiqua"/>
          <w:color w:val="000000"/>
        </w:rPr>
        <w:t xml:space="preserve">; American Society </w:t>
      </w:r>
      <w:r w:rsidR="00E008B6" w:rsidRPr="0047516E">
        <w:rPr>
          <w:rFonts w:ascii="Book Antiqua" w:eastAsia="Book Antiqua" w:hAnsi="Book Antiqua" w:cs="Book Antiqua"/>
          <w:color w:val="000000"/>
        </w:rPr>
        <w:t>for Gastrointestinal Endoscopy</w:t>
      </w:r>
      <w:r w:rsidRPr="0047516E">
        <w:rPr>
          <w:rFonts w:ascii="Book Antiqua" w:eastAsia="Book Antiqua" w:hAnsi="Book Antiqua" w:cs="Book Antiqua"/>
          <w:color w:val="000000"/>
        </w:rPr>
        <w:t xml:space="preserve">; </w:t>
      </w:r>
      <w:r w:rsidR="004F675D">
        <w:rPr>
          <w:rFonts w:ascii="Book Antiqua" w:eastAsia="Book Antiqua" w:hAnsi="Book Antiqua" w:cs="Book Antiqua"/>
          <w:color w:val="000000"/>
        </w:rPr>
        <w:t xml:space="preserve">and </w:t>
      </w:r>
      <w:r w:rsidRPr="0047516E">
        <w:rPr>
          <w:rFonts w:ascii="Book Antiqua" w:eastAsia="Book Antiqua" w:hAnsi="Book Antiqua" w:cs="Book Antiqua"/>
          <w:color w:val="000000"/>
        </w:rPr>
        <w:t>American G</w:t>
      </w:r>
      <w:r w:rsidR="00E008B6" w:rsidRPr="0047516E">
        <w:rPr>
          <w:rFonts w:ascii="Book Antiqua" w:eastAsia="Book Antiqua" w:hAnsi="Book Antiqua" w:cs="Book Antiqua"/>
          <w:color w:val="000000"/>
        </w:rPr>
        <w:t>astroenterological Association</w:t>
      </w:r>
      <w:r w:rsidRPr="0047516E">
        <w:rPr>
          <w:rFonts w:ascii="Book Antiqua" w:eastAsia="Book Antiqua" w:hAnsi="Book Antiqua" w:cs="Book Antiqua"/>
          <w:color w:val="000000"/>
        </w:rPr>
        <w:t>.</w:t>
      </w:r>
    </w:p>
    <w:p w14:paraId="1F4751A9" w14:textId="77777777" w:rsidR="00A77B3E" w:rsidRPr="0047516E" w:rsidRDefault="00A77B3E" w:rsidP="0047516E">
      <w:pPr>
        <w:adjustRightInd w:val="0"/>
        <w:snapToGrid w:val="0"/>
        <w:spacing w:line="360" w:lineRule="auto"/>
        <w:jc w:val="both"/>
        <w:rPr>
          <w:rFonts w:ascii="Book Antiqua" w:hAnsi="Book Antiqua"/>
        </w:rPr>
      </w:pPr>
    </w:p>
    <w:p w14:paraId="0E1488DB"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Peer-review started: </w:t>
      </w:r>
      <w:r w:rsidRPr="0047516E">
        <w:rPr>
          <w:rFonts w:ascii="Book Antiqua" w:eastAsia="Book Antiqua" w:hAnsi="Book Antiqua" w:cs="Book Antiqua"/>
          <w:color w:val="000000"/>
        </w:rPr>
        <w:t>November 12, 2020</w:t>
      </w:r>
    </w:p>
    <w:p w14:paraId="44D2DF7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First decision: </w:t>
      </w:r>
      <w:r w:rsidRPr="0047516E">
        <w:rPr>
          <w:rFonts w:ascii="Book Antiqua" w:eastAsia="Book Antiqua" w:hAnsi="Book Antiqua" w:cs="Book Antiqua"/>
          <w:color w:val="000000"/>
        </w:rPr>
        <w:t>December 12, 2020</w:t>
      </w:r>
    </w:p>
    <w:p w14:paraId="68D3FB5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Article in press: </w:t>
      </w:r>
    </w:p>
    <w:p w14:paraId="275E6FBB" w14:textId="77777777" w:rsidR="00A77B3E" w:rsidRPr="0047516E" w:rsidRDefault="00A77B3E" w:rsidP="0047516E">
      <w:pPr>
        <w:adjustRightInd w:val="0"/>
        <w:snapToGrid w:val="0"/>
        <w:spacing w:line="360" w:lineRule="auto"/>
        <w:jc w:val="both"/>
        <w:rPr>
          <w:rFonts w:ascii="Book Antiqua" w:hAnsi="Book Antiqua"/>
        </w:rPr>
      </w:pPr>
    </w:p>
    <w:p w14:paraId="6CF13013" w14:textId="170888D1"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Specialty type: </w:t>
      </w:r>
      <w:r w:rsidRPr="0047516E">
        <w:rPr>
          <w:rFonts w:ascii="Book Antiqua" w:eastAsia="Book Antiqua" w:hAnsi="Book Antiqua" w:cs="Book Antiqua"/>
          <w:color w:val="000000"/>
        </w:rPr>
        <w:t xml:space="preserve">Gastroenterology and </w:t>
      </w:r>
      <w:r w:rsidR="00E008B6" w:rsidRPr="0047516E">
        <w:rPr>
          <w:rFonts w:ascii="Book Antiqua" w:eastAsia="Book Antiqua" w:hAnsi="Book Antiqua" w:cs="Book Antiqua"/>
          <w:color w:val="000000"/>
        </w:rPr>
        <w:t>hepatology</w:t>
      </w:r>
    </w:p>
    <w:p w14:paraId="7BCE2C41"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 xml:space="preserve">Country/Territory of origin: </w:t>
      </w:r>
      <w:r w:rsidRPr="0047516E">
        <w:rPr>
          <w:rFonts w:ascii="Book Antiqua" w:eastAsia="Book Antiqua" w:hAnsi="Book Antiqua" w:cs="Book Antiqua"/>
          <w:color w:val="000000"/>
        </w:rPr>
        <w:t>United States</w:t>
      </w:r>
    </w:p>
    <w:p w14:paraId="2F84B46C"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color w:val="000000"/>
        </w:rPr>
        <w:t>Peer-review report’s scientific quality classification</w:t>
      </w:r>
    </w:p>
    <w:p w14:paraId="110A61FD"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A (Excellent): A</w:t>
      </w:r>
    </w:p>
    <w:p w14:paraId="565DD6B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B (Very good): B</w:t>
      </w:r>
    </w:p>
    <w:p w14:paraId="6902FFF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C (Good): 0</w:t>
      </w:r>
    </w:p>
    <w:p w14:paraId="3322D6F7"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D (Fair): 0</w:t>
      </w:r>
    </w:p>
    <w:p w14:paraId="5A9D7D99" w14:textId="77777777"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color w:val="000000"/>
        </w:rPr>
        <w:t>Grade E (Poor): 0</w:t>
      </w:r>
    </w:p>
    <w:p w14:paraId="66E83570" w14:textId="77777777" w:rsidR="00A77B3E" w:rsidRPr="0047516E" w:rsidRDefault="00A77B3E" w:rsidP="0047516E">
      <w:pPr>
        <w:adjustRightInd w:val="0"/>
        <w:snapToGrid w:val="0"/>
        <w:spacing w:line="360" w:lineRule="auto"/>
        <w:jc w:val="both"/>
        <w:rPr>
          <w:rFonts w:ascii="Book Antiqua" w:hAnsi="Book Antiqua"/>
        </w:rPr>
      </w:pPr>
    </w:p>
    <w:p w14:paraId="3D758634" w14:textId="00B0678F" w:rsidR="00E008B6" w:rsidRPr="0047516E" w:rsidRDefault="00722A3E" w:rsidP="0047516E">
      <w:pPr>
        <w:adjustRightInd w:val="0"/>
        <w:snapToGrid w:val="0"/>
        <w:spacing w:line="360" w:lineRule="auto"/>
        <w:jc w:val="both"/>
        <w:rPr>
          <w:rFonts w:ascii="Book Antiqua" w:eastAsia="Book Antiqua" w:hAnsi="Book Antiqua" w:cs="Book Antiqua"/>
          <w:b/>
          <w:color w:val="000000"/>
        </w:rPr>
      </w:pPr>
      <w:r w:rsidRPr="0047516E">
        <w:rPr>
          <w:rFonts w:ascii="Book Antiqua" w:eastAsia="Book Antiqua" w:hAnsi="Book Antiqua" w:cs="Book Antiqua"/>
          <w:b/>
          <w:color w:val="000000"/>
        </w:rPr>
        <w:t xml:space="preserve">P-Reviewer: </w:t>
      </w:r>
      <w:r w:rsidRPr="0047516E">
        <w:rPr>
          <w:rFonts w:ascii="Book Antiqua" w:eastAsia="Book Antiqua" w:hAnsi="Book Antiqua" w:cs="Book Antiqua"/>
          <w:color w:val="000000"/>
        </w:rPr>
        <w:t>Cao ZF, Tashkandi E</w:t>
      </w:r>
      <w:r w:rsidRPr="0047516E">
        <w:rPr>
          <w:rFonts w:ascii="Book Antiqua" w:eastAsia="Book Antiqua" w:hAnsi="Book Antiqua" w:cs="Book Antiqua"/>
          <w:b/>
          <w:color w:val="000000"/>
        </w:rPr>
        <w:t xml:space="preserve"> S-Editor: </w:t>
      </w:r>
      <w:r w:rsidRPr="0047516E">
        <w:rPr>
          <w:rFonts w:ascii="Book Antiqua" w:eastAsia="Book Antiqua" w:hAnsi="Book Antiqua" w:cs="Book Antiqua"/>
          <w:color w:val="000000"/>
        </w:rPr>
        <w:t>Zhang L</w:t>
      </w:r>
      <w:r w:rsidRPr="0047516E">
        <w:rPr>
          <w:rFonts w:ascii="Book Antiqua" w:eastAsia="Book Antiqua" w:hAnsi="Book Antiqua" w:cs="Book Antiqua"/>
          <w:b/>
          <w:color w:val="000000"/>
        </w:rPr>
        <w:t xml:space="preserve"> L-Editor:</w:t>
      </w:r>
      <w:r w:rsidR="00E008B6" w:rsidRPr="0047516E">
        <w:rPr>
          <w:rFonts w:ascii="Book Antiqua" w:eastAsia="Book Antiqua" w:hAnsi="Book Antiqua" w:cs="Book Antiqua"/>
          <w:b/>
          <w:color w:val="000000"/>
        </w:rPr>
        <w:t xml:space="preserve"> </w:t>
      </w:r>
      <w:r w:rsidRPr="0047516E">
        <w:rPr>
          <w:rFonts w:ascii="Book Antiqua" w:eastAsia="Book Antiqua" w:hAnsi="Book Antiqua" w:cs="Book Antiqua"/>
          <w:b/>
          <w:color w:val="000000"/>
        </w:rPr>
        <w:t xml:space="preserve">P-Editor: </w:t>
      </w:r>
    </w:p>
    <w:p w14:paraId="7557083D" w14:textId="60AA4F48" w:rsidR="00A77B3E" w:rsidRPr="0047516E" w:rsidRDefault="00A77B3E" w:rsidP="0047516E">
      <w:pPr>
        <w:adjustRightInd w:val="0"/>
        <w:snapToGrid w:val="0"/>
        <w:spacing w:line="360" w:lineRule="auto"/>
        <w:jc w:val="both"/>
        <w:rPr>
          <w:rFonts w:ascii="Book Antiqua" w:hAnsi="Book Antiqua"/>
        </w:rPr>
      </w:pPr>
      <w:r w:rsidRPr="0047516E">
        <w:rPr>
          <w:rFonts w:ascii="Book Antiqua" w:hAnsi="Book Antiqua"/>
        </w:rPr>
        <w:br w:type="page"/>
      </w:r>
      <w:r w:rsidR="00722A3E" w:rsidRPr="0047516E">
        <w:rPr>
          <w:rFonts w:ascii="Book Antiqua" w:eastAsia="Book Antiqua" w:hAnsi="Book Antiqua" w:cs="Book Antiqua"/>
          <w:b/>
          <w:color w:val="000000"/>
        </w:rPr>
        <w:lastRenderedPageBreak/>
        <w:t>Figure Legends</w:t>
      </w:r>
    </w:p>
    <w:p w14:paraId="4F75298E" w14:textId="2BA3D178" w:rsidR="00A074DA" w:rsidRPr="0047516E" w:rsidRDefault="00924D1F" w:rsidP="0047516E">
      <w:pPr>
        <w:adjustRightInd w:val="0"/>
        <w:snapToGrid w:val="0"/>
        <w:spacing w:line="360" w:lineRule="auto"/>
        <w:jc w:val="both"/>
        <w:rPr>
          <w:rFonts w:ascii="Book Antiqua" w:hAnsi="Book Antiqua"/>
        </w:rPr>
      </w:pPr>
      <w:r w:rsidRPr="0047516E">
        <w:rPr>
          <w:rFonts w:ascii="Book Antiqua" w:hAnsi="Book Antiqua"/>
          <w:noProof/>
          <w:lang w:eastAsia="zh-CN"/>
        </w:rPr>
        <w:drawing>
          <wp:inline distT="0" distB="0" distL="0" distR="0" wp14:anchorId="46A7AF67" wp14:editId="0367DB21">
            <wp:extent cx="4162211" cy="435731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8951" cy="4364370"/>
                    </a:xfrm>
                    <a:prstGeom prst="rect">
                      <a:avLst/>
                    </a:prstGeom>
                  </pic:spPr>
                </pic:pic>
              </a:graphicData>
            </a:graphic>
          </wp:inline>
        </w:drawing>
      </w:r>
    </w:p>
    <w:p w14:paraId="14878B4C" w14:textId="601AB5BF" w:rsidR="00A77B3E" w:rsidRPr="0047516E" w:rsidRDefault="00722A3E" w:rsidP="0047516E">
      <w:pPr>
        <w:adjustRightInd w:val="0"/>
        <w:snapToGrid w:val="0"/>
        <w:spacing w:line="360" w:lineRule="auto"/>
        <w:jc w:val="both"/>
        <w:rPr>
          <w:rFonts w:ascii="Book Antiqua" w:hAnsi="Book Antiqua"/>
        </w:rPr>
      </w:pPr>
      <w:bookmarkStart w:id="58" w:name="OLE_LINK56"/>
      <w:bookmarkStart w:id="59" w:name="OLE_LINK57"/>
      <w:r w:rsidRPr="0047516E">
        <w:rPr>
          <w:rFonts w:ascii="Book Antiqua" w:eastAsia="Book Antiqua" w:hAnsi="Book Antiqua" w:cs="Book Antiqua"/>
          <w:b/>
          <w:bCs/>
          <w:color w:val="000000"/>
        </w:rPr>
        <w:t>Figure 1</w:t>
      </w:r>
      <w:r w:rsidR="00B26B88" w:rsidRPr="0047516E">
        <w:rPr>
          <w:rFonts w:ascii="Book Antiqua" w:eastAsia="Book Antiqua" w:hAnsi="Book Antiqua" w:cs="Book Antiqua"/>
          <w:b/>
          <w:bCs/>
          <w:color w:val="000000"/>
        </w:rPr>
        <w:t xml:space="preserve"> </w:t>
      </w:r>
      <w:r w:rsidRPr="0047516E">
        <w:rPr>
          <w:rFonts w:ascii="Book Antiqua" w:eastAsia="Book Antiqua" w:hAnsi="Book Antiqua" w:cs="Book Antiqua"/>
          <w:b/>
          <w:bCs/>
          <w:color w:val="000000"/>
        </w:rPr>
        <w:t xml:space="preserve">Study schema. </w:t>
      </w:r>
      <w:r w:rsidRPr="0047516E">
        <w:rPr>
          <w:rFonts w:ascii="Book Antiqua" w:eastAsia="Book Antiqua" w:hAnsi="Book Antiqua" w:cs="Book Antiqua"/>
          <w:color w:val="000000"/>
        </w:rPr>
        <w:t>GI</w:t>
      </w:r>
      <w:r w:rsidR="00B26B88" w:rsidRPr="0047516E">
        <w:rPr>
          <w:rFonts w:ascii="Book Antiqua" w:eastAsia="Book Antiqua" w:hAnsi="Book Antiqua" w:cs="Book Antiqua"/>
          <w:color w:val="000000"/>
        </w:rPr>
        <w:t>: G</w:t>
      </w:r>
      <w:r w:rsidRPr="0047516E">
        <w:rPr>
          <w:rFonts w:ascii="Book Antiqua" w:eastAsia="Book Antiqua" w:hAnsi="Book Antiqua" w:cs="Book Antiqua"/>
          <w:color w:val="000000"/>
        </w:rPr>
        <w:t>astrointestinal.</w:t>
      </w:r>
    </w:p>
    <w:bookmarkEnd w:id="58"/>
    <w:bookmarkEnd w:id="59"/>
    <w:p w14:paraId="2EF7A898" w14:textId="2DF70CB3" w:rsidR="00B26B88" w:rsidRPr="0047516E" w:rsidRDefault="00B26B88" w:rsidP="0047516E">
      <w:pPr>
        <w:adjustRightInd w:val="0"/>
        <w:snapToGrid w:val="0"/>
        <w:spacing w:line="360" w:lineRule="auto"/>
        <w:jc w:val="both"/>
        <w:rPr>
          <w:rFonts w:ascii="Book Antiqua" w:hAnsi="Book Antiqua"/>
          <w:lang w:eastAsia="zh-CN"/>
        </w:rPr>
      </w:pPr>
      <w:r w:rsidRPr="0047516E">
        <w:rPr>
          <w:rFonts w:ascii="Book Antiqua" w:hAnsi="Book Antiqua"/>
          <w:lang w:eastAsia="zh-CN"/>
        </w:rPr>
        <w:t xml:space="preserve"> </w:t>
      </w:r>
    </w:p>
    <w:p w14:paraId="5EF31199" w14:textId="0B8145FF" w:rsidR="00A77B3E" w:rsidRPr="0047516E" w:rsidRDefault="00B26B88" w:rsidP="0047516E">
      <w:pPr>
        <w:adjustRightInd w:val="0"/>
        <w:snapToGrid w:val="0"/>
        <w:spacing w:line="360" w:lineRule="auto"/>
        <w:jc w:val="both"/>
        <w:rPr>
          <w:rFonts w:ascii="Book Antiqua" w:hAnsi="Book Antiqua"/>
          <w:lang w:eastAsia="zh-CN"/>
        </w:rPr>
      </w:pPr>
      <w:r w:rsidRPr="0047516E">
        <w:rPr>
          <w:rFonts w:ascii="Book Antiqua" w:hAnsi="Book Antiqua"/>
          <w:lang w:eastAsia="zh-CN"/>
        </w:rPr>
        <w:br w:type="page"/>
      </w:r>
      <w:r w:rsidR="00481E54" w:rsidRPr="0047516E">
        <w:rPr>
          <w:rFonts w:ascii="Book Antiqua" w:hAnsi="Book Antiqua"/>
          <w:noProof/>
          <w:lang w:eastAsia="zh-CN"/>
        </w:rPr>
        <w:lastRenderedPageBreak/>
        <w:drawing>
          <wp:inline distT="0" distB="0" distL="0" distR="0" wp14:anchorId="7966F5CA" wp14:editId="141E6CB8">
            <wp:extent cx="5486400" cy="4203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4203700"/>
                    </a:xfrm>
                    <a:prstGeom prst="rect">
                      <a:avLst/>
                    </a:prstGeom>
                  </pic:spPr>
                </pic:pic>
              </a:graphicData>
            </a:graphic>
          </wp:inline>
        </w:drawing>
      </w:r>
    </w:p>
    <w:p w14:paraId="6E0B9BB8" w14:textId="16CB2951" w:rsidR="00A77B3E" w:rsidRPr="0047516E" w:rsidRDefault="00722A3E" w:rsidP="0047516E">
      <w:pPr>
        <w:adjustRightInd w:val="0"/>
        <w:snapToGrid w:val="0"/>
        <w:spacing w:line="360" w:lineRule="auto"/>
        <w:jc w:val="both"/>
        <w:rPr>
          <w:rFonts w:ascii="Book Antiqua" w:hAnsi="Book Antiqua"/>
        </w:rPr>
      </w:pPr>
      <w:r w:rsidRPr="0047516E">
        <w:rPr>
          <w:rFonts w:ascii="Book Antiqua" w:eastAsia="Book Antiqua" w:hAnsi="Book Antiqua" w:cs="Book Antiqua"/>
          <w:b/>
          <w:bCs/>
          <w:color w:val="000000"/>
        </w:rPr>
        <w:t>Figure 2</w:t>
      </w:r>
      <w:r w:rsidR="00B26B88" w:rsidRPr="0047516E">
        <w:rPr>
          <w:rFonts w:ascii="Book Antiqua" w:eastAsia="Book Antiqua" w:hAnsi="Book Antiqua" w:cs="Book Antiqua"/>
          <w:b/>
          <w:bCs/>
          <w:color w:val="000000"/>
        </w:rPr>
        <w:t xml:space="preserve"> </w:t>
      </w:r>
      <w:r w:rsidRPr="0047516E">
        <w:rPr>
          <w:rFonts w:ascii="Book Antiqua" w:eastAsia="Book Antiqua" w:hAnsi="Book Antiqua" w:cs="Book Antiqua"/>
          <w:b/>
          <w:bCs/>
          <w:color w:val="000000"/>
        </w:rPr>
        <w:t>Percent attribution of the thirteen most common gastrointestinal related diseases in total index admission, index admission mortality and subsequent admission mortality.</w:t>
      </w:r>
      <w:r w:rsidRPr="0047516E">
        <w:rPr>
          <w:rFonts w:ascii="Book Antiqua" w:eastAsia="Book Antiqua" w:hAnsi="Book Antiqua" w:cs="Book Antiqua"/>
          <w:color w:val="000000"/>
        </w:rPr>
        <w:t xml:space="preserve"> IBD</w:t>
      </w:r>
      <w:r w:rsidR="00B26B88" w:rsidRPr="0047516E">
        <w:rPr>
          <w:rFonts w:ascii="Book Antiqua" w:eastAsia="Book Antiqua" w:hAnsi="Book Antiqua" w:cs="Book Antiqua"/>
          <w:color w:val="000000"/>
        </w:rPr>
        <w:t>: I</w:t>
      </w:r>
      <w:r w:rsidRPr="0047516E">
        <w:rPr>
          <w:rFonts w:ascii="Book Antiqua" w:eastAsia="Book Antiqua" w:hAnsi="Book Antiqua" w:cs="Book Antiqua"/>
          <w:color w:val="000000"/>
        </w:rPr>
        <w:t>nflammatory bowel disease</w:t>
      </w:r>
      <w:r w:rsidR="00C64408"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GI</w:t>
      </w:r>
      <w:r w:rsidR="00B26B88" w:rsidRPr="0047516E">
        <w:rPr>
          <w:rFonts w:ascii="Book Antiqua" w:eastAsia="Book Antiqua" w:hAnsi="Book Antiqua" w:cs="Book Antiqua"/>
          <w:color w:val="000000"/>
        </w:rPr>
        <w:t>: G</w:t>
      </w:r>
      <w:r w:rsidRPr="0047516E">
        <w:rPr>
          <w:rFonts w:ascii="Book Antiqua" w:eastAsia="Book Antiqua" w:hAnsi="Book Antiqua" w:cs="Book Antiqua"/>
          <w:color w:val="000000"/>
        </w:rPr>
        <w:t>astrointestinal</w:t>
      </w:r>
      <w:r w:rsidR="00C64408"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CLD</w:t>
      </w:r>
      <w:r w:rsidR="00B26B8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Chronic liver disease.</w:t>
      </w:r>
    </w:p>
    <w:p w14:paraId="4E61CD24" w14:textId="21B5AA8D" w:rsidR="00A77B3E" w:rsidRPr="0047516E" w:rsidRDefault="00B26B88" w:rsidP="0047516E">
      <w:pPr>
        <w:adjustRightInd w:val="0"/>
        <w:snapToGrid w:val="0"/>
        <w:spacing w:line="360" w:lineRule="auto"/>
        <w:jc w:val="both"/>
        <w:rPr>
          <w:rFonts w:ascii="Book Antiqua" w:hAnsi="Book Antiqua"/>
        </w:rPr>
      </w:pPr>
      <w:r w:rsidRPr="0047516E">
        <w:rPr>
          <w:rFonts w:ascii="Book Antiqua" w:hAnsi="Book Antiqua"/>
        </w:rPr>
        <w:br w:type="page"/>
      </w:r>
      <w:r w:rsidRPr="0047516E">
        <w:rPr>
          <w:rFonts w:ascii="Book Antiqua" w:hAnsi="Book Antiqua"/>
          <w:noProof/>
          <w:lang w:eastAsia="zh-CN"/>
        </w:rPr>
        <w:lastRenderedPageBreak/>
        <w:drawing>
          <wp:inline distT="0" distB="0" distL="0" distR="0" wp14:anchorId="515CB75E" wp14:editId="7A399D93">
            <wp:extent cx="5943600" cy="3317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17240"/>
                    </a:xfrm>
                    <a:prstGeom prst="rect">
                      <a:avLst/>
                    </a:prstGeom>
                  </pic:spPr>
                </pic:pic>
              </a:graphicData>
            </a:graphic>
          </wp:inline>
        </w:drawing>
      </w:r>
    </w:p>
    <w:p w14:paraId="58C87CCD" w14:textId="1FA80947" w:rsidR="00A77B3E" w:rsidRPr="0047516E" w:rsidRDefault="00722A3E" w:rsidP="0047516E">
      <w:pPr>
        <w:adjustRightInd w:val="0"/>
        <w:snapToGrid w:val="0"/>
        <w:spacing w:line="360" w:lineRule="auto"/>
        <w:jc w:val="both"/>
        <w:rPr>
          <w:rFonts w:ascii="Book Antiqua" w:hAnsi="Book Antiqua"/>
          <w:b/>
          <w:bCs/>
        </w:rPr>
      </w:pPr>
      <w:r w:rsidRPr="0047516E">
        <w:rPr>
          <w:rFonts w:ascii="Book Antiqua" w:eastAsia="Book Antiqua" w:hAnsi="Book Antiqua" w:cs="Book Antiqua"/>
          <w:b/>
          <w:bCs/>
          <w:color w:val="000000"/>
        </w:rPr>
        <w:t xml:space="preserve">Figure 3 </w:t>
      </w:r>
      <w:r w:rsidR="0047516E" w:rsidRPr="0047516E">
        <w:rPr>
          <w:rFonts w:ascii="Book Antiqua" w:eastAsia="Book Antiqua" w:hAnsi="Book Antiqua" w:cs="Book Antiqua"/>
          <w:b/>
          <w:color w:val="000000"/>
        </w:rPr>
        <w:t>Thirty days</w:t>
      </w:r>
      <w:r w:rsidRPr="0047516E">
        <w:rPr>
          <w:rFonts w:ascii="Book Antiqua" w:eastAsia="Book Antiqua" w:hAnsi="Book Antiqua" w:cs="Book Antiqua"/>
          <w:b/>
          <w:bCs/>
          <w:color w:val="000000"/>
        </w:rPr>
        <w:t xml:space="preserve"> readmission rates (in descending order), index admission mortality rates and subsequent admission mortality rates for index inpatient hospitalization.</w:t>
      </w:r>
    </w:p>
    <w:p w14:paraId="36822A93" w14:textId="5B29C390" w:rsidR="00B26B88" w:rsidRPr="0047516E" w:rsidRDefault="00B26B88" w:rsidP="0047516E">
      <w:pPr>
        <w:adjustRightInd w:val="0"/>
        <w:snapToGrid w:val="0"/>
        <w:spacing w:line="360" w:lineRule="auto"/>
        <w:jc w:val="both"/>
        <w:rPr>
          <w:rFonts w:ascii="Book Antiqua" w:eastAsia="Book Antiqua" w:hAnsi="Book Antiqua" w:cs="Book Antiqua"/>
          <w:b/>
          <w:bCs/>
          <w:color w:val="000000"/>
        </w:rPr>
      </w:pPr>
      <w:r w:rsidRPr="0047516E">
        <w:rPr>
          <w:rFonts w:ascii="Book Antiqua" w:eastAsia="Book Antiqua" w:hAnsi="Book Antiqua" w:cs="Book Antiqua"/>
          <w:b/>
          <w:bCs/>
          <w:color w:val="000000"/>
        </w:rPr>
        <w:br w:type="page"/>
      </w:r>
      <w:r w:rsidRPr="0047516E">
        <w:rPr>
          <w:rFonts w:ascii="Book Antiqua" w:eastAsia="Book Antiqua" w:hAnsi="Book Antiqua" w:cs="Book Antiqua"/>
          <w:b/>
          <w:bCs/>
          <w:noProof/>
          <w:color w:val="000000"/>
          <w:lang w:eastAsia="zh-CN"/>
        </w:rPr>
        <w:lastRenderedPageBreak/>
        <w:drawing>
          <wp:inline distT="0" distB="0" distL="0" distR="0" wp14:anchorId="6C404B71" wp14:editId="11AA1E37">
            <wp:extent cx="5943600" cy="3260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260725"/>
                    </a:xfrm>
                    <a:prstGeom prst="rect">
                      <a:avLst/>
                    </a:prstGeom>
                  </pic:spPr>
                </pic:pic>
              </a:graphicData>
            </a:graphic>
          </wp:inline>
        </w:drawing>
      </w:r>
    </w:p>
    <w:p w14:paraId="1C2BE7AD" w14:textId="0E8DA103" w:rsidR="00DA5E70" w:rsidRPr="0047516E" w:rsidRDefault="00722A3E" w:rsidP="0047516E">
      <w:pPr>
        <w:adjustRightInd w:val="0"/>
        <w:snapToGrid w:val="0"/>
        <w:spacing w:line="360" w:lineRule="auto"/>
        <w:jc w:val="both"/>
        <w:rPr>
          <w:rFonts w:ascii="Book Antiqua" w:hAnsi="Book Antiqua"/>
          <w:b/>
          <w:bCs/>
        </w:rPr>
        <w:sectPr w:rsidR="00DA5E70" w:rsidRPr="0047516E" w:rsidSect="00C9394C">
          <w:footerReference w:type="default" r:id="rId12"/>
          <w:type w:val="continuous"/>
          <w:pgSz w:w="12240" w:h="15840"/>
          <w:pgMar w:top="1440" w:right="1800" w:bottom="1440" w:left="1800" w:header="720" w:footer="720" w:gutter="0"/>
          <w:cols w:space="720"/>
          <w:docGrid w:linePitch="326"/>
        </w:sectPr>
      </w:pPr>
      <w:r w:rsidRPr="0047516E">
        <w:rPr>
          <w:rFonts w:ascii="Book Antiqua" w:eastAsia="Book Antiqua" w:hAnsi="Book Antiqua" w:cs="Book Antiqua"/>
          <w:b/>
          <w:bCs/>
          <w:color w:val="000000"/>
        </w:rPr>
        <w:t xml:space="preserve">Figure 4 Multivariable </w:t>
      </w:r>
      <w:r w:rsidR="008C7245" w:rsidRPr="0047516E">
        <w:rPr>
          <w:rFonts w:ascii="Book Antiqua" w:eastAsia="Book Antiqua" w:hAnsi="Book Antiqua" w:cs="Book Antiqua"/>
          <w:b/>
          <w:bCs/>
          <w:color w:val="000000"/>
        </w:rPr>
        <w:t xml:space="preserve">analysis of predictors of </w:t>
      </w:r>
      <w:r w:rsidR="0047516E" w:rsidRPr="0047516E">
        <w:rPr>
          <w:rFonts w:ascii="Book Antiqua" w:eastAsia="Book Antiqua" w:hAnsi="Book Antiqua" w:cs="Book Antiqua"/>
          <w:b/>
          <w:color w:val="000000"/>
        </w:rPr>
        <w:t>thirty days</w:t>
      </w:r>
      <w:r w:rsidRPr="0047516E">
        <w:rPr>
          <w:rFonts w:ascii="Book Antiqua" w:eastAsia="Book Antiqua" w:hAnsi="Book Antiqua" w:cs="Book Antiqua"/>
          <w:b/>
          <w:bCs/>
          <w:color w:val="000000"/>
        </w:rPr>
        <w:t xml:space="preserve"> readmissions.</w:t>
      </w:r>
      <w:r w:rsidRPr="0047516E">
        <w:rPr>
          <w:rFonts w:ascii="Book Antiqua" w:eastAsia="Book Antiqua" w:hAnsi="Book Antiqua" w:cs="Book Antiqua"/>
          <w:color w:val="000000"/>
        </w:rPr>
        <w:t xml:space="preserve"> IBD</w:t>
      </w:r>
      <w:r w:rsidR="00B26B88" w:rsidRPr="0047516E">
        <w:rPr>
          <w:rFonts w:ascii="Book Antiqua" w:eastAsia="Book Antiqua" w:hAnsi="Book Antiqua" w:cs="Book Antiqua"/>
          <w:color w:val="000000"/>
        </w:rPr>
        <w:t>: I</w:t>
      </w:r>
      <w:r w:rsidRPr="0047516E">
        <w:rPr>
          <w:rFonts w:ascii="Book Antiqua" w:eastAsia="Book Antiqua" w:hAnsi="Book Antiqua" w:cs="Book Antiqua"/>
          <w:color w:val="000000"/>
        </w:rPr>
        <w:t>nflammatory bowel disease</w:t>
      </w:r>
      <w:r w:rsidR="00C64408"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GI</w:t>
      </w:r>
      <w:r w:rsidR="00B26B88" w:rsidRPr="0047516E">
        <w:rPr>
          <w:rFonts w:ascii="Book Antiqua" w:eastAsia="Book Antiqua" w:hAnsi="Book Antiqua" w:cs="Book Antiqua"/>
          <w:color w:val="000000"/>
        </w:rPr>
        <w:t>: G</w:t>
      </w:r>
      <w:r w:rsidRPr="0047516E">
        <w:rPr>
          <w:rFonts w:ascii="Book Antiqua" w:eastAsia="Book Antiqua" w:hAnsi="Book Antiqua" w:cs="Book Antiqua"/>
          <w:color w:val="000000"/>
        </w:rPr>
        <w:t>astrointestinal</w:t>
      </w:r>
      <w:r w:rsidR="00C64408" w:rsidRPr="0047516E">
        <w:rPr>
          <w:rFonts w:ascii="Book Antiqua" w:eastAsia="Book Antiqua" w:hAnsi="Book Antiqua" w:cs="Book Antiqua"/>
          <w:color w:val="000000"/>
        </w:rPr>
        <w:t>;</w:t>
      </w:r>
      <w:r w:rsidRPr="0047516E">
        <w:rPr>
          <w:rFonts w:ascii="Book Antiqua" w:eastAsia="Book Antiqua" w:hAnsi="Book Antiqua" w:cs="Book Antiqua"/>
          <w:color w:val="000000"/>
        </w:rPr>
        <w:t xml:space="preserve"> CLD</w:t>
      </w:r>
      <w:r w:rsidR="00B26B88" w:rsidRPr="0047516E">
        <w:rPr>
          <w:rFonts w:ascii="Book Antiqua" w:eastAsia="Book Antiqua" w:hAnsi="Book Antiqua" w:cs="Book Antiqua"/>
          <w:color w:val="000000"/>
        </w:rPr>
        <w:t xml:space="preserve">: </w:t>
      </w:r>
      <w:r w:rsidRPr="0047516E">
        <w:rPr>
          <w:rFonts w:ascii="Book Antiqua" w:eastAsia="Book Antiqua" w:hAnsi="Book Antiqua" w:cs="Book Antiqua"/>
          <w:color w:val="000000"/>
        </w:rPr>
        <w:t>Chronic liver disease.</w:t>
      </w:r>
      <w:r w:rsidR="009B6B54" w:rsidRPr="0047516E">
        <w:rPr>
          <w:rFonts w:ascii="Book Antiqua" w:hAnsi="Book Antiqua"/>
          <w:b/>
          <w:bCs/>
        </w:rPr>
        <w:t xml:space="preserve"> </w:t>
      </w:r>
    </w:p>
    <w:p w14:paraId="5B639B82" w14:textId="5775D789" w:rsidR="00DA5E70" w:rsidRPr="0047516E" w:rsidRDefault="00DA5E70" w:rsidP="0047516E">
      <w:pPr>
        <w:adjustRightInd w:val="0"/>
        <w:snapToGrid w:val="0"/>
        <w:spacing w:line="360" w:lineRule="auto"/>
        <w:jc w:val="both"/>
        <w:rPr>
          <w:rFonts w:ascii="Book Antiqua" w:eastAsia="Book Antiqua" w:hAnsi="Book Antiqua" w:cs="Book Antiqua"/>
          <w:b/>
          <w:bCs/>
          <w:color w:val="000000"/>
        </w:rPr>
      </w:pPr>
      <w:r w:rsidRPr="0047516E">
        <w:rPr>
          <w:rFonts w:ascii="Book Antiqua" w:eastAsia="Calibri" w:hAnsi="Book Antiqua" w:cs="Arial"/>
          <w:b/>
        </w:rPr>
        <w:t xml:space="preserve">Table 1 Index admission characteristics and </w:t>
      </w:r>
      <w:r w:rsidR="0047516E" w:rsidRPr="0047516E">
        <w:rPr>
          <w:rFonts w:ascii="Book Antiqua" w:eastAsia="Book Antiqua" w:hAnsi="Book Antiqua" w:cs="Book Antiqua"/>
          <w:b/>
          <w:color w:val="000000"/>
        </w:rPr>
        <w:t>thirty days</w:t>
      </w:r>
      <w:r w:rsidRPr="0047516E">
        <w:rPr>
          <w:rFonts w:ascii="Book Antiqua" w:eastAsia="Calibri" w:hAnsi="Book Antiqua" w:cs="Arial"/>
          <w:b/>
        </w:rPr>
        <w:t xml:space="preserve"> readmission rates for the most common gastrointestinal and liver diseases: Nationwide Readmission Database 2013</w:t>
      </w:r>
      <w:r w:rsidRPr="0047516E">
        <w:rPr>
          <w:rFonts w:ascii="Book Antiqua" w:eastAsia="Calibri" w:hAnsi="Book Antiqua" w:cs="Arial"/>
          <w:b/>
          <w:vertAlign w:val="superscript"/>
        </w:rPr>
        <w:t>1</w:t>
      </w:r>
    </w:p>
    <w:tbl>
      <w:tblPr>
        <w:tblStyle w:val="a3"/>
        <w:tblpPr w:leftFromText="180" w:rightFromText="180" w:vertAnchor="text" w:horzAnchor="margin" w:tblpX="-180" w:tblpY="186"/>
        <w:tblW w:w="13858"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559"/>
        <w:gridCol w:w="1276"/>
        <w:gridCol w:w="1559"/>
        <w:gridCol w:w="1701"/>
        <w:gridCol w:w="1418"/>
        <w:gridCol w:w="1701"/>
        <w:gridCol w:w="1695"/>
        <w:gridCol w:w="998"/>
      </w:tblGrid>
      <w:tr w:rsidR="00DA5E70" w:rsidRPr="0047516E" w14:paraId="2F3E4444" w14:textId="77777777" w:rsidTr="008C7245">
        <w:tc>
          <w:tcPr>
            <w:tcW w:w="1951" w:type="dxa"/>
            <w:tcBorders>
              <w:top w:val="single" w:sz="4" w:space="0" w:color="auto"/>
              <w:bottom w:val="single" w:sz="4" w:space="0" w:color="auto"/>
            </w:tcBorders>
            <w:vAlign w:val="center"/>
          </w:tcPr>
          <w:p w14:paraId="1751A4E5" w14:textId="77777777" w:rsidR="00DA5E70" w:rsidRPr="0047516E" w:rsidRDefault="00DA5E70" w:rsidP="0047516E">
            <w:pPr>
              <w:adjustRightInd w:val="0"/>
              <w:snapToGrid w:val="0"/>
              <w:spacing w:line="360" w:lineRule="auto"/>
              <w:jc w:val="both"/>
              <w:rPr>
                <w:rFonts w:ascii="Book Antiqua" w:hAnsi="Book Antiqua" w:cs="Arial"/>
                <w:b/>
                <w:bCs/>
              </w:rPr>
            </w:pPr>
          </w:p>
        </w:tc>
        <w:tc>
          <w:tcPr>
            <w:tcW w:w="1559" w:type="dxa"/>
            <w:tcBorders>
              <w:top w:val="single" w:sz="4" w:space="0" w:color="auto"/>
              <w:bottom w:val="single" w:sz="4" w:space="0" w:color="auto"/>
            </w:tcBorders>
            <w:vAlign w:val="center"/>
            <w:hideMark/>
          </w:tcPr>
          <w:p w14:paraId="65C47804" w14:textId="302B30C2"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Total </w:t>
            </w:r>
            <w:r w:rsidR="008C7245" w:rsidRPr="0047516E">
              <w:rPr>
                <w:rFonts w:ascii="Book Antiqua" w:hAnsi="Book Antiqua" w:cs="Arial"/>
                <w:b/>
                <w:bCs/>
              </w:rPr>
              <w:t>index admissions</w:t>
            </w:r>
            <w:r w:rsidRPr="0047516E">
              <w:rPr>
                <w:rFonts w:ascii="Book Antiqua" w:hAnsi="Book Antiqua" w:cs="Arial"/>
                <w:b/>
                <w:bCs/>
              </w:rPr>
              <w:t>(frequency)</w:t>
            </w:r>
          </w:p>
        </w:tc>
        <w:tc>
          <w:tcPr>
            <w:tcW w:w="1276" w:type="dxa"/>
            <w:tcBorders>
              <w:top w:val="single" w:sz="4" w:space="0" w:color="auto"/>
              <w:bottom w:val="single" w:sz="4" w:space="0" w:color="auto"/>
            </w:tcBorders>
            <w:vAlign w:val="center"/>
            <w:hideMark/>
          </w:tcPr>
          <w:p w14:paraId="3D3D2A2A" w14:textId="4F357979"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Mean </w:t>
            </w:r>
            <w:r w:rsidR="008C7245" w:rsidRPr="0047516E">
              <w:rPr>
                <w:rFonts w:ascii="Book Antiqua" w:hAnsi="Book Antiqua" w:cs="Arial"/>
                <w:b/>
                <w:bCs/>
              </w:rPr>
              <w:t xml:space="preserve">index admission </w:t>
            </w:r>
            <w:r w:rsidRPr="0047516E">
              <w:rPr>
                <w:rFonts w:ascii="Book Antiqua" w:hAnsi="Book Antiqua" w:cs="Arial"/>
                <w:b/>
                <w:bCs/>
              </w:rPr>
              <w:t>LOS</w:t>
            </w:r>
            <w:r w:rsidRPr="0047516E">
              <w:rPr>
                <w:rFonts w:ascii="Book Antiqua" w:eastAsiaTheme="minorEastAsia" w:hAnsi="Book Antiqua" w:cs="Arial"/>
                <w:b/>
                <w:bCs/>
                <w:lang w:eastAsia="zh-CN"/>
              </w:rPr>
              <w:t xml:space="preserve"> </w:t>
            </w:r>
            <w:r w:rsidR="008C7245" w:rsidRPr="0047516E">
              <w:rPr>
                <w:rFonts w:ascii="Book Antiqua" w:hAnsi="Book Antiqua" w:cs="Arial"/>
                <w:b/>
                <w:bCs/>
              </w:rPr>
              <w:t>(d</w:t>
            </w:r>
            <w:r w:rsidRPr="0047516E">
              <w:rPr>
                <w:rFonts w:ascii="Book Antiqua" w:hAnsi="Book Antiqua" w:cs="Arial"/>
                <w:b/>
                <w:bCs/>
              </w:rPr>
              <w:t>)</w:t>
            </w:r>
          </w:p>
        </w:tc>
        <w:tc>
          <w:tcPr>
            <w:tcW w:w="1559" w:type="dxa"/>
            <w:tcBorders>
              <w:top w:val="single" w:sz="4" w:space="0" w:color="auto"/>
              <w:bottom w:val="single" w:sz="4" w:space="0" w:color="auto"/>
            </w:tcBorders>
            <w:vAlign w:val="center"/>
            <w:hideMark/>
          </w:tcPr>
          <w:p w14:paraId="6E8758A2" w14:textId="68DDFB22"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Mean </w:t>
            </w:r>
            <w:r w:rsidR="008C7245" w:rsidRPr="0047516E">
              <w:rPr>
                <w:rFonts w:ascii="Book Antiqua" w:hAnsi="Book Antiqua" w:cs="Arial"/>
                <w:b/>
                <w:bCs/>
              </w:rPr>
              <w:t>index admission cost</w:t>
            </w:r>
            <w:r w:rsidR="008C7245" w:rsidRPr="0047516E">
              <w:rPr>
                <w:rFonts w:ascii="Book Antiqua" w:eastAsiaTheme="minorEastAsia" w:hAnsi="Book Antiqua" w:cs="Arial"/>
                <w:b/>
                <w:bCs/>
                <w:lang w:eastAsia="zh-CN"/>
              </w:rPr>
              <w:t xml:space="preserve"> </w:t>
            </w:r>
            <w:r w:rsidRPr="0047516E">
              <w:rPr>
                <w:rFonts w:ascii="Book Antiqua" w:hAnsi="Book Antiqua" w:cs="Arial"/>
                <w:b/>
                <w:bCs/>
              </w:rPr>
              <w:t>($)</w:t>
            </w:r>
          </w:p>
        </w:tc>
        <w:tc>
          <w:tcPr>
            <w:tcW w:w="1701" w:type="dxa"/>
            <w:tcBorders>
              <w:top w:val="single" w:sz="4" w:space="0" w:color="auto"/>
              <w:bottom w:val="single" w:sz="4" w:space="0" w:color="auto"/>
            </w:tcBorders>
            <w:vAlign w:val="center"/>
            <w:hideMark/>
          </w:tcPr>
          <w:p w14:paraId="596034B6" w14:textId="7AA34AC0"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Index </w:t>
            </w:r>
            <w:r w:rsidR="008C7245" w:rsidRPr="0047516E">
              <w:rPr>
                <w:rFonts w:ascii="Book Antiqua" w:hAnsi="Book Antiqua" w:cs="Arial"/>
                <w:b/>
                <w:bCs/>
              </w:rPr>
              <w:t>admission mortality</w:t>
            </w:r>
            <w:r w:rsidR="008C7245" w:rsidRPr="0047516E">
              <w:rPr>
                <w:rFonts w:ascii="Book Antiqua" w:eastAsiaTheme="minorEastAsia" w:hAnsi="Book Antiqua" w:cs="Arial"/>
                <w:b/>
                <w:bCs/>
                <w:lang w:eastAsia="zh-CN"/>
              </w:rPr>
              <w:t xml:space="preserve"> </w:t>
            </w:r>
            <w:r w:rsidRPr="0047516E">
              <w:rPr>
                <w:rFonts w:ascii="Book Antiqua" w:hAnsi="Book Antiqua" w:cs="Arial"/>
                <w:b/>
                <w:bCs/>
              </w:rPr>
              <w:t>(frequency)</w:t>
            </w:r>
          </w:p>
        </w:tc>
        <w:tc>
          <w:tcPr>
            <w:tcW w:w="1418" w:type="dxa"/>
            <w:tcBorders>
              <w:top w:val="single" w:sz="4" w:space="0" w:color="auto"/>
              <w:bottom w:val="single" w:sz="4" w:space="0" w:color="auto"/>
            </w:tcBorders>
            <w:vAlign w:val="center"/>
            <w:hideMark/>
          </w:tcPr>
          <w:p w14:paraId="5AD31FAE" w14:textId="1EEA5F87" w:rsidR="00DA5E70" w:rsidRPr="0047516E" w:rsidRDefault="00DA5E70" w:rsidP="0047516E">
            <w:pPr>
              <w:adjustRightInd w:val="0"/>
              <w:snapToGrid w:val="0"/>
              <w:spacing w:line="360" w:lineRule="auto"/>
              <w:jc w:val="both"/>
              <w:rPr>
                <w:rFonts w:ascii="Book Antiqua" w:hAnsi="Book Antiqua" w:cs="Arial"/>
                <w:b/>
                <w:bCs/>
              </w:rPr>
            </w:pPr>
            <w:r w:rsidRPr="0047516E">
              <w:rPr>
                <w:rFonts w:ascii="Book Antiqua" w:hAnsi="Book Antiqua" w:cs="Arial"/>
                <w:b/>
                <w:bCs/>
              </w:rPr>
              <w:t xml:space="preserve">Index </w:t>
            </w:r>
            <w:r w:rsidR="008C7245" w:rsidRPr="0047516E">
              <w:rPr>
                <w:rFonts w:ascii="Book Antiqua" w:hAnsi="Book Antiqua" w:cs="Arial"/>
                <w:b/>
                <w:bCs/>
              </w:rPr>
              <w:t>admission mortality</w:t>
            </w:r>
            <w:r w:rsidR="008C7245" w:rsidRPr="0047516E">
              <w:rPr>
                <w:rFonts w:ascii="Book Antiqua" w:eastAsiaTheme="minorEastAsia" w:hAnsi="Book Antiqua" w:cs="Arial"/>
                <w:b/>
                <w:bCs/>
                <w:lang w:eastAsia="zh-CN"/>
              </w:rPr>
              <w:t xml:space="preserve"> </w:t>
            </w:r>
            <w:r w:rsidRPr="0047516E">
              <w:rPr>
                <w:rFonts w:ascii="Book Antiqua" w:hAnsi="Book Antiqua" w:cs="Arial"/>
                <w:b/>
                <w:bCs/>
              </w:rPr>
              <w:t>(%)</w:t>
            </w:r>
          </w:p>
        </w:tc>
        <w:tc>
          <w:tcPr>
            <w:tcW w:w="1701" w:type="dxa"/>
            <w:tcBorders>
              <w:top w:val="single" w:sz="4" w:space="0" w:color="auto"/>
              <w:bottom w:val="single" w:sz="4" w:space="0" w:color="auto"/>
            </w:tcBorders>
            <w:vAlign w:val="center"/>
            <w:hideMark/>
          </w:tcPr>
          <w:p w14:paraId="0DFE94C9" w14:textId="75FF81D9" w:rsidR="00DA5E70" w:rsidRPr="0047516E" w:rsidRDefault="008C7245" w:rsidP="0047516E">
            <w:pPr>
              <w:adjustRightInd w:val="0"/>
              <w:snapToGrid w:val="0"/>
              <w:spacing w:line="360" w:lineRule="auto"/>
              <w:ind w:left="241" w:hangingChars="100" w:hanging="241"/>
              <w:jc w:val="both"/>
              <w:rPr>
                <w:rFonts w:ascii="Book Antiqua" w:hAnsi="Book Antiqua" w:cs="Arial"/>
                <w:b/>
                <w:bCs/>
              </w:rPr>
            </w:pPr>
            <w:r w:rsidRPr="0047516E">
              <w:rPr>
                <w:rFonts w:ascii="Book Antiqua" w:hAnsi="Book Antiqua" w:cs="Arial"/>
                <w:b/>
                <w:bCs/>
              </w:rPr>
              <w:t>Subsequent admission mortality</w:t>
            </w:r>
            <w:r w:rsidRPr="0047516E">
              <w:rPr>
                <w:rFonts w:ascii="Book Antiqua" w:eastAsiaTheme="minorEastAsia" w:hAnsi="Book Antiqua" w:cs="Arial"/>
                <w:b/>
                <w:bCs/>
                <w:lang w:eastAsia="zh-CN"/>
              </w:rPr>
              <w:t xml:space="preserve"> </w:t>
            </w:r>
            <w:r w:rsidR="00DA5E70" w:rsidRPr="0047516E">
              <w:rPr>
                <w:rFonts w:ascii="Book Antiqua" w:hAnsi="Book Antiqua" w:cs="Arial"/>
                <w:b/>
                <w:bCs/>
              </w:rPr>
              <w:t>(frequency)</w:t>
            </w:r>
          </w:p>
        </w:tc>
        <w:tc>
          <w:tcPr>
            <w:tcW w:w="1695" w:type="dxa"/>
            <w:tcBorders>
              <w:top w:val="single" w:sz="4" w:space="0" w:color="auto"/>
              <w:bottom w:val="single" w:sz="4" w:space="0" w:color="auto"/>
            </w:tcBorders>
            <w:vAlign w:val="center"/>
            <w:hideMark/>
          </w:tcPr>
          <w:p w14:paraId="32CC431E" w14:textId="5F926B57" w:rsidR="00DA5E70" w:rsidRPr="0047516E" w:rsidRDefault="008C7245" w:rsidP="0047516E">
            <w:pPr>
              <w:adjustRightInd w:val="0"/>
              <w:snapToGrid w:val="0"/>
              <w:spacing w:line="360" w:lineRule="auto"/>
              <w:ind w:left="241" w:hangingChars="100" w:hanging="241"/>
              <w:jc w:val="both"/>
              <w:rPr>
                <w:rFonts w:ascii="Book Antiqua" w:hAnsi="Book Antiqua" w:cs="Arial"/>
                <w:b/>
                <w:bCs/>
              </w:rPr>
            </w:pPr>
            <w:r w:rsidRPr="0047516E">
              <w:rPr>
                <w:rFonts w:ascii="Book Antiqua" w:hAnsi="Book Antiqua" w:cs="Arial"/>
                <w:b/>
                <w:bCs/>
              </w:rPr>
              <w:t>Subsequent admission mortality</w:t>
            </w:r>
            <w:r w:rsidRPr="0047516E">
              <w:rPr>
                <w:rFonts w:ascii="Book Antiqua" w:eastAsiaTheme="minorEastAsia" w:hAnsi="Book Antiqua" w:cs="Arial"/>
                <w:b/>
                <w:bCs/>
                <w:lang w:eastAsia="zh-CN"/>
              </w:rPr>
              <w:t xml:space="preserve"> </w:t>
            </w:r>
            <w:r w:rsidR="00DA5E70" w:rsidRPr="0047516E">
              <w:rPr>
                <w:rFonts w:ascii="Book Antiqua" w:hAnsi="Book Antiqua" w:cs="Arial"/>
                <w:b/>
                <w:bCs/>
              </w:rPr>
              <w:t>(%)</w:t>
            </w:r>
          </w:p>
        </w:tc>
        <w:tc>
          <w:tcPr>
            <w:tcW w:w="998" w:type="dxa"/>
            <w:tcBorders>
              <w:top w:val="single" w:sz="4" w:space="0" w:color="auto"/>
              <w:bottom w:val="single" w:sz="4" w:space="0" w:color="auto"/>
            </w:tcBorders>
            <w:vAlign w:val="center"/>
            <w:hideMark/>
          </w:tcPr>
          <w:p w14:paraId="6137A83E" w14:textId="513D5D9C" w:rsidR="00DA5E70" w:rsidRPr="0047516E" w:rsidRDefault="00407A2E" w:rsidP="0047516E">
            <w:pPr>
              <w:adjustRightInd w:val="0"/>
              <w:snapToGrid w:val="0"/>
              <w:spacing w:line="360" w:lineRule="auto"/>
              <w:jc w:val="both"/>
              <w:rPr>
                <w:rFonts w:ascii="Book Antiqua" w:hAnsi="Book Antiqua" w:cs="Arial"/>
                <w:b/>
                <w:bCs/>
              </w:rPr>
            </w:pPr>
            <w:r>
              <w:rPr>
                <w:rFonts w:ascii="Book Antiqua" w:hAnsi="Book Antiqua" w:cs="Arial"/>
                <w:b/>
                <w:bCs/>
              </w:rPr>
              <w:t>30-d</w:t>
            </w:r>
            <w:r w:rsidR="00DA5E70" w:rsidRPr="0047516E">
              <w:rPr>
                <w:rFonts w:ascii="Book Antiqua" w:hAnsi="Book Antiqua" w:cs="Arial"/>
                <w:b/>
                <w:bCs/>
              </w:rPr>
              <w:t xml:space="preserve"> </w:t>
            </w:r>
            <w:r w:rsidR="00C64408" w:rsidRPr="0047516E">
              <w:rPr>
                <w:rFonts w:ascii="Book Antiqua" w:hAnsi="Book Antiqua" w:cs="Arial"/>
                <w:b/>
                <w:bCs/>
              </w:rPr>
              <w:t>r</w:t>
            </w:r>
            <w:r w:rsidR="00DA5E70" w:rsidRPr="0047516E">
              <w:rPr>
                <w:rFonts w:ascii="Book Antiqua" w:hAnsi="Book Antiqua" w:cs="Arial"/>
                <w:b/>
                <w:bCs/>
              </w:rPr>
              <w:t xml:space="preserve">eadmission </w:t>
            </w:r>
            <w:r w:rsidR="008C7245" w:rsidRPr="0047516E">
              <w:rPr>
                <w:rFonts w:ascii="Book Antiqua" w:hAnsi="Book Antiqua" w:cs="Arial"/>
                <w:b/>
                <w:bCs/>
              </w:rPr>
              <w:t>rate</w:t>
            </w:r>
            <w:r w:rsidR="008C7245" w:rsidRPr="0047516E">
              <w:rPr>
                <w:rFonts w:ascii="Book Antiqua" w:eastAsiaTheme="minorEastAsia" w:hAnsi="Book Antiqua" w:cs="Arial"/>
                <w:b/>
                <w:bCs/>
                <w:lang w:eastAsia="zh-CN"/>
              </w:rPr>
              <w:t xml:space="preserve"> </w:t>
            </w:r>
            <w:r w:rsidR="00DA5E70" w:rsidRPr="0047516E">
              <w:rPr>
                <w:rFonts w:ascii="Book Antiqua" w:hAnsi="Book Antiqua" w:cs="Arial"/>
                <w:b/>
                <w:bCs/>
              </w:rPr>
              <w:t>(%)</w:t>
            </w:r>
          </w:p>
        </w:tc>
      </w:tr>
      <w:tr w:rsidR="00DA5E70" w:rsidRPr="0047516E" w14:paraId="0658FC3C" w14:textId="77777777" w:rsidTr="008C7245">
        <w:trPr>
          <w:trHeight w:val="594"/>
        </w:trPr>
        <w:tc>
          <w:tcPr>
            <w:tcW w:w="1951" w:type="dxa"/>
            <w:tcBorders>
              <w:top w:val="single" w:sz="4" w:space="0" w:color="auto"/>
            </w:tcBorders>
            <w:vAlign w:val="center"/>
            <w:hideMark/>
          </w:tcPr>
          <w:p w14:paraId="02CDB435" w14:textId="6D14C535"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Gastrointestinal </w:t>
            </w:r>
            <w:r w:rsidR="008C7245" w:rsidRPr="0047516E">
              <w:rPr>
                <w:rFonts w:ascii="Book Antiqua" w:hAnsi="Book Antiqua" w:cs="Arial"/>
              </w:rPr>
              <w:t>hemorrhage</w:t>
            </w:r>
          </w:p>
        </w:tc>
        <w:tc>
          <w:tcPr>
            <w:tcW w:w="1559" w:type="dxa"/>
            <w:tcBorders>
              <w:top w:val="single" w:sz="4" w:space="0" w:color="auto"/>
            </w:tcBorders>
            <w:vAlign w:val="center"/>
            <w:hideMark/>
          </w:tcPr>
          <w:p w14:paraId="2886FE04" w14:textId="0AB6DF2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468</w:t>
            </w:r>
            <w:r w:rsidR="00DA5E70" w:rsidRPr="0047516E">
              <w:rPr>
                <w:rFonts w:ascii="Book Antiqua" w:hAnsi="Book Antiqua" w:cs="Arial"/>
                <w:color w:val="000000"/>
              </w:rPr>
              <w:t>479</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(453166, 483</w:t>
            </w:r>
            <w:r w:rsidR="00DA5E70" w:rsidRPr="0047516E">
              <w:rPr>
                <w:rFonts w:ascii="Book Antiqua" w:hAnsi="Book Antiqua" w:cs="Arial"/>
                <w:color w:val="000000"/>
              </w:rPr>
              <w:t>792)</w:t>
            </w:r>
          </w:p>
        </w:tc>
        <w:tc>
          <w:tcPr>
            <w:tcW w:w="1276" w:type="dxa"/>
            <w:tcBorders>
              <w:top w:val="single" w:sz="4" w:space="0" w:color="auto"/>
            </w:tcBorders>
            <w:vAlign w:val="center"/>
            <w:hideMark/>
          </w:tcPr>
          <w:p w14:paraId="5DCBB21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4.35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(4.30, 4.40)</w:t>
            </w:r>
          </w:p>
        </w:tc>
        <w:tc>
          <w:tcPr>
            <w:tcW w:w="1559" w:type="dxa"/>
            <w:tcBorders>
              <w:top w:val="single" w:sz="4" w:space="0" w:color="auto"/>
            </w:tcBorders>
            <w:vAlign w:val="center"/>
            <w:hideMark/>
          </w:tcPr>
          <w:p w14:paraId="6A7C6755" w14:textId="42DD6F86"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9</w:t>
            </w:r>
            <w:r w:rsidR="00DA5E70" w:rsidRPr="0047516E">
              <w:rPr>
                <w:rFonts w:ascii="Book Antiqua" w:hAnsi="Book Antiqua" w:cs="Arial"/>
                <w:color w:val="000000"/>
              </w:rPr>
              <w:t>932</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(9745, 10</w:t>
            </w:r>
            <w:r w:rsidR="00DA5E70" w:rsidRPr="0047516E">
              <w:rPr>
                <w:rFonts w:ascii="Book Antiqua" w:hAnsi="Book Antiqua" w:cs="Arial"/>
                <w:color w:val="000000"/>
              </w:rPr>
              <w:t>119)</w:t>
            </w:r>
          </w:p>
        </w:tc>
        <w:tc>
          <w:tcPr>
            <w:tcW w:w="1701" w:type="dxa"/>
            <w:tcBorders>
              <w:top w:val="single" w:sz="4" w:space="0" w:color="auto"/>
            </w:tcBorders>
            <w:vAlign w:val="center"/>
            <w:hideMark/>
          </w:tcPr>
          <w:p w14:paraId="41952A8E" w14:textId="5F04D86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458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(9962, 10</w:t>
            </w:r>
            <w:r w:rsidR="00DA5E70" w:rsidRPr="0047516E">
              <w:rPr>
                <w:rFonts w:ascii="Book Antiqua" w:hAnsi="Book Antiqua" w:cs="Arial"/>
                <w:color w:val="000000"/>
              </w:rPr>
              <w:t>954)</w:t>
            </w:r>
          </w:p>
        </w:tc>
        <w:tc>
          <w:tcPr>
            <w:tcW w:w="1418" w:type="dxa"/>
            <w:tcBorders>
              <w:top w:val="single" w:sz="4" w:space="0" w:color="auto"/>
            </w:tcBorders>
            <w:vAlign w:val="center"/>
            <w:hideMark/>
          </w:tcPr>
          <w:p w14:paraId="128E5B0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2.23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(2.15, 2.31)</w:t>
            </w:r>
          </w:p>
        </w:tc>
        <w:tc>
          <w:tcPr>
            <w:tcW w:w="1701" w:type="dxa"/>
            <w:tcBorders>
              <w:top w:val="single" w:sz="4" w:space="0" w:color="auto"/>
            </w:tcBorders>
            <w:vAlign w:val="center"/>
            <w:hideMark/>
          </w:tcPr>
          <w:p w14:paraId="7A472CC0" w14:textId="414FB6E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23</w:t>
            </w:r>
            <w:r w:rsidR="00DA5E70" w:rsidRPr="0047516E">
              <w:rPr>
                <w:rFonts w:ascii="Book Antiqua" w:hAnsi="Book Antiqua" w:cs="Arial"/>
                <w:color w:val="000000"/>
              </w:rPr>
              <w:t>500</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(22520, 24</w:t>
            </w:r>
            <w:r w:rsidR="00DA5E70" w:rsidRPr="0047516E">
              <w:rPr>
                <w:rFonts w:ascii="Book Antiqua" w:hAnsi="Book Antiqua" w:cs="Arial"/>
                <w:color w:val="000000"/>
              </w:rPr>
              <w:t>479)</w:t>
            </w:r>
          </w:p>
        </w:tc>
        <w:tc>
          <w:tcPr>
            <w:tcW w:w="1695" w:type="dxa"/>
            <w:tcBorders>
              <w:top w:val="single" w:sz="4" w:space="0" w:color="auto"/>
            </w:tcBorders>
            <w:vAlign w:val="center"/>
            <w:hideMark/>
          </w:tcPr>
          <w:p w14:paraId="178CC2B4"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5.02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(4.88, 5.15)</w:t>
            </w:r>
          </w:p>
        </w:tc>
        <w:tc>
          <w:tcPr>
            <w:tcW w:w="998" w:type="dxa"/>
            <w:tcBorders>
              <w:top w:val="single" w:sz="4" w:space="0" w:color="auto"/>
            </w:tcBorders>
            <w:vAlign w:val="center"/>
            <w:hideMark/>
          </w:tcPr>
          <w:p w14:paraId="0E163E1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15.51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(15.28, 15.73)</w:t>
            </w:r>
          </w:p>
        </w:tc>
      </w:tr>
      <w:tr w:rsidR="00DA5E70" w:rsidRPr="0047516E" w14:paraId="39CD03CA" w14:textId="77777777" w:rsidTr="008C7245">
        <w:trPr>
          <w:trHeight w:val="622"/>
        </w:trPr>
        <w:tc>
          <w:tcPr>
            <w:tcW w:w="1951" w:type="dxa"/>
            <w:vAlign w:val="center"/>
            <w:hideMark/>
          </w:tcPr>
          <w:p w14:paraId="1ED13149" w14:textId="05FCC0B6"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Cholelithiasis with </w:t>
            </w:r>
            <w:r w:rsidR="008C7245" w:rsidRPr="0047516E">
              <w:rPr>
                <w:rFonts w:ascii="Book Antiqua" w:hAnsi="Book Antiqua" w:cs="Arial"/>
              </w:rPr>
              <w:t>cholecystitis</w:t>
            </w:r>
          </w:p>
        </w:tc>
        <w:tc>
          <w:tcPr>
            <w:tcW w:w="1559" w:type="dxa"/>
            <w:vAlign w:val="center"/>
            <w:hideMark/>
          </w:tcPr>
          <w:p w14:paraId="5A5C8CCB" w14:textId="0E9F848B"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357</w:t>
            </w:r>
            <w:r w:rsidR="00DA5E70" w:rsidRPr="0047516E">
              <w:rPr>
                <w:rFonts w:ascii="Book Antiqua" w:hAnsi="Book Antiqua" w:cs="Arial"/>
                <w:color w:val="000000"/>
              </w:rPr>
              <w:t>361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(343813, 370</w:t>
            </w:r>
            <w:r w:rsidR="00DA5E70" w:rsidRPr="0047516E">
              <w:rPr>
                <w:rFonts w:ascii="Book Antiqua" w:hAnsi="Book Antiqua" w:cs="Arial"/>
                <w:color w:val="000000"/>
              </w:rPr>
              <w:t>909)</w:t>
            </w:r>
          </w:p>
        </w:tc>
        <w:tc>
          <w:tcPr>
            <w:tcW w:w="1276" w:type="dxa"/>
            <w:vAlign w:val="center"/>
            <w:hideMark/>
          </w:tcPr>
          <w:p w14:paraId="2B922855"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3.88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(3.84, 3.92)</w:t>
            </w:r>
          </w:p>
        </w:tc>
        <w:tc>
          <w:tcPr>
            <w:tcW w:w="1559" w:type="dxa"/>
            <w:vAlign w:val="center"/>
            <w:hideMark/>
          </w:tcPr>
          <w:p w14:paraId="2121FD87" w14:textId="53D9A65F"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w:t>
            </w:r>
            <w:r w:rsidR="00DA5E70" w:rsidRPr="0047516E">
              <w:rPr>
                <w:rFonts w:ascii="Book Antiqua" w:hAnsi="Book Antiqua" w:cs="Arial"/>
                <w:color w:val="000000"/>
              </w:rPr>
              <w:t>983</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(11794, 12</w:t>
            </w:r>
            <w:r w:rsidR="00DA5E70" w:rsidRPr="0047516E">
              <w:rPr>
                <w:rFonts w:ascii="Book Antiqua" w:hAnsi="Book Antiqua" w:cs="Arial"/>
                <w:color w:val="000000"/>
              </w:rPr>
              <w:t>172)</w:t>
            </w:r>
          </w:p>
        </w:tc>
        <w:tc>
          <w:tcPr>
            <w:tcW w:w="1701" w:type="dxa"/>
            <w:vAlign w:val="center"/>
            <w:hideMark/>
          </w:tcPr>
          <w:p w14:paraId="3007E3CF" w14:textId="12072CC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w:t>
            </w:r>
            <w:r w:rsidR="00DA5E70" w:rsidRPr="0047516E">
              <w:rPr>
                <w:rFonts w:ascii="Book Antiqua" w:hAnsi="Book Antiqua" w:cs="Arial"/>
                <w:color w:val="000000"/>
              </w:rPr>
              <w:t>673</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(1514, 1</w:t>
            </w:r>
            <w:r w:rsidR="00DA5E70" w:rsidRPr="0047516E">
              <w:rPr>
                <w:rFonts w:ascii="Book Antiqua" w:hAnsi="Book Antiqua" w:cs="Arial"/>
                <w:color w:val="000000"/>
              </w:rPr>
              <w:t>833)</w:t>
            </w:r>
          </w:p>
        </w:tc>
        <w:tc>
          <w:tcPr>
            <w:tcW w:w="1418" w:type="dxa"/>
            <w:vAlign w:val="center"/>
            <w:hideMark/>
          </w:tcPr>
          <w:p w14:paraId="39BB45C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0.47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(0.43, 0.51)</w:t>
            </w:r>
          </w:p>
        </w:tc>
        <w:tc>
          <w:tcPr>
            <w:tcW w:w="1701" w:type="dxa"/>
            <w:vAlign w:val="center"/>
            <w:hideMark/>
          </w:tcPr>
          <w:p w14:paraId="6070CB5E" w14:textId="31366730"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w:t>
            </w:r>
            <w:r w:rsidR="00DA5E70" w:rsidRPr="0047516E">
              <w:rPr>
                <w:rFonts w:ascii="Book Antiqua" w:hAnsi="Book Antiqua" w:cs="Arial"/>
                <w:color w:val="000000"/>
              </w:rPr>
              <w:t>371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(4085, 4</w:t>
            </w:r>
            <w:r w:rsidR="00DA5E70" w:rsidRPr="0047516E">
              <w:rPr>
                <w:rFonts w:ascii="Book Antiqua" w:hAnsi="Book Antiqua" w:cs="Arial"/>
                <w:color w:val="000000"/>
              </w:rPr>
              <w:t>656)</w:t>
            </w:r>
          </w:p>
        </w:tc>
        <w:tc>
          <w:tcPr>
            <w:tcW w:w="1695" w:type="dxa"/>
            <w:vAlign w:val="center"/>
            <w:hideMark/>
          </w:tcPr>
          <w:p w14:paraId="6236BA73"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1.22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(1.16, 1.29)</w:t>
            </w:r>
          </w:p>
        </w:tc>
        <w:tc>
          <w:tcPr>
            <w:tcW w:w="998" w:type="dxa"/>
            <w:vAlign w:val="center"/>
            <w:hideMark/>
          </w:tcPr>
          <w:p w14:paraId="689BBDC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9.28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(9.08, 9.48)</w:t>
            </w:r>
          </w:p>
        </w:tc>
      </w:tr>
      <w:tr w:rsidR="00DA5E70" w:rsidRPr="0047516E" w14:paraId="50FCED19" w14:textId="77777777" w:rsidTr="008C7245">
        <w:trPr>
          <w:trHeight w:val="550"/>
        </w:trPr>
        <w:tc>
          <w:tcPr>
            <w:tcW w:w="1951" w:type="dxa"/>
            <w:vAlign w:val="center"/>
            <w:hideMark/>
          </w:tcPr>
          <w:p w14:paraId="09173D92" w14:textId="235834BC"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lastRenderedPageBreak/>
              <w:t xml:space="preserve">Acute </w:t>
            </w:r>
            <w:r w:rsidR="008C7245" w:rsidRPr="0047516E">
              <w:rPr>
                <w:rFonts w:ascii="Book Antiqua" w:hAnsi="Book Antiqua" w:cs="Arial"/>
              </w:rPr>
              <w:t>pancreatitis</w:t>
            </w:r>
          </w:p>
        </w:tc>
        <w:tc>
          <w:tcPr>
            <w:tcW w:w="1559" w:type="dxa"/>
            <w:vAlign w:val="center"/>
            <w:hideMark/>
          </w:tcPr>
          <w:p w14:paraId="5BA1ADB4" w14:textId="297CC4B2"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223</w:t>
            </w:r>
            <w:r w:rsidR="00DA5E70" w:rsidRPr="0047516E">
              <w:rPr>
                <w:rFonts w:ascii="Book Antiqua" w:hAnsi="Book Antiqua" w:cs="Arial"/>
                <w:color w:val="000000"/>
              </w:rPr>
              <w:t>344</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(216001, 230</w:t>
            </w:r>
            <w:r w:rsidR="00DA5E70" w:rsidRPr="0047516E">
              <w:rPr>
                <w:rFonts w:ascii="Book Antiqua" w:hAnsi="Book Antiqua" w:cs="Arial"/>
                <w:color w:val="000000"/>
              </w:rPr>
              <w:t>687)</w:t>
            </w:r>
          </w:p>
        </w:tc>
        <w:tc>
          <w:tcPr>
            <w:tcW w:w="1276" w:type="dxa"/>
            <w:vAlign w:val="center"/>
            <w:hideMark/>
          </w:tcPr>
          <w:p w14:paraId="6491BDE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4.76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(4.70, 4.83)</w:t>
            </w:r>
          </w:p>
        </w:tc>
        <w:tc>
          <w:tcPr>
            <w:tcW w:w="1559" w:type="dxa"/>
            <w:vAlign w:val="center"/>
            <w:hideMark/>
          </w:tcPr>
          <w:p w14:paraId="462F8696" w14:textId="360710CF"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127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(9906, 10</w:t>
            </w:r>
            <w:r w:rsidR="00DA5E70" w:rsidRPr="0047516E">
              <w:rPr>
                <w:rFonts w:ascii="Book Antiqua" w:hAnsi="Book Antiqua" w:cs="Arial"/>
                <w:color w:val="000000"/>
              </w:rPr>
              <w:t>348)</w:t>
            </w:r>
          </w:p>
        </w:tc>
        <w:tc>
          <w:tcPr>
            <w:tcW w:w="1701" w:type="dxa"/>
            <w:vAlign w:val="center"/>
            <w:hideMark/>
          </w:tcPr>
          <w:p w14:paraId="284AF465" w14:textId="5A78CEED"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w:t>
            </w:r>
            <w:r w:rsidR="00DA5E70" w:rsidRPr="0047516E">
              <w:rPr>
                <w:rFonts w:ascii="Book Antiqua" w:hAnsi="Book Antiqua" w:cs="Arial"/>
                <w:color w:val="000000"/>
              </w:rPr>
              <w:t>808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(1655, 1</w:t>
            </w:r>
            <w:r w:rsidR="00DA5E70" w:rsidRPr="0047516E">
              <w:rPr>
                <w:rFonts w:ascii="Book Antiqua" w:hAnsi="Book Antiqua" w:cs="Arial"/>
                <w:color w:val="000000"/>
              </w:rPr>
              <w:t>962)</w:t>
            </w:r>
          </w:p>
        </w:tc>
        <w:tc>
          <w:tcPr>
            <w:tcW w:w="1418" w:type="dxa"/>
            <w:vAlign w:val="center"/>
            <w:hideMark/>
          </w:tcPr>
          <w:p w14:paraId="5E8EA09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0.81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(0.74, 0.88)</w:t>
            </w:r>
          </w:p>
        </w:tc>
        <w:tc>
          <w:tcPr>
            <w:tcW w:w="1701" w:type="dxa"/>
            <w:vAlign w:val="center"/>
            <w:hideMark/>
          </w:tcPr>
          <w:p w14:paraId="20B432F3" w14:textId="0B467CB9"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w:t>
            </w:r>
            <w:r w:rsidR="00DA5E70" w:rsidRPr="0047516E">
              <w:rPr>
                <w:rFonts w:ascii="Book Antiqua" w:hAnsi="Book Antiqua" w:cs="Arial"/>
                <w:color w:val="000000"/>
              </w:rPr>
              <w:t>962</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(3711, 4</w:t>
            </w:r>
            <w:r w:rsidR="00DA5E70" w:rsidRPr="0047516E">
              <w:rPr>
                <w:rFonts w:ascii="Book Antiqua" w:hAnsi="Book Antiqua" w:cs="Arial"/>
                <w:color w:val="000000"/>
              </w:rPr>
              <w:t>214)</w:t>
            </w:r>
          </w:p>
        </w:tc>
        <w:tc>
          <w:tcPr>
            <w:tcW w:w="1695" w:type="dxa"/>
            <w:vAlign w:val="center"/>
            <w:hideMark/>
          </w:tcPr>
          <w:p w14:paraId="3C13698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1.77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(1.67, 1.87)</w:t>
            </w:r>
          </w:p>
        </w:tc>
        <w:tc>
          <w:tcPr>
            <w:tcW w:w="998" w:type="dxa"/>
            <w:vAlign w:val="center"/>
            <w:hideMark/>
          </w:tcPr>
          <w:p w14:paraId="4FC4EE75"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13.42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(13.11, 13.72)</w:t>
            </w:r>
          </w:p>
        </w:tc>
      </w:tr>
      <w:tr w:rsidR="00DA5E70" w:rsidRPr="0047516E" w14:paraId="5C82E93E" w14:textId="77777777" w:rsidTr="008C7245">
        <w:trPr>
          <w:trHeight w:val="532"/>
        </w:trPr>
        <w:tc>
          <w:tcPr>
            <w:tcW w:w="1951" w:type="dxa"/>
            <w:vAlign w:val="center"/>
            <w:hideMark/>
          </w:tcPr>
          <w:p w14:paraId="1220B5D2" w14:textId="59A06E43"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Intestinal </w:t>
            </w:r>
            <w:r w:rsidR="008C7245" w:rsidRPr="0047516E">
              <w:rPr>
                <w:rFonts w:ascii="Book Antiqua" w:hAnsi="Book Antiqua" w:cs="Arial"/>
              </w:rPr>
              <w:t>obstruction</w:t>
            </w:r>
          </w:p>
        </w:tc>
        <w:tc>
          <w:tcPr>
            <w:tcW w:w="1559" w:type="dxa"/>
            <w:vAlign w:val="center"/>
            <w:hideMark/>
          </w:tcPr>
          <w:p w14:paraId="0BEBF5AF" w14:textId="068C20C6"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236</w:t>
            </w:r>
            <w:r w:rsidR="00DA5E70" w:rsidRPr="0047516E">
              <w:rPr>
                <w:rFonts w:ascii="Book Antiqua" w:hAnsi="Book Antiqua" w:cs="Arial"/>
                <w:color w:val="000000"/>
              </w:rPr>
              <w:t>437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(228</w:t>
            </w:r>
            <w:r w:rsidR="00DA5E70" w:rsidRPr="0047516E">
              <w:rPr>
                <w:rFonts w:ascii="Book Antiqua" w:hAnsi="Book Antiqua" w:cs="Arial"/>
                <w:color w:val="000000"/>
              </w:rPr>
              <w:t xml:space="preserve">766, </w:t>
            </w:r>
            <w:r w:rsidRPr="0047516E">
              <w:rPr>
                <w:rFonts w:ascii="Book Antiqua" w:hAnsi="Book Antiqua" w:cs="Arial"/>
                <w:color w:val="000000"/>
              </w:rPr>
              <w:t>244</w:t>
            </w:r>
            <w:r w:rsidR="00DA5E70" w:rsidRPr="0047516E">
              <w:rPr>
                <w:rFonts w:ascii="Book Antiqua" w:hAnsi="Book Antiqua" w:cs="Arial"/>
                <w:color w:val="000000"/>
              </w:rPr>
              <w:t>109)</w:t>
            </w:r>
          </w:p>
        </w:tc>
        <w:tc>
          <w:tcPr>
            <w:tcW w:w="1276" w:type="dxa"/>
            <w:vAlign w:val="center"/>
            <w:hideMark/>
          </w:tcPr>
          <w:p w14:paraId="763CFD7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5.69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(5.62, 5.76)</w:t>
            </w:r>
          </w:p>
        </w:tc>
        <w:tc>
          <w:tcPr>
            <w:tcW w:w="1559" w:type="dxa"/>
            <w:vAlign w:val="center"/>
            <w:hideMark/>
          </w:tcPr>
          <w:p w14:paraId="1CD55FC1" w14:textId="5B6AF15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w:t>
            </w:r>
            <w:r w:rsidR="00DA5E70" w:rsidRPr="0047516E">
              <w:rPr>
                <w:rFonts w:ascii="Book Antiqua" w:hAnsi="Book Antiqua" w:cs="Arial"/>
                <w:color w:val="000000"/>
              </w:rPr>
              <w:t>583</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(11347, 11</w:t>
            </w:r>
            <w:r w:rsidR="00DA5E70" w:rsidRPr="0047516E">
              <w:rPr>
                <w:rFonts w:ascii="Book Antiqua" w:hAnsi="Book Antiqua" w:cs="Arial"/>
                <w:color w:val="000000"/>
              </w:rPr>
              <w:t>819)</w:t>
            </w:r>
          </w:p>
        </w:tc>
        <w:tc>
          <w:tcPr>
            <w:tcW w:w="1701" w:type="dxa"/>
            <w:vAlign w:val="center"/>
            <w:hideMark/>
          </w:tcPr>
          <w:p w14:paraId="40C7438F" w14:textId="2AAD80C6"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w:t>
            </w:r>
            <w:r w:rsidR="00DA5E70" w:rsidRPr="0047516E">
              <w:rPr>
                <w:rFonts w:ascii="Book Antiqua" w:hAnsi="Book Antiqua" w:cs="Arial"/>
                <w:color w:val="000000"/>
              </w:rPr>
              <w:t>529</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(4262, 4</w:t>
            </w:r>
            <w:r w:rsidR="00DA5E70" w:rsidRPr="0047516E">
              <w:rPr>
                <w:rFonts w:ascii="Book Antiqua" w:hAnsi="Book Antiqua" w:cs="Arial"/>
                <w:color w:val="000000"/>
              </w:rPr>
              <w:t>795)</w:t>
            </w:r>
          </w:p>
        </w:tc>
        <w:tc>
          <w:tcPr>
            <w:tcW w:w="1418" w:type="dxa"/>
            <w:vAlign w:val="center"/>
            <w:hideMark/>
          </w:tcPr>
          <w:p w14:paraId="377793A0"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1.92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(1.81, 2.02)</w:t>
            </w:r>
          </w:p>
        </w:tc>
        <w:tc>
          <w:tcPr>
            <w:tcW w:w="1701" w:type="dxa"/>
            <w:vAlign w:val="center"/>
            <w:hideMark/>
          </w:tcPr>
          <w:p w14:paraId="01673054" w14:textId="6D48342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7</w:t>
            </w:r>
            <w:r w:rsidR="00DA5E70" w:rsidRPr="0047516E">
              <w:rPr>
                <w:rFonts w:ascii="Book Antiqua" w:hAnsi="Book Antiqua" w:cs="Arial"/>
                <w:color w:val="000000"/>
              </w:rPr>
              <w:t>970</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(7584, 8</w:t>
            </w:r>
            <w:r w:rsidR="00DA5E70" w:rsidRPr="0047516E">
              <w:rPr>
                <w:rFonts w:ascii="Book Antiqua" w:hAnsi="Book Antiqua" w:cs="Arial"/>
                <w:color w:val="000000"/>
              </w:rPr>
              <w:t>356)</w:t>
            </w:r>
          </w:p>
        </w:tc>
        <w:tc>
          <w:tcPr>
            <w:tcW w:w="1695" w:type="dxa"/>
            <w:vAlign w:val="center"/>
            <w:hideMark/>
          </w:tcPr>
          <w:p w14:paraId="6EB5B9C4"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3.37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(3.23, 3.51)</w:t>
            </w:r>
          </w:p>
        </w:tc>
        <w:tc>
          <w:tcPr>
            <w:tcW w:w="998" w:type="dxa"/>
            <w:vAlign w:val="center"/>
            <w:hideMark/>
          </w:tcPr>
          <w:p w14:paraId="4CA4775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8.80</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(8.59, 9.02)</w:t>
            </w:r>
          </w:p>
        </w:tc>
      </w:tr>
      <w:tr w:rsidR="00DA5E70" w:rsidRPr="0047516E" w14:paraId="1D98233C" w14:textId="77777777" w:rsidTr="008C7245">
        <w:trPr>
          <w:trHeight w:val="361"/>
        </w:trPr>
        <w:tc>
          <w:tcPr>
            <w:tcW w:w="1951" w:type="dxa"/>
            <w:vAlign w:val="center"/>
            <w:hideMark/>
          </w:tcPr>
          <w:p w14:paraId="253AE8E9" w14:textId="77777777"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Appendicis</w:t>
            </w:r>
          </w:p>
        </w:tc>
        <w:tc>
          <w:tcPr>
            <w:tcW w:w="1559" w:type="dxa"/>
            <w:vAlign w:val="center"/>
            <w:hideMark/>
          </w:tcPr>
          <w:p w14:paraId="6005F002" w14:textId="00EE08D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163</w:t>
            </w:r>
            <w:r w:rsidR="00DA5E70" w:rsidRPr="0047516E">
              <w:rPr>
                <w:rFonts w:ascii="Book Antiqua" w:hAnsi="Book Antiqua" w:cs="Arial"/>
                <w:color w:val="000000"/>
              </w:rPr>
              <w:t>387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(156767, 170</w:t>
            </w:r>
            <w:r w:rsidR="00DA5E70" w:rsidRPr="0047516E">
              <w:rPr>
                <w:rFonts w:ascii="Book Antiqua" w:hAnsi="Book Antiqua" w:cs="Arial"/>
                <w:color w:val="000000"/>
              </w:rPr>
              <w:t>006)</w:t>
            </w:r>
          </w:p>
        </w:tc>
        <w:tc>
          <w:tcPr>
            <w:tcW w:w="1276" w:type="dxa"/>
            <w:vAlign w:val="center"/>
            <w:hideMark/>
          </w:tcPr>
          <w:p w14:paraId="5ED573D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2.84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(2.80, 2.89)</w:t>
            </w:r>
          </w:p>
        </w:tc>
        <w:tc>
          <w:tcPr>
            <w:tcW w:w="1559" w:type="dxa"/>
            <w:vAlign w:val="center"/>
            <w:hideMark/>
          </w:tcPr>
          <w:p w14:paraId="3DCAB7C8" w14:textId="1F00B26F"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399</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(10207, 10</w:t>
            </w:r>
            <w:r w:rsidR="00DA5E70" w:rsidRPr="0047516E">
              <w:rPr>
                <w:rFonts w:ascii="Book Antiqua" w:hAnsi="Book Antiqua" w:cs="Arial"/>
                <w:color w:val="000000"/>
              </w:rPr>
              <w:t>592)</w:t>
            </w:r>
          </w:p>
        </w:tc>
        <w:tc>
          <w:tcPr>
            <w:tcW w:w="1701" w:type="dxa"/>
            <w:vAlign w:val="center"/>
            <w:hideMark/>
          </w:tcPr>
          <w:p w14:paraId="24F94CF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185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(141, 230)</w:t>
            </w:r>
          </w:p>
        </w:tc>
        <w:tc>
          <w:tcPr>
            <w:tcW w:w="1418" w:type="dxa"/>
            <w:vAlign w:val="center"/>
            <w:hideMark/>
          </w:tcPr>
          <w:p w14:paraId="0B0AB3B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0.11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(0.09, 0.14)</w:t>
            </w:r>
          </w:p>
        </w:tc>
        <w:tc>
          <w:tcPr>
            <w:tcW w:w="1701" w:type="dxa"/>
            <w:vAlign w:val="center"/>
            <w:hideMark/>
          </w:tcPr>
          <w:p w14:paraId="349D435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357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(296, 418)</w:t>
            </w:r>
          </w:p>
        </w:tc>
        <w:tc>
          <w:tcPr>
            <w:tcW w:w="1695" w:type="dxa"/>
            <w:vAlign w:val="center"/>
            <w:hideMark/>
          </w:tcPr>
          <w:p w14:paraId="102DC5A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0.22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(0.18, 0.26)</w:t>
            </w:r>
          </w:p>
        </w:tc>
        <w:tc>
          <w:tcPr>
            <w:tcW w:w="998" w:type="dxa"/>
            <w:vAlign w:val="center"/>
            <w:hideMark/>
          </w:tcPr>
          <w:p w14:paraId="4704C8C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5.23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(5.03, 5.44)</w:t>
            </w:r>
          </w:p>
        </w:tc>
      </w:tr>
      <w:tr w:rsidR="00DA5E70" w:rsidRPr="0047516E" w14:paraId="68D48BA6" w14:textId="77777777" w:rsidTr="008C7245">
        <w:trPr>
          <w:trHeight w:val="687"/>
        </w:trPr>
        <w:tc>
          <w:tcPr>
            <w:tcW w:w="1951" w:type="dxa"/>
            <w:vAlign w:val="center"/>
            <w:hideMark/>
          </w:tcPr>
          <w:p w14:paraId="708C8890" w14:textId="66B4959D"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Chronic </w:t>
            </w:r>
            <w:r w:rsidR="008C7245" w:rsidRPr="0047516E">
              <w:rPr>
                <w:rFonts w:ascii="Book Antiqua" w:hAnsi="Book Antiqua" w:cs="Arial"/>
              </w:rPr>
              <w:t xml:space="preserve">liver disease </w:t>
            </w:r>
            <w:r w:rsidRPr="0047516E">
              <w:rPr>
                <w:rFonts w:ascii="Book Antiqua" w:hAnsi="Book Antiqua" w:cs="Arial"/>
              </w:rPr>
              <w:t xml:space="preserve">and </w:t>
            </w:r>
            <w:r w:rsidR="008C7245" w:rsidRPr="0047516E">
              <w:rPr>
                <w:rFonts w:ascii="Book Antiqua" w:hAnsi="Book Antiqua" w:cs="Arial"/>
              </w:rPr>
              <w:t>viral hepatitis</w:t>
            </w:r>
          </w:p>
        </w:tc>
        <w:tc>
          <w:tcPr>
            <w:tcW w:w="1559" w:type="dxa"/>
            <w:vAlign w:val="center"/>
            <w:hideMark/>
          </w:tcPr>
          <w:p w14:paraId="5A5FFF5C" w14:textId="03F0333E"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165</w:t>
            </w:r>
            <w:r w:rsidR="00DA5E70" w:rsidRPr="0047516E">
              <w:rPr>
                <w:rFonts w:ascii="Book Antiqua" w:hAnsi="Book Antiqua" w:cs="Arial"/>
                <w:color w:val="000000"/>
              </w:rPr>
              <w:t>890</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(157352, 174</w:t>
            </w:r>
            <w:r w:rsidR="00DA5E70" w:rsidRPr="0047516E">
              <w:rPr>
                <w:rFonts w:ascii="Book Antiqua" w:hAnsi="Book Antiqua" w:cs="Arial"/>
                <w:color w:val="000000"/>
              </w:rPr>
              <w:t>428)</w:t>
            </w:r>
          </w:p>
        </w:tc>
        <w:tc>
          <w:tcPr>
            <w:tcW w:w="1276" w:type="dxa"/>
            <w:vAlign w:val="center"/>
            <w:hideMark/>
          </w:tcPr>
          <w:p w14:paraId="2FD460C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6.12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(5.95, 6.29)</w:t>
            </w:r>
          </w:p>
        </w:tc>
        <w:tc>
          <w:tcPr>
            <w:tcW w:w="1559" w:type="dxa"/>
            <w:vAlign w:val="center"/>
            <w:hideMark/>
          </w:tcPr>
          <w:p w14:paraId="0191DC3C" w14:textId="0861DF88"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14</w:t>
            </w:r>
            <w:r w:rsidR="00DA5E70" w:rsidRPr="0047516E">
              <w:rPr>
                <w:rFonts w:ascii="Book Antiqua" w:hAnsi="Book Antiqua" w:cs="Arial"/>
                <w:color w:val="000000"/>
              </w:rPr>
              <w:t>848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(13854, 15</w:t>
            </w:r>
            <w:r w:rsidR="00DA5E70" w:rsidRPr="0047516E">
              <w:rPr>
                <w:rFonts w:ascii="Book Antiqua" w:hAnsi="Book Antiqua" w:cs="Arial"/>
                <w:color w:val="000000"/>
              </w:rPr>
              <w:t>842)</w:t>
            </w:r>
          </w:p>
        </w:tc>
        <w:tc>
          <w:tcPr>
            <w:tcW w:w="1701" w:type="dxa"/>
            <w:vAlign w:val="center"/>
            <w:hideMark/>
          </w:tcPr>
          <w:p w14:paraId="53BA9BC6" w14:textId="5B064CD8"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058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(9429, 10</w:t>
            </w:r>
            <w:r w:rsidR="00DA5E70" w:rsidRPr="0047516E">
              <w:rPr>
                <w:rFonts w:ascii="Book Antiqua" w:hAnsi="Book Antiqua" w:cs="Arial"/>
                <w:color w:val="000000"/>
              </w:rPr>
              <w:t>687)</w:t>
            </w:r>
          </w:p>
        </w:tc>
        <w:tc>
          <w:tcPr>
            <w:tcW w:w="1418" w:type="dxa"/>
            <w:vAlign w:val="center"/>
            <w:hideMark/>
          </w:tcPr>
          <w:p w14:paraId="38F6DAB1"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6.07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(5.86, 6.28)</w:t>
            </w:r>
          </w:p>
        </w:tc>
        <w:tc>
          <w:tcPr>
            <w:tcW w:w="1701" w:type="dxa"/>
            <w:vAlign w:val="center"/>
            <w:hideMark/>
          </w:tcPr>
          <w:p w14:paraId="71307C7C" w14:textId="658651E7"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20</w:t>
            </w:r>
            <w:r w:rsidR="00DA5E70" w:rsidRPr="0047516E">
              <w:rPr>
                <w:rFonts w:ascii="Book Antiqua" w:hAnsi="Book Antiqua" w:cs="Arial"/>
                <w:color w:val="000000"/>
              </w:rPr>
              <w:t>931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(19694, 22</w:t>
            </w:r>
            <w:r w:rsidR="00DA5E70" w:rsidRPr="0047516E">
              <w:rPr>
                <w:rFonts w:ascii="Book Antiqua" w:hAnsi="Book Antiqua" w:cs="Arial"/>
                <w:color w:val="000000"/>
              </w:rPr>
              <w:t>169)</w:t>
            </w:r>
          </w:p>
        </w:tc>
        <w:tc>
          <w:tcPr>
            <w:tcW w:w="1695" w:type="dxa"/>
            <w:vAlign w:val="center"/>
            <w:hideMark/>
          </w:tcPr>
          <w:p w14:paraId="6C24861F"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12.62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(12.29, 12.95)</w:t>
            </w:r>
          </w:p>
        </w:tc>
        <w:tc>
          <w:tcPr>
            <w:tcW w:w="998" w:type="dxa"/>
            <w:vAlign w:val="center"/>
            <w:hideMark/>
          </w:tcPr>
          <w:p w14:paraId="503A54D0"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25.40</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(24.93, 25.86)</w:t>
            </w:r>
          </w:p>
        </w:tc>
      </w:tr>
      <w:tr w:rsidR="00DA5E70" w:rsidRPr="0047516E" w14:paraId="1BD01FB7" w14:textId="77777777" w:rsidTr="008C7245">
        <w:trPr>
          <w:trHeight w:val="631"/>
        </w:trPr>
        <w:tc>
          <w:tcPr>
            <w:tcW w:w="1951" w:type="dxa"/>
            <w:vAlign w:val="center"/>
            <w:hideMark/>
          </w:tcPr>
          <w:p w14:paraId="3CFE4236" w14:textId="3957630B"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Diverticulitis without </w:t>
            </w:r>
            <w:r w:rsidR="008C7245" w:rsidRPr="0047516E">
              <w:rPr>
                <w:rFonts w:ascii="Book Antiqua" w:hAnsi="Book Antiqua" w:cs="Arial"/>
              </w:rPr>
              <w:t>hemorrhage</w:t>
            </w:r>
          </w:p>
        </w:tc>
        <w:tc>
          <w:tcPr>
            <w:tcW w:w="1559" w:type="dxa"/>
            <w:vAlign w:val="center"/>
            <w:hideMark/>
          </w:tcPr>
          <w:p w14:paraId="013EE278" w14:textId="4A293ED0"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191</w:t>
            </w:r>
            <w:r w:rsidR="00DA5E70" w:rsidRPr="0047516E">
              <w:rPr>
                <w:rFonts w:ascii="Book Antiqua" w:hAnsi="Book Antiqua" w:cs="Arial"/>
                <w:color w:val="000000"/>
              </w:rPr>
              <w:t>898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(184081, 199</w:t>
            </w:r>
            <w:r w:rsidR="00DA5E70" w:rsidRPr="0047516E">
              <w:rPr>
                <w:rFonts w:ascii="Book Antiqua" w:hAnsi="Book Antiqua" w:cs="Arial"/>
                <w:color w:val="000000"/>
              </w:rPr>
              <w:t>716)</w:t>
            </w:r>
          </w:p>
        </w:tc>
        <w:tc>
          <w:tcPr>
            <w:tcW w:w="1276" w:type="dxa"/>
            <w:vAlign w:val="center"/>
            <w:hideMark/>
          </w:tcPr>
          <w:p w14:paraId="6482C8B1"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4.69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(4.63, 4.74)</w:t>
            </w:r>
          </w:p>
        </w:tc>
        <w:tc>
          <w:tcPr>
            <w:tcW w:w="1559" w:type="dxa"/>
            <w:vAlign w:val="center"/>
            <w:hideMark/>
          </w:tcPr>
          <w:p w14:paraId="085A29DD" w14:textId="67FBBA3B"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9</w:t>
            </w:r>
            <w:r w:rsidR="00DA5E70" w:rsidRPr="0047516E">
              <w:rPr>
                <w:rFonts w:ascii="Book Antiqua" w:hAnsi="Book Antiqua" w:cs="Arial"/>
                <w:color w:val="000000"/>
              </w:rPr>
              <w:t>986</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(9792, 10</w:t>
            </w:r>
            <w:r w:rsidR="00DA5E70" w:rsidRPr="0047516E">
              <w:rPr>
                <w:rFonts w:ascii="Book Antiqua" w:hAnsi="Book Antiqua" w:cs="Arial"/>
                <w:color w:val="000000"/>
              </w:rPr>
              <w:t>180)</w:t>
            </w:r>
          </w:p>
        </w:tc>
        <w:tc>
          <w:tcPr>
            <w:tcW w:w="1701" w:type="dxa"/>
            <w:vAlign w:val="center"/>
            <w:hideMark/>
          </w:tcPr>
          <w:p w14:paraId="0604B005"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891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(791, 990)</w:t>
            </w:r>
          </w:p>
        </w:tc>
        <w:tc>
          <w:tcPr>
            <w:tcW w:w="1418" w:type="dxa"/>
            <w:vAlign w:val="center"/>
            <w:hideMark/>
          </w:tcPr>
          <w:p w14:paraId="7CE1742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0.46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(0.41, 0.52)</w:t>
            </w:r>
          </w:p>
        </w:tc>
        <w:tc>
          <w:tcPr>
            <w:tcW w:w="1701" w:type="dxa"/>
            <w:vAlign w:val="center"/>
            <w:hideMark/>
          </w:tcPr>
          <w:p w14:paraId="7031C8D1" w14:textId="61D7DFB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w:t>
            </w:r>
            <w:r w:rsidR="00DA5E70" w:rsidRPr="0047516E">
              <w:rPr>
                <w:rFonts w:ascii="Book Antiqua" w:hAnsi="Book Antiqua" w:cs="Arial"/>
                <w:color w:val="000000"/>
              </w:rPr>
              <w:t>196</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(2033, 2</w:t>
            </w:r>
            <w:r w:rsidR="00DA5E70" w:rsidRPr="0047516E">
              <w:rPr>
                <w:rFonts w:ascii="Book Antiqua" w:hAnsi="Book Antiqua" w:cs="Arial"/>
                <w:color w:val="000000"/>
              </w:rPr>
              <w:t>358)</w:t>
            </w:r>
          </w:p>
        </w:tc>
        <w:tc>
          <w:tcPr>
            <w:tcW w:w="1695" w:type="dxa"/>
            <w:vAlign w:val="center"/>
            <w:hideMark/>
          </w:tcPr>
          <w:p w14:paraId="40F1F33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(1.06, 1.22)</w:t>
            </w:r>
          </w:p>
        </w:tc>
        <w:tc>
          <w:tcPr>
            <w:tcW w:w="998" w:type="dxa"/>
            <w:vAlign w:val="center"/>
            <w:hideMark/>
          </w:tcPr>
          <w:p w14:paraId="1D0D21A3"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11.23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(10.96, 11.50)</w:t>
            </w:r>
          </w:p>
        </w:tc>
      </w:tr>
      <w:tr w:rsidR="00DA5E70" w:rsidRPr="0047516E" w14:paraId="225495D8" w14:textId="77777777" w:rsidTr="008C7245">
        <w:trPr>
          <w:trHeight w:val="721"/>
        </w:trPr>
        <w:tc>
          <w:tcPr>
            <w:tcW w:w="1951" w:type="dxa"/>
            <w:vAlign w:val="center"/>
            <w:hideMark/>
          </w:tcPr>
          <w:p w14:paraId="1A5D7D7C" w14:textId="37323280"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Noninfectious </w:t>
            </w:r>
            <w:r w:rsidR="008C7245" w:rsidRPr="0047516E">
              <w:rPr>
                <w:rFonts w:ascii="Book Antiqua" w:hAnsi="Book Antiqua" w:cs="Arial"/>
              </w:rPr>
              <w:t>gastroenteritis</w:t>
            </w:r>
            <w:r w:rsidRPr="0047516E">
              <w:rPr>
                <w:rFonts w:ascii="Book Antiqua" w:hAnsi="Book Antiqua" w:cs="Arial"/>
              </w:rPr>
              <w:t>/colitis</w:t>
            </w:r>
          </w:p>
        </w:tc>
        <w:tc>
          <w:tcPr>
            <w:tcW w:w="1559" w:type="dxa"/>
            <w:vAlign w:val="center"/>
            <w:hideMark/>
          </w:tcPr>
          <w:p w14:paraId="0FA3B4E6" w14:textId="57414E98"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119</w:t>
            </w:r>
            <w:r w:rsidR="00DA5E70" w:rsidRPr="0047516E">
              <w:rPr>
                <w:rFonts w:ascii="Book Antiqua" w:hAnsi="Book Antiqua" w:cs="Arial"/>
                <w:color w:val="000000"/>
              </w:rPr>
              <w:t>543</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(113494, 125</w:t>
            </w:r>
            <w:r w:rsidR="00DA5E70" w:rsidRPr="0047516E">
              <w:rPr>
                <w:rFonts w:ascii="Book Antiqua" w:hAnsi="Book Antiqua" w:cs="Arial"/>
                <w:color w:val="000000"/>
              </w:rPr>
              <w:t>593)</w:t>
            </w:r>
          </w:p>
        </w:tc>
        <w:tc>
          <w:tcPr>
            <w:tcW w:w="1276" w:type="dxa"/>
            <w:vAlign w:val="center"/>
            <w:hideMark/>
          </w:tcPr>
          <w:p w14:paraId="165F8D8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3.23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(3.19, 3.27)</w:t>
            </w:r>
          </w:p>
        </w:tc>
        <w:tc>
          <w:tcPr>
            <w:tcW w:w="1559" w:type="dxa"/>
            <w:vAlign w:val="center"/>
            <w:hideMark/>
          </w:tcPr>
          <w:p w14:paraId="6AC57A2A" w14:textId="7C1DF43D"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w:t>
            </w:r>
            <w:r w:rsidR="00DA5E70" w:rsidRPr="0047516E">
              <w:rPr>
                <w:rFonts w:ascii="Book Antiqua" w:hAnsi="Book Antiqua" w:cs="Arial"/>
                <w:color w:val="000000"/>
              </w:rPr>
              <w:t>391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(6270, 6</w:t>
            </w:r>
            <w:r w:rsidR="00DA5E70" w:rsidRPr="0047516E">
              <w:rPr>
                <w:rFonts w:ascii="Book Antiqua" w:hAnsi="Book Antiqua" w:cs="Arial"/>
                <w:color w:val="000000"/>
              </w:rPr>
              <w:t>512)</w:t>
            </w:r>
          </w:p>
        </w:tc>
        <w:tc>
          <w:tcPr>
            <w:tcW w:w="1701" w:type="dxa"/>
            <w:vAlign w:val="center"/>
            <w:hideMark/>
          </w:tcPr>
          <w:p w14:paraId="34EC7C5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483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(406, 559)</w:t>
            </w:r>
          </w:p>
        </w:tc>
        <w:tc>
          <w:tcPr>
            <w:tcW w:w="1418" w:type="dxa"/>
            <w:vAlign w:val="center"/>
            <w:hideMark/>
          </w:tcPr>
          <w:p w14:paraId="6F6B02C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0.40</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(0.34, 0.47)</w:t>
            </w:r>
          </w:p>
        </w:tc>
        <w:tc>
          <w:tcPr>
            <w:tcW w:w="1701" w:type="dxa"/>
            <w:vAlign w:val="center"/>
            <w:hideMark/>
          </w:tcPr>
          <w:p w14:paraId="775658B7" w14:textId="784A412D"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w:t>
            </w:r>
            <w:r w:rsidR="00DA5E70" w:rsidRPr="0047516E">
              <w:rPr>
                <w:rFonts w:ascii="Book Antiqua" w:hAnsi="Book Antiqua" w:cs="Arial"/>
                <w:color w:val="000000"/>
              </w:rPr>
              <w:t>974</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(1804, 2</w:t>
            </w:r>
            <w:r w:rsidR="00DA5E70" w:rsidRPr="0047516E">
              <w:rPr>
                <w:rFonts w:ascii="Book Antiqua" w:hAnsi="Book Antiqua" w:cs="Arial"/>
                <w:color w:val="000000"/>
              </w:rPr>
              <w:t>145)</w:t>
            </w:r>
          </w:p>
        </w:tc>
        <w:tc>
          <w:tcPr>
            <w:tcW w:w="1695" w:type="dxa"/>
            <w:vAlign w:val="center"/>
            <w:hideMark/>
          </w:tcPr>
          <w:p w14:paraId="46966F2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1.65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(1.51, 1.79)</w:t>
            </w:r>
          </w:p>
        </w:tc>
        <w:tc>
          <w:tcPr>
            <w:tcW w:w="998" w:type="dxa"/>
            <w:vAlign w:val="center"/>
            <w:hideMark/>
          </w:tcPr>
          <w:p w14:paraId="1433CD3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12.24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(11.91, 12.58)</w:t>
            </w:r>
          </w:p>
        </w:tc>
      </w:tr>
      <w:tr w:rsidR="00DA5E70" w:rsidRPr="0047516E" w14:paraId="13F01220" w14:textId="77777777" w:rsidTr="008C7245">
        <w:trPr>
          <w:trHeight w:val="532"/>
        </w:trPr>
        <w:tc>
          <w:tcPr>
            <w:tcW w:w="1951" w:type="dxa"/>
            <w:vAlign w:val="center"/>
            <w:hideMark/>
          </w:tcPr>
          <w:p w14:paraId="2205314C" w14:textId="77777777"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Obesity</w:t>
            </w:r>
          </w:p>
        </w:tc>
        <w:tc>
          <w:tcPr>
            <w:tcW w:w="1559" w:type="dxa"/>
            <w:vAlign w:val="center"/>
            <w:hideMark/>
          </w:tcPr>
          <w:p w14:paraId="3C41026E" w14:textId="7B5F636A"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143</w:t>
            </w:r>
            <w:r w:rsidR="00DA5E70" w:rsidRPr="0047516E">
              <w:rPr>
                <w:rFonts w:ascii="Book Antiqua" w:hAnsi="Book Antiqua" w:cs="Arial"/>
                <w:color w:val="000000"/>
              </w:rPr>
              <w:t>487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(127160, 159</w:t>
            </w:r>
            <w:r w:rsidR="00DA5E70" w:rsidRPr="0047516E">
              <w:rPr>
                <w:rFonts w:ascii="Book Antiqua" w:hAnsi="Book Antiqua" w:cs="Arial"/>
                <w:color w:val="000000"/>
              </w:rPr>
              <w:t>813)</w:t>
            </w:r>
          </w:p>
        </w:tc>
        <w:tc>
          <w:tcPr>
            <w:tcW w:w="1276" w:type="dxa"/>
            <w:vAlign w:val="center"/>
            <w:hideMark/>
          </w:tcPr>
          <w:p w14:paraId="25071D4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2.07</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(2.00, 2.14)</w:t>
            </w:r>
          </w:p>
        </w:tc>
        <w:tc>
          <w:tcPr>
            <w:tcW w:w="1559" w:type="dxa"/>
            <w:vAlign w:val="center"/>
            <w:hideMark/>
          </w:tcPr>
          <w:p w14:paraId="1CFB65DE" w14:textId="79F927E8"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12</w:t>
            </w:r>
            <w:r w:rsidR="00DA5E70" w:rsidRPr="0047516E">
              <w:rPr>
                <w:rFonts w:ascii="Book Antiqua" w:hAnsi="Book Antiqua" w:cs="Arial"/>
                <w:color w:val="000000"/>
              </w:rPr>
              <w:t>731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(12150, 13</w:t>
            </w:r>
            <w:r w:rsidR="00DA5E70" w:rsidRPr="0047516E">
              <w:rPr>
                <w:rFonts w:ascii="Book Antiqua" w:hAnsi="Book Antiqua" w:cs="Arial"/>
                <w:color w:val="000000"/>
              </w:rPr>
              <w:t>312)</w:t>
            </w:r>
          </w:p>
        </w:tc>
        <w:tc>
          <w:tcPr>
            <w:tcW w:w="1701" w:type="dxa"/>
            <w:vAlign w:val="center"/>
            <w:hideMark/>
          </w:tcPr>
          <w:p w14:paraId="737FC22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78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(43, 112)</w:t>
            </w:r>
          </w:p>
        </w:tc>
        <w:tc>
          <w:tcPr>
            <w:tcW w:w="1418" w:type="dxa"/>
            <w:vAlign w:val="center"/>
            <w:hideMark/>
          </w:tcPr>
          <w:p w14:paraId="0748171B"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0.05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(0.03, 0.08)</w:t>
            </w:r>
          </w:p>
        </w:tc>
        <w:tc>
          <w:tcPr>
            <w:tcW w:w="1701" w:type="dxa"/>
            <w:vAlign w:val="center"/>
            <w:hideMark/>
          </w:tcPr>
          <w:p w14:paraId="73AB1E7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226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(117, 336)</w:t>
            </w:r>
          </w:p>
        </w:tc>
        <w:tc>
          <w:tcPr>
            <w:tcW w:w="1695" w:type="dxa"/>
            <w:vAlign w:val="center"/>
            <w:hideMark/>
          </w:tcPr>
          <w:p w14:paraId="06BD2CF4"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0.16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(0.09, 0.23)</w:t>
            </w:r>
          </w:p>
        </w:tc>
        <w:tc>
          <w:tcPr>
            <w:tcW w:w="998" w:type="dxa"/>
            <w:vAlign w:val="center"/>
            <w:hideMark/>
          </w:tcPr>
          <w:p w14:paraId="22723F38"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5.34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(5.01, 5.67)</w:t>
            </w:r>
          </w:p>
        </w:tc>
      </w:tr>
      <w:tr w:rsidR="00DA5E70" w:rsidRPr="0047516E" w14:paraId="05D87941" w14:textId="77777777" w:rsidTr="008C7245">
        <w:trPr>
          <w:trHeight w:val="552"/>
        </w:trPr>
        <w:tc>
          <w:tcPr>
            <w:tcW w:w="1951" w:type="dxa"/>
            <w:vAlign w:val="center"/>
            <w:hideMark/>
          </w:tcPr>
          <w:p w14:paraId="7BF413BD" w14:textId="44FC9E50"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Clostridium </w:t>
            </w:r>
            <w:r w:rsidR="008C7245" w:rsidRPr="0047516E">
              <w:rPr>
                <w:rFonts w:ascii="Book Antiqua" w:hAnsi="Book Antiqua" w:cs="Arial"/>
              </w:rPr>
              <w:t>difficile infection</w:t>
            </w:r>
          </w:p>
        </w:tc>
        <w:tc>
          <w:tcPr>
            <w:tcW w:w="1559" w:type="dxa"/>
            <w:vAlign w:val="center"/>
            <w:hideMark/>
          </w:tcPr>
          <w:p w14:paraId="5DA629C0" w14:textId="0CD56492"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96</w:t>
            </w:r>
            <w:r w:rsidR="00DA5E70" w:rsidRPr="0047516E">
              <w:rPr>
                <w:rFonts w:ascii="Book Antiqua" w:hAnsi="Book Antiqua" w:cs="Arial"/>
                <w:color w:val="000000"/>
              </w:rPr>
              <w:t>427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(91904, 100</w:t>
            </w:r>
            <w:r w:rsidR="00DA5E70" w:rsidRPr="0047516E">
              <w:rPr>
                <w:rFonts w:ascii="Book Antiqua" w:hAnsi="Book Antiqua" w:cs="Arial"/>
                <w:color w:val="000000"/>
              </w:rPr>
              <w:t>951)</w:t>
            </w:r>
          </w:p>
        </w:tc>
        <w:tc>
          <w:tcPr>
            <w:tcW w:w="1276" w:type="dxa"/>
            <w:vAlign w:val="center"/>
            <w:hideMark/>
          </w:tcPr>
          <w:p w14:paraId="4A9CA0C3"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6.18 (6.08, 6.28)</w:t>
            </w:r>
          </w:p>
        </w:tc>
        <w:tc>
          <w:tcPr>
            <w:tcW w:w="1559" w:type="dxa"/>
            <w:vAlign w:val="center"/>
            <w:hideMark/>
          </w:tcPr>
          <w:p w14:paraId="75D035E6" w14:textId="764DBE59"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137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(9833, 10</w:t>
            </w:r>
            <w:r w:rsidR="00DA5E70" w:rsidRPr="0047516E">
              <w:rPr>
                <w:rFonts w:ascii="Book Antiqua" w:hAnsi="Book Antiqua" w:cs="Arial"/>
                <w:color w:val="000000"/>
              </w:rPr>
              <w:t>442)</w:t>
            </w:r>
          </w:p>
        </w:tc>
        <w:tc>
          <w:tcPr>
            <w:tcW w:w="1701" w:type="dxa"/>
            <w:vAlign w:val="center"/>
            <w:hideMark/>
          </w:tcPr>
          <w:p w14:paraId="4FB0A952" w14:textId="6B2139FD"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w:t>
            </w:r>
            <w:r w:rsidR="00DA5E70" w:rsidRPr="0047516E">
              <w:rPr>
                <w:rFonts w:ascii="Book Antiqua" w:hAnsi="Book Antiqua" w:cs="Arial"/>
                <w:color w:val="000000"/>
              </w:rPr>
              <w:t>232</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(2061, 2</w:t>
            </w:r>
            <w:r w:rsidR="00DA5E70" w:rsidRPr="0047516E">
              <w:rPr>
                <w:rFonts w:ascii="Book Antiqua" w:hAnsi="Book Antiqua" w:cs="Arial"/>
                <w:color w:val="000000"/>
              </w:rPr>
              <w:t>404)</w:t>
            </w:r>
          </w:p>
        </w:tc>
        <w:tc>
          <w:tcPr>
            <w:tcW w:w="1418" w:type="dxa"/>
            <w:vAlign w:val="center"/>
            <w:hideMark/>
          </w:tcPr>
          <w:p w14:paraId="475C96DD"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2.32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(2.15, 2.48)</w:t>
            </w:r>
          </w:p>
        </w:tc>
        <w:tc>
          <w:tcPr>
            <w:tcW w:w="1701" w:type="dxa"/>
            <w:vAlign w:val="center"/>
            <w:hideMark/>
          </w:tcPr>
          <w:p w14:paraId="46148197" w14:textId="6D655199"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w:t>
            </w:r>
            <w:r w:rsidR="00DA5E70" w:rsidRPr="0047516E">
              <w:rPr>
                <w:rFonts w:ascii="Book Antiqua" w:hAnsi="Book Antiqua" w:cs="Arial"/>
                <w:color w:val="000000"/>
              </w:rPr>
              <w:t>847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(5475, 6</w:t>
            </w:r>
            <w:r w:rsidR="00DA5E70" w:rsidRPr="0047516E">
              <w:rPr>
                <w:rFonts w:ascii="Book Antiqua" w:hAnsi="Book Antiqua" w:cs="Arial"/>
                <w:color w:val="000000"/>
              </w:rPr>
              <w:t>219)</w:t>
            </w:r>
          </w:p>
        </w:tc>
        <w:tc>
          <w:tcPr>
            <w:tcW w:w="1695" w:type="dxa"/>
            <w:vAlign w:val="center"/>
            <w:hideMark/>
          </w:tcPr>
          <w:p w14:paraId="1BBC4783"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6.06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(5.76, 6.37)</w:t>
            </w:r>
          </w:p>
        </w:tc>
        <w:tc>
          <w:tcPr>
            <w:tcW w:w="998" w:type="dxa"/>
            <w:vAlign w:val="center"/>
            <w:hideMark/>
          </w:tcPr>
          <w:p w14:paraId="21103546"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23.64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(23.10, 24.19)</w:t>
            </w:r>
          </w:p>
        </w:tc>
      </w:tr>
      <w:tr w:rsidR="00DA5E70" w:rsidRPr="0047516E" w14:paraId="266CEC87" w14:textId="77777777" w:rsidTr="008C7245">
        <w:trPr>
          <w:trHeight w:val="741"/>
        </w:trPr>
        <w:tc>
          <w:tcPr>
            <w:tcW w:w="1951" w:type="dxa"/>
            <w:vAlign w:val="center"/>
            <w:hideMark/>
          </w:tcPr>
          <w:p w14:paraId="5CB05647" w14:textId="31E360D5"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Gastrointestinal </w:t>
            </w:r>
            <w:r w:rsidR="008C7245" w:rsidRPr="0047516E">
              <w:rPr>
                <w:rFonts w:ascii="Book Antiqua" w:hAnsi="Book Antiqua" w:cs="Arial"/>
              </w:rPr>
              <w:t>infection</w:t>
            </w:r>
          </w:p>
        </w:tc>
        <w:tc>
          <w:tcPr>
            <w:tcW w:w="1559" w:type="dxa"/>
            <w:vAlign w:val="center"/>
            <w:hideMark/>
          </w:tcPr>
          <w:p w14:paraId="73EACD50" w14:textId="559E5C9C"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100</w:t>
            </w:r>
            <w:r w:rsidR="00DA5E70" w:rsidRPr="0047516E">
              <w:rPr>
                <w:rFonts w:ascii="Book Antiqua" w:hAnsi="Book Antiqua" w:cs="Arial"/>
                <w:color w:val="000000"/>
              </w:rPr>
              <w:t>124</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(95396, 104</w:t>
            </w:r>
            <w:r w:rsidR="00DA5E70" w:rsidRPr="0047516E">
              <w:rPr>
                <w:rFonts w:ascii="Book Antiqua" w:hAnsi="Book Antiqua" w:cs="Arial"/>
                <w:color w:val="000000"/>
              </w:rPr>
              <w:t>853)</w:t>
            </w:r>
          </w:p>
        </w:tc>
        <w:tc>
          <w:tcPr>
            <w:tcW w:w="1276" w:type="dxa"/>
            <w:vAlign w:val="center"/>
            <w:hideMark/>
          </w:tcPr>
          <w:p w14:paraId="11D36901"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3.22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(3.17, 3.26)</w:t>
            </w:r>
          </w:p>
        </w:tc>
        <w:tc>
          <w:tcPr>
            <w:tcW w:w="1559" w:type="dxa"/>
            <w:vAlign w:val="center"/>
            <w:hideMark/>
          </w:tcPr>
          <w:p w14:paraId="7670176A" w14:textId="2AC6EFF0"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6</w:t>
            </w:r>
            <w:r w:rsidR="00DA5E70" w:rsidRPr="0047516E">
              <w:rPr>
                <w:rFonts w:ascii="Book Antiqua" w:hAnsi="Book Antiqua" w:cs="Arial"/>
                <w:color w:val="000000"/>
              </w:rPr>
              <w:t>359</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(6230, 6</w:t>
            </w:r>
            <w:r w:rsidR="00DA5E70" w:rsidRPr="0047516E">
              <w:rPr>
                <w:rFonts w:ascii="Book Antiqua" w:hAnsi="Book Antiqua" w:cs="Arial"/>
                <w:color w:val="000000"/>
              </w:rPr>
              <w:t>488)</w:t>
            </w:r>
          </w:p>
        </w:tc>
        <w:tc>
          <w:tcPr>
            <w:tcW w:w="1701" w:type="dxa"/>
            <w:vAlign w:val="center"/>
            <w:hideMark/>
          </w:tcPr>
          <w:p w14:paraId="453F255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299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(242, 357)</w:t>
            </w:r>
          </w:p>
        </w:tc>
        <w:tc>
          <w:tcPr>
            <w:tcW w:w="1418" w:type="dxa"/>
            <w:vAlign w:val="center"/>
            <w:hideMark/>
          </w:tcPr>
          <w:p w14:paraId="22890AF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0.30</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(0.24, 0.36)</w:t>
            </w:r>
          </w:p>
        </w:tc>
        <w:tc>
          <w:tcPr>
            <w:tcW w:w="1701" w:type="dxa"/>
            <w:vAlign w:val="center"/>
            <w:hideMark/>
          </w:tcPr>
          <w:p w14:paraId="7E76B00B" w14:textId="4137D2A1"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w:t>
            </w:r>
            <w:r w:rsidR="00DA5E70" w:rsidRPr="0047516E">
              <w:rPr>
                <w:rFonts w:ascii="Book Antiqua" w:hAnsi="Book Antiqua" w:cs="Arial"/>
                <w:color w:val="000000"/>
              </w:rPr>
              <w:t>578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(1421, 1</w:t>
            </w:r>
            <w:r w:rsidR="00DA5E70" w:rsidRPr="0047516E">
              <w:rPr>
                <w:rFonts w:ascii="Book Antiqua" w:hAnsi="Book Antiqua" w:cs="Arial"/>
                <w:color w:val="000000"/>
              </w:rPr>
              <w:t>736)</w:t>
            </w:r>
          </w:p>
        </w:tc>
        <w:tc>
          <w:tcPr>
            <w:tcW w:w="1695" w:type="dxa"/>
            <w:vAlign w:val="center"/>
            <w:hideMark/>
          </w:tcPr>
          <w:p w14:paraId="2A4CA20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1.58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(1.43, 1.72)</w:t>
            </w:r>
          </w:p>
        </w:tc>
        <w:tc>
          <w:tcPr>
            <w:tcW w:w="998" w:type="dxa"/>
            <w:vAlign w:val="center"/>
            <w:hideMark/>
          </w:tcPr>
          <w:p w14:paraId="58F11FD7"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10.79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(10.45, 11.13)</w:t>
            </w:r>
          </w:p>
        </w:tc>
      </w:tr>
      <w:tr w:rsidR="00DA5E70" w:rsidRPr="0047516E" w14:paraId="3BA63A2E" w14:textId="77777777" w:rsidTr="008C7245">
        <w:trPr>
          <w:trHeight w:val="642"/>
        </w:trPr>
        <w:tc>
          <w:tcPr>
            <w:tcW w:w="1951" w:type="dxa"/>
            <w:vAlign w:val="center"/>
            <w:hideMark/>
          </w:tcPr>
          <w:p w14:paraId="3BBAAFD7" w14:textId="58199088"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lastRenderedPageBreak/>
              <w:t>Functiona/</w:t>
            </w:r>
            <w:r w:rsidR="008C7245" w:rsidRPr="0047516E">
              <w:rPr>
                <w:rFonts w:ascii="Book Antiqua" w:hAnsi="Book Antiqua" w:cs="Arial"/>
              </w:rPr>
              <w:t>motility disorders</w:t>
            </w:r>
          </w:p>
        </w:tc>
        <w:tc>
          <w:tcPr>
            <w:tcW w:w="1559" w:type="dxa"/>
            <w:vAlign w:val="center"/>
            <w:hideMark/>
          </w:tcPr>
          <w:p w14:paraId="03F898CF" w14:textId="53FE09D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88</w:t>
            </w:r>
            <w:r w:rsidR="00DA5E70" w:rsidRPr="0047516E">
              <w:rPr>
                <w:rFonts w:ascii="Book Antiqua" w:hAnsi="Book Antiqua" w:cs="Arial"/>
                <w:color w:val="000000"/>
              </w:rPr>
              <w:t>841</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(83923, 93</w:t>
            </w:r>
            <w:r w:rsidR="00DA5E70" w:rsidRPr="0047516E">
              <w:rPr>
                <w:rFonts w:ascii="Book Antiqua" w:hAnsi="Book Antiqua" w:cs="Arial"/>
                <w:color w:val="000000"/>
              </w:rPr>
              <w:t>759)</w:t>
            </w:r>
          </w:p>
        </w:tc>
        <w:tc>
          <w:tcPr>
            <w:tcW w:w="1276" w:type="dxa"/>
            <w:vAlign w:val="center"/>
            <w:hideMark/>
          </w:tcPr>
          <w:p w14:paraId="730AFE89"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3.94</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(3.83, 4.05)</w:t>
            </w:r>
          </w:p>
        </w:tc>
        <w:tc>
          <w:tcPr>
            <w:tcW w:w="1559" w:type="dxa"/>
            <w:vAlign w:val="center"/>
            <w:hideMark/>
          </w:tcPr>
          <w:p w14:paraId="07D3B699" w14:textId="5ABECB53"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7</w:t>
            </w:r>
            <w:r w:rsidR="00DA5E70" w:rsidRPr="0047516E">
              <w:rPr>
                <w:rFonts w:ascii="Book Antiqua" w:hAnsi="Book Antiqua" w:cs="Arial"/>
                <w:color w:val="000000"/>
              </w:rPr>
              <w:t>777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(7568, 7</w:t>
            </w:r>
            <w:r w:rsidR="00DA5E70" w:rsidRPr="0047516E">
              <w:rPr>
                <w:rFonts w:ascii="Book Antiqua" w:hAnsi="Book Antiqua" w:cs="Arial"/>
                <w:color w:val="000000"/>
              </w:rPr>
              <w:t>986)</w:t>
            </w:r>
          </w:p>
        </w:tc>
        <w:tc>
          <w:tcPr>
            <w:tcW w:w="1701" w:type="dxa"/>
            <w:vAlign w:val="center"/>
            <w:hideMark/>
          </w:tcPr>
          <w:p w14:paraId="6010C38D"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433</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(362, 504)</w:t>
            </w:r>
          </w:p>
        </w:tc>
        <w:tc>
          <w:tcPr>
            <w:tcW w:w="1418" w:type="dxa"/>
            <w:vAlign w:val="center"/>
            <w:hideMark/>
          </w:tcPr>
          <w:p w14:paraId="7E2AEC5C"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0.49</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(0.41, 0.57)</w:t>
            </w:r>
          </w:p>
        </w:tc>
        <w:tc>
          <w:tcPr>
            <w:tcW w:w="1701" w:type="dxa"/>
            <w:vAlign w:val="center"/>
            <w:hideMark/>
          </w:tcPr>
          <w:p w14:paraId="4FBA7417" w14:textId="12460CF7"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w:t>
            </w:r>
            <w:r w:rsidR="00DA5E70" w:rsidRPr="0047516E">
              <w:rPr>
                <w:rFonts w:ascii="Book Antiqua" w:hAnsi="Book Antiqua" w:cs="Arial"/>
                <w:color w:val="000000"/>
              </w:rPr>
              <w:t>137</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(1943, 2</w:t>
            </w:r>
            <w:r w:rsidR="00DA5E70" w:rsidRPr="0047516E">
              <w:rPr>
                <w:rFonts w:ascii="Book Antiqua" w:hAnsi="Book Antiqua" w:cs="Arial"/>
                <w:color w:val="000000"/>
              </w:rPr>
              <w:t>330)</w:t>
            </w:r>
          </w:p>
        </w:tc>
        <w:tc>
          <w:tcPr>
            <w:tcW w:w="1695" w:type="dxa"/>
            <w:vAlign w:val="center"/>
            <w:hideMark/>
          </w:tcPr>
          <w:p w14:paraId="3F047B22"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2.41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(2.23, 2.58)</w:t>
            </w:r>
          </w:p>
        </w:tc>
        <w:tc>
          <w:tcPr>
            <w:tcW w:w="998" w:type="dxa"/>
            <w:vAlign w:val="center"/>
            <w:hideMark/>
          </w:tcPr>
          <w:p w14:paraId="29F4ACF5"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18.51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(18.03, 19.00)</w:t>
            </w:r>
          </w:p>
        </w:tc>
      </w:tr>
      <w:tr w:rsidR="00DA5E70" w:rsidRPr="0047516E" w14:paraId="5641219F" w14:textId="77777777" w:rsidTr="008C7245">
        <w:trPr>
          <w:trHeight w:val="586"/>
        </w:trPr>
        <w:tc>
          <w:tcPr>
            <w:tcW w:w="1951" w:type="dxa"/>
            <w:vAlign w:val="center"/>
            <w:hideMark/>
          </w:tcPr>
          <w:p w14:paraId="7312D964" w14:textId="60C7BBCF" w:rsidR="00DA5E70" w:rsidRPr="0047516E" w:rsidRDefault="00DA5E70" w:rsidP="0047516E">
            <w:pPr>
              <w:adjustRightInd w:val="0"/>
              <w:snapToGrid w:val="0"/>
              <w:spacing w:line="360" w:lineRule="auto"/>
              <w:jc w:val="both"/>
              <w:rPr>
                <w:rFonts w:ascii="Book Antiqua" w:hAnsi="Book Antiqua" w:cs="Arial"/>
              </w:rPr>
            </w:pPr>
            <w:r w:rsidRPr="0047516E">
              <w:rPr>
                <w:rFonts w:ascii="Book Antiqua" w:hAnsi="Book Antiqua" w:cs="Arial"/>
              </w:rPr>
              <w:t xml:space="preserve">Inflammatory </w:t>
            </w:r>
            <w:r w:rsidR="008C7245" w:rsidRPr="0047516E">
              <w:rPr>
                <w:rFonts w:ascii="Book Antiqua" w:hAnsi="Book Antiqua" w:cs="Arial"/>
              </w:rPr>
              <w:t>bowel diseases</w:t>
            </w:r>
          </w:p>
        </w:tc>
        <w:tc>
          <w:tcPr>
            <w:tcW w:w="1559" w:type="dxa"/>
            <w:vAlign w:val="center"/>
            <w:hideMark/>
          </w:tcPr>
          <w:p w14:paraId="352AB3A3" w14:textId="0253A96F"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74</w:t>
            </w:r>
            <w:r w:rsidR="00DA5E70" w:rsidRPr="0047516E">
              <w:rPr>
                <w:rFonts w:ascii="Book Antiqua" w:hAnsi="Book Antiqua" w:cs="Arial"/>
                <w:color w:val="000000"/>
              </w:rPr>
              <w:t>118</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(70135, 78</w:t>
            </w:r>
            <w:r w:rsidR="00DA5E70" w:rsidRPr="0047516E">
              <w:rPr>
                <w:rFonts w:ascii="Book Antiqua" w:hAnsi="Book Antiqua" w:cs="Arial"/>
                <w:color w:val="000000"/>
              </w:rPr>
              <w:t>101)</w:t>
            </w:r>
          </w:p>
        </w:tc>
        <w:tc>
          <w:tcPr>
            <w:tcW w:w="1276" w:type="dxa"/>
            <w:vAlign w:val="center"/>
            <w:hideMark/>
          </w:tcPr>
          <w:p w14:paraId="423A33AE"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5.16</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(5.06, 5.27)</w:t>
            </w:r>
          </w:p>
        </w:tc>
        <w:tc>
          <w:tcPr>
            <w:tcW w:w="1559" w:type="dxa"/>
            <w:vAlign w:val="center"/>
            <w:hideMark/>
          </w:tcPr>
          <w:p w14:paraId="4DDD6E48" w14:textId="6099EB94" w:rsidR="00DA5E70" w:rsidRPr="0047516E" w:rsidRDefault="008C7245"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10</w:t>
            </w:r>
            <w:r w:rsidR="00DA5E70" w:rsidRPr="0047516E">
              <w:rPr>
                <w:rFonts w:ascii="Book Antiqua" w:hAnsi="Book Antiqua" w:cs="Arial"/>
                <w:color w:val="000000"/>
              </w:rPr>
              <w:t>500</w:t>
            </w:r>
            <w:r w:rsidR="00DA5E70"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(10147, 10</w:t>
            </w:r>
            <w:r w:rsidR="00DA5E70" w:rsidRPr="0047516E">
              <w:rPr>
                <w:rFonts w:ascii="Book Antiqua" w:hAnsi="Book Antiqua" w:cs="Arial"/>
                <w:color w:val="000000"/>
              </w:rPr>
              <w:t>853)</w:t>
            </w:r>
          </w:p>
        </w:tc>
        <w:tc>
          <w:tcPr>
            <w:tcW w:w="1701" w:type="dxa"/>
            <w:vAlign w:val="center"/>
            <w:hideMark/>
          </w:tcPr>
          <w:p w14:paraId="42DC925A"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285</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(224, 345)</w:t>
            </w:r>
          </w:p>
        </w:tc>
        <w:tc>
          <w:tcPr>
            <w:tcW w:w="1418" w:type="dxa"/>
            <w:vAlign w:val="center"/>
            <w:hideMark/>
          </w:tcPr>
          <w:p w14:paraId="22E76A80"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0.38</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(0.30, 0.47)</w:t>
            </w:r>
          </w:p>
        </w:tc>
        <w:tc>
          <w:tcPr>
            <w:tcW w:w="1701" w:type="dxa"/>
            <w:vAlign w:val="center"/>
            <w:hideMark/>
          </w:tcPr>
          <w:p w14:paraId="22ED883E"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821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(710, 933)</w:t>
            </w:r>
          </w:p>
        </w:tc>
        <w:tc>
          <w:tcPr>
            <w:tcW w:w="1695" w:type="dxa"/>
            <w:vAlign w:val="center"/>
            <w:hideMark/>
          </w:tcPr>
          <w:p w14:paraId="0D9080E7"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1.11</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(0.97, 1.25)</w:t>
            </w:r>
          </w:p>
        </w:tc>
        <w:tc>
          <w:tcPr>
            <w:tcW w:w="998" w:type="dxa"/>
            <w:vAlign w:val="center"/>
            <w:hideMark/>
          </w:tcPr>
          <w:p w14:paraId="7BADD13E" w14:textId="77777777" w:rsidR="00DA5E70" w:rsidRPr="0047516E" w:rsidRDefault="00DA5E70" w:rsidP="0047516E">
            <w:pPr>
              <w:adjustRightInd w:val="0"/>
              <w:snapToGrid w:val="0"/>
              <w:spacing w:line="360" w:lineRule="auto"/>
              <w:jc w:val="both"/>
              <w:rPr>
                <w:rFonts w:ascii="Book Antiqua" w:hAnsi="Book Antiqua" w:cs="Arial"/>
                <w:color w:val="000000"/>
              </w:rPr>
            </w:pPr>
            <w:r w:rsidRPr="0047516E">
              <w:rPr>
                <w:rFonts w:ascii="Book Antiqua" w:hAnsi="Book Antiqua" w:cs="Arial"/>
                <w:color w:val="000000"/>
              </w:rPr>
              <w:t>16.32</w:t>
            </w:r>
            <w:r w:rsidRPr="0047516E">
              <w:rPr>
                <w:rFonts w:ascii="Book Antiqua" w:eastAsiaTheme="minorEastAsia" w:hAnsi="Book Antiqua" w:cs="Arial"/>
                <w:color w:val="000000"/>
                <w:lang w:eastAsia="zh-CN"/>
              </w:rPr>
              <w:t xml:space="preserve"> </w:t>
            </w:r>
            <w:r w:rsidRPr="0047516E">
              <w:rPr>
                <w:rFonts w:ascii="Book Antiqua" w:hAnsi="Book Antiqua" w:cs="Arial"/>
                <w:color w:val="000000"/>
              </w:rPr>
              <w:t>(15.78, 16.87)</w:t>
            </w:r>
          </w:p>
        </w:tc>
      </w:tr>
    </w:tbl>
    <w:p w14:paraId="1EA88966" w14:textId="2602D172" w:rsidR="00741D46" w:rsidRDefault="00DA5E70" w:rsidP="0047516E">
      <w:pPr>
        <w:tabs>
          <w:tab w:val="left" w:pos="3055"/>
        </w:tabs>
        <w:adjustRightInd w:val="0"/>
        <w:snapToGrid w:val="0"/>
        <w:spacing w:line="360" w:lineRule="auto"/>
        <w:jc w:val="both"/>
        <w:rPr>
          <w:rFonts w:ascii="Book Antiqua" w:eastAsia="宋体" w:hAnsi="Book Antiqua" w:cs="宋体"/>
          <w:lang w:eastAsia="zh-CN"/>
        </w:rPr>
      </w:pPr>
      <w:r w:rsidRPr="0047516E">
        <w:rPr>
          <w:rFonts w:ascii="Book Antiqua" w:eastAsia="Calibri" w:hAnsi="Book Antiqua" w:cs="Arial"/>
        </w:rPr>
        <w:t xml:space="preserve"> </w:t>
      </w:r>
      <w:r w:rsidRPr="0047516E">
        <w:rPr>
          <w:rFonts w:ascii="Book Antiqua" w:eastAsia="Calibri" w:hAnsi="Book Antiqua" w:cs="Arial"/>
          <w:vertAlign w:val="superscript"/>
        </w:rPr>
        <w:t>1</w:t>
      </w:r>
      <w:r w:rsidRPr="0047516E">
        <w:rPr>
          <w:rFonts w:ascii="Book Antiqua" w:eastAsia="Calibri" w:hAnsi="Book Antiqua" w:cs="Arial"/>
        </w:rPr>
        <w:t>All statistics are presented with corresponding 95% confidence interval</w:t>
      </w:r>
      <w:r w:rsidR="008C7245" w:rsidRPr="0047516E">
        <w:rPr>
          <w:rFonts w:ascii="Book Antiqua" w:hAnsi="Book Antiqua" w:cs="Arial"/>
          <w:lang w:eastAsia="zh-CN"/>
        </w:rPr>
        <w:t>.</w:t>
      </w:r>
      <w:r w:rsidRPr="0047516E">
        <w:rPr>
          <w:rFonts w:ascii="Book Antiqua" w:eastAsia="Calibri" w:hAnsi="Book Antiqua" w:cs="Arial"/>
        </w:rPr>
        <w:t xml:space="preserve"> GI: Gastrointestinal; LOS: Length of stay</w:t>
      </w:r>
      <w:r w:rsidRPr="0047516E">
        <w:rPr>
          <w:rFonts w:ascii="Book Antiqua" w:eastAsia="宋体" w:hAnsi="Book Antiqua" w:cs="宋体"/>
          <w:lang w:eastAsia="zh-CN"/>
        </w:rPr>
        <w:t>.</w:t>
      </w:r>
    </w:p>
    <w:p w14:paraId="5529BDD5" w14:textId="77777777" w:rsidR="00741D46" w:rsidRDefault="00741D46">
      <w:pPr>
        <w:rPr>
          <w:rFonts w:ascii="Book Antiqua" w:eastAsia="宋体" w:hAnsi="Book Antiqua" w:cs="宋体"/>
          <w:lang w:eastAsia="zh-CN"/>
        </w:rPr>
      </w:pPr>
      <w:r>
        <w:rPr>
          <w:rFonts w:ascii="Book Antiqua" w:eastAsia="宋体" w:hAnsi="Book Antiqua" w:cs="宋体"/>
          <w:lang w:eastAsia="zh-CN"/>
        </w:rPr>
        <w:br w:type="page"/>
      </w:r>
    </w:p>
    <w:p w14:paraId="3BF8450C" w14:textId="77777777" w:rsidR="00741D46" w:rsidRDefault="00741D46" w:rsidP="00741D46">
      <w:pPr>
        <w:jc w:val="center"/>
        <w:rPr>
          <w:rFonts w:ascii="Book Antiqua" w:hAnsi="Book Antiqua"/>
          <w:lang w:eastAsia="zh-CN"/>
        </w:rPr>
      </w:pPr>
    </w:p>
    <w:p w14:paraId="3E7DBCAB" w14:textId="77777777" w:rsidR="00741D46" w:rsidRDefault="00741D46" w:rsidP="00741D46">
      <w:pPr>
        <w:jc w:val="center"/>
        <w:rPr>
          <w:rFonts w:ascii="Book Antiqua" w:hAnsi="Book Antiqua"/>
          <w:lang w:eastAsia="zh-CN"/>
        </w:rPr>
      </w:pPr>
    </w:p>
    <w:p w14:paraId="78BBC7C1" w14:textId="77777777" w:rsidR="00741D46" w:rsidRDefault="00741D46" w:rsidP="00741D46">
      <w:pPr>
        <w:jc w:val="center"/>
        <w:rPr>
          <w:rFonts w:ascii="Book Antiqua" w:hAnsi="Book Antiqua"/>
          <w:lang w:eastAsia="zh-CN"/>
        </w:rPr>
      </w:pPr>
    </w:p>
    <w:p w14:paraId="56EB3CEF" w14:textId="77777777" w:rsidR="00741D46" w:rsidRDefault="00741D46" w:rsidP="00741D46">
      <w:pPr>
        <w:jc w:val="center"/>
        <w:rPr>
          <w:rFonts w:ascii="Book Antiqua" w:hAnsi="Book Antiqua"/>
          <w:lang w:eastAsia="zh-CN"/>
        </w:rPr>
      </w:pPr>
    </w:p>
    <w:p w14:paraId="198D868D" w14:textId="77777777" w:rsidR="00741D46" w:rsidRDefault="00741D46" w:rsidP="00741D46">
      <w:pPr>
        <w:jc w:val="center"/>
        <w:rPr>
          <w:rFonts w:ascii="Book Antiqua" w:hAnsi="Book Antiqua"/>
          <w:lang w:eastAsia="zh-CN"/>
        </w:rPr>
      </w:pPr>
    </w:p>
    <w:p w14:paraId="656F8E03" w14:textId="18443E8E" w:rsidR="00741D46" w:rsidRDefault="00741D46" w:rsidP="00741D46">
      <w:pPr>
        <w:jc w:val="center"/>
        <w:rPr>
          <w:rFonts w:ascii="Book Antiqua" w:hAnsi="Book Antiqua"/>
          <w:lang w:eastAsia="zh-CN"/>
        </w:rPr>
      </w:pPr>
      <w:r>
        <w:rPr>
          <w:rFonts w:ascii="Book Antiqua" w:hAnsi="Book Antiqua"/>
          <w:noProof/>
          <w:lang w:eastAsia="zh-CN"/>
        </w:rPr>
        <w:drawing>
          <wp:inline distT="0" distB="0" distL="0" distR="0" wp14:anchorId="55CC9A19" wp14:editId="1043E8BC">
            <wp:extent cx="2494280" cy="1440815"/>
            <wp:effectExtent l="0" t="0" r="127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03A7EB2D" w14:textId="77777777" w:rsidR="00741D46" w:rsidRDefault="00741D46" w:rsidP="00741D46">
      <w:pPr>
        <w:jc w:val="center"/>
        <w:rPr>
          <w:rFonts w:ascii="Book Antiqua" w:hAnsi="Book Antiqua"/>
          <w:lang w:eastAsia="zh-CN"/>
        </w:rPr>
      </w:pPr>
    </w:p>
    <w:p w14:paraId="5BF5C7E8" w14:textId="77777777" w:rsidR="00741D46" w:rsidRDefault="00741D46" w:rsidP="00741D4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F02EFB6" w14:textId="77777777" w:rsidR="00741D46" w:rsidRDefault="00741D46" w:rsidP="00741D4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B3108E" w14:textId="77777777" w:rsidR="00741D46" w:rsidRDefault="00741D46" w:rsidP="00741D4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8EDFBE" w14:textId="77777777" w:rsidR="00741D46" w:rsidRDefault="00741D46" w:rsidP="00741D4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2A52CA" w14:textId="77777777" w:rsidR="00741D46" w:rsidRDefault="00741D46" w:rsidP="00741D4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B6F643" w14:textId="77777777" w:rsidR="00741D46" w:rsidRDefault="00741D46" w:rsidP="00741D4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52122AE0" w14:textId="77777777" w:rsidR="00741D46" w:rsidRDefault="00741D46" w:rsidP="00741D46">
      <w:pPr>
        <w:jc w:val="center"/>
        <w:rPr>
          <w:rFonts w:ascii="Book Antiqua" w:hAnsi="Book Antiqua"/>
          <w:lang w:eastAsia="zh-CN"/>
        </w:rPr>
      </w:pPr>
    </w:p>
    <w:p w14:paraId="1E03B89B" w14:textId="77777777" w:rsidR="00741D46" w:rsidRDefault="00741D46" w:rsidP="00741D46">
      <w:pPr>
        <w:jc w:val="center"/>
        <w:rPr>
          <w:rFonts w:ascii="Book Antiqua" w:hAnsi="Book Antiqua"/>
          <w:lang w:eastAsia="zh-CN"/>
        </w:rPr>
      </w:pPr>
    </w:p>
    <w:p w14:paraId="0FCDD4FF" w14:textId="77777777" w:rsidR="00741D46" w:rsidRDefault="00741D46" w:rsidP="00741D46">
      <w:pPr>
        <w:jc w:val="center"/>
        <w:rPr>
          <w:rFonts w:ascii="Book Antiqua" w:hAnsi="Book Antiqua"/>
          <w:lang w:eastAsia="zh-CN"/>
        </w:rPr>
      </w:pPr>
    </w:p>
    <w:p w14:paraId="66710770" w14:textId="5428AE93" w:rsidR="00741D46" w:rsidRDefault="00741D46" w:rsidP="00741D46">
      <w:pPr>
        <w:jc w:val="center"/>
        <w:rPr>
          <w:rFonts w:ascii="Book Antiqua" w:hAnsi="Book Antiqua"/>
          <w:lang w:eastAsia="zh-CN"/>
        </w:rPr>
      </w:pPr>
      <w:r>
        <w:rPr>
          <w:rFonts w:ascii="Book Antiqua" w:hAnsi="Book Antiqua"/>
          <w:noProof/>
          <w:lang w:eastAsia="zh-CN"/>
        </w:rPr>
        <w:drawing>
          <wp:inline distT="0" distB="0" distL="0" distR="0" wp14:anchorId="2540A4A0" wp14:editId="7C6BF1D0">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1937347F" w14:textId="77777777" w:rsidR="00741D46" w:rsidRDefault="00741D46" w:rsidP="00741D46">
      <w:pPr>
        <w:jc w:val="center"/>
        <w:rPr>
          <w:rFonts w:ascii="Book Antiqua" w:hAnsi="Book Antiqua"/>
          <w:lang w:eastAsia="zh-CN"/>
        </w:rPr>
      </w:pPr>
    </w:p>
    <w:p w14:paraId="75E5B9AF" w14:textId="77777777" w:rsidR="00741D46" w:rsidRDefault="00741D46" w:rsidP="00741D46">
      <w:pPr>
        <w:jc w:val="center"/>
        <w:rPr>
          <w:rFonts w:ascii="Book Antiqua" w:hAnsi="Book Antiqua"/>
          <w:lang w:eastAsia="zh-CN"/>
        </w:rPr>
      </w:pPr>
    </w:p>
    <w:p w14:paraId="09116EB5" w14:textId="77777777" w:rsidR="00741D46" w:rsidRDefault="00741D46" w:rsidP="00741D46">
      <w:pPr>
        <w:jc w:val="center"/>
        <w:rPr>
          <w:rFonts w:ascii="Book Antiqua" w:hAnsi="Book Antiqua"/>
          <w:lang w:eastAsia="zh-CN"/>
        </w:rPr>
      </w:pPr>
    </w:p>
    <w:p w14:paraId="7CD0BA3E" w14:textId="77777777" w:rsidR="00741D46" w:rsidRDefault="00741D46" w:rsidP="00741D46">
      <w:pPr>
        <w:jc w:val="center"/>
        <w:rPr>
          <w:rFonts w:ascii="Book Antiqua" w:hAnsi="Book Antiqua"/>
          <w:lang w:eastAsia="zh-CN"/>
        </w:rPr>
      </w:pPr>
    </w:p>
    <w:p w14:paraId="6E85C7F8" w14:textId="77777777" w:rsidR="00741D46" w:rsidRDefault="00741D46" w:rsidP="00741D46">
      <w:pPr>
        <w:jc w:val="center"/>
        <w:rPr>
          <w:rFonts w:ascii="Book Antiqua" w:hAnsi="Book Antiqua"/>
          <w:lang w:eastAsia="zh-CN"/>
        </w:rPr>
      </w:pPr>
    </w:p>
    <w:p w14:paraId="1D556138" w14:textId="77777777" w:rsidR="00741D46" w:rsidRDefault="00741D46" w:rsidP="00741D46">
      <w:pPr>
        <w:jc w:val="center"/>
        <w:rPr>
          <w:rFonts w:ascii="Book Antiqua" w:hAnsi="Book Antiqua"/>
          <w:lang w:eastAsia="zh-CN"/>
        </w:rPr>
      </w:pPr>
    </w:p>
    <w:p w14:paraId="648259C8" w14:textId="77777777" w:rsidR="00741D46" w:rsidRDefault="00741D46" w:rsidP="008777AA">
      <w:pPr>
        <w:rPr>
          <w:rFonts w:ascii="Book Antiqua" w:hAnsi="Book Antiqua" w:hint="eastAsia"/>
          <w:lang w:eastAsia="zh-CN"/>
        </w:rPr>
      </w:pPr>
    </w:p>
    <w:p w14:paraId="77BB3ECB" w14:textId="77777777" w:rsidR="00741D46" w:rsidRDefault="00741D46" w:rsidP="00741D46">
      <w:pPr>
        <w:jc w:val="right"/>
        <w:rPr>
          <w:rFonts w:ascii="Book Antiqua" w:hAnsi="Book Antiqua"/>
          <w:color w:val="000000" w:themeColor="text1"/>
          <w:lang w:eastAsia="zh-CN"/>
        </w:rPr>
      </w:pPr>
    </w:p>
    <w:p w14:paraId="6564FC96" w14:textId="77777777" w:rsidR="00741D46" w:rsidRDefault="00741D46" w:rsidP="00741D4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8B94116" w14:textId="77777777" w:rsidR="00BF7582" w:rsidRPr="0047516E" w:rsidRDefault="00BF7582" w:rsidP="0047516E">
      <w:pPr>
        <w:tabs>
          <w:tab w:val="left" w:pos="3055"/>
        </w:tabs>
        <w:adjustRightInd w:val="0"/>
        <w:snapToGrid w:val="0"/>
        <w:spacing w:line="360" w:lineRule="auto"/>
        <w:jc w:val="both"/>
        <w:rPr>
          <w:rFonts w:ascii="Book Antiqua" w:eastAsia="Calibri" w:hAnsi="Book Antiqua" w:cs="Arial"/>
        </w:rPr>
      </w:pPr>
    </w:p>
    <w:sectPr w:rsidR="00BF7582" w:rsidRPr="0047516E" w:rsidSect="00741D46">
      <w:type w:val="continuous"/>
      <w:pgSz w:w="12240" w:h="15840"/>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BC59" w14:textId="77777777" w:rsidR="0038057E" w:rsidRDefault="0038057E" w:rsidP="009375DE">
      <w:r>
        <w:separator/>
      </w:r>
    </w:p>
  </w:endnote>
  <w:endnote w:type="continuationSeparator" w:id="0">
    <w:p w14:paraId="551CC5C1" w14:textId="77777777" w:rsidR="0038057E" w:rsidRDefault="0038057E" w:rsidP="0093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00"/>
    <w:family w:val="auto"/>
    <w:pitch w:val="default"/>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697192"/>
      <w:docPartObj>
        <w:docPartGallery w:val="Page Numbers (Bottom of Page)"/>
        <w:docPartUnique/>
      </w:docPartObj>
    </w:sdtPr>
    <w:sdtEndPr/>
    <w:sdtContent>
      <w:sdt>
        <w:sdtPr>
          <w:id w:val="-1769616900"/>
          <w:docPartObj>
            <w:docPartGallery w:val="Page Numbers (Top of Page)"/>
            <w:docPartUnique/>
          </w:docPartObj>
        </w:sdtPr>
        <w:sdtEndPr/>
        <w:sdtContent>
          <w:p w14:paraId="18075232" w14:textId="64C56BD8" w:rsidR="008C7245" w:rsidRDefault="008C7245">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07A2E">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07A2E">
              <w:rPr>
                <w:b/>
                <w:bCs/>
                <w:noProof/>
              </w:rPr>
              <w:t>31</w:t>
            </w:r>
            <w:r>
              <w:rPr>
                <w:b/>
                <w:bCs/>
                <w:sz w:val="24"/>
                <w:szCs w:val="24"/>
              </w:rPr>
              <w:fldChar w:fldCharType="end"/>
            </w:r>
          </w:p>
        </w:sdtContent>
      </w:sdt>
    </w:sdtContent>
  </w:sdt>
  <w:p w14:paraId="2F428449" w14:textId="77777777" w:rsidR="008C7245" w:rsidRDefault="008C72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6B844" w14:textId="77777777" w:rsidR="0038057E" w:rsidRDefault="0038057E" w:rsidP="009375DE">
      <w:r>
        <w:separator/>
      </w:r>
    </w:p>
  </w:footnote>
  <w:footnote w:type="continuationSeparator" w:id="0">
    <w:p w14:paraId="7790AFAB" w14:textId="77777777" w:rsidR="0038057E" w:rsidRDefault="0038057E" w:rsidP="0093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F7E"/>
    <w:multiLevelType w:val="hybridMultilevel"/>
    <w:tmpl w:val="C73E08CC"/>
    <w:lvl w:ilvl="0" w:tplc="C94E5EE4">
      <w:start w:val="1"/>
      <w:numFmt w:val="bullet"/>
      <w:lvlText w:val="•"/>
      <w:lvlJc w:val="left"/>
      <w:pPr>
        <w:tabs>
          <w:tab w:val="num" w:pos="720"/>
        </w:tabs>
        <w:ind w:left="720" w:hanging="360"/>
      </w:pPr>
      <w:rPr>
        <w:rFonts w:ascii="Times New Roman" w:hAnsi="Times New Roman" w:hint="default"/>
      </w:rPr>
    </w:lvl>
    <w:lvl w:ilvl="1" w:tplc="BFFA753E" w:tentative="1">
      <w:start w:val="1"/>
      <w:numFmt w:val="bullet"/>
      <w:lvlText w:val="•"/>
      <w:lvlJc w:val="left"/>
      <w:pPr>
        <w:tabs>
          <w:tab w:val="num" w:pos="1440"/>
        </w:tabs>
        <w:ind w:left="1440" w:hanging="360"/>
      </w:pPr>
      <w:rPr>
        <w:rFonts w:ascii="Times New Roman" w:hAnsi="Times New Roman" w:hint="default"/>
      </w:rPr>
    </w:lvl>
    <w:lvl w:ilvl="2" w:tplc="27461E68" w:tentative="1">
      <w:start w:val="1"/>
      <w:numFmt w:val="bullet"/>
      <w:lvlText w:val="•"/>
      <w:lvlJc w:val="left"/>
      <w:pPr>
        <w:tabs>
          <w:tab w:val="num" w:pos="2160"/>
        </w:tabs>
        <w:ind w:left="2160" w:hanging="360"/>
      </w:pPr>
      <w:rPr>
        <w:rFonts w:ascii="Times New Roman" w:hAnsi="Times New Roman" w:hint="default"/>
      </w:rPr>
    </w:lvl>
    <w:lvl w:ilvl="3" w:tplc="E9D67C06" w:tentative="1">
      <w:start w:val="1"/>
      <w:numFmt w:val="bullet"/>
      <w:lvlText w:val="•"/>
      <w:lvlJc w:val="left"/>
      <w:pPr>
        <w:tabs>
          <w:tab w:val="num" w:pos="2880"/>
        </w:tabs>
        <w:ind w:left="2880" w:hanging="360"/>
      </w:pPr>
      <w:rPr>
        <w:rFonts w:ascii="Times New Roman" w:hAnsi="Times New Roman" w:hint="default"/>
      </w:rPr>
    </w:lvl>
    <w:lvl w:ilvl="4" w:tplc="5D18ECE2" w:tentative="1">
      <w:start w:val="1"/>
      <w:numFmt w:val="bullet"/>
      <w:lvlText w:val="•"/>
      <w:lvlJc w:val="left"/>
      <w:pPr>
        <w:tabs>
          <w:tab w:val="num" w:pos="3600"/>
        </w:tabs>
        <w:ind w:left="3600" w:hanging="360"/>
      </w:pPr>
      <w:rPr>
        <w:rFonts w:ascii="Times New Roman" w:hAnsi="Times New Roman" w:hint="default"/>
      </w:rPr>
    </w:lvl>
    <w:lvl w:ilvl="5" w:tplc="410CCA98" w:tentative="1">
      <w:start w:val="1"/>
      <w:numFmt w:val="bullet"/>
      <w:lvlText w:val="•"/>
      <w:lvlJc w:val="left"/>
      <w:pPr>
        <w:tabs>
          <w:tab w:val="num" w:pos="4320"/>
        </w:tabs>
        <w:ind w:left="4320" w:hanging="360"/>
      </w:pPr>
      <w:rPr>
        <w:rFonts w:ascii="Times New Roman" w:hAnsi="Times New Roman" w:hint="default"/>
      </w:rPr>
    </w:lvl>
    <w:lvl w:ilvl="6" w:tplc="DB5276B4" w:tentative="1">
      <w:start w:val="1"/>
      <w:numFmt w:val="bullet"/>
      <w:lvlText w:val="•"/>
      <w:lvlJc w:val="left"/>
      <w:pPr>
        <w:tabs>
          <w:tab w:val="num" w:pos="5040"/>
        </w:tabs>
        <w:ind w:left="5040" w:hanging="360"/>
      </w:pPr>
      <w:rPr>
        <w:rFonts w:ascii="Times New Roman" w:hAnsi="Times New Roman" w:hint="default"/>
      </w:rPr>
    </w:lvl>
    <w:lvl w:ilvl="7" w:tplc="3FBA421C" w:tentative="1">
      <w:start w:val="1"/>
      <w:numFmt w:val="bullet"/>
      <w:lvlText w:val="•"/>
      <w:lvlJc w:val="left"/>
      <w:pPr>
        <w:tabs>
          <w:tab w:val="num" w:pos="5760"/>
        </w:tabs>
        <w:ind w:left="5760" w:hanging="360"/>
      </w:pPr>
      <w:rPr>
        <w:rFonts w:ascii="Times New Roman" w:hAnsi="Times New Roman" w:hint="default"/>
      </w:rPr>
    </w:lvl>
    <w:lvl w:ilvl="8" w:tplc="A07A10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27F16ED"/>
    <w:multiLevelType w:val="hybridMultilevel"/>
    <w:tmpl w:val="4B160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EF0"/>
    <w:rsid w:val="000420FB"/>
    <w:rsid w:val="0006285E"/>
    <w:rsid w:val="00077D94"/>
    <w:rsid w:val="000A783E"/>
    <w:rsid w:val="00133EDF"/>
    <w:rsid w:val="00184579"/>
    <w:rsid w:val="001B1B98"/>
    <w:rsid w:val="001D5BDF"/>
    <w:rsid w:val="0025268E"/>
    <w:rsid w:val="00277F90"/>
    <w:rsid w:val="002A3472"/>
    <w:rsid w:val="002F3908"/>
    <w:rsid w:val="00307EF8"/>
    <w:rsid w:val="0038057E"/>
    <w:rsid w:val="0040124F"/>
    <w:rsid w:val="00407A2E"/>
    <w:rsid w:val="0047516E"/>
    <w:rsid w:val="00481E54"/>
    <w:rsid w:val="00482170"/>
    <w:rsid w:val="004C5F1A"/>
    <w:rsid w:val="004D3B8C"/>
    <w:rsid w:val="004E0AF5"/>
    <w:rsid w:val="004F675D"/>
    <w:rsid w:val="00534D41"/>
    <w:rsid w:val="005502CF"/>
    <w:rsid w:val="00553C71"/>
    <w:rsid w:val="00570778"/>
    <w:rsid w:val="00574901"/>
    <w:rsid w:val="00595256"/>
    <w:rsid w:val="005D0A19"/>
    <w:rsid w:val="0060705A"/>
    <w:rsid w:val="00635552"/>
    <w:rsid w:val="00692042"/>
    <w:rsid w:val="006C2C9A"/>
    <w:rsid w:val="00722A3E"/>
    <w:rsid w:val="00741D46"/>
    <w:rsid w:val="0084164C"/>
    <w:rsid w:val="00842AE1"/>
    <w:rsid w:val="008702FA"/>
    <w:rsid w:val="008777AA"/>
    <w:rsid w:val="00894C71"/>
    <w:rsid w:val="008B1E01"/>
    <w:rsid w:val="008B7679"/>
    <w:rsid w:val="008C7245"/>
    <w:rsid w:val="008D440B"/>
    <w:rsid w:val="00901047"/>
    <w:rsid w:val="009045D4"/>
    <w:rsid w:val="00924D1F"/>
    <w:rsid w:val="009375DE"/>
    <w:rsid w:val="0097342C"/>
    <w:rsid w:val="009B6B54"/>
    <w:rsid w:val="009C34A0"/>
    <w:rsid w:val="009D4243"/>
    <w:rsid w:val="00A074DA"/>
    <w:rsid w:val="00A77B3E"/>
    <w:rsid w:val="00A9504A"/>
    <w:rsid w:val="00AC5582"/>
    <w:rsid w:val="00B20A0A"/>
    <w:rsid w:val="00B26B88"/>
    <w:rsid w:val="00B74AFE"/>
    <w:rsid w:val="00BE61CA"/>
    <w:rsid w:val="00BF7582"/>
    <w:rsid w:val="00C106FA"/>
    <w:rsid w:val="00C64408"/>
    <w:rsid w:val="00C73C93"/>
    <w:rsid w:val="00C9394C"/>
    <w:rsid w:val="00CA2A55"/>
    <w:rsid w:val="00D34478"/>
    <w:rsid w:val="00D6361D"/>
    <w:rsid w:val="00DA5E70"/>
    <w:rsid w:val="00DB1B35"/>
    <w:rsid w:val="00E008B6"/>
    <w:rsid w:val="00E22835"/>
    <w:rsid w:val="00E24F72"/>
    <w:rsid w:val="00E46C64"/>
    <w:rsid w:val="00E6299B"/>
    <w:rsid w:val="00E91F6A"/>
    <w:rsid w:val="00E950C9"/>
    <w:rsid w:val="00ED7578"/>
    <w:rsid w:val="00ED7713"/>
    <w:rsid w:val="00F02E11"/>
    <w:rsid w:val="00F26922"/>
    <w:rsid w:val="00F8071D"/>
    <w:rsid w:val="00F9226B"/>
    <w:rsid w:val="00F96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3F6D9"/>
  <w15:docId w15:val="{EC74A5DF-D2EF-48DE-AC41-8AFDF68D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A3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5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375DE"/>
    <w:rPr>
      <w:sz w:val="18"/>
      <w:szCs w:val="18"/>
    </w:rPr>
  </w:style>
  <w:style w:type="paragraph" w:styleId="a6">
    <w:name w:val="footer"/>
    <w:basedOn w:val="a"/>
    <w:link w:val="a7"/>
    <w:uiPriority w:val="99"/>
    <w:unhideWhenUsed/>
    <w:rsid w:val="009375DE"/>
    <w:pPr>
      <w:tabs>
        <w:tab w:val="center" w:pos="4153"/>
        <w:tab w:val="right" w:pos="8306"/>
      </w:tabs>
      <w:snapToGrid w:val="0"/>
    </w:pPr>
    <w:rPr>
      <w:sz w:val="18"/>
      <w:szCs w:val="18"/>
    </w:rPr>
  </w:style>
  <w:style w:type="character" w:customStyle="1" w:styleId="a7">
    <w:name w:val="页脚 字符"/>
    <w:basedOn w:val="a0"/>
    <w:link w:val="a6"/>
    <w:uiPriority w:val="99"/>
    <w:rsid w:val="009375DE"/>
    <w:rPr>
      <w:sz w:val="18"/>
      <w:szCs w:val="18"/>
    </w:rPr>
  </w:style>
  <w:style w:type="paragraph" w:styleId="a8">
    <w:name w:val="No Spacing"/>
    <w:link w:val="a9"/>
    <w:uiPriority w:val="1"/>
    <w:qFormat/>
    <w:rsid w:val="000A783E"/>
    <w:rPr>
      <w:rFonts w:asciiTheme="minorHAnsi" w:hAnsiTheme="minorHAnsi" w:cstheme="minorBidi"/>
      <w:sz w:val="22"/>
      <w:szCs w:val="22"/>
    </w:rPr>
  </w:style>
  <w:style w:type="character" w:customStyle="1" w:styleId="a9">
    <w:name w:val="无间隔 字符"/>
    <w:basedOn w:val="a0"/>
    <w:link w:val="a8"/>
    <w:uiPriority w:val="1"/>
    <w:rsid w:val="000A783E"/>
    <w:rPr>
      <w:rFonts w:asciiTheme="minorHAnsi" w:hAnsiTheme="minorHAnsi" w:cstheme="minorBidi"/>
      <w:sz w:val="22"/>
      <w:szCs w:val="22"/>
    </w:rPr>
  </w:style>
  <w:style w:type="character" w:styleId="aa">
    <w:name w:val="Hyperlink"/>
    <w:basedOn w:val="a0"/>
    <w:uiPriority w:val="99"/>
    <w:unhideWhenUsed/>
    <w:rsid w:val="000A783E"/>
    <w:rPr>
      <w:color w:val="0000FF" w:themeColor="hyperlink"/>
      <w:u w:val="single"/>
    </w:rPr>
  </w:style>
  <w:style w:type="paragraph" w:customStyle="1" w:styleId="EndNoteBibliography">
    <w:name w:val="EndNote Bibliography"/>
    <w:basedOn w:val="a"/>
    <w:link w:val="EndNoteBibliographyChar"/>
    <w:rsid w:val="000A783E"/>
    <w:pPr>
      <w:spacing w:after="160"/>
    </w:pPr>
    <w:rPr>
      <w:rFonts w:ascii="Calibri" w:hAnsi="Calibri" w:cs="Calibri"/>
      <w:noProof/>
      <w:sz w:val="22"/>
      <w:szCs w:val="22"/>
    </w:rPr>
  </w:style>
  <w:style w:type="character" w:customStyle="1" w:styleId="EndNoteBibliographyChar">
    <w:name w:val="EndNote Bibliography Char"/>
    <w:basedOn w:val="a9"/>
    <w:link w:val="EndNoteBibliography"/>
    <w:rsid w:val="000A783E"/>
    <w:rPr>
      <w:rFonts w:ascii="Calibri" w:hAnsi="Calibri" w:cs="Calibri"/>
      <w:noProof/>
      <w:sz w:val="22"/>
      <w:szCs w:val="22"/>
    </w:rPr>
  </w:style>
  <w:style w:type="numbering" w:customStyle="1" w:styleId="NoList1">
    <w:name w:val="No List1"/>
    <w:next w:val="a2"/>
    <w:uiPriority w:val="99"/>
    <w:semiHidden/>
    <w:unhideWhenUsed/>
    <w:rsid w:val="000A783E"/>
  </w:style>
  <w:style w:type="table" w:customStyle="1" w:styleId="TableGrid1">
    <w:name w:val="Table Grid1"/>
    <w:basedOn w:val="a1"/>
    <w:next w:val="a3"/>
    <w:uiPriority w:val="39"/>
    <w:rsid w:val="000A783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a"/>
    <w:next w:val="a4"/>
    <w:link w:val="HeaderChar"/>
    <w:uiPriority w:val="99"/>
    <w:unhideWhenUsed/>
    <w:rsid w:val="000A783E"/>
    <w:pPr>
      <w:tabs>
        <w:tab w:val="center" w:pos="4680"/>
        <w:tab w:val="right" w:pos="9360"/>
      </w:tabs>
    </w:pPr>
    <w:rPr>
      <w:rFonts w:asciiTheme="minorHAnsi" w:hAnsiTheme="minorHAnsi" w:cstheme="minorBidi"/>
      <w:sz w:val="22"/>
      <w:szCs w:val="22"/>
    </w:rPr>
  </w:style>
  <w:style w:type="character" w:customStyle="1" w:styleId="HeaderChar">
    <w:name w:val="Header Char"/>
    <w:basedOn w:val="a0"/>
    <w:link w:val="Header1"/>
    <w:uiPriority w:val="99"/>
    <w:rsid w:val="000A783E"/>
    <w:rPr>
      <w:rFonts w:asciiTheme="minorHAnsi" w:hAnsiTheme="minorHAnsi" w:cstheme="minorBidi"/>
      <w:sz w:val="22"/>
      <w:szCs w:val="22"/>
    </w:rPr>
  </w:style>
  <w:style w:type="paragraph" w:customStyle="1" w:styleId="Footer1">
    <w:name w:val="Footer1"/>
    <w:basedOn w:val="a"/>
    <w:next w:val="a6"/>
    <w:link w:val="FooterChar"/>
    <w:uiPriority w:val="99"/>
    <w:unhideWhenUsed/>
    <w:rsid w:val="000A783E"/>
    <w:pPr>
      <w:tabs>
        <w:tab w:val="center" w:pos="4680"/>
        <w:tab w:val="right" w:pos="9360"/>
      </w:tabs>
    </w:pPr>
    <w:rPr>
      <w:rFonts w:asciiTheme="minorHAnsi" w:hAnsiTheme="minorHAnsi" w:cstheme="minorBidi"/>
      <w:sz w:val="22"/>
      <w:szCs w:val="22"/>
    </w:rPr>
  </w:style>
  <w:style w:type="character" w:customStyle="1" w:styleId="FooterChar">
    <w:name w:val="Footer Char"/>
    <w:basedOn w:val="a0"/>
    <w:link w:val="Footer1"/>
    <w:uiPriority w:val="99"/>
    <w:rsid w:val="000A783E"/>
    <w:rPr>
      <w:rFonts w:asciiTheme="minorHAnsi" w:hAnsiTheme="minorHAnsi" w:cstheme="minorBidi"/>
      <w:sz w:val="22"/>
      <w:szCs w:val="22"/>
    </w:rPr>
  </w:style>
  <w:style w:type="paragraph" w:customStyle="1" w:styleId="ListParagraph1">
    <w:name w:val="List Paragraph1"/>
    <w:basedOn w:val="a"/>
    <w:next w:val="ab"/>
    <w:uiPriority w:val="34"/>
    <w:qFormat/>
    <w:rsid w:val="000A783E"/>
    <w:pPr>
      <w:spacing w:after="160" w:line="259" w:lineRule="auto"/>
      <w:ind w:left="720"/>
      <w:contextualSpacing/>
    </w:pPr>
    <w:rPr>
      <w:rFonts w:asciiTheme="minorHAnsi" w:hAnsiTheme="minorHAnsi" w:cstheme="minorBidi"/>
      <w:sz w:val="22"/>
      <w:szCs w:val="22"/>
    </w:rPr>
  </w:style>
  <w:style w:type="paragraph" w:customStyle="1" w:styleId="BalloonText1">
    <w:name w:val="Balloon Text1"/>
    <w:basedOn w:val="a"/>
    <w:next w:val="ac"/>
    <w:link w:val="BalloonTextChar"/>
    <w:uiPriority w:val="99"/>
    <w:semiHidden/>
    <w:unhideWhenUsed/>
    <w:rsid w:val="000A783E"/>
    <w:rPr>
      <w:rFonts w:ascii="Segoe UI" w:hAnsi="Segoe UI" w:cs="Segoe UI"/>
      <w:sz w:val="18"/>
      <w:szCs w:val="18"/>
    </w:rPr>
  </w:style>
  <w:style w:type="character" w:customStyle="1" w:styleId="BalloonTextChar">
    <w:name w:val="Balloon Text Char"/>
    <w:basedOn w:val="a0"/>
    <w:link w:val="BalloonText1"/>
    <w:uiPriority w:val="99"/>
    <w:semiHidden/>
    <w:rsid w:val="000A783E"/>
    <w:rPr>
      <w:rFonts w:ascii="Segoe UI" w:hAnsi="Segoe UI" w:cs="Segoe UI"/>
      <w:sz w:val="18"/>
      <w:szCs w:val="18"/>
    </w:rPr>
  </w:style>
  <w:style w:type="paragraph" w:styleId="ab">
    <w:name w:val="List Paragraph"/>
    <w:basedOn w:val="a"/>
    <w:uiPriority w:val="34"/>
    <w:qFormat/>
    <w:rsid w:val="000A783E"/>
    <w:pPr>
      <w:spacing w:after="160" w:line="259" w:lineRule="auto"/>
      <w:ind w:left="720"/>
      <w:contextualSpacing/>
    </w:pPr>
    <w:rPr>
      <w:rFonts w:asciiTheme="minorHAnsi" w:hAnsiTheme="minorHAnsi" w:cstheme="minorBidi"/>
      <w:sz w:val="22"/>
      <w:szCs w:val="22"/>
    </w:rPr>
  </w:style>
  <w:style w:type="paragraph" w:styleId="ac">
    <w:name w:val="Balloon Text"/>
    <w:basedOn w:val="a"/>
    <w:link w:val="ad"/>
    <w:uiPriority w:val="99"/>
    <w:unhideWhenUsed/>
    <w:rsid w:val="000A783E"/>
    <w:rPr>
      <w:rFonts w:ascii="Segoe UI" w:hAnsi="Segoe UI" w:cs="Segoe UI"/>
      <w:sz w:val="18"/>
      <w:szCs w:val="18"/>
    </w:rPr>
  </w:style>
  <w:style w:type="character" w:customStyle="1" w:styleId="ad">
    <w:name w:val="批注框文本 字符"/>
    <w:basedOn w:val="a0"/>
    <w:link w:val="ac"/>
    <w:uiPriority w:val="99"/>
    <w:rsid w:val="000A7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1353">
      <w:bodyDiv w:val="1"/>
      <w:marLeft w:val="0"/>
      <w:marRight w:val="0"/>
      <w:marTop w:val="0"/>
      <w:marBottom w:val="0"/>
      <w:divBdr>
        <w:top w:val="none" w:sz="0" w:space="0" w:color="auto"/>
        <w:left w:val="none" w:sz="0" w:space="0" w:color="auto"/>
        <w:bottom w:val="none" w:sz="0" w:space="0" w:color="auto"/>
        <w:right w:val="none" w:sz="0" w:space="0" w:color="auto"/>
      </w:divBdr>
    </w:div>
    <w:div w:id="1495032561">
      <w:bodyDiv w:val="1"/>
      <w:marLeft w:val="0"/>
      <w:marRight w:val="0"/>
      <w:marTop w:val="0"/>
      <w:marBottom w:val="0"/>
      <w:divBdr>
        <w:top w:val="none" w:sz="0" w:space="0" w:color="auto"/>
        <w:left w:val="none" w:sz="0" w:space="0" w:color="auto"/>
        <w:bottom w:val="none" w:sz="0" w:space="0" w:color="auto"/>
        <w:right w:val="none" w:sz="0" w:space="0" w:color="auto"/>
      </w:divBdr>
    </w:div>
    <w:div w:id="204433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C65C-CB71-404C-AB94-59CB87E3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6697</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cp:revision>
  <dcterms:created xsi:type="dcterms:W3CDTF">2021-01-14T18:06:00Z</dcterms:created>
  <dcterms:modified xsi:type="dcterms:W3CDTF">2021-02-04T02:48:00Z</dcterms:modified>
</cp:coreProperties>
</file>